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BF1A1" w14:textId="647E0328" w:rsidR="00BC05A3" w:rsidRDefault="00BC05A3" w:rsidP="00A40992">
      <w:pPr>
        <w:pStyle w:val="Heading1"/>
        <w:jc w:val="center"/>
      </w:pPr>
      <w:bookmarkStart w:id="0" w:name="_GoBack"/>
      <w:bookmarkEnd w:id="0"/>
      <w:r w:rsidRPr="00BC05A3">
        <w:t>Superannuation: Assessing Efficiency and Competitiveness</w:t>
      </w:r>
    </w:p>
    <w:p w14:paraId="312C5A49" w14:textId="0CE96143" w:rsidR="009B5836" w:rsidRDefault="009B5836" w:rsidP="00A40992">
      <w:pPr>
        <w:pStyle w:val="Heading1"/>
        <w:jc w:val="center"/>
      </w:pPr>
      <w:r>
        <w:t>Submission to Productivity Commission</w:t>
      </w:r>
      <w:r w:rsidR="00DB341A">
        <w:t xml:space="preserve">: </w:t>
      </w:r>
      <w:r>
        <w:t xml:space="preserve">Comments on the Draft Report of </w:t>
      </w:r>
      <w:r w:rsidR="00DB341A">
        <w:t>April 2018</w:t>
      </w:r>
    </w:p>
    <w:p w14:paraId="0D905ED7" w14:textId="56E44FB7" w:rsidR="009B5836" w:rsidRDefault="00F740C8" w:rsidP="00A40992">
      <w:pPr>
        <w:pStyle w:val="Heading1"/>
        <w:jc w:val="center"/>
      </w:pPr>
      <w:r>
        <w:t>Dr Peter Vann</w:t>
      </w:r>
    </w:p>
    <w:p w14:paraId="209262AD" w14:textId="1C804C6E" w:rsidR="00367198" w:rsidRDefault="00F740C8" w:rsidP="00A40992">
      <w:pPr>
        <w:pStyle w:val="Heading1"/>
        <w:jc w:val="center"/>
      </w:pPr>
      <w:r>
        <w:t xml:space="preserve">3 July </w:t>
      </w:r>
      <w:r w:rsidR="009B5836">
        <w:t>2018</w:t>
      </w:r>
    </w:p>
    <w:p w14:paraId="7E869158" w14:textId="0100E66A" w:rsidR="006804E6" w:rsidRDefault="006804E6" w:rsidP="00A40992"/>
    <w:p w14:paraId="6F9BB8B7" w14:textId="77777777" w:rsidR="00FF29D4" w:rsidRPr="0099527F" w:rsidRDefault="00FF29D4" w:rsidP="00A40992">
      <w:pPr>
        <w:rPr>
          <w:rStyle w:val="Strong"/>
          <w:smallCaps/>
          <w:sz w:val="28"/>
          <w:szCs w:val="28"/>
        </w:rPr>
      </w:pPr>
      <w:r w:rsidRPr="0099527F">
        <w:rPr>
          <w:rStyle w:val="Strong"/>
          <w:smallCaps/>
          <w:sz w:val="28"/>
          <w:szCs w:val="28"/>
        </w:rPr>
        <w:t>Introduction</w:t>
      </w:r>
    </w:p>
    <w:p w14:paraId="76A29D5F" w14:textId="0AB57D7C" w:rsidR="004D5E48" w:rsidRDefault="00A3711A" w:rsidP="00A40992">
      <w:r>
        <w:t xml:space="preserve">It is very pleasing to read the </w:t>
      </w:r>
      <w:r w:rsidR="00590574">
        <w:t>detailed work undertaken that aims to improve retirement income outcomes for Australians</w:t>
      </w:r>
      <w:r w:rsidR="00240B3C">
        <w:t>, congratulations.</w:t>
      </w:r>
      <w:r w:rsidR="001D0453">
        <w:t xml:space="preserve">  I </w:t>
      </w:r>
      <w:r w:rsidR="003B6F4D">
        <w:t xml:space="preserve">can see that many of the recommendations will improve the </w:t>
      </w:r>
      <w:r w:rsidR="009E3E57">
        <w:t xml:space="preserve">outcomes for members of superannuation funds.  </w:t>
      </w:r>
    </w:p>
    <w:p w14:paraId="2024A8CB" w14:textId="77777777" w:rsidR="004E66EA" w:rsidRDefault="009E3E57" w:rsidP="00A40992">
      <w:r>
        <w:t>However</w:t>
      </w:r>
      <w:r w:rsidR="005A273B">
        <w:t>,</w:t>
      </w:r>
      <w:r>
        <w:t xml:space="preserve"> </w:t>
      </w:r>
      <w:r w:rsidR="003404B1">
        <w:t xml:space="preserve">I wish to comment on </w:t>
      </w:r>
      <w:r w:rsidR="004E66EA">
        <w:t>two aspects of the draft report</w:t>
      </w:r>
    </w:p>
    <w:p w14:paraId="1A942ACE" w14:textId="1808D5DA" w:rsidR="00F740C8" w:rsidRDefault="00C43C6E" w:rsidP="00A40992">
      <w:pPr>
        <w:pStyle w:val="ListParagraph"/>
        <w:numPr>
          <w:ilvl w:val="0"/>
          <w:numId w:val="7"/>
        </w:numPr>
      </w:pPr>
      <w:r>
        <w:t xml:space="preserve">the </w:t>
      </w:r>
      <w:r w:rsidR="00FC33BB">
        <w:t xml:space="preserve">misleading </w:t>
      </w:r>
      <w:r>
        <w:t xml:space="preserve">nature of </w:t>
      </w:r>
      <w:r w:rsidR="009E3E57">
        <w:t xml:space="preserve">one </w:t>
      </w:r>
      <w:r w:rsidR="00237481">
        <w:t xml:space="preserve">impactful </w:t>
      </w:r>
      <w:r w:rsidR="009E3E57">
        <w:t xml:space="preserve">conclusion </w:t>
      </w:r>
      <w:r w:rsidR="0061192A">
        <w:t>i</w:t>
      </w:r>
      <w:r w:rsidR="00237481">
        <w:t xml:space="preserve">n the draft report </w:t>
      </w:r>
      <w:r w:rsidR="009E3E57">
        <w:t xml:space="preserve">that </w:t>
      </w:r>
      <w:r w:rsidR="005A273B">
        <w:t>has been sensationalised by the press</w:t>
      </w:r>
      <w:r w:rsidR="00237481">
        <w:t xml:space="preserve"> and </w:t>
      </w:r>
      <w:r w:rsidR="00E509E8">
        <w:t xml:space="preserve">that </w:t>
      </w:r>
      <w:r w:rsidR="0061192A">
        <w:t>forms</w:t>
      </w:r>
      <w:r w:rsidR="00EA374F">
        <w:t xml:space="preserve">, in my view, a false </w:t>
      </w:r>
      <w:r w:rsidR="0061192A">
        <w:t xml:space="preserve">basis for numerous </w:t>
      </w:r>
      <w:r w:rsidR="000555E8">
        <w:t>recommendations</w:t>
      </w:r>
      <w:r w:rsidR="00FF1D31">
        <w:t xml:space="preserve"> relating to Best In Show</w:t>
      </w:r>
      <w:r w:rsidR="002342B8">
        <w:t>, and</w:t>
      </w:r>
    </w:p>
    <w:p w14:paraId="234D5316" w14:textId="44E16758" w:rsidR="00CC01A1" w:rsidRDefault="002F60F6" w:rsidP="00A40992">
      <w:pPr>
        <w:pStyle w:val="ListParagraph"/>
        <w:numPr>
          <w:ilvl w:val="0"/>
          <w:numId w:val="7"/>
        </w:numPr>
      </w:pPr>
      <w:proofErr w:type="gramStart"/>
      <w:r>
        <w:t>so</w:t>
      </w:r>
      <w:proofErr w:type="gramEnd"/>
      <w:r>
        <w:t xml:space="preserve"> called </w:t>
      </w:r>
      <w:r w:rsidR="00CC01A1">
        <w:t xml:space="preserve">life cycle strategies (re </w:t>
      </w:r>
      <w:r w:rsidR="00770C20" w:rsidRPr="00770C20">
        <w:t>I</w:t>
      </w:r>
      <w:r w:rsidR="00770C20">
        <w:t>nformation Request 4.1)</w:t>
      </w:r>
      <w:r w:rsidR="002342B8">
        <w:t>.</w:t>
      </w:r>
    </w:p>
    <w:p w14:paraId="010E4FB3" w14:textId="2E94F38C" w:rsidR="00BA3EBB" w:rsidRPr="0099527F" w:rsidRDefault="00BA3EBB" w:rsidP="00A40992">
      <w:pPr>
        <w:rPr>
          <w:rStyle w:val="Strong"/>
          <w:smallCaps/>
          <w:sz w:val="28"/>
          <w:szCs w:val="28"/>
        </w:rPr>
      </w:pPr>
      <w:r w:rsidRPr="0099527F">
        <w:rPr>
          <w:rStyle w:val="Strong"/>
          <w:smallCaps/>
          <w:sz w:val="28"/>
          <w:szCs w:val="28"/>
        </w:rPr>
        <w:t>Summary Conclusion</w:t>
      </w:r>
    </w:p>
    <w:p w14:paraId="52F55DB8" w14:textId="77777777" w:rsidR="00B633BF" w:rsidRDefault="00B633BF" w:rsidP="00A40992">
      <w:pPr>
        <w:pStyle w:val="ListParagraph"/>
        <w:numPr>
          <w:ilvl w:val="0"/>
          <w:numId w:val="3"/>
        </w:numPr>
      </w:pPr>
      <w:r>
        <w:t>Best In Show</w:t>
      </w:r>
    </w:p>
    <w:p w14:paraId="02D1CF07" w14:textId="77777777" w:rsidR="00B633BF" w:rsidRDefault="00BA3EBB" w:rsidP="00A40992">
      <w:pPr>
        <w:pStyle w:val="ListParagraph"/>
        <w:numPr>
          <w:ilvl w:val="1"/>
          <w:numId w:val="3"/>
        </w:numPr>
      </w:pPr>
      <w:r>
        <w:t xml:space="preserve">I believe that the </w:t>
      </w:r>
      <w:r w:rsidR="00FF5CDC">
        <w:t xml:space="preserve">basis for </w:t>
      </w:r>
      <w:r w:rsidR="0049553C">
        <w:t>developing</w:t>
      </w:r>
      <w:r w:rsidR="00FF5CDC">
        <w:t xml:space="preserve"> a </w:t>
      </w:r>
      <w:r w:rsidR="00524DBD">
        <w:t>“</w:t>
      </w:r>
      <w:r w:rsidR="00FF5CDC">
        <w:t xml:space="preserve">Best </w:t>
      </w:r>
      <w:proofErr w:type="gramStart"/>
      <w:r w:rsidR="00FF5CDC">
        <w:t>In</w:t>
      </w:r>
      <w:proofErr w:type="gramEnd"/>
      <w:r w:rsidR="00FF5CDC">
        <w:t xml:space="preserve"> Show</w:t>
      </w:r>
      <w:r w:rsidR="00524DBD">
        <w:t>”</w:t>
      </w:r>
      <w:r w:rsidR="00FF5CDC">
        <w:t xml:space="preserve"> list is </w:t>
      </w:r>
      <w:r w:rsidR="000703FB">
        <w:t>flawed</w:t>
      </w:r>
      <w:r w:rsidR="00A822FE">
        <w:t>.</w:t>
      </w:r>
    </w:p>
    <w:p w14:paraId="235002F9" w14:textId="23475698" w:rsidR="00BA3EBB" w:rsidRDefault="00A822FE" w:rsidP="00A40992">
      <w:pPr>
        <w:pStyle w:val="ListParagraph"/>
        <w:numPr>
          <w:ilvl w:val="1"/>
          <w:numId w:val="3"/>
        </w:numPr>
      </w:pPr>
      <w:r>
        <w:t xml:space="preserve">Regardless of the </w:t>
      </w:r>
      <w:r w:rsidR="009D74D7">
        <w:t xml:space="preserve">above comment, </w:t>
      </w:r>
      <w:r>
        <w:t xml:space="preserve">the proposed use of such a </w:t>
      </w:r>
      <w:r w:rsidR="000703FB">
        <w:t xml:space="preserve">Best </w:t>
      </w:r>
      <w:proofErr w:type="gramStart"/>
      <w:r w:rsidR="000703FB">
        <w:t>In</w:t>
      </w:r>
      <w:proofErr w:type="gramEnd"/>
      <w:r w:rsidR="000703FB">
        <w:t xml:space="preserve"> Show </w:t>
      </w:r>
      <w:r>
        <w:t xml:space="preserve">list </w:t>
      </w:r>
      <w:r w:rsidR="00524DBD">
        <w:t>creates a massive contingent liability for the Australian Government.</w:t>
      </w:r>
      <w:r w:rsidR="00D03FEF">
        <w:br/>
      </w:r>
    </w:p>
    <w:p w14:paraId="7C6D65B6" w14:textId="569BA10A" w:rsidR="00225DBA" w:rsidRDefault="00524141" w:rsidP="00A40992">
      <w:pPr>
        <w:pStyle w:val="ListParagraph"/>
        <w:numPr>
          <w:ilvl w:val="0"/>
          <w:numId w:val="3"/>
        </w:numPr>
      </w:pPr>
      <w:r>
        <w:t>So called l</w:t>
      </w:r>
      <w:r w:rsidR="002342B8">
        <w:t>ife cycle strategies</w:t>
      </w:r>
    </w:p>
    <w:p w14:paraId="7132A28F" w14:textId="77777777" w:rsidR="00225DBA" w:rsidRDefault="00225DBA" w:rsidP="00A40992">
      <w:pPr>
        <w:pStyle w:val="ListParagraph"/>
        <w:numPr>
          <w:ilvl w:val="1"/>
          <w:numId w:val="3"/>
        </w:numPr>
      </w:pPr>
      <w:r>
        <w:t xml:space="preserve">are unsuitable </w:t>
      </w:r>
      <w:r w:rsidR="004E73A5">
        <w:t>for default investment strateg</w:t>
      </w:r>
      <w:r>
        <w:t>ies</w:t>
      </w:r>
    </w:p>
    <w:p w14:paraId="35007DCC" w14:textId="2B7DEFA6" w:rsidR="00D03FEF" w:rsidRDefault="00225DBA" w:rsidP="00A40992">
      <w:pPr>
        <w:pStyle w:val="ListParagraph"/>
        <w:numPr>
          <w:ilvl w:val="1"/>
          <w:numId w:val="3"/>
        </w:numPr>
      </w:pPr>
      <w:r>
        <w:t>but may offer enhanced retirement outcomes i</w:t>
      </w:r>
      <w:r w:rsidR="004C10C8">
        <w:t>f</w:t>
      </w:r>
      <w:r>
        <w:t xml:space="preserve"> </w:t>
      </w:r>
      <w:r w:rsidR="004C10C8">
        <w:t>tailored for individuals (or cohorts) AND applied over “whole of life” investing</w:t>
      </w:r>
      <w:r w:rsidR="00FF1D31">
        <w:t>, i.e. seamlessly through both accumulation and retirement</w:t>
      </w:r>
      <w:r w:rsidR="00826B85">
        <w:t>.</w:t>
      </w:r>
      <w:r w:rsidR="0089438F">
        <w:t xml:space="preserve">  But the industry </w:t>
      </w:r>
      <w:r w:rsidR="00C90E2E">
        <w:t xml:space="preserve">as a whole </w:t>
      </w:r>
      <w:r w:rsidR="0089438F">
        <w:t>is far from ready for such a structure.</w:t>
      </w:r>
    </w:p>
    <w:p w14:paraId="1BE73756" w14:textId="77777777" w:rsidR="00276EDE" w:rsidRDefault="00276EDE" w:rsidP="00A40992">
      <w:pPr>
        <w:rPr>
          <w:rStyle w:val="Strong"/>
          <w:smallCaps/>
          <w:sz w:val="28"/>
          <w:szCs w:val="28"/>
        </w:rPr>
      </w:pPr>
    </w:p>
    <w:p w14:paraId="352FC6E5" w14:textId="7F091E95" w:rsidR="005172E3" w:rsidRPr="0099527F" w:rsidRDefault="0099527F" w:rsidP="00A40992">
      <w:pPr>
        <w:rPr>
          <w:rStyle w:val="Strong"/>
          <w:smallCaps/>
          <w:sz w:val="28"/>
          <w:szCs w:val="28"/>
        </w:rPr>
      </w:pPr>
      <w:r>
        <w:rPr>
          <w:rStyle w:val="Strong"/>
          <w:smallCaps/>
          <w:sz w:val="28"/>
          <w:szCs w:val="28"/>
        </w:rPr>
        <w:t>Details</w:t>
      </w:r>
      <w:r w:rsidR="00826B85">
        <w:rPr>
          <w:rStyle w:val="Strong"/>
          <w:smallCaps/>
          <w:sz w:val="28"/>
          <w:szCs w:val="28"/>
        </w:rPr>
        <w:t>: “Best in Show” Concept</w:t>
      </w:r>
    </w:p>
    <w:p w14:paraId="3C93E264" w14:textId="6A152A43" w:rsidR="006120F1" w:rsidRPr="00A125F8" w:rsidRDefault="007A2CF3" w:rsidP="00A40992">
      <w:pPr>
        <w:pStyle w:val="ListParagraph"/>
        <w:numPr>
          <w:ilvl w:val="0"/>
          <w:numId w:val="4"/>
        </w:numPr>
      </w:pPr>
      <w:r>
        <w:t>I refer to statements such as</w:t>
      </w:r>
      <w:r w:rsidR="006C0AC4">
        <w:rPr>
          <w:rStyle w:val="FootnoteReference"/>
        </w:rPr>
        <w:footnoteReference w:id="1"/>
      </w:r>
      <w:r>
        <w:t xml:space="preserve"> </w:t>
      </w:r>
      <w:r w:rsidR="00A125F8">
        <w:br/>
      </w:r>
      <w:r w:rsidR="00526010">
        <w:br/>
      </w:r>
      <w:r w:rsidR="006120F1" w:rsidRPr="00A125F8">
        <w:t xml:space="preserve">“The wide dispersion in fund performance over the long-term has large implications for members’ retirement incomes. For example, a typical full-time </w:t>
      </w:r>
      <w:r w:rsidR="006120F1" w:rsidRPr="00A125F8">
        <w:lastRenderedPageBreak/>
        <w:t>worker in the median fund in the bottom quartile (in terms of investment performance) over their lifetime would retire with a balance 53 per cent (or $635 000) lower than if they were in the median top-quartile fund (cameo 1).”</w:t>
      </w:r>
    </w:p>
    <w:p w14:paraId="594122EE" w14:textId="77777777" w:rsidR="006120F1" w:rsidRDefault="006120F1" w:rsidP="00A40992"/>
    <w:p w14:paraId="2D338E16" w14:textId="3416A1D9" w:rsidR="007A2CF3" w:rsidRPr="00526010" w:rsidRDefault="006120F1" w:rsidP="00A40992">
      <w:pPr>
        <w:pStyle w:val="ListParagraph"/>
        <w:numPr>
          <w:ilvl w:val="0"/>
          <w:numId w:val="4"/>
        </w:numPr>
      </w:pPr>
      <w:r>
        <w:t xml:space="preserve">and </w:t>
      </w:r>
      <w:r w:rsidR="007A2CF3" w:rsidRPr="007A2CF3">
        <w:t xml:space="preserve">DRAFT FINDING 2.3 </w:t>
      </w:r>
      <w:r w:rsidR="00526010">
        <w:br/>
      </w:r>
      <w:r w:rsidR="00CC7DA7">
        <w:br/>
      </w:r>
      <w:r w:rsidR="006342ED" w:rsidRPr="00526010">
        <w:t>“</w:t>
      </w:r>
      <w:r w:rsidR="007A2CF3" w:rsidRPr="00526010">
        <w:t xml:space="preserve">There is wide variation in performance in the default segment </w:t>
      </w:r>
      <w:r w:rsidR="00993465" w:rsidRPr="00526010">
        <w:t>……</w:t>
      </w:r>
      <w:r w:rsidR="007A2CF3" w:rsidRPr="00526010">
        <w:t xml:space="preserve"> If all members in these underperforming products received the median return from a top-10 </w:t>
      </w:r>
      <w:proofErr w:type="spellStart"/>
      <w:r w:rsidR="007A2CF3" w:rsidRPr="00526010">
        <w:t>MySuper</w:t>
      </w:r>
      <w:proofErr w:type="spellEnd"/>
      <w:r w:rsidR="007A2CF3" w:rsidRPr="00526010">
        <w:t xml:space="preserve"> product, they would collectively be $1.3 billion a year better off. Being in an underperforming product means that, on retirement, a typical worker (starting work today) is projected to have a balance 36 per cent lower (or $375 000 less to retire with).</w:t>
      </w:r>
      <w:r w:rsidR="006342ED" w:rsidRPr="00526010">
        <w:t>”</w:t>
      </w:r>
    </w:p>
    <w:p w14:paraId="5268E81D" w14:textId="77777777" w:rsidR="007A2CF3" w:rsidRDefault="007A2CF3" w:rsidP="00A40992"/>
    <w:p w14:paraId="5EBB3914" w14:textId="634BDB5F" w:rsidR="00D10F82" w:rsidRPr="00526010" w:rsidRDefault="00677322" w:rsidP="00A40992">
      <w:pPr>
        <w:pStyle w:val="ListParagraph"/>
        <w:numPr>
          <w:ilvl w:val="0"/>
          <w:numId w:val="4"/>
        </w:numPr>
        <w:rPr>
          <w:i/>
        </w:rPr>
      </w:pPr>
      <w:r>
        <w:t xml:space="preserve">I then note the connection from these findings to </w:t>
      </w:r>
      <w:r w:rsidR="00DE3110">
        <w:t xml:space="preserve">part of the selection criteria for the “Best </w:t>
      </w:r>
      <w:proofErr w:type="gramStart"/>
      <w:r w:rsidR="00DE3110">
        <w:t>In</w:t>
      </w:r>
      <w:proofErr w:type="gramEnd"/>
      <w:r w:rsidR="00DE3110">
        <w:t xml:space="preserve"> Show” Shortlist for new members</w:t>
      </w:r>
      <w:r w:rsidR="006C0AC4">
        <w:rPr>
          <w:rStyle w:val="FootnoteReference"/>
        </w:rPr>
        <w:footnoteReference w:id="2"/>
      </w:r>
      <w:r w:rsidR="00526010">
        <w:br/>
      </w:r>
      <w:r w:rsidR="00CC7DA7">
        <w:rPr>
          <w:i/>
        </w:rPr>
        <w:br/>
      </w:r>
      <w:r w:rsidR="000A24CC" w:rsidRPr="00526010">
        <w:rPr>
          <w:i/>
        </w:rPr>
        <w:t xml:space="preserve">“The shortlist should be developed by an independent expert panel ….. It should particularly consider long-term net returns and fees, as well as each applicant’s investment strategy, </w:t>
      </w:r>
      <w:proofErr w:type="spellStart"/>
      <w:r w:rsidR="000A24CC" w:rsidRPr="00526010">
        <w:rPr>
          <w:i/>
        </w:rPr>
        <w:t>intrafund</w:t>
      </w:r>
      <w:proofErr w:type="spellEnd"/>
      <w:r w:rsidR="000A24CC" w:rsidRPr="00526010">
        <w:rPr>
          <w:i/>
        </w:rPr>
        <w:t xml:space="preserve"> advice, governance and track record on identifying and meeting member needs.”</w:t>
      </w:r>
      <w:r w:rsidR="00526010">
        <w:rPr>
          <w:i/>
        </w:rPr>
        <w:br/>
      </w:r>
    </w:p>
    <w:p w14:paraId="5E6B3AE4" w14:textId="00844F8E" w:rsidR="00346027" w:rsidRPr="00526010" w:rsidRDefault="0078428F" w:rsidP="00A40992">
      <w:pPr>
        <w:pStyle w:val="ListParagraph"/>
        <w:numPr>
          <w:ilvl w:val="0"/>
          <w:numId w:val="4"/>
        </w:numPr>
      </w:pPr>
      <w:r>
        <w:t xml:space="preserve">and </w:t>
      </w:r>
      <w:r w:rsidR="003E7673">
        <w:t xml:space="preserve">the report is very </w:t>
      </w:r>
      <w:r>
        <w:t>clear</w:t>
      </w:r>
      <w:r w:rsidR="003E7673">
        <w:t xml:space="preserve"> </w:t>
      </w:r>
      <w:r>
        <w:t xml:space="preserve">that </w:t>
      </w:r>
      <w:r w:rsidR="009F5926">
        <w:t>one expectation from this process is better future investment performance</w:t>
      </w:r>
      <w:r w:rsidR="00C8582B">
        <w:rPr>
          <w:rStyle w:val="FootnoteReference"/>
        </w:rPr>
        <w:footnoteReference w:id="3"/>
      </w:r>
      <w:r w:rsidR="009F5926">
        <w:t xml:space="preserve"> </w:t>
      </w:r>
      <w:r w:rsidR="00526010">
        <w:br/>
      </w:r>
      <w:r w:rsidR="00CC7DA7">
        <w:br/>
      </w:r>
      <w:r w:rsidR="000054E8" w:rsidRPr="00526010">
        <w:t>“How will members benefit?</w:t>
      </w:r>
      <w:r w:rsidR="00526010">
        <w:br/>
      </w:r>
      <w:r w:rsidR="000054E8" w:rsidRPr="00526010">
        <w:t>Our changes to default allocation</w:t>
      </w:r>
      <w:r w:rsidR="00CD4B3D">
        <w:t xml:space="preserve"> </w:t>
      </w:r>
      <w:r w:rsidR="00CC7DA7">
        <w:t>[using Best In Show funds</w:t>
      </w:r>
      <w:r w:rsidR="00DF3454" w:rsidRPr="00526010">
        <w:t>]</w:t>
      </w:r>
      <w:r w:rsidR="001E2C43" w:rsidRPr="00377BC1">
        <w:rPr>
          <w:vertAlign w:val="superscript"/>
        </w:rPr>
        <w:fldChar w:fldCharType="begin"/>
      </w:r>
      <w:r w:rsidR="001E2C43" w:rsidRPr="00377BC1">
        <w:rPr>
          <w:vertAlign w:val="superscript"/>
        </w:rPr>
        <w:instrText xml:space="preserve"> NOTEREF _Ref518938008 \h </w:instrText>
      </w:r>
      <w:r w:rsidR="00377BC1">
        <w:rPr>
          <w:vertAlign w:val="superscript"/>
        </w:rPr>
        <w:instrText xml:space="preserve"> \* MERGEFORMAT </w:instrText>
      </w:r>
      <w:r w:rsidR="001E2C43" w:rsidRPr="00377BC1">
        <w:rPr>
          <w:vertAlign w:val="superscript"/>
        </w:rPr>
      </w:r>
      <w:r w:rsidR="001E2C43" w:rsidRPr="00377BC1">
        <w:rPr>
          <w:vertAlign w:val="superscript"/>
        </w:rPr>
        <w:fldChar w:fldCharType="separate"/>
      </w:r>
      <w:r w:rsidR="001E2C43" w:rsidRPr="00377BC1">
        <w:rPr>
          <w:vertAlign w:val="superscript"/>
        </w:rPr>
        <w:t>7</w:t>
      </w:r>
      <w:r w:rsidR="001E2C43" w:rsidRPr="00377BC1">
        <w:rPr>
          <w:vertAlign w:val="superscript"/>
        </w:rPr>
        <w:fldChar w:fldCharType="end"/>
      </w:r>
      <w:r w:rsidR="00DF3454" w:rsidRPr="00526010">
        <w:t xml:space="preserve"> </w:t>
      </w:r>
      <w:r w:rsidR="000054E8" w:rsidRPr="00526010">
        <w:t>will immediately benefit new entrants to the workforce by placing most in a fund that is likely to deliver the best outcomes — with a potentially large impact on members’ balances at retirement.”</w:t>
      </w:r>
    </w:p>
    <w:p w14:paraId="28F8F207" w14:textId="77777777" w:rsidR="003E6FA2" w:rsidRPr="00761BD2" w:rsidRDefault="003E6FA2" w:rsidP="00761BD2">
      <w:pPr>
        <w:spacing w:after="0"/>
        <w:rPr>
          <w:u w:val="single"/>
        </w:rPr>
      </w:pPr>
      <w:r w:rsidRPr="00761BD2">
        <w:rPr>
          <w:u w:val="single"/>
        </w:rPr>
        <w:t>First problem</w:t>
      </w:r>
    </w:p>
    <w:p w14:paraId="2ED72E81" w14:textId="39F4BD61" w:rsidR="001844DB" w:rsidRDefault="00DF3454" w:rsidP="00A40992">
      <w:r>
        <w:t xml:space="preserve">Whilst the </w:t>
      </w:r>
      <w:r w:rsidR="00FA4EF5">
        <w:t xml:space="preserve">PC’s </w:t>
      </w:r>
      <w:r>
        <w:t xml:space="preserve">findings in points (1) and (2) </w:t>
      </w:r>
      <w:r w:rsidR="00FA4EF5">
        <w:t xml:space="preserve">above </w:t>
      </w:r>
      <w:r w:rsidR="007C1122">
        <w:t xml:space="preserve">clearly illustrate the long term impact </w:t>
      </w:r>
      <w:r w:rsidR="00FA4EF5">
        <w:t xml:space="preserve">on </w:t>
      </w:r>
      <w:r w:rsidR="006103A5">
        <w:t xml:space="preserve">one’s account balance at retirement </w:t>
      </w:r>
      <w:r w:rsidR="00B87849">
        <w:t xml:space="preserve">from </w:t>
      </w:r>
      <w:r w:rsidR="007C1122">
        <w:t>a range of performance outcomes</w:t>
      </w:r>
      <w:r w:rsidR="0024570A">
        <w:t xml:space="preserve"> </w:t>
      </w:r>
      <w:r w:rsidR="0024570A" w:rsidRPr="002D342B">
        <w:rPr>
          <w:u w:val="single"/>
        </w:rPr>
        <w:t>using perfect hindsight</w:t>
      </w:r>
      <w:r w:rsidR="007C1122">
        <w:t>, it is very difficult to translate that</w:t>
      </w:r>
      <w:r w:rsidR="00FB24DE">
        <w:t xml:space="preserve"> observation</w:t>
      </w:r>
      <w:r w:rsidR="007C1122">
        <w:t xml:space="preserve"> into practice</w:t>
      </w:r>
      <w:r w:rsidR="0024570A">
        <w:t xml:space="preserve"> </w:t>
      </w:r>
      <w:r w:rsidR="00FB24DE">
        <w:t xml:space="preserve">by </w:t>
      </w:r>
      <w:r w:rsidR="0024570A">
        <w:t>forecast</w:t>
      </w:r>
      <w:r w:rsidR="00FB24DE">
        <w:t>ing</w:t>
      </w:r>
      <w:r w:rsidR="0024570A">
        <w:t xml:space="preserve"> </w:t>
      </w:r>
      <w:r w:rsidR="008F1BED">
        <w:t xml:space="preserve">which </w:t>
      </w:r>
      <w:r w:rsidR="00EB7DEF">
        <w:t xml:space="preserve">individual funds will deliver better </w:t>
      </w:r>
      <w:r w:rsidR="008F1BED">
        <w:t xml:space="preserve">future </w:t>
      </w:r>
      <w:r w:rsidR="00EA2B63">
        <w:t xml:space="preserve">long term return </w:t>
      </w:r>
      <w:r w:rsidR="00EB7DEF">
        <w:t>outcomes.</w:t>
      </w:r>
    </w:p>
    <w:p w14:paraId="4603EB12" w14:textId="1EE0FD61" w:rsidR="000F4677" w:rsidRDefault="000F4677" w:rsidP="00A40992">
      <w:r>
        <w:t xml:space="preserve">To assist explain this, consider the </w:t>
      </w:r>
      <w:r w:rsidR="0016463E">
        <w:t xml:space="preserve">considerable resources expended by superannuation funds aiming to </w:t>
      </w:r>
      <w:r w:rsidR="00913286">
        <w:t xml:space="preserve">select </w:t>
      </w:r>
      <w:r w:rsidR="00C6286D">
        <w:t xml:space="preserve">suitable fund managers to manage part of their </w:t>
      </w:r>
      <w:r w:rsidR="00A77F91">
        <w:t>assets.  In public</w:t>
      </w:r>
      <w:r w:rsidR="00C8582B">
        <w:t>,</w:t>
      </w:r>
      <w:r w:rsidR="00A77F91">
        <w:t xml:space="preserve"> many say that </w:t>
      </w:r>
      <w:r w:rsidR="00913286">
        <w:t xml:space="preserve">investment performance is not key </w:t>
      </w:r>
      <w:r w:rsidR="00FE3AE4">
        <w:t xml:space="preserve">and that they </w:t>
      </w:r>
      <w:r w:rsidR="00C8582B">
        <w:t xml:space="preserve">largely </w:t>
      </w:r>
      <w:r w:rsidR="00FE3AE4">
        <w:t xml:space="preserve">rely on other considerations.  </w:t>
      </w:r>
      <w:r w:rsidR="00BC74BF">
        <w:t>But, mandates</w:t>
      </w:r>
      <w:r w:rsidR="00FE3AE4">
        <w:t xml:space="preserve"> won and lost </w:t>
      </w:r>
      <w:r w:rsidR="00BC74BF">
        <w:t xml:space="preserve">often </w:t>
      </w:r>
      <w:r w:rsidR="00FE3AE4">
        <w:t>follow recent short</w:t>
      </w:r>
      <w:r w:rsidR="00C8582B">
        <w:t>-</w:t>
      </w:r>
      <w:r w:rsidR="00FE3AE4">
        <w:t>term performance (industry ob</w:t>
      </w:r>
      <w:r w:rsidR="006E16A1">
        <w:t>servations and also supported by a research project by a leading wholesale asset consultant)</w:t>
      </w:r>
      <w:r w:rsidR="00B5184E">
        <w:t xml:space="preserve">.  </w:t>
      </w:r>
      <w:r w:rsidR="006E16A1">
        <w:t xml:space="preserve"> </w:t>
      </w:r>
      <w:r w:rsidR="00B5184E">
        <w:t>Furthermore</w:t>
      </w:r>
      <w:r w:rsidR="00656F61">
        <w:t>,</w:t>
      </w:r>
      <w:r w:rsidR="00B5184E">
        <w:t xml:space="preserve"> past performance is not </w:t>
      </w:r>
      <w:r w:rsidR="00860268">
        <w:t xml:space="preserve">a useful indicator of future performance (even when style and </w:t>
      </w:r>
      <w:r w:rsidR="00860268">
        <w:lastRenderedPageBreak/>
        <w:t>process are accounted for)</w:t>
      </w:r>
      <w:r w:rsidR="00B650A7">
        <w:t xml:space="preserve">.  In a confidential project I undertook for a client </w:t>
      </w:r>
      <w:r w:rsidR="00CE18F3">
        <w:t xml:space="preserve">analysing </w:t>
      </w:r>
      <w:r w:rsidR="003B731E">
        <w:t xml:space="preserve">predictability of </w:t>
      </w:r>
      <w:r w:rsidR="00CE18F3">
        <w:t xml:space="preserve">fund manager </w:t>
      </w:r>
      <w:r w:rsidR="003B731E">
        <w:t>performance rankings</w:t>
      </w:r>
      <w:r w:rsidR="00CE18F3">
        <w:t xml:space="preserve">, there was essentially a zero correlation between past and future </w:t>
      </w:r>
      <w:r w:rsidR="00DD16B8">
        <w:t>ranking</w:t>
      </w:r>
      <w:r w:rsidR="00895CA9">
        <w:t>s</w:t>
      </w:r>
      <w:r w:rsidR="00CE18F3">
        <w:t xml:space="preserve"> </w:t>
      </w:r>
      <w:r w:rsidR="006E4B01">
        <w:t xml:space="preserve">in each </w:t>
      </w:r>
      <w:r w:rsidR="00CE18F3">
        <w:t xml:space="preserve">asset classes and </w:t>
      </w:r>
      <w:r w:rsidR="006E4B01">
        <w:t xml:space="preserve">within sub sections of </w:t>
      </w:r>
      <w:r w:rsidR="00D74077">
        <w:t>some asset classes.</w:t>
      </w:r>
      <w:r>
        <w:t xml:space="preserve"> </w:t>
      </w:r>
      <w:r w:rsidR="00656F61">
        <w:t xml:space="preserve"> </w:t>
      </w:r>
      <w:r w:rsidR="003B731E">
        <w:t xml:space="preserve">I also note that </w:t>
      </w:r>
      <w:r w:rsidR="00656F61">
        <w:t>the most consistent</w:t>
      </w:r>
      <w:r w:rsidR="00D064D2">
        <w:t>ly</w:t>
      </w:r>
      <w:r w:rsidR="00656F61">
        <w:t xml:space="preserve"> </w:t>
      </w:r>
      <w:r w:rsidR="00D064D2">
        <w:t xml:space="preserve">ranked </w:t>
      </w:r>
      <w:r w:rsidR="00895CA9">
        <w:t xml:space="preserve">investment </w:t>
      </w:r>
      <w:r w:rsidR="00D064D2">
        <w:t xml:space="preserve">process </w:t>
      </w:r>
      <w:r w:rsidR="00055617">
        <w:t xml:space="preserve">for listed equities </w:t>
      </w:r>
      <w:r w:rsidR="00D064D2">
        <w:t xml:space="preserve">is one that follows </w:t>
      </w:r>
      <w:r w:rsidR="00B7052E">
        <w:t>the benchmark (</w:t>
      </w:r>
      <w:r w:rsidR="00055617">
        <w:t xml:space="preserve">periodic </w:t>
      </w:r>
      <w:r w:rsidR="00B7052E">
        <w:t xml:space="preserve">S&amp;P analysis </w:t>
      </w:r>
      <w:r w:rsidR="0031006D">
        <w:t>in various countries including Australia</w:t>
      </w:r>
      <w:r w:rsidR="00055617">
        <w:t xml:space="preserve"> shows that </w:t>
      </w:r>
      <w:r w:rsidR="000141F7">
        <w:t xml:space="preserve">benchmarks are regularly around </w:t>
      </w:r>
      <w:r w:rsidR="00687EF0">
        <w:t xml:space="preserve">the </w:t>
      </w:r>
      <w:r w:rsidR="000141F7">
        <w:t>top quartile</w:t>
      </w:r>
      <w:r w:rsidR="002D342B">
        <w:t xml:space="preserve"> performance</w:t>
      </w:r>
      <w:r w:rsidR="00DD7E1F">
        <w:t xml:space="preserve"> boundary</w:t>
      </w:r>
      <w:r w:rsidR="0031006D">
        <w:t>).</w:t>
      </w:r>
    </w:p>
    <w:p w14:paraId="5A65F829" w14:textId="780AAB23" w:rsidR="001332F9" w:rsidRDefault="001332F9" w:rsidP="00A40992">
      <w:r>
        <w:t xml:space="preserve">Lastly, a common </w:t>
      </w:r>
      <w:r w:rsidR="00414955">
        <w:t xml:space="preserve">phrase </w:t>
      </w:r>
      <w:r>
        <w:t xml:space="preserve">in </w:t>
      </w:r>
      <w:r w:rsidR="004359FB">
        <w:t>disclaimers for investment products relates to “past performance is not an indicator of future performance”.</w:t>
      </w:r>
    </w:p>
    <w:p w14:paraId="30F3BFE0" w14:textId="03947CE4" w:rsidR="005D3F8B" w:rsidRPr="001844DB" w:rsidRDefault="005D3F8B" w:rsidP="00A40992">
      <w:r w:rsidRPr="001844DB">
        <w:t>Th</w:t>
      </w:r>
      <w:r w:rsidR="00C34CC7">
        <w:t>u</w:t>
      </w:r>
      <w:r w:rsidRPr="001844DB">
        <w:t xml:space="preserve">s </w:t>
      </w:r>
      <w:r w:rsidR="00C34CC7">
        <w:t xml:space="preserve">I believe that </w:t>
      </w:r>
      <w:r w:rsidRPr="001844DB">
        <w:t xml:space="preserve">the concept of </w:t>
      </w:r>
      <w:r w:rsidR="00955CE3">
        <w:t xml:space="preserve">aiming to determine funds expected to deliver better future </w:t>
      </w:r>
      <w:r w:rsidR="001844DB" w:rsidRPr="001844DB">
        <w:t>investment performance</w:t>
      </w:r>
      <w:r w:rsidR="000F0D91">
        <w:t xml:space="preserve"> </w:t>
      </w:r>
      <w:r w:rsidR="00296E7E">
        <w:t xml:space="preserve">for inclusion in the </w:t>
      </w:r>
      <w:r w:rsidR="00296E7E" w:rsidRPr="001844DB">
        <w:t xml:space="preserve">Best </w:t>
      </w:r>
      <w:proofErr w:type="gramStart"/>
      <w:r w:rsidR="00296E7E" w:rsidRPr="001844DB">
        <w:t>In</w:t>
      </w:r>
      <w:proofErr w:type="gramEnd"/>
      <w:r w:rsidR="00296E7E" w:rsidRPr="001844DB">
        <w:t xml:space="preserve"> Show </w:t>
      </w:r>
      <w:r w:rsidR="0085242E">
        <w:t xml:space="preserve">is </w:t>
      </w:r>
      <w:r w:rsidR="00F2656B">
        <w:t>flawed</w:t>
      </w:r>
      <w:r w:rsidR="001844DB" w:rsidRPr="001844DB">
        <w:t>.</w:t>
      </w:r>
    </w:p>
    <w:p w14:paraId="4656968F" w14:textId="77777777" w:rsidR="005B4551" w:rsidRPr="00761BD2" w:rsidRDefault="005B4551" w:rsidP="00761BD2">
      <w:pPr>
        <w:spacing w:after="0"/>
        <w:rPr>
          <w:u w:val="single"/>
        </w:rPr>
      </w:pPr>
      <w:r w:rsidRPr="00761BD2">
        <w:rPr>
          <w:u w:val="single"/>
        </w:rPr>
        <w:t>Second Problem</w:t>
      </w:r>
    </w:p>
    <w:p w14:paraId="5F2348FC" w14:textId="77777777" w:rsidR="0085242E" w:rsidRDefault="00126CC9" w:rsidP="00A40992">
      <w:r>
        <w:t xml:space="preserve">Having said that, </w:t>
      </w:r>
      <w:r w:rsidR="00EA2B63">
        <w:t xml:space="preserve">I agree that at any point in time one can </w:t>
      </w:r>
      <w:r w:rsidR="005D3F8B">
        <w:t xml:space="preserve">theoretically perform an assessment of other factors </w:t>
      </w:r>
      <w:r w:rsidR="00324301">
        <w:t xml:space="preserve">relating to, for example, </w:t>
      </w:r>
      <w:r w:rsidR="00CC25B5" w:rsidRPr="00CC25B5">
        <w:rPr>
          <w:i/>
        </w:rPr>
        <w:t>“</w:t>
      </w:r>
      <w:r w:rsidR="00F31F61" w:rsidRPr="00CC25B5">
        <w:rPr>
          <w:i/>
        </w:rPr>
        <w:t xml:space="preserve">investment strategy, </w:t>
      </w:r>
      <w:proofErr w:type="spellStart"/>
      <w:r w:rsidR="00F31F61" w:rsidRPr="00CC25B5">
        <w:rPr>
          <w:i/>
        </w:rPr>
        <w:t>intrafund</w:t>
      </w:r>
      <w:proofErr w:type="spellEnd"/>
      <w:r w:rsidR="00F31F61" w:rsidRPr="00CC25B5">
        <w:rPr>
          <w:i/>
        </w:rPr>
        <w:t xml:space="preserve"> advice, governance and track record on identifying and meeting member needs.</w:t>
      </w:r>
      <w:r w:rsidR="00CC25B5" w:rsidRPr="00CC25B5">
        <w:rPr>
          <w:i/>
        </w:rPr>
        <w:t>”</w:t>
      </w:r>
      <w:r w:rsidR="002266AF">
        <w:rPr>
          <w:rStyle w:val="FootnoteReference"/>
          <w:i/>
        </w:rPr>
        <w:footnoteReference w:id="4"/>
      </w:r>
      <w:r w:rsidR="00EB7DEF">
        <w:t xml:space="preserve"> </w:t>
      </w:r>
    </w:p>
    <w:p w14:paraId="086AE912" w14:textId="140A030A" w:rsidR="00346027" w:rsidRDefault="00126CC9" w:rsidP="00A40992">
      <w:r>
        <w:t>However, is this practically possible</w:t>
      </w:r>
      <w:r w:rsidR="00D87CAC">
        <w:t>?</w:t>
      </w:r>
    </w:p>
    <w:p w14:paraId="121DEB64" w14:textId="015AA34A" w:rsidR="007D04DF" w:rsidRDefault="00D87CAC" w:rsidP="00A40992">
      <w:pPr>
        <w:pStyle w:val="ListParagraph"/>
        <w:numPr>
          <w:ilvl w:val="0"/>
          <w:numId w:val="2"/>
        </w:numPr>
      </w:pPr>
      <w:r>
        <w:t xml:space="preserve">Most people with the skills and experience to undertake this </w:t>
      </w:r>
      <w:r w:rsidR="006D192E">
        <w:t xml:space="preserve">independent </w:t>
      </w:r>
      <w:r>
        <w:t xml:space="preserve">analysis will be employed in some capacity </w:t>
      </w:r>
      <w:r w:rsidR="00053423">
        <w:t xml:space="preserve">in the industry resulting in </w:t>
      </w:r>
      <w:r w:rsidR="00EE30EB">
        <w:t>lack of independence</w:t>
      </w:r>
      <w:r w:rsidR="00053423">
        <w:t>.</w:t>
      </w:r>
      <w:r w:rsidR="006D192E">
        <w:t xml:space="preserve">  At best one may be able to </w:t>
      </w:r>
      <w:r w:rsidR="00534F45">
        <w:t xml:space="preserve">identify some people who have left active </w:t>
      </w:r>
      <w:r w:rsidR="008E3A31">
        <w:t>work within the industry</w:t>
      </w:r>
      <w:r w:rsidR="005F6493">
        <w:t xml:space="preserve">.  But </w:t>
      </w:r>
      <w:r w:rsidR="008E3A31">
        <w:t xml:space="preserve">even they will need to rely on </w:t>
      </w:r>
      <w:r w:rsidR="00384F2E">
        <w:t xml:space="preserve">extensive research </w:t>
      </w:r>
      <w:r w:rsidR="00D17B1D">
        <w:t>in order to have any hope of obtaining sufficient information to make assessments of funds relating to the selection criteria</w:t>
      </w:r>
      <w:r w:rsidR="006A0A49">
        <w:t xml:space="preserve">.  </w:t>
      </w:r>
      <w:r w:rsidR="0006125E">
        <w:t xml:space="preserve">Unfortunately </w:t>
      </w:r>
      <w:r w:rsidR="00A66A71">
        <w:t xml:space="preserve">such </w:t>
      </w:r>
      <w:r w:rsidR="006A0A49">
        <w:t xml:space="preserve">research </w:t>
      </w:r>
      <w:r w:rsidR="00A66A71">
        <w:t xml:space="preserve">will </w:t>
      </w:r>
      <w:r w:rsidR="007D04DF">
        <w:t xml:space="preserve">undoubtedly </w:t>
      </w:r>
      <w:r w:rsidR="00223D29">
        <w:t xml:space="preserve">be performed by </w:t>
      </w:r>
      <w:r w:rsidR="00744BA1">
        <w:t xml:space="preserve">industry participants </w:t>
      </w:r>
      <w:r w:rsidR="00223D29">
        <w:t xml:space="preserve">and probably </w:t>
      </w:r>
      <w:r w:rsidR="007D04DF">
        <w:t>lack independence.</w:t>
      </w:r>
    </w:p>
    <w:p w14:paraId="15557FD8" w14:textId="6635A510" w:rsidR="00D17B1D" w:rsidRDefault="00F53400" w:rsidP="00A40992">
      <w:pPr>
        <w:pStyle w:val="ListParagraph"/>
        <w:numPr>
          <w:ilvl w:val="0"/>
          <w:numId w:val="2"/>
        </w:numPr>
      </w:pPr>
      <w:r>
        <w:t xml:space="preserve">As the PC itself has found, obtaining the necessary information from Super Funds </w:t>
      </w:r>
      <w:r w:rsidR="00497669">
        <w:t xml:space="preserve">is difficult.  This is likely to also be reflected in </w:t>
      </w:r>
      <w:r w:rsidR="00A86E38">
        <w:t xml:space="preserve">information </w:t>
      </w:r>
      <w:r w:rsidR="00E21DDF">
        <w:t xml:space="preserve">required </w:t>
      </w:r>
      <w:r>
        <w:t>to undertake the assessments for a short list</w:t>
      </w:r>
      <w:r w:rsidR="00A86E38">
        <w:t>.</w:t>
      </w:r>
      <w:r w:rsidR="00F00A44">
        <w:t xml:space="preserve">  </w:t>
      </w:r>
      <w:r w:rsidR="00F572B4">
        <w:t xml:space="preserve">However, since </w:t>
      </w:r>
      <w:r w:rsidR="00F00A44">
        <w:t xml:space="preserve">the stakes are very high </w:t>
      </w:r>
      <w:r w:rsidR="00E21DDF">
        <w:t xml:space="preserve">for funds </w:t>
      </w:r>
      <w:r w:rsidR="007827F7">
        <w:t xml:space="preserve">(to be included on a Best </w:t>
      </w:r>
      <w:proofErr w:type="gramStart"/>
      <w:r w:rsidR="007827F7">
        <w:t>In</w:t>
      </w:r>
      <w:proofErr w:type="gramEnd"/>
      <w:r w:rsidR="007827F7">
        <w:t xml:space="preserve"> Show list) </w:t>
      </w:r>
      <w:r w:rsidR="00F00A44">
        <w:t xml:space="preserve">and one would expect that </w:t>
      </w:r>
      <w:r w:rsidR="00E21DDF">
        <w:t xml:space="preserve">they </w:t>
      </w:r>
      <w:r w:rsidR="00F00A44">
        <w:t xml:space="preserve">will have a strong incentive to </w:t>
      </w:r>
      <w:r w:rsidR="004B014E">
        <w:t xml:space="preserve">provide the relevant information for </w:t>
      </w:r>
      <w:r w:rsidR="00A86E38">
        <w:t>assessment to be included on the Best In Show list.</w:t>
      </w:r>
      <w:r w:rsidR="000323AA">
        <w:t xml:space="preserve">  </w:t>
      </w:r>
      <w:r w:rsidR="007827F7">
        <w:t>If this list is implemented, it will be interesting to see how funds respond!</w:t>
      </w:r>
    </w:p>
    <w:p w14:paraId="6018F7E5" w14:textId="3FD8CC17" w:rsidR="002B1EFF" w:rsidRDefault="009C2231" w:rsidP="00A40992">
      <w:pPr>
        <w:pStyle w:val="ListParagraph"/>
        <w:numPr>
          <w:ilvl w:val="0"/>
          <w:numId w:val="2"/>
        </w:numPr>
      </w:pPr>
      <w:r>
        <w:t>I</w:t>
      </w:r>
      <w:r w:rsidR="00EA3F22">
        <w:t xml:space="preserve">f most criteria are subjective, then </w:t>
      </w:r>
      <w:r w:rsidR="00E36758">
        <w:t xml:space="preserve">the </w:t>
      </w:r>
      <w:r w:rsidR="00EB1AF3">
        <w:t xml:space="preserve">composition </w:t>
      </w:r>
      <w:r w:rsidR="00344072">
        <w:t>of funds in the Be</w:t>
      </w:r>
      <w:r w:rsidR="00B733E4">
        <w:t>s</w:t>
      </w:r>
      <w:r w:rsidR="00344072">
        <w:t xml:space="preserve">t In Show </w:t>
      </w:r>
      <w:r w:rsidR="00C371AF">
        <w:t xml:space="preserve">list </w:t>
      </w:r>
      <w:r w:rsidR="00333074">
        <w:t>w</w:t>
      </w:r>
      <w:r w:rsidR="00EA3F22">
        <w:t xml:space="preserve">ill be </w:t>
      </w:r>
      <w:r w:rsidR="002F1E1B">
        <w:t xml:space="preserve">dependent on the composition of the </w:t>
      </w:r>
      <w:r w:rsidR="00C371AF">
        <w:t>Expert Panel</w:t>
      </w:r>
      <w:r w:rsidR="002F1E1B">
        <w:t xml:space="preserve">, i.e. different </w:t>
      </w:r>
      <w:r>
        <w:t xml:space="preserve">decision makers will make different decisions.  This is analogous to </w:t>
      </w:r>
      <w:r w:rsidR="00C17B90">
        <w:t xml:space="preserve">different asset consultants having different recommended managers and different asset allocation advice.  </w:t>
      </w:r>
      <w:r w:rsidR="00EB1AF3">
        <w:t xml:space="preserve">If past performance is </w:t>
      </w:r>
      <w:r w:rsidR="00C22476">
        <w:t>a significant criteria, then the list will be more objective but, as pointed out above, th</w:t>
      </w:r>
      <w:r w:rsidR="008F308F">
        <w:t xml:space="preserve">e resultant list will represent a historical </w:t>
      </w:r>
      <w:r w:rsidR="00EE30EB">
        <w:t>better performing list and is likely to have little relation to future results.</w:t>
      </w:r>
      <w:r w:rsidR="00795B42">
        <w:t xml:space="preserve"> </w:t>
      </w:r>
    </w:p>
    <w:p w14:paraId="1A912445" w14:textId="76273716" w:rsidR="00467751" w:rsidRDefault="00467751" w:rsidP="00A40992">
      <w:pPr>
        <w:pStyle w:val="ListParagraph"/>
        <w:numPr>
          <w:ilvl w:val="0"/>
          <w:numId w:val="2"/>
        </w:numPr>
      </w:pPr>
      <w:r>
        <w:t xml:space="preserve">Unlike decisions </w:t>
      </w:r>
      <w:r w:rsidR="001D10BC">
        <w:t xml:space="preserve">by Super Funds in </w:t>
      </w:r>
      <w:r>
        <w:t xml:space="preserve">manager </w:t>
      </w:r>
      <w:r w:rsidR="001D10BC">
        <w:t xml:space="preserve">or asset </w:t>
      </w:r>
      <w:r>
        <w:t>sel</w:t>
      </w:r>
      <w:r w:rsidR="001D10BC">
        <w:t>e</w:t>
      </w:r>
      <w:r>
        <w:t xml:space="preserve">ction </w:t>
      </w:r>
      <w:r w:rsidR="008D6BE2">
        <w:t xml:space="preserve">where the manager or asset specific risk </w:t>
      </w:r>
      <w:r w:rsidR="001D10BC">
        <w:t xml:space="preserve">can be significantly </w:t>
      </w:r>
      <w:r w:rsidR="008D6BE2">
        <w:t>diversified</w:t>
      </w:r>
      <w:r w:rsidR="0042407F">
        <w:t xml:space="preserve"> away</w:t>
      </w:r>
      <w:r w:rsidR="008D6BE2">
        <w:t xml:space="preserve">, </w:t>
      </w:r>
      <w:r w:rsidR="0042407F">
        <w:t xml:space="preserve">the </w:t>
      </w:r>
      <w:r w:rsidR="005C79BC">
        <w:t xml:space="preserve">fund </w:t>
      </w:r>
      <w:r w:rsidR="0004563D">
        <w:t xml:space="preserve">specific </w:t>
      </w:r>
      <w:r w:rsidR="0042407F">
        <w:t xml:space="preserve">risk </w:t>
      </w:r>
      <w:r w:rsidR="005C79BC">
        <w:t xml:space="preserve">from </w:t>
      </w:r>
      <w:r w:rsidR="008F3B7E">
        <w:t xml:space="preserve">a person being in </w:t>
      </w:r>
      <w:r w:rsidR="00E26FB9">
        <w:t xml:space="preserve">only </w:t>
      </w:r>
      <w:r w:rsidR="008F3B7E">
        <w:t xml:space="preserve">one super fund </w:t>
      </w:r>
      <w:proofErr w:type="spellStart"/>
      <w:r w:rsidR="008F3B7E">
        <w:t>can not</w:t>
      </w:r>
      <w:proofErr w:type="spellEnd"/>
      <w:r w:rsidR="008F3B7E">
        <w:t xml:space="preserve"> be diversified</w:t>
      </w:r>
      <w:r w:rsidR="0004563D">
        <w:t xml:space="preserve"> since it is </w:t>
      </w:r>
      <w:r w:rsidR="002D4793">
        <w:t>impractical for a member to diversify this risk by investing in multiple funds</w:t>
      </w:r>
      <w:r w:rsidR="00E26FB9">
        <w:t>, let alone an aim of the PC to avoid multiple accounts</w:t>
      </w:r>
      <w:r w:rsidR="00073CF9">
        <w:t>.</w:t>
      </w:r>
      <w:r w:rsidR="008D6BE2">
        <w:t xml:space="preserve"> </w:t>
      </w:r>
    </w:p>
    <w:p w14:paraId="2D26209F" w14:textId="530C45DF" w:rsidR="007C5EA7" w:rsidRPr="005B4551" w:rsidRDefault="007C5EA7" w:rsidP="00A40992">
      <w:r w:rsidRPr="005B4551">
        <w:t>Hence</w:t>
      </w:r>
      <w:r w:rsidR="006B6C31" w:rsidRPr="005B4551">
        <w:t>,</w:t>
      </w:r>
      <w:r w:rsidRPr="005B4551">
        <w:t xml:space="preserve"> I believe that there are practical </w:t>
      </w:r>
      <w:r w:rsidR="00B80E2C" w:rsidRPr="005B4551">
        <w:t xml:space="preserve">difficulties in establishing a Best </w:t>
      </w:r>
      <w:proofErr w:type="gramStart"/>
      <w:r w:rsidR="00B80E2C" w:rsidRPr="005B4551">
        <w:t>In</w:t>
      </w:r>
      <w:proofErr w:type="gramEnd"/>
      <w:r w:rsidR="00B80E2C" w:rsidRPr="005B4551">
        <w:t xml:space="preserve"> Show list that will actually prove its worth in the future.</w:t>
      </w:r>
    </w:p>
    <w:p w14:paraId="251A4AC9" w14:textId="77777777" w:rsidR="005B4551" w:rsidRPr="00761BD2" w:rsidRDefault="005B4551" w:rsidP="00761BD2">
      <w:pPr>
        <w:spacing w:after="0"/>
        <w:rPr>
          <w:u w:val="single"/>
        </w:rPr>
      </w:pPr>
      <w:r w:rsidRPr="00761BD2">
        <w:rPr>
          <w:u w:val="single"/>
        </w:rPr>
        <w:t>Third Problem</w:t>
      </w:r>
    </w:p>
    <w:p w14:paraId="3C7C0C4D" w14:textId="2C0E76A4" w:rsidR="007B293E" w:rsidRDefault="001427C9" w:rsidP="00A40992">
      <w:r>
        <w:t>One can almost guarantee that some of the</w:t>
      </w:r>
      <w:r w:rsidR="00A305CB">
        <w:t xml:space="preserve"> </w:t>
      </w:r>
      <w:r>
        <w:t xml:space="preserve">funds in the Best </w:t>
      </w:r>
      <w:proofErr w:type="gramStart"/>
      <w:r>
        <w:t>In</w:t>
      </w:r>
      <w:proofErr w:type="gramEnd"/>
      <w:r>
        <w:t xml:space="preserve"> Show list will be underperformers in the future.  </w:t>
      </w:r>
      <w:r w:rsidR="00BB05D9">
        <w:t xml:space="preserve">For some margin of under and outperformance, </w:t>
      </w:r>
      <w:r w:rsidR="001F6CB0">
        <w:t>i</w:t>
      </w:r>
      <w:r w:rsidR="00476388">
        <w:t xml:space="preserve">t would not be unreasonable to </w:t>
      </w:r>
      <w:r w:rsidR="00DA5BDC">
        <w:t xml:space="preserve">expect that about </w:t>
      </w:r>
      <w:r w:rsidR="005372AE">
        <w:t xml:space="preserve">a third of </w:t>
      </w:r>
      <w:r w:rsidR="002E5986">
        <w:t xml:space="preserve">Best In Show </w:t>
      </w:r>
      <w:r w:rsidR="005372AE">
        <w:t xml:space="preserve">funds </w:t>
      </w:r>
      <w:r w:rsidR="007922F9">
        <w:t xml:space="preserve">turn out to be </w:t>
      </w:r>
      <w:r w:rsidR="00476388">
        <w:t>underperformers</w:t>
      </w:r>
      <w:r w:rsidR="007922F9">
        <w:t xml:space="preserve"> in the future</w:t>
      </w:r>
      <w:r w:rsidR="00476388">
        <w:t xml:space="preserve">, another </w:t>
      </w:r>
      <w:r w:rsidR="001F6CB0">
        <w:t xml:space="preserve">third outperformers and the remaining third </w:t>
      </w:r>
      <w:r w:rsidR="007B293E">
        <w:t>around average</w:t>
      </w:r>
      <w:r w:rsidR="004A4A7F">
        <w:rPr>
          <w:rStyle w:val="FootnoteReference"/>
        </w:rPr>
        <w:footnoteReference w:id="5"/>
      </w:r>
      <w:r w:rsidR="007B293E">
        <w:t>.</w:t>
      </w:r>
      <w:r w:rsidR="00FC4DBA">
        <w:t xml:space="preserve">  </w:t>
      </w:r>
    </w:p>
    <w:p w14:paraId="003933F4" w14:textId="70EB3C1D" w:rsidR="00400414" w:rsidRDefault="001427C9" w:rsidP="00A40992">
      <w:r>
        <w:t xml:space="preserve">How will </w:t>
      </w:r>
      <w:r w:rsidR="00ED38EC">
        <w:t xml:space="preserve">members react when they </w:t>
      </w:r>
      <w:r w:rsidR="004210D8">
        <w:t xml:space="preserve">realise that the </w:t>
      </w:r>
      <w:r w:rsidR="00EB0E74">
        <w:t xml:space="preserve">Best </w:t>
      </w:r>
      <w:proofErr w:type="gramStart"/>
      <w:r w:rsidR="00EB0E74">
        <w:t>In</w:t>
      </w:r>
      <w:proofErr w:type="gramEnd"/>
      <w:r w:rsidR="00EB0E74">
        <w:t xml:space="preserve"> Show </w:t>
      </w:r>
      <w:r w:rsidR="004210D8">
        <w:t xml:space="preserve">fund they are </w:t>
      </w:r>
      <w:r w:rsidR="00A305CB">
        <w:t xml:space="preserve">a member of </w:t>
      </w:r>
      <w:r w:rsidR="00334207">
        <w:t xml:space="preserve">turns out to be </w:t>
      </w:r>
      <w:r w:rsidR="00A305CB">
        <w:t>a</w:t>
      </w:r>
      <w:r w:rsidR="00B9045C">
        <w:t>n underperformer?</w:t>
      </w:r>
      <w:r w:rsidR="00334207">
        <w:t xml:space="preserve">  Will there be </w:t>
      </w:r>
      <w:r w:rsidR="00A25160">
        <w:t xml:space="preserve">future </w:t>
      </w:r>
      <w:r w:rsidR="00334207">
        <w:t>class action</w:t>
      </w:r>
      <w:r w:rsidR="00A25160">
        <w:t>s</w:t>
      </w:r>
      <w:r w:rsidR="00334207">
        <w:t xml:space="preserve"> </w:t>
      </w:r>
      <w:r w:rsidR="00AA0B74">
        <w:t xml:space="preserve">against the Government to fund the </w:t>
      </w:r>
      <w:r w:rsidR="00D42DA2">
        <w:t xml:space="preserve">significant </w:t>
      </w:r>
      <w:r w:rsidR="00AA0B74">
        <w:t>difference</w:t>
      </w:r>
      <w:r w:rsidR="00D42DA2">
        <w:t>s</w:t>
      </w:r>
      <w:r w:rsidR="00AA0B74">
        <w:t xml:space="preserve"> between the </w:t>
      </w:r>
      <w:r w:rsidR="00490D10">
        <w:t xml:space="preserve">account balance that </w:t>
      </w:r>
      <w:r w:rsidR="00F71C56">
        <w:t>each member</w:t>
      </w:r>
      <w:r w:rsidR="00490D10">
        <w:t xml:space="preserve"> could have achieved from, say, the </w:t>
      </w:r>
      <w:r w:rsidR="00AA0B74">
        <w:t xml:space="preserve">median </w:t>
      </w:r>
      <w:r w:rsidR="00A64D1F">
        <w:t xml:space="preserve">performance </w:t>
      </w:r>
      <w:r w:rsidR="00AA0B74">
        <w:t xml:space="preserve">of the </w:t>
      </w:r>
      <w:r w:rsidR="00A64D1F">
        <w:t xml:space="preserve">actual </w:t>
      </w:r>
      <w:r w:rsidR="00A83E1B">
        <w:t xml:space="preserve">top </w:t>
      </w:r>
      <w:r w:rsidR="00246542">
        <w:t>10 performing funds (using hindsight) and the</w:t>
      </w:r>
      <w:r w:rsidR="002177C1">
        <w:t xml:space="preserve"> member’s</w:t>
      </w:r>
      <w:r w:rsidR="00246542">
        <w:t xml:space="preserve"> </w:t>
      </w:r>
      <w:r w:rsidR="00A64D1F">
        <w:t xml:space="preserve">actual much lower account balance </w:t>
      </w:r>
      <w:r w:rsidR="00F71C56">
        <w:t xml:space="preserve">in </w:t>
      </w:r>
      <w:r w:rsidR="00ED38EC">
        <w:t xml:space="preserve">the fund </w:t>
      </w:r>
      <w:r w:rsidR="00A86C53">
        <w:t xml:space="preserve">they invested in; a fund that </w:t>
      </w:r>
      <w:r w:rsidR="009F267E">
        <w:t xml:space="preserve">the Government </w:t>
      </w:r>
      <w:r w:rsidR="00983742">
        <w:t xml:space="preserve">established Expert Panel </w:t>
      </w:r>
      <w:r w:rsidR="009F267E">
        <w:t xml:space="preserve">set as </w:t>
      </w:r>
      <w:r w:rsidR="00490D10">
        <w:t xml:space="preserve">one of the </w:t>
      </w:r>
      <w:r w:rsidR="009F267E">
        <w:t>default</w:t>
      </w:r>
      <w:r w:rsidR="00490D10">
        <w:t>s</w:t>
      </w:r>
      <w:r w:rsidR="00E07D43">
        <w:t xml:space="preserve">.  </w:t>
      </w:r>
      <w:r w:rsidR="00A25160">
        <w:t>Based on the differences outlined in the PC’s Draft Report</w:t>
      </w:r>
      <w:r w:rsidR="00D72600">
        <w:t xml:space="preserve"> (e.g. as quoted above in points (1) and (2))</w:t>
      </w:r>
      <w:r w:rsidR="00A25160">
        <w:t>, the</w:t>
      </w:r>
      <w:r w:rsidR="00D72600">
        <w:t>r</w:t>
      </w:r>
      <w:r w:rsidR="00A25160">
        <w:t xml:space="preserve">e </w:t>
      </w:r>
      <w:r w:rsidR="00D72600">
        <w:t xml:space="preserve">could </w:t>
      </w:r>
      <w:r w:rsidR="00A25160">
        <w:t xml:space="preserve">be significant </w:t>
      </w:r>
      <w:r w:rsidR="003D29FA">
        <w:t xml:space="preserve">amounts </w:t>
      </w:r>
      <w:r w:rsidR="00D42DA2">
        <w:t>o</w:t>
      </w:r>
      <w:r w:rsidR="003D29FA">
        <w:t xml:space="preserve">f </w:t>
      </w:r>
      <w:r w:rsidR="00D42DA2">
        <w:t xml:space="preserve">tax payer </w:t>
      </w:r>
      <w:r w:rsidR="003D29FA">
        <w:t>money</w:t>
      </w:r>
      <w:r w:rsidR="00D42DA2">
        <w:t xml:space="preserve"> at risk</w:t>
      </w:r>
      <w:r w:rsidR="003D29FA">
        <w:t>.</w:t>
      </w:r>
      <w:r w:rsidR="00A25160">
        <w:t xml:space="preserve"> </w:t>
      </w:r>
    </w:p>
    <w:p w14:paraId="0088AED7" w14:textId="4A536EA3" w:rsidR="00392E0B" w:rsidRPr="00A40992" w:rsidRDefault="00B61823" w:rsidP="00A40992">
      <w:r w:rsidRPr="00A40992">
        <w:t>Perhaps</w:t>
      </w:r>
      <w:r w:rsidR="00392E0B" w:rsidRPr="00A40992">
        <w:t xml:space="preserve"> the Best </w:t>
      </w:r>
      <w:proofErr w:type="gramStart"/>
      <w:r w:rsidR="00392E0B" w:rsidRPr="00A40992">
        <w:t>In</w:t>
      </w:r>
      <w:proofErr w:type="gramEnd"/>
      <w:r w:rsidR="00392E0B" w:rsidRPr="00A40992">
        <w:t xml:space="preserve"> Show funds may be mandated to include </w:t>
      </w:r>
      <w:r w:rsidR="003E440C" w:rsidRPr="00A40992">
        <w:t xml:space="preserve">a </w:t>
      </w:r>
      <w:r w:rsidR="00392E0B" w:rsidRPr="00A40992">
        <w:t>“past performance is not an indication of future performance”</w:t>
      </w:r>
      <w:r w:rsidR="003E440C" w:rsidRPr="00A40992">
        <w:t xml:space="preserve"> disclaimer</w:t>
      </w:r>
      <w:r w:rsidR="00392E0B" w:rsidRPr="00A40992">
        <w:t xml:space="preserve">, but that would </w:t>
      </w:r>
      <w:r w:rsidR="003E440C" w:rsidRPr="00A40992">
        <w:t>make a complete mockery of the whole process.</w:t>
      </w:r>
    </w:p>
    <w:p w14:paraId="49EDB9A9" w14:textId="65D708FF" w:rsidR="00AA3CC3" w:rsidRPr="008E149B" w:rsidRDefault="005A4F1D" w:rsidP="00A40992">
      <w:r w:rsidRPr="008E149B">
        <w:t xml:space="preserve">Regardless of the </w:t>
      </w:r>
      <w:r w:rsidR="008E149B" w:rsidRPr="008E149B">
        <w:t xml:space="preserve">first and second problems raised </w:t>
      </w:r>
      <w:r w:rsidRPr="008E149B">
        <w:t xml:space="preserve">above, the planned use of a Best </w:t>
      </w:r>
      <w:proofErr w:type="gramStart"/>
      <w:r w:rsidRPr="008E149B">
        <w:t>In</w:t>
      </w:r>
      <w:proofErr w:type="gramEnd"/>
      <w:r w:rsidRPr="008E149B">
        <w:t xml:space="preserve"> Show list raises a significant contingent liability for both the Government and potentially members of the Expert Panel.  </w:t>
      </w:r>
    </w:p>
    <w:p w14:paraId="435AB21F" w14:textId="01ACA90B" w:rsidR="00C90E2E" w:rsidRDefault="00C90E2E" w:rsidP="00A40992">
      <w:pPr>
        <w:rPr>
          <w:rStyle w:val="Strong"/>
          <w:smallCaps/>
          <w:sz w:val="28"/>
          <w:szCs w:val="28"/>
        </w:rPr>
      </w:pPr>
    </w:p>
    <w:p w14:paraId="19CE13F9" w14:textId="258ACD97" w:rsidR="00826B85" w:rsidRDefault="00826B85" w:rsidP="00A40992">
      <w:pPr>
        <w:rPr>
          <w:rStyle w:val="Strong"/>
          <w:smallCaps/>
          <w:sz w:val="28"/>
          <w:szCs w:val="28"/>
        </w:rPr>
      </w:pPr>
      <w:r>
        <w:rPr>
          <w:rStyle w:val="Strong"/>
          <w:smallCaps/>
          <w:sz w:val="28"/>
          <w:szCs w:val="28"/>
        </w:rPr>
        <w:t>Comment</w:t>
      </w:r>
      <w:r w:rsidR="00095271">
        <w:rPr>
          <w:rStyle w:val="Strong"/>
          <w:smallCaps/>
          <w:sz w:val="28"/>
          <w:szCs w:val="28"/>
        </w:rPr>
        <w:t>s</w:t>
      </w:r>
      <w:r>
        <w:rPr>
          <w:rStyle w:val="Strong"/>
          <w:smallCaps/>
          <w:sz w:val="28"/>
          <w:szCs w:val="28"/>
        </w:rPr>
        <w:t xml:space="preserve"> </w:t>
      </w:r>
      <w:r w:rsidR="00BF3D4B">
        <w:rPr>
          <w:rStyle w:val="Strong"/>
          <w:smallCaps/>
          <w:sz w:val="28"/>
          <w:szCs w:val="28"/>
        </w:rPr>
        <w:t>Re</w:t>
      </w:r>
      <w:r w:rsidR="00095271">
        <w:rPr>
          <w:rStyle w:val="Strong"/>
          <w:smallCaps/>
          <w:sz w:val="28"/>
          <w:szCs w:val="28"/>
        </w:rPr>
        <w:t>:</w:t>
      </w:r>
      <w:r w:rsidR="00BF3D4B">
        <w:rPr>
          <w:rStyle w:val="Strong"/>
          <w:smallCaps/>
          <w:sz w:val="28"/>
          <w:szCs w:val="28"/>
        </w:rPr>
        <w:t xml:space="preserve"> Information Request 4.</w:t>
      </w:r>
      <w:r w:rsidR="00422366">
        <w:rPr>
          <w:rStyle w:val="Strong"/>
          <w:smallCaps/>
          <w:sz w:val="28"/>
          <w:szCs w:val="28"/>
        </w:rPr>
        <w:t>1 Life Cycle Products</w:t>
      </w:r>
      <w:r w:rsidR="00F20407">
        <w:rPr>
          <w:rStyle w:val="FootnoteReference"/>
          <w:b/>
          <w:bCs/>
          <w:smallCaps/>
          <w:sz w:val="28"/>
          <w:szCs w:val="28"/>
        </w:rPr>
        <w:footnoteReference w:id="6"/>
      </w:r>
    </w:p>
    <w:p w14:paraId="227EF17D" w14:textId="17F79F07" w:rsidR="00826B85" w:rsidRDefault="00DA5A8E" w:rsidP="00A40992">
      <w:r>
        <w:t xml:space="preserve">The text below is an extract from a course I wrote for the </w:t>
      </w:r>
      <w:r w:rsidR="00A156F1">
        <w:t xml:space="preserve">Master </w:t>
      </w:r>
      <w:r w:rsidR="00422366">
        <w:t xml:space="preserve">of </w:t>
      </w:r>
      <w:r w:rsidR="00A156F1">
        <w:t xml:space="preserve">Applied Finance </w:t>
      </w:r>
      <w:r w:rsidR="00422366">
        <w:t xml:space="preserve">degree </w:t>
      </w:r>
      <w:r w:rsidR="00CC4160">
        <w:t xml:space="preserve">from </w:t>
      </w:r>
      <w:r>
        <w:t xml:space="preserve">Macquarie University’s </w:t>
      </w:r>
      <w:r w:rsidR="00AB7DF4">
        <w:t xml:space="preserve">Applied Finance Centre.  </w:t>
      </w:r>
      <w:r w:rsidR="00423974">
        <w:t>One of the course</w:t>
      </w:r>
      <w:r w:rsidR="00C90E2E">
        <w:t>’</w:t>
      </w:r>
      <w:r w:rsidR="00423974">
        <w:t>s aims is to analyse “</w:t>
      </w:r>
      <w:r w:rsidR="00423974" w:rsidRPr="00423974">
        <w:rPr>
          <w:i/>
        </w:rPr>
        <w:t>whole of life investing with the main focus on funding expenditure in retirement</w:t>
      </w:r>
      <w:r w:rsidR="00423974">
        <w:t>”</w:t>
      </w:r>
    </w:p>
    <w:p w14:paraId="12A4E008" w14:textId="77777777" w:rsidR="00DA5A8E" w:rsidRPr="002C0DCE" w:rsidRDefault="00DA5A8E" w:rsidP="00761BD2">
      <w:pPr>
        <w:ind w:left="426" w:right="521"/>
        <w:rPr>
          <w:rStyle w:val="Strong"/>
          <w:b w:val="0"/>
          <w:bCs w:val="0"/>
          <w:sz w:val="20"/>
          <w:szCs w:val="20"/>
        </w:rPr>
      </w:pPr>
      <w:r w:rsidRPr="002C0DCE">
        <w:rPr>
          <w:rStyle w:val="Strong"/>
          <w:b w:val="0"/>
          <w:bCs w:val="0"/>
          <w:sz w:val="20"/>
          <w:szCs w:val="20"/>
        </w:rPr>
        <w:t>There is some debate regarding the usefulness of target date funds or glide paths for funding retirement outcomes.  In some unpublished by Peter Vann (2014), the effectiveness of target date funds and glide paths was compared to typical static asset allocations for funding retirement outcomes.  Vann showed that</w:t>
      </w:r>
    </w:p>
    <w:p w14:paraId="5A335A03" w14:textId="77777777" w:rsidR="00DA5A8E" w:rsidRPr="002C0DCE" w:rsidRDefault="00DA5A8E" w:rsidP="00761BD2">
      <w:pPr>
        <w:ind w:left="426" w:right="521"/>
        <w:rPr>
          <w:rStyle w:val="Strong"/>
          <w:b w:val="0"/>
          <w:bCs w:val="0"/>
          <w:sz w:val="20"/>
          <w:szCs w:val="20"/>
        </w:rPr>
      </w:pPr>
      <w:r w:rsidRPr="002C0DCE">
        <w:rPr>
          <w:rStyle w:val="Strong"/>
          <w:b w:val="0"/>
          <w:bCs w:val="0"/>
          <w:sz w:val="20"/>
          <w:szCs w:val="20"/>
        </w:rPr>
        <w:t xml:space="preserve">“…whilst glide paths potentially can offer better retirement outcomes, the shape of the glide path needs  to account for a member’s age and </w:t>
      </w:r>
      <w:proofErr w:type="spellStart"/>
      <w:r w:rsidRPr="002C0DCE">
        <w:rPr>
          <w:rStyle w:val="Strong"/>
          <w:b w:val="0"/>
          <w:bCs w:val="0"/>
          <w:sz w:val="20"/>
          <w:szCs w:val="20"/>
        </w:rPr>
        <w:t>fundedness</w:t>
      </w:r>
      <w:proofErr w:type="spellEnd"/>
      <w:r w:rsidRPr="002C0DCE">
        <w:rPr>
          <w:rStyle w:val="Strong"/>
          <w:b w:val="0"/>
          <w:bCs w:val="0"/>
          <w:sz w:val="20"/>
          <w:szCs w:val="20"/>
        </w:rPr>
        <w:t>. If one starts reducing the allocation to growth too early or too fast, then many members will reduce their retirement outcomes and be worse off than adopting the optimal static asset allocation for their circumstances”</w:t>
      </w:r>
    </w:p>
    <w:p w14:paraId="13AC3105" w14:textId="6AFD3AD0" w:rsidR="003C7AD6" w:rsidRDefault="00DA5A8E" w:rsidP="00761BD2">
      <w:pPr>
        <w:ind w:left="426" w:right="521"/>
        <w:rPr>
          <w:rStyle w:val="Strong"/>
          <w:b w:val="0"/>
          <w:bCs w:val="0"/>
          <w:sz w:val="20"/>
          <w:szCs w:val="20"/>
        </w:rPr>
      </w:pPr>
      <w:r w:rsidRPr="002C0DCE">
        <w:rPr>
          <w:rStyle w:val="Strong"/>
          <w:b w:val="0"/>
          <w:bCs w:val="0"/>
          <w:sz w:val="20"/>
          <w:szCs w:val="20"/>
        </w:rPr>
        <w:t xml:space="preserve">It was shown that a glide path which delivered the highest SWR </w:t>
      </w:r>
      <w:r w:rsidR="00236EA2">
        <w:rPr>
          <w:rStyle w:val="Strong"/>
          <w:b w:val="0"/>
          <w:bCs w:val="0"/>
          <w:sz w:val="20"/>
          <w:szCs w:val="20"/>
        </w:rPr>
        <w:t xml:space="preserve">[safe withdrawal rate] </w:t>
      </w:r>
      <w:r w:rsidRPr="002C0DCE">
        <w:rPr>
          <w:rStyle w:val="Strong"/>
          <w:b w:val="0"/>
          <w:bCs w:val="0"/>
          <w:sz w:val="20"/>
          <w:szCs w:val="20"/>
        </w:rPr>
        <w:t>for the particular situation delivered a small benefit in higher SWRs compared to a static asset allocation.  But the research also showed that the optimal glide path trajectory was quite idiosyncratic.  Hence Vann concluded that a) the good old balanced fund is quite robust and b) optimal glide paths can be obtained, but they need to be developed for each person (and he suspected that they require monitoring over time but this has not been studied yet).</w:t>
      </w:r>
    </w:p>
    <w:p w14:paraId="0E949A2E" w14:textId="77777777" w:rsidR="00A91EA9" w:rsidRPr="00A91EA9" w:rsidRDefault="00236EA2" w:rsidP="00A40992">
      <w:pPr>
        <w:rPr>
          <w:rStyle w:val="Strong"/>
          <w:bCs w:val="0"/>
        </w:rPr>
      </w:pPr>
      <w:r w:rsidRPr="00A91EA9">
        <w:rPr>
          <w:rStyle w:val="Strong"/>
          <w:bCs w:val="0"/>
        </w:rPr>
        <w:t>Based on th</w:t>
      </w:r>
      <w:r w:rsidR="00B50489" w:rsidRPr="00A91EA9">
        <w:rPr>
          <w:rStyle w:val="Strong"/>
          <w:bCs w:val="0"/>
        </w:rPr>
        <w:t>e above commentary and other times that I have analysed glide paths</w:t>
      </w:r>
      <w:r w:rsidRPr="00A91EA9">
        <w:rPr>
          <w:rStyle w:val="Strong"/>
          <w:bCs w:val="0"/>
        </w:rPr>
        <w:t xml:space="preserve">, I would not </w:t>
      </w:r>
      <w:r w:rsidR="00C10409" w:rsidRPr="00A91EA9">
        <w:rPr>
          <w:rStyle w:val="Strong"/>
          <w:bCs w:val="0"/>
        </w:rPr>
        <w:t>encourage</w:t>
      </w:r>
      <w:r w:rsidRPr="00A91EA9">
        <w:rPr>
          <w:rStyle w:val="Strong"/>
          <w:bCs w:val="0"/>
        </w:rPr>
        <w:t xml:space="preserve"> </w:t>
      </w:r>
      <w:r w:rsidR="003A2FC6" w:rsidRPr="00A91EA9">
        <w:rPr>
          <w:rStyle w:val="Strong"/>
          <w:bCs w:val="0"/>
        </w:rPr>
        <w:t xml:space="preserve">their use for </w:t>
      </w:r>
      <w:r w:rsidR="003A2FC6" w:rsidRPr="00A91EA9">
        <w:rPr>
          <w:rStyle w:val="Strong"/>
          <w:bCs w:val="0"/>
          <w:u w:val="single"/>
        </w:rPr>
        <w:t>default investment strategies</w:t>
      </w:r>
      <w:r w:rsidR="003A2FC6" w:rsidRPr="00A91EA9">
        <w:rPr>
          <w:rStyle w:val="Strong"/>
          <w:bCs w:val="0"/>
        </w:rPr>
        <w:t xml:space="preserve"> </w:t>
      </w:r>
      <w:r w:rsidR="009E4002" w:rsidRPr="00A91EA9">
        <w:rPr>
          <w:rStyle w:val="Strong"/>
          <w:bCs w:val="0"/>
        </w:rPr>
        <w:t xml:space="preserve">in </w:t>
      </w:r>
      <w:r w:rsidR="00AC0167" w:rsidRPr="00A91EA9">
        <w:rPr>
          <w:rStyle w:val="Strong"/>
          <w:bCs w:val="0"/>
        </w:rPr>
        <w:t xml:space="preserve">the accumulation </w:t>
      </w:r>
      <w:r w:rsidR="00372680" w:rsidRPr="00A91EA9">
        <w:rPr>
          <w:rStyle w:val="Strong"/>
          <w:bCs w:val="0"/>
        </w:rPr>
        <w:t xml:space="preserve">or retirement </w:t>
      </w:r>
      <w:r w:rsidR="00AC0167" w:rsidRPr="00A91EA9">
        <w:rPr>
          <w:rStyle w:val="Strong"/>
          <w:bCs w:val="0"/>
        </w:rPr>
        <w:t xml:space="preserve">phase of </w:t>
      </w:r>
      <w:r w:rsidR="009E4002" w:rsidRPr="00A91EA9">
        <w:rPr>
          <w:rStyle w:val="Strong"/>
          <w:bCs w:val="0"/>
        </w:rPr>
        <w:t>superannuation.</w:t>
      </w:r>
      <w:r w:rsidR="00AC0167" w:rsidRPr="00A91EA9">
        <w:rPr>
          <w:rStyle w:val="Strong"/>
          <w:bCs w:val="0"/>
        </w:rPr>
        <w:t xml:space="preserve">  </w:t>
      </w:r>
    </w:p>
    <w:p w14:paraId="0FA13BF7" w14:textId="6DA42467" w:rsidR="00660517" w:rsidRDefault="00372680" w:rsidP="00A40992">
      <w:pPr>
        <w:rPr>
          <w:rStyle w:val="Strong"/>
          <w:b w:val="0"/>
          <w:bCs w:val="0"/>
        </w:rPr>
      </w:pPr>
      <w:r>
        <w:rPr>
          <w:rStyle w:val="Strong"/>
          <w:b w:val="0"/>
          <w:bCs w:val="0"/>
        </w:rPr>
        <w:t>However, there could be merit in a “wh</w:t>
      </w:r>
      <w:r w:rsidR="00A91EA9">
        <w:rPr>
          <w:rStyle w:val="Strong"/>
          <w:b w:val="0"/>
          <w:bCs w:val="0"/>
        </w:rPr>
        <w:t>o</w:t>
      </w:r>
      <w:r>
        <w:rPr>
          <w:rStyle w:val="Strong"/>
          <w:b w:val="0"/>
          <w:bCs w:val="0"/>
        </w:rPr>
        <w:t>le of life”</w:t>
      </w:r>
      <w:r w:rsidR="00C10409">
        <w:rPr>
          <w:rStyle w:val="Strong"/>
          <w:b w:val="0"/>
          <w:bCs w:val="0"/>
        </w:rPr>
        <w:t xml:space="preserve"> strategy where </w:t>
      </w:r>
      <w:r w:rsidR="0071411C">
        <w:rPr>
          <w:rStyle w:val="Strong"/>
          <w:b w:val="0"/>
          <w:bCs w:val="0"/>
        </w:rPr>
        <w:t>asset allocation is adjusted over time</w:t>
      </w:r>
      <w:r w:rsidR="00A91EA9">
        <w:rPr>
          <w:rStyle w:val="Strong"/>
          <w:b w:val="0"/>
          <w:bCs w:val="0"/>
        </w:rPr>
        <w:t xml:space="preserve"> for individual members (or cohorts of members)</w:t>
      </w:r>
      <w:r w:rsidR="0071411C">
        <w:rPr>
          <w:rStyle w:val="Strong"/>
          <w:b w:val="0"/>
          <w:bCs w:val="0"/>
        </w:rPr>
        <w:t xml:space="preserve">, but I </w:t>
      </w:r>
      <w:r w:rsidR="00404652">
        <w:rPr>
          <w:rStyle w:val="Strong"/>
          <w:b w:val="0"/>
          <w:bCs w:val="0"/>
        </w:rPr>
        <w:t>observe</w:t>
      </w:r>
      <w:r w:rsidR="0071411C">
        <w:rPr>
          <w:rStyle w:val="Strong"/>
          <w:b w:val="0"/>
          <w:bCs w:val="0"/>
        </w:rPr>
        <w:t xml:space="preserve"> that there are currently too many practical </w:t>
      </w:r>
      <w:r w:rsidR="00A91EA9">
        <w:rPr>
          <w:rStyle w:val="Strong"/>
          <w:b w:val="0"/>
          <w:bCs w:val="0"/>
        </w:rPr>
        <w:t>difficulties</w:t>
      </w:r>
      <w:r w:rsidR="00FB7D7B">
        <w:rPr>
          <w:rStyle w:val="Strong"/>
          <w:b w:val="0"/>
          <w:bCs w:val="0"/>
        </w:rPr>
        <w:t xml:space="preserve"> such as </w:t>
      </w:r>
    </w:p>
    <w:p w14:paraId="67A5FC01" w14:textId="77777777" w:rsidR="00441B4D" w:rsidRDefault="00FB7D7B" w:rsidP="00A40992">
      <w:pPr>
        <w:pStyle w:val="ListParagraph"/>
        <w:numPr>
          <w:ilvl w:val="0"/>
          <w:numId w:val="5"/>
        </w:numPr>
        <w:rPr>
          <w:rStyle w:val="Strong"/>
          <w:b w:val="0"/>
          <w:bCs w:val="0"/>
        </w:rPr>
      </w:pPr>
      <w:r w:rsidRPr="00660517">
        <w:rPr>
          <w:rStyle w:val="Strong"/>
          <w:b w:val="0"/>
          <w:bCs w:val="0"/>
        </w:rPr>
        <w:t>the current separation between accumulation and retirement strategies</w:t>
      </w:r>
    </w:p>
    <w:p w14:paraId="76250760" w14:textId="77777777" w:rsidR="00441B4D" w:rsidRDefault="00FB7D7B" w:rsidP="00A40992">
      <w:pPr>
        <w:pStyle w:val="ListParagraph"/>
        <w:numPr>
          <w:ilvl w:val="0"/>
          <w:numId w:val="5"/>
        </w:numPr>
        <w:rPr>
          <w:rStyle w:val="Strong"/>
          <w:b w:val="0"/>
          <w:bCs w:val="0"/>
        </w:rPr>
      </w:pPr>
      <w:r w:rsidRPr="00660517">
        <w:rPr>
          <w:rStyle w:val="Strong"/>
          <w:b w:val="0"/>
          <w:bCs w:val="0"/>
        </w:rPr>
        <w:t xml:space="preserve">the </w:t>
      </w:r>
      <w:r w:rsidR="00F75FB1" w:rsidRPr="00660517">
        <w:rPr>
          <w:rStyle w:val="Strong"/>
          <w:b w:val="0"/>
          <w:bCs w:val="0"/>
        </w:rPr>
        <w:t xml:space="preserve">current </w:t>
      </w:r>
      <w:r w:rsidRPr="00660517">
        <w:rPr>
          <w:rStyle w:val="Strong"/>
          <w:b w:val="0"/>
          <w:bCs w:val="0"/>
        </w:rPr>
        <w:t xml:space="preserve">lack of </w:t>
      </w:r>
      <w:r w:rsidR="00F75FB1" w:rsidRPr="00660517">
        <w:rPr>
          <w:rStyle w:val="Strong"/>
          <w:b w:val="0"/>
          <w:bCs w:val="0"/>
        </w:rPr>
        <w:t xml:space="preserve">access to </w:t>
      </w:r>
      <w:r w:rsidRPr="00660517">
        <w:rPr>
          <w:rStyle w:val="Strong"/>
          <w:b w:val="0"/>
          <w:bCs w:val="0"/>
        </w:rPr>
        <w:t xml:space="preserve">member data that funds </w:t>
      </w:r>
      <w:r w:rsidR="00F75FB1" w:rsidRPr="00660517">
        <w:rPr>
          <w:rStyle w:val="Strong"/>
          <w:b w:val="0"/>
          <w:bCs w:val="0"/>
        </w:rPr>
        <w:t>would require</w:t>
      </w:r>
      <w:r w:rsidRPr="00660517">
        <w:rPr>
          <w:rStyle w:val="Strong"/>
          <w:b w:val="0"/>
          <w:bCs w:val="0"/>
        </w:rPr>
        <w:t xml:space="preserve"> (personal communication with many funds)</w:t>
      </w:r>
      <w:r w:rsidR="00F75FB1" w:rsidRPr="00660517">
        <w:rPr>
          <w:rStyle w:val="Strong"/>
          <w:b w:val="0"/>
          <w:bCs w:val="0"/>
        </w:rPr>
        <w:t xml:space="preserve">, and </w:t>
      </w:r>
    </w:p>
    <w:p w14:paraId="0FC623C5" w14:textId="2EFE49CF" w:rsidR="00236EA2" w:rsidRDefault="004413B3" w:rsidP="00A40992">
      <w:pPr>
        <w:pStyle w:val="ListParagraph"/>
        <w:numPr>
          <w:ilvl w:val="0"/>
          <w:numId w:val="5"/>
        </w:numPr>
        <w:rPr>
          <w:rStyle w:val="Strong"/>
          <w:b w:val="0"/>
          <w:bCs w:val="0"/>
        </w:rPr>
      </w:pPr>
      <w:r w:rsidRPr="00660517">
        <w:rPr>
          <w:rStyle w:val="Strong"/>
          <w:b w:val="0"/>
          <w:bCs w:val="0"/>
        </w:rPr>
        <w:t xml:space="preserve">the </w:t>
      </w:r>
      <w:r w:rsidR="00A30015">
        <w:rPr>
          <w:rStyle w:val="Strong"/>
          <w:b w:val="0"/>
          <w:bCs w:val="0"/>
        </w:rPr>
        <w:t xml:space="preserve">current </w:t>
      </w:r>
      <w:r w:rsidR="007F3B39">
        <w:rPr>
          <w:rStyle w:val="Strong"/>
          <w:b w:val="0"/>
          <w:bCs w:val="0"/>
        </w:rPr>
        <w:t xml:space="preserve">inability of the industry to apply </w:t>
      </w:r>
      <w:r w:rsidR="007F3B39" w:rsidRPr="007F3B39">
        <w:rPr>
          <w:rStyle w:val="Strong"/>
          <w:b w:val="0"/>
          <w:bCs w:val="0"/>
        </w:rPr>
        <w:t>Occam's razor</w:t>
      </w:r>
      <w:r w:rsidR="007F3B39">
        <w:rPr>
          <w:rStyle w:val="Strong"/>
          <w:b w:val="0"/>
          <w:bCs w:val="0"/>
        </w:rPr>
        <w:t xml:space="preserve"> when considering </w:t>
      </w:r>
      <w:r w:rsidR="00660517" w:rsidRPr="00660517">
        <w:rPr>
          <w:rStyle w:val="Strong"/>
          <w:b w:val="0"/>
          <w:bCs w:val="0"/>
        </w:rPr>
        <w:t>solutions to the retirement challenge.</w:t>
      </w:r>
    </w:p>
    <w:p w14:paraId="5051BE80" w14:textId="77777777" w:rsidR="002D2AC0" w:rsidRDefault="00FE1264" w:rsidP="00A40992">
      <w:pPr>
        <w:rPr>
          <w:rStyle w:val="Strong"/>
          <w:b w:val="0"/>
          <w:bCs w:val="0"/>
        </w:rPr>
      </w:pPr>
      <w:r>
        <w:rPr>
          <w:rStyle w:val="Strong"/>
          <w:b w:val="0"/>
          <w:bCs w:val="0"/>
        </w:rPr>
        <w:t>The industry needs to</w:t>
      </w:r>
      <w:r w:rsidR="00D750A0">
        <w:rPr>
          <w:rStyle w:val="Strong"/>
          <w:b w:val="0"/>
          <w:bCs w:val="0"/>
        </w:rPr>
        <w:t>,</w:t>
      </w:r>
      <w:r>
        <w:rPr>
          <w:rStyle w:val="Strong"/>
          <w:b w:val="0"/>
          <w:bCs w:val="0"/>
        </w:rPr>
        <w:t xml:space="preserve"> </w:t>
      </w:r>
      <w:r w:rsidR="000D1EFC">
        <w:rPr>
          <w:rStyle w:val="Strong"/>
          <w:b w:val="0"/>
          <w:bCs w:val="0"/>
        </w:rPr>
        <w:t>at a minimum</w:t>
      </w:r>
      <w:r w:rsidR="00D750A0">
        <w:rPr>
          <w:rStyle w:val="Strong"/>
          <w:b w:val="0"/>
          <w:bCs w:val="0"/>
        </w:rPr>
        <w:t>,</w:t>
      </w:r>
      <w:r w:rsidR="000D1EFC">
        <w:rPr>
          <w:rStyle w:val="Strong"/>
          <w:b w:val="0"/>
          <w:bCs w:val="0"/>
        </w:rPr>
        <w:t xml:space="preserve"> </w:t>
      </w:r>
      <w:r w:rsidR="002419B9">
        <w:rPr>
          <w:rStyle w:val="Strong"/>
          <w:b w:val="0"/>
          <w:bCs w:val="0"/>
        </w:rPr>
        <w:t xml:space="preserve">evolve past the above issues before any worthwhile practical </w:t>
      </w:r>
      <w:r w:rsidR="005A206C">
        <w:rPr>
          <w:rStyle w:val="Strong"/>
          <w:b w:val="0"/>
          <w:bCs w:val="0"/>
        </w:rPr>
        <w:t xml:space="preserve">“whole of life” </w:t>
      </w:r>
      <w:r w:rsidR="000B6011">
        <w:rPr>
          <w:rStyle w:val="Strong"/>
          <w:b w:val="0"/>
          <w:bCs w:val="0"/>
        </w:rPr>
        <w:t xml:space="preserve">member </w:t>
      </w:r>
      <w:r w:rsidR="00C96DD3">
        <w:rPr>
          <w:rStyle w:val="Strong"/>
          <w:b w:val="0"/>
          <w:bCs w:val="0"/>
        </w:rPr>
        <w:t>t</w:t>
      </w:r>
      <w:r w:rsidR="000B6011">
        <w:rPr>
          <w:rStyle w:val="Strong"/>
          <w:b w:val="0"/>
          <w:bCs w:val="0"/>
        </w:rPr>
        <w:t>a</w:t>
      </w:r>
      <w:r w:rsidR="00C96DD3">
        <w:rPr>
          <w:rStyle w:val="Strong"/>
          <w:b w:val="0"/>
          <w:bCs w:val="0"/>
        </w:rPr>
        <w:t xml:space="preserve">ilored asset </w:t>
      </w:r>
      <w:r w:rsidR="000B6011">
        <w:rPr>
          <w:rStyle w:val="Strong"/>
          <w:b w:val="0"/>
          <w:bCs w:val="0"/>
        </w:rPr>
        <w:t xml:space="preserve">investment strategy </w:t>
      </w:r>
      <w:r w:rsidR="004539C0">
        <w:rPr>
          <w:rStyle w:val="Strong"/>
          <w:b w:val="0"/>
          <w:bCs w:val="0"/>
        </w:rPr>
        <w:t xml:space="preserve">solutions can be developed </w:t>
      </w:r>
      <w:r w:rsidR="005C1DF2">
        <w:rPr>
          <w:rStyle w:val="Strong"/>
          <w:b w:val="0"/>
          <w:bCs w:val="0"/>
        </w:rPr>
        <w:t xml:space="preserve">that in theory should provide better retirement outcomes </w:t>
      </w:r>
      <w:r w:rsidR="005A206C">
        <w:rPr>
          <w:rStyle w:val="Strong"/>
          <w:b w:val="0"/>
          <w:bCs w:val="0"/>
        </w:rPr>
        <w:t xml:space="preserve">for </w:t>
      </w:r>
      <w:r w:rsidR="005A206C" w:rsidRPr="00767294">
        <w:rPr>
          <w:rStyle w:val="Strong"/>
          <w:b w:val="0"/>
          <w:bCs w:val="0"/>
          <w:u w:val="single"/>
        </w:rPr>
        <w:t>individual members</w:t>
      </w:r>
      <w:r w:rsidR="00C33DF2">
        <w:rPr>
          <w:rStyle w:val="Strong"/>
          <w:b w:val="0"/>
          <w:bCs w:val="0"/>
          <w:u w:val="single"/>
        </w:rPr>
        <w:t>.</w:t>
      </w:r>
      <w:r w:rsidR="00D750A0">
        <w:rPr>
          <w:rStyle w:val="Strong"/>
          <w:b w:val="0"/>
          <w:bCs w:val="0"/>
        </w:rPr>
        <w:t xml:space="preserve">  </w:t>
      </w:r>
    </w:p>
    <w:p w14:paraId="55825791" w14:textId="733D6BE1" w:rsidR="00441B4D" w:rsidRDefault="00D750A0" w:rsidP="00A40992">
      <w:pPr>
        <w:rPr>
          <w:rStyle w:val="Strong"/>
          <w:b w:val="0"/>
          <w:bCs w:val="0"/>
        </w:rPr>
      </w:pPr>
      <w:r>
        <w:rPr>
          <w:rStyle w:val="Strong"/>
          <w:b w:val="0"/>
          <w:bCs w:val="0"/>
        </w:rPr>
        <w:t xml:space="preserve">There is one large </w:t>
      </w:r>
      <w:r w:rsidR="00DB300A">
        <w:rPr>
          <w:rStyle w:val="Strong"/>
          <w:b w:val="0"/>
          <w:bCs w:val="0"/>
        </w:rPr>
        <w:t xml:space="preserve">innovative </w:t>
      </w:r>
      <w:r>
        <w:rPr>
          <w:rStyle w:val="Strong"/>
          <w:b w:val="0"/>
          <w:bCs w:val="0"/>
        </w:rPr>
        <w:t xml:space="preserve">superannuation fund that has implemented the </w:t>
      </w:r>
      <w:r w:rsidR="005B0E03">
        <w:rPr>
          <w:rStyle w:val="Strong"/>
          <w:b w:val="0"/>
          <w:bCs w:val="0"/>
        </w:rPr>
        <w:t xml:space="preserve">initial </w:t>
      </w:r>
      <w:r>
        <w:rPr>
          <w:rStyle w:val="Strong"/>
          <w:b w:val="0"/>
          <w:bCs w:val="0"/>
        </w:rPr>
        <w:t>step</w:t>
      </w:r>
      <w:r w:rsidR="00643FA3">
        <w:rPr>
          <w:rStyle w:val="Strong"/>
          <w:b w:val="0"/>
          <w:bCs w:val="0"/>
        </w:rPr>
        <w:t>s</w:t>
      </w:r>
      <w:r w:rsidR="005B0E03">
        <w:rPr>
          <w:rStyle w:val="Strong"/>
          <w:b w:val="0"/>
          <w:bCs w:val="0"/>
        </w:rPr>
        <w:t xml:space="preserve"> </w:t>
      </w:r>
      <w:r>
        <w:rPr>
          <w:rStyle w:val="Strong"/>
          <w:b w:val="0"/>
          <w:bCs w:val="0"/>
        </w:rPr>
        <w:t>towards this goal</w:t>
      </w:r>
      <w:r w:rsidR="00643FA3">
        <w:rPr>
          <w:rStyle w:val="Strong"/>
          <w:b w:val="0"/>
          <w:bCs w:val="0"/>
        </w:rPr>
        <w:t>.  Bu</w:t>
      </w:r>
      <w:r w:rsidR="005A1244">
        <w:rPr>
          <w:rStyle w:val="Strong"/>
          <w:b w:val="0"/>
          <w:bCs w:val="0"/>
        </w:rPr>
        <w:t>t whilst the</w:t>
      </w:r>
      <w:r w:rsidR="00A324B1">
        <w:rPr>
          <w:rStyle w:val="Strong"/>
          <w:b w:val="0"/>
          <w:bCs w:val="0"/>
        </w:rPr>
        <w:t xml:space="preserve">y are </w:t>
      </w:r>
      <w:r w:rsidR="0061020A">
        <w:rPr>
          <w:rStyle w:val="Strong"/>
          <w:b w:val="0"/>
          <w:bCs w:val="0"/>
        </w:rPr>
        <w:t xml:space="preserve">an </w:t>
      </w:r>
      <w:r w:rsidR="00A324B1">
        <w:rPr>
          <w:rStyle w:val="Strong"/>
          <w:b w:val="0"/>
          <w:bCs w:val="0"/>
        </w:rPr>
        <w:t xml:space="preserve">industry </w:t>
      </w:r>
      <w:r w:rsidR="00812DA7">
        <w:rPr>
          <w:rStyle w:val="Strong"/>
          <w:b w:val="0"/>
          <w:bCs w:val="0"/>
        </w:rPr>
        <w:t>pioneer</w:t>
      </w:r>
      <w:r w:rsidR="00A324B1">
        <w:rPr>
          <w:rStyle w:val="Strong"/>
          <w:b w:val="0"/>
          <w:bCs w:val="0"/>
        </w:rPr>
        <w:t xml:space="preserve">, </w:t>
      </w:r>
      <w:r w:rsidR="00643FA3">
        <w:rPr>
          <w:rStyle w:val="Strong"/>
          <w:b w:val="0"/>
          <w:bCs w:val="0"/>
        </w:rPr>
        <w:t xml:space="preserve">I suspect that </w:t>
      </w:r>
      <w:r w:rsidR="004A28B6">
        <w:rPr>
          <w:rStyle w:val="Strong"/>
          <w:b w:val="0"/>
          <w:bCs w:val="0"/>
        </w:rPr>
        <w:t>the</w:t>
      </w:r>
      <w:r w:rsidR="002D7B6F">
        <w:rPr>
          <w:rStyle w:val="Strong"/>
          <w:b w:val="0"/>
          <w:bCs w:val="0"/>
        </w:rPr>
        <w:t>y have</w:t>
      </w:r>
      <w:r w:rsidR="007870B5">
        <w:rPr>
          <w:rStyle w:val="Strong"/>
          <w:b w:val="0"/>
          <w:bCs w:val="0"/>
        </w:rPr>
        <w:t xml:space="preserve"> many hurdles to jump and </w:t>
      </w:r>
      <w:r w:rsidR="004A28B6">
        <w:rPr>
          <w:rStyle w:val="Strong"/>
          <w:b w:val="0"/>
          <w:bCs w:val="0"/>
        </w:rPr>
        <w:t xml:space="preserve">more trails to blaze whilst </w:t>
      </w:r>
      <w:r w:rsidR="00636DB3">
        <w:rPr>
          <w:rStyle w:val="Strong"/>
          <w:b w:val="0"/>
          <w:bCs w:val="0"/>
        </w:rPr>
        <w:t xml:space="preserve">they </w:t>
      </w:r>
      <w:r w:rsidR="00AE38D9">
        <w:rPr>
          <w:rStyle w:val="Strong"/>
          <w:b w:val="0"/>
          <w:bCs w:val="0"/>
        </w:rPr>
        <w:t>aim</w:t>
      </w:r>
      <w:r w:rsidR="00812AC8">
        <w:rPr>
          <w:rStyle w:val="Strong"/>
          <w:b w:val="0"/>
          <w:bCs w:val="0"/>
        </w:rPr>
        <w:t xml:space="preserve"> to </w:t>
      </w:r>
      <w:r w:rsidR="00F67A7C">
        <w:rPr>
          <w:rStyle w:val="Strong"/>
          <w:b w:val="0"/>
          <w:bCs w:val="0"/>
        </w:rPr>
        <w:t xml:space="preserve">deliver </w:t>
      </w:r>
      <w:r w:rsidR="00331D1F">
        <w:rPr>
          <w:rStyle w:val="Strong"/>
          <w:b w:val="0"/>
          <w:bCs w:val="0"/>
        </w:rPr>
        <w:t xml:space="preserve">a </w:t>
      </w:r>
      <w:r w:rsidR="00812AC8" w:rsidRPr="00812AC8">
        <w:rPr>
          <w:rStyle w:val="Strong"/>
          <w:b w:val="0"/>
          <w:bCs w:val="0"/>
        </w:rPr>
        <w:t>“</w:t>
      </w:r>
      <w:r w:rsidR="002D7B6F">
        <w:rPr>
          <w:rStyle w:val="Strong"/>
          <w:b w:val="0"/>
          <w:bCs w:val="0"/>
        </w:rPr>
        <w:t>f</w:t>
      </w:r>
      <w:r w:rsidR="00636DB3" w:rsidRPr="00331D1F">
        <w:rPr>
          <w:rStyle w:val="Strong"/>
          <w:b w:val="0"/>
          <w:bCs w:val="0"/>
          <w:i/>
        </w:rPr>
        <w:t>inancial wellbeing objective</w:t>
      </w:r>
      <w:r w:rsidR="000F338B">
        <w:rPr>
          <w:rStyle w:val="Strong"/>
          <w:b w:val="0"/>
          <w:bCs w:val="0"/>
          <w:i/>
        </w:rPr>
        <w:t xml:space="preserve"> </w:t>
      </w:r>
      <w:r w:rsidR="00126F2E">
        <w:rPr>
          <w:rStyle w:val="Strong"/>
          <w:b w:val="0"/>
          <w:bCs w:val="0"/>
          <w:i/>
        </w:rPr>
        <w:t>[</w:t>
      </w:r>
      <w:r w:rsidR="00126F2E" w:rsidRPr="00126F2E">
        <w:rPr>
          <w:rStyle w:val="Strong"/>
          <w:b w:val="0"/>
          <w:bCs w:val="0"/>
          <w:i/>
        </w:rPr>
        <w:t>better retirement outcomes for me</w:t>
      </w:r>
      <w:r w:rsidR="006545F5">
        <w:rPr>
          <w:rStyle w:val="Strong"/>
          <w:b w:val="0"/>
          <w:bCs w:val="0"/>
          <w:i/>
        </w:rPr>
        <w:t>m</w:t>
      </w:r>
      <w:r w:rsidR="00126F2E" w:rsidRPr="00126F2E">
        <w:rPr>
          <w:rStyle w:val="Strong"/>
          <w:b w:val="0"/>
          <w:bCs w:val="0"/>
          <w:i/>
        </w:rPr>
        <w:t>bers</w:t>
      </w:r>
      <w:r w:rsidR="00126F2E">
        <w:rPr>
          <w:rStyle w:val="Strong"/>
          <w:b w:val="0"/>
          <w:bCs w:val="0"/>
          <w:i/>
        </w:rPr>
        <w:t>]</w:t>
      </w:r>
      <w:r w:rsidR="006545F5" w:rsidRPr="006545F5">
        <w:rPr>
          <w:rStyle w:val="FootnoteReference"/>
          <w:i/>
        </w:rPr>
        <w:t xml:space="preserve"> </w:t>
      </w:r>
      <w:bookmarkStart w:id="1" w:name="_Ref518938008"/>
      <w:r w:rsidR="006545F5">
        <w:rPr>
          <w:rStyle w:val="FootnoteReference"/>
          <w:i/>
        </w:rPr>
        <w:footnoteReference w:id="7"/>
      </w:r>
      <w:bookmarkEnd w:id="1"/>
      <w:r w:rsidR="00636DB3" w:rsidRPr="00331D1F">
        <w:rPr>
          <w:rStyle w:val="Strong"/>
          <w:b w:val="0"/>
          <w:bCs w:val="0"/>
          <w:i/>
        </w:rPr>
        <w:t xml:space="preserve">; </w:t>
      </w:r>
      <w:r w:rsidR="00331D1F">
        <w:rPr>
          <w:rStyle w:val="Strong"/>
          <w:b w:val="0"/>
          <w:bCs w:val="0"/>
          <w:i/>
        </w:rPr>
        <w:t xml:space="preserve">[by] </w:t>
      </w:r>
      <w:r w:rsidR="00636DB3" w:rsidRPr="00331D1F">
        <w:rPr>
          <w:rStyle w:val="Strong"/>
          <w:b w:val="0"/>
          <w:bCs w:val="0"/>
          <w:i/>
        </w:rPr>
        <w:t>moving towards individualisation</w:t>
      </w:r>
      <w:r w:rsidR="00F67A7C" w:rsidRPr="00331D1F">
        <w:rPr>
          <w:rStyle w:val="Strong"/>
          <w:b w:val="0"/>
          <w:bCs w:val="0"/>
          <w:i/>
        </w:rPr>
        <w:t xml:space="preserve"> </w:t>
      </w:r>
      <w:r w:rsidR="00636DB3" w:rsidRPr="00331D1F">
        <w:rPr>
          <w:rStyle w:val="Strong"/>
          <w:b w:val="0"/>
          <w:bCs w:val="0"/>
          <w:i/>
        </w:rPr>
        <w:t>(“a cohort of one”)</w:t>
      </w:r>
      <w:r w:rsidR="00B244E4">
        <w:rPr>
          <w:rStyle w:val="Strong"/>
          <w:b w:val="0"/>
          <w:bCs w:val="0"/>
          <w:i/>
        </w:rPr>
        <w:t xml:space="preserve">….. [and] </w:t>
      </w:r>
      <w:r w:rsidR="00A34D24">
        <w:rPr>
          <w:rStyle w:val="Strong"/>
          <w:b w:val="0"/>
          <w:bCs w:val="0"/>
          <w:i/>
        </w:rPr>
        <w:t>a</w:t>
      </w:r>
      <w:r w:rsidR="00A34D24" w:rsidRPr="00A34D24">
        <w:rPr>
          <w:rStyle w:val="Strong"/>
          <w:b w:val="0"/>
          <w:bCs w:val="0"/>
          <w:i/>
        </w:rPr>
        <w:t>djust investment strategies over time</w:t>
      </w:r>
      <w:r w:rsidR="00F67A7C">
        <w:rPr>
          <w:rStyle w:val="Strong"/>
          <w:b w:val="0"/>
          <w:bCs w:val="0"/>
        </w:rPr>
        <w:t>”</w:t>
      </w:r>
      <w:r w:rsidR="002D2AC0" w:rsidRPr="002D2AC0">
        <w:rPr>
          <w:rStyle w:val="FootnoteReference"/>
        </w:rPr>
        <w:t xml:space="preserve"> </w:t>
      </w:r>
      <w:r w:rsidR="002D2AC0">
        <w:rPr>
          <w:rStyle w:val="FootnoteReference"/>
        </w:rPr>
        <w:footnoteReference w:id="8"/>
      </w:r>
      <w:r w:rsidR="00812DA7">
        <w:rPr>
          <w:rStyle w:val="Strong"/>
          <w:b w:val="0"/>
          <w:bCs w:val="0"/>
        </w:rPr>
        <w:t>.</w:t>
      </w:r>
    </w:p>
    <w:p w14:paraId="05F7DE06" w14:textId="77777777" w:rsidR="000D1EFC" w:rsidRPr="00441B4D" w:rsidRDefault="000D1EFC" w:rsidP="00A40992">
      <w:pPr>
        <w:rPr>
          <w:rStyle w:val="Strong"/>
          <w:b w:val="0"/>
          <w:bCs w:val="0"/>
        </w:rPr>
      </w:pPr>
    </w:p>
    <w:p w14:paraId="721F0D2F" w14:textId="7DC84E22" w:rsidR="00885027" w:rsidRPr="008E149B" w:rsidRDefault="00885027" w:rsidP="00A40992">
      <w:pPr>
        <w:rPr>
          <w:rStyle w:val="Strong"/>
          <w:smallCaps/>
          <w:sz w:val="28"/>
          <w:szCs w:val="28"/>
        </w:rPr>
      </w:pPr>
      <w:r w:rsidRPr="008E149B">
        <w:rPr>
          <w:rStyle w:val="Strong"/>
          <w:smallCaps/>
          <w:sz w:val="28"/>
          <w:szCs w:val="28"/>
        </w:rPr>
        <w:t>Closing Comment</w:t>
      </w:r>
    </w:p>
    <w:p w14:paraId="5A7A774E" w14:textId="7DE38012" w:rsidR="00942D3B" w:rsidRDefault="00D900CC" w:rsidP="00A40992">
      <w:r>
        <w:t xml:space="preserve">I </w:t>
      </w:r>
      <w:r w:rsidR="00E45038">
        <w:t xml:space="preserve">sincerely hope that the resultant actions following </w:t>
      </w:r>
      <w:r w:rsidR="003B734A">
        <w:t xml:space="preserve">further considerations </w:t>
      </w:r>
      <w:r w:rsidR="00154038">
        <w:t xml:space="preserve">of the recommendations </w:t>
      </w:r>
      <w:r w:rsidR="00E51DE5">
        <w:t xml:space="preserve">relating to a Best </w:t>
      </w:r>
      <w:proofErr w:type="gramStart"/>
      <w:r w:rsidR="00E51DE5">
        <w:t>In</w:t>
      </w:r>
      <w:proofErr w:type="gramEnd"/>
      <w:r w:rsidR="00E51DE5">
        <w:t xml:space="preserve"> Show list do not undermine the good work </w:t>
      </w:r>
      <w:r w:rsidR="000A13E9">
        <w:t xml:space="preserve">presented </w:t>
      </w:r>
      <w:r w:rsidR="00E51DE5">
        <w:t>in other areas</w:t>
      </w:r>
      <w:r w:rsidR="000A13E9">
        <w:t xml:space="preserve"> of the Draft Report</w:t>
      </w:r>
      <w:r w:rsidR="00E51DE5">
        <w:t>.</w:t>
      </w:r>
    </w:p>
    <w:p w14:paraId="44588151" w14:textId="6F07CB5C" w:rsidR="000D1EFC" w:rsidRPr="004855FE" w:rsidRDefault="000D1EFC" w:rsidP="00761BD2">
      <w:pPr>
        <w:jc w:val="center"/>
      </w:pPr>
      <w:r w:rsidRPr="004855FE">
        <w:t>--</w:t>
      </w:r>
      <w:proofErr w:type="spellStart"/>
      <w:r w:rsidRPr="004855FE">
        <w:t>ooOOoo</w:t>
      </w:r>
      <w:proofErr w:type="spellEnd"/>
      <w:r w:rsidRPr="004855FE">
        <w:t>--</w:t>
      </w:r>
    </w:p>
    <w:sectPr w:rsidR="000D1EFC" w:rsidRPr="004855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C4245" w14:textId="77777777" w:rsidR="00C8102F" w:rsidRDefault="00C8102F" w:rsidP="00A40992">
      <w:r>
        <w:separator/>
      </w:r>
    </w:p>
  </w:endnote>
  <w:endnote w:type="continuationSeparator" w:id="0">
    <w:p w14:paraId="5BC1F0AC" w14:textId="77777777" w:rsidR="00C8102F" w:rsidRDefault="00C8102F" w:rsidP="00A4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F1200" w14:textId="77777777" w:rsidR="00C8102F" w:rsidRDefault="00C8102F" w:rsidP="00A40992">
      <w:r>
        <w:separator/>
      </w:r>
    </w:p>
  </w:footnote>
  <w:footnote w:type="continuationSeparator" w:id="0">
    <w:p w14:paraId="55B16C7D" w14:textId="77777777" w:rsidR="00C8102F" w:rsidRDefault="00C8102F" w:rsidP="00A40992">
      <w:r>
        <w:continuationSeparator/>
      </w:r>
    </w:p>
  </w:footnote>
  <w:footnote w:id="1">
    <w:p w14:paraId="5FD8CDEF" w14:textId="7B956FDB" w:rsidR="006C0AC4" w:rsidRDefault="006C0AC4" w:rsidP="00A40992">
      <w:pPr>
        <w:pStyle w:val="FootnoteText"/>
      </w:pPr>
      <w:r>
        <w:rPr>
          <w:rStyle w:val="FootnoteReference"/>
        </w:rPr>
        <w:footnoteRef/>
      </w:r>
      <w:r>
        <w:t xml:space="preserve"> Page 10, Overview of Draft Report, April 2018</w:t>
      </w:r>
    </w:p>
  </w:footnote>
  <w:footnote w:id="2">
    <w:p w14:paraId="5EA118A2" w14:textId="4C46C339" w:rsidR="006C0AC4" w:rsidRDefault="006C0AC4" w:rsidP="00A40992">
      <w:pPr>
        <w:pStyle w:val="FootnoteText"/>
      </w:pPr>
      <w:r>
        <w:rPr>
          <w:rStyle w:val="FootnoteReference"/>
        </w:rPr>
        <w:footnoteRef/>
      </w:r>
      <w:r>
        <w:t xml:space="preserve"> Page 34, Overview of Draft Report, April 2018</w:t>
      </w:r>
    </w:p>
  </w:footnote>
  <w:footnote w:id="3">
    <w:p w14:paraId="26763829" w14:textId="4548484A" w:rsidR="00C8582B" w:rsidRDefault="00C8582B" w:rsidP="00A40992">
      <w:pPr>
        <w:pStyle w:val="FootnoteText"/>
      </w:pPr>
      <w:r>
        <w:rPr>
          <w:rStyle w:val="FootnoteReference"/>
        </w:rPr>
        <w:footnoteRef/>
      </w:r>
      <w:r>
        <w:t xml:space="preserve"> Page 35, Overview of Draft Report, April 2018</w:t>
      </w:r>
    </w:p>
  </w:footnote>
  <w:footnote w:id="4">
    <w:p w14:paraId="072D5829" w14:textId="00B087C4" w:rsidR="002266AF" w:rsidRDefault="002266AF" w:rsidP="00A40992">
      <w:pPr>
        <w:pStyle w:val="FootnoteText"/>
      </w:pPr>
      <w:r>
        <w:rPr>
          <w:rStyle w:val="FootnoteReference"/>
        </w:rPr>
        <w:footnoteRef/>
      </w:r>
      <w:r>
        <w:t xml:space="preserve"> </w:t>
      </w:r>
      <w:r w:rsidR="006C0AC4">
        <w:t>Page 34, Overview of Draft Report, April 2018</w:t>
      </w:r>
    </w:p>
  </w:footnote>
  <w:footnote w:id="5">
    <w:p w14:paraId="4E01A436" w14:textId="75E4F125" w:rsidR="004A4A7F" w:rsidRDefault="004A4A7F" w:rsidP="00A40992">
      <w:pPr>
        <w:pStyle w:val="FootnoteText"/>
      </w:pPr>
      <w:r>
        <w:rPr>
          <w:rStyle w:val="FootnoteReference"/>
        </w:rPr>
        <w:footnoteRef/>
      </w:r>
      <w:r>
        <w:t xml:space="preserve"> Assuming a lack of correlation</w:t>
      </w:r>
      <w:r w:rsidR="008B51B1">
        <w:t xml:space="preserve"> (</w:t>
      </w:r>
      <w:r w:rsidR="00AC0167">
        <w:t xml:space="preserve">or </w:t>
      </w:r>
      <w:r w:rsidR="008B51B1">
        <w:t xml:space="preserve">even low to modest correlation) </w:t>
      </w:r>
      <w:r>
        <w:t>between past and future perform</w:t>
      </w:r>
      <w:r w:rsidR="009165B6">
        <w:t>a</w:t>
      </w:r>
      <w:r>
        <w:t>nce</w:t>
      </w:r>
      <w:r w:rsidR="009165B6">
        <w:t>.</w:t>
      </w:r>
    </w:p>
  </w:footnote>
  <w:footnote w:id="6">
    <w:p w14:paraId="7E5763B2" w14:textId="0026856D" w:rsidR="00F20407" w:rsidRDefault="00F20407" w:rsidP="00A40992">
      <w:pPr>
        <w:pStyle w:val="FootnoteText"/>
      </w:pPr>
      <w:r>
        <w:rPr>
          <w:rStyle w:val="FootnoteReference"/>
        </w:rPr>
        <w:footnoteRef/>
      </w:r>
      <w:r>
        <w:t xml:space="preserve"> </w:t>
      </w:r>
      <w:r w:rsidRPr="00F20407">
        <w:t>I note that the PC uses the term “life cycle” to refer to investment strategies where the asset allocation changes over time (generally through the accumulation phase)</w:t>
      </w:r>
      <w:r w:rsidR="00FF2467">
        <w:t xml:space="preserve">.  </w:t>
      </w:r>
      <w:r w:rsidR="000D6D1A">
        <w:t>W</w:t>
      </w:r>
      <w:r w:rsidRPr="00F20407">
        <w:t>hereas I use the term “glide path” so as</w:t>
      </w:r>
      <w:r w:rsidR="00922303">
        <w:t>, inter alia,</w:t>
      </w:r>
      <w:r w:rsidRPr="00F20407">
        <w:t xml:space="preserve"> not to cause confusion with a different use of the term</w:t>
      </w:r>
      <w:r w:rsidR="000D6D1A">
        <w:t>, namely</w:t>
      </w:r>
      <w:r w:rsidRPr="00F20407">
        <w:t xml:space="preserve"> “life cycle” in Modigliani’s Life Cycle Hypothesis.  Modigliani received a Nobel prize in 1985 “for his pioneering analyses of saving and of financial markets”</w:t>
      </w:r>
      <w:r w:rsidR="005B7957">
        <w:t xml:space="preserve"> </w:t>
      </w:r>
      <w:r w:rsidR="00F60D02">
        <w:t xml:space="preserve">and referred to his </w:t>
      </w:r>
      <w:r w:rsidR="007A04A2">
        <w:t>L</w:t>
      </w:r>
      <w:r w:rsidR="00F60D02">
        <w:t xml:space="preserve">ife </w:t>
      </w:r>
      <w:r w:rsidR="007A04A2">
        <w:t>C</w:t>
      </w:r>
      <w:r w:rsidR="00F60D02">
        <w:t xml:space="preserve">ycle </w:t>
      </w:r>
      <w:r w:rsidR="007A04A2">
        <w:t>H</w:t>
      </w:r>
      <w:r w:rsidR="00F60D02">
        <w:t xml:space="preserve">ypothesis </w:t>
      </w:r>
      <w:r w:rsidR="00786EC8">
        <w:t xml:space="preserve">of saving </w:t>
      </w:r>
      <w:r w:rsidR="00F60D02">
        <w:t>in his Nobel pr</w:t>
      </w:r>
      <w:r w:rsidR="00597801">
        <w:t xml:space="preserve">ize speech, hence I respect his </w:t>
      </w:r>
      <w:r w:rsidR="007A08FE">
        <w:t>higher</w:t>
      </w:r>
      <w:r w:rsidR="00597801">
        <w:t xml:space="preserve"> </w:t>
      </w:r>
      <w:r w:rsidR="005B7957">
        <w:t>authority</w:t>
      </w:r>
      <w:r w:rsidRPr="00F20407">
        <w:t>.</w:t>
      </w:r>
    </w:p>
  </w:footnote>
  <w:footnote w:id="7">
    <w:p w14:paraId="0BAF0073" w14:textId="15593F49" w:rsidR="006545F5" w:rsidRDefault="006545F5" w:rsidP="00A40992">
      <w:pPr>
        <w:pStyle w:val="FootnoteText"/>
      </w:pPr>
      <w:r>
        <w:rPr>
          <w:rStyle w:val="FootnoteReference"/>
        </w:rPr>
        <w:footnoteRef/>
      </w:r>
      <w:r>
        <w:t xml:space="preserve"> Words is square brackets are inserted by me for clarity</w:t>
      </w:r>
    </w:p>
  </w:footnote>
  <w:footnote w:id="8">
    <w:p w14:paraId="6D5DF8BD" w14:textId="77777777" w:rsidR="002D2AC0" w:rsidRDefault="002D2AC0" w:rsidP="00A40992">
      <w:pPr>
        <w:pStyle w:val="FootnoteText"/>
      </w:pPr>
      <w:r>
        <w:rPr>
          <w:rStyle w:val="FootnoteReference"/>
        </w:rPr>
        <w:footnoteRef/>
      </w:r>
      <w:r>
        <w:t xml:space="preserve">  </w:t>
      </w:r>
      <w:r w:rsidRPr="009B0416">
        <w:t>http://www.actuaries.org/cancun2017/Presentations/9.%20Brnic%20Van%20Wyk_Presentation.pdf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4B123F"/>
    <w:multiLevelType w:val="hybridMultilevel"/>
    <w:tmpl w:val="996EBDFE"/>
    <w:lvl w:ilvl="0" w:tplc="D6786E30">
      <w:start w:val="1"/>
      <w:numFmt w:val="lowerLetter"/>
      <w:lvlText w:val="(%1)"/>
      <w:lvlJc w:val="left"/>
      <w:pPr>
        <w:ind w:left="735" w:hanging="3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A9B5E85"/>
    <w:multiLevelType w:val="hybridMultilevel"/>
    <w:tmpl w:val="B866C0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925A45"/>
    <w:multiLevelType w:val="hybridMultilevel"/>
    <w:tmpl w:val="B71E8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C43454E"/>
    <w:multiLevelType w:val="hybridMultilevel"/>
    <w:tmpl w:val="FFEEEF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DF83D3C"/>
    <w:multiLevelType w:val="hybridMultilevel"/>
    <w:tmpl w:val="F24CE3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26802FC"/>
    <w:multiLevelType w:val="hybridMultilevel"/>
    <w:tmpl w:val="5BE0F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BA36947"/>
    <w:multiLevelType w:val="hybridMultilevel"/>
    <w:tmpl w:val="DD58FB5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4E6"/>
    <w:rsid w:val="000054E8"/>
    <w:rsid w:val="000141F7"/>
    <w:rsid w:val="000323AA"/>
    <w:rsid w:val="0004563D"/>
    <w:rsid w:val="00053423"/>
    <w:rsid w:val="000555E8"/>
    <w:rsid w:val="00055617"/>
    <w:rsid w:val="0006125E"/>
    <w:rsid w:val="00070074"/>
    <w:rsid w:val="000703FB"/>
    <w:rsid w:val="00073196"/>
    <w:rsid w:val="00073CF9"/>
    <w:rsid w:val="00074933"/>
    <w:rsid w:val="00074A73"/>
    <w:rsid w:val="0007728A"/>
    <w:rsid w:val="00095271"/>
    <w:rsid w:val="00096420"/>
    <w:rsid w:val="000A13E9"/>
    <w:rsid w:val="000A1A22"/>
    <w:rsid w:val="000A24CC"/>
    <w:rsid w:val="000B27AD"/>
    <w:rsid w:val="000B6011"/>
    <w:rsid w:val="000B7032"/>
    <w:rsid w:val="000C23EE"/>
    <w:rsid w:val="000D1EFC"/>
    <w:rsid w:val="000D6D1A"/>
    <w:rsid w:val="000F0D91"/>
    <w:rsid w:val="000F338B"/>
    <w:rsid w:val="000F4677"/>
    <w:rsid w:val="0012491E"/>
    <w:rsid w:val="00126CC9"/>
    <w:rsid w:val="00126F2E"/>
    <w:rsid w:val="001332F9"/>
    <w:rsid w:val="001355A6"/>
    <w:rsid w:val="00137CD2"/>
    <w:rsid w:val="001427C9"/>
    <w:rsid w:val="00153860"/>
    <w:rsid w:val="00154038"/>
    <w:rsid w:val="00163919"/>
    <w:rsid w:val="0016463E"/>
    <w:rsid w:val="00175FA8"/>
    <w:rsid w:val="001844DB"/>
    <w:rsid w:val="001B6E4A"/>
    <w:rsid w:val="001D0453"/>
    <w:rsid w:val="001D10BC"/>
    <w:rsid w:val="001E2C43"/>
    <w:rsid w:val="001F6CB0"/>
    <w:rsid w:val="002177C1"/>
    <w:rsid w:val="002216B6"/>
    <w:rsid w:val="002228F6"/>
    <w:rsid w:val="00223D29"/>
    <w:rsid w:val="00225DBA"/>
    <w:rsid w:val="002266AF"/>
    <w:rsid w:val="00227D5A"/>
    <w:rsid w:val="002342B8"/>
    <w:rsid w:val="00234B2F"/>
    <w:rsid w:val="00236EA2"/>
    <w:rsid w:val="00237481"/>
    <w:rsid w:val="00240B3C"/>
    <w:rsid w:val="002419B9"/>
    <w:rsid w:val="0024570A"/>
    <w:rsid w:val="00246542"/>
    <w:rsid w:val="00276EDE"/>
    <w:rsid w:val="00293CA9"/>
    <w:rsid w:val="00296E7E"/>
    <w:rsid w:val="002A2E05"/>
    <w:rsid w:val="002B1EFF"/>
    <w:rsid w:val="002C0DCE"/>
    <w:rsid w:val="002D17E0"/>
    <w:rsid w:val="002D2AC0"/>
    <w:rsid w:val="002D342B"/>
    <w:rsid w:val="002D4793"/>
    <w:rsid w:val="002D78E1"/>
    <w:rsid w:val="002D7B6F"/>
    <w:rsid w:val="002E0043"/>
    <w:rsid w:val="002E5986"/>
    <w:rsid w:val="002F1CF2"/>
    <w:rsid w:val="002F1E1B"/>
    <w:rsid w:val="002F60F6"/>
    <w:rsid w:val="0031006D"/>
    <w:rsid w:val="00320034"/>
    <w:rsid w:val="00324301"/>
    <w:rsid w:val="00325C78"/>
    <w:rsid w:val="00331D1F"/>
    <w:rsid w:val="00333074"/>
    <w:rsid w:val="00334207"/>
    <w:rsid w:val="003404B1"/>
    <w:rsid w:val="00344072"/>
    <w:rsid w:val="0034488E"/>
    <w:rsid w:val="00346027"/>
    <w:rsid w:val="00367198"/>
    <w:rsid w:val="00372680"/>
    <w:rsid w:val="003756F1"/>
    <w:rsid w:val="00377BC1"/>
    <w:rsid w:val="00384F2E"/>
    <w:rsid w:val="00392E0B"/>
    <w:rsid w:val="003936B2"/>
    <w:rsid w:val="003A190D"/>
    <w:rsid w:val="003A2FC6"/>
    <w:rsid w:val="003B6F4D"/>
    <w:rsid w:val="003B731E"/>
    <w:rsid w:val="003B734A"/>
    <w:rsid w:val="003C7AD6"/>
    <w:rsid w:val="003D29FA"/>
    <w:rsid w:val="003E440C"/>
    <w:rsid w:val="003E6FA2"/>
    <w:rsid w:val="003E7673"/>
    <w:rsid w:val="00400414"/>
    <w:rsid w:val="00404652"/>
    <w:rsid w:val="00414955"/>
    <w:rsid w:val="004210D8"/>
    <w:rsid w:val="00422366"/>
    <w:rsid w:val="00423974"/>
    <w:rsid w:val="0042407F"/>
    <w:rsid w:val="004272AB"/>
    <w:rsid w:val="004359FB"/>
    <w:rsid w:val="004413B3"/>
    <w:rsid w:val="00441B4D"/>
    <w:rsid w:val="00443FB2"/>
    <w:rsid w:val="004539C0"/>
    <w:rsid w:val="004557AC"/>
    <w:rsid w:val="00464631"/>
    <w:rsid w:val="00467751"/>
    <w:rsid w:val="00476388"/>
    <w:rsid w:val="004855FE"/>
    <w:rsid w:val="00490D10"/>
    <w:rsid w:val="0049553C"/>
    <w:rsid w:val="00497669"/>
    <w:rsid w:val="004A28B6"/>
    <w:rsid w:val="004A4A7F"/>
    <w:rsid w:val="004B014E"/>
    <w:rsid w:val="004C10C8"/>
    <w:rsid w:val="004C6208"/>
    <w:rsid w:val="004D5E48"/>
    <w:rsid w:val="004E66EA"/>
    <w:rsid w:val="004E73A5"/>
    <w:rsid w:val="004F06E7"/>
    <w:rsid w:val="00504F72"/>
    <w:rsid w:val="005057F1"/>
    <w:rsid w:val="005172E3"/>
    <w:rsid w:val="00524141"/>
    <w:rsid w:val="00524DBD"/>
    <w:rsid w:val="00526010"/>
    <w:rsid w:val="005324FC"/>
    <w:rsid w:val="00533667"/>
    <w:rsid w:val="00534F45"/>
    <w:rsid w:val="005372AE"/>
    <w:rsid w:val="00547C7C"/>
    <w:rsid w:val="005633D2"/>
    <w:rsid w:val="00586C14"/>
    <w:rsid w:val="00590574"/>
    <w:rsid w:val="00595AB8"/>
    <w:rsid w:val="00597801"/>
    <w:rsid w:val="005A1244"/>
    <w:rsid w:val="005A206C"/>
    <w:rsid w:val="005A273B"/>
    <w:rsid w:val="005A4F1D"/>
    <w:rsid w:val="005B0E03"/>
    <w:rsid w:val="005B4551"/>
    <w:rsid w:val="005B7957"/>
    <w:rsid w:val="005C1DF2"/>
    <w:rsid w:val="005C79BC"/>
    <w:rsid w:val="005D3F8B"/>
    <w:rsid w:val="005D5722"/>
    <w:rsid w:val="005D59BB"/>
    <w:rsid w:val="005F6493"/>
    <w:rsid w:val="0061020A"/>
    <w:rsid w:val="006103A5"/>
    <w:rsid w:val="0061192A"/>
    <w:rsid w:val="006120F1"/>
    <w:rsid w:val="00616C2D"/>
    <w:rsid w:val="006342ED"/>
    <w:rsid w:val="00636DB3"/>
    <w:rsid w:val="00643FA3"/>
    <w:rsid w:val="006545F5"/>
    <w:rsid w:val="00656F61"/>
    <w:rsid w:val="00660517"/>
    <w:rsid w:val="00675193"/>
    <w:rsid w:val="00677322"/>
    <w:rsid w:val="006804E6"/>
    <w:rsid w:val="00687EF0"/>
    <w:rsid w:val="006A0A49"/>
    <w:rsid w:val="006B6C31"/>
    <w:rsid w:val="006C0AC4"/>
    <w:rsid w:val="006C7B7B"/>
    <w:rsid w:val="006D192E"/>
    <w:rsid w:val="006E16A1"/>
    <w:rsid w:val="006E3A2A"/>
    <w:rsid w:val="006E4B01"/>
    <w:rsid w:val="0071411C"/>
    <w:rsid w:val="007208BB"/>
    <w:rsid w:val="00744BA1"/>
    <w:rsid w:val="007571DC"/>
    <w:rsid w:val="00761BD2"/>
    <w:rsid w:val="00764BB2"/>
    <w:rsid w:val="00767294"/>
    <w:rsid w:val="00770C20"/>
    <w:rsid w:val="007827F7"/>
    <w:rsid w:val="0078428F"/>
    <w:rsid w:val="007855FA"/>
    <w:rsid w:val="00786EC8"/>
    <w:rsid w:val="007870B5"/>
    <w:rsid w:val="0079108E"/>
    <w:rsid w:val="007922F9"/>
    <w:rsid w:val="00794300"/>
    <w:rsid w:val="00795B42"/>
    <w:rsid w:val="007A04A2"/>
    <w:rsid w:val="007A08FE"/>
    <w:rsid w:val="007A2CF3"/>
    <w:rsid w:val="007B293E"/>
    <w:rsid w:val="007C1122"/>
    <w:rsid w:val="007C5EA7"/>
    <w:rsid w:val="007D04DF"/>
    <w:rsid w:val="007F2831"/>
    <w:rsid w:val="007F3B39"/>
    <w:rsid w:val="00802E18"/>
    <w:rsid w:val="00812AC8"/>
    <w:rsid w:val="00812DA7"/>
    <w:rsid w:val="00816B32"/>
    <w:rsid w:val="00826B85"/>
    <w:rsid w:val="0085242E"/>
    <w:rsid w:val="00860268"/>
    <w:rsid w:val="00861A07"/>
    <w:rsid w:val="00880374"/>
    <w:rsid w:val="00885027"/>
    <w:rsid w:val="00892708"/>
    <w:rsid w:val="0089438F"/>
    <w:rsid w:val="00895CA9"/>
    <w:rsid w:val="008B51B1"/>
    <w:rsid w:val="008C40BC"/>
    <w:rsid w:val="008D6BE2"/>
    <w:rsid w:val="008E149B"/>
    <w:rsid w:val="008E3A31"/>
    <w:rsid w:val="008F1BED"/>
    <w:rsid w:val="008F308F"/>
    <w:rsid w:val="008F3B7E"/>
    <w:rsid w:val="00913286"/>
    <w:rsid w:val="009165B6"/>
    <w:rsid w:val="00922303"/>
    <w:rsid w:val="00942D3B"/>
    <w:rsid w:val="00943CE8"/>
    <w:rsid w:val="00952224"/>
    <w:rsid w:val="00955CE3"/>
    <w:rsid w:val="00964F06"/>
    <w:rsid w:val="00971A94"/>
    <w:rsid w:val="00983742"/>
    <w:rsid w:val="0099168C"/>
    <w:rsid w:val="00993465"/>
    <w:rsid w:val="0099527F"/>
    <w:rsid w:val="009A3DCD"/>
    <w:rsid w:val="009B0416"/>
    <w:rsid w:val="009B4BE2"/>
    <w:rsid w:val="009B5836"/>
    <w:rsid w:val="009C2231"/>
    <w:rsid w:val="009D74D7"/>
    <w:rsid w:val="009D76D7"/>
    <w:rsid w:val="009E3E57"/>
    <w:rsid w:val="009E4002"/>
    <w:rsid w:val="009F267E"/>
    <w:rsid w:val="009F5926"/>
    <w:rsid w:val="00A125F8"/>
    <w:rsid w:val="00A156F1"/>
    <w:rsid w:val="00A25160"/>
    <w:rsid w:val="00A30015"/>
    <w:rsid w:val="00A305CB"/>
    <w:rsid w:val="00A324B1"/>
    <w:rsid w:val="00A34D24"/>
    <w:rsid w:val="00A3711A"/>
    <w:rsid w:val="00A40992"/>
    <w:rsid w:val="00A5175D"/>
    <w:rsid w:val="00A64D1F"/>
    <w:rsid w:val="00A669B3"/>
    <w:rsid w:val="00A66A71"/>
    <w:rsid w:val="00A77D7D"/>
    <w:rsid w:val="00A77F91"/>
    <w:rsid w:val="00A81B5C"/>
    <w:rsid w:val="00A822FE"/>
    <w:rsid w:val="00A83E1B"/>
    <w:rsid w:val="00A86C53"/>
    <w:rsid w:val="00A86E38"/>
    <w:rsid w:val="00A91EA9"/>
    <w:rsid w:val="00AA0B74"/>
    <w:rsid w:val="00AA3CC3"/>
    <w:rsid w:val="00AB7DF4"/>
    <w:rsid w:val="00AC0167"/>
    <w:rsid w:val="00AC0942"/>
    <w:rsid w:val="00AD3E30"/>
    <w:rsid w:val="00AE38D9"/>
    <w:rsid w:val="00B134DC"/>
    <w:rsid w:val="00B21177"/>
    <w:rsid w:val="00B238DE"/>
    <w:rsid w:val="00B244E4"/>
    <w:rsid w:val="00B25705"/>
    <w:rsid w:val="00B50489"/>
    <w:rsid w:val="00B5184E"/>
    <w:rsid w:val="00B61823"/>
    <w:rsid w:val="00B633BF"/>
    <w:rsid w:val="00B650A7"/>
    <w:rsid w:val="00B7052E"/>
    <w:rsid w:val="00B71205"/>
    <w:rsid w:val="00B733E4"/>
    <w:rsid w:val="00B80E2C"/>
    <w:rsid w:val="00B87849"/>
    <w:rsid w:val="00B9045C"/>
    <w:rsid w:val="00BA3EBB"/>
    <w:rsid w:val="00BB05D9"/>
    <w:rsid w:val="00BB7116"/>
    <w:rsid w:val="00BC05A3"/>
    <w:rsid w:val="00BC5C06"/>
    <w:rsid w:val="00BC74BF"/>
    <w:rsid w:val="00BF3D4B"/>
    <w:rsid w:val="00C10409"/>
    <w:rsid w:val="00C14AFB"/>
    <w:rsid w:val="00C17B90"/>
    <w:rsid w:val="00C22476"/>
    <w:rsid w:val="00C25AF3"/>
    <w:rsid w:val="00C33DF2"/>
    <w:rsid w:val="00C34CC7"/>
    <w:rsid w:val="00C371AF"/>
    <w:rsid w:val="00C43C6E"/>
    <w:rsid w:val="00C6286D"/>
    <w:rsid w:val="00C72C18"/>
    <w:rsid w:val="00C76B72"/>
    <w:rsid w:val="00C8102F"/>
    <w:rsid w:val="00C8582B"/>
    <w:rsid w:val="00C90E2E"/>
    <w:rsid w:val="00C90E31"/>
    <w:rsid w:val="00C91BE6"/>
    <w:rsid w:val="00C96DD3"/>
    <w:rsid w:val="00CC01A1"/>
    <w:rsid w:val="00CC17DE"/>
    <w:rsid w:val="00CC25B5"/>
    <w:rsid w:val="00CC4160"/>
    <w:rsid w:val="00CC7DA7"/>
    <w:rsid w:val="00CD4B3D"/>
    <w:rsid w:val="00CE0A9D"/>
    <w:rsid w:val="00CE18F3"/>
    <w:rsid w:val="00CF18AB"/>
    <w:rsid w:val="00D03FEF"/>
    <w:rsid w:val="00D064D2"/>
    <w:rsid w:val="00D10F82"/>
    <w:rsid w:val="00D15EDF"/>
    <w:rsid w:val="00D17B1D"/>
    <w:rsid w:val="00D26AFC"/>
    <w:rsid w:val="00D409C2"/>
    <w:rsid w:val="00D42DA2"/>
    <w:rsid w:val="00D72600"/>
    <w:rsid w:val="00D74077"/>
    <w:rsid w:val="00D750A0"/>
    <w:rsid w:val="00D76281"/>
    <w:rsid w:val="00D87CAC"/>
    <w:rsid w:val="00D900CC"/>
    <w:rsid w:val="00DA5A8E"/>
    <w:rsid w:val="00DA5BDC"/>
    <w:rsid w:val="00DB300A"/>
    <w:rsid w:val="00DB341A"/>
    <w:rsid w:val="00DC35D2"/>
    <w:rsid w:val="00DD16B8"/>
    <w:rsid w:val="00DD3FDE"/>
    <w:rsid w:val="00DD7E1F"/>
    <w:rsid w:val="00DE3110"/>
    <w:rsid w:val="00DF3454"/>
    <w:rsid w:val="00DF38AB"/>
    <w:rsid w:val="00E07D43"/>
    <w:rsid w:val="00E21DDF"/>
    <w:rsid w:val="00E258CE"/>
    <w:rsid w:val="00E26FB9"/>
    <w:rsid w:val="00E36758"/>
    <w:rsid w:val="00E45038"/>
    <w:rsid w:val="00E509E8"/>
    <w:rsid w:val="00E51DE5"/>
    <w:rsid w:val="00EA0FAC"/>
    <w:rsid w:val="00EA2B63"/>
    <w:rsid w:val="00EA374F"/>
    <w:rsid w:val="00EA3F22"/>
    <w:rsid w:val="00EB0E74"/>
    <w:rsid w:val="00EB1AF3"/>
    <w:rsid w:val="00EB7CE3"/>
    <w:rsid w:val="00EB7DEF"/>
    <w:rsid w:val="00ED38EC"/>
    <w:rsid w:val="00EE30EB"/>
    <w:rsid w:val="00F00A44"/>
    <w:rsid w:val="00F20407"/>
    <w:rsid w:val="00F23348"/>
    <w:rsid w:val="00F2656B"/>
    <w:rsid w:val="00F31F61"/>
    <w:rsid w:val="00F5172F"/>
    <w:rsid w:val="00F53400"/>
    <w:rsid w:val="00F54DC3"/>
    <w:rsid w:val="00F572B4"/>
    <w:rsid w:val="00F60D02"/>
    <w:rsid w:val="00F67A7C"/>
    <w:rsid w:val="00F710F1"/>
    <w:rsid w:val="00F71C56"/>
    <w:rsid w:val="00F740C8"/>
    <w:rsid w:val="00F75FB1"/>
    <w:rsid w:val="00F87496"/>
    <w:rsid w:val="00F90419"/>
    <w:rsid w:val="00FA4EF5"/>
    <w:rsid w:val="00FB24DE"/>
    <w:rsid w:val="00FB7D7B"/>
    <w:rsid w:val="00FC33BB"/>
    <w:rsid w:val="00FC4DBA"/>
    <w:rsid w:val="00FE1264"/>
    <w:rsid w:val="00FE3AE4"/>
    <w:rsid w:val="00FF1516"/>
    <w:rsid w:val="00FF1D31"/>
    <w:rsid w:val="00FF2467"/>
    <w:rsid w:val="00FF29D4"/>
    <w:rsid w:val="00FF5C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6247"/>
  <w15:chartTrackingRefBased/>
  <w15:docId w15:val="{F3E62076-EDA4-47B3-81F4-3B6B266F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992"/>
    <w:pPr>
      <w:spacing w:after="120"/>
    </w:pPr>
    <w:rPr>
      <w:rFonts w:ascii="Century Gothic" w:hAnsi="Century Gothic"/>
    </w:rPr>
  </w:style>
  <w:style w:type="paragraph" w:styleId="Heading1">
    <w:name w:val="heading 1"/>
    <w:basedOn w:val="Normal"/>
    <w:next w:val="Normal"/>
    <w:link w:val="Heading1Char"/>
    <w:uiPriority w:val="9"/>
    <w:qFormat/>
    <w:rsid w:val="00A3711A"/>
    <w:pPr>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4E6"/>
    <w:pPr>
      <w:ind w:left="720"/>
      <w:contextualSpacing/>
    </w:pPr>
  </w:style>
  <w:style w:type="character" w:customStyle="1" w:styleId="Heading1Char">
    <w:name w:val="Heading 1 Char"/>
    <w:basedOn w:val="DefaultParagraphFont"/>
    <w:link w:val="Heading1"/>
    <w:uiPriority w:val="9"/>
    <w:rsid w:val="00A3711A"/>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FF29D4"/>
    <w:rPr>
      <w:b/>
      <w:bCs/>
    </w:rPr>
  </w:style>
  <w:style w:type="paragraph" w:customStyle="1" w:styleId="Default">
    <w:name w:val="Default"/>
    <w:rsid w:val="00C91BE6"/>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unhideWhenUsed/>
    <w:rsid w:val="002266AF"/>
    <w:pPr>
      <w:spacing w:after="0" w:line="240" w:lineRule="auto"/>
    </w:pPr>
    <w:rPr>
      <w:sz w:val="20"/>
      <w:szCs w:val="20"/>
    </w:rPr>
  </w:style>
  <w:style w:type="character" w:customStyle="1" w:styleId="FootnoteTextChar">
    <w:name w:val="Footnote Text Char"/>
    <w:basedOn w:val="DefaultParagraphFont"/>
    <w:link w:val="FootnoteText"/>
    <w:uiPriority w:val="99"/>
    <w:rsid w:val="002266AF"/>
    <w:rPr>
      <w:rFonts w:ascii="Century Gothic" w:hAnsi="Century Gothic"/>
      <w:sz w:val="20"/>
      <w:szCs w:val="20"/>
    </w:rPr>
  </w:style>
  <w:style w:type="character" w:styleId="FootnoteReference">
    <w:name w:val="footnote reference"/>
    <w:basedOn w:val="DefaultParagraphFont"/>
    <w:uiPriority w:val="99"/>
    <w:semiHidden/>
    <w:unhideWhenUsed/>
    <w:rsid w:val="002266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B39D3-E549-4EA1-862F-39C7E6650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5119</TotalTime>
  <Pages>5</Pages>
  <Words>1800</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Submission DR126 - Peter Vann - Superannuation: Assessing Efficiency and Competitiveness - Public inquiry</vt:lpstr>
    </vt:vector>
  </TitlesOfParts>
  <Company>Peter Vann</Company>
  <LinksUpToDate>false</LinksUpToDate>
  <CharactersWithSpaces>12036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DR126 - Peter Vann - Superannuation: Assessing Efficiency and Competitiveness - Public inquiry</dc:title>
  <dc:subject/>
  <dc:creator>Peter Vann</dc:creator>
  <cp:keywords/>
  <dc:description/>
  <cp:lastModifiedBy>Productivity Commission</cp:lastModifiedBy>
  <cp:revision>405</cp:revision>
  <cp:lastPrinted>2018-07-08T07:45:00Z</cp:lastPrinted>
  <dcterms:created xsi:type="dcterms:W3CDTF">2018-06-26T04:34:00Z</dcterms:created>
  <dcterms:modified xsi:type="dcterms:W3CDTF">2018-07-11T02:17:00Z</dcterms:modified>
</cp:coreProperties>
</file>