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49" w:rsidRDefault="007E0349" w:rsidP="00750779">
      <w:pPr>
        <w:pStyle w:val="BodyText"/>
        <w:rPr>
          <w:rFonts w:cs="Arial"/>
          <w:sz w:val="22"/>
          <w:szCs w:val="22"/>
          <w:u w:val="single"/>
        </w:rPr>
      </w:pPr>
    </w:p>
    <w:p w:rsidR="007E0349" w:rsidRDefault="007E0349" w:rsidP="00750779">
      <w:pPr>
        <w:pStyle w:val="BodyText"/>
        <w:rPr>
          <w:rFonts w:cs="Arial"/>
          <w:sz w:val="22"/>
          <w:szCs w:val="22"/>
          <w:u w:val="single"/>
        </w:rPr>
      </w:pPr>
    </w:p>
    <w:p w:rsidR="007E0349" w:rsidRDefault="007E0349" w:rsidP="00750779">
      <w:pPr>
        <w:pStyle w:val="BodyTex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RAMJO Submission – Appendix B – </w:t>
      </w:r>
      <w:bookmarkStart w:id="0" w:name="_GoBack"/>
      <w:r>
        <w:rPr>
          <w:rFonts w:cs="Arial"/>
          <w:sz w:val="22"/>
          <w:szCs w:val="22"/>
          <w:u w:val="single"/>
        </w:rPr>
        <w:t>Socio-economic impacts (source Hay Shire Council)</w:t>
      </w:r>
      <w:bookmarkEnd w:id="0"/>
    </w:p>
    <w:p w:rsidR="007E0349" w:rsidRDefault="007E0349" w:rsidP="00750779">
      <w:pPr>
        <w:pStyle w:val="BodyText"/>
        <w:rPr>
          <w:rFonts w:cs="Arial"/>
          <w:sz w:val="22"/>
          <w:szCs w:val="22"/>
          <w:u w:val="single"/>
        </w:rPr>
      </w:pPr>
    </w:p>
    <w:p w:rsidR="00750779" w:rsidRPr="00B87862" w:rsidRDefault="00750779" w:rsidP="00750779">
      <w:pPr>
        <w:pStyle w:val="BodyText"/>
        <w:rPr>
          <w:rFonts w:cs="Arial"/>
          <w:sz w:val="22"/>
          <w:szCs w:val="22"/>
          <w:u w:val="single"/>
        </w:rPr>
      </w:pPr>
      <w:r w:rsidRPr="00B87862">
        <w:rPr>
          <w:rFonts w:cs="Arial"/>
          <w:sz w:val="22"/>
          <w:szCs w:val="22"/>
          <w:u w:val="single"/>
        </w:rPr>
        <w:t>Comments on the Hay Community Profile from the MDBA</w:t>
      </w:r>
    </w:p>
    <w:p w:rsidR="00750779" w:rsidRPr="00B87862" w:rsidRDefault="00750779" w:rsidP="00750779">
      <w:pPr>
        <w:pStyle w:val="BodyText"/>
        <w:rPr>
          <w:rFonts w:cs="Arial"/>
          <w:sz w:val="22"/>
          <w:szCs w:val="22"/>
        </w:rPr>
      </w:pPr>
      <w:r w:rsidRPr="00B87862">
        <w:rPr>
          <w:rFonts w:cs="Arial"/>
          <w:sz w:val="22"/>
          <w:szCs w:val="22"/>
        </w:rPr>
        <w:t>The Hay Community</w:t>
      </w:r>
      <w:r w:rsidR="00B87862" w:rsidRPr="00B87862">
        <w:rPr>
          <w:rFonts w:cs="Arial"/>
          <w:sz w:val="22"/>
          <w:szCs w:val="22"/>
        </w:rPr>
        <w:t xml:space="preserve"> profile</w:t>
      </w:r>
      <w:r w:rsidRPr="00B87862">
        <w:rPr>
          <w:rFonts w:cs="Arial"/>
          <w:sz w:val="22"/>
          <w:szCs w:val="22"/>
        </w:rPr>
        <w:t xml:space="preserve"> must not be </w:t>
      </w:r>
      <w:r w:rsidR="00B87862" w:rsidRPr="00B87862">
        <w:rPr>
          <w:rFonts w:cs="Arial"/>
          <w:sz w:val="22"/>
          <w:szCs w:val="22"/>
        </w:rPr>
        <w:t xml:space="preserve">seen </w:t>
      </w:r>
      <w:r w:rsidRPr="00B87862">
        <w:rPr>
          <w:rFonts w:cs="Arial"/>
          <w:sz w:val="22"/>
          <w:szCs w:val="22"/>
        </w:rPr>
        <w:t xml:space="preserve">in isolation, but in comparison with other communities. </w:t>
      </w:r>
    </w:p>
    <w:p w:rsidR="00750779" w:rsidRPr="00750779" w:rsidRDefault="00B87862" w:rsidP="00750779">
      <w:pPr>
        <w:spacing w:after="220" w:line="180" w:lineRule="atLeast"/>
        <w:jc w:val="both"/>
        <w:rPr>
          <w:rFonts w:ascii="Arial" w:eastAsia="Times New Roman" w:hAnsi="Arial" w:cs="Arial"/>
          <w:spacing w:val="-5"/>
          <w:lang w:val="en-AU" w:eastAsia="en-AU"/>
        </w:rPr>
      </w:pPr>
      <w:r w:rsidRPr="00B87862">
        <w:rPr>
          <w:rFonts w:ascii="Arial" w:eastAsia="Times New Roman" w:hAnsi="Arial" w:cs="Arial"/>
          <w:spacing w:val="-5"/>
          <w:lang w:val="en-AU" w:eastAsia="en-AU"/>
        </w:rPr>
        <w:t>A</w:t>
      </w:r>
      <w:r w:rsidR="00750779" w:rsidRPr="00750779">
        <w:rPr>
          <w:rFonts w:ascii="Arial" w:eastAsia="Times New Roman" w:hAnsi="Arial" w:cs="Arial"/>
          <w:spacing w:val="-5"/>
          <w:lang w:val="en-AU" w:eastAsia="en-AU"/>
        </w:rPr>
        <w:t xml:space="preserve"> summary of the findings regarding Hay, compared to Benalla (as a control not affected by the MDB</w:t>
      </w:r>
      <w:r w:rsidR="00750779" w:rsidRPr="00B87862">
        <w:rPr>
          <w:rFonts w:ascii="Arial" w:eastAsia="Times New Roman" w:hAnsi="Arial" w:cs="Arial"/>
          <w:spacing w:val="-5"/>
          <w:lang w:val="en-AU" w:eastAsia="en-AU"/>
        </w:rPr>
        <w:t xml:space="preserve"> Plan), Hillston and Robinvale</w:t>
      </w:r>
      <w:r w:rsidRPr="00B87862">
        <w:rPr>
          <w:rFonts w:ascii="Arial" w:eastAsia="Times New Roman" w:hAnsi="Arial" w:cs="Arial"/>
          <w:spacing w:val="-5"/>
          <w:lang w:val="en-AU" w:eastAsia="en-AU"/>
        </w:rPr>
        <w:t>, shows the real impact of the plan in a wider context</w:t>
      </w:r>
      <w:r w:rsidR="00750779" w:rsidRPr="00B87862">
        <w:rPr>
          <w:rFonts w:ascii="Arial" w:eastAsia="Times New Roman" w:hAnsi="Arial" w:cs="Arial"/>
          <w:spacing w:val="-5"/>
          <w:lang w:val="en-AU" w:eastAsia="en-AU"/>
        </w:rPr>
        <w:t>:</w:t>
      </w:r>
    </w:p>
    <w:tbl>
      <w:tblPr>
        <w:tblW w:w="5598" w:type="dxa"/>
        <w:tblInd w:w="93" w:type="dxa"/>
        <w:tblLook w:val="04A0" w:firstRow="1" w:lastRow="0" w:firstColumn="1" w:lastColumn="0" w:noHBand="0" w:noVBand="1"/>
      </w:tblPr>
      <w:tblGrid>
        <w:gridCol w:w="1195"/>
        <w:gridCol w:w="2333"/>
        <w:gridCol w:w="2167"/>
      </w:tblGrid>
      <w:tr w:rsidR="00750779" w:rsidRPr="00750779" w:rsidTr="00B87862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Town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Water</w:t>
            </w:r>
          </w:p>
        </w:tc>
      </w:tr>
      <w:tr w:rsidR="00750779" w:rsidRPr="00750779" w:rsidTr="00B87862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Net Reduction in Water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% of Water Reduction</w:t>
            </w:r>
          </w:p>
        </w:tc>
      </w:tr>
      <w:tr w:rsidR="00750779" w:rsidRPr="00750779" w:rsidTr="00B87862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 xml:space="preserve">Benalla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50779" w:rsidRPr="00750779" w:rsidTr="00B87862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Hay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47.2GL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750779" w:rsidRPr="00750779" w:rsidTr="00B87862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50779">
              <w:rPr>
                <w:rFonts w:ascii="Arial" w:eastAsia="Times New Roman" w:hAnsi="Arial" w:cs="Arial"/>
                <w:color w:val="000000"/>
              </w:rPr>
              <w:t>Hillston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30.2GL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16.6</w:t>
            </w:r>
          </w:p>
        </w:tc>
      </w:tr>
      <w:tr w:rsidR="00750779" w:rsidRPr="00750779" w:rsidTr="00B87862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50779">
              <w:rPr>
                <w:rFonts w:ascii="Arial" w:eastAsia="Times New Roman" w:hAnsi="Arial" w:cs="Arial"/>
                <w:color w:val="000000"/>
              </w:rPr>
              <w:t>Robinvale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42.4GL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42.1</w:t>
            </w:r>
          </w:p>
        </w:tc>
      </w:tr>
    </w:tbl>
    <w:p w:rsidR="00750779" w:rsidRPr="00750779" w:rsidRDefault="00750779" w:rsidP="00750779">
      <w:pPr>
        <w:spacing w:after="220" w:line="180" w:lineRule="atLeast"/>
        <w:jc w:val="both"/>
        <w:rPr>
          <w:rFonts w:ascii="Arial" w:eastAsia="Times New Roman" w:hAnsi="Arial" w:cs="Arial"/>
          <w:spacing w:val="-5"/>
          <w:lang w:val="en-AU" w:eastAsia="en-AU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1195"/>
        <w:gridCol w:w="2380"/>
        <w:gridCol w:w="1390"/>
        <w:gridCol w:w="1840"/>
        <w:gridCol w:w="848"/>
        <w:gridCol w:w="1512"/>
      </w:tblGrid>
      <w:tr w:rsidR="00750779" w:rsidRPr="00750779" w:rsidTr="00F70B3A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Town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Total Workforce Growth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Workforce Growth: Sectors</w:t>
            </w:r>
          </w:p>
        </w:tc>
      </w:tr>
      <w:tr w:rsidR="00750779" w:rsidRPr="00750779" w:rsidTr="00F70B3A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Agriculture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Ag manufacturing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Non- Ag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Government</w:t>
            </w:r>
          </w:p>
        </w:tc>
      </w:tr>
      <w:tr w:rsidR="00750779" w:rsidRPr="00750779" w:rsidTr="00F70B3A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750779" w:rsidRPr="00750779" w:rsidTr="00F70B3A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 xml:space="preserve">Benalla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64.8%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7.0%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0.0%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21.1%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31.7%</w:t>
            </w:r>
          </w:p>
        </w:tc>
      </w:tr>
      <w:tr w:rsidR="00750779" w:rsidRPr="00750779" w:rsidTr="00F70B3A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Hay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-24.8%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-41.9%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50.6%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-35.7%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0.0%</w:t>
            </w:r>
          </w:p>
        </w:tc>
      </w:tr>
      <w:tr w:rsidR="00750779" w:rsidRPr="00750779" w:rsidTr="00F70B3A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50779">
              <w:rPr>
                <w:rFonts w:ascii="Arial" w:eastAsia="Times New Roman" w:hAnsi="Arial" w:cs="Arial"/>
                <w:color w:val="000000"/>
              </w:rPr>
              <w:t>Hillston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-10.0%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-30.8%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-44.3%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-10.8%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41.8%</w:t>
            </w:r>
          </w:p>
        </w:tc>
      </w:tr>
      <w:tr w:rsidR="00750779" w:rsidRPr="00750779" w:rsidTr="00F70B3A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50779">
              <w:rPr>
                <w:rFonts w:ascii="Arial" w:eastAsia="Times New Roman" w:hAnsi="Arial" w:cs="Arial"/>
                <w:color w:val="000000"/>
              </w:rPr>
              <w:t>Robinvale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-35.1%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-40.7%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89.5%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57.1%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21.9%</w:t>
            </w:r>
          </w:p>
        </w:tc>
      </w:tr>
    </w:tbl>
    <w:p w:rsidR="00750779" w:rsidRPr="00750779" w:rsidRDefault="00750779" w:rsidP="00750779">
      <w:pPr>
        <w:spacing w:after="220" w:line="180" w:lineRule="atLeast"/>
        <w:jc w:val="both"/>
        <w:rPr>
          <w:rFonts w:ascii="Arial" w:eastAsia="Times New Roman" w:hAnsi="Arial" w:cs="Arial"/>
          <w:spacing w:val="-5"/>
          <w:lang w:val="en-AU" w:eastAsia="en-AU"/>
        </w:rPr>
      </w:pPr>
    </w:p>
    <w:tbl>
      <w:tblPr>
        <w:tblW w:w="9964" w:type="dxa"/>
        <w:tblInd w:w="93" w:type="dxa"/>
        <w:tblLook w:val="04A0" w:firstRow="1" w:lastRow="0" w:firstColumn="1" w:lastColumn="0" w:noHBand="0" w:noVBand="1"/>
      </w:tblPr>
      <w:tblGrid>
        <w:gridCol w:w="1195"/>
        <w:gridCol w:w="840"/>
        <w:gridCol w:w="840"/>
        <w:gridCol w:w="840"/>
        <w:gridCol w:w="840"/>
        <w:gridCol w:w="840"/>
        <w:gridCol w:w="840"/>
        <w:gridCol w:w="1563"/>
        <w:gridCol w:w="2701"/>
      </w:tblGrid>
      <w:tr w:rsidR="00750779" w:rsidRPr="00750779" w:rsidTr="00F70B3A">
        <w:trPr>
          <w:trHeight w:val="3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Town</w:t>
            </w:r>
          </w:p>
        </w:tc>
        <w:tc>
          <w:tcPr>
            <w:tcW w:w="4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Percentage FTE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Town Population (2001-2016)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Notes</w:t>
            </w:r>
          </w:p>
        </w:tc>
      </w:tr>
      <w:tr w:rsidR="00750779" w:rsidRPr="00750779" w:rsidTr="00F70B3A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Agriculture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Non-Ag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Government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750779" w:rsidRPr="00750779" w:rsidTr="00F70B3A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2001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2001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2001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77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750779" w:rsidRPr="00750779" w:rsidTr="00F70B3A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 xml:space="preserve">Benalla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16.0%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14.0%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47.0%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47.0%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28.0%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30.0%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7.9%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 xml:space="preserve">NOT affected by MDB Plan, </w:t>
            </w:r>
          </w:p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 xml:space="preserve">Percentage FTE is 2006 </w:t>
            </w:r>
          </w:p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and not 2001</w:t>
            </w:r>
          </w:p>
        </w:tc>
      </w:tr>
      <w:tr w:rsidR="00750779" w:rsidRPr="00750779" w:rsidTr="00F70B3A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Hay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46.0%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36.0%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32.0%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28.0%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17.0%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23.0%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-12.1%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50779" w:rsidRPr="00750779" w:rsidTr="00F70B3A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50779">
              <w:rPr>
                <w:rFonts w:ascii="Arial" w:eastAsia="Times New Roman" w:hAnsi="Arial" w:cs="Arial"/>
                <w:color w:val="000000"/>
              </w:rPr>
              <w:t>Hillston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57.0%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55.0%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26.0%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16.0%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13.0%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18.0%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-10.8%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50779" w:rsidRPr="00750779" w:rsidTr="00F70B3A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50779">
              <w:rPr>
                <w:rFonts w:ascii="Arial" w:eastAsia="Times New Roman" w:hAnsi="Arial" w:cs="Arial"/>
                <w:color w:val="000000"/>
              </w:rPr>
              <w:t>Robinvale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52.0%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48.0%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30.0%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20.0%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15.0%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18.0%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2.5%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77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50779" w:rsidRPr="00B87862" w:rsidRDefault="00750779" w:rsidP="00750779">
      <w:pPr>
        <w:spacing w:after="220" w:line="180" w:lineRule="atLeast"/>
        <w:jc w:val="both"/>
        <w:rPr>
          <w:rFonts w:ascii="Arial" w:eastAsia="Times New Roman" w:hAnsi="Arial" w:cs="Arial"/>
          <w:spacing w:val="-5"/>
          <w:lang w:val="en-AU" w:eastAsia="en-AU"/>
        </w:rPr>
      </w:pPr>
    </w:p>
    <w:p w:rsidR="00750779" w:rsidRPr="00B87862" w:rsidRDefault="00750779" w:rsidP="00750779">
      <w:pPr>
        <w:spacing w:after="220" w:line="180" w:lineRule="atLeast"/>
        <w:jc w:val="both"/>
        <w:rPr>
          <w:rFonts w:ascii="Arial" w:eastAsia="Times New Roman" w:hAnsi="Arial" w:cs="Arial"/>
          <w:spacing w:val="-5"/>
          <w:lang w:val="en-AU" w:eastAsia="en-AU"/>
        </w:rPr>
      </w:pPr>
      <w:r w:rsidRPr="00B87862">
        <w:rPr>
          <w:rFonts w:ascii="Arial" w:eastAsia="Times New Roman" w:hAnsi="Arial" w:cs="Arial"/>
          <w:spacing w:val="-5"/>
          <w:lang w:val="en-AU" w:eastAsia="en-AU"/>
        </w:rPr>
        <w:t xml:space="preserve">This must also been seen in the longer term context of the Hay population, which after a drastic drop, </w:t>
      </w:r>
      <w:r w:rsidR="009979BA" w:rsidRPr="00B87862">
        <w:rPr>
          <w:rFonts w:ascii="Arial" w:eastAsia="Times New Roman" w:hAnsi="Arial" w:cs="Arial"/>
          <w:spacing w:val="-5"/>
          <w:lang w:val="en-AU" w:eastAsia="en-AU"/>
        </w:rPr>
        <w:t>stabilised</w:t>
      </w:r>
      <w:r w:rsidRPr="00B87862">
        <w:rPr>
          <w:rFonts w:ascii="Arial" w:eastAsia="Times New Roman" w:hAnsi="Arial" w:cs="Arial"/>
          <w:spacing w:val="-5"/>
          <w:lang w:val="en-AU" w:eastAsia="en-AU"/>
        </w:rPr>
        <w:t xml:space="preserve"> </w:t>
      </w:r>
      <w:r w:rsidR="009979BA" w:rsidRPr="00B87862">
        <w:rPr>
          <w:rFonts w:ascii="Arial" w:eastAsia="Times New Roman" w:hAnsi="Arial" w:cs="Arial"/>
          <w:spacing w:val="-5"/>
          <w:lang w:val="en-AU" w:eastAsia="en-AU"/>
        </w:rPr>
        <w:t>between</w:t>
      </w:r>
      <w:r w:rsidRPr="00B87862">
        <w:rPr>
          <w:rFonts w:ascii="Arial" w:eastAsia="Times New Roman" w:hAnsi="Arial" w:cs="Arial"/>
          <w:spacing w:val="-5"/>
          <w:lang w:val="en-AU" w:eastAsia="en-AU"/>
        </w:rPr>
        <w:t xml:space="preserve"> 2011 and 2016. </w:t>
      </w:r>
      <w:r w:rsidR="00B87862" w:rsidRPr="00B87862">
        <w:rPr>
          <w:rFonts w:ascii="Arial" w:eastAsia="Times New Roman" w:hAnsi="Arial" w:cs="Arial"/>
          <w:spacing w:val="-5"/>
          <w:lang w:val="en-AU" w:eastAsia="en-AU"/>
        </w:rPr>
        <w:t xml:space="preserve">This is not reflected in the MDB community profile for Hay. </w:t>
      </w:r>
    </w:p>
    <w:p w:rsidR="00750779" w:rsidRDefault="00750779" w:rsidP="00750779">
      <w:p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</w:p>
    <w:p w:rsidR="002D3896" w:rsidRPr="00750779" w:rsidRDefault="002D3896" w:rsidP="00750779">
      <w:p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</w:p>
    <w:tbl>
      <w:tblPr>
        <w:tblW w:w="6338" w:type="dxa"/>
        <w:tblInd w:w="93" w:type="dxa"/>
        <w:tblLook w:val="04A0" w:firstRow="1" w:lastRow="0" w:firstColumn="1" w:lastColumn="0" w:noHBand="0" w:noVBand="1"/>
      </w:tblPr>
      <w:tblGrid>
        <w:gridCol w:w="1189"/>
        <w:gridCol w:w="1256"/>
        <w:gridCol w:w="2040"/>
        <w:gridCol w:w="1920"/>
      </w:tblGrid>
      <w:tr w:rsidR="00750779" w:rsidRPr="00750779" w:rsidTr="00F70B3A">
        <w:trPr>
          <w:trHeight w:val="300"/>
        </w:trPr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b/>
                <w:color w:val="000000"/>
                <w:lang w:val="en-AU" w:eastAsia="en-AU"/>
              </w:rPr>
              <w:t>Hay Population</w:t>
            </w:r>
          </w:p>
        </w:tc>
      </w:tr>
      <w:tr w:rsidR="00750779" w:rsidRPr="00750779" w:rsidTr="00F70B3A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Year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Population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Population Change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Percentage Change</w:t>
            </w:r>
          </w:p>
        </w:tc>
      </w:tr>
      <w:tr w:rsidR="00750779" w:rsidRPr="00750779" w:rsidTr="00F70B3A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1996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3822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 </w:t>
            </w:r>
          </w:p>
        </w:tc>
      </w:tr>
      <w:tr w:rsidR="00750779" w:rsidRPr="00750779" w:rsidTr="00F70B3A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2001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3574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-248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-6.49</w:t>
            </w:r>
          </w:p>
        </w:tc>
      </w:tr>
      <w:tr w:rsidR="00750779" w:rsidRPr="00750779" w:rsidTr="00F70B3A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2006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3447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-127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-3.55</w:t>
            </w:r>
          </w:p>
        </w:tc>
      </w:tr>
      <w:tr w:rsidR="00750779" w:rsidRPr="00750779" w:rsidTr="00F70B3A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2011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2958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-489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-14.19</w:t>
            </w:r>
          </w:p>
        </w:tc>
      </w:tr>
      <w:tr w:rsidR="00750779" w:rsidRPr="00750779" w:rsidTr="00F70B3A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2016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2946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-12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79" w:rsidRPr="00750779" w:rsidRDefault="00750779" w:rsidP="007507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750779">
              <w:rPr>
                <w:rFonts w:ascii="Arial" w:eastAsia="Times New Roman" w:hAnsi="Arial" w:cs="Arial"/>
                <w:color w:val="000000"/>
                <w:lang w:val="en-AU" w:eastAsia="en-AU"/>
              </w:rPr>
              <w:t>-0.41</w:t>
            </w:r>
          </w:p>
        </w:tc>
      </w:tr>
    </w:tbl>
    <w:p w:rsidR="00750779" w:rsidRPr="00750779" w:rsidRDefault="00750779" w:rsidP="00750779">
      <w:p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</w:p>
    <w:p w:rsidR="00750779" w:rsidRPr="00750779" w:rsidRDefault="00750779" w:rsidP="00750779">
      <w:pPr>
        <w:spacing w:after="0" w:line="240" w:lineRule="auto"/>
        <w:jc w:val="both"/>
        <w:rPr>
          <w:rFonts w:ascii="Arial" w:eastAsia="Times New Roman" w:hAnsi="Arial" w:cs="Arial"/>
          <w:lang w:val="en-AU" w:eastAsia="en-AU"/>
        </w:rPr>
      </w:pPr>
      <w:r w:rsidRPr="00750779">
        <w:rPr>
          <w:rFonts w:ascii="Arial" w:eastAsia="Times New Roman" w:hAnsi="Arial" w:cs="Arial"/>
          <w:noProof/>
          <w:lang w:val="en-AU" w:eastAsia="en-AU"/>
        </w:rPr>
        <w:drawing>
          <wp:inline distT="0" distB="0" distL="0" distR="0" wp14:anchorId="4839D6B5" wp14:editId="6DEEC30E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0779" w:rsidRPr="00B87862" w:rsidRDefault="00750779" w:rsidP="00750779">
      <w:pPr>
        <w:spacing w:after="220" w:line="180" w:lineRule="atLeast"/>
        <w:jc w:val="both"/>
        <w:rPr>
          <w:rFonts w:ascii="Arial" w:eastAsia="Times New Roman" w:hAnsi="Arial" w:cs="Arial"/>
          <w:spacing w:val="-5"/>
          <w:lang w:val="en-AU" w:eastAsia="en-AU"/>
        </w:rPr>
      </w:pPr>
    </w:p>
    <w:p w:rsidR="00D1798A" w:rsidRPr="00B87862" w:rsidRDefault="00750779" w:rsidP="00750779">
      <w:pPr>
        <w:rPr>
          <w:rFonts w:ascii="Arial" w:hAnsi="Arial" w:cs="Arial"/>
        </w:rPr>
      </w:pPr>
      <w:r w:rsidRPr="00B87862">
        <w:rPr>
          <w:rFonts w:ascii="Arial" w:hAnsi="Arial" w:cs="Arial"/>
        </w:rPr>
        <w:t xml:space="preserve">The </w:t>
      </w:r>
      <w:r w:rsidR="00B87862" w:rsidRPr="00B87862">
        <w:rPr>
          <w:rFonts w:ascii="Arial" w:hAnsi="Arial" w:cs="Arial"/>
        </w:rPr>
        <w:t>comparison between towns and the longer term population figures</w:t>
      </w:r>
      <w:r w:rsidRPr="00B87862">
        <w:rPr>
          <w:rFonts w:ascii="Arial" w:hAnsi="Arial" w:cs="Arial"/>
        </w:rPr>
        <w:t xml:space="preserve"> must be seen in the context of the tail end of a drought and a change in the agricultural produce of the Hay region, but </w:t>
      </w:r>
      <w:r w:rsidR="009979BA" w:rsidRPr="00B87862">
        <w:rPr>
          <w:rFonts w:ascii="Arial" w:hAnsi="Arial" w:cs="Arial"/>
        </w:rPr>
        <w:t xml:space="preserve">it cannot be denied that the MDB Plan had an impact on Hay. With a 47GL loss, which equates to 20% of all water, Hay has some of the most drastic water cuts in the Murray Darling Basin. This would have had an impact on the 10% drop of FTE in the Agricultural Sector. </w:t>
      </w:r>
    </w:p>
    <w:p w:rsidR="009979BA" w:rsidRPr="00B87862" w:rsidRDefault="009979BA" w:rsidP="00750779">
      <w:pPr>
        <w:rPr>
          <w:rFonts w:ascii="Arial" w:hAnsi="Arial" w:cs="Arial"/>
        </w:rPr>
      </w:pPr>
      <w:r w:rsidRPr="00B87862">
        <w:rPr>
          <w:rFonts w:ascii="Arial" w:hAnsi="Arial" w:cs="Arial"/>
        </w:rPr>
        <w:t xml:space="preserve">Hay Shire Council has lobbied for the increase in funding for the area in an attempt to negate the negative impact of the plan, and is revising </w:t>
      </w:r>
      <w:r w:rsidR="002D3896">
        <w:rPr>
          <w:rFonts w:ascii="Arial" w:hAnsi="Arial" w:cs="Arial"/>
        </w:rPr>
        <w:t>its</w:t>
      </w:r>
      <w:r w:rsidRPr="00B87862">
        <w:rPr>
          <w:rFonts w:ascii="Arial" w:hAnsi="Arial" w:cs="Arial"/>
        </w:rPr>
        <w:t xml:space="preserve"> Economic Development Action plan to provide a strategic direction for a better future for the Shire with less water. </w:t>
      </w:r>
    </w:p>
    <w:sectPr w:rsidR="009979BA" w:rsidRPr="00B87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79"/>
    <w:rsid w:val="002D3896"/>
    <w:rsid w:val="00384BFA"/>
    <w:rsid w:val="005D0983"/>
    <w:rsid w:val="00750779"/>
    <w:rsid w:val="007E0349"/>
    <w:rsid w:val="009979BA"/>
    <w:rsid w:val="00B87862"/>
    <w:rsid w:val="00D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616E8-EC25-4234-B05F-0F31A8C2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0779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750779"/>
    <w:rPr>
      <w:rFonts w:ascii="Arial" w:eastAsia="Times New Roman" w:hAnsi="Arial" w:cs="Times New Roman"/>
      <w:spacing w:val="-5"/>
      <w:sz w:val="20"/>
      <w:szCs w:val="20"/>
      <w:lang w:val="en-AU" w:eastAsia="en-AU"/>
    </w:rPr>
  </w:style>
  <w:style w:type="character" w:styleId="Hyperlink">
    <w:name w:val="Hyperlink"/>
    <w:basedOn w:val="DefaultParagraphFont"/>
    <w:rsid w:val="007507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1404396325459318"/>
          <c:y val="0.19480351414406533"/>
          <c:w val="0.63259405074365704"/>
          <c:h val="0.60125364537766113"/>
        </c:manualLayout>
      </c:layout>
      <c:lineChart>
        <c:grouping val="standard"/>
        <c:varyColors val="0"/>
        <c:ser>
          <c:idx val="1"/>
          <c:order val="0"/>
          <c:tx>
            <c:strRef>
              <c:f>Sheet1!$B$2</c:f>
              <c:strCache>
                <c:ptCount val="1"/>
                <c:pt idx="0">
                  <c:v>Population</c:v>
                </c:pt>
              </c:strCache>
            </c:strRef>
          </c:tx>
          <c:cat>
            <c:numRef>
              <c:f>Sheet1!$A$3:$A$7</c:f>
              <c:numCache>
                <c:formatCode>General</c:formatCode>
                <c:ptCount val="5"/>
                <c:pt idx="0">
                  <c:v>1996</c:v>
                </c:pt>
                <c:pt idx="1">
                  <c:v>2001</c:v>
                </c:pt>
                <c:pt idx="2">
                  <c:v>2006</c:v>
                </c:pt>
                <c:pt idx="3">
                  <c:v>2011</c:v>
                </c:pt>
                <c:pt idx="4">
                  <c:v>2016</c:v>
                </c:pt>
              </c:numCache>
            </c:numRef>
          </c:cat>
          <c:val>
            <c:numRef>
              <c:f>Sheet1!$B$3:$B$7</c:f>
              <c:numCache>
                <c:formatCode>General</c:formatCode>
                <c:ptCount val="5"/>
                <c:pt idx="0">
                  <c:v>3822</c:v>
                </c:pt>
                <c:pt idx="1">
                  <c:v>3574</c:v>
                </c:pt>
                <c:pt idx="2">
                  <c:v>3447</c:v>
                </c:pt>
                <c:pt idx="3">
                  <c:v>2958</c:v>
                </c:pt>
                <c:pt idx="4">
                  <c:v>2946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5514424"/>
        <c:axId val="225514816"/>
      </c:lineChart>
      <c:catAx>
        <c:axId val="225514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5514816"/>
        <c:crosses val="autoZero"/>
        <c:auto val="1"/>
        <c:lblAlgn val="ctr"/>
        <c:lblOffset val="100"/>
        <c:noMultiLvlLbl val="0"/>
      </c:catAx>
      <c:valAx>
        <c:axId val="225514816"/>
        <c:scaling>
          <c:orientation val="minMax"/>
          <c:max val="4000"/>
          <c:min val="25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514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92C32A174DC5842B464C967A33B7D17" ma:contentTypeVersion="0" ma:contentTypeDescription="" ma:contentTypeScope="" ma:versionID="bb9035d9b395138587e3b5f1cdb4d957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_dlc_DocId xmlns="3f4bcce7-ac1a-4c9d-aa3e-7e77695652db">PCDOC-679391099-152</_dlc_DocId>
    <TaxCatchAll xmlns="3f4bcce7-ac1a-4c9d-aa3e-7e77695652db">
      <Value>139</Value>
    </TaxCatchAll>
    <_dlc_DocIdUrl xmlns="3f4bcce7-ac1a-4c9d-aa3e-7e77695652db">
      <Url>http://inet.pc.gov.au/pmo/inq/mdbp/_layouts/15/DocIdRedir.aspx?ID=PCDOC-679391099-152</Url>
      <Description>PCDOC-679391099-152</Description>
    </_dlc_DocIdUrl>
    <TaxKeywordTaxHTField xmlns="3f4bcce7-ac1a-4c9d-aa3e-7e77695652db">
      <Terms xmlns="http://schemas.microsoft.com/office/infopath/2007/PartnerControls"/>
    </TaxKeywordTaxHTField>
    <V3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99354995-0BE7-4889-B7A2-417A207D3C9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771B0C8-AD2B-4068-95F6-84F90F84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39585-86C5-48B8-B722-E981E433EE7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f4bcce7-ac1a-4c9d-aa3e-7e77695652d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048FBB6-C9D6-4125-9DDB-47AA639EB2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27A3A1-7434-4920-8E6F-591DD0796C3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8A67B5F-6AA2-445A-92CB-9AB464CB28C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AD8E7452.dotm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DR101 - Appendix B: Socio-economic impacts (source Hay Shire Council) - Riverina and Murray Joint Organisation (RAMJO) - Murray-Darling Basin Plan: Five-year assessment - Public inquiry</vt:lpstr>
    </vt:vector>
  </TitlesOfParts>
  <Company>Riverina and Murray Joint Organisation (RAMJO)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DR101 - Appendix B: Socio-economic impacts (source Hay Shire Council) - Riverina and Murray Joint Organisation (RAMJO) - Murray-Darling Basin Plan: Five-year assessment - Public inquiry</dc:title>
  <dc:creator>Riverina and Murray Joint Organisation (RAMJO)</dc:creator>
  <cp:keywords/>
  <cp:lastModifiedBy>Alston, Chris</cp:lastModifiedBy>
  <cp:revision>4</cp:revision>
  <cp:lastPrinted>2018-06-24T23:32:00Z</cp:lastPrinted>
  <dcterms:created xsi:type="dcterms:W3CDTF">2018-10-09T22:14:00Z</dcterms:created>
  <dcterms:modified xsi:type="dcterms:W3CDTF">2018-10-10T21:53:00Z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546dafe4-aa60-48e6-8eeb-5ffa0e9d9c7b</vt:lpwstr>
  </property>
  <property fmtid="{D5CDD505-2E9C-101B-9397-08002B2CF9AE}" pid="3" name="ContentTypeId">
    <vt:lpwstr>0x0101007916246811615643A710C6FEAFF56A87110500D92C32A174DC5842B464C967A33B7D17</vt:lpwstr>
  </property>
  <property fmtid="{D5CDD505-2E9C-101B-9397-08002B2CF9AE}" pid="4" name="TaxKeyword">
    <vt:lpwstr/>
  </property>
  <property fmtid="{D5CDD505-2E9C-101B-9397-08002B2CF9AE}" pid="5" name="Record Tag">
    <vt:lpwstr>139;#Submissions|c6e0dbf8-5444-433c-844d-d567dd519a05</vt:lpwstr>
  </property>
</Properties>
</file>