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0795" w14:textId="5C8E7B87" w:rsidR="00405852" w:rsidRDefault="00405852" w:rsidP="00405852">
      <w:pPr>
        <w:spacing w:after="0" w:line="240" w:lineRule="auto"/>
        <w:ind w:left="284" w:right="-7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48D258E" w14:textId="11E2CD9C" w:rsidR="00405852" w:rsidRDefault="008E4D38" w:rsidP="006D008B">
      <w:pPr>
        <w:spacing w:after="0" w:line="240" w:lineRule="auto"/>
        <w:ind w:left="142" w:right="-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en-AU" w:eastAsia="en-AU"/>
        </w:rPr>
        <w:drawing>
          <wp:inline distT="0" distB="0" distL="0" distR="0" wp14:anchorId="2A22B028" wp14:editId="0FCCC800">
            <wp:extent cx="1333500" cy="127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  <w:r>
        <w:rPr>
          <w:noProof/>
          <w:lang w:val="en-AU" w:eastAsia="en-AU"/>
        </w:rPr>
        <w:drawing>
          <wp:inline distT="0" distB="0" distL="0" distR="0" wp14:anchorId="03200C86" wp14:editId="7F8D2B1F">
            <wp:extent cx="1549400" cy="13628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a cropp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123" cy="138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CB31" w14:textId="77777777" w:rsidR="006D008B" w:rsidRDefault="00422A2D" w:rsidP="006D008B">
      <w:pPr>
        <w:spacing w:before="60" w:after="60" w:line="240" w:lineRule="auto"/>
        <w:ind w:left="142" w:right="134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021C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Dr</w:t>
      </w:r>
      <w:proofErr w:type="spellEnd"/>
      <w:r w:rsidRPr="00021C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Angela Martin</w:t>
      </w:r>
      <w:r w:rsidRPr="000E3C2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E415F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PhD (Ind</w:t>
      </w:r>
      <w:r w:rsidR="0084176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&amp; Org</w:t>
      </w:r>
      <w:r w:rsidR="0084176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Psych), B.A., B. Commerce (Hons).</w:t>
      </w:r>
      <w:r w:rsidR="0040585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130E3A48" w14:textId="77777777" w:rsidR="006D008B" w:rsidRDefault="00422A2D" w:rsidP="006D008B">
      <w:pPr>
        <w:spacing w:before="60" w:after="60" w:line="240" w:lineRule="auto"/>
        <w:ind w:left="142" w:right="134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Adjunct Professor, College of Business &amp; Economics, University of Tasmania. </w:t>
      </w:r>
    </w:p>
    <w:p w14:paraId="7AE5BA69" w14:textId="374189EC" w:rsidR="00422A2D" w:rsidRPr="00841764" w:rsidRDefault="00886386" w:rsidP="006D008B">
      <w:pPr>
        <w:spacing w:before="60" w:after="60" w:line="240" w:lineRule="auto"/>
        <w:ind w:left="142" w:right="134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3" w:history="1">
        <w:r w:rsidRPr="00812CA6">
          <w:rPr>
            <w:rStyle w:val="Hyperlink"/>
            <w:rFonts w:ascii="Times New Roman" w:hAnsi="Times New Roman" w:cs="Times New Roman"/>
            <w:sz w:val="22"/>
            <w:szCs w:val="22"/>
          </w:rPr>
          <w:t>www.pracademia.com.au</w:t>
        </w:r>
      </w:hyperlink>
    </w:p>
    <w:p w14:paraId="5A2D553D" w14:textId="15E78A98" w:rsidR="00422A2D" w:rsidRDefault="00422A2D" w:rsidP="006D008B">
      <w:pPr>
        <w:spacing w:before="60" w:after="60" w:line="240" w:lineRule="auto"/>
        <w:ind w:left="284" w:right="-7"/>
        <w:rPr>
          <w:rFonts w:ascii="Times New Roman" w:hAnsi="Times New Roman" w:cs="Times New Roman"/>
          <w:color w:val="000000" w:themeColor="text1"/>
        </w:rPr>
      </w:pPr>
    </w:p>
    <w:p w14:paraId="6EBCA89B" w14:textId="77777777" w:rsidR="00405852" w:rsidRPr="000E3C2A" w:rsidRDefault="00405852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</w:rPr>
      </w:pPr>
    </w:p>
    <w:p w14:paraId="182BF22F" w14:textId="1ECF2C0F" w:rsidR="00422A2D" w:rsidRPr="000E3C2A" w:rsidRDefault="00C81AB1" w:rsidP="00405852">
      <w:pPr>
        <w:spacing w:after="0" w:line="240" w:lineRule="auto"/>
        <w:ind w:left="284" w:right="-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6"/>
            <w:szCs w:val="26"/>
          </w:rPr>
          <w:alias w:val="Enter Your Name:"/>
          <w:tag w:val="Enter Your Name:"/>
          <w:id w:val="288552880"/>
          <w:placeholder>
            <w:docPart w:val="E37BA25F65048F42889144009F320C1A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r w:rsidR="00886386"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  <w:lang w:val="en-AU"/>
            </w:rPr>
            <w:t>University of Tasmania</w:t>
          </w:r>
        </w:sdtContent>
      </w:sdt>
    </w:p>
    <w:p w14:paraId="68F6B390" w14:textId="77777777" w:rsidR="00422A2D" w:rsidRPr="00021CFC" w:rsidRDefault="00422A2D" w:rsidP="00405852">
      <w:pPr>
        <w:spacing w:after="0" w:line="240" w:lineRule="auto"/>
        <w:ind w:left="426" w:right="-7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Prominent issues and risk factors:</w:t>
      </w:r>
    </w:p>
    <w:p w14:paraId="5B5387E2" w14:textId="77777777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New ways of working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e.g. the ‘gig’ economy – multiple contracting relationships freelancers/tech mediated work, precarity in earnings/no paid leave benefits/no OH&amp;S services/strategies;</w:t>
      </w:r>
    </w:p>
    <w:p w14:paraId="2E90CA82" w14:textId="77777777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Social isolation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at critical levels in Australia and for some, workplaces provide a social environment, independent workers may lack opportunities for social inclusion;;</w:t>
      </w:r>
    </w:p>
    <w:p w14:paraId="03B5BC2A" w14:textId="77777777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Presenteeism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-related health erosion, lost productivity and reduced recovery through working when ill (including untreated common mental health disorders), the ageing population exacerbates these risks;</w:t>
      </w:r>
    </w:p>
    <w:p w14:paraId="6E00500D" w14:textId="109C0F2C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Engagement/delivery of evidence-based programs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this segment of the economy</w:t>
      </w:r>
      <w:r w:rsidR="004058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challenging</w:t>
      </w:r>
      <w:r w:rsidR="004058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but vital to the economy and public health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1D0BF6CA" w14:textId="77777777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Financial stress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and suicide risk related to business failure and economic conditions,</w:t>
      </w: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F0764CB" w14:textId="77777777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Work-family interface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issues for home-based businesses or out of hours child/elder care needs; perinatal mental health of mothers and fathers;</w:t>
      </w:r>
    </w:p>
    <w:p w14:paraId="09B2AF8B" w14:textId="77777777" w:rsidR="00422A2D" w:rsidRPr="00021CFC" w:rsidRDefault="00422A2D" w:rsidP="00405852">
      <w:pPr>
        <w:pStyle w:val="ListParagraph"/>
        <w:numPr>
          <w:ilvl w:val="0"/>
          <w:numId w:val="1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Cultural diversity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e.g.  </w:t>
      </w:r>
      <w:proofErr w:type="gram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proofErr w:type="gram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large segment of migrant owned businesses where language and lack of prior experiences with concepts of occupational health and mental health. </w:t>
      </w:r>
    </w:p>
    <w:p w14:paraId="27051B46" w14:textId="77777777" w:rsidR="00422A2D" w:rsidRPr="00E415F0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F4139D" w14:textId="00BA7D1F" w:rsidR="00422A2D" w:rsidRPr="00021CFC" w:rsidRDefault="00422A2D" w:rsidP="00405852">
      <w:pPr>
        <w:spacing w:after="0" w:line="240" w:lineRule="auto"/>
        <w:ind w:left="426" w:right="-7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Potential areas of focus </w:t>
      </w:r>
      <w:r w:rsidR="00841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r w:rsidRPr="00021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approaches to strategy development:</w:t>
      </w:r>
    </w:p>
    <w:p w14:paraId="73A136F0" w14:textId="77777777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Structural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e.g. invoice payment terms, tax system initiatives, super-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annuation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system initiatives; 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medicare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rebates/vouchers for occupational health services (prevention, early intervention, rehabilitation).</w:t>
      </w:r>
    </w:p>
    <w:p w14:paraId="0AC58B47" w14:textId="2B4370A7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Ecosystem development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e.g. embed initiatives in supply chain and B2B practices, business advisors training, start-up incubator initiatives such as </w:t>
      </w:r>
      <w:r w:rsidR="00841764">
        <w:rPr>
          <w:rFonts w:ascii="Times New Roman" w:hAnsi="Times New Roman" w:cs="Times New Roman"/>
          <w:color w:val="000000" w:themeColor="text1"/>
          <w:sz w:val="22"/>
          <w:szCs w:val="22"/>
        </w:rPr>
        <w:t>entre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preneurship incubators; networks of investors, financial services collaborations, peer support networks, other meaning-based social connection business networks.</w:t>
      </w:r>
    </w:p>
    <w:p w14:paraId="577CE075" w14:textId="77777777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Professional development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e.g. integrated into health and safety /HR training, concept of psychological capital or similar into business courses/business planning processes, systems for matching self-employed with business and people related skill development options.</w:t>
      </w:r>
    </w:p>
    <w:p w14:paraId="6CBBD526" w14:textId="77777777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Psychological health education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e.g. online + personal contact, real-time needs-based information, realistic ‘job </w:t>
      </w:r>
      <w:proofErr w:type="gram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previews</w:t>
      </w:r>
      <w:proofErr w:type="gram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’, importance of MH check-ups, 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understanind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productivity and mental health, self-care/self-regulation, seeking professional help early. </w:t>
      </w:r>
    </w:p>
    <w:p w14:paraId="7CECFB2D" w14:textId="77777777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Supports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(models for EAP /OH&amp;S ‘equivalent’ services; connecting women’s/migrant services, with business services + public and private health services, making it more accessible and seamless).</w:t>
      </w:r>
    </w:p>
    <w:p w14:paraId="2A6CEE9A" w14:textId="77777777" w:rsidR="00422A2D" w:rsidRPr="00021CFC" w:rsidRDefault="00422A2D" w:rsidP="00405852">
      <w:pPr>
        <w:pStyle w:val="ListParagraph"/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0A4A29" w14:textId="77777777" w:rsidR="00422A2D" w:rsidRPr="00021CFC" w:rsidRDefault="00422A2D" w:rsidP="00405852">
      <w:pPr>
        <w:spacing w:after="0" w:line="240" w:lineRule="auto"/>
        <w:ind w:left="426" w:right="-7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Current initiatives:</w:t>
      </w:r>
    </w:p>
    <w:p w14:paraId="15CBD3EC" w14:textId="77777777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Business Advisory Service Providers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Network Training on Mental Health. NSW Dept of Industry, TAS Dept of State Growth.</w:t>
      </w:r>
    </w:p>
    <w:p w14:paraId="478DD415" w14:textId="52532014" w:rsidR="00422A2D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Victorian Collaboration for Workplace Wellbeing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have commissioned production of a video resource: Why take an integrated approach to workplace mental health? - Conversations with small business owners.</w:t>
      </w:r>
    </w:p>
    <w:p w14:paraId="5A02828B" w14:textId="2D570230" w:rsidR="00422A2D" w:rsidRPr="00021CFC" w:rsidRDefault="00422A2D" w:rsidP="00405852">
      <w:pPr>
        <w:pStyle w:val="ListParagraph"/>
        <w:numPr>
          <w:ilvl w:val="0"/>
          <w:numId w:val="2"/>
        </w:numPr>
        <w:spacing w:after="0" w:line="240" w:lineRule="auto"/>
        <w:ind w:left="426" w:right="-7" w:hanging="42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21C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Mentally Healthy Workplace Alliance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coping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eview 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roject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lan for creation and implementation of a national framework (with 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Dr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Clare 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Shann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&amp; Prof Tony 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LaMontagne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 </w:t>
      </w:r>
      <w:proofErr w:type="spellStart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recognised</w:t>
      </w:r>
      <w:proofErr w:type="spellEnd"/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important role of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Sole Traders and </w:t>
      </w:r>
      <w:r w:rsidRPr="00021CFC">
        <w:rPr>
          <w:rFonts w:ascii="Times New Roman" w:hAnsi="Times New Roman" w:cs="Times New Roman"/>
          <w:color w:val="000000" w:themeColor="text1"/>
          <w:sz w:val="22"/>
          <w:szCs w:val="22"/>
        </w:rPr>
        <w:t>SMEs in consultation, resource production and implementation</w:t>
      </w:r>
    </w:p>
    <w:p w14:paraId="24C35584" w14:textId="74B47BD2" w:rsidR="00422A2D" w:rsidRDefault="00422A2D" w:rsidP="00405852">
      <w:pPr>
        <w:ind w:left="284" w:right="-7"/>
      </w:pPr>
    </w:p>
    <w:p w14:paraId="52ECD3BA" w14:textId="77777777" w:rsidR="00405852" w:rsidRDefault="004058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1E3969E7" w14:textId="77777777" w:rsidR="002C6C95" w:rsidRDefault="002C6C95" w:rsidP="00405852">
      <w:pPr>
        <w:spacing w:after="0" w:line="240" w:lineRule="auto"/>
        <w:ind w:left="284" w:right="-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8FFA581" w14:textId="6AD59170" w:rsidR="00422A2D" w:rsidRPr="00021CFC" w:rsidRDefault="00841764" w:rsidP="00405852">
      <w:pPr>
        <w:spacing w:after="0" w:line="240" w:lineRule="auto"/>
        <w:ind w:left="284" w:right="-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EXAMPLES OF </w:t>
      </w:r>
      <w:r w:rsidR="00422A2D" w:rsidRPr="00021C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RESEARCH </w:t>
      </w:r>
      <w:r w:rsidRPr="00021C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PARTNERSHIPS</w:t>
      </w:r>
    </w:p>
    <w:p w14:paraId="427D1E94" w14:textId="77777777" w:rsidR="00422A2D" w:rsidRPr="00E415F0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EBD4C4" w14:textId="77777777" w:rsid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Business in Mind: Promoting mental health in small-medium enterprises</w:t>
      </w:r>
      <w:r w:rsidRPr="00E41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0AF000" w14:textId="7BCD468A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UTAS, Griffith U, Menzies Medical Research Institute. Australian Research Council, </w:t>
      </w:r>
      <w:proofErr w:type="spellStart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beyondblue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WorksafeTAS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Tasmanian Chamber of Commerce &amp; Industry. </w:t>
      </w:r>
      <w:hyperlink r:id="rId14" w:history="1">
        <w:r w:rsidRPr="00841764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www.businessinmind.edu.au</w:t>
        </w:r>
      </w:hyperlink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1FA620D8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46C713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Martin, A., Kilpatrick, M., Scott, J., Cocker, F., Dawkins, S., Brough, P., Blizzard, L. &amp; Sanderson, K. (2018). Efficacy and acceptability of an intervention to promote mental health among small-to-medium enterprise owner/managers. </w:t>
      </w: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In preparation.</w:t>
      </w:r>
    </w:p>
    <w:p w14:paraId="0D4FFE1F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D4930C" w14:textId="77777777" w:rsidR="00422A2D" w:rsidRPr="00841764" w:rsidRDefault="00422A2D" w:rsidP="00841764">
      <w:pPr>
        <w:pStyle w:val="ListParagraph"/>
        <w:numPr>
          <w:ilvl w:val="0"/>
          <w:numId w:val="3"/>
        </w:numPr>
        <w:spacing w:after="0" w:line="240" w:lineRule="auto"/>
        <w:ind w:left="709" w:right="-7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Very high consumer satisfaction levels and a small but significant decrease in psychological distress with telephone supported group showing higher reductions. </w:t>
      </w:r>
    </w:p>
    <w:p w14:paraId="061A1E83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113153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Dawkins, S., Martin, A., Kilpatrick, M., &amp; Scott, J, (2018). Reasons for engagement: SME owner-manager motivations for engaging in a workplace mental health and wellbeing intervention”, </w:t>
      </w: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Journal of Occupational and Environmental Medicine,</w:t>
      </w: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1-40.  </w:t>
      </w:r>
    </w:p>
    <w:p w14:paraId="359E1DA9" w14:textId="77777777" w:rsidR="00422A2D" w:rsidRPr="00841764" w:rsidRDefault="00422A2D" w:rsidP="00405852">
      <w:pPr>
        <w:spacing w:after="0" w:line="240" w:lineRule="auto"/>
        <w:ind w:left="284" w:right="-7"/>
        <w:rPr>
          <w:rFonts w:ascii="Arial" w:eastAsia="Times New Roman" w:hAnsi="Arial" w:cs="Arial"/>
          <w:color w:val="333333"/>
          <w:sz w:val="22"/>
          <w:szCs w:val="22"/>
          <w:shd w:val="clear" w:color="auto" w:fill="F1F1F1"/>
          <w:lang w:val="en-AU" w:eastAsia="en-US"/>
        </w:rPr>
      </w:pPr>
    </w:p>
    <w:p w14:paraId="0DE4B470" w14:textId="77777777" w:rsidR="00422A2D" w:rsidRPr="00841764" w:rsidRDefault="00422A2D" w:rsidP="00841764">
      <w:pPr>
        <w:pStyle w:val="ListParagraph"/>
        <w:numPr>
          <w:ilvl w:val="0"/>
          <w:numId w:val="3"/>
        </w:numPr>
        <w:spacing w:after="0" w:line="240" w:lineRule="auto"/>
        <w:ind w:left="709" w:right="-7" w:hanging="357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Owner/manager psychological distress, experience of a recent stressful workplace, and low 12-month business confidence incident were important predictors of engagement.</w:t>
      </w:r>
    </w:p>
    <w:p w14:paraId="19EAF093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1C009B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Cocker, F., Martin, A., Scott, J., Venn, A., &amp; Sanderson, K. (2013). Psychological distress, related work attendance, and productivity loss in small-to-medium enterprise owner/managers. </w:t>
      </w: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Int. Journal of Environmental Research &amp; Public Health</w:t>
      </w: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, 10, 5062-5082.</w:t>
      </w:r>
    </w:p>
    <w:p w14:paraId="7E5025E7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CB08D3" w14:textId="77777777" w:rsidR="00422A2D" w:rsidRPr="00841764" w:rsidRDefault="00422A2D" w:rsidP="008417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7" w:hanging="283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36.8% SME owner/managers studied reported high/very high psychological distress. Of these, 38.7% </w:t>
      </w:r>
      <w:proofErr w:type="gramStart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reported  past</w:t>
      </w:r>
      <w:proofErr w:type="gramEnd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-month absenteeism, 82.5% reported past-month presenteeism, and those reporting presenteeism were 50% less productive as than usual. More information about the occurrence of psychological distress, work attendance </w:t>
      </w:r>
      <w:proofErr w:type="spellStart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behaviour</w:t>
      </w:r>
      <w:proofErr w:type="spellEnd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, and the variables that influence these decisions are needed to develop guidelines for the sector.</w:t>
      </w:r>
    </w:p>
    <w:p w14:paraId="7F1E74DE" w14:textId="77777777" w:rsidR="00422A2D" w:rsidRPr="00841764" w:rsidRDefault="00422A2D" w:rsidP="00841764">
      <w:pPr>
        <w:spacing w:after="0" w:line="240" w:lineRule="auto"/>
        <w:ind w:left="709" w:right="-7" w:hanging="283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302610B5" w14:textId="35C24D1D" w:rsidR="00841764" w:rsidRPr="00841764" w:rsidRDefault="00422A2D" w:rsidP="00405852">
      <w:pPr>
        <w:spacing w:after="0" w:line="240" w:lineRule="auto"/>
        <w:ind w:left="284" w:right="-7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 integrated approach to workplace mental health in small business</w:t>
      </w:r>
      <w:r w:rsidR="00841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41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E767045" w14:textId="13E81A0C" w:rsidR="00422A2D" w:rsidRPr="00841764" w:rsidRDefault="00422A2D" w:rsidP="00405852">
      <w:pPr>
        <w:spacing w:after="0" w:line="240" w:lineRule="auto"/>
        <w:ind w:left="284" w:right="-7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UTAS, Deakin U</w:t>
      </w:r>
      <w:r w:rsidR="0084176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0BDD837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1C84F4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Martin, A.J. &amp; LaMontagne, A.D. (2017). Applying the integrated approach to workplace mental health in SMEs: A matter of the “too hard basket” or picking some easy wins? In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Neilsen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K &amp;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Noblet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, A. (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Eds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Implementing and Evaluating Organizational Interventions</w:t>
      </w: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United Kingdom: Taylor &amp; Francis. </w:t>
      </w:r>
    </w:p>
    <w:p w14:paraId="27256FB7" w14:textId="77777777" w:rsidR="00422A2D" w:rsidRPr="00841764" w:rsidRDefault="00422A2D" w:rsidP="00405852">
      <w:pPr>
        <w:pStyle w:val="ListParagraph"/>
        <w:spacing w:after="0" w:line="240" w:lineRule="auto"/>
        <w:ind w:left="284" w:right="-7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623B88AF" w14:textId="77777777" w:rsidR="00422A2D" w:rsidRPr="00841764" w:rsidRDefault="00422A2D" w:rsidP="00841764">
      <w:pPr>
        <w:pStyle w:val="ListParagraph"/>
        <w:numPr>
          <w:ilvl w:val="0"/>
          <w:numId w:val="3"/>
        </w:numPr>
        <w:spacing w:after="0" w:line="240" w:lineRule="auto"/>
        <w:ind w:left="709" w:right="-7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Mental health prevention and promotion strategies for small and medium-sized enterprises are likely to differ from those applied in a large public </w:t>
      </w:r>
      <w:proofErr w:type="spellStart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organisation</w:t>
      </w:r>
      <w:proofErr w:type="spellEnd"/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or a corporate entity but are feasible and necessary.</w:t>
      </w:r>
    </w:p>
    <w:p w14:paraId="20F78D2C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EFA487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LaMontagne, A.D., Shann, C. &amp; Martin, A. (2018). Developing an Integrated Approach to Workplace Mental Health: A Hypothetical Conversation with a Small Business Owner. </w:t>
      </w: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Annals of Work Exposures and Health,</w:t>
      </w: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1–8. </w:t>
      </w:r>
    </w:p>
    <w:p w14:paraId="2B87BD30" w14:textId="77777777" w:rsidR="00422A2D" w:rsidRPr="00841764" w:rsidRDefault="00422A2D" w:rsidP="00405852">
      <w:pPr>
        <w:autoSpaceDE w:val="0"/>
        <w:autoSpaceDN w:val="0"/>
        <w:adjustRightInd w:val="0"/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71B4BB" w14:textId="77777777" w:rsidR="00422A2D" w:rsidRPr="00841764" w:rsidRDefault="00422A2D" w:rsidP="008417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7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Representing an effort in knowledge translation, we attempt to convince the small business owner/operator to begin taking action.</w:t>
      </w:r>
    </w:p>
    <w:p w14:paraId="522F18B0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D906215" w14:textId="77777777" w:rsidR="00841764" w:rsidRPr="00841764" w:rsidRDefault="00422A2D" w:rsidP="00405852">
      <w:pPr>
        <w:spacing w:after="0" w:line="240" w:lineRule="auto"/>
        <w:ind w:left="284" w:right="-7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Self-employment and the work/family interface.</w:t>
      </w:r>
      <w:r w:rsidRPr="00841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3D2FEF6" w14:textId="270FC155" w:rsidR="00422A2D" w:rsidRPr="00841764" w:rsidRDefault="00422A2D" w:rsidP="00405852">
      <w:pPr>
        <w:spacing w:after="0" w:line="240" w:lineRule="auto"/>
        <w:ind w:left="284" w:right="-7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ANU, UTAS,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LaTrobe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U, U of Southern Florida, USA.</w:t>
      </w:r>
    </w:p>
    <w:p w14:paraId="008C1A35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9D61A07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Dinh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, H., Martin, A.</w:t>
      </w:r>
      <w:proofErr w:type="gram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Cooklin</w:t>
      </w:r>
      <w:proofErr w:type="spellEnd"/>
      <w:proofErr w:type="gram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A., Leach, L.,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Strazdins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L., Allen, T &amp; Nicholson, J. (2018). Is self-employment a good option for </w:t>
      </w:r>
      <w:proofErr w:type="spellStart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>optimising</w:t>
      </w:r>
      <w:proofErr w:type="spellEnd"/>
      <w:r w:rsidRPr="008417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work-family interface in early parenting? </w:t>
      </w: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In preparation.</w:t>
      </w:r>
    </w:p>
    <w:p w14:paraId="45B14FEB" w14:textId="77777777" w:rsidR="00422A2D" w:rsidRPr="00841764" w:rsidRDefault="00422A2D" w:rsidP="00405852">
      <w:pPr>
        <w:spacing w:after="0" w:line="240" w:lineRule="auto"/>
        <w:ind w:left="284" w:right="-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53B364" w14:textId="77777777" w:rsidR="00422A2D" w:rsidRPr="00841764" w:rsidRDefault="00422A2D" w:rsidP="00841764">
      <w:pPr>
        <w:pStyle w:val="ListParagraph"/>
        <w:numPr>
          <w:ilvl w:val="0"/>
          <w:numId w:val="3"/>
        </w:numPr>
        <w:spacing w:after="0" w:line="240" w:lineRule="auto"/>
        <w:ind w:left="709" w:right="-7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4176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Self-employment and working hours pattern differently for fathers than mothers. Identity/motivations for self-employment, and interface with non-paid caring work are important to consider. </w:t>
      </w:r>
    </w:p>
    <w:p w14:paraId="2C15CA5D" w14:textId="77777777" w:rsidR="00422A2D" w:rsidRPr="00841764" w:rsidRDefault="00422A2D" w:rsidP="00841764">
      <w:pPr>
        <w:spacing w:after="0" w:line="240" w:lineRule="auto"/>
        <w:ind w:left="709" w:right="-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AFF2372" w14:textId="77777777" w:rsidR="00422A2D" w:rsidRPr="00841764" w:rsidRDefault="00422A2D" w:rsidP="00405852">
      <w:pPr>
        <w:ind w:left="284" w:right="-7"/>
        <w:rPr>
          <w:sz w:val="22"/>
          <w:szCs w:val="22"/>
        </w:rPr>
      </w:pPr>
    </w:p>
    <w:sectPr w:rsidR="00422A2D" w:rsidRPr="00841764" w:rsidSect="002C6C95">
      <w:pgSz w:w="11900" w:h="16840"/>
      <w:pgMar w:top="567" w:right="567" w:bottom="567" w:left="567" w:header="709" w:footer="709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F36"/>
    <w:multiLevelType w:val="hybridMultilevel"/>
    <w:tmpl w:val="77C2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741D2"/>
    <w:multiLevelType w:val="hybridMultilevel"/>
    <w:tmpl w:val="E1CAB1A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2353C14"/>
    <w:multiLevelType w:val="hybridMultilevel"/>
    <w:tmpl w:val="8F50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2D"/>
    <w:rsid w:val="002C6C95"/>
    <w:rsid w:val="00405852"/>
    <w:rsid w:val="00422A2D"/>
    <w:rsid w:val="00604B5A"/>
    <w:rsid w:val="006D008B"/>
    <w:rsid w:val="00841764"/>
    <w:rsid w:val="00886386"/>
    <w:rsid w:val="008E4D38"/>
    <w:rsid w:val="009C6C26"/>
    <w:rsid w:val="00A85D13"/>
    <w:rsid w:val="00C614BC"/>
    <w:rsid w:val="00D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CDB4"/>
  <w15:chartTrackingRefBased/>
  <w15:docId w15:val="{26672AC6-64E2-E145-AF79-A22CEA7A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D"/>
    <w:pPr>
      <w:spacing w:after="180" w:line="312" w:lineRule="auto"/>
    </w:pPr>
    <w:rPr>
      <w:color w:val="7F7F7F" w:themeColor="text1" w:themeTint="8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422A2D"/>
    <w:pPr>
      <w:ind w:left="216"/>
      <w:contextualSpacing/>
    </w:pPr>
  </w:style>
  <w:style w:type="character" w:styleId="Hyperlink">
    <w:name w:val="Hyperlink"/>
    <w:basedOn w:val="DefaultParagraphFont"/>
    <w:uiPriority w:val="99"/>
    <w:unhideWhenUsed/>
    <w:rsid w:val="00422A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A2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D0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racademia.com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usinessinmind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7BA25F65048F42889144009F32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794D-0359-8145-8002-C78C296C7E27}"/>
      </w:docPartPr>
      <w:docPartBody>
        <w:p w:rsidR="00A51BCF" w:rsidRDefault="008A482F" w:rsidP="008A482F">
          <w:pPr>
            <w:pStyle w:val="E37BA25F65048F42889144009F320C1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2F"/>
    <w:rsid w:val="006D235C"/>
    <w:rsid w:val="006D789A"/>
    <w:rsid w:val="008A482F"/>
    <w:rsid w:val="00A5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7BA25F65048F42889144009F320C1A">
    <w:name w:val="E37BA25F65048F42889144009F320C1A"/>
    <w:rsid w:val="008A4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25eb8b3a0a0746ee59b3f1943d232024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2b9f580987b104ddc84656c14b506131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Props1.xml><?xml version="1.0" encoding="utf-8"?>
<ds:datastoreItem xmlns:ds="http://schemas.openxmlformats.org/officeDocument/2006/customXml" ds:itemID="{FB3A9205-4B72-4426-970C-E468B7C39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656C9-9CDB-44FD-BC81-F08CAB28D5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1029B5-9995-4DAC-8677-376ED776B8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F602DE2-9F65-4177-A772-09C60638F3A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31ED99F-E5E4-45E9-A19F-2F069319C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7251F9-8BB6-4EF5-A2D4-7E4DBC32E06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3f4bcce7-ac1a-4c9d-aa3e-7e77695652db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14 - University of Tasmania - Mental Health - Public inquiry</vt:lpstr>
    </vt:vector>
  </TitlesOfParts>
  <Company>University of Tasmania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14 - University of Tasmania - Mental Health - Public inquiry</dc:title>
  <dc:subject/>
  <dc:creator>University of Tasmania</dc:creator>
  <cp:keywords/>
  <dc:description/>
  <cp:lastModifiedBy>Productivity Commission</cp:lastModifiedBy>
  <cp:revision>8</cp:revision>
  <dcterms:created xsi:type="dcterms:W3CDTF">2018-12-10T01:19:00Z</dcterms:created>
  <dcterms:modified xsi:type="dcterms:W3CDTF">2019-02-17T23:43:00Z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