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0703B" w:rsidRDefault="0040703B">
      <w:pPr>
        <w:pStyle w:val="Body"/>
      </w:pPr>
      <w:bookmarkStart w:id="0" w:name="_GoBack"/>
      <w:bookmarkEnd w:id="0"/>
    </w:p>
    <w:p w:rsidR="0040703B" w:rsidRDefault="0040703B">
      <w:pPr>
        <w:pStyle w:val="Body"/>
      </w:pPr>
    </w:p>
    <w:p w:rsidR="0040703B" w:rsidRDefault="0040703B">
      <w:pPr>
        <w:pStyle w:val="Body"/>
      </w:pPr>
    </w:p>
    <w:p w:rsidR="0040703B" w:rsidRDefault="0040703B">
      <w:pPr>
        <w:pStyle w:val="Body"/>
      </w:pPr>
    </w:p>
    <w:p w:rsidR="0040703B" w:rsidRDefault="0040703B">
      <w:pPr>
        <w:pStyle w:val="Body"/>
      </w:pPr>
    </w:p>
    <w:p w:rsidR="0040703B" w:rsidRDefault="0040703B">
      <w:pPr>
        <w:pStyle w:val="Body"/>
      </w:pPr>
    </w:p>
    <w:p w:rsidR="0040703B" w:rsidRDefault="0040703B">
      <w:pPr>
        <w:pStyle w:val="Body"/>
      </w:pPr>
    </w:p>
    <w:p w:rsidR="0040703B" w:rsidRDefault="0040703B">
      <w:pPr>
        <w:pStyle w:val="Body"/>
      </w:pPr>
    </w:p>
    <w:p w:rsidR="0040703B" w:rsidRDefault="0040703B">
      <w:pPr>
        <w:pStyle w:val="Body"/>
      </w:pPr>
    </w:p>
    <w:p w:rsidR="0040703B" w:rsidRDefault="0040703B">
      <w:pPr>
        <w:pStyle w:val="Body"/>
      </w:pPr>
    </w:p>
    <w:p w:rsidR="0040703B" w:rsidRDefault="0040703B">
      <w:pPr>
        <w:pStyle w:val="Body"/>
      </w:pPr>
    </w:p>
    <w:p w:rsidR="0040703B" w:rsidRDefault="0040703B">
      <w:pPr>
        <w:pStyle w:val="Body"/>
      </w:pPr>
    </w:p>
    <w:p w:rsidR="0040703B" w:rsidRDefault="0040703B">
      <w:pPr>
        <w:pStyle w:val="Body"/>
      </w:pPr>
    </w:p>
    <w:p w:rsidR="0040703B" w:rsidRDefault="009C6D5B">
      <w:pPr>
        <w:pStyle w:val="Body"/>
        <w:rPr>
          <w:sz w:val="28"/>
          <w:szCs w:val="28"/>
          <w:u w:val="single"/>
        </w:rPr>
      </w:pPr>
      <w:r>
        <w:rPr>
          <w:sz w:val="28"/>
          <w:szCs w:val="28"/>
          <w:u w:val="single"/>
          <w:lang w:val="en-US"/>
        </w:rPr>
        <w:t>ADDENDUM 2 -  TO PRODUCTIVITY COMMISSION DRAFT REPORT 2018</w:t>
      </w:r>
    </w:p>
    <w:p w:rsidR="0040703B" w:rsidRDefault="009C6D5B">
      <w:pPr>
        <w:pStyle w:val="Body"/>
        <w:rPr>
          <w:sz w:val="28"/>
          <w:szCs w:val="28"/>
          <w:u w:val="single"/>
        </w:rPr>
      </w:pPr>
      <w:r>
        <w:rPr>
          <w:sz w:val="28"/>
          <w:szCs w:val="28"/>
          <w:u w:val="single"/>
          <w:lang w:val="en-US"/>
        </w:rPr>
        <w:t>TRANSITIONAL MANAGEMENT OF OUR DEFENCE FORCE PERSONNEL</w:t>
      </w:r>
    </w:p>
    <w:p w:rsidR="0040703B" w:rsidRDefault="0040703B">
      <w:pPr>
        <w:pStyle w:val="Body"/>
        <w:rPr>
          <w:sz w:val="28"/>
          <w:szCs w:val="28"/>
        </w:rPr>
      </w:pPr>
    </w:p>
    <w:p w:rsidR="0040703B" w:rsidRDefault="009C6D5B">
      <w:pPr>
        <w:pStyle w:val="Body"/>
        <w:rPr>
          <w:sz w:val="28"/>
          <w:szCs w:val="28"/>
        </w:rPr>
      </w:pPr>
      <w:r>
        <w:rPr>
          <w:sz w:val="28"/>
          <w:szCs w:val="28"/>
          <w:lang w:val="en-US"/>
        </w:rPr>
        <w:t xml:space="preserve">It is with much disgust I write this addition to the draft report. Today I have assisted an </w:t>
      </w:r>
      <w:proofErr w:type="spellStart"/>
      <w:r>
        <w:rPr>
          <w:sz w:val="28"/>
          <w:szCs w:val="28"/>
          <w:lang w:val="en-US"/>
        </w:rPr>
        <w:t>ex soldier</w:t>
      </w:r>
      <w:proofErr w:type="spellEnd"/>
      <w:r>
        <w:rPr>
          <w:sz w:val="28"/>
          <w:szCs w:val="28"/>
          <w:lang w:val="en-US"/>
        </w:rPr>
        <w:t xml:space="preserve"> with his DVA claims. The soldier has had some claims accepted under the DRCA and MRCA. The soldier has had problems receiving Incapacity Payments from the DVA . He has been told by the DVA that they cannot pay this payment, due to his </w:t>
      </w:r>
      <w:proofErr w:type="spellStart"/>
      <w:r>
        <w:rPr>
          <w:sz w:val="28"/>
          <w:szCs w:val="28"/>
          <w:lang w:val="en-US"/>
        </w:rPr>
        <w:t>Defence</w:t>
      </w:r>
      <w:proofErr w:type="spellEnd"/>
      <w:r>
        <w:rPr>
          <w:sz w:val="28"/>
          <w:szCs w:val="28"/>
          <w:lang w:val="en-US"/>
        </w:rPr>
        <w:t xml:space="preserve"> Documentation missing the Discharge Certificate.</w:t>
      </w:r>
    </w:p>
    <w:p w:rsidR="0040703B" w:rsidRDefault="009C6D5B">
      <w:pPr>
        <w:pStyle w:val="Body"/>
        <w:rPr>
          <w:sz w:val="28"/>
          <w:szCs w:val="28"/>
        </w:rPr>
      </w:pPr>
      <w:r>
        <w:rPr>
          <w:sz w:val="28"/>
          <w:szCs w:val="28"/>
          <w:lang w:val="en-US"/>
        </w:rPr>
        <w:t xml:space="preserve"> </w:t>
      </w:r>
    </w:p>
    <w:p w:rsidR="0040703B" w:rsidRDefault="009C6D5B">
      <w:pPr>
        <w:pStyle w:val="Body"/>
        <w:rPr>
          <w:sz w:val="28"/>
          <w:szCs w:val="28"/>
        </w:rPr>
      </w:pPr>
      <w:proofErr w:type="spellStart"/>
      <w:r>
        <w:rPr>
          <w:sz w:val="28"/>
          <w:szCs w:val="28"/>
          <w:lang w:val="en-US"/>
        </w:rPr>
        <w:t>Defence</w:t>
      </w:r>
      <w:proofErr w:type="spellEnd"/>
      <w:r>
        <w:rPr>
          <w:sz w:val="28"/>
          <w:szCs w:val="28"/>
          <w:lang w:val="en-US"/>
        </w:rPr>
        <w:t xml:space="preserve"> ( Army Office this time) had neglected to complete, or had misplaced or lost the said documentation. They have informed the </w:t>
      </w:r>
      <w:proofErr w:type="spellStart"/>
      <w:r>
        <w:rPr>
          <w:sz w:val="28"/>
          <w:szCs w:val="28"/>
          <w:lang w:val="en-US"/>
        </w:rPr>
        <w:t>ex serviceman</w:t>
      </w:r>
      <w:proofErr w:type="spellEnd"/>
      <w:r>
        <w:rPr>
          <w:sz w:val="28"/>
          <w:szCs w:val="28"/>
          <w:lang w:val="en-US"/>
        </w:rPr>
        <w:t xml:space="preserve"> that they have NO RECORD of him being discharged from the Army. They do have a record of him serving. ( perhaps he should turn up at </w:t>
      </w:r>
      <w:proofErr w:type="spellStart"/>
      <w:r>
        <w:rPr>
          <w:sz w:val="28"/>
          <w:szCs w:val="28"/>
          <w:lang w:val="en-US"/>
        </w:rPr>
        <w:t>Kapooka</w:t>
      </w:r>
      <w:proofErr w:type="spellEnd"/>
      <w:r>
        <w:rPr>
          <w:sz w:val="28"/>
          <w:szCs w:val="28"/>
          <w:lang w:val="en-US"/>
        </w:rPr>
        <w:t xml:space="preserve"> ready for work?)</w:t>
      </w:r>
    </w:p>
    <w:p w:rsidR="0040703B" w:rsidRDefault="0040703B">
      <w:pPr>
        <w:pStyle w:val="Body"/>
        <w:rPr>
          <w:sz w:val="28"/>
          <w:szCs w:val="28"/>
        </w:rPr>
      </w:pPr>
    </w:p>
    <w:p w:rsidR="0040703B" w:rsidRDefault="009C6D5B">
      <w:pPr>
        <w:pStyle w:val="Body"/>
        <w:rPr>
          <w:sz w:val="28"/>
          <w:szCs w:val="28"/>
        </w:rPr>
      </w:pPr>
      <w:r>
        <w:rPr>
          <w:sz w:val="28"/>
          <w:szCs w:val="28"/>
          <w:lang w:val="en-US"/>
        </w:rPr>
        <w:t xml:space="preserve">I conducted a in depth interview and found that he was never informed of having to submit his advice to </w:t>
      </w:r>
      <w:proofErr w:type="spellStart"/>
      <w:r>
        <w:rPr>
          <w:sz w:val="28"/>
          <w:szCs w:val="28"/>
          <w:lang w:val="en-US"/>
        </w:rPr>
        <w:t>Comsuper</w:t>
      </w:r>
      <w:proofErr w:type="spellEnd"/>
      <w:r>
        <w:rPr>
          <w:sz w:val="28"/>
          <w:szCs w:val="28"/>
          <w:lang w:val="en-US"/>
        </w:rPr>
        <w:t xml:space="preserve"> (MSBS) that he was being discharged from Army, on the grounds of Medical Discharge, unfit for service due to medical conditions. The normal time (as </w:t>
      </w:r>
      <w:r>
        <w:rPr>
          <w:noProof/>
        </w:rPr>
        <mc:AlternateContent>
          <mc:Choice Requires="wps">
            <w:drawing>
              <wp:anchor distT="0" distB="0" distL="0" distR="0" simplePos="0" relativeHeight="251659264" behindDoc="0" locked="0" layoutInCell="1" allowOverlap="1">
                <wp:simplePos x="0" y="0"/>
                <wp:positionH relativeFrom="page">
                  <wp:posOffset>539999</wp:posOffset>
                </wp:positionH>
                <wp:positionV relativeFrom="page">
                  <wp:posOffset>142980</wp:posOffset>
                </wp:positionV>
                <wp:extent cx="6476882" cy="2400052"/>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6476882" cy="2400052"/>
                        </a:xfrm>
                        <a:prstGeom prst="rect">
                          <a:avLst/>
                        </a:prstGeom>
                      </wps:spPr>
                      <wps:txbx>
                        <w:txbxContent>
                          <w:tbl>
                            <w:tblPr>
                              <w:tblW w:w="101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11"/>
                              <w:gridCol w:w="2811"/>
                              <w:gridCol w:w="3877"/>
                            </w:tblGrid>
                            <w:tr w:rsidR="0040703B">
                              <w:trPr>
                                <w:trHeight w:val="960"/>
                              </w:trPr>
                              <w:tc>
                                <w:tcPr>
                                  <w:tcW w:w="10199" w:type="dxa"/>
                                  <w:gridSpan w:val="3"/>
                                  <w:tcBorders>
                                    <w:top w:val="nil"/>
                                    <w:left w:val="nil"/>
                                    <w:bottom w:val="nil"/>
                                    <w:right w:val="nil"/>
                                  </w:tcBorders>
                                  <w:shd w:val="clear" w:color="auto" w:fill="auto"/>
                                  <w:tcMar>
                                    <w:top w:w="80" w:type="dxa"/>
                                    <w:left w:w="80" w:type="dxa"/>
                                    <w:bottom w:w="80" w:type="dxa"/>
                                    <w:right w:w="80" w:type="dxa"/>
                                  </w:tcMar>
                                </w:tcPr>
                                <w:p w:rsidR="0040703B" w:rsidRDefault="009C6D5B">
                                  <w:pPr>
                                    <w:tabs>
                                      <w:tab w:val="left" w:pos="7122"/>
                                    </w:tabs>
                                    <w:jc w:val="center"/>
                                    <w:rPr>
                                      <w:rFonts w:ascii="Helvetica" w:eastAsia="Helvetica" w:hAnsi="Helvetica" w:cs="Helvetica"/>
                                      <w:b/>
                                      <w:bCs/>
                                    </w:rPr>
                                  </w:pPr>
                                  <w:r>
                                    <w:rPr>
                                      <w:rFonts w:ascii="Helvetica" w:hAnsi="Helvetica"/>
                                      <w:b/>
                                      <w:bCs/>
                                      <w:sz w:val="32"/>
                                      <w:szCs w:val="32"/>
                                    </w:rPr>
                                    <w:t xml:space="preserve">INTEGRATED SERVICEPEOPLE’S ASSOCIATION OF AUSTRALIA </w:t>
                                  </w:r>
                                  <w:r>
                                    <w:rPr>
                                      <w:rFonts w:ascii="Helvetica" w:hAnsi="Helvetica"/>
                                      <w:b/>
                                      <w:bCs/>
                                    </w:rPr>
                                    <w:t>(Inc)</w:t>
                                  </w:r>
                                </w:p>
                                <w:p w:rsidR="0040703B" w:rsidRDefault="009C6D5B">
                                  <w:pPr>
                                    <w:tabs>
                                      <w:tab w:val="left" w:pos="7122"/>
                                    </w:tabs>
                                    <w:jc w:val="center"/>
                                  </w:pPr>
                                  <w:r>
                                    <w:rPr>
                                      <w:rFonts w:ascii="Helvetica" w:hAnsi="Helvetica"/>
                                      <w:b/>
                                      <w:bCs/>
                                      <w:sz w:val="20"/>
                                      <w:szCs w:val="20"/>
                                    </w:rPr>
                                    <w:t>ABN: 90 268 122 115                          New South Wales                                 Permit No: CFN 18086</w:t>
                                  </w:r>
                                </w:p>
                              </w:tc>
                            </w:tr>
                            <w:tr w:rsidR="0040703B">
                              <w:trPr>
                                <w:trHeight w:val="290"/>
                              </w:trPr>
                              <w:tc>
                                <w:tcPr>
                                  <w:tcW w:w="10199" w:type="dxa"/>
                                  <w:gridSpan w:val="3"/>
                                  <w:tcBorders>
                                    <w:top w:val="nil"/>
                                    <w:left w:val="nil"/>
                                    <w:bottom w:val="nil"/>
                                    <w:right w:val="nil"/>
                                  </w:tcBorders>
                                  <w:shd w:val="clear" w:color="auto" w:fill="auto"/>
                                  <w:tcMar>
                                    <w:top w:w="80" w:type="dxa"/>
                                    <w:left w:w="80" w:type="dxa"/>
                                    <w:bottom w:w="80" w:type="dxa"/>
                                    <w:right w:w="80" w:type="dxa"/>
                                  </w:tcMar>
                                </w:tcPr>
                                <w:p w:rsidR="0040703B" w:rsidRDefault="009C6D5B">
                                  <w:pPr>
                                    <w:tabs>
                                      <w:tab w:val="left" w:pos="7122"/>
                                    </w:tabs>
                                    <w:jc w:val="right"/>
                                  </w:pPr>
                                  <w:r>
                                    <w:rPr>
                                      <w:b/>
                                      <w:bCs/>
                                      <w:i/>
                                      <w:iCs/>
                                      <w:sz w:val="24"/>
                                      <w:szCs w:val="24"/>
                                    </w:rPr>
                                    <w:t xml:space="preserve"> Official Patrons: Michael McCormack  MP</w:t>
                                  </w:r>
                                </w:p>
                              </w:tc>
                            </w:tr>
                            <w:tr w:rsidR="0040703B">
                              <w:trPr>
                                <w:trHeight w:val="2030"/>
                              </w:trPr>
                              <w:tc>
                                <w:tcPr>
                                  <w:tcW w:w="3511" w:type="dxa"/>
                                  <w:tcBorders>
                                    <w:top w:val="nil"/>
                                    <w:left w:val="nil"/>
                                    <w:bottom w:val="single" w:sz="2" w:space="0" w:color="000000"/>
                                    <w:right w:val="nil"/>
                                  </w:tcBorders>
                                  <w:shd w:val="clear" w:color="auto" w:fill="auto"/>
                                  <w:tcMar>
                                    <w:top w:w="80" w:type="dxa"/>
                                    <w:left w:w="80" w:type="dxa"/>
                                    <w:bottom w:w="80" w:type="dxa"/>
                                    <w:right w:w="80" w:type="dxa"/>
                                  </w:tcMar>
                                </w:tcPr>
                                <w:p w:rsidR="0040703B" w:rsidRDefault="009C6D5B">
                                  <w:pPr>
                                    <w:tabs>
                                      <w:tab w:val="left" w:pos="7003"/>
                                    </w:tabs>
                                  </w:pPr>
                                  <w:r>
                                    <w:rPr>
                                      <w:sz w:val="24"/>
                                      <w:szCs w:val="24"/>
                                    </w:rPr>
                                    <w:t xml:space="preserve"> </w:t>
                                  </w:r>
                                </w:p>
                              </w:tc>
                              <w:tc>
                                <w:tcPr>
                                  <w:tcW w:w="2811" w:type="dxa"/>
                                  <w:tcBorders>
                                    <w:top w:val="nil"/>
                                    <w:left w:val="nil"/>
                                    <w:bottom w:val="single" w:sz="2" w:space="0" w:color="000000"/>
                                    <w:right w:val="nil"/>
                                  </w:tcBorders>
                                  <w:shd w:val="clear" w:color="auto" w:fill="auto"/>
                                  <w:tcMar>
                                    <w:top w:w="80" w:type="dxa"/>
                                    <w:left w:w="80" w:type="dxa"/>
                                    <w:bottom w:w="80" w:type="dxa"/>
                                    <w:right w:w="80" w:type="dxa"/>
                                  </w:tcMar>
                                </w:tcPr>
                                <w:p w:rsidR="0040703B" w:rsidRDefault="009C6D5B">
                                  <w:pPr>
                                    <w:pStyle w:val="TableStyle2"/>
                                    <w:jc w:val="center"/>
                                  </w:pPr>
                                  <w:r>
                                    <w:rPr>
                                      <w:noProof/>
                                    </w:rPr>
                                    <w:drawing>
                                      <wp:inline distT="0" distB="0" distL="0" distR="0">
                                        <wp:extent cx="1265013" cy="125832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6">
                                                  <a:extLst/>
                                                </a:blip>
                                                <a:stretch>
                                                  <a:fillRect/>
                                                </a:stretch>
                                              </pic:blipFill>
                                              <pic:spPr>
                                                <a:xfrm>
                                                  <a:off x="0" y="0"/>
                                                  <a:ext cx="1265013" cy="1258320"/>
                                                </a:xfrm>
                                                <a:prstGeom prst="rect">
                                                  <a:avLst/>
                                                </a:prstGeom>
                                                <a:effectLst/>
                                              </pic:spPr>
                                            </pic:pic>
                                          </a:graphicData>
                                        </a:graphic>
                                      </wp:inline>
                                    </w:drawing>
                                  </w:r>
                                </w:p>
                              </w:tc>
                              <w:tc>
                                <w:tcPr>
                                  <w:tcW w:w="3877" w:type="dxa"/>
                                  <w:tcBorders>
                                    <w:top w:val="nil"/>
                                    <w:left w:val="nil"/>
                                    <w:bottom w:val="single" w:sz="2" w:space="0" w:color="000000"/>
                                    <w:right w:val="nil"/>
                                  </w:tcBorders>
                                  <w:shd w:val="clear" w:color="auto" w:fill="auto"/>
                                  <w:tcMar>
                                    <w:top w:w="80" w:type="dxa"/>
                                    <w:left w:w="80" w:type="dxa"/>
                                    <w:bottom w:w="80" w:type="dxa"/>
                                    <w:right w:w="80" w:type="dxa"/>
                                  </w:tcMar>
                                </w:tcPr>
                                <w:p w:rsidR="0040703B" w:rsidRDefault="0040703B">
                                  <w:pPr>
                                    <w:tabs>
                                      <w:tab w:val="left" w:pos="7003"/>
                                    </w:tabs>
                                    <w:rPr>
                                      <w:sz w:val="24"/>
                                      <w:szCs w:val="24"/>
                                    </w:rPr>
                                  </w:pPr>
                                </w:p>
                                <w:p w:rsidR="0040703B" w:rsidRDefault="0040703B">
                                  <w:pPr>
                                    <w:tabs>
                                      <w:tab w:val="left" w:pos="7003"/>
                                    </w:tabs>
                                  </w:pPr>
                                </w:p>
                              </w:tc>
                            </w:tr>
                          </w:tbl>
                          <w:p w:rsidR="00461EC1" w:rsidRDefault="00461EC1"/>
                        </w:txbxContent>
                      </wps:txbx>
                      <wps:bodyPr lIns="0" tIns="0" rIns="0" bIns="0">
                        <a:spAutoFit/>
                      </wps:bodyPr>
                    </wps:wsp>
                  </a:graphicData>
                </a:graphic>
              </wp:anchor>
            </w:drawing>
          </mc:Choice>
          <mc:Fallback>
            <w:pict>
              <v:rect id="officeArt object" o:spid="_x0000_s1026" style="position:absolute;margin-left:42.5pt;margin-top:11.25pt;width:510pt;height:189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" filled="f" stroked="f">
                <v:textbox style="mso-fit-shape-to-text:t" inset="0,0,0,0">
                  <w:txbxContent>
                    <w:tbl>
                      <w:tblPr>
                        <w:tblW w:w="101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11"/>
                        <w:gridCol w:w="2811"/>
                        <w:gridCol w:w="3877"/>
                      </w:tblGrid>
                      <w:tr w:rsidR="0040703B">
                        <w:trPr>
                          <w:trHeight w:val="960"/>
                        </w:trPr>
                        <w:tc>
                          <w:tcPr>
                            <w:tcW w:w="10199" w:type="dxa"/>
                            <w:gridSpan w:val="3"/>
                            <w:tcBorders>
                              <w:top w:val="nil"/>
                              <w:left w:val="nil"/>
                              <w:bottom w:val="nil"/>
                              <w:right w:val="nil"/>
                            </w:tcBorders>
                            <w:shd w:val="clear" w:color="auto" w:fill="auto"/>
                            <w:tcMar>
                              <w:top w:w="80" w:type="dxa"/>
                              <w:left w:w="80" w:type="dxa"/>
                              <w:bottom w:w="80" w:type="dxa"/>
                              <w:right w:w="80" w:type="dxa"/>
                            </w:tcMar>
                          </w:tcPr>
                          <w:p w:rsidR="0040703B" w:rsidRDefault="009C6D5B">
                            <w:pPr>
                              <w:tabs>
                                <w:tab w:val="left" w:pos="7122"/>
                              </w:tabs>
                              <w:jc w:val="center"/>
                              <w:rPr>
                                <w:rFonts w:ascii="Helvetica" w:eastAsia="Helvetica" w:hAnsi="Helvetica" w:cs="Helvetica"/>
                                <w:b/>
                                <w:bCs/>
                              </w:rPr>
                            </w:pPr>
                            <w:r>
                              <w:rPr>
                                <w:rFonts w:ascii="Helvetica" w:hAnsi="Helvetica"/>
                                <w:b/>
                                <w:bCs/>
                                <w:sz w:val="32"/>
                                <w:szCs w:val="32"/>
                              </w:rPr>
                              <w:t xml:space="preserve">INTEGRATED SERVICEPEOPLE’S ASSOCIATION OF AUSTRALIA </w:t>
                            </w:r>
                            <w:r>
                              <w:rPr>
                                <w:rFonts w:ascii="Helvetica" w:hAnsi="Helvetica"/>
                                <w:b/>
                                <w:bCs/>
                              </w:rPr>
                              <w:t>(Inc)</w:t>
                            </w:r>
                          </w:p>
                          <w:p w:rsidR="0040703B" w:rsidRDefault="009C6D5B">
                            <w:pPr>
                              <w:tabs>
                                <w:tab w:val="left" w:pos="7122"/>
                              </w:tabs>
                              <w:jc w:val="center"/>
                            </w:pPr>
                            <w:r>
                              <w:rPr>
                                <w:rFonts w:ascii="Helvetica" w:hAnsi="Helvetica"/>
                                <w:b/>
                                <w:bCs/>
                                <w:sz w:val="20"/>
                                <w:szCs w:val="20"/>
                              </w:rPr>
                              <w:t>ABN: 90 268 122 115                          New South Wales                                 Permit No: CFN 18086</w:t>
                            </w:r>
                          </w:p>
                        </w:tc>
                      </w:tr>
                      <w:tr w:rsidR="0040703B">
                        <w:trPr>
                          <w:trHeight w:val="290"/>
                        </w:trPr>
                        <w:tc>
                          <w:tcPr>
                            <w:tcW w:w="10199" w:type="dxa"/>
                            <w:gridSpan w:val="3"/>
                            <w:tcBorders>
                              <w:top w:val="nil"/>
                              <w:left w:val="nil"/>
                              <w:bottom w:val="nil"/>
                              <w:right w:val="nil"/>
                            </w:tcBorders>
                            <w:shd w:val="clear" w:color="auto" w:fill="auto"/>
                            <w:tcMar>
                              <w:top w:w="80" w:type="dxa"/>
                              <w:left w:w="80" w:type="dxa"/>
                              <w:bottom w:w="80" w:type="dxa"/>
                              <w:right w:w="80" w:type="dxa"/>
                            </w:tcMar>
                          </w:tcPr>
                          <w:p w:rsidR="0040703B" w:rsidRDefault="009C6D5B">
                            <w:pPr>
                              <w:tabs>
                                <w:tab w:val="left" w:pos="7122"/>
                              </w:tabs>
                              <w:jc w:val="right"/>
                            </w:pPr>
                            <w:r>
                              <w:rPr>
                                <w:b/>
                                <w:bCs/>
                                <w:i/>
                                <w:iCs/>
                                <w:sz w:val="24"/>
                                <w:szCs w:val="24"/>
                              </w:rPr>
                              <w:t xml:space="preserve"> Official Patrons: Michael McCormack  MP</w:t>
                            </w:r>
                          </w:p>
                        </w:tc>
                      </w:tr>
                      <w:tr w:rsidR="0040703B">
                        <w:trPr>
                          <w:trHeight w:val="2030"/>
                        </w:trPr>
                        <w:tc>
                          <w:tcPr>
                            <w:tcW w:w="3511" w:type="dxa"/>
                            <w:tcBorders>
                              <w:top w:val="nil"/>
                              <w:left w:val="nil"/>
                              <w:bottom w:val="single" w:sz="2" w:space="0" w:color="000000"/>
                              <w:right w:val="nil"/>
                            </w:tcBorders>
                            <w:shd w:val="clear" w:color="auto" w:fill="auto"/>
                            <w:tcMar>
                              <w:top w:w="80" w:type="dxa"/>
                              <w:left w:w="80" w:type="dxa"/>
                              <w:bottom w:w="80" w:type="dxa"/>
                              <w:right w:w="80" w:type="dxa"/>
                            </w:tcMar>
                          </w:tcPr>
                          <w:p w:rsidR="0040703B" w:rsidRDefault="009C6D5B">
                            <w:pPr>
                              <w:tabs>
                                <w:tab w:val="left" w:pos="7003"/>
                              </w:tabs>
                            </w:pPr>
                            <w:r>
                              <w:rPr>
                                <w:sz w:val="24"/>
                                <w:szCs w:val="24"/>
                              </w:rPr>
                              <w:t xml:space="preserve"> </w:t>
                            </w:r>
                          </w:p>
                        </w:tc>
                        <w:tc>
                          <w:tcPr>
                            <w:tcW w:w="2811" w:type="dxa"/>
                            <w:tcBorders>
                              <w:top w:val="nil"/>
                              <w:left w:val="nil"/>
                              <w:bottom w:val="single" w:sz="2" w:space="0" w:color="000000"/>
                              <w:right w:val="nil"/>
                            </w:tcBorders>
                            <w:shd w:val="clear" w:color="auto" w:fill="auto"/>
                            <w:tcMar>
                              <w:top w:w="80" w:type="dxa"/>
                              <w:left w:w="80" w:type="dxa"/>
                              <w:bottom w:w="80" w:type="dxa"/>
                              <w:right w:w="80" w:type="dxa"/>
                            </w:tcMar>
                          </w:tcPr>
                          <w:p w:rsidR="0040703B" w:rsidRDefault="009C6D5B">
                            <w:pPr>
                              <w:pStyle w:val="TableStyle2"/>
                              <w:jc w:val="center"/>
                            </w:pPr>
                            <w:r>
                              <w:rPr>
                                <w:noProof/>
                              </w:rPr>
                              <w:drawing>
                                <wp:inline distT="0" distB="0" distL="0" distR="0">
                                  <wp:extent cx="1265013" cy="125832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6">
                                            <a:extLst/>
                                          </a:blip>
                                          <a:stretch>
                                            <a:fillRect/>
                                          </a:stretch>
                                        </pic:blipFill>
                                        <pic:spPr>
                                          <a:xfrm>
                                            <a:off x="0" y="0"/>
                                            <a:ext cx="1265013" cy="1258320"/>
                                          </a:xfrm>
                                          <a:prstGeom prst="rect">
                                            <a:avLst/>
                                          </a:prstGeom>
                                          <a:effectLst/>
                                        </pic:spPr>
                                      </pic:pic>
                                    </a:graphicData>
                                  </a:graphic>
                                </wp:inline>
                              </w:drawing>
                            </w:r>
                          </w:p>
                        </w:tc>
                        <w:tc>
                          <w:tcPr>
                            <w:tcW w:w="3877" w:type="dxa"/>
                            <w:tcBorders>
                              <w:top w:val="nil"/>
                              <w:left w:val="nil"/>
                              <w:bottom w:val="single" w:sz="2" w:space="0" w:color="000000"/>
                              <w:right w:val="nil"/>
                            </w:tcBorders>
                            <w:shd w:val="clear" w:color="auto" w:fill="auto"/>
                            <w:tcMar>
                              <w:top w:w="80" w:type="dxa"/>
                              <w:left w:w="80" w:type="dxa"/>
                              <w:bottom w:w="80" w:type="dxa"/>
                              <w:right w:w="80" w:type="dxa"/>
                            </w:tcMar>
                          </w:tcPr>
                          <w:p w:rsidR="0040703B" w:rsidRDefault="0040703B">
                            <w:pPr>
                              <w:tabs>
                                <w:tab w:val="left" w:pos="7003"/>
                              </w:tabs>
                              <w:rPr>
                                <w:sz w:val="24"/>
                                <w:szCs w:val="24"/>
                              </w:rPr>
                            </w:pPr>
                          </w:p>
                          <w:p w:rsidR="0040703B" w:rsidRDefault="0040703B">
                            <w:pPr>
                              <w:tabs>
                                <w:tab w:val="left" w:pos="7003"/>
                              </w:tabs>
                            </w:pPr>
                          </w:p>
                        </w:tc>
                      </w:tr>
                    </w:tbl>
                    <w:p w:rsidR="00461EC1" w:rsidRDefault="00461EC1"/>
                  </w:txbxContent>
                </v:textbox>
                <w10:wrap anchorx="page" anchory="page"/>
              </v:rect>
            </w:pict>
          </mc:Fallback>
        </mc:AlternateContent>
      </w:r>
      <w:r>
        <w:rPr>
          <w:sz w:val="28"/>
          <w:szCs w:val="28"/>
          <w:lang w:val="en-US"/>
        </w:rPr>
        <w:t xml:space="preserve">it stands now) to submit the document to MSBS is at least 6 weeks prior to discharge. In this case, regardless of if he were informed, he could not have submitted the form in time as this veteran had only 2 </w:t>
      </w:r>
      <w:proofErr w:type="spellStart"/>
      <w:r>
        <w:rPr>
          <w:sz w:val="28"/>
          <w:szCs w:val="28"/>
          <w:lang w:val="en-US"/>
        </w:rPr>
        <w:t>weeks notice</w:t>
      </w:r>
      <w:proofErr w:type="spellEnd"/>
      <w:r>
        <w:rPr>
          <w:sz w:val="28"/>
          <w:szCs w:val="28"/>
          <w:lang w:val="en-US"/>
        </w:rPr>
        <w:t xml:space="preserve"> to be gone; </w:t>
      </w:r>
      <w:proofErr w:type="spellStart"/>
      <w:r>
        <w:rPr>
          <w:sz w:val="28"/>
          <w:szCs w:val="28"/>
          <w:lang w:val="en-US"/>
        </w:rPr>
        <w:t>ie</w:t>
      </w:r>
      <w:proofErr w:type="spellEnd"/>
      <w:r>
        <w:rPr>
          <w:sz w:val="28"/>
          <w:szCs w:val="28"/>
          <w:lang w:val="en-US"/>
        </w:rPr>
        <w:t xml:space="preserve"> discharged. He was informed of nothing other than having his claim to the DVA submitted prior to his discharge.</w:t>
      </w:r>
    </w:p>
    <w:p w:rsidR="0040703B" w:rsidRDefault="0040703B">
      <w:pPr>
        <w:pStyle w:val="Body"/>
        <w:rPr>
          <w:sz w:val="28"/>
          <w:szCs w:val="28"/>
        </w:rPr>
      </w:pPr>
    </w:p>
    <w:p w:rsidR="0040703B" w:rsidRDefault="009C6D5B">
      <w:pPr>
        <w:pStyle w:val="Body"/>
        <w:rPr>
          <w:sz w:val="28"/>
          <w:szCs w:val="28"/>
        </w:rPr>
      </w:pPr>
      <w:r>
        <w:rPr>
          <w:sz w:val="28"/>
          <w:szCs w:val="28"/>
          <w:lang w:val="en-US"/>
        </w:rPr>
        <w:t xml:space="preserve">This scenario has played out many times since the inception of ‘Transitional Management’. It does not seem to stop. The </w:t>
      </w:r>
      <w:proofErr w:type="spellStart"/>
      <w:r>
        <w:rPr>
          <w:sz w:val="28"/>
          <w:szCs w:val="28"/>
          <w:lang w:val="en-US"/>
        </w:rPr>
        <w:t>Defence</w:t>
      </w:r>
      <w:proofErr w:type="spellEnd"/>
      <w:r>
        <w:rPr>
          <w:sz w:val="28"/>
          <w:szCs w:val="28"/>
          <w:lang w:val="en-US"/>
        </w:rPr>
        <w:t xml:space="preserve"> Force seems to want to get the </w:t>
      </w:r>
      <w:proofErr w:type="spellStart"/>
      <w:r>
        <w:rPr>
          <w:sz w:val="28"/>
          <w:szCs w:val="28"/>
          <w:lang w:val="en-US"/>
        </w:rPr>
        <w:t>dischargees</w:t>
      </w:r>
      <w:proofErr w:type="spellEnd"/>
      <w:r>
        <w:rPr>
          <w:sz w:val="28"/>
          <w:szCs w:val="28"/>
          <w:lang w:val="en-US"/>
        </w:rPr>
        <w:t xml:space="preserve"> out of their hair ASAP. They are an administrative burden to </w:t>
      </w:r>
      <w:proofErr w:type="spellStart"/>
      <w:r>
        <w:rPr>
          <w:sz w:val="28"/>
          <w:szCs w:val="28"/>
          <w:lang w:val="en-US"/>
        </w:rPr>
        <w:t>Defence</w:t>
      </w:r>
      <w:proofErr w:type="spellEnd"/>
      <w:r>
        <w:rPr>
          <w:sz w:val="28"/>
          <w:szCs w:val="28"/>
          <w:lang w:val="en-US"/>
        </w:rPr>
        <w:t>.</w:t>
      </w:r>
    </w:p>
    <w:p w:rsidR="0040703B" w:rsidRDefault="009C6D5B">
      <w:pPr>
        <w:pStyle w:val="Body"/>
        <w:rPr>
          <w:sz w:val="28"/>
          <w:szCs w:val="28"/>
        </w:rPr>
      </w:pPr>
      <w:r>
        <w:rPr>
          <w:sz w:val="28"/>
          <w:szCs w:val="28"/>
          <w:lang w:val="en-US"/>
        </w:rPr>
        <w:t xml:space="preserve">Before any real improvements to Transition can be made, Army, </w:t>
      </w:r>
      <w:proofErr w:type="spellStart"/>
      <w:r>
        <w:rPr>
          <w:sz w:val="28"/>
          <w:szCs w:val="28"/>
          <w:lang w:val="en-US"/>
        </w:rPr>
        <w:t>Nay</w:t>
      </w:r>
      <w:proofErr w:type="spellEnd"/>
      <w:r>
        <w:rPr>
          <w:sz w:val="28"/>
          <w:szCs w:val="28"/>
          <w:lang w:val="en-US"/>
        </w:rPr>
        <w:t xml:space="preserve"> and Air Force should have ONE set of rules and procedures to adhere to. If there is to be a ‘Joint Transition Command’, then all three services must be </w:t>
      </w:r>
      <w:r>
        <w:rPr>
          <w:sz w:val="28"/>
          <w:szCs w:val="28"/>
          <w:u w:val="single"/>
          <w:lang w:val="en-US"/>
        </w:rPr>
        <w:t xml:space="preserve">made to be compliant </w:t>
      </w:r>
      <w:r>
        <w:rPr>
          <w:sz w:val="28"/>
          <w:szCs w:val="28"/>
          <w:lang w:val="en-US"/>
        </w:rPr>
        <w:t xml:space="preserve">with directives issued. At present, the system is woeful, and no such thing as slipping through the cracks. The cracks are more like the GRAND CANYON with hundreds falling through. This must be rectified, URGENTLY.  Bob </w:t>
      </w:r>
      <w:proofErr w:type="spellStart"/>
      <w:r>
        <w:rPr>
          <w:sz w:val="28"/>
          <w:szCs w:val="28"/>
          <w:lang w:val="en-US"/>
        </w:rPr>
        <w:t>Bak</w:t>
      </w:r>
      <w:proofErr w:type="spellEnd"/>
      <w:r>
        <w:rPr>
          <w:sz w:val="28"/>
          <w:szCs w:val="28"/>
          <w:lang w:val="en-US"/>
        </w:rPr>
        <w:t xml:space="preserve"> -President</w:t>
      </w:r>
    </w:p>
    <w:p w:rsidR="0040703B" w:rsidRDefault="0040703B">
      <w:pPr>
        <w:pStyle w:val="Body"/>
        <w:rPr>
          <w:sz w:val="28"/>
          <w:szCs w:val="28"/>
        </w:rPr>
      </w:pPr>
    </w:p>
    <w:sectPr w:rsidR="0040703B">
      <w:headerReference w:type="default" r:id="rId7"/>
      <w:footerReference w:type="default" r:id="rId8"/>
      <w:pgSz w:w="11906" w:h="16838"/>
      <w:pgMar w:top="357" w:right="850" w:bottom="850" w:left="850" w:header="357"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EC1" w:rsidRDefault="009C6D5B">
      <w:r>
        <w:separator/>
      </w:r>
    </w:p>
  </w:endnote>
  <w:endnote w:type="continuationSeparator" w:id="0">
    <w:p w:rsidR="00461EC1" w:rsidRDefault="009C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03B" w:rsidRDefault="004070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EC1" w:rsidRDefault="009C6D5B">
      <w:r>
        <w:separator/>
      </w:r>
    </w:p>
  </w:footnote>
  <w:footnote w:type="continuationSeparator" w:id="0">
    <w:p w:rsidR="00461EC1" w:rsidRDefault="009C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03B" w:rsidRDefault="004070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03B"/>
    <w:rsid w:val="0040703B"/>
    <w:rsid w:val="00461EC1"/>
    <w:rsid w:val="009C6D5B"/>
    <w:rsid w:val="00AB3DA5"/>
    <w:rsid w:val="00B363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E8C28F-37E4-4BF7-9A8A-BE46F996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TableStyle2">
    <w:name w:val="Table Style 2"/>
    <w:rPr>
      <w:rFonts w:ascii="Helvetica" w:eastAsia="Helvetica" w:hAnsi="Helvetica" w:cs="Helvetica"/>
      <w:color w:val="000000"/>
    </w:rPr>
  </w:style>
  <w:style w:type="character" w:customStyle="1" w:styleId="Link">
    <w:name w:val="Link"/>
    <w:rPr>
      <w:u w:val="single"/>
    </w:rPr>
  </w:style>
  <w:style w:type="character" w:customStyle="1" w:styleId="Hyperlink0">
    <w:name w:val="Hyperlink.0"/>
    <w:basedOn w:val="Link"/>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5AA400A7.dotm</Template>
  <TotalTime>8</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DR262 - Attachment 1: Transitional Management of our Defence Force Personnel - Bob Bak - Compensation and Rehabilitation for Veterans - Public inquiry</vt:lpstr>
    </vt:vector>
  </TitlesOfParts>
  <Company>Bob Bak</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DR262 - Attachment 1: Transitional Management of our Defence Force Personnel - Bob Bak - Compensation and Rehabilitation for Veterans - Public inquiry</dc:title>
  <dc:creator>Bob Bak</dc:creator>
  <cp:lastModifiedBy>Productivity Commission</cp:lastModifiedBy>
  <cp:revision>6</cp:revision>
  <dcterms:created xsi:type="dcterms:W3CDTF">2019-03-17T23:05:00Z</dcterms:created>
  <dcterms:modified xsi:type="dcterms:W3CDTF">2019-05-16T00:48:00Z</dcterms:modified>
</cp:coreProperties>
</file>