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21E12" w14:textId="77777777" w:rsidR="00F96175" w:rsidRDefault="00AA1C55">
      <w:pPr>
        <w:rPr>
          <w:rFonts w:ascii="Arial" w:hAnsi="Arial" w:cs="Arial"/>
          <w:lang w:val="en-US"/>
        </w:rPr>
      </w:pPr>
      <w:r>
        <w:rPr>
          <w:noProof/>
          <w:lang w:eastAsia="en-AU"/>
        </w:rPr>
        <w:drawing>
          <wp:anchor distT="0" distB="0" distL="114300" distR="114300" simplePos="0" relativeHeight="251661312" behindDoc="1" locked="0" layoutInCell="1" allowOverlap="1" wp14:anchorId="1D07706F" wp14:editId="41711F93">
            <wp:simplePos x="0" y="0"/>
            <wp:positionH relativeFrom="column">
              <wp:posOffset>-400050</wp:posOffset>
            </wp:positionH>
            <wp:positionV relativeFrom="paragraph">
              <wp:posOffset>-546100</wp:posOffset>
            </wp:positionV>
            <wp:extent cx="4457700" cy="1628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57700" cy="1628775"/>
                    </a:xfrm>
                    <a:prstGeom prst="rect">
                      <a:avLst/>
                    </a:prstGeom>
                  </pic:spPr>
                </pic:pic>
              </a:graphicData>
            </a:graphic>
            <wp14:sizeRelH relativeFrom="page">
              <wp14:pctWidth>0</wp14:pctWidth>
            </wp14:sizeRelH>
            <wp14:sizeRelV relativeFrom="page">
              <wp14:pctHeight>0</wp14:pctHeight>
            </wp14:sizeRelV>
          </wp:anchor>
        </w:drawing>
      </w:r>
    </w:p>
    <w:p w14:paraId="26F84C9E" w14:textId="77777777" w:rsidR="00AA1C55" w:rsidRDefault="00AA1C55" w:rsidP="00F96175">
      <w:pPr>
        <w:pStyle w:val="NMHCCFBody"/>
        <w:rPr>
          <w:rFonts w:cs="Arial"/>
          <w:b/>
          <w:sz w:val="22"/>
          <w:szCs w:val="22"/>
          <w:lang w:val="en-US"/>
        </w:rPr>
      </w:pPr>
    </w:p>
    <w:p w14:paraId="1EA00618" w14:textId="77777777" w:rsidR="00AA1C55" w:rsidRDefault="00AA1C55" w:rsidP="00F96175">
      <w:pPr>
        <w:pStyle w:val="NMHCCFBody"/>
        <w:rPr>
          <w:rFonts w:cs="Arial"/>
          <w:b/>
          <w:sz w:val="22"/>
          <w:szCs w:val="22"/>
          <w:lang w:val="en-US"/>
        </w:rPr>
      </w:pPr>
    </w:p>
    <w:p w14:paraId="7C167F23" w14:textId="77777777" w:rsidR="00AA1C55" w:rsidRDefault="00AA1C55" w:rsidP="00F96175">
      <w:pPr>
        <w:pStyle w:val="NMHCCFBody"/>
        <w:rPr>
          <w:rFonts w:cs="Arial"/>
          <w:b/>
          <w:sz w:val="22"/>
          <w:szCs w:val="22"/>
          <w:lang w:val="en-US"/>
        </w:rPr>
      </w:pPr>
      <w:r w:rsidRPr="00AA1C55">
        <w:rPr>
          <w:rFonts w:cs="Arial"/>
          <w:b/>
          <w:noProof/>
          <w:sz w:val="22"/>
          <w:szCs w:val="22"/>
          <w:lang w:val="en-AU" w:eastAsia="en-AU"/>
        </w:rPr>
        <mc:AlternateContent>
          <mc:Choice Requires="wps">
            <w:drawing>
              <wp:anchor distT="0" distB="0" distL="114300" distR="114300" simplePos="0" relativeHeight="251659264" behindDoc="0" locked="0" layoutInCell="1" allowOverlap="1" wp14:anchorId="2BD52EA8" wp14:editId="2C6BBE38">
                <wp:simplePos x="0" y="0"/>
                <wp:positionH relativeFrom="margin">
                  <wp:posOffset>-234950</wp:posOffset>
                </wp:positionH>
                <wp:positionV relativeFrom="paragraph">
                  <wp:posOffset>327025</wp:posOffset>
                </wp:positionV>
                <wp:extent cx="3168650" cy="838200"/>
                <wp:effectExtent l="0" t="0" r="0" b="0"/>
                <wp:wrapNone/>
                <wp:docPr id="57" name="object 5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168650" cy="838200"/>
                        </a:xfrm>
                        <a:prstGeom prst="rect">
                          <a:avLst/>
                        </a:prstGeom>
                      </wps:spPr>
                      <wps:txbx>
                        <w:txbxContent>
                          <w:p w14:paraId="125C9903" w14:textId="77777777" w:rsidR="001A344D" w:rsidRPr="00AA1C55" w:rsidRDefault="001A344D" w:rsidP="00AA1C55">
                            <w:pPr>
                              <w:spacing w:before="20"/>
                              <w:ind w:left="14" w:right="14"/>
                              <w:rPr>
                                <w:sz w:val="4"/>
                                <w:szCs w:val="24"/>
                              </w:rPr>
                            </w:pPr>
                            <w:r w:rsidRPr="00AA1C55">
                              <w:rPr>
                                <w:rFonts w:ascii="Roboto Medium" w:eastAsiaTheme="majorEastAsia" w:hAnsi="Roboto Medium" w:cs="Roboto Medium"/>
                                <w:color w:val="F0A31F"/>
                                <w:sz w:val="26"/>
                                <w:szCs w:val="46"/>
                              </w:rPr>
                              <w:t xml:space="preserve">A </w:t>
                            </w:r>
                            <w:r w:rsidRPr="00AA1C55">
                              <w:rPr>
                                <w:rFonts w:ascii="Roboto Medium" w:eastAsiaTheme="majorEastAsia" w:hAnsi="Roboto Medium" w:cs="Roboto Medium"/>
                                <w:color w:val="F0A31F"/>
                                <w:spacing w:val="-1"/>
                                <w:sz w:val="26"/>
                                <w:szCs w:val="46"/>
                              </w:rPr>
                              <w:t xml:space="preserve">combined national </w:t>
                            </w:r>
                            <w:r w:rsidRPr="00AA1C55">
                              <w:rPr>
                                <w:rFonts w:ascii="Roboto Medium" w:eastAsiaTheme="majorEastAsia" w:hAnsi="Roboto Medium" w:cs="Roboto Medium"/>
                                <w:color w:val="F0A31F"/>
                                <w:spacing w:val="-2"/>
                                <w:sz w:val="26"/>
                                <w:szCs w:val="46"/>
                              </w:rPr>
                              <w:t xml:space="preserve">voice </w:t>
                            </w:r>
                            <w:r w:rsidRPr="00AA1C55">
                              <w:rPr>
                                <w:rFonts w:ascii="Roboto Medium" w:eastAsiaTheme="majorEastAsia" w:hAnsi="Roboto Medium" w:cs="Roboto Medium"/>
                                <w:color w:val="F0A31F"/>
                                <w:spacing w:val="-1"/>
                                <w:sz w:val="26"/>
                                <w:szCs w:val="46"/>
                              </w:rPr>
                              <w:t>for mental  health consumers and</w:t>
                            </w:r>
                            <w:r w:rsidRPr="00AA1C55">
                              <w:rPr>
                                <w:rFonts w:ascii="Roboto Medium" w:eastAsiaTheme="majorEastAsia" w:hAnsi="Roboto Medium" w:cs="Roboto Medium"/>
                                <w:color w:val="F0A31F"/>
                                <w:spacing w:val="-13"/>
                                <w:sz w:val="26"/>
                                <w:szCs w:val="46"/>
                              </w:rPr>
                              <w:t xml:space="preserve"> </w:t>
                            </w:r>
                            <w:r w:rsidRPr="00AA1C55">
                              <w:rPr>
                                <w:rFonts w:ascii="Roboto Medium" w:eastAsiaTheme="majorEastAsia" w:hAnsi="Roboto Medium" w:cs="Roboto Medium"/>
                                <w:color w:val="F0A31F"/>
                                <w:spacing w:val="-2"/>
                                <w:sz w:val="26"/>
                                <w:szCs w:val="46"/>
                              </w:rPr>
                              <w:t>carers</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BD52EA8" id="_x0000_t202" coordsize="21600,21600" o:spt="202" path="m,l,21600r21600,l21600,xe">
                <v:stroke joinstyle="miter"/>
                <v:path gradientshapeok="t" o:connecttype="rect"/>
              </v:shapetype>
              <v:shape id="object 57" o:spid="_x0000_s1026" type="#_x0000_t202" style="position:absolute;margin-left:-18.5pt;margin-top:25.75pt;width:249.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" filled="f" stroked="f">
                <v:path arrowok="t"/>
                <o:lock v:ext="edit" grouping="t"/>
                <v:textbox inset="0,1pt,0,0">
                  <w:txbxContent>
                    <w:p w14:paraId="125C9903" w14:textId="77777777" w:rsidR="001A344D" w:rsidRPr="00AA1C55" w:rsidRDefault="001A344D" w:rsidP="00AA1C55">
                      <w:pPr>
                        <w:spacing w:before="20"/>
                        <w:ind w:left="14" w:right="14"/>
                        <w:rPr>
                          <w:sz w:val="4"/>
                          <w:szCs w:val="24"/>
                        </w:rPr>
                      </w:pPr>
                      <w:r w:rsidRPr="00AA1C55">
                        <w:rPr>
                          <w:rFonts w:ascii="Roboto Medium" w:eastAsiaTheme="majorEastAsia" w:hAnsi="Roboto Medium" w:cs="Roboto Medium"/>
                          <w:color w:val="F0A31F"/>
                          <w:sz w:val="26"/>
                          <w:szCs w:val="46"/>
                        </w:rPr>
                        <w:t xml:space="preserve">A </w:t>
                      </w:r>
                      <w:r w:rsidRPr="00AA1C55">
                        <w:rPr>
                          <w:rFonts w:ascii="Roboto Medium" w:eastAsiaTheme="majorEastAsia" w:hAnsi="Roboto Medium" w:cs="Roboto Medium"/>
                          <w:color w:val="F0A31F"/>
                          <w:spacing w:val="-1"/>
                          <w:sz w:val="26"/>
                          <w:szCs w:val="46"/>
                        </w:rPr>
                        <w:t xml:space="preserve">combined national </w:t>
                      </w:r>
                      <w:r w:rsidRPr="00AA1C55">
                        <w:rPr>
                          <w:rFonts w:ascii="Roboto Medium" w:eastAsiaTheme="majorEastAsia" w:hAnsi="Roboto Medium" w:cs="Roboto Medium"/>
                          <w:color w:val="F0A31F"/>
                          <w:spacing w:val="-2"/>
                          <w:sz w:val="26"/>
                          <w:szCs w:val="46"/>
                        </w:rPr>
                        <w:t xml:space="preserve">voice </w:t>
                      </w:r>
                      <w:r w:rsidRPr="00AA1C55">
                        <w:rPr>
                          <w:rFonts w:ascii="Roboto Medium" w:eastAsiaTheme="majorEastAsia" w:hAnsi="Roboto Medium" w:cs="Roboto Medium"/>
                          <w:color w:val="F0A31F"/>
                          <w:spacing w:val="-1"/>
                          <w:sz w:val="26"/>
                          <w:szCs w:val="46"/>
                        </w:rPr>
                        <w:t>for mental  health consumers and</w:t>
                      </w:r>
                      <w:r w:rsidRPr="00AA1C55">
                        <w:rPr>
                          <w:rFonts w:ascii="Roboto Medium" w:eastAsiaTheme="majorEastAsia" w:hAnsi="Roboto Medium" w:cs="Roboto Medium"/>
                          <w:color w:val="F0A31F"/>
                          <w:spacing w:val="-13"/>
                          <w:sz w:val="26"/>
                          <w:szCs w:val="46"/>
                        </w:rPr>
                        <w:t xml:space="preserve"> </w:t>
                      </w:r>
                      <w:r w:rsidRPr="00AA1C55">
                        <w:rPr>
                          <w:rFonts w:ascii="Roboto Medium" w:eastAsiaTheme="majorEastAsia" w:hAnsi="Roboto Medium" w:cs="Roboto Medium"/>
                          <w:color w:val="F0A31F"/>
                          <w:spacing w:val="-2"/>
                          <w:sz w:val="26"/>
                          <w:szCs w:val="46"/>
                        </w:rPr>
                        <w:t>carers</w:t>
                      </w:r>
                    </w:p>
                  </w:txbxContent>
                </v:textbox>
                <w10:wrap anchorx="margin"/>
              </v:shape>
            </w:pict>
          </mc:Fallback>
        </mc:AlternateContent>
      </w:r>
    </w:p>
    <w:p w14:paraId="0618594E" w14:textId="77777777" w:rsidR="00AA1C55" w:rsidRDefault="00AA1C55" w:rsidP="00F96175">
      <w:pPr>
        <w:pStyle w:val="NMHCCFBody"/>
        <w:rPr>
          <w:rFonts w:cs="Arial"/>
          <w:b/>
          <w:sz w:val="22"/>
          <w:szCs w:val="22"/>
          <w:lang w:val="en-US"/>
        </w:rPr>
      </w:pPr>
    </w:p>
    <w:p w14:paraId="6F26B4EA" w14:textId="77777777" w:rsidR="00AA1C55" w:rsidRDefault="00AA1C55" w:rsidP="00F96175">
      <w:pPr>
        <w:pStyle w:val="NMHCCFBody"/>
        <w:rPr>
          <w:rFonts w:cs="Arial"/>
          <w:b/>
          <w:sz w:val="22"/>
          <w:szCs w:val="22"/>
          <w:lang w:val="en-US"/>
        </w:rPr>
      </w:pPr>
    </w:p>
    <w:p w14:paraId="3AF75BF6" w14:textId="77777777" w:rsidR="00AA1C55" w:rsidRDefault="00AA1C55" w:rsidP="00F96175">
      <w:pPr>
        <w:pStyle w:val="NMHCCFBody"/>
        <w:rPr>
          <w:rFonts w:cs="Arial"/>
          <w:b/>
          <w:sz w:val="22"/>
          <w:szCs w:val="22"/>
          <w:lang w:val="en-US"/>
        </w:rPr>
      </w:pPr>
    </w:p>
    <w:p w14:paraId="3E8FB606" w14:textId="77777777" w:rsidR="00AA1C55" w:rsidRDefault="00AA1C55" w:rsidP="00F96175">
      <w:pPr>
        <w:pStyle w:val="NMHCCFBody"/>
        <w:rPr>
          <w:rFonts w:cs="Arial"/>
          <w:b/>
          <w:sz w:val="22"/>
          <w:szCs w:val="22"/>
          <w:lang w:val="en-US"/>
        </w:rPr>
      </w:pPr>
    </w:p>
    <w:p w14:paraId="2A46CCDD" w14:textId="77777777" w:rsidR="00AA1C55" w:rsidRDefault="00AA1C55" w:rsidP="00AA1C55">
      <w:pPr>
        <w:pStyle w:val="Heading1"/>
        <w:jc w:val="right"/>
        <w:rPr>
          <w:lang w:val="en-US"/>
        </w:rPr>
      </w:pPr>
    </w:p>
    <w:p w14:paraId="792DF51A" w14:textId="77777777" w:rsidR="00F96175" w:rsidRDefault="00F96175" w:rsidP="00AA1C55">
      <w:pPr>
        <w:pStyle w:val="Heading1"/>
        <w:jc w:val="right"/>
        <w:rPr>
          <w:lang w:val="en-US"/>
        </w:rPr>
      </w:pPr>
      <w:r w:rsidRPr="009B0DB8">
        <w:rPr>
          <w:lang w:val="en-US"/>
        </w:rPr>
        <w:t xml:space="preserve">Submission in response to </w:t>
      </w:r>
      <w:r w:rsidR="00BF25E9">
        <w:rPr>
          <w:lang w:val="en-US"/>
        </w:rPr>
        <w:t xml:space="preserve">the </w:t>
      </w:r>
      <w:r w:rsidRPr="009B0DB8">
        <w:rPr>
          <w:lang w:val="en-US"/>
        </w:rPr>
        <w:t>Productivity Commission Inquiry into Mental Health</w:t>
      </w:r>
    </w:p>
    <w:p w14:paraId="7320D6D6" w14:textId="77777777" w:rsidR="00F96175" w:rsidRDefault="00F96175" w:rsidP="00F96175">
      <w:pPr>
        <w:pStyle w:val="NMHCCFBody"/>
        <w:rPr>
          <w:rFonts w:cs="Arial"/>
          <w:b/>
          <w:sz w:val="22"/>
          <w:szCs w:val="22"/>
          <w:lang w:val="en-US"/>
        </w:rPr>
      </w:pPr>
    </w:p>
    <w:p w14:paraId="4DDEBB44" w14:textId="77777777" w:rsidR="00F96175" w:rsidRDefault="00F96175" w:rsidP="00F96175">
      <w:pPr>
        <w:pStyle w:val="NMHCCFBody"/>
        <w:rPr>
          <w:rFonts w:cs="Arial"/>
          <w:b/>
          <w:sz w:val="22"/>
          <w:szCs w:val="22"/>
          <w:lang w:val="en-US"/>
        </w:rPr>
      </w:pPr>
    </w:p>
    <w:p w14:paraId="74C2EC5A" w14:textId="77777777" w:rsidR="00F96175" w:rsidRDefault="00F96175" w:rsidP="00F96175">
      <w:pPr>
        <w:pStyle w:val="NMHCCFBody"/>
        <w:rPr>
          <w:rFonts w:cs="Arial"/>
          <w:b/>
          <w:sz w:val="22"/>
          <w:szCs w:val="22"/>
          <w:lang w:val="en-US"/>
        </w:rPr>
      </w:pPr>
    </w:p>
    <w:p w14:paraId="74F231ED" w14:textId="77777777" w:rsidR="00F96175" w:rsidRDefault="00F96175" w:rsidP="00F96175">
      <w:pPr>
        <w:pStyle w:val="NMHCCFBody"/>
        <w:rPr>
          <w:rFonts w:cs="Arial"/>
          <w:b/>
          <w:sz w:val="22"/>
          <w:szCs w:val="22"/>
          <w:lang w:val="en-US"/>
        </w:rPr>
      </w:pPr>
    </w:p>
    <w:p w14:paraId="0A724D68" w14:textId="77777777" w:rsidR="00F96175" w:rsidRDefault="00F96175" w:rsidP="00F96175">
      <w:pPr>
        <w:pStyle w:val="NMHCCFBody"/>
        <w:rPr>
          <w:rFonts w:cs="Arial"/>
          <w:b/>
          <w:sz w:val="22"/>
          <w:szCs w:val="22"/>
          <w:lang w:val="en-US"/>
        </w:rPr>
      </w:pPr>
    </w:p>
    <w:p w14:paraId="5E104F71" w14:textId="77777777" w:rsidR="00F96175" w:rsidRDefault="00F96175" w:rsidP="00F96175">
      <w:pPr>
        <w:pStyle w:val="NMHCCFBody"/>
        <w:rPr>
          <w:rFonts w:cs="Arial"/>
          <w:b/>
          <w:sz w:val="22"/>
          <w:szCs w:val="22"/>
          <w:lang w:val="en-US"/>
        </w:rPr>
      </w:pPr>
    </w:p>
    <w:p w14:paraId="32C498E3" w14:textId="77777777" w:rsidR="00F96175" w:rsidRDefault="00F96175" w:rsidP="00F96175">
      <w:pPr>
        <w:pStyle w:val="NMHCCFBody"/>
        <w:rPr>
          <w:rFonts w:cs="Arial"/>
          <w:b/>
          <w:sz w:val="22"/>
          <w:szCs w:val="22"/>
          <w:lang w:val="en-US"/>
        </w:rPr>
      </w:pPr>
    </w:p>
    <w:p w14:paraId="3B2A1974" w14:textId="77777777" w:rsidR="00F96175" w:rsidRDefault="00F96175" w:rsidP="00F96175">
      <w:pPr>
        <w:pStyle w:val="NMHCCFBody"/>
        <w:rPr>
          <w:rFonts w:cs="Arial"/>
          <w:b/>
          <w:sz w:val="22"/>
          <w:szCs w:val="22"/>
          <w:lang w:val="en-US"/>
        </w:rPr>
      </w:pPr>
    </w:p>
    <w:p w14:paraId="591F3A93" w14:textId="77777777" w:rsidR="00F96175" w:rsidRDefault="00F96175" w:rsidP="00F96175">
      <w:pPr>
        <w:pStyle w:val="NMHCCFBody"/>
        <w:rPr>
          <w:rFonts w:cs="Arial"/>
          <w:b/>
          <w:sz w:val="22"/>
          <w:szCs w:val="22"/>
          <w:lang w:val="en-US"/>
        </w:rPr>
      </w:pPr>
    </w:p>
    <w:p w14:paraId="1E170587" w14:textId="77777777" w:rsidR="00F96175" w:rsidRDefault="00F96175" w:rsidP="00F96175">
      <w:pPr>
        <w:pStyle w:val="NMHCCFBody"/>
        <w:rPr>
          <w:rFonts w:cs="Arial"/>
          <w:b/>
          <w:sz w:val="22"/>
          <w:szCs w:val="22"/>
          <w:lang w:val="en-US"/>
        </w:rPr>
      </w:pPr>
    </w:p>
    <w:p w14:paraId="743BC3A3" w14:textId="77777777" w:rsidR="00F96175" w:rsidRDefault="00F96175" w:rsidP="00F96175">
      <w:pPr>
        <w:pStyle w:val="NMHCCFBody"/>
        <w:rPr>
          <w:rFonts w:cs="Arial"/>
          <w:b/>
          <w:sz w:val="22"/>
          <w:szCs w:val="22"/>
          <w:lang w:val="en-US"/>
        </w:rPr>
      </w:pPr>
    </w:p>
    <w:p w14:paraId="33CD3BE0" w14:textId="77777777" w:rsidR="00F96175" w:rsidRDefault="008931AC" w:rsidP="00F96175">
      <w:pPr>
        <w:pStyle w:val="NMHCCFBody"/>
        <w:rPr>
          <w:rFonts w:cs="Arial"/>
          <w:b/>
          <w:sz w:val="22"/>
          <w:szCs w:val="22"/>
          <w:lang w:val="en-US"/>
        </w:rPr>
      </w:pPr>
      <w:r>
        <w:rPr>
          <w:noProof/>
          <w:lang w:val="en-AU" w:eastAsia="en-AU"/>
        </w:rPr>
        <w:drawing>
          <wp:anchor distT="0" distB="0" distL="114300" distR="114300" simplePos="0" relativeHeight="251669504" behindDoc="1" locked="0" layoutInCell="1" allowOverlap="1" wp14:anchorId="3C6D465B" wp14:editId="4730ECFF">
            <wp:simplePos x="0" y="0"/>
            <wp:positionH relativeFrom="page">
              <wp:posOffset>1851660</wp:posOffset>
            </wp:positionH>
            <wp:positionV relativeFrom="paragraph">
              <wp:posOffset>57150</wp:posOffset>
            </wp:positionV>
            <wp:extent cx="5731510" cy="385254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3852545"/>
                    </a:xfrm>
                    <a:prstGeom prst="rect">
                      <a:avLst/>
                    </a:prstGeom>
                  </pic:spPr>
                </pic:pic>
              </a:graphicData>
            </a:graphic>
          </wp:anchor>
        </w:drawing>
      </w:r>
    </w:p>
    <w:p w14:paraId="637EDD5C" w14:textId="77777777" w:rsidR="00F96175" w:rsidRDefault="00F96175" w:rsidP="00F96175">
      <w:pPr>
        <w:pStyle w:val="NMHCCFBody"/>
        <w:rPr>
          <w:rFonts w:cs="Arial"/>
          <w:b/>
          <w:sz w:val="22"/>
          <w:szCs w:val="22"/>
          <w:lang w:val="en-US"/>
        </w:rPr>
      </w:pPr>
    </w:p>
    <w:p w14:paraId="14FEFC39" w14:textId="77777777" w:rsidR="00F96175" w:rsidRDefault="00F96175" w:rsidP="00F96175">
      <w:pPr>
        <w:pStyle w:val="NMHCCFBody"/>
        <w:rPr>
          <w:rFonts w:cs="Arial"/>
          <w:b/>
          <w:sz w:val="22"/>
          <w:szCs w:val="22"/>
          <w:lang w:val="en-US"/>
        </w:rPr>
      </w:pPr>
    </w:p>
    <w:p w14:paraId="151EDC78" w14:textId="77777777" w:rsidR="00F96175" w:rsidRDefault="00F96175" w:rsidP="00F96175">
      <w:pPr>
        <w:pStyle w:val="NMHCCFBody"/>
        <w:rPr>
          <w:rFonts w:cs="Arial"/>
          <w:b/>
          <w:sz w:val="22"/>
          <w:szCs w:val="22"/>
          <w:lang w:val="en-US"/>
        </w:rPr>
      </w:pPr>
    </w:p>
    <w:p w14:paraId="5BFC9F30" w14:textId="77777777" w:rsidR="00AA1C55" w:rsidRDefault="00AA1C55" w:rsidP="00F96175">
      <w:pPr>
        <w:pStyle w:val="NMHCCFBody"/>
        <w:rPr>
          <w:rFonts w:cs="Arial"/>
          <w:sz w:val="22"/>
          <w:szCs w:val="22"/>
          <w:lang w:val="en-US"/>
        </w:rPr>
      </w:pPr>
    </w:p>
    <w:p w14:paraId="0573EC1A" w14:textId="77777777" w:rsidR="00AA1C55" w:rsidRDefault="00AA1C55" w:rsidP="00F96175">
      <w:pPr>
        <w:pStyle w:val="NMHCCFBody"/>
        <w:rPr>
          <w:rFonts w:cs="Arial"/>
          <w:sz w:val="22"/>
          <w:szCs w:val="22"/>
          <w:lang w:val="en-US"/>
        </w:rPr>
      </w:pPr>
    </w:p>
    <w:p w14:paraId="4B3557FE" w14:textId="77777777" w:rsidR="00AA1C55" w:rsidRDefault="00AA1C55" w:rsidP="00F96175">
      <w:pPr>
        <w:pStyle w:val="NMHCCFBody"/>
        <w:rPr>
          <w:rFonts w:cs="Arial"/>
          <w:sz w:val="22"/>
          <w:szCs w:val="22"/>
          <w:lang w:val="en-US"/>
        </w:rPr>
      </w:pPr>
    </w:p>
    <w:p w14:paraId="587D8E1A" w14:textId="77777777" w:rsidR="00AA1C55" w:rsidRDefault="00AA1C55" w:rsidP="00F96175">
      <w:pPr>
        <w:pStyle w:val="NMHCCFBody"/>
        <w:rPr>
          <w:rFonts w:cs="Arial"/>
          <w:sz w:val="22"/>
          <w:szCs w:val="22"/>
          <w:lang w:val="en-US"/>
        </w:rPr>
      </w:pPr>
    </w:p>
    <w:p w14:paraId="63C16BB0" w14:textId="77777777" w:rsidR="004778F4" w:rsidRDefault="004778F4" w:rsidP="00F96175">
      <w:pPr>
        <w:pStyle w:val="NMHCCFBody"/>
        <w:rPr>
          <w:rFonts w:cs="Arial"/>
          <w:sz w:val="22"/>
          <w:szCs w:val="22"/>
          <w:lang w:val="en-US"/>
        </w:rPr>
      </w:pPr>
    </w:p>
    <w:p w14:paraId="0E4D1C87" w14:textId="77777777" w:rsidR="004778F4" w:rsidRDefault="004778F4" w:rsidP="00F96175">
      <w:pPr>
        <w:pStyle w:val="NMHCCFBody"/>
        <w:rPr>
          <w:rFonts w:cs="Arial"/>
          <w:sz w:val="22"/>
          <w:szCs w:val="22"/>
          <w:lang w:val="en-US"/>
        </w:rPr>
      </w:pPr>
    </w:p>
    <w:p w14:paraId="3F4C1580" w14:textId="77777777" w:rsidR="004778F4" w:rsidRDefault="004778F4" w:rsidP="00F96175">
      <w:pPr>
        <w:pStyle w:val="NMHCCFBody"/>
        <w:rPr>
          <w:rFonts w:cs="Arial"/>
          <w:sz w:val="22"/>
          <w:szCs w:val="22"/>
          <w:lang w:val="en-US"/>
        </w:rPr>
      </w:pPr>
    </w:p>
    <w:tbl>
      <w:tblPr>
        <w:tblStyle w:val="TableGrid"/>
        <w:tblpPr w:leftFromText="180" w:rightFromText="180" w:vertAnchor="text" w:horzAnchor="margin" w:tblpXSpec="right" w:tblpY="-689"/>
        <w:tblW w:w="17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
        <w:gridCol w:w="2652"/>
      </w:tblGrid>
      <w:tr w:rsidR="008931AC" w14:paraId="4207AA9D" w14:textId="77777777" w:rsidTr="008931AC">
        <w:trPr>
          <w:trHeight w:val="293"/>
        </w:trPr>
        <w:tc>
          <w:tcPr>
            <w:tcW w:w="714" w:type="pct"/>
          </w:tcPr>
          <w:p w14:paraId="64E19AA7" w14:textId="77777777" w:rsidR="008931AC" w:rsidRDefault="008931AC" w:rsidP="008931AC">
            <w:pPr>
              <w:pStyle w:val="Header"/>
            </w:pPr>
            <w:r>
              <w:rPr>
                <w:noProof/>
                <w:lang w:eastAsia="en-AU"/>
              </w:rPr>
              <w:lastRenderedPageBreak/>
              <w:drawing>
                <wp:inline distT="0" distB="0" distL="0" distR="0" wp14:anchorId="3B00C79B" wp14:editId="27F65E66">
                  <wp:extent cx="130917" cy="106560"/>
                  <wp:effectExtent l="0" t="0" r="2540"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one-ic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917" cy="106560"/>
                          </a:xfrm>
                          <a:prstGeom prst="rect">
                            <a:avLst/>
                          </a:prstGeom>
                        </pic:spPr>
                      </pic:pic>
                    </a:graphicData>
                  </a:graphic>
                </wp:inline>
              </w:drawing>
            </w:r>
          </w:p>
        </w:tc>
        <w:tc>
          <w:tcPr>
            <w:tcW w:w="4286" w:type="pct"/>
            <w:vAlign w:val="center"/>
          </w:tcPr>
          <w:p w14:paraId="3DF6D9A0" w14:textId="77777777" w:rsidR="008931AC" w:rsidRPr="00B775FC" w:rsidRDefault="008931AC" w:rsidP="008931AC">
            <w:pPr>
              <w:pStyle w:val="Header"/>
              <w:rPr>
                <w:rFonts w:ascii="Arial" w:hAnsi="Arial" w:cs="Arial"/>
              </w:rPr>
            </w:pPr>
            <w:r w:rsidRPr="00B775FC">
              <w:rPr>
                <w:rFonts w:ascii="Arial" w:hAnsi="Arial" w:cs="Arial"/>
              </w:rPr>
              <w:t>(02) 6285 3100</w:t>
            </w:r>
          </w:p>
        </w:tc>
      </w:tr>
      <w:tr w:rsidR="008931AC" w14:paraId="3C7864E3" w14:textId="77777777" w:rsidTr="008931AC">
        <w:trPr>
          <w:trHeight w:val="293"/>
        </w:trPr>
        <w:tc>
          <w:tcPr>
            <w:tcW w:w="714" w:type="pct"/>
          </w:tcPr>
          <w:p w14:paraId="3B291A8F" w14:textId="77777777" w:rsidR="008931AC" w:rsidRDefault="008931AC" w:rsidP="008931AC">
            <w:pPr>
              <w:pStyle w:val="Header"/>
            </w:pPr>
            <w:r>
              <w:rPr>
                <w:noProof/>
                <w:lang w:eastAsia="en-AU"/>
              </w:rPr>
              <w:drawing>
                <wp:inline distT="0" distB="0" distL="0" distR="0" wp14:anchorId="319047C5" wp14:editId="071E2CCF">
                  <wp:extent cx="131064" cy="10668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il-ic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064" cy="106680"/>
                          </a:xfrm>
                          <a:prstGeom prst="rect">
                            <a:avLst/>
                          </a:prstGeom>
                        </pic:spPr>
                      </pic:pic>
                    </a:graphicData>
                  </a:graphic>
                </wp:inline>
              </w:drawing>
            </w:r>
          </w:p>
        </w:tc>
        <w:tc>
          <w:tcPr>
            <w:tcW w:w="4286" w:type="pct"/>
            <w:vAlign w:val="center"/>
          </w:tcPr>
          <w:p w14:paraId="32ECAB67" w14:textId="77777777" w:rsidR="008931AC" w:rsidRPr="00B775FC" w:rsidRDefault="008931AC" w:rsidP="008931AC">
            <w:pPr>
              <w:pStyle w:val="Header"/>
              <w:rPr>
                <w:rFonts w:ascii="Arial" w:hAnsi="Arial" w:cs="Arial"/>
              </w:rPr>
            </w:pPr>
            <w:r w:rsidRPr="00B775FC">
              <w:rPr>
                <w:rFonts w:ascii="Arial" w:hAnsi="Arial" w:cs="Arial"/>
              </w:rPr>
              <w:t>nmhccf@nmhccf.org.au</w:t>
            </w:r>
          </w:p>
        </w:tc>
      </w:tr>
      <w:tr w:rsidR="008931AC" w14:paraId="07F6BBC5" w14:textId="77777777" w:rsidTr="008931AC">
        <w:trPr>
          <w:trHeight w:val="293"/>
        </w:trPr>
        <w:tc>
          <w:tcPr>
            <w:tcW w:w="714" w:type="pct"/>
          </w:tcPr>
          <w:p w14:paraId="71C32377" w14:textId="77777777" w:rsidR="008931AC" w:rsidRDefault="008931AC" w:rsidP="008931AC">
            <w:pPr>
              <w:pStyle w:val="Header"/>
            </w:pPr>
            <w:r>
              <w:rPr>
                <w:noProof/>
                <w:lang w:eastAsia="en-AU"/>
              </w:rPr>
              <w:drawing>
                <wp:inline distT="0" distB="0" distL="0" distR="0" wp14:anchorId="2BA9A551" wp14:editId="2637DD08">
                  <wp:extent cx="131064" cy="115824"/>
                  <wp:effectExtent l="0" t="0" r="254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lobe-ic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064" cy="115824"/>
                          </a:xfrm>
                          <a:prstGeom prst="rect">
                            <a:avLst/>
                          </a:prstGeom>
                        </pic:spPr>
                      </pic:pic>
                    </a:graphicData>
                  </a:graphic>
                </wp:inline>
              </w:drawing>
            </w:r>
          </w:p>
        </w:tc>
        <w:tc>
          <w:tcPr>
            <w:tcW w:w="4286" w:type="pct"/>
            <w:vAlign w:val="center"/>
          </w:tcPr>
          <w:p w14:paraId="6634859D" w14:textId="77777777" w:rsidR="008931AC" w:rsidRPr="00B775FC" w:rsidRDefault="008931AC" w:rsidP="008931AC">
            <w:pPr>
              <w:pStyle w:val="Header"/>
              <w:rPr>
                <w:rFonts w:ascii="Arial" w:hAnsi="Arial" w:cs="Arial"/>
              </w:rPr>
            </w:pPr>
            <w:r w:rsidRPr="00B775FC">
              <w:rPr>
                <w:rFonts w:ascii="Arial" w:hAnsi="Arial" w:cs="Arial"/>
              </w:rPr>
              <w:t>www.nmhccf.org.au</w:t>
            </w:r>
          </w:p>
        </w:tc>
      </w:tr>
    </w:tbl>
    <w:p w14:paraId="1F8E1EFA" w14:textId="77777777" w:rsidR="004A04F0" w:rsidRDefault="004A04F0" w:rsidP="00F96175">
      <w:pPr>
        <w:pStyle w:val="NMHCCFBody"/>
        <w:rPr>
          <w:rFonts w:cs="Arial"/>
          <w:sz w:val="22"/>
          <w:szCs w:val="22"/>
          <w:lang w:val="en-US"/>
        </w:rPr>
      </w:pPr>
    </w:p>
    <w:p w14:paraId="2A472F51" w14:textId="77777777" w:rsidR="004A04F0" w:rsidRDefault="004A04F0" w:rsidP="00F96175">
      <w:pPr>
        <w:pStyle w:val="NMHCCFBody"/>
        <w:rPr>
          <w:rFonts w:cs="Arial"/>
          <w:sz w:val="22"/>
          <w:szCs w:val="22"/>
          <w:lang w:val="en-US"/>
        </w:rPr>
      </w:pPr>
    </w:p>
    <w:p w14:paraId="07EF0FBE" w14:textId="77777777" w:rsidR="004A04F0" w:rsidRDefault="004A04F0" w:rsidP="00F96175">
      <w:pPr>
        <w:pStyle w:val="NMHCCFBody"/>
        <w:rPr>
          <w:rFonts w:cs="Arial"/>
          <w:sz w:val="22"/>
          <w:szCs w:val="22"/>
          <w:lang w:val="en-US"/>
        </w:rPr>
      </w:pPr>
    </w:p>
    <w:p w14:paraId="793BB347" w14:textId="77777777" w:rsidR="00F96175" w:rsidRPr="00C03311" w:rsidRDefault="004778F4" w:rsidP="00F96175">
      <w:pPr>
        <w:pStyle w:val="NMHCCFBody"/>
        <w:rPr>
          <w:rFonts w:cs="Arial"/>
          <w:sz w:val="22"/>
          <w:szCs w:val="22"/>
          <w:lang w:val="en-US"/>
        </w:rPr>
      </w:pPr>
      <w:r w:rsidRPr="003E388B">
        <w:rPr>
          <w:rFonts w:cs="Arial"/>
          <w:noProof/>
          <w:sz w:val="22"/>
          <w:szCs w:val="22"/>
          <w:lang w:val="en-AU" w:eastAsia="en-AU"/>
        </w:rPr>
        <w:drawing>
          <wp:anchor distT="0" distB="0" distL="114300" distR="114300" simplePos="0" relativeHeight="251663360" behindDoc="1" locked="1" layoutInCell="1" allowOverlap="1" wp14:anchorId="4827561F" wp14:editId="281FB16A">
            <wp:simplePos x="0" y="0"/>
            <wp:positionH relativeFrom="page">
              <wp:posOffset>12700</wp:posOffset>
            </wp:positionH>
            <wp:positionV relativeFrom="page">
              <wp:posOffset>12700</wp:posOffset>
            </wp:positionV>
            <wp:extent cx="7563485" cy="149352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etterhead-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3485" cy="1493520"/>
                    </a:xfrm>
                    <a:prstGeom prst="rect">
                      <a:avLst/>
                    </a:prstGeom>
                  </pic:spPr>
                </pic:pic>
              </a:graphicData>
            </a:graphic>
            <wp14:sizeRelH relativeFrom="page">
              <wp14:pctWidth>0</wp14:pctWidth>
            </wp14:sizeRelH>
            <wp14:sizeRelV relativeFrom="page">
              <wp14:pctHeight>0</wp14:pctHeight>
            </wp14:sizeRelV>
          </wp:anchor>
        </w:drawing>
      </w:r>
      <w:r w:rsidR="00F96175" w:rsidRPr="003E388B">
        <w:rPr>
          <w:rFonts w:cs="Arial"/>
          <w:sz w:val="22"/>
          <w:szCs w:val="22"/>
          <w:lang w:val="en-US"/>
        </w:rPr>
        <w:t>T</w:t>
      </w:r>
      <w:r w:rsidR="00F96175" w:rsidRPr="00C03311">
        <w:rPr>
          <w:rFonts w:cs="Arial"/>
          <w:sz w:val="22"/>
          <w:szCs w:val="22"/>
          <w:lang w:val="en-US"/>
        </w:rPr>
        <w:t xml:space="preserve">he National Mental Health Consumer and Carer Forum (NMHCCF) is pleased to provide a submission to the Productivity Commission inquiry </w:t>
      </w:r>
      <w:r w:rsidR="00BF25E9" w:rsidRPr="00C03311">
        <w:rPr>
          <w:rFonts w:cs="Arial"/>
          <w:sz w:val="22"/>
          <w:szCs w:val="22"/>
          <w:lang w:val="en-US"/>
        </w:rPr>
        <w:t>into</w:t>
      </w:r>
      <w:r w:rsidR="00F96175" w:rsidRPr="00C03311">
        <w:rPr>
          <w:rFonts w:cs="Arial"/>
          <w:sz w:val="22"/>
          <w:szCs w:val="22"/>
          <w:lang w:val="en-US"/>
        </w:rPr>
        <w:t xml:space="preserve"> Mental Health.</w:t>
      </w:r>
    </w:p>
    <w:p w14:paraId="0259A109" w14:textId="77777777" w:rsidR="00F96175" w:rsidRPr="00C03311" w:rsidRDefault="00F96175" w:rsidP="00F96175">
      <w:pPr>
        <w:pStyle w:val="NMHCCFBody"/>
        <w:rPr>
          <w:rFonts w:cs="Arial"/>
          <w:sz w:val="22"/>
          <w:szCs w:val="22"/>
        </w:rPr>
      </w:pPr>
      <w:r w:rsidRPr="00C03311">
        <w:rPr>
          <w:rFonts w:cs="Arial"/>
          <w:sz w:val="22"/>
          <w:szCs w:val="22"/>
          <w:lang w:val="en-US"/>
        </w:rPr>
        <w:t>T</w:t>
      </w:r>
      <w:r w:rsidRPr="00C03311">
        <w:rPr>
          <w:rFonts w:cs="Arial"/>
          <w:sz w:val="22"/>
          <w:szCs w:val="22"/>
        </w:rPr>
        <w:t>he NMHCCF is a combined national voice for mental health consumers and carers. We listen, learn, influence and advocate in matters of mental health reform.  The NMHCCF was established in 2002 by the Australian Health Ministers’ Advisory Council. It is funded through contributions from each state and territory government and the Australian Government Department of Health. It is currently auspiced by Mental Health Australia.</w:t>
      </w:r>
    </w:p>
    <w:p w14:paraId="43837BA9" w14:textId="77777777" w:rsidR="00F96175" w:rsidRPr="00C03311" w:rsidRDefault="00F96175" w:rsidP="00F96175">
      <w:pPr>
        <w:pStyle w:val="NMHCCFBody"/>
        <w:rPr>
          <w:rFonts w:cs="Arial"/>
          <w:sz w:val="22"/>
          <w:szCs w:val="22"/>
        </w:rPr>
      </w:pPr>
      <w:r w:rsidRPr="00C03311">
        <w:rPr>
          <w:rFonts w:cs="Arial"/>
          <w:sz w:val="22"/>
          <w:szCs w:val="22"/>
        </w:rPr>
        <w:t>NMHCCF members represent mental health consumers and carers on a large number of national bodies, such as government committees and advisory groups, professional bodies and other consultative forums and events. Members use their lived experience, understanding of the mental health system and communication skills to advocate and promote the issues and concerns of consumers and carers.</w:t>
      </w:r>
    </w:p>
    <w:p w14:paraId="262BCE60" w14:textId="77777777" w:rsidR="00BF25E9" w:rsidRPr="00C03311" w:rsidRDefault="00F96175" w:rsidP="00BF25E9">
      <w:pPr>
        <w:pStyle w:val="NMHCCFBody"/>
        <w:rPr>
          <w:rFonts w:cs="Arial"/>
          <w:sz w:val="22"/>
          <w:szCs w:val="22"/>
        </w:rPr>
      </w:pPr>
      <w:r w:rsidRPr="00C03311">
        <w:rPr>
          <w:rFonts w:cs="Arial"/>
          <w:sz w:val="22"/>
          <w:szCs w:val="22"/>
        </w:rPr>
        <w:t xml:space="preserve">The NMHCCF acknowledges there </w:t>
      </w:r>
      <w:r w:rsidR="00BF25E9" w:rsidRPr="00C03311">
        <w:rPr>
          <w:rFonts w:cs="Arial"/>
          <w:sz w:val="22"/>
          <w:szCs w:val="22"/>
        </w:rPr>
        <w:t>are a</w:t>
      </w:r>
      <w:r w:rsidRPr="00C03311">
        <w:rPr>
          <w:rFonts w:cs="Arial"/>
          <w:sz w:val="22"/>
          <w:szCs w:val="22"/>
        </w:rPr>
        <w:t xml:space="preserve"> vast range of issues the Productivity Commission will be</w:t>
      </w:r>
      <w:r w:rsidR="00BF25E9" w:rsidRPr="00C03311">
        <w:rPr>
          <w:rFonts w:cs="Arial"/>
          <w:sz w:val="22"/>
          <w:szCs w:val="22"/>
        </w:rPr>
        <w:t xml:space="preserve"> addressing during this inquiry. Our </w:t>
      </w:r>
      <w:r w:rsidR="00FC78D2" w:rsidRPr="00C03311">
        <w:rPr>
          <w:rFonts w:cs="Arial"/>
          <w:sz w:val="22"/>
          <w:szCs w:val="22"/>
        </w:rPr>
        <w:t xml:space="preserve">submission </w:t>
      </w:r>
      <w:r w:rsidR="00BF25E9" w:rsidRPr="00C03311">
        <w:rPr>
          <w:rFonts w:cs="Arial"/>
          <w:sz w:val="22"/>
          <w:szCs w:val="22"/>
        </w:rPr>
        <w:t xml:space="preserve">focuses </w:t>
      </w:r>
      <w:r w:rsidR="00FC78D2" w:rsidRPr="00C03311">
        <w:rPr>
          <w:rFonts w:cs="Arial"/>
          <w:sz w:val="22"/>
          <w:szCs w:val="22"/>
        </w:rPr>
        <w:t xml:space="preserve">on </w:t>
      </w:r>
      <w:r w:rsidR="00BF25E9" w:rsidRPr="00C03311">
        <w:rPr>
          <w:rFonts w:cs="Arial"/>
          <w:sz w:val="22"/>
          <w:szCs w:val="22"/>
        </w:rPr>
        <w:t>embedding lived experience voices in all aspects of mental health and provides advice and recommendations on p</w:t>
      </w:r>
      <w:r w:rsidRPr="00C03311">
        <w:rPr>
          <w:rFonts w:cs="Arial"/>
          <w:sz w:val="22"/>
          <w:szCs w:val="22"/>
        </w:rPr>
        <w:t xml:space="preserve">eer workforce and </w:t>
      </w:r>
      <w:r w:rsidR="00BF25E9" w:rsidRPr="00C03311">
        <w:rPr>
          <w:rFonts w:cs="Arial"/>
          <w:sz w:val="22"/>
          <w:szCs w:val="22"/>
        </w:rPr>
        <w:t>co-d</w:t>
      </w:r>
      <w:r w:rsidRPr="00C03311">
        <w:rPr>
          <w:rFonts w:cs="Arial"/>
          <w:sz w:val="22"/>
          <w:szCs w:val="22"/>
        </w:rPr>
        <w:t>esign</w:t>
      </w:r>
      <w:r w:rsidR="00FC78D2" w:rsidRPr="00C03311">
        <w:rPr>
          <w:rFonts w:cs="Arial"/>
          <w:sz w:val="22"/>
          <w:szCs w:val="22"/>
        </w:rPr>
        <w:t xml:space="preserve">. </w:t>
      </w:r>
    </w:p>
    <w:p w14:paraId="79990A65" w14:textId="77777777" w:rsidR="00BF25E9" w:rsidRPr="00C03311" w:rsidRDefault="00BF25E9" w:rsidP="00BF25E9">
      <w:pPr>
        <w:pStyle w:val="NMHCCFBody"/>
        <w:rPr>
          <w:rFonts w:cs="Arial"/>
          <w:sz w:val="22"/>
          <w:szCs w:val="22"/>
        </w:rPr>
      </w:pPr>
      <w:r w:rsidRPr="00C03311">
        <w:rPr>
          <w:rFonts w:cs="Arial"/>
          <w:sz w:val="22"/>
          <w:szCs w:val="22"/>
        </w:rPr>
        <w:t xml:space="preserve">Peer workforce and co-design are two areas we believe have genuine potential to be expanded on and produce outcomes that positively improve the lives of mental health consumers and carers.  </w:t>
      </w:r>
    </w:p>
    <w:p w14:paraId="7F30B681" w14:textId="77777777" w:rsidR="00F96175" w:rsidRPr="00C03311" w:rsidRDefault="00FC78D2" w:rsidP="00F96175">
      <w:pPr>
        <w:pStyle w:val="NMHCCFBody"/>
        <w:rPr>
          <w:rFonts w:cs="Arial"/>
          <w:sz w:val="22"/>
          <w:szCs w:val="22"/>
        </w:rPr>
      </w:pPr>
      <w:r w:rsidRPr="00C03311">
        <w:rPr>
          <w:rFonts w:cs="Arial"/>
          <w:sz w:val="22"/>
          <w:szCs w:val="22"/>
        </w:rPr>
        <w:t xml:space="preserve">We have also included </w:t>
      </w:r>
      <w:r w:rsidR="0022166C" w:rsidRPr="00C03311">
        <w:rPr>
          <w:rFonts w:cs="Arial"/>
          <w:sz w:val="22"/>
          <w:szCs w:val="22"/>
        </w:rPr>
        <w:t xml:space="preserve">other recommendations and opportunities </w:t>
      </w:r>
      <w:r w:rsidR="00F96175" w:rsidRPr="00C03311">
        <w:rPr>
          <w:rFonts w:cs="Arial"/>
          <w:sz w:val="22"/>
          <w:szCs w:val="22"/>
        </w:rPr>
        <w:t>for possible further exploration</w:t>
      </w:r>
      <w:r w:rsidR="00072391" w:rsidRPr="00C03311">
        <w:rPr>
          <w:rFonts w:cs="Arial"/>
          <w:sz w:val="22"/>
          <w:szCs w:val="22"/>
        </w:rPr>
        <w:t xml:space="preserve"> </w:t>
      </w:r>
      <w:r w:rsidR="00BF25E9" w:rsidRPr="00C03311">
        <w:rPr>
          <w:rFonts w:cs="Arial"/>
          <w:sz w:val="22"/>
          <w:szCs w:val="22"/>
        </w:rPr>
        <w:t xml:space="preserve">that have been identified by mental health consumers and carers </w:t>
      </w:r>
      <w:r w:rsidR="00072391" w:rsidRPr="00C03311">
        <w:rPr>
          <w:rFonts w:cs="Arial"/>
          <w:sz w:val="22"/>
          <w:szCs w:val="22"/>
        </w:rPr>
        <w:t>that are beyond the peer workforce and co-design</w:t>
      </w:r>
      <w:r w:rsidR="00F96175" w:rsidRPr="00C03311">
        <w:rPr>
          <w:rFonts w:cs="Arial"/>
          <w:sz w:val="22"/>
          <w:szCs w:val="22"/>
        </w:rPr>
        <w:t xml:space="preserve">. </w:t>
      </w:r>
    </w:p>
    <w:p w14:paraId="0AD66FC6" w14:textId="69E85D4B" w:rsidR="004778F4" w:rsidRPr="00C03311" w:rsidRDefault="004778F4" w:rsidP="00F96175">
      <w:pPr>
        <w:pStyle w:val="NMHCCFBody"/>
        <w:rPr>
          <w:rFonts w:cs="Arial"/>
          <w:sz w:val="22"/>
          <w:szCs w:val="22"/>
        </w:rPr>
      </w:pPr>
      <w:r w:rsidRPr="00C03311">
        <w:rPr>
          <w:rFonts w:cs="Arial"/>
          <w:sz w:val="22"/>
          <w:szCs w:val="22"/>
        </w:rPr>
        <w:t>If you wish to discuss any of the information provided in this submission, please do not hesitate to contact the NMHCCF via the Secretariat</w:t>
      </w:r>
      <w:r w:rsidR="00FC78D2" w:rsidRPr="00C03311">
        <w:rPr>
          <w:rFonts w:cs="Arial"/>
          <w:sz w:val="22"/>
          <w:szCs w:val="22"/>
        </w:rPr>
        <w:t xml:space="preserve"> </w:t>
      </w:r>
      <w:r w:rsidRPr="00C03311">
        <w:rPr>
          <w:rFonts w:cs="Arial"/>
          <w:sz w:val="22"/>
          <w:szCs w:val="22"/>
        </w:rPr>
        <w:t xml:space="preserve">– </w:t>
      </w:r>
      <w:hyperlink r:id="rId14" w:history="1">
        <w:r w:rsidR="00BF25E9" w:rsidRPr="00C03311">
          <w:rPr>
            <w:rStyle w:val="Hyperlink"/>
            <w:rFonts w:cs="Arial"/>
            <w:sz w:val="22"/>
            <w:szCs w:val="22"/>
          </w:rPr>
          <w:t>nmhccf@mhaustralia.org</w:t>
        </w:r>
      </w:hyperlink>
      <w:r w:rsidRPr="00C03311">
        <w:rPr>
          <w:rFonts w:cs="Arial"/>
          <w:sz w:val="22"/>
          <w:szCs w:val="22"/>
        </w:rPr>
        <w:t xml:space="preserve"> or </w:t>
      </w:r>
      <w:r w:rsidR="00BF25E9" w:rsidRPr="00C03311">
        <w:rPr>
          <w:rFonts w:cs="Arial"/>
          <w:sz w:val="22"/>
          <w:szCs w:val="22"/>
        </w:rPr>
        <w:t xml:space="preserve">             </w:t>
      </w:r>
      <w:r w:rsidRPr="00C03311">
        <w:rPr>
          <w:rFonts w:cs="Arial"/>
          <w:sz w:val="22"/>
          <w:szCs w:val="22"/>
        </w:rPr>
        <w:t xml:space="preserve">02 </w:t>
      </w:r>
      <w:r w:rsidR="00FC78D2" w:rsidRPr="00C03311">
        <w:rPr>
          <w:rFonts w:cs="Arial"/>
          <w:sz w:val="22"/>
          <w:szCs w:val="22"/>
        </w:rPr>
        <w:t>6285 3100</w:t>
      </w:r>
      <w:r w:rsidR="00C03311">
        <w:rPr>
          <w:rFonts w:cs="Arial"/>
          <w:sz w:val="22"/>
          <w:szCs w:val="22"/>
        </w:rPr>
        <w:t>.</w:t>
      </w:r>
    </w:p>
    <w:p w14:paraId="5F8AAA9C" w14:textId="77777777" w:rsidR="004778F4" w:rsidRPr="00C03311" w:rsidRDefault="004778F4" w:rsidP="00F96175">
      <w:pPr>
        <w:pStyle w:val="NMHCCFBody"/>
        <w:rPr>
          <w:rFonts w:cs="Arial"/>
          <w:sz w:val="22"/>
          <w:szCs w:val="22"/>
        </w:rPr>
      </w:pPr>
    </w:p>
    <w:p w14:paraId="65C01EE7" w14:textId="7948B84F" w:rsidR="004778F4" w:rsidRPr="00C03311" w:rsidRDefault="004778F4" w:rsidP="004778F4">
      <w:pPr>
        <w:spacing w:after="120"/>
        <w:ind w:right="283"/>
        <w:rPr>
          <w:rFonts w:ascii="Arial" w:hAnsi="Arial" w:cs="Arial"/>
        </w:rPr>
      </w:pPr>
      <w:r w:rsidRPr="00C03311">
        <w:rPr>
          <w:rFonts w:ascii="Arial" w:hAnsi="Arial" w:cs="Arial"/>
        </w:rPr>
        <w:t>Yours sincerely</w:t>
      </w:r>
    </w:p>
    <w:p w14:paraId="166E63E7" w14:textId="74815E6D" w:rsidR="004778F4" w:rsidRPr="00C03311" w:rsidRDefault="004778F4" w:rsidP="004778F4">
      <w:pPr>
        <w:tabs>
          <w:tab w:val="left" w:pos="6390"/>
        </w:tabs>
        <w:spacing w:after="0" w:line="240" w:lineRule="auto"/>
        <w:ind w:left="360"/>
        <w:rPr>
          <w:rFonts w:ascii="Arial" w:eastAsia="Times New Roman" w:hAnsi="Arial" w:cs="Arial"/>
          <w:lang w:eastAsia="en-AU"/>
        </w:rPr>
      </w:pPr>
      <w:r w:rsidRPr="00C03311">
        <w:rPr>
          <w:rFonts w:ascii="Arial" w:eastAsia="Times New Roman" w:hAnsi="Arial" w:cs="Arial"/>
          <w:lang w:eastAsia="en-AU"/>
        </w:rPr>
        <w:tab/>
      </w:r>
    </w:p>
    <w:p w14:paraId="23FB628C" w14:textId="2210840B" w:rsidR="004778F4" w:rsidRPr="00C03311" w:rsidRDefault="004778F4" w:rsidP="004778F4">
      <w:pPr>
        <w:spacing w:after="0" w:line="240" w:lineRule="auto"/>
        <w:rPr>
          <w:rFonts w:ascii="Arial" w:eastAsia="Times New Roman" w:hAnsi="Arial" w:cs="Arial"/>
          <w:lang w:eastAsia="en-AU"/>
        </w:rPr>
      </w:pPr>
      <w:bookmarkStart w:id="0" w:name="_GoBack"/>
      <w:bookmarkEnd w:id="0"/>
      <w:r w:rsidRPr="00C03311">
        <w:rPr>
          <w:rFonts w:ascii="Arial" w:eastAsia="Times New Roman" w:hAnsi="Arial" w:cs="Arial"/>
          <w:noProof/>
          <w:lang w:eastAsia="en-AU"/>
        </w:rPr>
        <w:t xml:space="preserve">                 </w:t>
      </w:r>
      <w:r w:rsidRPr="00C03311">
        <w:rPr>
          <w:rFonts w:ascii="Arial" w:eastAsia="Times New Roman" w:hAnsi="Arial" w:cs="Arial"/>
          <w:noProof/>
          <w:lang w:eastAsia="en-AU"/>
        </w:rPr>
        <w:tab/>
      </w:r>
      <w:r w:rsidRPr="00C03311">
        <w:rPr>
          <w:rFonts w:ascii="Arial" w:eastAsia="Times New Roman" w:hAnsi="Arial" w:cs="Arial"/>
          <w:noProof/>
          <w:lang w:eastAsia="en-AU"/>
        </w:rPr>
        <w:tab/>
        <w:t xml:space="preserve">        </w:t>
      </w:r>
    </w:p>
    <w:p w14:paraId="7E004F3A" w14:textId="2DAC7541" w:rsidR="004778F4" w:rsidRPr="00C03311" w:rsidRDefault="00C03311" w:rsidP="00C03311">
      <w:pPr>
        <w:tabs>
          <w:tab w:val="left" w:pos="945"/>
          <w:tab w:val="left" w:pos="1470"/>
        </w:tabs>
        <w:spacing w:after="0" w:line="240" w:lineRule="auto"/>
        <w:rPr>
          <w:rFonts w:ascii="Arial" w:eastAsia="Times New Roman" w:hAnsi="Arial" w:cs="Arial"/>
          <w:lang w:eastAsia="en-AU"/>
        </w:rPr>
      </w:pPr>
      <w:r>
        <w:rPr>
          <w:rFonts w:ascii="Arial" w:eastAsia="Times New Roman" w:hAnsi="Arial" w:cs="Arial"/>
          <w:lang w:eastAsia="en-AU"/>
        </w:rPr>
        <w:tab/>
      </w:r>
      <w:r>
        <w:rPr>
          <w:rFonts w:ascii="Arial" w:eastAsia="Times New Roman" w:hAnsi="Arial" w:cs="Arial"/>
          <w:lang w:eastAsia="en-AU"/>
        </w:rPr>
        <w:tab/>
      </w:r>
    </w:p>
    <w:p w14:paraId="14F8F3C4" w14:textId="77777777" w:rsidR="00C03311" w:rsidRDefault="00C03311" w:rsidP="004778F4">
      <w:pPr>
        <w:spacing w:after="0" w:line="240" w:lineRule="auto"/>
        <w:rPr>
          <w:rFonts w:ascii="Arial" w:eastAsia="Times New Roman" w:hAnsi="Arial" w:cs="Arial"/>
          <w:lang w:eastAsia="en-AU"/>
        </w:rPr>
      </w:pPr>
    </w:p>
    <w:p w14:paraId="6CEC5103" w14:textId="22B909B3" w:rsidR="004778F4" w:rsidRPr="00C03311" w:rsidRDefault="004778F4" w:rsidP="004778F4">
      <w:pPr>
        <w:spacing w:after="0" w:line="240" w:lineRule="auto"/>
        <w:rPr>
          <w:rFonts w:ascii="Arial" w:eastAsia="Times New Roman" w:hAnsi="Arial" w:cs="Arial"/>
          <w:lang w:eastAsia="en-AU"/>
        </w:rPr>
      </w:pPr>
      <w:r w:rsidRPr="00C03311">
        <w:rPr>
          <w:rFonts w:ascii="Arial" w:eastAsia="Times New Roman" w:hAnsi="Arial" w:cs="Arial"/>
          <w:lang w:eastAsia="en-AU"/>
        </w:rPr>
        <w:t>Lorraine Powell</w:t>
      </w:r>
      <w:r w:rsidRPr="00C03311">
        <w:rPr>
          <w:rFonts w:ascii="Arial" w:eastAsia="Times New Roman" w:hAnsi="Arial" w:cs="Arial"/>
          <w:lang w:eastAsia="en-AU"/>
        </w:rPr>
        <w:tab/>
      </w:r>
      <w:r w:rsidRPr="00C03311">
        <w:rPr>
          <w:rFonts w:ascii="Arial" w:eastAsia="Times New Roman" w:hAnsi="Arial" w:cs="Arial"/>
          <w:lang w:eastAsia="en-AU"/>
        </w:rPr>
        <w:tab/>
      </w:r>
      <w:r w:rsidRPr="00C03311">
        <w:rPr>
          <w:rFonts w:ascii="Arial" w:eastAsia="Times New Roman" w:hAnsi="Arial" w:cs="Arial"/>
          <w:lang w:eastAsia="en-AU"/>
        </w:rPr>
        <w:tab/>
      </w:r>
      <w:r w:rsidRPr="00C03311">
        <w:rPr>
          <w:rFonts w:ascii="Arial" w:eastAsia="Times New Roman" w:hAnsi="Arial" w:cs="Arial"/>
          <w:lang w:eastAsia="en-AU"/>
        </w:rPr>
        <w:tab/>
      </w:r>
      <w:r w:rsidR="00E64F7C" w:rsidRPr="00C03311">
        <w:rPr>
          <w:rFonts w:ascii="Arial" w:eastAsia="Times New Roman" w:hAnsi="Arial" w:cs="Arial"/>
          <w:lang w:eastAsia="en-AU"/>
        </w:rPr>
        <w:t>Eileen McDonald</w:t>
      </w:r>
    </w:p>
    <w:p w14:paraId="40ECE47D" w14:textId="77777777" w:rsidR="004778F4" w:rsidRPr="00C03311" w:rsidRDefault="004778F4" w:rsidP="004778F4">
      <w:pPr>
        <w:spacing w:after="0" w:line="240" w:lineRule="auto"/>
        <w:rPr>
          <w:rFonts w:ascii="Arial" w:eastAsia="Times New Roman" w:hAnsi="Arial" w:cs="Arial"/>
          <w:lang w:eastAsia="en-AU"/>
        </w:rPr>
      </w:pPr>
      <w:r w:rsidRPr="00C03311">
        <w:rPr>
          <w:rFonts w:ascii="Arial" w:eastAsia="Times New Roman" w:hAnsi="Arial" w:cs="Arial"/>
          <w:lang w:eastAsia="en-AU"/>
        </w:rPr>
        <w:t xml:space="preserve">Consumer Co-Chair </w:t>
      </w:r>
      <w:r w:rsidRPr="00C03311">
        <w:rPr>
          <w:rFonts w:ascii="Arial" w:eastAsia="Times New Roman" w:hAnsi="Arial" w:cs="Arial"/>
          <w:lang w:eastAsia="en-AU"/>
        </w:rPr>
        <w:tab/>
      </w:r>
      <w:r w:rsidRPr="00C03311">
        <w:rPr>
          <w:rFonts w:ascii="Arial" w:eastAsia="Times New Roman" w:hAnsi="Arial" w:cs="Arial"/>
          <w:lang w:eastAsia="en-AU"/>
        </w:rPr>
        <w:tab/>
      </w:r>
      <w:r w:rsidRPr="00C03311">
        <w:rPr>
          <w:rFonts w:ascii="Arial" w:eastAsia="Times New Roman" w:hAnsi="Arial" w:cs="Arial"/>
          <w:lang w:eastAsia="en-AU"/>
        </w:rPr>
        <w:tab/>
      </w:r>
      <w:r w:rsidRPr="00C03311">
        <w:rPr>
          <w:rFonts w:ascii="Arial" w:eastAsia="Times New Roman" w:hAnsi="Arial" w:cs="Arial"/>
          <w:lang w:eastAsia="en-AU"/>
        </w:rPr>
        <w:tab/>
        <w:t>Deputy Carer Co-Chair</w:t>
      </w:r>
    </w:p>
    <w:p w14:paraId="5B0667C0" w14:textId="77777777" w:rsidR="004A04F0" w:rsidRDefault="004A04F0" w:rsidP="004A04F0">
      <w:pPr>
        <w:tabs>
          <w:tab w:val="center" w:pos="4680"/>
          <w:tab w:val="right" w:pos="9360"/>
        </w:tabs>
        <w:spacing w:after="0" w:line="240" w:lineRule="auto"/>
        <w:rPr>
          <w:rFonts w:ascii="Arial" w:eastAsia="Calibri" w:hAnsi="Arial" w:cs="Arial"/>
          <w:color w:val="F0A31F"/>
          <w:lang w:val="en-PH"/>
        </w:rPr>
      </w:pPr>
    </w:p>
    <w:p w14:paraId="32D12A50" w14:textId="77777777" w:rsidR="004A04F0" w:rsidRPr="003E388B" w:rsidRDefault="004A04F0" w:rsidP="004A04F0">
      <w:pPr>
        <w:tabs>
          <w:tab w:val="center" w:pos="4680"/>
          <w:tab w:val="right" w:pos="9360"/>
        </w:tabs>
        <w:spacing w:after="0" w:line="240" w:lineRule="auto"/>
        <w:rPr>
          <w:rFonts w:ascii="Arial" w:eastAsia="Calibri" w:hAnsi="Arial" w:cs="Arial"/>
          <w:color w:val="F0A31F"/>
          <w:lang w:val="en-PH"/>
        </w:rPr>
      </w:pPr>
    </w:p>
    <w:p w14:paraId="1D5105CC" w14:textId="77777777" w:rsidR="004A04F0" w:rsidRPr="003E388B" w:rsidRDefault="004A04F0" w:rsidP="004A04F0">
      <w:pPr>
        <w:tabs>
          <w:tab w:val="center" w:pos="4680"/>
          <w:tab w:val="right" w:pos="9360"/>
        </w:tabs>
        <w:spacing w:after="0" w:line="240" w:lineRule="auto"/>
        <w:rPr>
          <w:rFonts w:ascii="Arial" w:eastAsia="Calibri" w:hAnsi="Arial" w:cs="Arial"/>
          <w:color w:val="F0A31F"/>
          <w:lang w:val="en-PH"/>
        </w:rPr>
      </w:pPr>
    </w:p>
    <w:p w14:paraId="48582891" w14:textId="77777777" w:rsidR="004A04F0" w:rsidRPr="003E388B" w:rsidRDefault="004A04F0" w:rsidP="004A04F0">
      <w:pPr>
        <w:tabs>
          <w:tab w:val="center" w:pos="4680"/>
          <w:tab w:val="right" w:pos="9360"/>
        </w:tabs>
        <w:spacing w:after="0" w:line="240" w:lineRule="auto"/>
        <w:rPr>
          <w:rFonts w:ascii="Arial" w:eastAsia="Calibri" w:hAnsi="Arial" w:cs="Arial"/>
          <w:color w:val="F0A31F"/>
          <w:lang w:val="en-PH"/>
        </w:rPr>
      </w:pPr>
    </w:p>
    <w:p w14:paraId="79192B1F" w14:textId="77777777" w:rsidR="004A04F0" w:rsidRPr="003E388B" w:rsidRDefault="004A04F0" w:rsidP="004A04F0">
      <w:pPr>
        <w:tabs>
          <w:tab w:val="center" w:pos="4680"/>
          <w:tab w:val="right" w:pos="9360"/>
        </w:tabs>
        <w:spacing w:after="0" w:line="240" w:lineRule="auto"/>
        <w:rPr>
          <w:rFonts w:ascii="Arial" w:eastAsia="Calibri" w:hAnsi="Arial" w:cs="Arial"/>
          <w:color w:val="F0A31F"/>
          <w:lang w:val="en-PH"/>
        </w:rPr>
      </w:pPr>
    </w:p>
    <w:p w14:paraId="55984C68" w14:textId="77777777" w:rsidR="004A04F0" w:rsidRPr="004A04F0" w:rsidRDefault="004A04F0" w:rsidP="004A04F0">
      <w:pPr>
        <w:tabs>
          <w:tab w:val="center" w:pos="4680"/>
          <w:tab w:val="right" w:pos="9360"/>
        </w:tabs>
        <w:spacing w:after="0" w:line="240" w:lineRule="auto"/>
        <w:rPr>
          <w:rFonts w:ascii="Arial" w:eastAsia="Calibri" w:hAnsi="Arial" w:cs="Arial"/>
          <w:color w:val="F0A31F"/>
          <w:lang w:val="en-PH"/>
        </w:rPr>
      </w:pPr>
      <w:r w:rsidRPr="004A04F0">
        <w:rPr>
          <w:rFonts w:ascii="Arial" w:eastAsia="Calibri" w:hAnsi="Arial" w:cs="Arial"/>
          <w:noProof/>
          <w:color w:val="F0A31F"/>
          <w:lang w:eastAsia="en-AU"/>
        </w:rPr>
        <w:drawing>
          <wp:anchor distT="0" distB="0" distL="114300" distR="114300" simplePos="0" relativeHeight="251667456" behindDoc="1" locked="1" layoutInCell="1" allowOverlap="1" wp14:anchorId="62E5F44A" wp14:editId="2AD9B159">
            <wp:simplePos x="0" y="0"/>
            <wp:positionH relativeFrom="page">
              <wp:align>right</wp:align>
            </wp:positionH>
            <wp:positionV relativeFrom="page">
              <wp:align>bottom</wp:align>
            </wp:positionV>
            <wp:extent cx="7559675" cy="87820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oote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9675" cy="878205"/>
                    </a:xfrm>
                    <a:prstGeom prst="rect">
                      <a:avLst/>
                    </a:prstGeom>
                  </pic:spPr>
                </pic:pic>
              </a:graphicData>
            </a:graphic>
            <wp14:sizeRelH relativeFrom="page">
              <wp14:pctWidth>0</wp14:pctWidth>
            </wp14:sizeRelH>
            <wp14:sizeRelV relativeFrom="page">
              <wp14:pctHeight>0</wp14:pctHeight>
            </wp14:sizeRelV>
          </wp:anchor>
        </w:drawing>
      </w:r>
      <w:r w:rsidRPr="004A04F0">
        <w:rPr>
          <w:rFonts w:ascii="Arial" w:eastAsia="Calibri" w:hAnsi="Arial" w:cs="Arial"/>
          <w:color w:val="F0A31F"/>
          <w:lang w:val="en-PH"/>
        </w:rPr>
        <w:t xml:space="preserve">A combined national voice for </w:t>
      </w:r>
    </w:p>
    <w:p w14:paraId="4EB80D45" w14:textId="77777777" w:rsidR="004A04F0" w:rsidRPr="004A04F0" w:rsidRDefault="004A04F0" w:rsidP="004A04F0">
      <w:pPr>
        <w:tabs>
          <w:tab w:val="center" w:pos="4680"/>
          <w:tab w:val="right" w:pos="9360"/>
        </w:tabs>
        <w:spacing w:after="0" w:line="240" w:lineRule="auto"/>
        <w:rPr>
          <w:rFonts w:ascii="Arial" w:eastAsia="Calibri" w:hAnsi="Arial" w:cs="Arial"/>
          <w:color w:val="F0A31F"/>
          <w:lang w:val="en-PH"/>
        </w:rPr>
      </w:pPr>
      <w:r w:rsidRPr="004A04F0">
        <w:rPr>
          <w:rFonts w:ascii="Arial" w:eastAsia="Calibri" w:hAnsi="Arial" w:cs="Arial"/>
          <w:color w:val="F0A31F"/>
          <w:lang w:val="en-PH"/>
        </w:rPr>
        <w:t>mental health consumers and carers</w:t>
      </w:r>
    </w:p>
    <w:p w14:paraId="05E1E198" w14:textId="77777777" w:rsidR="00F96175" w:rsidRPr="003E388B" w:rsidRDefault="00F96175" w:rsidP="00F96175">
      <w:pPr>
        <w:pStyle w:val="NMHCCFBody"/>
        <w:rPr>
          <w:rFonts w:cs="Arial"/>
          <w:b/>
          <w:sz w:val="22"/>
          <w:szCs w:val="22"/>
        </w:rPr>
      </w:pPr>
    </w:p>
    <w:p w14:paraId="4598294F" w14:textId="77777777" w:rsidR="00F96175" w:rsidRPr="003E388B" w:rsidRDefault="00F96175" w:rsidP="00F96175">
      <w:pPr>
        <w:pStyle w:val="NMHCCFBody"/>
        <w:rPr>
          <w:rFonts w:cs="Arial"/>
          <w:b/>
          <w:sz w:val="22"/>
          <w:szCs w:val="22"/>
        </w:rPr>
      </w:pPr>
      <w:r w:rsidRPr="003E388B">
        <w:rPr>
          <w:rFonts w:cs="Arial"/>
          <w:b/>
          <w:sz w:val="22"/>
          <w:szCs w:val="22"/>
        </w:rPr>
        <w:lastRenderedPageBreak/>
        <w:t>Peer Workforce</w:t>
      </w:r>
    </w:p>
    <w:p w14:paraId="7975922A" w14:textId="77777777" w:rsidR="00F96175" w:rsidRPr="003E388B" w:rsidRDefault="00F96175" w:rsidP="00F96175">
      <w:pPr>
        <w:pStyle w:val="NMHCCFBody"/>
        <w:rPr>
          <w:rFonts w:cs="Arial"/>
          <w:sz w:val="22"/>
          <w:szCs w:val="22"/>
          <w:shd w:val="clear" w:color="auto" w:fill="FFFFFF"/>
        </w:rPr>
      </w:pPr>
      <w:r w:rsidRPr="003E388B">
        <w:rPr>
          <w:rFonts w:cs="Arial"/>
          <w:sz w:val="22"/>
          <w:szCs w:val="22"/>
          <w:shd w:val="clear" w:color="auto" w:fill="FFFFFF"/>
        </w:rPr>
        <w:t>The mental health consumer and carer identified workforce comprises those consumer</w:t>
      </w:r>
      <w:r w:rsidR="00377AE8">
        <w:rPr>
          <w:rFonts w:cs="Arial"/>
          <w:sz w:val="22"/>
          <w:szCs w:val="22"/>
          <w:shd w:val="clear" w:color="auto" w:fill="FFFFFF"/>
        </w:rPr>
        <w:t>s</w:t>
      </w:r>
      <w:r w:rsidRPr="003E388B">
        <w:rPr>
          <w:rFonts w:cs="Arial"/>
          <w:sz w:val="22"/>
          <w:szCs w:val="22"/>
          <w:shd w:val="clear" w:color="auto" w:fill="FFFFFF"/>
        </w:rPr>
        <w:t xml:space="preserve"> and carers who are employed specifically for their expertise developed from their lived experience of mental illness as a consumer or a carer</w:t>
      </w:r>
      <w:r w:rsidR="0010156B">
        <w:rPr>
          <w:rFonts w:cs="Arial"/>
          <w:sz w:val="22"/>
          <w:szCs w:val="22"/>
          <w:shd w:val="clear" w:color="auto" w:fill="FFFFFF"/>
        </w:rPr>
        <w:t>.</w:t>
      </w:r>
      <w:r w:rsidR="00F248DB" w:rsidRPr="003E388B">
        <w:rPr>
          <w:rStyle w:val="FootnoteReference"/>
          <w:rFonts w:cs="Arial"/>
          <w:sz w:val="22"/>
          <w:szCs w:val="22"/>
          <w:shd w:val="clear" w:color="auto" w:fill="FFFFFF"/>
        </w:rPr>
        <w:footnoteReference w:id="1"/>
      </w:r>
      <w:r w:rsidRPr="003E388B">
        <w:rPr>
          <w:rFonts w:cs="Arial"/>
          <w:sz w:val="22"/>
          <w:szCs w:val="22"/>
          <w:shd w:val="clear" w:color="auto" w:fill="FFFFFF"/>
        </w:rPr>
        <w:t xml:space="preserve"> </w:t>
      </w:r>
    </w:p>
    <w:p w14:paraId="2E7546A0" w14:textId="77777777" w:rsidR="00F96175" w:rsidRPr="006C5964" w:rsidRDefault="00F96175" w:rsidP="00F96175">
      <w:pPr>
        <w:pStyle w:val="NMHCCFBody"/>
        <w:rPr>
          <w:rFonts w:cs="Arial"/>
          <w:sz w:val="22"/>
          <w:szCs w:val="22"/>
          <w:shd w:val="clear" w:color="auto" w:fill="FFFFFF"/>
        </w:rPr>
      </w:pPr>
      <w:r w:rsidRPr="003E388B">
        <w:rPr>
          <w:rFonts w:cs="Arial"/>
          <w:sz w:val="22"/>
          <w:szCs w:val="22"/>
          <w:shd w:val="clear" w:color="auto" w:fill="FFFFFF"/>
        </w:rPr>
        <w:t xml:space="preserve">Peer workers are people who have lived experience of mental health issues themselves or have cared for someone with a mental health </w:t>
      </w:r>
      <w:r w:rsidRPr="006C5964">
        <w:rPr>
          <w:rFonts w:cs="Arial"/>
          <w:sz w:val="22"/>
          <w:szCs w:val="22"/>
          <w:shd w:val="clear" w:color="auto" w:fill="FFFFFF"/>
        </w:rPr>
        <w:t>issues.</w:t>
      </w:r>
    </w:p>
    <w:p w14:paraId="64233B38" w14:textId="77777777" w:rsidR="00F96175" w:rsidRPr="006C5964" w:rsidRDefault="00F96175" w:rsidP="00F96175">
      <w:pPr>
        <w:pStyle w:val="NMHCCFBody"/>
        <w:ind w:left="284"/>
        <w:rPr>
          <w:rFonts w:cs="Arial"/>
          <w:sz w:val="22"/>
          <w:szCs w:val="22"/>
        </w:rPr>
      </w:pPr>
      <w:r w:rsidRPr="006C5964">
        <w:rPr>
          <w:rFonts w:cs="Arial"/>
          <w:sz w:val="22"/>
          <w:szCs w:val="22"/>
        </w:rPr>
        <w:t>“...a deep, holistic understanding based on mutual experience where people are able to “be” with each other without the constraints of traditional (expert/patient) relationships...Peer Support can offer a culture of health and ability as opposed to a culture of “illness” and disability</w:t>
      </w:r>
      <w:r w:rsidR="00BA413D" w:rsidRPr="006C5964">
        <w:rPr>
          <w:rFonts w:cs="Arial"/>
          <w:sz w:val="22"/>
          <w:szCs w:val="22"/>
        </w:rPr>
        <w:t>.</w:t>
      </w:r>
      <w:r w:rsidRPr="006C5964">
        <w:rPr>
          <w:rFonts w:cs="Arial"/>
          <w:sz w:val="22"/>
          <w:szCs w:val="22"/>
        </w:rPr>
        <w:t>”</w:t>
      </w:r>
      <w:r w:rsidR="00F248DB" w:rsidRPr="006C5964">
        <w:rPr>
          <w:rStyle w:val="FootnoteReference"/>
          <w:rFonts w:cs="Arial"/>
          <w:sz w:val="22"/>
          <w:szCs w:val="22"/>
        </w:rPr>
        <w:footnoteReference w:id="2"/>
      </w:r>
    </w:p>
    <w:p w14:paraId="36A3BE0B" w14:textId="77777777" w:rsidR="00A92AF5" w:rsidRPr="006C5964" w:rsidRDefault="002E5CB3" w:rsidP="00A92AF5">
      <w:pPr>
        <w:pStyle w:val="NMHCCFBody"/>
        <w:rPr>
          <w:rFonts w:cs="Arial"/>
          <w:sz w:val="22"/>
          <w:szCs w:val="22"/>
        </w:rPr>
      </w:pPr>
      <w:r w:rsidRPr="006C5964">
        <w:rPr>
          <w:rFonts w:cs="Arial"/>
          <w:i/>
          <w:sz w:val="22"/>
          <w:szCs w:val="22"/>
        </w:rPr>
        <w:t xml:space="preserve">The </w:t>
      </w:r>
      <w:r w:rsidR="005A5BD9" w:rsidRPr="006C5964">
        <w:rPr>
          <w:rFonts w:cs="Arial"/>
          <w:i/>
          <w:sz w:val="22"/>
          <w:szCs w:val="22"/>
        </w:rPr>
        <w:t xml:space="preserve">Fifth National Mental Health and Suicide Prevention Plan: Implementation Plan </w:t>
      </w:r>
      <w:r w:rsidRPr="006C5964">
        <w:rPr>
          <w:rFonts w:cs="Arial"/>
          <w:sz w:val="22"/>
          <w:szCs w:val="22"/>
        </w:rPr>
        <w:t>(Fifth Plan)</w:t>
      </w:r>
      <w:r w:rsidRPr="006C5964">
        <w:rPr>
          <w:rFonts w:cs="Arial"/>
          <w:i/>
          <w:sz w:val="22"/>
          <w:szCs w:val="22"/>
        </w:rPr>
        <w:t xml:space="preserve"> </w:t>
      </w:r>
      <w:r w:rsidR="003D1CFE" w:rsidRPr="006C5964">
        <w:rPr>
          <w:rFonts w:cs="Arial"/>
          <w:sz w:val="22"/>
          <w:szCs w:val="22"/>
        </w:rPr>
        <w:t xml:space="preserve">acknowledges </w:t>
      </w:r>
      <w:r w:rsidR="00BA413D" w:rsidRPr="006C5964">
        <w:rPr>
          <w:rFonts w:cs="Arial"/>
          <w:sz w:val="22"/>
          <w:szCs w:val="22"/>
        </w:rPr>
        <w:t>“</w:t>
      </w:r>
      <w:r w:rsidR="00377AE8" w:rsidRPr="006C5964">
        <w:rPr>
          <w:rFonts w:cs="Arial"/>
          <w:sz w:val="22"/>
          <w:szCs w:val="22"/>
        </w:rPr>
        <w:t>.</w:t>
      </w:r>
      <w:r w:rsidR="00BA413D" w:rsidRPr="006C5964">
        <w:rPr>
          <w:rFonts w:cs="Arial"/>
          <w:sz w:val="22"/>
          <w:szCs w:val="22"/>
        </w:rPr>
        <w:t>..</w:t>
      </w:r>
      <w:r w:rsidR="00A92AF5" w:rsidRPr="006C5964">
        <w:rPr>
          <w:rFonts w:cs="Arial"/>
          <w:sz w:val="22"/>
          <w:szCs w:val="22"/>
        </w:rPr>
        <w:t>that peer workers play an important role in building recovery-oriented approaches to care, providing meaningful support to people and modelling positive outcomes from service experiences. However, the peer workforce is sporadically utilised and poorly supported.</w:t>
      </w:r>
      <w:r w:rsidR="00BA413D" w:rsidRPr="006C5964">
        <w:rPr>
          <w:rFonts w:cs="Arial"/>
          <w:sz w:val="22"/>
          <w:szCs w:val="22"/>
        </w:rPr>
        <w:t>”</w:t>
      </w:r>
      <w:r w:rsidR="00A92AF5" w:rsidRPr="006C5964">
        <w:rPr>
          <w:rStyle w:val="FootnoteReference"/>
          <w:rFonts w:cs="Arial"/>
          <w:sz w:val="22"/>
          <w:szCs w:val="22"/>
        </w:rPr>
        <w:footnoteReference w:id="3"/>
      </w:r>
    </w:p>
    <w:p w14:paraId="190EC603" w14:textId="311B52EF" w:rsidR="00B46FFC" w:rsidRPr="006C5964" w:rsidRDefault="005A5BD9" w:rsidP="003E29E1">
      <w:pPr>
        <w:pStyle w:val="NMHCCFBody"/>
        <w:rPr>
          <w:rFonts w:cs="Arial"/>
          <w:sz w:val="22"/>
          <w:szCs w:val="22"/>
        </w:rPr>
      </w:pPr>
      <w:r w:rsidRPr="006C5964">
        <w:rPr>
          <w:rFonts w:cs="Arial"/>
          <w:sz w:val="22"/>
          <w:szCs w:val="22"/>
        </w:rPr>
        <w:t xml:space="preserve">There are great opportunities </w:t>
      </w:r>
      <w:r w:rsidR="00BA413D" w:rsidRPr="006C5964">
        <w:rPr>
          <w:rFonts w:cs="Arial"/>
          <w:sz w:val="22"/>
          <w:szCs w:val="22"/>
        </w:rPr>
        <w:t>to</w:t>
      </w:r>
      <w:r w:rsidRPr="006C5964">
        <w:rPr>
          <w:rFonts w:cs="Arial"/>
          <w:sz w:val="22"/>
          <w:szCs w:val="22"/>
        </w:rPr>
        <w:t xml:space="preserve"> </w:t>
      </w:r>
      <w:r w:rsidR="00BA413D" w:rsidRPr="006C5964">
        <w:rPr>
          <w:rFonts w:cs="Arial"/>
          <w:sz w:val="22"/>
          <w:szCs w:val="22"/>
        </w:rPr>
        <w:t xml:space="preserve">grow </w:t>
      </w:r>
      <w:r w:rsidRPr="006C5964">
        <w:rPr>
          <w:rFonts w:cs="Arial"/>
          <w:sz w:val="22"/>
          <w:szCs w:val="22"/>
        </w:rPr>
        <w:t xml:space="preserve">the peer workforce across the country. NMHCCF members have </w:t>
      </w:r>
      <w:r w:rsidR="00BA413D" w:rsidRPr="006C5964">
        <w:rPr>
          <w:rFonts w:cs="Arial"/>
          <w:sz w:val="22"/>
          <w:szCs w:val="22"/>
        </w:rPr>
        <w:t>suggested</w:t>
      </w:r>
      <w:r w:rsidRPr="006C5964">
        <w:rPr>
          <w:rFonts w:cs="Arial"/>
          <w:sz w:val="22"/>
          <w:szCs w:val="22"/>
        </w:rPr>
        <w:t xml:space="preserve"> </w:t>
      </w:r>
      <w:r w:rsidR="00BA413D" w:rsidRPr="006C5964">
        <w:rPr>
          <w:rFonts w:cs="Arial"/>
          <w:sz w:val="22"/>
          <w:szCs w:val="22"/>
        </w:rPr>
        <w:t xml:space="preserve">recommendations and provided </w:t>
      </w:r>
      <w:r w:rsidRPr="006C5964">
        <w:rPr>
          <w:rFonts w:cs="Arial"/>
          <w:sz w:val="22"/>
          <w:szCs w:val="22"/>
        </w:rPr>
        <w:t>examples of best practice, which coul</w:t>
      </w:r>
      <w:r w:rsidR="00BA413D" w:rsidRPr="006C5964">
        <w:rPr>
          <w:rFonts w:cs="Arial"/>
          <w:sz w:val="22"/>
          <w:szCs w:val="22"/>
        </w:rPr>
        <w:t>d be expanded to meet this aim.</w:t>
      </w:r>
      <w:r w:rsidR="003E29E1" w:rsidRPr="006C5964">
        <w:rPr>
          <w:rFonts w:cs="Arial"/>
          <w:sz w:val="22"/>
          <w:szCs w:val="22"/>
        </w:rPr>
        <w:t xml:space="preserve"> We call for a national target for peer workers in mental health related support services. This target aims for 50 per cent of services employing peer workers in four years and 100 per cent in ten years.</w:t>
      </w:r>
      <w:r w:rsidR="00B46FFC" w:rsidRPr="006C5964">
        <w:rPr>
          <w:rStyle w:val="FootnoteReference"/>
          <w:rFonts w:cs="Arial"/>
          <w:sz w:val="22"/>
          <w:szCs w:val="22"/>
        </w:rPr>
        <w:footnoteReference w:id="4"/>
      </w:r>
    </w:p>
    <w:p w14:paraId="36646DB3" w14:textId="7750392E" w:rsidR="006C5964" w:rsidRPr="006C5964" w:rsidRDefault="00EE2B03" w:rsidP="00F96175">
      <w:pPr>
        <w:pStyle w:val="NMHCCFBody"/>
        <w:rPr>
          <w:rFonts w:cs="Arial"/>
          <w:b/>
          <w:sz w:val="22"/>
          <w:szCs w:val="22"/>
        </w:rPr>
      </w:pPr>
      <w:r w:rsidRPr="006C5964">
        <w:rPr>
          <w:rFonts w:cs="Arial"/>
          <w:b/>
          <w:sz w:val="22"/>
          <w:szCs w:val="22"/>
        </w:rPr>
        <w:t xml:space="preserve">Recommendation: </w:t>
      </w:r>
      <w:r w:rsidR="006C5964" w:rsidRPr="006C5964">
        <w:rPr>
          <w:rFonts w:cs="Arial"/>
          <w:b/>
          <w:sz w:val="22"/>
          <w:szCs w:val="22"/>
          <w:lang w:val="en-US"/>
        </w:rPr>
        <w:t>Implement a peer workforce within and across mental health services</w:t>
      </w:r>
      <w:r w:rsidR="006C5964" w:rsidRPr="006C5964">
        <w:rPr>
          <w:rFonts w:cs="Arial"/>
          <w:b/>
          <w:sz w:val="22"/>
          <w:szCs w:val="22"/>
        </w:rPr>
        <w:t xml:space="preserve"> </w:t>
      </w:r>
    </w:p>
    <w:p w14:paraId="1E7BD325" w14:textId="6A4EA946" w:rsidR="00F96175" w:rsidRPr="006C5964" w:rsidRDefault="004730B4" w:rsidP="00F96175">
      <w:pPr>
        <w:pStyle w:val="NMHCCFBody"/>
        <w:rPr>
          <w:rFonts w:cs="Arial"/>
          <w:sz w:val="22"/>
          <w:szCs w:val="22"/>
          <w:shd w:val="clear" w:color="auto" w:fill="FFFFFF"/>
        </w:rPr>
      </w:pPr>
      <w:r>
        <w:rPr>
          <w:rFonts w:cs="Arial"/>
          <w:sz w:val="22"/>
          <w:szCs w:val="22"/>
        </w:rPr>
        <w:t>Suggested r</w:t>
      </w:r>
      <w:r w:rsidR="00F96175" w:rsidRPr="006C5964">
        <w:rPr>
          <w:rFonts w:cs="Arial"/>
          <w:sz w:val="22"/>
          <w:szCs w:val="22"/>
        </w:rPr>
        <w:t>ecommendation</w:t>
      </w:r>
      <w:r>
        <w:rPr>
          <w:rFonts w:cs="Arial"/>
          <w:sz w:val="22"/>
          <w:szCs w:val="22"/>
        </w:rPr>
        <w:t xml:space="preserve"> the Productivity Commission could make in their report </w:t>
      </w:r>
      <w:r w:rsidR="005A5BD9" w:rsidRPr="006C5964">
        <w:rPr>
          <w:rFonts w:cs="Arial"/>
          <w:sz w:val="22"/>
          <w:szCs w:val="22"/>
        </w:rPr>
        <w:t>and examples of best practice</w:t>
      </w:r>
      <w:r w:rsidR="00F96175" w:rsidRPr="006C5964">
        <w:rPr>
          <w:rFonts w:cs="Arial"/>
          <w:sz w:val="22"/>
          <w:szCs w:val="22"/>
        </w:rPr>
        <w:t xml:space="preserve"> relating t</w:t>
      </w:r>
      <w:r w:rsidR="0014135C">
        <w:rPr>
          <w:rFonts w:cs="Arial"/>
          <w:sz w:val="22"/>
          <w:szCs w:val="22"/>
        </w:rPr>
        <w:t>o t</w:t>
      </w:r>
      <w:r w:rsidR="00F96175" w:rsidRPr="006C5964">
        <w:rPr>
          <w:rFonts w:cs="Arial"/>
          <w:sz w:val="22"/>
          <w:szCs w:val="22"/>
        </w:rPr>
        <w:t xml:space="preserve">he </w:t>
      </w:r>
      <w:r w:rsidR="005A5BD9" w:rsidRPr="006C5964">
        <w:rPr>
          <w:rFonts w:cs="Arial"/>
          <w:sz w:val="22"/>
          <w:szCs w:val="22"/>
        </w:rPr>
        <w:t>p</w:t>
      </w:r>
      <w:r w:rsidR="00F96175" w:rsidRPr="006C5964">
        <w:rPr>
          <w:rFonts w:cs="Arial"/>
          <w:sz w:val="22"/>
          <w:szCs w:val="22"/>
        </w:rPr>
        <w:t>eer workforce can be found in table</w:t>
      </w:r>
      <w:r w:rsidR="00331486" w:rsidRPr="006C5964">
        <w:rPr>
          <w:rFonts w:cs="Arial"/>
          <w:sz w:val="22"/>
          <w:szCs w:val="22"/>
        </w:rPr>
        <w:t xml:space="preserve"> </w:t>
      </w:r>
      <w:r w:rsidR="00224107" w:rsidRPr="006C5964">
        <w:rPr>
          <w:rFonts w:cs="Arial"/>
          <w:sz w:val="22"/>
          <w:szCs w:val="22"/>
        </w:rPr>
        <w:t>1</w:t>
      </w:r>
      <w:r w:rsidR="00331486" w:rsidRPr="006C5964">
        <w:rPr>
          <w:rFonts w:cs="Arial"/>
          <w:sz w:val="22"/>
          <w:szCs w:val="22"/>
        </w:rPr>
        <w:t xml:space="preserve">. </w:t>
      </w:r>
    </w:p>
    <w:p w14:paraId="0F5FE519" w14:textId="77777777" w:rsidR="00F96175" w:rsidRPr="006C5964" w:rsidRDefault="00F96175" w:rsidP="00F96175">
      <w:pPr>
        <w:pStyle w:val="NMHCCFBody"/>
        <w:rPr>
          <w:rFonts w:cs="Arial"/>
          <w:b/>
          <w:sz w:val="22"/>
          <w:szCs w:val="22"/>
        </w:rPr>
      </w:pPr>
      <w:r w:rsidRPr="006C5964">
        <w:rPr>
          <w:rFonts w:cs="Arial"/>
          <w:b/>
          <w:sz w:val="22"/>
          <w:szCs w:val="22"/>
        </w:rPr>
        <w:t>Co-Design</w:t>
      </w:r>
    </w:p>
    <w:p w14:paraId="6CE49B77" w14:textId="77777777" w:rsidR="00F96175" w:rsidRPr="006C5964" w:rsidRDefault="00F96175" w:rsidP="00F96175">
      <w:pPr>
        <w:pStyle w:val="NMHCCFBody"/>
        <w:rPr>
          <w:rFonts w:cs="Arial"/>
          <w:sz w:val="22"/>
          <w:szCs w:val="22"/>
        </w:rPr>
      </w:pPr>
      <w:r w:rsidRPr="006C5964">
        <w:rPr>
          <w:rFonts w:cs="Arial"/>
          <w:sz w:val="22"/>
          <w:szCs w:val="22"/>
        </w:rPr>
        <w:t>Mental health consumers and carers are directly impacted by the quality and effectiveness of mental health care and thus may be considered the key stakeholders in mental health policy reform. Consumer and carer participation in determining mental health practices and priorities ensures a sound basis for successful processes, programs and services to maintain and improve the mental health of all Australians</w:t>
      </w:r>
      <w:r w:rsidR="0010156B" w:rsidRPr="006C5964">
        <w:rPr>
          <w:rFonts w:cs="Arial"/>
          <w:sz w:val="22"/>
          <w:szCs w:val="22"/>
        </w:rPr>
        <w:t>.</w:t>
      </w:r>
      <w:r w:rsidR="00F248DB" w:rsidRPr="006C5964">
        <w:rPr>
          <w:rStyle w:val="FootnoteReference"/>
          <w:rFonts w:cs="Arial"/>
          <w:sz w:val="22"/>
          <w:szCs w:val="22"/>
        </w:rPr>
        <w:footnoteReference w:id="5"/>
      </w:r>
    </w:p>
    <w:p w14:paraId="192D0497" w14:textId="7F92E7AF" w:rsidR="00BA413D" w:rsidRPr="006C5964" w:rsidRDefault="005937DB" w:rsidP="00BA413D">
      <w:pPr>
        <w:pStyle w:val="NMHCCFBody"/>
        <w:rPr>
          <w:rFonts w:cs="Arial"/>
          <w:sz w:val="22"/>
          <w:szCs w:val="22"/>
        </w:rPr>
      </w:pPr>
      <w:r w:rsidRPr="006C5964">
        <w:rPr>
          <w:sz w:val="22"/>
          <w:szCs w:val="22"/>
        </w:rPr>
        <w:t xml:space="preserve">Mental health </w:t>
      </w:r>
      <w:r w:rsidRPr="006C5964">
        <w:rPr>
          <w:noProof/>
          <w:sz w:val="22"/>
          <w:szCs w:val="22"/>
        </w:rPr>
        <w:t>consumers</w:t>
      </w:r>
      <w:r w:rsidRPr="006C5964">
        <w:rPr>
          <w:sz w:val="22"/>
          <w:szCs w:val="22"/>
        </w:rPr>
        <w:t xml:space="preserve"> and carers have the right to participate in, actively contribute to, and influence the development of government policies and programs that affect their lives.</w:t>
      </w:r>
      <w:r w:rsidRPr="006C5964">
        <w:rPr>
          <w:sz w:val="22"/>
          <w:szCs w:val="22"/>
          <w:vertAlign w:val="superscript"/>
        </w:rPr>
        <w:footnoteReference w:id="6"/>
      </w:r>
      <w:r w:rsidRPr="006C5964">
        <w:rPr>
          <w:sz w:val="22"/>
          <w:szCs w:val="22"/>
        </w:rPr>
        <w:t xml:space="preserve"> Genuine engagement results in greater consumer and carer empowerment and ownership of mental health progr</w:t>
      </w:r>
      <w:r w:rsidR="00C03311">
        <w:rPr>
          <w:sz w:val="22"/>
          <w:szCs w:val="22"/>
        </w:rPr>
        <w:t>ams.</w:t>
      </w:r>
      <w:r w:rsidRPr="006C5964">
        <w:rPr>
          <w:sz w:val="22"/>
          <w:szCs w:val="22"/>
          <w:vertAlign w:val="superscript"/>
        </w:rPr>
        <w:footnoteReference w:id="7"/>
      </w:r>
      <w:r w:rsidRPr="006C5964">
        <w:rPr>
          <w:sz w:val="22"/>
          <w:szCs w:val="22"/>
          <w:vertAlign w:val="superscript"/>
        </w:rPr>
        <w:t>,</w:t>
      </w:r>
      <w:r w:rsidRPr="006C5964">
        <w:rPr>
          <w:sz w:val="22"/>
          <w:szCs w:val="22"/>
          <w:vertAlign w:val="superscript"/>
        </w:rPr>
        <w:footnoteReference w:id="8"/>
      </w:r>
      <w:r w:rsidR="00BA413D" w:rsidRPr="006C5964">
        <w:rPr>
          <w:rFonts w:cs="Arial"/>
          <w:sz w:val="22"/>
          <w:szCs w:val="22"/>
        </w:rPr>
        <w:t xml:space="preserve"> </w:t>
      </w:r>
    </w:p>
    <w:p w14:paraId="6F15DF1B" w14:textId="77777777" w:rsidR="00BA413D" w:rsidRPr="00C03311" w:rsidRDefault="00BA413D" w:rsidP="00BA413D">
      <w:pPr>
        <w:pStyle w:val="NMHCCFBody"/>
        <w:rPr>
          <w:rFonts w:cs="Arial"/>
          <w:sz w:val="22"/>
          <w:szCs w:val="22"/>
        </w:rPr>
      </w:pPr>
      <w:r w:rsidRPr="00C03311">
        <w:rPr>
          <w:rFonts w:cs="Arial"/>
          <w:sz w:val="22"/>
          <w:szCs w:val="22"/>
        </w:rPr>
        <w:lastRenderedPageBreak/>
        <w:t xml:space="preserve">Co-design and </w:t>
      </w:r>
      <w:r w:rsidR="00377AE8" w:rsidRPr="00C03311">
        <w:rPr>
          <w:rFonts w:cs="Arial"/>
          <w:sz w:val="22"/>
          <w:szCs w:val="22"/>
        </w:rPr>
        <w:t>co</w:t>
      </w:r>
      <w:r w:rsidRPr="00C03311">
        <w:rPr>
          <w:rFonts w:cs="Arial"/>
          <w:sz w:val="22"/>
          <w:szCs w:val="22"/>
        </w:rPr>
        <w:t>-production needs to be given specific consideration in mental health as there is likely to be considerable power differential between consumer and non-consumer partners.</w:t>
      </w:r>
      <w:r w:rsidRPr="00C03311">
        <w:rPr>
          <w:rStyle w:val="FootnoteReference"/>
          <w:rFonts w:cs="Arial"/>
          <w:sz w:val="22"/>
          <w:szCs w:val="22"/>
        </w:rPr>
        <w:footnoteReference w:id="9"/>
      </w:r>
      <w:r w:rsidRPr="00C03311">
        <w:rPr>
          <w:rFonts w:cs="Arial"/>
          <w:sz w:val="22"/>
          <w:szCs w:val="22"/>
        </w:rPr>
        <w:t xml:space="preserve"> </w:t>
      </w:r>
    </w:p>
    <w:p w14:paraId="36DE5786" w14:textId="48D00C2C" w:rsidR="00BC751D" w:rsidRPr="00C03311" w:rsidRDefault="005937DB" w:rsidP="00BC751D">
      <w:pPr>
        <w:pStyle w:val="NMHCCFBody"/>
        <w:rPr>
          <w:rFonts w:cs="Arial"/>
          <w:sz w:val="22"/>
          <w:szCs w:val="22"/>
        </w:rPr>
      </w:pPr>
      <w:r w:rsidRPr="00C03311">
        <w:rPr>
          <w:sz w:val="22"/>
          <w:szCs w:val="22"/>
        </w:rPr>
        <w:t xml:space="preserve">Consumer and carer co-design </w:t>
      </w:r>
      <w:r w:rsidRPr="00C03311">
        <w:rPr>
          <w:noProof/>
          <w:sz w:val="22"/>
          <w:szCs w:val="22"/>
        </w:rPr>
        <w:t>is</w:t>
      </w:r>
      <w:r w:rsidRPr="00C03311">
        <w:rPr>
          <w:sz w:val="22"/>
          <w:szCs w:val="22"/>
        </w:rPr>
        <w:t xml:space="preserve"> identified as a key commitment i</w:t>
      </w:r>
      <w:r w:rsidR="002E5CB3" w:rsidRPr="00C03311">
        <w:rPr>
          <w:sz w:val="22"/>
          <w:szCs w:val="22"/>
        </w:rPr>
        <w:t xml:space="preserve">n the Fifth </w:t>
      </w:r>
      <w:r w:rsidR="00ED2850" w:rsidRPr="00C03311">
        <w:rPr>
          <w:sz w:val="22"/>
          <w:szCs w:val="22"/>
        </w:rPr>
        <w:t>Plan</w:t>
      </w:r>
      <w:r w:rsidRPr="00C03311">
        <w:rPr>
          <w:sz w:val="22"/>
          <w:szCs w:val="22"/>
        </w:rPr>
        <w:t xml:space="preserve">, </w:t>
      </w:r>
      <w:r w:rsidRPr="00C03311">
        <w:rPr>
          <w:noProof/>
          <w:sz w:val="22"/>
          <w:szCs w:val="22"/>
        </w:rPr>
        <w:t>however</w:t>
      </w:r>
      <w:r w:rsidRPr="00C03311">
        <w:rPr>
          <w:sz w:val="22"/>
          <w:szCs w:val="22"/>
        </w:rPr>
        <w:t xml:space="preserve"> insignificant funding has been allocated to achieve it.</w:t>
      </w:r>
      <w:r w:rsidR="00B4182C" w:rsidRPr="00C03311">
        <w:rPr>
          <w:rFonts w:cs="Arial"/>
          <w:sz w:val="22"/>
          <w:szCs w:val="22"/>
        </w:rPr>
        <w:t xml:space="preserve"> </w:t>
      </w:r>
      <w:r w:rsidR="00BC751D" w:rsidRPr="00C03311">
        <w:rPr>
          <w:rFonts w:cs="Arial"/>
          <w:sz w:val="22"/>
          <w:szCs w:val="22"/>
        </w:rPr>
        <w:t>Genuine commitment to co-production and/or co-design is properly resourced, embedded from the outset, effects real change; and can successfully measure meaningful out</w:t>
      </w:r>
      <w:r w:rsidR="00B4182C" w:rsidRPr="00C03311">
        <w:rPr>
          <w:rFonts w:cs="Arial"/>
          <w:sz w:val="22"/>
          <w:szCs w:val="22"/>
        </w:rPr>
        <w:t>comes for consumers and carers.</w:t>
      </w:r>
      <w:r w:rsidR="00B4182C" w:rsidRPr="00C03311">
        <w:rPr>
          <w:rStyle w:val="FootnoteReference"/>
          <w:rFonts w:cs="Arial"/>
          <w:sz w:val="22"/>
          <w:szCs w:val="22"/>
        </w:rPr>
        <w:footnoteReference w:id="10"/>
      </w:r>
    </w:p>
    <w:p w14:paraId="7D63A30C" w14:textId="619C66B8" w:rsidR="00EE2B03" w:rsidRPr="00C03311" w:rsidRDefault="00EE2B03" w:rsidP="00EE2B03">
      <w:pPr>
        <w:pStyle w:val="NMHCCFBody"/>
        <w:rPr>
          <w:b/>
          <w:sz w:val="22"/>
          <w:szCs w:val="22"/>
        </w:rPr>
      </w:pPr>
      <w:r w:rsidRPr="00C03311">
        <w:rPr>
          <w:b/>
          <w:sz w:val="22"/>
          <w:szCs w:val="22"/>
        </w:rPr>
        <w:t>Recommendation:</w:t>
      </w:r>
      <w:r w:rsidR="00263756" w:rsidRPr="00C03311">
        <w:rPr>
          <w:b/>
          <w:sz w:val="22"/>
          <w:szCs w:val="22"/>
        </w:rPr>
        <w:t xml:space="preserve"> </w:t>
      </w:r>
      <w:r w:rsidR="006C5964" w:rsidRPr="00C03311">
        <w:rPr>
          <w:rFonts w:cs="Arial"/>
          <w:b/>
          <w:sz w:val="22"/>
          <w:szCs w:val="22"/>
          <w:lang w:val="en-US"/>
        </w:rPr>
        <w:t>Have sufficient resources and structures embedded in services to facilitate co-design and co-production</w:t>
      </w:r>
      <w:r w:rsidR="00804188" w:rsidRPr="00C03311">
        <w:rPr>
          <w:rFonts w:cs="Arial"/>
          <w:b/>
          <w:sz w:val="22"/>
          <w:szCs w:val="22"/>
          <w:lang w:val="en-US"/>
        </w:rPr>
        <w:t>.</w:t>
      </w:r>
    </w:p>
    <w:p w14:paraId="7272EBA8" w14:textId="37E61B8D" w:rsidR="00BC751D" w:rsidRPr="00C03311" w:rsidRDefault="00BC751D" w:rsidP="00EE2B03">
      <w:pPr>
        <w:pStyle w:val="NMHCCFBody"/>
        <w:rPr>
          <w:sz w:val="22"/>
          <w:szCs w:val="22"/>
        </w:rPr>
      </w:pPr>
      <w:r w:rsidRPr="00C03311">
        <w:rPr>
          <w:sz w:val="22"/>
          <w:szCs w:val="22"/>
        </w:rPr>
        <w:t>Reform systems and processes must acknowledge and respect the contributions, experience, unique expertise, skills and kno</w:t>
      </w:r>
      <w:r w:rsidR="00B4182C" w:rsidRPr="00C03311">
        <w:rPr>
          <w:sz w:val="22"/>
          <w:szCs w:val="22"/>
        </w:rPr>
        <w:t>wledge of consumers and carers</w:t>
      </w:r>
      <w:r w:rsidRPr="00C03311">
        <w:rPr>
          <w:sz w:val="22"/>
          <w:szCs w:val="22"/>
        </w:rPr>
        <w:t>.</w:t>
      </w:r>
      <w:r w:rsidR="00B4182C" w:rsidRPr="00C03311">
        <w:rPr>
          <w:rStyle w:val="FootnoteReference"/>
          <w:sz w:val="22"/>
          <w:szCs w:val="22"/>
        </w:rPr>
        <w:footnoteReference w:id="11"/>
      </w:r>
      <w:r w:rsidRPr="00C03311">
        <w:rPr>
          <w:sz w:val="22"/>
          <w:szCs w:val="22"/>
        </w:rPr>
        <w:t xml:space="preserve"> The investment </w:t>
      </w:r>
      <w:r w:rsidR="00D35E70" w:rsidRPr="00C03311">
        <w:rPr>
          <w:sz w:val="22"/>
          <w:szCs w:val="22"/>
        </w:rPr>
        <w:t>into</w:t>
      </w:r>
      <w:r w:rsidRPr="00C03311">
        <w:rPr>
          <w:sz w:val="22"/>
          <w:szCs w:val="22"/>
        </w:rPr>
        <w:t xml:space="preserve"> a national consumer and carer peak body will assist in addressing and progressing the needs, issues and solutions </w:t>
      </w:r>
      <w:r w:rsidR="00B4182C" w:rsidRPr="00C03311">
        <w:rPr>
          <w:sz w:val="22"/>
          <w:szCs w:val="22"/>
        </w:rPr>
        <w:t>identified by</w:t>
      </w:r>
      <w:r w:rsidRPr="00C03311">
        <w:rPr>
          <w:sz w:val="22"/>
          <w:szCs w:val="22"/>
        </w:rPr>
        <w:t xml:space="preserve"> mental health consumers and carers.</w:t>
      </w:r>
      <w:r w:rsidR="00D35E70" w:rsidRPr="00C03311">
        <w:rPr>
          <w:sz w:val="22"/>
          <w:szCs w:val="22"/>
        </w:rPr>
        <w:t xml:space="preserve"> This body would be co-designed and able to contribute to mental health reforms and </w:t>
      </w:r>
      <w:r w:rsidR="003E29E1" w:rsidRPr="00C03311">
        <w:rPr>
          <w:sz w:val="22"/>
          <w:szCs w:val="22"/>
        </w:rPr>
        <w:t>transformations</w:t>
      </w:r>
      <w:r w:rsidR="00D35E70" w:rsidRPr="00C03311">
        <w:rPr>
          <w:sz w:val="22"/>
          <w:szCs w:val="22"/>
        </w:rPr>
        <w:t>.</w:t>
      </w:r>
    </w:p>
    <w:p w14:paraId="2A75B5E4" w14:textId="032FA69E" w:rsidR="00D35E70" w:rsidRPr="00C03311" w:rsidRDefault="00B4182C" w:rsidP="00EE2B03">
      <w:pPr>
        <w:pStyle w:val="NMHCCFBody"/>
        <w:rPr>
          <w:sz w:val="22"/>
          <w:szCs w:val="22"/>
        </w:rPr>
      </w:pPr>
      <w:r w:rsidRPr="00C03311">
        <w:rPr>
          <w:b/>
          <w:sz w:val="22"/>
          <w:szCs w:val="22"/>
        </w:rPr>
        <w:t>Recommendation: Invest in</w:t>
      </w:r>
      <w:r w:rsidR="00D35E70" w:rsidRPr="00C03311">
        <w:rPr>
          <w:b/>
          <w:sz w:val="22"/>
          <w:szCs w:val="22"/>
        </w:rPr>
        <w:t xml:space="preserve"> a national consumer and carer peak body that is co-designed and sustainable.   </w:t>
      </w:r>
    </w:p>
    <w:p w14:paraId="00CFBC9B" w14:textId="527A0079" w:rsidR="00F96175" w:rsidRPr="00C03311" w:rsidRDefault="004730B4" w:rsidP="00F96175">
      <w:pPr>
        <w:pStyle w:val="NMHCCFBody"/>
        <w:rPr>
          <w:rFonts w:cs="Arial"/>
          <w:sz w:val="22"/>
          <w:szCs w:val="22"/>
          <w:shd w:val="clear" w:color="auto" w:fill="FFFFFF"/>
        </w:rPr>
      </w:pPr>
      <w:r w:rsidRPr="00C03311">
        <w:rPr>
          <w:rFonts w:cs="Arial"/>
          <w:sz w:val="22"/>
          <w:szCs w:val="22"/>
        </w:rPr>
        <w:t xml:space="preserve">Suggested recommendations the Productivity Commission could make in their report </w:t>
      </w:r>
      <w:r w:rsidR="00F96175" w:rsidRPr="00C03311">
        <w:rPr>
          <w:rFonts w:cs="Arial"/>
          <w:sz w:val="22"/>
          <w:szCs w:val="22"/>
        </w:rPr>
        <w:t>relating to co-design</w:t>
      </w:r>
      <w:r w:rsidRPr="00C03311">
        <w:rPr>
          <w:rFonts w:cs="Arial"/>
          <w:sz w:val="22"/>
          <w:szCs w:val="22"/>
        </w:rPr>
        <w:t xml:space="preserve"> and</w:t>
      </w:r>
      <w:r w:rsidR="00ED29CE" w:rsidRPr="00C03311">
        <w:rPr>
          <w:rFonts w:cs="Arial"/>
          <w:sz w:val="22"/>
          <w:szCs w:val="22"/>
        </w:rPr>
        <w:t xml:space="preserve"> </w:t>
      </w:r>
      <w:r w:rsidR="00B4182C" w:rsidRPr="00C03311">
        <w:rPr>
          <w:rFonts w:cs="Arial"/>
          <w:sz w:val="22"/>
          <w:szCs w:val="22"/>
        </w:rPr>
        <w:t>an</w:t>
      </w:r>
      <w:r w:rsidRPr="00C03311">
        <w:rPr>
          <w:rFonts w:cs="Arial"/>
          <w:sz w:val="22"/>
          <w:szCs w:val="22"/>
        </w:rPr>
        <w:t xml:space="preserve"> example of best practice</w:t>
      </w:r>
      <w:r w:rsidR="00F96175" w:rsidRPr="00C03311">
        <w:rPr>
          <w:rFonts w:cs="Arial"/>
          <w:sz w:val="22"/>
          <w:szCs w:val="22"/>
        </w:rPr>
        <w:t xml:space="preserve"> can be found in table </w:t>
      </w:r>
      <w:r w:rsidR="006270B4" w:rsidRPr="00C03311">
        <w:rPr>
          <w:rFonts w:cs="Arial"/>
          <w:sz w:val="22"/>
          <w:szCs w:val="22"/>
        </w:rPr>
        <w:t>2</w:t>
      </w:r>
      <w:r w:rsidR="00331486" w:rsidRPr="00C03311">
        <w:rPr>
          <w:rFonts w:cs="Arial"/>
          <w:sz w:val="22"/>
          <w:szCs w:val="22"/>
        </w:rPr>
        <w:t>.</w:t>
      </w:r>
    </w:p>
    <w:p w14:paraId="3C833271" w14:textId="1A9313C4" w:rsidR="0022166C" w:rsidRPr="00C03311" w:rsidRDefault="00615E00" w:rsidP="00F96175">
      <w:pPr>
        <w:pStyle w:val="NMHCCFBody"/>
        <w:rPr>
          <w:rFonts w:cs="Arial"/>
          <w:b/>
          <w:sz w:val="22"/>
          <w:szCs w:val="22"/>
        </w:rPr>
      </w:pPr>
      <w:r w:rsidRPr="00C03311">
        <w:rPr>
          <w:rFonts w:cs="Arial"/>
          <w:b/>
          <w:sz w:val="22"/>
          <w:szCs w:val="22"/>
        </w:rPr>
        <w:t xml:space="preserve">Other </w:t>
      </w:r>
      <w:r w:rsidR="001A4604" w:rsidRPr="00C03311">
        <w:rPr>
          <w:rFonts w:cs="Arial"/>
          <w:b/>
          <w:sz w:val="22"/>
          <w:szCs w:val="22"/>
        </w:rPr>
        <w:t>Matters</w:t>
      </w:r>
    </w:p>
    <w:p w14:paraId="1032F25F" w14:textId="77777777" w:rsidR="006270B4" w:rsidRPr="00C03311" w:rsidRDefault="00615E00" w:rsidP="00F96175">
      <w:pPr>
        <w:pStyle w:val="NMHCCFBody"/>
        <w:rPr>
          <w:rFonts w:cs="Arial"/>
          <w:sz w:val="22"/>
          <w:szCs w:val="22"/>
        </w:rPr>
      </w:pPr>
      <w:r w:rsidRPr="00C03311">
        <w:rPr>
          <w:rFonts w:cs="Arial"/>
          <w:sz w:val="22"/>
          <w:szCs w:val="22"/>
        </w:rPr>
        <w:t xml:space="preserve">NMHCCF members have </w:t>
      </w:r>
      <w:r w:rsidR="00377AE8" w:rsidRPr="00C03311">
        <w:rPr>
          <w:rFonts w:cs="Arial"/>
          <w:sz w:val="22"/>
          <w:szCs w:val="22"/>
        </w:rPr>
        <w:t xml:space="preserve">also </w:t>
      </w:r>
      <w:r w:rsidRPr="00C03311">
        <w:rPr>
          <w:rFonts w:cs="Arial"/>
          <w:sz w:val="22"/>
          <w:szCs w:val="22"/>
        </w:rPr>
        <w:t>identified opportunities for expansion and improvement in areas other than co-design and peer workforce</w:t>
      </w:r>
      <w:r w:rsidR="00377AE8" w:rsidRPr="00C03311">
        <w:rPr>
          <w:rFonts w:cs="Arial"/>
          <w:sz w:val="22"/>
          <w:szCs w:val="22"/>
        </w:rPr>
        <w:t>, including:</w:t>
      </w:r>
      <w:r w:rsidRPr="00C03311">
        <w:rPr>
          <w:rFonts w:cs="Arial"/>
          <w:sz w:val="22"/>
          <w:szCs w:val="22"/>
        </w:rPr>
        <w:t xml:space="preserve"> </w:t>
      </w:r>
    </w:p>
    <w:p w14:paraId="0D88D2DF" w14:textId="0010011D" w:rsidR="006270B4" w:rsidRPr="00C03311" w:rsidRDefault="00E64F7C" w:rsidP="00377AE8">
      <w:pPr>
        <w:pStyle w:val="NMHCCFBody"/>
        <w:numPr>
          <w:ilvl w:val="0"/>
          <w:numId w:val="3"/>
        </w:numPr>
        <w:rPr>
          <w:rFonts w:cs="Arial"/>
          <w:sz w:val="22"/>
          <w:szCs w:val="22"/>
        </w:rPr>
      </w:pPr>
      <w:r w:rsidRPr="00C03311">
        <w:rPr>
          <w:sz w:val="22"/>
          <w:szCs w:val="22"/>
          <w:u w:val="single"/>
        </w:rPr>
        <w:t>Carers payment and carers allowance</w:t>
      </w:r>
      <w:r w:rsidRPr="00C03311">
        <w:rPr>
          <w:rFonts w:cs="Arial"/>
          <w:sz w:val="22"/>
          <w:szCs w:val="22"/>
        </w:rPr>
        <w:t xml:space="preserve"> </w:t>
      </w:r>
      <w:r w:rsidR="006270B4" w:rsidRPr="00C03311">
        <w:rPr>
          <w:rFonts w:cs="Arial"/>
          <w:sz w:val="22"/>
          <w:szCs w:val="22"/>
        </w:rPr>
        <w:t xml:space="preserve">– </w:t>
      </w:r>
      <w:r w:rsidR="00377AE8" w:rsidRPr="00C03311">
        <w:rPr>
          <w:rFonts w:cs="Arial"/>
          <w:sz w:val="22"/>
          <w:szCs w:val="22"/>
        </w:rPr>
        <w:t xml:space="preserve">there </w:t>
      </w:r>
      <w:r w:rsidR="006270B4" w:rsidRPr="00C03311">
        <w:rPr>
          <w:rFonts w:cs="Arial"/>
          <w:sz w:val="22"/>
          <w:szCs w:val="22"/>
        </w:rPr>
        <w:t>is concern over the current means test</w:t>
      </w:r>
      <w:r w:rsidRPr="00C03311">
        <w:rPr>
          <w:rFonts w:cs="Arial"/>
          <w:sz w:val="22"/>
          <w:szCs w:val="22"/>
        </w:rPr>
        <w:t>s</w:t>
      </w:r>
      <w:r w:rsidR="006270B4" w:rsidRPr="00C03311">
        <w:rPr>
          <w:rFonts w:cs="Arial"/>
          <w:sz w:val="22"/>
          <w:szCs w:val="22"/>
        </w:rPr>
        <w:t xml:space="preserve"> for the </w:t>
      </w:r>
      <w:r w:rsidRPr="00C03311">
        <w:rPr>
          <w:sz w:val="22"/>
          <w:szCs w:val="22"/>
        </w:rPr>
        <w:t>carers payment and carers allowance</w:t>
      </w:r>
      <w:r w:rsidR="00377AE8" w:rsidRPr="00C03311">
        <w:rPr>
          <w:rFonts w:cs="Arial"/>
          <w:sz w:val="22"/>
          <w:szCs w:val="22"/>
        </w:rPr>
        <w:t xml:space="preserve">. It is recommended </w:t>
      </w:r>
      <w:r w:rsidR="006270B4" w:rsidRPr="00C03311">
        <w:rPr>
          <w:rFonts w:cs="Arial"/>
          <w:sz w:val="22"/>
          <w:szCs w:val="22"/>
        </w:rPr>
        <w:t xml:space="preserve">the test be altered to </w:t>
      </w:r>
      <w:r w:rsidR="00377AE8" w:rsidRPr="00C03311">
        <w:rPr>
          <w:rFonts w:cs="Arial"/>
          <w:sz w:val="22"/>
          <w:szCs w:val="22"/>
        </w:rPr>
        <w:t xml:space="preserve">include </w:t>
      </w:r>
      <w:r w:rsidR="006270B4" w:rsidRPr="00C03311">
        <w:rPr>
          <w:rFonts w:cs="Arial"/>
          <w:sz w:val="22"/>
          <w:szCs w:val="22"/>
        </w:rPr>
        <w:t xml:space="preserve">criteria </w:t>
      </w:r>
      <w:r w:rsidR="00377AE8" w:rsidRPr="00C03311">
        <w:rPr>
          <w:rFonts w:cs="Arial"/>
          <w:sz w:val="22"/>
          <w:szCs w:val="22"/>
        </w:rPr>
        <w:t xml:space="preserve">relevant to </w:t>
      </w:r>
      <w:r w:rsidR="006270B4" w:rsidRPr="00C03311">
        <w:rPr>
          <w:rFonts w:cs="Arial"/>
          <w:sz w:val="22"/>
          <w:szCs w:val="22"/>
        </w:rPr>
        <w:t>mental health carers</w:t>
      </w:r>
      <w:r w:rsidR="007A11D1" w:rsidRPr="00C03311">
        <w:rPr>
          <w:rFonts w:cs="Arial"/>
          <w:sz w:val="22"/>
          <w:szCs w:val="22"/>
        </w:rPr>
        <w:t xml:space="preserve">. </w:t>
      </w:r>
    </w:p>
    <w:p w14:paraId="550E7CDE" w14:textId="77777777" w:rsidR="006270B4" w:rsidRPr="00C03311" w:rsidRDefault="006270B4" w:rsidP="00377AE8">
      <w:pPr>
        <w:pStyle w:val="NMHCCFBody"/>
        <w:numPr>
          <w:ilvl w:val="0"/>
          <w:numId w:val="3"/>
        </w:numPr>
        <w:rPr>
          <w:rFonts w:cs="Arial"/>
          <w:sz w:val="22"/>
          <w:szCs w:val="22"/>
        </w:rPr>
      </w:pPr>
      <w:r w:rsidRPr="00C03311">
        <w:rPr>
          <w:rFonts w:cs="Arial"/>
          <w:sz w:val="22"/>
          <w:szCs w:val="22"/>
          <w:u w:val="single"/>
        </w:rPr>
        <w:t xml:space="preserve">Housing and homelessness </w:t>
      </w:r>
      <w:r w:rsidR="00377AE8" w:rsidRPr="00C03311">
        <w:rPr>
          <w:rFonts w:cs="Arial"/>
          <w:sz w:val="22"/>
          <w:szCs w:val="22"/>
        </w:rPr>
        <w:t xml:space="preserve">– </w:t>
      </w:r>
      <w:r w:rsidRPr="00C03311">
        <w:rPr>
          <w:rFonts w:cs="Arial"/>
          <w:sz w:val="22"/>
          <w:szCs w:val="22"/>
        </w:rPr>
        <w:t>there is a lack of affordable, safe and appropriat</w:t>
      </w:r>
      <w:r w:rsidR="007A11D1" w:rsidRPr="00C03311">
        <w:rPr>
          <w:rFonts w:cs="Arial"/>
          <w:sz w:val="22"/>
          <w:szCs w:val="22"/>
        </w:rPr>
        <w:t xml:space="preserve">e housing for people with lived </w:t>
      </w:r>
      <w:r w:rsidRPr="00C03311">
        <w:rPr>
          <w:rFonts w:cs="Arial"/>
          <w:sz w:val="22"/>
          <w:szCs w:val="22"/>
        </w:rPr>
        <w:t>experience of mental ill health</w:t>
      </w:r>
      <w:r w:rsidR="007A11D1" w:rsidRPr="00C03311">
        <w:rPr>
          <w:rFonts w:cs="Arial"/>
          <w:sz w:val="22"/>
          <w:szCs w:val="22"/>
        </w:rPr>
        <w:t>.</w:t>
      </w:r>
      <w:r w:rsidR="007A11D1" w:rsidRPr="00C03311">
        <w:rPr>
          <w:rStyle w:val="FootnoteReference"/>
          <w:rFonts w:cs="Arial"/>
          <w:sz w:val="22"/>
          <w:szCs w:val="22"/>
        </w:rPr>
        <w:footnoteReference w:id="12"/>
      </w:r>
      <w:r w:rsidR="007A11D1" w:rsidRPr="00C03311">
        <w:rPr>
          <w:rFonts w:cs="Arial"/>
          <w:sz w:val="22"/>
          <w:szCs w:val="22"/>
        </w:rPr>
        <w:t xml:space="preserve"> The NMHCCF have provided some examples of best practice that can be built on and expanded </w:t>
      </w:r>
      <w:r w:rsidR="00377AE8" w:rsidRPr="00C03311">
        <w:rPr>
          <w:rFonts w:cs="Arial"/>
          <w:sz w:val="22"/>
          <w:szCs w:val="22"/>
        </w:rPr>
        <w:t>nationally</w:t>
      </w:r>
      <w:r w:rsidR="007A11D1" w:rsidRPr="00C03311">
        <w:rPr>
          <w:rFonts w:cs="Arial"/>
          <w:sz w:val="22"/>
          <w:szCs w:val="22"/>
        </w:rPr>
        <w:t xml:space="preserve">. </w:t>
      </w:r>
    </w:p>
    <w:p w14:paraId="65F141BB" w14:textId="73EFD7F1" w:rsidR="004730B4" w:rsidRPr="00C03311" w:rsidRDefault="004730B4" w:rsidP="00BF0884">
      <w:pPr>
        <w:pStyle w:val="NMHCCFBody"/>
        <w:numPr>
          <w:ilvl w:val="0"/>
          <w:numId w:val="3"/>
        </w:numPr>
        <w:rPr>
          <w:rFonts w:cs="Arial"/>
          <w:sz w:val="22"/>
          <w:szCs w:val="22"/>
        </w:rPr>
      </w:pPr>
      <w:r w:rsidRPr="00C03311">
        <w:rPr>
          <w:rFonts w:cs="Arial"/>
          <w:sz w:val="22"/>
          <w:szCs w:val="22"/>
          <w:u w:val="single"/>
        </w:rPr>
        <w:t>Justice response</w:t>
      </w:r>
      <w:r w:rsidRPr="00C03311">
        <w:rPr>
          <w:rFonts w:cs="Arial"/>
          <w:sz w:val="22"/>
          <w:szCs w:val="22"/>
        </w:rPr>
        <w:t xml:space="preserve"> – </w:t>
      </w:r>
      <w:r w:rsidR="00BF0884" w:rsidRPr="00C03311">
        <w:rPr>
          <w:rFonts w:cs="Arial"/>
          <w:sz w:val="22"/>
          <w:szCs w:val="22"/>
        </w:rPr>
        <w:t>it is recommended the Productivity Commission review the success of co-located, integrated, shared and collaborative services in emergency response services.</w:t>
      </w:r>
    </w:p>
    <w:p w14:paraId="27D931E8" w14:textId="74E49E29" w:rsidR="006270B4" w:rsidRPr="00C03311" w:rsidRDefault="003E29E1" w:rsidP="00F96175">
      <w:pPr>
        <w:pStyle w:val="NMHCCFBody"/>
        <w:rPr>
          <w:rFonts w:cs="Arial"/>
          <w:sz w:val="22"/>
          <w:szCs w:val="22"/>
        </w:rPr>
      </w:pPr>
      <w:r w:rsidRPr="00C03311">
        <w:rPr>
          <w:rFonts w:cs="Arial"/>
          <w:sz w:val="22"/>
          <w:szCs w:val="22"/>
        </w:rPr>
        <w:t>T</w:t>
      </w:r>
      <w:r w:rsidR="007A11D1" w:rsidRPr="00C03311">
        <w:rPr>
          <w:rFonts w:cs="Arial"/>
          <w:sz w:val="22"/>
          <w:szCs w:val="22"/>
        </w:rPr>
        <w:t xml:space="preserve">hese </w:t>
      </w:r>
      <w:r w:rsidR="001A4604" w:rsidRPr="00C03311">
        <w:rPr>
          <w:rFonts w:cs="Arial"/>
          <w:sz w:val="22"/>
          <w:szCs w:val="22"/>
        </w:rPr>
        <w:t>matters</w:t>
      </w:r>
      <w:r w:rsidR="007A11D1" w:rsidRPr="00C03311">
        <w:rPr>
          <w:rFonts w:cs="Arial"/>
          <w:sz w:val="22"/>
          <w:szCs w:val="22"/>
        </w:rPr>
        <w:t xml:space="preserve"> can be found in table 3.</w:t>
      </w:r>
    </w:p>
    <w:p w14:paraId="525C6247" w14:textId="77777777" w:rsidR="0022166C" w:rsidRDefault="0022166C" w:rsidP="00F96175">
      <w:pPr>
        <w:pStyle w:val="NMHCCFBody"/>
        <w:rPr>
          <w:rFonts w:cs="Arial"/>
          <w:sz w:val="22"/>
          <w:szCs w:val="22"/>
        </w:rPr>
      </w:pPr>
    </w:p>
    <w:p w14:paraId="3D332532" w14:textId="77777777" w:rsidR="0022166C" w:rsidRDefault="0022166C" w:rsidP="00F96175">
      <w:pPr>
        <w:pStyle w:val="NMHCCFBody"/>
        <w:rPr>
          <w:rFonts w:cs="Arial"/>
          <w:sz w:val="22"/>
          <w:szCs w:val="22"/>
        </w:rPr>
      </w:pPr>
    </w:p>
    <w:p w14:paraId="4A8ACD7C" w14:textId="77777777" w:rsidR="00922114" w:rsidRPr="0022166C" w:rsidRDefault="00922114" w:rsidP="00F96175">
      <w:pPr>
        <w:pStyle w:val="NMHCCFBody"/>
        <w:rPr>
          <w:rFonts w:cs="Arial"/>
          <w:color w:val="000000"/>
          <w:sz w:val="20"/>
          <w:szCs w:val="20"/>
          <w:shd w:val="clear" w:color="auto" w:fill="FFFFFF"/>
        </w:rPr>
        <w:sectPr w:rsidR="00922114" w:rsidRPr="0022166C" w:rsidSect="004A04F0">
          <w:footerReference w:type="default" r:id="rId16"/>
          <w:pgSz w:w="11906" w:h="16838"/>
          <w:pgMar w:top="1440" w:right="1440" w:bottom="426" w:left="1440" w:header="709" w:footer="709" w:gutter="0"/>
          <w:cols w:space="708"/>
          <w:titlePg/>
          <w:docGrid w:linePitch="360"/>
        </w:sectPr>
      </w:pPr>
    </w:p>
    <w:p w14:paraId="49F9EFD4" w14:textId="77777777" w:rsidR="00704F1D" w:rsidRPr="003E388B" w:rsidRDefault="00261567">
      <w:pPr>
        <w:rPr>
          <w:rFonts w:ascii="Arial" w:hAnsi="Arial" w:cs="Arial"/>
          <w:b/>
          <w:lang w:val="en-US"/>
        </w:rPr>
      </w:pPr>
      <w:r>
        <w:rPr>
          <w:rFonts w:ascii="Arial" w:hAnsi="Arial" w:cs="Arial"/>
          <w:b/>
          <w:lang w:val="en-US"/>
        </w:rPr>
        <w:lastRenderedPageBreak/>
        <w:t>Recommendations and examples of best practice</w:t>
      </w:r>
      <w:r w:rsidR="00984D41">
        <w:rPr>
          <w:rFonts w:ascii="Arial" w:hAnsi="Arial" w:cs="Arial"/>
          <w:b/>
          <w:lang w:val="en-US"/>
        </w:rPr>
        <w:t xml:space="preserve"> – peer workforce and co-design</w:t>
      </w:r>
    </w:p>
    <w:p w14:paraId="1472736E" w14:textId="77777777" w:rsidR="00B4305D" w:rsidRPr="00261567" w:rsidRDefault="00261567" w:rsidP="008415F5">
      <w:pPr>
        <w:pStyle w:val="NMHCCFBody"/>
        <w:rPr>
          <w:rFonts w:cs="Arial"/>
          <w:sz w:val="22"/>
          <w:szCs w:val="22"/>
        </w:rPr>
      </w:pPr>
      <w:r w:rsidRPr="00261567">
        <w:rPr>
          <w:rFonts w:cs="Arial"/>
          <w:sz w:val="22"/>
          <w:szCs w:val="22"/>
          <w:lang w:val="en-US"/>
        </w:rPr>
        <w:t>T</w:t>
      </w:r>
      <w:r w:rsidR="00CF05C4" w:rsidRPr="00261567">
        <w:rPr>
          <w:rFonts w:cs="Arial"/>
          <w:sz w:val="22"/>
          <w:szCs w:val="22"/>
          <w:lang w:val="en-US"/>
        </w:rPr>
        <w:t>able</w:t>
      </w:r>
      <w:r w:rsidRPr="00261567">
        <w:rPr>
          <w:rFonts w:cs="Arial"/>
          <w:sz w:val="22"/>
          <w:szCs w:val="22"/>
          <w:lang w:val="en-US"/>
        </w:rPr>
        <w:t xml:space="preserve"> 1 and 2 </w:t>
      </w:r>
      <w:r w:rsidR="008B034B">
        <w:rPr>
          <w:rFonts w:cs="Arial"/>
          <w:sz w:val="22"/>
          <w:szCs w:val="22"/>
          <w:lang w:val="en-US"/>
        </w:rPr>
        <w:t xml:space="preserve">below </w:t>
      </w:r>
      <w:r w:rsidR="00377AE8">
        <w:rPr>
          <w:rFonts w:cs="Arial"/>
          <w:sz w:val="22"/>
          <w:szCs w:val="22"/>
          <w:lang w:val="en-US"/>
        </w:rPr>
        <w:t>provide</w:t>
      </w:r>
      <w:r w:rsidR="00377AE8" w:rsidRPr="00261567">
        <w:rPr>
          <w:rFonts w:cs="Arial"/>
          <w:sz w:val="22"/>
          <w:szCs w:val="22"/>
          <w:lang w:val="en-US"/>
        </w:rPr>
        <w:t xml:space="preserve"> </w:t>
      </w:r>
      <w:r w:rsidR="002F1E92" w:rsidRPr="00261567">
        <w:rPr>
          <w:rFonts w:cs="Arial"/>
          <w:sz w:val="22"/>
          <w:szCs w:val="22"/>
          <w:lang w:val="en-US"/>
        </w:rPr>
        <w:t xml:space="preserve">recommendations </w:t>
      </w:r>
      <w:r w:rsidR="00A92292" w:rsidRPr="00261567">
        <w:rPr>
          <w:rFonts w:cs="Arial"/>
          <w:sz w:val="22"/>
          <w:szCs w:val="22"/>
          <w:lang w:val="en-US"/>
        </w:rPr>
        <w:t xml:space="preserve">and examples of best practice </w:t>
      </w:r>
      <w:r w:rsidR="002F1E92" w:rsidRPr="00261567">
        <w:rPr>
          <w:rFonts w:cs="Arial"/>
          <w:sz w:val="22"/>
          <w:szCs w:val="22"/>
          <w:lang w:val="en-US"/>
        </w:rPr>
        <w:t>f</w:t>
      </w:r>
      <w:r w:rsidR="00876438" w:rsidRPr="00261567">
        <w:rPr>
          <w:rFonts w:cs="Arial"/>
          <w:sz w:val="22"/>
          <w:szCs w:val="22"/>
          <w:lang w:val="en-US"/>
        </w:rPr>
        <w:t>ro</w:t>
      </w:r>
      <w:r w:rsidR="002F1E92" w:rsidRPr="00261567">
        <w:rPr>
          <w:rFonts w:cs="Arial"/>
          <w:sz w:val="22"/>
          <w:szCs w:val="22"/>
          <w:lang w:val="en-US"/>
        </w:rPr>
        <w:t>m the NMHCCF to the Productivity Commission</w:t>
      </w:r>
      <w:r w:rsidRPr="00261567">
        <w:rPr>
          <w:rFonts w:cs="Arial"/>
          <w:sz w:val="22"/>
          <w:szCs w:val="22"/>
          <w:lang w:val="en-US"/>
        </w:rPr>
        <w:t xml:space="preserve"> on peer workforce and co-design</w:t>
      </w:r>
      <w:r w:rsidR="002F1E92" w:rsidRPr="00261567">
        <w:rPr>
          <w:rFonts w:cs="Arial"/>
          <w:sz w:val="22"/>
          <w:szCs w:val="22"/>
          <w:lang w:val="en-US"/>
        </w:rPr>
        <w:t xml:space="preserve">. </w:t>
      </w:r>
      <w:r w:rsidR="00984D41">
        <w:rPr>
          <w:rFonts w:cs="Arial"/>
          <w:sz w:val="22"/>
          <w:szCs w:val="22"/>
          <w:lang w:val="en-US"/>
        </w:rPr>
        <w:t>They</w:t>
      </w:r>
      <w:r w:rsidR="002F1E92" w:rsidRPr="00261567">
        <w:rPr>
          <w:rFonts w:cs="Arial"/>
          <w:sz w:val="22"/>
          <w:szCs w:val="22"/>
          <w:lang w:val="en-US"/>
        </w:rPr>
        <w:t xml:space="preserve"> include links to reports</w:t>
      </w:r>
      <w:r w:rsidR="009F6377" w:rsidRPr="00261567">
        <w:rPr>
          <w:rFonts w:cs="Arial"/>
          <w:sz w:val="22"/>
          <w:szCs w:val="22"/>
          <w:lang w:val="en-US"/>
        </w:rPr>
        <w:t xml:space="preserve">, </w:t>
      </w:r>
      <w:r w:rsidR="002F1E92" w:rsidRPr="00261567">
        <w:rPr>
          <w:rFonts w:cs="Arial"/>
          <w:sz w:val="22"/>
          <w:szCs w:val="22"/>
          <w:lang w:val="en-US"/>
        </w:rPr>
        <w:t>programs</w:t>
      </w:r>
      <w:r w:rsidR="009F6377" w:rsidRPr="00261567">
        <w:rPr>
          <w:rFonts w:cs="Arial"/>
          <w:sz w:val="22"/>
          <w:szCs w:val="22"/>
          <w:lang w:val="en-US"/>
        </w:rPr>
        <w:t xml:space="preserve"> and research</w:t>
      </w:r>
      <w:r w:rsidR="002F1E92" w:rsidRPr="00261567">
        <w:rPr>
          <w:rFonts w:cs="Arial"/>
          <w:sz w:val="22"/>
          <w:szCs w:val="22"/>
          <w:lang w:val="en-US"/>
        </w:rPr>
        <w:t xml:space="preserve"> that support the recommendations.</w:t>
      </w:r>
      <w:r w:rsidR="008415F5" w:rsidRPr="00261567">
        <w:rPr>
          <w:rFonts w:cs="Arial"/>
          <w:sz w:val="22"/>
          <w:szCs w:val="22"/>
        </w:rPr>
        <w:t xml:space="preserve"> If at any time during the inquiry the Productivity Commission would like to explore any of these further, the NMHCCF will be pleased to assist. </w:t>
      </w:r>
    </w:p>
    <w:tbl>
      <w:tblPr>
        <w:tblStyle w:val="TableGrid"/>
        <w:tblW w:w="14170" w:type="dxa"/>
        <w:tblLayout w:type="fixed"/>
        <w:tblLook w:val="04A0" w:firstRow="1" w:lastRow="0" w:firstColumn="1" w:lastColumn="0" w:noHBand="0" w:noVBand="1"/>
      </w:tblPr>
      <w:tblGrid>
        <w:gridCol w:w="2122"/>
        <w:gridCol w:w="2976"/>
        <w:gridCol w:w="5954"/>
        <w:gridCol w:w="3118"/>
      </w:tblGrid>
      <w:tr w:rsidR="00ED2850" w:rsidRPr="00261567" w14:paraId="26EA5087" w14:textId="77777777" w:rsidTr="008B034B">
        <w:trPr>
          <w:tblHeader/>
        </w:trPr>
        <w:tc>
          <w:tcPr>
            <w:tcW w:w="14170" w:type="dxa"/>
            <w:gridSpan w:val="4"/>
          </w:tcPr>
          <w:p w14:paraId="05C30D85" w14:textId="77777777" w:rsidR="00A92292" w:rsidRPr="00261567" w:rsidRDefault="007A11D1" w:rsidP="003D7C22">
            <w:pPr>
              <w:pStyle w:val="Heading2"/>
              <w:outlineLvl w:val="1"/>
              <w:rPr>
                <w:rFonts w:ascii="Arial" w:hAnsi="Arial" w:cs="Arial"/>
                <w:b/>
                <w:color w:val="auto"/>
                <w:lang w:val="en-US"/>
              </w:rPr>
            </w:pPr>
            <w:r w:rsidRPr="00261567">
              <w:rPr>
                <w:rFonts w:ascii="Arial" w:hAnsi="Arial" w:cs="Arial"/>
                <w:color w:val="auto"/>
              </w:rPr>
              <w:t xml:space="preserve">Table </w:t>
            </w:r>
            <w:r w:rsidRPr="00261567">
              <w:rPr>
                <w:rFonts w:ascii="Arial" w:hAnsi="Arial" w:cs="Arial"/>
                <w:color w:val="auto"/>
              </w:rPr>
              <w:fldChar w:fldCharType="begin"/>
            </w:r>
            <w:r w:rsidRPr="00261567">
              <w:rPr>
                <w:rFonts w:ascii="Arial" w:hAnsi="Arial" w:cs="Arial"/>
                <w:color w:val="auto"/>
              </w:rPr>
              <w:instrText xml:space="preserve"> SEQ Table \* ARABIC </w:instrText>
            </w:r>
            <w:r w:rsidRPr="00261567">
              <w:rPr>
                <w:rFonts w:ascii="Arial" w:hAnsi="Arial" w:cs="Arial"/>
                <w:color w:val="auto"/>
              </w:rPr>
              <w:fldChar w:fldCharType="separate"/>
            </w:r>
            <w:r w:rsidR="00DD7350">
              <w:rPr>
                <w:rFonts w:ascii="Arial" w:hAnsi="Arial" w:cs="Arial"/>
                <w:noProof/>
                <w:color w:val="auto"/>
              </w:rPr>
              <w:t>1</w:t>
            </w:r>
            <w:r w:rsidRPr="00261567">
              <w:rPr>
                <w:rFonts w:ascii="Arial" w:hAnsi="Arial" w:cs="Arial"/>
                <w:noProof/>
                <w:color w:val="auto"/>
              </w:rPr>
              <w:fldChar w:fldCharType="end"/>
            </w:r>
            <w:r w:rsidRPr="00261567">
              <w:rPr>
                <w:rFonts w:ascii="Arial" w:hAnsi="Arial" w:cs="Arial"/>
                <w:b/>
                <w:color w:val="auto"/>
                <w:lang w:val="en-US"/>
              </w:rPr>
              <w:t xml:space="preserve"> </w:t>
            </w:r>
          </w:p>
        </w:tc>
      </w:tr>
      <w:tr w:rsidR="007A7846" w:rsidRPr="00261567" w14:paraId="6AFCD9E0" w14:textId="77777777" w:rsidTr="008B034B">
        <w:trPr>
          <w:tblHeader/>
        </w:trPr>
        <w:tc>
          <w:tcPr>
            <w:tcW w:w="5098" w:type="dxa"/>
            <w:gridSpan w:val="2"/>
          </w:tcPr>
          <w:p w14:paraId="06202124" w14:textId="77777777" w:rsidR="007A7846" w:rsidRPr="00C03311" w:rsidRDefault="003D7C22" w:rsidP="007A11D1">
            <w:pPr>
              <w:rPr>
                <w:rFonts w:ascii="Arial" w:hAnsi="Arial" w:cs="Arial"/>
                <w:b/>
                <w:lang w:val="en-US"/>
              </w:rPr>
            </w:pPr>
            <w:r w:rsidRPr="00C03311">
              <w:rPr>
                <w:rFonts w:ascii="Arial" w:hAnsi="Arial" w:cs="Arial"/>
                <w:b/>
                <w:lang w:val="en-US"/>
              </w:rPr>
              <w:t>Peer workforce</w:t>
            </w:r>
            <w:r w:rsidRPr="00C03311" w:rsidDel="003D7C22">
              <w:rPr>
                <w:rFonts w:ascii="Arial" w:hAnsi="Arial" w:cs="Arial"/>
                <w:b/>
                <w:lang w:val="en-US"/>
              </w:rPr>
              <w:t xml:space="preserve"> </w:t>
            </w:r>
          </w:p>
        </w:tc>
        <w:tc>
          <w:tcPr>
            <w:tcW w:w="5954" w:type="dxa"/>
          </w:tcPr>
          <w:p w14:paraId="19A40A3E" w14:textId="77777777" w:rsidR="007A7846" w:rsidRPr="00C03311" w:rsidRDefault="003D7C22" w:rsidP="003D7C22">
            <w:pPr>
              <w:rPr>
                <w:rFonts w:ascii="Arial" w:hAnsi="Arial" w:cs="Arial"/>
                <w:b/>
                <w:lang w:val="en-US"/>
              </w:rPr>
            </w:pPr>
            <w:r w:rsidRPr="00C03311">
              <w:rPr>
                <w:rFonts w:ascii="Arial" w:hAnsi="Arial" w:cs="Arial"/>
                <w:b/>
                <w:lang w:val="en-US"/>
              </w:rPr>
              <w:t xml:space="preserve">Rationale / </w:t>
            </w:r>
            <w:r w:rsidR="007A7846" w:rsidRPr="00C03311">
              <w:rPr>
                <w:rFonts w:ascii="Arial" w:hAnsi="Arial" w:cs="Arial"/>
                <w:b/>
                <w:lang w:val="en-US"/>
              </w:rPr>
              <w:t>Evidence</w:t>
            </w:r>
            <w:r w:rsidRPr="00C03311">
              <w:rPr>
                <w:rFonts w:ascii="Arial" w:hAnsi="Arial" w:cs="Arial"/>
                <w:b/>
                <w:lang w:val="en-US"/>
              </w:rPr>
              <w:t xml:space="preserve"> </w:t>
            </w:r>
          </w:p>
        </w:tc>
        <w:tc>
          <w:tcPr>
            <w:tcW w:w="3118" w:type="dxa"/>
          </w:tcPr>
          <w:p w14:paraId="4529ADC9" w14:textId="77777777" w:rsidR="007A7846" w:rsidRPr="00C03311" w:rsidRDefault="007A7846" w:rsidP="007A11D1">
            <w:pPr>
              <w:rPr>
                <w:rFonts w:ascii="Arial" w:hAnsi="Arial" w:cs="Arial"/>
                <w:b/>
                <w:lang w:val="en-US"/>
              </w:rPr>
            </w:pPr>
            <w:r w:rsidRPr="00C03311">
              <w:rPr>
                <w:rFonts w:ascii="Arial" w:hAnsi="Arial" w:cs="Arial"/>
                <w:b/>
                <w:lang w:val="en-US"/>
              </w:rPr>
              <w:t>Further information</w:t>
            </w:r>
          </w:p>
        </w:tc>
      </w:tr>
      <w:tr w:rsidR="00EE2B03" w:rsidRPr="00261567" w14:paraId="4AC4751F" w14:textId="77777777" w:rsidTr="008B034B">
        <w:tc>
          <w:tcPr>
            <w:tcW w:w="2122" w:type="dxa"/>
            <w:tcBorders>
              <w:bottom w:val="single" w:sz="4" w:space="0" w:color="auto"/>
            </w:tcBorders>
          </w:tcPr>
          <w:p w14:paraId="013F48C3" w14:textId="77777777" w:rsidR="00EE2B03" w:rsidRPr="00C03311" w:rsidRDefault="00EE2B03" w:rsidP="00EE2B03">
            <w:pPr>
              <w:spacing w:before="80" w:after="80"/>
              <w:rPr>
                <w:rFonts w:ascii="Arial" w:hAnsi="Arial" w:cs="Arial"/>
                <w:lang w:val="en-US"/>
              </w:rPr>
            </w:pPr>
            <w:r w:rsidRPr="00C03311">
              <w:rPr>
                <w:rFonts w:ascii="Arial" w:hAnsi="Arial" w:cs="Arial"/>
                <w:lang w:val="en-US"/>
              </w:rPr>
              <w:t xml:space="preserve">Recommendation </w:t>
            </w:r>
          </w:p>
        </w:tc>
        <w:tc>
          <w:tcPr>
            <w:tcW w:w="2976" w:type="dxa"/>
            <w:tcBorders>
              <w:bottom w:val="single" w:sz="4" w:space="0" w:color="auto"/>
            </w:tcBorders>
          </w:tcPr>
          <w:p w14:paraId="73D700FB" w14:textId="77777777" w:rsidR="00EE2B03" w:rsidRPr="00C03311" w:rsidRDefault="00804188" w:rsidP="00263756">
            <w:pPr>
              <w:spacing w:before="80" w:after="80"/>
              <w:rPr>
                <w:rFonts w:ascii="Arial" w:hAnsi="Arial" w:cs="Arial"/>
                <w:lang w:val="en-US"/>
              </w:rPr>
            </w:pPr>
            <w:r w:rsidRPr="00C03311">
              <w:rPr>
                <w:rFonts w:ascii="Arial" w:hAnsi="Arial" w:cs="Arial"/>
                <w:lang w:val="en-US"/>
              </w:rPr>
              <w:t>Implement a peer workforce within and across mental health services</w:t>
            </w:r>
          </w:p>
        </w:tc>
        <w:tc>
          <w:tcPr>
            <w:tcW w:w="5954" w:type="dxa"/>
            <w:tcBorders>
              <w:bottom w:val="single" w:sz="4" w:space="0" w:color="auto"/>
            </w:tcBorders>
          </w:tcPr>
          <w:p w14:paraId="2E2BA139" w14:textId="1C85AD53" w:rsidR="00EE2B03" w:rsidRPr="00C03311" w:rsidRDefault="00D21766" w:rsidP="00EE2B03">
            <w:pPr>
              <w:spacing w:before="80" w:after="80"/>
              <w:rPr>
                <w:rFonts w:ascii="Arial" w:hAnsi="Arial" w:cs="Arial"/>
              </w:rPr>
            </w:pPr>
            <w:r w:rsidRPr="00C03311">
              <w:rPr>
                <w:rFonts w:ascii="Arial" w:hAnsi="Arial" w:cs="Arial"/>
              </w:rPr>
              <w:t xml:space="preserve">The 2018 report, </w:t>
            </w:r>
            <w:r w:rsidRPr="00C03311">
              <w:rPr>
                <w:rFonts w:ascii="Arial" w:hAnsi="Arial" w:cs="Arial"/>
                <w:i/>
              </w:rPr>
              <w:t>Investing to Save</w:t>
            </w:r>
            <w:r w:rsidR="00ED29CE" w:rsidRPr="00C03311">
              <w:rPr>
                <w:rStyle w:val="FootnoteReference"/>
                <w:rFonts w:ascii="Arial" w:hAnsi="Arial" w:cs="Arial"/>
                <w:i/>
              </w:rPr>
              <w:footnoteReference w:id="13"/>
            </w:r>
            <w:r w:rsidRPr="00C03311">
              <w:rPr>
                <w:rFonts w:ascii="Arial" w:hAnsi="Arial" w:cs="Arial"/>
                <w:i/>
              </w:rPr>
              <w:t xml:space="preserve">, </w:t>
            </w:r>
            <w:r w:rsidR="00EE2B03" w:rsidRPr="00C03311">
              <w:rPr>
                <w:rFonts w:ascii="Arial" w:hAnsi="Arial" w:cs="Arial"/>
              </w:rPr>
              <w:t xml:space="preserve">suggests that the possible flow on effect of having a comprehensive peer workforce within and across mental health services could increase employment rates, lower disability support payments and could improve the mental health of both the peer worker and the individual receiving the support. </w:t>
            </w:r>
          </w:p>
          <w:p w14:paraId="5AD4C0F3" w14:textId="104246B9" w:rsidR="00EE2B03" w:rsidRPr="00C03311" w:rsidRDefault="00EE2B03" w:rsidP="00EE2B03">
            <w:pPr>
              <w:spacing w:before="80" w:after="80"/>
              <w:rPr>
                <w:rFonts w:ascii="Arial" w:hAnsi="Arial" w:cs="Arial"/>
              </w:rPr>
            </w:pPr>
            <w:r w:rsidRPr="00C03311">
              <w:rPr>
                <w:rFonts w:ascii="Arial" w:hAnsi="Arial" w:cs="Arial"/>
              </w:rPr>
              <w:t>A substantial peer workforce may relieve pressure in currently over crowded health services where mental health is unjustly represented</w:t>
            </w:r>
            <w:r w:rsidR="00852FFF" w:rsidRPr="00C03311">
              <w:rPr>
                <w:rFonts w:ascii="Arial" w:hAnsi="Arial" w:cs="Arial"/>
              </w:rPr>
              <w:t>.</w:t>
            </w:r>
          </w:p>
          <w:p w14:paraId="2EFB21CA" w14:textId="77777777" w:rsidR="00EE2B03" w:rsidRPr="00C03311" w:rsidRDefault="00EE2B03" w:rsidP="00EE2B03">
            <w:pPr>
              <w:spacing w:before="80" w:after="80"/>
              <w:rPr>
                <w:rFonts w:ascii="Arial" w:hAnsi="Arial" w:cs="Arial"/>
                <w:lang w:val="en-US"/>
              </w:rPr>
            </w:pPr>
          </w:p>
          <w:p w14:paraId="734C115B" w14:textId="02590E15" w:rsidR="00D21766" w:rsidRPr="00C03311" w:rsidRDefault="00D21766" w:rsidP="00ED29CE">
            <w:pPr>
              <w:spacing w:before="80" w:after="80"/>
              <w:rPr>
                <w:rFonts w:ascii="Arial" w:hAnsi="Arial" w:cs="Arial"/>
                <w:lang w:val="en-US"/>
              </w:rPr>
            </w:pPr>
            <w:r w:rsidRPr="00C03311">
              <w:rPr>
                <w:rFonts w:ascii="Arial" w:hAnsi="Arial" w:cs="Arial"/>
                <w:lang w:val="en-US"/>
              </w:rPr>
              <w:t>Peer workers have been identified as being able to contribute to better health outcomes, and are employed in significant numbers in countries similar to Australia. There is evidence to suggest that peer workers offer a number of benefits, and can reduce the rate of hospital admissions for the se</w:t>
            </w:r>
            <w:r w:rsidR="00ED29CE" w:rsidRPr="00C03311">
              <w:rPr>
                <w:rFonts w:ascii="Arial" w:hAnsi="Arial" w:cs="Arial"/>
                <w:lang w:val="en-US"/>
              </w:rPr>
              <w:t>rvice users with whom they work.</w:t>
            </w:r>
            <w:r w:rsidR="00ED29CE" w:rsidRPr="00C03311">
              <w:rPr>
                <w:rStyle w:val="FootnoteReference"/>
                <w:rFonts w:ascii="Arial" w:hAnsi="Arial" w:cs="Arial"/>
                <w:lang w:val="en-US"/>
              </w:rPr>
              <w:footnoteReference w:id="14"/>
            </w:r>
          </w:p>
        </w:tc>
        <w:tc>
          <w:tcPr>
            <w:tcW w:w="3118" w:type="dxa"/>
            <w:tcBorders>
              <w:bottom w:val="single" w:sz="4" w:space="0" w:color="auto"/>
            </w:tcBorders>
          </w:tcPr>
          <w:p w14:paraId="4842BB22" w14:textId="77777777" w:rsidR="00EE2B03" w:rsidRPr="00C03311" w:rsidRDefault="0032265F" w:rsidP="00EE2B03">
            <w:pPr>
              <w:spacing w:before="80" w:after="80"/>
              <w:rPr>
                <w:rFonts w:ascii="Arial" w:hAnsi="Arial" w:cs="Arial"/>
                <w:lang w:val="en-US"/>
              </w:rPr>
            </w:pPr>
            <w:hyperlink r:id="rId17" w:history="1">
              <w:r w:rsidR="00EE2B03" w:rsidRPr="00C03311">
                <w:rPr>
                  <w:rStyle w:val="Hyperlink"/>
                  <w:rFonts w:ascii="Arial" w:hAnsi="Arial" w:cs="Arial"/>
                  <w:color w:val="auto"/>
                  <w:lang w:val="en-US"/>
                </w:rPr>
                <w:t>https://mhaustralia.org/sites/default/files/docs/investing_to_save_may_2018_-_kpmg_mental_health_australia.pdf</w:t>
              </w:r>
            </w:hyperlink>
          </w:p>
          <w:p w14:paraId="4311D08F" w14:textId="77777777" w:rsidR="00EE2B03" w:rsidRPr="00C03311" w:rsidRDefault="00EE2B03" w:rsidP="00EE2B03">
            <w:pPr>
              <w:spacing w:before="80" w:after="80"/>
              <w:rPr>
                <w:rFonts w:ascii="Arial" w:hAnsi="Arial" w:cs="Arial"/>
                <w:lang w:val="en-US"/>
              </w:rPr>
            </w:pPr>
          </w:p>
          <w:p w14:paraId="1D7AC32F" w14:textId="77777777" w:rsidR="00EE2B03" w:rsidRPr="00C03311" w:rsidRDefault="00EE2B03" w:rsidP="00EE2B03">
            <w:pPr>
              <w:spacing w:before="80" w:after="80"/>
              <w:rPr>
                <w:rFonts w:ascii="Arial" w:hAnsi="Arial" w:cs="Arial"/>
                <w:lang w:val="en-US"/>
              </w:rPr>
            </w:pPr>
            <w:r w:rsidRPr="00C03311">
              <w:rPr>
                <w:rFonts w:ascii="Arial" w:hAnsi="Arial" w:cs="Arial"/>
                <w:lang w:val="en-US"/>
              </w:rPr>
              <w:t>Recommendation 1.3 page 35</w:t>
            </w:r>
          </w:p>
          <w:p w14:paraId="0E0033BF" w14:textId="3E921D0D" w:rsidR="00D21766" w:rsidRPr="00C03311" w:rsidRDefault="0032265F" w:rsidP="00D21766">
            <w:pPr>
              <w:spacing w:before="80" w:after="80"/>
              <w:rPr>
                <w:rFonts w:ascii="Arial" w:hAnsi="Arial" w:cs="Arial"/>
                <w:lang w:val="en-US"/>
              </w:rPr>
            </w:pPr>
            <w:hyperlink r:id="rId18" w:history="1">
              <w:r w:rsidR="00852FFF" w:rsidRPr="00C03311">
                <w:rPr>
                  <w:rStyle w:val="Hyperlink"/>
                  <w:rFonts w:ascii="Arial" w:hAnsi="Arial" w:cs="Arial"/>
                  <w:lang w:val="en-US"/>
                </w:rPr>
                <w:t>http://www.mhcsa.org.au/wp-content/uploads/2018/12/HWA-Mental-health-Peer-Workforce-Study.pdf</w:t>
              </w:r>
            </w:hyperlink>
          </w:p>
          <w:p w14:paraId="38CDD07F" w14:textId="4B483DE2" w:rsidR="00D21766" w:rsidRPr="00C03311" w:rsidRDefault="00D21766" w:rsidP="00D21766">
            <w:pPr>
              <w:spacing w:before="80" w:after="80"/>
              <w:rPr>
                <w:rFonts w:ascii="Arial" w:hAnsi="Arial" w:cs="Arial"/>
                <w:lang w:val="en-US"/>
              </w:rPr>
            </w:pPr>
          </w:p>
        </w:tc>
      </w:tr>
      <w:tr w:rsidR="002648C1" w:rsidRPr="00261567" w14:paraId="0A4FBAD3" w14:textId="77777777" w:rsidTr="008B034B">
        <w:tc>
          <w:tcPr>
            <w:tcW w:w="2122" w:type="dxa"/>
            <w:tcBorders>
              <w:bottom w:val="single" w:sz="4" w:space="0" w:color="auto"/>
            </w:tcBorders>
          </w:tcPr>
          <w:p w14:paraId="55FC96B4" w14:textId="77777777" w:rsidR="002648C1" w:rsidRPr="00C03311" w:rsidRDefault="002648C1" w:rsidP="00EE2B03">
            <w:pPr>
              <w:spacing w:before="80" w:after="80"/>
              <w:rPr>
                <w:rFonts w:ascii="Arial" w:hAnsi="Arial" w:cs="Arial"/>
                <w:lang w:val="en-US"/>
              </w:rPr>
            </w:pPr>
            <w:r w:rsidRPr="00C03311">
              <w:rPr>
                <w:rFonts w:ascii="Arial" w:hAnsi="Arial" w:cs="Arial"/>
                <w:lang w:val="en-US"/>
              </w:rPr>
              <w:t>Best Practice</w:t>
            </w:r>
          </w:p>
        </w:tc>
        <w:tc>
          <w:tcPr>
            <w:tcW w:w="2976" w:type="dxa"/>
            <w:tcBorders>
              <w:bottom w:val="single" w:sz="4" w:space="0" w:color="auto"/>
            </w:tcBorders>
          </w:tcPr>
          <w:p w14:paraId="562E635C" w14:textId="77777777" w:rsidR="002648C1" w:rsidRPr="00C03311" w:rsidRDefault="002648C1" w:rsidP="00263756">
            <w:pPr>
              <w:spacing w:before="80" w:after="80"/>
              <w:rPr>
                <w:rFonts w:ascii="Arial" w:hAnsi="Arial" w:cs="Arial"/>
                <w:lang w:val="en-US"/>
              </w:rPr>
            </w:pPr>
            <w:r w:rsidRPr="00C03311">
              <w:rPr>
                <w:rFonts w:ascii="Arial" w:hAnsi="Arial" w:cs="Arial"/>
                <w:lang w:val="en-US"/>
              </w:rPr>
              <w:t>Totally Peer Run Service</w:t>
            </w:r>
          </w:p>
        </w:tc>
        <w:tc>
          <w:tcPr>
            <w:tcW w:w="5954" w:type="dxa"/>
            <w:tcBorders>
              <w:bottom w:val="single" w:sz="4" w:space="0" w:color="auto"/>
            </w:tcBorders>
          </w:tcPr>
          <w:p w14:paraId="4CA6B6CF" w14:textId="0A6138FE" w:rsidR="002648C1" w:rsidRPr="00C03311" w:rsidRDefault="0003663B" w:rsidP="00ED29CE">
            <w:pPr>
              <w:spacing w:before="80" w:after="80"/>
              <w:rPr>
                <w:rFonts w:ascii="Arial" w:hAnsi="Arial" w:cs="Arial"/>
              </w:rPr>
            </w:pPr>
            <w:r w:rsidRPr="00C03311">
              <w:rPr>
                <w:rFonts w:ascii="Arial" w:hAnsi="Arial" w:cs="Arial"/>
              </w:rPr>
              <w:t>In an evaluation of a totally peer run service, Flourish, t</w:t>
            </w:r>
            <w:r w:rsidR="002648C1" w:rsidRPr="00C03311">
              <w:rPr>
                <w:rFonts w:ascii="Arial" w:hAnsi="Arial" w:cs="Arial"/>
              </w:rPr>
              <w:t xml:space="preserve">he analysis identified that the </w:t>
            </w:r>
            <w:r w:rsidR="00ED29CE" w:rsidRPr="00C03311">
              <w:rPr>
                <w:rFonts w:ascii="Arial" w:hAnsi="Arial" w:cs="Arial"/>
              </w:rPr>
              <w:t>peer operated service</w:t>
            </w:r>
            <w:r w:rsidR="002648C1" w:rsidRPr="00C03311">
              <w:rPr>
                <w:rFonts w:ascii="Arial" w:hAnsi="Arial" w:cs="Arial"/>
              </w:rPr>
              <w:t xml:space="preserve"> delivered a </w:t>
            </w:r>
            <w:r w:rsidR="00ED29CE" w:rsidRPr="00C03311">
              <w:rPr>
                <w:rFonts w:ascii="Arial" w:hAnsi="Arial" w:cs="Arial"/>
              </w:rPr>
              <w:t>social return on investment</w:t>
            </w:r>
            <w:r w:rsidR="002648C1" w:rsidRPr="00C03311">
              <w:rPr>
                <w:rFonts w:ascii="Arial" w:hAnsi="Arial" w:cs="Arial"/>
              </w:rPr>
              <w:t xml:space="preserve"> ratio of 3.27. That is, for every $1 invested, approximately $3.27 of social and economic value was created for stakeholders.</w:t>
            </w:r>
          </w:p>
        </w:tc>
        <w:tc>
          <w:tcPr>
            <w:tcW w:w="3118" w:type="dxa"/>
            <w:tcBorders>
              <w:bottom w:val="single" w:sz="4" w:space="0" w:color="auto"/>
            </w:tcBorders>
          </w:tcPr>
          <w:p w14:paraId="32BFFCBD" w14:textId="3A0FE4D1" w:rsidR="002648C1" w:rsidRPr="00C03311" w:rsidRDefault="0032265F" w:rsidP="00EE2B03">
            <w:pPr>
              <w:spacing w:before="80" w:after="80"/>
              <w:rPr>
                <w:rFonts w:ascii="Arial" w:hAnsi="Arial" w:cs="Arial"/>
              </w:rPr>
            </w:pPr>
            <w:hyperlink r:id="rId19" w:history="1">
              <w:r w:rsidR="002648C1" w:rsidRPr="00C03311">
                <w:rPr>
                  <w:rStyle w:val="Hyperlink"/>
                  <w:rFonts w:ascii="Arial" w:hAnsi="Arial" w:cs="Arial"/>
                </w:rPr>
                <w:t>https://www.socialventures.com.au/sva-quarterly/the-value-of-a-peer-operated-service/</w:t>
              </w:r>
            </w:hyperlink>
          </w:p>
        </w:tc>
      </w:tr>
      <w:tr w:rsidR="00EE2B03" w:rsidRPr="00261567" w14:paraId="234FC086" w14:textId="77777777" w:rsidTr="008B034B">
        <w:tc>
          <w:tcPr>
            <w:tcW w:w="2122" w:type="dxa"/>
            <w:tcBorders>
              <w:bottom w:val="single" w:sz="4" w:space="0" w:color="auto"/>
            </w:tcBorders>
          </w:tcPr>
          <w:p w14:paraId="293FB72E" w14:textId="77777777" w:rsidR="00EE2B03" w:rsidRDefault="00EE2B03" w:rsidP="00EE2B03">
            <w:pPr>
              <w:spacing w:before="80" w:after="80"/>
              <w:rPr>
                <w:rFonts w:ascii="Arial" w:hAnsi="Arial" w:cs="Arial"/>
                <w:lang w:val="en-US"/>
              </w:rPr>
            </w:pPr>
            <w:r w:rsidRPr="00C03311">
              <w:rPr>
                <w:rFonts w:ascii="Arial" w:hAnsi="Arial" w:cs="Arial"/>
                <w:lang w:val="en-US"/>
              </w:rPr>
              <w:lastRenderedPageBreak/>
              <w:t>Best Practice</w:t>
            </w:r>
          </w:p>
          <w:p w14:paraId="2FBEF42A" w14:textId="77777777" w:rsidR="00C03311" w:rsidRPr="00C03311" w:rsidRDefault="00C03311" w:rsidP="00EE2B03">
            <w:pPr>
              <w:spacing w:before="80" w:after="80"/>
              <w:rPr>
                <w:rFonts w:ascii="Arial" w:hAnsi="Arial" w:cs="Arial"/>
                <w:lang w:val="en-US"/>
              </w:rPr>
            </w:pPr>
          </w:p>
        </w:tc>
        <w:tc>
          <w:tcPr>
            <w:tcW w:w="2976" w:type="dxa"/>
            <w:tcBorders>
              <w:bottom w:val="single" w:sz="4" w:space="0" w:color="auto"/>
            </w:tcBorders>
          </w:tcPr>
          <w:p w14:paraId="4BA9BBFC" w14:textId="77777777" w:rsidR="00EE2B03" w:rsidRPr="00C03311" w:rsidRDefault="00EE2B03" w:rsidP="00EE2B03">
            <w:pPr>
              <w:spacing w:before="80" w:after="80"/>
              <w:rPr>
                <w:rFonts w:ascii="Arial" w:hAnsi="Arial" w:cs="Arial"/>
                <w:lang w:val="en-US"/>
              </w:rPr>
            </w:pPr>
            <w:r w:rsidRPr="00C03311">
              <w:rPr>
                <w:rFonts w:ascii="Arial" w:hAnsi="Arial" w:cs="Arial"/>
                <w:lang w:val="en-US"/>
              </w:rPr>
              <w:t xml:space="preserve">Mental health crisis and respite services in communities that are staffed with a mix of peer worker and clinicians. </w:t>
            </w:r>
          </w:p>
        </w:tc>
        <w:tc>
          <w:tcPr>
            <w:tcW w:w="5954" w:type="dxa"/>
            <w:tcBorders>
              <w:bottom w:val="single" w:sz="4" w:space="0" w:color="auto"/>
            </w:tcBorders>
          </w:tcPr>
          <w:p w14:paraId="499D8C63" w14:textId="77777777" w:rsidR="00EE2B03" w:rsidRPr="00C03311" w:rsidRDefault="00EE2B03" w:rsidP="00EE2B03">
            <w:pPr>
              <w:spacing w:before="80" w:after="80"/>
              <w:rPr>
                <w:rFonts w:ascii="Arial" w:hAnsi="Arial" w:cs="Arial"/>
                <w:lang w:val="en-US"/>
              </w:rPr>
            </w:pPr>
            <w:r w:rsidRPr="00C03311">
              <w:rPr>
                <w:rFonts w:ascii="Arial" w:hAnsi="Arial" w:cs="Arial"/>
                <w:lang w:val="en-US"/>
              </w:rPr>
              <w:t xml:space="preserve">RI International run programs in the USA and NZ which have a focus on using peer workers as a core component of their staffing model. </w:t>
            </w:r>
          </w:p>
          <w:p w14:paraId="3C1F83A3" w14:textId="77777777" w:rsidR="00EE2B03" w:rsidRPr="00C03311" w:rsidRDefault="00EE2B03" w:rsidP="00EE2B03">
            <w:pPr>
              <w:spacing w:before="80" w:after="80"/>
              <w:rPr>
                <w:rFonts w:ascii="Arial" w:hAnsi="Arial" w:cs="Arial"/>
                <w:lang w:val="en-US"/>
              </w:rPr>
            </w:pPr>
            <w:r w:rsidRPr="00C03311">
              <w:rPr>
                <w:rFonts w:ascii="Arial" w:hAnsi="Arial" w:cs="Arial"/>
                <w:lang w:val="en-US"/>
              </w:rPr>
              <w:t>100% of individuals entering RI Internationals community building program secured housing and on average nearly 75% that transition out of the program were stably housed when they exited the program.</w:t>
            </w:r>
          </w:p>
          <w:p w14:paraId="2009DD9B" w14:textId="77777777" w:rsidR="00EE2B03" w:rsidRPr="00C03311" w:rsidRDefault="00EE2B03" w:rsidP="00EE2B03">
            <w:pPr>
              <w:spacing w:before="80" w:after="80"/>
              <w:rPr>
                <w:rFonts w:ascii="Arial" w:hAnsi="Arial" w:cs="Arial"/>
                <w:lang w:val="en-US"/>
              </w:rPr>
            </w:pPr>
          </w:p>
        </w:tc>
        <w:tc>
          <w:tcPr>
            <w:tcW w:w="3118" w:type="dxa"/>
            <w:tcBorders>
              <w:bottom w:val="single" w:sz="4" w:space="0" w:color="auto"/>
            </w:tcBorders>
          </w:tcPr>
          <w:p w14:paraId="35875189" w14:textId="77777777" w:rsidR="00EE2B03" w:rsidRPr="00C03311" w:rsidRDefault="0032265F" w:rsidP="00EE2B03">
            <w:pPr>
              <w:spacing w:before="80" w:after="80"/>
              <w:rPr>
                <w:rFonts w:ascii="Arial" w:hAnsi="Arial" w:cs="Arial"/>
                <w:lang w:val="en-US"/>
              </w:rPr>
            </w:pPr>
            <w:hyperlink r:id="rId20" w:history="1">
              <w:r w:rsidR="00EE2B03" w:rsidRPr="00C03311">
                <w:rPr>
                  <w:rStyle w:val="Hyperlink"/>
                  <w:rFonts w:ascii="Arial" w:hAnsi="Arial" w:cs="Arial"/>
                  <w:color w:val="auto"/>
                </w:rPr>
                <w:t>https://riinternational.com/our-services/arizona/</w:t>
              </w:r>
            </w:hyperlink>
          </w:p>
        </w:tc>
      </w:tr>
      <w:tr w:rsidR="00EE2B03" w:rsidRPr="00261567" w14:paraId="1EFCF615" w14:textId="77777777" w:rsidTr="00EE2B03">
        <w:tc>
          <w:tcPr>
            <w:tcW w:w="2122" w:type="dxa"/>
            <w:tcBorders>
              <w:top w:val="nil"/>
            </w:tcBorders>
          </w:tcPr>
          <w:p w14:paraId="0DA96E68" w14:textId="77777777" w:rsidR="00EE2B03" w:rsidRPr="00C03311" w:rsidRDefault="00EE2B03" w:rsidP="00EE2B03">
            <w:pPr>
              <w:spacing w:before="80" w:after="80"/>
              <w:rPr>
                <w:rFonts w:ascii="Arial" w:hAnsi="Arial" w:cs="Arial"/>
                <w:lang w:val="en-US"/>
              </w:rPr>
            </w:pPr>
            <w:r w:rsidRPr="00C03311">
              <w:rPr>
                <w:rFonts w:ascii="Arial" w:hAnsi="Arial" w:cs="Arial"/>
                <w:lang w:val="en-US"/>
              </w:rPr>
              <w:t>Best Practice</w:t>
            </w:r>
          </w:p>
        </w:tc>
        <w:tc>
          <w:tcPr>
            <w:tcW w:w="2976" w:type="dxa"/>
            <w:tcBorders>
              <w:top w:val="nil"/>
            </w:tcBorders>
          </w:tcPr>
          <w:p w14:paraId="37FD5211" w14:textId="77777777" w:rsidR="00EE2B03" w:rsidRPr="00C03311" w:rsidRDefault="00EE2B03" w:rsidP="00EE2B03">
            <w:pPr>
              <w:spacing w:before="80" w:after="80"/>
              <w:rPr>
                <w:rFonts w:ascii="Arial" w:hAnsi="Arial" w:cs="Arial"/>
                <w:lang w:val="en-US"/>
              </w:rPr>
            </w:pPr>
            <w:r w:rsidRPr="00C03311">
              <w:rPr>
                <w:rFonts w:ascii="Arial" w:hAnsi="Arial" w:cs="Arial"/>
              </w:rPr>
              <w:t>Safe Haven Cafés (UK model) for suicide prevention/intervention and supporting people in mental distress.</w:t>
            </w:r>
          </w:p>
        </w:tc>
        <w:tc>
          <w:tcPr>
            <w:tcW w:w="5954" w:type="dxa"/>
            <w:tcBorders>
              <w:top w:val="nil"/>
            </w:tcBorders>
          </w:tcPr>
          <w:p w14:paraId="0C421831" w14:textId="77777777" w:rsidR="00EE2B03" w:rsidRPr="00C03311" w:rsidRDefault="00EE2B03" w:rsidP="00EE2B03">
            <w:pPr>
              <w:spacing w:before="80" w:after="80"/>
              <w:rPr>
                <w:rFonts w:ascii="Arial" w:hAnsi="Arial" w:cs="Arial"/>
              </w:rPr>
            </w:pPr>
            <w:r w:rsidRPr="00C03311">
              <w:rPr>
                <w:rFonts w:ascii="Arial" w:hAnsi="Arial" w:cs="Arial"/>
                <w:shd w:val="clear" w:color="auto" w:fill="FFFFFF"/>
              </w:rPr>
              <w:t>Anyone with a mental health issue, whether diagnosed or not, can drop in for a cup of tea and a chat and can request more formal help if needed.</w:t>
            </w:r>
            <w:r w:rsidRPr="00C03311">
              <w:rPr>
                <w:rFonts w:ascii="Arial" w:hAnsi="Arial" w:cs="Arial"/>
              </w:rPr>
              <w:t xml:space="preserve"> </w:t>
            </w:r>
          </w:p>
          <w:p w14:paraId="5EA6C440" w14:textId="77777777" w:rsidR="00EE2B03" w:rsidRPr="00C03311" w:rsidRDefault="00EE2B03" w:rsidP="00EE2B03">
            <w:pPr>
              <w:spacing w:before="80" w:after="80"/>
              <w:rPr>
                <w:rFonts w:ascii="Arial" w:hAnsi="Arial" w:cs="Arial"/>
              </w:rPr>
            </w:pPr>
            <w:r w:rsidRPr="00C03311">
              <w:rPr>
                <w:rFonts w:ascii="Arial" w:hAnsi="Arial" w:cs="Arial"/>
                <w:lang w:val="en-US"/>
              </w:rPr>
              <w:t>A Safe Haven Café in the UK has helped reduce mental health hospital admissions by a third in seven months by providing an alternative solution for patients.</w:t>
            </w:r>
          </w:p>
          <w:p w14:paraId="3EC3AAC9" w14:textId="77777777" w:rsidR="00EE2B03" w:rsidRPr="00C03311" w:rsidRDefault="00EE2B03" w:rsidP="00EE2B03">
            <w:pPr>
              <w:spacing w:before="80" w:after="80"/>
              <w:rPr>
                <w:rFonts w:ascii="Arial" w:hAnsi="Arial" w:cs="Arial"/>
              </w:rPr>
            </w:pPr>
            <w:r w:rsidRPr="00C03311">
              <w:rPr>
                <w:rFonts w:ascii="Arial" w:hAnsi="Arial" w:cs="Arial"/>
              </w:rPr>
              <w:t xml:space="preserve">The first trial of this model has now been started in Victoria. It is a program for consumers, developed by consumers and provides peer support to people as an alternative to attending an emergency department. </w:t>
            </w:r>
          </w:p>
          <w:p w14:paraId="737BAB32" w14:textId="77777777" w:rsidR="00EE2B03" w:rsidRPr="00C03311" w:rsidRDefault="00EE2B03" w:rsidP="00EE2B03">
            <w:pPr>
              <w:spacing w:before="80" w:after="80"/>
              <w:rPr>
                <w:rFonts w:ascii="Arial" w:hAnsi="Arial" w:cs="Arial"/>
              </w:rPr>
            </w:pPr>
          </w:p>
        </w:tc>
        <w:tc>
          <w:tcPr>
            <w:tcW w:w="3118" w:type="dxa"/>
            <w:tcBorders>
              <w:top w:val="nil"/>
            </w:tcBorders>
          </w:tcPr>
          <w:p w14:paraId="6A63969F" w14:textId="77777777" w:rsidR="00EE2B03" w:rsidRPr="00C03311" w:rsidRDefault="0032265F" w:rsidP="00EE2B03">
            <w:pPr>
              <w:spacing w:before="80" w:after="80"/>
              <w:rPr>
                <w:rFonts w:ascii="Arial" w:hAnsi="Arial" w:cs="Arial"/>
              </w:rPr>
            </w:pPr>
            <w:hyperlink r:id="rId21" w:history="1">
              <w:r w:rsidR="00EE2B03" w:rsidRPr="00C03311">
                <w:rPr>
                  <w:rStyle w:val="Hyperlink"/>
                  <w:rFonts w:ascii="Arial" w:hAnsi="Arial" w:cs="Arial"/>
                  <w:color w:val="auto"/>
                </w:rPr>
                <w:t>https://www.england.nhs.uk/mental-health/case-studies/aldershot/</w:t>
              </w:r>
            </w:hyperlink>
          </w:p>
          <w:p w14:paraId="09963C8A" w14:textId="77777777" w:rsidR="00EE2B03" w:rsidRPr="00C03311" w:rsidRDefault="00EE2B03" w:rsidP="00EE2B03">
            <w:pPr>
              <w:spacing w:before="80" w:after="80"/>
              <w:rPr>
                <w:rFonts w:ascii="Arial" w:hAnsi="Arial" w:cs="Arial"/>
                <w:lang w:val="en-US"/>
              </w:rPr>
            </w:pPr>
          </w:p>
          <w:p w14:paraId="639D2763" w14:textId="77777777" w:rsidR="00EE2B03" w:rsidRPr="00C03311" w:rsidRDefault="0032265F" w:rsidP="00EE2B03">
            <w:pPr>
              <w:spacing w:before="80" w:after="80"/>
              <w:rPr>
                <w:rFonts w:ascii="Arial" w:hAnsi="Arial" w:cs="Arial"/>
                <w:lang w:val="en-US"/>
              </w:rPr>
            </w:pPr>
            <w:hyperlink r:id="rId22" w:history="1">
              <w:r w:rsidR="00EE2B03" w:rsidRPr="00C03311">
                <w:rPr>
                  <w:rStyle w:val="Hyperlink"/>
                  <w:rFonts w:ascii="Arial" w:hAnsi="Arial" w:cs="Arial"/>
                  <w:lang w:val="en-US"/>
                </w:rPr>
                <w:t>http://www.health.vic.gov.au/healthvictoria/aug18/cafe.htm</w:t>
              </w:r>
            </w:hyperlink>
            <w:r w:rsidR="00EE2B03" w:rsidRPr="00C03311">
              <w:rPr>
                <w:rFonts w:ascii="Arial" w:hAnsi="Arial" w:cs="Arial"/>
                <w:lang w:val="en-US"/>
              </w:rPr>
              <w:t xml:space="preserve"> </w:t>
            </w:r>
          </w:p>
        </w:tc>
      </w:tr>
      <w:tr w:rsidR="00EE2B03" w:rsidRPr="00261567" w14:paraId="0B7D9251" w14:textId="77777777" w:rsidTr="00EE2B03">
        <w:tc>
          <w:tcPr>
            <w:tcW w:w="2122" w:type="dxa"/>
          </w:tcPr>
          <w:p w14:paraId="6979336E" w14:textId="77777777" w:rsidR="00EE2B03" w:rsidRPr="00C03311" w:rsidRDefault="00EE2B03" w:rsidP="00EE2B03">
            <w:pPr>
              <w:spacing w:before="80" w:after="80"/>
              <w:rPr>
                <w:rFonts w:ascii="Arial" w:hAnsi="Arial" w:cs="Arial"/>
                <w:lang w:val="en-US"/>
              </w:rPr>
            </w:pPr>
            <w:r w:rsidRPr="00C03311">
              <w:rPr>
                <w:rFonts w:ascii="Arial" w:hAnsi="Arial" w:cs="Arial"/>
                <w:lang w:val="en-US"/>
              </w:rPr>
              <w:t>Best Practice</w:t>
            </w:r>
          </w:p>
        </w:tc>
        <w:tc>
          <w:tcPr>
            <w:tcW w:w="2976" w:type="dxa"/>
          </w:tcPr>
          <w:p w14:paraId="69B6FED1" w14:textId="77777777" w:rsidR="00EE2B03" w:rsidRPr="00C03311" w:rsidRDefault="00EE2B03" w:rsidP="00EE2B03">
            <w:pPr>
              <w:spacing w:before="80" w:after="80"/>
              <w:rPr>
                <w:rFonts w:ascii="Arial" w:hAnsi="Arial" w:cs="Arial"/>
                <w:lang w:val="en-US"/>
              </w:rPr>
            </w:pPr>
            <w:r w:rsidRPr="00C03311">
              <w:rPr>
                <w:rFonts w:ascii="Arial" w:hAnsi="Arial" w:cs="Arial"/>
                <w:lang w:val="en-US"/>
              </w:rPr>
              <w:t xml:space="preserve">Employing peer workers in hospital to reduce hospital readmission rates, improve recovery outcomes, improve consumers’ experience of service, improve engagement with services and increase self-management.   </w:t>
            </w:r>
          </w:p>
          <w:p w14:paraId="2C5A7B6F" w14:textId="77777777" w:rsidR="00EE2B03" w:rsidRPr="00C03311" w:rsidRDefault="00EE2B03" w:rsidP="00EE2B03">
            <w:pPr>
              <w:spacing w:before="80" w:after="80"/>
              <w:rPr>
                <w:rFonts w:ascii="Arial" w:hAnsi="Arial" w:cs="Arial"/>
                <w:lang w:val="en-US"/>
              </w:rPr>
            </w:pPr>
          </w:p>
        </w:tc>
        <w:tc>
          <w:tcPr>
            <w:tcW w:w="5954" w:type="dxa"/>
          </w:tcPr>
          <w:p w14:paraId="263E0D32" w14:textId="77777777" w:rsidR="00EE2B03" w:rsidRPr="00C03311" w:rsidRDefault="00EE2B03" w:rsidP="00EE2B03">
            <w:pPr>
              <w:spacing w:before="80" w:after="80"/>
              <w:rPr>
                <w:rFonts w:ascii="Arial" w:hAnsi="Arial" w:cs="Arial"/>
              </w:rPr>
            </w:pPr>
            <w:r w:rsidRPr="00C03311">
              <w:rPr>
                <w:rFonts w:ascii="Arial" w:hAnsi="Arial" w:cs="Arial"/>
              </w:rPr>
              <w:t xml:space="preserve">A Federally Qualified Health Centre in Denver that used peer support had a return of interest of $2.28 for every $1 spent. </w:t>
            </w:r>
          </w:p>
          <w:p w14:paraId="358CEFA9" w14:textId="77777777" w:rsidR="00EE2B03" w:rsidRPr="00C03311" w:rsidRDefault="00EE2B03" w:rsidP="00EE2B03">
            <w:pPr>
              <w:spacing w:before="80" w:after="80"/>
              <w:rPr>
                <w:rFonts w:ascii="Arial" w:hAnsi="Arial" w:cs="Arial"/>
                <w:lang w:val="en-US"/>
              </w:rPr>
            </w:pPr>
            <w:r w:rsidRPr="00C03311">
              <w:rPr>
                <w:rFonts w:ascii="Arial" w:hAnsi="Arial" w:cs="Arial"/>
              </w:rPr>
              <w:t>A peer support program, Recovery Mentors, provided individualised support for schizophrenia, depression, bipolar disorder and over the course of 9 months, saw 0.89 vs. 1.53 hospitalisations and 10.08 vs. 19.08 days in hospital.</w:t>
            </w:r>
          </w:p>
        </w:tc>
        <w:tc>
          <w:tcPr>
            <w:tcW w:w="3118" w:type="dxa"/>
          </w:tcPr>
          <w:p w14:paraId="7AD2FE95" w14:textId="77777777" w:rsidR="00EE2B03" w:rsidRPr="00C03311" w:rsidRDefault="0032265F" w:rsidP="00EE2B03">
            <w:pPr>
              <w:spacing w:before="80" w:after="80"/>
              <w:rPr>
                <w:rFonts w:ascii="Arial" w:hAnsi="Arial" w:cs="Arial"/>
                <w:lang w:val="en-US"/>
              </w:rPr>
            </w:pPr>
            <w:hyperlink r:id="rId23" w:history="1">
              <w:r w:rsidR="00EE2B03" w:rsidRPr="00C03311">
                <w:rPr>
                  <w:rStyle w:val="Hyperlink"/>
                  <w:rFonts w:ascii="Arial" w:hAnsi="Arial" w:cs="Arial"/>
                  <w:lang w:val="en-US"/>
                </w:rPr>
                <w:t>www.mentalhealthamerica.net/sites/default/files/Evidence%20for%20Peer%20Support%20May%202018.pdf</w:t>
              </w:r>
            </w:hyperlink>
            <w:r w:rsidR="00EE2B03" w:rsidRPr="00C03311">
              <w:rPr>
                <w:rFonts w:ascii="Arial" w:hAnsi="Arial" w:cs="Arial"/>
                <w:lang w:val="en-US"/>
              </w:rPr>
              <w:t xml:space="preserve"> </w:t>
            </w:r>
          </w:p>
        </w:tc>
      </w:tr>
      <w:tr w:rsidR="00EE2B03" w:rsidRPr="00261567" w14:paraId="7693F2C6" w14:textId="77777777" w:rsidTr="00EE2B03">
        <w:tc>
          <w:tcPr>
            <w:tcW w:w="2122" w:type="dxa"/>
          </w:tcPr>
          <w:p w14:paraId="6B62EE63" w14:textId="77777777" w:rsidR="00EE2B03" w:rsidRPr="00C03311" w:rsidRDefault="00EE2B03" w:rsidP="00EE2B03">
            <w:pPr>
              <w:spacing w:before="80" w:after="80"/>
              <w:rPr>
                <w:rFonts w:ascii="Arial" w:hAnsi="Arial" w:cs="Arial"/>
                <w:lang w:val="en-US"/>
              </w:rPr>
            </w:pPr>
            <w:r w:rsidRPr="00C03311">
              <w:rPr>
                <w:rFonts w:ascii="Arial" w:hAnsi="Arial" w:cs="Arial"/>
                <w:lang w:val="en-US"/>
              </w:rPr>
              <w:lastRenderedPageBreak/>
              <w:t>Best Practice</w:t>
            </w:r>
          </w:p>
        </w:tc>
        <w:tc>
          <w:tcPr>
            <w:tcW w:w="2976" w:type="dxa"/>
          </w:tcPr>
          <w:p w14:paraId="4D603850" w14:textId="541C4410" w:rsidR="00EE2B03" w:rsidRPr="00C03311" w:rsidRDefault="00EE2B03" w:rsidP="00EE2B03">
            <w:pPr>
              <w:spacing w:before="80" w:after="80"/>
              <w:rPr>
                <w:rFonts w:ascii="Arial" w:hAnsi="Arial" w:cs="Arial"/>
                <w:lang w:val="en-US"/>
              </w:rPr>
            </w:pPr>
            <w:r w:rsidRPr="00C03311">
              <w:rPr>
                <w:rFonts w:ascii="Arial" w:hAnsi="Arial" w:cs="Arial"/>
                <w:lang w:val="en-US"/>
              </w:rPr>
              <w:t xml:space="preserve">Employing peer workers to fill gaps in services where it is difficult to recruit clinicians, </w:t>
            </w:r>
            <w:r w:rsidR="00C03311" w:rsidRPr="00C03311">
              <w:rPr>
                <w:rFonts w:ascii="Arial" w:hAnsi="Arial" w:cs="Arial"/>
                <w:lang w:val="en-US"/>
              </w:rPr>
              <w:t>particularly</w:t>
            </w:r>
            <w:r w:rsidRPr="00C03311">
              <w:rPr>
                <w:rFonts w:ascii="Arial" w:hAnsi="Arial" w:cs="Arial"/>
                <w:lang w:val="en-US"/>
              </w:rPr>
              <w:t xml:space="preserve"> in rural and remote areas. </w:t>
            </w:r>
          </w:p>
          <w:p w14:paraId="7F5D21B6" w14:textId="77777777" w:rsidR="00EE2B03" w:rsidRPr="00C03311" w:rsidRDefault="00EE2B03" w:rsidP="00EE2B03">
            <w:pPr>
              <w:spacing w:before="80" w:after="80"/>
              <w:rPr>
                <w:rFonts w:ascii="Arial" w:hAnsi="Arial" w:cs="Arial"/>
                <w:lang w:val="en-US"/>
              </w:rPr>
            </w:pPr>
          </w:p>
          <w:p w14:paraId="32E33C5A" w14:textId="77777777" w:rsidR="00EE2B03" w:rsidRPr="00C03311" w:rsidRDefault="00EE2B03" w:rsidP="00EE2B03">
            <w:pPr>
              <w:spacing w:before="80" w:after="80"/>
              <w:rPr>
                <w:rFonts w:ascii="Arial" w:hAnsi="Arial" w:cs="Arial"/>
                <w:lang w:val="en-US"/>
              </w:rPr>
            </w:pPr>
          </w:p>
          <w:p w14:paraId="528F1EA3" w14:textId="77777777" w:rsidR="00EE2B03" w:rsidRPr="00C03311" w:rsidRDefault="00EE2B03" w:rsidP="00EE2B03">
            <w:pPr>
              <w:spacing w:before="80" w:after="80"/>
              <w:rPr>
                <w:rFonts w:ascii="Arial" w:hAnsi="Arial" w:cs="Arial"/>
                <w:lang w:val="en-US"/>
              </w:rPr>
            </w:pPr>
          </w:p>
        </w:tc>
        <w:tc>
          <w:tcPr>
            <w:tcW w:w="5954" w:type="dxa"/>
          </w:tcPr>
          <w:p w14:paraId="57973A2A" w14:textId="77777777" w:rsidR="00EE2B03" w:rsidRPr="00C03311" w:rsidRDefault="00EE2B03" w:rsidP="00EE2B03">
            <w:pPr>
              <w:spacing w:before="80" w:after="80"/>
              <w:rPr>
                <w:rFonts w:ascii="Arial" w:hAnsi="Arial" w:cs="Arial"/>
                <w:shd w:val="clear" w:color="auto" w:fill="FFFFFF"/>
                <w:vertAlign w:val="superscript"/>
              </w:rPr>
            </w:pPr>
            <w:r w:rsidRPr="00C03311">
              <w:rPr>
                <w:rFonts w:ascii="Arial" w:hAnsi="Arial" w:cs="Arial"/>
                <w:shd w:val="clear" w:color="auto" w:fill="FFFFFF"/>
              </w:rPr>
              <w:t>The Connections Program in NSW is a unique service staffed exclusively by peer workers to build connections between program participants and the broader community. The concept began as an innovative collaboration between Mission Australia and Far West Health to address a local need and reduce emergency room admissions and presentations after hours.</w:t>
            </w:r>
          </w:p>
          <w:p w14:paraId="5F9F4D20" w14:textId="77777777" w:rsidR="00EE2B03" w:rsidRPr="00C03311" w:rsidRDefault="00EE2B03" w:rsidP="00EE2B03">
            <w:pPr>
              <w:spacing w:before="80" w:after="80"/>
              <w:rPr>
                <w:rFonts w:ascii="Arial" w:hAnsi="Arial" w:cs="Arial"/>
                <w:shd w:val="clear" w:color="auto" w:fill="FFFFFF"/>
              </w:rPr>
            </w:pPr>
            <w:r w:rsidRPr="00C03311">
              <w:rPr>
                <w:rFonts w:ascii="Arial" w:hAnsi="Arial" w:cs="Arial"/>
                <w:shd w:val="clear" w:color="auto" w:fill="FFFFFF"/>
              </w:rPr>
              <w:t>Over six months, the program has been instrumental in reducing participant inpatient hospital days by 65%; and presentations to emergency departments by 80%.</w:t>
            </w:r>
          </w:p>
          <w:p w14:paraId="7D5EA5BB" w14:textId="77777777" w:rsidR="00EE2B03" w:rsidRPr="00C03311" w:rsidRDefault="00EE2B03" w:rsidP="00EE2B03">
            <w:pPr>
              <w:spacing w:before="80" w:after="80"/>
              <w:rPr>
                <w:rFonts w:ascii="Arial" w:hAnsi="Arial" w:cs="Arial"/>
              </w:rPr>
            </w:pPr>
          </w:p>
        </w:tc>
        <w:tc>
          <w:tcPr>
            <w:tcW w:w="3118" w:type="dxa"/>
          </w:tcPr>
          <w:p w14:paraId="3308E05C" w14:textId="77777777" w:rsidR="00EE2B03" w:rsidRPr="00C03311" w:rsidRDefault="0032265F" w:rsidP="00EE2B03">
            <w:pPr>
              <w:spacing w:before="80" w:after="80"/>
              <w:rPr>
                <w:rFonts w:ascii="Arial" w:hAnsi="Arial" w:cs="Arial"/>
              </w:rPr>
            </w:pPr>
            <w:hyperlink r:id="rId24" w:history="1">
              <w:r w:rsidR="00EE2B03" w:rsidRPr="00C03311">
                <w:rPr>
                  <w:rStyle w:val="Hyperlink"/>
                  <w:rFonts w:ascii="Arial" w:hAnsi="Arial" w:cs="Arial"/>
                  <w:color w:val="auto"/>
                </w:rPr>
                <w:t>https://www.missionaustralia.com.au/news-blog/news-media/sbs-draws-attention-to-connections-program-in-broken-hill</w:t>
              </w:r>
            </w:hyperlink>
          </w:p>
        </w:tc>
      </w:tr>
    </w:tbl>
    <w:p w14:paraId="24D58F77" w14:textId="77777777" w:rsidR="007A11D1" w:rsidRDefault="007A11D1">
      <w:pPr>
        <w:rPr>
          <w:rFonts w:ascii="Arial" w:hAnsi="Arial" w:cs="Arial"/>
          <w:lang w:val="en-US"/>
        </w:rPr>
      </w:pPr>
    </w:p>
    <w:p w14:paraId="2FED93AF" w14:textId="77777777" w:rsidR="005158D9" w:rsidRDefault="005158D9">
      <w:pPr>
        <w:rPr>
          <w:rFonts w:ascii="Arial" w:hAnsi="Arial" w:cs="Arial"/>
          <w:lang w:val="en-US"/>
        </w:rPr>
      </w:pPr>
    </w:p>
    <w:p w14:paraId="4847770B" w14:textId="77777777" w:rsidR="005158D9" w:rsidRDefault="005158D9">
      <w:pPr>
        <w:rPr>
          <w:rFonts w:ascii="Arial" w:hAnsi="Arial" w:cs="Arial"/>
          <w:lang w:val="en-US"/>
        </w:rPr>
      </w:pPr>
    </w:p>
    <w:p w14:paraId="78AEABFF" w14:textId="77777777" w:rsidR="005158D9" w:rsidRDefault="005158D9">
      <w:pPr>
        <w:rPr>
          <w:rFonts w:ascii="Arial" w:hAnsi="Arial" w:cs="Arial"/>
          <w:lang w:val="en-US"/>
        </w:rPr>
      </w:pPr>
    </w:p>
    <w:p w14:paraId="298E530E" w14:textId="77777777" w:rsidR="000152AB" w:rsidRDefault="000152AB">
      <w:pPr>
        <w:rPr>
          <w:rFonts w:ascii="Arial" w:hAnsi="Arial" w:cs="Arial"/>
          <w:lang w:val="en-US"/>
        </w:rPr>
      </w:pPr>
    </w:p>
    <w:p w14:paraId="54150D90" w14:textId="77777777" w:rsidR="000152AB" w:rsidRDefault="000152AB">
      <w:pPr>
        <w:rPr>
          <w:rFonts w:ascii="Arial" w:hAnsi="Arial" w:cs="Arial"/>
          <w:lang w:val="en-US"/>
        </w:rPr>
      </w:pPr>
    </w:p>
    <w:p w14:paraId="46B6201C" w14:textId="77777777" w:rsidR="000152AB" w:rsidRDefault="000152AB">
      <w:pPr>
        <w:rPr>
          <w:rFonts w:ascii="Arial" w:hAnsi="Arial" w:cs="Arial"/>
          <w:lang w:val="en-US"/>
        </w:rPr>
      </w:pPr>
    </w:p>
    <w:p w14:paraId="53FAA0FF" w14:textId="77777777" w:rsidR="000152AB" w:rsidRDefault="000152AB">
      <w:pPr>
        <w:rPr>
          <w:rFonts w:ascii="Arial" w:hAnsi="Arial" w:cs="Arial"/>
          <w:lang w:val="en-US"/>
        </w:rPr>
      </w:pPr>
    </w:p>
    <w:p w14:paraId="50FF33C6" w14:textId="77777777" w:rsidR="000152AB" w:rsidRDefault="000152AB">
      <w:pPr>
        <w:rPr>
          <w:rFonts w:ascii="Arial" w:hAnsi="Arial" w:cs="Arial"/>
          <w:lang w:val="en-US"/>
        </w:rPr>
      </w:pPr>
    </w:p>
    <w:p w14:paraId="6972044D" w14:textId="77777777" w:rsidR="000152AB" w:rsidRDefault="000152AB">
      <w:pPr>
        <w:rPr>
          <w:rFonts w:ascii="Arial" w:hAnsi="Arial" w:cs="Arial"/>
          <w:lang w:val="en-US"/>
        </w:rPr>
      </w:pPr>
    </w:p>
    <w:p w14:paraId="29805E59" w14:textId="77777777" w:rsidR="005158D9" w:rsidRPr="00261567" w:rsidRDefault="005158D9">
      <w:pPr>
        <w:rPr>
          <w:rFonts w:ascii="Arial" w:hAnsi="Arial" w:cs="Arial"/>
          <w:lang w:val="en-US"/>
        </w:rPr>
      </w:pPr>
    </w:p>
    <w:tbl>
      <w:tblPr>
        <w:tblStyle w:val="TableGrid"/>
        <w:tblW w:w="14170" w:type="dxa"/>
        <w:tblLayout w:type="fixed"/>
        <w:tblLook w:val="04A0" w:firstRow="1" w:lastRow="0" w:firstColumn="1" w:lastColumn="0" w:noHBand="0" w:noVBand="1"/>
      </w:tblPr>
      <w:tblGrid>
        <w:gridCol w:w="2122"/>
        <w:gridCol w:w="2976"/>
        <w:gridCol w:w="5954"/>
        <w:gridCol w:w="3118"/>
      </w:tblGrid>
      <w:tr w:rsidR="00605B9D" w:rsidRPr="00261567" w14:paraId="53D28890" w14:textId="77777777" w:rsidTr="00EE2B03">
        <w:tc>
          <w:tcPr>
            <w:tcW w:w="14170" w:type="dxa"/>
            <w:gridSpan w:val="4"/>
          </w:tcPr>
          <w:p w14:paraId="3CB055A6" w14:textId="77777777" w:rsidR="00605B9D" w:rsidRPr="00261567" w:rsidRDefault="00605B9D" w:rsidP="00DD7350">
            <w:pPr>
              <w:pStyle w:val="Heading2"/>
              <w:spacing w:before="80"/>
              <w:outlineLvl w:val="1"/>
              <w:rPr>
                <w:rFonts w:ascii="Arial" w:hAnsi="Arial" w:cs="Arial"/>
                <w:b/>
                <w:color w:val="auto"/>
                <w:lang w:val="en-US"/>
              </w:rPr>
            </w:pPr>
            <w:r w:rsidRPr="00261567">
              <w:rPr>
                <w:rFonts w:ascii="Arial" w:hAnsi="Arial" w:cs="Arial"/>
                <w:color w:val="auto"/>
              </w:rPr>
              <w:lastRenderedPageBreak/>
              <w:t xml:space="preserve">Table </w:t>
            </w:r>
            <w:r>
              <w:rPr>
                <w:rFonts w:ascii="Arial" w:hAnsi="Arial" w:cs="Arial"/>
                <w:color w:val="auto"/>
              </w:rPr>
              <w:t>2</w:t>
            </w:r>
            <w:r w:rsidRPr="00261567">
              <w:rPr>
                <w:rFonts w:ascii="Arial" w:hAnsi="Arial" w:cs="Arial"/>
                <w:b/>
                <w:color w:val="auto"/>
                <w:lang w:val="en-US"/>
              </w:rPr>
              <w:t xml:space="preserve"> </w:t>
            </w:r>
          </w:p>
        </w:tc>
      </w:tr>
      <w:tr w:rsidR="00605B9D" w:rsidRPr="00261567" w14:paraId="4F003765" w14:textId="77777777" w:rsidTr="00EE2B03">
        <w:tc>
          <w:tcPr>
            <w:tcW w:w="5098" w:type="dxa"/>
            <w:gridSpan w:val="2"/>
          </w:tcPr>
          <w:p w14:paraId="4ECDCC2F" w14:textId="77777777" w:rsidR="00605B9D" w:rsidRPr="00C03311" w:rsidRDefault="00605B9D" w:rsidP="00DD7350">
            <w:pPr>
              <w:spacing w:before="80"/>
              <w:rPr>
                <w:rFonts w:ascii="Arial" w:hAnsi="Arial" w:cs="Arial"/>
                <w:b/>
                <w:lang w:val="en-US"/>
              </w:rPr>
            </w:pPr>
            <w:r w:rsidRPr="00C03311">
              <w:rPr>
                <w:rFonts w:ascii="Arial" w:hAnsi="Arial" w:cs="Arial"/>
                <w:b/>
                <w:lang w:val="en-US"/>
              </w:rPr>
              <w:t xml:space="preserve">Co-design </w:t>
            </w:r>
          </w:p>
        </w:tc>
        <w:tc>
          <w:tcPr>
            <w:tcW w:w="5954" w:type="dxa"/>
          </w:tcPr>
          <w:p w14:paraId="481F190A" w14:textId="77777777" w:rsidR="00605B9D" w:rsidRPr="00C03311" w:rsidRDefault="00605B9D" w:rsidP="00DD7350">
            <w:pPr>
              <w:spacing w:before="80"/>
              <w:rPr>
                <w:rFonts w:ascii="Arial" w:hAnsi="Arial" w:cs="Arial"/>
                <w:b/>
                <w:lang w:val="en-US"/>
              </w:rPr>
            </w:pPr>
            <w:r w:rsidRPr="00C03311">
              <w:rPr>
                <w:rFonts w:ascii="Arial" w:hAnsi="Arial" w:cs="Arial"/>
                <w:b/>
                <w:lang w:val="en-US"/>
              </w:rPr>
              <w:t xml:space="preserve">Rationale / Evidence </w:t>
            </w:r>
          </w:p>
        </w:tc>
        <w:tc>
          <w:tcPr>
            <w:tcW w:w="3118" w:type="dxa"/>
          </w:tcPr>
          <w:p w14:paraId="6C107909" w14:textId="77777777" w:rsidR="00605B9D" w:rsidRPr="00C03311" w:rsidRDefault="00605B9D" w:rsidP="00DD7350">
            <w:pPr>
              <w:spacing w:before="80"/>
              <w:rPr>
                <w:rFonts w:ascii="Arial" w:hAnsi="Arial" w:cs="Arial"/>
                <w:b/>
                <w:lang w:val="en-US"/>
              </w:rPr>
            </w:pPr>
            <w:r w:rsidRPr="00C03311">
              <w:rPr>
                <w:rFonts w:ascii="Arial" w:hAnsi="Arial" w:cs="Arial"/>
                <w:b/>
                <w:lang w:val="en-US"/>
              </w:rPr>
              <w:t>Further information</w:t>
            </w:r>
          </w:p>
        </w:tc>
      </w:tr>
      <w:tr w:rsidR="00ED2850" w:rsidRPr="00261567" w14:paraId="49CE69B7" w14:textId="77777777" w:rsidTr="00D83B5D">
        <w:tc>
          <w:tcPr>
            <w:tcW w:w="2122" w:type="dxa"/>
          </w:tcPr>
          <w:p w14:paraId="5659F189" w14:textId="77777777" w:rsidR="00A92292" w:rsidRPr="00C03311" w:rsidRDefault="006270B4" w:rsidP="00DD7350">
            <w:pPr>
              <w:spacing w:before="80" w:after="80"/>
              <w:rPr>
                <w:rFonts w:ascii="Arial" w:hAnsi="Arial" w:cs="Arial"/>
                <w:lang w:val="en-US"/>
              </w:rPr>
            </w:pPr>
            <w:r w:rsidRPr="00C03311">
              <w:rPr>
                <w:rFonts w:ascii="Arial" w:hAnsi="Arial" w:cs="Arial"/>
                <w:lang w:val="en-US"/>
              </w:rPr>
              <w:t>Recommendation</w:t>
            </w:r>
          </w:p>
        </w:tc>
        <w:tc>
          <w:tcPr>
            <w:tcW w:w="2976" w:type="dxa"/>
          </w:tcPr>
          <w:p w14:paraId="5393F86C" w14:textId="7EADE634" w:rsidR="00A92292" w:rsidRPr="00C03311" w:rsidRDefault="006270B4" w:rsidP="00DD7350">
            <w:pPr>
              <w:spacing w:before="80" w:after="80"/>
              <w:rPr>
                <w:rFonts w:ascii="Arial" w:hAnsi="Arial" w:cs="Arial"/>
                <w:lang w:val="en-US"/>
              </w:rPr>
            </w:pPr>
            <w:r w:rsidRPr="00C03311">
              <w:rPr>
                <w:rFonts w:ascii="Arial" w:hAnsi="Arial" w:cs="Arial"/>
                <w:lang w:val="en-US"/>
              </w:rPr>
              <w:t xml:space="preserve">Have </w:t>
            </w:r>
            <w:r w:rsidR="00BC751D" w:rsidRPr="00C03311">
              <w:rPr>
                <w:rFonts w:ascii="Arial" w:hAnsi="Arial" w:cs="Arial"/>
                <w:lang w:val="en-US"/>
              </w:rPr>
              <w:t xml:space="preserve">sufficient </w:t>
            </w:r>
            <w:r w:rsidR="00A92292" w:rsidRPr="00C03311">
              <w:rPr>
                <w:rFonts w:ascii="Arial" w:hAnsi="Arial" w:cs="Arial"/>
                <w:lang w:val="en-US"/>
              </w:rPr>
              <w:t xml:space="preserve">resources and structures embedded in services to facilitate co-design and co-production. </w:t>
            </w:r>
          </w:p>
        </w:tc>
        <w:tc>
          <w:tcPr>
            <w:tcW w:w="5954" w:type="dxa"/>
          </w:tcPr>
          <w:p w14:paraId="6EAE3766" w14:textId="77777777" w:rsidR="00A92292" w:rsidRPr="00C03311" w:rsidRDefault="00A92292" w:rsidP="00DD7350">
            <w:pPr>
              <w:spacing w:before="80" w:after="80"/>
              <w:rPr>
                <w:rFonts w:ascii="Arial" w:hAnsi="Arial" w:cs="Arial"/>
              </w:rPr>
            </w:pPr>
            <w:r w:rsidRPr="00C03311">
              <w:rPr>
                <w:rFonts w:ascii="Arial" w:hAnsi="Arial" w:cs="Arial"/>
              </w:rPr>
              <w:t>Genuine co-design and co-production deliberately sets out to create a culture that values all expertise and knowledge, particularly the expertise and knowledge of the people that are most affected by the problem and solution. Co-production recognises and seeks to address power differentials within partnerships</w:t>
            </w:r>
            <w:r w:rsidR="00984D41" w:rsidRPr="00C03311">
              <w:rPr>
                <w:rFonts w:ascii="Arial" w:hAnsi="Arial" w:cs="Arial"/>
              </w:rPr>
              <w:t>.</w:t>
            </w:r>
          </w:p>
          <w:p w14:paraId="2C904109" w14:textId="11BBB1A3" w:rsidR="00D83B5D" w:rsidRPr="00C03311" w:rsidRDefault="00D83B5D" w:rsidP="00DD7350">
            <w:pPr>
              <w:spacing w:before="80" w:after="80"/>
              <w:rPr>
                <w:rFonts w:ascii="Arial" w:hAnsi="Arial" w:cs="Arial"/>
              </w:rPr>
            </w:pPr>
            <w:r w:rsidRPr="00C03311">
              <w:rPr>
                <w:rFonts w:ascii="Arial" w:hAnsi="Arial" w:cs="Arial"/>
              </w:rPr>
              <w:t xml:space="preserve">Consumer and carer co-design </w:t>
            </w:r>
            <w:r w:rsidRPr="00C03311">
              <w:rPr>
                <w:rFonts w:ascii="Arial" w:hAnsi="Arial" w:cs="Arial"/>
                <w:noProof/>
              </w:rPr>
              <w:t>is</w:t>
            </w:r>
            <w:r w:rsidRPr="00C03311">
              <w:rPr>
                <w:rFonts w:ascii="Arial" w:hAnsi="Arial" w:cs="Arial"/>
              </w:rPr>
              <w:t xml:space="preserve"> identified as a key commitment in the Fifth Plan </w:t>
            </w:r>
            <w:r w:rsidR="00106043" w:rsidRPr="00C03311">
              <w:rPr>
                <w:rFonts w:ascii="Arial" w:hAnsi="Arial" w:cs="Arial"/>
              </w:rPr>
              <w:t>and NDIS</w:t>
            </w:r>
            <w:r w:rsidR="00EE2B03" w:rsidRPr="00C03311">
              <w:rPr>
                <w:rFonts w:ascii="Arial" w:hAnsi="Arial" w:cs="Arial"/>
              </w:rPr>
              <w:t>. This is</w:t>
            </w:r>
            <w:r w:rsidR="00106043" w:rsidRPr="00C03311">
              <w:rPr>
                <w:rFonts w:ascii="Arial" w:hAnsi="Arial" w:cs="Arial"/>
              </w:rPr>
              <w:t xml:space="preserve"> </w:t>
            </w:r>
            <w:r w:rsidRPr="00C03311">
              <w:rPr>
                <w:rFonts w:ascii="Arial" w:hAnsi="Arial" w:cs="Arial"/>
              </w:rPr>
              <w:t>a critical success factor</w:t>
            </w:r>
            <w:r w:rsidR="00EE2B03" w:rsidRPr="00C03311">
              <w:rPr>
                <w:rFonts w:ascii="Arial" w:hAnsi="Arial" w:cs="Arial"/>
              </w:rPr>
              <w:t xml:space="preserve"> for effective implementation. </w:t>
            </w:r>
          </w:p>
          <w:p w14:paraId="351BCF36" w14:textId="77777777" w:rsidR="00D83B5D" w:rsidRPr="00C03311" w:rsidRDefault="00D83B5D" w:rsidP="00DD7350">
            <w:pPr>
              <w:spacing w:before="80" w:after="80"/>
              <w:rPr>
                <w:rFonts w:ascii="Arial" w:hAnsi="Arial" w:cs="Arial"/>
                <w:lang w:val="en-US"/>
              </w:rPr>
            </w:pPr>
          </w:p>
        </w:tc>
        <w:tc>
          <w:tcPr>
            <w:tcW w:w="3118" w:type="dxa"/>
          </w:tcPr>
          <w:p w14:paraId="06E91566" w14:textId="77777777" w:rsidR="00A92292" w:rsidRPr="00C03311" w:rsidRDefault="0032265F" w:rsidP="00DD7350">
            <w:pPr>
              <w:spacing w:before="80" w:after="80"/>
              <w:rPr>
                <w:rFonts w:ascii="Arial" w:hAnsi="Arial" w:cs="Arial"/>
              </w:rPr>
            </w:pPr>
            <w:hyperlink r:id="rId25" w:history="1">
              <w:r w:rsidR="00A92292" w:rsidRPr="00C03311">
                <w:rPr>
                  <w:rStyle w:val="Hyperlink"/>
                  <w:rFonts w:ascii="Arial" w:hAnsi="Arial" w:cs="Arial"/>
                  <w:color w:val="auto"/>
                </w:rPr>
                <w:t>https://recoverylibrary.unimelb.edu.au/</w:t>
              </w:r>
            </w:hyperlink>
            <w:r w:rsidR="00A92292" w:rsidRPr="00C03311">
              <w:rPr>
                <w:rFonts w:ascii="Arial" w:hAnsi="Arial" w:cs="Arial"/>
              </w:rPr>
              <w:t>__</w:t>
            </w:r>
            <w:r w:rsidR="00A92292" w:rsidRPr="00C03311">
              <w:rPr>
                <w:rFonts w:ascii="Arial" w:hAnsi="Arial" w:cs="Arial"/>
                <w:u w:val="single"/>
              </w:rPr>
              <w:t>data/assets/pdf_file/0010/2659969/Coproduction_putting-principles-into-practice.pdf</w:t>
            </w:r>
            <w:r w:rsidR="00A92292" w:rsidRPr="00C03311">
              <w:rPr>
                <w:rFonts w:ascii="Arial" w:hAnsi="Arial" w:cs="Arial"/>
              </w:rPr>
              <w:t xml:space="preserve"> (page 5)</w:t>
            </w:r>
          </w:p>
          <w:p w14:paraId="36E6A82C" w14:textId="77777777" w:rsidR="00984D41" w:rsidRPr="00C03311" w:rsidRDefault="00984D41" w:rsidP="00DD7350">
            <w:pPr>
              <w:spacing w:before="80" w:after="80"/>
              <w:rPr>
                <w:rFonts w:ascii="Arial" w:hAnsi="Arial" w:cs="Arial"/>
                <w:lang w:val="en-US"/>
              </w:rPr>
            </w:pPr>
          </w:p>
        </w:tc>
      </w:tr>
      <w:tr w:rsidR="0043011B" w:rsidRPr="00261567" w14:paraId="6C4D4FAB" w14:textId="77777777" w:rsidTr="00D83B5D">
        <w:tc>
          <w:tcPr>
            <w:tcW w:w="2122" w:type="dxa"/>
          </w:tcPr>
          <w:p w14:paraId="2AB56364" w14:textId="0A635047" w:rsidR="0043011B" w:rsidRPr="00C03311" w:rsidRDefault="0043011B" w:rsidP="0043011B">
            <w:pPr>
              <w:spacing w:before="80"/>
              <w:rPr>
                <w:rFonts w:ascii="Arial" w:hAnsi="Arial" w:cs="Arial"/>
                <w:lang w:val="en-US"/>
              </w:rPr>
            </w:pPr>
            <w:r w:rsidRPr="00C03311">
              <w:rPr>
                <w:rFonts w:ascii="Arial" w:hAnsi="Arial" w:cs="Arial"/>
                <w:lang w:val="en-US"/>
              </w:rPr>
              <w:t>Recommendation</w:t>
            </w:r>
          </w:p>
        </w:tc>
        <w:tc>
          <w:tcPr>
            <w:tcW w:w="2976" w:type="dxa"/>
          </w:tcPr>
          <w:p w14:paraId="167B65AA" w14:textId="4B83FB37" w:rsidR="006C5964" w:rsidRPr="00C03311" w:rsidRDefault="00B4182C" w:rsidP="0043011B">
            <w:pPr>
              <w:spacing w:before="80"/>
              <w:rPr>
                <w:rFonts w:ascii="Arial" w:hAnsi="Arial" w:cs="Arial"/>
              </w:rPr>
            </w:pPr>
            <w:r w:rsidRPr="00C03311">
              <w:rPr>
                <w:rFonts w:ascii="Arial" w:hAnsi="Arial" w:cs="Arial"/>
              </w:rPr>
              <w:t>Invest in</w:t>
            </w:r>
            <w:r w:rsidR="0043011B" w:rsidRPr="00C03311">
              <w:rPr>
                <w:rFonts w:ascii="Arial" w:hAnsi="Arial" w:cs="Arial"/>
              </w:rPr>
              <w:t xml:space="preserve"> a national consumer and carer peak body that is co-designed and sustainable. </w:t>
            </w:r>
          </w:p>
          <w:p w14:paraId="0BB2AD7A" w14:textId="16F7E0C9" w:rsidR="0043011B" w:rsidRPr="00C03311" w:rsidRDefault="0043011B" w:rsidP="0043011B">
            <w:pPr>
              <w:spacing w:before="80"/>
              <w:rPr>
                <w:rFonts w:ascii="Arial" w:hAnsi="Arial" w:cs="Arial"/>
              </w:rPr>
            </w:pPr>
            <w:r w:rsidRPr="00C03311">
              <w:rPr>
                <w:rFonts w:ascii="Arial" w:hAnsi="Arial" w:cs="Arial"/>
              </w:rPr>
              <w:t xml:space="preserve">  </w:t>
            </w:r>
          </w:p>
        </w:tc>
        <w:tc>
          <w:tcPr>
            <w:tcW w:w="5954" w:type="dxa"/>
          </w:tcPr>
          <w:p w14:paraId="13465696" w14:textId="77777777" w:rsidR="0043011B" w:rsidRPr="00C03311" w:rsidRDefault="0043011B" w:rsidP="0043011B">
            <w:pPr>
              <w:spacing w:before="80"/>
              <w:rPr>
                <w:rFonts w:ascii="Arial" w:hAnsi="Arial" w:cs="Arial"/>
              </w:rPr>
            </w:pPr>
            <w:r w:rsidRPr="00C03311">
              <w:rPr>
                <w:rFonts w:ascii="Arial" w:hAnsi="Arial" w:cs="Arial"/>
              </w:rPr>
              <w:t xml:space="preserve">In recent years, there has been an increased call for consumer and carer engagement and participation across the mental health sector. </w:t>
            </w:r>
          </w:p>
          <w:p w14:paraId="0C747975" w14:textId="77777777" w:rsidR="0043011B" w:rsidRPr="00C03311" w:rsidRDefault="0043011B" w:rsidP="0043011B">
            <w:pPr>
              <w:spacing w:before="80"/>
              <w:rPr>
                <w:rFonts w:ascii="Arial" w:hAnsi="Arial" w:cs="Arial"/>
              </w:rPr>
            </w:pPr>
            <w:r w:rsidRPr="00C03311">
              <w:rPr>
                <w:rFonts w:ascii="Arial" w:hAnsi="Arial" w:cs="Arial"/>
              </w:rPr>
              <w:t xml:space="preserve">Government reports, frameworks and mental health plans have shown intention to include consumers and carers at all levels of decision-making and policy development. </w:t>
            </w:r>
          </w:p>
          <w:p w14:paraId="6B64437C" w14:textId="77777777" w:rsidR="0043011B" w:rsidRPr="00C03311" w:rsidRDefault="0043011B" w:rsidP="0043011B">
            <w:pPr>
              <w:spacing w:before="80"/>
              <w:rPr>
                <w:rFonts w:ascii="Arial" w:hAnsi="Arial" w:cs="Arial"/>
              </w:rPr>
            </w:pPr>
          </w:p>
          <w:p w14:paraId="60B5D2FF" w14:textId="77777777" w:rsidR="0043011B" w:rsidRPr="00C03311" w:rsidRDefault="0043011B" w:rsidP="0043011B">
            <w:pPr>
              <w:spacing w:before="80"/>
              <w:rPr>
                <w:rFonts w:ascii="Arial" w:hAnsi="Arial" w:cs="Arial"/>
              </w:rPr>
            </w:pPr>
          </w:p>
        </w:tc>
        <w:tc>
          <w:tcPr>
            <w:tcW w:w="3118" w:type="dxa"/>
          </w:tcPr>
          <w:p w14:paraId="3A6C6AE3" w14:textId="007DDEEB" w:rsidR="0043011B" w:rsidRPr="00C03311" w:rsidRDefault="0032265F" w:rsidP="0043011B">
            <w:pPr>
              <w:spacing w:before="80"/>
              <w:rPr>
                <w:rFonts w:ascii="Arial" w:hAnsi="Arial" w:cs="Arial"/>
              </w:rPr>
            </w:pPr>
            <w:hyperlink r:id="rId26" w:history="1">
              <w:r w:rsidR="0043011B" w:rsidRPr="00C03311">
                <w:rPr>
                  <w:rStyle w:val="Hyperlink"/>
                  <w:rFonts w:ascii="Arial" w:hAnsi="Arial" w:cs="Arial"/>
                  <w:color w:val="auto"/>
                </w:rPr>
                <w:t>https://nmhccf.org.au/sites/default/files/docs/nmhccf_-_evaluation_-_final_evaluation_report_-_executive_summary_-_30_may_2017_0.pdf</w:t>
              </w:r>
            </w:hyperlink>
          </w:p>
        </w:tc>
      </w:tr>
      <w:tr w:rsidR="0043011B" w:rsidRPr="00261567" w14:paraId="47FD5E7D" w14:textId="77777777" w:rsidTr="00D83B5D">
        <w:tc>
          <w:tcPr>
            <w:tcW w:w="2122" w:type="dxa"/>
          </w:tcPr>
          <w:p w14:paraId="0EBA6122" w14:textId="7065532C" w:rsidR="0043011B" w:rsidRPr="00C03311" w:rsidRDefault="0043011B" w:rsidP="0043011B">
            <w:pPr>
              <w:spacing w:before="80"/>
              <w:rPr>
                <w:rFonts w:ascii="Arial" w:hAnsi="Arial" w:cs="Arial"/>
                <w:lang w:val="en-US"/>
              </w:rPr>
            </w:pPr>
            <w:r w:rsidRPr="00C03311">
              <w:rPr>
                <w:rFonts w:ascii="Arial" w:hAnsi="Arial" w:cs="Arial"/>
                <w:lang w:val="en-US"/>
              </w:rPr>
              <w:t>Best Practice</w:t>
            </w:r>
          </w:p>
        </w:tc>
        <w:tc>
          <w:tcPr>
            <w:tcW w:w="2976" w:type="dxa"/>
          </w:tcPr>
          <w:p w14:paraId="75340122" w14:textId="561D0628" w:rsidR="0043011B" w:rsidRPr="00C03311" w:rsidRDefault="0043011B" w:rsidP="0043011B">
            <w:pPr>
              <w:spacing w:before="80"/>
              <w:rPr>
                <w:rFonts w:ascii="Arial" w:hAnsi="Arial" w:cs="Arial"/>
              </w:rPr>
            </w:pPr>
            <w:r w:rsidRPr="00C03311">
              <w:rPr>
                <w:rFonts w:ascii="Arial" w:hAnsi="Arial" w:cs="Arial"/>
              </w:rPr>
              <w:t xml:space="preserve">Include consumers and carers in the design and implementation stages of services. </w:t>
            </w:r>
          </w:p>
          <w:p w14:paraId="671C6152" w14:textId="77777777" w:rsidR="0043011B" w:rsidRPr="00C03311" w:rsidRDefault="0043011B" w:rsidP="0043011B">
            <w:pPr>
              <w:spacing w:before="80"/>
              <w:rPr>
                <w:rFonts w:ascii="Arial" w:hAnsi="Arial" w:cs="Arial"/>
              </w:rPr>
            </w:pPr>
          </w:p>
          <w:p w14:paraId="1F2D0C0D" w14:textId="7A34A99B" w:rsidR="0043011B" w:rsidRPr="00C03311" w:rsidRDefault="0043011B" w:rsidP="0043011B">
            <w:pPr>
              <w:spacing w:before="80"/>
              <w:rPr>
                <w:rFonts w:ascii="Arial" w:hAnsi="Arial" w:cs="Arial"/>
                <w:lang w:val="en-US"/>
              </w:rPr>
            </w:pPr>
          </w:p>
        </w:tc>
        <w:tc>
          <w:tcPr>
            <w:tcW w:w="5954" w:type="dxa"/>
          </w:tcPr>
          <w:p w14:paraId="689A83A4" w14:textId="77777777" w:rsidR="00B4182C" w:rsidRPr="00C03311" w:rsidRDefault="0043011B" w:rsidP="0043011B">
            <w:pPr>
              <w:spacing w:before="80"/>
              <w:rPr>
                <w:rFonts w:ascii="Arial" w:hAnsi="Arial" w:cs="Arial"/>
              </w:rPr>
            </w:pPr>
            <w:r w:rsidRPr="00C03311">
              <w:rPr>
                <w:rFonts w:ascii="Arial" w:hAnsi="Arial" w:cs="Arial"/>
              </w:rPr>
              <w:t>The Looking Forward Project in Western Australia</w:t>
            </w:r>
            <w:r w:rsidR="00B4182C" w:rsidRPr="00C03311">
              <w:rPr>
                <w:rFonts w:ascii="Arial" w:hAnsi="Arial" w:cs="Arial"/>
              </w:rPr>
              <w:t>.</w:t>
            </w:r>
          </w:p>
          <w:p w14:paraId="46CE7D40" w14:textId="7CB68BCF" w:rsidR="0043011B" w:rsidRPr="00C03311" w:rsidRDefault="0043011B" w:rsidP="0043011B">
            <w:pPr>
              <w:spacing w:before="80"/>
              <w:rPr>
                <w:rFonts w:ascii="Arial" w:hAnsi="Arial" w:cs="Arial"/>
              </w:rPr>
            </w:pPr>
            <w:r w:rsidRPr="00C03311">
              <w:rPr>
                <w:rFonts w:ascii="Arial" w:hAnsi="Arial" w:cs="Arial"/>
              </w:rPr>
              <w:t xml:space="preserve">Twelve organisations agreed to work in partnership with the research team and 18 Aboriginal Elders to provide culturally accessible and responsive services to the Aboriginal people. </w:t>
            </w:r>
          </w:p>
          <w:p w14:paraId="49CE0E3F" w14:textId="1DEB8669" w:rsidR="0043011B" w:rsidRPr="00C03311" w:rsidRDefault="0043011B" w:rsidP="0043011B">
            <w:pPr>
              <w:spacing w:before="80"/>
              <w:rPr>
                <w:rFonts w:ascii="Arial" w:hAnsi="Arial" w:cs="Arial"/>
                <w:lang w:val="en-US"/>
              </w:rPr>
            </w:pPr>
            <w:r w:rsidRPr="00C03311">
              <w:rPr>
                <w:rFonts w:ascii="Arial" w:hAnsi="Arial" w:cs="Arial"/>
              </w:rPr>
              <w:t xml:space="preserve">Together they designed and implemented an engagement framework to create organisational change. </w:t>
            </w:r>
          </w:p>
        </w:tc>
        <w:tc>
          <w:tcPr>
            <w:tcW w:w="3118" w:type="dxa"/>
          </w:tcPr>
          <w:p w14:paraId="01056B98" w14:textId="7A18337F" w:rsidR="0043011B" w:rsidRPr="00C03311" w:rsidRDefault="0032265F" w:rsidP="0043011B">
            <w:pPr>
              <w:spacing w:before="80"/>
              <w:rPr>
                <w:rFonts w:ascii="Arial" w:hAnsi="Arial" w:cs="Arial"/>
                <w:lang w:val="en-US"/>
              </w:rPr>
            </w:pPr>
            <w:hyperlink r:id="rId27" w:history="1">
              <w:r w:rsidR="0043011B" w:rsidRPr="00C03311">
                <w:rPr>
                  <w:rStyle w:val="Hyperlink"/>
                  <w:rFonts w:ascii="Arial" w:hAnsi="Arial" w:cs="Arial"/>
                </w:rPr>
                <w:t>https://waamh.org.au/assets/documents/sector-development/lfp-final-research-report-2015---ecopy.pdf</w:t>
              </w:r>
            </w:hyperlink>
          </w:p>
        </w:tc>
      </w:tr>
    </w:tbl>
    <w:p w14:paraId="5E1ECB0F" w14:textId="0AB92B15" w:rsidR="00106043" w:rsidRDefault="00106043" w:rsidP="001A344D">
      <w:pPr>
        <w:pStyle w:val="NMHCCFBody"/>
        <w:rPr>
          <w:rFonts w:cs="Arial"/>
          <w:highlight w:val="yellow"/>
          <w:lang w:val="en-US"/>
        </w:rPr>
      </w:pPr>
    </w:p>
    <w:p w14:paraId="3A951E5C" w14:textId="77777777" w:rsidR="000152AB" w:rsidRDefault="000152AB" w:rsidP="001A344D">
      <w:pPr>
        <w:pStyle w:val="NMHCCFBody"/>
        <w:rPr>
          <w:rFonts w:cs="Arial"/>
          <w:highlight w:val="yellow"/>
          <w:lang w:val="en-US"/>
        </w:rPr>
      </w:pPr>
    </w:p>
    <w:p w14:paraId="4BEF5FD4" w14:textId="77777777" w:rsidR="00876438" w:rsidRPr="00261567" w:rsidRDefault="00876438" w:rsidP="001A344D">
      <w:pPr>
        <w:pStyle w:val="NMHCCFBody"/>
        <w:rPr>
          <w:rFonts w:cs="Arial"/>
          <w:b/>
          <w:sz w:val="22"/>
          <w:szCs w:val="22"/>
        </w:rPr>
      </w:pPr>
      <w:r w:rsidRPr="00261567">
        <w:rPr>
          <w:rFonts w:cs="Arial"/>
          <w:b/>
          <w:sz w:val="22"/>
          <w:szCs w:val="22"/>
        </w:rPr>
        <w:lastRenderedPageBreak/>
        <w:t>Other recommendations and opportunities to be explored</w:t>
      </w:r>
    </w:p>
    <w:p w14:paraId="393C2BF9" w14:textId="561BE1DA" w:rsidR="00876438" w:rsidRPr="00261567" w:rsidRDefault="00876438" w:rsidP="00876438">
      <w:pPr>
        <w:pStyle w:val="NMHCCFBody"/>
        <w:rPr>
          <w:rFonts w:cs="Arial"/>
          <w:sz w:val="22"/>
          <w:szCs w:val="22"/>
        </w:rPr>
      </w:pPr>
      <w:r w:rsidRPr="00261567">
        <w:rPr>
          <w:rFonts w:cs="Arial"/>
          <w:sz w:val="22"/>
          <w:szCs w:val="22"/>
        </w:rPr>
        <w:t>This submission has been informed by the NMHCCF members</w:t>
      </w:r>
      <w:r w:rsidR="00984D41">
        <w:rPr>
          <w:rFonts w:cs="Arial"/>
          <w:sz w:val="22"/>
          <w:szCs w:val="22"/>
        </w:rPr>
        <w:t>hip</w:t>
      </w:r>
      <w:r w:rsidRPr="00261567">
        <w:rPr>
          <w:rFonts w:cs="Arial"/>
          <w:sz w:val="22"/>
          <w:szCs w:val="22"/>
        </w:rPr>
        <w:t>. During the process of gathering information, members put forward a range of recommendations and opportunities to be explored</w:t>
      </w:r>
      <w:r w:rsidR="00217F07">
        <w:rPr>
          <w:rFonts w:cs="Arial"/>
          <w:sz w:val="22"/>
          <w:szCs w:val="22"/>
        </w:rPr>
        <w:t>, including those identified below</w:t>
      </w:r>
      <w:r w:rsidRPr="00261567">
        <w:rPr>
          <w:rFonts w:cs="Arial"/>
          <w:sz w:val="22"/>
          <w:szCs w:val="22"/>
        </w:rPr>
        <w:t xml:space="preserve">. </w:t>
      </w:r>
      <w:r w:rsidR="00217F07">
        <w:rPr>
          <w:rFonts w:cs="Arial"/>
          <w:sz w:val="22"/>
          <w:szCs w:val="22"/>
        </w:rPr>
        <w:t xml:space="preserve">We would also be pleased to discuss these further with </w:t>
      </w:r>
      <w:r w:rsidRPr="00261567">
        <w:rPr>
          <w:rFonts w:cs="Arial"/>
          <w:sz w:val="22"/>
          <w:szCs w:val="22"/>
        </w:rPr>
        <w:t xml:space="preserve">the Productivity Commission. </w:t>
      </w:r>
    </w:p>
    <w:tbl>
      <w:tblPr>
        <w:tblStyle w:val="TableGrid"/>
        <w:tblW w:w="13948" w:type="dxa"/>
        <w:tblLayout w:type="fixed"/>
        <w:tblLook w:val="04A0" w:firstRow="1" w:lastRow="0" w:firstColumn="1" w:lastColumn="0" w:noHBand="0" w:noVBand="1"/>
      </w:tblPr>
      <w:tblGrid>
        <w:gridCol w:w="2077"/>
        <w:gridCol w:w="6990"/>
        <w:gridCol w:w="4881"/>
      </w:tblGrid>
      <w:tr w:rsidR="00ED2850" w:rsidRPr="00261567" w14:paraId="5B90A810" w14:textId="77777777" w:rsidTr="004730B4">
        <w:trPr>
          <w:trHeight w:val="73"/>
        </w:trPr>
        <w:tc>
          <w:tcPr>
            <w:tcW w:w="13948" w:type="dxa"/>
            <w:gridSpan w:val="3"/>
          </w:tcPr>
          <w:p w14:paraId="546FAEC5" w14:textId="77777777" w:rsidR="007A11D1" w:rsidRPr="00261567" w:rsidRDefault="007A11D1" w:rsidP="008B034B">
            <w:pPr>
              <w:pStyle w:val="Heading2"/>
              <w:outlineLvl w:val="1"/>
              <w:rPr>
                <w:rFonts w:ascii="Arial" w:hAnsi="Arial" w:cs="Arial"/>
                <w:color w:val="auto"/>
                <w:lang w:val="en-US"/>
              </w:rPr>
            </w:pPr>
            <w:r w:rsidRPr="00261567">
              <w:rPr>
                <w:rFonts w:ascii="Arial" w:hAnsi="Arial" w:cs="Arial"/>
                <w:color w:val="auto"/>
              </w:rPr>
              <w:t xml:space="preserve">Table </w:t>
            </w:r>
            <w:r w:rsidR="008B034B">
              <w:rPr>
                <w:rFonts w:ascii="Arial" w:hAnsi="Arial" w:cs="Arial"/>
                <w:color w:val="auto"/>
              </w:rPr>
              <w:t>3</w:t>
            </w:r>
            <w:r w:rsidR="008B034B" w:rsidRPr="00261567">
              <w:rPr>
                <w:rFonts w:ascii="Arial" w:hAnsi="Arial" w:cs="Arial"/>
                <w:noProof/>
                <w:color w:val="auto"/>
              </w:rPr>
              <w:t xml:space="preserve"> </w:t>
            </w:r>
          </w:p>
        </w:tc>
      </w:tr>
      <w:tr w:rsidR="001A344D" w:rsidRPr="00261567" w14:paraId="20EC9B7C" w14:textId="77777777" w:rsidTr="004730B4">
        <w:trPr>
          <w:trHeight w:val="554"/>
        </w:trPr>
        <w:tc>
          <w:tcPr>
            <w:tcW w:w="2077" w:type="dxa"/>
          </w:tcPr>
          <w:p w14:paraId="578C4840" w14:textId="176A0359" w:rsidR="001A344D" w:rsidRPr="00C03311" w:rsidRDefault="001A344D" w:rsidP="001A4604">
            <w:pPr>
              <w:spacing w:before="80" w:after="80"/>
              <w:rPr>
                <w:rFonts w:ascii="Arial" w:hAnsi="Arial" w:cs="Arial"/>
                <w:lang w:val="en-US"/>
              </w:rPr>
            </w:pPr>
            <w:r w:rsidRPr="00C03311">
              <w:rPr>
                <w:rFonts w:ascii="Arial" w:hAnsi="Arial" w:cs="Arial"/>
                <w:b/>
                <w:lang w:val="en-US"/>
              </w:rPr>
              <w:t>Other</w:t>
            </w:r>
            <w:r w:rsidRPr="00C03311" w:rsidDel="003D7C22">
              <w:rPr>
                <w:rFonts w:ascii="Arial" w:hAnsi="Arial" w:cs="Arial"/>
                <w:b/>
                <w:lang w:val="en-US"/>
              </w:rPr>
              <w:t xml:space="preserve"> </w:t>
            </w:r>
            <w:r w:rsidR="001A4604" w:rsidRPr="00C03311">
              <w:rPr>
                <w:rFonts w:ascii="Arial" w:hAnsi="Arial" w:cs="Arial"/>
                <w:b/>
                <w:lang w:val="en-US"/>
              </w:rPr>
              <w:t>Matters</w:t>
            </w:r>
          </w:p>
        </w:tc>
        <w:tc>
          <w:tcPr>
            <w:tcW w:w="6990" w:type="dxa"/>
          </w:tcPr>
          <w:p w14:paraId="3BBCA24E" w14:textId="77777777" w:rsidR="001A344D" w:rsidRPr="00C03311" w:rsidRDefault="001A344D" w:rsidP="001A344D">
            <w:pPr>
              <w:spacing w:before="80" w:after="80"/>
              <w:rPr>
                <w:rFonts w:ascii="Arial" w:hAnsi="Arial" w:cs="Arial"/>
                <w:b/>
                <w:lang w:val="en-US"/>
              </w:rPr>
            </w:pPr>
            <w:r w:rsidRPr="00C03311">
              <w:rPr>
                <w:rFonts w:ascii="Arial" w:hAnsi="Arial" w:cs="Arial"/>
                <w:b/>
                <w:lang w:val="en-US"/>
              </w:rPr>
              <w:t>Recommendation / Opportunity</w:t>
            </w:r>
          </w:p>
        </w:tc>
        <w:tc>
          <w:tcPr>
            <w:tcW w:w="4881" w:type="dxa"/>
          </w:tcPr>
          <w:p w14:paraId="4EAB691F" w14:textId="77777777" w:rsidR="001A344D" w:rsidRPr="00C03311" w:rsidRDefault="001A344D" w:rsidP="001A344D">
            <w:pPr>
              <w:spacing w:before="80" w:after="80"/>
              <w:rPr>
                <w:rFonts w:ascii="Arial" w:hAnsi="Arial" w:cs="Arial"/>
                <w:lang w:val="en-US"/>
              </w:rPr>
            </w:pPr>
            <w:r w:rsidRPr="00C03311">
              <w:rPr>
                <w:rFonts w:ascii="Arial" w:hAnsi="Arial" w:cs="Arial"/>
                <w:b/>
                <w:lang w:val="en-US"/>
              </w:rPr>
              <w:t>Evidence to support</w:t>
            </w:r>
            <w:r w:rsidRPr="00C03311">
              <w:rPr>
                <w:rFonts w:ascii="Arial" w:hAnsi="Arial" w:cs="Arial"/>
                <w:lang w:val="en-US"/>
              </w:rPr>
              <w:t xml:space="preserve"> </w:t>
            </w:r>
            <w:r w:rsidRPr="00C03311">
              <w:rPr>
                <w:rFonts w:ascii="Arial" w:hAnsi="Arial" w:cs="Arial"/>
                <w:lang w:val="en-US"/>
              </w:rPr>
              <w:br/>
              <w:t>(note, some of the recommendations come from lived experience)</w:t>
            </w:r>
          </w:p>
        </w:tc>
      </w:tr>
      <w:tr w:rsidR="001A344D" w:rsidRPr="00261567" w14:paraId="0EA2AE07" w14:textId="77777777" w:rsidTr="004730B4">
        <w:trPr>
          <w:trHeight w:val="1265"/>
        </w:trPr>
        <w:tc>
          <w:tcPr>
            <w:tcW w:w="2077" w:type="dxa"/>
          </w:tcPr>
          <w:p w14:paraId="3015B9FE" w14:textId="77777777" w:rsidR="001A344D" w:rsidRPr="00C03311" w:rsidRDefault="001A344D" w:rsidP="001A344D">
            <w:pPr>
              <w:spacing w:before="80" w:after="80"/>
              <w:rPr>
                <w:rFonts w:ascii="Arial" w:hAnsi="Arial" w:cs="Arial"/>
                <w:lang w:eastAsia="en-AU"/>
              </w:rPr>
            </w:pPr>
            <w:r w:rsidRPr="00C03311">
              <w:rPr>
                <w:rFonts w:ascii="Arial" w:hAnsi="Arial" w:cs="Arial"/>
                <w:lang w:eastAsia="en-AU"/>
              </w:rPr>
              <w:t>Carers payment and allowance</w:t>
            </w:r>
          </w:p>
        </w:tc>
        <w:tc>
          <w:tcPr>
            <w:tcW w:w="6990" w:type="dxa"/>
          </w:tcPr>
          <w:p w14:paraId="4C8D05DC" w14:textId="3AB4A8BF" w:rsidR="008B034B" w:rsidRPr="00C03311" w:rsidRDefault="001A344D" w:rsidP="001A344D">
            <w:pPr>
              <w:spacing w:before="80" w:after="80"/>
              <w:rPr>
                <w:rFonts w:ascii="Arial" w:hAnsi="Arial" w:cs="Arial"/>
                <w:lang w:eastAsia="en-AU"/>
              </w:rPr>
            </w:pPr>
            <w:r w:rsidRPr="00C03311">
              <w:rPr>
                <w:rFonts w:ascii="Arial" w:hAnsi="Arial" w:cs="Arial"/>
                <w:lang w:eastAsia="en-AU"/>
              </w:rPr>
              <w:t>The tests that are applied to carer</w:t>
            </w:r>
            <w:r w:rsidR="008B034B" w:rsidRPr="00C03311">
              <w:rPr>
                <w:rFonts w:ascii="Arial" w:hAnsi="Arial" w:cs="Arial"/>
                <w:lang w:eastAsia="en-AU"/>
              </w:rPr>
              <w:t>s</w:t>
            </w:r>
            <w:r w:rsidRPr="00C03311">
              <w:rPr>
                <w:rFonts w:ascii="Arial" w:hAnsi="Arial" w:cs="Arial"/>
                <w:lang w:eastAsia="en-AU"/>
              </w:rPr>
              <w:t xml:space="preserve"> for the </w:t>
            </w:r>
            <w:r w:rsidR="00E64F7C" w:rsidRPr="00C03311">
              <w:rPr>
                <w:rFonts w:ascii="Arial" w:hAnsi="Arial" w:cs="Arial"/>
                <w:lang w:eastAsia="en-AU"/>
              </w:rPr>
              <w:t xml:space="preserve">carers payment and carers allowance </w:t>
            </w:r>
            <w:r w:rsidRPr="00C03311">
              <w:rPr>
                <w:rFonts w:ascii="Arial" w:hAnsi="Arial" w:cs="Arial"/>
                <w:lang w:eastAsia="en-AU"/>
              </w:rPr>
              <w:t xml:space="preserve">are based on physical disability and </w:t>
            </w:r>
            <w:r w:rsidR="003D2F21" w:rsidRPr="00C03311">
              <w:rPr>
                <w:rFonts w:ascii="Arial" w:hAnsi="Arial" w:cs="Arial"/>
                <w:lang w:eastAsia="en-AU"/>
              </w:rPr>
              <w:t xml:space="preserve">not </w:t>
            </w:r>
            <w:r w:rsidRPr="00C03311">
              <w:rPr>
                <w:rFonts w:ascii="Arial" w:hAnsi="Arial" w:cs="Arial"/>
                <w:lang w:eastAsia="en-AU"/>
              </w:rPr>
              <w:t xml:space="preserve">psychosocial disability. </w:t>
            </w:r>
          </w:p>
          <w:p w14:paraId="5926B8CA" w14:textId="22E68C84" w:rsidR="008B034B" w:rsidRPr="00C03311" w:rsidRDefault="001A344D" w:rsidP="001A344D">
            <w:pPr>
              <w:spacing w:before="80" w:after="80"/>
              <w:rPr>
                <w:rFonts w:ascii="Arial" w:hAnsi="Arial" w:cs="Arial"/>
                <w:lang w:eastAsia="en-AU"/>
              </w:rPr>
            </w:pPr>
            <w:r w:rsidRPr="00C03311">
              <w:rPr>
                <w:rFonts w:ascii="Arial" w:hAnsi="Arial" w:cs="Arial"/>
                <w:lang w:eastAsia="en-AU"/>
              </w:rPr>
              <w:t>Carers hav</w:t>
            </w:r>
            <w:r w:rsidR="008B034B" w:rsidRPr="00C03311">
              <w:rPr>
                <w:rFonts w:ascii="Arial" w:hAnsi="Arial" w:cs="Arial"/>
                <w:lang w:eastAsia="en-AU"/>
              </w:rPr>
              <w:t>e</w:t>
            </w:r>
            <w:r w:rsidRPr="00C03311">
              <w:rPr>
                <w:rFonts w:ascii="Arial" w:hAnsi="Arial" w:cs="Arial"/>
                <w:lang w:eastAsia="en-AU"/>
              </w:rPr>
              <w:t xml:space="preserve"> initial applications and reviews of applications denied because the tests give low </w:t>
            </w:r>
            <w:r w:rsidR="00DF36E7" w:rsidRPr="00C03311">
              <w:rPr>
                <w:rFonts w:ascii="Arial" w:hAnsi="Arial" w:cs="Arial"/>
                <w:lang w:eastAsia="en-AU"/>
              </w:rPr>
              <w:t xml:space="preserve">scores </w:t>
            </w:r>
            <w:r w:rsidRPr="00C03311">
              <w:rPr>
                <w:rFonts w:ascii="Arial" w:hAnsi="Arial" w:cs="Arial"/>
                <w:lang w:eastAsia="en-AU"/>
              </w:rPr>
              <w:t xml:space="preserve">of need. </w:t>
            </w:r>
          </w:p>
          <w:p w14:paraId="3D8BFE7E" w14:textId="711EDE30" w:rsidR="001A344D" w:rsidRPr="00C03311" w:rsidRDefault="001A344D" w:rsidP="001A344D">
            <w:pPr>
              <w:spacing w:before="80" w:after="80"/>
              <w:rPr>
                <w:rFonts w:ascii="Arial" w:hAnsi="Arial" w:cs="Arial"/>
                <w:lang w:eastAsia="en-AU"/>
              </w:rPr>
            </w:pPr>
            <w:r w:rsidRPr="00C03311">
              <w:rPr>
                <w:rFonts w:ascii="Arial" w:hAnsi="Arial" w:cs="Arial"/>
                <w:lang w:eastAsia="en-AU"/>
              </w:rPr>
              <w:t>It is recommended the response to initial question</w:t>
            </w:r>
            <w:r w:rsidR="00E64F7C" w:rsidRPr="00C03311">
              <w:rPr>
                <w:rFonts w:ascii="Arial" w:hAnsi="Arial" w:cs="Arial"/>
                <w:lang w:eastAsia="en-AU"/>
              </w:rPr>
              <w:t>s</w:t>
            </w:r>
            <w:r w:rsidRPr="00C03311">
              <w:rPr>
                <w:rFonts w:ascii="Arial" w:hAnsi="Arial" w:cs="Arial"/>
                <w:lang w:eastAsia="en-AU"/>
              </w:rPr>
              <w:t xml:space="preserve"> on the form</w:t>
            </w:r>
            <w:r w:rsidR="00E64F7C" w:rsidRPr="00C03311">
              <w:rPr>
                <w:rFonts w:ascii="Arial" w:hAnsi="Arial" w:cs="Arial"/>
                <w:lang w:eastAsia="en-AU"/>
              </w:rPr>
              <w:t>s</w:t>
            </w:r>
            <w:r w:rsidRPr="00C03311">
              <w:rPr>
                <w:rFonts w:ascii="Arial" w:hAnsi="Arial" w:cs="Arial"/>
                <w:lang w:eastAsia="en-AU"/>
              </w:rPr>
              <w:t xml:space="preserve"> about physical/intellectual/mental health redirects the applicant to </w:t>
            </w:r>
            <w:r w:rsidR="008B034B" w:rsidRPr="00C03311">
              <w:rPr>
                <w:rFonts w:ascii="Arial" w:hAnsi="Arial" w:cs="Arial"/>
                <w:lang w:eastAsia="en-AU"/>
              </w:rPr>
              <w:t xml:space="preserve">relevant </w:t>
            </w:r>
            <w:r w:rsidRPr="00C03311">
              <w:rPr>
                <w:rFonts w:ascii="Arial" w:hAnsi="Arial" w:cs="Arial"/>
                <w:lang w:eastAsia="en-AU"/>
              </w:rPr>
              <w:t xml:space="preserve">and equitable questions. </w:t>
            </w:r>
          </w:p>
          <w:p w14:paraId="3EAEEAD6" w14:textId="77777777" w:rsidR="001A344D" w:rsidRPr="00C03311" w:rsidRDefault="001A344D" w:rsidP="001A344D">
            <w:pPr>
              <w:spacing w:before="80" w:after="80"/>
              <w:rPr>
                <w:rFonts w:ascii="Arial" w:hAnsi="Arial" w:cs="Arial"/>
                <w:lang w:val="en-US"/>
              </w:rPr>
            </w:pPr>
          </w:p>
        </w:tc>
        <w:tc>
          <w:tcPr>
            <w:tcW w:w="4881" w:type="dxa"/>
          </w:tcPr>
          <w:p w14:paraId="2681FC98" w14:textId="77777777" w:rsidR="0043011B" w:rsidRPr="00C03311" w:rsidRDefault="0043011B" w:rsidP="0043011B">
            <w:pPr>
              <w:spacing w:before="80" w:after="80"/>
              <w:rPr>
                <w:rFonts w:ascii="Arial" w:hAnsi="Arial" w:cs="Arial"/>
                <w:lang w:val="en-US"/>
              </w:rPr>
            </w:pPr>
            <w:r w:rsidRPr="00C03311">
              <w:rPr>
                <w:rFonts w:ascii="Arial" w:hAnsi="Arial" w:cs="Arial"/>
                <w:lang w:val="en-US"/>
              </w:rPr>
              <w:t xml:space="preserve">Further information can be found in the submission number 72 to the Productivity Commission. </w:t>
            </w:r>
            <w:hyperlink r:id="rId28" w:history="1">
              <w:r w:rsidRPr="00C03311">
                <w:rPr>
                  <w:rStyle w:val="Hyperlink"/>
                  <w:rFonts w:ascii="Arial" w:hAnsi="Arial" w:cs="Arial"/>
                  <w:lang w:val="en-US"/>
                </w:rPr>
                <w:t>https://www.pc.gov.au/__data/assets/pdf_file/0006/239235/sub072-mental-health.pdf</w:t>
              </w:r>
            </w:hyperlink>
          </w:p>
          <w:p w14:paraId="63C421D1" w14:textId="77777777" w:rsidR="0043011B" w:rsidRPr="00C03311" w:rsidRDefault="0043011B" w:rsidP="0043011B">
            <w:pPr>
              <w:spacing w:before="80" w:after="80"/>
              <w:rPr>
                <w:rFonts w:ascii="Arial" w:hAnsi="Arial" w:cs="Arial"/>
                <w:lang w:val="en-US"/>
              </w:rPr>
            </w:pPr>
          </w:p>
          <w:p w14:paraId="12F2FB63" w14:textId="553B2AF6" w:rsidR="001A344D" w:rsidRPr="00C03311" w:rsidRDefault="0032265F" w:rsidP="0043011B">
            <w:pPr>
              <w:spacing w:before="80" w:after="80"/>
              <w:rPr>
                <w:rFonts w:ascii="Arial" w:hAnsi="Arial" w:cs="Arial"/>
                <w:lang w:val="en-US"/>
              </w:rPr>
            </w:pPr>
            <w:hyperlink r:id="rId29" w:history="1">
              <w:r w:rsidR="0043011B" w:rsidRPr="00C03311">
                <w:rPr>
                  <w:rStyle w:val="Hyperlink"/>
                  <w:rFonts w:ascii="Arial" w:hAnsi="Arial" w:cs="Arial"/>
                  <w:lang w:val="en-US"/>
                </w:rPr>
                <w:t>https://nmhccf.org.au/sites/default/files/docs/submission_on_dss_draft_model_for_a_new_integrated_carer_support_service_system_0.pdf</w:t>
              </w:r>
            </w:hyperlink>
          </w:p>
        </w:tc>
      </w:tr>
      <w:tr w:rsidR="001A344D" w:rsidRPr="00261567" w14:paraId="688618A9" w14:textId="77777777" w:rsidTr="004730B4">
        <w:trPr>
          <w:trHeight w:val="70"/>
        </w:trPr>
        <w:tc>
          <w:tcPr>
            <w:tcW w:w="2077" w:type="dxa"/>
          </w:tcPr>
          <w:p w14:paraId="11FB0AB4" w14:textId="77777777" w:rsidR="001A344D" w:rsidRPr="00C03311" w:rsidRDefault="001A344D" w:rsidP="001A344D">
            <w:pPr>
              <w:spacing w:before="80" w:after="80"/>
              <w:rPr>
                <w:rFonts w:ascii="Arial" w:hAnsi="Arial" w:cs="Arial"/>
                <w:lang w:eastAsia="en-AU"/>
              </w:rPr>
            </w:pPr>
            <w:r w:rsidRPr="00C03311">
              <w:rPr>
                <w:rFonts w:ascii="Arial" w:hAnsi="Arial" w:cs="Arial"/>
                <w:lang w:eastAsia="en-AU"/>
              </w:rPr>
              <w:t>Housing and homelessness of people with lived experience of mental illness</w:t>
            </w:r>
          </w:p>
        </w:tc>
        <w:tc>
          <w:tcPr>
            <w:tcW w:w="6990" w:type="dxa"/>
          </w:tcPr>
          <w:p w14:paraId="66D64BCB" w14:textId="180933F9" w:rsidR="001A344D" w:rsidRPr="00C03311" w:rsidRDefault="001A344D" w:rsidP="006C5964">
            <w:pPr>
              <w:spacing w:before="80" w:after="120"/>
              <w:rPr>
                <w:rFonts w:ascii="Arial" w:hAnsi="Arial" w:cs="Arial"/>
                <w:lang w:eastAsia="en-AU"/>
              </w:rPr>
            </w:pPr>
            <w:r w:rsidRPr="00C03311">
              <w:rPr>
                <w:rFonts w:ascii="Arial" w:hAnsi="Arial" w:cs="Arial"/>
                <w:lang w:eastAsia="en-AU"/>
              </w:rPr>
              <w:t>It is recommend</w:t>
            </w:r>
            <w:r w:rsidR="00DF36E7" w:rsidRPr="00C03311">
              <w:rPr>
                <w:rFonts w:ascii="Arial" w:hAnsi="Arial" w:cs="Arial"/>
                <w:lang w:eastAsia="en-AU"/>
              </w:rPr>
              <w:t>ed</w:t>
            </w:r>
            <w:r w:rsidRPr="00C03311">
              <w:rPr>
                <w:rFonts w:ascii="Arial" w:hAnsi="Arial" w:cs="Arial"/>
                <w:lang w:eastAsia="en-AU"/>
              </w:rPr>
              <w:t xml:space="preserve"> the Productivity Commission review the Common Ground</w:t>
            </w:r>
            <w:r w:rsidR="00DF36E7" w:rsidRPr="00C03311">
              <w:rPr>
                <w:rFonts w:ascii="Arial" w:hAnsi="Arial" w:cs="Arial"/>
                <w:lang w:eastAsia="en-AU"/>
              </w:rPr>
              <w:t>, Way2Home</w:t>
            </w:r>
            <w:r w:rsidRPr="00C03311">
              <w:rPr>
                <w:rFonts w:ascii="Arial" w:hAnsi="Arial" w:cs="Arial"/>
                <w:lang w:eastAsia="en-AU"/>
              </w:rPr>
              <w:t xml:space="preserve"> and Micah</w:t>
            </w:r>
            <w:r w:rsidR="008B034B" w:rsidRPr="00C03311">
              <w:rPr>
                <w:rFonts w:ascii="Arial" w:hAnsi="Arial" w:cs="Arial"/>
                <w:lang w:eastAsia="en-AU"/>
              </w:rPr>
              <w:t xml:space="preserve"> programs</w:t>
            </w:r>
            <w:r w:rsidRPr="00C03311">
              <w:rPr>
                <w:rFonts w:ascii="Arial" w:hAnsi="Arial" w:cs="Arial"/>
                <w:lang w:eastAsia="en-AU"/>
              </w:rPr>
              <w:t xml:space="preserve"> that provide supported accommodation to homeless people, including those with a mental illness. Support includes on-site manager, and assistance with education, training, job seeking and health. </w:t>
            </w:r>
          </w:p>
          <w:p w14:paraId="4626919F" w14:textId="77777777" w:rsidR="00DF36E7" w:rsidRPr="00C03311" w:rsidRDefault="001A344D" w:rsidP="006C5964">
            <w:pPr>
              <w:spacing w:before="120" w:after="120"/>
              <w:rPr>
                <w:rFonts w:ascii="Arial" w:hAnsi="Arial" w:cs="Arial"/>
              </w:rPr>
            </w:pPr>
            <w:r w:rsidRPr="00C03311">
              <w:rPr>
                <w:rFonts w:ascii="Arial" w:hAnsi="Arial" w:cs="Arial"/>
                <w:lang w:eastAsia="en-AU"/>
              </w:rPr>
              <w:t xml:space="preserve">In a three year period (2010-2013), Micah saw </w:t>
            </w:r>
            <w:r w:rsidR="008B034B" w:rsidRPr="00C03311">
              <w:rPr>
                <w:rFonts w:ascii="Arial" w:hAnsi="Arial" w:cs="Arial"/>
              </w:rPr>
              <w:t>i</w:t>
            </w:r>
            <w:r w:rsidRPr="00C03311">
              <w:rPr>
                <w:rFonts w:ascii="Arial" w:hAnsi="Arial" w:cs="Arial"/>
              </w:rPr>
              <w:t xml:space="preserve">npatient hospital admissions decreased by 37% and visits to the Emergency Department decreased by 24%. </w:t>
            </w:r>
          </w:p>
          <w:p w14:paraId="50AD69A9" w14:textId="5B9405B7" w:rsidR="001A344D" w:rsidRPr="00C03311" w:rsidRDefault="00DF36E7" w:rsidP="006C5964">
            <w:pPr>
              <w:spacing w:before="120" w:after="120"/>
              <w:rPr>
                <w:rFonts w:ascii="Arial" w:hAnsi="Arial" w:cs="Arial"/>
                <w:lang w:eastAsia="en-AU"/>
              </w:rPr>
            </w:pPr>
            <w:r w:rsidRPr="00C03311">
              <w:rPr>
                <w:rFonts w:ascii="Arial" w:hAnsi="Arial" w:cs="Arial"/>
              </w:rPr>
              <w:t>Way2Home had 90% of individuals in sustained housing after 12 months</w:t>
            </w:r>
            <w:r w:rsidRPr="00C03311">
              <w:rPr>
                <w:rFonts w:ascii="Arial" w:hAnsi="Arial" w:cs="Arial"/>
                <w:lang w:eastAsia="en-AU"/>
              </w:rPr>
              <w:t xml:space="preserve">, reduced use of alcohol and drugs, and 81% reporting </w:t>
            </w:r>
            <w:r w:rsidR="00EA7A05" w:rsidRPr="00C03311">
              <w:rPr>
                <w:rFonts w:ascii="Arial" w:hAnsi="Arial" w:cs="Arial"/>
                <w:lang w:eastAsia="en-AU"/>
              </w:rPr>
              <w:t>positive life changes.</w:t>
            </w:r>
          </w:p>
        </w:tc>
        <w:tc>
          <w:tcPr>
            <w:tcW w:w="4881" w:type="dxa"/>
          </w:tcPr>
          <w:p w14:paraId="27BB5DA0" w14:textId="77777777" w:rsidR="001A344D" w:rsidRPr="00C03311" w:rsidRDefault="0032265F" w:rsidP="006C5964">
            <w:pPr>
              <w:pStyle w:val="EndnoteText"/>
              <w:spacing w:before="80" w:after="200"/>
              <w:rPr>
                <w:rFonts w:ascii="Arial" w:hAnsi="Arial" w:cs="Arial"/>
                <w:sz w:val="22"/>
                <w:szCs w:val="22"/>
              </w:rPr>
            </w:pPr>
            <w:hyperlink r:id="rId30" w:history="1">
              <w:r w:rsidR="001A344D" w:rsidRPr="00C03311">
                <w:rPr>
                  <w:rStyle w:val="Hyperlink"/>
                  <w:rFonts w:ascii="Arial" w:hAnsi="Arial" w:cs="Arial"/>
                  <w:sz w:val="22"/>
                  <w:szCs w:val="22"/>
                </w:rPr>
                <w:t>https://www.commongroundqld.org.au/housing/</w:t>
              </w:r>
            </w:hyperlink>
            <w:r w:rsidR="001A344D" w:rsidRPr="00C03311">
              <w:rPr>
                <w:rFonts w:ascii="Arial" w:hAnsi="Arial" w:cs="Arial"/>
                <w:sz w:val="22"/>
                <w:szCs w:val="22"/>
              </w:rPr>
              <w:t xml:space="preserve"> </w:t>
            </w:r>
          </w:p>
          <w:p w14:paraId="0C1011FC" w14:textId="3241C273" w:rsidR="006C5964" w:rsidRPr="00C03311" w:rsidRDefault="0032265F" w:rsidP="006C5964">
            <w:pPr>
              <w:pStyle w:val="EndnoteText"/>
              <w:spacing w:before="200" w:after="200"/>
              <w:rPr>
                <w:rFonts w:ascii="Arial" w:hAnsi="Arial" w:cs="Arial"/>
                <w:sz w:val="22"/>
                <w:szCs w:val="22"/>
                <w:lang w:val="en-AU"/>
              </w:rPr>
            </w:pPr>
            <w:hyperlink r:id="rId31" w:history="1">
              <w:r w:rsidR="006C5964" w:rsidRPr="00C03311">
                <w:rPr>
                  <w:rStyle w:val="Hyperlink"/>
                  <w:rFonts w:ascii="Arial" w:hAnsi="Arial" w:cs="Arial"/>
                  <w:sz w:val="22"/>
                  <w:szCs w:val="22"/>
                  <w:lang w:val="en-AU"/>
                </w:rPr>
                <w:t>https://espace.library.uq.edu.au/view/UQ:326267</w:t>
              </w:r>
            </w:hyperlink>
          </w:p>
          <w:p w14:paraId="5F8DA7C4" w14:textId="374542A0" w:rsidR="006C5964" w:rsidRPr="00C03311" w:rsidRDefault="0032265F" w:rsidP="006C5964">
            <w:pPr>
              <w:spacing w:before="200" w:after="200"/>
              <w:rPr>
                <w:rFonts w:ascii="Arial" w:hAnsi="Arial" w:cs="Arial"/>
              </w:rPr>
            </w:pPr>
            <w:hyperlink r:id="rId32" w:history="1">
              <w:r w:rsidR="006C5964" w:rsidRPr="00C03311">
                <w:rPr>
                  <w:rStyle w:val="Hyperlink"/>
                  <w:rFonts w:ascii="Arial" w:hAnsi="Arial" w:cs="Arial"/>
                  <w:color w:val="auto"/>
                </w:rPr>
                <w:t>https://micahprojects.org.au/assets/docs/Publications/IR_130_An-Economic-Evaluation-of-the-Homeless-to-Home-Healthcare-After-Hours-Service.pdf</w:t>
              </w:r>
            </w:hyperlink>
          </w:p>
          <w:p w14:paraId="1E02B27D" w14:textId="29FA89DE" w:rsidR="001A344D" w:rsidRPr="00C03311" w:rsidRDefault="0032265F" w:rsidP="006C5964">
            <w:pPr>
              <w:spacing w:before="200" w:after="200"/>
              <w:rPr>
                <w:rFonts w:ascii="Arial" w:hAnsi="Arial" w:cs="Arial"/>
              </w:rPr>
            </w:pPr>
            <w:hyperlink r:id="rId33" w:history="1">
              <w:r w:rsidR="001A344D" w:rsidRPr="00C03311">
                <w:rPr>
                  <w:rStyle w:val="Hyperlink"/>
                  <w:rFonts w:ascii="Arial" w:hAnsi="Arial" w:cs="Arial"/>
                  <w:color w:val="auto"/>
                </w:rPr>
                <w:t>https://homeforgood.org.au/assets/docs/Publications/IR_127_A-Housing-First-Approach-to-Homelessness.pdf</w:t>
              </w:r>
            </w:hyperlink>
          </w:p>
        </w:tc>
      </w:tr>
      <w:tr w:rsidR="004730B4" w:rsidRPr="00261567" w14:paraId="361D26CD" w14:textId="2426025D" w:rsidTr="004730B4">
        <w:trPr>
          <w:trHeight w:val="70"/>
        </w:trPr>
        <w:tc>
          <w:tcPr>
            <w:tcW w:w="2077" w:type="dxa"/>
          </w:tcPr>
          <w:p w14:paraId="0785F9B8" w14:textId="508EF87E" w:rsidR="004730B4" w:rsidRPr="00C03311" w:rsidRDefault="004730B4" w:rsidP="004730B4">
            <w:pPr>
              <w:spacing w:before="80" w:after="80"/>
              <w:rPr>
                <w:rFonts w:ascii="Arial" w:hAnsi="Arial" w:cs="Arial"/>
                <w:lang w:eastAsia="en-AU"/>
              </w:rPr>
            </w:pPr>
            <w:r w:rsidRPr="00C03311">
              <w:rPr>
                <w:rFonts w:ascii="Arial" w:hAnsi="Arial" w:cs="Arial"/>
                <w:lang w:val="en-US"/>
              </w:rPr>
              <w:lastRenderedPageBreak/>
              <w:t>Justice response</w:t>
            </w:r>
          </w:p>
        </w:tc>
        <w:tc>
          <w:tcPr>
            <w:tcW w:w="6990" w:type="dxa"/>
          </w:tcPr>
          <w:p w14:paraId="7479218A" w14:textId="5088D965" w:rsidR="004730B4" w:rsidRPr="00C03311" w:rsidRDefault="005C7AE5" w:rsidP="004730B4">
            <w:pPr>
              <w:spacing w:before="80" w:after="80"/>
              <w:rPr>
                <w:rFonts w:ascii="Arial" w:hAnsi="Arial" w:cs="Arial"/>
              </w:rPr>
            </w:pPr>
            <w:r w:rsidRPr="00C03311">
              <w:rPr>
                <w:rFonts w:ascii="Arial" w:hAnsi="Arial" w:cs="Arial"/>
              </w:rPr>
              <w:t xml:space="preserve">It is recommended the </w:t>
            </w:r>
            <w:r w:rsidRPr="00C03311">
              <w:rPr>
                <w:rFonts w:ascii="Arial" w:hAnsi="Arial" w:cs="Arial"/>
                <w:lang w:eastAsia="en-AU"/>
              </w:rPr>
              <w:t>Productivity Commission review c</w:t>
            </w:r>
            <w:r w:rsidR="004730B4" w:rsidRPr="00C03311">
              <w:rPr>
                <w:rFonts w:ascii="Arial" w:hAnsi="Arial" w:cs="Arial"/>
              </w:rPr>
              <w:t xml:space="preserve">o-located, integrated, shared and collaborative services. </w:t>
            </w:r>
          </w:p>
          <w:p w14:paraId="12F1E7A3" w14:textId="77777777" w:rsidR="004730B4" w:rsidRPr="00C03311" w:rsidRDefault="004730B4" w:rsidP="004730B4">
            <w:pPr>
              <w:pStyle w:val="NormalWeb"/>
              <w:shd w:val="clear" w:color="auto" w:fill="FFFFFF"/>
              <w:spacing w:before="80" w:beforeAutospacing="0" w:after="80" w:afterAutospacing="0"/>
              <w:rPr>
                <w:rFonts w:ascii="Arial" w:hAnsi="Arial" w:cs="Arial"/>
                <w:sz w:val="22"/>
                <w:szCs w:val="22"/>
              </w:rPr>
            </w:pPr>
            <w:r w:rsidRPr="00C03311">
              <w:rPr>
                <w:rFonts w:ascii="Arial" w:hAnsi="Arial" w:cs="Arial"/>
                <w:sz w:val="22"/>
                <w:szCs w:val="22"/>
              </w:rPr>
              <w:t xml:space="preserve">A co-located, integrated, shared and collaborative service is a service that has embedded mental health workers into their workforce and work cooperatively to improve outcomes for mental health consumers and carers. </w:t>
            </w:r>
          </w:p>
          <w:p w14:paraId="11F720C1" w14:textId="65500CBD" w:rsidR="004730B4" w:rsidRPr="00C03311" w:rsidRDefault="004730B4" w:rsidP="004730B4">
            <w:pPr>
              <w:pStyle w:val="NormalWeb"/>
              <w:shd w:val="clear" w:color="auto" w:fill="FFFFFF"/>
              <w:spacing w:before="80" w:beforeAutospacing="0" w:after="80" w:afterAutospacing="0"/>
              <w:rPr>
                <w:rFonts w:ascii="Arial" w:hAnsi="Arial" w:cs="Arial"/>
                <w:sz w:val="22"/>
                <w:szCs w:val="22"/>
              </w:rPr>
            </w:pPr>
            <w:r w:rsidRPr="00C03311">
              <w:rPr>
                <w:rFonts w:ascii="Arial" w:hAnsi="Arial" w:cs="Arial"/>
                <w:sz w:val="22"/>
                <w:szCs w:val="22"/>
              </w:rPr>
              <w:t>In Western Australia, the Mental Health Co-Response project embedded mental health clinicians at the Police Operations Centre, Perth Watch House and two mobile police teams.</w:t>
            </w:r>
          </w:p>
          <w:p w14:paraId="6608AD35" w14:textId="50B03519" w:rsidR="004730B4" w:rsidRPr="00C03311" w:rsidRDefault="004730B4" w:rsidP="004730B4">
            <w:pPr>
              <w:spacing w:before="80" w:after="80"/>
              <w:rPr>
                <w:rFonts w:ascii="Arial" w:hAnsi="Arial" w:cs="Arial"/>
              </w:rPr>
            </w:pPr>
            <w:r w:rsidRPr="00C03311">
              <w:rPr>
                <w:rFonts w:ascii="Arial" w:hAnsi="Arial" w:cs="Arial"/>
              </w:rPr>
              <w:t>The program was independently evaluated by Edith Cowan University after three years in operation. The evaluation reported a reduced need for consumers to be transported to hospital by police from 70 percent to 25 percent.</w:t>
            </w:r>
          </w:p>
          <w:p w14:paraId="39C9B15B" w14:textId="77777777" w:rsidR="004730B4" w:rsidRPr="00C03311" w:rsidRDefault="004730B4" w:rsidP="004730B4">
            <w:pPr>
              <w:spacing w:before="80" w:after="120"/>
              <w:rPr>
                <w:rFonts w:ascii="Arial" w:hAnsi="Arial" w:cs="Arial"/>
                <w:lang w:eastAsia="en-AU"/>
              </w:rPr>
            </w:pPr>
          </w:p>
        </w:tc>
        <w:tc>
          <w:tcPr>
            <w:tcW w:w="4881" w:type="dxa"/>
          </w:tcPr>
          <w:p w14:paraId="45C0CF6C" w14:textId="77777777" w:rsidR="004730B4" w:rsidRPr="00C03311" w:rsidRDefault="0032265F" w:rsidP="004730B4">
            <w:pPr>
              <w:spacing w:before="80" w:after="80"/>
              <w:rPr>
                <w:rFonts w:ascii="Arial" w:hAnsi="Arial" w:cs="Arial"/>
              </w:rPr>
            </w:pPr>
            <w:hyperlink r:id="rId34" w:history="1">
              <w:r w:rsidR="004730B4" w:rsidRPr="00C03311">
                <w:rPr>
                  <w:rStyle w:val="Hyperlink"/>
                  <w:rFonts w:ascii="Arial" w:hAnsi="Arial" w:cs="Arial"/>
                  <w:color w:val="auto"/>
                </w:rPr>
                <w:t>https://ww2.health.wa.gov.au/About-us/East-Metropolitan-Health-Service/About/EMHS-News/Mental-Health-Coresponse-project-a-finalist-in-multiple-excellence-awards</w:t>
              </w:r>
            </w:hyperlink>
          </w:p>
          <w:p w14:paraId="09A5BBAA" w14:textId="2921D50D" w:rsidR="004730B4" w:rsidRPr="00C03311" w:rsidRDefault="004730B4" w:rsidP="004730B4">
            <w:pPr>
              <w:pStyle w:val="EndnoteText"/>
              <w:spacing w:before="80" w:after="200"/>
              <w:rPr>
                <w:rFonts w:ascii="Arial" w:hAnsi="Arial" w:cs="Arial"/>
                <w:sz w:val="22"/>
                <w:szCs w:val="22"/>
              </w:rPr>
            </w:pPr>
          </w:p>
        </w:tc>
      </w:tr>
    </w:tbl>
    <w:p w14:paraId="7B6CEE85" w14:textId="2AF10119" w:rsidR="002F1E92" w:rsidRPr="00ED2850" w:rsidRDefault="002F1E92" w:rsidP="0022069E">
      <w:pPr>
        <w:rPr>
          <w:rFonts w:ascii="Arial" w:hAnsi="Arial" w:cs="Arial"/>
          <w:lang w:val="en-US"/>
        </w:rPr>
      </w:pPr>
    </w:p>
    <w:sectPr w:rsidR="002F1E92" w:rsidRPr="00ED2850" w:rsidSect="007A11D1">
      <w:pgSz w:w="16838" w:h="11906" w:orient="landscape"/>
      <w:pgMar w:top="1418"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D2D806" w16cid:durableId="205DBCC1"/>
  <w16cid:commentId w16cid:paraId="2FC1A0D7" w16cid:durableId="205DBEDC"/>
  <w16cid:commentId w16cid:paraId="7D0924E9" w16cid:durableId="205DC92D"/>
  <w16cid:commentId w16cid:paraId="62D9FBD9" w16cid:durableId="205DC74E"/>
  <w16cid:commentId w16cid:paraId="5F9FA1C0" w16cid:durableId="205DC1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E63C7" w14:textId="77777777" w:rsidR="00212DD4" w:rsidRDefault="00212DD4" w:rsidP="00DF474D">
      <w:pPr>
        <w:spacing w:after="0" w:line="240" w:lineRule="auto"/>
      </w:pPr>
      <w:r>
        <w:separator/>
      </w:r>
    </w:p>
  </w:endnote>
  <w:endnote w:type="continuationSeparator" w:id="0">
    <w:p w14:paraId="7AE8ED1F" w14:textId="77777777" w:rsidR="00212DD4" w:rsidRDefault="00212DD4" w:rsidP="00DF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913532"/>
      <w:docPartObj>
        <w:docPartGallery w:val="Page Numbers (Bottom of Page)"/>
        <w:docPartUnique/>
      </w:docPartObj>
    </w:sdtPr>
    <w:sdtEndPr>
      <w:rPr>
        <w:noProof/>
      </w:rPr>
    </w:sdtEndPr>
    <w:sdtContent>
      <w:p w14:paraId="31B186C5" w14:textId="77777777" w:rsidR="001A344D" w:rsidRDefault="001A344D">
        <w:pPr>
          <w:pStyle w:val="Footer"/>
          <w:jc w:val="right"/>
        </w:pPr>
        <w:r>
          <w:fldChar w:fldCharType="begin"/>
        </w:r>
        <w:r>
          <w:instrText xml:space="preserve"> PAGE   \* MERGEFORMAT </w:instrText>
        </w:r>
        <w:r>
          <w:fldChar w:fldCharType="separate"/>
        </w:r>
        <w:r w:rsidR="0032265F">
          <w:rPr>
            <w:noProof/>
          </w:rPr>
          <w:t>2</w:t>
        </w:r>
        <w:r>
          <w:rPr>
            <w:noProof/>
          </w:rPr>
          <w:fldChar w:fldCharType="end"/>
        </w:r>
      </w:p>
    </w:sdtContent>
  </w:sdt>
  <w:p w14:paraId="028BF80E" w14:textId="77777777" w:rsidR="001A344D" w:rsidRDefault="001A3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65A17" w14:textId="77777777" w:rsidR="00212DD4" w:rsidRDefault="00212DD4" w:rsidP="00DF474D">
      <w:pPr>
        <w:spacing w:after="0" w:line="240" w:lineRule="auto"/>
      </w:pPr>
      <w:r>
        <w:separator/>
      </w:r>
    </w:p>
  </w:footnote>
  <w:footnote w:type="continuationSeparator" w:id="0">
    <w:p w14:paraId="67D4BF46" w14:textId="77777777" w:rsidR="00212DD4" w:rsidRDefault="00212DD4" w:rsidP="00DF474D">
      <w:pPr>
        <w:spacing w:after="0" w:line="240" w:lineRule="auto"/>
      </w:pPr>
      <w:r>
        <w:continuationSeparator/>
      </w:r>
    </w:p>
  </w:footnote>
  <w:footnote w:id="1">
    <w:p w14:paraId="0E258BD9" w14:textId="77777777" w:rsidR="001A344D" w:rsidRPr="00B4182C" w:rsidRDefault="001A344D">
      <w:pPr>
        <w:pStyle w:val="FootnoteText"/>
        <w:rPr>
          <w:rFonts w:ascii="Arial" w:hAnsi="Arial" w:cs="Arial"/>
          <w:sz w:val="14"/>
          <w:szCs w:val="14"/>
          <w:lang w:val="en-US"/>
        </w:rPr>
      </w:pPr>
      <w:r w:rsidRPr="00ED2850">
        <w:rPr>
          <w:rStyle w:val="FootnoteReference"/>
          <w:rFonts w:ascii="Arial" w:hAnsi="Arial" w:cs="Arial"/>
          <w:sz w:val="14"/>
          <w:szCs w:val="14"/>
        </w:rPr>
        <w:footnoteRef/>
      </w:r>
      <w:r w:rsidRPr="00ED2850">
        <w:rPr>
          <w:rFonts w:ascii="Arial" w:hAnsi="Arial" w:cs="Arial"/>
          <w:sz w:val="14"/>
          <w:szCs w:val="14"/>
        </w:rPr>
        <w:t xml:space="preserve"> NMHCCF. (</w:t>
      </w:r>
      <w:r w:rsidRPr="00B4182C">
        <w:rPr>
          <w:rFonts w:ascii="Arial" w:hAnsi="Arial" w:cs="Arial"/>
          <w:sz w:val="14"/>
          <w:szCs w:val="14"/>
        </w:rPr>
        <w:t xml:space="preserve">2011). </w:t>
      </w:r>
      <w:r w:rsidRPr="00B4182C">
        <w:rPr>
          <w:rFonts w:ascii="Arial" w:hAnsi="Arial" w:cs="Arial"/>
          <w:i/>
          <w:sz w:val="14"/>
          <w:szCs w:val="14"/>
        </w:rPr>
        <w:t>Peer workforce advocacy brief</w:t>
      </w:r>
    </w:p>
  </w:footnote>
  <w:footnote w:id="2">
    <w:p w14:paraId="5172CCE3" w14:textId="77777777" w:rsidR="001A344D" w:rsidRPr="00B4182C" w:rsidRDefault="001A344D" w:rsidP="009C40B6">
      <w:pPr>
        <w:pStyle w:val="EndnoteText"/>
        <w:rPr>
          <w:rFonts w:ascii="Arial" w:hAnsi="Arial" w:cs="Arial"/>
          <w:sz w:val="14"/>
          <w:szCs w:val="14"/>
        </w:rPr>
      </w:pPr>
      <w:r w:rsidRPr="00B4182C">
        <w:rPr>
          <w:rStyle w:val="FootnoteReference"/>
          <w:rFonts w:ascii="Arial" w:hAnsi="Arial" w:cs="Arial"/>
          <w:sz w:val="14"/>
          <w:szCs w:val="14"/>
        </w:rPr>
        <w:footnoteRef/>
      </w:r>
      <w:r w:rsidRPr="00B4182C">
        <w:rPr>
          <w:rFonts w:ascii="Arial" w:hAnsi="Arial" w:cs="Arial"/>
          <w:sz w:val="14"/>
          <w:szCs w:val="14"/>
        </w:rPr>
        <w:t xml:space="preserve"> Mead, S., Hilton, D., &amp; Curtis, L. (2001). </w:t>
      </w:r>
      <w:r w:rsidRPr="00B4182C">
        <w:rPr>
          <w:rFonts w:ascii="Arial" w:hAnsi="Arial" w:cs="Arial"/>
          <w:i/>
          <w:sz w:val="14"/>
          <w:szCs w:val="14"/>
        </w:rPr>
        <w:t>Peer Support: A theoretical perspective</w:t>
      </w:r>
      <w:r w:rsidRPr="00B4182C">
        <w:rPr>
          <w:rFonts w:ascii="Arial" w:hAnsi="Arial" w:cs="Arial"/>
          <w:sz w:val="14"/>
          <w:szCs w:val="14"/>
        </w:rPr>
        <w:t>. Psychiatric Rehabilitation Journal, 25(4), p397-411</w:t>
      </w:r>
    </w:p>
  </w:footnote>
  <w:footnote w:id="3">
    <w:p w14:paraId="3C2AFE20" w14:textId="77777777" w:rsidR="001A344D" w:rsidRPr="00B4182C" w:rsidRDefault="001A344D">
      <w:pPr>
        <w:pStyle w:val="FootnoteText"/>
        <w:rPr>
          <w:rFonts w:ascii="Arial" w:hAnsi="Arial" w:cs="Arial"/>
          <w:sz w:val="14"/>
          <w:szCs w:val="14"/>
        </w:rPr>
      </w:pPr>
      <w:r w:rsidRPr="00B4182C">
        <w:rPr>
          <w:rStyle w:val="FootnoteReference"/>
          <w:rFonts w:ascii="Arial" w:hAnsi="Arial" w:cs="Arial"/>
          <w:sz w:val="14"/>
          <w:szCs w:val="14"/>
        </w:rPr>
        <w:footnoteRef/>
      </w:r>
      <w:r w:rsidRPr="00B4182C">
        <w:rPr>
          <w:rFonts w:ascii="Arial" w:hAnsi="Arial" w:cs="Arial"/>
          <w:sz w:val="14"/>
          <w:szCs w:val="14"/>
        </w:rPr>
        <w:t xml:space="preserve"> Department of Health. (2017). </w:t>
      </w:r>
      <w:r w:rsidRPr="00B4182C">
        <w:rPr>
          <w:rFonts w:ascii="Arial" w:hAnsi="Arial" w:cs="Arial"/>
          <w:i/>
          <w:sz w:val="14"/>
          <w:szCs w:val="14"/>
        </w:rPr>
        <w:t>The Fifth National Mental Health and Suicide Prevention</w:t>
      </w:r>
      <w:r w:rsidRPr="00B4182C">
        <w:rPr>
          <w:rFonts w:ascii="Arial" w:hAnsi="Arial" w:cs="Arial"/>
          <w:sz w:val="14"/>
          <w:szCs w:val="14"/>
        </w:rPr>
        <w:t xml:space="preserve"> Plan, p45</w:t>
      </w:r>
    </w:p>
  </w:footnote>
  <w:footnote w:id="4">
    <w:p w14:paraId="004979EA" w14:textId="58AC16B8" w:rsidR="00B46FFC" w:rsidRPr="00B4182C" w:rsidRDefault="00B46FFC" w:rsidP="00B46FFC">
      <w:pPr>
        <w:pStyle w:val="FootnoteText"/>
        <w:rPr>
          <w:rFonts w:ascii="Arial" w:hAnsi="Arial" w:cs="Arial"/>
          <w:sz w:val="14"/>
          <w:szCs w:val="14"/>
        </w:rPr>
      </w:pPr>
      <w:r w:rsidRPr="00B4182C">
        <w:rPr>
          <w:rStyle w:val="FootnoteReference"/>
          <w:rFonts w:ascii="Arial" w:hAnsi="Arial" w:cs="Arial"/>
          <w:sz w:val="14"/>
          <w:szCs w:val="14"/>
        </w:rPr>
        <w:footnoteRef/>
      </w:r>
      <w:r w:rsidRPr="00B4182C">
        <w:rPr>
          <w:rFonts w:ascii="Arial" w:hAnsi="Arial" w:cs="Arial"/>
          <w:sz w:val="14"/>
          <w:szCs w:val="14"/>
        </w:rPr>
        <w:t xml:space="preserve"> National Mental Health Commission. (2013). </w:t>
      </w:r>
      <w:r w:rsidRPr="00B4182C">
        <w:rPr>
          <w:rFonts w:ascii="Arial" w:hAnsi="Arial" w:cs="Arial"/>
          <w:i/>
          <w:sz w:val="14"/>
          <w:szCs w:val="14"/>
        </w:rPr>
        <w:t>A Contributing Life, the 2013 National Report Card on Mental Health and Suicide Prevention. P57.</w:t>
      </w:r>
    </w:p>
  </w:footnote>
  <w:footnote w:id="5">
    <w:p w14:paraId="5863ED69" w14:textId="77777777" w:rsidR="001A344D" w:rsidRPr="00B4182C" w:rsidRDefault="001A344D">
      <w:pPr>
        <w:pStyle w:val="FootnoteText"/>
        <w:rPr>
          <w:rFonts w:ascii="Arial" w:hAnsi="Arial" w:cs="Arial"/>
          <w:sz w:val="14"/>
          <w:szCs w:val="14"/>
          <w:lang w:val="en-US"/>
        </w:rPr>
      </w:pPr>
      <w:r w:rsidRPr="00B4182C">
        <w:rPr>
          <w:rStyle w:val="FootnoteReference"/>
          <w:rFonts w:ascii="Arial" w:hAnsi="Arial" w:cs="Arial"/>
          <w:sz w:val="14"/>
          <w:szCs w:val="14"/>
        </w:rPr>
        <w:footnoteRef/>
      </w:r>
      <w:r w:rsidRPr="00B4182C">
        <w:rPr>
          <w:rFonts w:ascii="Arial" w:hAnsi="Arial" w:cs="Arial"/>
          <w:sz w:val="14"/>
          <w:szCs w:val="14"/>
        </w:rPr>
        <w:t xml:space="preserve"> </w:t>
      </w:r>
      <w:r w:rsidRPr="00B4182C">
        <w:rPr>
          <w:rFonts w:ascii="Arial" w:hAnsi="Arial" w:cs="Arial"/>
          <w:sz w:val="14"/>
          <w:szCs w:val="14"/>
          <w:lang w:val="en-US"/>
        </w:rPr>
        <w:t>Adapted from National Consumer and Carer Forum (2004).</w:t>
      </w:r>
      <w:r w:rsidRPr="00B4182C">
        <w:rPr>
          <w:rFonts w:ascii="Arial" w:hAnsi="Arial" w:cs="Arial"/>
          <w:i/>
          <w:sz w:val="14"/>
          <w:szCs w:val="14"/>
          <w:lang w:val="en-US"/>
        </w:rPr>
        <w:t xml:space="preserve"> Consumer and Carer Participation Policy: a framework for the mental health sector </w:t>
      </w:r>
    </w:p>
  </w:footnote>
  <w:footnote w:id="6">
    <w:p w14:paraId="0C97C28B" w14:textId="77777777" w:rsidR="001A344D" w:rsidRPr="00B4182C" w:rsidRDefault="001A344D" w:rsidP="005937DB">
      <w:pPr>
        <w:spacing w:after="0"/>
        <w:rPr>
          <w:rFonts w:ascii="Arial" w:hAnsi="Arial" w:cs="Arial"/>
          <w:i/>
          <w:sz w:val="14"/>
          <w:szCs w:val="14"/>
          <w:lang w:val="en-US"/>
        </w:rPr>
      </w:pPr>
      <w:r w:rsidRPr="00B4182C">
        <w:rPr>
          <w:rStyle w:val="FootnoteReference"/>
          <w:rFonts w:ascii="Arial" w:hAnsi="Arial" w:cs="Arial"/>
          <w:sz w:val="14"/>
          <w:szCs w:val="14"/>
        </w:rPr>
        <w:footnoteRef/>
      </w:r>
      <w:r w:rsidRPr="00B4182C">
        <w:rPr>
          <w:rFonts w:ascii="Arial" w:hAnsi="Arial" w:cs="Arial"/>
          <w:sz w:val="14"/>
          <w:szCs w:val="14"/>
        </w:rPr>
        <w:t xml:space="preserve"> </w:t>
      </w:r>
      <w:r w:rsidRPr="00B4182C">
        <w:rPr>
          <w:rFonts w:ascii="Arial" w:hAnsi="Arial" w:cs="Arial"/>
          <w:sz w:val="14"/>
          <w:szCs w:val="14"/>
          <w:lang w:val="en-US"/>
        </w:rPr>
        <w:t>Adapted from National Consumer and Carer Forum (2004).</w:t>
      </w:r>
      <w:r w:rsidRPr="00B4182C">
        <w:rPr>
          <w:rFonts w:ascii="Arial" w:hAnsi="Arial" w:cs="Arial"/>
          <w:i/>
          <w:sz w:val="14"/>
          <w:szCs w:val="14"/>
          <w:lang w:val="en-US"/>
        </w:rPr>
        <w:t xml:space="preserve"> Consumer and Carer Participation Policy: a framework for the mental health sector </w:t>
      </w:r>
    </w:p>
  </w:footnote>
  <w:footnote w:id="7">
    <w:p w14:paraId="350F0977" w14:textId="77777777" w:rsidR="001A344D" w:rsidRPr="00B4182C" w:rsidRDefault="001A344D" w:rsidP="005937DB">
      <w:pPr>
        <w:spacing w:after="0"/>
        <w:rPr>
          <w:rFonts w:ascii="Arial" w:hAnsi="Arial" w:cs="Arial"/>
          <w:sz w:val="14"/>
          <w:szCs w:val="14"/>
          <w:lang w:val="en-US"/>
        </w:rPr>
      </w:pPr>
      <w:r w:rsidRPr="00B4182C">
        <w:rPr>
          <w:rStyle w:val="FootnoteReference"/>
          <w:rFonts w:ascii="Arial" w:hAnsi="Arial" w:cs="Arial"/>
          <w:sz w:val="14"/>
          <w:szCs w:val="14"/>
        </w:rPr>
        <w:footnoteRef/>
      </w:r>
      <w:r w:rsidRPr="00B4182C">
        <w:rPr>
          <w:rFonts w:ascii="Arial" w:hAnsi="Arial" w:cs="Arial"/>
          <w:sz w:val="14"/>
          <w:szCs w:val="14"/>
        </w:rPr>
        <w:t xml:space="preserve"> </w:t>
      </w:r>
      <w:r w:rsidRPr="00B4182C">
        <w:rPr>
          <w:rFonts w:ascii="Arial" w:hAnsi="Arial" w:cs="Arial"/>
          <w:sz w:val="14"/>
          <w:szCs w:val="14"/>
          <w:lang w:val="en-US"/>
        </w:rPr>
        <w:t xml:space="preserve">Slay, J &amp; Stephens, L., (2013). </w:t>
      </w:r>
      <w:r w:rsidRPr="00B4182C">
        <w:rPr>
          <w:rFonts w:ascii="Arial" w:hAnsi="Arial" w:cs="Arial"/>
          <w:i/>
          <w:sz w:val="14"/>
          <w:szCs w:val="14"/>
          <w:lang w:val="en-US"/>
        </w:rPr>
        <w:t>Co-production in mental health: A literature review</w:t>
      </w:r>
    </w:p>
  </w:footnote>
  <w:footnote w:id="8">
    <w:p w14:paraId="1CEAF233" w14:textId="77777777" w:rsidR="001A344D" w:rsidRPr="00B4182C" w:rsidRDefault="001A344D" w:rsidP="005937DB">
      <w:pPr>
        <w:spacing w:after="0"/>
        <w:rPr>
          <w:rFonts w:ascii="Arial" w:hAnsi="Arial" w:cs="Arial"/>
          <w:sz w:val="14"/>
          <w:szCs w:val="14"/>
          <w:lang w:val="en-US"/>
        </w:rPr>
      </w:pPr>
      <w:r w:rsidRPr="00B4182C">
        <w:rPr>
          <w:rStyle w:val="FootnoteReference"/>
          <w:rFonts w:ascii="Arial" w:hAnsi="Arial" w:cs="Arial"/>
          <w:sz w:val="14"/>
          <w:szCs w:val="14"/>
        </w:rPr>
        <w:footnoteRef/>
      </w:r>
      <w:r w:rsidRPr="00B4182C">
        <w:rPr>
          <w:rFonts w:ascii="Arial" w:hAnsi="Arial" w:cs="Arial"/>
          <w:sz w:val="14"/>
          <w:szCs w:val="14"/>
        </w:rPr>
        <w:t xml:space="preserve"> World Health Organization (2010). </w:t>
      </w:r>
      <w:r w:rsidRPr="00B4182C">
        <w:rPr>
          <w:rFonts w:ascii="Arial" w:hAnsi="Arial" w:cs="Arial"/>
          <w:i/>
          <w:sz w:val="14"/>
          <w:szCs w:val="14"/>
        </w:rPr>
        <w:t>User empowerment in mental health – a statement by the WHO Regional Office for Europe</w:t>
      </w:r>
    </w:p>
  </w:footnote>
  <w:footnote w:id="9">
    <w:p w14:paraId="7C5A4B71" w14:textId="77777777" w:rsidR="001A344D" w:rsidRPr="00B4182C" w:rsidRDefault="001A344D" w:rsidP="00BA413D">
      <w:pPr>
        <w:pStyle w:val="FootnoteText"/>
        <w:rPr>
          <w:rFonts w:ascii="Arial" w:hAnsi="Arial" w:cs="Arial"/>
          <w:sz w:val="14"/>
          <w:szCs w:val="14"/>
          <w:lang w:val="en-US"/>
        </w:rPr>
      </w:pPr>
      <w:r w:rsidRPr="00B4182C">
        <w:rPr>
          <w:rStyle w:val="FootnoteReference"/>
          <w:rFonts w:ascii="Arial" w:hAnsi="Arial" w:cs="Arial"/>
          <w:sz w:val="14"/>
          <w:szCs w:val="14"/>
        </w:rPr>
        <w:footnoteRef/>
      </w:r>
      <w:r w:rsidRPr="00B4182C">
        <w:rPr>
          <w:rFonts w:ascii="Arial" w:hAnsi="Arial" w:cs="Arial"/>
          <w:sz w:val="14"/>
          <w:szCs w:val="14"/>
        </w:rPr>
        <w:t xml:space="preserve"> Roper, C., Grey, F., &amp; Cadogan. (2018)</w:t>
      </w:r>
      <w:r w:rsidRPr="00B4182C">
        <w:rPr>
          <w:rFonts w:ascii="Arial" w:hAnsi="Arial" w:cs="Arial"/>
          <w:i/>
          <w:sz w:val="14"/>
          <w:szCs w:val="14"/>
        </w:rPr>
        <w:t>. Co-production - Putting principles into practice in mental health contexts</w:t>
      </w:r>
      <w:r w:rsidRPr="00B4182C">
        <w:rPr>
          <w:rFonts w:ascii="Arial" w:hAnsi="Arial" w:cs="Arial"/>
          <w:sz w:val="14"/>
          <w:szCs w:val="14"/>
        </w:rPr>
        <w:t xml:space="preserve"> (pp. 8)</w:t>
      </w:r>
    </w:p>
  </w:footnote>
  <w:footnote w:id="10">
    <w:p w14:paraId="706FE14D" w14:textId="306EFCED" w:rsidR="00B4182C" w:rsidRPr="00B4182C" w:rsidRDefault="00B4182C">
      <w:pPr>
        <w:pStyle w:val="FootnoteText"/>
        <w:rPr>
          <w:rFonts w:ascii="Arial" w:hAnsi="Arial" w:cs="Arial"/>
          <w:sz w:val="14"/>
          <w:szCs w:val="14"/>
        </w:rPr>
      </w:pPr>
      <w:r w:rsidRPr="00B4182C">
        <w:rPr>
          <w:rStyle w:val="FootnoteReference"/>
          <w:rFonts w:ascii="Arial" w:hAnsi="Arial" w:cs="Arial"/>
          <w:sz w:val="14"/>
          <w:szCs w:val="14"/>
        </w:rPr>
        <w:footnoteRef/>
      </w:r>
      <w:r w:rsidRPr="00B4182C">
        <w:rPr>
          <w:rFonts w:ascii="Arial" w:hAnsi="Arial" w:cs="Arial"/>
          <w:sz w:val="14"/>
          <w:szCs w:val="14"/>
        </w:rPr>
        <w:t xml:space="preserve"> NMHCCF. (2017). Co-Design and Co-Production Advocacy Brief </w:t>
      </w:r>
    </w:p>
  </w:footnote>
  <w:footnote w:id="11">
    <w:p w14:paraId="3386DA93" w14:textId="1CAB4B2C" w:rsidR="00B4182C" w:rsidRPr="00B4182C" w:rsidRDefault="00B4182C">
      <w:pPr>
        <w:pStyle w:val="FootnoteText"/>
        <w:rPr>
          <w:rFonts w:ascii="Arial" w:hAnsi="Arial" w:cs="Arial"/>
          <w:sz w:val="14"/>
          <w:szCs w:val="14"/>
        </w:rPr>
      </w:pPr>
      <w:r w:rsidRPr="00B4182C">
        <w:rPr>
          <w:rStyle w:val="FootnoteReference"/>
          <w:rFonts w:ascii="Arial" w:hAnsi="Arial" w:cs="Arial"/>
          <w:sz w:val="14"/>
          <w:szCs w:val="14"/>
        </w:rPr>
        <w:footnoteRef/>
      </w:r>
      <w:r w:rsidRPr="00B4182C">
        <w:rPr>
          <w:rFonts w:ascii="Arial" w:hAnsi="Arial" w:cs="Arial"/>
          <w:sz w:val="14"/>
          <w:szCs w:val="14"/>
        </w:rPr>
        <w:t xml:space="preserve"> NMHCCF. (2017). Co-Design and Co-Production Advocacy Brief</w:t>
      </w:r>
    </w:p>
  </w:footnote>
  <w:footnote w:id="12">
    <w:p w14:paraId="25D43AE2" w14:textId="77777777" w:rsidR="001A344D" w:rsidRPr="00B4182C" w:rsidRDefault="001A344D" w:rsidP="00CD0496">
      <w:pPr>
        <w:pStyle w:val="FootnoteText"/>
        <w:rPr>
          <w:rFonts w:ascii="Arial" w:hAnsi="Arial" w:cs="Arial"/>
          <w:sz w:val="14"/>
          <w:szCs w:val="14"/>
        </w:rPr>
      </w:pPr>
      <w:r w:rsidRPr="00B4182C">
        <w:rPr>
          <w:rStyle w:val="FootnoteReference"/>
          <w:rFonts w:ascii="Arial" w:hAnsi="Arial" w:cs="Arial"/>
          <w:sz w:val="14"/>
          <w:szCs w:val="14"/>
        </w:rPr>
        <w:footnoteRef/>
      </w:r>
      <w:r w:rsidRPr="00B4182C">
        <w:rPr>
          <w:rFonts w:ascii="Arial" w:hAnsi="Arial" w:cs="Arial"/>
          <w:sz w:val="14"/>
          <w:szCs w:val="14"/>
        </w:rPr>
        <w:t xml:space="preserve"> AHURI. (2018). </w:t>
      </w:r>
      <w:r w:rsidRPr="00B4182C">
        <w:rPr>
          <w:rFonts w:ascii="Arial" w:hAnsi="Arial" w:cs="Arial"/>
          <w:i/>
          <w:sz w:val="14"/>
          <w:szCs w:val="14"/>
        </w:rPr>
        <w:t>Housing, homelessness and mental health: towards systems change</w:t>
      </w:r>
      <w:r w:rsidRPr="00B4182C">
        <w:rPr>
          <w:rFonts w:ascii="Arial" w:hAnsi="Arial" w:cs="Arial"/>
          <w:sz w:val="14"/>
          <w:szCs w:val="14"/>
        </w:rPr>
        <w:t>, p1</w:t>
      </w:r>
    </w:p>
  </w:footnote>
  <w:footnote w:id="13">
    <w:p w14:paraId="4F570BFD" w14:textId="276297D0" w:rsidR="00ED29CE" w:rsidRDefault="00ED29CE">
      <w:pPr>
        <w:pStyle w:val="FootnoteText"/>
      </w:pPr>
      <w:r>
        <w:rPr>
          <w:rStyle w:val="FootnoteReference"/>
        </w:rPr>
        <w:footnoteRef/>
      </w:r>
      <w:r>
        <w:t xml:space="preserve"> </w:t>
      </w:r>
      <w:r w:rsidRPr="00ED29CE">
        <w:t xml:space="preserve">Mental Health Australia and KPMG (2018) </w:t>
      </w:r>
      <w:r w:rsidRPr="00ED29CE">
        <w:rPr>
          <w:i/>
        </w:rPr>
        <w:t>Investing to Save: the Economic Benefits for Australia of Investment in Mental Health Reform</w:t>
      </w:r>
      <w:r w:rsidRPr="00ED29CE">
        <w:t>,</w:t>
      </w:r>
      <w:r>
        <w:t xml:space="preserve"> p35</w:t>
      </w:r>
    </w:p>
  </w:footnote>
  <w:footnote w:id="14">
    <w:p w14:paraId="5E711B2F" w14:textId="6FB7EAF5" w:rsidR="00ED29CE" w:rsidRDefault="00ED29CE">
      <w:pPr>
        <w:pStyle w:val="FootnoteText"/>
      </w:pPr>
      <w:r>
        <w:rPr>
          <w:rStyle w:val="FootnoteReference"/>
        </w:rPr>
        <w:footnoteRef/>
      </w:r>
      <w:r>
        <w:t xml:space="preserve"> </w:t>
      </w:r>
      <w:r w:rsidRPr="00ED29CE">
        <w:t>H</w:t>
      </w:r>
      <w:r>
        <w:t>ealth Workforce Australia (2014)</w:t>
      </w:r>
      <w:r w:rsidRPr="00ED29CE">
        <w:t>: Mental Health Peer Workforce Study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4FFA"/>
    <w:multiLevelType w:val="hybridMultilevel"/>
    <w:tmpl w:val="DC8ECD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A21F2"/>
    <w:multiLevelType w:val="hybridMultilevel"/>
    <w:tmpl w:val="83B8AC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8B1E3E"/>
    <w:multiLevelType w:val="hybridMultilevel"/>
    <w:tmpl w:val="D59C8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Q1NDIyNjc2NTE1MzZW0lEKTi0uzszPAykwrAUAHE82piwAAAA="/>
  </w:docVars>
  <w:rsids>
    <w:rsidRoot w:val="0059633A"/>
    <w:rsid w:val="000152AB"/>
    <w:rsid w:val="000257FD"/>
    <w:rsid w:val="00026F0A"/>
    <w:rsid w:val="0003663B"/>
    <w:rsid w:val="00072391"/>
    <w:rsid w:val="000C0BD0"/>
    <w:rsid w:val="000D6106"/>
    <w:rsid w:val="0010156B"/>
    <w:rsid w:val="00106043"/>
    <w:rsid w:val="0014135C"/>
    <w:rsid w:val="001A344D"/>
    <w:rsid w:val="001A4604"/>
    <w:rsid w:val="00212DD4"/>
    <w:rsid w:val="00217F07"/>
    <w:rsid w:val="0022069E"/>
    <w:rsid w:val="0022166C"/>
    <w:rsid w:val="00224107"/>
    <w:rsid w:val="00261567"/>
    <w:rsid w:val="00263756"/>
    <w:rsid w:val="002648C1"/>
    <w:rsid w:val="002C7D24"/>
    <w:rsid w:val="002D66D4"/>
    <w:rsid w:val="002E5CB3"/>
    <w:rsid w:val="002F1E92"/>
    <w:rsid w:val="0032265F"/>
    <w:rsid w:val="00325137"/>
    <w:rsid w:val="00327660"/>
    <w:rsid w:val="00331486"/>
    <w:rsid w:val="0034113D"/>
    <w:rsid w:val="00377AE8"/>
    <w:rsid w:val="003939F5"/>
    <w:rsid w:val="003D1CFE"/>
    <w:rsid w:val="003D2F21"/>
    <w:rsid w:val="003D7C22"/>
    <w:rsid w:val="003E29E1"/>
    <w:rsid w:val="003E388B"/>
    <w:rsid w:val="0043011B"/>
    <w:rsid w:val="00445979"/>
    <w:rsid w:val="004624BB"/>
    <w:rsid w:val="004730B4"/>
    <w:rsid w:val="004778F4"/>
    <w:rsid w:val="004851CA"/>
    <w:rsid w:val="004A04F0"/>
    <w:rsid w:val="00503D10"/>
    <w:rsid w:val="005158D9"/>
    <w:rsid w:val="00555101"/>
    <w:rsid w:val="005641B2"/>
    <w:rsid w:val="005937DB"/>
    <w:rsid w:val="0059633A"/>
    <w:rsid w:val="005A5BD9"/>
    <w:rsid w:val="005C7AE5"/>
    <w:rsid w:val="00605B9D"/>
    <w:rsid w:val="0061216F"/>
    <w:rsid w:val="00615E00"/>
    <w:rsid w:val="006270B4"/>
    <w:rsid w:val="006276D0"/>
    <w:rsid w:val="006C5964"/>
    <w:rsid w:val="00701793"/>
    <w:rsid w:val="00704F1D"/>
    <w:rsid w:val="00717B74"/>
    <w:rsid w:val="007A11D1"/>
    <w:rsid w:val="007A7846"/>
    <w:rsid w:val="00804188"/>
    <w:rsid w:val="00835CA1"/>
    <w:rsid w:val="008415F5"/>
    <w:rsid w:val="00850192"/>
    <w:rsid w:val="00852FFF"/>
    <w:rsid w:val="00857FCF"/>
    <w:rsid w:val="008664A7"/>
    <w:rsid w:val="00876438"/>
    <w:rsid w:val="008931AC"/>
    <w:rsid w:val="008A3D49"/>
    <w:rsid w:val="008B034B"/>
    <w:rsid w:val="00922114"/>
    <w:rsid w:val="00971E83"/>
    <w:rsid w:val="00984D41"/>
    <w:rsid w:val="009C40B6"/>
    <w:rsid w:val="009D0310"/>
    <w:rsid w:val="009F6377"/>
    <w:rsid w:val="00A16B53"/>
    <w:rsid w:val="00A92292"/>
    <w:rsid w:val="00A92AF5"/>
    <w:rsid w:val="00AA1C55"/>
    <w:rsid w:val="00B06A93"/>
    <w:rsid w:val="00B363C9"/>
    <w:rsid w:val="00B4182C"/>
    <w:rsid w:val="00B4305D"/>
    <w:rsid w:val="00B46FFC"/>
    <w:rsid w:val="00BA413D"/>
    <w:rsid w:val="00BC751D"/>
    <w:rsid w:val="00BF0884"/>
    <w:rsid w:val="00BF25E9"/>
    <w:rsid w:val="00C03311"/>
    <w:rsid w:val="00C60A8E"/>
    <w:rsid w:val="00CC3FD1"/>
    <w:rsid w:val="00CD0496"/>
    <w:rsid w:val="00CF05C4"/>
    <w:rsid w:val="00D21766"/>
    <w:rsid w:val="00D35E70"/>
    <w:rsid w:val="00D41802"/>
    <w:rsid w:val="00D83B5D"/>
    <w:rsid w:val="00DD7350"/>
    <w:rsid w:val="00DF36E7"/>
    <w:rsid w:val="00DF474D"/>
    <w:rsid w:val="00E32310"/>
    <w:rsid w:val="00E64F7C"/>
    <w:rsid w:val="00EA7A05"/>
    <w:rsid w:val="00ED2850"/>
    <w:rsid w:val="00ED29CE"/>
    <w:rsid w:val="00EE2B03"/>
    <w:rsid w:val="00F248DB"/>
    <w:rsid w:val="00F96175"/>
    <w:rsid w:val="00FC78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E97D8A"/>
  <w15:chartTrackingRefBased/>
  <w15:docId w15:val="{12203481-1FB7-42F6-8E13-7C52EF84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1C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11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MHCCFBody">
    <w:name w:val="NMHCCF Body"/>
    <w:basedOn w:val="Normal"/>
    <w:link w:val="NMHCCFBodyChar"/>
    <w:qFormat/>
    <w:rsid w:val="00CF05C4"/>
    <w:pPr>
      <w:spacing w:line="276" w:lineRule="auto"/>
    </w:pPr>
    <w:rPr>
      <w:rFonts w:ascii="Arial" w:hAnsi="Arial" w:cstheme="minorHAnsi"/>
      <w:sz w:val="24"/>
      <w:szCs w:val="24"/>
      <w:lang w:val="en-PH"/>
    </w:rPr>
  </w:style>
  <w:style w:type="character" w:customStyle="1" w:styleId="NMHCCFBodyChar">
    <w:name w:val="NMHCCF Body Char"/>
    <w:basedOn w:val="DefaultParagraphFont"/>
    <w:link w:val="NMHCCFBody"/>
    <w:rsid w:val="00CF05C4"/>
    <w:rPr>
      <w:rFonts w:ascii="Arial" w:hAnsi="Arial" w:cstheme="minorHAnsi"/>
      <w:sz w:val="24"/>
      <w:szCs w:val="24"/>
      <w:lang w:val="en-PH"/>
    </w:rPr>
  </w:style>
  <w:style w:type="paragraph" w:styleId="NormalWeb">
    <w:name w:val="Normal (Web)"/>
    <w:basedOn w:val="Normal"/>
    <w:uiPriority w:val="99"/>
    <w:unhideWhenUsed/>
    <w:rsid w:val="006121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F474D"/>
    <w:rPr>
      <w:color w:val="0563C1" w:themeColor="hyperlink"/>
      <w:u w:val="single"/>
    </w:rPr>
  </w:style>
  <w:style w:type="paragraph" w:styleId="EndnoteText">
    <w:name w:val="endnote text"/>
    <w:basedOn w:val="Normal"/>
    <w:link w:val="EndnoteTextChar"/>
    <w:uiPriority w:val="99"/>
    <w:unhideWhenUsed/>
    <w:rsid w:val="00DF474D"/>
    <w:pPr>
      <w:spacing w:after="0" w:line="240" w:lineRule="auto"/>
    </w:pPr>
    <w:rPr>
      <w:sz w:val="20"/>
      <w:szCs w:val="20"/>
      <w:lang w:val="en-PH"/>
    </w:rPr>
  </w:style>
  <w:style w:type="character" w:customStyle="1" w:styleId="EndnoteTextChar">
    <w:name w:val="Endnote Text Char"/>
    <w:basedOn w:val="DefaultParagraphFont"/>
    <w:link w:val="EndnoteText"/>
    <w:uiPriority w:val="99"/>
    <w:rsid w:val="00DF474D"/>
    <w:rPr>
      <w:sz w:val="20"/>
      <w:szCs w:val="20"/>
      <w:lang w:val="en-PH"/>
    </w:rPr>
  </w:style>
  <w:style w:type="character" w:styleId="EndnoteReference">
    <w:name w:val="endnote reference"/>
    <w:basedOn w:val="DefaultParagraphFont"/>
    <w:uiPriority w:val="99"/>
    <w:semiHidden/>
    <w:unhideWhenUsed/>
    <w:rsid w:val="00DF474D"/>
    <w:rPr>
      <w:vertAlign w:val="superscript"/>
    </w:rPr>
  </w:style>
  <w:style w:type="paragraph" w:styleId="ListParagraph">
    <w:name w:val="List Paragraph"/>
    <w:basedOn w:val="Normal"/>
    <w:uiPriority w:val="34"/>
    <w:qFormat/>
    <w:rsid w:val="00B363C9"/>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rsid w:val="00B363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363C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363C9"/>
    <w:rPr>
      <w:vertAlign w:val="superscript"/>
    </w:rPr>
  </w:style>
  <w:style w:type="character" w:customStyle="1" w:styleId="UnresolvedMention1">
    <w:name w:val="Unresolved Mention1"/>
    <w:basedOn w:val="DefaultParagraphFont"/>
    <w:uiPriority w:val="99"/>
    <w:semiHidden/>
    <w:unhideWhenUsed/>
    <w:rsid w:val="000C0BD0"/>
    <w:rPr>
      <w:color w:val="605E5C"/>
      <w:shd w:val="clear" w:color="auto" w:fill="E1DFDD"/>
    </w:rPr>
  </w:style>
  <w:style w:type="paragraph" w:styleId="BalloonText">
    <w:name w:val="Balloon Text"/>
    <w:basedOn w:val="Normal"/>
    <w:link w:val="BalloonTextChar"/>
    <w:uiPriority w:val="99"/>
    <w:semiHidden/>
    <w:unhideWhenUsed/>
    <w:rsid w:val="00AA1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C55"/>
    <w:rPr>
      <w:rFonts w:ascii="Segoe UI" w:hAnsi="Segoe UI" w:cs="Segoe UI"/>
      <w:sz w:val="18"/>
      <w:szCs w:val="18"/>
    </w:rPr>
  </w:style>
  <w:style w:type="character" w:customStyle="1" w:styleId="Heading1Char">
    <w:name w:val="Heading 1 Char"/>
    <w:basedOn w:val="DefaultParagraphFont"/>
    <w:link w:val="Heading1"/>
    <w:uiPriority w:val="9"/>
    <w:rsid w:val="00AA1C5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66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4A7"/>
  </w:style>
  <w:style w:type="paragraph" w:styleId="Footer">
    <w:name w:val="footer"/>
    <w:basedOn w:val="Normal"/>
    <w:link w:val="FooterChar"/>
    <w:uiPriority w:val="99"/>
    <w:unhideWhenUsed/>
    <w:rsid w:val="00866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4A7"/>
  </w:style>
  <w:style w:type="paragraph" w:styleId="Caption">
    <w:name w:val="caption"/>
    <w:basedOn w:val="Normal"/>
    <w:next w:val="Normal"/>
    <w:uiPriority w:val="35"/>
    <w:unhideWhenUsed/>
    <w:qFormat/>
    <w:rsid w:val="00224107"/>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4624BB"/>
    <w:rPr>
      <w:color w:val="954F72" w:themeColor="followedHyperlink"/>
      <w:u w:val="single"/>
    </w:rPr>
  </w:style>
  <w:style w:type="paragraph" w:customStyle="1" w:styleId="BodyTextafterbulletsnumbers">
    <w:name w:val="Body Text (after bullets/numbers)"/>
    <w:basedOn w:val="BodyText"/>
    <w:link w:val="BodyTextafterbulletsnumbersChar"/>
    <w:qFormat/>
    <w:rsid w:val="005937DB"/>
    <w:pPr>
      <w:spacing w:before="180" w:line="280" w:lineRule="atLeast"/>
    </w:pPr>
    <w:rPr>
      <w:rFonts w:ascii="Arial" w:eastAsia="Arial" w:hAnsi="Arial" w:cs="Times New Roman"/>
      <w:color w:val="000000"/>
      <w:szCs w:val="20"/>
    </w:rPr>
  </w:style>
  <w:style w:type="character" w:customStyle="1" w:styleId="BodyTextafterbulletsnumbersChar">
    <w:name w:val="Body Text (after bullets/numbers) Char"/>
    <w:link w:val="BodyTextafterbulletsnumbers"/>
    <w:rsid w:val="005937DB"/>
    <w:rPr>
      <w:rFonts w:ascii="Arial" w:eastAsia="Arial" w:hAnsi="Arial" w:cs="Times New Roman"/>
      <w:color w:val="000000"/>
      <w:szCs w:val="20"/>
    </w:rPr>
  </w:style>
  <w:style w:type="paragraph" w:styleId="BodyText">
    <w:name w:val="Body Text"/>
    <w:basedOn w:val="Normal"/>
    <w:link w:val="BodyTextChar"/>
    <w:uiPriority w:val="99"/>
    <w:semiHidden/>
    <w:unhideWhenUsed/>
    <w:rsid w:val="005937DB"/>
    <w:pPr>
      <w:spacing w:after="120"/>
    </w:pPr>
  </w:style>
  <w:style w:type="character" w:customStyle="1" w:styleId="BodyTextChar">
    <w:name w:val="Body Text Char"/>
    <w:basedOn w:val="DefaultParagraphFont"/>
    <w:link w:val="BodyText"/>
    <w:uiPriority w:val="99"/>
    <w:semiHidden/>
    <w:rsid w:val="005937DB"/>
  </w:style>
  <w:style w:type="character" w:customStyle="1" w:styleId="Heading2Char">
    <w:name w:val="Heading 2 Char"/>
    <w:basedOn w:val="DefaultParagraphFont"/>
    <w:link w:val="Heading2"/>
    <w:uiPriority w:val="9"/>
    <w:rsid w:val="007A11D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77AE8"/>
    <w:rPr>
      <w:sz w:val="16"/>
      <w:szCs w:val="16"/>
    </w:rPr>
  </w:style>
  <w:style w:type="paragraph" w:styleId="CommentText">
    <w:name w:val="annotation text"/>
    <w:basedOn w:val="Normal"/>
    <w:link w:val="CommentTextChar"/>
    <w:uiPriority w:val="99"/>
    <w:semiHidden/>
    <w:unhideWhenUsed/>
    <w:rsid w:val="00377AE8"/>
    <w:pPr>
      <w:spacing w:line="240" w:lineRule="auto"/>
    </w:pPr>
    <w:rPr>
      <w:sz w:val="20"/>
      <w:szCs w:val="20"/>
    </w:rPr>
  </w:style>
  <w:style w:type="character" w:customStyle="1" w:styleId="CommentTextChar">
    <w:name w:val="Comment Text Char"/>
    <w:basedOn w:val="DefaultParagraphFont"/>
    <w:link w:val="CommentText"/>
    <w:uiPriority w:val="99"/>
    <w:semiHidden/>
    <w:rsid w:val="00377AE8"/>
    <w:rPr>
      <w:sz w:val="20"/>
      <w:szCs w:val="20"/>
    </w:rPr>
  </w:style>
  <w:style w:type="paragraph" w:styleId="CommentSubject">
    <w:name w:val="annotation subject"/>
    <w:basedOn w:val="CommentText"/>
    <w:next w:val="CommentText"/>
    <w:link w:val="CommentSubjectChar"/>
    <w:uiPriority w:val="99"/>
    <w:semiHidden/>
    <w:unhideWhenUsed/>
    <w:rsid w:val="00377AE8"/>
    <w:rPr>
      <w:b/>
      <w:bCs/>
    </w:rPr>
  </w:style>
  <w:style w:type="character" w:customStyle="1" w:styleId="CommentSubjectChar">
    <w:name w:val="Comment Subject Char"/>
    <w:basedOn w:val="CommentTextChar"/>
    <w:link w:val="CommentSubject"/>
    <w:uiPriority w:val="99"/>
    <w:semiHidden/>
    <w:rsid w:val="00377AE8"/>
    <w:rPr>
      <w:b/>
      <w:bCs/>
      <w:sz w:val="20"/>
      <w:szCs w:val="20"/>
    </w:rPr>
  </w:style>
  <w:style w:type="paragraph" w:styleId="Revision">
    <w:name w:val="Revision"/>
    <w:hidden/>
    <w:uiPriority w:val="99"/>
    <w:semiHidden/>
    <w:rsid w:val="003D7C22"/>
    <w:pPr>
      <w:spacing w:after="0" w:line="240" w:lineRule="auto"/>
    </w:pPr>
  </w:style>
  <w:style w:type="character" w:customStyle="1" w:styleId="UnresolvedMention">
    <w:name w:val="Unresolved Mention"/>
    <w:basedOn w:val="DefaultParagraphFont"/>
    <w:uiPriority w:val="99"/>
    <w:semiHidden/>
    <w:unhideWhenUsed/>
    <w:rsid w:val="003E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170459">
      <w:bodyDiv w:val="1"/>
      <w:marLeft w:val="0"/>
      <w:marRight w:val="0"/>
      <w:marTop w:val="0"/>
      <w:marBottom w:val="0"/>
      <w:divBdr>
        <w:top w:val="none" w:sz="0" w:space="0" w:color="auto"/>
        <w:left w:val="none" w:sz="0" w:space="0" w:color="auto"/>
        <w:bottom w:val="none" w:sz="0" w:space="0" w:color="auto"/>
        <w:right w:val="none" w:sz="0" w:space="0" w:color="auto"/>
      </w:divBdr>
    </w:div>
    <w:div w:id="15240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mhcsa.org.au/wp-content/uploads/2018/12/HWA-Mental-health-Peer-Workforce-Study.pdf" TargetMode="External"/><Relationship Id="rId26" Type="http://schemas.openxmlformats.org/officeDocument/2006/relationships/hyperlink" Target="https://nmhccf.org.au/sites/default/files/docs/nmhccf_-_evaluation_-_final_evaluation_report_-_executive_summary_-_30_may_2017_0.pdf"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england.nhs.uk/mental-health/case-studies/aldershot/" TargetMode="External"/><Relationship Id="rId34" Type="http://schemas.openxmlformats.org/officeDocument/2006/relationships/hyperlink" Target="https://ww2.health.wa.gov.au/About-us/East-Metropolitan-Health-Service/About/EMHS-News/Mental-Health-Coresponse-project-a-finalist-in-multiple-excellence-awards"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mhaustralia.org/sites/default/files/docs/investing_to_save_may_2018_-_kpmg_mental_health_australia.pdf" TargetMode="External"/><Relationship Id="rId25" Type="http://schemas.openxmlformats.org/officeDocument/2006/relationships/hyperlink" Target="https://recoverylibrary.unimelb.edu.au/" TargetMode="External"/><Relationship Id="rId33" Type="http://schemas.openxmlformats.org/officeDocument/2006/relationships/hyperlink" Target="https://homeforgood.org.au/assets/docs/Publications/IR_127_A-Housing-First-Approach-to-Homelessness.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riinternational.com/our-services/arizona/" TargetMode="External"/><Relationship Id="rId29" Type="http://schemas.openxmlformats.org/officeDocument/2006/relationships/hyperlink" Target="https://nmhccf.org.au/sites/default/files/docs/submission_on_dss_draft_model_for_a_new_integrated_carer_support_service_system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missionaustralia.com.au/news-blog/news-media/sbs-draws-attention-to-connections-program-in-broken-hill" TargetMode="External"/><Relationship Id="rId32" Type="http://schemas.openxmlformats.org/officeDocument/2006/relationships/hyperlink" Target="https://micahprojects.org.au/assets/docs/Publications/IR_130_An-Economic-Evaluation-of-the-Homeless-to-Home-Healthcare-After-Hours-Service.pdf"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mentalhealthamerica.net/sites/default/files/Evidence%20for%20Peer%20Support%20May%202018.pdf" TargetMode="External"/><Relationship Id="rId28" Type="http://schemas.openxmlformats.org/officeDocument/2006/relationships/hyperlink" Target="https://www.pc.gov.au/__data/assets/pdf_file/0006/239235/sub072-mental-health.pdf"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socialventures.com.au/sva-quarterly/the-value-of-a-peer-operated-service/" TargetMode="External"/><Relationship Id="rId31" Type="http://schemas.openxmlformats.org/officeDocument/2006/relationships/hyperlink" Target="https://espace.library.uq.edu.au/view/UQ:3262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mhccf@mhaustralia.org" TargetMode="External"/><Relationship Id="rId22" Type="http://schemas.openxmlformats.org/officeDocument/2006/relationships/hyperlink" Target="http://www.health.vic.gov.au/healthvictoria/aug18/cafe.htm" TargetMode="External"/><Relationship Id="rId27" Type="http://schemas.openxmlformats.org/officeDocument/2006/relationships/hyperlink" Target="https://waamh.org.au/assets/documents/sector-development/lfp-final-research-report-2015---ecopy.pdf" TargetMode="External"/><Relationship Id="rId30" Type="http://schemas.openxmlformats.org/officeDocument/2006/relationships/hyperlink" Target="https://www.commongroundqld.org.au/housin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8A53F-C568-4B81-8242-F3E83322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Submission 476 - National Mental Health Consumer and Carer Forum (NMHCCF) - Mental Health - Public inquiry</vt:lpstr>
    </vt:vector>
  </TitlesOfParts>
  <Company>National Mental Health Consumer and Carer Forum (NMHCCF) </Company>
  <LinksUpToDate>false</LinksUpToDate>
  <CharactersWithSpaces>18719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476 - National Mental Health Consumer and Carer Forum (NMHCCF) - Mental Health - Public inquiry</dc:title>
  <dc:subject/>
  <dc:creator>National Mental Health Consumer and Carer Forum (NMHCCF) </dc:creator>
  <cp:keywords/>
  <dc:description/>
  <cp:lastModifiedBy>Productivity Commission</cp:lastModifiedBy>
  <cp:revision>6</cp:revision>
  <cp:lastPrinted>2019-04-12T06:35:00Z</cp:lastPrinted>
  <dcterms:created xsi:type="dcterms:W3CDTF">2019-04-23T03:02:00Z</dcterms:created>
  <dcterms:modified xsi:type="dcterms:W3CDTF">2019-04-24T03:08:00Z</dcterms:modified>
</cp:coreProperties>
</file>