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9F7" w:rsidRPr="009A0B72" w:rsidRDefault="00DD473C" w:rsidP="007F09F7">
      <w:pPr>
        <w:spacing w:after="0" w:line="300" w:lineRule="exact"/>
        <w:rPr>
          <w:rFonts w:eastAsia="Times New Roman" w:cstheme="minorHAnsi"/>
          <w:b/>
          <w:sz w:val="28"/>
          <w:szCs w:val="28"/>
          <w:lang w:eastAsia="en-AU"/>
        </w:rPr>
      </w:pPr>
      <w:r w:rsidRPr="009A0B72">
        <w:rPr>
          <w:rFonts w:eastAsia="Times New Roman" w:cstheme="minorHAnsi"/>
          <w:b/>
          <w:sz w:val="28"/>
          <w:szCs w:val="28"/>
          <w:lang w:eastAsia="en-AU"/>
        </w:rPr>
        <w:t xml:space="preserve">Submission </w:t>
      </w:r>
      <w:r w:rsidR="00EA4B50" w:rsidRPr="009A0B72">
        <w:rPr>
          <w:rFonts w:eastAsia="Times New Roman" w:cstheme="minorHAnsi"/>
          <w:b/>
          <w:sz w:val="28"/>
          <w:szCs w:val="28"/>
          <w:lang w:eastAsia="en-AU"/>
        </w:rPr>
        <w:t xml:space="preserve">to </w:t>
      </w:r>
      <w:r w:rsidR="009A0B72">
        <w:rPr>
          <w:rFonts w:eastAsia="Times New Roman" w:cstheme="minorHAnsi"/>
          <w:b/>
          <w:sz w:val="28"/>
          <w:szCs w:val="28"/>
          <w:lang w:eastAsia="en-AU"/>
        </w:rPr>
        <w:t xml:space="preserve">the </w:t>
      </w:r>
      <w:r w:rsidR="007F09F7" w:rsidRPr="009A0B72">
        <w:rPr>
          <w:rFonts w:eastAsia="Times New Roman" w:cstheme="minorHAnsi"/>
          <w:b/>
          <w:sz w:val="28"/>
          <w:szCs w:val="28"/>
          <w:lang w:eastAsia="en-AU"/>
        </w:rPr>
        <w:t xml:space="preserve">PC’s </w:t>
      </w:r>
      <w:r w:rsidR="00C57B6F" w:rsidRPr="009A0B72">
        <w:rPr>
          <w:rFonts w:eastAsia="Times New Roman" w:cstheme="minorHAnsi"/>
          <w:b/>
          <w:sz w:val="28"/>
          <w:szCs w:val="28"/>
          <w:lang w:eastAsia="en-AU"/>
        </w:rPr>
        <w:t>Review of Skills and Workforce Development</w:t>
      </w:r>
      <w:r w:rsidR="009A0B72" w:rsidRPr="009A0B72">
        <w:rPr>
          <w:rFonts w:eastAsia="Times New Roman" w:cstheme="minorHAnsi"/>
          <w:b/>
          <w:sz w:val="28"/>
          <w:szCs w:val="28"/>
          <w:lang w:eastAsia="en-AU"/>
        </w:rPr>
        <w:t xml:space="preserve"> A</w:t>
      </w:r>
      <w:r w:rsidR="009A0B72">
        <w:rPr>
          <w:rFonts w:eastAsia="Times New Roman" w:cstheme="minorHAnsi"/>
          <w:b/>
          <w:sz w:val="28"/>
          <w:szCs w:val="28"/>
          <w:lang w:eastAsia="en-AU"/>
        </w:rPr>
        <w:t xml:space="preserve">greement </w:t>
      </w:r>
      <w:r w:rsidR="00C57B6F" w:rsidRPr="009A0B72">
        <w:rPr>
          <w:rFonts w:eastAsia="Times New Roman" w:cstheme="minorHAnsi"/>
          <w:b/>
          <w:sz w:val="28"/>
          <w:szCs w:val="28"/>
          <w:lang w:eastAsia="en-AU"/>
        </w:rPr>
        <w:t xml:space="preserve"> </w:t>
      </w:r>
    </w:p>
    <w:p w:rsidR="007F09F7" w:rsidRPr="007F09F7" w:rsidRDefault="007F09F7" w:rsidP="007F09F7">
      <w:pPr>
        <w:spacing w:before="120" w:after="0" w:line="300" w:lineRule="exact"/>
        <w:rPr>
          <w:rFonts w:eastAsia="Times New Roman" w:cstheme="minorHAnsi"/>
          <w:sz w:val="20"/>
          <w:szCs w:val="20"/>
          <w:lang w:eastAsia="en-AU"/>
        </w:rPr>
      </w:pPr>
      <w:r w:rsidRPr="007F09F7">
        <w:rPr>
          <w:rFonts w:eastAsia="Times New Roman" w:cstheme="minorHAnsi"/>
          <w:sz w:val="20"/>
          <w:szCs w:val="20"/>
          <w:lang w:eastAsia="en-AU"/>
        </w:rPr>
        <w:t>TRANSCRIPT PRIME MINISTER PRESS CONFERENCE PARLIAMENT HOUSE, ACT THURSDAY 5 DECEMBER 2019</w:t>
      </w:r>
    </w:p>
    <w:p w:rsidR="007F09F7" w:rsidRPr="00EC148E" w:rsidRDefault="007F09F7" w:rsidP="007F09F7">
      <w:pPr>
        <w:spacing w:before="120" w:after="0" w:line="300" w:lineRule="exact"/>
        <w:rPr>
          <w:rFonts w:eastAsia="Times New Roman" w:cstheme="minorHAnsi"/>
          <w:i/>
          <w:sz w:val="20"/>
          <w:szCs w:val="20"/>
          <w:lang w:eastAsia="en-AU"/>
        </w:rPr>
      </w:pPr>
      <w:r w:rsidRPr="00EC148E">
        <w:rPr>
          <w:rFonts w:eastAsia="Times New Roman" w:cstheme="minorHAnsi"/>
          <w:i/>
          <w:sz w:val="20"/>
          <w:szCs w:val="20"/>
          <w:lang w:eastAsia="en-AU"/>
        </w:rPr>
        <w:t>“First, the creation of a Department of Education, Skills and Employment that consolidates the current Department of Education and Department of Employment Skills, Small and Family Business.</w:t>
      </w:r>
    </w:p>
    <w:p w:rsidR="007F09F7" w:rsidRPr="00EC148E" w:rsidRDefault="007F09F7" w:rsidP="007F09F7">
      <w:pPr>
        <w:spacing w:before="120" w:after="0" w:line="300" w:lineRule="exact"/>
        <w:rPr>
          <w:rFonts w:eastAsia="Times New Roman" w:cstheme="minorHAnsi"/>
          <w:i/>
          <w:sz w:val="20"/>
          <w:szCs w:val="20"/>
          <w:lang w:eastAsia="en-AU"/>
        </w:rPr>
      </w:pPr>
      <w:r w:rsidRPr="00EC148E">
        <w:rPr>
          <w:rFonts w:eastAsia="Times New Roman" w:cstheme="minorHAnsi"/>
          <w:i/>
          <w:sz w:val="20"/>
          <w:szCs w:val="20"/>
          <w:lang w:eastAsia="en-AU"/>
        </w:rPr>
        <w:t>This is about having continuity from the day you walk into school to the day you walk into a job and beyond, and ensuring that in your job and over your life, we understand that there is a continuous education. Education doesn't start and stop when you leave school. It goes on over your entire life. Learning happens in the workplace. Skills development happens in the school. It happens at university, at TAFE and vocational training. It's a lifelong activity. Well into seni</w:t>
      </w:r>
      <w:bookmarkStart w:id="0" w:name="_GoBack"/>
      <w:bookmarkEnd w:id="0"/>
      <w:r w:rsidRPr="00EC148E">
        <w:rPr>
          <w:rFonts w:eastAsia="Times New Roman" w:cstheme="minorHAnsi"/>
          <w:i/>
          <w:sz w:val="20"/>
          <w:szCs w:val="20"/>
          <w:lang w:eastAsia="en-AU"/>
        </w:rPr>
        <w:t xml:space="preserve">or years. And I want a public service agency department that is focused on that </w:t>
      </w:r>
      <w:r w:rsidRPr="00EC148E">
        <w:rPr>
          <w:rFonts w:eastAsia="Times New Roman" w:cstheme="minorHAnsi"/>
          <w:b/>
          <w:i/>
          <w:sz w:val="20"/>
          <w:szCs w:val="20"/>
          <w:lang w:eastAsia="en-AU"/>
        </w:rPr>
        <w:t>continuity of policy and service delivery</w:t>
      </w:r>
      <w:r w:rsidRPr="00EC148E">
        <w:rPr>
          <w:rFonts w:eastAsia="Times New Roman" w:cstheme="minorHAnsi"/>
          <w:i/>
          <w:sz w:val="20"/>
          <w:szCs w:val="20"/>
          <w:lang w:eastAsia="en-AU"/>
        </w:rPr>
        <w:t xml:space="preserve"> and engagement with the states”.</w:t>
      </w:r>
    </w:p>
    <w:p w:rsidR="00E20060" w:rsidRPr="008C03B7" w:rsidRDefault="00EA4B50" w:rsidP="007F09F7">
      <w:pPr>
        <w:spacing w:before="120" w:after="0" w:line="300" w:lineRule="exact"/>
        <w:rPr>
          <w:rFonts w:eastAsia="Times New Roman" w:cstheme="minorHAnsi"/>
          <w:sz w:val="28"/>
          <w:szCs w:val="28"/>
          <w:lang w:eastAsia="en-AU"/>
        </w:rPr>
      </w:pPr>
      <w:r>
        <w:rPr>
          <w:rFonts w:eastAsia="Times New Roman" w:cstheme="minorHAnsi"/>
          <w:sz w:val="28"/>
          <w:szCs w:val="28"/>
          <w:u w:val="single"/>
          <w:lang w:eastAsia="en-AU"/>
        </w:rPr>
        <w:t xml:space="preserve">Summary of </w:t>
      </w:r>
      <w:r w:rsidR="00E20060" w:rsidRPr="008C03B7">
        <w:rPr>
          <w:rFonts w:eastAsia="Times New Roman" w:cstheme="minorHAnsi"/>
          <w:sz w:val="28"/>
          <w:szCs w:val="28"/>
          <w:u w:val="single"/>
          <w:lang w:eastAsia="en-AU"/>
        </w:rPr>
        <w:t>key issue</w:t>
      </w:r>
      <w:r>
        <w:rPr>
          <w:rFonts w:eastAsia="Times New Roman" w:cstheme="minorHAnsi"/>
          <w:sz w:val="28"/>
          <w:szCs w:val="28"/>
          <w:u w:val="single"/>
          <w:lang w:eastAsia="en-AU"/>
        </w:rPr>
        <w:t>s</w:t>
      </w:r>
      <w:r w:rsidR="00E20060" w:rsidRPr="008C03B7">
        <w:rPr>
          <w:rFonts w:eastAsia="Times New Roman" w:cstheme="minorHAnsi"/>
          <w:sz w:val="28"/>
          <w:szCs w:val="28"/>
          <w:u w:val="single"/>
          <w:lang w:eastAsia="en-AU"/>
        </w:rPr>
        <w:t xml:space="preserve"> </w:t>
      </w:r>
      <w:r w:rsidR="009D451A" w:rsidRPr="008C03B7">
        <w:rPr>
          <w:rFonts w:eastAsia="Times New Roman" w:cstheme="minorHAnsi"/>
          <w:sz w:val="28"/>
          <w:szCs w:val="28"/>
          <w:u w:val="single"/>
          <w:lang w:eastAsia="en-AU"/>
        </w:rPr>
        <w:t xml:space="preserve">and </w:t>
      </w:r>
      <w:r w:rsidR="00B31838">
        <w:rPr>
          <w:rFonts w:eastAsia="Times New Roman" w:cstheme="minorHAnsi"/>
          <w:sz w:val="28"/>
          <w:szCs w:val="28"/>
          <w:u w:val="single"/>
          <w:lang w:eastAsia="en-AU"/>
        </w:rPr>
        <w:t>proposals</w:t>
      </w:r>
      <w:r w:rsidR="009D451A" w:rsidRPr="008C03B7">
        <w:rPr>
          <w:rFonts w:eastAsia="Times New Roman" w:cstheme="minorHAnsi"/>
          <w:sz w:val="28"/>
          <w:szCs w:val="28"/>
          <w:u w:val="single"/>
          <w:lang w:eastAsia="en-AU"/>
        </w:rPr>
        <w:t xml:space="preserve"> </w:t>
      </w:r>
      <w:r w:rsidR="00E20060" w:rsidRPr="008C03B7">
        <w:rPr>
          <w:rFonts w:eastAsia="Times New Roman" w:cstheme="minorHAnsi"/>
          <w:sz w:val="28"/>
          <w:szCs w:val="28"/>
          <w:u w:val="single"/>
          <w:lang w:eastAsia="en-AU"/>
        </w:rPr>
        <w:t xml:space="preserve">the PC </w:t>
      </w:r>
      <w:r w:rsidR="002C5430" w:rsidRPr="008C03B7">
        <w:rPr>
          <w:rFonts w:eastAsia="Times New Roman" w:cstheme="minorHAnsi"/>
          <w:sz w:val="28"/>
          <w:szCs w:val="28"/>
          <w:u w:val="single"/>
          <w:lang w:eastAsia="en-AU"/>
        </w:rPr>
        <w:t xml:space="preserve">is asked to </w:t>
      </w:r>
      <w:r w:rsidR="00E20060" w:rsidRPr="008C03B7">
        <w:rPr>
          <w:rFonts w:eastAsia="Times New Roman" w:cstheme="minorHAnsi"/>
          <w:sz w:val="28"/>
          <w:szCs w:val="28"/>
          <w:u w:val="single"/>
          <w:lang w:eastAsia="en-AU"/>
        </w:rPr>
        <w:t>consider</w:t>
      </w:r>
    </w:p>
    <w:p w:rsidR="009D451A" w:rsidRDefault="007F09F7" w:rsidP="009D451A">
      <w:pPr>
        <w:spacing w:before="120" w:after="0" w:line="300" w:lineRule="exact"/>
        <w:rPr>
          <w:rFonts w:eastAsia="Times New Roman" w:cstheme="minorHAnsi"/>
          <w:lang w:eastAsia="en-AU"/>
        </w:rPr>
      </w:pPr>
      <w:r>
        <w:rPr>
          <w:rFonts w:eastAsia="Times New Roman" w:cstheme="minorHAnsi"/>
          <w:lang w:eastAsia="en-AU"/>
        </w:rPr>
        <w:t>Australia urgently needs to conceptualise and build a post schooling tertiary education, training and skilling (ETS) system</w:t>
      </w:r>
      <w:r>
        <w:rPr>
          <w:rStyle w:val="FootnoteReference"/>
          <w:rFonts w:eastAsia="Times New Roman" w:cstheme="minorHAnsi"/>
          <w:lang w:eastAsia="en-AU"/>
        </w:rPr>
        <w:footnoteReference w:id="1"/>
      </w:r>
      <w:r>
        <w:rPr>
          <w:rFonts w:eastAsia="Times New Roman" w:cstheme="minorHAnsi"/>
          <w:lang w:eastAsia="en-AU"/>
        </w:rPr>
        <w:t xml:space="preserve"> that is suited to both school leavers and existing workers </w:t>
      </w:r>
      <w:r w:rsidR="000B7866">
        <w:rPr>
          <w:rFonts w:eastAsia="Times New Roman" w:cstheme="minorHAnsi"/>
          <w:lang w:eastAsia="en-AU"/>
        </w:rPr>
        <w:t xml:space="preserve">fully </w:t>
      </w:r>
      <w:r>
        <w:rPr>
          <w:rFonts w:eastAsia="Times New Roman" w:cstheme="minorHAnsi"/>
          <w:lang w:eastAsia="en-AU"/>
        </w:rPr>
        <w:t xml:space="preserve">covering their ‘work-life’ learning needs.  </w:t>
      </w:r>
    </w:p>
    <w:p w:rsidR="00B02651" w:rsidRDefault="00B02651" w:rsidP="002C5430">
      <w:pPr>
        <w:spacing w:before="120" w:after="0" w:line="300" w:lineRule="exact"/>
        <w:rPr>
          <w:rFonts w:eastAsia="Times New Roman" w:cstheme="minorHAnsi"/>
          <w:lang w:eastAsia="en-AU"/>
        </w:rPr>
      </w:pPr>
      <w:r>
        <w:rPr>
          <w:rFonts w:eastAsia="Times New Roman" w:cstheme="minorHAnsi"/>
          <w:lang w:eastAsia="en-AU"/>
        </w:rPr>
        <w:t xml:space="preserve">Funding of universities should remain as recently settled. </w:t>
      </w:r>
    </w:p>
    <w:p w:rsidR="002C5430" w:rsidRDefault="009D451A" w:rsidP="002C5430">
      <w:pPr>
        <w:spacing w:before="120" w:after="0" w:line="300" w:lineRule="exact"/>
        <w:rPr>
          <w:rFonts w:cstheme="minorHAnsi"/>
          <w:shd w:val="clear" w:color="auto" w:fill="FFFFFF"/>
        </w:rPr>
      </w:pPr>
      <w:r w:rsidRPr="009D451A">
        <w:rPr>
          <w:rFonts w:eastAsia="Times New Roman" w:cstheme="minorHAnsi"/>
          <w:lang w:eastAsia="en-AU"/>
        </w:rPr>
        <w:t xml:space="preserve">The PC should mandate a tertiary </w:t>
      </w:r>
      <w:r>
        <w:rPr>
          <w:rFonts w:eastAsia="Times New Roman" w:cstheme="minorHAnsi"/>
          <w:lang w:eastAsia="en-AU"/>
        </w:rPr>
        <w:t xml:space="preserve">ETS </w:t>
      </w:r>
      <w:r w:rsidRPr="009D451A">
        <w:rPr>
          <w:rFonts w:eastAsia="Times New Roman" w:cstheme="minorHAnsi"/>
          <w:i/>
          <w:lang w:eastAsia="en-AU"/>
        </w:rPr>
        <w:t>system</w:t>
      </w:r>
      <w:r>
        <w:rPr>
          <w:rFonts w:eastAsia="Times New Roman" w:cstheme="minorHAnsi"/>
          <w:lang w:eastAsia="en-AU"/>
        </w:rPr>
        <w:t xml:space="preserve"> </w:t>
      </w:r>
      <w:r w:rsidRPr="009D451A">
        <w:rPr>
          <w:rFonts w:eastAsia="Times New Roman" w:cstheme="minorHAnsi"/>
          <w:lang w:eastAsia="en-AU"/>
        </w:rPr>
        <w:t xml:space="preserve">that </w:t>
      </w:r>
      <w:r w:rsidR="00B02651">
        <w:rPr>
          <w:rFonts w:eastAsia="Times New Roman" w:cstheme="minorHAnsi"/>
          <w:lang w:eastAsia="en-AU"/>
        </w:rPr>
        <w:t xml:space="preserve">better </w:t>
      </w:r>
      <w:r w:rsidR="002C5430">
        <w:rPr>
          <w:rFonts w:eastAsia="Times New Roman" w:cstheme="minorHAnsi"/>
          <w:lang w:eastAsia="en-AU"/>
        </w:rPr>
        <w:t xml:space="preserve">integrates </w:t>
      </w:r>
      <w:r w:rsidRPr="009D451A">
        <w:rPr>
          <w:rFonts w:eastAsia="Times New Roman" w:cstheme="minorHAnsi"/>
          <w:lang w:eastAsia="en-AU"/>
        </w:rPr>
        <w:t>H</w:t>
      </w:r>
      <w:r w:rsidR="0094636D">
        <w:rPr>
          <w:rFonts w:eastAsia="Times New Roman" w:cstheme="minorHAnsi"/>
          <w:lang w:eastAsia="en-AU"/>
        </w:rPr>
        <w:t>igher Education (HE)</w:t>
      </w:r>
      <w:r w:rsidRPr="009D451A">
        <w:rPr>
          <w:rFonts w:eastAsia="Times New Roman" w:cstheme="minorHAnsi"/>
          <w:lang w:eastAsia="en-AU"/>
        </w:rPr>
        <w:t xml:space="preserve"> and VET </w:t>
      </w:r>
      <w:r w:rsidRPr="009D451A">
        <w:rPr>
          <w:rFonts w:eastAsia="Times New Roman" w:cstheme="minorHAnsi"/>
          <w:i/>
          <w:lang w:eastAsia="en-AU"/>
        </w:rPr>
        <w:t>sectors</w:t>
      </w:r>
      <w:r>
        <w:rPr>
          <w:rFonts w:eastAsia="Times New Roman" w:cstheme="minorHAnsi"/>
          <w:lang w:eastAsia="en-AU"/>
        </w:rPr>
        <w:t>.  All</w:t>
      </w:r>
      <w:r w:rsidRPr="009D451A">
        <w:rPr>
          <w:rFonts w:eastAsia="Times New Roman" w:cstheme="minorHAnsi"/>
          <w:lang w:eastAsia="en-AU"/>
        </w:rPr>
        <w:t xml:space="preserve"> students </w:t>
      </w:r>
      <w:r>
        <w:rPr>
          <w:rFonts w:eastAsia="Times New Roman" w:cstheme="minorHAnsi"/>
          <w:lang w:eastAsia="en-AU"/>
        </w:rPr>
        <w:t xml:space="preserve">will </w:t>
      </w:r>
      <w:r w:rsidRPr="009D451A">
        <w:rPr>
          <w:rFonts w:eastAsia="Times New Roman" w:cstheme="minorHAnsi"/>
          <w:lang w:eastAsia="en-AU"/>
        </w:rPr>
        <w:t xml:space="preserve">have </w:t>
      </w:r>
      <w:r w:rsidRPr="009D451A">
        <w:rPr>
          <w:rFonts w:cstheme="minorHAnsi"/>
          <w:shd w:val="clear" w:color="auto" w:fill="FFFFFF"/>
        </w:rPr>
        <w:t>fair and equitable access to course funding</w:t>
      </w:r>
      <w:r w:rsidR="00657250">
        <w:rPr>
          <w:rFonts w:cstheme="minorHAnsi"/>
          <w:shd w:val="clear" w:color="auto" w:fill="FFFFFF"/>
        </w:rPr>
        <w:t xml:space="preserve">.  Policy must be </w:t>
      </w:r>
      <w:r>
        <w:rPr>
          <w:rFonts w:cstheme="minorHAnsi"/>
          <w:shd w:val="clear" w:color="auto" w:fill="FFFFFF"/>
        </w:rPr>
        <w:t xml:space="preserve">designed to </w:t>
      </w:r>
      <w:r w:rsidR="00657250">
        <w:rPr>
          <w:rFonts w:cstheme="minorHAnsi"/>
          <w:shd w:val="clear" w:color="auto" w:fill="FFFFFF"/>
        </w:rPr>
        <w:t xml:space="preserve">create a </w:t>
      </w:r>
      <w:r w:rsidRPr="009D451A">
        <w:rPr>
          <w:rFonts w:cstheme="minorHAnsi"/>
        </w:rPr>
        <w:t>coherent</w:t>
      </w:r>
      <w:r w:rsidR="00657250">
        <w:rPr>
          <w:rFonts w:cstheme="minorHAnsi"/>
        </w:rPr>
        <w:t>,</w:t>
      </w:r>
      <w:r w:rsidRPr="009D451A">
        <w:rPr>
          <w:rFonts w:cstheme="minorHAnsi"/>
        </w:rPr>
        <w:t xml:space="preserve"> </w:t>
      </w:r>
      <w:r w:rsidR="00657250" w:rsidRPr="009D451A">
        <w:rPr>
          <w:rFonts w:cstheme="minorHAnsi"/>
        </w:rPr>
        <w:t xml:space="preserve">nationally operating </w:t>
      </w:r>
      <w:r w:rsidR="00657250">
        <w:rPr>
          <w:rFonts w:cstheme="minorHAnsi"/>
        </w:rPr>
        <w:t xml:space="preserve">‘tertiary’ funding and </w:t>
      </w:r>
      <w:r w:rsidR="00657250" w:rsidRPr="009D451A">
        <w:rPr>
          <w:rFonts w:cstheme="minorHAnsi"/>
        </w:rPr>
        <w:t xml:space="preserve">financing </w:t>
      </w:r>
      <w:r w:rsidR="00657250">
        <w:rPr>
          <w:rFonts w:cstheme="minorHAnsi"/>
        </w:rPr>
        <w:t xml:space="preserve">(ie. loans) </w:t>
      </w:r>
      <w:r w:rsidR="00657250" w:rsidRPr="009D451A">
        <w:rPr>
          <w:rFonts w:cstheme="minorHAnsi"/>
        </w:rPr>
        <w:t xml:space="preserve">framework </w:t>
      </w:r>
      <w:r w:rsidR="00657250">
        <w:rPr>
          <w:rFonts w:cstheme="minorHAnsi"/>
        </w:rPr>
        <w:t xml:space="preserve">that is </w:t>
      </w:r>
      <w:r w:rsidRPr="009D451A">
        <w:rPr>
          <w:rFonts w:cstheme="minorHAnsi"/>
        </w:rPr>
        <w:t xml:space="preserve">federally supported </w:t>
      </w:r>
      <w:r>
        <w:rPr>
          <w:rFonts w:cstheme="minorHAnsi"/>
        </w:rPr>
        <w:t xml:space="preserve">by all governments </w:t>
      </w:r>
      <w:r w:rsidRPr="009D451A">
        <w:rPr>
          <w:rFonts w:cstheme="minorHAnsi"/>
        </w:rPr>
        <w:t>and that spans all AQF levels</w:t>
      </w:r>
      <w:r>
        <w:rPr>
          <w:rFonts w:cstheme="minorHAnsi"/>
        </w:rPr>
        <w:t xml:space="preserve"> (</w:t>
      </w:r>
      <w:r w:rsidR="002C5430">
        <w:rPr>
          <w:rFonts w:cstheme="minorHAnsi"/>
        </w:rPr>
        <w:t xml:space="preserve">as </w:t>
      </w:r>
      <w:r w:rsidR="0094636D">
        <w:rPr>
          <w:rFonts w:cstheme="minorHAnsi"/>
        </w:rPr>
        <w:t>amended in the future</w:t>
      </w:r>
      <w:r>
        <w:rPr>
          <w:rFonts w:cstheme="minorHAnsi"/>
        </w:rPr>
        <w:t>)</w:t>
      </w:r>
      <w:r w:rsidRPr="009D451A">
        <w:rPr>
          <w:rFonts w:cstheme="minorHAnsi"/>
        </w:rPr>
        <w:t>.</w:t>
      </w:r>
      <w:r w:rsidRPr="009D451A">
        <w:rPr>
          <w:rFonts w:cstheme="minorHAnsi"/>
          <w:shd w:val="clear" w:color="auto" w:fill="FFFFFF"/>
        </w:rPr>
        <w:t xml:space="preserve">  </w:t>
      </w:r>
    </w:p>
    <w:p w:rsidR="00B02651" w:rsidRDefault="00B02651" w:rsidP="002C5430">
      <w:pPr>
        <w:spacing w:before="120" w:after="0" w:line="300" w:lineRule="exact"/>
        <w:rPr>
          <w:rFonts w:eastAsia="Times New Roman" w:cstheme="minorHAnsi"/>
          <w:lang w:eastAsia="en-AU"/>
        </w:rPr>
      </w:pPr>
      <w:r>
        <w:rPr>
          <w:rFonts w:eastAsia="Times New Roman" w:cstheme="minorHAnsi"/>
          <w:lang w:eastAsia="en-AU"/>
        </w:rPr>
        <w:t>The new d</w:t>
      </w:r>
      <w:r w:rsidR="002C5430">
        <w:rPr>
          <w:rFonts w:eastAsia="Times New Roman" w:cstheme="minorHAnsi"/>
          <w:lang w:eastAsia="en-AU"/>
        </w:rPr>
        <w:t xml:space="preserve">esign must </w:t>
      </w:r>
      <w:r w:rsidR="002C5430" w:rsidRPr="002C5430">
        <w:rPr>
          <w:rFonts w:eastAsia="Times New Roman" w:cstheme="minorHAnsi"/>
          <w:lang w:eastAsia="en-AU"/>
        </w:rPr>
        <w:t xml:space="preserve">future proof a higher skilled workforce providing funding/financing for both ‘new entrant’ workers to </w:t>
      </w:r>
      <w:r>
        <w:rPr>
          <w:rFonts w:eastAsia="Times New Roman" w:cstheme="minorHAnsi"/>
          <w:lang w:eastAsia="en-AU"/>
        </w:rPr>
        <w:t xml:space="preserve">further </w:t>
      </w:r>
      <w:r w:rsidR="002C5430" w:rsidRPr="002C5430">
        <w:rPr>
          <w:rFonts w:eastAsia="Times New Roman" w:cstheme="minorHAnsi"/>
          <w:lang w:eastAsia="en-AU"/>
        </w:rPr>
        <w:t xml:space="preserve">raise participation and well as </w:t>
      </w:r>
      <w:r w:rsidR="002C5430">
        <w:rPr>
          <w:rFonts w:eastAsia="Times New Roman" w:cstheme="minorHAnsi"/>
          <w:lang w:eastAsia="en-AU"/>
        </w:rPr>
        <w:t xml:space="preserve">support </w:t>
      </w:r>
      <w:r w:rsidR="002C5430" w:rsidRPr="002C5430">
        <w:rPr>
          <w:rFonts w:eastAsia="Times New Roman" w:cstheme="minorHAnsi"/>
          <w:lang w:eastAsia="en-AU"/>
        </w:rPr>
        <w:t xml:space="preserve">existing workers for ‘up and re-skilling’.  </w:t>
      </w:r>
    </w:p>
    <w:p w:rsidR="00B02651" w:rsidRDefault="00B02651" w:rsidP="00B104CF">
      <w:pPr>
        <w:spacing w:before="120" w:after="0" w:line="300" w:lineRule="exact"/>
        <w:rPr>
          <w:rFonts w:cstheme="minorHAnsi"/>
          <w:shd w:val="clear" w:color="auto" w:fill="FFFFFF"/>
        </w:rPr>
      </w:pPr>
      <w:r>
        <w:rPr>
          <w:rFonts w:eastAsia="Times New Roman" w:cstheme="minorHAnsi"/>
          <w:lang w:eastAsia="en-AU"/>
        </w:rPr>
        <w:t>The basis will be to p</w:t>
      </w:r>
      <w:r w:rsidR="002C5430" w:rsidRPr="002C5430">
        <w:rPr>
          <w:rFonts w:eastAsia="Times New Roman" w:cstheme="minorHAnsi"/>
          <w:lang w:eastAsia="en-AU"/>
        </w:rPr>
        <w:t xml:space="preserve">ublicly fund/finance both formal </w:t>
      </w:r>
      <w:r w:rsidR="00B104CF">
        <w:rPr>
          <w:rFonts w:eastAsia="Times New Roman" w:cstheme="minorHAnsi"/>
          <w:lang w:eastAsia="en-AU"/>
        </w:rPr>
        <w:t xml:space="preserve">VET level </w:t>
      </w:r>
      <w:r w:rsidR="002C5430" w:rsidRPr="002C5430">
        <w:rPr>
          <w:rFonts w:eastAsia="Times New Roman" w:cstheme="minorHAnsi"/>
          <w:lang w:eastAsia="en-AU"/>
        </w:rPr>
        <w:t xml:space="preserve">qualifications and ‘short-form’ courses/credentials based on </w:t>
      </w:r>
      <w:r w:rsidR="00657250">
        <w:rPr>
          <w:rFonts w:eastAsia="Times New Roman" w:cstheme="minorHAnsi"/>
          <w:lang w:eastAsia="en-AU"/>
        </w:rPr>
        <w:t xml:space="preserve">their </w:t>
      </w:r>
      <w:r w:rsidR="002C5430" w:rsidRPr="002C5430">
        <w:rPr>
          <w:rFonts w:eastAsia="Times New Roman" w:cstheme="minorHAnsi"/>
          <w:lang w:eastAsia="en-AU"/>
        </w:rPr>
        <w:t>quality</w:t>
      </w:r>
      <w:r w:rsidR="00657250">
        <w:rPr>
          <w:rFonts w:eastAsia="Times New Roman" w:cstheme="minorHAnsi"/>
          <w:lang w:eastAsia="en-AU"/>
        </w:rPr>
        <w:t xml:space="preserve"> and </w:t>
      </w:r>
      <w:r w:rsidR="002C5430" w:rsidRPr="002C5430">
        <w:rPr>
          <w:rFonts w:eastAsia="Times New Roman" w:cstheme="minorHAnsi"/>
          <w:lang w:eastAsia="en-AU"/>
        </w:rPr>
        <w:t>relevance</w:t>
      </w:r>
      <w:r w:rsidR="00657250">
        <w:rPr>
          <w:rFonts w:eastAsia="Times New Roman" w:cstheme="minorHAnsi"/>
          <w:lang w:eastAsia="en-AU"/>
        </w:rPr>
        <w:t>,</w:t>
      </w:r>
      <w:r w:rsidR="00B104CF">
        <w:rPr>
          <w:rFonts w:eastAsia="Times New Roman" w:cstheme="minorHAnsi"/>
          <w:lang w:eastAsia="en-AU"/>
        </w:rPr>
        <w:t xml:space="preserve"> </w:t>
      </w:r>
      <w:r w:rsidR="00657250">
        <w:rPr>
          <w:rFonts w:eastAsia="Times New Roman" w:cstheme="minorHAnsi"/>
          <w:lang w:eastAsia="en-AU"/>
        </w:rPr>
        <w:t>as well as considering</w:t>
      </w:r>
      <w:r w:rsidR="00B104CF">
        <w:rPr>
          <w:rFonts w:eastAsia="Times New Roman" w:cstheme="minorHAnsi"/>
          <w:lang w:eastAsia="en-AU"/>
        </w:rPr>
        <w:t xml:space="preserve"> student equity</w:t>
      </w:r>
      <w:r w:rsidR="002C5430" w:rsidRPr="002C5430">
        <w:rPr>
          <w:rFonts w:eastAsia="Times New Roman" w:cstheme="minorHAnsi"/>
          <w:lang w:eastAsia="en-AU"/>
        </w:rPr>
        <w:t xml:space="preserve">.  </w:t>
      </w:r>
      <w:r>
        <w:rPr>
          <w:rFonts w:cstheme="minorHAnsi"/>
          <w:shd w:val="clear" w:color="auto" w:fill="FFFFFF"/>
        </w:rPr>
        <w:t xml:space="preserve">Based on the principle of </w:t>
      </w:r>
      <w:r w:rsidR="00B104CF">
        <w:rPr>
          <w:rFonts w:cstheme="minorHAnsi"/>
          <w:shd w:val="clear" w:color="auto" w:fill="FFFFFF"/>
        </w:rPr>
        <w:t>relative</w:t>
      </w:r>
      <w:r>
        <w:rPr>
          <w:rFonts w:cstheme="minorHAnsi"/>
          <w:shd w:val="clear" w:color="auto" w:fill="FFFFFF"/>
        </w:rPr>
        <w:t xml:space="preserve"> public </w:t>
      </w:r>
      <w:r w:rsidR="00657250">
        <w:rPr>
          <w:rFonts w:cstheme="minorHAnsi"/>
          <w:shd w:val="clear" w:color="auto" w:fill="FFFFFF"/>
        </w:rPr>
        <w:t xml:space="preserve">benefit </w:t>
      </w:r>
      <w:r w:rsidR="00866507">
        <w:rPr>
          <w:rFonts w:cstheme="minorHAnsi"/>
          <w:shd w:val="clear" w:color="auto" w:fill="FFFFFF"/>
        </w:rPr>
        <w:t>vs student</w:t>
      </w:r>
      <w:r>
        <w:rPr>
          <w:rFonts w:cstheme="minorHAnsi"/>
          <w:shd w:val="clear" w:color="auto" w:fill="FFFFFF"/>
        </w:rPr>
        <w:t>/employer benefit</w:t>
      </w:r>
      <w:r w:rsidR="00657250">
        <w:rPr>
          <w:rFonts w:cstheme="minorHAnsi"/>
          <w:shd w:val="clear" w:color="auto" w:fill="FFFFFF"/>
        </w:rPr>
        <w:t>,</w:t>
      </w:r>
      <w:r w:rsidR="00B104CF">
        <w:rPr>
          <w:rFonts w:cstheme="minorHAnsi"/>
          <w:shd w:val="clear" w:color="auto" w:fill="FFFFFF"/>
        </w:rPr>
        <w:t xml:space="preserve"> </w:t>
      </w:r>
      <w:r w:rsidR="00657250">
        <w:rPr>
          <w:rFonts w:cstheme="minorHAnsi"/>
          <w:shd w:val="clear" w:color="auto" w:fill="FFFFFF"/>
        </w:rPr>
        <w:t>the basis is as follows:</w:t>
      </w:r>
    </w:p>
    <w:p w:rsidR="00B02651" w:rsidRDefault="00B02651" w:rsidP="00B02651">
      <w:pPr>
        <w:pStyle w:val="ListParagraph"/>
        <w:numPr>
          <w:ilvl w:val="0"/>
          <w:numId w:val="5"/>
        </w:numPr>
        <w:spacing w:after="0" w:line="300" w:lineRule="exact"/>
        <w:rPr>
          <w:rFonts w:eastAsia="Times New Roman" w:cstheme="minorHAnsi"/>
          <w:lang w:eastAsia="en-AU"/>
        </w:rPr>
      </w:pPr>
      <w:r>
        <w:rPr>
          <w:rFonts w:eastAsia="Times New Roman" w:cstheme="minorHAnsi"/>
          <w:lang w:eastAsia="en-AU"/>
        </w:rPr>
        <w:t xml:space="preserve">Foundational language, literacy, numeracy and digital skills at lowest </w:t>
      </w:r>
      <w:r w:rsidR="0094636D">
        <w:rPr>
          <w:rFonts w:eastAsia="Times New Roman" w:cstheme="minorHAnsi"/>
          <w:lang w:eastAsia="en-AU"/>
        </w:rPr>
        <w:t>~</w:t>
      </w:r>
      <w:r>
        <w:rPr>
          <w:rFonts w:eastAsia="Times New Roman" w:cstheme="minorHAnsi"/>
          <w:lang w:eastAsia="en-AU"/>
        </w:rPr>
        <w:t>AQF (1-2) would ideally be fully funded publicly to encourage either further study or labour force participation.</w:t>
      </w:r>
    </w:p>
    <w:p w:rsidR="00B02651" w:rsidRDefault="00B02651" w:rsidP="00B02651">
      <w:pPr>
        <w:pStyle w:val="ListParagraph"/>
        <w:numPr>
          <w:ilvl w:val="0"/>
          <w:numId w:val="5"/>
        </w:numPr>
        <w:spacing w:after="0" w:line="300" w:lineRule="exact"/>
        <w:rPr>
          <w:rFonts w:eastAsia="Times New Roman" w:cstheme="minorHAnsi"/>
          <w:lang w:eastAsia="en-AU"/>
        </w:rPr>
      </w:pPr>
      <w:r>
        <w:rPr>
          <w:rFonts w:eastAsia="Times New Roman" w:cstheme="minorHAnsi"/>
          <w:lang w:eastAsia="en-AU"/>
        </w:rPr>
        <w:t xml:space="preserve">Intermediary VET qualifications and job-entry skills (typified by current </w:t>
      </w:r>
      <w:r w:rsidR="00657250">
        <w:rPr>
          <w:rFonts w:eastAsia="Times New Roman" w:cstheme="minorHAnsi"/>
          <w:lang w:eastAsia="en-AU"/>
        </w:rPr>
        <w:t xml:space="preserve">VET </w:t>
      </w:r>
      <w:r>
        <w:rPr>
          <w:rFonts w:eastAsia="Times New Roman" w:cstheme="minorHAnsi"/>
          <w:lang w:eastAsia="en-AU"/>
        </w:rPr>
        <w:t xml:space="preserve">Certificate IIIs) would </w:t>
      </w:r>
      <w:r w:rsidR="0094636D">
        <w:rPr>
          <w:rFonts w:eastAsia="Times New Roman" w:cstheme="minorHAnsi"/>
          <w:lang w:eastAsia="en-AU"/>
        </w:rPr>
        <w:t xml:space="preserve">either </w:t>
      </w:r>
      <w:r>
        <w:rPr>
          <w:rFonts w:eastAsia="Times New Roman" w:cstheme="minorHAnsi"/>
          <w:lang w:eastAsia="en-AU"/>
        </w:rPr>
        <w:t xml:space="preserve">be publicly </w:t>
      </w:r>
      <w:r w:rsidR="00657250">
        <w:rPr>
          <w:rFonts w:eastAsia="Times New Roman" w:cstheme="minorHAnsi"/>
          <w:lang w:eastAsia="en-AU"/>
        </w:rPr>
        <w:t xml:space="preserve">fully funded or subsidised </w:t>
      </w:r>
      <w:r>
        <w:rPr>
          <w:rFonts w:eastAsia="Times New Roman" w:cstheme="minorHAnsi"/>
          <w:lang w:eastAsia="en-AU"/>
        </w:rPr>
        <w:t xml:space="preserve">with students required to </w:t>
      </w:r>
      <w:r w:rsidR="003C1BEB">
        <w:rPr>
          <w:rFonts w:eastAsia="Times New Roman" w:cstheme="minorHAnsi"/>
          <w:lang w:eastAsia="en-AU"/>
        </w:rPr>
        <w:t xml:space="preserve">directly </w:t>
      </w:r>
      <w:r>
        <w:rPr>
          <w:rFonts w:eastAsia="Times New Roman" w:cstheme="minorHAnsi"/>
          <w:lang w:eastAsia="en-AU"/>
        </w:rPr>
        <w:t xml:space="preserve">contribute </w:t>
      </w:r>
      <w:r w:rsidR="003C1BEB">
        <w:rPr>
          <w:rFonts w:eastAsia="Times New Roman" w:cstheme="minorHAnsi"/>
          <w:lang w:eastAsia="en-AU"/>
        </w:rPr>
        <w:t xml:space="preserve">‘out of pocket’ </w:t>
      </w:r>
      <w:r>
        <w:rPr>
          <w:rFonts w:eastAsia="Times New Roman" w:cstheme="minorHAnsi"/>
          <w:lang w:eastAsia="en-AU"/>
        </w:rPr>
        <w:t>or</w:t>
      </w:r>
      <w:r w:rsidR="003C1BEB">
        <w:rPr>
          <w:rFonts w:eastAsia="Times New Roman" w:cstheme="minorHAnsi"/>
          <w:lang w:eastAsia="en-AU"/>
        </w:rPr>
        <w:t xml:space="preserve"> alternately </w:t>
      </w:r>
      <w:r w:rsidR="00657250">
        <w:rPr>
          <w:rFonts w:eastAsia="Times New Roman" w:cstheme="minorHAnsi"/>
          <w:lang w:eastAsia="en-AU"/>
        </w:rPr>
        <w:t>able to</w:t>
      </w:r>
      <w:r>
        <w:rPr>
          <w:rFonts w:eastAsia="Times New Roman" w:cstheme="minorHAnsi"/>
          <w:lang w:eastAsia="en-AU"/>
        </w:rPr>
        <w:t xml:space="preserve"> access training loans provided by the States</w:t>
      </w:r>
      <w:r w:rsidR="00657250">
        <w:rPr>
          <w:rFonts w:eastAsia="Times New Roman" w:cstheme="minorHAnsi"/>
          <w:lang w:eastAsia="en-AU"/>
        </w:rPr>
        <w:t xml:space="preserve"> </w:t>
      </w:r>
      <w:r>
        <w:rPr>
          <w:rFonts w:eastAsia="Times New Roman" w:cstheme="minorHAnsi"/>
          <w:lang w:eastAsia="en-AU"/>
        </w:rPr>
        <w:t xml:space="preserve">(or Commonwealth) to cover any shortfall between </w:t>
      </w:r>
      <w:r w:rsidR="003C1BEB">
        <w:rPr>
          <w:rFonts w:eastAsia="Times New Roman" w:cstheme="minorHAnsi"/>
          <w:lang w:eastAsia="en-AU"/>
        </w:rPr>
        <w:t xml:space="preserve">course </w:t>
      </w:r>
      <w:r>
        <w:rPr>
          <w:rFonts w:eastAsia="Times New Roman" w:cstheme="minorHAnsi"/>
          <w:lang w:eastAsia="en-AU"/>
        </w:rPr>
        <w:t>subsidy and price (</w:t>
      </w:r>
      <w:r w:rsidR="00657250">
        <w:rPr>
          <w:rFonts w:eastAsia="Times New Roman" w:cstheme="minorHAnsi"/>
          <w:lang w:eastAsia="en-AU"/>
        </w:rPr>
        <w:t xml:space="preserve">note: </w:t>
      </w:r>
      <w:r>
        <w:rPr>
          <w:rFonts w:eastAsia="Times New Roman" w:cstheme="minorHAnsi"/>
          <w:lang w:eastAsia="en-AU"/>
        </w:rPr>
        <w:t>qualifications</w:t>
      </w:r>
      <w:r w:rsidR="003C1BEB">
        <w:rPr>
          <w:rFonts w:eastAsia="Times New Roman" w:cstheme="minorHAnsi"/>
          <w:lang w:eastAsia="en-AU"/>
        </w:rPr>
        <w:t>/courses</w:t>
      </w:r>
      <w:r>
        <w:rPr>
          <w:rFonts w:eastAsia="Times New Roman" w:cstheme="minorHAnsi"/>
          <w:lang w:eastAsia="en-AU"/>
        </w:rPr>
        <w:t xml:space="preserve"> unsubsidised by government</w:t>
      </w:r>
      <w:r w:rsidR="00657250">
        <w:rPr>
          <w:rFonts w:eastAsia="Times New Roman" w:cstheme="minorHAnsi"/>
          <w:lang w:eastAsia="en-AU"/>
        </w:rPr>
        <w:t>s</w:t>
      </w:r>
      <w:r>
        <w:rPr>
          <w:rFonts w:eastAsia="Times New Roman" w:cstheme="minorHAnsi"/>
          <w:lang w:eastAsia="en-AU"/>
        </w:rPr>
        <w:t xml:space="preserve"> </w:t>
      </w:r>
      <w:r w:rsidR="003C1BEB">
        <w:rPr>
          <w:rFonts w:eastAsia="Times New Roman" w:cstheme="minorHAnsi"/>
          <w:lang w:eastAsia="en-AU"/>
        </w:rPr>
        <w:t>may be</w:t>
      </w:r>
      <w:r>
        <w:rPr>
          <w:rFonts w:eastAsia="Times New Roman" w:cstheme="minorHAnsi"/>
          <w:lang w:eastAsia="en-AU"/>
        </w:rPr>
        <w:t xml:space="preserve"> subject of full financed loans if government chooses).</w:t>
      </w:r>
    </w:p>
    <w:p w:rsidR="00B02651" w:rsidRDefault="00B02651" w:rsidP="00B02651">
      <w:pPr>
        <w:pStyle w:val="ListParagraph"/>
        <w:numPr>
          <w:ilvl w:val="0"/>
          <w:numId w:val="5"/>
        </w:numPr>
        <w:spacing w:after="0" w:line="300" w:lineRule="exact"/>
        <w:rPr>
          <w:rFonts w:eastAsia="Times New Roman" w:cstheme="minorHAnsi"/>
          <w:lang w:eastAsia="en-AU"/>
        </w:rPr>
      </w:pPr>
      <w:r>
        <w:rPr>
          <w:rFonts w:eastAsia="Times New Roman" w:cstheme="minorHAnsi"/>
          <w:lang w:eastAsia="en-AU"/>
        </w:rPr>
        <w:t xml:space="preserve">Higher level VET qualifications (Certificate IV, Diplomas) would be by default all funded/financed by the Commonwealth in the </w:t>
      </w:r>
      <w:r w:rsidR="003C1BEB">
        <w:rPr>
          <w:rFonts w:eastAsia="Times New Roman" w:cstheme="minorHAnsi"/>
          <w:lang w:eastAsia="en-AU"/>
        </w:rPr>
        <w:t>same</w:t>
      </w:r>
      <w:r>
        <w:rPr>
          <w:rFonts w:eastAsia="Times New Roman" w:cstheme="minorHAnsi"/>
          <w:lang w:eastAsia="en-AU"/>
        </w:rPr>
        <w:t xml:space="preserve"> manner </w:t>
      </w:r>
      <w:r w:rsidR="00657250">
        <w:rPr>
          <w:rFonts w:eastAsia="Times New Roman" w:cstheme="minorHAnsi"/>
          <w:lang w:eastAsia="en-AU"/>
        </w:rPr>
        <w:t xml:space="preserve">as </w:t>
      </w:r>
      <w:r w:rsidR="00E94562">
        <w:rPr>
          <w:rFonts w:eastAsia="Times New Roman" w:cstheme="minorHAnsi"/>
          <w:lang w:eastAsia="en-AU"/>
        </w:rPr>
        <w:t xml:space="preserve">current </w:t>
      </w:r>
      <w:r>
        <w:rPr>
          <w:rFonts w:eastAsia="Times New Roman" w:cstheme="minorHAnsi"/>
          <w:lang w:eastAsia="en-AU"/>
        </w:rPr>
        <w:t>HE qualifications by combined C</w:t>
      </w:r>
      <w:r w:rsidR="00E94562">
        <w:rPr>
          <w:rFonts w:eastAsia="Times New Roman" w:cstheme="minorHAnsi"/>
          <w:lang w:eastAsia="en-AU"/>
        </w:rPr>
        <w:t>ommonwealth Support Grant</w:t>
      </w:r>
      <w:r>
        <w:rPr>
          <w:rFonts w:eastAsia="Times New Roman" w:cstheme="minorHAnsi"/>
          <w:lang w:eastAsia="en-AU"/>
        </w:rPr>
        <w:t>/HELP</w:t>
      </w:r>
      <w:r w:rsidR="003C1BEB">
        <w:rPr>
          <w:rFonts w:eastAsia="Times New Roman" w:cstheme="minorHAnsi"/>
          <w:lang w:eastAsia="en-AU"/>
        </w:rPr>
        <w:t xml:space="preserve"> (</w:t>
      </w:r>
      <w:r w:rsidR="00E94562">
        <w:rPr>
          <w:rFonts w:eastAsia="Times New Roman" w:cstheme="minorHAnsi"/>
          <w:lang w:eastAsia="en-AU"/>
        </w:rPr>
        <w:t xml:space="preserve">note: </w:t>
      </w:r>
      <w:r w:rsidR="003C1BEB">
        <w:rPr>
          <w:rFonts w:eastAsia="Times New Roman" w:cstheme="minorHAnsi"/>
          <w:lang w:eastAsia="en-AU"/>
        </w:rPr>
        <w:t>qualifications/courses unsubsidised by government may be subject of full financed loans if government chooses).</w:t>
      </w:r>
    </w:p>
    <w:p w:rsidR="00B02651" w:rsidRDefault="00B02651" w:rsidP="00B02651">
      <w:pPr>
        <w:pStyle w:val="ListParagraph"/>
        <w:spacing w:after="0" w:line="300" w:lineRule="exact"/>
        <w:ind w:left="0"/>
        <w:rPr>
          <w:rFonts w:eastAsia="Times New Roman" w:cstheme="minorHAnsi"/>
          <w:lang w:eastAsia="en-AU"/>
        </w:rPr>
      </w:pPr>
    </w:p>
    <w:p w:rsidR="003C1BEB" w:rsidRDefault="00B02651" w:rsidP="00B02651">
      <w:pPr>
        <w:pStyle w:val="ListParagraph"/>
        <w:spacing w:after="120" w:line="300" w:lineRule="exact"/>
        <w:ind w:left="0"/>
        <w:rPr>
          <w:rFonts w:eastAsia="Times New Roman" w:cstheme="minorHAnsi"/>
          <w:lang w:eastAsia="en-AU"/>
        </w:rPr>
      </w:pPr>
      <w:r>
        <w:rPr>
          <w:rFonts w:eastAsia="Times New Roman" w:cstheme="minorHAnsi"/>
          <w:lang w:eastAsia="en-AU"/>
        </w:rPr>
        <w:t xml:space="preserve">Practically, </w:t>
      </w:r>
      <w:r w:rsidR="00E94562">
        <w:rPr>
          <w:rFonts w:eastAsia="Times New Roman" w:cstheme="minorHAnsi"/>
          <w:lang w:eastAsia="en-AU"/>
        </w:rPr>
        <w:t xml:space="preserve">all </w:t>
      </w:r>
      <w:r>
        <w:rPr>
          <w:rFonts w:eastAsia="Times New Roman" w:cstheme="minorHAnsi"/>
          <w:lang w:eastAsia="en-AU"/>
        </w:rPr>
        <w:t>students would have tagged to their Unique Student Identifier an ‘education</w:t>
      </w:r>
      <w:r w:rsidR="00ED3871">
        <w:rPr>
          <w:rFonts w:eastAsia="Times New Roman" w:cstheme="minorHAnsi"/>
          <w:lang w:eastAsia="en-AU"/>
        </w:rPr>
        <w:t xml:space="preserve">, </w:t>
      </w:r>
      <w:r>
        <w:rPr>
          <w:rFonts w:eastAsia="Times New Roman" w:cstheme="minorHAnsi"/>
          <w:lang w:eastAsia="en-AU"/>
        </w:rPr>
        <w:t xml:space="preserve">training </w:t>
      </w:r>
      <w:r w:rsidR="00ED3871">
        <w:rPr>
          <w:rFonts w:eastAsia="Times New Roman" w:cstheme="minorHAnsi"/>
          <w:lang w:eastAsia="en-AU"/>
        </w:rPr>
        <w:t xml:space="preserve">and skills (ETS) </w:t>
      </w:r>
      <w:r>
        <w:rPr>
          <w:rFonts w:eastAsia="Times New Roman" w:cstheme="minorHAnsi"/>
          <w:lang w:eastAsia="en-AU"/>
        </w:rPr>
        <w:t xml:space="preserve">loan account’, the terms and borrowing costs of which would be consistent across both </w:t>
      </w:r>
      <w:r w:rsidR="00E94562">
        <w:rPr>
          <w:rFonts w:eastAsia="Times New Roman" w:cstheme="minorHAnsi"/>
          <w:lang w:eastAsia="en-AU"/>
        </w:rPr>
        <w:t xml:space="preserve">the </w:t>
      </w:r>
      <w:r>
        <w:rPr>
          <w:rFonts w:eastAsia="Times New Roman" w:cstheme="minorHAnsi"/>
          <w:lang w:eastAsia="en-AU"/>
        </w:rPr>
        <w:t>HE and VET</w:t>
      </w:r>
      <w:r w:rsidR="003C1BEB">
        <w:rPr>
          <w:rFonts w:eastAsia="Times New Roman" w:cstheme="minorHAnsi"/>
          <w:lang w:eastAsia="en-AU"/>
        </w:rPr>
        <w:t xml:space="preserve"> sectors</w:t>
      </w:r>
      <w:r>
        <w:rPr>
          <w:rFonts w:eastAsia="Times New Roman" w:cstheme="minorHAnsi"/>
          <w:lang w:eastAsia="en-AU"/>
        </w:rPr>
        <w:t xml:space="preserve"> ie tertiary system wide, not inconsistent as </w:t>
      </w:r>
      <w:r w:rsidR="003C1BEB">
        <w:rPr>
          <w:rFonts w:eastAsia="Times New Roman" w:cstheme="minorHAnsi"/>
          <w:lang w:eastAsia="en-AU"/>
        </w:rPr>
        <w:t xml:space="preserve">at </w:t>
      </w:r>
      <w:r>
        <w:rPr>
          <w:rFonts w:eastAsia="Times New Roman" w:cstheme="minorHAnsi"/>
          <w:lang w:eastAsia="en-AU"/>
        </w:rPr>
        <w:t xml:space="preserve">present.  </w:t>
      </w:r>
      <w:r w:rsidR="003C1BEB">
        <w:rPr>
          <w:rFonts w:eastAsia="Times New Roman" w:cstheme="minorHAnsi"/>
          <w:lang w:eastAsia="en-AU"/>
        </w:rPr>
        <w:t xml:space="preserve">This is akin to the </w:t>
      </w:r>
      <w:r w:rsidR="00E94562">
        <w:rPr>
          <w:rFonts w:eastAsia="Times New Roman" w:cstheme="minorHAnsi"/>
          <w:lang w:eastAsia="en-AU"/>
        </w:rPr>
        <w:t>‘</w:t>
      </w:r>
      <w:r w:rsidR="003C1BEB">
        <w:rPr>
          <w:rFonts w:eastAsia="Times New Roman" w:cstheme="minorHAnsi"/>
          <w:lang w:eastAsia="en-AU"/>
        </w:rPr>
        <w:t>personal training account</w:t>
      </w:r>
      <w:r w:rsidR="00E94562">
        <w:rPr>
          <w:rFonts w:eastAsia="Times New Roman" w:cstheme="minorHAnsi"/>
          <w:lang w:eastAsia="en-AU"/>
        </w:rPr>
        <w:t>’</w:t>
      </w:r>
      <w:r w:rsidR="003C1BEB">
        <w:rPr>
          <w:rFonts w:eastAsia="Times New Roman" w:cstheme="minorHAnsi"/>
          <w:lang w:eastAsia="en-AU"/>
        </w:rPr>
        <w:t xml:space="preserve"> advocated by the Business Council</w:t>
      </w:r>
      <w:r w:rsidR="00862264">
        <w:rPr>
          <w:rFonts w:eastAsia="Times New Roman" w:cstheme="minorHAnsi"/>
          <w:lang w:eastAsia="en-AU"/>
        </w:rPr>
        <w:t xml:space="preserve"> of Australia</w:t>
      </w:r>
      <w:r w:rsidR="003C1BEB">
        <w:rPr>
          <w:rFonts w:eastAsia="Times New Roman" w:cstheme="minorHAnsi"/>
          <w:lang w:eastAsia="en-AU"/>
        </w:rPr>
        <w:t>.</w:t>
      </w:r>
      <w:r w:rsidR="00EC148E">
        <w:rPr>
          <w:rFonts w:eastAsia="Times New Roman" w:cstheme="minorHAnsi"/>
          <w:lang w:eastAsia="en-AU"/>
        </w:rPr>
        <w:t xml:space="preserve">  </w:t>
      </w:r>
      <w:r>
        <w:rPr>
          <w:rFonts w:eastAsia="Times New Roman" w:cstheme="minorHAnsi"/>
          <w:lang w:eastAsia="en-AU"/>
        </w:rPr>
        <w:t xml:space="preserve">The </w:t>
      </w:r>
      <w:r w:rsidR="003C1BEB">
        <w:rPr>
          <w:rFonts w:eastAsia="Times New Roman" w:cstheme="minorHAnsi"/>
          <w:lang w:eastAsia="en-AU"/>
        </w:rPr>
        <w:t>students ‘</w:t>
      </w:r>
      <w:r w:rsidR="00ED3871">
        <w:rPr>
          <w:rFonts w:eastAsia="Times New Roman" w:cstheme="minorHAnsi"/>
          <w:lang w:eastAsia="en-AU"/>
        </w:rPr>
        <w:t xml:space="preserve">work-life’ ETS </w:t>
      </w:r>
      <w:r>
        <w:rPr>
          <w:rFonts w:eastAsia="Times New Roman" w:cstheme="minorHAnsi"/>
          <w:lang w:eastAsia="en-AU"/>
        </w:rPr>
        <w:t xml:space="preserve">loan account would be capped (ie not exceed a set $ </w:t>
      </w:r>
      <w:r w:rsidR="00B104CF">
        <w:rPr>
          <w:rFonts w:eastAsia="Times New Roman" w:cstheme="minorHAnsi"/>
          <w:lang w:eastAsia="en-AU"/>
        </w:rPr>
        <w:t xml:space="preserve">value </w:t>
      </w:r>
      <w:r w:rsidR="00ED3871">
        <w:rPr>
          <w:rFonts w:eastAsia="Times New Roman" w:cstheme="minorHAnsi"/>
          <w:lang w:eastAsia="en-AU"/>
        </w:rPr>
        <w:t>at any time).</w:t>
      </w:r>
      <w:r w:rsidR="003C1BEB">
        <w:rPr>
          <w:rFonts w:eastAsia="Times New Roman" w:cstheme="minorHAnsi"/>
          <w:lang w:eastAsia="en-AU"/>
        </w:rPr>
        <w:t xml:space="preserve">  </w:t>
      </w:r>
    </w:p>
    <w:p w:rsidR="00B02651" w:rsidRDefault="003C1BEB" w:rsidP="00B02651">
      <w:pPr>
        <w:pStyle w:val="ListParagraph"/>
        <w:spacing w:after="120" w:line="300" w:lineRule="exact"/>
        <w:ind w:left="0"/>
        <w:rPr>
          <w:rFonts w:eastAsia="Times New Roman" w:cstheme="minorHAnsi"/>
          <w:lang w:eastAsia="en-AU"/>
        </w:rPr>
      </w:pPr>
      <w:r>
        <w:rPr>
          <w:rFonts w:eastAsia="Times New Roman" w:cstheme="minorHAnsi"/>
          <w:lang w:eastAsia="en-AU"/>
        </w:rPr>
        <w:lastRenderedPageBreak/>
        <w:t>S</w:t>
      </w:r>
      <w:r w:rsidR="00B02651">
        <w:rPr>
          <w:rFonts w:eastAsia="Times New Roman" w:cstheme="minorHAnsi"/>
          <w:lang w:eastAsia="en-AU"/>
        </w:rPr>
        <w:t xml:space="preserve">tudents </w:t>
      </w:r>
      <w:r>
        <w:rPr>
          <w:rFonts w:eastAsia="Times New Roman" w:cstheme="minorHAnsi"/>
          <w:lang w:eastAsia="en-AU"/>
        </w:rPr>
        <w:t xml:space="preserve">(whatever their </w:t>
      </w:r>
      <w:r w:rsidR="00ED3871">
        <w:rPr>
          <w:rFonts w:eastAsia="Times New Roman" w:cstheme="minorHAnsi"/>
          <w:lang w:eastAsia="en-AU"/>
        </w:rPr>
        <w:t xml:space="preserve">employment status; </w:t>
      </w:r>
      <w:r w:rsidR="00E94562">
        <w:rPr>
          <w:rFonts w:eastAsia="Times New Roman" w:cstheme="minorHAnsi"/>
          <w:lang w:eastAsia="en-AU"/>
        </w:rPr>
        <w:t>whether in</w:t>
      </w:r>
      <w:r>
        <w:rPr>
          <w:rFonts w:eastAsia="Times New Roman" w:cstheme="minorHAnsi"/>
          <w:lang w:eastAsia="en-AU"/>
        </w:rPr>
        <w:t xml:space="preserve"> full or </w:t>
      </w:r>
      <w:r w:rsidR="00E94562">
        <w:rPr>
          <w:rFonts w:eastAsia="Times New Roman" w:cstheme="minorHAnsi"/>
          <w:lang w:eastAsia="en-AU"/>
        </w:rPr>
        <w:t xml:space="preserve">part </w:t>
      </w:r>
      <w:r>
        <w:rPr>
          <w:rFonts w:eastAsia="Times New Roman" w:cstheme="minorHAnsi"/>
          <w:lang w:eastAsia="en-AU"/>
        </w:rPr>
        <w:t xml:space="preserve">time study) </w:t>
      </w:r>
      <w:r w:rsidR="00B02651">
        <w:rPr>
          <w:rFonts w:eastAsia="Times New Roman" w:cstheme="minorHAnsi"/>
          <w:lang w:eastAsia="en-AU"/>
        </w:rPr>
        <w:t xml:space="preserve">would be </w:t>
      </w:r>
      <w:r>
        <w:rPr>
          <w:rFonts w:eastAsia="Times New Roman" w:cstheme="minorHAnsi"/>
          <w:lang w:eastAsia="en-AU"/>
        </w:rPr>
        <w:t xml:space="preserve">responsible for deciding </w:t>
      </w:r>
      <w:r w:rsidR="00B02651">
        <w:rPr>
          <w:rFonts w:eastAsia="Times New Roman" w:cstheme="minorHAnsi"/>
          <w:lang w:eastAsia="en-AU"/>
        </w:rPr>
        <w:t xml:space="preserve">and </w:t>
      </w:r>
      <w:r w:rsidR="00ED3871">
        <w:rPr>
          <w:rFonts w:eastAsia="Times New Roman" w:cstheme="minorHAnsi"/>
          <w:lang w:eastAsia="en-AU"/>
        </w:rPr>
        <w:t>undertaking</w:t>
      </w:r>
      <w:r w:rsidR="00B02651">
        <w:rPr>
          <w:rFonts w:eastAsia="Times New Roman" w:cstheme="minorHAnsi"/>
          <w:lang w:eastAsia="en-AU"/>
        </w:rPr>
        <w:t xml:space="preserve"> full or part qualifications or </w:t>
      </w:r>
      <w:r w:rsidR="00E94562">
        <w:rPr>
          <w:rFonts w:eastAsia="Times New Roman" w:cstheme="minorHAnsi"/>
          <w:lang w:eastAsia="en-AU"/>
        </w:rPr>
        <w:t>short courses/</w:t>
      </w:r>
      <w:r w:rsidR="0094636D">
        <w:rPr>
          <w:rFonts w:eastAsia="Times New Roman" w:cstheme="minorHAnsi"/>
          <w:lang w:eastAsia="en-AU"/>
        </w:rPr>
        <w:t>micro-</w:t>
      </w:r>
      <w:r w:rsidR="00B02651">
        <w:rPr>
          <w:rFonts w:eastAsia="Times New Roman" w:cstheme="minorHAnsi"/>
          <w:lang w:eastAsia="en-AU"/>
        </w:rPr>
        <w:t xml:space="preserve">credentials </w:t>
      </w:r>
      <w:r w:rsidR="00E94562">
        <w:rPr>
          <w:rFonts w:eastAsia="Times New Roman" w:cstheme="minorHAnsi"/>
          <w:lang w:eastAsia="en-AU"/>
        </w:rPr>
        <w:t xml:space="preserve">subject to </w:t>
      </w:r>
      <w:r w:rsidR="00255A0A">
        <w:rPr>
          <w:rFonts w:eastAsia="Times New Roman" w:cstheme="minorHAnsi"/>
          <w:lang w:eastAsia="en-AU"/>
        </w:rPr>
        <w:t>their</w:t>
      </w:r>
      <w:r w:rsidR="00E94562">
        <w:rPr>
          <w:rFonts w:eastAsia="Times New Roman" w:cstheme="minorHAnsi"/>
          <w:lang w:eastAsia="en-AU"/>
        </w:rPr>
        <w:t xml:space="preserve"> ETS </w:t>
      </w:r>
      <w:r w:rsidR="0094636D">
        <w:rPr>
          <w:rFonts w:eastAsia="Times New Roman" w:cstheme="minorHAnsi"/>
          <w:lang w:eastAsia="en-AU"/>
        </w:rPr>
        <w:t>activity</w:t>
      </w:r>
      <w:r w:rsidR="00E94562">
        <w:rPr>
          <w:rFonts w:eastAsia="Times New Roman" w:cstheme="minorHAnsi"/>
          <w:lang w:eastAsia="en-AU"/>
        </w:rPr>
        <w:t xml:space="preserve"> </w:t>
      </w:r>
      <w:r w:rsidR="00ED3871">
        <w:rPr>
          <w:rFonts w:eastAsia="Times New Roman" w:cstheme="minorHAnsi"/>
          <w:lang w:eastAsia="en-AU"/>
        </w:rPr>
        <w:t xml:space="preserve">meeting </w:t>
      </w:r>
      <w:r w:rsidR="00E94562">
        <w:rPr>
          <w:rFonts w:eastAsia="Times New Roman" w:cstheme="minorHAnsi"/>
          <w:lang w:eastAsia="en-AU"/>
        </w:rPr>
        <w:t xml:space="preserve">both </w:t>
      </w:r>
      <w:r w:rsidR="00B02651">
        <w:rPr>
          <w:rFonts w:eastAsia="Times New Roman" w:cstheme="minorHAnsi"/>
          <w:lang w:eastAsia="en-AU"/>
        </w:rPr>
        <w:t xml:space="preserve">quality </w:t>
      </w:r>
      <w:r w:rsidR="00E94562">
        <w:rPr>
          <w:rFonts w:eastAsia="Times New Roman" w:cstheme="minorHAnsi"/>
          <w:lang w:eastAsia="en-AU"/>
        </w:rPr>
        <w:t xml:space="preserve">standards </w:t>
      </w:r>
      <w:r w:rsidR="00B02651">
        <w:rPr>
          <w:rFonts w:eastAsia="Times New Roman" w:cstheme="minorHAnsi"/>
          <w:lang w:eastAsia="en-AU"/>
        </w:rPr>
        <w:t xml:space="preserve">and work relevance </w:t>
      </w:r>
      <w:r w:rsidR="00B96E49">
        <w:rPr>
          <w:rFonts w:eastAsia="Times New Roman" w:cstheme="minorHAnsi"/>
          <w:lang w:eastAsia="en-AU"/>
        </w:rPr>
        <w:t>requirement</w:t>
      </w:r>
      <w:r w:rsidR="00E94562">
        <w:rPr>
          <w:rFonts w:eastAsia="Times New Roman" w:cstheme="minorHAnsi"/>
          <w:lang w:eastAsia="en-AU"/>
        </w:rPr>
        <w:t>s</w:t>
      </w:r>
      <w:r w:rsidR="00B96E49">
        <w:rPr>
          <w:rFonts w:eastAsia="Times New Roman" w:cstheme="minorHAnsi"/>
          <w:lang w:eastAsia="en-AU"/>
        </w:rPr>
        <w:t xml:space="preserve"> </w:t>
      </w:r>
      <w:r w:rsidR="00B02651">
        <w:rPr>
          <w:rFonts w:eastAsia="Times New Roman" w:cstheme="minorHAnsi"/>
          <w:lang w:eastAsia="en-AU"/>
        </w:rPr>
        <w:t>(</w:t>
      </w:r>
      <w:r w:rsidR="0094636D">
        <w:rPr>
          <w:rFonts w:eastAsia="Times New Roman" w:cstheme="minorHAnsi"/>
          <w:lang w:eastAsia="en-AU"/>
        </w:rPr>
        <w:t xml:space="preserve">ETS </w:t>
      </w:r>
      <w:r w:rsidR="00E94562">
        <w:rPr>
          <w:rFonts w:eastAsia="Times New Roman" w:cstheme="minorHAnsi"/>
          <w:lang w:eastAsia="en-AU"/>
        </w:rPr>
        <w:t>delivered by</w:t>
      </w:r>
      <w:r w:rsidR="00B02651">
        <w:rPr>
          <w:rFonts w:eastAsia="Times New Roman" w:cstheme="minorHAnsi"/>
          <w:lang w:eastAsia="en-AU"/>
        </w:rPr>
        <w:t xml:space="preserve"> self-accrediting providers</w:t>
      </w:r>
      <w:r w:rsidR="00255A0A">
        <w:rPr>
          <w:rFonts w:eastAsia="Times New Roman" w:cstheme="minorHAnsi"/>
          <w:lang w:eastAsia="en-AU"/>
        </w:rPr>
        <w:t>,</w:t>
      </w:r>
      <w:r w:rsidR="00B02651">
        <w:rPr>
          <w:rFonts w:eastAsia="Times New Roman" w:cstheme="minorHAnsi"/>
          <w:lang w:eastAsia="en-AU"/>
        </w:rPr>
        <w:t xml:space="preserve"> or </w:t>
      </w:r>
      <w:r w:rsidR="00B104CF">
        <w:rPr>
          <w:rFonts w:eastAsia="Times New Roman" w:cstheme="minorHAnsi"/>
          <w:lang w:eastAsia="en-AU"/>
        </w:rPr>
        <w:t xml:space="preserve">short </w:t>
      </w:r>
      <w:r w:rsidR="00B02651">
        <w:rPr>
          <w:rFonts w:eastAsia="Times New Roman" w:cstheme="minorHAnsi"/>
          <w:lang w:eastAsia="en-AU"/>
        </w:rPr>
        <w:t>courses approved by regulators</w:t>
      </w:r>
      <w:r w:rsidR="00255A0A">
        <w:rPr>
          <w:rFonts w:eastAsia="Times New Roman" w:cstheme="minorHAnsi"/>
          <w:lang w:eastAsia="en-AU"/>
        </w:rPr>
        <w:t>,</w:t>
      </w:r>
      <w:r w:rsidR="00B104CF">
        <w:rPr>
          <w:rFonts w:eastAsia="Times New Roman" w:cstheme="minorHAnsi"/>
          <w:lang w:eastAsia="en-AU"/>
        </w:rPr>
        <w:t xml:space="preserve"> or </w:t>
      </w:r>
      <w:r w:rsidR="0094636D">
        <w:rPr>
          <w:rFonts w:eastAsia="Times New Roman" w:cstheme="minorHAnsi"/>
          <w:lang w:eastAsia="en-AU"/>
        </w:rPr>
        <w:t xml:space="preserve">by </w:t>
      </w:r>
      <w:r w:rsidR="00B104CF">
        <w:rPr>
          <w:rFonts w:eastAsia="Times New Roman" w:cstheme="minorHAnsi"/>
          <w:lang w:eastAsia="en-AU"/>
        </w:rPr>
        <w:t>other means</w:t>
      </w:r>
      <w:r w:rsidR="00B02651">
        <w:rPr>
          <w:rFonts w:eastAsia="Times New Roman" w:cstheme="minorHAnsi"/>
          <w:lang w:eastAsia="en-AU"/>
        </w:rPr>
        <w:t xml:space="preserve">).  </w:t>
      </w:r>
      <w:r>
        <w:rPr>
          <w:rFonts w:eastAsia="Times New Roman" w:cstheme="minorHAnsi"/>
          <w:lang w:eastAsia="en-AU"/>
        </w:rPr>
        <w:t>This test of quality and relevance is needed to safeguard public outlays against poor quality</w:t>
      </w:r>
      <w:r w:rsidR="00ED3871">
        <w:rPr>
          <w:rFonts w:eastAsia="Times New Roman" w:cstheme="minorHAnsi"/>
          <w:lang w:eastAsia="en-AU"/>
        </w:rPr>
        <w:t xml:space="preserve"> and/or</w:t>
      </w:r>
      <w:r>
        <w:rPr>
          <w:rFonts w:eastAsia="Times New Roman" w:cstheme="minorHAnsi"/>
          <w:lang w:eastAsia="en-AU"/>
        </w:rPr>
        <w:t xml:space="preserve"> irrelevant content.</w:t>
      </w:r>
    </w:p>
    <w:p w:rsidR="003C1BEB" w:rsidRDefault="003C1BEB" w:rsidP="00B02651">
      <w:pPr>
        <w:pStyle w:val="ListParagraph"/>
        <w:spacing w:after="120" w:line="300" w:lineRule="exact"/>
        <w:ind w:left="0"/>
        <w:rPr>
          <w:rFonts w:eastAsia="Times New Roman" w:cstheme="minorHAnsi"/>
          <w:lang w:eastAsia="en-AU"/>
        </w:rPr>
      </w:pPr>
    </w:p>
    <w:p w:rsidR="002931EE" w:rsidRDefault="00ED3871" w:rsidP="00B96E49">
      <w:pPr>
        <w:pStyle w:val="ListParagraph"/>
        <w:spacing w:before="120" w:after="0" w:line="300" w:lineRule="exact"/>
        <w:ind w:left="0"/>
        <w:rPr>
          <w:rFonts w:eastAsia="Times New Roman" w:cstheme="minorHAnsi"/>
          <w:lang w:eastAsia="en-AU"/>
        </w:rPr>
      </w:pPr>
      <w:r>
        <w:rPr>
          <w:rFonts w:eastAsia="Times New Roman" w:cstheme="minorHAnsi"/>
          <w:lang w:eastAsia="en-AU"/>
        </w:rPr>
        <w:t>With such student loans being widely available</w:t>
      </w:r>
      <w:r w:rsidR="00862264">
        <w:rPr>
          <w:rStyle w:val="FootnoteReference"/>
          <w:rFonts w:eastAsia="Times New Roman" w:cstheme="minorHAnsi"/>
          <w:lang w:eastAsia="en-AU"/>
        </w:rPr>
        <w:footnoteReference w:id="2"/>
      </w:r>
      <w:r w:rsidR="00B96E49">
        <w:rPr>
          <w:rFonts w:eastAsia="Times New Roman" w:cstheme="minorHAnsi"/>
          <w:lang w:eastAsia="en-AU"/>
        </w:rPr>
        <w:t>, a</w:t>
      </w:r>
      <w:r w:rsidR="00B7796B">
        <w:rPr>
          <w:rFonts w:eastAsia="Times New Roman" w:cstheme="minorHAnsi"/>
          <w:lang w:eastAsia="en-AU"/>
        </w:rPr>
        <w:t xml:space="preserve"> policy </w:t>
      </w:r>
      <w:r w:rsidR="00B96E49">
        <w:rPr>
          <w:rFonts w:eastAsia="Times New Roman" w:cstheme="minorHAnsi"/>
          <w:lang w:eastAsia="en-AU"/>
        </w:rPr>
        <w:t xml:space="preserve">option is for ‘employed’ students in </w:t>
      </w:r>
      <w:r w:rsidR="00E94562">
        <w:rPr>
          <w:rFonts w:eastAsia="Times New Roman" w:cstheme="minorHAnsi"/>
          <w:lang w:eastAsia="en-AU"/>
        </w:rPr>
        <w:t xml:space="preserve">receipt of </w:t>
      </w:r>
      <w:r w:rsidR="00B7796B">
        <w:rPr>
          <w:rFonts w:eastAsia="Times New Roman" w:cstheme="minorHAnsi"/>
          <w:lang w:eastAsia="en-AU"/>
        </w:rPr>
        <w:t xml:space="preserve">employer </w:t>
      </w:r>
      <w:r w:rsidR="00B96E49">
        <w:rPr>
          <w:rFonts w:eastAsia="Times New Roman" w:cstheme="minorHAnsi"/>
          <w:lang w:eastAsia="en-AU"/>
        </w:rPr>
        <w:t xml:space="preserve">compulsory superannuation </w:t>
      </w:r>
      <w:r w:rsidR="00E94562">
        <w:rPr>
          <w:rFonts w:eastAsia="Times New Roman" w:cstheme="minorHAnsi"/>
          <w:lang w:eastAsia="en-AU"/>
        </w:rPr>
        <w:t xml:space="preserve">payments </w:t>
      </w:r>
      <w:r w:rsidR="00B96E49">
        <w:rPr>
          <w:rFonts w:eastAsia="Times New Roman" w:cstheme="minorHAnsi"/>
          <w:lang w:eastAsia="en-AU"/>
        </w:rPr>
        <w:t xml:space="preserve">to </w:t>
      </w:r>
      <w:r w:rsidR="00520A58">
        <w:rPr>
          <w:rFonts w:eastAsia="Times New Roman" w:cstheme="minorHAnsi"/>
          <w:lang w:eastAsia="en-AU"/>
        </w:rPr>
        <w:t>(part) us</w:t>
      </w:r>
      <w:r w:rsidR="00B96E49">
        <w:rPr>
          <w:rFonts w:eastAsia="Times New Roman" w:cstheme="minorHAnsi"/>
          <w:lang w:eastAsia="en-AU"/>
        </w:rPr>
        <w:t>e these funds to pay</w:t>
      </w:r>
      <w:r>
        <w:rPr>
          <w:rFonts w:eastAsia="Times New Roman" w:cstheme="minorHAnsi"/>
          <w:lang w:eastAsia="en-AU"/>
        </w:rPr>
        <w:t>-</w:t>
      </w:r>
      <w:r w:rsidR="00B96E49">
        <w:rPr>
          <w:rFonts w:eastAsia="Times New Roman" w:cstheme="minorHAnsi"/>
          <w:lang w:eastAsia="en-AU"/>
        </w:rPr>
        <w:t xml:space="preserve">back </w:t>
      </w:r>
      <w:r>
        <w:rPr>
          <w:rFonts w:eastAsia="Times New Roman" w:cstheme="minorHAnsi"/>
          <w:lang w:eastAsia="en-AU"/>
        </w:rPr>
        <w:t xml:space="preserve">or </w:t>
      </w:r>
      <w:r w:rsidR="00B96E49">
        <w:rPr>
          <w:rFonts w:eastAsia="Times New Roman" w:cstheme="minorHAnsi"/>
          <w:lang w:eastAsia="en-AU"/>
        </w:rPr>
        <w:t xml:space="preserve">offset their </w:t>
      </w:r>
      <w:r>
        <w:rPr>
          <w:rFonts w:eastAsia="Times New Roman" w:cstheme="minorHAnsi"/>
          <w:lang w:eastAsia="en-AU"/>
        </w:rPr>
        <w:t>ETS loans</w:t>
      </w:r>
      <w:r w:rsidR="00B96E49">
        <w:rPr>
          <w:rFonts w:eastAsia="Times New Roman" w:cstheme="minorHAnsi"/>
          <w:lang w:eastAsia="en-AU"/>
        </w:rPr>
        <w:t xml:space="preserve"> either through tax returns (like HECS repayments), or by directing their employers to make such loan </w:t>
      </w:r>
      <w:r w:rsidR="00520A58">
        <w:rPr>
          <w:rFonts w:eastAsia="Times New Roman" w:cstheme="minorHAnsi"/>
          <w:lang w:eastAsia="en-AU"/>
        </w:rPr>
        <w:t>re</w:t>
      </w:r>
      <w:r w:rsidR="00B96E49">
        <w:rPr>
          <w:rFonts w:eastAsia="Times New Roman" w:cstheme="minorHAnsi"/>
          <w:lang w:eastAsia="en-AU"/>
        </w:rPr>
        <w:t>payments.  Th</w:t>
      </w:r>
      <w:r>
        <w:rPr>
          <w:rFonts w:eastAsia="Times New Roman" w:cstheme="minorHAnsi"/>
          <w:lang w:eastAsia="en-AU"/>
        </w:rPr>
        <w:t>is</w:t>
      </w:r>
      <w:r w:rsidR="00B96E49">
        <w:rPr>
          <w:rFonts w:eastAsia="Times New Roman" w:cstheme="minorHAnsi"/>
          <w:lang w:eastAsia="en-AU"/>
        </w:rPr>
        <w:t xml:space="preserve"> policy would operate </w:t>
      </w:r>
      <w:r w:rsidR="00E94562">
        <w:rPr>
          <w:rFonts w:eastAsia="Times New Roman" w:cstheme="minorHAnsi"/>
          <w:lang w:eastAsia="en-AU"/>
        </w:rPr>
        <w:t xml:space="preserve">ETS system-wide </w:t>
      </w:r>
      <w:r w:rsidR="00EC148E">
        <w:rPr>
          <w:rFonts w:eastAsia="Times New Roman" w:cstheme="minorHAnsi"/>
          <w:lang w:eastAsia="en-AU"/>
        </w:rPr>
        <w:t xml:space="preserve">including </w:t>
      </w:r>
      <w:r w:rsidR="00520A58">
        <w:rPr>
          <w:rFonts w:eastAsia="Times New Roman" w:cstheme="minorHAnsi"/>
          <w:lang w:eastAsia="en-AU"/>
        </w:rPr>
        <w:t xml:space="preserve">the </w:t>
      </w:r>
      <w:r>
        <w:rPr>
          <w:rFonts w:eastAsia="Times New Roman" w:cstheme="minorHAnsi"/>
          <w:lang w:eastAsia="en-AU"/>
        </w:rPr>
        <w:t xml:space="preserve">formal </w:t>
      </w:r>
      <w:r w:rsidR="00B96E49">
        <w:rPr>
          <w:rFonts w:eastAsia="Times New Roman" w:cstheme="minorHAnsi"/>
          <w:lang w:eastAsia="en-AU"/>
        </w:rPr>
        <w:t>HE and VET sectors</w:t>
      </w:r>
      <w:r w:rsidR="00E94562">
        <w:rPr>
          <w:rFonts w:eastAsia="Times New Roman" w:cstheme="minorHAnsi"/>
          <w:lang w:eastAsia="en-AU"/>
        </w:rPr>
        <w:t>.</w:t>
      </w:r>
      <w:r w:rsidR="00B96E49">
        <w:rPr>
          <w:rFonts w:eastAsia="Times New Roman" w:cstheme="minorHAnsi"/>
          <w:lang w:eastAsia="en-AU"/>
        </w:rPr>
        <w:t xml:space="preserve"> There would be a </w:t>
      </w:r>
      <w:r w:rsidR="00DE18A5">
        <w:rPr>
          <w:rFonts w:eastAsia="Times New Roman" w:cstheme="minorHAnsi"/>
          <w:lang w:eastAsia="en-AU"/>
        </w:rPr>
        <w:t xml:space="preserve">set </w:t>
      </w:r>
      <w:r w:rsidR="00B96E49">
        <w:rPr>
          <w:rFonts w:eastAsia="Times New Roman" w:cstheme="minorHAnsi"/>
          <w:lang w:eastAsia="en-AU"/>
        </w:rPr>
        <w:t xml:space="preserve">life-time </w:t>
      </w:r>
      <w:r>
        <w:rPr>
          <w:rFonts w:eastAsia="Times New Roman" w:cstheme="minorHAnsi"/>
          <w:lang w:eastAsia="en-AU"/>
        </w:rPr>
        <w:t xml:space="preserve">$ </w:t>
      </w:r>
      <w:r w:rsidR="00B96E49" w:rsidRPr="0094636D">
        <w:rPr>
          <w:rFonts w:eastAsia="Times New Roman" w:cstheme="minorHAnsi"/>
          <w:i/>
          <w:lang w:eastAsia="en-AU"/>
        </w:rPr>
        <w:t>limit</w:t>
      </w:r>
      <w:r w:rsidR="00B96E49">
        <w:rPr>
          <w:rFonts w:eastAsia="Times New Roman" w:cstheme="minorHAnsi"/>
          <w:lang w:eastAsia="en-AU"/>
        </w:rPr>
        <w:t xml:space="preserve"> on such </w:t>
      </w:r>
      <w:r w:rsidR="00520A58">
        <w:rPr>
          <w:rFonts w:eastAsia="Times New Roman" w:cstheme="minorHAnsi"/>
          <w:lang w:eastAsia="en-AU"/>
        </w:rPr>
        <w:t xml:space="preserve">ETS purposed </w:t>
      </w:r>
      <w:r w:rsidR="00B96E49">
        <w:rPr>
          <w:rFonts w:eastAsia="Times New Roman" w:cstheme="minorHAnsi"/>
          <w:lang w:eastAsia="en-AU"/>
        </w:rPr>
        <w:t>hypot</w:t>
      </w:r>
      <w:r>
        <w:rPr>
          <w:rFonts w:eastAsia="Times New Roman" w:cstheme="minorHAnsi"/>
          <w:lang w:eastAsia="en-AU"/>
        </w:rPr>
        <w:t>hecation</w:t>
      </w:r>
      <w:r w:rsidR="00520A58">
        <w:rPr>
          <w:rFonts w:eastAsia="Times New Roman" w:cstheme="minorHAnsi"/>
          <w:lang w:eastAsia="en-AU"/>
        </w:rPr>
        <w:t xml:space="preserve"> to avoid </w:t>
      </w:r>
      <w:r w:rsidR="00255A0A">
        <w:rPr>
          <w:rFonts w:eastAsia="Times New Roman" w:cstheme="minorHAnsi"/>
          <w:lang w:eastAsia="en-AU"/>
        </w:rPr>
        <w:t xml:space="preserve">waste or </w:t>
      </w:r>
      <w:r w:rsidR="00520A58">
        <w:rPr>
          <w:rFonts w:eastAsia="Times New Roman" w:cstheme="minorHAnsi"/>
          <w:lang w:eastAsia="en-AU"/>
        </w:rPr>
        <w:t>gouging</w:t>
      </w:r>
      <w:r>
        <w:rPr>
          <w:rFonts w:eastAsia="Times New Roman" w:cstheme="minorHAnsi"/>
          <w:lang w:eastAsia="en-AU"/>
        </w:rPr>
        <w:t xml:space="preserve">.   </w:t>
      </w:r>
    </w:p>
    <w:p w:rsidR="002931EE" w:rsidRDefault="002931EE" w:rsidP="00B96E49">
      <w:pPr>
        <w:pStyle w:val="ListParagraph"/>
        <w:spacing w:before="120" w:after="0" w:line="300" w:lineRule="exact"/>
        <w:ind w:left="0"/>
        <w:rPr>
          <w:rFonts w:eastAsia="Times New Roman" w:cstheme="minorHAnsi"/>
          <w:lang w:eastAsia="en-AU"/>
        </w:rPr>
      </w:pPr>
    </w:p>
    <w:p w:rsidR="00B96E49" w:rsidRDefault="002B19FF" w:rsidP="00B96E49">
      <w:pPr>
        <w:pStyle w:val="ListParagraph"/>
        <w:spacing w:before="120" w:after="0" w:line="300" w:lineRule="exact"/>
        <w:ind w:left="0"/>
        <w:rPr>
          <w:rFonts w:eastAsia="Times New Roman" w:cstheme="minorHAnsi"/>
          <w:lang w:eastAsia="en-AU"/>
        </w:rPr>
      </w:pPr>
      <w:r>
        <w:rPr>
          <w:rFonts w:eastAsia="Times New Roman" w:cstheme="minorHAnsi"/>
          <w:lang w:eastAsia="en-AU"/>
        </w:rPr>
        <w:t xml:space="preserve">This proposal is likely heresy to some.  </w:t>
      </w:r>
      <w:r w:rsidR="00B96E49">
        <w:rPr>
          <w:rFonts w:eastAsia="Times New Roman" w:cstheme="minorHAnsi"/>
          <w:lang w:eastAsia="en-AU"/>
        </w:rPr>
        <w:t xml:space="preserve">Clearly </w:t>
      </w:r>
      <w:r>
        <w:rPr>
          <w:rFonts w:eastAsia="Times New Roman" w:cstheme="minorHAnsi"/>
          <w:lang w:eastAsia="en-AU"/>
        </w:rPr>
        <w:t xml:space="preserve">it </w:t>
      </w:r>
      <w:r w:rsidR="00B96E49">
        <w:rPr>
          <w:rFonts w:eastAsia="Times New Roman" w:cstheme="minorHAnsi"/>
          <w:lang w:eastAsia="en-AU"/>
        </w:rPr>
        <w:t xml:space="preserve">delays accumulation of an individual’s superannuation, but the benefit is workers </w:t>
      </w:r>
      <w:r w:rsidR="00520A58">
        <w:rPr>
          <w:rFonts w:eastAsia="Times New Roman" w:cstheme="minorHAnsi"/>
          <w:lang w:eastAsia="en-AU"/>
        </w:rPr>
        <w:t xml:space="preserve">being </w:t>
      </w:r>
      <w:r w:rsidR="00E94562">
        <w:rPr>
          <w:rFonts w:eastAsia="Times New Roman" w:cstheme="minorHAnsi"/>
          <w:lang w:eastAsia="en-AU"/>
        </w:rPr>
        <w:t xml:space="preserve">better able to </w:t>
      </w:r>
      <w:r w:rsidR="00B96E49">
        <w:rPr>
          <w:rFonts w:eastAsia="Times New Roman" w:cstheme="minorHAnsi"/>
          <w:lang w:eastAsia="en-AU"/>
        </w:rPr>
        <w:t>afford and gain qualifications</w:t>
      </w:r>
      <w:r w:rsidR="00520A58">
        <w:rPr>
          <w:rFonts w:eastAsia="Times New Roman" w:cstheme="minorHAnsi"/>
          <w:lang w:eastAsia="en-AU"/>
        </w:rPr>
        <w:t>/credentials</w:t>
      </w:r>
      <w:r>
        <w:rPr>
          <w:rFonts w:eastAsia="Times New Roman" w:cstheme="minorHAnsi"/>
          <w:lang w:eastAsia="en-AU"/>
        </w:rPr>
        <w:t xml:space="preserve"> over their work life spans</w:t>
      </w:r>
      <w:r w:rsidR="00E94562">
        <w:rPr>
          <w:rFonts w:eastAsia="Times New Roman" w:cstheme="minorHAnsi"/>
          <w:lang w:eastAsia="en-AU"/>
        </w:rPr>
        <w:t>.  All</w:t>
      </w:r>
      <w:r w:rsidR="00ED3871">
        <w:rPr>
          <w:rFonts w:eastAsia="Times New Roman" w:cstheme="minorHAnsi"/>
          <w:lang w:eastAsia="en-AU"/>
        </w:rPr>
        <w:t xml:space="preserve"> evidence shows</w:t>
      </w:r>
      <w:r w:rsidR="00E94562">
        <w:rPr>
          <w:rFonts w:eastAsia="Times New Roman" w:cstheme="minorHAnsi"/>
          <w:lang w:eastAsia="en-AU"/>
        </w:rPr>
        <w:t xml:space="preserve"> </w:t>
      </w:r>
      <w:r w:rsidR="00ED3871">
        <w:rPr>
          <w:rFonts w:eastAsia="Times New Roman" w:cstheme="minorHAnsi"/>
          <w:lang w:eastAsia="en-AU"/>
        </w:rPr>
        <w:t>whe</w:t>
      </w:r>
      <w:r w:rsidR="00520A58">
        <w:rPr>
          <w:rFonts w:eastAsia="Times New Roman" w:cstheme="minorHAnsi"/>
          <w:lang w:eastAsia="en-AU"/>
        </w:rPr>
        <w:t xml:space="preserve">re </w:t>
      </w:r>
      <w:r w:rsidR="00E94562">
        <w:rPr>
          <w:rFonts w:eastAsia="Times New Roman" w:cstheme="minorHAnsi"/>
          <w:lang w:eastAsia="en-AU"/>
        </w:rPr>
        <w:t>students</w:t>
      </w:r>
      <w:r w:rsidR="00ED3871">
        <w:rPr>
          <w:rFonts w:eastAsia="Times New Roman" w:cstheme="minorHAnsi"/>
          <w:lang w:eastAsia="en-AU"/>
        </w:rPr>
        <w:t xml:space="preserve"> co</w:t>
      </w:r>
      <w:r w:rsidR="00E94562">
        <w:rPr>
          <w:rFonts w:eastAsia="Times New Roman" w:cstheme="minorHAnsi"/>
          <w:lang w:eastAsia="en-AU"/>
        </w:rPr>
        <w:t xml:space="preserve">mplete </w:t>
      </w:r>
      <w:r>
        <w:rPr>
          <w:rFonts w:eastAsia="Times New Roman" w:cstheme="minorHAnsi"/>
          <w:lang w:eastAsia="en-AU"/>
        </w:rPr>
        <w:t xml:space="preserve">quality education and training </w:t>
      </w:r>
      <w:r w:rsidR="0094636D">
        <w:rPr>
          <w:rFonts w:eastAsia="Times New Roman" w:cstheme="minorHAnsi"/>
          <w:lang w:eastAsia="en-AU"/>
        </w:rPr>
        <w:t xml:space="preserve">qualifications </w:t>
      </w:r>
      <w:r>
        <w:rPr>
          <w:rFonts w:eastAsia="Times New Roman" w:cstheme="minorHAnsi"/>
          <w:lang w:eastAsia="en-AU"/>
        </w:rPr>
        <w:t xml:space="preserve">or </w:t>
      </w:r>
      <w:r w:rsidR="00EC148E">
        <w:rPr>
          <w:rFonts w:eastAsia="Times New Roman" w:cstheme="minorHAnsi"/>
          <w:lang w:eastAsia="en-AU"/>
        </w:rPr>
        <w:t xml:space="preserve">work relevant </w:t>
      </w:r>
      <w:r>
        <w:rPr>
          <w:rFonts w:eastAsia="Times New Roman" w:cstheme="minorHAnsi"/>
          <w:lang w:eastAsia="en-AU"/>
        </w:rPr>
        <w:t>courses</w:t>
      </w:r>
      <w:r w:rsidR="0094636D">
        <w:rPr>
          <w:rFonts w:eastAsia="Times New Roman" w:cstheme="minorHAnsi"/>
          <w:lang w:eastAsia="en-AU"/>
        </w:rPr>
        <w:t>,</w:t>
      </w:r>
      <w:r>
        <w:rPr>
          <w:rFonts w:eastAsia="Times New Roman" w:cstheme="minorHAnsi"/>
          <w:lang w:eastAsia="en-AU"/>
        </w:rPr>
        <w:t xml:space="preserve"> </w:t>
      </w:r>
      <w:r w:rsidR="00ED3871">
        <w:rPr>
          <w:rFonts w:eastAsia="Times New Roman" w:cstheme="minorHAnsi"/>
          <w:lang w:eastAsia="en-AU"/>
        </w:rPr>
        <w:t xml:space="preserve">their lifetimes earnings are greater </w:t>
      </w:r>
      <w:r w:rsidR="00520A58">
        <w:rPr>
          <w:rFonts w:eastAsia="Times New Roman" w:cstheme="minorHAnsi"/>
          <w:lang w:eastAsia="en-AU"/>
        </w:rPr>
        <w:t xml:space="preserve">compared with those </w:t>
      </w:r>
      <w:r>
        <w:rPr>
          <w:rFonts w:eastAsia="Times New Roman" w:cstheme="minorHAnsi"/>
          <w:lang w:eastAsia="en-AU"/>
        </w:rPr>
        <w:t>who don’t.</w:t>
      </w:r>
      <w:r w:rsidR="00E94562">
        <w:rPr>
          <w:rFonts w:eastAsia="Times New Roman" w:cstheme="minorHAnsi"/>
          <w:lang w:eastAsia="en-AU"/>
        </w:rPr>
        <w:t xml:space="preserve">  They are </w:t>
      </w:r>
      <w:r w:rsidR="00ED3871">
        <w:rPr>
          <w:rFonts w:eastAsia="Times New Roman" w:cstheme="minorHAnsi"/>
          <w:lang w:eastAsia="en-AU"/>
        </w:rPr>
        <w:t>more</w:t>
      </w:r>
      <w:r w:rsidR="00B96E49">
        <w:rPr>
          <w:rFonts w:eastAsia="Times New Roman" w:cstheme="minorHAnsi"/>
          <w:lang w:eastAsia="en-AU"/>
        </w:rPr>
        <w:t xml:space="preserve"> likely to win better jobs and </w:t>
      </w:r>
      <w:r w:rsidR="00E94562">
        <w:rPr>
          <w:rFonts w:eastAsia="Times New Roman" w:cstheme="minorHAnsi"/>
          <w:lang w:eastAsia="en-AU"/>
        </w:rPr>
        <w:t xml:space="preserve">have greater </w:t>
      </w:r>
      <w:r w:rsidR="00B96E49">
        <w:rPr>
          <w:rFonts w:eastAsia="Times New Roman" w:cstheme="minorHAnsi"/>
          <w:lang w:eastAsia="en-AU"/>
        </w:rPr>
        <w:t xml:space="preserve">income. This ‘trade off’ </w:t>
      </w:r>
      <w:r w:rsidR="00E94562">
        <w:rPr>
          <w:rFonts w:eastAsia="Times New Roman" w:cstheme="minorHAnsi"/>
          <w:lang w:eastAsia="en-AU"/>
        </w:rPr>
        <w:t xml:space="preserve">of super </w:t>
      </w:r>
      <w:r>
        <w:rPr>
          <w:rFonts w:eastAsia="Times New Roman" w:cstheme="minorHAnsi"/>
          <w:lang w:eastAsia="en-AU"/>
        </w:rPr>
        <w:t>accumulation for</w:t>
      </w:r>
      <w:r w:rsidR="00E94562">
        <w:rPr>
          <w:rFonts w:eastAsia="Times New Roman" w:cstheme="minorHAnsi"/>
          <w:lang w:eastAsia="en-AU"/>
        </w:rPr>
        <w:t xml:space="preserve"> ETS </w:t>
      </w:r>
      <w:r>
        <w:rPr>
          <w:rFonts w:eastAsia="Times New Roman" w:cstheme="minorHAnsi"/>
          <w:lang w:eastAsia="en-AU"/>
        </w:rPr>
        <w:t xml:space="preserve">benefits </w:t>
      </w:r>
      <w:r w:rsidR="00B96E49">
        <w:rPr>
          <w:rFonts w:eastAsia="Times New Roman" w:cstheme="minorHAnsi"/>
          <w:lang w:eastAsia="en-AU"/>
        </w:rPr>
        <w:t>needs to be economically modelled</w:t>
      </w:r>
      <w:r>
        <w:rPr>
          <w:rFonts w:eastAsia="Times New Roman" w:cstheme="minorHAnsi"/>
          <w:lang w:eastAsia="en-AU"/>
        </w:rPr>
        <w:t>, for individuals and in aggregate nationally</w:t>
      </w:r>
      <w:r w:rsidR="00520A58">
        <w:rPr>
          <w:rFonts w:eastAsia="Times New Roman" w:cstheme="minorHAnsi"/>
          <w:lang w:eastAsia="en-AU"/>
        </w:rPr>
        <w:t xml:space="preserve">.  It </w:t>
      </w:r>
      <w:r w:rsidR="009E2996">
        <w:rPr>
          <w:rFonts w:eastAsia="Times New Roman" w:cstheme="minorHAnsi"/>
          <w:lang w:eastAsia="en-AU"/>
        </w:rPr>
        <w:t xml:space="preserve">breaks current rules and sets a </w:t>
      </w:r>
      <w:r w:rsidR="00B96E49">
        <w:rPr>
          <w:rFonts w:eastAsia="Times New Roman" w:cstheme="minorHAnsi"/>
          <w:lang w:eastAsia="en-AU"/>
        </w:rPr>
        <w:t xml:space="preserve">precedent. </w:t>
      </w:r>
      <w:r w:rsidR="00255A0A">
        <w:rPr>
          <w:rFonts w:eastAsia="Times New Roman" w:cstheme="minorHAnsi"/>
          <w:lang w:eastAsia="en-AU"/>
        </w:rPr>
        <w:t xml:space="preserve">It also importantly injects more revenue into the national tertiary system. </w:t>
      </w:r>
    </w:p>
    <w:p w:rsidR="00EC788A" w:rsidRDefault="00EC788A" w:rsidP="00EC788A">
      <w:pPr>
        <w:pStyle w:val="ListParagraph"/>
        <w:spacing w:after="120"/>
        <w:ind w:left="0"/>
        <w:rPr>
          <w:rFonts w:eastAsia="Times New Roman" w:cstheme="minorHAnsi"/>
          <w:lang w:eastAsia="en-AU"/>
        </w:rPr>
      </w:pPr>
    </w:p>
    <w:p w:rsidR="00EC788A" w:rsidRDefault="00EC788A" w:rsidP="00EC788A">
      <w:pPr>
        <w:pStyle w:val="ListParagraph"/>
        <w:spacing w:after="120"/>
        <w:ind w:left="0"/>
        <w:rPr>
          <w:rFonts w:cstheme="minorHAnsi"/>
          <w:color w:val="000000"/>
          <w:spacing w:val="4"/>
          <w:shd w:val="clear" w:color="auto" w:fill="FFFFFF"/>
        </w:rPr>
      </w:pPr>
      <w:r>
        <w:rPr>
          <w:rFonts w:eastAsia="Times New Roman" w:cstheme="minorHAnsi"/>
          <w:lang w:eastAsia="en-AU"/>
        </w:rPr>
        <w:t>By way of optimising market efficient VET course subsid</w:t>
      </w:r>
      <w:r w:rsidR="00255A0A">
        <w:rPr>
          <w:rFonts w:eastAsia="Times New Roman" w:cstheme="minorHAnsi"/>
          <w:lang w:eastAsia="en-AU"/>
        </w:rPr>
        <w:t>ies</w:t>
      </w:r>
      <w:r>
        <w:rPr>
          <w:rFonts w:eastAsia="Times New Roman" w:cstheme="minorHAnsi"/>
          <w:lang w:eastAsia="en-AU"/>
        </w:rPr>
        <w:t>/costs/pricing</w:t>
      </w:r>
      <w:r w:rsidR="00255A0A">
        <w:rPr>
          <w:rFonts w:eastAsia="Times New Roman" w:cstheme="minorHAnsi"/>
          <w:lang w:eastAsia="en-AU"/>
        </w:rPr>
        <w:t>s</w:t>
      </w:r>
      <w:r>
        <w:rPr>
          <w:rFonts w:eastAsia="Times New Roman" w:cstheme="minorHAnsi"/>
          <w:lang w:eastAsia="en-AU"/>
        </w:rPr>
        <w:t xml:space="preserve">, the ‘nationally uniform and centralised’ proposals suggested by </w:t>
      </w:r>
      <w:r w:rsidR="0094636D">
        <w:rPr>
          <w:rFonts w:eastAsia="Times New Roman" w:cstheme="minorHAnsi"/>
          <w:lang w:eastAsia="en-AU"/>
        </w:rPr>
        <w:t xml:space="preserve">the </w:t>
      </w:r>
      <w:r>
        <w:rPr>
          <w:rFonts w:eastAsia="Times New Roman" w:cstheme="minorHAnsi"/>
          <w:lang w:eastAsia="en-AU"/>
        </w:rPr>
        <w:t xml:space="preserve">Joyce Review are inappropriate.  A better alternate is for </w:t>
      </w:r>
      <w:r w:rsidR="00255A0A">
        <w:rPr>
          <w:rFonts w:eastAsia="Times New Roman" w:cstheme="minorHAnsi"/>
          <w:lang w:eastAsia="en-AU"/>
        </w:rPr>
        <w:t xml:space="preserve">each </w:t>
      </w:r>
      <w:r>
        <w:rPr>
          <w:rFonts w:cstheme="minorHAnsi"/>
          <w:color w:val="000000"/>
          <w:spacing w:val="4"/>
          <w:shd w:val="clear" w:color="auto" w:fill="FFFFFF"/>
        </w:rPr>
        <w:t xml:space="preserve">approved provider with a government </w:t>
      </w:r>
      <w:r w:rsidR="00255A0A">
        <w:rPr>
          <w:rFonts w:cstheme="minorHAnsi"/>
          <w:color w:val="000000"/>
          <w:spacing w:val="4"/>
          <w:shd w:val="clear" w:color="auto" w:fill="FFFFFF"/>
        </w:rPr>
        <w:t xml:space="preserve">contract </w:t>
      </w:r>
      <w:r>
        <w:rPr>
          <w:rFonts w:cstheme="minorHAnsi"/>
          <w:color w:val="000000"/>
          <w:spacing w:val="4"/>
          <w:shd w:val="clear" w:color="auto" w:fill="FFFFFF"/>
        </w:rPr>
        <w:t>to submit annually auditable evidence of course prices/subsidies for each qualification offered.  A</w:t>
      </w:r>
      <w:r w:rsidR="00255A0A">
        <w:rPr>
          <w:rFonts w:cstheme="minorHAnsi"/>
          <w:color w:val="000000"/>
          <w:spacing w:val="4"/>
          <w:shd w:val="clear" w:color="auto" w:fill="FFFFFF"/>
        </w:rPr>
        <w:t>n</w:t>
      </w:r>
      <w:r>
        <w:rPr>
          <w:rFonts w:cstheme="minorHAnsi"/>
          <w:color w:val="000000"/>
          <w:spacing w:val="4"/>
          <w:shd w:val="clear" w:color="auto" w:fill="FFFFFF"/>
        </w:rPr>
        <w:t xml:space="preserve"> independent body would analyse prices from (de-identified) providers examining all components of how a student paid total fees (by loan or loan/subsidy mix</w:t>
      </w:r>
      <w:r w:rsidR="00BE0863">
        <w:rPr>
          <w:rFonts w:cstheme="minorHAnsi"/>
          <w:color w:val="000000"/>
          <w:spacing w:val="4"/>
          <w:shd w:val="clear" w:color="auto" w:fill="FFFFFF"/>
        </w:rPr>
        <w:t>, including any private or employer payments</w:t>
      </w:r>
      <w:r>
        <w:rPr>
          <w:rFonts w:cstheme="minorHAnsi"/>
          <w:color w:val="000000"/>
          <w:spacing w:val="4"/>
          <w:shd w:val="clear" w:color="auto" w:fill="FFFFFF"/>
        </w:rPr>
        <w:t xml:space="preserve">). Public investment per course per provider when </w:t>
      </w:r>
      <w:r w:rsidRPr="00AA2EB5">
        <w:rPr>
          <w:rFonts w:cstheme="minorHAnsi"/>
          <w:i/>
          <w:color w:val="000000"/>
          <w:spacing w:val="4"/>
          <w:shd w:val="clear" w:color="auto" w:fill="FFFFFF"/>
        </w:rPr>
        <w:t>linked to</w:t>
      </w:r>
      <w:r>
        <w:rPr>
          <w:rFonts w:cstheme="minorHAnsi"/>
          <w:color w:val="000000"/>
          <w:spacing w:val="4"/>
          <w:shd w:val="clear" w:color="auto" w:fill="FFFFFF"/>
        </w:rPr>
        <w:t xml:space="preserve"> provider-specific student outcomes would be the granular data governments need to drive quality/efficiency improvements (higher quality may </w:t>
      </w:r>
      <w:r w:rsidR="00255A0A">
        <w:rPr>
          <w:rFonts w:cstheme="minorHAnsi"/>
          <w:color w:val="000000"/>
          <w:spacing w:val="4"/>
          <w:shd w:val="clear" w:color="auto" w:fill="FFFFFF"/>
        </w:rPr>
        <w:t>be justified by</w:t>
      </w:r>
      <w:r>
        <w:rPr>
          <w:rFonts w:cstheme="minorHAnsi"/>
          <w:color w:val="000000"/>
          <w:spacing w:val="4"/>
          <w:shd w:val="clear" w:color="auto" w:fill="FFFFFF"/>
        </w:rPr>
        <w:t xml:space="preserve"> higher costs/price).  </w:t>
      </w:r>
    </w:p>
    <w:p w:rsidR="00EC788A" w:rsidRDefault="00EC788A" w:rsidP="00EC788A">
      <w:pPr>
        <w:pStyle w:val="ListParagraph"/>
        <w:spacing w:after="120"/>
        <w:ind w:left="0"/>
        <w:rPr>
          <w:rFonts w:cstheme="minorHAnsi"/>
          <w:color w:val="000000"/>
          <w:spacing w:val="4"/>
          <w:shd w:val="clear" w:color="auto" w:fill="FFFFFF"/>
        </w:rPr>
      </w:pPr>
    </w:p>
    <w:p w:rsidR="00255A0A" w:rsidRDefault="00EC788A" w:rsidP="00EC788A">
      <w:pPr>
        <w:pStyle w:val="ListParagraph"/>
        <w:spacing w:after="120"/>
        <w:ind w:left="0"/>
        <w:rPr>
          <w:rFonts w:cstheme="minorHAnsi"/>
          <w:color w:val="000000"/>
          <w:spacing w:val="4"/>
          <w:shd w:val="clear" w:color="auto" w:fill="FFFFFF"/>
        </w:rPr>
      </w:pPr>
      <w:r>
        <w:rPr>
          <w:rFonts w:cstheme="minorHAnsi"/>
          <w:color w:val="000000"/>
          <w:spacing w:val="4"/>
          <w:shd w:val="clear" w:color="auto" w:fill="FFFFFF"/>
        </w:rPr>
        <w:t xml:space="preserve">Any provider’s ongoing access to public funding could be determined on the basis of this data. The independent central body would then be in a ‘system monitoring, verification and assessment’ role ensuring all parties </w:t>
      </w:r>
      <w:r w:rsidR="00BE0863">
        <w:rPr>
          <w:rFonts w:cstheme="minorHAnsi"/>
          <w:color w:val="000000"/>
          <w:spacing w:val="4"/>
          <w:shd w:val="clear" w:color="auto" w:fill="FFFFFF"/>
        </w:rPr>
        <w:t xml:space="preserve">(governments and providers) </w:t>
      </w:r>
      <w:r>
        <w:rPr>
          <w:rFonts w:cstheme="minorHAnsi"/>
          <w:color w:val="000000"/>
          <w:spacing w:val="4"/>
          <w:shd w:val="clear" w:color="auto" w:fill="FFFFFF"/>
        </w:rPr>
        <w:t>meet the terms and intended outcomes of any new-</w:t>
      </w:r>
      <w:r w:rsidR="00F32392" w:rsidRPr="00F32392">
        <w:rPr>
          <w:rFonts w:eastAsia="Times New Roman" w:cstheme="minorHAnsi"/>
          <w:lang w:eastAsia="en-AU"/>
        </w:rPr>
        <w:t xml:space="preserve"> </w:t>
      </w:r>
      <w:r w:rsidR="00F32392">
        <w:rPr>
          <w:rFonts w:eastAsia="Times New Roman" w:cstheme="minorHAnsi"/>
          <w:lang w:eastAsia="en-AU"/>
        </w:rPr>
        <w:t>National Agreement for Skills and Workforce Development (NASWD) and National Agreement (NA)</w:t>
      </w:r>
      <w:r>
        <w:rPr>
          <w:rFonts w:cstheme="minorHAnsi"/>
          <w:color w:val="000000"/>
          <w:spacing w:val="4"/>
          <w:shd w:val="clear" w:color="auto" w:fill="FFFFFF"/>
        </w:rPr>
        <w:t xml:space="preserve">, and not ‘up-front’ deciding which courses are offered at nationally ‘average’ prices.  </w:t>
      </w:r>
    </w:p>
    <w:p w:rsidR="00255A0A" w:rsidRDefault="00255A0A" w:rsidP="00EC788A">
      <w:pPr>
        <w:pStyle w:val="ListParagraph"/>
        <w:spacing w:after="120"/>
        <w:ind w:left="0"/>
        <w:rPr>
          <w:rFonts w:cstheme="minorHAnsi"/>
          <w:color w:val="000000"/>
          <w:spacing w:val="4"/>
          <w:shd w:val="clear" w:color="auto" w:fill="FFFFFF"/>
        </w:rPr>
      </w:pPr>
    </w:p>
    <w:p w:rsidR="00EC148E" w:rsidRDefault="00EC788A" w:rsidP="00EC788A">
      <w:pPr>
        <w:pStyle w:val="ListParagraph"/>
        <w:spacing w:after="120"/>
        <w:ind w:left="0"/>
        <w:rPr>
          <w:rFonts w:cstheme="minorHAnsi"/>
          <w:color w:val="000000"/>
          <w:spacing w:val="4"/>
          <w:shd w:val="clear" w:color="auto" w:fill="FFFFFF"/>
        </w:rPr>
      </w:pPr>
      <w:r>
        <w:rPr>
          <w:rFonts w:cstheme="minorHAnsi"/>
          <w:color w:val="000000"/>
          <w:spacing w:val="4"/>
          <w:shd w:val="clear" w:color="auto" w:fill="FFFFFF"/>
        </w:rPr>
        <w:t xml:space="preserve">Like the </w:t>
      </w:r>
      <w:hyperlink r:id="rId8" w:history="1">
        <w:r w:rsidRPr="001A7476">
          <w:rPr>
            <w:rStyle w:val="Hyperlink"/>
            <w:rFonts w:cstheme="minorHAnsi"/>
            <w:spacing w:val="4"/>
            <w:shd w:val="clear" w:color="auto" w:fill="FFFFFF"/>
          </w:rPr>
          <w:t xml:space="preserve">ofqual </w:t>
        </w:r>
        <w:r>
          <w:rPr>
            <w:rStyle w:val="Hyperlink"/>
            <w:rFonts w:cstheme="minorHAnsi"/>
            <w:spacing w:val="4"/>
            <w:shd w:val="clear" w:color="auto" w:fill="FFFFFF"/>
          </w:rPr>
          <w:t>(</w:t>
        </w:r>
        <w:r w:rsidRPr="001A7476">
          <w:rPr>
            <w:rStyle w:val="Hyperlink"/>
            <w:rFonts w:cstheme="minorHAnsi"/>
            <w:spacing w:val="4"/>
            <w:shd w:val="clear" w:color="auto" w:fill="FFFFFF"/>
          </w:rPr>
          <w:t>UK</w:t>
        </w:r>
      </w:hyperlink>
      <w:r>
        <w:rPr>
          <w:rStyle w:val="Hyperlink"/>
          <w:rFonts w:cstheme="minorHAnsi"/>
          <w:spacing w:val="4"/>
          <w:shd w:val="clear" w:color="auto" w:fill="FFFFFF"/>
        </w:rPr>
        <w:t>),</w:t>
      </w:r>
      <w:r>
        <w:rPr>
          <w:rFonts w:cstheme="minorHAnsi"/>
          <w:color w:val="000000"/>
          <w:spacing w:val="4"/>
          <w:shd w:val="clear" w:color="auto" w:fill="FFFFFF"/>
        </w:rPr>
        <w:t xml:space="preserve"> the central body could publish annual qualification price index changes</w:t>
      </w:r>
      <w:r w:rsidRPr="00497A76">
        <w:rPr>
          <w:rFonts w:cstheme="minorHAnsi"/>
          <w:color w:val="000000"/>
          <w:spacing w:val="4"/>
          <w:shd w:val="clear" w:color="auto" w:fill="FFFFFF"/>
        </w:rPr>
        <w:t xml:space="preserve"> </w:t>
      </w:r>
      <w:r>
        <w:rPr>
          <w:rFonts w:cstheme="minorHAnsi"/>
          <w:color w:val="000000"/>
          <w:spacing w:val="4"/>
          <w:shd w:val="clear" w:color="auto" w:fill="FFFFFF"/>
        </w:rPr>
        <w:t xml:space="preserve">based on anonymized RTO surveys.  </w:t>
      </w:r>
      <w:r w:rsidR="00BE0863">
        <w:rPr>
          <w:rFonts w:cstheme="minorHAnsi"/>
          <w:color w:val="000000"/>
          <w:spacing w:val="4"/>
          <w:shd w:val="clear" w:color="auto" w:fill="FFFFFF"/>
        </w:rPr>
        <w:t xml:space="preserve">The body </w:t>
      </w:r>
      <w:r>
        <w:rPr>
          <w:rFonts w:cstheme="minorHAnsi"/>
          <w:color w:val="000000"/>
          <w:spacing w:val="4"/>
          <w:shd w:val="clear" w:color="auto" w:fill="FFFFFF"/>
        </w:rPr>
        <w:t>might</w:t>
      </w:r>
      <w:r w:rsidRPr="000435E6">
        <w:rPr>
          <w:rFonts w:cstheme="minorHAnsi"/>
          <w:color w:val="000000"/>
          <w:spacing w:val="4"/>
          <w:shd w:val="clear" w:color="auto" w:fill="FFFFFF"/>
        </w:rPr>
        <w:t xml:space="preserve"> </w:t>
      </w:r>
      <w:r>
        <w:rPr>
          <w:rFonts w:cstheme="minorHAnsi"/>
          <w:color w:val="000000"/>
          <w:spacing w:val="4"/>
          <w:shd w:val="clear" w:color="auto" w:fill="FFFFFF"/>
        </w:rPr>
        <w:t xml:space="preserve">also include features of </w:t>
      </w:r>
      <w:r w:rsidRPr="000435E6">
        <w:rPr>
          <w:rFonts w:cstheme="minorHAnsi"/>
          <w:color w:val="000000"/>
          <w:spacing w:val="4"/>
          <w:shd w:val="clear" w:color="auto" w:fill="FFFFFF"/>
        </w:rPr>
        <w:t>an</w:t>
      </w:r>
      <w:r w:rsidR="00862264">
        <w:rPr>
          <w:rFonts w:cstheme="minorHAnsi"/>
          <w:color w:val="000000"/>
          <w:spacing w:val="4"/>
          <w:shd w:val="clear" w:color="auto" w:fill="FFFFFF"/>
        </w:rPr>
        <w:t xml:space="preserve"> independent pricing tribunal</w:t>
      </w:r>
      <w:r>
        <w:rPr>
          <w:rFonts w:cstheme="minorHAnsi"/>
          <w:color w:val="000000"/>
          <w:spacing w:val="4"/>
          <w:shd w:val="clear" w:color="auto" w:fill="FFFFFF"/>
        </w:rPr>
        <w:t xml:space="preserve"> examining for exceptional price movements. Such data should also indicate which qualifications are not in effective use and be removed from government support or from accreditation altogether. </w:t>
      </w:r>
    </w:p>
    <w:p w:rsidR="001B6116" w:rsidRDefault="00EC788A" w:rsidP="00EC788A">
      <w:pPr>
        <w:pStyle w:val="ListParagraph"/>
        <w:spacing w:after="120"/>
        <w:ind w:left="0"/>
        <w:rPr>
          <w:rFonts w:cstheme="minorHAnsi"/>
          <w:color w:val="000000"/>
          <w:spacing w:val="4"/>
          <w:shd w:val="clear" w:color="auto" w:fill="FFFFFF"/>
        </w:rPr>
      </w:pPr>
      <w:r>
        <w:rPr>
          <w:rFonts w:cstheme="minorHAnsi"/>
          <w:color w:val="000000"/>
          <w:spacing w:val="4"/>
          <w:shd w:val="clear" w:color="auto" w:fill="FFFFFF"/>
        </w:rPr>
        <w:t xml:space="preserve"> </w:t>
      </w:r>
    </w:p>
    <w:p w:rsidR="00EC148E" w:rsidRDefault="00EC788A" w:rsidP="00F32392">
      <w:pPr>
        <w:pStyle w:val="ListParagraph"/>
        <w:spacing w:after="120"/>
        <w:ind w:left="0"/>
        <w:rPr>
          <w:rFonts w:cstheme="minorHAnsi"/>
          <w:color w:val="000000"/>
          <w:spacing w:val="4"/>
          <w:shd w:val="clear" w:color="auto" w:fill="FFFFFF"/>
        </w:rPr>
      </w:pPr>
      <w:r>
        <w:rPr>
          <w:rFonts w:cstheme="minorHAnsi"/>
          <w:color w:val="000000"/>
          <w:spacing w:val="4"/>
          <w:shd w:val="clear" w:color="auto" w:fill="FFFFFF"/>
        </w:rPr>
        <w:t xml:space="preserve">This regime allows markets to set prices </w:t>
      </w:r>
      <w:r w:rsidR="00BE0863">
        <w:rPr>
          <w:rFonts w:cstheme="minorHAnsi"/>
          <w:color w:val="000000"/>
          <w:spacing w:val="4"/>
          <w:shd w:val="clear" w:color="auto" w:fill="FFFFFF"/>
        </w:rPr>
        <w:t xml:space="preserve">yet </w:t>
      </w:r>
      <w:r>
        <w:rPr>
          <w:rFonts w:cstheme="minorHAnsi"/>
          <w:color w:val="000000"/>
          <w:spacing w:val="4"/>
          <w:shd w:val="clear" w:color="auto" w:fill="FFFFFF"/>
        </w:rPr>
        <w:t xml:space="preserve">ensures government has informed controls (and can take </w:t>
      </w:r>
      <w:r w:rsidR="00BE0863">
        <w:rPr>
          <w:rFonts w:cstheme="minorHAnsi"/>
          <w:color w:val="000000"/>
          <w:spacing w:val="4"/>
          <w:shd w:val="clear" w:color="auto" w:fill="FFFFFF"/>
        </w:rPr>
        <w:t xml:space="preserve">action and make </w:t>
      </w:r>
      <w:r>
        <w:rPr>
          <w:rFonts w:cstheme="minorHAnsi"/>
          <w:color w:val="000000"/>
          <w:spacing w:val="4"/>
          <w:shd w:val="clear" w:color="auto" w:fill="FFFFFF"/>
        </w:rPr>
        <w:t xml:space="preserve">sanctions) based on credible </w:t>
      </w:r>
      <w:r w:rsidR="00BE0863">
        <w:rPr>
          <w:rFonts w:cstheme="minorHAnsi"/>
          <w:color w:val="000000"/>
          <w:spacing w:val="4"/>
          <w:shd w:val="clear" w:color="auto" w:fill="FFFFFF"/>
        </w:rPr>
        <w:t xml:space="preserve">ETS wide </w:t>
      </w:r>
      <w:r w:rsidR="00B31838">
        <w:rPr>
          <w:rFonts w:cstheme="minorHAnsi"/>
          <w:color w:val="000000"/>
          <w:spacing w:val="4"/>
          <w:shd w:val="clear" w:color="auto" w:fill="FFFFFF"/>
        </w:rPr>
        <w:t xml:space="preserve">data and </w:t>
      </w:r>
      <w:r w:rsidR="00BE0863">
        <w:rPr>
          <w:rFonts w:cstheme="minorHAnsi"/>
          <w:color w:val="000000"/>
          <w:spacing w:val="4"/>
          <w:shd w:val="clear" w:color="auto" w:fill="FFFFFF"/>
        </w:rPr>
        <w:t xml:space="preserve">benchmarked </w:t>
      </w:r>
      <w:r>
        <w:rPr>
          <w:rFonts w:cstheme="minorHAnsi"/>
          <w:color w:val="000000"/>
          <w:spacing w:val="4"/>
          <w:shd w:val="clear" w:color="auto" w:fill="FFFFFF"/>
        </w:rPr>
        <w:t>evidence.</w:t>
      </w:r>
      <w:r w:rsidR="00EC148E">
        <w:rPr>
          <w:rFonts w:cstheme="minorHAnsi"/>
          <w:color w:val="000000"/>
          <w:spacing w:val="4"/>
          <w:shd w:val="clear" w:color="auto" w:fill="FFFFFF"/>
        </w:rPr>
        <w:br w:type="page"/>
      </w:r>
    </w:p>
    <w:p w:rsidR="00E20060" w:rsidRPr="008C03B7" w:rsidRDefault="003C1BEB" w:rsidP="007F09F7">
      <w:pPr>
        <w:spacing w:before="120" w:after="0" w:line="300" w:lineRule="exact"/>
        <w:rPr>
          <w:rFonts w:eastAsia="Times New Roman" w:cstheme="minorHAnsi"/>
          <w:sz w:val="28"/>
          <w:szCs w:val="28"/>
          <w:u w:val="single"/>
          <w:lang w:eastAsia="en-AU"/>
        </w:rPr>
      </w:pPr>
      <w:r w:rsidRPr="008C03B7">
        <w:rPr>
          <w:rFonts w:eastAsia="Times New Roman" w:cstheme="minorHAnsi"/>
          <w:sz w:val="28"/>
          <w:szCs w:val="28"/>
          <w:u w:val="single"/>
          <w:lang w:eastAsia="en-AU"/>
        </w:rPr>
        <w:lastRenderedPageBreak/>
        <w:t>Rational</w:t>
      </w:r>
      <w:r w:rsidR="00EC788A" w:rsidRPr="008C03B7">
        <w:rPr>
          <w:rFonts w:eastAsia="Times New Roman" w:cstheme="minorHAnsi"/>
          <w:sz w:val="28"/>
          <w:szCs w:val="28"/>
          <w:u w:val="single"/>
          <w:lang w:eastAsia="en-AU"/>
        </w:rPr>
        <w:t xml:space="preserve"> for </w:t>
      </w:r>
      <w:r w:rsidR="00BE0863">
        <w:rPr>
          <w:rFonts w:eastAsia="Times New Roman" w:cstheme="minorHAnsi"/>
          <w:sz w:val="28"/>
          <w:szCs w:val="28"/>
          <w:u w:val="single"/>
          <w:lang w:eastAsia="en-AU"/>
        </w:rPr>
        <w:t xml:space="preserve">these proposed </w:t>
      </w:r>
      <w:r w:rsidR="008B1F8D" w:rsidRPr="008C03B7">
        <w:rPr>
          <w:rFonts w:eastAsia="Times New Roman" w:cstheme="minorHAnsi"/>
          <w:sz w:val="28"/>
          <w:szCs w:val="28"/>
          <w:u w:val="single"/>
          <w:lang w:eastAsia="en-AU"/>
        </w:rPr>
        <w:t xml:space="preserve">reforms in </w:t>
      </w:r>
      <w:r w:rsidR="00BE0863">
        <w:rPr>
          <w:rFonts w:eastAsia="Times New Roman" w:cstheme="minorHAnsi"/>
          <w:sz w:val="28"/>
          <w:szCs w:val="28"/>
          <w:u w:val="single"/>
          <w:lang w:eastAsia="en-AU"/>
        </w:rPr>
        <w:t xml:space="preserve">national </w:t>
      </w:r>
      <w:r w:rsidR="008B1F8D" w:rsidRPr="008C03B7">
        <w:rPr>
          <w:rFonts w:eastAsia="Times New Roman" w:cstheme="minorHAnsi"/>
          <w:sz w:val="28"/>
          <w:szCs w:val="28"/>
          <w:u w:val="single"/>
          <w:lang w:eastAsia="en-AU"/>
        </w:rPr>
        <w:t>ETS system funding/financing</w:t>
      </w:r>
    </w:p>
    <w:p w:rsidR="00DD473C" w:rsidRPr="00DD473C" w:rsidRDefault="00DD473C" w:rsidP="007F09F7">
      <w:pPr>
        <w:spacing w:before="120" w:after="0" w:line="300" w:lineRule="exact"/>
        <w:rPr>
          <w:rFonts w:eastAsia="Times New Roman" w:cstheme="minorHAnsi"/>
          <w:b/>
          <w:lang w:eastAsia="en-AU"/>
        </w:rPr>
      </w:pPr>
      <w:r w:rsidRPr="00DD473C">
        <w:rPr>
          <w:rFonts w:eastAsia="Times New Roman" w:cstheme="minorHAnsi"/>
          <w:b/>
          <w:lang w:eastAsia="en-AU"/>
        </w:rPr>
        <w:t xml:space="preserve">The evolving ETS </w:t>
      </w:r>
      <w:r>
        <w:rPr>
          <w:rFonts w:eastAsia="Times New Roman" w:cstheme="minorHAnsi"/>
          <w:b/>
          <w:lang w:eastAsia="en-AU"/>
        </w:rPr>
        <w:t>system and its players</w:t>
      </w:r>
    </w:p>
    <w:p w:rsidR="00B96E49" w:rsidRDefault="000B7866" w:rsidP="007F09F7">
      <w:pPr>
        <w:spacing w:before="120" w:after="0" w:line="300" w:lineRule="exact"/>
        <w:rPr>
          <w:rFonts w:eastAsia="Times New Roman" w:cstheme="minorHAnsi"/>
          <w:lang w:eastAsia="en-AU"/>
        </w:rPr>
      </w:pPr>
      <w:r>
        <w:rPr>
          <w:rFonts w:eastAsia="Times New Roman" w:cstheme="minorHAnsi"/>
          <w:lang w:eastAsia="en-AU"/>
        </w:rPr>
        <w:t xml:space="preserve">The </w:t>
      </w:r>
      <w:r w:rsidR="00F77226">
        <w:rPr>
          <w:rFonts w:eastAsia="Times New Roman" w:cstheme="minorHAnsi"/>
          <w:lang w:eastAsia="en-AU"/>
        </w:rPr>
        <w:t xml:space="preserve">student-centric </w:t>
      </w:r>
      <w:r w:rsidR="003C4663">
        <w:rPr>
          <w:rFonts w:eastAsia="Times New Roman" w:cstheme="minorHAnsi"/>
          <w:lang w:eastAsia="en-AU"/>
        </w:rPr>
        <w:t xml:space="preserve">HE and VET sectors </w:t>
      </w:r>
      <w:r>
        <w:rPr>
          <w:rFonts w:eastAsia="Times New Roman" w:cstheme="minorHAnsi"/>
          <w:lang w:eastAsia="en-AU"/>
        </w:rPr>
        <w:t xml:space="preserve">fulfil mostly </w:t>
      </w:r>
      <w:r w:rsidR="003C4663">
        <w:rPr>
          <w:rFonts w:eastAsia="Times New Roman" w:cstheme="minorHAnsi"/>
          <w:lang w:eastAsia="en-AU"/>
        </w:rPr>
        <w:t>different and complementary purposes</w:t>
      </w:r>
      <w:r>
        <w:rPr>
          <w:rFonts w:eastAsia="Times New Roman" w:cstheme="minorHAnsi"/>
          <w:lang w:eastAsia="en-AU"/>
        </w:rPr>
        <w:t xml:space="preserve">. </w:t>
      </w:r>
      <w:r w:rsidR="00E20060">
        <w:rPr>
          <w:rFonts w:eastAsia="Times New Roman" w:cstheme="minorHAnsi"/>
          <w:lang w:eastAsia="en-AU"/>
        </w:rPr>
        <w:t>Both sectors aspire to effectively</w:t>
      </w:r>
      <w:r>
        <w:rPr>
          <w:rFonts w:eastAsia="Times New Roman" w:cstheme="minorHAnsi"/>
          <w:lang w:eastAsia="en-AU"/>
        </w:rPr>
        <w:t xml:space="preserve"> engage</w:t>
      </w:r>
      <w:r w:rsidR="003C4663">
        <w:rPr>
          <w:rFonts w:eastAsia="Times New Roman" w:cstheme="minorHAnsi"/>
          <w:lang w:eastAsia="en-AU"/>
        </w:rPr>
        <w:t xml:space="preserve"> with employers and industry</w:t>
      </w:r>
      <w:r>
        <w:rPr>
          <w:rFonts w:eastAsia="Times New Roman" w:cstheme="minorHAnsi"/>
          <w:lang w:eastAsia="en-AU"/>
        </w:rPr>
        <w:t xml:space="preserve">.  </w:t>
      </w:r>
      <w:r w:rsidR="00722DC8">
        <w:rPr>
          <w:rFonts w:eastAsia="Times New Roman" w:cstheme="minorHAnsi"/>
          <w:lang w:eastAsia="en-AU"/>
        </w:rPr>
        <w:t>Funding/financing for undergraduates in universities is recently settled</w:t>
      </w:r>
      <w:r w:rsidR="00BE0863">
        <w:rPr>
          <w:rFonts w:eastAsia="Times New Roman" w:cstheme="minorHAnsi"/>
          <w:lang w:eastAsia="en-AU"/>
        </w:rPr>
        <w:t xml:space="preserve">.  By comparison </w:t>
      </w:r>
      <w:r w:rsidR="00722DC8">
        <w:rPr>
          <w:rFonts w:eastAsia="Times New Roman" w:cstheme="minorHAnsi"/>
          <w:lang w:eastAsia="en-AU"/>
        </w:rPr>
        <w:t xml:space="preserve">funding/financing of the VET sector, constitutionally shared by cooperative federalism, is </w:t>
      </w:r>
      <w:r w:rsidR="00BE0863">
        <w:rPr>
          <w:rFonts w:eastAsia="Times New Roman" w:cstheme="minorHAnsi"/>
          <w:lang w:eastAsia="en-AU"/>
        </w:rPr>
        <w:t xml:space="preserve">a longstanding and </w:t>
      </w:r>
      <w:r w:rsidR="00372035">
        <w:rPr>
          <w:rFonts w:eastAsia="Times New Roman" w:cstheme="minorHAnsi"/>
          <w:lang w:eastAsia="en-AU"/>
        </w:rPr>
        <w:t>ongoing</w:t>
      </w:r>
      <w:r w:rsidR="00722DC8">
        <w:rPr>
          <w:rFonts w:eastAsia="Times New Roman" w:cstheme="minorHAnsi"/>
          <w:lang w:eastAsia="en-AU"/>
        </w:rPr>
        <w:t xml:space="preserve"> shambles</w:t>
      </w:r>
      <w:r w:rsidR="00372035">
        <w:rPr>
          <w:rFonts w:eastAsia="Times New Roman" w:cstheme="minorHAnsi"/>
          <w:lang w:eastAsia="en-AU"/>
        </w:rPr>
        <w:t xml:space="preserve">.  It has </w:t>
      </w:r>
      <w:r w:rsidR="00854A5A">
        <w:rPr>
          <w:rFonts w:eastAsia="Times New Roman" w:cstheme="minorHAnsi"/>
          <w:lang w:eastAsia="en-AU"/>
        </w:rPr>
        <w:t xml:space="preserve">also </w:t>
      </w:r>
      <w:r w:rsidR="00372035">
        <w:rPr>
          <w:rFonts w:eastAsia="Times New Roman" w:cstheme="minorHAnsi"/>
          <w:lang w:eastAsia="en-AU"/>
        </w:rPr>
        <w:t xml:space="preserve">been subject of cost shifting and ill-conceived or </w:t>
      </w:r>
      <w:r w:rsidR="00BE0863">
        <w:rPr>
          <w:rFonts w:eastAsia="Times New Roman" w:cstheme="minorHAnsi"/>
          <w:lang w:eastAsia="en-AU"/>
        </w:rPr>
        <w:t xml:space="preserve">poorly </w:t>
      </w:r>
      <w:r w:rsidR="00372035">
        <w:rPr>
          <w:rFonts w:eastAsia="Times New Roman" w:cstheme="minorHAnsi"/>
          <w:lang w:eastAsia="en-AU"/>
        </w:rPr>
        <w:t>implemented Commonwealth interventions in VET</w:t>
      </w:r>
      <w:r w:rsidR="00722DC8">
        <w:rPr>
          <w:rFonts w:eastAsia="Times New Roman" w:cstheme="minorHAnsi"/>
          <w:lang w:eastAsia="en-AU"/>
        </w:rPr>
        <w:t xml:space="preserve">.  </w:t>
      </w:r>
    </w:p>
    <w:p w:rsidR="00722DC8" w:rsidRDefault="00722DC8" w:rsidP="007F09F7">
      <w:pPr>
        <w:spacing w:before="120" w:after="0" w:line="300" w:lineRule="exact"/>
        <w:rPr>
          <w:rFonts w:eastAsia="Times New Roman" w:cstheme="minorHAnsi"/>
          <w:lang w:eastAsia="en-AU"/>
        </w:rPr>
      </w:pPr>
      <w:r>
        <w:rPr>
          <w:rFonts w:eastAsia="Times New Roman" w:cstheme="minorHAnsi"/>
          <w:lang w:eastAsia="en-AU"/>
        </w:rPr>
        <w:t>The NASWD</w:t>
      </w:r>
      <w:r w:rsidR="00F32392">
        <w:rPr>
          <w:rFonts w:eastAsia="Times New Roman" w:cstheme="minorHAnsi"/>
          <w:lang w:eastAsia="en-AU"/>
        </w:rPr>
        <w:t xml:space="preserve"> and NA</w:t>
      </w:r>
      <w:r>
        <w:rPr>
          <w:rFonts w:eastAsia="Times New Roman" w:cstheme="minorHAnsi"/>
          <w:lang w:eastAsia="en-AU"/>
        </w:rPr>
        <w:t xml:space="preserve"> funding is central to present arrangements</w:t>
      </w:r>
      <w:r w:rsidR="00372035">
        <w:rPr>
          <w:rFonts w:eastAsia="Times New Roman" w:cstheme="minorHAnsi"/>
          <w:lang w:eastAsia="en-AU"/>
        </w:rPr>
        <w:t xml:space="preserve"> and is the largest </w:t>
      </w:r>
      <w:r>
        <w:rPr>
          <w:rFonts w:eastAsia="Times New Roman" w:cstheme="minorHAnsi"/>
          <w:lang w:eastAsia="en-AU"/>
        </w:rPr>
        <w:t xml:space="preserve">transfer </w:t>
      </w:r>
      <w:r w:rsidR="007E0521">
        <w:rPr>
          <w:rFonts w:eastAsia="Times New Roman" w:cstheme="minorHAnsi"/>
          <w:lang w:eastAsia="en-AU"/>
        </w:rPr>
        <w:t xml:space="preserve">by far </w:t>
      </w:r>
      <w:r>
        <w:rPr>
          <w:rFonts w:eastAsia="Times New Roman" w:cstheme="minorHAnsi"/>
          <w:lang w:eastAsia="en-AU"/>
        </w:rPr>
        <w:t xml:space="preserve">of </w:t>
      </w:r>
      <w:r w:rsidR="00372035">
        <w:rPr>
          <w:rFonts w:eastAsia="Times New Roman" w:cstheme="minorHAnsi"/>
          <w:lang w:eastAsia="en-AU"/>
        </w:rPr>
        <w:t xml:space="preserve">Australian Government </w:t>
      </w:r>
      <w:r>
        <w:rPr>
          <w:rFonts w:eastAsia="Times New Roman" w:cstheme="minorHAnsi"/>
          <w:lang w:eastAsia="en-AU"/>
        </w:rPr>
        <w:t xml:space="preserve">resources to States and Territories </w:t>
      </w:r>
      <w:r w:rsidR="001B6116">
        <w:rPr>
          <w:rFonts w:eastAsia="Times New Roman" w:cstheme="minorHAnsi"/>
          <w:lang w:eastAsia="en-AU"/>
        </w:rPr>
        <w:t xml:space="preserve">(S&amp;T) </w:t>
      </w:r>
      <w:r>
        <w:rPr>
          <w:rFonts w:eastAsia="Times New Roman" w:cstheme="minorHAnsi"/>
          <w:lang w:eastAsia="en-AU"/>
        </w:rPr>
        <w:t>for VET</w:t>
      </w:r>
      <w:r w:rsidR="00372035">
        <w:rPr>
          <w:rFonts w:eastAsia="Times New Roman" w:cstheme="minorHAnsi"/>
          <w:lang w:eastAsia="en-AU"/>
        </w:rPr>
        <w:t xml:space="preserve"> training and </w:t>
      </w:r>
      <w:r w:rsidR="007E0521">
        <w:rPr>
          <w:rFonts w:eastAsia="Times New Roman" w:cstheme="minorHAnsi"/>
          <w:lang w:eastAsia="en-AU"/>
        </w:rPr>
        <w:t xml:space="preserve">is </w:t>
      </w:r>
      <w:r w:rsidR="00372035">
        <w:rPr>
          <w:rFonts w:eastAsia="Times New Roman" w:cstheme="minorHAnsi"/>
          <w:lang w:eastAsia="en-AU"/>
        </w:rPr>
        <w:t xml:space="preserve">a focus of </w:t>
      </w:r>
      <w:r w:rsidR="007E0521">
        <w:rPr>
          <w:rFonts w:eastAsia="Times New Roman" w:cstheme="minorHAnsi"/>
          <w:lang w:eastAsia="en-AU"/>
        </w:rPr>
        <w:t xml:space="preserve">the PC’s </w:t>
      </w:r>
      <w:r w:rsidR="00372035">
        <w:rPr>
          <w:rFonts w:eastAsia="Times New Roman" w:cstheme="minorHAnsi"/>
          <w:lang w:eastAsia="en-AU"/>
        </w:rPr>
        <w:t xml:space="preserve">Terms of Reference.  </w:t>
      </w:r>
    </w:p>
    <w:p w:rsidR="007F09F7" w:rsidRDefault="00B96E49" w:rsidP="007F09F7">
      <w:pPr>
        <w:spacing w:before="120" w:after="0" w:line="300" w:lineRule="exact"/>
        <w:rPr>
          <w:rFonts w:eastAsia="Times New Roman" w:cstheme="minorHAnsi"/>
          <w:lang w:eastAsia="en-AU"/>
        </w:rPr>
      </w:pPr>
      <w:r>
        <w:rPr>
          <w:rFonts w:eastAsia="Times New Roman" w:cstheme="minorHAnsi"/>
          <w:lang w:eastAsia="en-AU"/>
        </w:rPr>
        <w:t>The</w:t>
      </w:r>
      <w:r w:rsidR="00372035">
        <w:rPr>
          <w:rFonts w:eastAsia="Times New Roman" w:cstheme="minorHAnsi"/>
          <w:lang w:eastAsia="en-AU"/>
        </w:rPr>
        <w:t xml:space="preserve"> ETS system is increasingly far more than </w:t>
      </w:r>
      <w:r>
        <w:rPr>
          <w:rFonts w:eastAsia="Times New Roman" w:cstheme="minorHAnsi"/>
          <w:lang w:eastAsia="en-AU"/>
        </w:rPr>
        <w:t xml:space="preserve">just </w:t>
      </w:r>
      <w:r w:rsidR="00372035">
        <w:rPr>
          <w:rFonts w:eastAsia="Times New Roman" w:cstheme="minorHAnsi"/>
          <w:lang w:eastAsia="en-AU"/>
        </w:rPr>
        <w:t xml:space="preserve">the traditional </w:t>
      </w:r>
      <w:r w:rsidR="00123397">
        <w:rPr>
          <w:rFonts w:eastAsia="Times New Roman" w:cstheme="minorHAnsi"/>
          <w:lang w:eastAsia="en-AU"/>
        </w:rPr>
        <w:t>regulated</w:t>
      </w:r>
      <w:r w:rsidR="007E0521">
        <w:rPr>
          <w:rFonts w:eastAsia="Times New Roman" w:cstheme="minorHAnsi"/>
          <w:lang w:eastAsia="en-AU"/>
        </w:rPr>
        <w:t xml:space="preserve"> approved </w:t>
      </w:r>
      <w:r w:rsidR="00372035">
        <w:rPr>
          <w:rFonts w:eastAsia="Times New Roman" w:cstheme="minorHAnsi"/>
          <w:lang w:eastAsia="en-AU"/>
        </w:rPr>
        <w:t>players</w:t>
      </w:r>
      <w:r w:rsidR="00123397">
        <w:rPr>
          <w:rFonts w:eastAsia="Times New Roman" w:cstheme="minorHAnsi"/>
          <w:lang w:eastAsia="en-AU"/>
        </w:rPr>
        <w:t xml:space="preserve"> and qualifications</w:t>
      </w:r>
      <w:r>
        <w:rPr>
          <w:rFonts w:eastAsia="Times New Roman" w:cstheme="minorHAnsi"/>
          <w:lang w:eastAsia="en-AU"/>
        </w:rPr>
        <w:t xml:space="preserve"> (eg universities and TAFEs)</w:t>
      </w:r>
      <w:r w:rsidR="00372035">
        <w:rPr>
          <w:rFonts w:eastAsia="Times New Roman" w:cstheme="minorHAnsi"/>
          <w:lang w:eastAsia="en-AU"/>
        </w:rPr>
        <w:t xml:space="preserve">.  </w:t>
      </w:r>
      <w:r w:rsidR="007E0521">
        <w:rPr>
          <w:rFonts w:eastAsia="Times New Roman" w:cstheme="minorHAnsi"/>
          <w:lang w:eastAsia="en-AU"/>
        </w:rPr>
        <w:t xml:space="preserve">New </w:t>
      </w:r>
      <w:r w:rsidR="007F09F7">
        <w:rPr>
          <w:rFonts w:eastAsia="Times New Roman" w:cstheme="minorHAnsi"/>
          <w:lang w:eastAsia="en-AU"/>
        </w:rPr>
        <w:t xml:space="preserve">entrants </w:t>
      </w:r>
      <w:r w:rsidR="007E0521">
        <w:rPr>
          <w:rFonts w:eastAsia="Times New Roman" w:cstheme="minorHAnsi"/>
          <w:lang w:eastAsia="en-AU"/>
        </w:rPr>
        <w:t>and less</w:t>
      </w:r>
      <w:r w:rsidR="007F09F7">
        <w:rPr>
          <w:rFonts w:eastAsia="Times New Roman" w:cstheme="minorHAnsi"/>
          <w:lang w:eastAsia="en-AU"/>
        </w:rPr>
        <w:t xml:space="preserve"> formal providers eg of short course/credentials, ‘education-as-a-service platforms’ and industry proprietary programs are a fast rising and legitimate part of any future effective </w:t>
      </w:r>
      <w:r>
        <w:rPr>
          <w:rFonts w:eastAsia="Times New Roman" w:cstheme="minorHAnsi"/>
          <w:lang w:eastAsia="en-AU"/>
        </w:rPr>
        <w:t xml:space="preserve">ETS </w:t>
      </w:r>
      <w:r w:rsidR="007F09F7">
        <w:rPr>
          <w:rFonts w:eastAsia="Times New Roman" w:cstheme="minorHAnsi"/>
          <w:lang w:eastAsia="en-AU"/>
        </w:rPr>
        <w:t xml:space="preserve">‘tertiary system’. </w:t>
      </w:r>
      <w:r w:rsidR="007E0521">
        <w:rPr>
          <w:rFonts w:eastAsia="Times New Roman" w:cstheme="minorHAnsi"/>
          <w:lang w:eastAsia="en-AU"/>
        </w:rPr>
        <w:t xml:space="preserve"> </w:t>
      </w:r>
      <w:r w:rsidR="00123397">
        <w:rPr>
          <w:rFonts w:eastAsia="Times New Roman" w:cstheme="minorHAnsi"/>
          <w:lang w:eastAsia="en-AU"/>
        </w:rPr>
        <w:t>The traditional</w:t>
      </w:r>
      <w:r w:rsidR="00B31838">
        <w:rPr>
          <w:rFonts w:eastAsia="Times New Roman" w:cstheme="minorHAnsi"/>
          <w:lang w:eastAsia="en-AU"/>
        </w:rPr>
        <w:t>ly</w:t>
      </w:r>
      <w:r w:rsidR="00123397">
        <w:rPr>
          <w:rFonts w:eastAsia="Times New Roman" w:cstheme="minorHAnsi"/>
          <w:lang w:eastAsia="en-AU"/>
        </w:rPr>
        <w:t xml:space="preserve"> regulated providers are themselves amongst the most active in new products and digital delivery eg MOOCs, skills-set, micro-credentials etc.   </w:t>
      </w:r>
    </w:p>
    <w:p w:rsidR="00DD473C" w:rsidRPr="00DD473C" w:rsidRDefault="00DD473C" w:rsidP="007F09F7">
      <w:pPr>
        <w:spacing w:before="120" w:after="0" w:line="300" w:lineRule="exact"/>
        <w:rPr>
          <w:rFonts w:eastAsia="Times New Roman" w:cstheme="minorHAnsi"/>
          <w:b/>
          <w:lang w:eastAsia="en-AU"/>
        </w:rPr>
      </w:pPr>
      <w:r w:rsidRPr="00DD473C">
        <w:rPr>
          <w:rFonts w:eastAsia="Times New Roman" w:cstheme="minorHAnsi"/>
          <w:b/>
          <w:lang w:eastAsia="en-AU"/>
        </w:rPr>
        <w:t>Employers and industry are part of the ETS</w:t>
      </w:r>
      <w:r>
        <w:rPr>
          <w:rFonts w:eastAsia="Times New Roman" w:cstheme="minorHAnsi"/>
          <w:b/>
          <w:lang w:eastAsia="en-AU"/>
        </w:rPr>
        <w:t xml:space="preserve"> system</w:t>
      </w:r>
    </w:p>
    <w:p w:rsidR="008B1F8D" w:rsidRDefault="00B83554" w:rsidP="007F09F7">
      <w:pPr>
        <w:spacing w:before="120" w:after="0" w:line="300" w:lineRule="exact"/>
        <w:rPr>
          <w:rFonts w:eastAsia="Times New Roman" w:cstheme="minorHAnsi"/>
          <w:lang w:eastAsia="en-AU"/>
        </w:rPr>
      </w:pPr>
      <w:r>
        <w:rPr>
          <w:rFonts w:eastAsia="Times New Roman" w:cstheme="minorHAnsi"/>
          <w:lang w:eastAsia="en-AU"/>
        </w:rPr>
        <w:t xml:space="preserve">Students are at the centre of the </w:t>
      </w:r>
      <w:r w:rsidR="007F09F7">
        <w:rPr>
          <w:rFonts w:eastAsia="Times New Roman" w:cstheme="minorHAnsi"/>
          <w:lang w:eastAsia="en-AU"/>
        </w:rPr>
        <w:t>ETS system</w:t>
      </w:r>
      <w:r w:rsidR="00EC788A">
        <w:rPr>
          <w:rFonts w:eastAsia="Times New Roman" w:cstheme="minorHAnsi"/>
          <w:lang w:eastAsia="en-AU"/>
        </w:rPr>
        <w:t xml:space="preserve">.  Overwhelmingly their </w:t>
      </w:r>
      <w:r w:rsidR="00123397">
        <w:rPr>
          <w:rFonts w:eastAsia="Times New Roman" w:cstheme="minorHAnsi"/>
          <w:lang w:eastAsia="en-AU"/>
        </w:rPr>
        <w:t xml:space="preserve">purpose </w:t>
      </w:r>
      <w:r w:rsidR="00EC788A">
        <w:rPr>
          <w:rFonts w:eastAsia="Times New Roman" w:cstheme="minorHAnsi"/>
          <w:lang w:eastAsia="en-AU"/>
        </w:rPr>
        <w:t xml:space="preserve">for study </w:t>
      </w:r>
      <w:r>
        <w:rPr>
          <w:rFonts w:eastAsia="Times New Roman" w:cstheme="minorHAnsi"/>
          <w:lang w:eastAsia="en-AU"/>
        </w:rPr>
        <w:t xml:space="preserve">is winning a meaningful job or a </w:t>
      </w:r>
      <w:r w:rsidR="00123397">
        <w:rPr>
          <w:rFonts w:eastAsia="Times New Roman" w:cstheme="minorHAnsi"/>
          <w:lang w:eastAsia="en-AU"/>
        </w:rPr>
        <w:t xml:space="preserve">better </w:t>
      </w:r>
      <w:r>
        <w:rPr>
          <w:rFonts w:eastAsia="Times New Roman" w:cstheme="minorHAnsi"/>
          <w:lang w:eastAsia="en-AU"/>
        </w:rPr>
        <w:t xml:space="preserve">job.  </w:t>
      </w:r>
      <w:r w:rsidR="008B1F8D">
        <w:rPr>
          <w:rFonts w:eastAsia="Times New Roman" w:cstheme="minorHAnsi"/>
          <w:lang w:eastAsia="en-AU"/>
        </w:rPr>
        <w:t>This makes</w:t>
      </w:r>
      <w:r>
        <w:rPr>
          <w:rFonts w:eastAsia="Times New Roman" w:cstheme="minorHAnsi"/>
          <w:lang w:eastAsia="en-AU"/>
        </w:rPr>
        <w:t xml:space="preserve"> </w:t>
      </w:r>
      <w:r w:rsidR="007F09F7">
        <w:rPr>
          <w:rFonts w:eastAsia="Times New Roman" w:cstheme="minorHAnsi"/>
          <w:lang w:eastAsia="en-AU"/>
        </w:rPr>
        <w:t>employers</w:t>
      </w:r>
      <w:r w:rsidR="008B1F8D">
        <w:rPr>
          <w:rFonts w:eastAsia="Times New Roman" w:cstheme="minorHAnsi"/>
          <w:lang w:eastAsia="en-AU"/>
        </w:rPr>
        <w:t>,</w:t>
      </w:r>
      <w:r w:rsidR="007F09F7">
        <w:rPr>
          <w:rFonts w:eastAsia="Times New Roman" w:cstheme="minorHAnsi"/>
          <w:lang w:eastAsia="en-AU"/>
        </w:rPr>
        <w:t xml:space="preserve"> </w:t>
      </w:r>
      <w:r>
        <w:rPr>
          <w:rFonts w:eastAsia="Times New Roman" w:cstheme="minorHAnsi"/>
          <w:lang w:eastAsia="en-AU"/>
        </w:rPr>
        <w:t xml:space="preserve">by </w:t>
      </w:r>
      <w:r w:rsidR="00BE0863">
        <w:rPr>
          <w:rFonts w:eastAsia="Times New Roman" w:cstheme="minorHAnsi"/>
          <w:lang w:eastAsia="en-AU"/>
        </w:rPr>
        <w:t xml:space="preserve">their </w:t>
      </w:r>
      <w:r>
        <w:rPr>
          <w:rFonts w:eastAsia="Times New Roman" w:cstheme="minorHAnsi"/>
          <w:lang w:eastAsia="en-AU"/>
        </w:rPr>
        <w:t>engagement with student</w:t>
      </w:r>
      <w:r w:rsidR="00BE0863">
        <w:rPr>
          <w:rFonts w:eastAsia="Times New Roman" w:cstheme="minorHAnsi"/>
          <w:lang w:eastAsia="en-AU"/>
        </w:rPr>
        <w:t>s as e</w:t>
      </w:r>
      <w:r>
        <w:rPr>
          <w:rFonts w:eastAsia="Times New Roman" w:cstheme="minorHAnsi"/>
          <w:lang w:eastAsia="en-AU"/>
        </w:rPr>
        <w:t xml:space="preserve">mployees and </w:t>
      </w:r>
      <w:r w:rsidR="00BE0863">
        <w:rPr>
          <w:rFonts w:eastAsia="Times New Roman" w:cstheme="minorHAnsi"/>
          <w:lang w:eastAsia="en-AU"/>
        </w:rPr>
        <w:t xml:space="preserve">when working with </w:t>
      </w:r>
      <w:r>
        <w:rPr>
          <w:rFonts w:eastAsia="Times New Roman" w:cstheme="minorHAnsi"/>
          <w:lang w:eastAsia="en-AU"/>
        </w:rPr>
        <w:t>educational providers</w:t>
      </w:r>
      <w:r w:rsidR="008B1F8D">
        <w:rPr>
          <w:rFonts w:eastAsia="Times New Roman" w:cstheme="minorHAnsi"/>
          <w:lang w:eastAsia="en-AU"/>
        </w:rPr>
        <w:t xml:space="preserve">, </w:t>
      </w:r>
      <w:r>
        <w:rPr>
          <w:rFonts w:eastAsia="Times New Roman" w:cstheme="minorHAnsi"/>
          <w:lang w:eastAsia="en-AU"/>
        </w:rPr>
        <w:t xml:space="preserve">key </w:t>
      </w:r>
      <w:r w:rsidR="008B1F8D">
        <w:rPr>
          <w:rFonts w:eastAsia="Times New Roman" w:cstheme="minorHAnsi"/>
          <w:lang w:eastAsia="en-AU"/>
        </w:rPr>
        <w:t xml:space="preserve">stakeholders of the </w:t>
      </w:r>
      <w:r>
        <w:rPr>
          <w:rFonts w:eastAsia="Times New Roman" w:cstheme="minorHAnsi"/>
          <w:lang w:eastAsia="en-AU"/>
        </w:rPr>
        <w:t xml:space="preserve">ETS system.  </w:t>
      </w:r>
    </w:p>
    <w:p w:rsidR="00837517" w:rsidRDefault="00B83554" w:rsidP="004E7146">
      <w:pPr>
        <w:spacing w:before="120" w:after="0" w:line="300" w:lineRule="exact"/>
        <w:rPr>
          <w:rFonts w:cstheme="minorHAnsi"/>
        </w:rPr>
      </w:pPr>
      <w:r>
        <w:rPr>
          <w:rFonts w:eastAsia="Times New Roman" w:cstheme="minorHAnsi"/>
          <w:lang w:eastAsia="en-AU"/>
        </w:rPr>
        <w:t xml:space="preserve">However in Australia the quality and depth of </w:t>
      </w:r>
      <w:r w:rsidR="005E01E1">
        <w:rPr>
          <w:rFonts w:eastAsia="Times New Roman" w:cstheme="minorHAnsi"/>
          <w:lang w:eastAsia="en-AU"/>
        </w:rPr>
        <w:t>relations</w:t>
      </w:r>
      <w:r>
        <w:rPr>
          <w:rFonts w:eastAsia="Times New Roman" w:cstheme="minorHAnsi"/>
          <w:lang w:eastAsia="en-AU"/>
        </w:rPr>
        <w:t xml:space="preserve"> between industry/employers and universities/TAFEs/RTOs </w:t>
      </w:r>
      <w:r w:rsidR="005E01E1">
        <w:rPr>
          <w:rFonts w:eastAsia="Times New Roman" w:cstheme="minorHAnsi"/>
          <w:lang w:eastAsia="en-AU"/>
        </w:rPr>
        <w:t>spanning a line of engagement from AQF 1-10 is good in parts</w:t>
      </w:r>
      <w:r w:rsidR="00837517">
        <w:rPr>
          <w:rFonts w:eastAsia="Times New Roman" w:cstheme="minorHAnsi"/>
          <w:lang w:eastAsia="en-AU"/>
        </w:rPr>
        <w:t>,</w:t>
      </w:r>
      <w:r w:rsidR="005E01E1">
        <w:rPr>
          <w:rFonts w:eastAsia="Times New Roman" w:cstheme="minorHAnsi"/>
          <w:lang w:eastAsia="en-AU"/>
        </w:rPr>
        <w:t xml:space="preserve"> but </w:t>
      </w:r>
      <w:r w:rsidR="00837517">
        <w:rPr>
          <w:rFonts w:eastAsia="Times New Roman" w:cstheme="minorHAnsi"/>
          <w:lang w:eastAsia="en-AU"/>
        </w:rPr>
        <w:t xml:space="preserve">overall </w:t>
      </w:r>
      <w:r w:rsidR="005E01E1">
        <w:rPr>
          <w:rFonts w:eastAsia="Times New Roman" w:cstheme="minorHAnsi"/>
          <w:lang w:eastAsia="en-AU"/>
        </w:rPr>
        <w:t>patchy</w:t>
      </w:r>
      <w:r w:rsidR="00BE0863">
        <w:rPr>
          <w:rFonts w:eastAsia="Times New Roman" w:cstheme="minorHAnsi"/>
          <w:lang w:eastAsia="en-AU"/>
        </w:rPr>
        <w:t xml:space="preserve"> (Attachment 3)</w:t>
      </w:r>
      <w:r w:rsidR="005E01E1">
        <w:rPr>
          <w:rFonts w:eastAsia="Times New Roman" w:cstheme="minorHAnsi"/>
          <w:lang w:eastAsia="en-AU"/>
        </w:rPr>
        <w:t xml:space="preserve">.  </w:t>
      </w:r>
      <w:r w:rsidR="00142939">
        <w:rPr>
          <w:rFonts w:eastAsia="Times New Roman" w:cstheme="minorHAnsi"/>
          <w:lang w:eastAsia="en-AU"/>
        </w:rPr>
        <w:t xml:space="preserve">Australian employers and industry undoubtedly make direct and indirect contribution by on job knowledge transfer and upskilling.  </w:t>
      </w:r>
      <w:r w:rsidR="00BE0863">
        <w:rPr>
          <w:rFonts w:eastAsia="Times New Roman" w:cstheme="minorHAnsi"/>
          <w:lang w:eastAsia="en-AU"/>
        </w:rPr>
        <w:t>The</w:t>
      </w:r>
      <w:r w:rsidR="00142939">
        <w:rPr>
          <w:rFonts w:eastAsia="Times New Roman" w:cstheme="minorHAnsi"/>
          <w:lang w:eastAsia="en-AU"/>
        </w:rPr>
        <w:t xml:space="preserve"> lack of </w:t>
      </w:r>
      <w:r w:rsidR="00837517">
        <w:rPr>
          <w:rFonts w:eastAsia="Times New Roman" w:cstheme="minorHAnsi"/>
          <w:lang w:eastAsia="en-AU"/>
        </w:rPr>
        <w:t xml:space="preserve">investment </w:t>
      </w:r>
      <w:r w:rsidR="00D93957">
        <w:rPr>
          <w:rFonts w:eastAsia="Times New Roman" w:cstheme="minorHAnsi"/>
          <w:lang w:eastAsia="en-AU"/>
        </w:rPr>
        <w:t xml:space="preserve">evidence and longitudinal </w:t>
      </w:r>
      <w:r w:rsidR="00142939">
        <w:rPr>
          <w:rFonts w:eastAsia="Times New Roman" w:cstheme="minorHAnsi"/>
          <w:lang w:eastAsia="en-AU"/>
        </w:rPr>
        <w:t>data</w:t>
      </w:r>
      <w:r w:rsidR="00D93957">
        <w:rPr>
          <w:rFonts w:eastAsia="Times New Roman" w:cstheme="minorHAnsi"/>
          <w:lang w:eastAsia="en-AU"/>
        </w:rPr>
        <w:t xml:space="preserve">, </w:t>
      </w:r>
      <w:r w:rsidR="00837517">
        <w:rPr>
          <w:rFonts w:eastAsia="Times New Roman" w:cstheme="minorHAnsi"/>
          <w:lang w:eastAsia="en-AU"/>
        </w:rPr>
        <w:t>such as ‘i</w:t>
      </w:r>
      <w:r w:rsidR="00D93957">
        <w:rPr>
          <w:rFonts w:eastAsia="Times New Roman" w:cstheme="minorHAnsi"/>
          <w:lang w:eastAsia="en-AU"/>
        </w:rPr>
        <w:t>n company</w:t>
      </w:r>
      <w:r w:rsidR="00837517">
        <w:rPr>
          <w:rFonts w:eastAsia="Times New Roman" w:cstheme="minorHAnsi"/>
          <w:lang w:eastAsia="en-AU"/>
        </w:rPr>
        <w:t>’</w:t>
      </w:r>
      <w:r w:rsidR="00D93957">
        <w:rPr>
          <w:rFonts w:eastAsia="Times New Roman" w:cstheme="minorHAnsi"/>
          <w:lang w:eastAsia="en-AU"/>
        </w:rPr>
        <w:t xml:space="preserve"> </w:t>
      </w:r>
      <w:r w:rsidR="00142939">
        <w:rPr>
          <w:rFonts w:eastAsia="Times New Roman" w:cstheme="minorHAnsi"/>
          <w:lang w:eastAsia="en-AU"/>
        </w:rPr>
        <w:t xml:space="preserve">investment </w:t>
      </w:r>
      <w:r w:rsidR="00BE0863">
        <w:rPr>
          <w:rFonts w:eastAsia="Times New Roman" w:cstheme="minorHAnsi"/>
          <w:lang w:eastAsia="en-AU"/>
        </w:rPr>
        <w:t>in ETS</w:t>
      </w:r>
      <w:r w:rsidR="00837517">
        <w:rPr>
          <w:rFonts w:eastAsia="Times New Roman" w:cstheme="minorHAnsi"/>
          <w:lang w:eastAsia="en-AU"/>
        </w:rPr>
        <w:t>,</w:t>
      </w:r>
      <w:r w:rsidR="00BE0863">
        <w:rPr>
          <w:rFonts w:eastAsia="Times New Roman" w:cstheme="minorHAnsi"/>
          <w:lang w:eastAsia="en-AU"/>
        </w:rPr>
        <w:t xml:space="preserve"> </w:t>
      </w:r>
      <w:r w:rsidR="00D93957">
        <w:rPr>
          <w:rFonts w:eastAsia="Times New Roman" w:cstheme="minorHAnsi"/>
          <w:lang w:eastAsia="en-AU"/>
        </w:rPr>
        <w:t>or partnering with education providers</w:t>
      </w:r>
      <w:r w:rsidR="00837517">
        <w:rPr>
          <w:rFonts w:eastAsia="Times New Roman" w:cstheme="minorHAnsi"/>
          <w:lang w:eastAsia="en-AU"/>
        </w:rPr>
        <w:t>,</w:t>
      </w:r>
      <w:r w:rsidR="00B31838">
        <w:rPr>
          <w:rFonts w:eastAsia="Times New Roman" w:cstheme="minorHAnsi"/>
          <w:lang w:eastAsia="en-AU"/>
        </w:rPr>
        <w:t xml:space="preserve"> is an evidence gap needing to be filled</w:t>
      </w:r>
      <w:r w:rsidR="00837517">
        <w:rPr>
          <w:rFonts w:eastAsia="Times New Roman" w:cstheme="minorHAnsi"/>
          <w:lang w:eastAsia="en-AU"/>
        </w:rPr>
        <w:t xml:space="preserve">.  </w:t>
      </w:r>
      <w:r w:rsidR="00B31838">
        <w:rPr>
          <w:rFonts w:cstheme="minorHAnsi"/>
          <w:color w:val="222222"/>
          <w:shd w:val="clear" w:color="auto" w:fill="FFFFFF"/>
        </w:rPr>
        <w:t xml:space="preserve">There are </w:t>
      </w:r>
      <w:r w:rsidR="004E7146">
        <w:t xml:space="preserve">no credible baseline measures.  </w:t>
      </w:r>
      <w:r w:rsidR="004E7146">
        <w:rPr>
          <w:rFonts w:cstheme="minorHAnsi"/>
        </w:rPr>
        <w:t xml:space="preserve"> </w:t>
      </w:r>
      <w:r w:rsidR="00B31838">
        <w:rPr>
          <w:rFonts w:cstheme="minorHAnsi"/>
        </w:rPr>
        <w:t xml:space="preserve">Company </w:t>
      </w:r>
      <w:r w:rsidR="004E7146">
        <w:rPr>
          <w:rFonts w:cstheme="minorHAnsi"/>
        </w:rPr>
        <w:t xml:space="preserve">investment </w:t>
      </w:r>
      <w:r w:rsidR="00B31838">
        <w:rPr>
          <w:rFonts w:cstheme="minorHAnsi"/>
        </w:rPr>
        <w:t>is</w:t>
      </w:r>
      <w:r w:rsidR="00B31838">
        <w:rPr>
          <w:rFonts w:eastAsia="Times New Roman" w:cstheme="minorHAnsi"/>
          <w:lang w:eastAsia="en-AU"/>
        </w:rPr>
        <w:t xml:space="preserve"> </w:t>
      </w:r>
      <w:r w:rsidR="004E7146">
        <w:rPr>
          <w:rFonts w:cstheme="minorHAnsi"/>
        </w:rPr>
        <w:t xml:space="preserve">most probably </w:t>
      </w:r>
      <w:r w:rsidR="00837517">
        <w:rPr>
          <w:rFonts w:cstheme="minorHAnsi"/>
        </w:rPr>
        <w:t xml:space="preserve">dominantly </w:t>
      </w:r>
      <w:r w:rsidR="004E7146">
        <w:rPr>
          <w:rFonts w:cstheme="minorHAnsi"/>
        </w:rPr>
        <w:t>non-accredited ‘short courses’ in upskilling their employees</w:t>
      </w:r>
      <w:r w:rsidR="00B31838">
        <w:rPr>
          <w:rFonts w:cstheme="minorHAnsi"/>
        </w:rPr>
        <w:t xml:space="preserve">. Given the need for upskilling of existing worker </w:t>
      </w:r>
      <w:r w:rsidR="00B26DCC">
        <w:rPr>
          <w:rFonts w:cstheme="minorHAnsi"/>
        </w:rPr>
        <w:t xml:space="preserve">across all industries </w:t>
      </w:r>
      <w:r w:rsidR="00B31838">
        <w:rPr>
          <w:rFonts w:cstheme="minorHAnsi"/>
        </w:rPr>
        <w:t xml:space="preserve">this part of the </w:t>
      </w:r>
      <w:r w:rsidR="00837517">
        <w:rPr>
          <w:rFonts w:cstheme="minorHAnsi"/>
        </w:rPr>
        <w:t>national ETS system</w:t>
      </w:r>
      <w:r w:rsidR="00B31838">
        <w:rPr>
          <w:rFonts w:cstheme="minorHAnsi"/>
        </w:rPr>
        <w:t xml:space="preserve"> needs to be better recognised and understood</w:t>
      </w:r>
      <w:r w:rsidR="00837517">
        <w:rPr>
          <w:rFonts w:cstheme="minorHAnsi"/>
        </w:rPr>
        <w:t>.</w:t>
      </w:r>
    </w:p>
    <w:p w:rsidR="004E7146" w:rsidRDefault="004E7146" w:rsidP="004E7146">
      <w:pPr>
        <w:spacing w:before="120" w:after="0" w:line="300" w:lineRule="exact"/>
        <w:rPr>
          <w:rFonts w:cstheme="minorHAnsi"/>
        </w:rPr>
      </w:pPr>
      <w:r>
        <w:rPr>
          <w:rFonts w:cstheme="minorHAnsi"/>
        </w:rPr>
        <w:t>The dearth of reliable detail</w:t>
      </w:r>
      <w:r w:rsidR="00837517">
        <w:rPr>
          <w:rFonts w:cstheme="minorHAnsi"/>
        </w:rPr>
        <w:t xml:space="preserve"> </w:t>
      </w:r>
      <w:r>
        <w:rPr>
          <w:rFonts w:cstheme="minorHAnsi"/>
        </w:rPr>
        <w:t xml:space="preserve">and </w:t>
      </w:r>
      <w:r w:rsidR="00837517">
        <w:rPr>
          <w:rFonts w:cstheme="minorHAnsi"/>
        </w:rPr>
        <w:t xml:space="preserve">any </w:t>
      </w:r>
      <w:r>
        <w:rPr>
          <w:rFonts w:cstheme="minorHAnsi"/>
        </w:rPr>
        <w:t xml:space="preserve">assessment of </w:t>
      </w:r>
      <w:r w:rsidR="00B26DCC">
        <w:rPr>
          <w:rFonts w:cstheme="minorHAnsi"/>
        </w:rPr>
        <w:t xml:space="preserve">the </w:t>
      </w:r>
      <w:r w:rsidR="00837517">
        <w:rPr>
          <w:rFonts w:cstheme="minorHAnsi"/>
        </w:rPr>
        <w:t xml:space="preserve">quality of </w:t>
      </w:r>
      <w:r>
        <w:rPr>
          <w:rFonts w:cstheme="minorHAnsi"/>
        </w:rPr>
        <w:t>such training</w:t>
      </w:r>
      <w:r w:rsidR="00837517">
        <w:rPr>
          <w:rFonts w:cstheme="minorHAnsi"/>
        </w:rPr>
        <w:t>,</w:t>
      </w:r>
      <w:r>
        <w:rPr>
          <w:rFonts w:cstheme="minorHAnsi"/>
        </w:rPr>
        <w:t xml:space="preserve"> </w:t>
      </w:r>
      <w:r w:rsidR="00837517">
        <w:rPr>
          <w:rFonts w:cstheme="minorHAnsi"/>
        </w:rPr>
        <w:t>noting</w:t>
      </w:r>
      <w:r>
        <w:rPr>
          <w:rFonts w:cstheme="minorHAnsi"/>
        </w:rPr>
        <w:t xml:space="preserve"> </w:t>
      </w:r>
      <w:r w:rsidR="00837517">
        <w:rPr>
          <w:rFonts w:cstheme="minorHAnsi"/>
        </w:rPr>
        <w:t>national</w:t>
      </w:r>
      <w:r>
        <w:rPr>
          <w:rFonts w:cstheme="minorHAnsi"/>
        </w:rPr>
        <w:t xml:space="preserve"> urgency of companies to increase their investment in upskilling em</w:t>
      </w:r>
      <w:r w:rsidR="00837517">
        <w:rPr>
          <w:rFonts w:cstheme="minorHAnsi"/>
        </w:rPr>
        <w:t xml:space="preserve">ployees (eg. digital skills), cannot be </w:t>
      </w:r>
      <w:r>
        <w:rPr>
          <w:rFonts w:cstheme="minorHAnsi"/>
        </w:rPr>
        <w:t xml:space="preserve">overlooked. The PC should recommend ways in which such details could </w:t>
      </w:r>
      <w:r w:rsidR="00B26DCC">
        <w:rPr>
          <w:rFonts w:cstheme="minorHAnsi"/>
        </w:rPr>
        <w:t xml:space="preserve">be collected </w:t>
      </w:r>
      <w:r>
        <w:rPr>
          <w:rFonts w:cstheme="minorHAnsi"/>
        </w:rPr>
        <w:t xml:space="preserve">most cost effectively.  </w:t>
      </w:r>
    </w:p>
    <w:p w:rsidR="00DD473C" w:rsidRPr="00DD473C" w:rsidRDefault="008B7428" w:rsidP="004E7146">
      <w:pPr>
        <w:spacing w:before="120" w:after="120" w:line="300" w:lineRule="exact"/>
        <w:rPr>
          <w:rFonts w:eastAsia="Times New Roman" w:cstheme="minorHAnsi"/>
          <w:b/>
          <w:lang w:eastAsia="en-AU"/>
        </w:rPr>
      </w:pPr>
      <w:r>
        <w:rPr>
          <w:rFonts w:eastAsia="Times New Roman" w:cstheme="minorHAnsi"/>
          <w:b/>
          <w:lang w:eastAsia="en-AU"/>
        </w:rPr>
        <w:t>Future i</w:t>
      </w:r>
      <w:r w:rsidR="00DD473C" w:rsidRPr="00DD473C">
        <w:rPr>
          <w:rFonts w:eastAsia="Times New Roman" w:cstheme="minorHAnsi"/>
          <w:b/>
          <w:lang w:eastAsia="en-AU"/>
        </w:rPr>
        <w:t xml:space="preserve">mpact of the </w:t>
      </w:r>
      <w:r w:rsidR="00EC148E">
        <w:rPr>
          <w:rFonts w:eastAsia="Times New Roman" w:cstheme="minorHAnsi"/>
          <w:b/>
          <w:lang w:eastAsia="en-AU"/>
        </w:rPr>
        <w:t xml:space="preserve">now Government supported </w:t>
      </w:r>
      <w:r w:rsidR="00DD473C" w:rsidRPr="00DD473C">
        <w:rPr>
          <w:rFonts w:eastAsia="Times New Roman" w:cstheme="minorHAnsi"/>
          <w:b/>
          <w:lang w:eastAsia="en-AU"/>
        </w:rPr>
        <w:t xml:space="preserve">AQF Review </w:t>
      </w:r>
    </w:p>
    <w:p w:rsidR="00DD473C" w:rsidRPr="00CB7473" w:rsidRDefault="00647F04" w:rsidP="00DD473C">
      <w:pPr>
        <w:pStyle w:val="ListParagraph"/>
        <w:spacing w:after="120" w:line="300" w:lineRule="exact"/>
        <w:ind w:left="0"/>
        <w:rPr>
          <w:rFonts w:eastAsia="Times New Roman" w:cstheme="minorHAnsi"/>
          <w:lang w:eastAsia="en-AU"/>
        </w:rPr>
      </w:pPr>
      <w:r w:rsidRPr="008B1F8D">
        <w:rPr>
          <w:rFonts w:cstheme="minorHAnsi"/>
        </w:rPr>
        <w:t xml:space="preserve">The AQF Review </w:t>
      </w:r>
      <w:r w:rsidR="008B1F8D">
        <w:rPr>
          <w:rFonts w:cstheme="minorHAnsi"/>
        </w:rPr>
        <w:t xml:space="preserve">has found the </w:t>
      </w:r>
      <w:r w:rsidRPr="00647F04">
        <w:rPr>
          <w:rFonts w:cstheme="minorHAnsi"/>
        </w:rPr>
        <w:t>AQF is not broken but needs to be modernised</w:t>
      </w:r>
      <w:r w:rsidR="008B1F8D">
        <w:rPr>
          <w:rFonts w:cstheme="minorHAnsi"/>
        </w:rPr>
        <w:t xml:space="preserve">, </w:t>
      </w:r>
      <w:r w:rsidR="008B1F8D" w:rsidRPr="00647F04">
        <w:rPr>
          <w:rFonts w:cstheme="minorHAnsi"/>
        </w:rPr>
        <w:t xml:space="preserve">such as </w:t>
      </w:r>
      <w:r w:rsidR="008B1F8D">
        <w:rPr>
          <w:rFonts w:cstheme="minorHAnsi"/>
        </w:rPr>
        <w:t xml:space="preserve">recognising </w:t>
      </w:r>
      <w:r w:rsidR="008B1F8D" w:rsidRPr="00647F04">
        <w:rPr>
          <w:rFonts w:cstheme="minorHAnsi"/>
        </w:rPr>
        <w:t>‘micro-credentials’ (and similar).</w:t>
      </w:r>
      <w:r w:rsidR="008B1F8D">
        <w:rPr>
          <w:rFonts w:cstheme="minorHAnsi"/>
        </w:rPr>
        <w:t xml:space="preserve">  </w:t>
      </w:r>
      <w:r w:rsidR="00DD473C">
        <w:rPr>
          <w:rFonts w:cstheme="minorHAnsi"/>
        </w:rPr>
        <w:t xml:space="preserve">The Review proposed the present ten level AQF is replaced by a new AQF version with </w:t>
      </w:r>
      <w:r w:rsidR="00DD473C" w:rsidRPr="00CB7473">
        <w:rPr>
          <w:rFonts w:eastAsia="Times New Roman" w:cstheme="minorHAnsi"/>
          <w:bCs/>
          <w:iCs/>
          <w:lang w:eastAsia="en-AU"/>
        </w:rPr>
        <w:t>eight bands representing complexity of knowledge</w:t>
      </w:r>
      <w:r w:rsidR="00DD473C">
        <w:rPr>
          <w:rFonts w:eastAsia="Times New Roman" w:cstheme="minorHAnsi"/>
          <w:bCs/>
          <w:iCs/>
          <w:lang w:eastAsia="en-AU"/>
        </w:rPr>
        <w:t xml:space="preserve">, </w:t>
      </w:r>
      <w:r w:rsidR="00DD473C" w:rsidRPr="00CB7473">
        <w:rPr>
          <w:rFonts w:eastAsia="Times New Roman" w:cstheme="minorHAnsi"/>
          <w:bCs/>
          <w:iCs/>
          <w:lang w:eastAsia="en-AU"/>
        </w:rPr>
        <w:t>six bands representing skills</w:t>
      </w:r>
      <w:r w:rsidR="00DD473C">
        <w:rPr>
          <w:rFonts w:eastAsia="Times New Roman" w:cstheme="minorHAnsi"/>
          <w:bCs/>
          <w:iCs/>
          <w:lang w:eastAsia="en-AU"/>
        </w:rPr>
        <w:t xml:space="preserve"> and a</w:t>
      </w:r>
      <w:r w:rsidR="00DD473C" w:rsidRPr="00CB7473">
        <w:rPr>
          <w:rFonts w:eastAsia="Times New Roman" w:cstheme="minorHAnsi"/>
          <w:bCs/>
          <w:iCs/>
          <w:lang w:eastAsia="en-AU"/>
        </w:rPr>
        <w:t xml:space="preserve"> third category</w:t>
      </w:r>
      <w:r w:rsidR="00DD473C">
        <w:rPr>
          <w:rFonts w:eastAsia="Times New Roman" w:cstheme="minorHAnsi"/>
          <w:bCs/>
          <w:iCs/>
          <w:lang w:eastAsia="en-AU"/>
        </w:rPr>
        <w:t xml:space="preserve"> of a</w:t>
      </w:r>
      <w:r w:rsidR="00DD473C" w:rsidRPr="00CB7473">
        <w:rPr>
          <w:rFonts w:eastAsia="Times New Roman" w:cstheme="minorHAnsi"/>
          <w:bCs/>
          <w:iCs/>
          <w:lang w:eastAsia="en-AU"/>
        </w:rPr>
        <w:t xml:space="preserve">pplication, which recognises that there are different ways learners can demonstrate they have acquired the knowledge and skills offered by their course. </w:t>
      </w:r>
      <w:r w:rsidR="00DD473C">
        <w:rPr>
          <w:rFonts w:eastAsia="Times New Roman" w:cstheme="minorHAnsi"/>
          <w:bCs/>
          <w:iCs/>
          <w:lang w:eastAsia="en-AU"/>
        </w:rPr>
        <w:t xml:space="preserve"> This would give a </w:t>
      </w:r>
      <w:r w:rsidR="00DD473C" w:rsidRPr="00CB7473">
        <w:rPr>
          <w:rFonts w:eastAsia="Times New Roman" w:cstheme="minorHAnsi"/>
          <w:bCs/>
          <w:iCs/>
          <w:lang w:eastAsia="en-AU"/>
        </w:rPr>
        <w:t xml:space="preserve">richer way of describing any given qualification </w:t>
      </w:r>
      <w:r w:rsidR="00DD473C">
        <w:rPr>
          <w:rFonts w:eastAsia="Times New Roman" w:cstheme="minorHAnsi"/>
          <w:bCs/>
          <w:iCs/>
          <w:lang w:eastAsia="en-AU"/>
        </w:rPr>
        <w:t>and</w:t>
      </w:r>
      <w:r w:rsidR="00DD473C" w:rsidRPr="00CB7473">
        <w:rPr>
          <w:rFonts w:eastAsia="Times New Roman" w:cstheme="minorHAnsi"/>
          <w:bCs/>
          <w:iCs/>
          <w:lang w:eastAsia="en-AU"/>
        </w:rPr>
        <w:t xml:space="preserve"> offers a much more flexible way to design degrees</w:t>
      </w:r>
      <w:r w:rsidR="00DD473C">
        <w:rPr>
          <w:rFonts w:eastAsia="Times New Roman" w:cstheme="minorHAnsi"/>
          <w:bCs/>
          <w:iCs/>
          <w:lang w:eastAsia="en-AU"/>
        </w:rPr>
        <w:t>/courses</w:t>
      </w:r>
      <w:r w:rsidR="00DD473C" w:rsidRPr="00CB7473">
        <w:rPr>
          <w:rFonts w:eastAsia="Times New Roman" w:cstheme="minorHAnsi"/>
          <w:bCs/>
          <w:iCs/>
          <w:lang w:eastAsia="en-AU"/>
        </w:rPr>
        <w:t xml:space="preserve">. </w:t>
      </w:r>
      <w:r w:rsidR="00DD473C">
        <w:rPr>
          <w:rFonts w:eastAsia="Times New Roman" w:cstheme="minorHAnsi"/>
          <w:bCs/>
          <w:iCs/>
          <w:lang w:eastAsia="en-AU"/>
        </w:rPr>
        <w:t xml:space="preserve">  If adopted </w:t>
      </w:r>
      <w:r w:rsidR="00837517">
        <w:rPr>
          <w:rFonts w:eastAsia="Times New Roman" w:cstheme="minorHAnsi"/>
          <w:bCs/>
          <w:iCs/>
          <w:lang w:eastAsia="en-AU"/>
        </w:rPr>
        <w:t>it</w:t>
      </w:r>
      <w:r w:rsidR="00DD473C">
        <w:rPr>
          <w:rFonts w:eastAsia="Times New Roman" w:cstheme="minorHAnsi"/>
          <w:bCs/>
          <w:iCs/>
          <w:lang w:eastAsia="en-AU"/>
        </w:rPr>
        <w:t xml:space="preserve"> will require a reset</w:t>
      </w:r>
      <w:r w:rsidR="00EC148E">
        <w:rPr>
          <w:rFonts w:eastAsia="Times New Roman" w:cstheme="minorHAnsi"/>
          <w:bCs/>
          <w:iCs/>
          <w:lang w:eastAsia="en-AU"/>
        </w:rPr>
        <w:t>ting</w:t>
      </w:r>
      <w:r w:rsidR="00DD473C">
        <w:rPr>
          <w:rFonts w:eastAsia="Times New Roman" w:cstheme="minorHAnsi"/>
          <w:bCs/>
          <w:iCs/>
          <w:lang w:eastAsia="en-AU"/>
        </w:rPr>
        <w:t xml:space="preserve"> of how qualifications or parts thereof </w:t>
      </w:r>
      <w:r w:rsidR="00837517">
        <w:rPr>
          <w:rFonts w:eastAsia="Times New Roman" w:cstheme="minorHAnsi"/>
          <w:bCs/>
          <w:iCs/>
          <w:lang w:eastAsia="en-AU"/>
        </w:rPr>
        <w:t>(</w:t>
      </w:r>
      <w:r w:rsidR="00DD473C">
        <w:rPr>
          <w:rFonts w:eastAsia="Times New Roman" w:cstheme="minorHAnsi"/>
          <w:bCs/>
          <w:iCs/>
          <w:lang w:eastAsia="en-AU"/>
        </w:rPr>
        <w:t>eg. micro</w:t>
      </w:r>
      <w:r w:rsidR="00EC148E">
        <w:rPr>
          <w:rFonts w:eastAsia="Times New Roman" w:cstheme="minorHAnsi"/>
          <w:bCs/>
          <w:iCs/>
          <w:lang w:eastAsia="en-AU"/>
        </w:rPr>
        <w:t>-</w:t>
      </w:r>
      <w:r w:rsidR="00DD473C">
        <w:rPr>
          <w:rFonts w:eastAsia="Times New Roman" w:cstheme="minorHAnsi"/>
          <w:bCs/>
          <w:iCs/>
          <w:lang w:eastAsia="en-AU"/>
        </w:rPr>
        <w:t>credentials and skills sets</w:t>
      </w:r>
      <w:r w:rsidR="00837517">
        <w:rPr>
          <w:rFonts w:eastAsia="Times New Roman" w:cstheme="minorHAnsi"/>
          <w:bCs/>
          <w:iCs/>
          <w:lang w:eastAsia="en-AU"/>
        </w:rPr>
        <w:t xml:space="preserve">) are funded and </w:t>
      </w:r>
      <w:r w:rsidR="00DD473C">
        <w:rPr>
          <w:rFonts w:eastAsia="Times New Roman" w:cstheme="minorHAnsi"/>
          <w:bCs/>
          <w:iCs/>
          <w:lang w:eastAsia="en-AU"/>
        </w:rPr>
        <w:t xml:space="preserve">financed. </w:t>
      </w:r>
    </w:p>
    <w:p w:rsidR="00DD473C" w:rsidRDefault="002B19FF" w:rsidP="00DD473C">
      <w:pPr>
        <w:spacing w:before="120" w:after="0" w:line="300" w:lineRule="exact"/>
        <w:rPr>
          <w:rFonts w:cstheme="minorHAnsi"/>
        </w:rPr>
      </w:pPr>
      <w:r>
        <w:rPr>
          <w:rFonts w:cstheme="minorHAnsi"/>
        </w:rPr>
        <w:t xml:space="preserve">The Commonwealth has just announced its acceptance of all </w:t>
      </w:r>
      <w:r w:rsidR="00EC148E">
        <w:rPr>
          <w:rFonts w:cstheme="minorHAnsi"/>
        </w:rPr>
        <w:t xml:space="preserve">Review </w:t>
      </w:r>
      <w:r>
        <w:rPr>
          <w:rFonts w:cstheme="minorHAnsi"/>
        </w:rPr>
        <w:t>recommendations</w:t>
      </w:r>
      <w:r w:rsidR="00EC148E">
        <w:rPr>
          <w:rFonts w:cstheme="minorHAnsi"/>
        </w:rPr>
        <w:t xml:space="preserve">. </w:t>
      </w:r>
      <w:r>
        <w:rPr>
          <w:rFonts w:cstheme="minorHAnsi"/>
        </w:rPr>
        <w:t xml:space="preserve"> This places now the onus on all </w:t>
      </w:r>
      <w:r w:rsidR="008B1F8D">
        <w:rPr>
          <w:rFonts w:cstheme="minorHAnsi"/>
        </w:rPr>
        <w:t>governments</w:t>
      </w:r>
      <w:r>
        <w:rPr>
          <w:rFonts w:cstheme="minorHAnsi"/>
        </w:rPr>
        <w:t xml:space="preserve"> to establish </w:t>
      </w:r>
      <w:r w:rsidR="00647F04" w:rsidRPr="00647F04">
        <w:rPr>
          <w:rFonts w:cstheme="minorHAnsi"/>
        </w:rPr>
        <w:t xml:space="preserve">fair and equitable access to </w:t>
      </w:r>
      <w:r w:rsidR="00B26DCC">
        <w:rPr>
          <w:rFonts w:cstheme="minorHAnsi"/>
        </w:rPr>
        <w:t>AQF</w:t>
      </w:r>
      <w:r w:rsidR="00647F04" w:rsidRPr="00647F04">
        <w:rPr>
          <w:rFonts w:cstheme="minorHAnsi"/>
        </w:rPr>
        <w:t xml:space="preserve"> qualifications, VET in particular</w:t>
      </w:r>
      <w:r w:rsidR="00196A41">
        <w:rPr>
          <w:rFonts w:cstheme="minorHAnsi"/>
        </w:rPr>
        <w:t>,</w:t>
      </w:r>
      <w:r w:rsidR="008B1F8D">
        <w:rPr>
          <w:rFonts w:cstheme="minorHAnsi"/>
        </w:rPr>
        <w:t xml:space="preserve"> </w:t>
      </w:r>
      <w:r>
        <w:rPr>
          <w:rFonts w:cstheme="minorHAnsi"/>
        </w:rPr>
        <w:t xml:space="preserve">as well as short courses/credentials etc </w:t>
      </w:r>
      <w:r w:rsidR="00196A41">
        <w:rPr>
          <w:rFonts w:cstheme="minorHAnsi"/>
        </w:rPr>
        <w:t xml:space="preserve">in order to </w:t>
      </w:r>
      <w:r w:rsidR="008B1F8D">
        <w:rPr>
          <w:rFonts w:cstheme="minorHAnsi"/>
        </w:rPr>
        <w:t>establish a</w:t>
      </w:r>
      <w:r w:rsidR="00647F04" w:rsidRPr="00647F04">
        <w:rPr>
          <w:rFonts w:cstheme="minorHAnsi"/>
        </w:rPr>
        <w:t xml:space="preserve"> coherent, federally supported and </w:t>
      </w:r>
      <w:r w:rsidR="00647F04" w:rsidRPr="00647F04">
        <w:rPr>
          <w:rFonts w:cstheme="minorHAnsi"/>
        </w:rPr>
        <w:lastRenderedPageBreak/>
        <w:t xml:space="preserve">nationally operating tertiary funding framework that spans the </w:t>
      </w:r>
      <w:r w:rsidR="008B1F8D">
        <w:rPr>
          <w:rFonts w:cstheme="minorHAnsi"/>
        </w:rPr>
        <w:t>(</w:t>
      </w:r>
      <w:r>
        <w:rPr>
          <w:rFonts w:cstheme="minorHAnsi"/>
        </w:rPr>
        <w:t xml:space="preserve">to be </w:t>
      </w:r>
      <w:r w:rsidR="008B1F8D">
        <w:rPr>
          <w:rFonts w:cstheme="minorHAnsi"/>
        </w:rPr>
        <w:t xml:space="preserve">revised) </w:t>
      </w:r>
      <w:r w:rsidR="00647F04" w:rsidRPr="00647F04">
        <w:rPr>
          <w:rFonts w:cstheme="minorHAnsi"/>
        </w:rPr>
        <w:t>AQF.</w:t>
      </w:r>
      <w:r w:rsidR="008B1F8D">
        <w:rPr>
          <w:rFonts w:cstheme="minorHAnsi"/>
        </w:rPr>
        <w:t xml:space="preserve">  </w:t>
      </w:r>
      <w:r w:rsidR="00647F04" w:rsidRPr="00647F04">
        <w:rPr>
          <w:rFonts w:cstheme="minorHAnsi"/>
        </w:rPr>
        <w:t>Outcomes would ideally deliver equally strong, distinctive and complementary HE and VET sectors in a better-connected tertiary system, so benefiting both students and employers.</w:t>
      </w:r>
    </w:p>
    <w:p w:rsidR="00DD473C" w:rsidRPr="00DD473C" w:rsidRDefault="008B7428" w:rsidP="008C03B7">
      <w:pPr>
        <w:spacing w:before="120" w:after="120" w:line="300" w:lineRule="exact"/>
        <w:rPr>
          <w:rFonts w:eastAsia="Times New Roman" w:cstheme="minorHAnsi"/>
          <w:b/>
          <w:lang w:eastAsia="en-AU"/>
        </w:rPr>
      </w:pPr>
      <w:r>
        <w:rPr>
          <w:rFonts w:cstheme="minorHAnsi"/>
          <w:b/>
        </w:rPr>
        <w:t>Future i</w:t>
      </w:r>
      <w:r w:rsidR="00DD473C" w:rsidRPr="00DD473C">
        <w:rPr>
          <w:rFonts w:cstheme="minorHAnsi"/>
          <w:b/>
        </w:rPr>
        <w:t xml:space="preserve">mpact of the </w:t>
      </w:r>
      <w:r w:rsidR="00196A41" w:rsidRPr="00DD473C">
        <w:rPr>
          <w:rFonts w:eastAsia="Times New Roman" w:cstheme="minorHAnsi"/>
          <w:b/>
          <w:lang w:eastAsia="en-AU"/>
        </w:rPr>
        <w:t>Coaldrake Review</w:t>
      </w:r>
    </w:p>
    <w:p w:rsidR="00DD473C" w:rsidRDefault="00DD473C" w:rsidP="00DD473C">
      <w:pPr>
        <w:spacing w:after="0" w:line="300" w:lineRule="exact"/>
        <w:rPr>
          <w:rFonts w:cstheme="minorHAnsi"/>
        </w:rPr>
      </w:pPr>
      <w:r w:rsidRPr="00DD473C">
        <w:rPr>
          <w:rFonts w:eastAsia="Times New Roman" w:cstheme="minorHAnsi"/>
          <w:lang w:eastAsia="en-AU"/>
        </w:rPr>
        <w:t xml:space="preserve">This review examined reforms to </w:t>
      </w:r>
      <w:r w:rsidR="00196A41" w:rsidRPr="00DD473C">
        <w:rPr>
          <w:rFonts w:eastAsia="Times New Roman" w:cstheme="minorHAnsi"/>
          <w:lang w:eastAsia="en-AU"/>
        </w:rPr>
        <w:t>HE Provider Category Standards</w:t>
      </w:r>
      <w:r w:rsidR="00837517">
        <w:rPr>
          <w:rFonts w:eastAsia="Times New Roman" w:cstheme="minorHAnsi"/>
          <w:lang w:eastAsia="en-AU"/>
        </w:rPr>
        <w:t xml:space="preserve">.  It is </w:t>
      </w:r>
      <w:r w:rsidR="00196A41" w:rsidRPr="00DD473C">
        <w:rPr>
          <w:rFonts w:eastAsia="Times New Roman" w:cstheme="minorHAnsi"/>
          <w:lang w:eastAsia="en-AU"/>
        </w:rPr>
        <w:t>also pertinent</w:t>
      </w:r>
      <w:r w:rsidR="00837517">
        <w:rPr>
          <w:rFonts w:eastAsia="Times New Roman" w:cstheme="minorHAnsi"/>
          <w:lang w:eastAsia="en-AU"/>
        </w:rPr>
        <w:t xml:space="preserve"> </w:t>
      </w:r>
      <w:r w:rsidR="00196A41" w:rsidRPr="00DD473C">
        <w:rPr>
          <w:rFonts w:eastAsia="Times New Roman" w:cstheme="minorHAnsi"/>
          <w:lang w:eastAsia="en-AU"/>
        </w:rPr>
        <w:t>suggesting a reduced number of revised provider categories.  It includes a</w:t>
      </w:r>
      <w:r w:rsidR="00196A41" w:rsidRPr="00196A41">
        <w:rPr>
          <w:rFonts w:eastAsia="Times New Roman" w:cstheme="minorHAnsi"/>
          <w:b/>
          <w:lang w:eastAsia="en-AU"/>
        </w:rPr>
        <w:t xml:space="preserve"> </w:t>
      </w:r>
      <w:r w:rsidR="00196A41">
        <w:rPr>
          <w:rFonts w:eastAsia="Times New Roman" w:cstheme="minorHAnsi"/>
          <w:lang w:eastAsia="en-AU"/>
        </w:rPr>
        <w:t>‘</w:t>
      </w:r>
      <w:r w:rsidR="00196A41" w:rsidRPr="00CF3F3F">
        <w:rPr>
          <w:rFonts w:cstheme="minorHAnsi"/>
        </w:rPr>
        <w:t>national institute of higher education</w:t>
      </w:r>
      <w:r w:rsidR="00196A41">
        <w:rPr>
          <w:rFonts w:cstheme="minorHAnsi"/>
        </w:rPr>
        <w:t>’</w:t>
      </w:r>
      <w:r w:rsidR="00196A41" w:rsidRPr="00CF3F3F">
        <w:rPr>
          <w:rFonts w:cstheme="minorHAnsi"/>
        </w:rPr>
        <w:t xml:space="preserve"> category</w:t>
      </w:r>
      <w:r w:rsidR="00196A41">
        <w:rPr>
          <w:rFonts w:cstheme="minorHAnsi"/>
        </w:rPr>
        <w:t>.  If implemented</w:t>
      </w:r>
      <w:r w:rsidR="00196A41" w:rsidRPr="00DD473C">
        <w:rPr>
          <w:rFonts w:cstheme="minorHAnsi"/>
        </w:rPr>
        <w:t xml:space="preserve">, </w:t>
      </w:r>
      <w:r w:rsidR="00196A41" w:rsidRPr="00DD473C">
        <w:rPr>
          <w:rFonts w:cstheme="minorHAnsi"/>
          <w:bCs/>
        </w:rPr>
        <w:t>this</w:t>
      </w:r>
      <w:r w:rsidR="00196A41">
        <w:rPr>
          <w:rFonts w:cstheme="minorHAnsi"/>
          <w:b/>
          <w:bCs/>
        </w:rPr>
        <w:t xml:space="preserve"> </w:t>
      </w:r>
      <w:r w:rsidR="00196A41">
        <w:rPr>
          <w:rFonts w:cstheme="minorHAnsi"/>
        </w:rPr>
        <w:t xml:space="preserve">will </w:t>
      </w:r>
      <w:r w:rsidR="00196A41" w:rsidRPr="00CF3F3F">
        <w:rPr>
          <w:rFonts w:cstheme="minorHAnsi"/>
        </w:rPr>
        <w:t xml:space="preserve">differentiate higher-performing providers that are </w:t>
      </w:r>
      <w:r w:rsidR="00196A41" w:rsidRPr="00196A41">
        <w:rPr>
          <w:rFonts w:cstheme="minorHAnsi"/>
          <w:i/>
        </w:rPr>
        <w:t>not</w:t>
      </w:r>
      <w:r w:rsidR="00196A41" w:rsidRPr="00CF3F3F">
        <w:rPr>
          <w:rFonts w:cstheme="minorHAnsi"/>
        </w:rPr>
        <w:t xml:space="preserve"> universities from other</w:t>
      </w:r>
      <w:r w:rsidR="00196A41">
        <w:rPr>
          <w:rFonts w:cstheme="minorHAnsi"/>
        </w:rPr>
        <w:t xml:space="preserve"> HE providers</w:t>
      </w:r>
      <w:r w:rsidR="00196A41" w:rsidRPr="00CF3F3F">
        <w:rPr>
          <w:rFonts w:cstheme="minorHAnsi"/>
        </w:rPr>
        <w:t xml:space="preserve">. </w:t>
      </w:r>
    </w:p>
    <w:p w:rsidR="00DD473C" w:rsidRDefault="00DD473C" w:rsidP="00DD473C">
      <w:pPr>
        <w:spacing w:after="0" w:line="300" w:lineRule="exact"/>
        <w:rPr>
          <w:rFonts w:cstheme="minorHAnsi"/>
        </w:rPr>
      </w:pPr>
    </w:p>
    <w:p w:rsidR="00196A41" w:rsidRPr="00DD473C" w:rsidRDefault="00196A41" w:rsidP="00DD473C">
      <w:pPr>
        <w:spacing w:after="0" w:line="300" w:lineRule="exact"/>
        <w:rPr>
          <w:rFonts w:cstheme="minorHAnsi"/>
          <w:bCs/>
        </w:rPr>
      </w:pPr>
      <w:r>
        <w:rPr>
          <w:rFonts w:cstheme="minorHAnsi"/>
        </w:rPr>
        <w:t xml:space="preserve">This </w:t>
      </w:r>
      <w:r w:rsidRPr="00CF3F3F">
        <w:rPr>
          <w:rFonts w:cstheme="minorHAnsi"/>
        </w:rPr>
        <w:t xml:space="preserve">category </w:t>
      </w:r>
      <w:r>
        <w:rPr>
          <w:rFonts w:cstheme="minorHAnsi"/>
        </w:rPr>
        <w:t>is proposed to have a</w:t>
      </w:r>
      <w:r w:rsidRPr="00CF3F3F">
        <w:rPr>
          <w:rFonts w:cstheme="minorHAnsi"/>
        </w:rPr>
        <w:t xml:space="preserve"> measure of self-accrediting authority status</w:t>
      </w:r>
      <w:r>
        <w:rPr>
          <w:rFonts w:cstheme="minorHAnsi"/>
        </w:rPr>
        <w:t xml:space="preserve"> and will be a source of </w:t>
      </w:r>
      <w:r w:rsidR="00837517">
        <w:rPr>
          <w:rFonts w:cstheme="minorHAnsi"/>
        </w:rPr>
        <w:t>‘</w:t>
      </w:r>
      <w:r>
        <w:rPr>
          <w:rFonts w:cstheme="minorHAnsi"/>
        </w:rPr>
        <w:t>blended</w:t>
      </w:r>
      <w:r w:rsidR="00837517">
        <w:rPr>
          <w:rFonts w:cstheme="minorHAnsi"/>
        </w:rPr>
        <w:t>’</w:t>
      </w:r>
      <w:r>
        <w:rPr>
          <w:rFonts w:cstheme="minorHAnsi"/>
        </w:rPr>
        <w:t xml:space="preserve"> professional/technical graduates </w:t>
      </w:r>
      <w:r w:rsidR="00B669DE">
        <w:rPr>
          <w:rFonts w:cstheme="minorHAnsi"/>
        </w:rPr>
        <w:t xml:space="preserve">seen as well </w:t>
      </w:r>
      <w:r>
        <w:rPr>
          <w:rFonts w:cstheme="minorHAnsi"/>
        </w:rPr>
        <w:t>suited to future job needs</w:t>
      </w:r>
      <w:r w:rsidR="00B669DE">
        <w:rPr>
          <w:rFonts w:cstheme="minorHAnsi"/>
        </w:rPr>
        <w:t xml:space="preserve"> (eg. </w:t>
      </w:r>
      <w:r w:rsidR="00B26DCC">
        <w:rPr>
          <w:rFonts w:cstheme="minorHAnsi"/>
        </w:rPr>
        <w:t>Industry</w:t>
      </w:r>
      <w:r w:rsidR="00B669DE">
        <w:rPr>
          <w:rFonts w:cstheme="minorHAnsi"/>
        </w:rPr>
        <w:t xml:space="preserve"> 4.0)</w:t>
      </w:r>
      <w:r w:rsidRPr="00CF3F3F">
        <w:rPr>
          <w:rFonts w:cstheme="minorHAnsi"/>
        </w:rPr>
        <w:t xml:space="preserve">. </w:t>
      </w:r>
      <w:r>
        <w:rPr>
          <w:rFonts w:cstheme="minorHAnsi"/>
        </w:rPr>
        <w:t xml:space="preserve"> Such graduates should include (as exists in other advanced nations) ‘higher apprentices’ that blend VET skills with HE knowledge.</w:t>
      </w:r>
      <w:r>
        <w:rPr>
          <w:rFonts w:cstheme="minorHAnsi"/>
          <w:b/>
          <w:bCs/>
        </w:rPr>
        <w:t xml:space="preserve">  </w:t>
      </w:r>
      <w:r w:rsidRPr="00DD473C">
        <w:rPr>
          <w:rFonts w:cstheme="minorHAnsi"/>
          <w:bCs/>
        </w:rPr>
        <w:t xml:space="preserve">This is exactly the direction Australia’s ETS system needs to take and </w:t>
      </w:r>
      <w:r w:rsidR="00614D18" w:rsidRPr="00DD473C">
        <w:rPr>
          <w:rFonts w:cstheme="minorHAnsi"/>
          <w:bCs/>
        </w:rPr>
        <w:t xml:space="preserve">it will </w:t>
      </w:r>
      <w:r w:rsidR="00DD473C">
        <w:rPr>
          <w:rFonts w:cstheme="minorHAnsi"/>
          <w:bCs/>
        </w:rPr>
        <w:t xml:space="preserve">again </w:t>
      </w:r>
      <w:r w:rsidR="00614D18" w:rsidRPr="00DD473C">
        <w:rPr>
          <w:rFonts w:cstheme="minorHAnsi"/>
          <w:bCs/>
        </w:rPr>
        <w:t>be limited if there is no radical reform to ETS system funding/financing as outlined above.</w:t>
      </w:r>
    </w:p>
    <w:p w:rsidR="00DD473C" w:rsidRPr="00DD473C" w:rsidRDefault="00DD473C" w:rsidP="00D93957">
      <w:pPr>
        <w:spacing w:before="120" w:after="0" w:line="300" w:lineRule="exact"/>
        <w:rPr>
          <w:rFonts w:eastAsia="Times New Roman" w:cstheme="minorHAnsi"/>
          <w:b/>
          <w:lang w:eastAsia="en-AU"/>
        </w:rPr>
      </w:pPr>
      <w:r w:rsidRPr="00DD473C">
        <w:rPr>
          <w:rFonts w:eastAsia="Times New Roman" w:cstheme="minorHAnsi"/>
          <w:b/>
          <w:lang w:eastAsia="en-AU"/>
        </w:rPr>
        <w:t xml:space="preserve">The </w:t>
      </w:r>
      <w:r w:rsidR="008B7428">
        <w:rPr>
          <w:rFonts w:eastAsia="Times New Roman" w:cstheme="minorHAnsi"/>
          <w:b/>
          <w:lang w:eastAsia="en-AU"/>
        </w:rPr>
        <w:t xml:space="preserve">increasing impact of the </w:t>
      </w:r>
      <w:r w:rsidRPr="00DD473C">
        <w:rPr>
          <w:rFonts w:eastAsia="Times New Roman" w:cstheme="minorHAnsi"/>
          <w:b/>
          <w:lang w:eastAsia="en-AU"/>
        </w:rPr>
        <w:t>fast evolving labour and future jobs market</w:t>
      </w:r>
    </w:p>
    <w:p w:rsidR="00D93957" w:rsidRDefault="00DD473C" w:rsidP="00D93957">
      <w:pPr>
        <w:spacing w:before="120" w:after="0" w:line="300" w:lineRule="exact"/>
        <w:rPr>
          <w:rFonts w:eastAsia="Times New Roman" w:cstheme="minorHAnsi"/>
          <w:lang w:eastAsia="en-AU"/>
        </w:rPr>
      </w:pPr>
      <w:r>
        <w:rPr>
          <w:rFonts w:eastAsia="Times New Roman" w:cstheme="minorHAnsi"/>
          <w:lang w:eastAsia="en-AU"/>
        </w:rPr>
        <w:t xml:space="preserve">The </w:t>
      </w:r>
      <w:r w:rsidR="00C546B3">
        <w:rPr>
          <w:rFonts w:eastAsia="Times New Roman" w:cstheme="minorHAnsi"/>
          <w:lang w:eastAsia="en-AU"/>
        </w:rPr>
        <w:t>PC has access to</w:t>
      </w:r>
      <w:r w:rsidR="00D93957">
        <w:rPr>
          <w:rFonts w:eastAsia="Times New Roman" w:cstheme="minorHAnsi"/>
          <w:lang w:eastAsia="en-AU"/>
        </w:rPr>
        <w:t xml:space="preserve"> swathes of research evidence on the current state and </w:t>
      </w:r>
      <w:r w:rsidR="00C546B3">
        <w:rPr>
          <w:rFonts w:eastAsia="Times New Roman" w:cstheme="minorHAnsi"/>
          <w:lang w:eastAsia="en-AU"/>
        </w:rPr>
        <w:t xml:space="preserve">future </w:t>
      </w:r>
      <w:r w:rsidR="00D93957">
        <w:rPr>
          <w:rFonts w:eastAsia="Times New Roman" w:cstheme="minorHAnsi"/>
          <w:lang w:eastAsia="en-AU"/>
        </w:rPr>
        <w:t>forecast changes in the national and international labour markets and jobs</w:t>
      </w:r>
      <w:r w:rsidR="00C546B3">
        <w:rPr>
          <w:rFonts w:eastAsia="Times New Roman" w:cstheme="minorHAnsi"/>
          <w:lang w:eastAsia="en-AU"/>
        </w:rPr>
        <w:t xml:space="preserve">.  All evidence points to an ongoing </w:t>
      </w:r>
      <w:r w:rsidR="00D93957">
        <w:rPr>
          <w:rFonts w:eastAsia="Times New Roman" w:cstheme="minorHAnsi"/>
          <w:lang w:eastAsia="en-AU"/>
        </w:rPr>
        <w:t>upheaval in job tasks and job types in the labour market</w:t>
      </w:r>
      <w:r w:rsidR="008C03B7">
        <w:rPr>
          <w:rFonts w:eastAsia="Times New Roman" w:cstheme="minorHAnsi"/>
          <w:lang w:eastAsia="en-AU"/>
        </w:rPr>
        <w:t xml:space="preserve">.  There is </w:t>
      </w:r>
      <w:r w:rsidR="00D93957">
        <w:rPr>
          <w:rFonts w:eastAsia="Times New Roman" w:cstheme="minorHAnsi"/>
          <w:lang w:eastAsia="en-AU"/>
        </w:rPr>
        <w:t xml:space="preserve">need to </w:t>
      </w:r>
      <w:r w:rsidR="00C546B3">
        <w:rPr>
          <w:rFonts w:eastAsia="Times New Roman" w:cstheme="minorHAnsi"/>
          <w:lang w:eastAsia="en-AU"/>
        </w:rPr>
        <w:t>lift</w:t>
      </w:r>
      <w:r w:rsidR="00D93957">
        <w:rPr>
          <w:rFonts w:eastAsia="Times New Roman" w:cstheme="minorHAnsi"/>
          <w:lang w:eastAsia="en-AU"/>
        </w:rPr>
        <w:t xml:space="preserve"> (for demographic reasons) workforce participation as well as need to raise </w:t>
      </w:r>
      <w:r w:rsidR="00C546B3">
        <w:rPr>
          <w:rFonts w:eastAsia="Times New Roman" w:cstheme="minorHAnsi"/>
          <w:lang w:eastAsia="en-AU"/>
        </w:rPr>
        <w:t xml:space="preserve">the </w:t>
      </w:r>
      <w:r w:rsidR="003E2A81">
        <w:rPr>
          <w:rFonts w:eastAsia="Times New Roman" w:cstheme="minorHAnsi"/>
          <w:lang w:eastAsia="en-AU"/>
        </w:rPr>
        <w:t>technical, transferable e</w:t>
      </w:r>
      <w:r w:rsidR="00D93957">
        <w:rPr>
          <w:rFonts w:eastAsia="Times New Roman" w:cstheme="minorHAnsi"/>
          <w:lang w:eastAsia="en-AU"/>
        </w:rPr>
        <w:t xml:space="preserve">nterprise skills and knowledge for new graduates </w:t>
      </w:r>
      <w:r w:rsidR="00C546B3">
        <w:rPr>
          <w:rFonts w:eastAsia="Times New Roman" w:cstheme="minorHAnsi"/>
          <w:lang w:eastAsia="en-AU"/>
        </w:rPr>
        <w:t>as well as</w:t>
      </w:r>
      <w:r w:rsidR="00D93957">
        <w:rPr>
          <w:rFonts w:eastAsia="Times New Roman" w:cstheme="minorHAnsi"/>
          <w:lang w:eastAsia="en-AU"/>
        </w:rPr>
        <w:t xml:space="preserve"> </w:t>
      </w:r>
      <w:r w:rsidR="00B26DCC">
        <w:rPr>
          <w:rFonts w:eastAsia="Times New Roman" w:cstheme="minorHAnsi"/>
          <w:lang w:eastAsia="en-AU"/>
        </w:rPr>
        <w:t xml:space="preserve">for </w:t>
      </w:r>
      <w:r w:rsidR="003E2A81">
        <w:rPr>
          <w:rFonts w:eastAsia="Times New Roman" w:cstheme="minorHAnsi"/>
          <w:lang w:eastAsia="en-AU"/>
        </w:rPr>
        <w:t>existing workers</w:t>
      </w:r>
      <w:r w:rsidR="008B7428">
        <w:rPr>
          <w:rFonts w:eastAsia="Times New Roman" w:cstheme="minorHAnsi"/>
          <w:lang w:eastAsia="en-AU"/>
        </w:rPr>
        <w:t xml:space="preserve"> </w:t>
      </w:r>
      <w:r w:rsidR="00D93957">
        <w:rPr>
          <w:rFonts w:eastAsia="Times New Roman" w:cstheme="minorHAnsi"/>
          <w:lang w:eastAsia="en-AU"/>
        </w:rPr>
        <w:t xml:space="preserve">across their productive </w:t>
      </w:r>
      <w:r w:rsidR="003E2A81">
        <w:rPr>
          <w:rFonts w:eastAsia="Times New Roman" w:cstheme="minorHAnsi"/>
          <w:lang w:eastAsia="en-AU"/>
        </w:rPr>
        <w:t xml:space="preserve">working </w:t>
      </w:r>
      <w:r w:rsidR="00D93957">
        <w:rPr>
          <w:rFonts w:eastAsia="Times New Roman" w:cstheme="minorHAnsi"/>
          <w:lang w:eastAsia="en-AU"/>
        </w:rPr>
        <w:t>lifespan.  Australia</w:t>
      </w:r>
      <w:r w:rsidR="00C546B3">
        <w:rPr>
          <w:rFonts w:eastAsia="Times New Roman" w:cstheme="minorHAnsi"/>
          <w:lang w:eastAsia="en-AU"/>
        </w:rPr>
        <w:t xml:space="preserve">, </w:t>
      </w:r>
      <w:r w:rsidR="00D93957">
        <w:rPr>
          <w:rFonts w:eastAsia="Times New Roman" w:cstheme="minorHAnsi"/>
          <w:lang w:eastAsia="en-AU"/>
        </w:rPr>
        <w:t>relative to competitor economics</w:t>
      </w:r>
      <w:r w:rsidR="00C546B3">
        <w:rPr>
          <w:rFonts w:eastAsia="Times New Roman" w:cstheme="minorHAnsi"/>
          <w:lang w:eastAsia="en-AU"/>
        </w:rPr>
        <w:t>, is</w:t>
      </w:r>
      <w:r w:rsidR="00D93957">
        <w:rPr>
          <w:rFonts w:eastAsia="Times New Roman" w:cstheme="minorHAnsi"/>
          <w:lang w:eastAsia="en-AU"/>
        </w:rPr>
        <w:t xml:space="preserve"> a mid-tier performer in worker productivity per person, per hour</w:t>
      </w:r>
      <w:r w:rsidR="008C03B7">
        <w:rPr>
          <w:rFonts w:eastAsia="Times New Roman" w:cstheme="minorHAnsi"/>
          <w:lang w:eastAsia="en-AU"/>
        </w:rPr>
        <w:t xml:space="preserve"> and the nation needs to </w:t>
      </w:r>
      <w:r w:rsidR="00C546B3">
        <w:rPr>
          <w:rFonts w:eastAsia="Times New Roman" w:cstheme="minorHAnsi"/>
          <w:lang w:eastAsia="en-AU"/>
        </w:rPr>
        <w:t xml:space="preserve">find new policies to change this level of </w:t>
      </w:r>
      <w:r w:rsidR="00B26DCC">
        <w:rPr>
          <w:rFonts w:eastAsia="Times New Roman" w:cstheme="minorHAnsi"/>
          <w:lang w:eastAsia="en-AU"/>
        </w:rPr>
        <w:t xml:space="preserve">sagging </w:t>
      </w:r>
      <w:r w:rsidR="008B7428">
        <w:rPr>
          <w:rFonts w:eastAsia="Times New Roman" w:cstheme="minorHAnsi"/>
          <w:lang w:eastAsia="en-AU"/>
        </w:rPr>
        <w:t>under-</w:t>
      </w:r>
      <w:r w:rsidR="00C546B3">
        <w:rPr>
          <w:rFonts w:eastAsia="Times New Roman" w:cstheme="minorHAnsi"/>
          <w:lang w:eastAsia="en-AU"/>
        </w:rPr>
        <w:t>performance.</w:t>
      </w:r>
    </w:p>
    <w:p w:rsidR="008C03B7" w:rsidRPr="008C03B7" w:rsidRDefault="008B7428" w:rsidP="007F09F7">
      <w:pPr>
        <w:spacing w:before="120" w:after="0" w:line="300" w:lineRule="exact"/>
        <w:rPr>
          <w:rFonts w:eastAsia="Times New Roman" w:cstheme="minorHAnsi"/>
          <w:b/>
          <w:lang w:eastAsia="en-AU"/>
        </w:rPr>
      </w:pPr>
      <w:r>
        <w:rPr>
          <w:rFonts w:eastAsia="Times New Roman" w:cstheme="minorHAnsi"/>
          <w:b/>
          <w:lang w:eastAsia="en-AU"/>
        </w:rPr>
        <w:t xml:space="preserve">The </w:t>
      </w:r>
      <w:r w:rsidR="008C03B7" w:rsidRPr="008C03B7">
        <w:rPr>
          <w:rFonts w:eastAsia="Times New Roman" w:cstheme="minorHAnsi"/>
          <w:b/>
          <w:lang w:eastAsia="en-AU"/>
        </w:rPr>
        <w:t xml:space="preserve">Joyce Review of VET </w:t>
      </w:r>
      <w:r w:rsidR="008C03B7">
        <w:rPr>
          <w:rFonts w:eastAsia="Times New Roman" w:cstheme="minorHAnsi"/>
          <w:b/>
          <w:lang w:eastAsia="en-AU"/>
        </w:rPr>
        <w:t xml:space="preserve">is incomplete and its advice </w:t>
      </w:r>
      <w:r>
        <w:rPr>
          <w:rFonts w:eastAsia="Times New Roman" w:cstheme="minorHAnsi"/>
          <w:b/>
          <w:lang w:eastAsia="en-AU"/>
        </w:rPr>
        <w:t>needs a rethink</w:t>
      </w:r>
    </w:p>
    <w:p w:rsidR="00C546B3" w:rsidRDefault="007F09F7" w:rsidP="007F09F7">
      <w:pPr>
        <w:spacing w:before="120" w:after="0" w:line="300" w:lineRule="exact"/>
        <w:rPr>
          <w:rFonts w:eastAsia="Times New Roman" w:cstheme="minorHAnsi"/>
          <w:lang w:eastAsia="en-AU"/>
        </w:rPr>
      </w:pPr>
      <w:r>
        <w:rPr>
          <w:rFonts w:eastAsia="Times New Roman" w:cstheme="minorHAnsi"/>
          <w:lang w:eastAsia="en-AU"/>
        </w:rPr>
        <w:t>The PC has been asked to accelerate its responses to Terms of Reference No. 2, 3 and 5 which appears to be driven by the needs of Government responding to the Joyce Review.  Whilst a useful interi</w:t>
      </w:r>
      <w:r w:rsidR="003E2A81">
        <w:rPr>
          <w:rFonts w:eastAsia="Times New Roman" w:cstheme="minorHAnsi"/>
          <w:lang w:eastAsia="en-AU"/>
        </w:rPr>
        <w:t>m step, the PC needs to be m</w:t>
      </w:r>
      <w:r>
        <w:rPr>
          <w:rFonts w:eastAsia="Times New Roman" w:cstheme="minorHAnsi"/>
          <w:lang w:eastAsia="en-AU"/>
        </w:rPr>
        <w:t xml:space="preserve">ore </w:t>
      </w:r>
      <w:r w:rsidRPr="004A7280">
        <w:rPr>
          <w:rFonts w:eastAsia="Times New Roman" w:cstheme="minorHAnsi"/>
          <w:lang w:eastAsia="en-AU"/>
        </w:rPr>
        <w:t xml:space="preserve">bold </w:t>
      </w:r>
      <w:r>
        <w:rPr>
          <w:rFonts w:eastAsia="Times New Roman" w:cstheme="minorHAnsi"/>
          <w:lang w:eastAsia="en-AU"/>
        </w:rPr>
        <w:t xml:space="preserve">and farsighted </w:t>
      </w:r>
      <w:r w:rsidRPr="004A7280">
        <w:rPr>
          <w:rFonts w:eastAsia="Times New Roman" w:cstheme="minorHAnsi"/>
          <w:lang w:eastAsia="en-AU"/>
        </w:rPr>
        <w:t xml:space="preserve">in presenting </w:t>
      </w:r>
      <w:r>
        <w:rPr>
          <w:rFonts w:eastAsia="Times New Roman" w:cstheme="minorHAnsi"/>
          <w:lang w:eastAsia="en-AU"/>
        </w:rPr>
        <w:t xml:space="preserve">powerful </w:t>
      </w:r>
      <w:r w:rsidRPr="004A7280">
        <w:rPr>
          <w:rFonts w:eastAsia="Times New Roman" w:cstheme="minorHAnsi"/>
          <w:lang w:eastAsia="en-AU"/>
        </w:rPr>
        <w:t>options for radical reform</w:t>
      </w:r>
      <w:r w:rsidR="00C546B3">
        <w:rPr>
          <w:rFonts w:eastAsia="Times New Roman" w:cstheme="minorHAnsi"/>
          <w:lang w:eastAsia="en-AU"/>
        </w:rPr>
        <w:t xml:space="preserve">.  </w:t>
      </w:r>
    </w:p>
    <w:p w:rsidR="007F09F7" w:rsidRDefault="007F09F7" w:rsidP="007F09F7">
      <w:pPr>
        <w:spacing w:before="120" w:after="0" w:line="300" w:lineRule="exact"/>
        <w:rPr>
          <w:rFonts w:eastAsia="Times New Roman" w:cstheme="minorHAnsi"/>
          <w:lang w:eastAsia="en-AU"/>
        </w:rPr>
      </w:pPr>
      <w:r>
        <w:rPr>
          <w:rFonts w:eastAsia="Times New Roman" w:cstheme="minorHAnsi"/>
          <w:lang w:eastAsia="en-AU"/>
        </w:rPr>
        <w:t xml:space="preserve">The Joyce Review offers neither solutions to increase investment in VET (public, private or employer), nor </w:t>
      </w:r>
      <w:r w:rsidR="00C546B3">
        <w:rPr>
          <w:rFonts w:eastAsia="Times New Roman" w:cstheme="minorHAnsi"/>
          <w:lang w:eastAsia="en-AU"/>
        </w:rPr>
        <w:t xml:space="preserve">any </w:t>
      </w:r>
      <w:r>
        <w:rPr>
          <w:rFonts w:eastAsia="Times New Roman" w:cstheme="minorHAnsi"/>
          <w:lang w:eastAsia="en-AU"/>
        </w:rPr>
        <w:t>solutions to fund (where appropriate) part qualifications/micro credentials</w:t>
      </w:r>
      <w:r w:rsidR="00C546B3">
        <w:rPr>
          <w:rFonts w:eastAsia="Times New Roman" w:cstheme="minorHAnsi"/>
          <w:lang w:eastAsia="en-AU"/>
        </w:rPr>
        <w:t>/subjects</w:t>
      </w:r>
      <w:r>
        <w:rPr>
          <w:rFonts w:eastAsia="Times New Roman" w:cstheme="minorHAnsi"/>
          <w:lang w:eastAsia="en-AU"/>
        </w:rPr>
        <w:t xml:space="preserve">, nor covers the merits </w:t>
      </w:r>
      <w:r w:rsidR="00C546B3">
        <w:rPr>
          <w:rFonts w:eastAsia="Times New Roman" w:cstheme="minorHAnsi"/>
          <w:lang w:eastAsia="en-AU"/>
        </w:rPr>
        <w:t xml:space="preserve">and reasons </w:t>
      </w:r>
      <w:r>
        <w:rPr>
          <w:rFonts w:eastAsia="Times New Roman" w:cstheme="minorHAnsi"/>
          <w:lang w:eastAsia="en-AU"/>
        </w:rPr>
        <w:t xml:space="preserve">for wider access to student loans.  </w:t>
      </w:r>
      <w:r w:rsidR="00C546B3">
        <w:rPr>
          <w:rFonts w:eastAsia="Times New Roman" w:cstheme="minorHAnsi"/>
          <w:lang w:eastAsia="en-AU"/>
        </w:rPr>
        <w:t xml:space="preserve">Its analysis is incomplete.  </w:t>
      </w:r>
      <w:r>
        <w:rPr>
          <w:rFonts w:eastAsia="Times New Roman" w:cstheme="minorHAnsi"/>
          <w:lang w:eastAsia="en-AU"/>
        </w:rPr>
        <w:t>All it proposes is greater centralised control of qualifications, costs and prices with no proposal to increase investment in training.</w:t>
      </w:r>
    </w:p>
    <w:p w:rsidR="00C546B3" w:rsidRPr="004E7146" w:rsidRDefault="008C03B7" w:rsidP="00196A41">
      <w:pPr>
        <w:spacing w:before="120" w:after="0" w:line="300" w:lineRule="exact"/>
        <w:rPr>
          <w:rFonts w:eastAsia="Times New Roman" w:cstheme="minorHAnsi"/>
          <w:sz w:val="28"/>
          <w:szCs w:val="28"/>
          <w:u w:val="single"/>
          <w:lang w:eastAsia="en-AU"/>
        </w:rPr>
      </w:pPr>
      <w:r w:rsidRPr="004E7146">
        <w:rPr>
          <w:rFonts w:eastAsia="Times New Roman" w:cstheme="minorHAnsi"/>
          <w:sz w:val="28"/>
          <w:szCs w:val="28"/>
          <w:u w:val="single"/>
          <w:lang w:eastAsia="en-AU"/>
        </w:rPr>
        <w:t>Summary - the PC must seize the moment</w:t>
      </w:r>
    </w:p>
    <w:p w:rsidR="00196A41" w:rsidRDefault="00196A41" w:rsidP="00196A41">
      <w:pPr>
        <w:spacing w:before="120" w:after="0" w:line="300" w:lineRule="exact"/>
        <w:rPr>
          <w:rFonts w:eastAsia="Times New Roman" w:cstheme="minorHAnsi"/>
          <w:lang w:eastAsia="en-AU"/>
        </w:rPr>
      </w:pPr>
      <w:r>
        <w:rPr>
          <w:rFonts w:eastAsia="Times New Roman" w:cstheme="minorHAnsi"/>
          <w:lang w:eastAsia="en-AU"/>
        </w:rPr>
        <w:t>The</w:t>
      </w:r>
      <w:r w:rsidRPr="004A7280">
        <w:rPr>
          <w:rFonts w:eastAsia="Times New Roman" w:cstheme="minorHAnsi"/>
          <w:lang w:eastAsia="en-AU"/>
        </w:rPr>
        <w:t xml:space="preserve"> P</w:t>
      </w:r>
      <w:r>
        <w:rPr>
          <w:rFonts w:eastAsia="Times New Roman" w:cstheme="minorHAnsi"/>
          <w:lang w:eastAsia="en-AU"/>
        </w:rPr>
        <w:t>C</w:t>
      </w:r>
      <w:r w:rsidRPr="004A7280">
        <w:rPr>
          <w:rFonts w:eastAsia="Times New Roman" w:cstheme="minorHAnsi"/>
          <w:lang w:eastAsia="en-AU"/>
        </w:rPr>
        <w:t xml:space="preserve"> has </w:t>
      </w:r>
      <w:r>
        <w:rPr>
          <w:rFonts w:eastAsia="Times New Roman" w:cstheme="minorHAnsi"/>
          <w:lang w:eastAsia="en-AU"/>
        </w:rPr>
        <w:t xml:space="preserve">an </w:t>
      </w:r>
      <w:r w:rsidRPr="004A7280">
        <w:rPr>
          <w:rFonts w:eastAsia="Times New Roman" w:cstheme="minorHAnsi"/>
          <w:lang w:eastAsia="en-AU"/>
        </w:rPr>
        <w:t>extraordinary</w:t>
      </w:r>
      <w:r>
        <w:rPr>
          <w:rFonts w:eastAsia="Times New Roman" w:cstheme="minorHAnsi"/>
          <w:lang w:eastAsia="en-AU"/>
        </w:rPr>
        <w:t xml:space="preserve"> opportunity to not merely advis</w:t>
      </w:r>
      <w:r w:rsidRPr="004A7280">
        <w:rPr>
          <w:rFonts w:eastAsia="Times New Roman" w:cstheme="minorHAnsi"/>
          <w:lang w:eastAsia="en-AU"/>
        </w:rPr>
        <w:t xml:space="preserve">e on the future </w:t>
      </w:r>
      <w:r>
        <w:rPr>
          <w:rFonts w:eastAsia="Times New Roman" w:cstheme="minorHAnsi"/>
          <w:lang w:eastAsia="en-AU"/>
        </w:rPr>
        <w:t xml:space="preserve">funding </w:t>
      </w:r>
      <w:r w:rsidRPr="004A7280">
        <w:rPr>
          <w:rFonts w:eastAsia="Times New Roman" w:cstheme="minorHAnsi"/>
          <w:lang w:eastAsia="en-AU"/>
        </w:rPr>
        <w:t>direction of the VET sector</w:t>
      </w:r>
      <w:r>
        <w:rPr>
          <w:rFonts w:eastAsia="Times New Roman" w:cstheme="minorHAnsi"/>
          <w:lang w:eastAsia="en-AU"/>
        </w:rPr>
        <w:t xml:space="preserve">, but far </w:t>
      </w:r>
      <w:r w:rsidRPr="00EC148E">
        <w:rPr>
          <w:rFonts w:eastAsia="Times New Roman" w:cstheme="minorHAnsi"/>
          <w:i/>
          <w:lang w:eastAsia="en-AU"/>
        </w:rPr>
        <w:t>more</w:t>
      </w:r>
      <w:r>
        <w:rPr>
          <w:rFonts w:eastAsia="Times New Roman" w:cstheme="minorHAnsi"/>
          <w:lang w:eastAsia="en-AU"/>
        </w:rPr>
        <w:t xml:space="preserve"> importantly, to comprehensively advise on reforms needed to unify and simplify the full sweep of Australia’s public </w:t>
      </w:r>
      <w:r w:rsidRPr="004A7280">
        <w:rPr>
          <w:rFonts w:eastAsia="Times New Roman" w:cstheme="minorHAnsi"/>
          <w:lang w:eastAsia="en-AU"/>
        </w:rPr>
        <w:t>funding</w:t>
      </w:r>
      <w:r>
        <w:rPr>
          <w:rFonts w:eastAsia="Times New Roman" w:cstheme="minorHAnsi"/>
          <w:lang w:eastAsia="en-AU"/>
        </w:rPr>
        <w:t>/financing</w:t>
      </w:r>
      <w:r w:rsidRPr="004A7280">
        <w:rPr>
          <w:rFonts w:eastAsia="Times New Roman" w:cstheme="minorHAnsi"/>
          <w:lang w:eastAsia="en-AU"/>
        </w:rPr>
        <w:t xml:space="preserve"> of</w:t>
      </w:r>
      <w:r w:rsidR="00CD1371">
        <w:rPr>
          <w:rFonts w:eastAsia="Times New Roman" w:cstheme="minorHAnsi"/>
          <w:lang w:eastAsia="en-AU"/>
        </w:rPr>
        <w:t xml:space="preserve"> its</w:t>
      </w:r>
      <w:r w:rsidRPr="004A7280">
        <w:rPr>
          <w:rFonts w:eastAsia="Times New Roman" w:cstheme="minorHAnsi"/>
          <w:lang w:eastAsia="en-AU"/>
        </w:rPr>
        <w:t xml:space="preserve"> </w:t>
      </w:r>
      <w:r>
        <w:rPr>
          <w:rFonts w:eastAsia="Times New Roman" w:cstheme="minorHAnsi"/>
          <w:lang w:eastAsia="en-AU"/>
        </w:rPr>
        <w:t>‘post school</w:t>
      </w:r>
      <w:r w:rsidRPr="004A7280">
        <w:rPr>
          <w:rFonts w:eastAsia="Times New Roman" w:cstheme="minorHAnsi"/>
          <w:lang w:eastAsia="en-AU"/>
        </w:rPr>
        <w:t xml:space="preserve"> education and training system</w:t>
      </w:r>
      <w:r>
        <w:rPr>
          <w:rFonts w:eastAsia="Times New Roman" w:cstheme="minorHAnsi"/>
          <w:lang w:eastAsia="en-AU"/>
        </w:rPr>
        <w:t xml:space="preserve">’.  </w:t>
      </w:r>
    </w:p>
    <w:p w:rsidR="00196A41" w:rsidRDefault="00196A41" w:rsidP="00196A41">
      <w:pPr>
        <w:spacing w:before="120" w:after="0" w:line="300" w:lineRule="exact"/>
        <w:rPr>
          <w:rFonts w:eastAsia="Times New Roman" w:cstheme="minorHAnsi"/>
          <w:lang w:eastAsia="en-AU"/>
        </w:rPr>
      </w:pPr>
      <w:r>
        <w:rPr>
          <w:rFonts w:eastAsia="Times New Roman" w:cstheme="minorHAnsi"/>
          <w:lang w:eastAsia="en-AU"/>
        </w:rPr>
        <w:t>The PC review needs to grab this opportunity to make enduring and powerful impact on future</w:t>
      </w:r>
      <w:r w:rsidRPr="004A7280">
        <w:rPr>
          <w:rFonts w:eastAsia="Times New Roman" w:cstheme="minorHAnsi"/>
          <w:lang w:eastAsia="en-AU"/>
        </w:rPr>
        <w:t xml:space="preserve"> </w:t>
      </w:r>
      <w:r>
        <w:rPr>
          <w:rFonts w:eastAsia="Times New Roman" w:cstheme="minorHAnsi"/>
          <w:lang w:eastAsia="en-AU"/>
        </w:rPr>
        <w:t xml:space="preserve">labour </w:t>
      </w:r>
      <w:r w:rsidRPr="004A7280">
        <w:rPr>
          <w:rFonts w:eastAsia="Times New Roman" w:cstheme="minorHAnsi"/>
          <w:lang w:eastAsia="en-AU"/>
        </w:rPr>
        <w:t>productivity</w:t>
      </w:r>
      <w:r>
        <w:rPr>
          <w:rFonts w:eastAsia="Times New Roman" w:cstheme="minorHAnsi"/>
          <w:lang w:eastAsia="en-AU"/>
        </w:rPr>
        <w:t xml:space="preserve"> by convincing policy makers to make seismic reforms</w:t>
      </w:r>
      <w:r w:rsidRPr="004A7280">
        <w:rPr>
          <w:rFonts w:eastAsia="Times New Roman" w:cstheme="minorHAnsi"/>
          <w:lang w:eastAsia="en-AU"/>
        </w:rPr>
        <w:t>.</w:t>
      </w:r>
      <w:r>
        <w:rPr>
          <w:rFonts w:eastAsia="Times New Roman" w:cstheme="minorHAnsi"/>
          <w:lang w:eastAsia="en-AU"/>
        </w:rPr>
        <w:t xml:space="preserve"> More specifically, any </w:t>
      </w:r>
      <w:r w:rsidRPr="004A7280">
        <w:rPr>
          <w:rFonts w:eastAsia="Times New Roman" w:cstheme="minorHAnsi"/>
          <w:lang w:eastAsia="en-AU"/>
        </w:rPr>
        <w:t xml:space="preserve">review and renewal of </w:t>
      </w:r>
      <w:r>
        <w:rPr>
          <w:rFonts w:eastAsia="Times New Roman" w:cstheme="minorHAnsi"/>
          <w:lang w:eastAsia="en-AU"/>
        </w:rPr>
        <w:t xml:space="preserve">the </w:t>
      </w:r>
      <w:r w:rsidRPr="004A7280">
        <w:rPr>
          <w:rFonts w:eastAsia="Times New Roman" w:cstheme="minorHAnsi"/>
          <w:lang w:eastAsia="en-AU"/>
        </w:rPr>
        <w:t>N</w:t>
      </w:r>
      <w:r>
        <w:rPr>
          <w:rFonts w:eastAsia="Times New Roman" w:cstheme="minorHAnsi"/>
          <w:lang w:eastAsia="en-AU"/>
        </w:rPr>
        <w:t>ASWD and NA</w:t>
      </w:r>
      <w:r w:rsidRPr="004A7280">
        <w:rPr>
          <w:rFonts w:eastAsia="Times New Roman" w:cstheme="minorHAnsi"/>
          <w:lang w:eastAsia="en-AU"/>
        </w:rPr>
        <w:t xml:space="preserve">, </w:t>
      </w:r>
      <w:r w:rsidRPr="00BB3637">
        <w:rPr>
          <w:rFonts w:eastAsia="Times New Roman" w:cstheme="minorHAnsi"/>
          <w:i/>
          <w:lang w:eastAsia="en-AU"/>
        </w:rPr>
        <w:t xml:space="preserve">if isolated </w:t>
      </w:r>
      <w:r w:rsidRPr="00890F4A">
        <w:rPr>
          <w:rFonts w:eastAsia="Times New Roman" w:cstheme="minorHAnsi"/>
          <w:i/>
          <w:lang w:eastAsia="en-AU"/>
        </w:rPr>
        <w:t xml:space="preserve">from comprehensive consideration of its place and connection within the tertiary </w:t>
      </w:r>
      <w:r>
        <w:rPr>
          <w:rFonts w:eastAsia="Times New Roman" w:cstheme="minorHAnsi"/>
          <w:i/>
          <w:lang w:eastAsia="en-AU"/>
        </w:rPr>
        <w:t xml:space="preserve">ETS </w:t>
      </w:r>
      <w:r w:rsidRPr="00890F4A">
        <w:rPr>
          <w:rFonts w:eastAsia="Times New Roman" w:cstheme="minorHAnsi"/>
          <w:i/>
          <w:lang w:eastAsia="en-AU"/>
        </w:rPr>
        <w:t>system</w:t>
      </w:r>
      <w:r w:rsidRPr="00D8418E">
        <w:rPr>
          <w:rFonts w:eastAsia="Times New Roman" w:cstheme="minorHAnsi"/>
          <w:lang w:eastAsia="en-AU"/>
        </w:rPr>
        <w:t xml:space="preserve">, will </w:t>
      </w:r>
      <w:r w:rsidRPr="00CD1371">
        <w:rPr>
          <w:rFonts w:eastAsia="Times New Roman" w:cstheme="minorHAnsi"/>
          <w:u w:val="single"/>
          <w:lang w:eastAsia="en-AU"/>
        </w:rPr>
        <w:t>not</w:t>
      </w:r>
      <w:r w:rsidRPr="00D8418E">
        <w:rPr>
          <w:rFonts w:eastAsia="Times New Roman" w:cstheme="minorHAnsi"/>
          <w:lang w:eastAsia="en-AU"/>
        </w:rPr>
        <w:t xml:space="preserve"> address the much needed policy changes to lift Australia’s human capital skills development, nor better future proof the </w:t>
      </w:r>
      <w:r>
        <w:rPr>
          <w:rFonts w:eastAsia="Times New Roman" w:cstheme="minorHAnsi"/>
          <w:lang w:eastAsia="en-AU"/>
        </w:rPr>
        <w:t>nation as a competitive economy</w:t>
      </w:r>
    </w:p>
    <w:p w:rsidR="008C03B7" w:rsidRPr="004E7146" w:rsidRDefault="006A5660" w:rsidP="00196A41">
      <w:pPr>
        <w:spacing w:before="120" w:after="0" w:line="300" w:lineRule="exact"/>
        <w:rPr>
          <w:rFonts w:eastAsia="Times New Roman" w:cstheme="minorHAnsi"/>
          <w:b/>
          <w:sz w:val="28"/>
          <w:szCs w:val="28"/>
          <w:lang w:eastAsia="en-AU"/>
        </w:rPr>
      </w:pPr>
      <w:r w:rsidRPr="004E7146">
        <w:rPr>
          <w:rFonts w:eastAsia="Times New Roman" w:cstheme="minorHAnsi"/>
          <w:b/>
          <w:sz w:val="28"/>
          <w:szCs w:val="28"/>
          <w:lang w:eastAsia="en-AU"/>
        </w:rPr>
        <w:t xml:space="preserve">Appendices </w:t>
      </w:r>
    </w:p>
    <w:p w:rsidR="008C03B7" w:rsidRDefault="008C03B7" w:rsidP="00B26DCC">
      <w:pPr>
        <w:spacing w:after="0" w:line="300" w:lineRule="exact"/>
        <w:rPr>
          <w:rFonts w:eastAsia="Times New Roman" w:cstheme="minorHAnsi"/>
          <w:lang w:eastAsia="en-AU"/>
        </w:rPr>
      </w:pPr>
      <w:r>
        <w:rPr>
          <w:rFonts w:eastAsia="Times New Roman" w:cstheme="minorHAnsi"/>
          <w:lang w:eastAsia="en-AU"/>
        </w:rPr>
        <w:t>Appendix 1</w:t>
      </w:r>
      <w:r>
        <w:rPr>
          <w:rFonts w:eastAsia="Times New Roman" w:cstheme="minorHAnsi"/>
          <w:lang w:eastAsia="en-AU"/>
        </w:rPr>
        <w:tab/>
        <w:t>Relevant personal publications/opinion articles</w:t>
      </w:r>
    </w:p>
    <w:p w:rsidR="008C03B7" w:rsidRDefault="008C03B7" w:rsidP="00B26DCC">
      <w:pPr>
        <w:spacing w:after="0" w:line="300" w:lineRule="exact"/>
        <w:rPr>
          <w:rFonts w:eastAsia="Times New Roman" w:cstheme="minorHAnsi"/>
          <w:lang w:eastAsia="en-AU"/>
        </w:rPr>
      </w:pPr>
      <w:r>
        <w:rPr>
          <w:rFonts w:eastAsia="Times New Roman" w:cstheme="minorHAnsi"/>
          <w:lang w:eastAsia="en-AU"/>
        </w:rPr>
        <w:t>Appendix 2</w:t>
      </w:r>
      <w:r>
        <w:rPr>
          <w:rFonts w:eastAsia="Times New Roman" w:cstheme="minorHAnsi"/>
          <w:lang w:eastAsia="en-AU"/>
        </w:rPr>
        <w:tab/>
      </w:r>
      <w:r w:rsidR="00316788">
        <w:rPr>
          <w:rFonts w:eastAsia="Times New Roman" w:cstheme="minorHAnsi"/>
          <w:lang w:eastAsia="en-AU"/>
        </w:rPr>
        <w:t>Six</w:t>
      </w:r>
      <w:r w:rsidR="008B7428">
        <w:rPr>
          <w:rFonts w:eastAsia="Times New Roman" w:cstheme="minorHAnsi"/>
          <w:lang w:eastAsia="en-AU"/>
        </w:rPr>
        <w:t xml:space="preserve"> </w:t>
      </w:r>
      <w:r w:rsidR="00854A5A">
        <w:rPr>
          <w:rFonts w:eastAsia="Times New Roman" w:cstheme="minorHAnsi"/>
          <w:lang w:eastAsia="en-AU"/>
        </w:rPr>
        <w:t>le</w:t>
      </w:r>
      <w:r w:rsidR="0065408C">
        <w:rPr>
          <w:rFonts w:eastAsia="Times New Roman" w:cstheme="minorHAnsi"/>
          <w:lang w:eastAsia="en-AU"/>
        </w:rPr>
        <w:t xml:space="preserve">arnings </w:t>
      </w:r>
      <w:r w:rsidR="008B7428">
        <w:rPr>
          <w:rFonts w:eastAsia="Times New Roman" w:cstheme="minorHAnsi"/>
          <w:lang w:eastAsia="en-AU"/>
        </w:rPr>
        <w:t>in retrospective r</w:t>
      </w:r>
      <w:r>
        <w:rPr>
          <w:rFonts w:eastAsia="Times New Roman" w:cstheme="minorHAnsi"/>
          <w:lang w:eastAsia="en-AU"/>
        </w:rPr>
        <w:t>eview</w:t>
      </w:r>
    </w:p>
    <w:p w:rsidR="00B26DCC" w:rsidRDefault="008C03B7" w:rsidP="00B26DCC">
      <w:pPr>
        <w:spacing w:after="0"/>
        <w:rPr>
          <w:rFonts w:cstheme="minorHAnsi"/>
        </w:rPr>
      </w:pPr>
      <w:r>
        <w:rPr>
          <w:rFonts w:eastAsia="Times New Roman" w:cstheme="minorHAnsi"/>
          <w:lang w:eastAsia="en-AU"/>
        </w:rPr>
        <w:t>Appendix 3</w:t>
      </w:r>
      <w:r>
        <w:rPr>
          <w:rFonts w:eastAsia="Times New Roman" w:cstheme="minorHAnsi"/>
          <w:lang w:eastAsia="en-AU"/>
        </w:rPr>
        <w:tab/>
      </w:r>
      <w:r w:rsidRPr="008C03B7">
        <w:rPr>
          <w:rFonts w:cstheme="minorHAnsi"/>
        </w:rPr>
        <w:t>Retraining nation - not yet a ‘fit for future’ performance</w:t>
      </w:r>
    </w:p>
    <w:p w:rsidR="004E7146" w:rsidRDefault="004E7146" w:rsidP="004E7146">
      <w:pPr>
        <w:spacing w:after="0" w:line="300" w:lineRule="exact"/>
        <w:jc w:val="right"/>
        <w:rPr>
          <w:rFonts w:eastAsia="Times New Roman" w:cstheme="minorHAnsi"/>
          <w:b/>
          <w:sz w:val="28"/>
          <w:szCs w:val="28"/>
          <w:lang w:eastAsia="en-AU"/>
        </w:rPr>
      </w:pPr>
      <w:r>
        <w:rPr>
          <w:rFonts w:eastAsia="Times New Roman" w:cstheme="minorHAnsi"/>
          <w:b/>
          <w:sz w:val="28"/>
          <w:szCs w:val="28"/>
          <w:lang w:eastAsia="en-AU"/>
        </w:rPr>
        <w:lastRenderedPageBreak/>
        <w:t>Appendix 1</w:t>
      </w:r>
    </w:p>
    <w:p w:rsidR="004E7146" w:rsidRDefault="004E7146" w:rsidP="004E7146">
      <w:pPr>
        <w:spacing w:after="0" w:line="300" w:lineRule="exact"/>
        <w:rPr>
          <w:rFonts w:eastAsia="Times New Roman" w:cstheme="minorHAnsi"/>
          <w:b/>
          <w:sz w:val="28"/>
          <w:szCs w:val="28"/>
          <w:lang w:eastAsia="en-AU"/>
        </w:rPr>
      </w:pPr>
      <w:r>
        <w:rPr>
          <w:rFonts w:eastAsia="Times New Roman" w:cstheme="minorHAnsi"/>
          <w:b/>
          <w:sz w:val="28"/>
          <w:szCs w:val="28"/>
          <w:lang w:eastAsia="en-AU"/>
        </w:rPr>
        <w:t xml:space="preserve">Relevant personal publications/opinion articles </w:t>
      </w:r>
    </w:p>
    <w:p w:rsidR="004E7146" w:rsidRDefault="004E7146" w:rsidP="004E7146">
      <w:pPr>
        <w:spacing w:after="0" w:line="300" w:lineRule="exact"/>
        <w:rPr>
          <w:rFonts w:eastAsia="Times New Roman" w:cstheme="minorHAnsi"/>
          <w:b/>
          <w:sz w:val="28"/>
          <w:szCs w:val="28"/>
          <w:lang w:eastAsia="en-AU"/>
        </w:rPr>
      </w:pPr>
    </w:p>
    <w:p w:rsidR="00AC32B4" w:rsidRDefault="00AC32B4" w:rsidP="004E7146">
      <w:pPr>
        <w:spacing w:after="0" w:line="300" w:lineRule="exact"/>
        <w:rPr>
          <w:rFonts w:eastAsia="Times New Roman" w:cstheme="minorHAnsi"/>
          <w:lang w:eastAsia="en-AU"/>
        </w:rPr>
      </w:pPr>
      <w:r>
        <w:rPr>
          <w:rFonts w:eastAsia="Times New Roman" w:cstheme="minorHAnsi"/>
          <w:lang w:eastAsia="en-AU"/>
        </w:rPr>
        <w:t>These articles contain multiple embedded references to other reports and research.</w:t>
      </w:r>
    </w:p>
    <w:p w:rsidR="00AC32B4" w:rsidRPr="00AC32B4" w:rsidRDefault="00AC32B4" w:rsidP="004E7146">
      <w:pPr>
        <w:spacing w:after="0" w:line="300" w:lineRule="exact"/>
        <w:rPr>
          <w:rFonts w:eastAsia="Times New Roman" w:cstheme="minorHAnsi"/>
          <w:lang w:eastAsia="en-AU"/>
        </w:rPr>
      </w:pPr>
    </w:p>
    <w:p w:rsidR="008B1FC7" w:rsidRDefault="008B1FC7" w:rsidP="008B1FC7">
      <w:pPr>
        <w:spacing w:after="0" w:line="300" w:lineRule="exact"/>
        <w:rPr>
          <w:rFonts w:cstheme="minorHAnsi"/>
          <w:b/>
        </w:rPr>
      </w:pPr>
      <w:r w:rsidRPr="008B1FC7">
        <w:rPr>
          <w:rFonts w:cstheme="minorHAnsi"/>
          <w:b/>
        </w:rPr>
        <w:t>Critique of the Joyce Review of VET</w:t>
      </w:r>
    </w:p>
    <w:p w:rsidR="008B1FC7" w:rsidRPr="008B1FC7" w:rsidRDefault="00B76867" w:rsidP="008B1FC7">
      <w:pPr>
        <w:spacing w:after="0" w:line="300" w:lineRule="exact"/>
        <w:rPr>
          <w:rStyle w:val="Hyperlink"/>
          <w:rFonts w:cstheme="minorHAnsi"/>
          <w:bdr w:val="none" w:sz="0" w:space="0" w:color="auto" w:frame="1"/>
        </w:rPr>
      </w:pPr>
      <w:hyperlink r:id="rId9" w:history="1">
        <w:r w:rsidR="008B1FC7" w:rsidRPr="008B1FC7">
          <w:rPr>
            <w:rStyle w:val="Hyperlink"/>
            <w:rFonts w:cstheme="minorHAnsi"/>
            <w:bdr w:val="none" w:sz="0" w:space="0" w:color="auto" w:frame="1"/>
          </w:rPr>
          <w:t>“The Joyce Review of VET: good summary, incomplete analysis, solutions need a rework” Campus Review Oct 2019</w:t>
        </w:r>
      </w:hyperlink>
    </w:p>
    <w:p w:rsidR="008B1FC7" w:rsidRDefault="008B1FC7" w:rsidP="008B1FC7">
      <w:pPr>
        <w:spacing w:after="0" w:line="300" w:lineRule="exact"/>
        <w:rPr>
          <w:rFonts w:cstheme="minorHAnsi"/>
          <w:b/>
        </w:rPr>
      </w:pPr>
    </w:p>
    <w:p w:rsidR="008B1FC7" w:rsidRPr="008B1FC7" w:rsidRDefault="008B1FC7" w:rsidP="008B1FC7">
      <w:pPr>
        <w:spacing w:after="0" w:line="300" w:lineRule="exact"/>
        <w:rPr>
          <w:rFonts w:eastAsia="Times New Roman" w:cstheme="minorHAnsi"/>
          <w:b/>
          <w:lang w:eastAsia="en-AU"/>
        </w:rPr>
      </w:pPr>
      <w:r w:rsidRPr="008B1FC7">
        <w:rPr>
          <w:rFonts w:cstheme="minorHAnsi"/>
          <w:b/>
        </w:rPr>
        <w:t xml:space="preserve">National Tertiary </w:t>
      </w:r>
      <w:r w:rsidR="00E65076">
        <w:rPr>
          <w:rFonts w:cstheme="minorHAnsi"/>
          <w:b/>
        </w:rPr>
        <w:t xml:space="preserve">Education and Training </w:t>
      </w:r>
      <w:r w:rsidRPr="008B1FC7">
        <w:rPr>
          <w:rFonts w:cstheme="minorHAnsi"/>
          <w:b/>
        </w:rPr>
        <w:t>System Policy</w:t>
      </w:r>
    </w:p>
    <w:p w:rsidR="00E65076" w:rsidRPr="00E65076" w:rsidRDefault="00B76867" w:rsidP="00E65076">
      <w:pPr>
        <w:shd w:val="clear" w:color="auto" w:fill="FFFFFF"/>
        <w:spacing w:after="0" w:line="240" w:lineRule="auto"/>
        <w:outlineLvl w:val="0"/>
        <w:rPr>
          <w:rFonts w:eastAsia="Times New Roman" w:cstheme="minorHAnsi"/>
          <w:bCs/>
          <w:color w:val="4A4A4A"/>
          <w:kern w:val="36"/>
          <w:lang w:eastAsia="en-AU"/>
        </w:rPr>
      </w:pPr>
      <w:hyperlink r:id="rId10" w:history="1">
        <w:r w:rsidR="00E65076">
          <w:rPr>
            <w:rStyle w:val="Hyperlink"/>
            <w:rFonts w:eastAsia="Times New Roman" w:cstheme="minorHAnsi"/>
            <w:bCs/>
            <w:kern w:val="36"/>
            <w:bdr w:val="none" w:sz="0" w:space="0" w:color="auto" w:frame="1"/>
            <w:lang w:eastAsia="en-AU"/>
          </w:rPr>
          <w:t>“M</w:t>
        </w:r>
        <w:r w:rsidR="00E65076" w:rsidRPr="00E65076">
          <w:rPr>
            <w:rStyle w:val="Hyperlink"/>
            <w:rFonts w:eastAsia="Times New Roman" w:cstheme="minorHAnsi"/>
            <w:bCs/>
            <w:kern w:val="36"/>
            <w:bdr w:val="none" w:sz="0" w:space="0" w:color="auto" w:frame="1"/>
            <w:lang w:eastAsia="en-AU"/>
          </w:rPr>
          <w:t>odels for federated cooperation: past practice and future implications for VET</w:t>
        </w:r>
        <w:r w:rsidR="00E65076">
          <w:rPr>
            <w:rStyle w:val="Hyperlink"/>
            <w:rFonts w:eastAsia="Times New Roman" w:cstheme="minorHAnsi"/>
            <w:bCs/>
            <w:kern w:val="36"/>
            <w:bdr w:val="none" w:sz="0" w:space="0" w:color="auto" w:frame="1"/>
            <w:lang w:eastAsia="en-AU"/>
          </w:rPr>
          <w:t>”</w:t>
        </w:r>
        <w:r w:rsidR="00E65076" w:rsidRPr="00E65076">
          <w:rPr>
            <w:rStyle w:val="Hyperlink"/>
            <w:rFonts w:eastAsia="Times New Roman" w:cstheme="minorHAnsi"/>
            <w:bCs/>
            <w:kern w:val="36"/>
            <w:bdr w:val="none" w:sz="0" w:space="0" w:color="auto" w:frame="1"/>
            <w:lang w:eastAsia="en-AU"/>
          </w:rPr>
          <w:t xml:space="preserve"> Campus Review April 201</w:t>
        </w:r>
        <w:r w:rsidR="00E65076">
          <w:rPr>
            <w:rStyle w:val="Hyperlink"/>
            <w:rFonts w:eastAsia="Times New Roman" w:cstheme="minorHAnsi"/>
            <w:bCs/>
            <w:kern w:val="36"/>
            <w:bdr w:val="none" w:sz="0" w:space="0" w:color="auto" w:frame="1"/>
            <w:lang w:eastAsia="en-AU"/>
          </w:rPr>
          <w:t>9</w:t>
        </w:r>
      </w:hyperlink>
    </w:p>
    <w:p w:rsidR="00E65076" w:rsidRDefault="00E65076" w:rsidP="008B1FC7">
      <w:pPr>
        <w:spacing w:after="0" w:line="300" w:lineRule="exact"/>
      </w:pPr>
    </w:p>
    <w:p w:rsidR="008B1FC7" w:rsidRPr="008B1FC7" w:rsidRDefault="00B76867" w:rsidP="008B1FC7">
      <w:pPr>
        <w:spacing w:after="0" w:line="300" w:lineRule="exact"/>
        <w:rPr>
          <w:rFonts w:cstheme="minorHAnsi"/>
          <w:color w:val="4A4A4A"/>
          <w:bdr w:val="none" w:sz="0" w:space="0" w:color="auto" w:frame="1"/>
        </w:rPr>
      </w:pPr>
      <w:hyperlink r:id="rId11" w:history="1">
        <w:r w:rsidR="008B1FC7" w:rsidRPr="008B1FC7">
          <w:rPr>
            <w:rStyle w:val="Hyperlink"/>
            <w:rFonts w:cstheme="minorHAnsi"/>
            <w:bdr w:val="none" w:sz="0" w:space="0" w:color="auto" w:frame="1"/>
          </w:rPr>
          <w:t>“Fit-for-future purpose: architectural policies, foundational enablers spanning HE/VET sectors” Campus Review June 2019</w:t>
        </w:r>
      </w:hyperlink>
    </w:p>
    <w:p w:rsidR="008B1FC7" w:rsidRPr="008B1FC7" w:rsidRDefault="008B1FC7" w:rsidP="008B1FC7">
      <w:pPr>
        <w:pStyle w:val="ListParagraph"/>
        <w:spacing w:after="0" w:line="300" w:lineRule="exact"/>
        <w:ind w:left="0"/>
        <w:rPr>
          <w:rFonts w:cstheme="minorHAnsi"/>
        </w:rPr>
      </w:pPr>
    </w:p>
    <w:p w:rsidR="008B1FC7" w:rsidRDefault="008B1FC7" w:rsidP="008B1FC7">
      <w:pPr>
        <w:pStyle w:val="ListParagraph"/>
        <w:spacing w:after="0" w:line="300" w:lineRule="exact"/>
        <w:ind w:left="0"/>
        <w:rPr>
          <w:rFonts w:cstheme="minorHAnsi"/>
          <w:b/>
        </w:rPr>
      </w:pPr>
      <w:r w:rsidRPr="008B1FC7">
        <w:rPr>
          <w:rFonts w:cstheme="minorHAnsi"/>
          <w:b/>
        </w:rPr>
        <w:t>Present Policy and Reforms at the HE/VET boundaries</w:t>
      </w:r>
    </w:p>
    <w:p w:rsidR="008B1FC7" w:rsidRDefault="008B1FC7" w:rsidP="008B1FC7">
      <w:pPr>
        <w:spacing w:after="0" w:line="300" w:lineRule="exact"/>
        <w:rPr>
          <w:rStyle w:val="Hyperlink"/>
          <w:shd w:val="clear" w:color="auto" w:fill="F5F5F5"/>
        </w:rPr>
      </w:pPr>
      <w:r w:rsidRPr="008B1FC7">
        <w:rPr>
          <w:rFonts w:eastAsia="Times New Roman" w:cstheme="minorHAnsi"/>
          <w:lang w:eastAsia="en-AU"/>
        </w:rPr>
        <w:t xml:space="preserve"> </w:t>
      </w:r>
      <w:hyperlink r:id="rId12" w:history="1">
        <w:r w:rsidRPr="008B1FC7">
          <w:rPr>
            <w:rStyle w:val="Hyperlink"/>
            <w:shd w:val="clear" w:color="auto" w:fill="F5F5F5"/>
          </w:rPr>
          <w:t>“Boundaries and Connections between VET and HE at AQF 5/6”, Craig Fowler, 2018 LH Martin Institute, University of Melbourne Oct 2018</w:t>
        </w:r>
      </w:hyperlink>
    </w:p>
    <w:p w:rsidR="008B1FC7" w:rsidRPr="008B1FC7" w:rsidRDefault="008B1FC7" w:rsidP="008B1FC7">
      <w:pPr>
        <w:spacing w:after="0" w:line="300" w:lineRule="exact"/>
        <w:rPr>
          <w:rStyle w:val="page-headerdate"/>
          <w:shd w:val="clear" w:color="auto" w:fill="F5F5F5"/>
        </w:rPr>
      </w:pPr>
      <w:r w:rsidRPr="008B1FC7">
        <w:rPr>
          <w:rStyle w:val="page-headerdate"/>
          <w:shd w:val="clear" w:color="auto" w:fill="F5F5F5"/>
        </w:rPr>
        <w:t xml:space="preserve"> </w:t>
      </w:r>
    </w:p>
    <w:p w:rsidR="008B1FC7" w:rsidRDefault="00B76867" w:rsidP="008B1FC7">
      <w:pPr>
        <w:spacing w:after="0" w:line="300" w:lineRule="exact"/>
        <w:rPr>
          <w:rStyle w:val="Hyperlink"/>
          <w:rFonts w:cstheme="minorHAnsi"/>
        </w:rPr>
      </w:pPr>
      <w:hyperlink r:id="rId13" w:history="1">
        <w:r w:rsidR="008B1FC7" w:rsidRPr="008B1FC7">
          <w:rPr>
            <w:rStyle w:val="Hyperlink"/>
            <w:rFonts w:cstheme="minorHAnsi"/>
          </w:rPr>
          <w:t>“The Boundaries &amp; Connections between VET &amp; HE: What to make of AQF 5-6 Mechanisms or Muddle?” Campus Review Sept. 2018</w:t>
        </w:r>
      </w:hyperlink>
    </w:p>
    <w:p w:rsidR="008B1FC7" w:rsidRPr="008B1FC7" w:rsidRDefault="008B1FC7" w:rsidP="008B1FC7">
      <w:pPr>
        <w:spacing w:after="0" w:line="300" w:lineRule="exact"/>
        <w:rPr>
          <w:rFonts w:cstheme="minorHAnsi"/>
        </w:rPr>
      </w:pPr>
    </w:p>
    <w:p w:rsidR="008B1FC7" w:rsidRPr="008B1FC7" w:rsidRDefault="008B1FC7" w:rsidP="008B1FC7">
      <w:pPr>
        <w:spacing w:after="0" w:line="300" w:lineRule="exact"/>
        <w:rPr>
          <w:rFonts w:cstheme="minorHAnsi"/>
          <w:color w:val="4A4A4A"/>
          <w:shd w:val="clear" w:color="auto" w:fill="FFFFFF"/>
        </w:rPr>
      </w:pPr>
      <w:r w:rsidRPr="008B1FC7">
        <w:rPr>
          <w:rFonts w:eastAsia="Times New Roman" w:cstheme="minorHAnsi"/>
          <w:lang w:eastAsia="en-AU"/>
        </w:rPr>
        <w:t xml:space="preserve"> </w:t>
      </w:r>
      <w:hyperlink r:id="rId14" w:history="1">
        <w:r w:rsidRPr="008B1FC7">
          <w:rPr>
            <w:rStyle w:val="Hyperlink"/>
            <w:rFonts w:cstheme="minorHAnsi"/>
            <w:shd w:val="clear" w:color="auto" w:fill="FFFFFF"/>
          </w:rPr>
          <w:t xml:space="preserve">“Making friends with new ideas – tertiary system reforms at AQF 5-6” </w:t>
        </w:r>
        <w:r w:rsidRPr="008B1FC7">
          <w:rPr>
            <w:rStyle w:val="Hyperlink"/>
            <w:rFonts w:eastAsia="Times New Roman" w:cstheme="minorHAnsi"/>
          </w:rPr>
          <w:t xml:space="preserve">Campus Review </w:t>
        </w:r>
        <w:r w:rsidRPr="008B1FC7">
          <w:rPr>
            <w:rStyle w:val="Hyperlink"/>
            <w:rFonts w:cstheme="minorHAnsi"/>
            <w:shd w:val="clear" w:color="auto" w:fill="FFFFFF"/>
          </w:rPr>
          <w:t>Feb. 2019</w:t>
        </w:r>
      </w:hyperlink>
      <w:r w:rsidRPr="008B1FC7">
        <w:rPr>
          <w:rFonts w:cstheme="minorHAnsi"/>
          <w:color w:val="4A4A4A"/>
          <w:shd w:val="clear" w:color="auto" w:fill="FFFFFF"/>
        </w:rPr>
        <w:t xml:space="preserve"> </w:t>
      </w:r>
    </w:p>
    <w:p w:rsidR="008B1FC7" w:rsidRPr="008B1FC7" w:rsidRDefault="008B1FC7" w:rsidP="008B1FC7">
      <w:pPr>
        <w:spacing w:after="0" w:line="300" w:lineRule="exact"/>
        <w:rPr>
          <w:rFonts w:cstheme="minorHAnsi"/>
          <w:color w:val="4A4A4A"/>
          <w:shd w:val="clear" w:color="auto" w:fill="FFFFFF"/>
        </w:rPr>
      </w:pPr>
    </w:p>
    <w:p w:rsidR="008B1FC7" w:rsidRDefault="008B1FC7" w:rsidP="008B1FC7">
      <w:pPr>
        <w:pStyle w:val="ListParagraph"/>
        <w:spacing w:after="0" w:line="300" w:lineRule="exact"/>
        <w:ind w:left="0"/>
        <w:rPr>
          <w:rFonts w:cstheme="minorHAnsi"/>
          <w:b/>
        </w:rPr>
      </w:pPr>
      <w:r w:rsidRPr="008B1FC7">
        <w:rPr>
          <w:rFonts w:cstheme="minorHAnsi"/>
          <w:b/>
        </w:rPr>
        <w:t>New Skills Policy</w:t>
      </w:r>
    </w:p>
    <w:p w:rsidR="008B1FC7" w:rsidRDefault="008B1FC7" w:rsidP="008B1FC7">
      <w:pPr>
        <w:spacing w:after="0" w:line="300" w:lineRule="exact"/>
        <w:rPr>
          <w:rStyle w:val="Hyperlink"/>
        </w:rPr>
      </w:pPr>
      <w:r w:rsidRPr="008B1FC7">
        <w:t xml:space="preserve"> “</w:t>
      </w:r>
      <w:hyperlink r:id="rId15" w:history="1">
        <w:r w:rsidRPr="008B1FC7">
          <w:rPr>
            <w:rStyle w:val="Hyperlink"/>
          </w:rPr>
          <w:t>A chance to be bold and ambitious: make apprenticeships the lynchpin to a better integrated tertiary education sector” C</w:t>
        </w:r>
        <w:r w:rsidRPr="008B1FC7">
          <w:rPr>
            <w:rStyle w:val="Hyperlink"/>
            <w:shd w:val="clear" w:color="auto" w:fill="F5F5F5"/>
          </w:rPr>
          <w:t>raig Fowler</w:t>
        </w:r>
        <w:r w:rsidRPr="008B1FC7">
          <w:rPr>
            <w:rStyle w:val="Hyperlink"/>
            <w:b/>
            <w:shd w:val="clear" w:color="auto" w:fill="F5F5F5"/>
          </w:rPr>
          <w:t xml:space="preserve">, </w:t>
        </w:r>
        <w:r w:rsidRPr="008B1FC7">
          <w:rPr>
            <w:rStyle w:val="Hyperlink"/>
          </w:rPr>
          <w:t>John Stanwick,</w:t>
        </w:r>
        <w:r w:rsidRPr="008B1FC7">
          <w:rPr>
            <w:rStyle w:val="Hyperlink"/>
            <w:b/>
          </w:rPr>
          <w:t xml:space="preserve"> </w:t>
        </w:r>
        <w:r w:rsidRPr="008B1FC7">
          <w:rPr>
            <w:rStyle w:val="Hyperlink"/>
          </w:rPr>
          <w:t>NCVER June 2017</w:t>
        </w:r>
      </w:hyperlink>
    </w:p>
    <w:p w:rsidR="008B1FC7" w:rsidRPr="008B1FC7" w:rsidRDefault="008B1FC7" w:rsidP="008B1FC7">
      <w:pPr>
        <w:spacing w:after="0" w:line="300" w:lineRule="exact"/>
        <w:rPr>
          <w:rStyle w:val="page-headerdate"/>
        </w:rPr>
      </w:pPr>
    </w:p>
    <w:p w:rsidR="008B1FC7" w:rsidRDefault="00B76867" w:rsidP="008B1FC7">
      <w:pPr>
        <w:spacing w:after="0" w:line="300" w:lineRule="exact"/>
        <w:rPr>
          <w:rStyle w:val="Hyperlink"/>
          <w:rFonts w:eastAsia="Times New Roman" w:cstheme="minorHAnsi"/>
        </w:rPr>
      </w:pPr>
      <w:hyperlink r:id="rId16" w:history="1">
        <w:r w:rsidR="008B1FC7" w:rsidRPr="008B1FC7">
          <w:rPr>
            <w:rStyle w:val="Hyperlink"/>
            <w:rFonts w:eastAsia="Times New Roman" w:cstheme="minorHAnsi"/>
          </w:rPr>
          <w:t>“Exploring higher level VET apprentices and VET Student Loans” Campus Review Dec. 2018</w:t>
        </w:r>
      </w:hyperlink>
    </w:p>
    <w:p w:rsidR="00EC148E" w:rsidRPr="008B1FC7" w:rsidRDefault="00EC148E" w:rsidP="008B1FC7">
      <w:pPr>
        <w:spacing w:after="0" w:line="300" w:lineRule="exact"/>
        <w:rPr>
          <w:rFonts w:eastAsia="Times New Roman" w:cstheme="minorHAnsi"/>
        </w:rPr>
      </w:pPr>
    </w:p>
    <w:p w:rsidR="008B1FC7" w:rsidRDefault="00B76867" w:rsidP="008B1FC7">
      <w:pPr>
        <w:spacing w:after="120" w:line="300" w:lineRule="exact"/>
        <w:rPr>
          <w:rStyle w:val="Hyperlink"/>
          <w:rFonts w:cstheme="minorHAnsi"/>
          <w:shd w:val="clear" w:color="auto" w:fill="F5F5F5"/>
        </w:rPr>
      </w:pPr>
      <w:hyperlink r:id="rId17" w:history="1">
        <w:r w:rsidR="008B1FC7" w:rsidRPr="008B1FC7">
          <w:rPr>
            <w:rStyle w:val="Hyperlink"/>
            <w:rFonts w:cstheme="minorHAnsi"/>
            <w:bCs/>
          </w:rPr>
          <w:t xml:space="preserve">“Identifying work skills: international approaches” </w:t>
        </w:r>
        <w:r w:rsidR="008B1FC7" w:rsidRPr="008B1FC7">
          <w:rPr>
            <w:rStyle w:val="Hyperlink"/>
            <w:rFonts w:cstheme="minorHAnsi"/>
            <w:shd w:val="clear" w:color="auto" w:fill="F5F5F5"/>
          </w:rPr>
          <w:t>Gitta Siekmann, Craig Fowler NCVER December 2017</w:t>
        </w:r>
      </w:hyperlink>
    </w:p>
    <w:p w:rsidR="008B1FC7" w:rsidRPr="008B1FC7" w:rsidRDefault="00EC148E" w:rsidP="008B1FC7">
      <w:pPr>
        <w:spacing w:before="120" w:after="120" w:line="300" w:lineRule="exact"/>
        <w:rPr>
          <w:rFonts w:cstheme="minorHAnsi"/>
        </w:rPr>
      </w:pPr>
      <w:r w:rsidRPr="008B1FC7">
        <w:rPr>
          <w:rFonts w:cstheme="minorHAnsi"/>
        </w:rPr>
        <w:t xml:space="preserve"> </w:t>
      </w:r>
      <w:r w:rsidR="008B1FC7" w:rsidRPr="008B1FC7">
        <w:rPr>
          <w:rFonts w:cstheme="minorHAnsi"/>
        </w:rPr>
        <w:t>“Retraining nation - not yet a ‘fit for future’ performance” as JCSF Consulting Pty Ltd Australian Institute of Company Directors</w:t>
      </w:r>
      <w:r w:rsidR="00DA365B">
        <w:rPr>
          <w:rFonts w:cstheme="minorHAnsi"/>
        </w:rPr>
        <w:t xml:space="preserve"> (see Attachment 3)</w:t>
      </w:r>
      <w:r w:rsidR="008B1FC7" w:rsidRPr="008B1FC7">
        <w:rPr>
          <w:rFonts w:cstheme="minorHAnsi"/>
        </w:rPr>
        <w:t>.</w:t>
      </w:r>
    </w:p>
    <w:p w:rsidR="004E7146" w:rsidRDefault="004E7146" w:rsidP="008B1FC7">
      <w:pPr>
        <w:rPr>
          <w:rFonts w:eastAsia="Times New Roman" w:cstheme="minorHAnsi"/>
          <w:b/>
          <w:sz w:val="28"/>
          <w:szCs w:val="28"/>
          <w:lang w:eastAsia="en-AU"/>
        </w:rPr>
      </w:pPr>
      <w:r>
        <w:rPr>
          <w:rFonts w:eastAsia="Times New Roman" w:cstheme="minorHAnsi"/>
          <w:b/>
          <w:sz w:val="28"/>
          <w:szCs w:val="28"/>
          <w:lang w:eastAsia="en-AU"/>
        </w:rPr>
        <w:br w:type="page"/>
      </w:r>
    </w:p>
    <w:p w:rsidR="004E7146" w:rsidRDefault="004E7146" w:rsidP="004E7146">
      <w:pPr>
        <w:spacing w:after="0" w:line="300" w:lineRule="exact"/>
        <w:jc w:val="right"/>
        <w:rPr>
          <w:rFonts w:eastAsia="Times New Roman" w:cstheme="minorHAnsi"/>
          <w:b/>
          <w:sz w:val="28"/>
          <w:szCs w:val="28"/>
          <w:lang w:eastAsia="en-AU"/>
        </w:rPr>
      </w:pPr>
      <w:r>
        <w:rPr>
          <w:rFonts w:eastAsia="Times New Roman" w:cstheme="minorHAnsi"/>
          <w:b/>
          <w:sz w:val="28"/>
          <w:szCs w:val="28"/>
          <w:lang w:eastAsia="en-AU"/>
        </w:rPr>
        <w:lastRenderedPageBreak/>
        <w:t>Appendix 2</w:t>
      </w:r>
    </w:p>
    <w:p w:rsidR="004A7280" w:rsidRPr="001F254D" w:rsidRDefault="00862264" w:rsidP="004A7280">
      <w:pPr>
        <w:spacing w:after="0" w:line="300" w:lineRule="exact"/>
        <w:rPr>
          <w:rFonts w:eastAsia="Times New Roman" w:cstheme="minorHAnsi"/>
          <w:sz w:val="28"/>
          <w:szCs w:val="28"/>
          <w:lang w:eastAsia="en-AU"/>
        </w:rPr>
      </w:pPr>
      <w:r>
        <w:rPr>
          <w:rFonts w:eastAsia="Times New Roman" w:cstheme="minorHAnsi"/>
          <w:b/>
          <w:sz w:val="28"/>
          <w:szCs w:val="28"/>
          <w:lang w:eastAsia="en-AU"/>
        </w:rPr>
        <w:t>Six</w:t>
      </w:r>
      <w:r w:rsidR="00A94CE4" w:rsidRPr="001F254D">
        <w:rPr>
          <w:rFonts w:eastAsia="Times New Roman" w:cstheme="minorHAnsi"/>
          <w:b/>
          <w:sz w:val="28"/>
          <w:szCs w:val="28"/>
          <w:lang w:eastAsia="en-AU"/>
        </w:rPr>
        <w:t xml:space="preserve"> </w:t>
      </w:r>
      <w:r w:rsidR="00854A5A">
        <w:rPr>
          <w:rFonts w:eastAsia="Times New Roman" w:cstheme="minorHAnsi"/>
          <w:b/>
          <w:sz w:val="28"/>
          <w:szCs w:val="28"/>
          <w:lang w:eastAsia="en-AU"/>
        </w:rPr>
        <w:t>le</w:t>
      </w:r>
      <w:r w:rsidR="0065408C">
        <w:rPr>
          <w:rFonts w:eastAsia="Times New Roman" w:cstheme="minorHAnsi"/>
          <w:b/>
          <w:sz w:val="28"/>
          <w:szCs w:val="28"/>
          <w:lang w:eastAsia="en-AU"/>
        </w:rPr>
        <w:t xml:space="preserve">arnings </w:t>
      </w:r>
      <w:r w:rsidR="00A94CE4" w:rsidRPr="001F254D">
        <w:rPr>
          <w:rFonts w:eastAsia="Times New Roman" w:cstheme="minorHAnsi"/>
          <w:b/>
          <w:sz w:val="28"/>
          <w:szCs w:val="28"/>
          <w:lang w:eastAsia="en-AU"/>
        </w:rPr>
        <w:t>in retrospective review</w:t>
      </w:r>
      <w:r w:rsidR="00A94CE4" w:rsidRPr="001F254D">
        <w:rPr>
          <w:rFonts w:eastAsia="Times New Roman" w:cstheme="minorHAnsi"/>
          <w:sz w:val="28"/>
          <w:szCs w:val="28"/>
          <w:lang w:eastAsia="en-AU"/>
        </w:rPr>
        <w:t xml:space="preserve"> </w:t>
      </w:r>
    </w:p>
    <w:p w:rsidR="004A7280" w:rsidRPr="004A7280" w:rsidRDefault="004A7280" w:rsidP="004A7280">
      <w:pPr>
        <w:spacing w:after="0" w:line="300" w:lineRule="exact"/>
        <w:rPr>
          <w:rFonts w:eastAsia="Times New Roman" w:cstheme="minorHAnsi"/>
          <w:lang w:eastAsia="en-AU"/>
        </w:rPr>
      </w:pPr>
    </w:p>
    <w:p w:rsidR="00DA5AFE" w:rsidRPr="007C3967" w:rsidRDefault="00DA5AFE" w:rsidP="00DA5AFE">
      <w:pPr>
        <w:pStyle w:val="ListParagraph"/>
        <w:numPr>
          <w:ilvl w:val="0"/>
          <w:numId w:val="2"/>
        </w:numPr>
        <w:spacing w:after="0" w:line="300" w:lineRule="exact"/>
        <w:rPr>
          <w:rFonts w:eastAsia="Times New Roman" w:cstheme="minorHAnsi"/>
          <w:b/>
          <w:lang w:eastAsia="en-AU"/>
        </w:rPr>
      </w:pPr>
      <w:r w:rsidRPr="007C3967">
        <w:rPr>
          <w:rFonts w:eastAsia="Times New Roman" w:cstheme="minorHAnsi"/>
          <w:b/>
          <w:lang w:eastAsia="en-AU"/>
        </w:rPr>
        <w:t xml:space="preserve">The NASWD </w:t>
      </w:r>
      <w:r w:rsidR="004C778D" w:rsidRPr="007C3967">
        <w:rPr>
          <w:rFonts w:eastAsia="Times New Roman" w:cstheme="minorHAnsi"/>
          <w:b/>
          <w:lang w:eastAsia="en-AU"/>
        </w:rPr>
        <w:t xml:space="preserve">and the National Agreement </w:t>
      </w:r>
      <w:r w:rsidRPr="007C3967">
        <w:rPr>
          <w:rFonts w:eastAsia="Times New Roman" w:cstheme="minorHAnsi"/>
          <w:b/>
          <w:lang w:eastAsia="en-AU"/>
        </w:rPr>
        <w:t xml:space="preserve">as an instrument of cooperative federalism has proven to be flawed without </w:t>
      </w:r>
      <w:r w:rsidR="00406091">
        <w:rPr>
          <w:rFonts w:eastAsia="Times New Roman" w:cstheme="minorHAnsi"/>
          <w:b/>
          <w:lang w:eastAsia="en-AU"/>
        </w:rPr>
        <w:t xml:space="preserve">clear </w:t>
      </w:r>
      <w:r w:rsidRPr="007C3967">
        <w:rPr>
          <w:rFonts w:eastAsia="Times New Roman" w:cstheme="minorHAnsi"/>
          <w:b/>
          <w:lang w:eastAsia="en-AU"/>
        </w:rPr>
        <w:t>mechanisms for fiscal accountability nor remedy</w:t>
      </w:r>
    </w:p>
    <w:p w:rsidR="00DA5AFE" w:rsidRDefault="00BF6A66" w:rsidP="00DA5AFE">
      <w:pPr>
        <w:pStyle w:val="ListParagraph"/>
        <w:spacing w:after="0" w:line="300" w:lineRule="exact"/>
        <w:ind w:left="0"/>
        <w:rPr>
          <w:rFonts w:eastAsia="Times New Roman" w:cstheme="minorHAnsi"/>
          <w:lang w:eastAsia="en-AU"/>
        </w:rPr>
      </w:pPr>
      <w:r>
        <w:rPr>
          <w:rFonts w:eastAsia="Times New Roman" w:cstheme="minorHAnsi"/>
          <w:lang w:eastAsia="en-AU"/>
        </w:rPr>
        <w:t xml:space="preserve">Unless and until there is a referral of Constitutional powers and a formal Commonwealth takeover of the VET sector (and COAG recently declined this path), the Australian VET sector operates by </w:t>
      </w:r>
      <w:r w:rsidR="00B84AA8">
        <w:rPr>
          <w:rFonts w:eastAsia="Times New Roman" w:cstheme="minorHAnsi"/>
          <w:lang w:eastAsia="en-AU"/>
        </w:rPr>
        <w:t>‘</w:t>
      </w:r>
      <w:r>
        <w:rPr>
          <w:rFonts w:eastAsia="Times New Roman" w:cstheme="minorHAnsi"/>
          <w:lang w:eastAsia="en-AU"/>
        </w:rPr>
        <w:t>cooperative federalism</w:t>
      </w:r>
      <w:r w:rsidR="00B84AA8">
        <w:rPr>
          <w:rFonts w:eastAsia="Times New Roman" w:cstheme="minorHAnsi"/>
          <w:lang w:eastAsia="en-AU"/>
        </w:rPr>
        <w:t>’</w:t>
      </w:r>
      <w:r w:rsidR="00E659E5">
        <w:rPr>
          <w:rFonts w:eastAsia="Times New Roman" w:cstheme="minorHAnsi"/>
          <w:lang w:eastAsia="en-AU"/>
        </w:rPr>
        <w:t xml:space="preserve">. The </w:t>
      </w:r>
      <w:r>
        <w:rPr>
          <w:rFonts w:eastAsia="Times New Roman" w:cstheme="minorHAnsi"/>
          <w:lang w:eastAsia="en-AU"/>
        </w:rPr>
        <w:t>N</w:t>
      </w:r>
      <w:r w:rsidR="004639CF">
        <w:rPr>
          <w:rFonts w:eastAsia="Times New Roman" w:cstheme="minorHAnsi"/>
          <w:lang w:eastAsia="en-AU"/>
        </w:rPr>
        <w:t>ational Agreement for Skills and Workforce Development (N</w:t>
      </w:r>
      <w:r>
        <w:rPr>
          <w:rFonts w:eastAsia="Times New Roman" w:cstheme="minorHAnsi"/>
          <w:lang w:eastAsia="en-AU"/>
        </w:rPr>
        <w:t>ASWD</w:t>
      </w:r>
      <w:r w:rsidR="004639CF">
        <w:rPr>
          <w:rFonts w:eastAsia="Times New Roman" w:cstheme="minorHAnsi"/>
          <w:lang w:eastAsia="en-AU"/>
        </w:rPr>
        <w:t>)</w:t>
      </w:r>
      <w:r>
        <w:rPr>
          <w:rFonts w:eastAsia="Times New Roman" w:cstheme="minorHAnsi"/>
          <w:lang w:eastAsia="en-AU"/>
        </w:rPr>
        <w:t xml:space="preserve"> and National Agreement (NA) funding is central to these arrangements.  This </w:t>
      </w:r>
      <w:r w:rsidR="00B84AA8">
        <w:rPr>
          <w:rFonts w:eastAsia="Times New Roman" w:cstheme="minorHAnsi"/>
          <w:lang w:eastAsia="en-AU"/>
        </w:rPr>
        <w:t>funding</w:t>
      </w:r>
      <w:r>
        <w:rPr>
          <w:rFonts w:eastAsia="Times New Roman" w:cstheme="minorHAnsi"/>
          <w:lang w:eastAsia="en-AU"/>
        </w:rPr>
        <w:t xml:space="preserve"> transfer is by far the largest transfer of resources to S</w:t>
      </w:r>
      <w:r w:rsidR="001B6116">
        <w:rPr>
          <w:rFonts w:eastAsia="Times New Roman" w:cstheme="minorHAnsi"/>
          <w:lang w:eastAsia="en-AU"/>
        </w:rPr>
        <w:t>&amp;T</w:t>
      </w:r>
      <w:r>
        <w:rPr>
          <w:rFonts w:eastAsia="Times New Roman" w:cstheme="minorHAnsi"/>
          <w:lang w:eastAsia="en-AU"/>
        </w:rPr>
        <w:t xml:space="preserve">s for VET, far bigger (~10-15 x bigger </w:t>
      </w:r>
      <w:r w:rsidR="00E659E5">
        <w:rPr>
          <w:rFonts w:eastAsia="Times New Roman" w:cstheme="minorHAnsi"/>
          <w:lang w:eastAsia="en-AU"/>
        </w:rPr>
        <w:t>annually</w:t>
      </w:r>
      <w:r>
        <w:rPr>
          <w:rFonts w:eastAsia="Times New Roman" w:cstheme="minorHAnsi"/>
          <w:lang w:eastAsia="en-AU"/>
        </w:rPr>
        <w:t xml:space="preserve">) than the various </w:t>
      </w:r>
      <w:r w:rsidR="004639CF">
        <w:rPr>
          <w:rFonts w:eastAsia="Times New Roman" w:cstheme="minorHAnsi"/>
          <w:lang w:eastAsia="en-AU"/>
        </w:rPr>
        <w:t xml:space="preserve">past/present </w:t>
      </w:r>
      <w:r>
        <w:rPr>
          <w:rFonts w:eastAsia="Times New Roman" w:cstheme="minorHAnsi"/>
          <w:lang w:eastAsia="en-AU"/>
        </w:rPr>
        <w:t xml:space="preserve">National Partnership Agreements.  </w:t>
      </w:r>
      <w:r w:rsidR="004639CF">
        <w:rPr>
          <w:rFonts w:eastAsia="Times New Roman" w:cstheme="minorHAnsi"/>
          <w:lang w:eastAsia="en-AU"/>
        </w:rPr>
        <w:t xml:space="preserve">The NA </w:t>
      </w:r>
      <w:r>
        <w:rPr>
          <w:rFonts w:eastAsia="Times New Roman" w:cstheme="minorHAnsi"/>
          <w:lang w:eastAsia="en-AU"/>
        </w:rPr>
        <w:t>is needed given the vertical fiscal imbalance inherent in Australia’s fede</w:t>
      </w:r>
      <w:r w:rsidR="00E659E5">
        <w:rPr>
          <w:rFonts w:eastAsia="Times New Roman" w:cstheme="minorHAnsi"/>
          <w:lang w:eastAsia="en-AU"/>
        </w:rPr>
        <w:t>ration, compared with others eg</w:t>
      </w:r>
      <w:r w:rsidR="00F84A03">
        <w:rPr>
          <w:rFonts w:eastAsia="Times New Roman" w:cstheme="minorHAnsi"/>
          <w:lang w:eastAsia="en-AU"/>
        </w:rPr>
        <w:t>.</w:t>
      </w:r>
      <w:r>
        <w:rPr>
          <w:rFonts w:eastAsia="Times New Roman" w:cstheme="minorHAnsi"/>
          <w:lang w:eastAsia="en-AU"/>
        </w:rPr>
        <w:t xml:space="preserve"> Canada.  Whilst the Australian Government has indexed the NA by ~1.43% year on year, </w:t>
      </w:r>
      <w:r w:rsidR="00EC148E">
        <w:rPr>
          <w:rFonts w:eastAsia="Times New Roman" w:cstheme="minorHAnsi"/>
          <w:lang w:eastAsia="en-AU"/>
        </w:rPr>
        <w:t>its terms mean</w:t>
      </w:r>
      <w:r w:rsidR="004C778D">
        <w:rPr>
          <w:rFonts w:eastAsia="Times New Roman" w:cstheme="minorHAnsi"/>
          <w:lang w:eastAsia="en-AU"/>
        </w:rPr>
        <w:t xml:space="preserve"> </w:t>
      </w:r>
      <w:r w:rsidR="001B6116">
        <w:rPr>
          <w:rFonts w:eastAsia="Times New Roman" w:cstheme="minorHAnsi"/>
          <w:lang w:eastAsia="en-AU"/>
        </w:rPr>
        <w:t>S&amp;T</w:t>
      </w:r>
      <w:r w:rsidR="00EC148E">
        <w:rPr>
          <w:rFonts w:eastAsia="Times New Roman" w:cstheme="minorHAnsi"/>
          <w:lang w:eastAsia="en-AU"/>
        </w:rPr>
        <w:t>s</w:t>
      </w:r>
      <w:r w:rsidR="00E659E5">
        <w:rPr>
          <w:rFonts w:eastAsia="Times New Roman" w:cstheme="minorHAnsi"/>
          <w:lang w:eastAsia="en-AU"/>
        </w:rPr>
        <w:t xml:space="preserve"> </w:t>
      </w:r>
      <w:r>
        <w:rPr>
          <w:rFonts w:eastAsia="Times New Roman" w:cstheme="minorHAnsi"/>
          <w:lang w:eastAsia="en-AU"/>
        </w:rPr>
        <w:t xml:space="preserve">were never required to index </w:t>
      </w:r>
      <w:r w:rsidR="004C778D">
        <w:rPr>
          <w:rFonts w:eastAsia="Times New Roman" w:cstheme="minorHAnsi"/>
          <w:lang w:eastAsia="en-AU"/>
        </w:rPr>
        <w:t xml:space="preserve">their funding </w:t>
      </w:r>
      <w:r w:rsidR="00B84AA8">
        <w:rPr>
          <w:rFonts w:eastAsia="Times New Roman" w:cstheme="minorHAnsi"/>
          <w:lang w:eastAsia="en-AU"/>
        </w:rPr>
        <w:t>n</w:t>
      </w:r>
      <w:r w:rsidR="004C778D">
        <w:rPr>
          <w:rFonts w:eastAsia="Times New Roman" w:cstheme="minorHAnsi"/>
          <w:lang w:eastAsia="en-AU"/>
        </w:rPr>
        <w:t xml:space="preserve">or maintain </w:t>
      </w:r>
      <w:r>
        <w:rPr>
          <w:rFonts w:eastAsia="Times New Roman" w:cstheme="minorHAnsi"/>
          <w:lang w:eastAsia="en-AU"/>
        </w:rPr>
        <w:t xml:space="preserve">proportionate share of </w:t>
      </w:r>
      <w:r w:rsidR="004C778D">
        <w:rPr>
          <w:rFonts w:eastAsia="Times New Roman" w:cstheme="minorHAnsi"/>
          <w:lang w:eastAsia="en-AU"/>
        </w:rPr>
        <w:t>their funding relative to that of the Australian Government and have generally not done so. S</w:t>
      </w:r>
      <w:r w:rsidR="00E659E5">
        <w:rPr>
          <w:rFonts w:eastAsia="Times New Roman" w:cstheme="minorHAnsi"/>
          <w:lang w:eastAsia="en-AU"/>
        </w:rPr>
        <w:t>&amp;T</w:t>
      </w:r>
      <w:r w:rsidR="004C778D">
        <w:rPr>
          <w:rFonts w:eastAsia="Times New Roman" w:cstheme="minorHAnsi"/>
          <w:lang w:eastAsia="en-AU"/>
        </w:rPr>
        <w:t xml:space="preserve"> Treasuries have for multiple reasons defunded VET and any occasional positive increases have been </w:t>
      </w:r>
      <w:r w:rsidR="004639CF">
        <w:rPr>
          <w:rFonts w:eastAsia="Times New Roman" w:cstheme="minorHAnsi"/>
          <w:lang w:eastAsia="en-AU"/>
        </w:rPr>
        <w:t xml:space="preserve">short term </w:t>
      </w:r>
      <w:r w:rsidR="004C778D">
        <w:rPr>
          <w:rFonts w:eastAsia="Times New Roman" w:cstheme="minorHAnsi"/>
          <w:lang w:eastAsia="en-AU"/>
        </w:rPr>
        <w:t xml:space="preserve">political </w:t>
      </w:r>
      <w:r w:rsidR="004230E7">
        <w:rPr>
          <w:rFonts w:eastAsia="Times New Roman" w:cstheme="minorHAnsi"/>
          <w:lang w:eastAsia="en-AU"/>
        </w:rPr>
        <w:t xml:space="preserve">(typically the bigger States) </w:t>
      </w:r>
      <w:r w:rsidR="004C778D">
        <w:rPr>
          <w:rFonts w:eastAsia="Times New Roman" w:cstheme="minorHAnsi"/>
          <w:lang w:eastAsia="en-AU"/>
        </w:rPr>
        <w:t xml:space="preserve">and often off set by </w:t>
      </w:r>
      <w:r w:rsidR="00B84AA8">
        <w:rPr>
          <w:rFonts w:eastAsia="Times New Roman" w:cstheme="minorHAnsi"/>
          <w:lang w:eastAsia="en-AU"/>
        </w:rPr>
        <w:t xml:space="preserve">within </w:t>
      </w:r>
      <w:r w:rsidR="004C778D">
        <w:rPr>
          <w:rFonts w:eastAsia="Times New Roman" w:cstheme="minorHAnsi"/>
          <w:lang w:eastAsia="en-AU"/>
        </w:rPr>
        <w:t>agency</w:t>
      </w:r>
      <w:r w:rsidR="00022F4B">
        <w:rPr>
          <w:rFonts w:eastAsia="Times New Roman" w:cstheme="minorHAnsi"/>
          <w:lang w:eastAsia="en-AU"/>
        </w:rPr>
        <w:t xml:space="preserve"> (including TAFE</w:t>
      </w:r>
      <w:r w:rsidR="00B84AA8">
        <w:rPr>
          <w:rFonts w:eastAsia="Times New Roman" w:cstheme="minorHAnsi"/>
          <w:lang w:eastAsia="en-AU"/>
        </w:rPr>
        <w:t>s</w:t>
      </w:r>
      <w:r w:rsidR="00022F4B">
        <w:rPr>
          <w:rFonts w:eastAsia="Times New Roman" w:cstheme="minorHAnsi"/>
          <w:lang w:eastAsia="en-AU"/>
        </w:rPr>
        <w:t>)</w:t>
      </w:r>
      <w:r w:rsidR="004C778D">
        <w:rPr>
          <w:rFonts w:eastAsia="Times New Roman" w:cstheme="minorHAnsi"/>
          <w:lang w:eastAsia="en-AU"/>
        </w:rPr>
        <w:t xml:space="preserve"> efficiency dividends/savings.</w:t>
      </w:r>
    </w:p>
    <w:p w:rsidR="004C778D" w:rsidRDefault="004C778D" w:rsidP="00DA5AFE">
      <w:pPr>
        <w:pStyle w:val="ListParagraph"/>
        <w:spacing w:after="0" w:line="300" w:lineRule="exact"/>
        <w:ind w:left="0"/>
        <w:rPr>
          <w:rFonts w:eastAsia="Times New Roman" w:cstheme="minorHAnsi"/>
          <w:lang w:eastAsia="en-AU"/>
        </w:rPr>
      </w:pPr>
    </w:p>
    <w:p w:rsidR="004A7280" w:rsidRPr="007C3967" w:rsidRDefault="004A7280" w:rsidP="004C778D">
      <w:pPr>
        <w:pStyle w:val="ListParagraph"/>
        <w:numPr>
          <w:ilvl w:val="0"/>
          <w:numId w:val="2"/>
        </w:numPr>
        <w:spacing w:before="120" w:after="0" w:line="300" w:lineRule="exact"/>
        <w:ind w:left="714" w:hanging="357"/>
        <w:rPr>
          <w:rFonts w:eastAsia="Times New Roman" w:cstheme="minorHAnsi"/>
          <w:b/>
          <w:lang w:eastAsia="en-AU"/>
        </w:rPr>
      </w:pPr>
      <w:r w:rsidRPr="007C3967">
        <w:rPr>
          <w:rFonts w:eastAsia="Times New Roman" w:cstheme="minorHAnsi"/>
          <w:b/>
          <w:lang w:eastAsia="en-AU"/>
        </w:rPr>
        <w:t xml:space="preserve">Discordant </w:t>
      </w:r>
      <w:r w:rsidR="00E659E5">
        <w:rPr>
          <w:rFonts w:eastAsia="Times New Roman" w:cstheme="minorHAnsi"/>
          <w:b/>
          <w:lang w:eastAsia="en-AU"/>
        </w:rPr>
        <w:t xml:space="preserve">funding/financing </w:t>
      </w:r>
      <w:r w:rsidRPr="007C3967">
        <w:rPr>
          <w:rFonts w:eastAsia="Times New Roman" w:cstheme="minorHAnsi"/>
          <w:b/>
          <w:lang w:eastAsia="en-AU"/>
        </w:rPr>
        <w:t>polici</w:t>
      </w:r>
      <w:r w:rsidR="007C3967">
        <w:rPr>
          <w:rFonts w:eastAsia="Times New Roman" w:cstheme="minorHAnsi"/>
          <w:b/>
          <w:lang w:eastAsia="en-AU"/>
        </w:rPr>
        <w:t>es with</w:t>
      </w:r>
      <w:r w:rsidR="00E659E5">
        <w:rPr>
          <w:rFonts w:eastAsia="Times New Roman" w:cstheme="minorHAnsi"/>
          <w:b/>
          <w:lang w:eastAsia="en-AU"/>
        </w:rPr>
        <w:t>in</w:t>
      </w:r>
      <w:r w:rsidR="003E2A81">
        <w:rPr>
          <w:rFonts w:eastAsia="Times New Roman" w:cstheme="minorHAnsi"/>
          <w:b/>
          <w:lang w:eastAsia="en-AU"/>
        </w:rPr>
        <w:t xml:space="preserve"> VET and HE </w:t>
      </w:r>
      <w:r w:rsidR="004639CF">
        <w:rPr>
          <w:rFonts w:eastAsia="Times New Roman" w:cstheme="minorHAnsi"/>
          <w:b/>
          <w:lang w:eastAsia="en-AU"/>
        </w:rPr>
        <w:t>devised in isolation</w:t>
      </w:r>
      <w:r w:rsidR="00E659E5">
        <w:rPr>
          <w:rFonts w:eastAsia="Times New Roman" w:cstheme="minorHAnsi"/>
          <w:b/>
          <w:lang w:eastAsia="en-AU"/>
        </w:rPr>
        <w:t xml:space="preserve"> means the sectors are </w:t>
      </w:r>
      <w:r w:rsidR="005E1293" w:rsidRPr="007C3967">
        <w:rPr>
          <w:rFonts w:eastAsia="Times New Roman" w:cstheme="minorHAnsi"/>
          <w:b/>
          <w:lang w:eastAsia="en-AU"/>
        </w:rPr>
        <w:t xml:space="preserve">disconnected </w:t>
      </w:r>
      <w:r w:rsidR="00E659E5">
        <w:rPr>
          <w:rFonts w:eastAsia="Times New Roman" w:cstheme="minorHAnsi"/>
          <w:b/>
          <w:lang w:eastAsia="en-AU"/>
        </w:rPr>
        <w:t xml:space="preserve">and </w:t>
      </w:r>
      <w:r w:rsidR="003E2A81">
        <w:rPr>
          <w:rFonts w:eastAsia="Times New Roman" w:cstheme="minorHAnsi"/>
          <w:b/>
          <w:lang w:eastAsia="en-AU"/>
        </w:rPr>
        <w:t>this over the last decade has b</w:t>
      </w:r>
      <w:r w:rsidRPr="007C3967">
        <w:rPr>
          <w:rFonts w:eastAsia="Times New Roman" w:cstheme="minorHAnsi"/>
          <w:b/>
          <w:lang w:eastAsia="en-AU"/>
        </w:rPr>
        <w:t xml:space="preserve">een </w:t>
      </w:r>
      <w:r w:rsidR="003E2A81">
        <w:rPr>
          <w:rFonts w:eastAsia="Times New Roman" w:cstheme="minorHAnsi"/>
          <w:b/>
          <w:lang w:eastAsia="en-AU"/>
        </w:rPr>
        <w:t xml:space="preserve">a </w:t>
      </w:r>
      <w:r w:rsidR="0027679C">
        <w:rPr>
          <w:rFonts w:eastAsia="Times New Roman" w:cstheme="minorHAnsi"/>
          <w:b/>
          <w:lang w:eastAsia="en-AU"/>
        </w:rPr>
        <w:t>major</w:t>
      </w:r>
      <w:r w:rsidRPr="007C3967">
        <w:rPr>
          <w:rFonts w:eastAsia="Times New Roman" w:cstheme="minorHAnsi"/>
          <w:b/>
          <w:lang w:eastAsia="en-AU"/>
        </w:rPr>
        <w:t xml:space="preserve"> driver of VET’s </w:t>
      </w:r>
      <w:r w:rsidR="00406091">
        <w:rPr>
          <w:rFonts w:eastAsia="Times New Roman" w:cstheme="minorHAnsi"/>
          <w:b/>
          <w:lang w:eastAsia="en-AU"/>
        </w:rPr>
        <w:t xml:space="preserve">relative </w:t>
      </w:r>
      <w:r w:rsidRPr="007C3967">
        <w:rPr>
          <w:rFonts w:eastAsia="Times New Roman" w:cstheme="minorHAnsi"/>
          <w:b/>
          <w:lang w:eastAsia="en-AU"/>
        </w:rPr>
        <w:t>demise.</w:t>
      </w:r>
    </w:p>
    <w:p w:rsidR="005E1293" w:rsidRDefault="005E1293" w:rsidP="005E1293">
      <w:pPr>
        <w:spacing w:after="0" w:line="300" w:lineRule="exact"/>
        <w:rPr>
          <w:rFonts w:eastAsia="Times New Roman" w:cstheme="minorHAnsi"/>
          <w:lang w:eastAsia="en-AU"/>
        </w:rPr>
      </w:pPr>
      <w:r>
        <w:rPr>
          <w:rFonts w:eastAsia="Times New Roman" w:cstheme="minorHAnsi"/>
          <w:lang w:eastAsia="en-AU"/>
        </w:rPr>
        <w:t xml:space="preserve">Policy decisions and </w:t>
      </w:r>
      <w:r w:rsidR="00DF268D">
        <w:rPr>
          <w:rFonts w:eastAsia="Times New Roman" w:cstheme="minorHAnsi"/>
          <w:lang w:eastAsia="en-AU"/>
        </w:rPr>
        <w:t>public</w:t>
      </w:r>
      <w:r>
        <w:rPr>
          <w:rFonts w:eastAsia="Times New Roman" w:cstheme="minorHAnsi"/>
          <w:lang w:eastAsia="en-AU"/>
        </w:rPr>
        <w:t xml:space="preserve"> funding</w:t>
      </w:r>
      <w:r w:rsidR="00DF268D">
        <w:rPr>
          <w:rFonts w:eastAsia="Times New Roman" w:cstheme="minorHAnsi"/>
          <w:lang w:eastAsia="en-AU"/>
        </w:rPr>
        <w:t>/financing</w:t>
      </w:r>
      <w:r>
        <w:rPr>
          <w:rFonts w:eastAsia="Times New Roman" w:cstheme="minorHAnsi"/>
          <w:lang w:eastAsia="en-AU"/>
        </w:rPr>
        <w:t xml:space="preserve"> of VET and HE sectors have been long isolated</w:t>
      </w:r>
      <w:r w:rsidR="00E659E5">
        <w:rPr>
          <w:rFonts w:eastAsia="Times New Roman" w:cstheme="minorHAnsi"/>
          <w:lang w:eastAsia="en-AU"/>
        </w:rPr>
        <w:t xml:space="preserve">, indeed </w:t>
      </w:r>
      <w:r>
        <w:rPr>
          <w:rFonts w:eastAsia="Times New Roman" w:cstheme="minorHAnsi"/>
          <w:lang w:eastAsia="en-AU"/>
        </w:rPr>
        <w:t>in part competing.   The HE Bradley reforms that gave rise to the HE ‘demand driven’ system were never matched (nor likely to</w:t>
      </w:r>
      <w:r w:rsidR="00E41098">
        <w:rPr>
          <w:rFonts w:eastAsia="Times New Roman" w:cstheme="minorHAnsi"/>
          <w:lang w:eastAsia="en-AU"/>
        </w:rPr>
        <w:t xml:space="preserve"> be</w:t>
      </w:r>
      <w:r>
        <w:rPr>
          <w:rFonts w:eastAsia="Times New Roman" w:cstheme="minorHAnsi"/>
          <w:lang w:eastAsia="en-AU"/>
        </w:rPr>
        <w:t xml:space="preserve">) in </w:t>
      </w:r>
      <w:r w:rsidR="00E659E5">
        <w:rPr>
          <w:rFonts w:eastAsia="Times New Roman" w:cstheme="minorHAnsi"/>
          <w:lang w:eastAsia="en-AU"/>
        </w:rPr>
        <w:t>any</w:t>
      </w:r>
      <w:r w:rsidR="00E41098">
        <w:rPr>
          <w:rFonts w:eastAsia="Times New Roman" w:cstheme="minorHAnsi"/>
          <w:lang w:eastAsia="en-AU"/>
        </w:rPr>
        <w:t xml:space="preserve"> so called</w:t>
      </w:r>
      <w:r>
        <w:rPr>
          <w:rFonts w:eastAsia="Times New Roman" w:cstheme="minorHAnsi"/>
          <w:lang w:eastAsia="en-AU"/>
        </w:rPr>
        <w:t xml:space="preserve"> VET ‘entitlement system’ across the Federation. </w:t>
      </w:r>
      <w:r w:rsidR="00A5228A">
        <w:rPr>
          <w:rFonts w:eastAsia="Times New Roman" w:cstheme="minorHAnsi"/>
          <w:lang w:eastAsia="en-AU"/>
        </w:rPr>
        <w:t xml:space="preserve"> At least five reasons gave rise to ‘cost shifting’ onto the Commonwealth </w:t>
      </w:r>
      <w:r w:rsidR="004639CF">
        <w:rPr>
          <w:rFonts w:eastAsia="Times New Roman" w:cstheme="minorHAnsi"/>
          <w:lang w:eastAsia="en-AU"/>
        </w:rPr>
        <w:t xml:space="preserve">leading to </w:t>
      </w:r>
      <w:r w:rsidR="00A5228A">
        <w:rPr>
          <w:rFonts w:eastAsia="Times New Roman" w:cstheme="minorHAnsi"/>
          <w:lang w:eastAsia="en-AU"/>
        </w:rPr>
        <w:t xml:space="preserve">VET’s diminished resourcing and </w:t>
      </w:r>
      <w:r w:rsidR="00E659E5">
        <w:rPr>
          <w:rFonts w:eastAsia="Times New Roman" w:cstheme="minorHAnsi"/>
          <w:lang w:eastAsia="en-AU"/>
        </w:rPr>
        <w:t xml:space="preserve">lesser </w:t>
      </w:r>
      <w:r w:rsidR="00A5228A">
        <w:rPr>
          <w:rFonts w:eastAsia="Times New Roman" w:cstheme="minorHAnsi"/>
          <w:lang w:eastAsia="en-AU"/>
        </w:rPr>
        <w:t>prestige relative to HE</w:t>
      </w:r>
      <w:r w:rsidR="00DF268D">
        <w:rPr>
          <w:rFonts w:eastAsia="Times New Roman" w:cstheme="minorHAnsi"/>
          <w:lang w:eastAsia="en-AU"/>
        </w:rPr>
        <w:t xml:space="preserve">.  The </w:t>
      </w:r>
      <w:r w:rsidR="00E41098">
        <w:rPr>
          <w:rFonts w:eastAsia="Times New Roman" w:cstheme="minorHAnsi"/>
          <w:lang w:eastAsia="en-AU"/>
        </w:rPr>
        <w:t xml:space="preserve">policy </w:t>
      </w:r>
      <w:r w:rsidR="00F16B30">
        <w:rPr>
          <w:rFonts w:eastAsia="Times New Roman" w:cstheme="minorHAnsi"/>
          <w:lang w:eastAsia="en-AU"/>
        </w:rPr>
        <w:t xml:space="preserve">reasons </w:t>
      </w:r>
      <w:r w:rsidR="00DF268D">
        <w:rPr>
          <w:rFonts w:eastAsia="Times New Roman" w:cstheme="minorHAnsi"/>
          <w:lang w:eastAsia="en-AU"/>
        </w:rPr>
        <w:t>include:</w:t>
      </w:r>
      <w:r w:rsidR="00A5228A">
        <w:rPr>
          <w:rFonts w:eastAsia="Times New Roman" w:cstheme="minorHAnsi"/>
          <w:lang w:eastAsia="en-AU"/>
        </w:rPr>
        <w:t xml:space="preserve"> the terms of the NA</w:t>
      </w:r>
      <w:r w:rsidR="00E659E5">
        <w:rPr>
          <w:rFonts w:eastAsia="Times New Roman" w:cstheme="minorHAnsi"/>
          <w:lang w:eastAsia="en-AU"/>
        </w:rPr>
        <w:t xml:space="preserve"> (above)</w:t>
      </w:r>
      <w:r w:rsidR="00A5228A">
        <w:rPr>
          <w:rFonts w:eastAsia="Times New Roman" w:cstheme="minorHAnsi"/>
          <w:lang w:eastAsia="en-AU"/>
        </w:rPr>
        <w:t xml:space="preserve">; the growth in HE students under the ‘demand driven’ policy (now curbed); the </w:t>
      </w:r>
      <w:r w:rsidR="00E659E5">
        <w:rPr>
          <w:rFonts w:eastAsia="Times New Roman" w:cstheme="minorHAnsi"/>
          <w:lang w:eastAsia="en-AU"/>
        </w:rPr>
        <w:t xml:space="preserve">huge </w:t>
      </w:r>
      <w:r w:rsidR="00A5228A">
        <w:rPr>
          <w:rFonts w:eastAsia="Times New Roman" w:cstheme="minorHAnsi"/>
          <w:lang w:eastAsia="en-AU"/>
        </w:rPr>
        <w:t xml:space="preserve">flood and retreat of VET FEE HELP </w:t>
      </w:r>
      <w:r w:rsidR="004639CF">
        <w:rPr>
          <w:rFonts w:eastAsia="Times New Roman" w:cstheme="minorHAnsi"/>
          <w:lang w:eastAsia="en-AU"/>
        </w:rPr>
        <w:t xml:space="preserve">VET </w:t>
      </w:r>
      <w:r w:rsidR="00F16B30">
        <w:rPr>
          <w:rFonts w:eastAsia="Times New Roman" w:cstheme="minorHAnsi"/>
          <w:lang w:eastAsia="en-AU"/>
        </w:rPr>
        <w:t xml:space="preserve">diploma financing and its </w:t>
      </w:r>
      <w:r w:rsidR="00DF268D">
        <w:rPr>
          <w:rFonts w:eastAsia="Times New Roman" w:cstheme="minorHAnsi"/>
          <w:lang w:eastAsia="en-AU"/>
        </w:rPr>
        <w:t xml:space="preserve">sectoral </w:t>
      </w:r>
      <w:r w:rsidR="00F16B30">
        <w:rPr>
          <w:rFonts w:eastAsia="Times New Roman" w:cstheme="minorHAnsi"/>
          <w:lang w:eastAsia="en-AU"/>
        </w:rPr>
        <w:t>reputational damage</w:t>
      </w:r>
      <w:r w:rsidR="00A5228A">
        <w:rPr>
          <w:rFonts w:eastAsia="Times New Roman" w:cstheme="minorHAnsi"/>
          <w:lang w:eastAsia="en-AU"/>
        </w:rPr>
        <w:t>; and to lesser extent</w:t>
      </w:r>
      <w:r w:rsidR="00DF268D">
        <w:rPr>
          <w:rFonts w:eastAsia="Times New Roman" w:cstheme="minorHAnsi"/>
          <w:lang w:eastAsia="en-AU"/>
        </w:rPr>
        <w:t>,</w:t>
      </w:r>
      <w:r w:rsidR="00A5228A">
        <w:rPr>
          <w:rFonts w:eastAsia="Times New Roman" w:cstheme="minorHAnsi"/>
          <w:lang w:eastAsia="en-AU"/>
        </w:rPr>
        <w:t xml:space="preserve"> the terms and funding of the NP for Skills Reform and </w:t>
      </w:r>
      <w:r w:rsidR="00E659E5">
        <w:rPr>
          <w:rFonts w:eastAsia="Times New Roman" w:cstheme="minorHAnsi"/>
          <w:lang w:eastAsia="en-AU"/>
        </w:rPr>
        <w:t xml:space="preserve">lastly </w:t>
      </w:r>
      <w:r w:rsidR="00A5228A">
        <w:rPr>
          <w:rFonts w:eastAsia="Times New Roman" w:cstheme="minorHAnsi"/>
          <w:lang w:eastAsia="en-AU"/>
        </w:rPr>
        <w:t>the findings of the Total VET activity collection</w:t>
      </w:r>
      <w:r w:rsidR="00E659E5">
        <w:rPr>
          <w:rFonts w:eastAsia="Times New Roman" w:cstheme="minorHAnsi"/>
          <w:lang w:eastAsia="en-AU"/>
        </w:rPr>
        <w:t xml:space="preserve"> where S&amp;T </w:t>
      </w:r>
      <w:r w:rsidR="00DF268D">
        <w:rPr>
          <w:rFonts w:eastAsia="Times New Roman" w:cstheme="minorHAnsi"/>
          <w:lang w:eastAsia="en-AU"/>
        </w:rPr>
        <w:t xml:space="preserve">gained insight into </w:t>
      </w:r>
      <w:r w:rsidR="00A5228A">
        <w:rPr>
          <w:rFonts w:eastAsia="Times New Roman" w:cstheme="minorHAnsi"/>
          <w:lang w:eastAsia="en-AU"/>
        </w:rPr>
        <w:t>what they need not fund (</w:t>
      </w:r>
      <w:r w:rsidR="00F16B30">
        <w:rPr>
          <w:rFonts w:eastAsia="Times New Roman" w:cstheme="minorHAnsi"/>
          <w:lang w:eastAsia="en-AU"/>
        </w:rPr>
        <w:t xml:space="preserve">so </w:t>
      </w:r>
      <w:r w:rsidR="00A5228A">
        <w:rPr>
          <w:rFonts w:eastAsia="Times New Roman" w:cstheme="minorHAnsi"/>
          <w:lang w:eastAsia="en-AU"/>
        </w:rPr>
        <w:t>government VET subsidies diminished</w:t>
      </w:r>
      <w:r w:rsidR="00F16B30">
        <w:rPr>
          <w:rFonts w:eastAsia="Times New Roman" w:cstheme="minorHAnsi"/>
          <w:lang w:eastAsia="en-AU"/>
        </w:rPr>
        <w:t xml:space="preserve"> further</w:t>
      </w:r>
      <w:r w:rsidR="00A5228A">
        <w:rPr>
          <w:rFonts w:eastAsia="Times New Roman" w:cstheme="minorHAnsi"/>
          <w:lang w:eastAsia="en-AU"/>
        </w:rPr>
        <w:t>).</w:t>
      </w:r>
      <w:r w:rsidR="00F16B30">
        <w:rPr>
          <w:rFonts w:eastAsia="Times New Roman" w:cstheme="minorHAnsi"/>
          <w:lang w:eastAsia="en-AU"/>
        </w:rPr>
        <w:t xml:space="preserve">  </w:t>
      </w:r>
      <w:r w:rsidR="00DF268D">
        <w:rPr>
          <w:rFonts w:eastAsia="Times New Roman" w:cstheme="minorHAnsi"/>
          <w:lang w:eastAsia="en-AU"/>
        </w:rPr>
        <w:t xml:space="preserve">Another key </w:t>
      </w:r>
      <w:r w:rsidR="00F16B30">
        <w:rPr>
          <w:rFonts w:eastAsia="Times New Roman" w:cstheme="minorHAnsi"/>
          <w:lang w:eastAsia="en-AU"/>
        </w:rPr>
        <w:t xml:space="preserve">factor was removal of traineeship employment subsidies for existing workers, exposing employer </w:t>
      </w:r>
      <w:r w:rsidR="00E659E5">
        <w:rPr>
          <w:rFonts w:eastAsia="Times New Roman" w:cstheme="minorHAnsi"/>
          <w:lang w:eastAsia="en-AU"/>
        </w:rPr>
        <w:t xml:space="preserve">real </w:t>
      </w:r>
      <w:r w:rsidR="00F16B30">
        <w:rPr>
          <w:rFonts w:eastAsia="Times New Roman" w:cstheme="minorHAnsi"/>
          <w:lang w:eastAsia="en-AU"/>
        </w:rPr>
        <w:t xml:space="preserve">‘rent seeking’ </w:t>
      </w:r>
      <w:r w:rsidR="00DF268D">
        <w:rPr>
          <w:rFonts w:eastAsia="Times New Roman" w:cstheme="minorHAnsi"/>
          <w:lang w:eastAsia="en-AU"/>
        </w:rPr>
        <w:t xml:space="preserve">interests in wage subsidies, not </w:t>
      </w:r>
      <w:r w:rsidR="00E659E5">
        <w:rPr>
          <w:rFonts w:eastAsia="Times New Roman" w:cstheme="minorHAnsi"/>
          <w:lang w:eastAsia="en-AU"/>
        </w:rPr>
        <w:t xml:space="preserve">in </w:t>
      </w:r>
      <w:r w:rsidR="00DF268D">
        <w:rPr>
          <w:rFonts w:eastAsia="Times New Roman" w:cstheme="minorHAnsi"/>
          <w:lang w:eastAsia="en-AU"/>
        </w:rPr>
        <w:t>training.</w:t>
      </w:r>
      <w:r w:rsidR="00F16B30">
        <w:rPr>
          <w:rFonts w:eastAsia="Times New Roman" w:cstheme="minorHAnsi"/>
          <w:lang w:eastAsia="en-AU"/>
        </w:rPr>
        <w:t xml:space="preserve">  Trades based apprentices have fallen far less.</w:t>
      </w:r>
      <w:r w:rsidR="005554AD">
        <w:rPr>
          <w:rFonts w:eastAsia="Times New Roman" w:cstheme="minorHAnsi"/>
          <w:lang w:eastAsia="en-AU"/>
        </w:rPr>
        <w:t xml:space="preserve"> </w:t>
      </w:r>
      <w:r w:rsidR="005554AD" w:rsidRPr="00D97BB3">
        <w:rPr>
          <w:rFonts w:eastAsia="Times New Roman" w:cstheme="minorHAnsi"/>
          <w:lang w:eastAsia="en-AU"/>
        </w:rPr>
        <w:t xml:space="preserve">So for over a decade the </w:t>
      </w:r>
      <w:r w:rsidR="00DF268D">
        <w:rPr>
          <w:rFonts w:eastAsia="Times New Roman" w:cstheme="minorHAnsi"/>
          <w:lang w:eastAsia="en-AU"/>
        </w:rPr>
        <w:t xml:space="preserve">public funding/financing of the </w:t>
      </w:r>
      <w:r w:rsidR="005554AD" w:rsidRPr="00D97BB3">
        <w:rPr>
          <w:rFonts w:eastAsia="Times New Roman" w:cstheme="minorHAnsi"/>
          <w:lang w:eastAsia="en-AU"/>
        </w:rPr>
        <w:t>‘tertiary system’ has favoured HE over VET</w:t>
      </w:r>
      <w:r w:rsidR="00E41098">
        <w:rPr>
          <w:rFonts w:eastAsia="Times New Roman" w:cstheme="minorHAnsi"/>
          <w:lang w:eastAsia="en-AU"/>
        </w:rPr>
        <w:t xml:space="preserve"> with the two sectors </w:t>
      </w:r>
      <w:r w:rsidR="00E659E5">
        <w:rPr>
          <w:rFonts w:eastAsia="Times New Roman" w:cstheme="minorHAnsi"/>
          <w:lang w:eastAsia="en-AU"/>
        </w:rPr>
        <w:t xml:space="preserve">dealt with </w:t>
      </w:r>
      <w:r w:rsidR="00E41098">
        <w:rPr>
          <w:rFonts w:eastAsia="Times New Roman" w:cstheme="minorHAnsi"/>
          <w:lang w:eastAsia="en-AU"/>
        </w:rPr>
        <w:t xml:space="preserve">in isolation. The </w:t>
      </w:r>
      <w:r w:rsidR="00E659E5">
        <w:rPr>
          <w:rFonts w:eastAsia="Times New Roman" w:cstheme="minorHAnsi"/>
          <w:lang w:eastAsia="en-AU"/>
        </w:rPr>
        <w:t xml:space="preserve">PC’s </w:t>
      </w:r>
      <w:r w:rsidR="00E41098">
        <w:rPr>
          <w:rFonts w:eastAsia="Times New Roman" w:cstheme="minorHAnsi"/>
          <w:lang w:eastAsia="en-AU"/>
        </w:rPr>
        <w:t>ToR refer</w:t>
      </w:r>
      <w:r w:rsidR="00E659E5">
        <w:rPr>
          <w:rFonts w:eastAsia="Times New Roman" w:cstheme="minorHAnsi"/>
          <w:lang w:eastAsia="en-AU"/>
        </w:rPr>
        <w:t xml:space="preserve"> to </w:t>
      </w:r>
      <w:r w:rsidR="00E41098">
        <w:rPr>
          <w:rFonts w:eastAsia="Times New Roman" w:cstheme="minorHAnsi"/>
          <w:lang w:eastAsia="en-AU"/>
        </w:rPr>
        <w:t xml:space="preserve">‘pathway policies’; there are none formally and </w:t>
      </w:r>
      <w:r w:rsidR="00E659E5">
        <w:rPr>
          <w:rFonts w:eastAsia="Times New Roman" w:cstheme="minorHAnsi"/>
          <w:lang w:eastAsia="en-AU"/>
        </w:rPr>
        <w:t>eff</w:t>
      </w:r>
      <w:r w:rsidR="003E2A81">
        <w:rPr>
          <w:rFonts w:eastAsia="Times New Roman" w:cstheme="minorHAnsi"/>
          <w:lang w:eastAsia="en-AU"/>
        </w:rPr>
        <w:t>ectively made by governments.  St</w:t>
      </w:r>
      <w:r w:rsidR="00E41098">
        <w:rPr>
          <w:rFonts w:eastAsia="Times New Roman" w:cstheme="minorHAnsi"/>
          <w:lang w:eastAsia="en-AU"/>
        </w:rPr>
        <w:t xml:space="preserve">udent pathways are arranged </w:t>
      </w:r>
      <w:r w:rsidR="00E659E5">
        <w:rPr>
          <w:rFonts w:eastAsia="Times New Roman" w:cstheme="minorHAnsi"/>
          <w:lang w:eastAsia="en-AU"/>
        </w:rPr>
        <w:t xml:space="preserve">‘ground up’ </w:t>
      </w:r>
      <w:r w:rsidR="00E41098">
        <w:rPr>
          <w:rFonts w:eastAsia="Times New Roman" w:cstheme="minorHAnsi"/>
          <w:lang w:eastAsia="en-AU"/>
        </w:rPr>
        <w:t xml:space="preserve">between HE and VET institutions making the best of discordant funding/financing policies. </w:t>
      </w:r>
    </w:p>
    <w:p w:rsidR="00424967" w:rsidRDefault="00424967" w:rsidP="005E1293">
      <w:pPr>
        <w:spacing w:after="0" w:line="300" w:lineRule="exact"/>
        <w:rPr>
          <w:rFonts w:eastAsia="Times New Roman" w:cstheme="minorHAnsi"/>
          <w:lang w:eastAsia="en-AU"/>
        </w:rPr>
      </w:pPr>
    </w:p>
    <w:p w:rsidR="004A7280" w:rsidRPr="007C3967" w:rsidRDefault="00DA5AFE" w:rsidP="00483164">
      <w:pPr>
        <w:pStyle w:val="ListParagraph"/>
        <w:numPr>
          <w:ilvl w:val="0"/>
          <w:numId w:val="2"/>
        </w:numPr>
        <w:spacing w:after="0" w:line="300" w:lineRule="exact"/>
        <w:rPr>
          <w:rFonts w:eastAsia="Times New Roman" w:cstheme="minorHAnsi"/>
          <w:b/>
          <w:lang w:eastAsia="en-AU"/>
        </w:rPr>
      </w:pPr>
      <w:r w:rsidRPr="007C3967">
        <w:rPr>
          <w:rFonts w:eastAsia="Times New Roman" w:cstheme="minorHAnsi"/>
          <w:b/>
          <w:lang w:eastAsia="en-AU"/>
        </w:rPr>
        <w:t xml:space="preserve">The </w:t>
      </w:r>
      <w:r w:rsidR="00424967" w:rsidRPr="007C3967">
        <w:rPr>
          <w:rFonts w:eastAsia="Times New Roman" w:cstheme="minorHAnsi"/>
          <w:b/>
          <w:lang w:eastAsia="en-AU"/>
        </w:rPr>
        <w:t xml:space="preserve">VET related </w:t>
      </w:r>
      <w:r w:rsidRPr="007C3967">
        <w:rPr>
          <w:rFonts w:eastAsia="Times New Roman" w:cstheme="minorHAnsi"/>
          <w:b/>
          <w:lang w:eastAsia="en-AU"/>
        </w:rPr>
        <w:t>policies</w:t>
      </w:r>
      <w:r w:rsidR="00483164" w:rsidRPr="007C3967">
        <w:rPr>
          <w:rFonts w:eastAsia="Times New Roman" w:cstheme="minorHAnsi"/>
          <w:b/>
          <w:lang w:eastAsia="en-AU"/>
        </w:rPr>
        <w:t xml:space="preserve"> and funding/financing interventions of the Commonwealth, beyond </w:t>
      </w:r>
      <w:r w:rsidR="00424967" w:rsidRPr="007C3967">
        <w:rPr>
          <w:rFonts w:eastAsia="Times New Roman" w:cstheme="minorHAnsi"/>
          <w:b/>
          <w:lang w:eastAsia="en-AU"/>
        </w:rPr>
        <w:t>the NA</w:t>
      </w:r>
      <w:r w:rsidR="00483164" w:rsidRPr="007C3967">
        <w:rPr>
          <w:rFonts w:eastAsia="Times New Roman" w:cstheme="minorHAnsi"/>
          <w:b/>
          <w:lang w:eastAsia="en-AU"/>
        </w:rPr>
        <w:t xml:space="preserve">, have for most </w:t>
      </w:r>
      <w:r w:rsidR="00961C11">
        <w:rPr>
          <w:rFonts w:eastAsia="Times New Roman" w:cstheme="minorHAnsi"/>
          <w:b/>
          <w:lang w:eastAsia="en-AU"/>
        </w:rPr>
        <w:t xml:space="preserve">part </w:t>
      </w:r>
      <w:r w:rsidR="00483164" w:rsidRPr="007C3967">
        <w:rPr>
          <w:rFonts w:eastAsia="Times New Roman" w:cstheme="minorHAnsi"/>
          <w:b/>
          <w:lang w:eastAsia="en-AU"/>
        </w:rPr>
        <w:t>been flawed</w:t>
      </w:r>
      <w:r w:rsidR="00406091">
        <w:rPr>
          <w:rFonts w:eastAsia="Times New Roman" w:cstheme="minorHAnsi"/>
          <w:b/>
          <w:lang w:eastAsia="en-AU"/>
        </w:rPr>
        <w:t xml:space="preserve"> </w:t>
      </w:r>
      <w:r w:rsidR="00271FD9" w:rsidRPr="007C3967">
        <w:rPr>
          <w:rFonts w:eastAsia="Times New Roman" w:cstheme="minorHAnsi"/>
          <w:b/>
          <w:lang w:eastAsia="en-AU"/>
        </w:rPr>
        <w:t>and/or</w:t>
      </w:r>
      <w:r w:rsidR="00483164" w:rsidRPr="007C3967">
        <w:rPr>
          <w:rFonts w:eastAsia="Times New Roman" w:cstheme="minorHAnsi"/>
          <w:b/>
          <w:lang w:eastAsia="en-AU"/>
        </w:rPr>
        <w:t xml:space="preserve"> operationally short lived</w:t>
      </w:r>
    </w:p>
    <w:p w:rsidR="002363EF" w:rsidRDefault="00CC2362" w:rsidP="00483164">
      <w:pPr>
        <w:pStyle w:val="ListParagraph"/>
        <w:spacing w:after="0" w:line="300" w:lineRule="exact"/>
        <w:ind w:left="0"/>
        <w:rPr>
          <w:rFonts w:eastAsia="Times New Roman" w:cstheme="minorHAnsi"/>
          <w:lang w:eastAsia="en-AU"/>
        </w:rPr>
      </w:pPr>
      <w:r>
        <w:rPr>
          <w:rFonts w:eastAsia="Times New Roman" w:cstheme="minorHAnsi"/>
          <w:lang w:eastAsia="en-AU"/>
        </w:rPr>
        <w:t xml:space="preserve">The VET policy and funding interventions </w:t>
      </w:r>
      <w:r w:rsidR="00224A96">
        <w:rPr>
          <w:rFonts w:eastAsia="Times New Roman" w:cstheme="minorHAnsi"/>
          <w:lang w:eastAsia="en-AU"/>
        </w:rPr>
        <w:t xml:space="preserve">of successive Australian governments, as implemented by their bureaucracies, have for the most part been unhelpful and at worse major failures.  </w:t>
      </w:r>
      <w:r w:rsidR="00ED1E9B">
        <w:rPr>
          <w:rFonts w:eastAsia="Times New Roman" w:cstheme="minorHAnsi"/>
          <w:lang w:eastAsia="en-AU"/>
        </w:rPr>
        <w:t xml:space="preserve">The NP for Skills Reform included </w:t>
      </w:r>
      <w:r w:rsidR="00DF268D">
        <w:rPr>
          <w:rFonts w:eastAsia="Times New Roman" w:cstheme="minorHAnsi"/>
          <w:lang w:eastAsia="en-AU"/>
        </w:rPr>
        <w:t>expansion of</w:t>
      </w:r>
      <w:r w:rsidR="00ED1E9B">
        <w:rPr>
          <w:rFonts w:eastAsia="Times New Roman" w:cstheme="minorHAnsi"/>
          <w:lang w:eastAsia="en-AU"/>
        </w:rPr>
        <w:t xml:space="preserve"> VET FEE HELP for which the </w:t>
      </w:r>
      <w:r w:rsidR="00F84A03">
        <w:rPr>
          <w:rFonts w:eastAsia="Times New Roman" w:cstheme="minorHAnsi"/>
          <w:lang w:eastAsia="en-AU"/>
        </w:rPr>
        <w:t>Commonwealth’s</w:t>
      </w:r>
      <w:r w:rsidR="00ED1E9B">
        <w:rPr>
          <w:rFonts w:eastAsia="Times New Roman" w:cstheme="minorHAnsi"/>
          <w:lang w:eastAsia="en-AU"/>
        </w:rPr>
        <w:t xml:space="preserve"> bureaucracy was </w:t>
      </w:r>
      <w:r w:rsidR="00DF268D">
        <w:rPr>
          <w:rFonts w:eastAsia="Times New Roman" w:cstheme="minorHAnsi"/>
          <w:lang w:eastAsia="en-AU"/>
        </w:rPr>
        <w:t xml:space="preserve">operationally </w:t>
      </w:r>
      <w:r w:rsidR="00ED1E9B">
        <w:rPr>
          <w:rFonts w:eastAsia="Times New Roman" w:cstheme="minorHAnsi"/>
          <w:lang w:eastAsia="en-AU"/>
        </w:rPr>
        <w:t xml:space="preserve">responsible.  The flood and retreat of </w:t>
      </w:r>
      <w:r w:rsidR="00657A2F">
        <w:rPr>
          <w:rFonts w:eastAsia="Times New Roman" w:cstheme="minorHAnsi"/>
          <w:lang w:eastAsia="en-AU"/>
        </w:rPr>
        <w:t xml:space="preserve">VET </w:t>
      </w:r>
      <w:r w:rsidR="00ED1E9B">
        <w:rPr>
          <w:rFonts w:eastAsia="Times New Roman" w:cstheme="minorHAnsi"/>
          <w:lang w:eastAsia="en-AU"/>
        </w:rPr>
        <w:t xml:space="preserve">diploma financing, the poor </w:t>
      </w:r>
      <w:r w:rsidR="00B51799">
        <w:rPr>
          <w:rFonts w:eastAsia="Times New Roman" w:cstheme="minorHAnsi"/>
          <w:lang w:eastAsia="en-AU"/>
        </w:rPr>
        <w:t xml:space="preserve">training </w:t>
      </w:r>
      <w:r w:rsidR="00ED1E9B">
        <w:rPr>
          <w:rFonts w:eastAsia="Times New Roman" w:cstheme="minorHAnsi"/>
          <w:lang w:eastAsia="en-AU"/>
        </w:rPr>
        <w:t xml:space="preserve">quality and loss of more than $2 billion </w:t>
      </w:r>
      <w:r w:rsidR="00B51799">
        <w:rPr>
          <w:rFonts w:eastAsia="Times New Roman" w:cstheme="minorHAnsi"/>
          <w:lang w:eastAsia="en-AU"/>
        </w:rPr>
        <w:t xml:space="preserve">due to the practices of a small cohort of providers is a legacy that </w:t>
      </w:r>
      <w:r w:rsidR="005554AD">
        <w:rPr>
          <w:rFonts w:eastAsia="Times New Roman" w:cstheme="minorHAnsi"/>
          <w:lang w:eastAsia="en-AU"/>
        </w:rPr>
        <w:t xml:space="preserve">majorly </w:t>
      </w:r>
      <w:r w:rsidR="00B51799">
        <w:rPr>
          <w:rFonts w:eastAsia="Times New Roman" w:cstheme="minorHAnsi"/>
          <w:lang w:eastAsia="en-AU"/>
        </w:rPr>
        <w:t>damaged VET’s reputation</w:t>
      </w:r>
      <w:r w:rsidR="005554AD">
        <w:rPr>
          <w:rFonts w:eastAsia="Times New Roman" w:cstheme="minorHAnsi"/>
          <w:lang w:eastAsia="en-AU"/>
        </w:rPr>
        <w:t>.</w:t>
      </w:r>
      <w:r w:rsidR="00ED1E9B">
        <w:rPr>
          <w:rFonts w:eastAsia="Times New Roman" w:cstheme="minorHAnsi"/>
          <w:lang w:eastAsia="en-AU"/>
        </w:rPr>
        <w:t xml:space="preserve">  </w:t>
      </w:r>
      <w:r w:rsidR="00B51799">
        <w:rPr>
          <w:rFonts w:eastAsia="Times New Roman" w:cstheme="minorHAnsi"/>
          <w:lang w:eastAsia="en-AU"/>
        </w:rPr>
        <w:t xml:space="preserve">The replacement VET Student Loans </w:t>
      </w:r>
      <w:r w:rsidR="00657A2F">
        <w:rPr>
          <w:rFonts w:eastAsia="Times New Roman" w:cstheme="minorHAnsi"/>
          <w:lang w:eastAsia="en-AU"/>
        </w:rPr>
        <w:t xml:space="preserve">program </w:t>
      </w:r>
      <w:r w:rsidR="00B51799">
        <w:rPr>
          <w:rFonts w:eastAsia="Times New Roman" w:cstheme="minorHAnsi"/>
          <w:lang w:eastAsia="en-AU"/>
        </w:rPr>
        <w:t>is over</w:t>
      </w:r>
      <w:r w:rsidR="00DF268D">
        <w:rPr>
          <w:rFonts w:eastAsia="Times New Roman" w:cstheme="minorHAnsi"/>
          <w:lang w:eastAsia="en-AU"/>
        </w:rPr>
        <w:t>ly</w:t>
      </w:r>
      <w:r w:rsidR="00B51799">
        <w:rPr>
          <w:rFonts w:eastAsia="Times New Roman" w:cstheme="minorHAnsi"/>
          <w:lang w:eastAsia="en-AU"/>
        </w:rPr>
        <w:t xml:space="preserve"> constricted in </w:t>
      </w:r>
      <w:r w:rsidR="00E41098">
        <w:rPr>
          <w:rFonts w:eastAsia="Times New Roman" w:cstheme="minorHAnsi"/>
          <w:lang w:eastAsia="en-AU"/>
        </w:rPr>
        <w:t>‘</w:t>
      </w:r>
      <w:r w:rsidR="00657A2F">
        <w:rPr>
          <w:rFonts w:eastAsia="Times New Roman" w:cstheme="minorHAnsi"/>
          <w:lang w:eastAsia="en-AU"/>
        </w:rPr>
        <w:t>risk managed</w:t>
      </w:r>
      <w:r w:rsidR="00E41098">
        <w:rPr>
          <w:rFonts w:eastAsia="Times New Roman" w:cstheme="minorHAnsi"/>
          <w:lang w:eastAsia="en-AU"/>
        </w:rPr>
        <w:t>’</w:t>
      </w:r>
      <w:r w:rsidR="00657A2F">
        <w:rPr>
          <w:rFonts w:eastAsia="Times New Roman" w:cstheme="minorHAnsi"/>
          <w:lang w:eastAsia="en-AU"/>
        </w:rPr>
        <w:t xml:space="preserve"> </w:t>
      </w:r>
      <w:r w:rsidR="005554AD">
        <w:rPr>
          <w:rFonts w:eastAsia="Times New Roman" w:cstheme="minorHAnsi"/>
          <w:lang w:eastAsia="en-AU"/>
        </w:rPr>
        <w:t>reaction.</w:t>
      </w:r>
      <w:r w:rsidR="00B51799">
        <w:rPr>
          <w:rFonts w:eastAsia="Times New Roman" w:cstheme="minorHAnsi"/>
          <w:lang w:eastAsia="en-AU"/>
        </w:rPr>
        <w:t xml:space="preserve">  The poorly designed and over</w:t>
      </w:r>
      <w:r w:rsidR="006E5F00">
        <w:rPr>
          <w:rFonts w:eastAsia="Times New Roman" w:cstheme="minorHAnsi"/>
          <w:lang w:eastAsia="en-AU"/>
        </w:rPr>
        <w:t>ly ambitious Skilling Australian</w:t>
      </w:r>
      <w:r w:rsidR="00B51799">
        <w:rPr>
          <w:rFonts w:eastAsia="Times New Roman" w:cstheme="minorHAnsi"/>
          <w:lang w:eastAsia="en-AU"/>
        </w:rPr>
        <w:t xml:space="preserve">s </w:t>
      </w:r>
      <w:r w:rsidR="006E5F00">
        <w:rPr>
          <w:rFonts w:eastAsia="Times New Roman" w:cstheme="minorHAnsi"/>
          <w:lang w:eastAsia="en-AU"/>
        </w:rPr>
        <w:t xml:space="preserve">Fund (SAF) </w:t>
      </w:r>
      <w:r w:rsidR="00B51799">
        <w:rPr>
          <w:rFonts w:eastAsia="Times New Roman" w:cstheme="minorHAnsi"/>
          <w:lang w:eastAsia="en-AU"/>
        </w:rPr>
        <w:t xml:space="preserve">NP </w:t>
      </w:r>
      <w:r w:rsidR="00E41098">
        <w:rPr>
          <w:rFonts w:eastAsia="Times New Roman" w:cstheme="minorHAnsi"/>
          <w:lang w:eastAsia="en-AU"/>
        </w:rPr>
        <w:t xml:space="preserve">independently devised by the Commonwealth </w:t>
      </w:r>
      <w:r w:rsidR="00B51799">
        <w:rPr>
          <w:rFonts w:eastAsia="Times New Roman" w:cstheme="minorHAnsi"/>
          <w:lang w:eastAsia="en-AU"/>
        </w:rPr>
        <w:t>was to address the fall in national apprentices</w:t>
      </w:r>
      <w:r w:rsidR="00E41098">
        <w:rPr>
          <w:rFonts w:eastAsia="Times New Roman" w:cstheme="minorHAnsi"/>
          <w:lang w:eastAsia="en-AU"/>
        </w:rPr>
        <w:t>.  It</w:t>
      </w:r>
      <w:r w:rsidR="00B51799">
        <w:rPr>
          <w:rFonts w:eastAsia="Times New Roman" w:cstheme="minorHAnsi"/>
          <w:lang w:eastAsia="en-AU"/>
        </w:rPr>
        <w:t xml:space="preserve"> excessively promised up to 300,000 additional apprentices/trainees.  Two States declined</w:t>
      </w:r>
      <w:r w:rsidR="001574E4">
        <w:rPr>
          <w:rFonts w:eastAsia="Times New Roman" w:cstheme="minorHAnsi"/>
          <w:lang w:eastAsia="en-AU"/>
        </w:rPr>
        <w:t xml:space="preserve"> th</w:t>
      </w:r>
      <w:r w:rsidR="0086440A">
        <w:rPr>
          <w:rFonts w:eastAsia="Times New Roman" w:cstheme="minorHAnsi"/>
          <w:lang w:eastAsia="en-AU"/>
        </w:rPr>
        <w:t>is</w:t>
      </w:r>
      <w:r w:rsidR="001574E4">
        <w:rPr>
          <w:rFonts w:eastAsia="Times New Roman" w:cstheme="minorHAnsi"/>
          <w:lang w:eastAsia="en-AU"/>
        </w:rPr>
        <w:t xml:space="preserve"> </w:t>
      </w:r>
      <w:r w:rsidR="00657A2F">
        <w:rPr>
          <w:rFonts w:eastAsia="Times New Roman" w:cstheme="minorHAnsi"/>
          <w:lang w:eastAsia="en-AU"/>
        </w:rPr>
        <w:t xml:space="preserve">SAF </w:t>
      </w:r>
      <w:r w:rsidR="001574E4">
        <w:rPr>
          <w:rFonts w:eastAsia="Times New Roman" w:cstheme="minorHAnsi"/>
          <w:lang w:eastAsia="en-AU"/>
        </w:rPr>
        <w:t>NP</w:t>
      </w:r>
      <w:r w:rsidR="00B51799">
        <w:rPr>
          <w:rFonts w:eastAsia="Times New Roman" w:cstheme="minorHAnsi"/>
          <w:lang w:eastAsia="en-AU"/>
        </w:rPr>
        <w:t xml:space="preserve">, </w:t>
      </w:r>
      <w:r w:rsidR="00B51799">
        <w:rPr>
          <w:rFonts w:eastAsia="Times New Roman" w:cstheme="minorHAnsi"/>
          <w:lang w:eastAsia="en-AU"/>
        </w:rPr>
        <w:lastRenderedPageBreak/>
        <w:t>most took one year funding agreements and the NP</w:t>
      </w:r>
      <w:r w:rsidR="001574E4">
        <w:rPr>
          <w:rFonts w:eastAsia="Times New Roman" w:cstheme="minorHAnsi"/>
          <w:lang w:eastAsia="en-AU"/>
        </w:rPr>
        <w:t xml:space="preserve"> was effectively abandoned within two budgets of its announcement with its</w:t>
      </w:r>
      <w:r w:rsidR="00B51799">
        <w:rPr>
          <w:rFonts w:eastAsia="Times New Roman" w:cstheme="minorHAnsi"/>
          <w:lang w:eastAsia="en-AU"/>
        </w:rPr>
        <w:t xml:space="preserve"> resources re-purposed to fund the initial implementation of the Joyce Review</w:t>
      </w:r>
      <w:r w:rsidR="00657A2F">
        <w:rPr>
          <w:rFonts w:eastAsia="Times New Roman" w:cstheme="minorHAnsi"/>
          <w:lang w:eastAsia="en-AU"/>
        </w:rPr>
        <w:t xml:space="preserve"> recommendations</w:t>
      </w:r>
      <w:r w:rsidR="00B51799">
        <w:rPr>
          <w:rFonts w:eastAsia="Times New Roman" w:cstheme="minorHAnsi"/>
          <w:lang w:eastAsia="en-AU"/>
        </w:rPr>
        <w:t xml:space="preserve">.  This Review was driven by the intervention of the Prime Minister given political pressures and under performance of the VET sector. </w:t>
      </w:r>
      <w:r w:rsidR="00E97CF9">
        <w:rPr>
          <w:rFonts w:eastAsia="Times New Roman" w:cstheme="minorHAnsi"/>
          <w:lang w:eastAsia="en-AU"/>
        </w:rPr>
        <w:t xml:space="preserve"> </w:t>
      </w:r>
      <w:r w:rsidR="00961C11">
        <w:rPr>
          <w:rFonts w:eastAsia="Times New Roman" w:cstheme="minorHAnsi"/>
          <w:lang w:eastAsia="en-AU"/>
        </w:rPr>
        <w:t xml:space="preserve">All the while no minister or policy advisor, until the Joyce Review, gave attention to the </w:t>
      </w:r>
      <w:r w:rsidR="001574E4">
        <w:rPr>
          <w:rFonts w:eastAsia="Times New Roman" w:cstheme="minorHAnsi"/>
          <w:lang w:eastAsia="en-AU"/>
        </w:rPr>
        <w:t>under</w:t>
      </w:r>
      <w:r w:rsidR="00961C11">
        <w:rPr>
          <w:rFonts w:eastAsia="Times New Roman" w:cstheme="minorHAnsi"/>
          <w:lang w:eastAsia="en-AU"/>
        </w:rPr>
        <w:t xml:space="preserve">performance of </w:t>
      </w:r>
      <w:r w:rsidR="00657A2F">
        <w:rPr>
          <w:rFonts w:eastAsia="Times New Roman" w:cstheme="minorHAnsi"/>
          <w:lang w:eastAsia="en-AU"/>
        </w:rPr>
        <w:t xml:space="preserve">NASWD (and the </w:t>
      </w:r>
      <w:r w:rsidR="00961C11">
        <w:rPr>
          <w:rFonts w:eastAsia="Times New Roman" w:cstheme="minorHAnsi"/>
          <w:lang w:eastAsia="en-AU"/>
        </w:rPr>
        <w:t>NA</w:t>
      </w:r>
      <w:r w:rsidR="00657A2F">
        <w:rPr>
          <w:rFonts w:eastAsia="Times New Roman" w:cstheme="minorHAnsi"/>
          <w:lang w:eastAsia="en-AU"/>
        </w:rPr>
        <w:t>)</w:t>
      </w:r>
      <w:r w:rsidR="00961C11">
        <w:rPr>
          <w:rFonts w:eastAsia="Times New Roman" w:cstheme="minorHAnsi"/>
          <w:lang w:eastAsia="en-AU"/>
        </w:rPr>
        <w:t xml:space="preserve">, other than its mandatory </w:t>
      </w:r>
      <w:r w:rsidR="001574E4">
        <w:rPr>
          <w:rFonts w:eastAsia="Times New Roman" w:cstheme="minorHAnsi"/>
          <w:lang w:eastAsia="en-AU"/>
        </w:rPr>
        <w:t>re</w:t>
      </w:r>
      <w:r w:rsidR="00E97CF9">
        <w:rPr>
          <w:rFonts w:eastAsia="Times New Roman" w:cstheme="minorHAnsi"/>
          <w:lang w:eastAsia="en-AU"/>
        </w:rPr>
        <w:t>cord</w:t>
      </w:r>
      <w:r w:rsidR="001574E4">
        <w:rPr>
          <w:rFonts w:eastAsia="Times New Roman" w:cstheme="minorHAnsi"/>
          <w:lang w:eastAsia="en-AU"/>
        </w:rPr>
        <w:t xml:space="preserve"> in </w:t>
      </w:r>
      <w:r w:rsidR="00961C11">
        <w:rPr>
          <w:rFonts w:eastAsia="Times New Roman" w:cstheme="minorHAnsi"/>
          <w:lang w:eastAsia="en-AU"/>
        </w:rPr>
        <w:t>the Report on Government Services</w:t>
      </w:r>
      <w:r w:rsidR="0086440A">
        <w:rPr>
          <w:rFonts w:eastAsia="Times New Roman" w:cstheme="minorHAnsi"/>
          <w:lang w:eastAsia="en-AU"/>
        </w:rPr>
        <w:t xml:space="preserve"> which consistently revealed </w:t>
      </w:r>
      <w:r w:rsidR="00F84A03">
        <w:rPr>
          <w:rFonts w:eastAsia="Times New Roman" w:cstheme="minorHAnsi"/>
          <w:lang w:eastAsia="en-AU"/>
        </w:rPr>
        <w:t xml:space="preserve">its </w:t>
      </w:r>
      <w:r w:rsidR="0086440A">
        <w:rPr>
          <w:rFonts w:eastAsia="Times New Roman" w:cstheme="minorHAnsi"/>
          <w:lang w:eastAsia="en-AU"/>
        </w:rPr>
        <w:t xml:space="preserve">targets were not on track. </w:t>
      </w:r>
    </w:p>
    <w:p w:rsidR="00D97BB3" w:rsidRPr="00483164" w:rsidRDefault="00D97BB3" w:rsidP="00483164">
      <w:pPr>
        <w:pStyle w:val="ListParagraph"/>
        <w:spacing w:after="0" w:line="300" w:lineRule="exact"/>
        <w:ind w:left="0"/>
        <w:rPr>
          <w:rFonts w:eastAsia="Times New Roman" w:cstheme="minorHAnsi"/>
          <w:lang w:eastAsia="en-AU"/>
        </w:rPr>
      </w:pPr>
    </w:p>
    <w:p w:rsidR="004A7280" w:rsidRPr="005554AD" w:rsidRDefault="005554AD" w:rsidP="00271FD9">
      <w:pPr>
        <w:pStyle w:val="ListParagraph"/>
        <w:numPr>
          <w:ilvl w:val="0"/>
          <w:numId w:val="2"/>
        </w:numPr>
        <w:spacing w:after="0" w:line="300" w:lineRule="exact"/>
        <w:rPr>
          <w:rFonts w:eastAsia="Times New Roman" w:cstheme="minorHAnsi"/>
          <w:b/>
          <w:lang w:eastAsia="en-AU"/>
        </w:rPr>
      </w:pPr>
      <w:r>
        <w:rPr>
          <w:rFonts w:eastAsia="Times New Roman" w:cstheme="minorHAnsi"/>
          <w:b/>
          <w:lang w:eastAsia="en-AU"/>
        </w:rPr>
        <w:t>States and T</w:t>
      </w:r>
      <w:r w:rsidR="00271FD9" w:rsidRPr="005554AD">
        <w:rPr>
          <w:rFonts w:eastAsia="Times New Roman" w:cstheme="minorHAnsi"/>
          <w:b/>
          <w:lang w:eastAsia="en-AU"/>
        </w:rPr>
        <w:t>erritories</w:t>
      </w:r>
      <w:r>
        <w:rPr>
          <w:rFonts w:eastAsia="Times New Roman" w:cstheme="minorHAnsi"/>
          <w:b/>
          <w:lang w:eastAsia="en-AU"/>
        </w:rPr>
        <w:t xml:space="preserve"> VET outputs, controlled </w:t>
      </w:r>
      <w:r w:rsidR="00233FD0">
        <w:rPr>
          <w:rFonts w:eastAsia="Times New Roman" w:cstheme="minorHAnsi"/>
          <w:b/>
          <w:lang w:eastAsia="en-AU"/>
        </w:rPr>
        <w:t xml:space="preserve">closely </w:t>
      </w:r>
      <w:r>
        <w:rPr>
          <w:rFonts w:eastAsia="Times New Roman" w:cstheme="minorHAnsi"/>
          <w:b/>
          <w:lang w:eastAsia="en-AU"/>
        </w:rPr>
        <w:t>by their Treasuries, have fallen</w:t>
      </w:r>
      <w:r w:rsidR="00174C46" w:rsidRPr="005554AD">
        <w:rPr>
          <w:rFonts w:eastAsia="Times New Roman" w:cstheme="minorHAnsi"/>
          <w:b/>
          <w:lang w:eastAsia="en-AU"/>
        </w:rPr>
        <w:t xml:space="preserve"> </w:t>
      </w:r>
    </w:p>
    <w:p w:rsidR="00D97BB3" w:rsidRDefault="00D97BB3" w:rsidP="00D97BB3">
      <w:pPr>
        <w:pStyle w:val="ListParagraph"/>
        <w:spacing w:after="0" w:line="300" w:lineRule="exact"/>
        <w:ind w:left="0"/>
        <w:rPr>
          <w:rFonts w:eastAsia="Times New Roman" w:cstheme="minorHAnsi"/>
          <w:lang w:eastAsia="en-AU"/>
        </w:rPr>
      </w:pPr>
      <w:r w:rsidRPr="00D97BB3">
        <w:rPr>
          <w:rFonts w:eastAsia="Times New Roman" w:cstheme="minorHAnsi"/>
          <w:lang w:eastAsia="en-AU"/>
        </w:rPr>
        <w:t>The terms of the NASWD</w:t>
      </w:r>
      <w:r w:rsidR="005554AD">
        <w:rPr>
          <w:rFonts w:eastAsia="Times New Roman" w:cstheme="minorHAnsi"/>
          <w:lang w:eastAsia="en-AU"/>
        </w:rPr>
        <w:t>/NA</w:t>
      </w:r>
      <w:r w:rsidRPr="00D97BB3">
        <w:rPr>
          <w:rFonts w:eastAsia="Times New Roman" w:cstheme="minorHAnsi"/>
          <w:lang w:eastAsia="en-AU"/>
        </w:rPr>
        <w:t xml:space="preserve"> were such that S</w:t>
      </w:r>
      <w:r w:rsidR="001B6116">
        <w:rPr>
          <w:rFonts w:eastAsia="Times New Roman" w:cstheme="minorHAnsi"/>
          <w:lang w:eastAsia="en-AU"/>
        </w:rPr>
        <w:t>&amp;Ts</w:t>
      </w:r>
      <w:r w:rsidRPr="00D97BB3">
        <w:rPr>
          <w:rFonts w:eastAsia="Times New Roman" w:cstheme="minorHAnsi"/>
          <w:lang w:eastAsia="en-AU"/>
        </w:rPr>
        <w:t xml:space="preserve">, facing </w:t>
      </w:r>
      <w:r w:rsidR="00F77226">
        <w:rPr>
          <w:rFonts w:eastAsia="Times New Roman" w:cstheme="minorHAnsi"/>
          <w:lang w:eastAsia="en-AU"/>
        </w:rPr>
        <w:t xml:space="preserve">ever </w:t>
      </w:r>
      <w:r w:rsidRPr="00D97BB3">
        <w:rPr>
          <w:rFonts w:eastAsia="Times New Roman" w:cstheme="minorHAnsi"/>
          <w:lang w:eastAsia="en-AU"/>
        </w:rPr>
        <w:t>greater fiscal pressures eg. health</w:t>
      </w:r>
      <w:r w:rsidR="00022F4B">
        <w:rPr>
          <w:rFonts w:eastAsia="Times New Roman" w:cstheme="minorHAnsi"/>
          <w:lang w:eastAsia="en-AU"/>
        </w:rPr>
        <w:t>care</w:t>
      </w:r>
      <w:r w:rsidRPr="00D97BB3">
        <w:rPr>
          <w:rFonts w:eastAsia="Times New Roman" w:cstheme="minorHAnsi"/>
          <w:lang w:eastAsia="en-AU"/>
        </w:rPr>
        <w:t xml:space="preserve">, NDIS, schools, </w:t>
      </w:r>
      <w:r w:rsidR="001574E4">
        <w:rPr>
          <w:rFonts w:eastAsia="Times New Roman" w:cstheme="minorHAnsi"/>
          <w:lang w:eastAsia="en-AU"/>
        </w:rPr>
        <w:t xml:space="preserve">etc. </w:t>
      </w:r>
      <w:r w:rsidRPr="00D97BB3">
        <w:rPr>
          <w:rFonts w:eastAsia="Times New Roman" w:cstheme="minorHAnsi"/>
          <w:lang w:eastAsia="en-AU"/>
        </w:rPr>
        <w:t xml:space="preserve">meant they </w:t>
      </w:r>
      <w:r w:rsidR="005554AD">
        <w:rPr>
          <w:rFonts w:eastAsia="Times New Roman" w:cstheme="minorHAnsi"/>
          <w:lang w:eastAsia="en-AU"/>
        </w:rPr>
        <w:t xml:space="preserve">have </w:t>
      </w:r>
      <w:r w:rsidRPr="00D97BB3">
        <w:rPr>
          <w:rFonts w:eastAsia="Times New Roman" w:cstheme="minorHAnsi"/>
          <w:lang w:eastAsia="en-AU"/>
        </w:rPr>
        <w:t xml:space="preserve">de-prioritised  VET.  </w:t>
      </w:r>
      <w:r w:rsidR="00E97CF9">
        <w:rPr>
          <w:rFonts w:eastAsia="Times New Roman" w:cstheme="minorHAnsi"/>
          <w:lang w:eastAsia="en-AU"/>
        </w:rPr>
        <w:t>Treasuries</w:t>
      </w:r>
      <w:r w:rsidRPr="00D97BB3">
        <w:rPr>
          <w:rFonts w:eastAsia="Times New Roman" w:cstheme="minorHAnsi"/>
          <w:lang w:eastAsia="en-AU"/>
        </w:rPr>
        <w:t xml:space="preserve"> know </w:t>
      </w:r>
      <w:r w:rsidR="00F84A03">
        <w:rPr>
          <w:rFonts w:eastAsia="Times New Roman" w:cstheme="minorHAnsi"/>
          <w:lang w:eastAsia="en-AU"/>
        </w:rPr>
        <w:t xml:space="preserve">that </w:t>
      </w:r>
      <w:r w:rsidRPr="00D97BB3">
        <w:rPr>
          <w:rFonts w:eastAsia="Times New Roman" w:cstheme="minorHAnsi"/>
          <w:lang w:eastAsia="en-AU"/>
        </w:rPr>
        <w:t xml:space="preserve">universities are ‘colonising’ </w:t>
      </w:r>
      <w:r w:rsidR="00E97CF9">
        <w:rPr>
          <w:rFonts w:eastAsia="Times New Roman" w:cstheme="minorHAnsi"/>
          <w:lang w:eastAsia="en-AU"/>
        </w:rPr>
        <w:t xml:space="preserve">areas of </w:t>
      </w:r>
      <w:r w:rsidRPr="00D97BB3">
        <w:rPr>
          <w:rFonts w:eastAsia="Times New Roman" w:cstheme="minorHAnsi"/>
          <w:lang w:eastAsia="en-AU"/>
        </w:rPr>
        <w:t xml:space="preserve">higher level VET qualifications, they are frustrated by the apparent excessive costs of their State TAFE systems compared with private RTOs, and </w:t>
      </w:r>
      <w:r w:rsidR="00E97CF9">
        <w:rPr>
          <w:rFonts w:eastAsia="Times New Roman" w:cstheme="minorHAnsi"/>
          <w:lang w:eastAsia="en-AU"/>
        </w:rPr>
        <w:t>know well</w:t>
      </w:r>
      <w:r w:rsidR="005554AD">
        <w:rPr>
          <w:rFonts w:eastAsia="Times New Roman" w:cstheme="minorHAnsi"/>
          <w:lang w:eastAsia="en-AU"/>
        </w:rPr>
        <w:t xml:space="preserve"> that their </w:t>
      </w:r>
      <w:r w:rsidRPr="00D97BB3">
        <w:rPr>
          <w:rFonts w:eastAsia="Times New Roman" w:cstheme="minorHAnsi"/>
          <w:lang w:eastAsia="en-AU"/>
        </w:rPr>
        <w:t xml:space="preserve">local </w:t>
      </w:r>
      <w:r w:rsidR="00F84A03">
        <w:rPr>
          <w:rFonts w:eastAsia="Times New Roman" w:cstheme="minorHAnsi"/>
          <w:lang w:eastAsia="en-AU"/>
        </w:rPr>
        <w:t>economies</w:t>
      </w:r>
      <w:r w:rsidR="005554AD">
        <w:rPr>
          <w:rFonts w:eastAsia="Times New Roman" w:cstheme="minorHAnsi"/>
          <w:lang w:eastAsia="en-AU"/>
        </w:rPr>
        <w:t xml:space="preserve"> and </w:t>
      </w:r>
      <w:r w:rsidRPr="00D97BB3">
        <w:rPr>
          <w:rFonts w:eastAsia="Times New Roman" w:cstheme="minorHAnsi"/>
          <w:lang w:eastAsia="en-AU"/>
        </w:rPr>
        <w:t xml:space="preserve">jobs require skill/knowledge levels </w:t>
      </w:r>
      <w:r w:rsidR="005554AD">
        <w:rPr>
          <w:rFonts w:eastAsia="Times New Roman" w:cstheme="minorHAnsi"/>
          <w:lang w:eastAsia="en-AU"/>
        </w:rPr>
        <w:t xml:space="preserve">increasingly </w:t>
      </w:r>
      <w:r w:rsidR="0086440A">
        <w:rPr>
          <w:rFonts w:eastAsia="Times New Roman" w:cstheme="minorHAnsi"/>
          <w:lang w:eastAsia="en-AU"/>
        </w:rPr>
        <w:t>being</w:t>
      </w:r>
      <w:r w:rsidR="005554AD">
        <w:rPr>
          <w:rFonts w:eastAsia="Times New Roman" w:cstheme="minorHAnsi"/>
          <w:lang w:eastAsia="en-AU"/>
        </w:rPr>
        <w:t xml:space="preserve"> </w:t>
      </w:r>
      <w:r w:rsidRPr="00D97BB3">
        <w:rPr>
          <w:rFonts w:eastAsia="Times New Roman" w:cstheme="minorHAnsi"/>
          <w:lang w:eastAsia="en-AU"/>
        </w:rPr>
        <w:t xml:space="preserve">met by </w:t>
      </w:r>
      <w:r w:rsidR="00F84A03">
        <w:rPr>
          <w:rFonts w:eastAsia="Times New Roman" w:cstheme="minorHAnsi"/>
          <w:lang w:eastAsia="en-AU"/>
        </w:rPr>
        <w:t>the</w:t>
      </w:r>
      <w:r w:rsidRPr="00D97BB3">
        <w:rPr>
          <w:rFonts w:eastAsia="Times New Roman" w:cstheme="minorHAnsi"/>
          <w:lang w:eastAsia="en-AU"/>
        </w:rPr>
        <w:t xml:space="preserve"> Commonwealth financed HE system.  The national Education Minister now speaks and rewards universities for its ‘job ready’ graduates (akin to </w:t>
      </w:r>
      <w:r w:rsidR="0086440A">
        <w:rPr>
          <w:rFonts w:eastAsia="Times New Roman" w:cstheme="minorHAnsi"/>
          <w:lang w:eastAsia="en-AU"/>
        </w:rPr>
        <w:t xml:space="preserve">the purpose of </w:t>
      </w:r>
      <w:r w:rsidRPr="00D97BB3">
        <w:rPr>
          <w:rFonts w:eastAsia="Times New Roman" w:cstheme="minorHAnsi"/>
          <w:lang w:eastAsia="en-AU"/>
        </w:rPr>
        <w:t xml:space="preserve">VET). The UK has the same </w:t>
      </w:r>
      <w:r w:rsidR="0086440A">
        <w:rPr>
          <w:rFonts w:eastAsia="Times New Roman" w:cstheme="minorHAnsi"/>
          <w:lang w:eastAsia="en-AU"/>
        </w:rPr>
        <w:t xml:space="preserve">policy </w:t>
      </w:r>
      <w:r w:rsidRPr="00D97BB3">
        <w:rPr>
          <w:rFonts w:eastAsia="Times New Roman" w:cstheme="minorHAnsi"/>
          <w:lang w:eastAsia="en-AU"/>
        </w:rPr>
        <w:t>distortions and is addressing it</w:t>
      </w:r>
      <w:r w:rsidR="005554AD">
        <w:rPr>
          <w:rFonts w:eastAsia="Times New Roman" w:cstheme="minorHAnsi"/>
          <w:lang w:eastAsia="en-AU"/>
        </w:rPr>
        <w:t xml:space="preserve"> faster than Australia</w:t>
      </w:r>
      <w:r w:rsidRPr="00D97BB3">
        <w:rPr>
          <w:rFonts w:eastAsia="Times New Roman" w:cstheme="minorHAnsi"/>
          <w:lang w:eastAsia="en-AU"/>
        </w:rPr>
        <w:t>.</w:t>
      </w:r>
    </w:p>
    <w:p w:rsidR="0086440A" w:rsidRDefault="0086440A" w:rsidP="00D97BB3">
      <w:pPr>
        <w:pStyle w:val="ListParagraph"/>
        <w:spacing w:after="0" w:line="300" w:lineRule="exact"/>
        <w:ind w:left="0"/>
        <w:rPr>
          <w:rFonts w:eastAsia="Times New Roman" w:cstheme="minorHAnsi"/>
          <w:lang w:eastAsia="en-AU"/>
        </w:rPr>
      </w:pPr>
    </w:p>
    <w:p w:rsidR="005554AD" w:rsidRPr="00D97BB3" w:rsidRDefault="0086440A" w:rsidP="00D97BB3">
      <w:pPr>
        <w:pStyle w:val="ListParagraph"/>
        <w:spacing w:after="0" w:line="300" w:lineRule="exact"/>
        <w:ind w:left="0"/>
        <w:rPr>
          <w:rFonts w:eastAsia="Times New Roman" w:cstheme="minorHAnsi"/>
          <w:lang w:eastAsia="en-AU"/>
        </w:rPr>
      </w:pPr>
      <w:r>
        <w:rPr>
          <w:rFonts w:eastAsia="Times New Roman" w:cstheme="minorHAnsi"/>
          <w:lang w:eastAsia="en-AU"/>
        </w:rPr>
        <w:t>D</w:t>
      </w:r>
      <w:r w:rsidR="001574E4">
        <w:rPr>
          <w:rFonts w:eastAsia="Times New Roman" w:cstheme="minorHAnsi"/>
          <w:lang w:eastAsia="en-AU"/>
        </w:rPr>
        <w:t xml:space="preserve">ata shows Government-funded VET outputs have fallen significantly over the last </w:t>
      </w:r>
      <w:r w:rsidR="00657A2F">
        <w:rPr>
          <w:rFonts w:eastAsia="Times New Roman" w:cstheme="minorHAnsi"/>
          <w:lang w:eastAsia="en-AU"/>
        </w:rPr>
        <w:t>10</w:t>
      </w:r>
      <w:r w:rsidR="001574E4">
        <w:rPr>
          <w:rFonts w:eastAsia="Times New Roman" w:cstheme="minorHAnsi"/>
          <w:lang w:eastAsia="en-AU"/>
        </w:rPr>
        <w:t xml:space="preserve"> years of so.  [Note </w:t>
      </w:r>
      <w:r w:rsidR="00657A2F">
        <w:rPr>
          <w:rFonts w:eastAsia="Times New Roman" w:cstheme="minorHAnsi"/>
          <w:lang w:eastAsia="en-AU"/>
        </w:rPr>
        <w:t>‘</w:t>
      </w:r>
      <w:r w:rsidR="001574E4">
        <w:rPr>
          <w:rFonts w:eastAsia="Times New Roman" w:cstheme="minorHAnsi"/>
          <w:lang w:eastAsia="en-AU"/>
        </w:rPr>
        <w:t xml:space="preserve">Government funded’ VET is a misnomer – it is Government subsidised VET </w:t>
      </w:r>
      <w:r w:rsidR="00657A2F">
        <w:rPr>
          <w:rFonts w:eastAsia="Times New Roman" w:cstheme="minorHAnsi"/>
          <w:lang w:eastAsia="en-AU"/>
        </w:rPr>
        <w:t>as</w:t>
      </w:r>
      <w:r w:rsidR="001574E4">
        <w:rPr>
          <w:rFonts w:eastAsia="Times New Roman" w:cstheme="minorHAnsi"/>
          <w:lang w:eastAsia="en-AU"/>
        </w:rPr>
        <w:t xml:space="preserve"> </w:t>
      </w:r>
      <w:r w:rsidR="001574E4" w:rsidRPr="0086440A">
        <w:rPr>
          <w:rFonts w:eastAsia="Times New Roman" w:cstheme="minorHAnsi"/>
          <w:i/>
          <w:lang w:eastAsia="en-AU"/>
        </w:rPr>
        <w:t>any</w:t>
      </w:r>
      <w:r w:rsidR="001574E4">
        <w:rPr>
          <w:rFonts w:eastAsia="Times New Roman" w:cstheme="minorHAnsi"/>
          <w:lang w:eastAsia="en-AU"/>
        </w:rPr>
        <w:t xml:space="preserve"> level </w:t>
      </w:r>
      <w:r>
        <w:rPr>
          <w:rFonts w:eastAsia="Times New Roman" w:cstheme="minorHAnsi"/>
          <w:lang w:eastAsia="en-AU"/>
        </w:rPr>
        <w:t xml:space="preserve">of public subsidy is counted as </w:t>
      </w:r>
      <w:r w:rsidR="00657A2F">
        <w:rPr>
          <w:rFonts w:eastAsia="Times New Roman" w:cstheme="minorHAnsi"/>
          <w:lang w:eastAsia="en-AU"/>
        </w:rPr>
        <w:t>‘</w:t>
      </w:r>
      <w:r>
        <w:rPr>
          <w:rFonts w:eastAsia="Times New Roman" w:cstheme="minorHAnsi"/>
          <w:lang w:eastAsia="en-AU"/>
        </w:rPr>
        <w:t>Government funded</w:t>
      </w:r>
      <w:r w:rsidR="00657A2F">
        <w:rPr>
          <w:rFonts w:eastAsia="Times New Roman" w:cstheme="minorHAnsi"/>
          <w:lang w:eastAsia="en-AU"/>
        </w:rPr>
        <w:t>’</w:t>
      </w:r>
      <w:r>
        <w:rPr>
          <w:rFonts w:eastAsia="Times New Roman" w:cstheme="minorHAnsi"/>
          <w:lang w:eastAsia="en-AU"/>
        </w:rPr>
        <w:t xml:space="preserve"> VET </w:t>
      </w:r>
      <w:r w:rsidR="001574E4">
        <w:rPr>
          <w:rFonts w:eastAsia="Times New Roman" w:cstheme="minorHAnsi"/>
          <w:lang w:eastAsia="en-AU"/>
        </w:rPr>
        <w:t>(</w:t>
      </w:r>
      <w:r>
        <w:rPr>
          <w:rFonts w:eastAsia="Times New Roman" w:cstheme="minorHAnsi"/>
          <w:lang w:eastAsia="en-AU"/>
        </w:rPr>
        <w:t xml:space="preserve">regardless of </w:t>
      </w:r>
      <w:r w:rsidR="00F84A03">
        <w:rPr>
          <w:rFonts w:eastAsia="Times New Roman" w:cstheme="minorHAnsi"/>
          <w:lang w:eastAsia="en-AU"/>
        </w:rPr>
        <w:t>the proportion government vs</w:t>
      </w:r>
      <w:r w:rsidR="00657A2F">
        <w:rPr>
          <w:rFonts w:eastAsia="Times New Roman" w:cstheme="minorHAnsi"/>
          <w:lang w:eastAsia="en-AU"/>
        </w:rPr>
        <w:t xml:space="preserve"> </w:t>
      </w:r>
      <w:r w:rsidR="001574E4">
        <w:rPr>
          <w:rFonts w:eastAsia="Times New Roman" w:cstheme="minorHAnsi"/>
          <w:lang w:eastAsia="en-AU"/>
        </w:rPr>
        <w:t>private</w:t>
      </w:r>
      <w:r>
        <w:rPr>
          <w:rFonts w:eastAsia="Times New Roman" w:cstheme="minorHAnsi"/>
          <w:lang w:eastAsia="en-AU"/>
        </w:rPr>
        <w:t xml:space="preserve"> contribution). </w:t>
      </w:r>
      <w:r w:rsidR="001574E4">
        <w:rPr>
          <w:rFonts w:eastAsia="Times New Roman" w:cstheme="minorHAnsi"/>
          <w:lang w:eastAsia="en-AU"/>
        </w:rPr>
        <w:t xml:space="preserve"> This means the same funding spread across </w:t>
      </w:r>
      <w:r w:rsidR="00022F4B">
        <w:rPr>
          <w:rFonts w:eastAsia="Times New Roman" w:cstheme="minorHAnsi"/>
          <w:lang w:eastAsia="en-AU"/>
        </w:rPr>
        <w:t>a greater</w:t>
      </w:r>
      <w:r w:rsidR="001574E4">
        <w:rPr>
          <w:rFonts w:eastAsia="Times New Roman" w:cstheme="minorHAnsi"/>
          <w:lang w:eastAsia="en-AU"/>
        </w:rPr>
        <w:t xml:space="preserve"> </w:t>
      </w:r>
      <w:r w:rsidR="00022F4B">
        <w:rPr>
          <w:rFonts w:eastAsia="Times New Roman" w:cstheme="minorHAnsi"/>
          <w:lang w:eastAsia="en-AU"/>
        </w:rPr>
        <w:t xml:space="preserve">number of </w:t>
      </w:r>
      <w:r w:rsidR="001574E4">
        <w:rPr>
          <w:rFonts w:eastAsia="Times New Roman" w:cstheme="minorHAnsi"/>
          <w:lang w:eastAsia="en-AU"/>
        </w:rPr>
        <w:t xml:space="preserve">courses will </w:t>
      </w:r>
      <w:r w:rsidR="00022F4B">
        <w:rPr>
          <w:rFonts w:eastAsia="Times New Roman" w:cstheme="minorHAnsi"/>
          <w:lang w:eastAsia="en-AU"/>
        </w:rPr>
        <w:t>increase ‘government funded’ enrolments</w:t>
      </w:r>
      <w:r w:rsidR="00E97CF9">
        <w:rPr>
          <w:rFonts w:eastAsia="Times New Roman" w:cstheme="minorHAnsi"/>
          <w:lang w:eastAsia="en-AU"/>
        </w:rPr>
        <w:t xml:space="preserve">.  </w:t>
      </w:r>
      <w:r w:rsidR="00F84A03">
        <w:rPr>
          <w:rFonts w:eastAsia="Times New Roman" w:cstheme="minorHAnsi"/>
          <w:lang w:eastAsia="en-AU"/>
        </w:rPr>
        <w:t xml:space="preserve">In addition </w:t>
      </w:r>
      <w:r w:rsidR="00E97CF9">
        <w:rPr>
          <w:rFonts w:eastAsia="Times New Roman" w:cstheme="minorHAnsi"/>
          <w:lang w:eastAsia="en-AU"/>
        </w:rPr>
        <w:t xml:space="preserve">annual </w:t>
      </w:r>
      <w:r w:rsidR="00F84A03">
        <w:rPr>
          <w:rFonts w:eastAsia="Times New Roman" w:cstheme="minorHAnsi"/>
          <w:lang w:eastAsia="en-AU"/>
        </w:rPr>
        <w:t xml:space="preserve">reports by </w:t>
      </w:r>
      <w:r w:rsidR="00E97CF9">
        <w:rPr>
          <w:rFonts w:eastAsia="Times New Roman" w:cstheme="minorHAnsi"/>
          <w:lang w:eastAsia="en-AU"/>
        </w:rPr>
        <w:t xml:space="preserve">NCVER </w:t>
      </w:r>
      <w:r w:rsidR="00F84A03">
        <w:rPr>
          <w:rFonts w:eastAsia="Times New Roman" w:cstheme="minorHAnsi"/>
          <w:lang w:eastAsia="en-AU"/>
        </w:rPr>
        <w:t xml:space="preserve">of government </w:t>
      </w:r>
      <w:r w:rsidR="00E97CF9">
        <w:rPr>
          <w:rFonts w:eastAsia="Times New Roman" w:cstheme="minorHAnsi"/>
          <w:lang w:eastAsia="en-AU"/>
        </w:rPr>
        <w:t xml:space="preserve">financing/funding of VET is </w:t>
      </w:r>
      <w:r w:rsidR="00F84A03">
        <w:rPr>
          <w:rFonts w:eastAsia="Times New Roman" w:cstheme="minorHAnsi"/>
          <w:lang w:eastAsia="en-AU"/>
        </w:rPr>
        <w:t xml:space="preserve">stated </w:t>
      </w:r>
      <w:r w:rsidR="00E97CF9">
        <w:rPr>
          <w:rFonts w:eastAsia="Times New Roman" w:cstheme="minorHAnsi"/>
          <w:lang w:eastAsia="en-AU"/>
        </w:rPr>
        <w:t>in nominal terms, not real terms</w:t>
      </w:r>
      <w:r w:rsidR="001574E4">
        <w:rPr>
          <w:rFonts w:eastAsia="Times New Roman" w:cstheme="minorHAnsi"/>
          <w:lang w:eastAsia="en-AU"/>
        </w:rPr>
        <w:t>].</w:t>
      </w:r>
      <w:r w:rsidR="0079306F">
        <w:rPr>
          <w:rFonts w:eastAsia="Times New Roman" w:cstheme="minorHAnsi"/>
          <w:lang w:eastAsia="en-AU"/>
        </w:rPr>
        <w:t xml:space="preserve"> </w:t>
      </w:r>
      <w:r w:rsidR="00F77226">
        <w:rPr>
          <w:rFonts w:eastAsia="Times New Roman" w:cstheme="minorHAnsi"/>
          <w:lang w:eastAsia="en-AU"/>
        </w:rPr>
        <w:t>S&amp;T f</w:t>
      </w:r>
      <w:r w:rsidR="0079306F">
        <w:rPr>
          <w:rFonts w:eastAsia="Times New Roman" w:cstheme="minorHAnsi"/>
          <w:lang w:eastAsia="en-AU"/>
        </w:rPr>
        <w:t xml:space="preserve">unding </w:t>
      </w:r>
      <w:r w:rsidR="005653EF">
        <w:rPr>
          <w:rFonts w:eastAsia="Times New Roman" w:cstheme="minorHAnsi"/>
          <w:lang w:eastAsia="en-AU"/>
        </w:rPr>
        <w:t xml:space="preserve">has not </w:t>
      </w:r>
      <w:r w:rsidR="0079306F">
        <w:rPr>
          <w:rFonts w:eastAsia="Times New Roman" w:cstheme="minorHAnsi"/>
          <w:lang w:eastAsia="en-AU"/>
        </w:rPr>
        <w:t xml:space="preserve">increased for population growth and </w:t>
      </w:r>
      <w:r w:rsidR="00F84A03">
        <w:rPr>
          <w:rFonts w:eastAsia="Times New Roman" w:cstheme="minorHAnsi"/>
          <w:lang w:eastAsia="en-AU"/>
        </w:rPr>
        <w:t xml:space="preserve">not </w:t>
      </w:r>
      <w:r w:rsidR="0079306F">
        <w:rPr>
          <w:rFonts w:eastAsia="Times New Roman" w:cstheme="minorHAnsi"/>
          <w:lang w:eastAsia="en-AU"/>
        </w:rPr>
        <w:t xml:space="preserve">increased </w:t>
      </w:r>
      <w:r w:rsidR="00F84A03">
        <w:rPr>
          <w:rFonts w:eastAsia="Times New Roman" w:cstheme="minorHAnsi"/>
          <w:lang w:eastAsia="en-AU"/>
        </w:rPr>
        <w:t xml:space="preserve">with the growth of workers in the national </w:t>
      </w:r>
      <w:r w:rsidR="0079306F">
        <w:rPr>
          <w:rFonts w:eastAsia="Times New Roman" w:cstheme="minorHAnsi"/>
          <w:lang w:eastAsia="en-AU"/>
        </w:rPr>
        <w:t>labour market</w:t>
      </w:r>
      <w:r w:rsidR="005653EF">
        <w:rPr>
          <w:rFonts w:eastAsia="Times New Roman" w:cstheme="minorHAnsi"/>
          <w:lang w:eastAsia="en-AU"/>
        </w:rPr>
        <w:t>.</w:t>
      </w:r>
    </w:p>
    <w:p w:rsidR="0086440A" w:rsidRDefault="0086440A" w:rsidP="00271FD9">
      <w:pPr>
        <w:pStyle w:val="ListParagraph"/>
        <w:spacing w:after="0" w:line="300" w:lineRule="exact"/>
        <w:ind w:left="0"/>
        <w:rPr>
          <w:rFonts w:eastAsia="Times New Roman" w:cstheme="minorHAnsi"/>
          <w:lang w:eastAsia="en-AU"/>
        </w:rPr>
      </w:pPr>
    </w:p>
    <w:p w:rsidR="00271FD9" w:rsidRDefault="00022F4B" w:rsidP="00271FD9">
      <w:pPr>
        <w:pStyle w:val="ListParagraph"/>
        <w:spacing w:after="0" w:line="300" w:lineRule="exact"/>
        <w:ind w:left="0"/>
        <w:rPr>
          <w:rFonts w:eastAsia="Times New Roman" w:cstheme="minorHAnsi"/>
          <w:lang w:eastAsia="en-AU"/>
        </w:rPr>
      </w:pPr>
      <w:r>
        <w:rPr>
          <w:rFonts w:eastAsia="Times New Roman" w:cstheme="minorHAnsi"/>
          <w:lang w:eastAsia="en-AU"/>
        </w:rPr>
        <w:t>S</w:t>
      </w:r>
      <w:r w:rsidR="001B6116">
        <w:rPr>
          <w:rFonts w:eastAsia="Times New Roman" w:cstheme="minorHAnsi"/>
          <w:lang w:eastAsia="en-AU"/>
        </w:rPr>
        <w:t>&amp;T</w:t>
      </w:r>
      <w:r>
        <w:rPr>
          <w:rFonts w:eastAsia="Times New Roman" w:cstheme="minorHAnsi"/>
          <w:lang w:eastAsia="en-AU"/>
        </w:rPr>
        <w:t xml:space="preserve"> policy makers have also been insufficiently transparent in their policy rationale and funding mechanics </w:t>
      </w:r>
      <w:r w:rsidR="00E97CF9">
        <w:rPr>
          <w:rFonts w:eastAsia="Times New Roman" w:cstheme="minorHAnsi"/>
          <w:lang w:eastAsia="en-AU"/>
        </w:rPr>
        <w:t xml:space="preserve">(including choice </w:t>
      </w:r>
      <w:r w:rsidR="0079306F">
        <w:rPr>
          <w:rFonts w:eastAsia="Times New Roman" w:cstheme="minorHAnsi"/>
          <w:lang w:eastAsia="en-AU"/>
        </w:rPr>
        <w:t>of courses, subsidies and pricing</w:t>
      </w:r>
      <w:r w:rsidR="00E97CF9">
        <w:rPr>
          <w:rFonts w:eastAsia="Times New Roman" w:cstheme="minorHAnsi"/>
          <w:lang w:eastAsia="en-AU"/>
        </w:rPr>
        <w:t xml:space="preserve">) </w:t>
      </w:r>
      <w:r>
        <w:rPr>
          <w:rFonts w:eastAsia="Times New Roman" w:cstheme="minorHAnsi"/>
          <w:lang w:eastAsia="en-AU"/>
        </w:rPr>
        <w:t xml:space="preserve">in seeking to </w:t>
      </w:r>
      <w:r w:rsidR="00F84A03">
        <w:rPr>
          <w:rFonts w:eastAsia="Times New Roman" w:cstheme="minorHAnsi"/>
          <w:lang w:eastAsia="en-AU"/>
        </w:rPr>
        <w:t xml:space="preserve">invest their </w:t>
      </w:r>
      <w:r>
        <w:rPr>
          <w:rFonts w:eastAsia="Times New Roman" w:cstheme="minorHAnsi"/>
          <w:lang w:eastAsia="en-AU"/>
        </w:rPr>
        <w:t xml:space="preserve">diminished public funds </w:t>
      </w:r>
      <w:r w:rsidR="00004D07">
        <w:rPr>
          <w:rFonts w:eastAsia="Times New Roman" w:cstheme="minorHAnsi"/>
          <w:lang w:eastAsia="en-AU"/>
        </w:rPr>
        <w:t xml:space="preserve">in </w:t>
      </w:r>
      <w:r>
        <w:rPr>
          <w:rFonts w:eastAsia="Times New Roman" w:cstheme="minorHAnsi"/>
          <w:lang w:eastAsia="en-AU"/>
        </w:rPr>
        <w:t xml:space="preserve">training </w:t>
      </w:r>
      <w:r w:rsidR="00F84A03">
        <w:rPr>
          <w:rFonts w:eastAsia="Times New Roman" w:cstheme="minorHAnsi"/>
          <w:lang w:eastAsia="en-AU"/>
        </w:rPr>
        <w:t xml:space="preserve">that is best </w:t>
      </w:r>
      <w:r w:rsidR="0079306F">
        <w:rPr>
          <w:rFonts w:eastAsia="Times New Roman" w:cstheme="minorHAnsi"/>
          <w:lang w:eastAsia="en-AU"/>
        </w:rPr>
        <w:t>evidenced</w:t>
      </w:r>
      <w:r w:rsidR="00F84A03">
        <w:rPr>
          <w:rFonts w:eastAsia="Times New Roman" w:cstheme="minorHAnsi"/>
          <w:lang w:eastAsia="en-AU"/>
        </w:rPr>
        <w:t xml:space="preserve"> to be aligned with </w:t>
      </w:r>
      <w:r>
        <w:rPr>
          <w:rFonts w:eastAsia="Times New Roman" w:cstheme="minorHAnsi"/>
          <w:lang w:eastAsia="en-AU"/>
        </w:rPr>
        <w:t xml:space="preserve">current and future jobs.  This, together with policy </w:t>
      </w:r>
      <w:r w:rsidR="00F84A03">
        <w:rPr>
          <w:rFonts w:eastAsia="Times New Roman" w:cstheme="minorHAnsi"/>
          <w:lang w:eastAsia="en-AU"/>
        </w:rPr>
        <w:t>changes</w:t>
      </w:r>
      <w:r>
        <w:rPr>
          <w:rFonts w:eastAsia="Times New Roman" w:cstheme="minorHAnsi"/>
          <w:lang w:eastAsia="en-AU"/>
        </w:rPr>
        <w:t xml:space="preserve">, has led to provider and employer frustration and </w:t>
      </w:r>
      <w:r w:rsidR="0079306F">
        <w:rPr>
          <w:rFonts w:eastAsia="Times New Roman" w:cstheme="minorHAnsi"/>
          <w:lang w:eastAsia="en-AU"/>
        </w:rPr>
        <w:t xml:space="preserve">ever </w:t>
      </w:r>
      <w:r>
        <w:rPr>
          <w:rFonts w:eastAsia="Times New Roman" w:cstheme="minorHAnsi"/>
          <w:lang w:eastAsia="en-AU"/>
        </w:rPr>
        <w:t xml:space="preserve">increased costs on students, </w:t>
      </w:r>
      <w:r w:rsidRPr="00F84A03">
        <w:rPr>
          <w:rFonts w:eastAsia="Times New Roman" w:cstheme="minorHAnsi"/>
          <w:i/>
          <w:lang w:eastAsia="en-AU"/>
        </w:rPr>
        <w:t>who have no access to any loan system</w:t>
      </w:r>
      <w:r>
        <w:rPr>
          <w:rFonts w:eastAsia="Times New Roman" w:cstheme="minorHAnsi"/>
          <w:lang w:eastAsia="en-AU"/>
        </w:rPr>
        <w:t xml:space="preserve"> (other than VET Student Loans for specified diplomas).</w:t>
      </w:r>
      <w:r w:rsidR="00297916">
        <w:rPr>
          <w:rFonts w:eastAsia="Times New Roman" w:cstheme="minorHAnsi"/>
          <w:lang w:eastAsia="en-AU"/>
        </w:rPr>
        <w:t xml:space="preserve"> So if students can get a place at university, that’s where they go</w:t>
      </w:r>
      <w:r w:rsidR="0079306F">
        <w:rPr>
          <w:rFonts w:eastAsia="Times New Roman" w:cstheme="minorHAnsi"/>
          <w:lang w:eastAsia="en-AU"/>
        </w:rPr>
        <w:t xml:space="preserve"> and will continue to do so</w:t>
      </w:r>
      <w:r w:rsidR="00297916">
        <w:rPr>
          <w:rFonts w:eastAsia="Times New Roman" w:cstheme="minorHAnsi"/>
          <w:lang w:eastAsia="en-AU"/>
        </w:rPr>
        <w:t>.</w:t>
      </w:r>
    </w:p>
    <w:p w:rsidR="00D97BB3" w:rsidRDefault="00D97BB3" w:rsidP="00271FD9">
      <w:pPr>
        <w:pStyle w:val="ListParagraph"/>
        <w:spacing w:after="0" w:line="300" w:lineRule="exact"/>
        <w:ind w:left="0"/>
        <w:rPr>
          <w:rFonts w:eastAsia="Times New Roman" w:cstheme="minorHAnsi"/>
          <w:lang w:eastAsia="en-AU"/>
        </w:rPr>
      </w:pPr>
    </w:p>
    <w:p w:rsidR="00271FD9" w:rsidRPr="00EC73F2" w:rsidRDefault="00316788" w:rsidP="00316788">
      <w:pPr>
        <w:pStyle w:val="ListParagraph"/>
        <w:numPr>
          <w:ilvl w:val="0"/>
          <w:numId w:val="2"/>
        </w:numPr>
        <w:spacing w:after="0" w:line="300" w:lineRule="exact"/>
        <w:rPr>
          <w:rFonts w:eastAsia="Times New Roman" w:cstheme="minorHAnsi"/>
          <w:lang w:eastAsia="en-AU"/>
        </w:rPr>
      </w:pPr>
      <w:r>
        <w:rPr>
          <w:rFonts w:eastAsia="Times New Roman" w:cstheme="minorHAnsi"/>
          <w:b/>
          <w:lang w:eastAsia="en-AU"/>
        </w:rPr>
        <w:t>T</w:t>
      </w:r>
      <w:r w:rsidR="00271FD9" w:rsidRPr="00EC73F2">
        <w:rPr>
          <w:rFonts w:eastAsia="Times New Roman" w:cstheme="minorHAnsi"/>
          <w:b/>
          <w:lang w:eastAsia="en-AU"/>
        </w:rPr>
        <w:t>he VET sector has been for far too long been subject of multiparty ‘contest for control’</w:t>
      </w:r>
      <w:r w:rsidR="00EC73F2">
        <w:rPr>
          <w:rFonts w:eastAsia="Times New Roman" w:cstheme="minorHAnsi"/>
          <w:b/>
          <w:lang w:eastAsia="en-AU"/>
        </w:rPr>
        <w:t xml:space="preserve"> especially control of public funding as well as </w:t>
      </w:r>
      <w:r w:rsidR="00C621EC">
        <w:rPr>
          <w:rFonts w:eastAsia="Times New Roman" w:cstheme="minorHAnsi"/>
          <w:b/>
          <w:lang w:eastAsia="en-AU"/>
        </w:rPr>
        <w:t xml:space="preserve">creation and content of </w:t>
      </w:r>
      <w:r w:rsidR="00EC73F2">
        <w:rPr>
          <w:rFonts w:eastAsia="Times New Roman" w:cstheme="minorHAnsi"/>
          <w:b/>
          <w:lang w:eastAsia="en-AU"/>
        </w:rPr>
        <w:t xml:space="preserve">training products </w:t>
      </w:r>
    </w:p>
    <w:p w:rsidR="00004D07" w:rsidRDefault="00EC73F2" w:rsidP="004A7280">
      <w:pPr>
        <w:spacing w:after="0" w:line="300" w:lineRule="exact"/>
        <w:rPr>
          <w:rFonts w:eastAsia="Times New Roman" w:cstheme="minorHAnsi"/>
          <w:lang w:eastAsia="en-AU"/>
        </w:rPr>
      </w:pPr>
      <w:r>
        <w:rPr>
          <w:rFonts w:eastAsia="Times New Roman" w:cstheme="minorHAnsi"/>
          <w:lang w:eastAsia="en-AU"/>
        </w:rPr>
        <w:t xml:space="preserve">The VET sector constitutionally is meant to operate by ‘cooperative federalism’.  Firstly the </w:t>
      </w:r>
      <w:r w:rsidR="00F84A03">
        <w:rPr>
          <w:rFonts w:eastAsia="Times New Roman" w:cstheme="minorHAnsi"/>
          <w:lang w:eastAsia="en-AU"/>
        </w:rPr>
        <w:t xml:space="preserve">S&amp;T </w:t>
      </w:r>
      <w:r>
        <w:rPr>
          <w:rFonts w:eastAsia="Times New Roman" w:cstheme="minorHAnsi"/>
          <w:lang w:eastAsia="en-AU"/>
        </w:rPr>
        <w:t>are very differing in size, political clout, fiscal and funding capability, economi</w:t>
      </w:r>
      <w:r w:rsidR="00F84A03">
        <w:rPr>
          <w:rFonts w:eastAsia="Times New Roman" w:cstheme="minorHAnsi"/>
          <w:lang w:eastAsia="en-AU"/>
        </w:rPr>
        <w:t>es</w:t>
      </w:r>
      <w:r>
        <w:rPr>
          <w:rFonts w:eastAsia="Times New Roman" w:cstheme="minorHAnsi"/>
          <w:lang w:eastAsia="en-AU"/>
        </w:rPr>
        <w:t>, labour market</w:t>
      </w:r>
      <w:r w:rsidR="00170566">
        <w:rPr>
          <w:rFonts w:eastAsia="Times New Roman" w:cstheme="minorHAnsi"/>
          <w:lang w:eastAsia="en-AU"/>
        </w:rPr>
        <w:t>s</w:t>
      </w:r>
      <w:r>
        <w:rPr>
          <w:rFonts w:eastAsia="Times New Roman" w:cstheme="minorHAnsi"/>
          <w:lang w:eastAsia="en-AU"/>
        </w:rPr>
        <w:t xml:space="preserve"> and population growth.  </w:t>
      </w:r>
      <w:r w:rsidR="00D9749F">
        <w:rPr>
          <w:rFonts w:eastAsia="Times New Roman" w:cstheme="minorHAnsi"/>
          <w:lang w:eastAsia="en-AU"/>
        </w:rPr>
        <w:t>Indeed, the capacity of smaller S</w:t>
      </w:r>
      <w:r w:rsidR="00F84A03">
        <w:rPr>
          <w:rFonts w:eastAsia="Times New Roman" w:cstheme="minorHAnsi"/>
          <w:lang w:eastAsia="en-AU"/>
        </w:rPr>
        <w:t>&amp;Ts</w:t>
      </w:r>
      <w:r w:rsidR="00D9749F">
        <w:rPr>
          <w:rFonts w:eastAsia="Times New Roman" w:cstheme="minorHAnsi"/>
          <w:lang w:eastAsia="en-AU"/>
        </w:rPr>
        <w:t xml:space="preserve"> to proportionately fund </w:t>
      </w:r>
      <w:r w:rsidR="0079306F">
        <w:rPr>
          <w:rFonts w:eastAsia="Times New Roman" w:cstheme="minorHAnsi"/>
          <w:lang w:eastAsia="en-AU"/>
        </w:rPr>
        <w:t>and index</w:t>
      </w:r>
      <w:r w:rsidR="00D9749F">
        <w:rPr>
          <w:rFonts w:eastAsia="Times New Roman" w:cstheme="minorHAnsi"/>
          <w:lang w:eastAsia="en-AU"/>
        </w:rPr>
        <w:t xml:space="preserve"> their share of any new NA, over the long term</w:t>
      </w:r>
      <w:r w:rsidR="005653EF">
        <w:rPr>
          <w:rFonts w:eastAsia="Times New Roman" w:cstheme="minorHAnsi"/>
          <w:lang w:eastAsia="en-AU"/>
        </w:rPr>
        <w:t xml:space="preserve"> future</w:t>
      </w:r>
      <w:r w:rsidR="00D9749F">
        <w:rPr>
          <w:rFonts w:eastAsia="Times New Roman" w:cstheme="minorHAnsi"/>
          <w:lang w:eastAsia="en-AU"/>
        </w:rPr>
        <w:t xml:space="preserve">, has to be seriously </w:t>
      </w:r>
      <w:r w:rsidR="00D9749F" w:rsidRPr="00657A2F">
        <w:rPr>
          <w:rFonts w:eastAsia="Times New Roman" w:cstheme="minorHAnsi"/>
          <w:lang w:eastAsia="en-AU"/>
        </w:rPr>
        <w:t>doubted.</w:t>
      </w:r>
      <w:r w:rsidR="00D9749F">
        <w:rPr>
          <w:rFonts w:eastAsia="Times New Roman" w:cstheme="minorHAnsi"/>
          <w:lang w:eastAsia="en-AU"/>
        </w:rPr>
        <w:t xml:space="preserve">  </w:t>
      </w:r>
    </w:p>
    <w:p w:rsidR="00004D07" w:rsidRDefault="00004D07" w:rsidP="004A7280">
      <w:pPr>
        <w:spacing w:after="0" w:line="300" w:lineRule="exact"/>
        <w:rPr>
          <w:rFonts w:eastAsia="Times New Roman" w:cstheme="minorHAnsi"/>
          <w:lang w:eastAsia="en-AU"/>
        </w:rPr>
      </w:pPr>
    </w:p>
    <w:p w:rsidR="0024544C" w:rsidRDefault="00D9749F" w:rsidP="004A7280">
      <w:pPr>
        <w:spacing w:after="0" w:line="300" w:lineRule="exact"/>
        <w:rPr>
          <w:rFonts w:eastAsia="Times New Roman" w:cstheme="minorHAnsi"/>
          <w:lang w:eastAsia="en-AU"/>
        </w:rPr>
      </w:pPr>
      <w:r>
        <w:rPr>
          <w:rFonts w:eastAsia="Times New Roman" w:cstheme="minorHAnsi"/>
          <w:lang w:eastAsia="en-AU"/>
        </w:rPr>
        <w:t xml:space="preserve">Jurisdictional </w:t>
      </w:r>
      <w:r w:rsidR="00EC73F2">
        <w:rPr>
          <w:rFonts w:eastAsia="Times New Roman" w:cstheme="minorHAnsi"/>
          <w:lang w:eastAsia="en-AU"/>
        </w:rPr>
        <w:t xml:space="preserve">cooperation via COAG Ministerial </w:t>
      </w:r>
      <w:r w:rsidR="0079306F">
        <w:rPr>
          <w:rFonts w:eastAsia="Times New Roman" w:cstheme="minorHAnsi"/>
          <w:lang w:eastAsia="en-AU"/>
        </w:rPr>
        <w:t xml:space="preserve">‘skills’ </w:t>
      </w:r>
      <w:r w:rsidR="00EC73F2">
        <w:rPr>
          <w:rFonts w:eastAsia="Times New Roman" w:cstheme="minorHAnsi"/>
          <w:lang w:eastAsia="en-AU"/>
        </w:rPr>
        <w:t xml:space="preserve">Councils (of which there have been multiple </w:t>
      </w:r>
      <w:r w:rsidR="00170566">
        <w:rPr>
          <w:rFonts w:eastAsia="Times New Roman" w:cstheme="minorHAnsi"/>
          <w:lang w:eastAsia="en-AU"/>
        </w:rPr>
        <w:t>versions</w:t>
      </w:r>
      <w:r w:rsidR="00EC73F2">
        <w:rPr>
          <w:rFonts w:eastAsia="Times New Roman" w:cstheme="minorHAnsi"/>
          <w:lang w:eastAsia="en-AU"/>
        </w:rPr>
        <w:t xml:space="preserve"> in the last decade or so) has been modest to poor in </w:t>
      </w:r>
      <w:r>
        <w:rPr>
          <w:rFonts w:eastAsia="Times New Roman" w:cstheme="minorHAnsi"/>
          <w:lang w:eastAsia="en-AU"/>
        </w:rPr>
        <w:t xml:space="preserve">tackling and </w:t>
      </w:r>
      <w:r w:rsidR="00EC73F2">
        <w:rPr>
          <w:rFonts w:eastAsia="Times New Roman" w:cstheme="minorHAnsi"/>
          <w:lang w:eastAsia="en-AU"/>
        </w:rPr>
        <w:t>achieving meaningful national reforms</w:t>
      </w:r>
      <w:r>
        <w:rPr>
          <w:rFonts w:eastAsia="Times New Roman" w:cstheme="minorHAnsi"/>
          <w:lang w:eastAsia="en-AU"/>
        </w:rPr>
        <w:t xml:space="preserve">, hence the </w:t>
      </w:r>
      <w:r w:rsidR="0011281A">
        <w:rPr>
          <w:rFonts w:eastAsia="Times New Roman" w:cstheme="minorHAnsi"/>
          <w:lang w:eastAsia="en-AU"/>
        </w:rPr>
        <w:t xml:space="preserve">recent </w:t>
      </w:r>
      <w:r>
        <w:rPr>
          <w:rFonts w:eastAsia="Times New Roman" w:cstheme="minorHAnsi"/>
          <w:lang w:eastAsia="en-AU"/>
        </w:rPr>
        <w:t>Prime Minister’s intervention and the Joyce Review</w:t>
      </w:r>
      <w:r w:rsidR="00EC73F2">
        <w:rPr>
          <w:rFonts w:eastAsia="Times New Roman" w:cstheme="minorHAnsi"/>
          <w:lang w:eastAsia="en-AU"/>
        </w:rPr>
        <w:t xml:space="preserve">.  </w:t>
      </w:r>
      <w:r w:rsidR="00233FD0">
        <w:rPr>
          <w:rFonts w:eastAsia="Times New Roman" w:cstheme="minorHAnsi"/>
          <w:lang w:eastAsia="en-AU"/>
        </w:rPr>
        <w:t>Relations have</w:t>
      </w:r>
      <w:r w:rsidR="00EC73F2">
        <w:rPr>
          <w:rFonts w:eastAsia="Times New Roman" w:cstheme="minorHAnsi"/>
          <w:lang w:eastAsia="en-AU"/>
        </w:rPr>
        <w:t xml:space="preserve"> been more coercive federalism </w:t>
      </w:r>
      <w:r w:rsidR="0011281A">
        <w:rPr>
          <w:rFonts w:eastAsia="Times New Roman" w:cstheme="minorHAnsi"/>
          <w:lang w:eastAsia="en-AU"/>
        </w:rPr>
        <w:t>given</w:t>
      </w:r>
      <w:r w:rsidR="00BC0628">
        <w:rPr>
          <w:rFonts w:eastAsia="Times New Roman" w:cstheme="minorHAnsi"/>
          <w:lang w:eastAsia="en-AU"/>
        </w:rPr>
        <w:t xml:space="preserve"> the Commonwealth’s </w:t>
      </w:r>
      <w:r w:rsidR="0011281A">
        <w:rPr>
          <w:rFonts w:eastAsia="Times New Roman" w:cstheme="minorHAnsi"/>
          <w:lang w:eastAsia="en-AU"/>
        </w:rPr>
        <w:t xml:space="preserve">unilateral </w:t>
      </w:r>
      <w:r w:rsidR="00EC73F2">
        <w:rPr>
          <w:rFonts w:eastAsia="Times New Roman" w:cstheme="minorHAnsi"/>
          <w:lang w:eastAsia="en-AU"/>
        </w:rPr>
        <w:t>interventi</w:t>
      </w:r>
      <w:r>
        <w:rPr>
          <w:rFonts w:eastAsia="Times New Roman" w:cstheme="minorHAnsi"/>
          <w:lang w:eastAsia="en-AU"/>
        </w:rPr>
        <w:t>ons</w:t>
      </w:r>
      <w:r w:rsidR="00F94165">
        <w:rPr>
          <w:rFonts w:eastAsia="Times New Roman" w:cstheme="minorHAnsi"/>
          <w:lang w:eastAsia="en-AU"/>
        </w:rPr>
        <w:t xml:space="preserve"> eg</w:t>
      </w:r>
      <w:r w:rsidR="00657A2F">
        <w:rPr>
          <w:rFonts w:eastAsia="Times New Roman" w:cstheme="minorHAnsi"/>
          <w:lang w:eastAsia="en-AU"/>
        </w:rPr>
        <w:t xml:space="preserve"> SAF NP</w:t>
      </w:r>
      <w:r w:rsidR="00EC73F2">
        <w:rPr>
          <w:rFonts w:eastAsia="Times New Roman" w:cstheme="minorHAnsi"/>
          <w:lang w:eastAsia="en-AU"/>
        </w:rPr>
        <w:t xml:space="preserve"> </w:t>
      </w:r>
      <w:r w:rsidR="00170566">
        <w:rPr>
          <w:rFonts w:eastAsia="Times New Roman" w:cstheme="minorHAnsi"/>
          <w:lang w:eastAsia="en-AU"/>
        </w:rPr>
        <w:t xml:space="preserve">and </w:t>
      </w:r>
      <w:r w:rsidR="002E4A51">
        <w:rPr>
          <w:rFonts w:eastAsia="Times New Roman" w:cstheme="minorHAnsi"/>
          <w:lang w:eastAsia="en-AU"/>
        </w:rPr>
        <w:t xml:space="preserve">their </w:t>
      </w:r>
      <w:r w:rsidR="00EC73F2">
        <w:rPr>
          <w:rFonts w:eastAsia="Times New Roman" w:cstheme="minorHAnsi"/>
          <w:lang w:eastAsia="en-AU"/>
        </w:rPr>
        <w:t xml:space="preserve">assumed leadership and control of VET.  </w:t>
      </w:r>
      <w:r w:rsidR="00E97A0C">
        <w:rPr>
          <w:rFonts w:eastAsia="Times New Roman" w:cstheme="minorHAnsi"/>
          <w:lang w:eastAsia="en-AU"/>
        </w:rPr>
        <w:t>The S</w:t>
      </w:r>
      <w:r w:rsidR="0024544C">
        <w:rPr>
          <w:rFonts w:eastAsia="Times New Roman" w:cstheme="minorHAnsi"/>
          <w:lang w:eastAsia="en-AU"/>
        </w:rPr>
        <w:t xml:space="preserve">&amp;T </w:t>
      </w:r>
      <w:r>
        <w:rPr>
          <w:rFonts w:eastAsia="Times New Roman" w:cstheme="minorHAnsi"/>
          <w:lang w:eastAsia="en-AU"/>
        </w:rPr>
        <w:t xml:space="preserve">remain </w:t>
      </w:r>
      <w:r w:rsidR="00E97A0C">
        <w:rPr>
          <w:rFonts w:eastAsia="Times New Roman" w:cstheme="minorHAnsi"/>
          <w:lang w:eastAsia="en-AU"/>
        </w:rPr>
        <w:t xml:space="preserve">majority funders of direct training costs.  </w:t>
      </w:r>
    </w:p>
    <w:p w:rsidR="0024544C" w:rsidRDefault="0024544C" w:rsidP="004A7280">
      <w:pPr>
        <w:spacing w:after="0" w:line="300" w:lineRule="exact"/>
        <w:rPr>
          <w:rFonts w:eastAsia="Times New Roman" w:cstheme="minorHAnsi"/>
          <w:lang w:eastAsia="en-AU"/>
        </w:rPr>
      </w:pPr>
    </w:p>
    <w:p w:rsidR="00607A2A" w:rsidRDefault="00E97A0C" w:rsidP="004A7280">
      <w:pPr>
        <w:spacing w:after="0" w:line="300" w:lineRule="exact"/>
        <w:rPr>
          <w:rFonts w:eastAsia="Times New Roman" w:cstheme="minorHAnsi"/>
          <w:lang w:eastAsia="en-AU"/>
        </w:rPr>
      </w:pPr>
      <w:r>
        <w:rPr>
          <w:rFonts w:eastAsia="Times New Roman" w:cstheme="minorHAnsi"/>
          <w:lang w:eastAsia="en-AU"/>
        </w:rPr>
        <w:t xml:space="preserve">The </w:t>
      </w:r>
      <w:r w:rsidR="00D9749F">
        <w:rPr>
          <w:rFonts w:eastAsia="Times New Roman" w:cstheme="minorHAnsi"/>
          <w:lang w:eastAsia="en-AU"/>
        </w:rPr>
        <w:t xml:space="preserve">era of </w:t>
      </w:r>
      <w:r>
        <w:rPr>
          <w:rFonts w:eastAsia="Times New Roman" w:cstheme="minorHAnsi"/>
          <w:lang w:eastAsia="en-AU"/>
        </w:rPr>
        <w:t xml:space="preserve">‘user choice’ </w:t>
      </w:r>
      <w:r w:rsidR="00D9749F">
        <w:rPr>
          <w:rFonts w:eastAsia="Times New Roman" w:cstheme="minorHAnsi"/>
          <w:lang w:eastAsia="en-AU"/>
        </w:rPr>
        <w:t xml:space="preserve">in the 1990s </w:t>
      </w:r>
      <w:r>
        <w:rPr>
          <w:rFonts w:eastAsia="Times New Roman" w:cstheme="minorHAnsi"/>
          <w:lang w:eastAsia="en-AU"/>
        </w:rPr>
        <w:t xml:space="preserve">and the </w:t>
      </w:r>
      <w:r w:rsidR="00BC0628">
        <w:rPr>
          <w:rFonts w:eastAsia="Times New Roman" w:cstheme="minorHAnsi"/>
          <w:lang w:eastAsia="en-AU"/>
        </w:rPr>
        <w:t>subsequent</w:t>
      </w:r>
      <w:r w:rsidR="00D9749F">
        <w:rPr>
          <w:rFonts w:eastAsia="Times New Roman" w:cstheme="minorHAnsi"/>
          <w:lang w:eastAsia="en-AU"/>
        </w:rPr>
        <w:t xml:space="preserve"> </w:t>
      </w:r>
      <w:r>
        <w:rPr>
          <w:rFonts w:eastAsia="Times New Roman" w:cstheme="minorHAnsi"/>
          <w:lang w:eastAsia="en-AU"/>
        </w:rPr>
        <w:t>NP Skills Reform rightfully open</w:t>
      </w:r>
      <w:r w:rsidR="00004D07">
        <w:rPr>
          <w:rFonts w:eastAsia="Times New Roman" w:cstheme="minorHAnsi"/>
          <w:lang w:eastAsia="en-AU"/>
        </w:rPr>
        <w:t>ed</w:t>
      </w:r>
      <w:r>
        <w:rPr>
          <w:rFonts w:eastAsia="Times New Roman" w:cstheme="minorHAnsi"/>
          <w:lang w:eastAsia="en-AU"/>
        </w:rPr>
        <w:t xml:space="preserve"> the </w:t>
      </w:r>
      <w:r w:rsidR="00D9749F">
        <w:rPr>
          <w:rFonts w:eastAsia="Times New Roman" w:cstheme="minorHAnsi"/>
          <w:lang w:eastAsia="en-AU"/>
        </w:rPr>
        <w:t xml:space="preserve">VET </w:t>
      </w:r>
      <w:r>
        <w:rPr>
          <w:rFonts w:eastAsia="Times New Roman" w:cstheme="minorHAnsi"/>
          <w:lang w:eastAsia="en-AU"/>
        </w:rPr>
        <w:t>market to</w:t>
      </w:r>
      <w:r w:rsidR="00D9749F">
        <w:rPr>
          <w:rFonts w:eastAsia="Times New Roman" w:cstheme="minorHAnsi"/>
          <w:lang w:eastAsia="en-AU"/>
        </w:rPr>
        <w:t xml:space="preserve"> greater</w:t>
      </w:r>
      <w:r>
        <w:rPr>
          <w:rFonts w:eastAsia="Times New Roman" w:cstheme="minorHAnsi"/>
          <w:lang w:eastAsia="en-AU"/>
        </w:rPr>
        <w:t xml:space="preserve"> contestability for </w:t>
      </w:r>
      <w:r w:rsidR="00D9749F">
        <w:rPr>
          <w:rFonts w:eastAsia="Times New Roman" w:cstheme="minorHAnsi"/>
          <w:lang w:eastAsia="en-AU"/>
        </w:rPr>
        <w:t xml:space="preserve">training </w:t>
      </w:r>
      <w:r>
        <w:rPr>
          <w:rFonts w:eastAsia="Times New Roman" w:cstheme="minorHAnsi"/>
          <w:lang w:eastAsia="en-AU"/>
        </w:rPr>
        <w:t>services</w:t>
      </w:r>
      <w:r w:rsidR="00D9749F">
        <w:rPr>
          <w:rFonts w:eastAsia="Times New Roman" w:cstheme="minorHAnsi"/>
          <w:lang w:eastAsia="en-AU"/>
        </w:rPr>
        <w:t>.  It has created</w:t>
      </w:r>
      <w:r>
        <w:rPr>
          <w:rFonts w:eastAsia="Times New Roman" w:cstheme="minorHAnsi"/>
          <w:lang w:eastAsia="en-AU"/>
        </w:rPr>
        <w:t xml:space="preserve"> </w:t>
      </w:r>
      <w:r w:rsidR="00004D07">
        <w:rPr>
          <w:rFonts w:eastAsia="Times New Roman" w:cstheme="minorHAnsi"/>
          <w:lang w:eastAsia="en-AU"/>
        </w:rPr>
        <w:t xml:space="preserve">fewer </w:t>
      </w:r>
      <w:r>
        <w:rPr>
          <w:rFonts w:eastAsia="Times New Roman" w:cstheme="minorHAnsi"/>
          <w:lang w:eastAsia="en-AU"/>
        </w:rPr>
        <w:t>TAFEs (many</w:t>
      </w:r>
      <w:r w:rsidR="005653EF">
        <w:rPr>
          <w:rFonts w:eastAsia="Times New Roman" w:cstheme="minorHAnsi"/>
          <w:lang w:eastAsia="en-AU"/>
        </w:rPr>
        <w:t xml:space="preserve"> now</w:t>
      </w:r>
      <w:r>
        <w:rPr>
          <w:rFonts w:eastAsia="Times New Roman" w:cstheme="minorHAnsi"/>
          <w:lang w:eastAsia="en-AU"/>
        </w:rPr>
        <w:t xml:space="preserve"> merged to create </w:t>
      </w:r>
      <w:r w:rsidR="00D8418E">
        <w:rPr>
          <w:rFonts w:eastAsia="Times New Roman" w:cstheme="minorHAnsi"/>
          <w:lang w:eastAsia="en-AU"/>
        </w:rPr>
        <w:t>mega-size State</w:t>
      </w:r>
      <w:r>
        <w:rPr>
          <w:rFonts w:eastAsia="Times New Roman" w:cstheme="minorHAnsi"/>
          <w:lang w:eastAsia="en-AU"/>
        </w:rPr>
        <w:t xml:space="preserve"> institutions) and </w:t>
      </w:r>
      <w:r w:rsidR="0024544C">
        <w:rPr>
          <w:rFonts w:eastAsia="Times New Roman" w:cstheme="minorHAnsi"/>
          <w:lang w:eastAsia="en-AU"/>
        </w:rPr>
        <w:t xml:space="preserve">also gave </w:t>
      </w:r>
      <w:r w:rsidR="005653EF">
        <w:rPr>
          <w:rFonts w:eastAsia="Times New Roman" w:cstheme="minorHAnsi"/>
          <w:lang w:eastAsia="en-AU"/>
        </w:rPr>
        <w:t xml:space="preserve">rise to </w:t>
      </w:r>
      <w:r w:rsidR="00D9749F">
        <w:rPr>
          <w:rFonts w:eastAsia="Times New Roman" w:cstheme="minorHAnsi"/>
          <w:lang w:eastAsia="en-AU"/>
        </w:rPr>
        <w:t>many</w:t>
      </w:r>
      <w:r>
        <w:rPr>
          <w:rFonts w:eastAsia="Times New Roman" w:cstheme="minorHAnsi"/>
          <w:lang w:eastAsia="en-AU"/>
        </w:rPr>
        <w:t xml:space="preserve"> private </w:t>
      </w:r>
      <w:r w:rsidR="0024544C">
        <w:rPr>
          <w:rFonts w:eastAsia="Times New Roman" w:cstheme="minorHAnsi"/>
          <w:lang w:eastAsia="en-AU"/>
        </w:rPr>
        <w:t xml:space="preserve">and overly </w:t>
      </w:r>
      <w:r w:rsidR="00D8418E">
        <w:rPr>
          <w:rFonts w:eastAsia="Times New Roman" w:cstheme="minorHAnsi"/>
          <w:lang w:eastAsia="en-AU"/>
        </w:rPr>
        <w:t xml:space="preserve">small </w:t>
      </w:r>
      <w:r>
        <w:rPr>
          <w:rFonts w:eastAsia="Times New Roman" w:cstheme="minorHAnsi"/>
          <w:lang w:eastAsia="en-AU"/>
        </w:rPr>
        <w:t xml:space="preserve">RTOs </w:t>
      </w:r>
      <w:r w:rsidR="005653EF">
        <w:rPr>
          <w:rFonts w:eastAsia="Times New Roman" w:cstheme="minorHAnsi"/>
          <w:lang w:eastAsia="en-AU"/>
        </w:rPr>
        <w:t xml:space="preserve">(there are </w:t>
      </w:r>
      <w:r w:rsidR="005653EF">
        <w:rPr>
          <w:rFonts w:eastAsia="Times New Roman" w:cstheme="minorHAnsi"/>
          <w:lang w:eastAsia="en-AU"/>
        </w:rPr>
        <w:lastRenderedPageBreak/>
        <w:t>about 170 registered HE providers including universities but some 3,900 registered VET providers).</w:t>
      </w:r>
      <w:r w:rsidR="00BC0628">
        <w:rPr>
          <w:rFonts w:eastAsia="Times New Roman" w:cstheme="minorHAnsi"/>
          <w:lang w:eastAsia="en-AU"/>
        </w:rPr>
        <w:t xml:space="preserve"> This makes </w:t>
      </w:r>
      <w:r w:rsidR="00D8418E">
        <w:rPr>
          <w:rFonts w:eastAsia="Times New Roman" w:cstheme="minorHAnsi"/>
          <w:lang w:eastAsia="en-AU"/>
        </w:rPr>
        <w:t xml:space="preserve">consistent </w:t>
      </w:r>
      <w:r w:rsidR="00BC0628">
        <w:rPr>
          <w:rFonts w:eastAsia="Times New Roman" w:cstheme="minorHAnsi"/>
          <w:lang w:eastAsia="en-AU"/>
        </w:rPr>
        <w:t xml:space="preserve">VET </w:t>
      </w:r>
      <w:r w:rsidR="00D8418E">
        <w:rPr>
          <w:rFonts w:eastAsia="Times New Roman" w:cstheme="minorHAnsi"/>
          <w:lang w:eastAsia="en-AU"/>
        </w:rPr>
        <w:t xml:space="preserve">quality </w:t>
      </w:r>
      <w:r w:rsidR="00170566">
        <w:rPr>
          <w:rFonts w:eastAsia="Times New Roman" w:cstheme="minorHAnsi"/>
          <w:lang w:eastAsia="en-AU"/>
        </w:rPr>
        <w:t xml:space="preserve">and </w:t>
      </w:r>
      <w:r w:rsidR="00D8418E">
        <w:rPr>
          <w:rFonts w:eastAsia="Times New Roman" w:cstheme="minorHAnsi"/>
          <w:lang w:eastAsia="en-AU"/>
        </w:rPr>
        <w:t>regulation</w:t>
      </w:r>
      <w:r w:rsidR="002E4A51">
        <w:rPr>
          <w:rFonts w:eastAsia="Times New Roman" w:cstheme="minorHAnsi"/>
          <w:lang w:eastAsia="en-AU"/>
        </w:rPr>
        <w:t xml:space="preserve"> hard</w:t>
      </w:r>
      <w:r w:rsidR="00D8418E">
        <w:rPr>
          <w:rFonts w:eastAsia="Times New Roman" w:cstheme="minorHAnsi"/>
          <w:lang w:eastAsia="en-AU"/>
        </w:rPr>
        <w:t xml:space="preserve">.  </w:t>
      </w:r>
      <w:r w:rsidR="00BC0628">
        <w:rPr>
          <w:rFonts w:eastAsia="Times New Roman" w:cstheme="minorHAnsi"/>
          <w:lang w:eastAsia="en-AU"/>
        </w:rPr>
        <w:t xml:space="preserve">Providers </w:t>
      </w:r>
      <w:r w:rsidR="00D8418E">
        <w:rPr>
          <w:rFonts w:eastAsia="Times New Roman" w:cstheme="minorHAnsi"/>
          <w:lang w:eastAsia="en-AU"/>
        </w:rPr>
        <w:t xml:space="preserve">joust for </w:t>
      </w:r>
      <w:r>
        <w:rPr>
          <w:rFonts w:eastAsia="Times New Roman" w:cstheme="minorHAnsi"/>
          <w:lang w:eastAsia="en-AU"/>
        </w:rPr>
        <w:t>public funding and market share</w:t>
      </w:r>
      <w:r w:rsidR="0024544C">
        <w:rPr>
          <w:rFonts w:eastAsia="Times New Roman" w:cstheme="minorHAnsi"/>
          <w:lang w:eastAsia="en-AU"/>
        </w:rPr>
        <w:t xml:space="preserve">. </w:t>
      </w:r>
    </w:p>
    <w:p w:rsidR="0024544C" w:rsidRDefault="0024544C" w:rsidP="004A7280">
      <w:pPr>
        <w:spacing w:after="0" w:line="300" w:lineRule="exact"/>
        <w:rPr>
          <w:rFonts w:eastAsia="Times New Roman" w:cstheme="minorHAnsi"/>
          <w:lang w:eastAsia="en-AU"/>
        </w:rPr>
      </w:pPr>
    </w:p>
    <w:p w:rsidR="00607A2A" w:rsidRDefault="004308C0" w:rsidP="004A7280">
      <w:pPr>
        <w:spacing w:after="0" w:line="300" w:lineRule="exact"/>
        <w:rPr>
          <w:rFonts w:eastAsia="Times New Roman" w:cstheme="minorHAnsi"/>
          <w:lang w:eastAsia="en-AU"/>
        </w:rPr>
      </w:pPr>
      <w:r>
        <w:rPr>
          <w:rFonts w:eastAsia="Times New Roman" w:cstheme="minorHAnsi"/>
          <w:lang w:eastAsia="en-AU"/>
        </w:rPr>
        <w:t xml:space="preserve">There are also </w:t>
      </w:r>
      <w:r w:rsidR="00E97A0C">
        <w:rPr>
          <w:rFonts w:eastAsia="Times New Roman" w:cstheme="minorHAnsi"/>
          <w:lang w:eastAsia="en-AU"/>
        </w:rPr>
        <w:t xml:space="preserve">vested industry interests </w:t>
      </w:r>
      <w:r w:rsidR="00BC0628">
        <w:rPr>
          <w:rFonts w:eastAsia="Times New Roman" w:cstheme="minorHAnsi"/>
          <w:lang w:eastAsia="en-AU"/>
        </w:rPr>
        <w:t xml:space="preserve">(including control of training content) </w:t>
      </w:r>
      <w:r w:rsidR="00E97A0C">
        <w:rPr>
          <w:rFonts w:eastAsia="Times New Roman" w:cstheme="minorHAnsi"/>
          <w:lang w:eastAsia="en-AU"/>
        </w:rPr>
        <w:t xml:space="preserve">in </w:t>
      </w:r>
      <w:r w:rsidR="00D8418E">
        <w:rPr>
          <w:rFonts w:eastAsia="Times New Roman" w:cstheme="minorHAnsi"/>
          <w:lang w:eastAsia="en-AU"/>
        </w:rPr>
        <w:t xml:space="preserve">seeking </w:t>
      </w:r>
      <w:r>
        <w:rPr>
          <w:rFonts w:eastAsia="Times New Roman" w:cstheme="minorHAnsi"/>
          <w:lang w:eastAsia="en-AU"/>
        </w:rPr>
        <w:t xml:space="preserve">public </w:t>
      </w:r>
      <w:r w:rsidR="00E97A0C">
        <w:rPr>
          <w:rFonts w:eastAsia="Times New Roman" w:cstheme="minorHAnsi"/>
          <w:lang w:eastAsia="en-AU"/>
        </w:rPr>
        <w:t>tr</w:t>
      </w:r>
      <w:r>
        <w:rPr>
          <w:rFonts w:eastAsia="Times New Roman" w:cstheme="minorHAnsi"/>
          <w:lang w:eastAsia="en-AU"/>
        </w:rPr>
        <w:t xml:space="preserve">aining </w:t>
      </w:r>
      <w:r w:rsidR="00004D07">
        <w:rPr>
          <w:rFonts w:eastAsia="Times New Roman" w:cstheme="minorHAnsi"/>
          <w:lang w:eastAsia="en-AU"/>
        </w:rPr>
        <w:t>resources</w:t>
      </w:r>
      <w:r>
        <w:rPr>
          <w:rFonts w:eastAsia="Times New Roman" w:cstheme="minorHAnsi"/>
          <w:lang w:eastAsia="en-AU"/>
        </w:rPr>
        <w:t xml:space="preserve"> and wage subsidies, and </w:t>
      </w:r>
      <w:r w:rsidR="00D8418E">
        <w:rPr>
          <w:rFonts w:eastAsia="Times New Roman" w:cstheme="minorHAnsi"/>
          <w:lang w:eastAsia="en-AU"/>
        </w:rPr>
        <w:t xml:space="preserve">presently </w:t>
      </w:r>
      <w:r>
        <w:rPr>
          <w:rFonts w:eastAsia="Times New Roman" w:cstheme="minorHAnsi"/>
          <w:lang w:eastAsia="en-AU"/>
        </w:rPr>
        <w:t xml:space="preserve">no </w:t>
      </w:r>
      <w:r w:rsidR="00D8418E">
        <w:rPr>
          <w:rFonts w:eastAsia="Times New Roman" w:cstheme="minorHAnsi"/>
          <w:lang w:eastAsia="en-AU"/>
        </w:rPr>
        <w:t xml:space="preserve">reliable </w:t>
      </w:r>
      <w:r>
        <w:rPr>
          <w:rFonts w:eastAsia="Times New Roman" w:cstheme="minorHAnsi"/>
          <w:lang w:eastAsia="en-AU"/>
        </w:rPr>
        <w:t xml:space="preserve">way of measuring </w:t>
      </w:r>
      <w:r w:rsidR="00170566">
        <w:rPr>
          <w:rFonts w:eastAsia="Times New Roman" w:cstheme="minorHAnsi"/>
          <w:lang w:eastAsia="en-AU"/>
        </w:rPr>
        <w:t>industry/</w:t>
      </w:r>
      <w:r>
        <w:rPr>
          <w:rFonts w:eastAsia="Times New Roman" w:cstheme="minorHAnsi"/>
          <w:lang w:eastAsia="en-AU"/>
        </w:rPr>
        <w:t>employer’s own investment in VET</w:t>
      </w:r>
      <w:r w:rsidR="00E97A0C">
        <w:rPr>
          <w:rFonts w:eastAsia="Times New Roman" w:cstheme="minorHAnsi"/>
          <w:lang w:eastAsia="en-AU"/>
        </w:rPr>
        <w:t xml:space="preserve">.  The framing and content of qualifications is contested by </w:t>
      </w:r>
      <w:r w:rsidR="00D8418E">
        <w:rPr>
          <w:rFonts w:eastAsia="Times New Roman" w:cstheme="minorHAnsi"/>
          <w:lang w:eastAsia="en-AU"/>
        </w:rPr>
        <w:t xml:space="preserve">both </w:t>
      </w:r>
      <w:r w:rsidR="00E97A0C">
        <w:rPr>
          <w:rFonts w:eastAsia="Times New Roman" w:cstheme="minorHAnsi"/>
          <w:lang w:eastAsia="en-AU"/>
        </w:rPr>
        <w:t xml:space="preserve">industry bodies and RTOs with </w:t>
      </w:r>
      <w:r w:rsidR="005653EF">
        <w:rPr>
          <w:rFonts w:eastAsia="Times New Roman" w:cstheme="minorHAnsi"/>
          <w:lang w:eastAsia="en-AU"/>
        </w:rPr>
        <w:t xml:space="preserve">present </w:t>
      </w:r>
      <w:r w:rsidR="00E97A0C">
        <w:rPr>
          <w:rFonts w:eastAsia="Times New Roman" w:cstheme="minorHAnsi"/>
          <w:lang w:eastAsia="en-AU"/>
        </w:rPr>
        <w:t xml:space="preserve">slothful processes of </w:t>
      </w:r>
      <w:r>
        <w:rPr>
          <w:rFonts w:eastAsia="Times New Roman" w:cstheme="minorHAnsi"/>
          <w:lang w:eastAsia="en-AU"/>
        </w:rPr>
        <w:t xml:space="preserve">content </w:t>
      </w:r>
      <w:r w:rsidR="00E97A0C">
        <w:rPr>
          <w:rFonts w:eastAsia="Times New Roman" w:cstheme="minorHAnsi"/>
          <w:lang w:eastAsia="en-AU"/>
        </w:rPr>
        <w:t>renewal and rigid authorisation paths</w:t>
      </w:r>
      <w:r w:rsidR="00D8418E">
        <w:rPr>
          <w:rFonts w:eastAsia="Times New Roman" w:cstheme="minorHAnsi"/>
          <w:lang w:eastAsia="en-AU"/>
        </w:rPr>
        <w:t xml:space="preserve">.  This is all </w:t>
      </w:r>
      <w:r w:rsidR="00E97A0C">
        <w:rPr>
          <w:rFonts w:eastAsia="Times New Roman" w:cstheme="minorHAnsi"/>
          <w:lang w:eastAsia="en-AU"/>
        </w:rPr>
        <w:t>in stark contrast to course self-accredi</w:t>
      </w:r>
      <w:r w:rsidR="005653EF">
        <w:rPr>
          <w:rFonts w:eastAsia="Times New Roman" w:cstheme="minorHAnsi"/>
          <w:lang w:eastAsia="en-AU"/>
        </w:rPr>
        <w:t>tation by universities meeting as needed</w:t>
      </w:r>
      <w:r w:rsidR="00E97A0C">
        <w:rPr>
          <w:rFonts w:eastAsia="Times New Roman" w:cstheme="minorHAnsi"/>
          <w:lang w:eastAsia="en-AU"/>
        </w:rPr>
        <w:t xml:space="preserve"> industry accreditation</w:t>
      </w:r>
      <w:r w:rsidR="005653EF">
        <w:rPr>
          <w:rFonts w:eastAsia="Times New Roman" w:cstheme="minorHAnsi"/>
          <w:lang w:eastAsia="en-AU"/>
        </w:rPr>
        <w:t>.</w:t>
      </w:r>
      <w:r w:rsidR="00E97A0C">
        <w:rPr>
          <w:rFonts w:eastAsia="Times New Roman" w:cstheme="minorHAnsi"/>
          <w:lang w:eastAsia="en-AU"/>
        </w:rPr>
        <w:t xml:space="preserve"> </w:t>
      </w:r>
    </w:p>
    <w:p w:rsidR="00607A2A" w:rsidRDefault="00607A2A" w:rsidP="004A7280">
      <w:pPr>
        <w:spacing w:after="0" w:line="300" w:lineRule="exact"/>
        <w:rPr>
          <w:rFonts w:eastAsia="Times New Roman" w:cstheme="minorHAnsi"/>
          <w:lang w:eastAsia="en-AU"/>
        </w:rPr>
      </w:pPr>
    </w:p>
    <w:p w:rsidR="0024544C" w:rsidRDefault="00E97A0C" w:rsidP="004A7280">
      <w:pPr>
        <w:spacing w:after="0" w:line="300" w:lineRule="exact"/>
        <w:rPr>
          <w:rFonts w:eastAsia="Times New Roman" w:cstheme="minorHAnsi"/>
          <w:lang w:eastAsia="en-AU"/>
        </w:rPr>
      </w:pPr>
      <w:r>
        <w:rPr>
          <w:rFonts w:eastAsia="Times New Roman" w:cstheme="minorHAnsi"/>
          <w:lang w:eastAsia="en-AU"/>
        </w:rPr>
        <w:t>The</w:t>
      </w:r>
      <w:r w:rsidR="00D8418E">
        <w:rPr>
          <w:rFonts w:eastAsia="Times New Roman" w:cstheme="minorHAnsi"/>
          <w:lang w:eastAsia="en-AU"/>
        </w:rPr>
        <w:t>re is</w:t>
      </w:r>
      <w:r>
        <w:rPr>
          <w:rFonts w:eastAsia="Times New Roman" w:cstheme="minorHAnsi"/>
          <w:lang w:eastAsia="en-AU"/>
        </w:rPr>
        <w:t xml:space="preserve"> incessant tug-o-war </w:t>
      </w:r>
      <w:r w:rsidR="00170566">
        <w:rPr>
          <w:rFonts w:eastAsia="Times New Roman" w:cstheme="minorHAnsi"/>
          <w:lang w:eastAsia="en-AU"/>
        </w:rPr>
        <w:t xml:space="preserve">debate </w:t>
      </w:r>
      <w:r>
        <w:rPr>
          <w:rFonts w:eastAsia="Times New Roman" w:cstheme="minorHAnsi"/>
          <w:lang w:eastAsia="en-AU"/>
        </w:rPr>
        <w:t xml:space="preserve">between training directly aligned to jobs (mostly true </w:t>
      </w:r>
      <w:r w:rsidR="00D8418E">
        <w:rPr>
          <w:rFonts w:eastAsia="Times New Roman" w:cstheme="minorHAnsi"/>
          <w:lang w:eastAsia="en-AU"/>
        </w:rPr>
        <w:t>of</w:t>
      </w:r>
      <w:r>
        <w:rPr>
          <w:rFonts w:eastAsia="Times New Roman" w:cstheme="minorHAnsi"/>
          <w:lang w:eastAsia="en-AU"/>
        </w:rPr>
        <w:t xml:space="preserve"> licensed trades) vs. </w:t>
      </w:r>
      <w:r w:rsidR="002E4A51">
        <w:rPr>
          <w:rFonts w:eastAsia="Times New Roman" w:cstheme="minorHAnsi"/>
          <w:lang w:eastAsia="en-AU"/>
        </w:rPr>
        <w:t xml:space="preserve">training </w:t>
      </w:r>
      <w:r w:rsidR="005653EF">
        <w:rPr>
          <w:rFonts w:eastAsia="Times New Roman" w:cstheme="minorHAnsi"/>
          <w:lang w:eastAsia="en-AU"/>
        </w:rPr>
        <w:t>that gives</w:t>
      </w:r>
      <w:r w:rsidR="002E4A51">
        <w:rPr>
          <w:rFonts w:eastAsia="Times New Roman" w:cstheme="minorHAnsi"/>
          <w:lang w:eastAsia="en-AU"/>
        </w:rPr>
        <w:t xml:space="preserve"> </w:t>
      </w:r>
      <w:r w:rsidR="00D8418E">
        <w:rPr>
          <w:rFonts w:eastAsia="Times New Roman" w:cstheme="minorHAnsi"/>
          <w:lang w:eastAsia="en-AU"/>
        </w:rPr>
        <w:t xml:space="preserve">transferable skills, increasingly </w:t>
      </w:r>
      <w:r w:rsidR="004308C0">
        <w:rPr>
          <w:rFonts w:eastAsia="Times New Roman" w:cstheme="minorHAnsi"/>
          <w:lang w:eastAsia="en-AU"/>
        </w:rPr>
        <w:t>digital skills</w:t>
      </w:r>
      <w:r w:rsidR="00D8418E">
        <w:rPr>
          <w:rFonts w:eastAsia="Times New Roman" w:cstheme="minorHAnsi"/>
          <w:lang w:eastAsia="en-AU"/>
        </w:rPr>
        <w:t xml:space="preserve">, </w:t>
      </w:r>
      <w:r w:rsidR="005653EF">
        <w:rPr>
          <w:rFonts w:eastAsia="Times New Roman" w:cstheme="minorHAnsi"/>
          <w:lang w:eastAsia="en-AU"/>
        </w:rPr>
        <w:t xml:space="preserve">and </w:t>
      </w:r>
      <w:r w:rsidR="0024544C">
        <w:rPr>
          <w:rFonts w:eastAsia="Times New Roman" w:cstheme="minorHAnsi"/>
          <w:lang w:eastAsia="en-AU"/>
        </w:rPr>
        <w:t xml:space="preserve">skills supporting </w:t>
      </w:r>
      <w:r w:rsidR="005653EF">
        <w:rPr>
          <w:rFonts w:eastAsia="Times New Roman" w:cstheme="minorHAnsi"/>
          <w:lang w:eastAsia="en-AU"/>
        </w:rPr>
        <w:t xml:space="preserve">generic enterprise capability.  This </w:t>
      </w:r>
      <w:r w:rsidR="00170566">
        <w:rPr>
          <w:rFonts w:eastAsia="Times New Roman" w:cstheme="minorHAnsi"/>
          <w:lang w:eastAsia="en-AU"/>
        </w:rPr>
        <w:t xml:space="preserve">debate </w:t>
      </w:r>
      <w:r w:rsidR="005653EF">
        <w:rPr>
          <w:rFonts w:eastAsia="Times New Roman" w:cstheme="minorHAnsi"/>
          <w:lang w:eastAsia="en-AU"/>
        </w:rPr>
        <w:t xml:space="preserve">is </w:t>
      </w:r>
      <w:r w:rsidR="00D8418E">
        <w:rPr>
          <w:rFonts w:eastAsia="Times New Roman" w:cstheme="minorHAnsi"/>
          <w:lang w:eastAsia="en-AU"/>
        </w:rPr>
        <w:t>set within a</w:t>
      </w:r>
      <w:r w:rsidR="004308C0">
        <w:rPr>
          <w:rFonts w:eastAsia="Times New Roman" w:cstheme="minorHAnsi"/>
          <w:lang w:eastAsia="en-AU"/>
        </w:rPr>
        <w:t xml:space="preserve"> </w:t>
      </w:r>
      <w:r w:rsidR="00BC0628">
        <w:rPr>
          <w:rFonts w:eastAsia="Times New Roman" w:cstheme="minorHAnsi"/>
          <w:lang w:eastAsia="en-AU"/>
        </w:rPr>
        <w:t xml:space="preserve">clear </w:t>
      </w:r>
      <w:r w:rsidR="004308C0">
        <w:rPr>
          <w:rFonts w:eastAsia="Times New Roman" w:cstheme="minorHAnsi"/>
          <w:lang w:eastAsia="en-AU"/>
        </w:rPr>
        <w:t xml:space="preserve">drift </w:t>
      </w:r>
      <w:r w:rsidR="002E4A51">
        <w:rPr>
          <w:rFonts w:eastAsia="Times New Roman" w:cstheme="minorHAnsi"/>
          <w:lang w:eastAsia="en-AU"/>
        </w:rPr>
        <w:t>of</w:t>
      </w:r>
      <w:r w:rsidR="00D8418E">
        <w:rPr>
          <w:rFonts w:eastAsia="Times New Roman" w:cstheme="minorHAnsi"/>
          <w:lang w:eastAsia="en-AU"/>
        </w:rPr>
        <w:t xml:space="preserve"> </w:t>
      </w:r>
      <w:r w:rsidR="005653EF">
        <w:rPr>
          <w:rFonts w:eastAsia="Times New Roman" w:cstheme="minorHAnsi"/>
          <w:lang w:eastAsia="en-AU"/>
        </w:rPr>
        <w:t xml:space="preserve">market </w:t>
      </w:r>
      <w:r w:rsidR="00D8418E">
        <w:rPr>
          <w:rFonts w:eastAsia="Times New Roman" w:cstheme="minorHAnsi"/>
          <w:lang w:eastAsia="en-AU"/>
        </w:rPr>
        <w:t xml:space="preserve">need </w:t>
      </w:r>
      <w:r w:rsidR="004308C0">
        <w:rPr>
          <w:rFonts w:eastAsia="Times New Roman" w:cstheme="minorHAnsi"/>
          <w:lang w:eastAsia="en-AU"/>
        </w:rPr>
        <w:t>to</w:t>
      </w:r>
      <w:r w:rsidR="002E4A51">
        <w:rPr>
          <w:rFonts w:eastAsia="Times New Roman" w:cstheme="minorHAnsi"/>
          <w:lang w:eastAsia="en-AU"/>
        </w:rPr>
        <w:t>wards</w:t>
      </w:r>
      <w:r w:rsidR="004308C0">
        <w:rPr>
          <w:rFonts w:eastAsia="Times New Roman" w:cstheme="minorHAnsi"/>
          <w:lang w:eastAsia="en-AU"/>
        </w:rPr>
        <w:t xml:space="preserve"> short course</w:t>
      </w:r>
      <w:r w:rsidR="00BC0628">
        <w:rPr>
          <w:rFonts w:eastAsia="Times New Roman" w:cstheme="minorHAnsi"/>
          <w:lang w:eastAsia="en-AU"/>
        </w:rPr>
        <w:t>s and</w:t>
      </w:r>
      <w:r w:rsidR="004308C0">
        <w:rPr>
          <w:rFonts w:eastAsia="Times New Roman" w:cstheme="minorHAnsi"/>
          <w:lang w:eastAsia="en-AU"/>
        </w:rPr>
        <w:t xml:space="preserve"> credentialing</w:t>
      </w:r>
      <w:r w:rsidR="00004D07">
        <w:rPr>
          <w:rFonts w:eastAsia="Times New Roman" w:cstheme="minorHAnsi"/>
          <w:lang w:eastAsia="en-AU"/>
        </w:rPr>
        <w:t>, though full qualifications are expected to remain dominant</w:t>
      </w:r>
      <w:r w:rsidR="002E4A51">
        <w:rPr>
          <w:rFonts w:eastAsia="Times New Roman" w:cstheme="minorHAnsi"/>
          <w:lang w:eastAsia="en-AU"/>
        </w:rPr>
        <w:t xml:space="preserve">.  </w:t>
      </w:r>
    </w:p>
    <w:p w:rsidR="0024544C" w:rsidRDefault="0024544C" w:rsidP="004A7280">
      <w:pPr>
        <w:spacing w:after="0" w:line="300" w:lineRule="exact"/>
        <w:rPr>
          <w:rFonts w:eastAsia="Times New Roman" w:cstheme="minorHAnsi"/>
          <w:lang w:eastAsia="en-AU"/>
        </w:rPr>
      </w:pPr>
    </w:p>
    <w:p w:rsidR="00004D07" w:rsidRDefault="005653EF" w:rsidP="004A7280">
      <w:pPr>
        <w:spacing w:after="0" w:line="300" w:lineRule="exact"/>
        <w:rPr>
          <w:rFonts w:eastAsia="Times New Roman" w:cstheme="minorHAnsi"/>
          <w:lang w:eastAsia="en-AU"/>
        </w:rPr>
      </w:pPr>
      <w:r>
        <w:rPr>
          <w:rFonts w:eastAsia="Times New Roman" w:cstheme="minorHAnsi"/>
          <w:lang w:eastAsia="en-AU"/>
        </w:rPr>
        <w:t>So an</w:t>
      </w:r>
      <w:r w:rsidR="00BC0628">
        <w:rPr>
          <w:rFonts w:eastAsia="Times New Roman" w:cstheme="minorHAnsi"/>
          <w:lang w:eastAsia="en-AU"/>
        </w:rPr>
        <w:t xml:space="preserve"> optimal</w:t>
      </w:r>
      <w:r w:rsidR="002E4A51">
        <w:rPr>
          <w:rFonts w:eastAsia="Times New Roman" w:cstheme="minorHAnsi"/>
          <w:lang w:eastAsia="en-AU"/>
        </w:rPr>
        <w:t xml:space="preserve"> </w:t>
      </w:r>
      <w:r w:rsidR="00D8418E">
        <w:rPr>
          <w:rFonts w:eastAsia="Times New Roman" w:cstheme="minorHAnsi"/>
          <w:lang w:eastAsia="en-AU"/>
        </w:rPr>
        <w:t xml:space="preserve">structure and approach </w:t>
      </w:r>
      <w:r w:rsidR="002E4A51">
        <w:rPr>
          <w:rFonts w:eastAsia="Times New Roman" w:cstheme="minorHAnsi"/>
          <w:lang w:eastAsia="en-AU"/>
        </w:rPr>
        <w:t>to</w:t>
      </w:r>
      <w:r w:rsidR="00D8418E">
        <w:rPr>
          <w:rFonts w:eastAsia="Times New Roman" w:cstheme="minorHAnsi"/>
          <w:lang w:eastAsia="en-AU"/>
        </w:rPr>
        <w:t xml:space="preserve"> public funding/financing of future skills remains </w:t>
      </w:r>
      <w:r w:rsidR="004308C0">
        <w:rPr>
          <w:rFonts w:eastAsia="Times New Roman" w:cstheme="minorHAnsi"/>
          <w:lang w:eastAsia="en-AU"/>
        </w:rPr>
        <w:t>unresolved</w:t>
      </w:r>
      <w:r w:rsidR="00BC0628">
        <w:rPr>
          <w:rFonts w:eastAsia="Times New Roman" w:cstheme="minorHAnsi"/>
          <w:lang w:eastAsia="en-AU"/>
        </w:rPr>
        <w:t>,</w:t>
      </w:r>
      <w:r w:rsidR="00D8418E">
        <w:rPr>
          <w:rFonts w:eastAsia="Times New Roman" w:cstheme="minorHAnsi"/>
          <w:lang w:eastAsia="en-AU"/>
        </w:rPr>
        <w:t xml:space="preserve"> </w:t>
      </w:r>
      <w:r w:rsidR="00170566">
        <w:rPr>
          <w:rFonts w:eastAsia="Times New Roman" w:cstheme="minorHAnsi"/>
          <w:lang w:eastAsia="en-AU"/>
        </w:rPr>
        <w:t>current arrangement</w:t>
      </w:r>
      <w:r w:rsidR="002E4A51">
        <w:rPr>
          <w:rFonts w:eastAsia="Times New Roman" w:cstheme="minorHAnsi"/>
          <w:lang w:eastAsia="en-AU"/>
        </w:rPr>
        <w:t>s</w:t>
      </w:r>
      <w:r w:rsidR="00170566">
        <w:rPr>
          <w:rFonts w:eastAsia="Times New Roman" w:cstheme="minorHAnsi"/>
          <w:lang w:eastAsia="en-AU"/>
        </w:rPr>
        <w:t xml:space="preserve"> are </w:t>
      </w:r>
      <w:r w:rsidR="00D8418E">
        <w:rPr>
          <w:rFonts w:eastAsia="Times New Roman" w:cstheme="minorHAnsi"/>
          <w:lang w:eastAsia="en-AU"/>
        </w:rPr>
        <w:t>not fit for future purpose</w:t>
      </w:r>
      <w:r w:rsidR="002E4A51">
        <w:rPr>
          <w:rFonts w:eastAsia="Times New Roman" w:cstheme="minorHAnsi"/>
          <w:lang w:eastAsia="en-AU"/>
        </w:rPr>
        <w:t xml:space="preserve"> and the Joyce proposals are not </w:t>
      </w:r>
      <w:r w:rsidR="00F77226">
        <w:rPr>
          <w:rFonts w:eastAsia="Times New Roman" w:cstheme="minorHAnsi"/>
          <w:lang w:eastAsia="en-AU"/>
        </w:rPr>
        <w:t xml:space="preserve">a long term </w:t>
      </w:r>
      <w:r w:rsidR="0024544C">
        <w:rPr>
          <w:rFonts w:eastAsia="Times New Roman" w:cstheme="minorHAnsi"/>
          <w:lang w:eastAsia="en-AU"/>
        </w:rPr>
        <w:t xml:space="preserve">future </w:t>
      </w:r>
      <w:r w:rsidR="002E4A51">
        <w:rPr>
          <w:rFonts w:eastAsia="Times New Roman" w:cstheme="minorHAnsi"/>
          <w:lang w:eastAsia="en-AU"/>
        </w:rPr>
        <w:t>solution</w:t>
      </w:r>
      <w:r w:rsidR="00D8418E">
        <w:rPr>
          <w:rFonts w:eastAsia="Times New Roman" w:cstheme="minorHAnsi"/>
          <w:lang w:eastAsia="en-AU"/>
        </w:rPr>
        <w:t>.</w:t>
      </w:r>
      <w:r w:rsidR="004308C0">
        <w:rPr>
          <w:rFonts w:eastAsia="Times New Roman" w:cstheme="minorHAnsi"/>
          <w:lang w:eastAsia="en-AU"/>
        </w:rPr>
        <w:t xml:space="preserve"> </w:t>
      </w:r>
      <w:r w:rsidR="0024544C">
        <w:rPr>
          <w:rFonts w:eastAsia="Times New Roman" w:cstheme="minorHAnsi"/>
          <w:lang w:eastAsia="en-AU"/>
        </w:rPr>
        <w:t xml:space="preserve"> </w:t>
      </w:r>
    </w:p>
    <w:p w:rsidR="00004D07" w:rsidRDefault="00004D07" w:rsidP="004A7280">
      <w:pPr>
        <w:spacing w:after="0" w:line="300" w:lineRule="exact"/>
        <w:rPr>
          <w:rFonts w:eastAsia="Times New Roman" w:cstheme="minorHAnsi"/>
          <w:lang w:eastAsia="en-AU"/>
        </w:rPr>
      </w:pPr>
    </w:p>
    <w:p w:rsidR="00F77226" w:rsidRDefault="0024544C" w:rsidP="004A7280">
      <w:pPr>
        <w:spacing w:after="0" w:line="300" w:lineRule="exact"/>
      </w:pPr>
      <w:r>
        <w:rPr>
          <w:rFonts w:cstheme="minorHAnsi"/>
          <w:color w:val="000000"/>
          <w:spacing w:val="4"/>
          <w:shd w:val="clear" w:color="auto" w:fill="FFFFFF"/>
        </w:rPr>
        <w:t xml:space="preserve">The </w:t>
      </w:r>
      <w:r>
        <w:t xml:space="preserve">Joyce proposal for ‘simpler funding’ is to set up nationally averaged and consistently subsidised VET course costs and student ‘out of pocket’ expenses.  But - this ‘simpler funding’ does </w:t>
      </w:r>
      <w:r w:rsidRPr="00EF2E60">
        <w:rPr>
          <w:i/>
        </w:rPr>
        <w:t>not</w:t>
      </w:r>
      <w:r>
        <w:t xml:space="preserve"> address </w:t>
      </w:r>
      <w:r w:rsidRPr="0024544C">
        <w:rPr>
          <w:i/>
        </w:rPr>
        <w:t>adequacy</w:t>
      </w:r>
      <w:r>
        <w:t xml:space="preserve"> of funding, </w:t>
      </w:r>
      <w:r w:rsidRPr="0032232D">
        <w:rPr>
          <w:i/>
        </w:rPr>
        <w:t>nor</w:t>
      </w:r>
      <w:r>
        <w:t xml:space="preserve"> HE/VET sectoral inequities, and it does </w:t>
      </w:r>
      <w:r w:rsidRPr="00250302">
        <w:rPr>
          <w:i/>
        </w:rPr>
        <w:t>not</w:t>
      </w:r>
      <w:r>
        <w:t xml:space="preserve"> establish </w:t>
      </w:r>
      <w:r w:rsidRPr="00EF2E60">
        <w:t>a coherent, federally supported and national tertiary funding framework that spans the A</w:t>
      </w:r>
      <w:r>
        <w:t xml:space="preserve">QF.  </w:t>
      </w:r>
      <w:r w:rsidR="00004D07">
        <w:t xml:space="preserve">It does </w:t>
      </w:r>
      <w:r w:rsidR="00004D07" w:rsidRPr="00004D07">
        <w:rPr>
          <w:i/>
        </w:rPr>
        <w:t>not</w:t>
      </w:r>
      <w:r w:rsidR="00004D07">
        <w:t xml:space="preserve"> consider the needs and merits for greater use of student loans for VET. </w:t>
      </w:r>
      <w:r>
        <w:t xml:space="preserve">Furthermore, ‘simpler funding’ is assumed for ‘qualifications’.  </w:t>
      </w:r>
    </w:p>
    <w:p w:rsidR="00F77226" w:rsidRDefault="00F77226" w:rsidP="004A7280">
      <w:pPr>
        <w:spacing w:after="0" w:line="300" w:lineRule="exact"/>
      </w:pPr>
    </w:p>
    <w:p w:rsidR="0024544C" w:rsidRDefault="0024544C" w:rsidP="004A7280">
      <w:pPr>
        <w:spacing w:after="0" w:line="300" w:lineRule="exact"/>
      </w:pPr>
      <w:r>
        <w:t xml:space="preserve">The Review itself noted that some 51 percent of VET students by training type are ‘short courses’ and makes an unexplained assertion its proposals </w:t>
      </w:r>
      <w:r w:rsidRPr="00393C31">
        <w:t xml:space="preserve">progress the </w:t>
      </w:r>
      <w:r>
        <w:t>ideas</w:t>
      </w:r>
      <w:r w:rsidRPr="00393C31">
        <w:t xml:space="preserve"> for a</w:t>
      </w:r>
      <w:r w:rsidR="004E7146">
        <w:t xml:space="preserve"> ‘life-long learning account</w:t>
      </w:r>
      <w:r w:rsidR="00004D07">
        <w:t>’</w:t>
      </w:r>
      <w:r w:rsidR="004E7146">
        <w:t xml:space="preserve">, </w:t>
      </w:r>
      <w:r>
        <w:t xml:space="preserve">a Business Council </w:t>
      </w:r>
      <w:r w:rsidR="004E7146">
        <w:t xml:space="preserve">of Australia </w:t>
      </w:r>
      <w:r>
        <w:t xml:space="preserve">industry-led policy proposal.  As such the Review offers </w:t>
      </w:r>
      <w:r w:rsidRPr="00004D07">
        <w:rPr>
          <w:i/>
        </w:rPr>
        <w:t>no</w:t>
      </w:r>
      <w:r>
        <w:t xml:space="preserve"> advice on funding of short courses, skill-sets/micro-credentials and subjects (some of which, but not all of which, </w:t>
      </w:r>
      <w:r w:rsidR="004E7146">
        <w:t xml:space="preserve">might be fee for service).  So it </w:t>
      </w:r>
      <w:r>
        <w:t>gives no clear funding advice about these students, with clear evidence of ongoing declines in full qualifications and trends towards ‘short courses’ reported in</w:t>
      </w:r>
      <w:r w:rsidR="004E7146">
        <w:t xml:space="preserve"> national VET activity.</w:t>
      </w:r>
    </w:p>
    <w:p w:rsidR="00862264" w:rsidRDefault="00862264" w:rsidP="004A7280">
      <w:pPr>
        <w:spacing w:after="0" w:line="300" w:lineRule="exact"/>
      </w:pPr>
    </w:p>
    <w:p w:rsidR="00862264" w:rsidRPr="00862264" w:rsidRDefault="008B1FC7" w:rsidP="00862264">
      <w:pPr>
        <w:pStyle w:val="ListParagraph"/>
        <w:numPr>
          <w:ilvl w:val="0"/>
          <w:numId w:val="2"/>
        </w:numPr>
        <w:spacing w:after="0" w:line="300" w:lineRule="exact"/>
        <w:rPr>
          <w:b/>
        </w:rPr>
      </w:pPr>
      <w:r>
        <w:rPr>
          <w:b/>
        </w:rPr>
        <w:t>The</w:t>
      </w:r>
      <w:r w:rsidR="00862264" w:rsidRPr="00862264">
        <w:rPr>
          <w:b/>
        </w:rPr>
        <w:t xml:space="preserve"> </w:t>
      </w:r>
      <w:r w:rsidR="00862264">
        <w:rPr>
          <w:b/>
        </w:rPr>
        <w:t xml:space="preserve">fall back if </w:t>
      </w:r>
      <w:r w:rsidR="00862264" w:rsidRPr="00862264">
        <w:rPr>
          <w:b/>
        </w:rPr>
        <w:t xml:space="preserve">jurisdictions can’t agree </w:t>
      </w:r>
      <w:r w:rsidR="00862264">
        <w:rPr>
          <w:b/>
        </w:rPr>
        <w:t xml:space="preserve">on </w:t>
      </w:r>
      <w:r w:rsidR="00316788">
        <w:rPr>
          <w:b/>
        </w:rPr>
        <w:t xml:space="preserve">a </w:t>
      </w:r>
      <w:r w:rsidR="00862264">
        <w:rPr>
          <w:b/>
        </w:rPr>
        <w:t xml:space="preserve">new NA </w:t>
      </w:r>
      <w:r>
        <w:rPr>
          <w:b/>
        </w:rPr>
        <w:t>would be sharp separation of roles</w:t>
      </w:r>
      <w:r w:rsidR="00862264">
        <w:rPr>
          <w:b/>
        </w:rPr>
        <w:t xml:space="preserve"> </w:t>
      </w:r>
    </w:p>
    <w:p w:rsidR="008B1FC7" w:rsidRDefault="008B1FC7" w:rsidP="008B1FC7">
      <w:pPr>
        <w:pStyle w:val="ListParagraph"/>
        <w:spacing w:after="0" w:line="300" w:lineRule="exact"/>
        <w:ind w:left="0"/>
        <w:rPr>
          <w:rFonts w:eastAsia="Times New Roman" w:cstheme="minorHAnsi"/>
          <w:lang w:eastAsia="en-AU"/>
        </w:rPr>
      </w:pPr>
      <w:r>
        <w:rPr>
          <w:rFonts w:eastAsia="Times New Roman" w:cstheme="minorHAnsi"/>
          <w:lang w:eastAsia="en-AU"/>
        </w:rPr>
        <w:t>If governments cannot or are not willing to agree ne NASWD/NA arrangements, the fall back option for VET is a sharp delineation of roles and responsibilities between Commonwealth and S</w:t>
      </w:r>
      <w:r w:rsidR="001B6116">
        <w:rPr>
          <w:rFonts w:eastAsia="Times New Roman" w:cstheme="minorHAnsi"/>
          <w:lang w:eastAsia="en-AU"/>
        </w:rPr>
        <w:t>&amp;T</w:t>
      </w:r>
      <w:r>
        <w:rPr>
          <w:rFonts w:eastAsia="Times New Roman" w:cstheme="minorHAnsi"/>
          <w:lang w:eastAsia="en-AU"/>
        </w:rPr>
        <w:t xml:space="preserve">.  </w:t>
      </w:r>
    </w:p>
    <w:p w:rsidR="008B1FC7" w:rsidRDefault="008B1FC7" w:rsidP="008B1FC7">
      <w:pPr>
        <w:pStyle w:val="ListParagraph"/>
        <w:spacing w:after="0" w:line="300" w:lineRule="exact"/>
        <w:ind w:left="0"/>
        <w:rPr>
          <w:rFonts w:eastAsia="Times New Roman" w:cstheme="minorHAnsi"/>
          <w:lang w:eastAsia="en-AU"/>
        </w:rPr>
      </w:pPr>
    </w:p>
    <w:p w:rsidR="008B1FC7" w:rsidRDefault="008B1FC7" w:rsidP="008B1FC7">
      <w:pPr>
        <w:pStyle w:val="ListParagraph"/>
        <w:spacing w:after="0" w:line="300" w:lineRule="exact"/>
        <w:ind w:left="0"/>
        <w:rPr>
          <w:rFonts w:cstheme="minorHAnsi"/>
          <w:color w:val="000000"/>
          <w:spacing w:val="4"/>
          <w:shd w:val="clear" w:color="auto" w:fill="FFFFFF"/>
        </w:rPr>
      </w:pPr>
      <w:r>
        <w:rPr>
          <w:rFonts w:cstheme="minorHAnsi"/>
          <w:color w:val="000000"/>
          <w:spacing w:val="4"/>
          <w:shd w:val="clear" w:color="auto" w:fill="FFFFFF"/>
        </w:rPr>
        <w:t>On this scenario the Commonwealth would corral all its present outlays: the NASWD, SAF levy, VET Student Loans,</w:t>
      </w:r>
      <w:r w:rsidR="00234A33">
        <w:rPr>
          <w:rFonts w:cstheme="minorHAnsi"/>
          <w:color w:val="000000"/>
          <w:spacing w:val="4"/>
          <w:shd w:val="clear" w:color="auto" w:fill="FFFFFF"/>
        </w:rPr>
        <w:t xml:space="preserve"> Trades loans,</w:t>
      </w:r>
      <w:r>
        <w:rPr>
          <w:rFonts w:cstheme="minorHAnsi"/>
          <w:color w:val="000000"/>
          <w:spacing w:val="4"/>
          <w:shd w:val="clear" w:color="auto" w:fill="FFFFFF"/>
        </w:rPr>
        <w:t xml:space="preserve"> industry assistance and latest Skills Package funding and starts again.  This could transpire as an AQF divide where the Commonwealth takes control of funding/financing </w:t>
      </w:r>
      <w:r w:rsidR="00234A33">
        <w:rPr>
          <w:rFonts w:cstheme="minorHAnsi"/>
          <w:color w:val="000000"/>
          <w:spacing w:val="4"/>
          <w:shd w:val="clear" w:color="auto" w:fill="FFFFFF"/>
        </w:rPr>
        <w:t xml:space="preserve">of </w:t>
      </w:r>
      <w:r>
        <w:rPr>
          <w:rFonts w:cstheme="minorHAnsi"/>
          <w:color w:val="000000"/>
          <w:spacing w:val="4"/>
          <w:shd w:val="clear" w:color="auto" w:fill="FFFFFF"/>
        </w:rPr>
        <w:t>all AQF 4/5/6 VET courses (with exacting ‘entry standards’) and leaves the S</w:t>
      </w:r>
      <w:r w:rsidR="001B6116">
        <w:rPr>
          <w:rFonts w:cstheme="minorHAnsi"/>
          <w:color w:val="000000"/>
          <w:spacing w:val="4"/>
          <w:shd w:val="clear" w:color="auto" w:fill="FFFFFF"/>
        </w:rPr>
        <w:t>&amp;T</w:t>
      </w:r>
      <w:r>
        <w:rPr>
          <w:rFonts w:cstheme="minorHAnsi"/>
          <w:color w:val="000000"/>
          <w:spacing w:val="4"/>
          <w:shd w:val="clear" w:color="auto" w:fill="FFFFFF"/>
        </w:rPr>
        <w:t xml:space="preserve">s to fund </w:t>
      </w:r>
      <w:r w:rsidR="00234A33">
        <w:rPr>
          <w:rFonts w:cstheme="minorHAnsi"/>
          <w:color w:val="000000"/>
          <w:spacing w:val="4"/>
          <w:shd w:val="clear" w:color="auto" w:fill="FFFFFF"/>
        </w:rPr>
        <w:t xml:space="preserve">lower AQF levels eg </w:t>
      </w:r>
      <w:r>
        <w:rPr>
          <w:rFonts w:cstheme="minorHAnsi"/>
          <w:color w:val="000000"/>
          <w:spacing w:val="4"/>
          <w:shd w:val="clear" w:color="auto" w:fill="FFFFFF"/>
        </w:rPr>
        <w:t xml:space="preserve">VET Certificate III and less, </w:t>
      </w:r>
      <w:r w:rsidR="00234A33">
        <w:rPr>
          <w:rFonts w:cstheme="minorHAnsi"/>
          <w:color w:val="000000"/>
          <w:spacing w:val="4"/>
          <w:shd w:val="clear" w:color="auto" w:fill="FFFFFF"/>
        </w:rPr>
        <w:t xml:space="preserve">being the bulk of VET output, </w:t>
      </w:r>
      <w:r>
        <w:rPr>
          <w:rFonts w:cstheme="minorHAnsi"/>
          <w:color w:val="000000"/>
          <w:spacing w:val="4"/>
          <w:shd w:val="clear" w:color="auto" w:fill="FFFFFF"/>
        </w:rPr>
        <w:t xml:space="preserve">with specific exceptions. </w:t>
      </w:r>
    </w:p>
    <w:p w:rsidR="008B1FC7" w:rsidRDefault="008B1FC7" w:rsidP="008B1FC7">
      <w:pPr>
        <w:pStyle w:val="ListParagraph"/>
        <w:spacing w:after="120"/>
        <w:ind w:left="0"/>
        <w:rPr>
          <w:rFonts w:cstheme="minorHAnsi"/>
          <w:color w:val="000000"/>
          <w:spacing w:val="4"/>
          <w:shd w:val="clear" w:color="auto" w:fill="FFFFFF"/>
        </w:rPr>
      </w:pPr>
    </w:p>
    <w:p w:rsidR="008B1FC7" w:rsidRDefault="008B1FC7" w:rsidP="008B1FC7">
      <w:pPr>
        <w:pStyle w:val="ListParagraph"/>
        <w:spacing w:after="120"/>
        <w:ind w:left="0"/>
        <w:rPr>
          <w:rFonts w:cstheme="minorHAnsi"/>
          <w:color w:val="000000"/>
          <w:spacing w:val="4"/>
          <w:shd w:val="clear" w:color="auto" w:fill="FFFFFF"/>
        </w:rPr>
      </w:pPr>
      <w:r>
        <w:rPr>
          <w:rFonts w:cstheme="minorHAnsi"/>
          <w:color w:val="000000"/>
          <w:spacing w:val="4"/>
          <w:shd w:val="clear" w:color="auto" w:fill="FFFFFF"/>
        </w:rPr>
        <w:t xml:space="preserve">There are two possible exceptions for specific Commonwealth interventions. One might be in foundational language/(digital)literacy and numeracy skills by direct contracting with RTOs targeting all students who are (or are deemed) to be supported by specified Commonwealth welfare payments. This alignment of welfare to work is of specific interest to the Commonwealth. </w:t>
      </w:r>
    </w:p>
    <w:p w:rsidR="008B1FC7" w:rsidRDefault="008B1FC7" w:rsidP="008B1FC7">
      <w:pPr>
        <w:pStyle w:val="ListParagraph"/>
        <w:spacing w:after="120"/>
        <w:ind w:left="0"/>
        <w:rPr>
          <w:rFonts w:cstheme="minorHAnsi"/>
          <w:color w:val="000000"/>
          <w:spacing w:val="4"/>
          <w:shd w:val="clear" w:color="auto" w:fill="FFFFFF"/>
        </w:rPr>
      </w:pPr>
    </w:p>
    <w:p w:rsidR="00BD1FC2" w:rsidRDefault="008B1FC7" w:rsidP="008B1FC7">
      <w:pPr>
        <w:pStyle w:val="ListParagraph"/>
        <w:spacing w:after="120"/>
        <w:ind w:left="0"/>
        <w:rPr>
          <w:rFonts w:cstheme="minorHAnsi"/>
          <w:color w:val="000000"/>
          <w:spacing w:val="4"/>
          <w:shd w:val="clear" w:color="auto" w:fill="FFFFFF"/>
        </w:rPr>
      </w:pPr>
      <w:r>
        <w:rPr>
          <w:rFonts w:cstheme="minorHAnsi"/>
          <w:color w:val="000000"/>
          <w:spacing w:val="4"/>
          <w:shd w:val="clear" w:color="auto" w:fill="FFFFFF"/>
        </w:rPr>
        <w:lastRenderedPageBreak/>
        <w:t>The second exception could be the Commonwealth offering/taking control of specific ‘nationally designated’ courses, the target here being all trade and non-trade apprentices.  The Commonwealth would decide which of the present declared (about) 110 trades and 1100 non-trades apprentices are to be funded at what level. These comprise</w:t>
      </w:r>
      <w:r w:rsidR="00DA365B">
        <w:rPr>
          <w:rFonts w:cstheme="minorHAnsi"/>
          <w:color w:val="000000"/>
          <w:spacing w:val="4"/>
          <w:shd w:val="clear" w:color="auto" w:fill="FFFFFF"/>
        </w:rPr>
        <w:t xml:space="preserve"> less than 8 percent of</w:t>
      </w:r>
      <w:r w:rsidRPr="00E1696C">
        <w:rPr>
          <w:rFonts w:cstheme="minorHAnsi"/>
          <w:color w:val="000000"/>
          <w:spacing w:val="4"/>
          <w:shd w:val="clear" w:color="auto" w:fill="FFFFFF"/>
        </w:rPr>
        <w:t xml:space="preserve"> </w:t>
      </w:r>
      <w:r w:rsidRPr="00E1696C">
        <w:rPr>
          <w:rFonts w:cstheme="minorHAnsi"/>
          <w:i/>
          <w:color w:val="000000"/>
          <w:spacing w:val="4"/>
          <w:shd w:val="clear" w:color="auto" w:fill="FFFFFF"/>
        </w:rPr>
        <w:t>all</w:t>
      </w:r>
      <w:r w:rsidRPr="00E1696C">
        <w:rPr>
          <w:rFonts w:cstheme="minorHAnsi"/>
          <w:color w:val="000000"/>
          <w:spacing w:val="4"/>
          <w:shd w:val="clear" w:color="auto" w:fill="FFFFFF"/>
        </w:rPr>
        <w:t xml:space="preserve"> VET students </w:t>
      </w:r>
      <w:r>
        <w:rPr>
          <w:rFonts w:cstheme="minorHAnsi"/>
          <w:color w:val="000000"/>
          <w:spacing w:val="4"/>
          <w:shd w:val="clear" w:color="auto" w:fill="FFFFFF"/>
        </w:rPr>
        <w:t>or</w:t>
      </w:r>
      <w:r w:rsidRPr="00E1696C">
        <w:rPr>
          <w:rFonts w:cstheme="minorHAnsi"/>
          <w:color w:val="000000"/>
          <w:spacing w:val="4"/>
          <w:shd w:val="clear" w:color="auto" w:fill="FFFFFF"/>
        </w:rPr>
        <w:t xml:space="preserve"> </w:t>
      </w:r>
      <w:r w:rsidR="00DA365B">
        <w:rPr>
          <w:rFonts w:cstheme="minorHAnsi"/>
          <w:color w:val="000000"/>
          <w:spacing w:val="4"/>
          <w:shd w:val="clear" w:color="auto" w:fill="FFFFFF"/>
        </w:rPr>
        <w:t>about 25% of</w:t>
      </w:r>
      <w:r>
        <w:rPr>
          <w:rFonts w:cstheme="minorHAnsi"/>
          <w:color w:val="000000"/>
          <w:spacing w:val="4"/>
          <w:shd w:val="clear" w:color="auto" w:fill="FFFFFF"/>
        </w:rPr>
        <w:t xml:space="preserve"> government </w:t>
      </w:r>
      <w:r w:rsidRPr="00E1696C">
        <w:rPr>
          <w:rFonts w:cstheme="minorHAnsi"/>
          <w:color w:val="000000"/>
          <w:spacing w:val="4"/>
          <w:shd w:val="clear" w:color="auto" w:fill="FFFFFF"/>
        </w:rPr>
        <w:t xml:space="preserve">funded students </w:t>
      </w:r>
      <w:r>
        <w:rPr>
          <w:rFonts w:cstheme="minorHAnsi"/>
          <w:color w:val="000000"/>
          <w:spacing w:val="4"/>
          <w:shd w:val="clear" w:color="auto" w:fill="FFFFFF"/>
        </w:rPr>
        <w:t>(but</w:t>
      </w:r>
      <w:r w:rsidRPr="00E1696C">
        <w:rPr>
          <w:rFonts w:cstheme="minorHAnsi"/>
          <w:color w:val="000000"/>
          <w:spacing w:val="4"/>
          <w:shd w:val="clear" w:color="auto" w:fill="FFFFFF"/>
        </w:rPr>
        <w:t xml:space="preserve"> more by way of training costs).</w:t>
      </w:r>
      <w:r>
        <w:rPr>
          <w:rFonts w:cstheme="minorHAnsi"/>
          <w:color w:val="000000"/>
          <w:spacing w:val="4"/>
          <w:shd w:val="clear" w:color="auto" w:fill="FFFFFF"/>
        </w:rPr>
        <w:t xml:space="preserve">  Jurisdictions could fund more places at the same costs if they wished.  </w:t>
      </w:r>
    </w:p>
    <w:p w:rsidR="00BD1FC2" w:rsidRDefault="00BD1FC2" w:rsidP="008B1FC7">
      <w:pPr>
        <w:pStyle w:val="ListParagraph"/>
        <w:spacing w:after="120"/>
        <w:ind w:left="0"/>
        <w:rPr>
          <w:rFonts w:cstheme="minorHAnsi"/>
          <w:color w:val="000000"/>
          <w:spacing w:val="4"/>
          <w:shd w:val="clear" w:color="auto" w:fill="FFFFFF"/>
        </w:rPr>
      </w:pPr>
    </w:p>
    <w:p w:rsidR="008B1FC7" w:rsidRDefault="008B1FC7" w:rsidP="008B1FC7">
      <w:pPr>
        <w:pStyle w:val="ListParagraph"/>
        <w:spacing w:after="120"/>
        <w:ind w:left="0"/>
        <w:rPr>
          <w:rFonts w:cstheme="minorHAnsi"/>
          <w:color w:val="000000"/>
          <w:spacing w:val="4"/>
          <w:shd w:val="clear" w:color="auto" w:fill="FFFFFF"/>
        </w:rPr>
      </w:pPr>
      <w:r>
        <w:rPr>
          <w:rFonts w:cstheme="minorHAnsi"/>
          <w:color w:val="000000"/>
          <w:spacing w:val="4"/>
          <w:shd w:val="clear" w:color="auto" w:fill="FFFFFF"/>
        </w:rPr>
        <w:t xml:space="preserve">This approach addresses long held concerns by peak industry bodies to make national the apprentice system with one level of government fully accountable for an area that falls into sharpest concern and dispute about skills shortages. To do this the Commonwealth would either offer to take it over or seek to exercise its constitutional/funding powers as almost all employers of apprentices (with a few exceptions) in receipt of training subsidies are ‘constitutional corporations’. </w:t>
      </w:r>
    </w:p>
    <w:p w:rsidR="008B1FC7" w:rsidRPr="00E37391" w:rsidRDefault="008B1FC7" w:rsidP="008B1FC7">
      <w:pPr>
        <w:pStyle w:val="ListParagraph"/>
        <w:spacing w:after="120"/>
        <w:ind w:left="0"/>
        <w:rPr>
          <w:rFonts w:cstheme="minorHAnsi"/>
          <w:color w:val="000000"/>
          <w:spacing w:val="4"/>
          <w:sz w:val="16"/>
          <w:szCs w:val="16"/>
          <w:shd w:val="clear" w:color="auto" w:fill="FFFFFF"/>
        </w:rPr>
      </w:pPr>
    </w:p>
    <w:p w:rsidR="008B1FC7" w:rsidRDefault="008B1FC7" w:rsidP="008B1FC7">
      <w:pPr>
        <w:pStyle w:val="ListParagraph"/>
        <w:spacing w:after="120"/>
        <w:ind w:left="0"/>
        <w:rPr>
          <w:rFonts w:cstheme="minorHAnsi"/>
          <w:color w:val="000000"/>
          <w:spacing w:val="4"/>
          <w:shd w:val="clear" w:color="auto" w:fill="FFFFFF"/>
        </w:rPr>
      </w:pPr>
      <w:r>
        <w:rPr>
          <w:rFonts w:cstheme="minorHAnsi"/>
          <w:color w:val="000000"/>
          <w:spacing w:val="4"/>
          <w:shd w:val="clear" w:color="auto" w:fill="FFFFFF"/>
        </w:rPr>
        <w:t>Outside of the above, the S</w:t>
      </w:r>
      <w:r w:rsidR="001B6116">
        <w:rPr>
          <w:rFonts w:cstheme="minorHAnsi"/>
          <w:color w:val="000000"/>
          <w:spacing w:val="4"/>
          <w:shd w:val="clear" w:color="auto" w:fill="FFFFFF"/>
        </w:rPr>
        <w:t>&amp;Ts</w:t>
      </w:r>
      <w:r>
        <w:rPr>
          <w:rFonts w:cstheme="minorHAnsi"/>
          <w:color w:val="000000"/>
          <w:spacing w:val="4"/>
          <w:shd w:val="clear" w:color="auto" w:fill="FFFFFF"/>
        </w:rPr>
        <w:t xml:space="preserve"> would fund all remaining VET activity including any VET in schools.  As consequence, the new NASWD/NA would involve </w:t>
      </w:r>
      <w:r w:rsidRPr="00263C22">
        <w:rPr>
          <w:rFonts w:cstheme="minorHAnsi"/>
          <w:i/>
          <w:color w:val="000000"/>
          <w:spacing w:val="4"/>
          <w:shd w:val="clear" w:color="auto" w:fill="FFFFFF"/>
        </w:rPr>
        <w:t>no</w:t>
      </w:r>
      <w:r>
        <w:rPr>
          <w:rFonts w:cstheme="minorHAnsi"/>
          <w:color w:val="000000"/>
          <w:spacing w:val="4"/>
          <w:shd w:val="clear" w:color="auto" w:fill="FFFFFF"/>
        </w:rPr>
        <w:t xml:space="preserve"> inter-jurisdictional transfers of funds.  It would rather </w:t>
      </w:r>
      <w:r w:rsidR="00BD1FC2">
        <w:rPr>
          <w:rFonts w:cstheme="minorHAnsi"/>
          <w:color w:val="000000"/>
          <w:spacing w:val="4"/>
          <w:shd w:val="clear" w:color="auto" w:fill="FFFFFF"/>
        </w:rPr>
        <w:t>establish a</w:t>
      </w:r>
      <w:r>
        <w:rPr>
          <w:rFonts w:cstheme="minorHAnsi"/>
          <w:color w:val="000000"/>
          <w:spacing w:val="4"/>
          <w:shd w:val="clear" w:color="auto" w:fill="FFFFFF"/>
        </w:rPr>
        <w:t xml:space="preserve"> sharp distinction on roles and responsibilities and funding. </w:t>
      </w:r>
    </w:p>
    <w:p w:rsidR="00862264" w:rsidRDefault="00862264" w:rsidP="004A7280">
      <w:pPr>
        <w:spacing w:after="0" w:line="300" w:lineRule="exact"/>
      </w:pPr>
    </w:p>
    <w:p w:rsidR="00862264" w:rsidRDefault="00862264" w:rsidP="004A7280">
      <w:pPr>
        <w:spacing w:after="0" w:line="300" w:lineRule="exact"/>
      </w:pPr>
    </w:p>
    <w:p w:rsidR="00862264" w:rsidRDefault="00862264" w:rsidP="004A7280">
      <w:pPr>
        <w:spacing w:after="0" w:line="300" w:lineRule="exact"/>
        <w:rPr>
          <w:rFonts w:eastAsia="Times New Roman" w:cstheme="minorHAnsi"/>
          <w:lang w:eastAsia="en-AU"/>
        </w:rPr>
      </w:pPr>
    </w:p>
    <w:p w:rsidR="00C509CA" w:rsidRDefault="00C509CA" w:rsidP="00C621EC">
      <w:pPr>
        <w:pStyle w:val="ListParagraph"/>
        <w:ind w:left="0"/>
        <w:jc w:val="both"/>
        <w:rPr>
          <w:rFonts w:cstheme="minorHAnsi"/>
        </w:rPr>
      </w:pPr>
      <w:r>
        <w:rPr>
          <w:rFonts w:cstheme="minorHAnsi"/>
        </w:rPr>
        <w:br w:type="page"/>
      </w:r>
    </w:p>
    <w:p w:rsidR="00C509CA" w:rsidRPr="00C509CA" w:rsidRDefault="00C509CA" w:rsidP="00C509CA">
      <w:pPr>
        <w:spacing w:before="120" w:after="120"/>
        <w:jc w:val="right"/>
        <w:rPr>
          <w:rFonts w:cstheme="minorHAnsi"/>
          <w:b/>
          <w:sz w:val="24"/>
          <w:szCs w:val="24"/>
        </w:rPr>
      </w:pPr>
      <w:r>
        <w:rPr>
          <w:rFonts w:cstheme="minorHAnsi"/>
          <w:b/>
          <w:sz w:val="24"/>
          <w:szCs w:val="24"/>
        </w:rPr>
        <w:lastRenderedPageBreak/>
        <w:t xml:space="preserve">Attachment </w:t>
      </w:r>
      <w:r w:rsidR="006A5660">
        <w:rPr>
          <w:rFonts w:cstheme="minorHAnsi"/>
          <w:b/>
          <w:sz w:val="24"/>
          <w:szCs w:val="24"/>
        </w:rPr>
        <w:t>3</w:t>
      </w:r>
    </w:p>
    <w:p w:rsidR="00C509CA" w:rsidRPr="00D179A4" w:rsidRDefault="00C509CA" w:rsidP="00C509CA">
      <w:pPr>
        <w:spacing w:before="120" w:after="120"/>
        <w:rPr>
          <w:rFonts w:cstheme="minorHAnsi"/>
          <w:b/>
          <w:sz w:val="28"/>
          <w:szCs w:val="28"/>
        </w:rPr>
      </w:pPr>
      <w:r w:rsidRPr="00D179A4">
        <w:rPr>
          <w:rFonts w:cstheme="minorHAnsi"/>
          <w:b/>
          <w:sz w:val="28"/>
          <w:szCs w:val="28"/>
        </w:rPr>
        <w:t>Retraining nation - not yet a ‘fit for future’ performance</w:t>
      </w:r>
    </w:p>
    <w:p w:rsidR="00C509CA" w:rsidRDefault="00C509CA" w:rsidP="00C509CA">
      <w:pPr>
        <w:spacing w:after="0" w:line="300" w:lineRule="exact"/>
        <w:rPr>
          <w:rFonts w:cstheme="minorHAnsi"/>
        </w:rPr>
      </w:pPr>
      <w:r>
        <w:rPr>
          <w:rFonts w:cstheme="minorHAnsi"/>
        </w:rPr>
        <w:t>It is encouraging the AICD highlights in ‘Retraining nation’ the future impact of AI on businesses, the role of Cooperative Research Centres (CRCs) and innovation, all in one issue of Company Director (June 2019).  But this deserves sharper analysis.  Peak bodies representing industry, university, VET and other professional bodies share a common view that  Australia’s post-schooling tertiary education, research and training system; the Vocational Education and Training (VET) sector in particular relative to the Higher Education (HE) sector; is not structured nor operating ‘fit for future purpose’</w:t>
      </w:r>
      <w:r>
        <w:rPr>
          <w:rStyle w:val="EndnoteReference"/>
          <w:rFonts w:cstheme="minorHAnsi"/>
        </w:rPr>
        <w:endnoteReference w:id="1"/>
      </w:r>
      <w:r>
        <w:rPr>
          <w:rFonts w:cstheme="minorHAnsi"/>
        </w:rPr>
        <w:t xml:space="preserve"> in propelling Australia’s competitive economic performance, nor its social equity.  Such opinions start from a common narrative in describing the forces of change and the directions for needed reform.  These are summarised as follows.</w:t>
      </w:r>
    </w:p>
    <w:p w:rsidR="00C509CA" w:rsidRDefault="00C509CA" w:rsidP="00C509CA">
      <w:pPr>
        <w:spacing w:before="120" w:after="120" w:line="300" w:lineRule="exact"/>
        <w:rPr>
          <w:rFonts w:cstheme="minorHAnsi"/>
        </w:rPr>
      </w:pPr>
      <w:r w:rsidRPr="00507989">
        <w:rPr>
          <w:rFonts w:cstheme="minorHAnsi"/>
          <w:u w:val="single"/>
        </w:rPr>
        <w:t>Future labour markets and participation</w:t>
      </w:r>
      <w:r>
        <w:rPr>
          <w:rFonts w:cstheme="minorHAnsi"/>
        </w:rPr>
        <w:t>:</w:t>
      </w:r>
    </w:p>
    <w:p w:rsidR="00C509CA" w:rsidRPr="00B36083" w:rsidRDefault="00C509CA" w:rsidP="00C509CA">
      <w:pPr>
        <w:spacing w:after="0" w:line="300" w:lineRule="exact"/>
        <w:rPr>
          <w:rFonts w:cstheme="minorHAnsi"/>
        </w:rPr>
      </w:pPr>
      <w:r>
        <w:rPr>
          <w:rFonts w:cstheme="minorHAnsi"/>
        </w:rPr>
        <w:t xml:space="preserve">Technology-driven change (eg digital disruption/Artificial intelligence/Industry 4.0 etc) is in early stages of driving redundancy of old and creation of new </w:t>
      </w:r>
      <w:r w:rsidRPr="00774735">
        <w:rPr>
          <w:rFonts w:cstheme="minorHAnsi"/>
          <w:i/>
        </w:rPr>
        <w:t>job types</w:t>
      </w:r>
      <w:r>
        <w:rPr>
          <w:rFonts w:cstheme="minorHAnsi"/>
          <w:i/>
        </w:rPr>
        <w:t xml:space="preserve">, </w:t>
      </w:r>
      <w:r>
        <w:rPr>
          <w:rFonts w:cstheme="minorHAnsi"/>
        </w:rPr>
        <w:t>shifting occupational shares in the labour market.  Long range forecasts have widespread predictive differences</w:t>
      </w:r>
      <w:r>
        <w:rPr>
          <w:rStyle w:val="EndnoteReference"/>
          <w:rFonts w:cstheme="minorHAnsi"/>
        </w:rPr>
        <w:endnoteReference w:id="2"/>
      </w:r>
      <w:r>
        <w:rPr>
          <w:rFonts w:cstheme="minorHAnsi"/>
        </w:rPr>
        <w:t xml:space="preserve"> in the extent and rate at which the ‘jobs-sky will fall in’ or rebuild.  Far more attention needs to be paid to impacts on uplifting skills and digital capability in </w:t>
      </w:r>
      <w:r w:rsidRPr="00774735">
        <w:rPr>
          <w:rFonts w:cstheme="minorHAnsi"/>
          <w:i/>
        </w:rPr>
        <w:t>job tasks</w:t>
      </w:r>
      <w:r>
        <w:rPr>
          <w:rFonts w:cstheme="minorHAnsi"/>
        </w:rPr>
        <w:t xml:space="preserve"> across all ages in the </w:t>
      </w:r>
      <w:r w:rsidRPr="00FE2DA4">
        <w:rPr>
          <w:rFonts w:cstheme="minorHAnsi"/>
        </w:rPr>
        <w:t>present day</w:t>
      </w:r>
      <w:r>
        <w:rPr>
          <w:rFonts w:cstheme="minorHAnsi"/>
        </w:rPr>
        <w:t xml:space="preserve"> workforce, in a nation chasing higher workplace productivity with employers under cost constraints yet expecting staff to have higher analytical, technical and enterprise skills.</w:t>
      </w:r>
    </w:p>
    <w:p w:rsidR="00C509CA" w:rsidRDefault="00C509CA" w:rsidP="00C509CA">
      <w:pPr>
        <w:spacing w:before="120" w:after="120" w:line="300" w:lineRule="exact"/>
        <w:rPr>
          <w:rFonts w:cstheme="minorHAnsi"/>
        </w:rPr>
      </w:pPr>
      <w:r w:rsidRPr="00507989">
        <w:rPr>
          <w:rFonts w:cstheme="minorHAnsi"/>
          <w:u w:val="single"/>
        </w:rPr>
        <w:t>Individual opportunity and jobs</w:t>
      </w:r>
      <w:r>
        <w:rPr>
          <w:rFonts w:cstheme="minorHAnsi"/>
        </w:rPr>
        <w:t>:</w:t>
      </w:r>
    </w:p>
    <w:p w:rsidR="00C509CA" w:rsidRDefault="00C509CA" w:rsidP="00C509CA">
      <w:pPr>
        <w:spacing w:after="120" w:line="300" w:lineRule="exact"/>
        <w:rPr>
          <w:rFonts w:cstheme="minorHAnsi"/>
        </w:rPr>
      </w:pPr>
      <w:r>
        <w:rPr>
          <w:rFonts w:cstheme="minorHAnsi"/>
        </w:rPr>
        <w:t xml:space="preserve">This relative labour market turmoil plays out in the day to day experiences of job-seekers who expect to both live and work longer, are globally more mobile and who may have multiple jobs (concurrent and increasingly self-created) over their working life.  Such work and lifestyle drives greater ‘just in time and only what’s needed’ modes of education and especially upskilling.  Indeed, education providers themselves are competing in a swarm of disruption to their own business models. </w:t>
      </w:r>
    </w:p>
    <w:p w:rsidR="00C509CA" w:rsidRDefault="00C509CA" w:rsidP="00C509CA">
      <w:pPr>
        <w:spacing w:after="120" w:line="300" w:lineRule="exact"/>
        <w:rPr>
          <w:rFonts w:cstheme="minorHAnsi"/>
        </w:rPr>
      </w:pPr>
      <w:r>
        <w:rPr>
          <w:rFonts w:cstheme="minorHAnsi"/>
        </w:rPr>
        <w:t>Is any of the above of interest and actionable by Company Directors?  Here are arguments it should be.</w:t>
      </w:r>
    </w:p>
    <w:p w:rsidR="00C509CA" w:rsidRPr="00CE3970" w:rsidRDefault="00C509CA" w:rsidP="00C509CA">
      <w:pPr>
        <w:spacing w:after="120" w:line="300" w:lineRule="exact"/>
        <w:rPr>
          <w:rFonts w:cstheme="minorHAnsi"/>
          <w:u w:val="single"/>
        </w:rPr>
      </w:pPr>
      <w:r>
        <w:rPr>
          <w:rFonts w:cstheme="minorHAnsi"/>
          <w:u w:val="single"/>
        </w:rPr>
        <w:t xml:space="preserve"> ‘Line of engagement’ between industry/employers and HE/VET institutions </w:t>
      </w:r>
    </w:p>
    <w:p w:rsidR="00C509CA" w:rsidRDefault="00C509CA" w:rsidP="00C509CA">
      <w:pPr>
        <w:spacing w:after="120" w:line="300" w:lineRule="exact"/>
        <w:rPr>
          <w:rFonts w:cstheme="minorHAnsi"/>
        </w:rPr>
      </w:pPr>
      <w:r>
        <w:rPr>
          <w:rFonts w:cstheme="minorHAnsi"/>
        </w:rPr>
        <w:t xml:space="preserve">HE and VET institutions, bolstered by government policies and funding all seek to ‘engage’ with employers and industry through their education, training and research.  Imagine then a ‘line of engagement’ between such institutions and employers (both profit and non-profit) spanning end-to-end from say school-based apprentices to PhDs (this is the span of the Australian Qualification Framework (AQF) between AQF levels 2/3 to 10) and all points between.  What is the </w:t>
      </w:r>
      <w:r w:rsidRPr="00B548B5">
        <w:rPr>
          <w:rFonts w:cstheme="minorHAnsi"/>
        </w:rPr>
        <w:t xml:space="preserve">evidence </w:t>
      </w:r>
      <w:r>
        <w:rPr>
          <w:rFonts w:cstheme="minorHAnsi"/>
        </w:rPr>
        <w:t xml:space="preserve">for quality in exchange of knowledge and technology and </w:t>
      </w:r>
      <w:r w:rsidRPr="00B548B5">
        <w:rPr>
          <w:rFonts w:cstheme="minorHAnsi"/>
        </w:rPr>
        <w:t>co-investment along this line?</w:t>
      </w:r>
      <w:r>
        <w:rPr>
          <w:rFonts w:cstheme="minorHAnsi"/>
        </w:rPr>
        <w:t xml:space="preserve"> Do impacts inform government policy?  Here are some illustrative </w:t>
      </w:r>
      <w:r w:rsidRPr="00E61EA6">
        <w:rPr>
          <w:rFonts w:cstheme="minorHAnsi"/>
          <w:i/>
        </w:rPr>
        <w:t>examples</w:t>
      </w:r>
      <w:r>
        <w:rPr>
          <w:rFonts w:cstheme="minorHAnsi"/>
        </w:rPr>
        <w:t>.</w:t>
      </w:r>
    </w:p>
    <w:p w:rsidR="00C509CA" w:rsidRDefault="00C509CA" w:rsidP="00C509CA">
      <w:pPr>
        <w:spacing w:line="300" w:lineRule="exact"/>
        <w:rPr>
          <w:rFonts w:cstheme="minorHAnsi"/>
          <w:color w:val="000000"/>
        </w:rPr>
      </w:pPr>
      <w:r>
        <w:rPr>
          <w:rFonts w:cstheme="minorHAnsi"/>
          <w:i/>
        </w:rPr>
        <w:t>Where it works</w:t>
      </w:r>
      <w:r>
        <w:rPr>
          <w:rFonts w:cstheme="minorHAnsi"/>
        </w:rPr>
        <w:t xml:space="preserve">:  Both VET and HE students report positive results on graduate outcomes in gaining jobs and improved work opportunity.  Cooperative Research Centres flourish and the Business/Higher Education Round Table and Australian Research Council programs are effective.  Policies supporting entrepreneurial start-ups, innovation hubs and ‘seed funding’, such as the Medical Research Fund are gaining traction. Industry peaks bodies and universities agreed a strategy to stimulate and there is growing evidence of work integrated learning.  Industry bodies contribute to professional accreditations. </w:t>
      </w:r>
      <w:r>
        <w:rPr>
          <w:rFonts w:cstheme="minorHAnsi"/>
          <w:color w:val="000000"/>
        </w:rPr>
        <w:t>Industry networks advise the Australian Industry Skill Committee on needed job skills in national qualifications.</w:t>
      </w:r>
    </w:p>
    <w:p w:rsidR="00C509CA" w:rsidRDefault="00C509CA" w:rsidP="00C509CA">
      <w:pPr>
        <w:spacing w:line="300" w:lineRule="exact"/>
        <w:rPr>
          <w:rFonts w:cstheme="minorHAnsi"/>
        </w:rPr>
      </w:pPr>
      <w:r>
        <w:rPr>
          <w:rFonts w:cstheme="minorHAnsi"/>
          <w:i/>
        </w:rPr>
        <w:lastRenderedPageBreak/>
        <w:t>But works less well:</w:t>
      </w:r>
      <w:r>
        <w:rPr>
          <w:rFonts w:cstheme="minorHAnsi"/>
        </w:rPr>
        <w:t xml:space="preserve"> Little is known of the purpose and quantum spent by employers on staff education and training especially co-investment within the tertiary system. Employer training expenditure and practices were last measured by the ABS in 2002. Businesses prefer non accredited or informal in-house training rather than engage with the formal VET sector. The OECD Survey of Adult Skill (PIACC) </w:t>
      </w:r>
      <w:r w:rsidRPr="00465D72">
        <w:rPr>
          <w:rFonts w:cstheme="minorHAnsi"/>
        </w:rPr>
        <w:t xml:space="preserve">to measure </w:t>
      </w:r>
      <w:r>
        <w:rPr>
          <w:rFonts w:cstheme="minorHAnsi"/>
        </w:rPr>
        <w:t xml:space="preserve">and benchmark Australian </w:t>
      </w:r>
      <w:r w:rsidRPr="00465D72">
        <w:rPr>
          <w:rFonts w:cstheme="minorHAnsi"/>
        </w:rPr>
        <w:t xml:space="preserve">adult </w:t>
      </w:r>
      <w:r>
        <w:rPr>
          <w:rFonts w:cstheme="minorHAnsi"/>
        </w:rPr>
        <w:t xml:space="preserve">workforce </w:t>
      </w:r>
      <w:r w:rsidRPr="00465D72">
        <w:rPr>
          <w:rFonts w:cstheme="minorHAnsi"/>
        </w:rPr>
        <w:t xml:space="preserve">literacy, numeracy and problem </w:t>
      </w:r>
      <w:r>
        <w:rPr>
          <w:rFonts w:cstheme="minorHAnsi"/>
        </w:rPr>
        <w:t xml:space="preserve">solving was last conducted in 2011/12.  Numbers of withdrawals and cancellations for trade and non-trade apprentices was greater than completion numbers over the latest reported year.  Australia has a few pilot examples of higher apprentices compared with nations more advanced in Industry 4.0 needs.  Stakeholders differ over the approach, governance and solutions to speed up the development of vocational training package qualifications. </w:t>
      </w:r>
      <w:r>
        <w:rPr>
          <w:rFonts w:cstheme="minorHAnsi"/>
          <w:color w:val="010734"/>
          <w:shd w:val="clear" w:color="auto" w:fill="FFFFFF"/>
        </w:rPr>
        <w:t>There is limited</w:t>
      </w:r>
      <w:r w:rsidRPr="00CB370C">
        <w:rPr>
          <w:rFonts w:cstheme="minorHAnsi"/>
          <w:color w:val="010734"/>
          <w:shd w:val="clear" w:color="auto" w:fill="FFFFFF"/>
        </w:rPr>
        <w:t xml:space="preserve"> practice of </w:t>
      </w:r>
      <w:r w:rsidRPr="00CB370C">
        <w:rPr>
          <w:rFonts w:cstheme="minorHAnsi"/>
        </w:rPr>
        <w:t>HE/VET staff co-employed in industry</w:t>
      </w:r>
      <w:r>
        <w:rPr>
          <w:rFonts w:cstheme="minorHAnsi"/>
        </w:rPr>
        <w:t xml:space="preserve">.  </w:t>
      </w:r>
      <w:r w:rsidRPr="00CB370C">
        <w:rPr>
          <w:rFonts w:cstheme="minorHAnsi"/>
        </w:rPr>
        <w:t xml:space="preserve">Australia </w:t>
      </w:r>
      <w:r>
        <w:rPr>
          <w:rFonts w:cstheme="minorHAnsi"/>
        </w:rPr>
        <w:t xml:space="preserve">has very low numbers of researchers employed in business enterprises compared with other developed nations and our R&amp;D/GDP ratio continues to slide.  </w:t>
      </w:r>
      <w:r>
        <w:rPr>
          <w:rFonts w:cstheme="minorHAnsi"/>
          <w:color w:val="010734"/>
          <w:shd w:val="clear" w:color="auto" w:fill="FFFFFF"/>
        </w:rPr>
        <w:t xml:space="preserve"> Finally, recent r</w:t>
      </w:r>
      <w:r>
        <w:rPr>
          <w:rFonts w:cstheme="minorHAnsi"/>
        </w:rPr>
        <w:t>esearch identifies that many companies need to response more urgently to upskilling staff for job skills digitisation. Employer surveys</w:t>
      </w:r>
      <w:r>
        <w:rPr>
          <w:rStyle w:val="EndnoteReference"/>
          <w:rFonts w:cstheme="minorHAnsi"/>
        </w:rPr>
        <w:endnoteReference w:id="3"/>
      </w:r>
      <w:r>
        <w:rPr>
          <w:rFonts w:cstheme="minorHAnsi"/>
        </w:rPr>
        <w:t xml:space="preserve"> indicate staff willingness to be more self-responsible in uplifting their own digital skills, as well as staff recognising that this also needs simultaneous improvement in inter-people collaboration and lifting enterprise skills.  </w:t>
      </w:r>
    </w:p>
    <w:p w:rsidR="00C509CA" w:rsidRDefault="00C509CA" w:rsidP="00C509CA">
      <w:pPr>
        <w:spacing w:after="120" w:line="300" w:lineRule="exact"/>
        <w:rPr>
          <w:rFonts w:cstheme="minorHAnsi"/>
        </w:rPr>
      </w:pPr>
      <w:r>
        <w:rPr>
          <w:rFonts w:cstheme="minorHAnsi"/>
        </w:rPr>
        <w:t>Australia’s performance is good but patchy along this ‘line of engagement’; not a top flight ‘retraining nation’.</w:t>
      </w:r>
      <w:r w:rsidRPr="00BA0927">
        <w:rPr>
          <w:rFonts w:cstheme="minorHAnsi"/>
        </w:rPr>
        <w:t xml:space="preserve">  </w:t>
      </w:r>
    </w:p>
    <w:p w:rsidR="00C509CA" w:rsidRPr="00CD43D9" w:rsidRDefault="00C509CA" w:rsidP="00C509CA">
      <w:pPr>
        <w:spacing w:after="120" w:line="300" w:lineRule="exact"/>
        <w:rPr>
          <w:rFonts w:cstheme="minorHAnsi"/>
          <w:u w:val="single"/>
        </w:rPr>
      </w:pPr>
      <w:bookmarkStart w:id="1" w:name="_Toc515899540"/>
      <w:r>
        <w:rPr>
          <w:rFonts w:cstheme="minorHAnsi"/>
          <w:u w:val="single"/>
        </w:rPr>
        <w:t xml:space="preserve">Quality of job ready skills from an employers’ perspective </w:t>
      </w:r>
    </w:p>
    <w:p w:rsidR="00C509CA" w:rsidRDefault="00C509CA" w:rsidP="00C509CA">
      <w:pPr>
        <w:spacing w:after="120" w:line="300" w:lineRule="exact"/>
        <w:rPr>
          <w:rFonts w:cstheme="minorHAnsi"/>
        </w:rPr>
      </w:pPr>
      <w:r>
        <w:rPr>
          <w:rFonts w:cstheme="minorHAnsi"/>
        </w:rPr>
        <w:t>Quality depends on viewer’s standpoint: students, institutions, regulators, funders.  But what of employer perceptions of quality as the tertiary system embraces more education and training accumulated in small aggregates of ‘just in time, only what’s needed now’?  Such are the practices of short courses eg ‘skill sets/’micro-credentials’ etc.  A job-applicants ‘portfolio’ will increasingly include non-accredited (e.g. warranted) components from industry proprietary courses (like AICD courses) or other ‘online’ content.   Learners may start with foundational qualifications and then over a working life will add to their knowledge/skills/work experience building up ‘personal -smarts’ assets.  This applies within and across all industries.  The Business Council of Australia propose that workers/learners should hold a personal ‘life-long skills account’ to let individuals decide what, when and how to upgrade their knowledge/skill assets.  Resumes with aggregates of ‘job-useful’ accredited and non-accredited content may in time better suit employers.</w:t>
      </w:r>
    </w:p>
    <w:p w:rsidR="00C509CA" w:rsidRDefault="00C509CA" w:rsidP="00C509CA">
      <w:pPr>
        <w:spacing w:after="120" w:line="300" w:lineRule="exact"/>
        <w:rPr>
          <w:rFonts w:cstheme="minorHAnsi"/>
          <w:u w:val="single"/>
        </w:rPr>
      </w:pPr>
      <w:r>
        <w:rPr>
          <w:rFonts w:cstheme="minorHAnsi"/>
          <w:u w:val="single"/>
        </w:rPr>
        <w:t xml:space="preserve">Better balanced attention to ‘long term’ and ‘short run’    </w:t>
      </w:r>
    </w:p>
    <w:p w:rsidR="00C509CA" w:rsidRPr="00AA57A8" w:rsidRDefault="00C509CA" w:rsidP="00C509CA">
      <w:pPr>
        <w:spacing w:after="120" w:line="300" w:lineRule="exact"/>
        <w:rPr>
          <w:rFonts w:cstheme="minorHAnsi"/>
        </w:rPr>
      </w:pPr>
      <w:r>
        <w:rPr>
          <w:rFonts w:cstheme="minorHAnsi"/>
        </w:rPr>
        <w:t xml:space="preserve">A Board Director’s duty is </w:t>
      </w:r>
      <w:r w:rsidRPr="00AA57A8">
        <w:rPr>
          <w:rFonts w:cstheme="minorHAnsi"/>
        </w:rPr>
        <w:t xml:space="preserve">to diligently oversee and steer </w:t>
      </w:r>
      <w:r>
        <w:rPr>
          <w:rFonts w:cstheme="minorHAnsi"/>
        </w:rPr>
        <w:t xml:space="preserve">an </w:t>
      </w:r>
      <w:r w:rsidRPr="00AA57A8">
        <w:rPr>
          <w:rFonts w:cstheme="minorHAnsi"/>
        </w:rPr>
        <w:t>entity</w:t>
      </w:r>
      <w:r>
        <w:rPr>
          <w:rFonts w:cstheme="minorHAnsi"/>
        </w:rPr>
        <w:t>’s</w:t>
      </w:r>
      <w:r w:rsidRPr="00AA57A8">
        <w:rPr>
          <w:rFonts w:cstheme="minorHAnsi"/>
        </w:rPr>
        <w:t xml:space="preserve"> strategy and performance.  </w:t>
      </w:r>
      <w:r>
        <w:rPr>
          <w:rFonts w:cstheme="minorHAnsi"/>
        </w:rPr>
        <w:t>Whilst Boards operate</w:t>
      </w:r>
      <w:r w:rsidRPr="00AA57A8">
        <w:rPr>
          <w:rFonts w:cstheme="minorHAnsi"/>
        </w:rPr>
        <w:t xml:space="preserve"> independently</w:t>
      </w:r>
      <w:r>
        <w:rPr>
          <w:rFonts w:cstheme="minorHAnsi"/>
        </w:rPr>
        <w:t xml:space="preserve">, their collective foresight and quality of risk-informed decisions, in vast aggregate, can </w:t>
      </w:r>
      <w:r w:rsidRPr="00AA57A8">
        <w:rPr>
          <w:rFonts w:cstheme="minorHAnsi"/>
        </w:rPr>
        <w:t>impact</w:t>
      </w:r>
      <w:r>
        <w:rPr>
          <w:rFonts w:cstheme="minorHAnsi"/>
        </w:rPr>
        <w:t xml:space="preserve"> </w:t>
      </w:r>
      <w:r w:rsidRPr="00AA57A8">
        <w:rPr>
          <w:rFonts w:cstheme="minorHAnsi"/>
        </w:rPr>
        <w:t>national productivity</w:t>
      </w:r>
      <w:r>
        <w:rPr>
          <w:rFonts w:cstheme="minorHAnsi"/>
        </w:rPr>
        <w:t>.  Without understating the latter’s importance, Director’s need to balance the ‘long-run’ productivity thesis of Krugman</w:t>
      </w:r>
      <w:r>
        <w:rPr>
          <w:rStyle w:val="EndnoteReference"/>
          <w:rFonts w:cstheme="minorHAnsi"/>
        </w:rPr>
        <w:endnoteReference w:id="4"/>
      </w:r>
      <w:r>
        <w:rPr>
          <w:rFonts w:cstheme="minorHAnsi"/>
        </w:rPr>
        <w:t xml:space="preserve"> with ‘short-run’ hygiene from a better ethical compass post Hayne.  </w:t>
      </w:r>
    </w:p>
    <w:p w:rsidR="00C509CA" w:rsidRPr="00284BE0" w:rsidRDefault="00C509CA" w:rsidP="00C509CA">
      <w:pPr>
        <w:spacing w:after="120" w:line="300" w:lineRule="exact"/>
        <w:rPr>
          <w:rFonts w:cstheme="minorHAnsi"/>
          <w:u w:val="single"/>
        </w:rPr>
      </w:pPr>
      <w:r w:rsidRPr="00284BE0">
        <w:rPr>
          <w:rFonts w:cstheme="minorHAnsi"/>
          <w:u w:val="single"/>
        </w:rPr>
        <w:t>Considerations for Directors</w:t>
      </w:r>
    </w:p>
    <w:p w:rsidR="00C509CA" w:rsidRDefault="00C509CA" w:rsidP="00C509CA">
      <w:pPr>
        <w:pStyle w:val="ListParagraph"/>
        <w:numPr>
          <w:ilvl w:val="0"/>
          <w:numId w:val="6"/>
        </w:numPr>
        <w:spacing w:line="300" w:lineRule="exact"/>
        <w:rPr>
          <w:rFonts w:cstheme="minorHAnsi"/>
        </w:rPr>
      </w:pPr>
      <w:r>
        <w:rPr>
          <w:rFonts w:cstheme="minorHAnsi"/>
        </w:rPr>
        <w:t xml:space="preserve">Is it in the best interests of the entity for </w:t>
      </w:r>
      <w:r w:rsidRPr="009009A8">
        <w:rPr>
          <w:rFonts w:cstheme="minorHAnsi"/>
        </w:rPr>
        <w:t xml:space="preserve">Directors </w:t>
      </w:r>
      <w:r>
        <w:rPr>
          <w:rFonts w:cstheme="minorHAnsi"/>
        </w:rPr>
        <w:t xml:space="preserve">to be </w:t>
      </w:r>
      <w:r w:rsidRPr="009009A8">
        <w:rPr>
          <w:rFonts w:cstheme="minorHAnsi"/>
        </w:rPr>
        <w:t>just ‘passive takers’ of (</w:t>
      </w:r>
      <w:r>
        <w:rPr>
          <w:rFonts w:cstheme="minorHAnsi"/>
        </w:rPr>
        <w:t xml:space="preserve">mostly </w:t>
      </w:r>
      <w:r w:rsidRPr="009009A8">
        <w:rPr>
          <w:rFonts w:cstheme="minorHAnsi"/>
        </w:rPr>
        <w:t>government-funded</w:t>
      </w:r>
      <w:r>
        <w:rPr>
          <w:rFonts w:cstheme="minorHAnsi"/>
        </w:rPr>
        <w:t>/financed</w:t>
      </w:r>
      <w:r w:rsidRPr="009009A8">
        <w:rPr>
          <w:rFonts w:cstheme="minorHAnsi"/>
        </w:rPr>
        <w:t xml:space="preserve">) graduates or should </w:t>
      </w:r>
      <w:r>
        <w:rPr>
          <w:rFonts w:cstheme="minorHAnsi"/>
        </w:rPr>
        <w:t xml:space="preserve">they choose to influence education/training in their industry?  Do </w:t>
      </w:r>
      <w:r w:rsidRPr="009009A8">
        <w:rPr>
          <w:rFonts w:cstheme="minorHAnsi"/>
        </w:rPr>
        <w:t xml:space="preserve">they </w:t>
      </w:r>
      <w:r>
        <w:rPr>
          <w:rFonts w:cstheme="minorHAnsi"/>
        </w:rPr>
        <w:t xml:space="preserve">have deliberate strategy for </w:t>
      </w:r>
      <w:r w:rsidRPr="009009A8">
        <w:rPr>
          <w:rFonts w:cstheme="minorHAnsi"/>
        </w:rPr>
        <w:t>partnership</w:t>
      </w:r>
      <w:r>
        <w:rPr>
          <w:rFonts w:cstheme="minorHAnsi"/>
        </w:rPr>
        <w:t>s</w:t>
      </w:r>
      <w:r w:rsidRPr="009009A8">
        <w:rPr>
          <w:rFonts w:cstheme="minorHAnsi"/>
        </w:rPr>
        <w:t xml:space="preserve"> with education, training and research providers</w:t>
      </w:r>
      <w:r>
        <w:rPr>
          <w:rFonts w:cstheme="minorHAnsi"/>
        </w:rPr>
        <w:t>?</w:t>
      </w:r>
      <w:r w:rsidRPr="009009A8">
        <w:rPr>
          <w:rFonts w:cstheme="minorHAnsi"/>
        </w:rPr>
        <w:t xml:space="preserve"> </w:t>
      </w:r>
      <w:r>
        <w:rPr>
          <w:rFonts w:cstheme="minorHAnsi"/>
        </w:rPr>
        <w:t xml:space="preserve"> </w:t>
      </w:r>
    </w:p>
    <w:p w:rsidR="00C509CA" w:rsidRPr="009009A8" w:rsidRDefault="00C509CA" w:rsidP="00C509CA">
      <w:pPr>
        <w:pStyle w:val="ListParagraph"/>
        <w:numPr>
          <w:ilvl w:val="0"/>
          <w:numId w:val="6"/>
        </w:numPr>
        <w:spacing w:line="300" w:lineRule="exact"/>
        <w:rPr>
          <w:rFonts w:cstheme="minorHAnsi"/>
        </w:rPr>
      </w:pPr>
      <w:r w:rsidRPr="009009A8">
        <w:rPr>
          <w:rFonts w:cstheme="minorHAnsi"/>
        </w:rPr>
        <w:t xml:space="preserve">What resources </w:t>
      </w:r>
      <w:r>
        <w:rPr>
          <w:rFonts w:cstheme="minorHAnsi"/>
        </w:rPr>
        <w:t xml:space="preserve">are allocated at what </w:t>
      </w:r>
      <w:r w:rsidRPr="009009A8">
        <w:rPr>
          <w:rFonts w:cstheme="minorHAnsi"/>
        </w:rPr>
        <w:t>cost benefit</w:t>
      </w:r>
      <w:r>
        <w:rPr>
          <w:rFonts w:cstheme="minorHAnsi"/>
        </w:rPr>
        <w:t xml:space="preserve"> to such partnerships? </w:t>
      </w:r>
      <w:r w:rsidRPr="009009A8">
        <w:rPr>
          <w:rFonts w:cstheme="minorHAnsi"/>
        </w:rPr>
        <w:t>If faced with digital and technology disruption</w:t>
      </w:r>
      <w:r>
        <w:rPr>
          <w:rFonts w:cstheme="minorHAnsi"/>
        </w:rPr>
        <w:t>, or product/process innovation, or need to minimise energy or waste</w:t>
      </w:r>
      <w:r w:rsidRPr="009009A8">
        <w:rPr>
          <w:rFonts w:cstheme="minorHAnsi"/>
        </w:rPr>
        <w:t xml:space="preserve">, where do </w:t>
      </w:r>
      <w:r>
        <w:rPr>
          <w:rFonts w:cstheme="minorHAnsi"/>
        </w:rPr>
        <w:t xml:space="preserve">firms </w:t>
      </w:r>
      <w:r w:rsidRPr="009009A8">
        <w:rPr>
          <w:rFonts w:cstheme="minorHAnsi"/>
        </w:rPr>
        <w:t xml:space="preserve">look; consultants, universities, </w:t>
      </w:r>
      <w:r>
        <w:rPr>
          <w:rFonts w:cstheme="minorHAnsi"/>
        </w:rPr>
        <w:t xml:space="preserve">TAFEs, </w:t>
      </w:r>
      <w:r w:rsidRPr="009009A8">
        <w:rPr>
          <w:rFonts w:cstheme="minorHAnsi"/>
        </w:rPr>
        <w:t>smart-staff, overseas?</w:t>
      </w:r>
      <w:r>
        <w:rPr>
          <w:rFonts w:cstheme="minorHAnsi"/>
        </w:rPr>
        <w:t xml:space="preserve"> </w:t>
      </w:r>
    </w:p>
    <w:p w:rsidR="00C509CA" w:rsidRPr="009009A8" w:rsidRDefault="00C509CA" w:rsidP="00C509CA">
      <w:pPr>
        <w:pStyle w:val="ListParagraph"/>
        <w:numPr>
          <w:ilvl w:val="0"/>
          <w:numId w:val="6"/>
        </w:numPr>
        <w:spacing w:line="300" w:lineRule="exact"/>
        <w:rPr>
          <w:rFonts w:cstheme="minorHAnsi"/>
        </w:rPr>
      </w:pPr>
      <w:r>
        <w:rPr>
          <w:rFonts w:cstheme="minorHAnsi"/>
        </w:rPr>
        <w:lastRenderedPageBreak/>
        <w:t>What is the payback on any internal investment</w:t>
      </w:r>
      <w:r w:rsidRPr="009009A8">
        <w:rPr>
          <w:rFonts w:cstheme="minorHAnsi"/>
        </w:rPr>
        <w:t xml:space="preserve"> </w:t>
      </w:r>
      <w:r>
        <w:rPr>
          <w:rFonts w:cstheme="minorHAnsi"/>
        </w:rPr>
        <w:t>in</w:t>
      </w:r>
      <w:r w:rsidRPr="009009A8">
        <w:rPr>
          <w:rFonts w:cstheme="minorHAnsi"/>
        </w:rPr>
        <w:t xml:space="preserve"> </w:t>
      </w:r>
      <w:r>
        <w:rPr>
          <w:rFonts w:cstheme="minorHAnsi"/>
        </w:rPr>
        <w:t>‘digital-</w:t>
      </w:r>
      <w:r w:rsidRPr="009009A8">
        <w:rPr>
          <w:rFonts w:cstheme="minorHAnsi"/>
        </w:rPr>
        <w:t>upskilling</w:t>
      </w:r>
      <w:r>
        <w:rPr>
          <w:rFonts w:cstheme="minorHAnsi"/>
        </w:rPr>
        <w:t>’ of</w:t>
      </w:r>
      <w:r w:rsidRPr="009009A8">
        <w:rPr>
          <w:rFonts w:cstheme="minorHAnsi"/>
        </w:rPr>
        <w:t xml:space="preserve"> staff</w:t>
      </w:r>
      <w:r>
        <w:rPr>
          <w:rFonts w:cstheme="minorHAnsi"/>
        </w:rPr>
        <w:t xml:space="preserve">?  </w:t>
      </w:r>
      <w:r w:rsidRPr="009009A8">
        <w:rPr>
          <w:rFonts w:cstheme="minorHAnsi"/>
        </w:rPr>
        <w:t xml:space="preserve">Do Directors have </w:t>
      </w:r>
      <w:r>
        <w:rPr>
          <w:rFonts w:cstheme="minorHAnsi"/>
        </w:rPr>
        <w:t>suitable m</w:t>
      </w:r>
      <w:r w:rsidRPr="009009A8">
        <w:rPr>
          <w:rFonts w:cstheme="minorHAnsi"/>
        </w:rPr>
        <w:t xml:space="preserve">etrics giving line of sight </w:t>
      </w:r>
      <w:r>
        <w:rPr>
          <w:rFonts w:cstheme="minorHAnsi"/>
        </w:rPr>
        <w:t xml:space="preserve">to </w:t>
      </w:r>
      <w:r w:rsidRPr="009009A8">
        <w:rPr>
          <w:rFonts w:cstheme="minorHAnsi"/>
        </w:rPr>
        <w:t xml:space="preserve">longer term </w:t>
      </w:r>
      <w:r>
        <w:rPr>
          <w:rFonts w:cstheme="minorHAnsi"/>
        </w:rPr>
        <w:t xml:space="preserve">benefits of </w:t>
      </w:r>
      <w:r w:rsidRPr="009009A8">
        <w:rPr>
          <w:rFonts w:cstheme="minorHAnsi"/>
        </w:rPr>
        <w:t>staff retention, productivity and profit?</w:t>
      </w:r>
    </w:p>
    <w:p w:rsidR="00C509CA" w:rsidRPr="009009A8" w:rsidRDefault="00C509CA" w:rsidP="00C509CA">
      <w:pPr>
        <w:pStyle w:val="ListParagraph"/>
        <w:numPr>
          <w:ilvl w:val="0"/>
          <w:numId w:val="6"/>
        </w:numPr>
        <w:spacing w:line="300" w:lineRule="exact"/>
        <w:rPr>
          <w:rFonts w:cstheme="minorHAnsi"/>
        </w:rPr>
      </w:pPr>
      <w:r w:rsidRPr="009009A8">
        <w:rPr>
          <w:rFonts w:cstheme="minorHAnsi"/>
        </w:rPr>
        <w:t>Do companies have to re-think the basis of ‘quality’ in recruitment</w:t>
      </w:r>
      <w:r>
        <w:rPr>
          <w:rFonts w:cstheme="minorHAnsi"/>
        </w:rPr>
        <w:t xml:space="preserve">, and are </w:t>
      </w:r>
      <w:r w:rsidRPr="009009A8">
        <w:rPr>
          <w:rFonts w:cstheme="minorHAnsi"/>
        </w:rPr>
        <w:t xml:space="preserve">work </w:t>
      </w:r>
      <w:r>
        <w:rPr>
          <w:rFonts w:cstheme="minorHAnsi"/>
        </w:rPr>
        <w:t xml:space="preserve">contracts </w:t>
      </w:r>
      <w:r w:rsidRPr="009009A8">
        <w:rPr>
          <w:rFonts w:cstheme="minorHAnsi"/>
        </w:rPr>
        <w:t xml:space="preserve">suited to </w:t>
      </w:r>
      <w:r>
        <w:rPr>
          <w:rFonts w:cstheme="minorHAnsi"/>
        </w:rPr>
        <w:t>‘</w:t>
      </w:r>
      <w:r w:rsidRPr="009009A8">
        <w:rPr>
          <w:rFonts w:cstheme="minorHAnsi"/>
        </w:rPr>
        <w:t>next gen</w:t>
      </w:r>
      <w:r>
        <w:rPr>
          <w:rFonts w:cstheme="minorHAnsi"/>
        </w:rPr>
        <w:t xml:space="preserve"> digital natives’ including on job </w:t>
      </w:r>
      <w:r w:rsidRPr="009009A8">
        <w:rPr>
          <w:rFonts w:cstheme="minorHAnsi"/>
        </w:rPr>
        <w:t>incentives to up-skill ‘just in time, just as needed’</w:t>
      </w:r>
      <w:r>
        <w:rPr>
          <w:rFonts w:cstheme="minorHAnsi"/>
        </w:rPr>
        <w:t>?</w:t>
      </w:r>
      <w:r w:rsidRPr="009009A8">
        <w:rPr>
          <w:rFonts w:cstheme="minorHAnsi"/>
        </w:rPr>
        <w:t xml:space="preserve"> </w:t>
      </w:r>
    </w:p>
    <w:p w:rsidR="00C509CA" w:rsidRDefault="00C509CA" w:rsidP="00C509CA">
      <w:pPr>
        <w:pStyle w:val="ListParagraph"/>
        <w:numPr>
          <w:ilvl w:val="0"/>
          <w:numId w:val="6"/>
        </w:numPr>
        <w:spacing w:line="300" w:lineRule="exact"/>
        <w:rPr>
          <w:rFonts w:cstheme="minorHAnsi"/>
        </w:rPr>
      </w:pPr>
      <w:r w:rsidRPr="009009A8">
        <w:rPr>
          <w:rFonts w:cstheme="minorHAnsi"/>
        </w:rPr>
        <w:t xml:space="preserve">If companies have employment or ‘employment like’ relations with (unpaid) interns, postgraduate researchers doing projects, or (school-based) apprentices, or school </w:t>
      </w:r>
      <w:r>
        <w:rPr>
          <w:rFonts w:cstheme="minorHAnsi"/>
        </w:rPr>
        <w:t xml:space="preserve">enrolled </w:t>
      </w:r>
      <w:r w:rsidRPr="009009A8">
        <w:rPr>
          <w:rFonts w:cstheme="minorHAnsi"/>
        </w:rPr>
        <w:t>‘causals’ doing VET courses, what are the employment, intellectual  property</w:t>
      </w:r>
      <w:r>
        <w:rPr>
          <w:rFonts w:cstheme="minorHAnsi"/>
        </w:rPr>
        <w:t xml:space="preserve">, and </w:t>
      </w:r>
      <w:r w:rsidRPr="009009A8">
        <w:rPr>
          <w:rFonts w:cstheme="minorHAnsi"/>
        </w:rPr>
        <w:t>insurance obligations and risks?</w:t>
      </w:r>
      <w:bookmarkEnd w:id="1"/>
    </w:p>
    <w:p w:rsidR="00C509CA" w:rsidRDefault="00C509CA" w:rsidP="00C509CA">
      <w:pPr>
        <w:spacing w:line="300" w:lineRule="exact"/>
        <w:rPr>
          <w:rFonts w:cstheme="minorHAnsi"/>
        </w:rPr>
      </w:pPr>
      <w:r>
        <w:rPr>
          <w:rFonts w:cstheme="minorHAnsi"/>
        </w:rPr>
        <w:t>Dr James Craig Fowler GAICD, Non Exec Director TAFE SA, Senior Industry Fellow Uni. of South Australia</w:t>
      </w:r>
    </w:p>
    <w:sectPr w:rsidR="00C509CA" w:rsidSect="0027679C">
      <w:headerReference w:type="default" r:id="rId18"/>
      <w:footerReference w:type="default" r:id="rId19"/>
      <w:pgSz w:w="11906" w:h="16838"/>
      <w:pgMar w:top="1191" w:right="1191" w:bottom="1191"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44D" w:rsidRDefault="00C8744D" w:rsidP="0064449E">
      <w:pPr>
        <w:spacing w:after="0" w:line="240" w:lineRule="auto"/>
      </w:pPr>
      <w:r>
        <w:separator/>
      </w:r>
    </w:p>
  </w:endnote>
  <w:endnote w:type="continuationSeparator" w:id="0">
    <w:p w:rsidR="00C8744D" w:rsidRDefault="00C8744D" w:rsidP="0064449E">
      <w:pPr>
        <w:spacing w:after="0" w:line="240" w:lineRule="auto"/>
      </w:pPr>
      <w:r>
        <w:continuationSeparator/>
      </w:r>
    </w:p>
  </w:endnote>
  <w:endnote w:id="1">
    <w:p w:rsidR="00C509CA" w:rsidRPr="00505A00" w:rsidRDefault="00C509CA" w:rsidP="00C509CA">
      <w:pPr>
        <w:pStyle w:val="EndnoteText"/>
        <w:rPr>
          <w:sz w:val="16"/>
          <w:szCs w:val="16"/>
        </w:rPr>
      </w:pPr>
      <w:r w:rsidRPr="00505A00">
        <w:rPr>
          <w:rStyle w:val="EndnoteReference"/>
          <w:sz w:val="16"/>
          <w:szCs w:val="16"/>
        </w:rPr>
        <w:endnoteRef/>
      </w:r>
      <w:r w:rsidRPr="00505A00">
        <w:rPr>
          <w:sz w:val="16"/>
          <w:szCs w:val="16"/>
        </w:rPr>
        <w:t xml:space="preserve"> Detailed references for content within this paper can be found in: Fit for Future Purpose Architectural Policies and Foundational Enablers Spanning HE/VET Sectors,  Fowler, Campus Review (2019) https://www.campusreview.com.au/2019/06/fit-for-future-purpose-architectural-policies-foundational-enablers-spanning-hevet-sectors/</w:t>
      </w:r>
    </w:p>
  </w:endnote>
  <w:endnote w:id="2">
    <w:p w:rsidR="00C509CA" w:rsidRPr="00505A00" w:rsidRDefault="00C509CA" w:rsidP="00C509CA">
      <w:pPr>
        <w:pStyle w:val="EndnoteText"/>
        <w:rPr>
          <w:sz w:val="16"/>
          <w:szCs w:val="16"/>
        </w:rPr>
      </w:pPr>
      <w:r w:rsidRPr="00505A00">
        <w:rPr>
          <w:rStyle w:val="EndnoteReference"/>
          <w:sz w:val="16"/>
          <w:szCs w:val="16"/>
        </w:rPr>
        <w:endnoteRef/>
      </w:r>
      <w:r w:rsidRPr="00505A00">
        <w:rPr>
          <w:sz w:val="16"/>
          <w:szCs w:val="16"/>
        </w:rPr>
        <w:t xml:space="preserve"> Australia’s National Outlook 2060, CSIRO</w:t>
      </w:r>
      <w:r>
        <w:rPr>
          <w:sz w:val="16"/>
          <w:szCs w:val="16"/>
        </w:rPr>
        <w:t>/NAB</w:t>
      </w:r>
      <w:r w:rsidRPr="00505A00">
        <w:rPr>
          <w:sz w:val="16"/>
          <w:szCs w:val="16"/>
        </w:rPr>
        <w:t xml:space="preserve"> (2019) https://www.csiro.au/en/Showcase/ANO</w:t>
      </w:r>
    </w:p>
  </w:endnote>
  <w:endnote w:id="3">
    <w:p w:rsidR="00C509CA" w:rsidRPr="00505A00" w:rsidRDefault="00C509CA" w:rsidP="00C509CA">
      <w:pPr>
        <w:pStyle w:val="EndnoteText"/>
        <w:rPr>
          <w:sz w:val="16"/>
          <w:szCs w:val="16"/>
        </w:rPr>
      </w:pPr>
      <w:r w:rsidRPr="00505A00">
        <w:rPr>
          <w:rStyle w:val="EndnoteReference"/>
          <w:sz w:val="16"/>
          <w:szCs w:val="16"/>
        </w:rPr>
        <w:endnoteRef/>
      </w:r>
      <w:r w:rsidRPr="00505A00">
        <w:rPr>
          <w:sz w:val="16"/>
          <w:szCs w:val="16"/>
        </w:rPr>
        <w:t xml:space="preserve"> Peak Human Potential Preparing Australia’s Workforce for the Digital Future, Centre for New Workforce</w:t>
      </w:r>
      <w:r>
        <w:rPr>
          <w:sz w:val="16"/>
          <w:szCs w:val="16"/>
        </w:rPr>
        <w:t>,</w:t>
      </w:r>
      <w:r w:rsidRPr="00505A00">
        <w:rPr>
          <w:sz w:val="16"/>
          <w:szCs w:val="16"/>
        </w:rPr>
        <w:t xml:space="preserve"> Swinburne University (2019) https://www.swinburne.edu.au/media/swinburneeduau/centre-for-the-new-workforce/cnew-national-survey-report.pdf?utm_campaign=website&amp;utm_source=sendgrid.com&amp;utm_medium=email</w:t>
      </w:r>
    </w:p>
  </w:endnote>
  <w:endnote w:id="4">
    <w:p w:rsidR="00C509CA" w:rsidRDefault="00C509CA" w:rsidP="00C509CA">
      <w:pPr>
        <w:pStyle w:val="EndnoteText"/>
      </w:pPr>
      <w:r w:rsidRPr="00505A00">
        <w:rPr>
          <w:rStyle w:val="EndnoteReference"/>
          <w:sz w:val="16"/>
          <w:szCs w:val="16"/>
        </w:rPr>
        <w:endnoteRef/>
      </w:r>
      <w:r w:rsidRPr="00505A00">
        <w:rPr>
          <w:sz w:val="16"/>
          <w:szCs w:val="16"/>
        </w:rPr>
        <w:t xml:space="preserve"> </w:t>
      </w:r>
      <w:r w:rsidRPr="00505A00">
        <w:rPr>
          <w:rFonts w:cstheme="minorHAnsi"/>
          <w:color w:val="333333"/>
          <w:sz w:val="16"/>
          <w:szCs w:val="16"/>
        </w:rPr>
        <w:t>Productivity for prosperity: 'In the long run, it is almost everything', Colford, World Bank Blog (2016)</w:t>
      </w:r>
      <w:r w:rsidRPr="00505A00">
        <w:rPr>
          <w:sz w:val="16"/>
          <w:szCs w:val="16"/>
        </w:rPr>
        <w:t xml:space="preserve"> http://blogs.worldbank.org/psd/productivity-prosperity-long-run-it-almost-everything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546708"/>
      <w:docPartObj>
        <w:docPartGallery w:val="Page Numbers (Bottom of Page)"/>
        <w:docPartUnique/>
      </w:docPartObj>
    </w:sdtPr>
    <w:sdtEndPr>
      <w:rPr>
        <w:noProof/>
      </w:rPr>
    </w:sdtEndPr>
    <w:sdtContent>
      <w:p w:rsidR="00EA5154" w:rsidRDefault="00EA5154">
        <w:pPr>
          <w:pStyle w:val="Footer"/>
          <w:jc w:val="right"/>
        </w:pPr>
        <w:r>
          <w:fldChar w:fldCharType="begin"/>
        </w:r>
        <w:r>
          <w:instrText xml:space="preserve"> PAGE   \* MERGEFORMAT </w:instrText>
        </w:r>
        <w:r>
          <w:fldChar w:fldCharType="separate"/>
        </w:r>
        <w:r w:rsidR="00B76867">
          <w:rPr>
            <w:noProof/>
          </w:rPr>
          <w:t>1</w:t>
        </w:r>
        <w:r>
          <w:rPr>
            <w:noProof/>
          </w:rPr>
          <w:fldChar w:fldCharType="end"/>
        </w:r>
      </w:p>
    </w:sdtContent>
  </w:sdt>
  <w:p w:rsidR="00EA5154" w:rsidRDefault="00EA51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44D" w:rsidRDefault="00C8744D" w:rsidP="0064449E">
      <w:pPr>
        <w:spacing w:after="0" w:line="240" w:lineRule="auto"/>
      </w:pPr>
      <w:r>
        <w:separator/>
      </w:r>
    </w:p>
  </w:footnote>
  <w:footnote w:type="continuationSeparator" w:id="0">
    <w:p w:rsidR="00C8744D" w:rsidRDefault="00C8744D" w:rsidP="0064449E">
      <w:pPr>
        <w:spacing w:after="0" w:line="240" w:lineRule="auto"/>
      </w:pPr>
      <w:r>
        <w:continuationSeparator/>
      </w:r>
    </w:p>
  </w:footnote>
  <w:footnote w:id="1">
    <w:p w:rsidR="007F09F7" w:rsidRDefault="007F09F7">
      <w:pPr>
        <w:pStyle w:val="FootnoteText"/>
      </w:pPr>
      <w:r>
        <w:rPr>
          <w:rStyle w:val="FootnoteReference"/>
        </w:rPr>
        <w:footnoteRef/>
      </w:r>
      <w:r>
        <w:t xml:space="preserve"> </w:t>
      </w:r>
      <w:r w:rsidRPr="00CC3254">
        <w:rPr>
          <w:sz w:val="18"/>
          <w:szCs w:val="18"/>
        </w:rPr>
        <w:t xml:space="preserve">The </w:t>
      </w:r>
      <w:r w:rsidRPr="00F77226">
        <w:rPr>
          <w:b/>
          <w:sz w:val="18"/>
          <w:szCs w:val="18"/>
        </w:rPr>
        <w:t>nomenclature is deliberate</w:t>
      </w:r>
      <w:r w:rsidRPr="00CC3254">
        <w:rPr>
          <w:sz w:val="18"/>
          <w:szCs w:val="18"/>
        </w:rPr>
        <w:t xml:space="preserve">: there are </w:t>
      </w:r>
      <w:r w:rsidR="00CC3254">
        <w:rPr>
          <w:sz w:val="18"/>
          <w:szCs w:val="18"/>
        </w:rPr>
        <w:t xml:space="preserve">recognisable </w:t>
      </w:r>
      <w:r w:rsidRPr="00CC3254">
        <w:rPr>
          <w:b/>
          <w:sz w:val="18"/>
          <w:szCs w:val="18"/>
        </w:rPr>
        <w:t>sectors</w:t>
      </w:r>
      <w:r w:rsidRPr="00CC3254">
        <w:rPr>
          <w:sz w:val="18"/>
          <w:szCs w:val="18"/>
        </w:rPr>
        <w:t xml:space="preserve">: vocational education and training (VET), higher education </w:t>
      </w:r>
      <w:r w:rsidR="00EA4B50">
        <w:rPr>
          <w:sz w:val="18"/>
          <w:szCs w:val="18"/>
        </w:rPr>
        <w:t xml:space="preserve">(HE </w:t>
      </w:r>
      <w:r w:rsidRPr="00CC3254">
        <w:rPr>
          <w:sz w:val="18"/>
          <w:szCs w:val="18"/>
        </w:rPr>
        <w:t>and employers/industries</w:t>
      </w:r>
      <w:r w:rsidR="007926F0">
        <w:rPr>
          <w:sz w:val="18"/>
          <w:szCs w:val="18"/>
        </w:rPr>
        <w:t>,</w:t>
      </w:r>
      <w:r w:rsidR="00CC3254">
        <w:rPr>
          <w:sz w:val="18"/>
          <w:szCs w:val="18"/>
        </w:rPr>
        <w:t xml:space="preserve"> each being a</w:t>
      </w:r>
      <w:r w:rsidRPr="00CC3254">
        <w:rPr>
          <w:sz w:val="18"/>
          <w:szCs w:val="18"/>
        </w:rPr>
        <w:t xml:space="preserve"> component</w:t>
      </w:r>
      <w:r w:rsidR="00CC3254">
        <w:rPr>
          <w:sz w:val="18"/>
          <w:szCs w:val="18"/>
        </w:rPr>
        <w:t xml:space="preserve"> participant </w:t>
      </w:r>
      <w:r w:rsidRPr="00CC3254">
        <w:rPr>
          <w:sz w:val="18"/>
          <w:szCs w:val="18"/>
        </w:rPr>
        <w:t xml:space="preserve">and engage within a </w:t>
      </w:r>
      <w:r w:rsidR="00CC3254" w:rsidRPr="00CC3254">
        <w:rPr>
          <w:sz w:val="18"/>
          <w:szCs w:val="18"/>
        </w:rPr>
        <w:t xml:space="preserve">national </w:t>
      </w:r>
      <w:r w:rsidRPr="00CC3254">
        <w:rPr>
          <w:sz w:val="18"/>
          <w:szCs w:val="18"/>
        </w:rPr>
        <w:t xml:space="preserve">post schooling tertiary ETS </w:t>
      </w:r>
      <w:r w:rsidRPr="00CC3254">
        <w:rPr>
          <w:b/>
          <w:sz w:val="18"/>
          <w:szCs w:val="18"/>
        </w:rPr>
        <w:t>system</w:t>
      </w:r>
      <w:r w:rsidR="00CC3254" w:rsidRPr="00CC3254">
        <w:rPr>
          <w:b/>
          <w:sz w:val="18"/>
          <w:szCs w:val="18"/>
        </w:rPr>
        <w:t>.</w:t>
      </w:r>
    </w:p>
  </w:footnote>
  <w:footnote w:id="2">
    <w:p w:rsidR="00862264" w:rsidRPr="00862264" w:rsidRDefault="00862264" w:rsidP="00862264">
      <w:pPr>
        <w:pStyle w:val="ListParagraph"/>
        <w:spacing w:after="120" w:line="300" w:lineRule="exact"/>
        <w:ind w:left="0"/>
        <w:rPr>
          <w:rFonts w:eastAsia="Times New Roman" w:cstheme="minorHAnsi"/>
          <w:sz w:val="18"/>
          <w:szCs w:val="18"/>
          <w:lang w:eastAsia="en-AU"/>
        </w:rPr>
      </w:pPr>
      <w:r>
        <w:rPr>
          <w:rStyle w:val="FootnoteReference"/>
        </w:rPr>
        <w:footnoteRef/>
      </w:r>
      <w:r>
        <w:t xml:space="preserve"> </w:t>
      </w:r>
      <w:r w:rsidRPr="00862264">
        <w:rPr>
          <w:rFonts w:eastAsia="Times New Roman" w:cstheme="minorHAnsi"/>
          <w:sz w:val="18"/>
          <w:szCs w:val="18"/>
          <w:lang w:eastAsia="en-AU"/>
        </w:rPr>
        <w:t xml:space="preserve">Student loans financed by government for VET-type level qualifications are standard in other countries such as in Canada.  </w:t>
      </w:r>
    </w:p>
    <w:p w:rsidR="00862264" w:rsidRDefault="0086226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0"/>
        <w:szCs w:val="20"/>
      </w:rPr>
      <w:alias w:val="Title"/>
      <w:id w:val="77738743"/>
      <w:placeholder>
        <w:docPart w:val="60335232E22B44E486334A9BCAA039C0"/>
      </w:placeholder>
      <w:dataBinding w:prefixMappings="xmlns:ns0='http://schemas.openxmlformats.org/package/2006/metadata/core-properties' xmlns:ns1='http://purl.org/dc/elements/1.1/'" w:xpath="/ns0:coreProperties[1]/ns1:title[1]" w:storeItemID="{6C3C8BC8-F283-45AE-878A-BAB7291924A1}"/>
      <w:text/>
    </w:sdtPr>
    <w:sdtEndPr/>
    <w:sdtContent>
      <w:p w:rsidR="00EA4B50" w:rsidRDefault="00B7686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20"/>
            <w:szCs w:val="20"/>
          </w:rPr>
          <w:t>Submission 3 - JCSF Consulting Pty Ltd - Skills and Workforce Development Agreement - Commissioned study</w:t>
        </w:r>
      </w:p>
    </w:sdtContent>
  </w:sdt>
  <w:p w:rsidR="00EA4B50" w:rsidRDefault="00EA4B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D5918"/>
    <w:multiLevelType w:val="hybridMultilevel"/>
    <w:tmpl w:val="8BE20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A808F3"/>
    <w:multiLevelType w:val="hybridMultilevel"/>
    <w:tmpl w:val="81C27D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FA10972"/>
    <w:multiLevelType w:val="hybridMultilevel"/>
    <w:tmpl w:val="822C32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7E6422C"/>
    <w:multiLevelType w:val="hybridMultilevel"/>
    <w:tmpl w:val="0A62A0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CCF184E"/>
    <w:multiLevelType w:val="hybridMultilevel"/>
    <w:tmpl w:val="9A181006"/>
    <w:lvl w:ilvl="0" w:tplc="CB38D62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7A9F0213"/>
    <w:multiLevelType w:val="hybridMultilevel"/>
    <w:tmpl w:val="8EA27EA4"/>
    <w:lvl w:ilvl="0" w:tplc="B650BD4C">
      <w:start w:val="1"/>
      <w:numFmt w:val="lowerLetter"/>
      <w:lvlText w:val="(%1)"/>
      <w:lvlJc w:val="left"/>
      <w:pPr>
        <w:ind w:left="720" w:hanging="360"/>
      </w:pPr>
      <w:rPr>
        <w:rFonts w:eastAsia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FA3700A"/>
    <w:multiLevelType w:val="hybridMultilevel"/>
    <w:tmpl w:val="D66EDEE4"/>
    <w:lvl w:ilvl="0" w:tplc="26F4CB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280"/>
    <w:rsid w:val="00004D07"/>
    <w:rsid w:val="000219EF"/>
    <w:rsid w:val="00022F4B"/>
    <w:rsid w:val="000256DF"/>
    <w:rsid w:val="00026F0A"/>
    <w:rsid w:val="00035B5E"/>
    <w:rsid w:val="00054E01"/>
    <w:rsid w:val="000809AF"/>
    <w:rsid w:val="000B363F"/>
    <w:rsid w:val="000B7866"/>
    <w:rsid w:val="000F2D39"/>
    <w:rsid w:val="000F4090"/>
    <w:rsid w:val="000F7AAA"/>
    <w:rsid w:val="0010281F"/>
    <w:rsid w:val="00102833"/>
    <w:rsid w:val="0011281A"/>
    <w:rsid w:val="00123397"/>
    <w:rsid w:val="00142939"/>
    <w:rsid w:val="00142E6C"/>
    <w:rsid w:val="001574E4"/>
    <w:rsid w:val="00170566"/>
    <w:rsid w:val="00174C46"/>
    <w:rsid w:val="00185968"/>
    <w:rsid w:val="00196A41"/>
    <w:rsid w:val="001A4D12"/>
    <w:rsid w:val="001B6116"/>
    <w:rsid w:val="001C0A94"/>
    <w:rsid w:val="001F254D"/>
    <w:rsid w:val="001F3E64"/>
    <w:rsid w:val="001F5F62"/>
    <w:rsid w:val="00200F3A"/>
    <w:rsid w:val="00205111"/>
    <w:rsid w:val="00224A96"/>
    <w:rsid w:val="0022577F"/>
    <w:rsid w:val="00233FD0"/>
    <w:rsid w:val="00234A33"/>
    <w:rsid w:val="002363EF"/>
    <w:rsid w:val="002379AF"/>
    <w:rsid w:val="0024544C"/>
    <w:rsid w:val="002466D9"/>
    <w:rsid w:val="00255A0A"/>
    <w:rsid w:val="00263C22"/>
    <w:rsid w:val="00271FD9"/>
    <w:rsid w:val="0027679C"/>
    <w:rsid w:val="00281734"/>
    <w:rsid w:val="00284B8F"/>
    <w:rsid w:val="002931EE"/>
    <w:rsid w:val="00294CC3"/>
    <w:rsid w:val="00297916"/>
    <w:rsid w:val="002B19FF"/>
    <w:rsid w:val="002C5430"/>
    <w:rsid w:val="002D7EB6"/>
    <w:rsid w:val="002E4A51"/>
    <w:rsid w:val="003115A9"/>
    <w:rsid w:val="00313B71"/>
    <w:rsid w:val="00315371"/>
    <w:rsid w:val="00316788"/>
    <w:rsid w:val="00344B1E"/>
    <w:rsid w:val="0035007A"/>
    <w:rsid w:val="00352CD0"/>
    <w:rsid w:val="00371B83"/>
    <w:rsid w:val="00372035"/>
    <w:rsid w:val="00381A66"/>
    <w:rsid w:val="00387A47"/>
    <w:rsid w:val="003932F7"/>
    <w:rsid w:val="003C1BEB"/>
    <w:rsid w:val="003C4663"/>
    <w:rsid w:val="003E2A81"/>
    <w:rsid w:val="00406091"/>
    <w:rsid w:val="004230E7"/>
    <w:rsid w:val="00424967"/>
    <w:rsid w:val="004308C0"/>
    <w:rsid w:val="0043500D"/>
    <w:rsid w:val="0045080B"/>
    <w:rsid w:val="00450CA3"/>
    <w:rsid w:val="00451347"/>
    <w:rsid w:val="00452AB0"/>
    <w:rsid w:val="00452E8D"/>
    <w:rsid w:val="004639CF"/>
    <w:rsid w:val="004718A3"/>
    <w:rsid w:val="00483164"/>
    <w:rsid w:val="004A3E7B"/>
    <w:rsid w:val="004A7280"/>
    <w:rsid w:val="004C778D"/>
    <w:rsid w:val="004E7146"/>
    <w:rsid w:val="00515837"/>
    <w:rsid w:val="00520A58"/>
    <w:rsid w:val="005320F4"/>
    <w:rsid w:val="00551CD8"/>
    <w:rsid w:val="005554AD"/>
    <w:rsid w:val="005653EF"/>
    <w:rsid w:val="0057418C"/>
    <w:rsid w:val="00597064"/>
    <w:rsid w:val="005E01E1"/>
    <w:rsid w:val="005E1293"/>
    <w:rsid w:val="006009D6"/>
    <w:rsid w:val="00607A2A"/>
    <w:rsid w:val="00614D18"/>
    <w:rsid w:val="0064449E"/>
    <w:rsid w:val="00647F04"/>
    <w:rsid w:val="0065408C"/>
    <w:rsid w:val="00657250"/>
    <w:rsid w:val="00657A2F"/>
    <w:rsid w:val="00673D8C"/>
    <w:rsid w:val="00681A1B"/>
    <w:rsid w:val="00685446"/>
    <w:rsid w:val="006931C1"/>
    <w:rsid w:val="006A5660"/>
    <w:rsid w:val="006B4FC2"/>
    <w:rsid w:val="006B5797"/>
    <w:rsid w:val="006D7594"/>
    <w:rsid w:val="006E14D5"/>
    <w:rsid w:val="006E5F00"/>
    <w:rsid w:val="006F5CC0"/>
    <w:rsid w:val="00722DC8"/>
    <w:rsid w:val="007267ED"/>
    <w:rsid w:val="007413E6"/>
    <w:rsid w:val="00752B1A"/>
    <w:rsid w:val="007925A8"/>
    <w:rsid w:val="007926F0"/>
    <w:rsid w:val="0079306F"/>
    <w:rsid w:val="007A0B24"/>
    <w:rsid w:val="007A3C96"/>
    <w:rsid w:val="007A491B"/>
    <w:rsid w:val="007C3967"/>
    <w:rsid w:val="007D4727"/>
    <w:rsid w:val="007E0521"/>
    <w:rsid w:val="007E5E6F"/>
    <w:rsid w:val="007F076A"/>
    <w:rsid w:val="007F09F7"/>
    <w:rsid w:val="007F2754"/>
    <w:rsid w:val="008021A3"/>
    <w:rsid w:val="00810BD7"/>
    <w:rsid w:val="00830184"/>
    <w:rsid w:val="00832B68"/>
    <w:rsid w:val="00837517"/>
    <w:rsid w:val="0084647C"/>
    <w:rsid w:val="00854A5A"/>
    <w:rsid w:val="00862264"/>
    <w:rsid w:val="0086440A"/>
    <w:rsid w:val="00866507"/>
    <w:rsid w:val="00886B70"/>
    <w:rsid w:val="0088779C"/>
    <w:rsid w:val="00890F4A"/>
    <w:rsid w:val="008B1F8D"/>
    <w:rsid w:val="008B1FC7"/>
    <w:rsid w:val="008B7428"/>
    <w:rsid w:val="008C03B7"/>
    <w:rsid w:val="008C3495"/>
    <w:rsid w:val="008E55B3"/>
    <w:rsid w:val="008F4553"/>
    <w:rsid w:val="0094636D"/>
    <w:rsid w:val="00961C11"/>
    <w:rsid w:val="0097619B"/>
    <w:rsid w:val="009768F6"/>
    <w:rsid w:val="00977B90"/>
    <w:rsid w:val="009816FC"/>
    <w:rsid w:val="009846CA"/>
    <w:rsid w:val="00995CE1"/>
    <w:rsid w:val="009A0B72"/>
    <w:rsid w:val="009D1AB5"/>
    <w:rsid w:val="009D451A"/>
    <w:rsid w:val="009E1452"/>
    <w:rsid w:val="009E2996"/>
    <w:rsid w:val="00A5228A"/>
    <w:rsid w:val="00A8759A"/>
    <w:rsid w:val="00A94CE4"/>
    <w:rsid w:val="00AA2EB5"/>
    <w:rsid w:val="00AA4122"/>
    <w:rsid w:val="00AC32B4"/>
    <w:rsid w:val="00AC3F9E"/>
    <w:rsid w:val="00AF510A"/>
    <w:rsid w:val="00B02651"/>
    <w:rsid w:val="00B104CF"/>
    <w:rsid w:val="00B26DCC"/>
    <w:rsid w:val="00B31838"/>
    <w:rsid w:val="00B51799"/>
    <w:rsid w:val="00B63DB4"/>
    <w:rsid w:val="00B65647"/>
    <w:rsid w:val="00B669DE"/>
    <w:rsid w:val="00B76867"/>
    <w:rsid w:val="00B7796B"/>
    <w:rsid w:val="00B83554"/>
    <w:rsid w:val="00B84AA8"/>
    <w:rsid w:val="00B96E49"/>
    <w:rsid w:val="00BB3637"/>
    <w:rsid w:val="00BC0628"/>
    <w:rsid w:val="00BC115E"/>
    <w:rsid w:val="00BC241A"/>
    <w:rsid w:val="00BD1FC2"/>
    <w:rsid w:val="00BE0863"/>
    <w:rsid w:val="00BE508B"/>
    <w:rsid w:val="00BF1D70"/>
    <w:rsid w:val="00BF5AE6"/>
    <w:rsid w:val="00BF6A66"/>
    <w:rsid w:val="00C07909"/>
    <w:rsid w:val="00C257FD"/>
    <w:rsid w:val="00C46EC3"/>
    <w:rsid w:val="00C509CA"/>
    <w:rsid w:val="00C546B3"/>
    <w:rsid w:val="00C57B6F"/>
    <w:rsid w:val="00C621EC"/>
    <w:rsid w:val="00C66C19"/>
    <w:rsid w:val="00C8744D"/>
    <w:rsid w:val="00CA7CA3"/>
    <w:rsid w:val="00CB7473"/>
    <w:rsid w:val="00CC2362"/>
    <w:rsid w:val="00CC3254"/>
    <w:rsid w:val="00CD1371"/>
    <w:rsid w:val="00CF1618"/>
    <w:rsid w:val="00CF3F3F"/>
    <w:rsid w:val="00D22D4F"/>
    <w:rsid w:val="00D33A03"/>
    <w:rsid w:val="00D3708D"/>
    <w:rsid w:val="00D562D4"/>
    <w:rsid w:val="00D57733"/>
    <w:rsid w:val="00D8418E"/>
    <w:rsid w:val="00D93957"/>
    <w:rsid w:val="00D96240"/>
    <w:rsid w:val="00D9749F"/>
    <w:rsid w:val="00D97BB3"/>
    <w:rsid w:val="00DA0D45"/>
    <w:rsid w:val="00DA365B"/>
    <w:rsid w:val="00DA41A3"/>
    <w:rsid w:val="00DA5AFE"/>
    <w:rsid w:val="00DB420A"/>
    <w:rsid w:val="00DC2586"/>
    <w:rsid w:val="00DC6928"/>
    <w:rsid w:val="00DD473C"/>
    <w:rsid w:val="00DD6E5B"/>
    <w:rsid w:val="00DE18A5"/>
    <w:rsid w:val="00DF268D"/>
    <w:rsid w:val="00DF6BAE"/>
    <w:rsid w:val="00E05DDE"/>
    <w:rsid w:val="00E20060"/>
    <w:rsid w:val="00E247A9"/>
    <w:rsid w:val="00E37391"/>
    <w:rsid w:val="00E3757A"/>
    <w:rsid w:val="00E41098"/>
    <w:rsid w:val="00E64EFB"/>
    <w:rsid w:val="00E65076"/>
    <w:rsid w:val="00E659E5"/>
    <w:rsid w:val="00E94562"/>
    <w:rsid w:val="00E963EC"/>
    <w:rsid w:val="00E97A0C"/>
    <w:rsid w:val="00E97CF9"/>
    <w:rsid w:val="00E97FB1"/>
    <w:rsid w:val="00EA26B1"/>
    <w:rsid w:val="00EA4B50"/>
    <w:rsid w:val="00EA5154"/>
    <w:rsid w:val="00EA7A95"/>
    <w:rsid w:val="00EC148E"/>
    <w:rsid w:val="00EC73F2"/>
    <w:rsid w:val="00EC788A"/>
    <w:rsid w:val="00ED1E9B"/>
    <w:rsid w:val="00ED3871"/>
    <w:rsid w:val="00EF3A45"/>
    <w:rsid w:val="00F006AD"/>
    <w:rsid w:val="00F01C7B"/>
    <w:rsid w:val="00F14FE0"/>
    <w:rsid w:val="00F16B30"/>
    <w:rsid w:val="00F32392"/>
    <w:rsid w:val="00F71472"/>
    <w:rsid w:val="00F77226"/>
    <w:rsid w:val="00F84A03"/>
    <w:rsid w:val="00F85D28"/>
    <w:rsid w:val="00F94165"/>
    <w:rsid w:val="00FE3742"/>
    <w:rsid w:val="00FE749C"/>
    <w:rsid w:val="00FF40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3E7BEB-0F8C-48CD-86A7-3EDC337E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3F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62D4"/>
    <w:rPr>
      <w:color w:val="0000FF" w:themeColor="hyperlink"/>
      <w:u w:val="single"/>
    </w:rPr>
  </w:style>
  <w:style w:type="paragraph" w:styleId="ListParagraph">
    <w:name w:val="List Paragraph"/>
    <w:basedOn w:val="Normal"/>
    <w:uiPriority w:val="34"/>
    <w:qFormat/>
    <w:rsid w:val="00483164"/>
    <w:pPr>
      <w:ind w:left="720"/>
      <w:contextualSpacing/>
    </w:pPr>
  </w:style>
  <w:style w:type="character" w:customStyle="1" w:styleId="page-headerauthors">
    <w:name w:val="page-header__authors"/>
    <w:basedOn w:val="DefaultParagraphFont"/>
    <w:rsid w:val="00E3757A"/>
  </w:style>
  <w:style w:type="character" w:customStyle="1" w:styleId="page-headerpublicationtype">
    <w:name w:val="page-header__publicationtype"/>
    <w:basedOn w:val="DefaultParagraphFont"/>
    <w:rsid w:val="00E3757A"/>
  </w:style>
  <w:style w:type="character" w:customStyle="1" w:styleId="page-headerdate">
    <w:name w:val="page-header__date"/>
    <w:basedOn w:val="DefaultParagraphFont"/>
    <w:rsid w:val="00E3757A"/>
  </w:style>
  <w:style w:type="character" w:styleId="Strong">
    <w:name w:val="Strong"/>
    <w:basedOn w:val="DefaultParagraphFont"/>
    <w:uiPriority w:val="22"/>
    <w:qFormat/>
    <w:rsid w:val="00E3757A"/>
    <w:rPr>
      <w:b/>
      <w:bCs/>
    </w:rPr>
  </w:style>
  <w:style w:type="character" w:styleId="FollowedHyperlink">
    <w:name w:val="FollowedHyperlink"/>
    <w:basedOn w:val="DefaultParagraphFont"/>
    <w:uiPriority w:val="99"/>
    <w:semiHidden/>
    <w:unhideWhenUsed/>
    <w:rsid w:val="004308C0"/>
    <w:rPr>
      <w:color w:val="800080" w:themeColor="followedHyperlink"/>
      <w:u w:val="single"/>
    </w:rPr>
  </w:style>
  <w:style w:type="paragraph" w:styleId="Header">
    <w:name w:val="header"/>
    <w:basedOn w:val="Normal"/>
    <w:link w:val="HeaderChar"/>
    <w:uiPriority w:val="99"/>
    <w:unhideWhenUsed/>
    <w:rsid w:val="00644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49E"/>
  </w:style>
  <w:style w:type="paragraph" w:styleId="Footer">
    <w:name w:val="footer"/>
    <w:basedOn w:val="Normal"/>
    <w:link w:val="FooterChar"/>
    <w:uiPriority w:val="99"/>
    <w:unhideWhenUsed/>
    <w:rsid w:val="00644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49E"/>
  </w:style>
  <w:style w:type="character" w:customStyle="1" w:styleId="Heading1Char">
    <w:name w:val="Heading 1 Char"/>
    <w:basedOn w:val="DefaultParagraphFont"/>
    <w:link w:val="Heading1"/>
    <w:uiPriority w:val="9"/>
    <w:rsid w:val="00CF3F3F"/>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uiPriority w:val="99"/>
    <w:semiHidden/>
    <w:unhideWhenUsed/>
    <w:rsid w:val="00C509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09CA"/>
    <w:rPr>
      <w:sz w:val="20"/>
      <w:szCs w:val="20"/>
    </w:rPr>
  </w:style>
  <w:style w:type="character" w:styleId="EndnoteReference">
    <w:name w:val="endnote reference"/>
    <w:basedOn w:val="DefaultParagraphFont"/>
    <w:uiPriority w:val="99"/>
    <w:semiHidden/>
    <w:unhideWhenUsed/>
    <w:rsid w:val="00C509CA"/>
    <w:rPr>
      <w:vertAlign w:val="superscript"/>
    </w:rPr>
  </w:style>
  <w:style w:type="paragraph" w:styleId="FootnoteText">
    <w:name w:val="footnote text"/>
    <w:basedOn w:val="Normal"/>
    <w:link w:val="FootnoteTextChar"/>
    <w:uiPriority w:val="99"/>
    <w:semiHidden/>
    <w:unhideWhenUsed/>
    <w:rsid w:val="007F09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09F7"/>
    <w:rPr>
      <w:sz w:val="20"/>
      <w:szCs w:val="20"/>
    </w:rPr>
  </w:style>
  <w:style w:type="character" w:styleId="FootnoteReference">
    <w:name w:val="footnote reference"/>
    <w:basedOn w:val="DefaultParagraphFont"/>
    <w:uiPriority w:val="99"/>
    <w:semiHidden/>
    <w:unhideWhenUsed/>
    <w:rsid w:val="007F09F7"/>
    <w:rPr>
      <w:vertAlign w:val="superscript"/>
    </w:rPr>
  </w:style>
  <w:style w:type="paragraph" w:styleId="NormalWeb">
    <w:name w:val="Normal (Web)"/>
    <w:basedOn w:val="Normal"/>
    <w:uiPriority w:val="99"/>
    <w:semiHidden/>
    <w:unhideWhenUsed/>
    <w:rsid w:val="00647F0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24kjd">
    <w:name w:val="e24kjd"/>
    <w:basedOn w:val="DefaultParagraphFont"/>
    <w:rsid w:val="008C3495"/>
  </w:style>
  <w:style w:type="character" w:customStyle="1" w:styleId="kx21rb">
    <w:name w:val="kx21rb"/>
    <w:basedOn w:val="DefaultParagraphFont"/>
    <w:rsid w:val="008C3495"/>
  </w:style>
  <w:style w:type="paragraph" w:styleId="BalloonText">
    <w:name w:val="Balloon Text"/>
    <w:basedOn w:val="Normal"/>
    <w:link w:val="BalloonTextChar"/>
    <w:uiPriority w:val="99"/>
    <w:semiHidden/>
    <w:unhideWhenUsed/>
    <w:rsid w:val="00EA4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B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6452">
      <w:bodyDiv w:val="1"/>
      <w:marLeft w:val="0"/>
      <w:marRight w:val="0"/>
      <w:marTop w:val="0"/>
      <w:marBottom w:val="0"/>
      <w:divBdr>
        <w:top w:val="none" w:sz="0" w:space="0" w:color="auto"/>
        <w:left w:val="none" w:sz="0" w:space="0" w:color="auto"/>
        <w:bottom w:val="none" w:sz="0" w:space="0" w:color="auto"/>
        <w:right w:val="none" w:sz="0" w:space="0" w:color="auto"/>
      </w:divBdr>
    </w:div>
    <w:div w:id="344744141">
      <w:bodyDiv w:val="1"/>
      <w:marLeft w:val="0"/>
      <w:marRight w:val="0"/>
      <w:marTop w:val="0"/>
      <w:marBottom w:val="0"/>
      <w:divBdr>
        <w:top w:val="none" w:sz="0" w:space="0" w:color="auto"/>
        <w:left w:val="none" w:sz="0" w:space="0" w:color="auto"/>
        <w:bottom w:val="none" w:sz="0" w:space="0" w:color="auto"/>
        <w:right w:val="none" w:sz="0" w:space="0" w:color="auto"/>
      </w:divBdr>
    </w:div>
    <w:div w:id="1620071038">
      <w:bodyDiv w:val="1"/>
      <w:marLeft w:val="0"/>
      <w:marRight w:val="0"/>
      <w:marTop w:val="0"/>
      <w:marBottom w:val="0"/>
      <w:divBdr>
        <w:top w:val="none" w:sz="0" w:space="0" w:color="auto"/>
        <w:left w:val="none" w:sz="0" w:space="0" w:color="auto"/>
        <w:bottom w:val="none" w:sz="0" w:space="0" w:color="auto"/>
        <w:right w:val="none" w:sz="0" w:space="0" w:color="auto"/>
      </w:divBdr>
      <w:divsChild>
        <w:div w:id="1638609833">
          <w:marLeft w:val="0"/>
          <w:marRight w:val="0"/>
          <w:marTop w:val="0"/>
          <w:marBottom w:val="0"/>
          <w:divBdr>
            <w:top w:val="none" w:sz="0" w:space="0" w:color="auto"/>
            <w:left w:val="none" w:sz="0" w:space="0" w:color="auto"/>
            <w:bottom w:val="none" w:sz="0" w:space="0" w:color="auto"/>
            <w:right w:val="none" w:sz="0" w:space="0" w:color="auto"/>
          </w:divBdr>
          <w:divsChild>
            <w:div w:id="2018073369">
              <w:marLeft w:val="0"/>
              <w:marRight w:val="0"/>
              <w:marTop w:val="0"/>
              <w:marBottom w:val="0"/>
              <w:divBdr>
                <w:top w:val="none" w:sz="0" w:space="0" w:color="auto"/>
                <w:left w:val="none" w:sz="0" w:space="0" w:color="auto"/>
                <w:bottom w:val="none" w:sz="0" w:space="0" w:color="auto"/>
                <w:right w:val="none" w:sz="0" w:space="0" w:color="auto"/>
              </w:divBdr>
              <w:divsChild>
                <w:div w:id="213340027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8770635">
                      <w:marLeft w:val="0"/>
                      <w:marRight w:val="0"/>
                      <w:marTop w:val="0"/>
                      <w:marBottom w:val="0"/>
                      <w:divBdr>
                        <w:top w:val="none" w:sz="0" w:space="0" w:color="auto"/>
                        <w:left w:val="none" w:sz="0" w:space="0" w:color="auto"/>
                        <w:bottom w:val="none" w:sz="0" w:space="0" w:color="auto"/>
                        <w:right w:val="none" w:sz="0" w:space="0" w:color="auto"/>
                      </w:divBdr>
                      <w:divsChild>
                        <w:div w:id="1146315941">
                          <w:marLeft w:val="0"/>
                          <w:marRight w:val="0"/>
                          <w:marTop w:val="0"/>
                          <w:marBottom w:val="0"/>
                          <w:divBdr>
                            <w:top w:val="none" w:sz="0" w:space="0" w:color="auto"/>
                            <w:left w:val="none" w:sz="0" w:space="0" w:color="auto"/>
                            <w:bottom w:val="none" w:sz="0" w:space="0" w:color="auto"/>
                            <w:right w:val="none" w:sz="0" w:space="0" w:color="auto"/>
                          </w:divBdr>
                          <w:divsChild>
                            <w:div w:id="11995875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7774057">
                                  <w:marLeft w:val="0"/>
                                  <w:marRight w:val="0"/>
                                  <w:marTop w:val="0"/>
                                  <w:marBottom w:val="0"/>
                                  <w:divBdr>
                                    <w:top w:val="none" w:sz="0" w:space="0" w:color="auto"/>
                                    <w:left w:val="none" w:sz="0" w:space="0" w:color="auto"/>
                                    <w:bottom w:val="none" w:sz="0" w:space="0" w:color="auto"/>
                                    <w:right w:val="none" w:sz="0" w:space="0" w:color="auto"/>
                                  </w:divBdr>
                                </w:div>
                                <w:div w:id="381517725">
                                  <w:marLeft w:val="0"/>
                                  <w:marRight w:val="0"/>
                                  <w:marTop w:val="0"/>
                                  <w:marBottom w:val="0"/>
                                  <w:divBdr>
                                    <w:top w:val="none" w:sz="0" w:space="0" w:color="auto"/>
                                    <w:left w:val="none" w:sz="0" w:space="0" w:color="auto"/>
                                    <w:bottom w:val="none" w:sz="0" w:space="0" w:color="auto"/>
                                    <w:right w:val="none" w:sz="0" w:space="0" w:color="auto"/>
                                  </w:divBdr>
                                </w:div>
                                <w:div w:id="1539125842">
                                  <w:marLeft w:val="0"/>
                                  <w:marRight w:val="0"/>
                                  <w:marTop w:val="0"/>
                                  <w:marBottom w:val="0"/>
                                  <w:divBdr>
                                    <w:top w:val="none" w:sz="0" w:space="0" w:color="auto"/>
                                    <w:left w:val="none" w:sz="0" w:space="0" w:color="auto"/>
                                    <w:bottom w:val="none" w:sz="0" w:space="0" w:color="auto"/>
                                    <w:right w:val="none" w:sz="0" w:space="0" w:color="auto"/>
                                  </w:divBdr>
                                </w:div>
                                <w:div w:id="2093352801">
                                  <w:marLeft w:val="0"/>
                                  <w:marRight w:val="0"/>
                                  <w:marTop w:val="0"/>
                                  <w:marBottom w:val="0"/>
                                  <w:divBdr>
                                    <w:top w:val="none" w:sz="0" w:space="0" w:color="auto"/>
                                    <w:left w:val="none" w:sz="0" w:space="0" w:color="auto"/>
                                    <w:bottom w:val="none" w:sz="0" w:space="0" w:color="auto"/>
                                    <w:right w:val="none" w:sz="0" w:space="0" w:color="auto"/>
                                  </w:divBdr>
                                </w:div>
                                <w:div w:id="219831302">
                                  <w:marLeft w:val="0"/>
                                  <w:marRight w:val="0"/>
                                  <w:marTop w:val="0"/>
                                  <w:marBottom w:val="0"/>
                                  <w:divBdr>
                                    <w:top w:val="none" w:sz="0" w:space="0" w:color="auto"/>
                                    <w:left w:val="none" w:sz="0" w:space="0" w:color="auto"/>
                                    <w:bottom w:val="none" w:sz="0" w:space="0" w:color="auto"/>
                                    <w:right w:val="none" w:sz="0" w:space="0" w:color="auto"/>
                                  </w:divBdr>
                                </w:div>
                                <w:div w:id="1652637576">
                                  <w:marLeft w:val="0"/>
                                  <w:marRight w:val="0"/>
                                  <w:marTop w:val="0"/>
                                  <w:marBottom w:val="0"/>
                                  <w:divBdr>
                                    <w:top w:val="none" w:sz="0" w:space="0" w:color="auto"/>
                                    <w:left w:val="none" w:sz="0" w:space="0" w:color="auto"/>
                                    <w:bottom w:val="none" w:sz="0" w:space="0" w:color="auto"/>
                                    <w:right w:val="none" w:sz="0" w:space="0" w:color="auto"/>
                                  </w:divBdr>
                                </w:div>
                                <w:div w:id="1784033211">
                                  <w:marLeft w:val="0"/>
                                  <w:marRight w:val="0"/>
                                  <w:marTop w:val="0"/>
                                  <w:marBottom w:val="0"/>
                                  <w:divBdr>
                                    <w:top w:val="none" w:sz="0" w:space="0" w:color="auto"/>
                                    <w:left w:val="none" w:sz="0" w:space="0" w:color="auto"/>
                                    <w:bottom w:val="none" w:sz="0" w:space="0" w:color="auto"/>
                                    <w:right w:val="none" w:sz="0" w:space="0" w:color="auto"/>
                                  </w:divBdr>
                                </w:div>
                                <w:div w:id="763771460">
                                  <w:marLeft w:val="0"/>
                                  <w:marRight w:val="0"/>
                                  <w:marTop w:val="0"/>
                                  <w:marBottom w:val="0"/>
                                  <w:divBdr>
                                    <w:top w:val="none" w:sz="0" w:space="0" w:color="auto"/>
                                    <w:left w:val="none" w:sz="0" w:space="0" w:color="auto"/>
                                    <w:bottom w:val="none" w:sz="0" w:space="0" w:color="auto"/>
                                    <w:right w:val="none" w:sz="0" w:space="0" w:color="auto"/>
                                  </w:divBdr>
                                </w:div>
                                <w:div w:id="1689023012">
                                  <w:marLeft w:val="0"/>
                                  <w:marRight w:val="0"/>
                                  <w:marTop w:val="0"/>
                                  <w:marBottom w:val="0"/>
                                  <w:divBdr>
                                    <w:top w:val="none" w:sz="0" w:space="0" w:color="auto"/>
                                    <w:left w:val="none" w:sz="0" w:space="0" w:color="auto"/>
                                    <w:bottom w:val="none" w:sz="0" w:space="0" w:color="auto"/>
                                    <w:right w:val="none" w:sz="0" w:space="0" w:color="auto"/>
                                  </w:divBdr>
                                </w:div>
                                <w:div w:id="1715155996">
                                  <w:marLeft w:val="0"/>
                                  <w:marRight w:val="0"/>
                                  <w:marTop w:val="0"/>
                                  <w:marBottom w:val="0"/>
                                  <w:divBdr>
                                    <w:top w:val="none" w:sz="0" w:space="0" w:color="auto"/>
                                    <w:left w:val="none" w:sz="0" w:space="0" w:color="auto"/>
                                    <w:bottom w:val="none" w:sz="0" w:space="0" w:color="auto"/>
                                    <w:right w:val="none" w:sz="0" w:space="0" w:color="auto"/>
                                  </w:divBdr>
                                </w:div>
                                <w:div w:id="1040595056">
                                  <w:marLeft w:val="0"/>
                                  <w:marRight w:val="0"/>
                                  <w:marTop w:val="0"/>
                                  <w:marBottom w:val="0"/>
                                  <w:divBdr>
                                    <w:top w:val="none" w:sz="0" w:space="0" w:color="auto"/>
                                    <w:left w:val="none" w:sz="0" w:space="0" w:color="auto"/>
                                    <w:bottom w:val="none" w:sz="0" w:space="0" w:color="auto"/>
                                    <w:right w:val="none" w:sz="0" w:space="0" w:color="auto"/>
                                  </w:divBdr>
                                </w:div>
                                <w:div w:id="961886063">
                                  <w:marLeft w:val="0"/>
                                  <w:marRight w:val="0"/>
                                  <w:marTop w:val="0"/>
                                  <w:marBottom w:val="0"/>
                                  <w:divBdr>
                                    <w:top w:val="none" w:sz="0" w:space="0" w:color="auto"/>
                                    <w:left w:val="none" w:sz="0" w:space="0" w:color="auto"/>
                                    <w:bottom w:val="none" w:sz="0" w:space="0" w:color="auto"/>
                                    <w:right w:val="none" w:sz="0" w:space="0" w:color="auto"/>
                                  </w:divBdr>
                                </w:div>
                                <w:div w:id="1131556894">
                                  <w:marLeft w:val="0"/>
                                  <w:marRight w:val="0"/>
                                  <w:marTop w:val="0"/>
                                  <w:marBottom w:val="0"/>
                                  <w:divBdr>
                                    <w:top w:val="none" w:sz="0" w:space="0" w:color="auto"/>
                                    <w:left w:val="none" w:sz="0" w:space="0" w:color="auto"/>
                                    <w:bottom w:val="none" w:sz="0" w:space="0" w:color="auto"/>
                                    <w:right w:val="none" w:sz="0" w:space="0" w:color="auto"/>
                                  </w:divBdr>
                                </w:div>
                                <w:div w:id="1952782187">
                                  <w:marLeft w:val="0"/>
                                  <w:marRight w:val="0"/>
                                  <w:marTop w:val="0"/>
                                  <w:marBottom w:val="0"/>
                                  <w:divBdr>
                                    <w:top w:val="none" w:sz="0" w:space="0" w:color="auto"/>
                                    <w:left w:val="none" w:sz="0" w:space="0" w:color="auto"/>
                                    <w:bottom w:val="none" w:sz="0" w:space="0" w:color="auto"/>
                                    <w:right w:val="none" w:sz="0" w:space="0" w:color="auto"/>
                                  </w:divBdr>
                                </w:div>
                                <w:div w:id="5597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180">
          <w:marLeft w:val="0"/>
          <w:marRight w:val="0"/>
          <w:marTop w:val="0"/>
          <w:marBottom w:val="0"/>
          <w:divBdr>
            <w:top w:val="none" w:sz="0" w:space="0" w:color="auto"/>
            <w:left w:val="none" w:sz="0" w:space="0" w:color="auto"/>
            <w:bottom w:val="none" w:sz="0" w:space="0" w:color="auto"/>
            <w:right w:val="none" w:sz="0" w:space="0" w:color="auto"/>
          </w:divBdr>
          <w:divsChild>
            <w:div w:id="1357849840">
              <w:marLeft w:val="0"/>
              <w:marRight w:val="0"/>
              <w:marTop w:val="0"/>
              <w:marBottom w:val="0"/>
              <w:divBdr>
                <w:top w:val="none" w:sz="0" w:space="0" w:color="auto"/>
                <w:left w:val="none" w:sz="0" w:space="0" w:color="auto"/>
                <w:bottom w:val="none" w:sz="0" w:space="0" w:color="auto"/>
                <w:right w:val="none" w:sz="0" w:space="0" w:color="auto"/>
              </w:divBdr>
              <w:divsChild>
                <w:div w:id="109847971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38124144">
                      <w:marLeft w:val="0"/>
                      <w:marRight w:val="0"/>
                      <w:marTop w:val="0"/>
                      <w:marBottom w:val="0"/>
                      <w:divBdr>
                        <w:top w:val="none" w:sz="0" w:space="0" w:color="auto"/>
                        <w:left w:val="none" w:sz="0" w:space="0" w:color="auto"/>
                        <w:bottom w:val="none" w:sz="0" w:space="0" w:color="auto"/>
                        <w:right w:val="none" w:sz="0" w:space="0" w:color="auto"/>
                      </w:divBdr>
                      <w:divsChild>
                        <w:div w:id="1438790163">
                          <w:marLeft w:val="0"/>
                          <w:marRight w:val="0"/>
                          <w:marTop w:val="0"/>
                          <w:marBottom w:val="0"/>
                          <w:divBdr>
                            <w:top w:val="none" w:sz="0" w:space="0" w:color="auto"/>
                            <w:left w:val="none" w:sz="0" w:space="0" w:color="auto"/>
                            <w:bottom w:val="none" w:sz="0" w:space="0" w:color="auto"/>
                            <w:right w:val="none" w:sz="0" w:space="0" w:color="auto"/>
                          </w:divBdr>
                          <w:divsChild>
                            <w:div w:id="15452864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50362260">
                                  <w:marLeft w:val="0"/>
                                  <w:marRight w:val="0"/>
                                  <w:marTop w:val="0"/>
                                  <w:marBottom w:val="0"/>
                                  <w:divBdr>
                                    <w:top w:val="none" w:sz="0" w:space="0" w:color="auto"/>
                                    <w:left w:val="none" w:sz="0" w:space="0" w:color="auto"/>
                                    <w:bottom w:val="none" w:sz="0" w:space="0" w:color="auto"/>
                                    <w:right w:val="none" w:sz="0" w:space="0" w:color="auto"/>
                                  </w:divBdr>
                                </w:div>
                              </w:divsChild>
                            </w:div>
                            <w:div w:id="2098936957">
                              <w:marLeft w:val="0"/>
                              <w:marRight w:val="0"/>
                              <w:marTop w:val="0"/>
                              <w:marBottom w:val="0"/>
                              <w:divBdr>
                                <w:top w:val="none" w:sz="0" w:space="0" w:color="auto"/>
                                <w:left w:val="none" w:sz="0" w:space="0" w:color="auto"/>
                                <w:bottom w:val="none" w:sz="0" w:space="0" w:color="auto"/>
                                <w:right w:val="none" w:sz="0" w:space="0" w:color="auto"/>
                              </w:divBdr>
                            </w:div>
                            <w:div w:id="714624881">
                              <w:marLeft w:val="0"/>
                              <w:marRight w:val="0"/>
                              <w:marTop w:val="0"/>
                              <w:marBottom w:val="0"/>
                              <w:divBdr>
                                <w:top w:val="none" w:sz="0" w:space="0" w:color="auto"/>
                                <w:left w:val="none" w:sz="0" w:space="0" w:color="auto"/>
                                <w:bottom w:val="none" w:sz="0" w:space="0" w:color="auto"/>
                                <w:right w:val="none" w:sz="0" w:space="0" w:color="auto"/>
                              </w:divBdr>
                            </w:div>
                            <w:div w:id="798762868">
                              <w:marLeft w:val="0"/>
                              <w:marRight w:val="0"/>
                              <w:marTop w:val="0"/>
                              <w:marBottom w:val="0"/>
                              <w:divBdr>
                                <w:top w:val="none" w:sz="0" w:space="0" w:color="auto"/>
                                <w:left w:val="none" w:sz="0" w:space="0" w:color="auto"/>
                                <w:bottom w:val="none" w:sz="0" w:space="0" w:color="auto"/>
                                <w:right w:val="none" w:sz="0" w:space="0" w:color="auto"/>
                              </w:divBdr>
                            </w:div>
                            <w:div w:id="248346393">
                              <w:marLeft w:val="0"/>
                              <w:marRight w:val="0"/>
                              <w:marTop w:val="0"/>
                              <w:marBottom w:val="0"/>
                              <w:divBdr>
                                <w:top w:val="none" w:sz="0" w:space="0" w:color="auto"/>
                                <w:left w:val="none" w:sz="0" w:space="0" w:color="auto"/>
                                <w:bottom w:val="none" w:sz="0" w:space="0" w:color="auto"/>
                                <w:right w:val="none" w:sz="0" w:space="0" w:color="auto"/>
                              </w:divBdr>
                            </w:div>
                            <w:div w:id="336346313">
                              <w:marLeft w:val="0"/>
                              <w:marRight w:val="0"/>
                              <w:marTop w:val="0"/>
                              <w:marBottom w:val="0"/>
                              <w:divBdr>
                                <w:top w:val="none" w:sz="0" w:space="0" w:color="auto"/>
                                <w:left w:val="none" w:sz="0" w:space="0" w:color="auto"/>
                                <w:bottom w:val="none" w:sz="0" w:space="0" w:color="auto"/>
                                <w:right w:val="none" w:sz="0" w:space="0" w:color="auto"/>
                              </w:divBdr>
                            </w:div>
                            <w:div w:id="364452093">
                              <w:marLeft w:val="0"/>
                              <w:marRight w:val="0"/>
                              <w:marTop w:val="0"/>
                              <w:marBottom w:val="0"/>
                              <w:divBdr>
                                <w:top w:val="none" w:sz="0" w:space="0" w:color="auto"/>
                                <w:left w:val="none" w:sz="0" w:space="0" w:color="auto"/>
                                <w:bottom w:val="none" w:sz="0" w:space="0" w:color="auto"/>
                                <w:right w:val="none" w:sz="0" w:space="0" w:color="auto"/>
                              </w:divBdr>
                            </w:div>
                            <w:div w:id="9049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565365">
          <w:marLeft w:val="0"/>
          <w:marRight w:val="0"/>
          <w:marTop w:val="0"/>
          <w:marBottom w:val="0"/>
          <w:divBdr>
            <w:top w:val="none" w:sz="0" w:space="0" w:color="auto"/>
            <w:left w:val="none" w:sz="0" w:space="0" w:color="auto"/>
            <w:bottom w:val="none" w:sz="0" w:space="0" w:color="auto"/>
            <w:right w:val="none" w:sz="0" w:space="0" w:color="auto"/>
          </w:divBdr>
          <w:divsChild>
            <w:div w:id="15565032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1691721">
                  <w:marLeft w:val="0"/>
                  <w:marRight w:val="0"/>
                  <w:marTop w:val="0"/>
                  <w:marBottom w:val="0"/>
                  <w:divBdr>
                    <w:top w:val="none" w:sz="0" w:space="0" w:color="auto"/>
                    <w:left w:val="none" w:sz="0" w:space="0" w:color="auto"/>
                    <w:bottom w:val="none" w:sz="0" w:space="0" w:color="auto"/>
                    <w:right w:val="none" w:sz="0" w:space="0" w:color="auto"/>
                  </w:divBdr>
                  <w:divsChild>
                    <w:div w:id="1302224670">
                      <w:marLeft w:val="0"/>
                      <w:marRight w:val="0"/>
                      <w:marTop w:val="0"/>
                      <w:marBottom w:val="0"/>
                      <w:divBdr>
                        <w:top w:val="none" w:sz="0" w:space="0" w:color="auto"/>
                        <w:left w:val="none" w:sz="0" w:space="0" w:color="auto"/>
                        <w:bottom w:val="none" w:sz="0" w:space="0" w:color="auto"/>
                        <w:right w:val="none" w:sz="0" w:space="0" w:color="auto"/>
                      </w:divBdr>
                      <w:divsChild>
                        <w:div w:id="21989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qualifications-price-index-2019" TargetMode="External"/><Relationship Id="rId13" Type="http://schemas.openxmlformats.org/officeDocument/2006/relationships/hyperlink" Target="https://www.campusreview.com.au/2018/09/mechanisms-or-muddle-what-to-make-of-aqf-5-6/"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melbourne-cshe.unimelb.edu.au/__data/assets/pdf_file/0008/2880485/Boundaries-and-connections-between-VET-and-higher-education.pdf" TargetMode="External"/><Relationship Id="rId17" Type="http://schemas.openxmlformats.org/officeDocument/2006/relationships/hyperlink" Target="https://www.ncver.edu.au/__data/assets/pdf_file/0028/1456660/Identifying-work-skills-report.pdf" TargetMode="External"/><Relationship Id="rId2" Type="http://schemas.openxmlformats.org/officeDocument/2006/relationships/numbering" Target="numbering.xml"/><Relationship Id="rId16" Type="http://schemas.openxmlformats.org/officeDocument/2006/relationships/hyperlink" Target="https://www.campusreview.com.au/2018/12/exploring-diploma-level-apprenticeships-and-vet-student-loa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pusreview.com.au/2019/06/fit-for-future-purpose-architectural-policies-foundational-enablers-spanning-hevet-sectors/" TargetMode="External"/><Relationship Id="rId5" Type="http://schemas.openxmlformats.org/officeDocument/2006/relationships/webSettings" Target="webSettings.xml"/><Relationship Id="rId15" Type="http://schemas.openxmlformats.org/officeDocument/2006/relationships/hyperlink" Target="https://www.ncver.edu.au/news-and-events/opinion-pieces/a-chance-to-be-bold-and-ambitious-make-apprenticeships-the-lynchpin-to-a-better-integrated-tertiary-education-sector" TargetMode="External"/><Relationship Id="rId10" Type="http://schemas.openxmlformats.org/officeDocument/2006/relationships/hyperlink" Target="https://www.campusreview.com.au/2019/04/models-for-federated-cooperation-past-practice-and-future-implications-for-ve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ampusreview.com.au/2019/10/the-joyce-review-of-vet-good-summary-incomplete-analysis-solutions-need-a-rework/" TargetMode="External"/><Relationship Id="rId14" Type="http://schemas.openxmlformats.org/officeDocument/2006/relationships/hyperlink" Target="https://www.campusreview.com.au/2019/02/making-friends-with-new-ideas-tertiary-system-reforms-at-aqf-5-6/"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335232E22B44E486334A9BCAA039C0"/>
        <w:category>
          <w:name w:val="General"/>
          <w:gallery w:val="placeholder"/>
        </w:category>
        <w:types>
          <w:type w:val="bbPlcHdr"/>
        </w:types>
        <w:behaviors>
          <w:behavior w:val="content"/>
        </w:behaviors>
        <w:guid w:val="{C313A674-27DE-4449-B0B3-3D3209492F49}"/>
      </w:docPartPr>
      <w:docPartBody>
        <w:p w:rsidR="00405CC6" w:rsidRDefault="009C40F2" w:rsidP="009C40F2">
          <w:pPr>
            <w:pStyle w:val="60335232E22B44E486334A9BCAA039C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F2"/>
    <w:rsid w:val="00405CC6"/>
    <w:rsid w:val="009855FC"/>
    <w:rsid w:val="009C40F2"/>
    <w:rsid w:val="009C6A82"/>
    <w:rsid w:val="00AE0DBE"/>
    <w:rsid w:val="00E679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CB94B2F16A49DC8F865A328BBBD674">
    <w:name w:val="F8CB94B2F16A49DC8F865A328BBBD674"/>
    <w:rsid w:val="009C40F2"/>
  </w:style>
  <w:style w:type="paragraph" w:customStyle="1" w:styleId="60335232E22B44E486334A9BCAA039C0">
    <w:name w:val="60335232E22B44E486334A9BCAA039C0"/>
    <w:rsid w:val="009C40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DC875-020D-480C-8ECF-632F6177D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D068D350.dotm</Template>
  <TotalTime>6</TotalTime>
  <Pages>12</Pages>
  <Words>5888</Words>
  <Characters>33565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Submission 3 - JCSF Consulting Pty Ltd - Skills and Workforce Development Agreement - Commissioned study</vt:lpstr>
    </vt:vector>
  </TitlesOfParts>
  <Company>JCSF Consulting Pty Ltd</Company>
  <LinksUpToDate>false</LinksUpToDate>
  <CharactersWithSpaces>39375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3 - JCSF Consulting Pty Ltd - Skills and Workforce Development Agreement - Commissioned study</dc:title>
  <dc:creator>JCSF Consulting Pty Ltd</dc:creator>
  <cp:lastModifiedBy>Productivity Commission</cp:lastModifiedBy>
  <cp:revision>6</cp:revision>
  <dcterms:created xsi:type="dcterms:W3CDTF">2019-12-10T20:23:00Z</dcterms:created>
  <dcterms:modified xsi:type="dcterms:W3CDTF">2019-12-11T00:43:00Z</dcterms:modified>
</cp:coreProperties>
</file>