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6D27E" w14:textId="29EF5F08" w:rsidR="00250647" w:rsidRDefault="00F10D3E" w:rsidP="00250647">
      <w:pPr>
        <w:widowControl w:val="0"/>
        <w:autoSpaceDE w:val="0"/>
        <w:autoSpaceDN w:val="0"/>
        <w:adjustRightInd w:val="0"/>
        <w:spacing w:after="240" w:line="276" w:lineRule="auto"/>
        <w:jc w:val="both"/>
        <w:rPr>
          <w:rFonts w:ascii="Times New Roman" w:hAnsi="Times New Roman" w:cs="Times New Roman"/>
          <w:sz w:val="28"/>
          <w:szCs w:val="28"/>
          <w:lang w:val="en-US"/>
        </w:rPr>
      </w:pPr>
      <w:bookmarkStart w:id="0" w:name="_GoBack"/>
      <w:bookmarkEnd w:id="0"/>
      <w:r>
        <w:rPr>
          <w:rFonts w:ascii="Times New Roman" w:hAnsi="Times New Roman" w:cs="Times New Roman"/>
          <w:sz w:val="28"/>
          <w:szCs w:val="28"/>
        </w:rPr>
        <w:t>Background: This is a submission to</w:t>
      </w:r>
      <w:r w:rsidR="00250647">
        <w:rPr>
          <w:rFonts w:ascii="Times New Roman" w:hAnsi="Times New Roman" w:cs="Times New Roman"/>
          <w:sz w:val="28"/>
          <w:szCs w:val="28"/>
        </w:rPr>
        <w:t xml:space="preserve"> the Productivity Commission’s e</w:t>
      </w:r>
      <w:r>
        <w:rPr>
          <w:rFonts w:ascii="Times New Roman" w:hAnsi="Times New Roman" w:cs="Times New Roman"/>
          <w:sz w:val="28"/>
          <w:szCs w:val="28"/>
        </w:rPr>
        <w:t>nquiry</w:t>
      </w:r>
      <w:r w:rsidR="00250647">
        <w:rPr>
          <w:rFonts w:ascii="Times New Roman" w:hAnsi="Times New Roman" w:cs="Times New Roman"/>
          <w:sz w:val="28"/>
          <w:szCs w:val="28"/>
        </w:rPr>
        <w:t xml:space="preserve"> on </w:t>
      </w:r>
      <w:r w:rsidR="00250647" w:rsidRPr="00250647">
        <w:rPr>
          <w:rFonts w:ascii="Times New Roman" w:hAnsi="Times New Roman" w:cs="Times New Roman"/>
          <w:i/>
          <w:sz w:val="28"/>
          <w:szCs w:val="28"/>
          <w:lang w:val="en-US"/>
        </w:rPr>
        <w:t>National Agr</w:t>
      </w:r>
      <w:r w:rsidR="00250647">
        <w:rPr>
          <w:rFonts w:ascii="Times New Roman" w:hAnsi="Times New Roman" w:cs="Times New Roman"/>
          <w:i/>
          <w:sz w:val="28"/>
          <w:szCs w:val="28"/>
          <w:lang w:val="en-US"/>
        </w:rPr>
        <w:t xml:space="preserve">eement for Skills and Workforce. </w:t>
      </w:r>
      <w:r w:rsidR="00250647">
        <w:rPr>
          <w:rFonts w:ascii="Times New Roman" w:hAnsi="Times New Roman" w:cs="Times New Roman"/>
          <w:sz w:val="28"/>
          <w:szCs w:val="28"/>
          <w:lang w:val="en-US"/>
        </w:rPr>
        <w:t>While there are no direct references to the PC’s (2020) Interim Report, the iss</w:t>
      </w:r>
      <w:r w:rsidR="006C079D">
        <w:rPr>
          <w:rFonts w:ascii="Times New Roman" w:hAnsi="Times New Roman" w:cs="Times New Roman"/>
          <w:sz w:val="28"/>
          <w:szCs w:val="28"/>
          <w:lang w:val="en-US"/>
        </w:rPr>
        <w:t xml:space="preserve">ues I choose to address are </w:t>
      </w:r>
      <w:r w:rsidR="00250647">
        <w:rPr>
          <w:rFonts w:ascii="Times New Roman" w:hAnsi="Times New Roman" w:cs="Times New Roman"/>
          <w:sz w:val="28"/>
          <w:szCs w:val="28"/>
          <w:lang w:val="en-US"/>
        </w:rPr>
        <w:t xml:space="preserve">fundamental to </w:t>
      </w:r>
      <w:r w:rsidR="00136C91">
        <w:rPr>
          <w:rFonts w:ascii="Times New Roman" w:hAnsi="Times New Roman" w:cs="Times New Roman"/>
          <w:sz w:val="28"/>
          <w:szCs w:val="28"/>
          <w:lang w:val="en-US"/>
        </w:rPr>
        <w:t xml:space="preserve">the economics of </w:t>
      </w:r>
      <w:r w:rsidR="00250647">
        <w:rPr>
          <w:rFonts w:ascii="Times New Roman" w:hAnsi="Times New Roman" w:cs="Times New Roman"/>
          <w:sz w:val="28"/>
          <w:szCs w:val="28"/>
          <w:lang w:val="en-US"/>
        </w:rPr>
        <w:t>Australian tertiary education</w:t>
      </w:r>
      <w:r w:rsidR="006C079D">
        <w:rPr>
          <w:rFonts w:ascii="Times New Roman" w:hAnsi="Times New Roman" w:cs="Times New Roman"/>
          <w:sz w:val="28"/>
          <w:szCs w:val="28"/>
          <w:lang w:val="en-US"/>
        </w:rPr>
        <w:t xml:space="preserve"> and most are touched on in the Interim R</w:t>
      </w:r>
      <w:r w:rsidR="00136C91">
        <w:rPr>
          <w:rFonts w:ascii="Times New Roman" w:hAnsi="Times New Roman" w:cs="Times New Roman"/>
          <w:sz w:val="28"/>
          <w:szCs w:val="28"/>
          <w:lang w:val="en-US"/>
        </w:rPr>
        <w:t>eport</w:t>
      </w:r>
      <w:r w:rsidR="00250647">
        <w:rPr>
          <w:rFonts w:ascii="Times New Roman" w:hAnsi="Times New Roman" w:cs="Times New Roman"/>
          <w:sz w:val="28"/>
          <w:szCs w:val="28"/>
          <w:lang w:val="en-US"/>
        </w:rPr>
        <w:t xml:space="preserve">. My professional background is that I am an academic economist with a research and policy expertise developed from more than 30-years experience in the economics of tertiary education financing, particularly with respect to higher education. I have had published several books and around 150 papers in the area of student loans, and I have been an advisor to the governments of around a dozen countries concerning tertiary education funding reform. </w:t>
      </w:r>
    </w:p>
    <w:p w14:paraId="0C7726CC" w14:textId="03A4A5A3" w:rsidR="001D3894" w:rsidRDefault="001D3894" w:rsidP="001D3894">
      <w:pPr>
        <w:widowControl w:val="0"/>
        <w:autoSpaceDE w:val="0"/>
        <w:autoSpaceDN w:val="0"/>
        <w:adjustRightInd w:val="0"/>
        <w:spacing w:line="280" w:lineRule="atLeast"/>
        <w:rPr>
          <w:rFonts w:ascii="Times" w:hAnsi="Times" w:cs="Times"/>
          <w:lang w:val="en-US"/>
        </w:rPr>
      </w:pPr>
      <w:r>
        <w:rPr>
          <w:rFonts w:ascii="Times" w:hAnsi="Times" w:cs="Times"/>
          <w:lang w:val="en-US"/>
        </w:rPr>
        <w:t xml:space="preserve"> </w:t>
      </w:r>
    </w:p>
    <w:p w14:paraId="04CACB11" w14:textId="77777777" w:rsidR="00250647" w:rsidRDefault="00250647" w:rsidP="00250647">
      <w:pPr>
        <w:widowControl w:val="0"/>
        <w:autoSpaceDE w:val="0"/>
        <w:autoSpaceDN w:val="0"/>
        <w:adjustRightInd w:val="0"/>
        <w:spacing w:after="240" w:line="276" w:lineRule="auto"/>
        <w:jc w:val="both"/>
        <w:rPr>
          <w:rFonts w:ascii="Times New Roman" w:hAnsi="Times New Roman" w:cs="Times New Roman"/>
          <w:sz w:val="28"/>
          <w:szCs w:val="28"/>
          <w:lang w:val="en-US"/>
        </w:rPr>
      </w:pPr>
    </w:p>
    <w:p w14:paraId="7DD514A2" w14:textId="77777777" w:rsidR="00841CB8" w:rsidRDefault="00841CB8" w:rsidP="00250647">
      <w:pPr>
        <w:widowControl w:val="0"/>
        <w:autoSpaceDE w:val="0"/>
        <w:autoSpaceDN w:val="0"/>
        <w:adjustRightInd w:val="0"/>
        <w:spacing w:after="240" w:line="276" w:lineRule="auto"/>
        <w:jc w:val="both"/>
        <w:rPr>
          <w:rFonts w:ascii="Times New Roman" w:hAnsi="Times New Roman" w:cs="Times New Roman"/>
          <w:sz w:val="28"/>
          <w:szCs w:val="28"/>
          <w:lang w:val="en-US"/>
        </w:rPr>
      </w:pPr>
    </w:p>
    <w:p w14:paraId="72DCF236" w14:textId="6D4A1F24" w:rsidR="00250647" w:rsidRDefault="00250647" w:rsidP="00250647">
      <w:pPr>
        <w:widowControl w:val="0"/>
        <w:autoSpaceDE w:val="0"/>
        <w:autoSpaceDN w:val="0"/>
        <w:adjustRightInd w:val="0"/>
        <w:spacing w:after="24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Bruce Chapman</w:t>
      </w:r>
    </w:p>
    <w:p w14:paraId="2144F3CF" w14:textId="5549BEEF" w:rsidR="00250647" w:rsidRDefault="00250647" w:rsidP="00841CB8">
      <w:pPr>
        <w:widowControl w:val="0"/>
        <w:autoSpaceDE w:val="0"/>
        <w:autoSpaceDN w:val="0"/>
        <w:adjustRightInd w:val="0"/>
        <w:spacing w:after="240"/>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College of Business and Economics</w:t>
      </w:r>
    </w:p>
    <w:p w14:paraId="4F99AB34" w14:textId="602AD0B2" w:rsidR="00250647" w:rsidRDefault="00250647" w:rsidP="00841CB8">
      <w:pPr>
        <w:widowControl w:val="0"/>
        <w:autoSpaceDE w:val="0"/>
        <w:autoSpaceDN w:val="0"/>
        <w:adjustRightInd w:val="0"/>
        <w:spacing w:after="240"/>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Australian National University</w:t>
      </w:r>
    </w:p>
    <w:p w14:paraId="02258847" w14:textId="77777777" w:rsidR="00841CB8" w:rsidRDefault="00841CB8" w:rsidP="00841CB8">
      <w:pPr>
        <w:widowControl w:val="0"/>
        <w:autoSpaceDE w:val="0"/>
        <w:autoSpaceDN w:val="0"/>
        <w:adjustRightInd w:val="0"/>
        <w:spacing w:after="240"/>
        <w:contextualSpacing/>
        <w:jc w:val="both"/>
        <w:rPr>
          <w:rFonts w:ascii="Times New Roman" w:hAnsi="Times New Roman" w:cs="Times New Roman"/>
          <w:sz w:val="28"/>
          <w:szCs w:val="28"/>
          <w:lang w:val="en-US"/>
        </w:rPr>
      </w:pPr>
    </w:p>
    <w:p w14:paraId="092EB6E3" w14:textId="47F0D981" w:rsidR="00250647" w:rsidRDefault="00841CB8" w:rsidP="00250647">
      <w:pPr>
        <w:widowControl w:val="0"/>
        <w:autoSpaceDE w:val="0"/>
        <w:autoSpaceDN w:val="0"/>
        <w:adjustRightInd w:val="0"/>
        <w:spacing w:after="24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July 2020</w:t>
      </w:r>
    </w:p>
    <w:p w14:paraId="5E730061" w14:textId="77777777" w:rsidR="00A96272" w:rsidRPr="00250647" w:rsidRDefault="00A96272" w:rsidP="00250647">
      <w:pPr>
        <w:widowControl w:val="0"/>
        <w:autoSpaceDE w:val="0"/>
        <w:autoSpaceDN w:val="0"/>
        <w:adjustRightInd w:val="0"/>
        <w:spacing w:after="240" w:line="276" w:lineRule="auto"/>
        <w:jc w:val="both"/>
        <w:rPr>
          <w:rFonts w:ascii="Times New Roman" w:hAnsi="Times New Roman" w:cs="Times New Roman"/>
          <w:sz w:val="28"/>
          <w:szCs w:val="28"/>
          <w:lang w:val="en-US"/>
        </w:rPr>
      </w:pPr>
    </w:p>
    <w:p w14:paraId="093ABAAD" w14:textId="0A1318D3" w:rsidR="00F10D3E" w:rsidRDefault="00F10D3E" w:rsidP="001E2E09">
      <w:pPr>
        <w:spacing w:line="276" w:lineRule="auto"/>
        <w:ind w:right="373"/>
        <w:jc w:val="both"/>
        <w:rPr>
          <w:rFonts w:ascii="Times New Roman" w:hAnsi="Times New Roman" w:cs="Times New Roman"/>
          <w:sz w:val="28"/>
          <w:szCs w:val="28"/>
        </w:rPr>
      </w:pPr>
    </w:p>
    <w:p w14:paraId="2D1827E9" w14:textId="77777777" w:rsidR="00F10D3E" w:rsidRDefault="00F10D3E" w:rsidP="001E2E09">
      <w:pPr>
        <w:spacing w:line="276" w:lineRule="auto"/>
        <w:ind w:right="373"/>
        <w:jc w:val="both"/>
        <w:rPr>
          <w:rFonts w:ascii="Times New Roman" w:hAnsi="Times New Roman" w:cs="Times New Roman"/>
          <w:sz w:val="28"/>
          <w:szCs w:val="28"/>
        </w:rPr>
      </w:pPr>
    </w:p>
    <w:p w14:paraId="7F5224FB" w14:textId="77777777" w:rsidR="001D3894" w:rsidRDefault="001D3894" w:rsidP="001E2E09">
      <w:pPr>
        <w:spacing w:line="276" w:lineRule="auto"/>
        <w:ind w:right="373"/>
        <w:jc w:val="both"/>
        <w:rPr>
          <w:rFonts w:ascii="Times New Roman" w:hAnsi="Times New Roman" w:cs="Times New Roman"/>
          <w:sz w:val="28"/>
          <w:szCs w:val="28"/>
        </w:rPr>
      </w:pPr>
    </w:p>
    <w:p w14:paraId="0D61B057" w14:textId="77777777" w:rsidR="001D3894" w:rsidRDefault="001D3894" w:rsidP="001E2E09">
      <w:pPr>
        <w:spacing w:line="276" w:lineRule="auto"/>
        <w:ind w:right="373"/>
        <w:jc w:val="both"/>
        <w:rPr>
          <w:rFonts w:ascii="Times New Roman" w:hAnsi="Times New Roman" w:cs="Times New Roman"/>
          <w:sz w:val="28"/>
          <w:szCs w:val="28"/>
        </w:rPr>
      </w:pPr>
    </w:p>
    <w:p w14:paraId="27D57E90" w14:textId="77777777" w:rsidR="001D3894" w:rsidRDefault="001D3894" w:rsidP="001E2E09">
      <w:pPr>
        <w:spacing w:line="276" w:lineRule="auto"/>
        <w:ind w:right="373"/>
        <w:jc w:val="both"/>
        <w:rPr>
          <w:rFonts w:ascii="Times New Roman" w:hAnsi="Times New Roman" w:cs="Times New Roman"/>
          <w:sz w:val="28"/>
          <w:szCs w:val="28"/>
        </w:rPr>
      </w:pPr>
    </w:p>
    <w:p w14:paraId="44651056" w14:textId="77777777" w:rsidR="001D3894" w:rsidRDefault="001D3894" w:rsidP="001E2E09">
      <w:pPr>
        <w:spacing w:line="276" w:lineRule="auto"/>
        <w:ind w:right="373"/>
        <w:jc w:val="both"/>
        <w:rPr>
          <w:rFonts w:ascii="Times New Roman" w:hAnsi="Times New Roman" w:cs="Times New Roman"/>
          <w:sz w:val="28"/>
          <w:szCs w:val="28"/>
        </w:rPr>
      </w:pPr>
    </w:p>
    <w:p w14:paraId="74308BA8" w14:textId="77777777" w:rsidR="001D3894" w:rsidRDefault="001D3894" w:rsidP="001E2E09">
      <w:pPr>
        <w:spacing w:line="276" w:lineRule="auto"/>
        <w:ind w:right="373"/>
        <w:jc w:val="both"/>
        <w:rPr>
          <w:rFonts w:ascii="Times New Roman" w:hAnsi="Times New Roman" w:cs="Times New Roman"/>
          <w:sz w:val="28"/>
          <w:szCs w:val="28"/>
        </w:rPr>
      </w:pPr>
    </w:p>
    <w:p w14:paraId="77B6B685" w14:textId="77777777" w:rsidR="001D3894" w:rsidRDefault="001D3894" w:rsidP="001E2E09">
      <w:pPr>
        <w:spacing w:line="276" w:lineRule="auto"/>
        <w:ind w:right="373"/>
        <w:jc w:val="both"/>
        <w:rPr>
          <w:rFonts w:ascii="Times New Roman" w:hAnsi="Times New Roman" w:cs="Times New Roman"/>
          <w:sz w:val="28"/>
          <w:szCs w:val="28"/>
        </w:rPr>
      </w:pPr>
    </w:p>
    <w:p w14:paraId="37850002" w14:textId="77777777" w:rsidR="001D3894" w:rsidRDefault="001D3894" w:rsidP="001E2E09">
      <w:pPr>
        <w:spacing w:line="276" w:lineRule="auto"/>
        <w:ind w:right="373"/>
        <w:jc w:val="both"/>
        <w:rPr>
          <w:rFonts w:ascii="Times New Roman" w:hAnsi="Times New Roman" w:cs="Times New Roman"/>
          <w:sz w:val="28"/>
          <w:szCs w:val="28"/>
        </w:rPr>
      </w:pPr>
    </w:p>
    <w:p w14:paraId="045E1197" w14:textId="77777777" w:rsidR="001D3894" w:rsidRDefault="001D3894" w:rsidP="001E2E09">
      <w:pPr>
        <w:spacing w:line="276" w:lineRule="auto"/>
        <w:ind w:right="373"/>
        <w:jc w:val="both"/>
        <w:rPr>
          <w:rFonts w:ascii="Times New Roman" w:hAnsi="Times New Roman" w:cs="Times New Roman"/>
          <w:sz w:val="28"/>
          <w:szCs w:val="28"/>
        </w:rPr>
      </w:pPr>
    </w:p>
    <w:p w14:paraId="65ACD83D" w14:textId="77777777" w:rsidR="00F10D3E" w:rsidRDefault="00F10D3E" w:rsidP="001E2E09">
      <w:pPr>
        <w:spacing w:line="276" w:lineRule="auto"/>
        <w:ind w:right="373"/>
        <w:jc w:val="both"/>
        <w:rPr>
          <w:rFonts w:ascii="Times New Roman" w:hAnsi="Times New Roman" w:cs="Times New Roman"/>
          <w:sz w:val="28"/>
          <w:szCs w:val="28"/>
        </w:rPr>
      </w:pPr>
    </w:p>
    <w:p w14:paraId="056A92C3" w14:textId="77777777" w:rsidR="001D3894" w:rsidRDefault="001D3894" w:rsidP="001E2E09">
      <w:pPr>
        <w:spacing w:line="276" w:lineRule="auto"/>
        <w:ind w:right="373"/>
        <w:jc w:val="both"/>
        <w:rPr>
          <w:rFonts w:ascii="Times New Roman" w:hAnsi="Times New Roman" w:cs="Times New Roman"/>
          <w:sz w:val="28"/>
          <w:szCs w:val="28"/>
        </w:rPr>
      </w:pPr>
    </w:p>
    <w:p w14:paraId="648CF783" w14:textId="77777777" w:rsidR="001D3894" w:rsidRDefault="001D3894" w:rsidP="001E2E09">
      <w:pPr>
        <w:spacing w:line="276" w:lineRule="auto"/>
        <w:ind w:right="373"/>
        <w:jc w:val="both"/>
        <w:rPr>
          <w:rFonts w:ascii="Times New Roman" w:hAnsi="Times New Roman" w:cs="Times New Roman"/>
          <w:sz w:val="28"/>
          <w:szCs w:val="28"/>
        </w:rPr>
      </w:pPr>
    </w:p>
    <w:p w14:paraId="0F005108" w14:textId="77777777" w:rsidR="001D3894" w:rsidRPr="00F10D3E" w:rsidRDefault="001D3894" w:rsidP="001E2E09">
      <w:pPr>
        <w:spacing w:line="276" w:lineRule="auto"/>
        <w:ind w:right="373"/>
        <w:jc w:val="both"/>
        <w:rPr>
          <w:rFonts w:ascii="Times New Roman" w:hAnsi="Times New Roman" w:cs="Times New Roman"/>
          <w:sz w:val="28"/>
          <w:szCs w:val="28"/>
        </w:rPr>
      </w:pPr>
    </w:p>
    <w:p w14:paraId="09EAAE3E" w14:textId="49FC65D7" w:rsidR="00BC0102" w:rsidRDefault="00BC0102" w:rsidP="001E2E09">
      <w:pPr>
        <w:pStyle w:val="ListParagraph"/>
        <w:numPr>
          <w:ilvl w:val="0"/>
          <w:numId w:val="9"/>
        </w:numPr>
        <w:spacing w:line="276" w:lineRule="auto"/>
        <w:ind w:right="373"/>
        <w:jc w:val="both"/>
        <w:rPr>
          <w:rFonts w:ascii="Times New Roman" w:hAnsi="Times New Roman" w:cs="Times New Roman"/>
          <w:i/>
          <w:sz w:val="28"/>
          <w:szCs w:val="28"/>
        </w:rPr>
      </w:pPr>
      <w:r w:rsidRPr="001E2E09">
        <w:rPr>
          <w:rFonts w:ascii="Times New Roman" w:hAnsi="Times New Roman" w:cs="Times New Roman"/>
          <w:i/>
          <w:sz w:val="28"/>
          <w:szCs w:val="28"/>
        </w:rPr>
        <w:lastRenderedPageBreak/>
        <w:t>The Pervasive and Critical Role of Risk in Understanding Tertiary Education Financing</w:t>
      </w:r>
    </w:p>
    <w:p w14:paraId="7D6C0040" w14:textId="77777777" w:rsidR="001E2E09" w:rsidRPr="001E2E09" w:rsidRDefault="001E2E09" w:rsidP="001E2E09">
      <w:pPr>
        <w:pStyle w:val="ListParagraph"/>
        <w:spacing w:line="276" w:lineRule="auto"/>
        <w:ind w:left="920" w:right="373"/>
        <w:jc w:val="both"/>
        <w:rPr>
          <w:rFonts w:ascii="Times New Roman" w:hAnsi="Times New Roman" w:cs="Times New Roman"/>
          <w:i/>
          <w:sz w:val="28"/>
          <w:szCs w:val="28"/>
        </w:rPr>
      </w:pPr>
    </w:p>
    <w:p w14:paraId="7449B046" w14:textId="4CBEC5E5" w:rsidR="001E2E09" w:rsidRDefault="001E2E09" w:rsidP="001E2E09">
      <w:pPr>
        <w:spacing w:line="276" w:lineRule="auto"/>
        <w:ind w:left="360" w:right="373"/>
        <w:jc w:val="both"/>
        <w:rPr>
          <w:rFonts w:ascii="Times New Roman" w:hAnsi="Times New Roman" w:cs="Times New Roman"/>
        </w:rPr>
      </w:pPr>
      <w:r w:rsidRPr="001E2E09">
        <w:rPr>
          <w:rFonts w:ascii="Times New Roman" w:hAnsi="Times New Roman" w:cs="Times New Roman"/>
        </w:rPr>
        <w:t>1</w:t>
      </w:r>
      <w:r w:rsidR="00A40CC9">
        <w:rPr>
          <w:rFonts w:ascii="Times New Roman" w:hAnsi="Times New Roman" w:cs="Times New Roman"/>
        </w:rPr>
        <w:t>.1</w:t>
      </w:r>
      <w:r w:rsidR="00A40CC9">
        <w:rPr>
          <w:rFonts w:ascii="Times New Roman" w:hAnsi="Times New Roman" w:cs="Times New Roman"/>
        </w:rPr>
        <w:tab/>
      </w:r>
      <w:r>
        <w:rPr>
          <w:rFonts w:ascii="Times New Roman" w:hAnsi="Times New Roman" w:cs="Times New Roman"/>
        </w:rPr>
        <w:t>Background</w:t>
      </w:r>
    </w:p>
    <w:p w14:paraId="3352A218" w14:textId="77777777" w:rsidR="001E2E09" w:rsidRDefault="001E2E09" w:rsidP="001E2E09">
      <w:pPr>
        <w:spacing w:line="276" w:lineRule="auto"/>
        <w:ind w:left="360" w:right="373"/>
        <w:jc w:val="both"/>
        <w:rPr>
          <w:rFonts w:ascii="Times New Roman" w:hAnsi="Times New Roman" w:cs="Times New Roman"/>
        </w:rPr>
      </w:pPr>
    </w:p>
    <w:p w14:paraId="04213C87" w14:textId="63C7E22E" w:rsidR="001E2E09" w:rsidRDefault="001E2E09" w:rsidP="001E2E09">
      <w:pPr>
        <w:spacing w:line="276" w:lineRule="auto"/>
        <w:ind w:left="142" w:right="373"/>
        <w:jc w:val="both"/>
        <w:rPr>
          <w:rFonts w:ascii="Times New Roman" w:hAnsi="Times New Roman" w:cs="Times New Roman"/>
        </w:rPr>
      </w:pPr>
      <w:r>
        <w:rPr>
          <w:rFonts w:ascii="Times New Roman" w:hAnsi="Times New Roman" w:cs="Times New Roman"/>
        </w:rPr>
        <w:t>An informed understanding of the economics of tertiary education financing would give a profound role to</w:t>
      </w:r>
      <w:r w:rsidR="006A59D7">
        <w:rPr>
          <w:rFonts w:ascii="Times New Roman" w:hAnsi="Times New Roman" w:cs="Times New Roman"/>
        </w:rPr>
        <w:t xml:space="preserve"> the pervasive presence of risk</w:t>
      </w:r>
      <w:r>
        <w:rPr>
          <w:rFonts w:ascii="Times New Roman" w:hAnsi="Times New Roman" w:cs="Times New Roman"/>
        </w:rPr>
        <w:t>, for students, banks and governments. What now follows highlights the significance of risk with respect to several critical areas. For a fuller discussion of these topics see Chapman, Higgins and Stiglitz (2014) and Chapman (2006).</w:t>
      </w:r>
    </w:p>
    <w:p w14:paraId="4DBACC24" w14:textId="77777777" w:rsidR="00A40CC9" w:rsidRDefault="00A40CC9" w:rsidP="001E2E09">
      <w:pPr>
        <w:spacing w:line="276" w:lineRule="auto"/>
        <w:ind w:left="142" w:right="373"/>
        <w:jc w:val="both"/>
        <w:rPr>
          <w:rFonts w:ascii="Times New Roman" w:hAnsi="Times New Roman" w:cs="Times New Roman"/>
        </w:rPr>
      </w:pPr>
    </w:p>
    <w:p w14:paraId="123654C7" w14:textId="54CE7830" w:rsidR="00A40CC9" w:rsidRDefault="00A40CC9" w:rsidP="00A40CC9">
      <w:pPr>
        <w:pStyle w:val="ListParagraph"/>
        <w:numPr>
          <w:ilvl w:val="1"/>
          <w:numId w:val="9"/>
        </w:numPr>
        <w:spacing w:line="276" w:lineRule="auto"/>
        <w:ind w:right="373"/>
        <w:jc w:val="both"/>
        <w:rPr>
          <w:rFonts w:ascii="Times New Roman" w:hAnsi="Times New Roman" w:cs="Times New Roman"/>
        </w:rPr>
      </w:pPr>
      <w:r w:rsidRPr="00A40CC9">
        <w:rPr>
          <w:rFonts w:ascii="Times New Roman" w:hAnsi="Times New Roman" w:cs="Times New Roman"/>
        </w:rPr>
        <w:t>“Market failure” and risk</w:t>
      </w:r>
    </w:p>
    <w:p w14:paraId="67F67C21" w14:textId="77777777" w:rsidR="009D7FFA" w:rsidRDefault="009D7FFA" w:rsidP="009D7FFA">
      <w:pPr>
        <w:spacing w:line="276" w:lineRule="auto"/>
        <w:ind w:right="373"/>
        <w:jc w:val="both"/>
        <w:rPr>
          <w:rFonts w:ascii="Times New Roman" w:hAnsi="Times New Roman" w:cs="Times New Roman"/>
        </w:rPr>
      </w:pPr>
    </w:p>
    <w:p w14:paraId="5DA366B4" w14:textId="39A9E076" w:rsidR="00162E05" w:rsidRPr="00162E05" w:rsidRDefault="009D7FFA" w:rsidP="00F10D3E">
      <w:pPr>
        <w:spacing w:line="276" w:lineRule="auto"/>
        <w:jc w:val="both"/>
        <w:rPr>
          <w:rFonts w:ascii="Times New Roman" w:hAnsi="Times New Roman" w:cs="Times New Roman"/>
          <w:lang w:val="en-US"/>
        </w:rPr>
      </w:pPr>
      <w:r w:rsidRPr="00162E05">
        <w:rPr>
          <w:rFonts w:ascii="Times New Roman" w:hAnsi="Times New Roman" w:cs="Times New Roman"/>
        </w:rPr>
        <w:t>It is well known</w:t>
      </w:r>
      <w:r w:rsidR="00162E05" w:rsidRPr="00162E05">
        <w:rPr>
          <w:rFonts w:ascii="Times New Roman" w:hAnsi="Times New Roman" w:cs="Times New Roman"/>
        </w:rPr>
        <w:t xml:space="preserve"> that </w:t>
      </w:r>
      <w:r w:rsidR="00162E05" w:rsidRPr="00162E05">
        <w:rPr>
          <w:rFonts w:ascii="Times New Roman" w:hAnsi="Times New Roman" w:cs="Times New Roman"/>
          <w:lang w:val="en-US"/>
        </w:rPr>
        <w:t>because outcomes of study ar</w:t>
      </w:r>
      <w:r w:rsidR="00215531">
        <w:rPr>
          <w:rFonts w:ascii="Times New Roman" w:hAnsi="Times New Roman" w:cs="Times New Roman"/>
          <w:lang w:val="en-US"/>
        </w:rPr>
        <w:t>e uncertain, and there is a prospect</w:t>
      </w:r>
      <w:r w:rsidR="00162E05" w:rsidRPr="00162E05">
        <w:rPr>
          <w:rFonts w:ascii="Times New Roman" w:hAnsi="Times New Roman" w:cs="Times New Roman"/>
          <w:lang w:val="en-US"/>
        </w:rPr>
        <w:t xml:space="preserve"> of non-completion or poor employment and earnings outcomes, </w:t>
      </w:r>
      <w:r w:rsidR="00215531">
        <w:rPr>
          <w:rFonts w:ascii="Times New Roman" w:hAnsi="Times New Roman" w:cs="Times New Roman"/>
          <w:lang w:val="en-US"/>
        </w:rPr>
        <w:t>lending to prospective students is</w:t>
      </w:r>
      <w:r w:rsidR="00162E05" w:rsidRPr="00162E05">
        <w:rPr>
          <w:rFonts w:ascii="Times New Roman" w:hAnsi="Times New Roman" w:cs="Times New Roman"/>
          <w:lang w:val="en-US"/>
        </w:rPr>
        <w:t xml:space="preserve"> seen by financial institutions to be relatively risky. As a result, students without loan repayment guarantors or collateral may be unable to access the financial resources required </w:t>
      </w:r>
      <w:r w:rsidR="00215531">
        <w:rPr>
          <w:rFonts w:ascii="Times New Roman" w:hAnsi="Times New Roman" w:cs="Times New Roman"/>
          <w:lang w:val="en-US"/>
        </w:rPr>
        <w:t xml:space="preserve">to </w:t>
      </w:r>
      <w:r w:rsidR="00162E05" w:rsidRPr="00162E05">
        <w:rPr>
          <w:rFonts w:ascii="Times New Roman" w:hAnsi="Times New Roman" w:cs="Times New Roman"/>
          <w:lang w:val="en-US"/>
        </w:rPr>
        <w:t>access income support or to pay tuition. Friedman (1955) recognised these capital market failures and made the case fo</w:t>
      </w:r>
      <w:r w:rsidR="00215531">
        <w:rPr>
          <w:rFonts w:ascii="Times New Roman" w:hAnsi="Times New Roman" w:cs="Times New Roman"/>
          <w:lang w:val="en-US"/>
        </w:rPr>
        <w:t>r government intervention in</w:t>
      </w:r>
      <w:r w:rsidR="00162E05" w:rsidRPr="00162E05">
        <w:rPr>
          <w:rFonts w:ascii="Times New Roman" w:hAnsi="Times New Roman" w:cs="Times New Roman"/>
          <w:lang w:val="en-US"/>
        </w:rPr>
        <w:t xml:space="preserve"> tertiary education </w:t>
      </w:r>
      <w:r w:rsidR="00215531">
        <w:rPr>
          <w:rFonts w:ascii="Times New Roman" w:hAnsi="Times New Roman" w:cs="Times New Roman"/>
          <w:lang w:val="en-US"/>
        </w:rPr>
        <w:t>financing</w:t>
      </w:r>
      <w:r w:rsidR="00162E05" w:rsidRPr="00162E05">
        <w:rPr>
          <w:rFonts w:ascii="Times New Roman" w:hAnsi="Times New Roman" w:cs="Times New Roman"/>
          <w:lang w:val="en-US"/>
        </w:rPr>
        <w:t xml:space="preserve">. </w:t>
      </w:r>
    </w:p>
    <w:p w14:paraId="4604590A" w14:textId="77777777" w:rsidR="00162E05" w:rsidRDefault="00162E05" w:rsidP="00162E05">
      <w:pPr>
        <w:jc w:val="both"/>
        <w:rPr>
          <w:rFonts w:cs="Times New Roman"/>
          <w:lang w:val="en-US"/>
        </w:rPr>
      </w:pPr>
    </w:p>
    <w:p w14:paraId="288D13E7" w14:textId="69EDAAEF" w:rsidR="00162E05" w:rsidRPr="00162E05" w:rsidRDefault="00215531" w:rsidP="00162E05">
      <w:pPr>
        <w:pStyle w:val="ListParagraph"/>
        <w:numPr>
          <w:ilvl w:val="1"/>
          <w:numId w:val="9"/>
        </w:numPr>
        <w:spacing w:line="276" w:lineRule="auto"/>
        <w:ind w:right="373"/>
        <w:jc w:val="both"/>
        <w:rPr>
          <w:rFonts w:ascii="Times New Roman" w:hAnsi="Times New Roman" w:cs="Times New Roman"/>
        </w:rPr>
      </w:pPr>
      <w:r>
        <w:rPr>
          <w:rFonts w:ascii="Times New Roman" w:hAnsi="Times New Roman" w:cs="Times New Roman"/>
        </w:rPr>
        <w:t>Government-</w:t>
      </w:r>
      <w:r w:rsidR="00162E05" w:rsidRPr="00162E05">
        <w:rPr>
          <w:rFonts w:ascii="Times New Roman" w:hAnsi="Times New Roman" w:cs="Times New Roman"/>
        </w:rPr>
        <w:t>guaranteed bank loans and risk</w:t>
      </w:r>
      <w:r>
        <w:rPr>
          <w:rFonts w:ascii="Times New Roman" w:hAnsi="Times New Roman" w:cs="Times New Roman"/>
        </w:rPr>
        <w:t xml:space="preserve"> mitigation for lenders</w:t>
      </w:r>
    </w:p>
    <w:p w14:paraId="04574F6B" w14:textId="77777777" w:rsidR="00162E05" w:rsidRPr="00162E05" w:rsidRDefault="00162E05" w:rsidP="00162E05">
      <w:pPr>
        <w:spacing w:line="276" w:lineRule="auto"/>
        <w:ind w:left="360" w:right="373"/>
        <w:jc w:val="both"/>
        <w:rPr>
          <w:rFonts w:ascii="Times New Roman" w:hAnsi="Times New Roman" w:cs="Times New Roman"/>
        </w:rPr>
      </w:pPr>
    </w:p>
    <w:p w14:paraId="23A0A44C" w14:textId="2A1BC087" w:rsidR="00162E05" w:rsidRDefault="00162E05" w:rsidP="00F10D3E">
      <w:pPr>
        <w:spacing w:line="276" w:lineRule="auto"/>
        <w:jc w:val="both"/>
        <w:rPr>
          <w:rFonts w:ascii="Times New Roman" w:hAnsi="Times New Roman" w:cs="Times New Roman"/>
          <w:lang w:val="en-US"/>
        </w:rPr>
      </w:pPr>
      <w:r w:rsidRPr="00162E05">
        <w:rPr>
          <w:rFonts w:ascii="Times New Roman" w:hAnsi="Times New Roman" w:cs="Times New Roman"/>
          <w:lang w:val="en-US"/>
        </w:rPr>
        <w:t>The most common form of government intervention in tertiary</w:t>
      </w:r>
      <w:r>
        <w:rPr>
          <w:rFonts w:ascii="Times New Roman" w:hAnsi="Times New Roman" w:cs="Times New Roman"/>
          <w:lang w:val="en-US"/>
        </w:rPr>
        <w:t xml:space="preserve"> education financing is the provision to a subset of students of loans, which are often provided by commercial banks (as is the case in Canada) or the government (as is the case in the US and Thailand). These loans are expected to be repaid over a set time period (eg, 10 years with respect to Stafford loans in the US) and are known as “time-based repayment loans” (TBRL). TBRL address the capital market failure by taking away all risks to lenders in the form of a government guarantee of repayment in the event of default. </w:t>
      </w:r>
    </w:p>
    <w:p w14:paraId="49DE8949" w14:textId="77777777" w:rsidR="00162E05" w:rsidRDefault="00162E05" w:rsidP="00162E05">
      <w:pPr>
        <w:jc w:val="both"/>
        <w:rPr>
          <w:rFonts w:ascii="Times New Roman" w:hAnsi="Times New Roman" w:cs="Times New Roman"/>
          <w:lang w:val="en-US"/>
        </w:rPr>
      </w:pPr>
    </w:p>
    <w:p w14:paraId="7EE6D394" w14:textId="5DC38BD5" w:rsidR="00162E05" w:rsidRDefault="00215531" w:rsidP="00162E05">
      <w:pPr>
        <w:spacing w:line="276" w:lineRule="auto"/>
        <w:ind w:left="142" w:right="373" w:firstLine="218"/>
        <w:jc w:val="both"/>
        <w:rPr>
          <w:rFonts w:ascii="Times New Roman" w:hAnsi="Times New Roman" w:cs="Times New Roman"/>
        </w:rPr>
      </w:pPr>
      <w:r>
        <w:rPr>
          <w:rFonts w:ascii="Times New Roman" w:hAnsi="Times New Roman" w:cs="Times New Roman"/>
        </w:rPr>
        <w:t>1.4 Time-based repayment l</w:t>
      </w:r>
      <w:r w:rsidR="00162E05">
        <w:rPr>
          <w:rFonts w:ascii="Times New Roman" w:hAnsi="Times New Roman" w:cs="Times New Roman"/>
        </w:rPr>
        <w:t>oans and risk</w:t>
      </w:r>
      <w:r>
        <w:rPr>
          <w:rFonts w:ascii="Times New Roman" w:hAnsi="Times New Roman" w:cs="Times New Roman"/>
        </w:rPr>
        <w:t>s for borrowers</w:t>
      </w:r>
    </w:p>
    <w:p w14:paraId="083EC650" w14:textId="77777777" w:rsidR="00162E05" w:rsidRDefault="00162E05" w:rsidP="00162E05">
      <w:pPr>
        <w:jc w:val="both"/>
        <w:rPr>
          <w:rFonts w:cs="Times New Roman"/>
          <w:lang w:val="en-US"/>
        </w:rPr>
      </w:pPr>
    </w:p>
    <w:p w14:paraId="1B1207E7" w14:textId="1A3DCB05" w:rsidR="00162E05" w:rsidRPr="00162E05" w:rsidRDefault="00162E05" w:rsidP="00F10D3E">
      <w:pPr>
        <w:spacing w:line="276" w:lineRule="auto"/>
        <w:jc w:val="both"/>
        <w:rPr>
          <w:rFonts w:ascii="Times New Roman" w:hAnsi="Times New Roman" w:cs="Times New Roman"/>
          <w:lang w:val="en-US"/>
        </w:rPr>
      </w:pPr>
      <w:r w:rsidRPr="00162E05">
        <w:rPr>
          <w:rFonts w:ascii="Times New Roman" w:hAnsi="Times New Roman" w:cs="Times New Roman"/>
          <w:lang w:val="en-US"/>
        </w:rPr>
        <w:t>However, while providing effective risk mitig</w:t>
      </w:r>
      <w:r w:rsidR="00215531">
        <w:rPr>
          <w:rFonts w:ascii="Times New Roman" w:hAnsi="Times New Roman" w:cs="Times New Roman"/>
          <w:lang w:val="en-US"/>
        </w:rPr>
        <w:t>ation of for lenders, TBRL are associated with</w:t>
      </w:r>
      <w:r w:rsidRPr="00162E05">
        <w:rPr>
          <w:rFonts w:ascii="Times New Roman" w:hAnsi="Times New Roman" w:cs="Times New Roman"/>
          <w:lang w:val="en-US"/>
        </w:rPr>
        <w:t xml:space="preserve"> a different form of a risk problem for borrowers, the students. This is because TBRL require repayment regardless of a debtor’s income, and can lead to substantial repayment burdens (defined as the proportion of income required for loan repayment), which in turn leads to consumption hardship and </w:t>
      </w:r>
      <w:r w:rsidR="00215531">
        <w:rPr>
          <w:rFonts w:ascii="Times New Roman" w:hAnsi="Times New Roman" w:cs="Times New Roman"/>
          <w:lang w:val="en-US"/>
        </w:rPr>
        <w:t xml:space="preserve">in many cases </w:t>
      </w:r>
      <w:r w:rsidRPr="00162E05">
        <w:rPr>
          <w:rFonts w:ascii="Times New Roman" w:hAnsi="Times New Roman" w:cs="Times New Roman"/>
          <w:lang w:val="en-US"/>
        </w:rPr>
        <w:t xml:space="preserve">default. </w:t>
      </w:r>
      <w:r w:rsidR="00215531">
        <w:rPr>
          <w:rFonts w:ascii="Times New Roman" w:hAnsi="Times New Roman" w:cs="Times New Roman"/>
          <w:lang w:val="en-US"/>
        </w:rPr>
        <w:t>A person defaulting on a student loan then faces credit reputation damage which has severe adverse consequences for future commercial loan activity.</w:t>
      </w:r>
    </w:p>
    <w:p w14:paraId="2B3E4C24" w14:textId="77777777" w:rsidR="00162E05" w:rsidRDefault="00162E05" w:rsidP="00162E05">
      <w:pPr>
        <w:spacing w:line="276" w:lineRule="auto"/>
        <w:ind w:left="142" w:right="373"/>
        <w:jc w:val="both"/>
        <w:rPr>
          <w:rFonts w:ascii="Times New Roman" w:hAnsi="Times New Roman" w:cs="Times New Roman"/>
        </w:rPr>
      </w:pPr>
    </w:p>
    <w:p w14:paraId="0FFBCBEF" w14:textId="608F738B" w:rsidR="00162E05" w:rsidRDefault="00215531" w:rsidP="00162E05">
      <w:pPr>
        <w:spacing w:line="276" w:lineRule="auto"/>
        <w:ind w:left="142" w:right="373" w:firstLine="218"/>
        <w:jc w:val="both"/>
        <w:rPr>
          <w:rFonts w:ascii="Times New Roman" w:hAnsi="Times New Roman" w:cs="Times New Roman"/>
        </w:rPr>
      </w:pPr>
      <w:r>
        <w:rPr>
          <w:rFonts w:ascii="Times New Roman" w:hAnsi="Times New Roman" w:cs="Times New Roman"/>
        </w:rPr>
        <w:t>1.5</w:t>
      </w:r>
      <w:r>
        <w:rPr>
          <w:rFonts w:ascii="Times New Roman" w:hAnsi="Times New Roman" w:cs="Times New Roman"/>
        </w:rPr>
        <w:tab/>
        <w:t>Income-contingent l</w:t>
      </w:r>
      <w:r w:rsidR="00162E05">
        <w:rPr>
          <w:rFonts w:ascii="Times New Roman" w:hAnsi="Times New Roman" w:cs="Times New Roman"/>
        </w:rPr>
        <w:t>oans and risk</w:t>
      </w:r>
    </w:p>
    <w:p w14:paraId="1BC337BF" w14:textId="77777777" w:rsidR="00162E05" w:rsidRPr="00215531" w:rsidRDefault="00162E05" w:rsidP="00162E05">
      <w:pPr>
        <w:jc w:val="both"/>
        <w:rPr>
          <w:rFonts w:ascii="Times New Roman" w:hAnsi="Times New Roman" w:cs="Times New Roman"/>
          <w:lang w:val="en-US"/>
        </w:rPr>
      </w:pPr>
    </w:p>
    <w:p w14:paraId="2F60EF2D" w14:textId="0A8C0DE2" w:rsidR="00A40CC9" w:rsidRDefault="00162E05" w:rsidP="00F10D3E">
      <w:pPr>
        <w:spacing w:line="276" w:lineRule="auto"/>
        <w:jc w:val="both"/>
        <w:rPr>
          <w:rFonts w:ascii="Times New Roman" w:hAnsi="Times New Roman" w:cs="Times New Roman"/>
          <w:lang w:val="en-US"/>
        </w:rPr>
      </w:pPr>
      <w:r w:rsidRPr="00215531">
        <w:rPr>
          <w:rFonts w:ascii="Times New Roman" w:hAnsi="Times New Roman" w:cs="Times New Roman"/>
          <w:lang w:val="en-US"/>
        </w:rPr>
        <w:t xml:space="preserve">The second type of government loan intervention is an </w:t>
      </w:r>
      <w:r w:rsidR="001D4959">
        <w:rPr>
          <w:rFonts w:ascii="Times New Roman" w:hAnsi="Times New Roman" w:cs="Times New Roman"/>
          <w:lang w:val="en-US"/>
        </w:rPr>
        <w:t>income-contingent loan (</w:t>
      </w:r>
      <w:r w:rsidRPr="00215531">
        <w:rPr>
          <w:rFonts w:ascii="Times New Roman" w:hAnsi="Times New Roman" w:cs="Times New Roman"/>
          <w:lang w:val="en-US"/>
        </w:rPr>
        <w:t>ICL</w:t>
      </w:r>
      <w:r w:rsidR="001D4959">
        <w:rPr>
          <w:rFonts w:ascii="Times New Roman" w:hAnsi="Times New Roman" w:cs="Times New Roman"/>
          <w:lang w:val="en-US"/>
        </w:rPr>
        <w:t>) in which debts are repaid when and only if a borrower has the financial capacity to do so</w:t>
      </w:r>
      <w:r w:rsidRPr="00215531">
        <w:rPr>
          <w:rFonts w:ascii="Times New Roman" w:hAnsi="Times New Roman" w:cs="Times New Roman"/>
          <w:iCs/>
          <w:lang w:val="en-US"/>
        </w:rPr>
        <w:t xml:space="preserve"> </w:t>
      </w:r>
      <w:r w:rsidRPr="00215531">
        <w:rPr>
          <w:rFonts w:ascii="Times New Roman" w:hAnsi="Times New Roman" w:cs="Times New Roman"/>
          <w:lang w:val="en-US"/>
        </w:rPr>
        <w:t xml:space="preserve">ICLs address </w:t>
      </w:r>
      <w:r w:rsidRPr="00215531">
        <w:rPr>
          <w:rFonts w:ascii="Times New Roman" w:hAnsi="Times New Roman" w:cs="Times New Roman"/>
          <w:lang w:val="en-US"/>
        </w:rPr>
        <w:lastRenderedPageBreak/>
        <w:t>the problems of bank loans by providing a source of tuition finance for individuals who might not otherwise have access</w:t>
      </w:r>
      <w:r w:rsidR="001D4959">
        <w:rPr>
          <w:rFonts w:ascii="Times New Roman" w:hAnsi="Times New Roman" w:cs="Times New Roman"/>
          <w:lang w:val="en-US"/>
        </w:rPr>
        <w:t xml:space="preserve">. The critical issue concerning ICL is that they eliminate repayment hardship and default risk for borrowers, with these being covered by government. </w:t>
      </w:r>
    </w:p>
    <w:p w14:paraId="1A315DBA" w14:textId="77777777" w:rsidR="001D3894" w:rsidRPr="001D4959" w:rsidRDefault="001D3894" w:rsidP="00F10D3E">
      <w:pPr>
        <w:spacing w:line="276" w:lineRule="auto"/>
        <w:jc w:val="both"/>
        <w:rPr>
          <w:rFonts w:ascii="Times New Roman" w:hAnsi="Times New Roman" w:cs="Times New Roman"/>
          <w:lang w:val="en-US"/>
        </w:rPr>
      </w:pPr>
    </w:p>
    <w:p w14:paraId="34C47035" w14:textId="6F117971" w:rsidR="00A40CC9" w:rsidRDefault="00A40CC9" w:rsidP="00A40CC9">
      <w:pPr>
        <w:spacing w:line="276" w:lineRule="auto"/>
        <w:ind w:left="142" w:right="373" w:firstLine="218"/>
        <w:jc w:val="both"/>
        <w:rPr>
          <w:rFonts w:ascii="Times New Roman" w:hAnsi="Times New Roman" w:cs="Times New Roman"/>
        </w:rPr>
      </w:pPr>
      <w:r>
        <w:rPr>
          <w:rFonts w:ascii="Times New Roman" w:hAnsi="Times New Roman" w:cs="Times New Roman"/>
        </w:rPr>
        <w:t>1.6</w:t>
      </w:r>
      <w:r>
        <w:rPr>
          <w:rFonts w:ascii="Times New Roman" w:hAnsi="Times New Roman" w:cs="Times New Roman"/>
        </w:rPr>
        <w:tab/>
        <w:t>Private providers and risk</w:t>
      </w:r>
    </w:p>
    <w:p w14:paraId="39FD4E40" w14:textId="77777777" w:rsidR="001D4959" w:rsidRDefault="001D4959" w:rsidP="00A40CC9">
      <w:pPr>
        <w:spacing w:line="276" w:lineRule="auto"/>
        <w:ind w:left="142" w:right="373" w:firstLine="218"/>
        <w:jc w:val="both"/>
        <w:rPr>
          <w:rFonts w:ascii="Times New Roman" w:hAnsi="Times New Roman" w:cs="Times New Roman"/>
        </w:rPr>
      </w:pPr>
    </w:p>
    <w:p w14:paraId="01E19ECD" w14:textId="14CF7214" w:rsidR="00A40CC9" w:rsidRDefault="001D4959" w:rsidP="001D4959">
      <w:pPr>
        <w:spacing w:line="276" w:lineRule="auto"/>
        <w:ind w:right="373"/>
        <w:jc w:val="both"/>
        <w:rPr>
          <w:rFonts w:ascii="Times New Roman" w:hAnsi="Times New Roman" w:cs="Times New Roman"/>
        </w:rPr>
      </w:pPr>
      <w:r>
        <w:rPr>
          <w:rFonts w:ascii="Times New Roman" w:hAnsi="Times New Roman" w:cs="Times New Roman"/>
        </w:rPr>
        <w:t>A final issue related to risk and tertiary education financing concerns the potential role of private providers. Because ICL is such a powerful instrument it is critical that any government contemplating the involvement of private providers ensures that workable legislative mechanisms are in place to prevent misuse by private providers. It is critical to understand that when it comes to student loans (of either type) taxpayers bear all the risks of non-repayment of debts</w:t>
      </w:r>
      <w:r w:rsidR="001D3894">
        <w:rPr>
          <w:rFonts w:ascii="Times New Roman" w:hAnsi="Times New Roman" w:cs="Times New Roman"/>
        </w:rPr>
        <w:t>.</w:t>
      </w:r>
    </w:p>
    <w:p w14:paraId="5A4499DC" w14:textId="77777777" w:rsidR="001D3894" w:rsidRPr="001E2E09" w:rsidRDefault="001D3894" w:rsidP="001D4959">
      <w:pPr>
        <w:spacing w:line="276" w:lineRule="auto"/>
        <w:ind w:right="373"/>
        <w:jc w:val="both"/>
        <w:rPr>
          <w:rFonts w:ascii="Times New Roman" w:hAnsi="Times New Roman" w:cs="Times New Roman"/>
        </w:rPr>
      </w:pPr>
    </w:p>
    <w:p w14:paraId="6EB8EAC3" w14:textId="77777777" w:rsidR="009E3695" w:rsidRDefault="009E3695" w:rsidP="009E3695">
      <w:pPr>
        <w:spacing w:line="276" w:lineRule="auto"/>
        <w:ind w:right="373"/>
        <w:contextualSpacing/>
        <w:jc w:val="both"/>
        <w:rPr>
          <w:rFonts w:ascii="Times New Roman" w:hAnsi="Times New Roman" w:cs="Times New Roman"/>
          <w:i/>
          <w:sz w:val="28"/>
          <w:szCs w:val="28"/>
        </w:rPr>
      </w:pPr>
    </w:p>
    <w:p w14:paraId="4713368C" w14:textId="64999DDA" w:rsidR="009E3695" w:rsidRPr="00EB00B6" w:rsidRDefault="001E2E09" w:rsidP="009E3695">
      <w:pPr>
        <w:spacing w:line="276" w:lineRule="auto"/>
        <w:ind w:left="567" w:right="373" w:hanging="567"/>
        <w:contextualSpacing/>
        <w:jc w:val="both"/>
        <w:rPr>
          <w:rFonts w:ascii="Times New Roman" w:hAnsi="Times New Roman" w:cs="Times New Roman"/>
          <w:i/>
          <w:sz w:val="28"/>
          <w:szCs w:val="28"/>
        </w:rPr>
      </w:pPr>
      <w:r>
        <w:rPr>
          <w:rFonts w:ascii="Times New Roman" w:hAnsi="Times New Roman" w:cs="Times New Roman"/>
          <w:i/>
          <w:sz w:val="28"/>
          <w:szCs w:val="28"/>
        </w:rPr>
        <w:t>2</w:t>
      </w:r>
      <w:r>
        <w:rPr>
          <w:rFonts w:ascii="Times New Roman" w:hAnsi="Times New Roman" w:cs="Times New Roman"/>
          <w:i/>
          <w:sz w:val="28"/>
          <w:szCs w:val="28"/>
        </w:rPr>
        <w:tab/>
      </w:r>
      <w:r w:rsidR="009E3695">
        <w:rPr>
          <w:rFonts w:ascii="Times New Roman" w:hAnsi="Times New Roman" w:cs="Times New Roman"/>
          <w:i/>
          <w:sz w:val="28"/>
          <w:szCs w:val="28"/>
        </w:rPr>
        <w:t>Is there a case for an income-contingent loan for VET</w:t>
      </w:r>
      <w:r w:rsidR="009E3695" w:rsidRPr="00EB00B6">
        <w:rPr>
          <w:rFonts w:ascii="Times New Roman" w:hAnsi="Times New Roman" w:cs="Times New Roman"/>
          <w:i/>
          <w:sz w:val="28"/>
          <w:szCs w:val="28"/>
        </w:rPr>
        <w:t>?</w:t>
      </w:r>
    </w:p>
    <w:p w14:paraId="47206E81" w14:textId="77777777" w:rsidR="009E3695" w:rsidRPr="00EB00B6" w:rsidRDefault="009E3695" w:rsidP="009E3695">
      <w:pPr>
        <w:spacing w:line="276" w:lineRule="auto"/>
        <w:ind w:left="567" w:right="373" w:hanging="567"/>
        <w:contextualSpacing/>
        <w:jc w:val="both"/>
        <w:rPr>
          <w:rFonts w:ascii="Times New Roman" w:hAnsi="Times New Roman" w:cs="Times New Roman"/>
        </w:rPr>
      </w:pPr>
    </w:p>
    <w:p w14:paraId="423C15F1" w14:textId="77777777" w:rsidR="009E3695" w:rsidRPr="00EB00B6" w:rsidRDefault="009E3695" w:rsidP="009E3695">
      <w:pPr>
        <w:spacing w:line="276" w:lineRule="auto"/>
        <w:ind w:right="373"/>
        <w:contextualSpacing/>
        <w:jc w:val="both"/>
        <w:rPr>
          <w:rFonts w:ascii="Times New Roman" w:hAnsi="Times New Roman" w:cs="Times New Roman"/>
        </w:rPr>
      </w:pPr>
      <w:r w:rsidRPr="00EB00B6">
        <w:rPr>
          <w:rFonts w:ascii="Times New Roman" w:hAnsi="Times New Roman" w:cs="Times New Roman"/>
        </w:rPr>
        <w:t>The most important economic rationale for the involvement of government in higher education financing is the existence of market failure: without a guarantor for loan repayment the commercial sector will not provide student loans because of the lack of collateral as insurance for the bank in the event of default. There is concensus on this issue in the literature, and it is discussed in Chapman (2016).</w:t>
      </w:r>
    </w:p>
    <w:p w14:paraId="1622988B" w14:textId="77777777" w:rsidR="009E3695" w:rsidRPr="00EB00B6" w:rsidRDefault="009E3695" w:rsidP="009E3695">
      <w:pPr>
        <w:spacing w:line="276" w:lineRule="auto"/>
        <w:ind w:right="373"/>
        <w:contextualSpacing/>
        <w:jc w:val="both"/>
        <w:rPr>
          <w:rFonts w:ascii="Times New Roman" w:hAnsi="Times New Roman" w:cs="Times New Roman"/>
        </w:rPr>
      </w:pPr>
    </w:p>
    <w:p w14:paraId="4842C5BE" w14:textId="7E637010" w:rsidR="009E3695" w:rsidRPr="00EB00B6" w:rsidRDefault="009E3695" w:rsidP="009E3695">
      <w:pPr>
        <w:spacing w:line="276" w:lineRule="auto"/>
        <w:ind w:right="373"/>
        <w:contextualSpacing/>
        <w:jc w:val="both"/>
        <w:rPr>
          <w:rFonts w:ascii="Times New Roman" w:hAnsi="Times New Roman" w:cs="Times New Roman"/>
        </w:rPr>
      </w:pPr>
      <w:r w:rsidRPr="00EB00B6">
        <w:rPr>
          <w:rFonts w:ascii="Times New Roman" w:hAnsi="Times New Roman" w:cs="Times New Roman"/>
        </w:rPr>
        <w:t xml:space="preserve">This means that there is a case for a </w:t>
      </w:r>
      <w:r>
        <w:rPr>
          <w:rFonts w:ascii="Times New Roman" w:hAnsi="Times New Roman" w:cs="Times New Roman"/>
        </w:rPr>
        <w:t xml:space="preserve">government </w:t>
      </w:r>
      <w:r w:rsidRPr="00EB00B6">
        <w:rPr>
          <w:rFonts w:ascii="Times New Roman" w:hAnsi="Times New Roman" w:cs="Times New Roman"/>
        </w:rPr>
        <w:t>student loan system</w:t>
      </w:r>
      <w:r>
        <w:rPr>
          <w:rFonts w:ascii="Times New Roman" w:hAnsi="Times New Roman" w:cs="Times New Roman"/>
        </w:rPr>
        <w:t>, a point reflected in the almost pervasive world-wide availability of government student loans in tertiary education.</w:t>
      </w:r>
      <w:r w:rsidRPr="00EB00B6">
        <w:rPr>
          <w:rFonts w:ascii="Times New Roman" w:hAnsi="Times New Roman" w:cs="Times New Roman"/>
        </w:rPr>
        <w:t xml:space="preserve"> The choice for policy lies between the two types of student loans: those with repayment made on the basis of time </w:t>
      </w:r>
      <w:r w:rsidR="001D4959">
        <w:rPr>
          <w:rFonts w:ascii="Times New Roman" w:hAnsi="Times New Roman" w:cs="Times New Roman"/>
        </w:rPr>
        <w:t>TBRL</w:t>
      </w:r>
      <w:r w:rsidRPr="00EB00B6">
        <w:rPr>
          <w:rFonts w:ascii="Times New Roman" w:hAnsi="Times New Roman" w:cs="Times New Roman"/>
        </w:rPr>
        <w:t xml:space="preserve"> which operates like a mortgage and is still the most common form of student </w:t>
      </w:r>
      <w:r w:rsidR="001D4959">
        <w:rPr>
          <w:rFonts w:ascii="Times New Roman" w:hAnsi="Times New Roman" w:cs="Times New Roman"/>
        </w:rPr>
        <w:t>loan internationally (</w:t>
      </w:r>
      <w:r w:rsidRPr="00EB00B6">
        <w:rPr>
          <w:rFonts w:ascii="Times New Roman" w:hAnsi="Times New Roman" w:cs="Times New Roman"/>
          <w:i/>
        </w:rPr>
        <w:t>inter alia</w:t>
      </w:r>
      <w:r w:rsidRPr="00EB00B6">
        <w:rPr>
          <w:rFonts w:ascii="Times New Roman" w:hAnsi="Times New Roman" w:cs="Times New Roman"/>
        </w:rPr>
        <w:t xml:space="preserve">, in the US, Canada, Thailand and Colombia); and those with repayment based on a debtor’s income, </w:t>
      </w:r>
      <w:r w:rsidR="001D4959">
        <w:rPr>
          <w:rFonts w:ascii="Times New Roman" w:hAnsi="Times New Roman" w:cs="Times New Roman"/>
        </w:rPr>
        <w:t>ICL</w:t>
      </w:r>
      <w:r w:rsidRPr="00EB00B6">
        <w:rPr>
          <w:rFonts w:ascii="Times New Roman" w:hAnsi="Times New Roman" w:cs="Times New Roman"/>
        </w:rPr>
        <w:t xml:space="preserve"> (such</w:t>
      </w:r>
      <w:r w:rsidR="001D4959">
        <w:rPr>
          <w:rFonts w:ascii="Times New Roman" w:hAnsi="Times New Roman" w:cs="Times New Roman"/>
        </w:rPr>
        <w:t xml:space="preserve"> as HELP in Australia, and </w:t>
      </w:r>
      <w:r w:rsidRPr="00EB00B6">
        <w:rPr>
          <w:rFonts w:ascii="Times New Roman" w:hAnsi="Times New Roman" w:cs="Times New Roman"/>
        </w:rPr>
        <w:t>similar systems in New Zealand, England and Hungary, and under active consideration in Colombia, Malaysia, Brazil, Ireland and Japan). Very useful material</w:t>
      </w:r>
      <w:r>
        <w:rPr>
          <w:rFonts w:ascii="Times New Roman" w:hAnsi="Times New Roman" w:cs="Times New Roman"/>
        </w:rPr>
        <w:t xml:space="preserve"> on the distinction and effects of loan design</w:t>
      </w:r>
      <w:r w:rsidRPr="00EB00B6">
        <w:rPr>
          <w:rFonts w:ascii="Times New Roman" w:hAnsi="Times New Roman" w:cs="Times New Roman"/>
        </w:rPr>
        <w:t xml:space="preserve"> is available in the Special Issue of the </w:t>
      </w:r>
      <w:r w:rsidRPr="005C0C0A">
        <w:rPr>
          <w:rFonts w:ascii="Times New Roman" w:hAnsi="Times New Roman" w:cs="Times New Roman"/>
          <w:i/>
        </w:rPr>
        <w:t>Economics of Education Review</w:t>
      </w:r>
      <w:r w:rsidRPr="00EB00B6">
        <w:rPr>
          <w:rFonts w:ascii="Times New Roman" w:hAnsi="Times New Roman" w:cs="Times New Roman"/>
        </w:rPr>
        <w:t>, September 2019.</w:t>
      </w:r>
    </w:p>
    <w:p w14:paraId="44A8DB2C" w14:textId="77777777" w:rsidR="009E3695" w:rsidRPr="00EB00B6" w:rsidRDefault="009E3695" w:rsidP="009E3695">
      <w:pPr>
        <w:spacing w:line="276" w:lineRule="auto"/>
        <w:ind w:right="373"/>
        <w:contextualSpacing/>
        <w:jc w:val="both"/>
        <w:rPr>
          <w:rFonts w:ascii="Times New Roman" w:hAnsi="Times New Roman" w:cs="Times New Roman"/>
        </w:rPr>
      </w:pPr>
    </w:p>
    <w:p w14:paraId="1CECF5F6" w14:textId="77777777" w:rsidR="009E3695" w:rsidRPr="00EB00B6" w:rsidRDefault="009E3695" w:rsidP="009E3695">
      <w:pPr>
        <w:spacing w:line="276" w:lineRule="auto"/>
        <w:ind w:right="373"/>
        <w:contextualSpacing/>
        <w:jc w:val="both"/>
        <w:rPr>
          <w:rFonts w:ascii="Times New Roman" w:hAnsi="Times New Roman" w:cs="Times New Roman"/>
        </w:rPr>
      </w:pPr>
      <w:r w:rsidRPr="00EB00B6">
        <w:rPr>
          <w:rFonts w:ascii="Times New Roman" w:hAnsi="Times New Roman" w:cs="Times New Roman"/>
        </w:rPr>
        <w:t>There are critical differences in the implications of the use of either TBRL or ICL, and for debtors this comes down to the adverse consequences with respect to a TBRL of loans being required to be repaid irrespective of a bor</w:t>
      </w:r>
      <w:r>
        <w:rPr>
          <w:rFonts w:ascii="Times New Roman" w:hAnsi="Times New Roman" w:cs="Times New Roman"/>
        </w:rPr>
        <w:t xml:space="preserve">rower’s capacity to do so. In contrast, with ICL there is both </w:t>
      </w:r>
      <w:r w:rsidRPr="00EB00B6">
        <w:rPr>
          <w:rFonts w:ascii="Times New Roman" w:hAnsi="Times New Roman" w:cs="Times New Roman"/>
        </w:rPr>
        <w:t>insurance against repayment hardship and default protection</w:t>
      </w:r>
      <w:r>
        <w:rPr>
          <w:rFonts w:ascii="Times New Roman" w:hAnsi="Times New Roman" w:cs="Times New Roman"/>
        </w:rPr>
        <w:t xml:space="preserve">, and these are the salient advantages for borrowers of </w:t>
      </w:r>
      <w:r w:rsidRPr="00EB00B6">
        <w:rPr>
          <w:rFonts w:ascii="Times New Roman" w:hAnsi="Times New Roman" w:cs="Times New Roman"/>
        </w:rPr>
        <w:t xml:space="preserve">ICL (these issues are considered in Chapman (2016) and Barr </w:t>
      </w:r>
      <w:r w:rsidRPr="00EB00B6">
        <w:rPr>
          <w:rFonts w:ascii="Times New Roman" w:hAnsi="Times New Roman" w:cs="Times New Roman"/>
          <w:i/>
        </w:rPr>
        <w:t>et al.</w:t>
      </w:r>
      <w:r w:rsidRPr="00EB00B6">
        <w:rPr>
          <w:rFonts w:ascii="Times New Roman" w:hAnsi="Times New Roman" w:cs="Times New Roman"/>
        </w:rPr>
        <w:t xml:space="preserve">, </w:t>
      </w:r>
      <w:r>
        <w:rPr>
          <w:rFonts w:ascii="Times New Roman" w:hAnsi="Times New Roman" w:cs="Times New Roman"/>
        </w:rPr>
        <w:t xml:space="preserve">2019). As well as these clear benefits for </w:t>
      </w:r>
      <w:r w:rsidRPr="00EB00B6">
        <w:rPr>
          <w:rFonts w:ascii="Times New Roman" w:hAnsi="Times New Roman" w:cs="Times New Roman"/>
        </w:rPr>
        <w:t>borrowers</w:t>
      </w:r>
      <w:r>
        <w:rPr>
          <w:rFonts w:ascii="Times New Roman" w:hAnsi="Times New Roman" w:cs="Times New Roman"/>
        </w:rPr>
        <w:t xml:space="preserve">, ICL can be designed to mean lower taxpayer subsidies for the government compared to TBRL, and also have the benefits of extremely efficient collection </w:t>
      </w:r>
      <w:r w:rsidRPr="00EB00B6">
        <w:rPr>
          <w:rFonts w:ascii="Times New Roman" w:hAnsi="Times New Roman" w:cs="Times New Roman"/>
        </w:rPr>
        <w:t>(see Stiglitz, 2014).</w:t>
      </w:r>
    </w:p>
    <w:p w14:paraId="49A4A313" w14:textId="77777777" w:rsidR="009E3695" w:rsidRPr="00EB00B6" w:rsidRDefault="009E3695" w:rsidP="009E3695">
      <w:pPr>
        <w:spacing w:line="276" w:lineRule="auto"/>
        <w:ind w:right="373"/>
        <w:contextualSpacing/>
        <w:jc w:val="both"/>
        <w:rPr>
          <w:rFonts w:ascii="Times New Roman" w:hAnsi="Times New Roman" w:cs="Times New Roman"/>
        </w:rPr>
      </w:pPr>
    </w:p>
    <w:p w14:paraId="4C10FF65" w14:textId="77777777" w:rsidR="009E3695" w:rsidRDefault="009E3695" w:rsidP="009E3695">
      <w:pPr>
        <w:spacing w:line="276" w:lineRule="auto"/>
        <w:ind w:right="373"/>
        <w:contextualSpacing/>
        <w:jc w:val="both"/>
        <w:rPr>
          <w:rFonts w:ascii="Times New Roman" w:hAnsi="Times New Roman" w:cs="Times New Roman"/>
        </w:rPr>
      </w:pPr>
      <w:r w:rsidRPr="00EB00B6">
        <w:rPr>
          <w:rFonts w:ascii="Times New Roman" w:hAnsi="Times New Roman" w:cs="Times New Roman"/>
        </w:rPr>
        <w:lastRenderedPageBreak/>
        <w:t xml:space="preserve">The bottom line is that there is a case for </w:t>
      </w:r>
      <w:r>
        <w:rPr>
          <w:rFonts w:ascii="Times New Roman" w:hAnsi="Times New Roman" w:cs="Times New Roman"/>
        </w:rPr>
        <w:t>the availability of a universal student loan system</w:t>
      </w:r>
      <w:r w:rsidRPr="00EB00B6">
        <w:rPr>
          <w:rFonts w:ascii="Times New Roman" w:hAnsi="Times New Roman" w:cs="Times New Roman"/>
        </w:rPr>
        <w:t xml:space="preserve">, </w:t>
      </w:r>
      <w:r>
        <w:rPr>
          <w:rFonts w:ascii="Times New Roman" w:hAnsi="Times New Roman" w:cs="Times New Roman"/>
        </w:rPr>
        <w:t xml:space="preserve">with the most equitable and propitious form being ICL in preference to a TBRL. </w:t>
      </w:r>
      <w:r w:rsidRPr="00EB00B6">
        <w:rPr>
          <w:rFonts w:ascii="Times New Roman" w:hAnsi="Times New Roman" w:cs="Times New Roman"/>
        </w:rPr>
        <w:t xml:space="preserve">The arguments and evidence presented in Barr </w:t>
      </w:r>
      <w:r w:rsidRPr="00EB00B6">
        <w:rPr>
          <w:rFonts w:ascii="Times New Roman" w:hAnsi="Times New Roman" w:cs="Times New Roman"/>
          <w:i/>
        </w:rPr>
        <w:t>et al</w:t>
      </w:r>
      <w:r w:rsidRPr="00EB00B6">
        <w:rPr>
          <w:rFonts w:ascii="Times New Roman" w:hAnsi="Times New Roman" w:cs="Times New Roman"/>
        </w:rPr>
        <w:t>. (2019) make</w:t>
      </w:r>
      <w:r>
        <w:rPr>
          <w:rFonts w:ascii="Times New Roman" w:hAnsi="Times New Roman" w:cs="Times New Roman"/>
        </w:rPr>
        <w:t xml:space="preserve"> both points </w:t>
      </w:r>
      <w:r w:rsidRPr="00EB00B6">
        <w:rPr>
          <w:rFonts w:ascii="Times New Roman" w:hAnsi="Times New Roman" w:cs="Times New Roman"/>
        </w:rPr>
        <w:t>very clear</w:t>
      </w:r>
      <w:r>
        <w:rPr>
          <w:rFonts w:ascii="Times New Roman" w:hAnsi="Times New Roman" w:cs="Times New Roman"/>
        </w:rPr>
        <w:t>.</w:t>
      </w:r>
    </w:p>
    <w:p w14:paraId="4322AA52" w14:textId="77777777" w:rsidR="009E3695" w:rsidRPr="00EB00B6" w:rsidRDefault="009E3695" w:rsidP="009E3695">
      <w:pPr>
        <w:spacing w:line="276" w:lineRule="auto"/>
        <w:ind w:right="373"/>
        <w:contextualSpacing/>
        <w:jc w:val="both"/>
        <w:rPr>
          <w:rFonts w:ascii="Times New Roman" w:hAnsi="Times New Roman" w:cs="Times New Roman"/>
        </w:rPr>
      </w:pPr>
    </w:p>
    <w:p w14:paraId="23ECE375" w14:textId="77777777" w:rsidR="009E3695" w:rsidRPr="00EB00B6" w:rsidRDefault="009E3695" w:rsidP="009E3695">
      <w:pPr>
        <w:spacing w:line="276" w:lineRule="auto"/>
        <w:ind w:right="373"/>
        <w:contextualSpacing/>
        <w:jc w:val="both"/>
        <w:rPr>
          <w:rFonts w:ascii="Times New Roman" w:hAnsi="Times New Roman" w:cs="Times New Roman"/>
        </w:rPr>
      </w:pPr>
      <w:r w:rsidRPr="00EB00B6">
        <w:rPr>
          <w:rFonts w:ascii="Times New Roman" w:hAnsi="Times New Roman" w:cs="Times New Roman"/>
        </w:rPr>
        <w:t>Related to the above is the role of externalities and government subsidies associated with tertiary education. There is little doubt that there are indeed at least fiscal externalities from these investments from skill-creation, which results in higher individual incomes and thus greater income tax revenue. This is explained and modelled in Chapman and Lounkaew (2015).</w:t>
      </w:r>
    </w:p>
    <w:p w14:paraId="51DEC6E9" w14:textId="77777777" w:rsidR="009E3695" w:rsidRPr="00EB00B6" w:rsidRDefault="009E3695" w:rsidP="009E3695">
      <w:pPr>
        <w:spacing w:line="276" w:lineRule="auto"/>
        <w:ind w:right="373"/>
        <w:contextualSpacing/>
        <w:jc w:val="both"/>
        <w:rPr>
          <w:rFonts w:ascii="Times New Roman" w:hAnsi="Times New Roman" w:cs="Times New Roman"/>
        </w:rPr>
      </w:pPr>
    </w:p>
    <w:p w14:paraId="6A81B674" w14:textId="633173BB" w:rsidR="009E3695" w:rsidRDefault="009E3695" w:rsidP="009E3695">
      <w:pPr>
        <w:spacing w:line="276" w:lineRule="auto"/>
        <w:ind w:right="373"/>
        <w:contextualSpacing/>
        <w:jc w:val="both"/>
        <w:rPr>
          <w:rFonts w:ascii="Times New Roman" w:hAnsi="Times New Roman" w:cs="Times New Roman"/>
        </w:rPr>
      </w:pPr>
      <w:r w:rsidRPr="00EB00B6">
        <w:rPr>
          <w:rFonts w:ascii="Times New Roman" w:hAnsi="Times New Roman" w:cs="Times New Roman"/>
        </w:rPr>
        <w:t xml:space="preserve">However, the existence of fiscal (and other) externalities from tertiary education does not imply that there should be a universal ICL, or indeed direct government intervention of any form in higher education (the case for such action is made above). The externalities instead provide an argument for government </w:t>
      </w:r>
      <w:r w:rsidRPr="00EB00B6">
        <w:rPr>
          <w:rFonts w:ascii="Times New Roman" w:hAnsi="Times New Roman" w:cs="Times New Roman"/>
          <w:i/>
        </w:rPr>
        <w:t>subsidies</w:t>
      </w:r>
      <w:r w:rsidRPr="00EB00B6">
        <w:rPr>
          <w:rFonts w:ascii="Times New Roman" w:hAnsi="Times New Roman" w:cs="Times New Roman"/>
        </w:rPr>
        <w:t xml:space="preserve"> to tertiary education systems. These could take the form as they currently do in Australia in which charges for public sector tertiary students are less than the costs - in some instances</w:t>
      </w:r>
      <w:r w:rsidR="001D3894">
        <w:rPr>
          <w:rFonts w:ascii="Times New Roman" w:hAnsi="Times New Roman" w:cs="Times New Roman"/>
        </w:rPr>
        <w:t>,</w:t>
      </w:r>
      <w:r w:rsidRPr="00EB00B6">
        <w:rPr>
          <w:rFonts w:ascii="Times New Roman" w:hAnsi="Times New Roman" w:cs="Times New Roman"/>
        </w:rPr>
        <w:t xml:space="preserve"> such as VET</w:t>
      </w:r>
      <w:r w:rsidR="001D3894">
        <w:rPr>
          <w:rFonts w:ascii="Times New Roman" w:hAnsi="Times New Roman" w:cs="Times New Roman"/>
        </w:rPr>
        <w:t>,</w:t>
      </w:r>
      <w:r w:rsidRPr="00EB00B6">
        <w:rPr>
          <w:rFonts w:ascii="Times New Roman" w:hAnsi="Times New Roman" w:cs="Times New Roman"/>
        </w:rPr>
        <w:t xml:space="preserve"> very significantly so - with the difference coming from government.</w:t>
      </w:r>
      <w:r>
        <w:rPr>
          <w:rFonts w:ascii="Times New Roman" w:hAnsi="Times New Roman" w:cs="Times New Roman"/>
        </w:rPr>
        <w:t xml:space="preserve"> The pricing issue is taken up in more detail</w:t>
      </w:r>
      <w:r w:rsidR="005E3876">
        <w:rPr>
          <w:rFonts w:ascii="Times New Roman" w:hAnsi="Times New Roman" w:cs="Times New Roman"/>
        </w:rPr>
        <w:t xml:space="preserve"> below</w:t>
      </w:r>
      <w:r>
        <w:rPr>
          <w:rFonts w:ascii="Times New Roman" w:hAnsi="Times New Roman" w:cs="Times New Roman"/>
        </w:rPr>
        <w:t>.</w:t>
      </w:r>
    </w:p>
    <w:p w14:paraId="100BE7B7" w14:textId="77777777" w:rsidR="005E3876" w:rsidRDefault="005E3876" w:rsidP="009E3695">
      <w:pPr>
        <w:spacing w:line="276" w:lineRule="auto"/>
        <w:ind w:right="373"/>
        <w:contextualSpacing/>
        <w:jc w:val="both"/>
        <w:rPr>
          <w:rFonts w:ascii="Times New Roman" w:hAnsi="Times New Roman" w:cs="Times New Roman"/>
        </w:rPr>
      </w:pPr>
    </w:p>
    <w:p w14:paraId="3B1CC880" w14:textId="77777777" w:rsidR="001D3894" w:rsidRDefault="001D3894" w:rsidP="009E3695">
      <w:pPr>
        <w:spacing w:line="276" w:lineRule="auto"/>
        <w:ind w:right="373"/>
        <w:contextualSpacing/>
        <w:jc w:val="both"/>
        <w:rPr>
          <w:rFonts w:ascii="Times New Roman" w:hAnsi="Times New Roman" w:cs="Times New Roman"/>
        </w:rPr>
      </w:pPr>
    </w:p>
    <w:p w14:paraId="2978C838" w14:textId="09F0D169" w:rsidR="005E3876" w:rsidRPr="009F0C30" w:rsidRDefault="005E3876" w:rsidP="005E3876">
      <w:pPr>
        <w:textAlignment w:val="baseline"/>
        <w:rPr>
          <w:rFonts w:ascii="Times New Roman" w:hAnsi="Times New Roman" w:cs="Times New Roman"/>
          <w:i/>
          <w:color w:val="000000"/>
          <w:sz w:val="28"/>
          <w:szCs w:val="28"/>
          <w:lang w:val="en-US"/>
        </w:rPr>
      </w:pPr>
      <w:r>
        <w:rPr>
          <w:rFonts w:ascii="Times New Roman" w:hAnsi="Times New Roman" w:cs="Times New Roman"/>
          <w:i/>
          <w:color w:val="000000"/>
          <w:sz w:val="28"/>
          <w:szCs w:val="28"/>
          <w:bdr w:val="none" w:sz="0" w:space="0" w:color="auto" w:frame="1"/>
          <w:lang w:val="en-US"/>
        </w:rPr>
        <w:t>3</w:t>
      </w:r>
      <w:r>
        <w:rPr>
          <w:rFonts w:ascii="Times New Roman" w:hAnsi="Times New Roman" w:cs="Times New Roman"/>
          <w:i/>
          <w:color w:val="000000"/>
          <w:sz w:val="28"/>
          <w:szCs w:val="28"/>
          <w:bdr w:val="none" w:sz="0" w:space="0" w:color="auto" w:frame="1"/>
          <w:lang w:val="en-US"/>
        </w:rPr>
        <w:tab/>
      </w:r>
      <w:r w:rsidRPr="009F0C30">
        <w:rPr>
          <w:rFonts w:ascii="Times New Roman" w:hAnsi="Times New Roman" w:cs="Times New Roman"/>
          <w:i/>
          <w:color w:val="000000"/>
          <w:sz w:val="28"/>
          <w:szCs w:val="28"/>
          <w:bdr w:val="none" w:sz="0" w:space="0" w:color="auto" w:frame="1"/>
          <w:lang w:val="en-US"/>
        </w:rPr>
        <w:t>Is There a Case for</w:t>
      </w:r>
      <w:r>
        <w:rPr>
          <w:rFonts w:ascii="Times New Roman" w:hAnsi="Times New Roman" w:cs="Times New Roman"/>
          <w:i/>
          <w:color w:val="000000"/>
          <w:sz w:val="28"/>
          <w:szCs w:val="28"/>
          <w:bdr w:val="none" w:sz="0" w:space="0" w:color="auto" w:frame="1"/>
          <w:lang w:val="en-US"/>
        </w:rPr>
        <w:t xml:space="preserve"> an</w:t>
      </w:r>
      <w:r w:rsidRPr="009F0C30">
        <w:rPr>
          <w:rFonts w:ascii="Times New Roman" w:hAnsi="Times New Roman" w:cs="Times New Roman"/>
          <w:i/>
          <w:color w:val="000000"/>
          <w:sz w:val="28"/>
          <w:szCs w:val="28"/>
          <w:bdr w:val="none" w:sz="0" w:space="0" w:color="auto" w:frame="1"/>
          <w:lang w:val="en-US"/>
        </w:rPr>
        <w:t xml:space="preserve"> ICL </w:t>
      </w:r>
      <w:r>
        <w:rPr>
          <w:rFonts w:ascii="Times New Roman" w:hAnsi="Times New Roman" w:cs="Times New Roman"/>
          <w:i/>
          <w:color w:val="000000"/>
          <w:sz w:val="28"/>
          <w:szCs w:val="28"/>
          <w:bdr w:val="none" w:sz="0" w:space="0" w:color="auto" w:frame="1"/>
          <w:lang w:val="en-US"/>
        </w:rPr>
        <w:t xml:space="preserve">even </w:t>
      </w:r>
      <w:r w:rsidR="00215531">
        <w:rPr>
          <w:rFonts w:ascii="Times New Roman" w:hAnsi="Times New Roman" w:cs="Times New Roman"/>
          <w:i/>
          <w:color w:val="000000"/>
          <w:sz w:val="28"/>
          <w:szCs w:val="28"/>
          <w:bdr w:val="none" w:sz="0" w:space="0" w:color="auto" w:frame="1"/>
          <w:lang w:val="en-US"/>
        </w:rPr>
        <w:t>for Concessional Loan S</w:t>
      </w:r>
      <w:r w:rsidRPr="009F0C30">
        <w:rPr>
          <w:rFonts w:ascii="Times New Roman" w:hAnsi="Times New Roman" w:cs="Times New Roman"/>
          <w:i/>
          <w:color w:val="000000"/>
          <w:sz w:val="28"/>
          <w:szCs w:val="28"/>
          <w:bdr w:val="none" w:sz="0" w:space="0" w:color="auto" w:frame="1"/>
          <w:lang w:val="en-US"/>
        </w:rPr>
        <w:t>tudents</w:t>
      </w:r>
      <w:r>
        <w:rPr>
          <w:rFonts w:ascii="Times New Roman" w:hAnsi="Times New Roman" w:cs="Times New Roman"/>
          <w:i/>
          <w:color w:val="000000"/>
          <w:sz w:val="28"/>
          <w:szCs w:val="28"/>
          <w:bdr w:val="none" w:sz="0" w:space="0" w:color="auto" w:frame="1"/>
          <w:lang w:val="en-US"/>
        </w:rPr>
        <w:t>?</w:t>
      </w:r>
    </w:p>
    <w:p w14:paraId="19A5E42A" w14:textId="77777777" w:rsidR="005E3876" w:rsidRPr="00EB00B6" w:rsidRDefault="005E3876" w:rsidP="005E3876">
      <w:pPr>
        <w:jc w:val="both"/>
        <w:textAlignment w:val="baseline"/>
        <w:rPr>
          <w:rFonts w:ascii="Times New Roman" w:hAnsi="Times New Roman" w:cs="Times New Roman"/>
          <w:color w:val="000000"/>
          <w:lang w:val="en-US"/>
        </w:rPr>
      </w:pPr>
    </w:p>
    <w:p w14:paraId="0C2ECE3E" w14:textId="1A7F2195" w:rsidR="005E3876" w:rsidRPr="00EB00B6" w:rsidRDefault="005E3876" w:rsidP="005E3876">
      <w:pPr>
        <w:spacing w:line="276" w:lineRule="auto"/>
        <w:contextualSpacing/>
        <w:jc w:val="both"/>
        <w:textAlignment w:val="baseline"/>
        <w:rPr>
          <w:rFonts w:ascii="Times New Roman" w:hAnsi="Times New Roman" w:cs="Times New Roman"/>
          <w:color w:val="000000"/>
          <w:bdr w:val="none" w:sz="0" w:space="0" w:color="auto" w:frame="1"/>
          <w:lang w:val="en-US"/>
        </w:rPr>
      </w:pPr>
      <w:r w:rsidRPr="00EB00B6">
        <w:rPr>
          <w:rFonts w:ascii="Times New Roman" w:hAnsi="Times New Roman" w:cs="Times New Roman"/>
          <w:color w:val="000000"/>
          <w:bdr w:val="none" w:sz="0" w:space="0" w:color="auto" w:frame="1"/>
          <w:lang w:val="en-US"/>
        </w:rPr>
        <w:t xml:space="preserve">The case for extending ICL to concessional students is quite clear and follows from the conceptual discussion concerning market failure with </w:t>
      </w:r>
      <w:r w:rsidR="00B63D5B">
        <w:rPr>
          <w:rFonts w:ascii="Times New Roman" w:hAnsi="Times New Roman" w:cs="Times New Roman"/>
          <w:color w:val="000000"/>
          <w:bdr w:val="none" w:sz="0" w:space="0" w:color="auto" w:frame="1"/>
          <w:lang w:val="en-US"/>
        </w:rPr>
        <w:t xml:space="preserve">respect to </w:t>
      </w:r>
      <w:r w:rsidRPr="00EB00B6">
        <w:rPr>
          <w:rFonts w:ascii="Times New Roman" w:hAnsi="Times New Roman" w:cs="Times New Roman"/>
          <w:color w:val="000000"/>
          <w:bdr w:val="none" w:sz="0" w:space="0" w:color="auto" w:frame="1"/>
          <w:lang w:val="en-US"/>
        </w:rPr>
        <w:t>all tertiary education financing. The key point is that up-front tuition charges, even the very low ones currently in place</w:t>
      </w:r>
      <w:r>
        <w:rPr>
          <w:rFonts w:ascii="Times New Roman" w:hAnsi="Times New Roman" w:cs="Times New Roman"/>
          <w:color w:val="000000"/>
          <w:bdr w:val="none" w:sz="0" w:space="0" w:color="auto" w:frame="1"/>
          <w:lang w:val="en-US"/>
        </w:rPr>
        <w:t xml:space="preserve"> in most jurisdictions</w:t>
      </w:r>
      <w:r w:rsidRPr="00EB00B6">
        <w:rPr>
          <w:rFonts w:ascii="Times New Roman" w:hAnsi="Times New Roman" w:cs="Times New Roman"/>
          <w:color w:val="000000"/>
          <w:bdr w:val="none" w:sz="0" w:space="0" w:color="auto" w:frame="1"/>
          <w:lang w:val="en-US"/>
        </w:rPr>
        <w:t xml:space="preserve">, have the strong potential for excluding the participation of the disadvantaged. This is because some (even </w:t>
      </w:r>
      <w:r w:rsidRPr="00EB00B6">
        <w:rPr>
          <w:rFonts w:ascii="Times New Roman" w:hAnsi="Times New Roman" w:cs="Times New Roman"/>
          <w:i/>
          <w:color w:val="000000"/>
          <w:bdr w:val="none" w:sz="0" w:space="0" w:color="auto" w:frame="1"/>
          <w:lang w:val="en-US"/>
        </w:rPr>
        <w:t>most</w:t>
      </w:r>
      <w:r w:rsidRPr="00EB00B6">
        <w:rPr>
          <w:rFonts w:ascii="Times New Roman" w:hAnsi="Times New Roman" w:cs="Times New Roman"/>
          <w:color w:val="000000"/>
          <w:bdr w:val="none" w:sz="0" w:space="0" w:color="auto" w:frame="1"/>
          <w:lang w:val="en-US"/>
        </w:rPr>
        <w:t>) members of highly credit constrained groups, such as First Nation peoples, will be unable to borrow commercially to finance the payment of tuition courses through a lack of collateral to be used by a bank in the event of default; this means that access to government-provided loans is essential and, as our discussion has made clear, the most equitable and efficient borrowing system is ICL.</w:t>
      </w:r>
    </w:p>
    <w:p w14:paraId="7AAACFBA" w14:textId="77777777" w:rsidR="005E3876" w:rsidRPr="00EB00B6" w:rsidRDefault="005E3876" w:rsidP="005E3876">
      <w:pPr>
        <w:spacing w:line="276" w:lineRule="auto"/>
        <w:contextualSpacing/>
        <w:jc w:val="both"/>
        <w:textAlignment w:val="baseline"/>
        <w:rPr>
          <w:rFonts w:ascii="Times New Roman" w:hAnsi="Times New Roman" w:cs="Times New Roman"/>
          <w:color w:val="000000"/>
          <w:bdr w:val="none" w:sz="0" w:space="0" w:color="auto" w:frame="1"/>
          <w:lang w:val="en-US"/>
        </w:rPr>
      </w:pPr>
    </w:p>
    <w:p w14:paraId="05EFFD0C" w14:textId="03D548DF" w:rsidR="005E3876" w:rsidRDefault="00B63D5B" w:rsidP="005E3876">
      <w:pPr>
        <w:spacing w:line="276" w:lineRule="auto"/>
        <w:contextualSpacing/>
        <w:jc w:val="both"/>
        <w:textAlignment w:val="baseline"/>
        <w:rPr>
          <w:rFonts w:ascii="Times New Roman" w:hAnsi="Times New Roman" w:cs="Times New Roman"/>
          <w:color w:val="000000"/>
          <w:bdr w:val="none" w:sz="0" w:space="0" w:color="auto" w:frame="1"/>
          <w:lang w:val="en-US"/>
        </w:rPr>
      </w:pPr>
      <w:r>
        <w:rPr>
          <w:rFonts w:ascii="Times New Roman" w:hAnsi="Times New Roman" w:cs="Times New Roman"/>
          <w:color w:val="000000"/>
          <w:bdr w:val="none" w:sz="0" w:space="0" w:color="auto" w:frame="1"/>
          <w:lang w:val="en-US"/>
        </w:rPr>
        <w:t>Throughout Australian VET t</w:t>
      </w:r>
      <w:r w:rsidR="005E3876">
        <w:rPr>
          <w:rFonts w:ascii="Times New Roman" w:hAnsi="Times New Roman" w:cs="Times New Roman"/>
          <w:color w:val="000000"/>
          <w:bdr w:val="none" w:sz="0" w:space="0" w:color="auto" w:frame="1"/>
          <w:lang w:val="en-US"/>
        </w:rPr>
        <w:t>here are c</w:t>
      </w:r>
      <w:r w:rsidR="005E3876" w:rsidRPr="00EB00B6">
        <w:rPr>
          <w:rFonts w:ascii="Times New Roman" w:hAnsi="Times New Roman" w:cs="Times New Roman"/>
          <w:color w:val="000000"/>
          <w:bdr w:val="none" w:sz="0" w:space="0" w:color="auto" w:frame="1"/>
          <w:lang w:val="en-US"/>
        </w:rPr>
        <w:t xml:space="preserve">oncessional charges </w:t>
      </w:r>
      <w:r w:rsidR="005E3876">
        <w:rPr>
          <w:rFonts w:ascii="Times New Roman" w:hAnsi="Times New Roman" w:cs="Times New Roman"/>
          <w:color w:val="000000"/>
          <w:bdr w:val="none" w:sz="0" w:space="0" w:color="auto" w:frame="1"/>
          <w:lang w:val="en-US"/>
        </w:rPr>
        <w:t xml:space="preserve">for the members of </w:t>
      </w:r>
      <w:r>
        <w:rPr>
          <w:rFonts w:ascii="Times New Roman" w:hAnsi="Times New Roman" w:cs="Times New Roman"/>
          <w:color w:val="000000"/>
          <w:bdr w:val="none" w:sz="0" w:space="0" w:color="auto" w:frame="1"/>
          <w:lang w:val="en-US"/>
        </w:rPr>
        <w:t xml:space="preserve">disadvantaged groups and in these cases </w:t>
      </w:r>
      <w:r w:rsidR="005E3876">
        <w:rPr>
          <w:rFonts w:ascii="Times New Roman" w:hAnsi="Times New Roman" w:cs="Times New Roman"/>
          <w:color w:val="000000"/>
          <w:bdr w:val="none" w:sz="0" w:space="0" w:color="auto" w:frame="1"/>
          <w:lang w:val="en-US"/>
        </w:rPr>
        <w:t xml:space="preserve">fees are very low. This </w:t>
      </w:r>
      <w:r w:rsidR="005E3876" w:rsidRPr="00EB00B6">
        <w:rPr>
          <w:rFonts w:ascii="Times New Roman" w:hAnsi="Times New Roman" w:cs="Times New Roman"/>
          <w:color w:val="000000"/>
          <w:bdr w:val="none" w:sz="0" w:space="0" w:color="auto" w:frame="1"/>
          <w:lang w:val="en-US"/>
        </w:rPr>
        <w:t xml:space="preserve">is </w:t>
      </w:r>
      <w:r w:rsidR="005E3876">
        <w:rPr>
          <w:rFonts w:ascii="Times New Roman" w:hAnsi="Times New Roman" w:cs="Times New Roman"/>
          <w:color w:val="000000"/>
          <w:bdr w:val="none" w:sz="0" w:space="0" w:color="auto" w:frame="1"/>
          <w:lang w:val="en-US"/>
        </w:rPr>
        <w:t xml:space="preserve">an important </w:t>
      </w:r>
      <w:r w:rsidR="005E3876" w:rsidRPr="00EB00B6">
        <w:rPr>
          <w:rFonts w:ascii="Times New Roman" w:hAnsi="Times New Roman" w:cs="Times New Roman"/>
          <w:color w:val="000000"/>
          <w:bdr w:val="none" w:sz="0" w:space="0" w:color="auto" w:frame="1"/>
          <w:lang w:val="en-US"/>
        </w:rPr>
        <w:t>recognition that policy-makers are aware of (and care about) the fact that members of underprivileged groups will have relatively high difficulties in finding the money to enroll</w:t>
      </w:r>
      <w:r w:rsidR="005E3876">
        <w:rPr>
          <w:rFonts w:ascii="Times New Roman" w:hAnsi="Times New Roman" w:cs="Times New Roman"/>
          <w:color w:val="000000"/>
          <w:bdr w:val="none" w:sz="0" w:space="0" w:color="auto" w:frame="1"/>
          <w:lang w:val="en-US"/>
        </w:rPr>
        <w:t xml:space="preserve"> if they were required to pay the</w:t>
      </w:r>
      <w:r w:rsidR="005E3876" w:rsidRPr="00EB00B6">
        <w:rPr>
          <w:rFonts w:ascii="Times New Roman" w:hAnsi="Times New Roman" w:cs="Times New Roman"/>
          <w:color w:val="000000"/>
          <w:bdr w:val="none" w:sz="0" w:space="0" w:color="auto" w:frame="1"/>
          <w:lang w:val="en-US"/>
        </w:rPr>
        <w:t xml:space="preserve"> </w:t>
      </w:r>
      <w:r w:rsidR="005E3876">
        <w:rPr>
          <w:rFonts w:ascii="Times New Roman" w:hAnsi="Times New Roman" w:cs="Times New Roman"/>
          <w:color w:val="000000"/>
          <w:bdr w:val="none" w:sz="0" w:space="0" w:color="auto" w:frame="1"/>
          <w:lang w:val="en-US"/>
        </w:rPr>
        <w:t xml:space="preserve">significantly higher prices for non-concessional VET places. </w:t>
      </w:r>
      <w:r w:rsidR="005E3876" w:rsidRPr="00EB00B6">
        <w:rPr>
          <w:rFonts w:ascii="Times New Roman" w:hAnsi="Times New Roman" w:cs="Times New Roman"/>
          <w:color w:val="000000"/>
          <w:bdr w:val="none" w:sz="0" w:space="0" w:color="auto" w:frame="1"/>
          <w:lang w:val="en-US"/>
        </w:rPr>
        <w:t xml:space="preserve">Thus the lower concessional prices are well intentioned, but arguably reflect an imperfect understanding of the economics of tertiary education financing. </w:t>
      </w:r>
      <w:r w:rsidR="005E3876">
        <w:rPr>
          <w:rFonts w:ascii="Times New Roman" w:hAnsi="Times New Roman" w:cs="Times New Roman"/>
          <w:color w:val="000000"/>
          <w:bdr w:val="none" w:sz="0" w:space="0" w:color="auto" w:frame="1"/>
          <w:lang w:val="en-US"/>
        </w:rPr>
        <w:t xml:space="preserve">The critical point is that </w:t>
      </w:r>
      <w:r w:rsidR="005E3876">
        <w:rPr>
          <w:rFonts w:ascii="Times New Roman" w:hAnsi="Times New Roman" w:cs="Times New Roman"/>
          <w:i/>
          <w:color w:val="000000"/>
          <w:bdr w:val="none" w:sz="0" w:space="0" w:color="auto" w:frame="1"/>
          <w:lang w:val="en-US"/>
        </w:rPr>
        <w:t>a</w:t>
      </w:r>
      <w:r w:rsidR="005E3876" w:rsidRPr="00EB00B6">
        <w:rPr>
          <w:rFonts w:ascii="Times New Roman" w:hAnsi="Times New Roman" w:cs="Times New Roman"/>
          <w:i/>
          <w:color w:val="000000"/>
          <w:bdr w:val="none" w:sz="0" w:space="0" w:color="auto" w:frame="1"/>
          <w:lang w:val="en-US"/>
        </w:rPr>
        <w:t xml:space="preserve">ny </w:t>
      </w:r>
      <w:r w:rsidR="005E3876" w:rsidRPr="00EB00B6">
        <w:rPr>
          <w:rFonts w:ascii="Times New Roman" w:hAnsi="Times New Roman" w:cs="Times New Roman"/>
          <w:color w:val="000000"/>
          <w:bdr w:val="none" w:sz="0" w:space="0" w:color="auto" w:frame="1"/>
          <w:lang w:val="en-US"/>
        </w:rPr>
        <w:t>level of up-front charge</w:t>
      </w:r>
      <w:r w:rsidR="005E3876">
        <w:rPr>
          <w:rFonts w:ascii="Times New Roman" w:hAnsi="Times New Roman" w:cs="Times New Roman"/>
          <w:color w:val="000000"/>
          <w:bdr w:val="none" w:sz="0" w:space="0" w:color="auto" w:frame="1"/>
          <w:lang w:val="en-US"/>
        </w:rPr>
        <w:t xml:space="preserve"> has the strong potential to </w:t>
      </w:r>
      <w:r w:rsidR="005E3876" w:rsidRPr="00EB00B6">
        <w:rPr>
          <w:rFonts w:ascii="Times New Roman" w:hAnsi="Times New Roman" w:cs="Times New Roman"/>
          <w:color w:val="000000"/>
          <w:bdr w:val="none" w:sz="0" w:space="0" w:color="auto" w:frame="1"/>
          <w:lang w:val="en-US"/>
        </w:rPr>
        <w:t>exclude some poor prospective students, and the</w:t>
      </w:r>
      <w:r w:rsidR="005E3876">
        <w:rPr>
          <w:rFonts w:ascii="Times New Roman" w:hAnsi="Times New Roman" w:cs="Times New Roman"/>
          <w:color w:val="000000"/>
          <w:bdr w:val="none" w:sz="0" w:space="0" w:color="auto" w:frame="1"/>
          <w:lang w:val="en-US"/>
        </w:rPr>
        <w:t xml:space="preserve"> most equitable</w:t>
      </w:r>
      <w:r w:rsidR="005E3876" w:rsidRPr="00EB00B6">
        <w:rPr>
          <w:rFonts w:ascii="Times New Roman" w:hAnsi="Times New Roman" w:cs="Times New Roman"/>
          <w:color w:val="000000"/>
          <w:bdr w:val="none" w:sz="0" w:space="0" w:color="auto" w:frame="1"/>
          <w:lang w:val="en-US"/>
        </w:rPr>
        <w:t xml:space="preserve"> way to comprehensively mitigate this barrier is by making all tertiary education free at the point of entry, paid for eventually by former students through an ICL. </w:t>
      </w:r>
    </w:p>
    <w:p w14:paraId="7B31A891" w14:textId="77777777" w:rsidR="001D3894" w:rsidRPr="00EB00B6" w:rsidRDefault="001D3894" w:rsidP="005E3876">
      <w:pPr>
        <w:spacing w:line="276" w:lineRule="auto"/>
        <w:contextualSpacing/>
        <w:jc w:val="both"/>
        <w:textAlignment w:val="baseline"/>
        <w:rPr>
          <w:rFonts w:ascii="Times New Roman" w:hAnsi="Times New Roman" w:cs="Times New Roman"/>
          <w:color w:val="000000"/>
          <w:bdr w:val="none" w:sz="0" w:space="0" w:color="auto" w:frame="1"/>
          <w:lang w:val="en-US"/>
        </w:rPr>
      </w:pPr>
    </w:p>
    <w:p w14:paraId="62CB6D2E" w14:textId="77777777" w:rsidR="005E3876" w:rsidRPr="00EB00B6" w:rsidRDefault="005E3876" w:rsidP="005E3876">
      <w:pPr>
        <w:spacing w:line="276" w:lineRule="auto"/>
        <w:contextualSpacing/>
        <w:jc w:val="both"/>
        <w:textAlignment w:val="baseline"/>
        <w:rPr>
          <w:rFonts w:ascii="Times New Roman" w:hAnsi="Times New Roman" w:cs="Times New Roman"/>
          <w:color w:val="000000"/>
          <w:bdr w:val="none" w:sz="0" w:space="0" w:color="auto" w:frame="1"/>
          <w:lang w:val="en-US"/>
        </w:rPr>
      </w:pPr>
    </w:p>
    <w:p w14:paraId="312863EA" w14:textId="77777777" w:rsidR="005E3876" w:rsidRDefault="005E3876" w:rsidP="005E3876">
      <w:pPr>
        <w:spacing w:line="276" w:lineRule="auto"/>
        <w:contextualSpacing/>
        <w:jc w:val="both"/>
        <w:textAlignment w:val="baseline"/>
        <w:rPr>
          <w:rFonts w:ascii="Times New Roman" w:hAnsi="Times New Roman" w:cs="Times New Roman"/>
          <w:color w:val="000000"/>
          <w:bdr w:val="none" w:sz="0" w:space="0" w:color="auto" w:frame="1"/>
          <w:lang w:val="en-US"/>
        </w:rPr>
      </w:pPr>
      <w:r>
        <w:rPr>
          <w:rFonts w:ascii="Times New Roman" w:hAnsi="Times New Roman" w:cs="Times New Roman"/>
          <w:color w:val="000000"/>
          <w:bdr w:val="none" w:sz="0" w:space="0" w:color="auto" w:frame="1"/>
          <w:lang w:val="en-US"/>
        </w:rPr>
        <w:lastRenderedPageBreak/>
        <w:t xml:space="preserve">There is a related issue, which </w:t>
      </w:r>
      <w:r w:rsidRPr="00EB00B6">
        <w:rPr>
          <w:rFonts w:ascii="Times New Roman" w:hAnsi="Times New Roman" w:cs="Times New Roman"/>
          <w:color w:val="000000"/>
          <w:bdr w:val="none" w:sz="0" w:space="0" w:color="auto" w:frame="1"/>
          <w:lang w:val="en-US"/>
        </w:rPr>
        <w:t>concerns point-in-time disadvantage compared to the lifecycle.</w:t>
      </w:r>
      <w:r>
        <w:rPr>
          <w:rFonts w:ascii="Times New Roman" w:hAnsi="Times New Roman" w:cs="Times New Roman"/>
          <w:color w:val="000000"/>
          <w:bdr w:val="none" w:sz="0" w:space="0" w:color="auto" w:frame="1"/>
          <w:lang w:val="en-US"/>
        </w:rPr>
        <w:t xml:space="preserve"> This is that some people with no or low financial resources when they are young and interested in attaining a VT qualification may well turn out to be well paid as graduates in the future; similarly, and on the other hand, some advantaged young people may earn relatively low incomes over their lifetimes. The way to handle this equitably is through the use of ICL, which have the feature of effectively means-testing over the life-cycle.</w:t>
      </w:r>
    </w:p>
    <w:p w14:paraId="47CF1617" w14:textId="77777777" w:rsidR="001D4959" w:rsidRDefault="001D4959" w:rsidP="005E3876">
      <w:pPr>
        <w:spacing w:line="276" w:lineRule="auto"/>
        <w:contextualSpacing/>
        <w:jc w:val="both"/>
        <w:textAlignment w:val="baseline"/>
        <w:rPr>
          <w:rFonts w:ascii="Times New Roman" w:hAnsi="Times New Roman" w:cs="Times New Roman"/>
          <w:color w:val="000000"/>
          <w:bdr w:val="none" w:sz="0" w:space="0" w:color="auto" w:frame="1"/>
          <w:lang w:val="en-US"/>
        </w:rPr>
      </w:pPr>
    </w:p>
    <w:p w14:paraId="758DD88E" w14:textId="77777777" w:rsidR="005E3876" w:rsidRPr="004C51B0" w:rsidRDefault="005E3876" w:rsidP="005E3876">
      <w:pPr>
        <w:spacing w:line="276" w:lineRule="auto"/>
        <w:contextualSpacing/>
        <w:jc w:val="both"/>
        <w:textAlignment w:val="baseline"/>
        <w:rPr>
          <w:rFonts w:ascii="Times New Roman" w:hAnsi="Times New Roman" w:cs="Times New Roman"/>
          <w:color w:val="000000"/>
          <w:bdr w:val="none" w:sz="0" w:space="0" w:color="auto" w:frame="1"/>
          <w:lang w:val="en-US"/>
        </w:rPr>
      </w:pPr>
    </w:p>
    <w:p w14:paraId="1074FF12" w14:textId="199E9A7C" w:rsidR="005E3876" w:rsidRPr="000D62D2" w:rsidRDefault="005E3876" w:rsidP="005E3876">
      <w:pPr>
        <w:spacing w:line="276" w:lineRule="auto"/>
        <w:rPr>
          <w:rFonts w:ascii="Times New Roman" w:hAnsi="Times New Roman" w:cs="Times New Roman"/>
          <w:i/>
          <w:sz w:val="28"/>
          <w:szCs w:val="28"/>
        </w:rPr>
      </w:pPr>
      <w:r>
        <w:rPr>
          <w:rFonts w:ascii="Times New Roman" w:hAnsi="Times New Roman" w:cs="Times New Roman"/>
          <w:i/>
          <w:sz w:val="28"/>
          <w:szCs w:val="28"/>
        </w:rPr>
        <w:t>4</w:t>
      </w:r>
      <w:r>
        <w:rPr>
          <w:rFonts w:ascii="Times New Roman" w:hAnsi="Times New Roman" w:cs="Times New Roman"/>
          <w:i/>
          <w:sz w:val="28"/>
          <w:szCs w:val="28"/>
        </w:rPr>
        <w:tab/>
      </w:r>
      <w:r w:rsidRPr="000D62D2">
        <w:rPr>
          <w:rFonts w:ascii="Times New Roman" w:hAnsi="Times New Roman" w:cs="Times New Roman"/>
          <w:i/>
          <w:sz w:val="28"/>
          <w:szCs w:val="28"/>
        </w:rPr>
        <w:t>What is the “right” price to charge for tertiary education?</w:t>
      </w:r>
    </w:p>
    <w:p w14:paraId="736A2230" w14:textId="77777777" w:rsidR="005E3876" w:rsidRPr="00EB00B6" w:rsidRDefault="005E3876" w:rsidP="005E3876">
      <w:pPr>
        <w:spacing w:line="276" w:lineRule="auto"/>
        <w:jc w:val="center"/>
        <w:rPr>
          <w:rFonts w:ascii="Times New Roman" w:hAnsi="Times New Roman" w:cs="Times New Roman"/>
          <w:sz w:val="28"/>
          <w:szCs w:val="28"/>
        </w:rPr>
      </w:pPr>
    </w:p>
    <w:p w14:paraId="49AE84AC" w14:textId="77777777" w:rsidR="005E3876" w:rsidRPr="00EB00B6" w:rsidRDefault="005E3876" w:rsidP="005E3876">
      <w:pPr>
        <w:spacing w:line="276" w:lineRule="auto"/>
        <w:jc w:val="both"/>
        <w:rPr>
          <w:rFonts w:ascii="Times New Roman" w:hAnsi="Times New Roman" w:cs="Times New Roman"/>
        </w:rPr>
      </w:pPr>
      <w:r w:rsidRPr="00EB00B6">
        <w:rPr>
          <w:rFonts w:ascii="Times New Roman" w:hAnsi="Times New Roman" w:cs="Times New Roman"/>
        </w:rPr>
        <w:t xml:space="preserve">An important question for government concerns the price to be set for the users (students) of </w:t>
      </w:r>
      <w:r>
        <w:rPr>
          <w:rFonts w:ascii="Times New Roman" w:hAnsi="Times New Roman" w:cs="Times New Roman"/>
        </w:rPr>
        <w:t xml:space="preserve">VET. </w:t>
      </w:r>
      <w:r w:rsidRPr="00EB00B6">
        <w:rPr>
          <w:rFonts w:ascii="Times New Roman" w:hAnsi="Times New Roman" w:cs="Times New Roman"/>
        </w:rPr>
        <w:t>As a beginning to this discussion it is essential to recognise that there are two parties contributing to VET financing, government and students, meaning that a choice by the government concerning the level of subsidy to provide is also by implication a decision about the price to be charged.</w:t>
      </w:r>
    </w:p>
    <w:p w14:paraId="4724906D" w14:textId="77777777" w:rsidR="005E3876" w:rsidRPr="00EB00B6" w:rsidRDefault="005E3876" w:rsidP="005E3876">
      <w:pPr>
        <w:spacing w:line="276" w:lineRule="auto"/>
        <w:jc w:val="both"/>
        <w:rPr>
          <w:rFonts w:ascii="Times New Roman" w:hAnsi="Times New Roman" w:cs="Times New Roman"/>
        </w:rPr>
      </w:pPr>
    </w:p>
    <w:p w14:paraId="60C58C8C" w14:textId="77777777" w:rsidR="005E3876" w:rsidRPr="00EB00B6" w:rsidRDefault="005E3876" w:rsidP="005E3876">
      <w:pPr>
        <w:spacing w:line="276" w:lineRule="auto"/>
        <w:jc w:val="both"/>
        <w:rPr>
          <w:rFonts w:ascii="Times New Roman" w:hAnsi="Times New Roman" w:cs="Times New Roman"/>
        </w:rPr>
      </w:pPr>
      <w:r w:rsidRPr="00EB00B6">
        <w:rPr>
          <w:rFonts w:ascii="Times New Roman" w:hAnsi="Times New Roman" w:cs="Times New Roman"/>
        </w:rPr>
        <w:t xml:space="preserve">Neoclassical (competitive) economics provides some guidance as to the appropriate level of government subsidy of a service, and this comes down to the value presumed of the so-called “externalities” (spillovers) associated with the activity. That is, if there are no societal benefits beyond the utility accruing to the consumers of the service, efficient resource allocation will be achieved with no subsidies, meaning that the price reflects only the cost. With respect to activities that deliver spillovers, subsidies should be set </w:t>
      </w:r>
      <w:r>
        <w:rPr>
          <w:rFonts w:ascii="Times New Roman" w:hAnsi="Times New Roman" w:cs="Times New Roman"/>
        </w:rPr>
        <w:t>to take these into account, which</w:t>
      </w:r>
      <w:r w:rsidRPr="00EB00B6">
        <w:rPr>
          <w:rFonts w:ascii="Times New Roman" w:hAnsi="Times New Roman" w:cs="Times New Roman"/>
        </w:rPr>
        <w:t xml:space="preserve"> means, for example, that public transport should have subsidies because it reduces traffic congestion and, on the other hand, that carbon-based electricity generation should attract a negative subsidy (a tax) because of its adverse consequences for climate change.</w:t>
      </w:r>
    </w:p>
    <w:p w14:paraId="15ADC6BB" w14:textId="77777777" w:rsidR="005E3876" w:rsidRPr="00EB00B6" w:rsidRDefault="005E3876" w:rsidP="005E3876">
      <w:pPr>
        <w:spacing w:line="276" w:lineRule="auto"/>
        <w:jc w:val="both"/>
        <w:rPr>
          <w:rFonts w:ascii="Times New Roman" w:hAnsi="Times New Roman" w:cs="Times New Roman"/>
        </w:rPr>
      </w:pPr>
    </w:p>
    <w:p w14:paraId="46ADAEAD" w14:textId="77777777" w:rsidR="005E3876" w:rsidRPr="00EB00B6" w:rsidRDefault="005E3876" w:rsidP="005E3876">
      <w:pPr>
        <w:spacing w:line="276" w:lineRule="auto"/>
        <w:jc w:val="both"/>
        <w:rPr>
          <w:rFonts w:ascii="Times New Roman" w:hAnsi="Times New Roman" w:cs="Times New Roman"/>
        </w:rPr>
      </w:pPr>
      <w:r w:rsidRPr="00EB00B6">
        <w:rPr>
          <w:rFonts w:ascii="Times New Roman" w:hAnsi="Times New Roman" w:cs="Times New Roman"/>
        </w:rPr>
        <w:t>The economics literature is strong on listing the societal benefits of post-compulsory education, and these commonly include reduced crime, more informed voting, and the promotion of technical change through more rapid transmission of knowledge. More obviously, governments gain additional taxation revenue through the higher incomes generated by productivity-enhancing VET. There is a consensus that these spillovers warrant subsidies and thus should mean that VET prices do not fully reflect costs.</w:t>
      </w:r>
    </w:p>
    <w:p w14:paraId="10130C46" w14:textId="77777777" w:rsidR="005E3876" w:rsidRPr="00EB00B6" w:rsidRDefault="005E3876" w:rsidP="005E3876">
      <w:pPr>
        <w:spacing w:line="276" w:lineRule="auto"/>
        <w:jc w:val="both"/>
        <w:rPr>
          <w:rFonts w:ascii="Times New Roman" w:hAnsi="Times New Roman" w:cs="Times New Roman"/>
        </w:rPr>
      </w:pPr>
    </w:p>
    <w:p w14:paraId="45CAA2B6" w14:textId="77777777" w:rsidR="005E3876" w:rsidRPr="00EB00B6" w:rsidRDefault="005E3876" w:rsidP="005E3876">
      <w:pPr>
        <w:pStyle w:val="BodyTextIndent"/>
        <w:spacing w:after="0" w:line="276" w:lineRule="auto"/>
        <w:contextualSpacing/>
        <w:jc w:val="both"/>
        <w:rPr>
          <w:sz w:val="24"/>
          <w:szCs w:val="24"/>
        </w:rPr>
      </w:pPr>
      <w:r w:rsidRPr="00EB00B6">
        <w:rPr>
          <w:sz w:val="24"/>
          <w:szCs w:val="24"/>
        </w:rPr>
        <w:t>Where the literature is much less compelling is with respect to the value of these spillovers. There have been many attempts to estimate the empirics of (at least) higher education, and a useful reference is Chapman and Lounkaew (2015). However, even with a careful and detailed approach</w:t>
      </w:r>
      <w:r>
        <w:rPr>
          <w:sz w:val="24"/>
          <w:szCs w:val="24"/>
        </w:rPr>
        <w:t xml:space="preserve"> as is in that paper</w:t>
      </w:r>
      <w:r w:rsidRPr="00EB00B6">
        <w:rPr>
          <w:sz w:val="24"/>
          <w:szCs w:val="24"/>
        </w:rPr>
        <w:t xml:space="preserve">, and through the imposition of a host of </w:t>
      </w:r>
      <w:r>
        <w:rPr>
          <w:sz w:val="24"/>
          <w:szCs w:val="24"/>
        </w:rPr>
        <w:t>limiting assumptions, the authors still come</w:t>
      </w:r>
      <w:r w:rsidRPr="00EB00B6">
        <w:rPr>
          <w:sz w:val="24"/>
          <w:szCs w:val="24"/>
        </w:rPr>
        <w:t xml:space="preserve"> up with a substantial range of plausible estimates of the true value of the spillovers and thus the right level of subsidies: between 30 and 70 per cent of the costs.</w:t>
      </w:r>
    </w:p>
    <w:p w14:paraId="09D0EC53" w14:textId="77777777" w:rsidR="005E3876" w:rsidRPr="00EB00B6" w:rsidRDefault="005E3876" w:rsidP="005E3876">
      <w:pPr>
        <w:pStyle w:val="BodyTextIndent"/>
        <w:spacing w:after="0" w:line="276" w:lineRule="auto"/>
        <w:contextualSpacing/>
        <w:jc w:val="both"/>
        <w:rPr>
          <w:sz w:val="24"/>
          <w:szCs w:val="24"/>
        </w:rPr>
      </w:pPr>
    </w:p>
    <w:p w14:paraId="2F06D537" w14:textId="77777777" w:rsidR="005E3876" w:rsidRPr="00EB00B6" w:rsidRDefault="005E3876" w:rsidP="005E3876">
      <w:pPr>
        <w:pStyle w:val="BodyTextIndent"/>
        <w:spacing w:after="0" w:line="276" w:lineRule="auto"/>
        <w:contextualSpacing/>
        <w:jc w:val="both"/>
        <w:rPr>
          <w:sz w:val="24"/>
          <w:szCs w:val="24"/>
        </w:rPr>
      </w:pPr>
      <w:r w:rsidRPr="00EB00B6">
        <w:rPr>
          <w:sz w:val="24"/>
          <w:szCs w:val="24"/>
        </w:rPr>
        <w:t xml:space="preserve">Thus within the narrow context of mainstream competitive economics it is not possible to determine with confidence a precise estimate of the “right” subsidy and thus by implication the allocative efficient price for VET services. But the story is even more nuanced than this, </w:t>
      </w:r>
      <w:r w:rsidRPr="00EB00B6">
        <w:rPr>
          <w:sz w:val="24"/>
          <w:szCs w:val="24"/>
        </w:rPr>
        <w:lastRenderedPageBreak/>
        <w:t xml:space="preserve">because much of VET is provided through the public sector, where mainstream economics provides less than satisfactory guidance as to pricing. This is because subsidy and pricing decisions are made not only with reference to </w:t>
      </w:r>
      <w:r>
        <w:rPr>
          <w:sz w:val="24"/>
          <w:szCs w:val="24"/>
        </w:rPr>
        <w:t xml:space="preserve">the efficiency of </w:t>
      </w:r>
      <w:r w:rsidRPr="00EB00B6">
        <w:rPr>
          <w:sz w:val="24"/>
          <w:szCs w:val="24"/>
        </w:rPr>
        <w:t xml:space="preserve">resource allocation but also with respect to, </w:t>
      </w:r>
      <w:r w:rsidRPr="00EB00B6">
        <w:rPr>
          <w:i/>
          <w:sz w:val="24"/>
          <w:szCs w:val="24"/>
        </w:rPr>
        <w:t>inter alia</w:t>
      </w:r>
      <w:r w:rsidRPr="00EB00B6">
        <w:rPr>
          <w:sz w:val="24"/>
          <w:szCs w:val="24"/>
        </w:rPr>
        <w:t>, the state of the government’s budget, equity, the access of the disadvantaged to VET, and the consequences for economic activity of decisions concerning the raising of tax revenues.</w:t>
      </w:r>
    </w:p>
    <w:p w14:paraId="342E6723" w14:textId="77777777" w:rsidR="005E3876" w:rsidRPr="00EB00B6" w:rsidRDefault="005E3876" w:rsidP="005E3876">
      <w:pPr>
        <w:pStyle w:val="BodyTextIndent"/>
        <w:spacing w:after="0" w:line="276" w:lineRule="auto"/>
        <w:contextualSpacing/>
        <w:jc w:val="both"/>
        <w:rPr>
          <w:sz w:val="24"/>
          <w:szCs w:val="24"/>
        </w:rPr>
      </w:pPr>
    </w:p>
    <w:p w14:paraId="7337807B" w14:textId="77777777" w:rsidR="005E3876" w:rsidRPr="00EB00B6" w:rsidRDefault="005E3876" w:rsidP="005E3876">
      <w:pPr>
        <w:pStyle w:val="BodyTextIndent"/>
        <w:spacing w:after="0" w:line="276" w:lineRule="auto"/>
        <w:contextualSpacing/>
        <w:jc w:val="both"/>
        <w:rPr>
          <w:sz w:val="24"/>
          <w:szCs w:val="24"/>
        </w:rPr>
      </w:pPr>
      <w:r w:rsidRPr="00EB00B6">
        <w:rPr>
          <w:sz w:val="24"/>
          <w:szCs w:val="24"/>
        </w:rPr>
        <w:t>To illustrate just one of these complexities, take the issue of access and how this might relate to choices made about the number of VET places to be provided by government. A critical, yet mostly unrecognized, point is that in the setting of a subsidy the government is choosing the proportion of each place which is to be financed by taxpayers which then has consequences for the size of VET. The point is important enough to warrant fuller investigation, which now follows.</w:t>
      </w:r>
    </w:p>
    <w:p w14:paraId="3348D590" w14:textId="77777777" w:rsidR="005E3876" w:rsidRPr="00EB00B6" w:rsidRDefault="005E3876" w:rsidP="005E3876">
      <w:pPr>
        <w:pStyle w:val="BodyTextIndent"/>
        <w:spacing w:after="0" w:line="276" w:lineRule="auto"/>
        <w:contextualSpacing/>
        <w:jc w:val="both"/>
        <w:rPr>
          <w:sz w:val="24"/>
          <w:szCs w:val="24"/>
        </w:rPr>
      </w:pPr>
    </w:p>
    <w:p w14:paraId="0C35B7ED" w14:textId="77777777" w:rsidR="005E3876" w:rsidRPr="00EB00B6" w:rsidRDefault="005E3876" w:rsidP="005E3876">
      <w:pPr>
        <w:pStyle w:val="BodyTextIndent"/>
        <w:spacing w:after="0" w:line="276" w:lineRule="auto"/>
        <w:contextualSpacing/>
        <w:jc w:val="both"/>
        <w:rPr>
          <w:sz w:val="24"/>
          <w:szCs w:val="24"/>
        </w:rPr>
      </w:pPr>
      <w:r w:rsidRPr="00EB00B6">
        <w:rPr>
          <w:sz w:val="24"/>
          <w:szCs w:val="24"/>
        </w:rPr>
        <w:t>Governments have to make choices concerning the allocation of funds to various public sector areas, and to give this empirical content imagine that the decision is made to spend for example $100 million per year on VET. Further suppose that the government decides to fully subsidise each place</w:t>
      </w:r>
      <w:r>
        <w:rPr>
          <w:sz w:val="24"/>
          <w:szCs w:val="24"/>
        </w:rPr>
        <w:t>, imposing no charges on</w:t>
      </w:r>
      <w:r w:rsidRPr="00EB00B6">
        <w:rPr>
          <w:sz w:val="24"/>
          <w:szCs w:val="24"/>
        </w:rPr>
        <w:t xml:space="preserve"> students. Then, if each student place costs say $10,000 a year, these decisions mean that the system delivers $100,000,000/$10,000, that is 10,000 places</w:t>
      </w:r>
      <w:r>
        <w:rPr>
          <w:sz w:val="24"/>
          <w:szCs w:val="24"/>
        </w:rPr>
        <w:t xml:space="preserve"> per annum</w:t>
      </w:r>
      <w:r w:rsidRPr="00EB00B6">
        <w:rPr>
          <w:sz w:val="24"/>
          <w:szCs w:val="24"/>
        </w:rPr>
        <w:t>. But if the government introduces a cost sharing arrangement reducing the subsidy to 50 per cent of the cost of a place, this then means that the government is able instead to deliver 20,000 places</w:t>
      </w:r>
      <w:r>
        <w:rPr>
          <w:sz w:val="24"/>
          <w:szCs w:val="24"/>
        </w:rPr>
        <w:t xml:space="preserve"> per annum</w:t>
      </w:r>
      <w:r w:rsidRPr="00EB00B6">
        <w:rPr>
          <w:sz w:val="24"/>
          <w:szCs w:val="24"/>
        </w:rPr>
        <w:t xml:space="preserve"> with the same budget outlays</w:t>
      </w:r>
      <w:r>
        <w:rPr>
          <w:sz w:val="24"/>
          <w:szCs w:val="24"/>
        </w:rPr>
        <w:t>,</w:t>
      </w:r>
      <w:r w:rsidRPr="00EB00B6">
        <w:rPr>
          <w:sz w:val="24"/>
          <w:szCs w:val="24"/>
        </w:rPr>
        <w:t xml:space="preserve"> because students are then picking up half the tab.</w:t>
      </w:r>
    </w:p>
    <w:p w14:paraId="03DDC4EF" w14:textId="77777777" w:rsidR="005E3876" w:rsidRPr="00EB00B6" w:rsidRDefault="005E3876" w:rsidP="005E3876">
      <w:pPr>
        <w:pStyle w:val="BodyTextIndent"/>
        <w:spacing w:after="0" w:line="276" w:lineRule="auto"/>
        <w:contextualSpacing/>
        <w:jc w:val="both"/>
        <w:rPr>
          <w:sz w:val="24"/>
          <w:szCs w:val="24"/>
        </w:rPr>
      </w:pPr>
    </w:p>
    <w:p w14:paraId="6DD8C363" w14:textId="77777777" w:rsidR="005E3876" w:rsidRPr="00EB00B6" w:rsidRDefault="005E3876" w:rsidP="005E3876">
      <w:pPr>
        <w:spacing w:line="276" w:lineRule="auto"/>
        <w:jc w:val="both"/>
        <w:rPr>
          <w:rFonts w:ascii="Times New Roman" w:eastAsia="Times New Roman" w:hAnsi="Times New Roman" w:cs="Times New Roman"/>
          <w:color w:val="222222"/>
          <w:shd w:val="clear" w:color="auto" w:fill="FFFFFF"/>
        </w:rPr>
      </w:pPr>
      <w:r w:rsidRPr="00EB00B6">
        <w:rPr>
          <w:rFonts w:ascii="Times New Roman" w:hAnsi="Times New Roman" w:cs="Times New Roman"/>
        </w:rPr>
        <w:t>This example illuminates the relationship between the size of VET and student contributions to the process. Importantly, the reasoning underlying the illustration can be justified with reference to a host of evidence concerning the effect of charging for higher education and the number of enrolments, with respect to both England (</w:t>
      </w:r>
      <w:r w:rsidRPr="00EB00B6">
        <w:rPr>
          <w:rFonts w:ascii="Times New Roman" w:eastAsia="Times New Roman" w:hAnsi="Times New Roman" w:cs="Times New Roman"/>
          <w:color w:val="222222"/>
          <w:shd w:val="clear" w:color="auto" w:fill="FFFFFF"/>
        </w:rPr>
        <w:t xml:space="preserve">Wyness, Murphy and Scott Clayton, 2019) and Australia (Chapman, 2006). </w:t>
      </w:r>
      <w:r>
        <w:rPr>
          <w:rFonts w:ascii="Times New Roman" w:eastAsia="Times New Roman" w:hAnsi="Times New Roman" w:cs="Times New Roman"/>
          <w:color w:val="222222"/>
          <w:shd w:val="clear" w:color="auto" w:fill="FFFFFF"/>
        </w:rPr>
        <w:t>In these examples</w:t>
      </w:r>
      <w:r w:rsidRPr="00EB00B6">
        <w:rPr>
          <w:rFonts w:ascii="Times New Roman" w:eastAsia="Times New Roman" w:hAnsi="Times New Roman" w:cs="Times New Roman"/>
          <w:color w:val="222222"/>
          <w:shd w:val="clear" w:color="auto" w:fill="FFFFFF"/>
        </w:rPr>
        <w:t xml:space="preserve"> increases in tuition </w:t>
      </w:r>
      <w:r>
        <w:rPr>
          <w:rFonts w:ascii="Times New Roman" w:eastAsia="Times New Roman" w:hAnsi="Times New Roman" w:cs="Times New Roman"/>
          <w:color w:val="222222"/>
          <w:shd w:val="clear" w:color="auto" w:fill="FFFFFF"/>
        </w:rPr>
        <w:t>led to expansions in enrolments.</w:t>
      </w:r>
    </w:p>
    <w:p w14:paraId="2FCCA081" w14:textId="77777777" w:rsidR="005E3876" w:rsidRPr="00EB00B6" w:rsidRDefault="005E3876" w:rsidP="005E3876">
      <w:pPr>
        <w:spacing w:line="276" w:lineRule="auto"/>
        <w:jc w:val="both"/>
        <w:rPr>
          <w:rFonts w:ascii="Times New Roman" w:eastAsia="Times New Roman" w:hAnsi="Times New Roman" w:cs="Times New Roman"/>
          <w:color w:val="222222"/>
          <w:shd w:val="clear" w:color="auto" w:fill="FFFFFF"/>
        </w:rPr>
      </w:pPr>
    </w:p>
    <w:p w14:paraId="5836524C" w14:textId="44EA7185" w:rsidR="005E3876" w:rsidRPr="00EB00B6" w:rsidRDefault="005E3876" w:rsidP="005E3876">
      <w:pPr>
        <w:spacing w:line="276" w:lineRule="auto"/>
        <w:jc w:val="both"/>
        <w:rPr>
          <w:rFonts w:ascii="Times New Roman" w:eastAsia="Times New Roman" w:hAnsi="Times New Roman" w:cs="Times New Roman"/>
          <w:color w:val="222222"/>
          <w:shd w:val="clear" w:color="auto" w:fill="FFFFFF"/>
        </w:rPr>
      </w:pPr>
      <w:r w:rsidRPr="00EB00B6">
        <w:rPr>
          <w:rFonts w:ascii="Times New Roman" w:eastAsia="Times New Roman" w:hAnsi="Times New Roman" w:cs="Times New Roman"/>
          <w:color w:val="222222"/>
          <w:shd w:val="clear" w:color="auto" w:fill="FFFFFF"/>
        </w:rPr>
        <w:t>Moreover, if it is true that the best way to maximise the access of the disadvantaged to tertiary education is to ensure that the number of places is as high as possible (</w:t>
      </w:r>
      <w:r w:rsidR="00F10D3E">
        <w:rPr>
          <w:rFonts w:ascii="Times New Roman" w:eastAsia="Times New Roman" w:hAnsi="Times New Roman" w:cs="Times New Roman"/>
          <w:color w:val="222222"/>
          <w:shd w:val="clear" w:color="auto" w:fill="FFFFFF"/>
        </w:rPr>
        <w:t xml:space="preserve">Crawford, </w:t>
      </w:r>
      <w:r w:rsidRPr="00EB00B6">
        <w:rPr>
          <w:rFonts w:ascii="Times New Roman" w:eastAsia="Times New Roman" w:hAnsi="Times New Roman" w:cs="Times New Roman"/>
          <w:color w:val="222222"/>
          <w:shd w:val="clear" w:color="auto" w:fill="FFFFFF"/>
        </w:rPr>
        <w:t>Dearden,</w:t>
      </w:r>
      <w:r w:rsidR="00F10D3E">
        <w:rPr>
          <w:rFonts w:ascii="Times New Roman" w:eastAsia="Times New Roman" w:hAnsi="Times New Roman" w:cs="Times New Roman"/>
          <w:color w:val="222222"/>
          <w:shd w:val="clear" w:color="auto" w:fill="FFFFFF"/>
        </w:rPr>
        <w:t xml:space="preserve"> Mickelwright and Vignoles</w:t>
      </w:r>
      <w:r w:rsidRPr="00EB00B6">
        <w:rPr>
          <w:rFonts w:ascii="Times New Roman" w:eastAsia="Times New Roman" w:hAnsi="Times New Roman" w:cs="Times New Roman"/>
          <w:color w:val="222222"/>
          <w:shd w:val="clear" w:color="auto" w:fill="FFFFFF"/>
        </w:rPr>
        <w:t xml:space="preserve"> </w:t>
      </w:r>
      <w:r w:rsidR="00F10D3E">
        <w:rPr>
          <w:rFonts w:ascii="Times New Roman" w:eastAsia="Times New Roman" w:hAnsi="Times New Roman" w:cs="Times New Roman"/>
          <w:color w:val="222222"/>
          <w:shd w:val="clear" w:color="auto" w:fill="FFFFFF"/>
        </w:rPr>
        <w:t>(2017</w:t>
      </w:r>
      <w:r w:rsidRPr="00EB00B6">
        <w:rPr>
          <w:rFonts w:ascii="Times New Roman" w:eastAsia="Times New Roman" w:hAnsi="Times New Roman" w:cs="Times New Roman"/>
          <w:color w:val="222222"/>
          <w:shd w:val="clear" w:color="auto" w:fill="FFFFFF"/>
        </w:rPr>
        <w:t>), the arguments and evidence deliver the seemingly counter-intuitive conclusion that charging for tertiary education provides more opportunities for the poor than having very high levels of subsidies. This argument, of course, must also rely on there being in place a student loan system that e</w:t>
      </w:r>
      <w:r>
        <w:rPr>
          <w:rFonts w:ascii="Times New Roman" w:eastAsia="Times New Roman" w:hAnsi="Times New Roman" w:cs="Times New Roman"/>
          <w:color w:val="222222"/>
          <w:shd w:val="clear" w:color="auto" w:fill="FFFFFF"/>
        </w:rPr>
        <w:t xml:space="preserve">ncourages participation; ICL </w:t>
      </w:r>
      <w:r w:rsidRPr="00EB00B6">
        <w:rPr>
          <w:rFonts w:ascii="Times New Roman" w:eastAsia="Times New Roman" w:hAnsi="Times New Roman" w:cs="Times New Roman"/>
          <w:color w:val="222222"/>
          <w:shd w:val="clear" w:color="auto" w:fill="FFFFFF"/>
        </w:rPr>
        <w:t>achieve this (Chapman, 2006).</w:t>
      </w:r>
    </w:p>
    <w:p w14:paraId="37001ADB" w14:textId="77777777" w:rsidR="005E3876" w:rsidRPr="00EB00B6" w:rsidRDefault="005E3876" w:rsidP="005E3876">
      <w:pPr>
        <w:jc w:val="both"/>
        <w:rPr>
          <w:rFonts w:ascii="Times New Roman" w:eastAsia="Times New Roman" w:hAnsi="Times New Roman" w:cs="Times New Roman"/>
          <w:color w:val="222222"/>
          <w:shd w:val="clear" w:color="auto" w:fill="FFFFFF"/>
        </w:rPr>
      </w:pPr>
    </w:p>
    <w:p w14:paraId="1A1316F5" w14:textId="77777777" w:rsidR="005E3876" w:rsidRPr="00EB00B6" w:rsidRDefault="005E3876" w:rsidP="005E3876">
      <w:pPr>
        <w:jc w:val="both"/>
        <w:rPr>
          <w:rFonts w:ascii="Times New Roman" w:eastAsia="Times New Roman" w:hAnsi="Times New Roman" w:cs="Times New Roman"/>
          <w:color w:val="222222"/>
          <w:shd w:val="clear" w:color="auto" w:fill="FFFFFF"/>
        </w:rPr>
      </w:pPr>
      <w:r w:rsidRPr="00EB00B6">
        <w:rPr>
          <w:rFonts w:ascii="Times New Roman" w:eastAsia="Times New Roman" w:hAnsi="Times New Roman" w:cs="Times New Roman"/>
          <w:color w:val="222222"/>
          <w:shd w:val="clear" w:color="auto" w:fill="FFFFFF"/>
        </w:rPr>
        <w:t>As part of its subsidy and therefore pricing decisions for VET the government must therefore take into account issues well beyond the simple valuation of externalities. Undiscussed but other important factors include the value placed on non-VET public sect</w:t>
      </w:r>
      <w:r>
        <w:rPr>
          <w:rFonts w:ascii="Times New Roman" w:eastAsia="Times New Roman" w:hAnsi="Times New Roman" w:cs="Times New Roman"/>
          <w:color w:val="222222"/>
          <w:shd w:val="clear" w:color="auto" w:fill="FFFFFF"/>
        </w:rPr>
        <w:t>or activities and a governments’ particular and changing</w:t>
      </w:r>
      <w:r w:rsidRPr="00EB00B6">
        <w:rPr>
          <w:rFonts w:ascii="Times New Roman" w:eastAsia="Times New Roman" w:hAnsi="Times New Roman" w:cs="Times New Roman"/>
          <w:color w:val="222222"/>
          <w:shd w:val="clear" w:color="auto" w:fill="FFFFFF"/>
        </w:rPr>
        <w:t xml:space="preserve"> perspective</w:t>
      </w:r>
      <w:r>
        <w:rPr>
          <w:rFonts w:ascii="Times New Roman" w:eastAsia="Times New Roman" w:hAnsi="Times New Roman" w:cs="Times New Roman"/>
          <w:color w:val="222222"/>
          <w:shd w:val="clear" w:color="auto" w:fill="FFFFFF"/>
        </w:rPr>
        <w:t>s</w:t>
      </w:r>
      <w:r w:rsidRPr="00EB00B6">
        <w:rPr>
          <w:rFonts w:ascii="Times New Roman" w:eastAsia="Times New Roman" w:hAnsi="Times New Roman" w:cs="Times New Roman"/>
          <w:color w:val="222222"/>
          <w:shd w:val="clear" w:color="auto" w:fill="FFFFFF"/>
        </w:rPr>
        <w:t xml:space="preserve"> concerning </w:t>
      </w:r>
      <w:r>
        <w:rPr>
          <w:rFonts w:ascii="Times New Roman" w:eastAsia="Times New Roman" w:hAnsi="Times New Roman" w:cs="Times New Roman"/>
          <w:color w:val="222222"/>
          <w:shd w:val="clear" w:color="auto" w:fill="FFFFFF"/>
        </w:rPr>
        <w:t>the “</w:t>
      </w:r>
      <w:r w:rsidRPr="00EB00B6">
        <w:rPr>
          <w:rFonts w:ascii="Times New Roman" w:eastAsia="Times New Roman" w:hAnsi="Times New Roman" w:cs="Times New Roman"/>
          <w:color w:val="222222"/>
          <w:shd w:val="clear" w:color="auto" w:fill="FFFFFF"/>
        </w:rPr>
        <w:t>right</w:t>
      </w:r>
      <w:r>
        <w:rPr>
          <w:rFonts w:ascii="Times New Roman" w:eastAsia="Times New Roman" w:hAnsi="Times New Roman" w:cs="Times New Roman"/>
          <w:color w:val="222222"/>
          <w:shd w:val="clear" w:color="auto" w:fill="FFFFFF"/>
        </w:rPr>
        <w:t>”</w:t>
      </w:r>
      <w:r w:rsidRPr="00EB00B6">
        <w:rPr>
          <w:rFonts w:ascii="Times New Roman" w:eastAsia="Times New Roman" w:hAnsi="Times New Roman" w:cs="Times New Roman"/>
          <w:color w:val="222222"/>
          <w:shd w:val="clear" w:color="auto" w:fill="FFFFFF"/>
        </w:rPr>
        <w:t xml:space="preserve"> levels of taxation.</w:t>
      </w:r>
    </w:p>
    <w:p w14:paraId="69646ED9" w14:textId="77777777" w:rsidR="005E3876" w:rsidRPr="00EB00B6" w:rsidRDefault="005E3876" w:rsidP="005E3876">
      <w:pPr>
        <w:jc w:val="both"/>
        <w:rPr>
          <w:rFonts w:ascii="Times New Roman" w:eastAsia="Times New Roman" w:hAnsi="Times New Roman" w:cs="Times New Roman"/>
          <w:color w:val="222222"/>
          <w:shd w:val="clear" w:color="auto" w:fill="FFFFFF"/>
        </w:rPr>
      </w:pPr>
    </w:p>
    <w:p w14:paraId="4CFD5D5D" w14:textId="77777777" w:rsidR="005E3876" w:rsidRPr="00EB00B6" w:rsidRDefault="005E3876" w:rsidP="005E3876">
      <w:pPr>
        <w:spacing w:line="276" w:lineRule="auto"/>
        <w:jc w:val="both"/>
        <w:rPr>
          <w:rFonts w:ascii="Times New Roman" w:hAnsi="Times New Roman" w:cs="Times New Roman"/>
        </w:rPr>
      </w:pPr>
      <w:r w:rsidRPr="00EB00B6">
        <w:rPr>
          <w:rFonts w:ascii="Times New Roman" w:eastAsia="Times New Roman" w:hAnsi="Times New Roman" w:cs="Times New Roman"/>
          <w:color w:val="222222"/>
          <w:shd w:val="clear" w:color="auto" w:fill="FFFFFF"/>
        </w:rPr>
        <w:lastRenderedPageBreak/>
        <w:t xml:space="preserve">All of the above means that there cannot be a simple nor unqualified response to the issue of the right level of VET subsidies and prices. </w:t>
      </w:r>
      <w:r w:rsidRPr="00EB00B6">
        <w:rPr>
          <w:rFonts w:ascii="Times New Roman" w:hAnsi="Times New Roman" w:cs="Times New Roman"/>
        </w:rPr>
        <w:t>But as very rough guidelines we do know that on average there are private financial benefits accruing to VET graduates, compared to individuals with no post-compulsory education, which implies str</w:t>
      </w:r>
      <w:r>
        <w:rPr>
          <w:rFonts w:ascii="Times New Roman" w:hAnsi="Times New Roman" w:cs="Times New Roman"/>
        </w:rPr>
        <w:t>ongly an equity case for student</w:t>
      </w:r>
      <w:r w:rsidRPr="00EB00B6">
        <w:rPr>
          <w:rFonts w:ascii="Times New Roman" w:hAnsi="Times New Roman" w:cs="Times New Roman"/>
        </w:rPr>
        <w:t xml:space="preserve"> VET contributions. Further, in public sector tertiary education internationally student tuition charges are of the order of 30 to 50 per cent of the average costs of the course; while there are marked differences between course</w:t>
      </w:r>
      <w:r>
        <w:rPr>
          <w:rFonts w:ascii="Times New Roman" w:hAnsi="Times New Roman" w:cs="Times New Roman"/>
        </w:rPr>
        <w:t>s</w:t>
      </w:r>
      <w:r w:rsidRPr="00EB00B6">
        <w:rPr>
          <w:rFonts w:ascii="Times New Roman" w:hAnsi="Times New Roman" w:cs="Times New Roman"/>
        </w:rPr>
        <w:t xml:space="preserve">, this is approximately the pricing situation with respect to HECS-HELP. </w:t>
      </w:r>
    </w:p>
    <w:p w14:paraId="0D4169DE" w14:textId="77777777" w:rsidR="009E3695" w:rsidRDefault="009E3695" w:rsidP="009E3695">
      <w:pPr>
        <w:spacing w:line="276" w:lineRule="auto"/>
        <w:ind w:right="373"/>
        <w:contextualSpacing/>
        <w:jc w:val="both"/>
        <w:rPr>
          <w:rFonts w:ascii="Times New Roman" w:hAnsi="Times New Roman" w:cs="Times New Roman"/>
        </w:rPr>
      </w:pPr>
    </w:p>
    <w:p w14:paraId="755824FB" w14:textId="77777777" w:rsidR="001D3894" w:rsidRDefault="001D3894" w:rsidP="009E3695">
      <w:pPr>
        <w:spacing w:line="276" w:lineRule="auto"/>
        <w:ind w:right="373"/>
        <w:contextualSpacing/>
        <w:jc w:val="both"/>
        <w:rPr>
          <w:rFonts w:ascii="Times New Roman" w:hAnsi="Times New Roman" w:cs="Times New Roman"/>
        </w:rPr>
      </w:pPr>
    </w:p>
    <w:p w14:paraId="59EAC609" w14:textId="2077A4D4" w:rsidR="007F372A" w:rsidRPr="00EB00B6" w:rsidRDefault="005E3876" w:rsidP="007F372A">
      <w:pPr>
        <w:spacing w:line="276" w:lineRule="auto"/>
        <w:ind w:left="567" w:right="373" w:hanging="567"/>
        <w:contextualSpacing/>
        <w:jc w:val="both"/>
        <w:rPr>
          <w:rFonts w:ascii="Times New Roman" w:hAnsi="Times New Roman" w:cs="Times New Roman"/>
          <w:i/>
          <w:sz w:val="28"/>
          <w:szCs w:val="28"/>
        </w:rPr>
      </w:pPr>
      <w:r>
        <w:rPr>
          <w:rFonts w:ascii="Times New Roman" w:hAnsi="Times New Roman" w:cs="Times New Roman"/>
          <w:i/>
          <w:sz w:val="28"/>
          <w:szCs w:val="28"/>
        </w:rPr>
        <w:t>5</w:t>
      </w:r>
      <w:r w:rsidR="00BC0102">
        <w:rPr>
          <w:rFonts w:ascii="Times New Roman" w:hAnsi="Times New Roman" w:cs="Times New Roman"/>
          <w:i/>
          <w:sz w:val="28"/>
          <w:szCs w:val="28"/>
        </w:rPr>
        <w:tab/>
      </w:r>
      <w:r w:rsidR="001D3894">
        <w:rPr>
          <w:rFonts w:ascii="Times New Roman" w:hAnsi="Times New Roman" w:cs="Times New Roman"/>
          <w:i/>
          <w:sz w:val="28"/>
          <w:szCs w:val="28"/>
        </w:rPr>
        <w:t>Should there be a S</w:t>
      </w:r>
      <w:r w:rsidR="007F372A" w:rsidRPr="00EB00B6">
        <w:rPr>
          <w:rFonts w:ascii="Times New Roman" w:hAnsi="Times New Roman" w:cs="Times New Roman"/>
          <w:i/>
          <w:sz w:val="28"/>
          <w:szCs w:val="28"/>
        </w:rPr>
        <w:t>urch</w:t>
      </w:r>
      <w:r w:rsidR="00754A26">
        <w:rPr>
          <w:rFonts w:ascii="Times New Roman" w:hAnsi="Times New Roman" w:cs="Times New Roman"/>
          <w:i/>
          <w:sz w:val="28"/>
          <w:szCs w:val="28"/>
        </w:rPr>
        <w:t>arge on ICL A</w:t>
      </w:r>
      <w:r w:rsidR="001D3894">
        <w:rPr>
          <w:rFonts w:ascii="Times New Roman" w:hAnsi="Times New Roman" w:cs="Times New Roman"/>
          <w:i/>
          <w:sz w:val="28"/>
          <w:szCs w:val="28"/>
        </w:rPr>
        <w:t>ssociated with the F</w:t>
      </w:r>
      <w:r w:rsidR="007F372A" w:rsidRPr="00EB00B6">
        <w:rPr>
          <w:rFonts w:ascii="Times New Roman" w:hAnsi="Times New Roman" w:cs="Times New Roman"/>
          <w:i/>
          <w:sz w:val="28"/>
          <w:szCs w:val="28"/>
        </w:rPr>
        <w:t xml:space="preserve">inancing of VET? </w:t>
      </w:r>
    </w:p>
    <w:p w14:paraId="1EBC241C" w14:textId="77777777" w:rsidR="007F372A" w:rsidRPr="00EB00B6" w:rsidRDefault="007F372A" w:rsidP="007F372A">
      <w:pPr>
        <w:spacing w:line="276" w:lineRule="auto"/>
        <w:ind w:right="373"/>
        <w:contextualSpacing/>
        <w:jc w:val="both"/>
        <w:rPr>
          <w:rFonts w:ascii="Times New Roman" w:hAnsi="Times New Roman" w:cs="Times New Roman"/>
        </w:rPr>
      </w:pPr>
    </w:p>
    <w:p w14:paraId="32C1FBAC" w14:textId="05A6E76E" w:rsidR="007F372A" w:rsidRPr="00EB00B6" w:rsidRDefault="00B63D5B" w:rsidP="001D3894">
      <w:pPr>
        <w:spacing w:line="276" w:lineRule="auto"/>
        <w:ind w:right="-52"/>
        <w:contextualSpacing/>
        <w:jc w:val="both"/>
        <w:rPr>
          <w:rFonts w:ascii="Times New Roman" w:hAnsi="Times New Roman" w:cs="Times New Roman"/>
        </w:rPr>
      </w:pPr>
      <w:r>
        <w:rPr>
          <w:rFonts w:ascii="Times New Roman" w:hAnsi="Times New Roman" w:cs="Times New Roman"/>
        </w:rPr>
        <w:t xml:space="preserve">To </w:t>
      </w:r>
      <w:r w:rsidR="007F372A" w:rsidRPr="00EB00B6">
        <w:rPr>
          <w:rFonts w:ascii="Times New Roman" w:hAnsi="Times New Roman" w:cs="Times New Roman"/>
        </w:rPr>
        <w:t>understand this issue it is useful to ask how the application of an ICL to VET would be best organised in terms of who pays what and when? I think the simplest way for this to happen would take the following form.</w:t>
      </w:r>
    </w:p>
    <w:p w14:paraId="56E0C37C" w14:textId="77777777" w:rsidR="007F372A" w:rsidRPr="00EB00B6" w:rsidRDefault="007F372A" w:rsidP="007F372A">
      <w:pPr>
        <w:spacing w:line="276" w:lineRule="auto"/>
        <w:ind w:right="373"/>
        <w:contextualSpacing/>
        <w:jc w:val="both"/>
        <w:rPr>
          <w:rFonts w:ascii="Times New Roman" w:hAnsi="Times New Roman" w:cs="Times New Roman"/>
        </w:rPr>
      </w:pPr>
    </w:p>
    <w:p w14:paraId="07B84943" w14:textId="73F4C867" w:rsidR="007F372A" w:rsidRPr="00EB00B6" w:rsidRDefault="007F372A" w:rsidP="00136C91">
      <w:pPr>
        <w:spacing w:line="276" w:lineRule="auto"/>
        <w:ind w:right="-52"/>
        <w:contextualSpacing/>
        <w:jc w:val="both"/>
        <w:rPr>
          <w:rFonts w:ascii="Times New Roman" w:hAnsi="Times New Roman" w:cs="Times New Roman"/>
        </w:rPr>
      </w:pPr>
      <w:r w:rsidRPr="00EB00B6">
        <w:rPr>
          <w:rFonts w:ascii="Times New Roman" w:hAnsi="Times New Roman" w:cs="Times New Roman"/>
        </w:rPr>
        <w:t>The Commonwealth government agrees to participate in an expansion of the HELP system to cover all areas of VET that the State/Territory governments recommend. The role of the Commonwealth lies in the collection of the repayments, which has</w:t>
      </w:r>
      <w:r w:rsidR="00B66136">
        <w:rPr>
          <w:rFonts w:ascii="Times New Roman" w:hAnsi="Times New Roman" w:cs="Times New Roman"/>
        </w:rPr>
        <w:t xml:space="preserve"> operated successfully and </w:t>
      </w:r>
      <w:r w:rsidRPr="00EB00B6">
        <w:rPr>
          <w:rFonts w:ascii="Times New Roman" w:hAnsi="Times New Roman" w:cs="Times New Roman"/>
        </w:rPr>
        <w:t>efficiently</w:t>
      </w:r>
      <w:r w:rsidR="00B66136">
        <w:rPr>
          <w:rFonts w:ascii="Times New Roman" w:hAnsi="Times New Roman" w:cs="Times New Roman"/>
        </w:rPr>
        <w:t xml:space="preserve"> </w:t>
      </w:r>
      <w:r w:rsidR="00B66136" w:rsidRPr="00EB00B6">
        <w:rPr>
          <w:rFonts w:ascii="Times New Roman" w:hAnsi="Times New Roman" w:cs="Times New Roman"/>
        </w:rPr>
        <w:t>for over 30 years now</w:t>
      </w:r>
      <w:r w:rsidRPr="00EB00B6">
        <w:rPr>
          <w:rFonts w:ascii="Times New Roman" w:hAnsi="Times New Roman" w:cs="Times New Roman"/>
        </w:rPr>
        <w:t xml:space="preserve"> through both employer with-holding and ATO engagement with self-employed HELP debtors.</w:t>
      </w:r>
    </w:p>
    <w:p w14:paraId="43DF4151" w14:textId="77777777" w:rsidR="007F372A" w:rsidRPr="00EB00B6" w:rsidRDefault="007F372A" w:rsidP="00136C91">
      <w:pPr>
        <w:spacing w:line="276" w:lineRule="auto"/>
        <w:ind w:right="-52"/>
        <w:contextualSpacing/>
        <w:jc w:val="both"/>
        <w:rPr>
          <w:rFonts w:ascii="Times New Roman" w:hAnsi="Times New Roman" w:cs="Times New Roman"/>
        </w:rPr>
      </w:pPr>
    </w:p>
    <w:p w14:paraId="66D9A02F" w14:textId="0E83D399" w:rsidR="007F372A" w:rsidRPr="00EB00B6" w:rsidRDefault="007F372A" w:rsidP="00136C91">
      <w:pPr>
        <w:spacing w:line="276" w:lineRule="auto"/>
        <w:ind w:right="-52"/>
        <w:contextualSpacing/>
        <w:jc w:val="both"/>
        <w:rPr>
          <w:rFonts w:ascii="Times New Roman" w:hAnsi="Times New Roman" w:cs="Times New Roman"/>
        </w:rPr>
      </w:pPr>
      <w:r w:rsidRPr="00EB00B6">
        <w:rPr>
          <w:rFonts w:ascii="Times New Roman" w:hAnsi="Times New Roman" w:cs="Times New Roman"/>
        </w:rPr>
        <w:t>Since the Commonwealth is collecting all the loan repayments it is fair and simple to have the Commonwealth pay the State/Territories for the initial course outlays in which students will be incurring the debt. If this is the case, and the indexation arrangements concerning the debt remain the same as</w:t>
      </w:r>
      <w:r w:rsidR="00F54B24" w:rsidRPr="00EB00B6">
        <w:rPr>
          <w:rFonts w:ascii="Times New Roman" w:hAnsi="Times New Roman" w:cs="Times New Roman"/>
        </w:rPr>
        <w:t xml:space="preserve"> they are</w:t>
      </w:r>
      <w:r w:rsidRPr="00EB00B6">
        <w:rPr>
          <w:rFonts w:ascii="Times New Roman" w:hAnsi="Times New Roman" w:cs="Times New Roman"/>
        </w:rPr>
        <w:t xml:space="preserve"> now</w:t>
      </w:r>
      <w:r w:rsidR="00F54B24" w:rsidRPr="00EB00B6">
        <w:rPr>
          <w:rFonts w:ascii="Times New Roman" w:hAnsi="Times New Roman" w:cs="Times New Roman"/>
        </w:rPr>
        <w:t xml:space="preserve"> with respect to HELP (ie, indexing</w:t>
      </w:r>
      <w:r w:rsidRPr="00EB00B6">
        <w:rPr>
          <w:rFonts w:ascii="Times New Roman" w:hAnsi="Times New Roman" w:cs="Times New Roman"/>
        </w:rPr>
        <w:t xml:space="preserve"> for price inflation</w:t>
      </w:r>
      <w:r w:rsidR="00F54B24" w:rsidRPr="00EB00B6">
        <w:rPr>
          <w:rFonts w:ascii="Times New Roman" w:hAnsi="Times New Roman" w:cs="Times New Roman"/>
        </w:rPr>
        <w:t xml:space="preserve"> only</w:t>
      </w:r>
      <w:r w:rsidRPr="00EB00B6">
        <w:rPr>
          <w:rFonts w:ascii="Times New Roman" w:hAnsi="Times New Roman" w:cs="Times New Roman"/>
        </w:rPr>
        <w:t>), the rationale for a sur</w:t>
      </w:r>
      <w:r w:rsidR="006775B6">
        <w:rPr>
          <w:rFonts w:ascii="Times New Roman" w:hAnsi="Times New Roman" w:cs="Times New Roman"/>
        </w:rPr>
        <w:t>charge becomes very clear. Given that</w:t>
      </w:r>
      <w:r w:rsidRPr="00EB00B6">
        <w:rPr>
          <w:rFonts w:ascii="Times New Roman" w:hAnsi="Times New Roman" w:cs="Times New Roman"/>
        </w:rPr>
        <w:t xml:space="preserve"> the Commonwealth is </w:t>
      </w:r>
      <w:r w:rsidR="00B66136">
        <w:rPr>
          <w:rFonts w:ascii="Times New Roman" w:hAnsi="Times New Roman" w:cs="Times New Roman"/>
        </w:rPr>
        <w:t xml:space="preserve">implicitly </w:t>
      </w:r>
      <w:r w:rsidRPr="00EB00B6">
        <w:rPr>
          <w:rFonts w:ascii="Times New Roman" w:hAnsi="Times New Roman" w:cs="Times New Roman"/>
        </w:rPr>
        <w:t>bearing the interest rate costs of the debt (equal to the extent to which the government costs of borrowing exceed price inflation) there needs to be an adjustment with respect t</w:t>
      </w:r>
      <w:r w:rsidR="00B66136">
        <w:rPr>
          <w:rFonts w:ascii="Times New Roman" w:hAnsi="Times New Roman" w:cs="Times New Roman"/>
        </w:rPr>
        <w:t>o this implicit subsidy, and a</w:t>
      </w:r>
      <w:r w:rsidRPr="00EB00B6">
        <w:rPr>
          <w:rFonts w:ascii="Times New Roman" w:hAnsi="Times New Roman" w:cs="Times New Roman"/>
        </w:rPr>
        <w:t xml:space="preserve"> surcharge is the way to address this. </w:t>
      </w:r>
    </w:p>
    <w:p w14:paraId="45E30A28" w14:textId="77777777" w:rsidR="007F372A" w:rsidRPr="00EB00B6" w:rsidRDefault="007F372A" w:rsidP="007F372A">
      <w:pPr>
        <w:spacing w:line="276" w:lineRule="auto"/>
        <w:ind w:right="373"/>
        <w:contextualSpacing/>
        <w:jc w:val="both"/>
        <w:rPr>
          <w:rFonts w:ascii="Times New Roman" w:hAnsi="Times New Roman" w:cs="Times New Roman"/>
        </w:rPr>
      </w:pPr>
    </w:p>
    <w:p w14:paraId="32098DA1" w14:textId="46F5C0AC" w:rsidR="007F372A" w:rsidRPr="00EB00B6" w:rsidRDefault="007F372A" w:rsidP="00136C91">
      <w:pPr>
        <w:spacing w:line="276" w:lineRule="auto"/>
        <w:ind w:right="-52"/>
        <w:contextualSpacing/>
        <w:jc w:val="both"/>
        <w:rPr>
          <w:rFonts w:ascii="Times New Roman" w:hAnsi="Times New Roman" w:cs="Times New Roman"/>
        </w:rPr>
      </w:pPr>
      <w:r w:rsidRPr="00EB00B6">
        <w:rPr>
          <w:rFonts w:ascii="Times New Roman" w:hAnsi="Times New Roman" w:cs="Times New Roman"/>
        </w:rPr>
        <w:t>The size of the surcharge should be set to incorporate not only the implicit interest rate subsidy explained above, but also the present value of the debt not expected to be repaid. When both are taken into account, and if the parameters are set co</w:t>
      </w:r>
      <w:r w:rsidR="00F54B24" w:rsidRPr="00EB00B6">
        <w:rPr>
          <w:rFonts w:ascii="Times New Roman" w:hAnsi="Times New Roman" w:cs="Times New Roman"/>
        </w:rPr>
        <w:t>rrectly, the surcharge should thus</w:t>
      </w:r>
      <w:r w:rsidRPr="00EB00B6">
        <w:rPr>
          <w:rFonts w:ascii="Times New Roman" w:hAnsi="Times New Roman" w:cs="Times New Roman"/>
        </w:rPr>
        <w:t xml:space="preserve"> fully compensate the Commonwealth’s budgetary costs involved in the process.</w:t>
      </w:r>
    </w:p>
    <w:p w14:paraId="338B1EF3" w14:textId="77777777" w:rsidR="007F372A" w:rsidRPr="00EB00B6" w:rsidRDefault="007F372A" w:rsidP="007F372A">
      <w:pPr>
        <w:spacing w:line="276" w:lineRule="auto"/>
        <w:ind w:right="373"/>
        <w:contextualSpacing/>
        <w:jc w:val="both"/>
        <w:rPr>
          <w:rFonts w:ascii="Times New Roman" w:hAnsi="Times New Roman" w:cs="Times New Roman"/>
        </w:rPr>
      </w:pPr>
    </w:p>
    <w:p w14:paraId="2A4040A8" w14:textId="100B3444" w:rsidR="007F372A" w:rsidRPr="00F93B06" w:rsidRDefault="007F372A" w:rsidP="00F93B06">
      <w:pPr>
        <w:spacing w:line="276" w:lineRule="auto"/>
        <w:ind w:right="-52"/>
        <w:contextualSpacing/>
        <w:jc w:val="both"/>
        <w:rPr>
          <w:rFonts w:ascii="Times New Roman" w:hAnsi="Times New Roman" w:cs="Times New Roman"/>
        </w:rPr>
      </w:pPr>
      <w:r w:rsidRPr="00EB00B6">
        <w:rPr>
          <w:rFonts w:ascii="Times New Roman" w:hAnsi="Times New Roman" w:cs="Times New Roman"/>
        </w:rPr>
        <w:t>It is important that the surcharge issue is placed firmly in the context of the above. If the debate is instead about having consistent approaches with respect to a surcharge across different HELP regimes</w:t>
      </w:r>
      <w:r w:rsidR="00F54B24" w:rsidRPr="00EB00B6">
        <w:rPr>
          <w:rFonts w:ascii="Times New Roman" w:hAnsi="Times New Roman" w:cs="Times New Roman"/>
        </w:rPr>
        <w:t>,</w:t>
      </w:r>
      <w:r w:rsidRPr="00EB00B6">
        <w:rPr>
          <w:rFonts w:ascii="Times New Roman" w:hAnsi="Times New Roman" w:cs="Times New Roman"/>
        </w:rPr>
        <w:t xml:space="preserve"> the critical role of the Commonwealth as debt collector for</w:t>
      </w:r>
      <w:r w:rsidR="00F54B24" w:rsidRPr="00EB00B6">
        <w:rPr>
          <w:rFonts w:ascii="Times New Roman" w:hAnsi="Times New Roman" w:cs="Times New Roman"/>
        </w:rPr>
        <w:t xml:space="preserve"> State/Territory</w:t>
      </w:r>
      <w:r w:rsidRPr="00EB00B6">
        <w:rPr>
          <w:rFonts w:ascii="Times New Roman" w:hAnsi="Times New Roman" w:cs="Times New Roman"/>
        </w:rPr>
        <w:t xml:space="preserve"> VET</w:t>
      </w:r>
      <w:r w:rsidR="00F54B24" w:rsidRPr="00EB00B6">
        <w:rPr>
          <w:rFonts w:ascii="Times New Roman" w:hAnsi="Times New Roman" w:cs="Times New Roman"/>
        </w:rPr>
        <w:t xml:space="preserve"> systems</w:t>
      </w:r>
      <w:r w:rsidRPr="00EB00B6">
        <w:rPr>
          <w:rFonts w:ascii="Times New Roman" w:hAnsi="Times New Roman" w:cs="Times New Roman"/>
        </w:rPr>
        <w:t xml:space="preserve"> will be missed. Consistency with respect to surcharges might matter for other reasons, but has little to do with the implicit costs to the Commonwealth of the VET debt collection arrangements.</w:t>
      </w:r>
    </w:p>
    <w:p w14:paraId="3F9E968E" w14:textId="597B5032" w:rsidR="007D1BA8" w:rsidRPr="007D1BA8" w:rsidRDefault="00BC0102" w:rsidP="00754A26">
      <w:pPr>
        <w:ind w:left="720" w:hanging="720"/>
        <w:jc w:val="both"/>
        <w:rPr>
          <w:rFonts w:ascii="Times New Roman" w:eastAsia="Times New Roman" w:hAnsi="Times New Roman" w:cs="Times New Roman"/>
          <w:i/>
          <w:color w:val="222222"/>
          <w:sz w:val="28"/>
          <w:szCs w:val="28"/>
          <w:shd w:val="clear" w:color="auto" w:fill="FFFFFF"/>
        </w:rPr>
      </w:pPr>
      <w:r>
        <w:rPr>
          <w:rFonts w:ascii="Times New Roman" w:eastAsia="Times New Roman" w:hAnsi="Times New Roman" w:cs="Times New Roman"/>
          <w:i/>
          <w:color w:val="222222"/>
          <w:sz w:val="28"/>
          <w:szCs w:val="28"/>
          <w:shd w:val="clear" w:color="auto" w:fill="FFFFFF"/>
        </w:rPr>
        <w:lastRenderedPageBreak/>
        <w:t>6</w:t>
      </w:r>
      <w:r>
        <w:rPr>
          <w:rFonts w:ascii="Times New Roman" w:eastAsia="Times New Roman" w:hAnsi="Times New Roman" w:cs="Times New Roman"/>
          <w:i/>
          <w:color w:val="222222"/>
          <w:sz w:val="28"/>
          <w:szCs w:val="28"/>
          <w:shd w:val="clear" w:color="auto" w:fill="FFFFFF"/>
        </w:rPr>
        <w:tab/>
      </w:r>
      <w:r w:rsidR="007D1BA8" w:rsidRPr="007D1BA8">
        <w:rPr>
          <w:rFonts w:ascii="Times New Roman" w:eastAsia="Times New Roman" w:hAnsi="Times New Roman" w:cs="Times New Roman"/>
          <w:i/>
          <w:color w:val="222222"/>
          <w:sz w:val="28"/>
          <w:szCs w:val="28"/>
          <w:shd w:val="clear" w:color="auto" w:fill="FFFFFF"/>
        </w:rPr>
        <w:t xml:space="preserve">Is there a case for having ICL </w:t>
      </w:r>
      <w:r w:rsidR="005F471C">
        <w:rPr>
          <w:rFonts w:ascii="Times New Roman" w:eastAsia="Times New Roman" w:hAnsi="Times New Roman" w:cs="Times New Roman"/>
          <w:i/>
          <w:color w:val="222222"/>
          <w:sz w:val="28"/>
          <w:szCs w:val="28"/>
          <w:shd w:val="clear" w:color="auto" w:fill="FFFFFF"/>
        </w:rPr>
        <w:t xml:space="preserve">in VET </w:t>
      </w:r>
      <w:r w:rsidR="00214B3F">
        <w:rPr>
          <w:rFonts w:ascii="Times New Roman" w:eastAsia="Times New Roman" w:hAnsi="Times New Roman" w:cs="Times New Roman"/>
          <w:i/>
          <w:color w:val="222222"/>
          <w:sz w:val="28"/>
          <w:szCs w:val="28"/>
          <w:shd w:val="clear" w:color="auto" w:fill="FFFFFF"/>
        </w:rPr>
        <w:t>even if there are no implications for char</w:t>
      </w:r>
      <w:r w:rsidR="007D1BA8" w:rsidRPr="007D1BA8">
        <w:rPr>
          <w:rFonts w:ascii="Times New Roman" w:eastAsia="Times New Roman" w:hAnsi="Times New Roman" w:cs="Times New Roman"/>
          <w:i/>
          <w:color w:val="222222"/>
          <w:sz w:val="28"/>
          <w:szCs w:val="28"/>
          <w:shd w:val="clear" w:color="auto" w:fill="FFFFFF"/>
        </w:rPr>
        <w:t>ges?</w:t>
      </w:r>
    </w:p>
    <w:p w14:paraId="2DF8DF63" w14:textId="77777777" w:rsidR="007D1BA8" w:rsidRDefault="007D1BA8" w:rsidP="007D1BA8">
      <w:pPr>
        <w:jc w:val="both"/>
        <w:rPr>
          <w:rFonts w:ascii="Times New Roman" w:hAnsi="Times New Roman" w:cs="Times New Roman"/>
        </w:rPr>
      </w:pPr>
    </w:p>
    <w:p w14:paraId="7015AECE" w14:textId="6225F1A4" w:rsidR="00214B3F" w:rsidRDefault="00214B3F" w:rsidP="007D1BA8">
      <w:pPr>
        <w:spacing w:line="276" w:lineRule="auto"/>
        <w:jc w:val="both"/>
        <w:rPr>
          <w:rFonts w:ascii="Times New Roman" w:hAnsi="Times New Roman" w:cs="Times New Roman"/>
        </w:rPr>
      </w:pPr>
      <w:r>
        <w:rPr>
          <w:rFonts w:ascii="Times New Roman" w:hAnsi="Times New Roman" w:cs="Times New Roman"/>
        </w:rPr>
        <w:t>Having a universal ICL for VET would facilitate, indeed make possible, more reasonable contributions to tuition</w:t>
      </w:r>
      <w:r w:rsidR="00145B34">
        <w:rPr>
          <w:rFonts w:ascii="Times New Roman" w:hAnsi="Times New Roman" w:cs="Times New Roman"/>
        </w:rPr>
        <w:t xml:space="preserve"> costs</w:t>
      </w:r>
      <w:r>
        <w:rPr>
          <w:rFonts w:ascii="Times New Roman" w:hAnsi="Times New Roman" w:cs="Times New Roman"/>
        </w:rPr>
        <w:t xml:space="preserve"> from students, and this would make it less expensive for governments to expand and improve the quality of the system. </w:t>
      </w:r>
      <w:r w:rsidR="00F93B06">
        <w:rPr>
          <w:rFonts w:ascii="Times New Roman" w:hAnsi="Times New Roman" w:cs="Times New Roman"/>
        </w:rPr>
        <w:t xml:space="preserve">As has been explained above, the single most important issue for the access of the disadvantaged to VET is the size of the system, so long as the protections of an ICL re in place. </w:t>
      </w:r>
      <w:r>
        <w:rPr>
          <w:rFonts w:ascii="Times New Roman" w:hAnsi="Times New Roman" w:cs="Times New Roman"/>
        </w:rPr>
        <w:t>But it needs to be asked, even with no changes in cost-sharing, would the institution of ICL</w:t>
      </w:r>
      <w:r w:rsidR="00145B34">
        <w:rPr>
          <w:rFonts w:ascii="Times New Roman" w:hAnsi="Times New Roman" w:cs="Times New Roman"/>
        </w:rPr>
        <w:t xml:space="preserve"> for VET</w:t>
      </w:r>
      <w:r>
        <w:rPr>
          <w:rFonts w:ascii="Times New Roman" w:hAnsi="Times New Roman" w:cs="Times New Roman"/>
        </w:rPr>
        <w:t xml:space="preserve"> be desirable?</w:t>
      </w:r>
    </w:p>
    <w:p w14:paraId="0FB37225" w14:textId="77777777" w:rsidR="001D3894" w:rsidRDefault="001D3894" w:rsidP="007D1BA8">
      <w:pPr>
        <w:spacing w:line="276" w:lineRule="auto"/>
        <w:jc w:val="both"/>
        <w:rPr>
          <w:rFonts w:ascii="Times New Roman" w:hAnsi="Times New Roman" w:cs="Times New Roman"/>
        </w:rPr>
      </w:pPr>
    </w:p>
    <w:p w14:paraId="41BA7DC9" w14:textId="0D03D705" w:rsidR="007D1BA8" w:rsidRDefault="007D1BA8" w:rsidP="007D1BA8">
      <w:pPr>
        <w:spacing w:line="276" w:lineRule="auto"/>
        <w:jc w:val="both"/>
        <w:rPr>
          <w:rFonts w:ascii="Times New Roman" w:hAnsi="Times New Roman" w:cs="Times New Roman"/>
        </w:rPr>
      </w:pPr>
      <w:r>
        <w:rPr>
          <w:rFonts w:ascii="Times New Roman" w:hAnsi="Times New Roman" w:cs="Times New Roman"/>
        </w:rPr>
        <w:t>Making</w:t>
      </w:r>
      <w:r w:rsidRPr="004E0AB7">
        <w:rPr>
          <w:rFonts w:ascii="Times New Roman" w:hAnsi="Times New Roman" w:cs="Times New Roman"/>
        </w:rPr>
        <w:t xml:space="preserve"> ICL</w:t>
      </w:r>
      <w:r>
        <w:rPr>
          <w:rFonts w:ascii="Times New Roman" w:hAnsi="Times New Roman" w:cs="Times New Roman"/>
        </w:rPr>
        <w:t xml:space="preserve"> available</w:t>
      </w:r>
      <w:r w:rsidRPr="004E0AB7">
        <w:rPr>
          <w:rFonts w:ascii="Times New Roman" w:hAnsi="Times New Roman" w:cs="Times New Roman"/>
        </w:rPr>
        <w:t xml:space="preserve"> is a </w:t>
      </w:r>
      <w:r w:rsidR="00214B3F">
        <w:rPr>
          <w:rFonts w:ascii="Times New Roman" w:hAnsi="Times New Roman" w:cs="Times New Roman"/>
        </w:rPr>
        <w:t xml:space="preserve">propitious </w:t>
      </w:r>
      <w:r w:rsidRPr="004E0AB7">
        <w:rPr>
          <w:rFonts w:ascii="Times New Roman" w:hAnsi="Times New Roman" w:cs="Times New Roman"/>
        </w:rPr>
        <w:t xml:space="preserve">reform </w:t>
      </w:r>
      <w:r w:rsidRPr="007D1BA8">
        <w:rPr>
          <w:rFonts w:ascii="Times New Roman" w:hAnsi="Times New Roman" w:cs="Times New Roman"/>
          <w:i/>
        </w:rPr>
        <w:t>in-and-of-itself</w:t>
      </w:r>
      <w:r>
        <w:rPr>
          <w:rFonts w:ascii="Times New Roman" w:hAnsi="Times New Roman" w:cs="Times New Roman"/>
        </w:rPr>
        <w:t xml:space="preserve"> simply because ICL deliver consumption-smoothing. It is a basic principle of economics that consumption-smoothing is welfare-improving and of course that is why, </w:t>
      </w:r>
      <w:r w:rsidRPr="004E0AB7">
        <w:rPr>
          <w:rFonts w:ascii="Times New Roman" w:hAnsi="Times New Roman" w:cs="Times New Roman"/>
          <w:i/>
        </w:rPr>
        <w:t>inter alia</w:t>
      </w:r>
      <w:r>
        <w:rPr>
          <w:rFonts w:ascii="Times New Roman" w:hAnsi="Times New Roman" w:cs="Times New Roman"/>
        </w:rPr>
        <w:t>, we have banks, pension systems and superannuation, and progressive income tax arr</w:t>
      </w:r>
      <w:r w:rsidR="00F93B06">
        <w:rPr>
          <w:rFonts w:ascii="Times New Roman" w:hAnsi="Times New Roman" w:cs="Times New Roman"/>
        </w:rPr>
        <w:t>angements. W</w:t>
      </w:r>
      <w:r>
        <w:rPr>
          <w:rFonts w:ascii="Times New Roman" w:hAnsi="Times New Roman" w:cs="Times New Roman"/>
        </w:rPr>
        <w:t>ith respect to</w:t>
      </w:r>
      <w:r w:rsidR="00F93B06">
        <w:rPr>
          <w:rFonts w:ascii="Times New Roman" w:hAnsi="Times New Roman" w:cs="Times New Roman"/>
        </w:rPr>
        <w:t xml:space="preserve"> student borrowing</w:t>
      </w:r>
      <w:r>
        <w:rPr>
          <w:rFonts w:ascii="Times New Roman" w:hAnsi="Times New Roman" w:cs="Times New Roman"/>
        </w:rPr>
        <w:t xml:space="preserve">, the time-based repayment loans from banks </w:t>
      </w:r>
      <w:r w:rsidR="00F93B06">
        <w:rPr>
          <w:rFonts w:ascii="Times New Roman" w:hAnsi="Times New Roman" w:cs="Times New Roman"/>
        </w:rPr>
        <w:t xml:space="preserve">are an attempt to </w:t>
      </w:r>
      <w:r>
        <w:rPr>
          <w:rFonts w:ascii="Times New Roman" w:hAnsi="Times New Roman" w:cs="Times New Roman"/>
        </w:rPr>
        <w:t xml:space="preserve">achieve consumption-smoothing </w:t>
      </w:r>
      <w:r w:rsidR="00F93B06">
        <w:rPr>
          <w:rFonts w:ascii="Times New Roman" w:hAnsi="Times New Roman" w:cs="Times New Roman"/>
        </w:rPr>
        <w:t xml:space="preserve">but in this context work </w:t>
      </w:r>
      <w:r>
        <w:rPr>
          <w:rFonts w:ascii="Times New Roman" w:hAnsi="Times New Roman" w:cs="Times New Roman"/>
        </w:rPr>
        <w:t>only very imperfectly but, if designed well, ICL can do this fairly precisely.</w:t>
      </w:r>
    </w:p>
    <w:p w14:paraId="2A7851AD" w14:textId="77777777" w:rsidR="007D1BA8" w:rsidRDefault="007D1BA8" w:rsidP="007D1BA8">
      <w:pPr>
        <w:jc w:val="both"/>
        <w:rPr>
          <w:rFonts w:ascii="Times New Roman" w:hAnsi="Times New Roman" w:cs="Times New Roman"/>
        </w:rPr>
      </w:pPr>
    </w:p>
    <w:p w14:paraId="64E22287" w14:textId="4DF7AFE7" w:rsidR="007D1BA8" w:rsidRDefault="007D1BA8" w:rsidP="007D1BA8">
      <w:pPr>
        <w:spacing w:line="276" w:lineRule="auto"/>
        <w:jc w:val="both"/>
        <w:rPr>
          <w:rFonts w:ascii="Times New Roman" w:hAnsi="Times New Roman" w:cs="Times New Roman"/>
        </w:rPr>
      </w:pPr>
      <w:r>
        <w:rPr>
          <w:rFonts w:ascii="Times New Roman" w:hAnsi="Times New Roman" w:cs="Times New Roman"/>
        </w:rPr>
        <w:t xml:space="preserve">Attempts at consumption-smoothing with respect to some Australian TAFE fee payments already exist, with there being the possibility of </w:t>
      </w:r>
      <w:r w:rsidR="00F93B06">
        <w:rPr>
          <w:rFonts w:ascii="Times New Roman" w:hAnsi="Times New Roman" w:cs="Times New Roman"/>
        </w:rPr>
        <w:t xml:space="preserve">some students - </w:t>
      </w:r>
      <w:r w:rsidR="006775B6">
        <w:rPr>
          <w:rFonts w:ascii="Times New Roman" w:hAnsi="Times New Roman" w:cs="Times New Roman"/>
        </w:rPr>
        <w:t xml:space="preserve">deemed eligible by the TAFE </w:t>
      </w:r>
      <w:r w:rsidR="00F93B06">
        <w:rPr>
          <w:rFonts w:ascii="Times New Roman" w:hAnsi="Times New Roman" w:cs="Times New Roman"/>
        </w:rPr>
        <w:t>on an individual basis -</w:t>
      </w:r>
      <w:r w:rsidR="006775B6">
        <w:rPr>
          <w:rFonts w:ascii="Times New Roman" w:hAnsi="Times New Roman" w:cs="Times New Roman"/>
        </w:rPr>
        <w:t xml:space="preserve"> </w:t>
      </w:r>
      <w:r w:rsidR="00214B3F">
        <w:rPr>
          <w:rFonts w:ascii="Times New Roman" w:hAnsi="Times New Roman" w:cs="Times New Roman"/>
        </w:rPr>
        <w:t xml:space="preserve">making </w:t>
      </w:r>
      <w:r>
        <w:rPr>
          <w:rFonts w:ascii="Times New Roman" w:hAnsi="Times New Roman" w:cs="Times New Roman"/>
        </w:rPr>
        <w:t>payment</w:t>
      </w:r>
      <w:r w:rsidR="00214B3F">
        <w:rPr>
          <w:rFonts w:ascii="Times New Roman" w:hAnsi="Times New Roman" w:cs="Times New Roman"/>
        </w:rPr>
        <w:t>s</w:t>
      </w:r>
      <w:r>
        <w:rPr>
          <w:rFonts w:ascii="Times New Roman" w:hAnsi="Times New Roman" w:cs="Times New Roman"/>
        </w:rPr>
        <w:t xml:space="preserve"> by instalments; this </w:t>
      </w:r>
      <w:r w:rsidR="0028015B">
        <w:rPr>
          <w:rFonts w:ascii="Times New Roman" w:hAnsi="Times New Roman" w:cs="Times New Roman"/>
        </w:rPr>
        <w:t>should be seen a</w:t>
      </w:r>
      <w:r>
        <w:rPr>
          <w:rFonts w:ascii="Times New Roman" w:hAnsi="Times New Roman" w:cs="Times New Roman"/>
        </w:rPr>
        <w:t>s a very crude way to try and capture t</w:t>
      </w:r>
      <w:r w:rsidR="00F93B06">
        <w:rPr>
          <w:rFonts w:ascii="Times New Roman" w:hAnsi="Times New Roman" w:cs="Times New Roman"/>
        </w:rPr>
        <w:t>he essence of an ICL. W</w:t>
      </w:r>
      <w:r>
        <w:rPr>
          <w:rFonts w:ascii="Times New Roman" w:hAnsi="Times New Roman" w:cs="Times New Roman"/>
        </w:rPr>
        <w:t>here this happens it must be the case that there are very high costs in terms of administration, monitoring and the determination of authentic eligibility if decisions and fee payments are being de</w:t>
      </w:r>
      <w:r w:rsidR="00F93B06">
        <w:rPr>
          <w:rFonts w:ascii="Times New Roman" w:hAnsi="Times New Roman" w:cs="Times New Roman"/>
        </w:rPr>
        <w:t>cided on a case-by-case basis. And i</w:t>
      </w:r>
      <w:r>
        <w:rPr>
          <w:rFonts w:ascii="Times New Roman" w:hAnsi="Times New Roman" w:cs="Times New Roman"/>
        </w:rPr>
        <w:t>f there is an institutionally automatic and inexpensive way to do this, why wouldn</w:t>
      </w:r>
      <w:r w:rsidR="00F93B06">
        <w:rPr>
          <w:rFonts w:ascii="Times New Roman" w:hAnsi="Times New Roman" w:cs="Times New Roman"/>
        </w:rPr>
        <w:t>’t it be used instead? This exist</w:t>
      </w:r>
      <w:r>
        <w:rPr>
          <w:rFonts w:ascii="Times New Roman" w:hAnsi="Times New Roman" w:cs="Times New Roman"/>
        </w:rPr>
        <w:t xml:space="preserve"> in Australian, and it is known as HELP. </w:t>
      </w:r>
    </w:p>
    <w:p w14:paraId="52537639" w14:textId="77777777" w:rsidR="007D1BA8" w:rsidRDefault="007D1BA8" w:rsidP="007D1BA8">
      <w:pPr>
        <w:jc w:val="both"/>
        <w:rPr>
          <w:rFonts w:ascii="Times New Roman" w:hAnsi="Times New Roman" w:cs="Times New Roman"/>
        </w:rPr>
      </w:pPr>
    </w:p>
    <w:p w14:paraId="66EB5919" w14:textId="2E3029F5" w:rsidR="007D1BA8" w:rsidRDefault="007D1BA8" w:rsidP="007D1BA8">
      <w:pPr>
        <w:spacing w:line="276" w:lineRule="auto"/>
        <w:jc w:val="both"/>
        <w:rPr>
          <w:rFonts w:ascii="Times New Roman" w:hAnsi="Times New Roman" w:cs="Times New Roman"/>
        </w:rPr>
      </w:pPr>
      <w:r>
        <w:rPr>
          <w:rFonts w:ascii="Times New Roman" w:hAnsi="Times New Roman" w:cs="Times New Roman"/>
        </w:rPr>
        <w:t xml:space="preserve">Adopting ICL reform for all Australian VET and </w:t>
      </w:r>
      <w:r w:rsidR="00F93B06">
        <w:rPr>
          <w:rFonts w:ascii="Times New Roman" w:hAnsi="Times New Roman" w:cs="Times New Roman"/>
        </w:rPr>
        <w:t xml:space="preserve">if such a reform </w:t>
      </w:r>
      <w:r>
        <w:rPr>
          <w:rFonts w:ascii="Times New Roman" w:hAnsi="Times New Roman" w:cs="Times New Roman"/>
        </w:rPr>
        <w:t xml:space="preserve">can be implemented in a revenue-neutral way (and that is a matter of decisions concerning charge levels and interest rate/surcharges), this change just by itself is welfare improving. Thus the case for ICL does not rest only the possibility that up-front fees without an ICL have deterred people from enrolling, although it would be even more important to introduce an ICL if this is the case. </w:t>
      </w:r>
    </w:p>
    <w:p w14:paraId="2C930599" w14:textId="77777777" w:rsidR="0028015B" w:rsidRDefault="0028015B" w:rsidP="007D1BA8">
      <w:pPr>
        <w:spacing w:line="276" w:lineRule="auto"/>
        <w:jc w:val="both"/>
        <w:rPr>
          <w:rFonts w:ascii="Times New Roman" w:hAnsi="Times New Roman" w:cs="Times New Roman"/>
        </w:rPr>
      </w:pPr>
    </w:p>
    <w:p w14:paraId="1F4A920E" w14:textId="1E4C8B86" w:rsidR="0028015B" w:rsidRDefault="0028015B" w:rsidP="007D1BA8">
      <w:pPr>
        <w:spacing w:line="276" w:lineRule="auto"/>
        <w:jc w:val="both"/>
        <w:rPr>
          <w:rFonts w:ascii="Times New Roman" w:hAnsi="Times New Roman" w:cs="Times New Roman"/>
        </w:rPr>
      </w:pPr>
      <w:r>
        <w:rPr>
          <w:rFonts w:ascii="Times New Roman" w:hAnsi="Times New Roman" w:cs="Times New Roman"/>
        </w:rPr>
        <w:t>It is worth stressing that to the extent that ICL facilitates participation, once in place they allow the imposition of charges where they are currently none, and higher tuition levels than</w:t>
      </w:r>
      <w:r w:rsidR="00F93B06">
        <w:rPr>
          <w:rFonts w:ascii="Times New Roman" w:hAnsi="Times New Roman" w:cs="Times New Roman"/>
        </w:rPr>
        <w:t xml:space="preserve"> the </w:t>
      </w:r>
      <w:r>
        <w:rPr>
          <w:rFonts w:ascii="Times New Roman" w:hAnsi="Times New Roman" w:cs="Times New Roman"/>
        </w:rPr>
        <w:t xml:space="preserve">low priced and/or concessional charged courses. This would then mean that the costs to the public sector of an expanded VET system would be lower than previously. Critically, </w:t>
      </w:r>
      <w:r w:rsidR="00F93B06">
        <w:rPr>
          <w:rFonts w:ascii="Times New Roman" w:hAnsi="Times New Roman" w:cs="Times New Roman"/>
        </w:rPr>
        <w:t xml:space="preserve">as stressed, </w:t>
      </w:r>
      <w:r>
        <w:rPr>
          <w:rFonts w:ascii="Times New Roman" w:hAnsi="Times New Roman" w:cs="Times New Roman"/>
        </w:rPr>
        <w:t>bigger tertiary education systems have been seen to be the most important feature of post-compulsory education with respect to the access of the disadvantaged.</w:t>
      </w:r>
    </w:p>
    <w:p w14:paraId="6DC5FF9A" w14:textId="77777777" w:rsidR="007D1BA8" w:rsidRDefault="007D1BA8" w:rsidP="007D1BA8">
      <w:pPr>
        <w:spacing w:line="276" w:lineRule="auto"/>
        <w:jc w:val="both"/>
        <w:rPr>
          <w:rFonts w:ascii="Times New Roman" w:hAnsi="Times New Roman" w:cs="Times New Roman"/>
        </w:rPr>
      </w:pPr>
    </w:p>
    <w:p w14:paraId="50CEF0CE" w14:textId="59A0D5FC" w:rsidR="007D1BA8" w:rsidRDefault="007D1BA8" w:rsidP="000821AE">
      <w:pPr>
        <w:spacing w:line="276" w:lineRule="auto"/>
        <w:jc w:val="both"/>
        <w:rPr>
          <w:rFonts w:ascii="Times New Roman" w:hAnsi="Times New Roman" w:cs="Times New Roman"/>
        </w:rPr>
      </w:pPr>
      <w:r>
        <w:rPr>
          <w:rFonts w:ascii="Times New Roman" w:hAnsi="Times New Roman" w:cs="Times New Roman"/>
        </w:rPr>
        <w:t xml:space="preserve">A general point about ICL is that the instrument has great potential to improve government financing options in many different areas, simply because of consumption-smoothing. It has to come from government for two reasons: only government has the legal jurisdiction to know </w:t>
      </w:r>
      <w:r>
        <w:rPr>
          <w:rFonts w:ascii="Times New Roman" w:hAnsi="Times New Roman" w:cs="Times New Roman"/>
        </w:rPr>
        <w:lastRenderedPageBreak/>
        <w:t>what citizens’ incomes (and business’ revenue) is; and, through the pervasive presence of the tax office the institutional machinery is able to collect ICL almost without cost.</w:t>
      </w:r>
    </w:p>
    <w:p w14:paraId="722EAF22" w14:textId="77777777" w:rsidR="001D3894" w:rsidRDefault="001D3894" w:rsidP="000821AE">
      <w:pPr>
        <w:spacing w:line="276" w:lineRule="auto"/>
        <w:jc w:val="both"/>
        <w:rPr>
          <w:rFonts w:ascii="Times New Roman" w:hAnsi="Times New Roman" w:cs="Times New Roman"/>
        </w:rPr>
      </w:pPr>
    </w:p>
    <w:p w14:paraId="0401A650" w14:textId="77777777" w:rsidR="001D3894" w:rsidRPr="004E0AB7" w:rsidRDefault="001D3894" w:rsidP="000821AE">
      <w:pPr>
        <w:spacing w:line="276" w:lineRule="auto"/>
        <w:jc w:val="both"/>
        <w:rPr>
          <w:rFonts w:ascii="Times New Roman" w:hAnsi="Times New Roman" w:cs="Times New Roman"/>
        </w:rPr>
      </w:pPr>
    </w:p>
    <w:p w14:paraId="36F96936" w14:textId="53DE4FCE" w:rsidR="00396AEB" w:rsidRPr="00396AEB" w:rsidRDefault="001D3894" w:rsidP="00BC0102">
      <w:pPr>
        <w:pStyle w:val="ListParagraph"/>
        <w:numPr>
          <w:ilvl w:val="0"/>
          <w:numId w:val="8"/>
        </w:numPr>
        <w:spacing w:before="100" w:beforeAutospacing="1" w:after="100" w:afterAutospacing="1"/>
        <w:ind w:left="0" w:firstLine="0"/>
        <w:rPr>
          <w:rFonts w:ascii="Times New Roman" w:eastAsia="Times New Roman" w:hAnsi="Times New Roman" w:cs="Times New Roman"/>
          <w:bCs/>
          <w:i/>
          <w:sz w:val="28"/>
          <w:szCs w:val="28"/>
          <w:lang w:eastAsia="en-GB"/>
        </w:rPr>
      </w:pPr>
      <w:r>
        <w:rPr>
          <w:rFonts w:ascii="Times New Roman" w:eastAsia="Times New Roman" w:hAnsi="Times New Roman" w:cs="Times New Roman"/>
          <w:bCs/>
          <w:i/>
          <w:sz w:val="28"/>
          <w:szCs w:val="28"/>
          <w:lang w:eastAsia="en-GB"/>
        </w:rPr>
        <w:t>The Complex Issue of Fee D</w:t>
      </w:r>
      <w:r w:rsidR="00396AEB" w:rsidRPr="00396AEB">
        <w:rPr>
          <w:rFonts w:ascii="Times New Roman" w:eastAsia="Times New Roman" w:hAnsi="Times New Roman" w:cs="Times New Roman"/>
          <w:bCs/>
          <w:i/>
          <w:sz w:val="28"/>
          <w:szCs w:val="28"/>
          <w:lang w:eastAsia="en-GB"/>
        </w:rPr>
        <w:t xml:space="preserve">eregulation under an ICL </w:t>
      </w:r>
    </w:p>
    <w:p w14:paraId="19461EDA" w14:textId="4259B6E9" w:rsidR="00396AEB" w:rsidRPr="00BF0505" w:rsidRDefault="00BC0102" w:rsidP="00396AEB">
      <w:pPr>
        <w:spacing w:before="100" w:beforeAutospacing="1" w:after="100" w:afterAutospacing="1"/>
        <w:ind w:left="360"/>
        <w:rPr>
          <w:rFonts w:ascii="Times New Roman,Italic" w:eastAsia="Times New Roman" w:hAnsi="Times New Roman,Italic" w:cs="Times New Roman"/>
          <w:i/>
          <w:iCs/>
          <w:lang w:eastAsia="en-GB"/>
        </w:rPr>
      </w:pPr>
      <w:r>
        <w:rPr>
          <w:rFonts w:ascii="Times New Roman,Italic" w:eastAsia="Times New Roman" w:hAnsi="Times New Roman,Italic" w:cs="Times New Roman"/>
          <w:i/>
          <w:iCs/>
          <w:lang w:eastAsia="en-GB"/>
        </w:rPr>
        <w:t xml:space="preserve">7 </w:t>
      </w:r>
      <w:r w:rsidR="00396AEB" w:rsidRPr="00BF0505">
        <w:rPr>
          <w:rFonts w:ascii="Times New Roman,Italic" w:eastAsia="Times New Roman" w:hAnsi="Times New Roman,Italic" w:cs="Times New Roman"/>
          <w:i/>
          <w:iCs/>
          <w:lang w:eastAsia="en-GB"/>
        </w:rPr>
        <w:t xml:space="preserve">(i) In </w:t>
      </w:r>
      <w:r w:rsidR="00396AEB" w:rsidRPr="000821AE">
        <w:rPr>
          <w:rFonts w:ascii="Times New Roman" w:eastAsia="Times New Roman" w:hAnsi="Times New Roman" w:cs="Times New Roman"/>
          <w:i/>
          <w:iCs/>
          <w:lang w:eastAsia="en-GB"/>
        </w:rPr>
        <w:t>theory</w:t>
      </w:r>
      <w:r w:rsidR="00396AEB" w:rsidRPr="00BF0505">
        <w:rPr>
          <w:rFonts w:ascii="Times New Roman,Italic" w:eastAsia="Times New Roman" w:hAnsi="Times New Roman,Italic" w:cs="Times New Roman"/>
          <w:i/>
          <w:iCs/>
          <w:lang w:eastAsia="en-GB"/>
        </w:rPr>
        <w:t xml:space="preserve"> </w:t>
      </w:r>
    </w:p>
    <w:p w14:paraId="321A49B1" w14:textId="0E42FBC7" w:rsidR="00396AEB" w:rsidRPr="00BF0505" w:rsidRDefault="00396AEB" w:rsidP="001D3894">
      <w:pPr>
        <w:spacing w:before="100" w:beforeAutospacing="1" w:after="100" w:afterAutospacing="1" w:line="276" w:lineRule="auto"/>
        <w:jc w:val="both"/>
        <w:rPr>
          <w:rFonts w:ascii="Times New Roman" w:eastAsia="Times New Roman" w:hAnsi="Times New Roman" w:cs="Times New Roman"/>
          <w:lang w:eastAsia="en-GB"/>
        </w:rPr>
      </w:pPr>
      <w:r w:rsidRPr="00BF0505">
        <w:rPr>
          <w:rFonts w:ascii="Times New Roman" w:eastAsia="Times New Roman" w:hAnsi="Times New Roman" w:cs="Times New Roman"/>
          <w:lang w:eastAsia="en-GB"/>
        </w:rPr>
        <w:t xml:space="preserve">There are several important reasons for believing that full fee deregulation in the Australian </w:t>
      </w:r>
      <w:r w:rsidR="003B01B9">
        <w:rPr>
          <w:rFonts w:ascii="Times New Roman" w:eastAsia="Times New Roman" w:hAnsi="Times New Roman" w:cs="Times New Roman"/>
          <w:lang w:eastAsia="en-GB"/>
        </w:rPr>
        <w:t xml:space="preserve">tertiary education </w:t>
      </w:r>
      <w:r w:rsidRPr="00BF0505">
        <w:rPr>
          <w:rFonts w:ascii="Times New Roman" w:eastAsia="Times New Roman" w:hAnsi="Times New Roman" w:cs="Times New Roman"/>
          <w:lang w:eastAsia="en-GB"/>
        </w:rPr>
        <w:t>institutional and policy context would potential lead, eventually, to very high course prices (and thus debts</w:t>
      </w:r>
      <w:r w:rsidR="00F957E7">
        <w:rPr>
          <w:rFonts w:ascii="Times New Roman" w:eastAsia="Times New Roman" w:hAnsi="Times New Roman" w:cs="Times New Roman"/>
          <w:lang w:eastAsia="en-GB"/>
        </w:rPr>
        <w:t xml:space="preserve"> for many</w:t>
      </w:r>
      <w:r w:rsidRPr="00BF0505">
        <w:rPr>
          <w:rFonts w:ascii="Times New Roman" w:eastAsia="Times New Roman" w:hAnsi="Times New Roman" w:cs="Times New Roman"/>
          <w:lang w:eastAsia="en-GB"/>
        </w:rPr>
        <w:t xml:space="preserve">) for students in some </w:t>
      </w:r>
      <w:r>
        <w:rPr>
          <w:rFonts w:ascii="Times New Roman" w:eastAsia="Times New Roman" w:hAnsi="Times New Roman" w:cs="Times New Roman"/>
          <w:lang w:eastAsia="en-GB"/>
        </w:rPr>
        <w:t>- perhaps many</w:t>
      </w:r>
      <w:r w:rsidR="005C29FD">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 xml:space="preserve">- areas of tertiary </w:t>
      </w:r>
      <w:r w:rsidRPr="00BF0505">
        <w:rPr>
          <w:rFonts w:ascii="Times New Roman" w:eastAsia="Times New Roman" w:hAnsi="Times New Roman" w:cs="Times New Roman"/>
          <w:lang w:eastAsia="en-GB"/>
        </w:rPr>
        <w:t xml:space="preserve">education. The bases of this claim from a theoretical point of view are: </w:t>
      </w:r>
    </w:p>
    <w:p w14:paraId="3589E37E" w14:textId="23986C65" w:rsidR="00396AEB" w:rsidRDefault="003B01B9" w:rsidP="001D3894">
      <w:pPr>
        <w:pStyle w:val="ListParagraph"/>
        <w:numPr>
          <w:ilvl w:val="0"/>
          <w:numId w:val="3"/>
        </w:numPr>
        <w:spacing w:before="100" w:beforeAutospacing="1" w:after="100" w:afterAutospacing="1"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Because the collection of HELP</w:t>
      </w:r>
      <w:r w:rsidR="00396AEB" w:rsidRPr="00BF0505">
        <w:rPr>
          <w:rFonts w:ascii="Times New Roman" w:eastAsia="Times New Roman" w:hAnsi="Times New Roman" w:cs="Times New Roman"/>
          <w:lang w:eastAsia="en-GB"/>
        </w:rPr>
        <w:t xml:space="preserve"> debt is conditioned by capacity to pay, the system provides insurance against the potential adverse consequ</w:t>
      </w:r>
      <w:r>
        <w:rPr>
          <w:rFonts w:ascii="Times New Roman" w:eastAsia="Times New Roman" w:hAnsi="Times New Roman" w:cs="Times New Roman"/>
          <w:lang w:eastAsia="en-GB"/>
        </w:rPr>
        <w:t>ences of normal loans. With HELP</w:t>
      </w:r>
      <w:r w:rsidR="00396AEB" w:rsidRPr="00BF0505">
        <w:rPr>
          <w:rFonts w:ascii="Times New Roman" w:eastAsia="Times New Roman" w:hAnsi="Times New Roman" w:cs="Times New Roman"/>
          <w:lang w:eastAsia="en-GB"/>
        </w:rPr>
        <w:t xml:space="preserve"> there is no prospect of default through debtors/graduates experiencing low incomes, and there will not be repayment difficulties in any future period, because no repayments are require</w:t>
      </w:r>
      <w:r>
        <w:rPr>
          <w:rFonts w:ascii="Times New Roman" w:eastAsia="Times New Roman" w:hAnsi="Times New Roman" w:cs="Times New Roman"/>
          <w:lang w:eastAsia="en-GB"/>
        </w:rPr>
        <w:t>d below a threshold of about $47</w:t>
      </w:r>
      <w:r w:rsidR="00396AEB" w:rsidRPr="00BF0505">
        <w:rPr>
          <w:rFonts w:ascii="Times New Roman" w:eastAsia="Times New Roman" w:hAnsi="Times New Roman" w:cs="Times New Roman"/>
          <w:lang w:eastAsia="en-GB"/>
        </w:rPr>
        <w:t>,000 per annu</w:t>
      </w:r>
      <w:r>
        <w:rPr>
          <w:rFonts w:ascii="Times New Roman" w:eastAsia="Times New Roman" w:hAnsi="Times New Roman" w:cs="Times New Roman"/>
          <w:lang w:eastAsia="en-GB"/>
        </w:rPr>
        <w:t>m (in current dollars) and, by regulation, repayments can never exceed 10</w:t>
      </w:r>
      <w:r w:rsidR="00396AEB" w:rsidRPr="00BF0505">
        <w:rPr>
          <w:rFonts w:ascii="Times New Roman" w:eastAsia="Times New Roman" w:hAnsi="Times New Roman" w:cs="Times New Roman"/>
          <w:lang w:eastAsia="en-GB"/>
        </w:rPr>
        <w:t xml:space="preserve"> per cent of annual incomes. Thus institutions </w:t>
      </w:r>
      <w:r w:rsidR="001E5EB9">
        <w:rPr>
          <w:rFonts w:ascii="Times New Roman" w:eastAsia="Times New Roman" w:hAnsi="Times New Roman" w:cs="Times New Roman"/>
          <w:lang w:eastAsia="en-GB"/>
        </w:rPr>
        <w:t xml:space="preserve">including private providers </w:t>
      </w:r>
      <w:r w:rsidR="00396AEB" w:rsidRPr="00BF0505">
        <w:rPr>
          <w:rFonts w:ascii="Times New Roman" w:eastAsia="Times New Roman" w:hAnsi="Times New Roman" w:cs="Times New Roman"/>
          <w:lang w:eastAsia="en-GB"/>
        </w:rPr>
        <w:t xml:space="preserve">can raise prices, and students can commit to debt repayment, without concerns about there being debilitating future circumstances for borrowers; </w:t>
      </w:r>
    </w:p>
    <w:p w14:paraId="05E92A99" w14:textId="77777777" w:rsidR="00396AEB" w:rsidRDefault="00396AEB" w:rsidP="00396AEB">
      <w:pPr>
        <w:pStyle w:val="ListParagraph"/>
        <w:spacing w:before="100" w:beforeAutospacing="1" w:after="100" w:afterAutospacing="1"/>
        <w:rPr>
          <w:rFonts w:ascii="Times New Roman" w:eastAsia="Times New Roman" w:hAnsi="Times New Roman" w:cs="Times New Roman"/>
          <w:lang w:eastAsia="en-GB"/>
        </w:rPr>
      </w:pPr>
    </w:p>
    <w:p w14:paraId="5D13F08B" w14:textId="588B56DD" w:rsidR="00396AEB" w:rsidRDefault="00396AEB" w:rsidP="001D3894">
      <w:pPr>
        <w:pStyle w:val="ListParagraph"/>
        <w:numPr>
          <w:ilvl w:val="0"/>
          <w:numId w:val="3"/>
        </w:numPr>
        <w:spacing w:before="100" w:beforeAutospacing="1" w:after="100" w:afterAutospacing="1"/>
        <w:jc w:val="both"/>
        <w:rPr>
          <w:rFonts w:ascii="Times New Roman" w:eastAsia="Times New Roman" w:hAnsi="Times New Roman" w:cs="Times New Roman"/>
          <w:lang w:eastAsia="en-GB"/>
        </w:rPr>
      </w:pPr>
      <w:r w:rsidRPr="00BF0505">
        <w:rPr>
          <w:rFonts w:ascii="Times New Roman" w:eastAsia="Times New Roman" w:hAnsi="Times New Roman" w:cs="Times New Roman"/>
          <w:lang w:eastAsia="en-GB"/>
        </w:rPr>
        <w:t xml:space="preserve">In markets with poor information, such as with respect to the </w:t>
      </w:r>
      <w:r w:rsidR="00F93B06">
        <w:rPr>
          <w:rFonts w:ascii="Times New Roman" w:eastAsia="Times New Roman" w:hAnsi="Times New Roman" w:cs="Times New Roman"/>
          <w:lang w:eastAsia="en-GB"/>
        </w:rPr>
        <w:t>relative quality of tertiary education</w:t>
      </w:r>
      <w:r w:rsidRPr="00BF0505">
        <w:rPr>
          <w:rFonts w:ascii="Times New Roman" w:eastAsia="Times New Roman" w:hAnsi="Times New Roman" w:cs="Times New Roman"/>
          <w:lang w:eastAsia="en-GB"/>
        </w:rPr>
        <w:t>, the established institutions will likely avoid having low prices compared to their close competitors because doing so can be taken as an indicator of poor quality. This concept is known in the economics literature as a "Veblen good", and is well</w:t>
      </w:r>
      <w:r w:rsidR="00CD4BB0">
        <w:rPr>
          <w:rFonts w:ascii="Times New Roman" w:eastAsia="Times New Roman" w:hAnsi="Times New Roman" w:cs="Times New Roman"/>
          <w:lang w:eastAsia="en-GB"/>
        </w:rPr>
        <w:t xml:space="preserve"> known and documented in tertiary </w:t>
      </w:r>
      <w:r w:rsidRPr="00BF0505">
        <w:rPr>
          <w:rFonts w:ascii="Times New Roman" w:eastAsia="Times New Roman" w:hAnsi="Times New Roman" w:cs="Times New Roman"/>
          <w:lang w:eastAsia="en-GB"/>
        </w:rPr>
        <w:t xml:space="preserve">education world-wide; </w:t>
      </w:r>
    </w:p>
    <w:p w14:paraId="60FFF0D7" w14:textId="77777777" w:rsidR="00396AEB" w:rsidRPr="00BF0505" w:rsidRDefault="00396AEB" w:rsidP="00396AEB">
      <w:pPr>
        <w:pStyle w:val="ListParagraph"/>
        <w:rPr>
          <w:rFonts w:ascii="Times New Roman" w:eastAsia="Times New Roman" w:hAnsi="Times New Roman" w:cs="Times New Roman"/>
          <w:lang w:eastAsia="en-GB"/>
        </w:rPr>
      </w:pPr>
    </w:p>
    <w:p w14:paraId="55C75AF8" w14:textId="03C1D5AF" w:rsidR="00396AEB" w:rsidRDefault="00396AEB" w:rsidP="001D3894">
      <w:pPr>
        <w:pStyle w:val="ListParagraph"/>
        <w:numPr>
          <w:ilvl w:val="0"/>
          <w:numId w:val="3"/>
        </w:numPr>
        <w:spacing w:before="100" w:beforeAutospacing="1" w:after="100" w:afterAutospacing="1"/>
        <w:jc w:val="both"/>
        <w:rPr>
          <w:rFonts w:ascii="Times New Roman" w:eastAsia="Times New Roman" w:hAnsi="Times New Roman" w:cs="Times New Roman"/>
          <w:lang w:eastAsia="en-GB"/>
        </w:rPr>
      </w:pPr>
      <w:r w:rsidRPr="00BF0505">
        <w:rPr>
          <w:rFonts w:ascii="Times New Roman" w:eastAsia="Times New Roman" w:hAnsi="Times New Roman" w:cs="Times New Roman"/>
          <w:lang w:eastAsia="en-GB"/>
        </w:rPr>
        <w:t>Australians wishing to</w:t>
      </w:r>
      <w:r w:rsidR="001D3894">
        <w:rPr>
          <w:rFonts w:ascii="Times New Roman" w:eastAsia="Times New Roman" w:hAnsi="Times New Roman" w:cs="Times New Roman"/>
          <w:lang w:eastAsia="en-GB"/>
        </w:rPr>
        <w:t xml:space="preserve"> undertake tertiary education</w:t>
      </w:r>
      <w:r w:rsidRPr="00BF0505">
        <w:rPr>
          <w:rFonts w:ascii="Times New Roman" w:eastAsia="Times New Roman" w:hAnsi="Times New Roman" w:cs="Times New Roman"/>
          <w:lang w:eastAsia="en-GB"/>
        </w:rPr>
        <w:t xml:space="preserve"> face a difficult situation in the sense that there are no viable/inexpensive </w:t>
      </w:r>
      <w:r w:rsidR="001D3894">
        <w:rPr>
          <w:rFonts w:ascii="Times New Roman" w:eastAsia="Times New Roman" w:hAnsi="Times New Roman" w:cs="Times New Roman"/>
          <w:lang w:eastAsia="en-GB"/>
        </w:rPr>
        <w:t xml:space="preserve">alternative </w:t>
      </w:r>
      <w:r w:rsidRPr="00BF0505">
        <w:rPr>
          <w:rFonts w:ascii="Times New Roman" w:eastAsia="Times New Roman" w:hAnsi="Times New Roman" w:cs="Times New Roman"/>
          <w:lang w:eastAsia="en-GB"/>
        </w:rPr>
        <w:t xml:space="preserve">options available, such as studying overseas; and </w:t>
      </w:r>
    </w:p>
    <w:p w14:paraId="5BF9C764" w14:textId="77777777" w:rsidR="00396AEB" w:rsidRPr="00BF0505" w:rsidRDefault="00396AEB" w:rsidP="00396AEB">
      <w:pPr>
        <w:pStyle w:val="ListParagraph"/>
        <w:rPr>
          <w:rFonts w:ascii="Times New Roman" w:eastAsia="Times New Roman" w:hAnsi="Times New Roman" w:cs="Times New Roman"/>
          <w:lang w:eastAsia="en-GB"/>
        </w:rPr>
      </w:pPr>
    </w:p>
    <w:p w14:paraId="1863255E" w14:textId="5D6C7D28" w:rsidR="00396AEB" w:rsidRPr="00BF0505" w:rsidRDefault="003B01B9" w:rsidP="00CD4BB0">
      <w:pPr>
        <w:pStyle w:val="ListParagraph"/>
        <w:numPr>
          <w:ilvl w:val="0"/>
          <w:numId w:val="3"/>
        </w:numPr>
        <w:spacing w:before="100" w:beforeAutospacing="1" w:after="100" w:afterAutospacing="1"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In the presence of an ICL</w:t>
      </w:r>
      <w:r w:rsidR="00396AEB" w:rsidRPr="00BF0505">
        <w:rPr>
          <w:rFonts w:ascii="Times New Roman" w:eastAsia="Times New Roman" w:hAnsi="Times New Roman" w:cs="Times New Roman"/>
          <w:lang w:eastAsia="en-GB"/>
        </w:rPr>
        <w:t xml:space="preserve">, and with a real interest rate subsidy on the loan, the true price differences faced by students undertaking debt will be far less than they appear to be on paper. This is because higher prices simply add to the time taken to repay </w:t>
      </w:r>
      <w:r>
        <w:rPr>
          <w:rFonts w:ascii="Times New Roman" w:eastAsia="Times New Roman" w:hAnsi="Times New Roman" w:cs="Times New Roman"/>
          <w:lang w:eastAsia="en-GB"/>
        </w:rPr>
        <w:t>the debt</w:t>
      </w:r>
      <w:r w:rsidR="00396AEB" w:rsidRPr="00BF0505">
        <w:rPr>
          <w:rFonts w:ascii="Times New Roman" w:eastAsia="Times New Roman" w:hAnsi="Times New Roman" w:cs="Times New Roman"/>
          <w:lang w:eastAsia="en-GB"/>
        </w:rPr>
        <w:t>, given that the rules mean there can be no higher loan repayments per period of the debt. Thus the consequences of higher prices take effect not at the time of enrolment but</w:t>
      </w:r>
      <w:r w:rsidR="001D3894">
        <w:rPr>
          <w:rFonts w:ascii="Times New Roman" w:eastAsia="Times New Roman" w:hAnsi="Times New Roman" w:cs="Times New Roman"/>
          <w:lang w:eastAsia="en-GB"/>
        </w:rPr>
        <w:t xml:space="preserve"> a fair way</w:t>
      </w:r>
      <w:r w:rsidR="00396AEB" w:rsidRPr="00BF0505">
        <w:rPr>
          <w:rFonts w:ascii="Times New Roman" w:eastAsia="Times New Roman" w:hAnsi="Times New Roman" w:cs="Times New Roman"/>
          <w:lang w:eastAsia="en-GB"/>
        </w:rPr>
        <w:t xml:space="preserve"> in</w:t>
      </w:r>
      <w:r w:rsidR="001D3894">
        <w:rPr>
          <w:rFonts w:ascii="Times New Roman" w:eastAsia="Times New Roman" w:hAnsi="Times New Roman" w:cs="Times New Roman"/>
          <w:lang w:eastAsia="en-GB"/>
        </w:rPr>
        <w:t xml:space="preserve"> the future</w:t>
      </w:r>
      <w:r w:rsidR="00396AEB" w:rsidRPr="00BF0505">
        <w:rPr>
          <w:rFonts w:ascii="Times New Roman" w:eastAsia="Times New Roman" w:hAnsi="Times New Roman" w:cs="Times New Roman"/>
          <w:lang w:eastAsia="en-GB"/>
        </w:rPr>
        <w:t>, meaning that price differences will be heavily discounted by prospective students in the</w:t>
      </w:r>
      <w:r w:rsidR="001D3894">
        <w:rPr>
          <w:rFonts w:ascii="Times New Roman" w:eastAsia="Times New Roman" w:hAnsi="Times New Roman" w:cs="Times New Roman"/>
          <w:lang w:eastAsia="en-GB"/>
        </w:rPr>
        <w:t>ir choices between institutions; again this importantly mitigates the prospects of there being meaningful and effective price competition.</w:t>
      </w:r>
      <w:r w:rsidR="00396AEB" w:rsidRPr="00BF0505">
        <w:rPr>
          <w:rFonts w:ascii="Times New Roman" w:eastAsia="Times New Roman" w:hAnsi="Times New Roman" w:cs="Times New Roman"/>
          <w:lang w:eastAsia="en-GB"/>
        </w:rPr>
        <w:t xml:space="preserve"> </w:t>
      </w:r>
    </w:p>
    <w:p w14:paraId="2E9D390D" w14:textId="62CDCEB6" w:rsidR="00396AEB" w:rsidRPr="00BF0505" w:rsidRDefault="00396AEB" w:rsidP="00CD4BB0">
      <w:pPr>
        <w:spacing w:before="100" w:beforeAutospacing="1" w:after="100" w:afterAutospacing="1" w:line="276" w:lineRule="auto"/>
        <w:jc w:val="both"/>
        <w:rPr>
          <w:rFonts w:ascii="Times New Roman" w:eastAsia="Times New Roman" w:hAnsi="Times New Roman" w:cs="Times New Roman"/>
          <w:lang w:eastAsia="en-GB"/>
        </w:rPr>
      </w:pPr>
      <w:r w:rsidRPr="00BF0505">
        <w:rPr>
          <w:rFonts w:ascii="Times New Roman" w:eastAsia="Times New Roman" w:hAnsi="Times New Roman" w:cs="Times New Roman"/>
          <w:lang w:eastAsia="en-GB"/>
        </w:rPr>
        <w:t>It follows from the above that so-calle</w:t>
      </w:r>
      <w:r w:rsidR="003B01B9">
        <w:rPr>
          <w:rFonts w:ascii="Times New Roman" w:eastAsia="Times New Roman" w:hAnsi="Times New Roman" w:cs="Times New Roman"/>
          <w:lang w:eastAsia="en-GB"/>
        </w:rPr>
        <w:t>d "price competition" under an ICL like HELP</w:t>
      </w:r>
      <w:r w:rsidRPr="00BF0505">
        <w:rPr>
          <w:rFonts w:ascii="Times New Roman" w:eastAsia="Times New Roman" w:hAnsi="Times New Roman" w:cs="Times New Roman"/>
          <w:lang w:eastAsia="en-GB"/>
        </w:rPr>
        <w:t xml:space="preserve">, while it will exist, will be quite muted. Indeed, this was the basis for the original idea of HECS, which was to limit the discouragement effects of charges and to not have important and adverse effects </w:t>
      </w:r>
      <w:r w:rsidRPr="00BF0505">
        <w:rPr>
          <w:rFonts w:ascii="Times New Roman" w:eastAsia="Times New Roman" w:hAnsi="Times New Roman" w:cs="Times New Roman"/>
          <w:lang w:eastAsia="en-GB"/>
        </w:rPr>
        <w:lastRenderedPageBreak/>
        <w:t xml:space="preserve">on the participation decisions of prospective students (particularly those from poor backgrounds). </w:t>
      </w:r>
    </w:p>
    <w:p w14:paraId="60A28083" w14:textId="2F1D8F34" w:rsidR="00396AEB" w:rsidRPr="00BF0505" w:rsidRDefault="00BC0102" w:rsidP="00396AEB">
      <w:pPr>
        <w:spacing w:before="100" w:beforeAutospacing="1" w:after="100" w:afterAutospacing="1"/>
        <w:ind w:firstLine="720"/>
        <w:rPr>
          <w:rFonts w:ascii="Times New Roman" w:eastAsia="Times New Roman" w:hAnsi="Times New Roman" w:cs="Times New Roman"/>
          <w:i/>
          <w:iCs/>
          <w:lang w:eastAsia="en-GB"/>
        </w:rPr>
      </w:pPr>
      <w:r>
        <w:rPr>
          <w:rFonts w:ascii="Times New Roman,Italic" w:eastAsia="Times New Roman" w:hAnsi="Times New Roman,Italic" w:cs="Times New Roman"/>
          <w:i/>
          <w:iCs/>
          <w:lang w:eastAsia="en-GB"/>
        </w:rPr>
        <w:t xml:space="preserve">7.2 </w:t>
      </w:r>
      <w:r w:rsidR="00396AEB" w:rsidRPr="00BF0505">
        <w:rPr>
          <w:rFonts w:ascii="Times New Roman,Italic" w:eastAsia="Times New Roman" w:hAnsi="Times New Roman,Italic" w:cs="Times New Roman"/>
          <w:i/>
          <w:iCs/>
          <w:lang w:eastAsia="en-GB"/>
        </w:rPr>
        <w:t xml:space="preserve">(ii) Evidence </w:t>
      </w:r>
    </w:p>
    <w:p w14:paraId="552904CB" w14:textId="5A59C83A" w:rsidR="00396AEB" w:rsidRPr="00BF0505" w:rsidRDefault="00396AEB" w:rsidP="00F93B06">
      <w:pPr>
        <w:spacing w:before="100" w:beforeAutospacing="1" w:after="100" w:afterAutospacing="1"/>
        <w:jc w:val="both"/>
        <w:rPr>
          <w:rFonts w:ascii="Times New Roman" w:eastAsia="Times New Roman" w:hAnsi="Times New Roman" w:cs="Times New Roman"/>
          <w:lang w:eastAsia="en-GB"/>
        </w:rPr>
      </w:pPr>
      <w:r w:rsidRPr="00BF0505">
        <w:rPr>
          <w:rFonts w:ascii="Times New Roman" w:eastAsia="Times New Roman" w:hAnsi="Times New Roman" w:cs="Times New Roman"/>
          <w:lang w:eastAsia="en-GB"/>
        </w:rPr>
        <w:t>There is now considerable available concerning hi</w:t>
      </w:r>
      <w:r w:rsidR="00F93B06">
        <w:rPr>
          <w:rFonts w:ascii="Times New Roman" w:eastAsia="Times New Roman" w:hAnsi="Times New Roman" w:cs="Times New Roman"/>
          <w:lang w:eastAsia="en-GB"/>
        </w:rPr>
        <w:t xml:space="preserve">gher education price-setting in </w:t>
      </w:r>
      <w:r w:rsidRPr="00BF0505">
        <w:rPr>
          <w:rFonts w:ascii="Times New Roman" w:eastAsia="Times New Roman" w:hAnsi="Times New Roman" w:cs="Times New Roman"/>
          <w:lang w:eastAsia="en-GB"/>
        </w:rPr>
        <w:t xml:space="preserve">situations/countries in which there are ICL. Some of the relevant data are: </w:t>
      </w:r>
    </w:p>
    <w:p w14:paraId="21A9CC78" w14:textId="370C5EC4" w:rsidR="00396AEB" w:rsidRDefault="00396AEB" w:rsidP="001D3894">
      <w:pPr>
        <w:pStyle w:val="ListParagraph"/>
        <w:numPr>
          <w:ilvl w:val="0"/>
          <w:numId w:val="4"/>
        </w:numPr>
        <w:spacing w:before="100" w:beforeAutospacing="1" w:after="100" w:afterAutospacing="1" w:line="276" w:lineRule="auto"/>
        <w:jc w:val="both"/>
        <w:rPr>
          <w:rFonts w:ascii="Times New Roman" w:eastAsia="Times New Roman" w:hAnsi="Times New Roman" w:cs="Times New Roman"/>
          <w:lang w:eastAsia="en-GB"/>
        </w:rPr>
      </w:pPr>
      <w:r w:rsidRPr="00BF0505">
        <w:rPr>
          <w:rFonts w:ascii="Times New Roman" w:eastAsia="Times New Roman" w:hAnsi="Times New Roman" w:cs="Times New Roman"/>
          <w:lang w:eastAsia="en-GB"/>
        </w:rPr>
        <w:t>In Australia when HECS was introduced in 1989, the charge increased from e</w:t>
      </w:r>
      <w:r w:rsidR="003B01B9">
        <w:rPr>
          <w:rFonts w:ascii="Times New Roman" w:eastAsia="Times New Roman" w:hAnsi="Times New Roman" w:cs="Times New Roman"/>
          <w:lang w:eastAsia="en-GB"/>
        </w:rPr>
        <w:t>ffectively zero to around $(2020) 3,5</w:t>
      </w:r>
      <w:r w:rsidRPr="00BF0505">
        <w:rPr>
          <w:rFonts w:ascii="Times New Roman" w:eastAsia="Times New Roman" w:hAnsi="Times New Roman" w:cs="Times New Roman"/>
          <w:lang w:eastAsia="en-GB"/>
        </w:rPr>
        <w:t>00 a year, but there were no consequences for demand. Enrolments actually increased after HECS was instituted</w:t>
      </w:r>
      <w:r w:rsidR="003B01B9">
        <w:rPr>
          <w:rFonts w:ascii="Times New Roman" w:eastAsia="Times New Roman" w:hAnsi="Times New Roman" w:cs="Times New Roman"/>
          <w:lang w:eastAsia="en-GB"/>
        </w:rPr>
        <w:t>, because the government used the promise of higher revenue to expand the number of student places</w:t>
      </w:r>
      <w:r w:rsidRPr="00BF0505">
        <w:rPr>
          <w:rFonts w:ascii="Times New Roman" w:eastAsia="Times New Roman" w:hAnsi="Times New Roman" w:cs="Times New Roman"/>
          <w:lang w:eastAsia="en-GB"/>
        </w:rPr>
        <w:t xml:space="preserve">; </w:t>
      </w:r>
    </w:p>
    <w:p w14:paraId="0A15E094" w14:textId="77777777" w:rsidR="00396AEB" w:rsidRDefault="00396AEB" w:rsidP="00396AEB">
      <w:pPr>
        <w:pStyle w:val="ListParagraph"/>
        <w:spacing w:before="100" w:beforeAutospacing="1" w:after="100" w:afterAutospacing="1"/>
        <w:rPr>
          <w:rFonts w:ascii="Times New Roman" w:eastAsia="Times New Roman" w:hAnsi="Times New Roman" w:cs="Times New Roman"/>
          <w:lang w:eastAsia="en-GB"/>
        </w:rPr>
      </w:pPr>
    </w:p>
    <w:p w14:paraId="7BDF995D" w14:textId="78BF9992" w:rsidR="00F957E7" w:rsidRDefault="00396AEB" w:rsidP="001D3894">
      <w:pPr>
        <w:pStyle w:val="ListParagraph"/>
        <w:numPr>
          <w:ilvl w:val="0"/>
          <w:numId w:val="4"/>
        </w:numPr>
        <w:spacing w:before="100" w:beforeAutospacing="1" w:after="100" w:afterAutospacing="1" w:line="276" w:lineRule="auto"/>
        <w:jc w:val="both"/>
        <w:rPr>
          <w:rFonts w:ascii="Times New Roman" w:eastAsia="Times New Roman" w:hAnsi="Times New Roman" w:cs="Times New Roman"/>
          <w:lang w:eastAsia="en-GB"/>
        </w:rPr>
      </w:pPr>
      <w:r w:rsidRPr="00BF0505">
        <w:rPr>
          <w:rFonts w:ascii="Times New Roman" w:eastAsia="Times New Roman" w:hAnsi="Times New Roman" w:cs="Times New Roman"/>
          <w:lang w:eastAsia="en-GB"/>
        </w:rPr>
        <w:t xml:space="preserve">When New Zealand introduced its </w:t>
      </w:r>
      <w:r w:rsidR="003B01B9">
        <w:rPr>
          <w:rFonts w:ascii="Times New Roman" w:eastAsia="Times New Roman" w:hAnsi="Times New Roman" w:cs="Times New Roman"/>
          <w:lang w:eastAsia="en-GB"/>
        </w:rPr>
        <w:t>version of HECS in 1992</w:t>
      </w:r>
      <w:r w:rsidRPr="00BF0505">
        <w:rPr>
          <w:rFonts w:ascii="Times New Roman" w:eastAsia="Times New Roman" w:hAnsi="Times New Roman" w:cs="Times New Roman"/>
          <w:lang w:eastAsia="en-GB"/>
        </w:rPr>
        <w:t xml:space="preserve">, universities were allowed to set whatever prices they wanted to, but the government chose to impose price caps after about 8 years because the charges had increased substantially, by at least 300 per cent at minimum for Arts, and much more in other areas; </w:t>
      </w:r>
      <w:r w:rsidR="001D3894">
        <w:rPr>
          <w:rFonts w:ascii="Times New Roman" w:eastAsia="Times New Roman" w:hAnsi="Times New Roman" w:cs="Times New Roman"/>
          <w:lang w:eastAsia="en-GB"/>
        </w:rPr>
        <w:t>and</w:t>
      </w:r>
    </w:p>
    <w:p w14:paraId="52FCA982" w14:textId="77777777" w:rsidR="00F957E7" w:rsidRPr="00F957E7" w:rsidRDefault="00F957E7" w:rsidP="00F957E7">
      <w:pPr>
        <w:pStyle w:val="ListParagraph"/>
        <w:spacing w:before="100" w:beforeAutospacing="1" w:after="100" w:afterAutospacing="1"/>
        <w:rPr>
          <w:rFonts w:ascii="Times New Roman" w:eastAsia="Times New Roman" w:hAnsi="Times New Roman" w:cs="Times New Roman"/>
          <w:lang w:eastAsia="en-GB"/>
        </w:rPr>
      </w:pPr>
    </w:p>
    <w:p w14:paraId="3A7A6857" w14:textId="0BC00EF7" w:rsidR="00214B3F" w:rsidRPr="00214B3F" w:rsidRDefault="00396AEB" w:rsidP="001D3894">
      <w:pPr>
        <w:pStyle w:val="ListParagraph"/>
        <w:numPr>
          <w:ilvl w:val="0"/>
          <w:numId w:val="4"/>
        </w:numPr>
        <w:spacing w:before="100" w:beforeAutospacing="1" w:after="100" w:afterAutospacing="1" w:line="276" w:lineRule="auto"/>
        <w:jc w:val="both"/>
        <w:rPr>
          <w:rFonts w:ascii="Times New Roman" w:eastAsia="Times New Roman" w:hAnsi="Times New Roman" w:cs="Times New Roman"/>
          <w:lang w:eastAsia="en-GB"/>
        </w:rPr>
      </w:pPr>
      <w:r w:rsidRPr="00F957E7">
        <w:rPr>
          <w:rFonts w:ascii="Times New Roman" w:eastAsia="Times New Roman" w:hAnsi="Times New Roman" w:cs="Times New Roman"/>
          <w:lang w:eastAsia="en-GB"/>
        </w:rPr>
        <w:t xml:space="preserve">When the UK government allowed price caps to increase from </w:t>
      </w:r>
      <w:r w:rsidR="00F957E7" w:rsidRPr="00F957E7">
        <w:rPr>
          <w:rFonts w:ascii="Times New Roman" w:eastAsia="Times New Roman" w:hAnsi="Times New Roman" w:cs="Times New Roman"/>
          <w:color w:val="222222"/>
          <w:shd w:val="clear" w:color="auto" w:fill="FFFFFF"/>
        </w:rPr>
        <w:t>£</w:t>
      </w:r>
      <w:r w:rsidRPr="00F957E7">
        <w:rPr>
          <w:rFonts w:ascii="Times New Roman" w:eastAsia="Times New Roman" w:hAnsi="Times New Roman" w:cs="Times New Roman"/>
          <w:lang w:eastAsia="en-GB"/>
        </w:rPr>
        <w:t xml:space="preserve">3000 per full-time student year to </w:t>
      </w:r>
      <w:r w:rsidR="00F957E7" w:rsidRPr="00F957E7">
        <w:rPr>
          <w:rFonts w:ascii="Times New Roman" w:eastAsia="Times New Roman" w:hAnsi="Times New Roman" w:cs="Times New Roman"/>
          <w:color w:val="222222"/>
          <w:shd w:val="clear" w:color="auto" w:fill="FFFFFF"/>
        </w:rPr>
        <w:t>£</w:t>
      </w:r>
      <w:r w:rsidRPr="00F957E7">
        <w:rPr>
          <w:rFonts w:ascii="Times New Roman" w:eastAsia="Times New Roman" w:hAnsi="Times New Roman" w:cs="Times New Roman"/>
          <w:lang w:eastAsia="en-GB"/>
        </w:rPr>
        <w:t xml:space="preserve">9000 a year in 2011, about 95 per cent of the institutions put their prices to the highest level, with some of them citing the reason noted </w:t>
      </w:r>
      <w:r w:rsidR="001D3894">
        <w:rPr>
          <w:rFonts w:ascii="Times New Roman" w:eastAsia="Times New Roman" w:hAnsi="Times New Roman" w:cs="Times New Roman"/>
          <w:lang w:eastAsia="en-GB"/>
        </w:rPr>
        <w:t>above as the Veblen effect.</w:t>
      </w:r>
    </w:p>
    <w:p w14:paraId="3195A913" w14:textId="41B07E7B" w:rsidR="00396AEB" w:rsidRDefault="00F957E7" w:rsidP="00CD4BB0">
      <w:pPr>
        <w:spacing w:before="100" w:beforeAutospacing="1" w:after="100" w:afterAutospacing="1"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All of the above implies strongly that in the quest for allocative efficiency through price flexibility, there would be very high price increases in tertiary education. </w:t>
      </w:r>
      <w:r w:rsidR="001D3894">
        <w:rPr>
          <w:rFonts w:ascii="Times New Roman" w:eastAsia="Times New Roman" w:hAnsi="Times New Roman" w:cs="Times New Roman"/>
          <w:lang w:eastAsia="en-GB"/>
        </w:rPr>
        <w:t xml:space="preserve">But why does this matter? </w:t>
      </w:r>
    </w:p>
    <w:p w14:paraId="558414BE" w14:textId="31FEF329" w:rsidR="00396AEB" w:rsidRPr="00BF0505" w:rsidRDefault="00BC0102" w:rsidP="00BC0102">
      <w:pPr>
        <w:spacing w:before="100" w:beforeAutospacing="1" w:after="100" w:afterAutospacing="1" w:line="276" w:lineRule="auto"/>
        <w:ind w:firstLine="720"/>
        <w:jc w:val="both"/>
        <w:rPr>
          <w:rFonts w:ascii="Times New Roman" w:eastAsia="Times New Roman" w:hAnsi="Times New Roman" w:cs="Times New Roman"/>
          <w:i/>
          <w:iCs/>
          <w:lang w:eastAsia="en-GB"/>
        </w:rPr>
      </w:pPr>
      <w:r>
        <w:rPr>
          <w:rFonts w:ascii="Times New Roman" w:eastAsia="Times New Roman" w:hAnsi="Times New Roman" w:cs="Times New Roman"/>
          <w:lang w:eastAsia="en-GB"/>
        </w:rPr>
        <w:t xml:space="preserve">7 </w:t>
      </w:r>
      <w:r>
        <w:rPr>
          <w:rFonts w:ascii="Times New Roman,Italic" w:eastAsia="Times New Roman" w:hAnsi="Times New Roman,Italic" w:cs="Times New Roman"/>
          <w:i/>
          <w:iCs/>
          <w:lang w:eastAsia="en-GB"/>
        </w:rPr>
        <w:t>(iii) The social costs of “excessive”</w:t>
      </w:r>
      <w:r w:rsidR="00396AEB" w:rsidRPr="00BF0505">
        <w:rPr>
          <w:rFonts w:ascii="Times New Roman,Italic" w:eastAsia="Times New Roman" w:hAnsi="Times New Roman,Italic" w:cs="Times New Roman"/>
          <w:i/>
          <w:iCs/>
          <w:lang w:eastAsia="en-GB"/>
        </w:rPr>
        <w:t xml:space="preserve"> charges </w:t>
      </w:r>
    </w:p>
    <w:p w14:paraId="77A4E0A2" w14:textId="77777777" w:rsidR="0044198D" w:rsidRPr="00BF0505" w:rsidRDefault="0044198D" w:rsidP="0044198D">
      <w:pPr>
        <w:spacing w:before="100" w:beforeAutospacing="1" w:after="100" w:afterAutospacing="1" w:line="276" w:lineRule="auto"/>
        <w:jc w:val="both"/>
        <w:rPr>
          <w:rFonts w:ascii="Times New Roman" w:eastAsia="Times New Roman" w:hAnsi="Times New Roman" w:cs="Times New Roman"/>
          <w:lang w:eastAsia="en-GB"/>
        </w:rPr>
      </w:pPr>
      <w:r w:rsidRPr="00BF0505">
        <w:rPr>
          <w:rFonts w:ascii="Times New Roman" w:eastAsia="Times New Roman" w:hAnsi="Times New Roman" w:cs="Times New Roman"/>
          <w:lang w:eastAsia="en-GB"/>
        </w:rPr>
        <w:t>It needs to be asked: Does it matter that students/graduates might end up pay</w:t>
      </w:r>
      <w:r>
        <w:rPr>
          <w:rFonts w:ascii="Times New Roman" w:eastAsia="Times New Roman" w:hAnsi="Times New Roman" w:cs="Times New Roman"/>
          <w:lang w:eastAsia="en-GB"/>
        </w:rPr>
        <w:t xml:space="preserve">ing very high prices for tertiary </w:t>
      </w:r>
      <w:r w:rsidRPr="00BF0505">
        <w:rPr>
          <w:rFonts w:ascii="Times New Roman" w:eastAsia="Times New Roman" w:hAnsi="Times New Roman" w:cs="Times New Roman"/>
          <w:lang w:eastAsia="en-GB"/>
        </w:rPr>
        <w:t>education in Australia? Why should we be concerned about this possibility when it will still be the case that even with very high price rises, average lifetime</w:t>
      </w:r>
      <w:r>
        <w:rPr>
          <w:rFonts w:ascii="Times New Roman" w:eastAsia="Times New Roman" w:hAnsi="Times New Roman" w:cs="Times New Roman"/>
          <w:lang w:eastAsia="en-GB"/>
        </w:rPr>
        <w:t xml:space="preserve"> VET</w:t>
      </w:r>
      <w:r w:rsidRPr="00BF0505">
        <w:rPr>
          <w:rFonts w:ascii="Times New Roman" w:eastAsia="Times New Roman" w:hAnsi="Times New Roman" w:cs="Times New Roman"/>
          <w:lang w:eastAsia="en-GB"/>
        </w:rPr>
        <w:t xml:space="preserve"> graduate incomes will remain</w:t>
      </w:r>
      <w:r>
        <w:rPr>
          <w:rFonts w:ascii="Times New Roman" w:eastAsia="Times New Roman" w:hAnsi="Times New Roman" w:cs="Times New Roman"/>
          <w:lang w:eastAsia="en-GB"/>
        </w:rPr>
        <w:t xml:space="preserve"> relatively healthy</w:t>
      </w:r>
      <w:r w:rsidRPr="00BF0505">
        <w:rPr>
          <w:rFonts w:ascii="Times New Roman" w:eastAsia="Times New Roman" w:hAnsi="Times New Roman" w:cs="Times New Roman"/>
          <w:lang w:eastAsia="en-GB"/>
        </w:rPr>
        <w:t xml:space="preserve">? </w:t>
      </w:r>
    </w:p>
    <w:p w14:paraId="4B33A83D" w14:textId="650363AC" w:rsidR="0044198D" w:rsidRDefault="001D4959" w:rsidP="00F957E7">
      <w:pPr>
        <w:spacing w:before="100" w:beforeAutospacing="1" w:after="100" w:afterAutospacing="1"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There are at least two</w:t>
      </w:r>
      <w:r w:rsidR="0044198D">
        <w:rPr>
          <w:rFonts w:ascii="Times New Roman" w:eastAsia="Times New Roman" w:hAnsi="Times New Roman" w:cs="Times New Roman"/>
          <w:lang w:eastAsia="en-GB"/>
        </w:rPr>
        <w:t xml:space="preserve"> negative externalities from “excessive” prices for tertiary education. First, if prices become very high this means that with universal coverage of an ICL the prospects of there being high proportions of unpaid debt become very real. This is because VET lifetime incomes will be insufficient to</w:t>
      </w:r>
      <w:r w:rsidR="006775B6">
        <w:rPr>
          <w:rFonts w:ascii="Times New Roman" w:eastAsia="Times New Roman" w:hAnsi="Times New Roman" w:cs="Times New Roman"/>
          <w:lang w:eastAsia="en-GB"/>
        </w:rPr>
        <w:t xml:space="preserve"> successfully</w:t>
      </w:r>
      <w:r w:rsidR="0044198D">
        <w:rPr>
          <w:rFonts w:ascii="Times New Roman" w:eastAsia="Times New Roman" w:hAnsi="Times New Roman" w:cs="Times New Roman"/>
          <w:lang w:eastAsia="en-GB"/>
        </w:rPr>
        <w:t xml:space="preserve"> involve considerable repayments of HELP. As with all student loans, the taxpayer picks up the tab from this.</w:t>
      </w:r>
    </w:p>
    <w:p w14:paraId="34577C0E" w14:textId="01DEE9CE" w:rsidR="00396AEB" w:rsidRPr="00BF0505" w:rsidRDefault="00396AEB" w:rsidP="00B63D5B">
      <w:pPr>
        <w:spacing w:before="100" w:beforeAutospacing="1" w:after="100" w:afterAutospacing="1" w:line="276" w:lineRule="auto"/>
        <w:jc w:val="both"/>
        <w:rPr>
          <w:rFonts w:ascii="Times New Roman" w:eastAsia="Times New Roman" w:hAnsi="Times New Roman" w:cs="Times New Roman"/>
          <w:lang w:eastAsia="en-GB"/>
        </w:rPr>
      </w:pPr>
      <w:r w:rsidRPr="00BF0505">
        <w:rPr>
          <w:rFonts w:ascii="Times New Roman" w:eastAsia="Times New Roman" w:hAnsi="Times New Roman" w:cs="Times New Roman"/>
          <w:lang w:eastAsia="en-GB"/>
        </w:rPr>
        <w:t xml:space="preserve">However, </w:t>
      </w:r>
      <w:r w:rsidR="00214B3F">
        <w:rPr>
          <w:rFonts w:ascii="Times New Roman" w:eastAsia="Times New Roman" w:hAnsi="Times New Roman" w:cs="Times New Roman"/>
          <w:lang w:eastAsia="en-GB"/>
        </w:rPr>
        <w:t xml:space="preserve">and secondly, </w:t>
      </w:r>
      <w:r w:rsidRPr="00BF0505">
        <w:rPr>
          <w:rFonts w:ascii="Times New Roman" w:eastAsia="Times New Roman" w:hAnsi="Times New Roman" w:cs="Times New Roman"/>
          <w:lang w:eastAsia="en-GB"/>
        </w:rPr>
        <w:t xml:space="preserve">the question of what the “right” price to charge students for public sector university teaching services can be clarified with allusion to a principle concerning the role of government. It is not an argument that can be made easily with reference </w:t>
      </w:r>
      <w:r w:rsidR="00B63D5B">
        <w:rPr>
          <w:rFonts w:ascii="Times New Roman" w:eastAsia="Times New Roman" w:hAnsi="Times New Roman" w:cs="Times New Roman"/>
          <w:lang w:eastAsia="en-GB"/>
        </w:rPr>
        <w:t xml:space="preserve">only </w:t>
      </w:r>
      <w:r w:rsidRPr="00BF0505">
        <w:rPr>
          <w:rFonts w:ascii="Times New Roman" w:eastAsia="Times New Roman" w:hAnsi="Times New Roman" w:cs="Times New Roman"/>
          <w:lang w:eastAsia="en-GB"/>
        </w:rPr>
        <w:t>to economic theory or compelling evidence rel</w:t>
      </w:r>
      <w:r w:rsidR="006775B6">
        <w:rPr>
          <w:rFonts w:ascii="Times New Roman" w:eastAsia="Times New Roman" w:hAnsi="Times New Roman" w:cs="Times New Roman"/>
          <w:lang w:eastAsia="en-GB"/>
        </w:rPr>
        <w:t>ated to allocative efficiency, i</w:t>
      </w:r>
      <w:r w:rsidRPr="00BF0505">
        <w:rPr>
          <w:rFonts w:ascii="Times New Roman" w:eastAsia="Times New Roman" w:hAnsi="Times New Roman" w:cs="Times New Roman"/>
          <w:lang w:eastAsia="en-GB"/>
        </w:rPr>
        <w:t xml:space="preserve">t is instead basically an ethical issue. </w:t>
      </w:r>
    </w:p>
    <w:p w14:paraId="1B3F03A6" w14:textId="3F74CBDD" w:rsidR="00396AEB" w:rsidRPr="00BF0505" w:rsidRDefault="006775B6" w:rsidP="00B63D5B">
      <w:pPr>
        <w:spacing w:before="100" w:beforeAutospacing="1" w:after="100" w:afterAutospacing="1" w:line="276"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lastRenderedPageBreak/>
        <w:t xml:space="preserve">A perhaps normative </w:t>
      </w:r>
      <w:r w:rsidR="00396AEB" w:rsidRPr="00BF0505">
        <w:rPr>
          <w:rFonts w:ascii="Times New Roman" w:eastAsia="Times New Roman" w:hAnsi="Times New Roman" w:cs="Times New Roman"/>
          <w:lang w:eastAsia="en-GB"/>
        </w:rPr>
        <w:t>view is that there is no clear economic justification for public sector universities to be allowed the use of a government instr</w:t>
      </w:r>
      <w:r>
        <w:rPr>
          <w:rFonts w:ascii="Times New Roman" w:eastAsia="Times New Roman" w:hAnsi="Times New Roman" w:cs="Times New Roman"/>
          <w:lang w:eastAsia="en-GB"/>
        </w:rPr>
        <w:t xml:space="preserve">ument, HECS, to provide substantial revenue and insurance </w:t>
      </w:r>
      <w:r w:rsidR="00396AEB" w:rsidRPr="00BF0505">
        <w:rPr>
          <w:rFonts w:ascii="Times New Roman" w:eastAsia="Times New Roman" w:hAnsi="Times New Roman" w:cs="Times New Roman"/>
          <w:lang w:eastAsia="en-GB"/>
        </w:rPr>
        <w:t xml:space="preserve">in a situation in which this can lead to unjustifiably very high fees. An informed guess is that if Australian </w:t>
      </w:r>
      <w:r>
        <w:rPr>
          <w:rFonts w:ascii="Times New Roman" w:eastAsia="Times New Roman" w:hAnsi="Times New Roman" w:cs="Times New Roman"/>
          <w:lang w:eastAsia="en-GB"/>
        </w:rPr>
        <w:t xml:space="preserve">tertiary education institutions </w:t>
      </w:r>
      <w:r w:rsidR="00396AEB" w:rsidRPr="00BF0505">
        <w:rPr>
          <w:rFonts w:ascii="Times New Roman" w:eastAsia="Times New Roman" w:hAnsi="Times New Roman" w:cs="Times New Roman"/>
          <w:lang w:eastAsia="en-GB"/>
        </w:rPr>
        <w:t>were to charge the sort of prices that many of them could under the planned fee deregulation, the revenues received would in many cases far exceed the costs of teaching. While there is little doubt that in many cases these sorts of cross-subsidies already occur (particularly from the revenues received from international students), the issue concerns the extent to which this can be consi</w:t>
      </w:r>
      <w:r>
        <w:rPr>
          <w:rFonts w:ascii="Times New Roman" w:eastAsia="Times New Roman" w:hAnsi="Times New Roman" w:cs="Times New Roman"/>
          <w:lang w:eastAsia="en-GB"/>
        </w:rPr>
        <w:t>dered a "proper" use of the ICL</w:t>
      </w:r>
      <w:r w:rsidR="00396AEB" w:rsidRPr="00BF0505">
        <w:rPr>
          <w:rFonts w:ascii="Times New Roman" w:eastAsia="Times New Roman" w:hAnsi="Times New Roman" w:cs="Times New Roman"/>
          <w:lang w:eastAsia="en-GB"/>
        </w:rPr>
        <w:t xml:space="preserve"> instrument. </w:t>
      </w:r>
    </w:p>
    <w:p w14:paraId="45E01CB7" w14:textId="080A7DBD" w:rsidR="007D1BA8" w:rsidRDefault="00396AEB" w:rsidP="00B63D5B">
      <w:pPr>
        <w:spacing w:before="100" w:beforeAutospacing="1" w:after="100" w:afterAutospacing="1" w:line="276" w:lineRule="auto"/>
        <w:jc w:val="both"/>
        <w:rPr>
          <w:rFonts w:ascii="Times New Roman" w:eastAsia="Times New Roman" w:hAnsi="Times New Roman" w:cs="Times New Roman"/>
          <w:lang w:eastAsia="en-GB"/>
        </w:rPr>
      </w:pPr>
      <w:r w:rsidRPr="00BF0505">
        <w:rPr>
          <w:rFonts w:ascii="Times New Roman" w:eastAsia="Times New Roman" w:hAnsi="Times New Roman" w:cs="Times New Roman"/>
          <w:lang w:eastAsia="en-GB"/>
        </w:rPr>
        <w:t>That is, if it is the case that fee revenues from price deregulation exceed considerably the costs of teaching, it is arguable that this is an improper</w:t>
      </w:r>
      <w:r w:rsidR="006775B6">
        <w:rPr>
          <w:rFonts w:ascii="Times New Roman" w:eastAsia="Times New Roman" w:hAnsi="Times New Roman" w:cs="Times New Roman"/>
          <w:lang w:eastAsia="en-GB"/>
        </w:rPr>
        <w:t xml:space="preserve"> and unfair</w:t>
      </w:r>
      <w:r w:rsidRPr="00BF0505">
        <w:rPr>
          <w:rFonts w:ascii="Times New Roman" w:eastAsia="Times New Roman" w:hAnsi="Times New Roman" w:cs="Times New Roman"/>
          <w:lang w:eastAsia="en-GB"/>
        </w:rPr>
        <w:t xml:space="preserve"> use of a government instrument</w:t>
      </w:r>
      <w:r w:rsidR="006775B6">
        <w:rPr>
          <w:rFonts w:ascii="Times New Roman" w:eastAsia="Times New Roman" w:hAnsi="Times New Roman" w:cs="Times New Roman"/>
          <w:lang w:eastAsia="en-GB"/>
        </w:rPr>
        <w:t xml:space="preserve">. </w:t>
      </w:r>
      <w:r w:rsidRPr="00BF0505">
        <w:rPr>
          <w:rFonts w:ascii="Times New Roman" w:eastAsia="Times New Roman" w:hAnsi="Times New Roman" w:cs="Times New Roman"/>
          <w:lang w:eastAsia="en-GB"/>
        </w:rPr>
        <w:t xml:space="preserve">This then promotes a case for considering "excessive" fee increases </w:t>
      </w:r>
      <w:r w:rsidR="006775B6">
        <w:rPr>
          <w:rFonts w:ascii="Times New Roman" w:eastAsia="Times New Roman" w:hAnsi="Times New Roman" w:cs="Times New Roman"/>
          <w:lang w:eastAsia="en-GB"/>
        </w:rPr>
        <w:t>as negative externalities</w:t>
      </w:r>
      <w:r w:rsidRPr="00BF0505">
        <w:rPr>
          <w:rFonts w:ascii="Times New Roman" w:eastAsia="Times New Roman" w:hAnsi="Times New Roman" w:cs="Times New Roman"/>
          <w:lang w:eastAsia="en-GB"/>
        </w:rPr>
        <w:t>, or, broadly speaking, as costs borne by us all</w:t>
      </w:r>
      <w:r w:rsidR="006775B6">
        <w:rPr>
          <w:rFonts w:ascii="Times New Roman" w:eastAsia="Times New Roman" w:hAnsi="Times New Roman" w:cs="Times New Roman"/>
          <w:lang w:eastAsia="en-GB"/>
        </w:rPr>
        <w:t xml:space="preserve"> </w:t>
      </w:r>
      <w:r w:rsidRPr="00BF0505">
        <w:rPr>
          <w:rFonts w:ascii="Times New Roman" w:eastAsia="Times New Roman" w:hAnsi="Times New Roman" w:cs="Times New Roman"/>
          <w:lang w:eastAsia="en-GB"/>
        </w:rPr>
        <w:t>becau</w:t>
      </w:r>
      <w:r w:rsidR="006775B6">
        <w:rPr>
          <w:rFonts w:ascii="Times New Roman" w:eastAsia="Times New Roman" w:hAnsi="Times New Roman" w:cs="Times New Roman"/>
          <w:lang w:eastAsia="en-GB"/>
        </w:rPr>
        <w:t>se of the</w:t>
      </w:r>
      <w:r w:rsidR="00145B34">
        <w:rPr>
          <w:rFonts w:ascii="Times New Roman" w:eastAsia="Times New Roman" w:hAnsi="Times New Roman" w:cs="Times New Roman"/>
          <w:lang w:eastAsia="en-GB"/>
        </w:rPr>
        <w:t xml:space="preserve"> injustice inherent in such a mis</w:t>
      </w:r>
      <w:r w:rsidR="006775B6">
        <w:rPr>
          <w:rFonts w:ascii="Times New Roman" w:eastAsia="Times New Roman" w:hAnsi="Times New Roman" w:cs="Times New Roman"/>
          <w:lang w:eastAsia="en-GB"/>
        </w:rPr>
        <w:t xml:space="preserve">use of a potent </w:t>
      </w:r>
      <w:r w:rsidR="00974B71">
        <w:rPr>
          <w:rFonts w:ascii="Times New Roman" w:eastAsia="Times New Roman" w:hAnsi="Times New Roman" w:cs="Times New Roman"/>
          <w:lang w:eastAsia="en-GB"/>
        </w:rPr>
        <w:t>power.</w:t>
      </w:r>
    </w:p>
    <w:p w14:paraId="4F1639A6" w14:textId="77777777" w:rsidR="001D3894" w:rsidRDefault="001D3894" w:rsidP="001D3894">
      <w:pPr>
        <w:pStyle w:val="ListParagraph"/>
        <w:spacing w:before="100" w:beforeAutospacing="1" w:after="100" w:afterAutospacing="1"/>
        <w:ind w:left="0"/>
        <w:rPr>
          <w:rFonts w:ascii="Times New Roman" w:eastAsia="Times New Roman" w:hAnsi="Times New Roman" w:cs="Times New Roman"/>
          <w:lang w:eastAsia="en-GB"/>
        </w:rPr>
      </w:pPr>
    </w:p>
    <w:p w14:paraId="62FEEB27" w14:textId="2AF1996F" w:rsidR="001D3894" w:rsidRPr="001D3894" w:rsidRDefault="001D3894" w:rsidP="001D3894">
      <w:pPr>
        <w:pStyle w:val="ListParagraph"/>
        <w:numPr>
          <w:ilvl w:val="0"/>
          <w:numId w:val="8"/>
        </w:numPr>
        <w:spacing w:before="100" w:beforeAutospacing="1" w:after="100" w:afterAutospacing="1"/>
        <w:jc w:val="both"/>
        <w:rPr>
          <w:rFonts w:ascii="Times New Roman" w:eastAsia="Times New Roman" w:hAnsi="Times New Roman" w:cs="Times New Roman"/>
          <w:i/>
          <w:lang w:eastAsia="en-GB"/>
        </w:rPr>
      </w:pPr>
      <w:r w:rsidRPr="001D3894">
        <w:rPr>
          <w:rFonts w:ascii="Times New Roman" w:eastAsia="Times New Roman" w:hAnsi="Times New Roman" w:cs="Times New Roman"/>
          <w:i/>
          <w:sz w:val="28"/>
          <w:szCs w:val="28"/>
          <w:lang w:eastAsia="en-GB"/>
        </w:rPr>
        <w:t>Should Unpaid ICL Debts</w:t>
      </w:r>
      <w:r>
        <w:rPr>
          <w:rFonts w:ascii="Times New Roman" w:eastAsia="Times New Roman" w:hAnsi="Times New Roman" w:cs="Times New Roman"/>
          <w:i/>
          <w:sz w:val="28"/>
          <w:szCs w:val="28"/>
          <w:lang w:eastAsia="en-GB"/>
        </w:rPr>
        <w:t xml:space="preserve"> be Repaid</w:t>
      </w:r>
      <w:r w:rsidRPr="001D3894">
        <w:rPr>
          <w:rFonts w:ascii="Times New Roman" w:eastAsia="Times New Roman" w:hAnsi="Times New Roman" w:cs="Times New Roman"/>
          <w:i/>
          <w:sz w:val="28"/>
          <w:szCs w:val="28"/>
          <w:lang w:eastAsia="en-GB"/>
        </w:rPr>
        <w:t xml:space="preserve"> from Deceased Estates?</w:t>
      </w:r>
    </w:p>
    <w:p w14:paraId="119804CE" w14:textId="2A8420D2" w:rsidR="001D3894" w:rsidRDefault="001D3894" w:rsidP="001D3894">
      <w:pPr>
        <w:spacing w:before="100" w:beforeAutospacing="1" w:after="100" w:afterAutospacing="1"/>
        <w:jc w:val="both"/>
        <w:rPr>
          <w:rFonts w:ascii="Times New Roman" w:eastAsia="Times New Roman" w:hAnsi="Times New Roman" w:cs="Times New Roman"/>
          <w:lang w:eastAsia="en-GB"/>
        </w:rPr>
      </w:pPr>
      <w:r w:rsidRPr="001D3894">
        <w:rPr>
          <w:rFonts w:ascii="Times New Roman" w:eastAsia="Times New Roman" w:hAnsi="Times New Roman" w:cs="Times New Roman"/>
          <w:lang w:eastAsia="en-GB"/>
        </w:rPr>
        <w:t>In historical terms around 15-20 per cent of HELP loans remain uncollected, in the main because debtors earn insufficiently high lifecycle earnings.</w:t>
      </w:r>
      <w:r w:rsidR="00F93B06">
        <w:rPr>
          <w:rFonts w:ascii="Times New Roman" w:eastAsia="Times New Roman" w:hAnsi="Times New Roman" w:cs="Times New Roman"/>
          <w:lang w:eastAsia="en-GB"/>
        </w:rPr>
        <w:t xml:space="preserve"> While this would seem to be an acceptable cost to government of the insurance aspects</w:t>
      </w:r>
      <w:r w:rsidR="00E9200A">
        <w:rPr>
          <w:rFonts w:ascii="Times New Roman" w:eastAsia="Times New Roman" w:hAnsi="Times New Roman" w:cs="Times New Roman"/>
          <w:lang w:eastAsia="en-GB"/>
        </w:rPr>
        <w:t xml:space="preserve"> of a universal ICL, it </w:t>
      </w:r>
      <w:r>
        <w:rPr>
          <w:rFonts w:ascii="Times New Roman" w:eastAsia="Times New Roman" w:hAnsi="Times New Roman" w:cs="Times New Roman"/>
          <w:lang w:eastAsia="en-GB"/>
        </w:rPr>
        <w:t>is important to ask if th</w:t>
      </w:r>
      <w:r w:rsidR="00664DD0">
        <w:rPr>
          <w:rFonts w:ascii="Times New Roman" w:eastAsia="Times New Roman" w:hAnsi="Times New Roman" w:cs="Times New Roman"/>
          <w:lang w:eastAsia="en-GB"/>
        </w:rPr>
        <w:t>e</w:t>
      </w:r>
      <w:r w:rsidR="00E9200A">
        <w:rPr>
          <w:rFonts w:ascii="Times New Roman" w:eastAsia="Times New Roman" w:hAnsi="Times New Roman" w:cs="Times New Roman"/>
          <w:lang w:eastAsia="en-GB"/>
        </w:rPr>
        <w:t xml:space="preserve"> proportion</w:t>
      </w:r>
      <w:r w:rsidR="00664DD0">
        <w:rPr>
          <w:rFonts w:ascii="Times New Roman" w:eastAsia="Times New Roman" w:hAnsi="Times New Roman" w:cs="Times New Roman"/>
          <w:lang w:eastAsia="en-GB"/>
        </w:rPr>
        <w:t xml:space="preserve"> of unpaid debt could be de</w:t>
      </w:r>
      <w:r w:rsidR="00E9200A">
        <w:rPr>
          <w:rFonts w:ascii="Times New Roman" w:eastAsia="Times New Roman" w:hAnsi="Times New Roman" w:cs="Times New Roman"/>
          <w:lang w:eastAsia="en-GB"/>
        </w:rPr>
        <w:t>creased. Indeed, it is precisely this issue that motivated the analysis in Chapman and Higgins (2014) with respect to the prospects for the recovery of unpaid HECS debts from graduates who had gone overseas.</w:t>
      </w:r>
    </w:p>
    <w:p w14:paraId="29EBDC2D" w14:textId="06DFD3D3" w:rsidR="00664DD0" w:rsidRDefault="00664DD0" w:rsidP="001D3894">
      <w:p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lang w:eastAsia="en-GB"/>
        </w:rPr>
        <w:t>An issue that has always been raised in this area concerns the potential for unpaid HELP debt to be taken from deceased estates. There are two issues in this debate, the economics and the politics.</w:t>
      </w:r>
    </w:p>
    <w:p w14:paraId="4534DDE1" w14:textId="77777777" w:rsidR="001B4A10" w:rsidRDefault="00664DD0" w:rsidP="001D3894">
      <w:p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In terms of the economics of the matter having unpaid debts recovered in this way would seem to have quite limited potential to achieve savings. The basic reason is that it would be in the interests of people to rearrange their estates in response to the suggested policy reform. If a person had an unpaid HELP debt of say $25,000 and an estate valued at more than this, wouldn’t a propitious action be to diminish the value of the estate in anticipation, such as through gifts to off-spring before death? </w:t>
      </w:r>
    </w:p>
    <w:p w14:paraId="500313F5" w14:textId="28FB1662" w:rsidR="001B4A10" w:rsidRDefault="00664DD0" w:rsidP="001D3894">
      <w:p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Given </w:t>
      </w:r>
      <w:r w:rsidR="001B4A10">
        <w:rPr>
          <w:rFonts w:ascii="Times New Roman" w:eastAsia="Times New Roman" w:hAnsi="Times New Roman" w:cs="Times New Roman"/>
          <w:lang w:eastAsia="en-GB"/>
        </w:rPr>
        <w:t>the fungi</w:t>
      </w:r>
      <w:r>
        <w:rPr>
          <w:rFonts w:ascii="Times New Roman" w:eastAsia="Times New Roman" w:hAnsi="Times New Roman" w:cs="Times New Roman"/>
          <w:lang w:eastAsia="en-GB"/>
        </w:rPr>
        <w:t xml:space="preserve">bility </w:t>
      </w:r>
      <w:r w:rsidR="001B4A10">
        <w:rPr>
          <w:rFonts w:ascii="Times New Roman" w:eastAsia="Times New Roman" w:hAnsi="Times New Roman" w:cs="Times New Roman"/>
          <w:lang w:eastAsia="en-GB"/>
        </w:rPr>
        <w:t xml:space="preserve">of most wealth the above likelihood would seem to imply that significant savings from the policy idea is a fanciful notion. Perhaps one way to reduce the potential attraction of people moving finances things around would be to have a cap on the amount of </w:t>
      </w:r>
      <w:r w:rsidR="00754A26">
        <w:rPr>
          <w:rFonts w:ascii="Times New Roman" w:eastAsia="Times New Roman" w:hAnsi="Times New Roman" w:cs="Times New Roman"/>
          <w:lang w:eastAsia="en-GB"/>
        </w:rPr>
        <w:t xml:space="preserve">HELP </w:t>
      </w:r>
      <w:r w:rsidR="001B4A10">
        <w:rPr>
          <w:rFonts w:ascii="Times New Roman" w:eastAsia="Times New Roman" w:hAnsi="Times New Roman" w:cs="Times New Roman"/>
          <w:lang w:eastAsia="en-GB"/>
        </w:rPr>
        <w:t>debt that could be taken from a deceased estate to well below the likely transaction costs of avoidance; to say $5000?</w:t>
      </w:r>
    </w:p>
    <w:p w14:paraId="26FF0FFB" w14:textId="3E66CB7A" w:rsidR="001B4A10" w:rsidRDefault="001B4A10" w:rsidP="001D3894">
      <w:pPr>
        <w:spacing w:before="100" w:beforeAutospacing="1" w:after="100" w:afterAutospacing="1"/>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There are of course circumstances in which debtors are unlikely to have taken action to avoid losing substantial parts of the value of their estates for the repayment of HELP, and this is where a young debtor is killed accidentally. While I have no expertise in </w:t>
      </w:r>
      <w:r w:rsidR="005642F0">
        <w:rPr>
          <w:rFonts w:ascii="Times New Roman" w:eastAsia="Times New Roman" w:hAnsi="Times New Roman" w:cs="Times New Roman"/>
          <w:lang w:eastAsia="en-GB"/>
        </w:rPr>
        <w:t xml:space="preserve">such matters, highly adverse media coverage of such incidents would be predictable and are unlikely to be appealing politically. </w:t>
      </w:r>
    </w:p>
    <w:p w14:paraId="517AA8CF" w14:textId="77777777" w:rsidR="005642F0" w:rsidRPr="001D3894" w:rsidRDefault="005642F0" w:rsidP="001D3894">
      <w:pPr>
        <w:spacing w:before="100" w:beforeAutospacing="1" w:after="100" w:afterAutospacing="1"/>
        <w:jc w:val="both"/>
        <w:rPr>
          <w:rFonts w:ascii="Times New Roman" w:eastAsia="Times New Roman" w:hAnsi="Times New Roman" w:cs="Times New Roman"/>
          <w:lang w:eastAsia="en-GB"/>
        </w:rPr>
      </w:pPr>
    </w:p>
    <w:p w14:paraId="0C6112B5" w14:textId="03175BCF" w:rsidR="00CE3A0E" w:rsidRPr="00EB00B6" w:rsidRDefault="00CE3A0E" w:rsidP="00CA3E95">
      <w:pPr>
        <w:pStyle w:val="BodyTextIndent"/>
        <w:spacing w:after="0" w:line="276" w:lineRule="auto"/>
        <w:contextualSpacing/>
        <w:jc w:val="center"/>
        <w:rPr>
          <w:b/>
          <w:sz w:val="24"/>
          <w:szCs w:val="24"/>
        </w:rPr>
      </w:pPr>
      <w:r w:rsidRPr="00EB00B6">
        <w:rPr>
          <w:b/>
          <w:sz w:val="24"/>
          <w:szCs w:val="24"/>
        </w:rPr>
        <w:t>References</w:t>
      </w:r>
    </w:p>
    <w:p w14:paraId="4DC9FF2D" w14:textId="77777777" w:rsidR="00CE3A0E" w:rsidRPr="00EB00B6" w:rsidRDefault="00CE3A0E" w:rsidP="00CA3E95">
      <w:pPr>
        <w:pStyle w:val="BodyTextIndent"/>
        <w:spacing w:after="0" w:line="276" w:lineRule="auto"/>
        <w:contextualSpacing/>
        <w:jc w:val="center"/>
        <w:rPr>
          <w:b/>
          <w:sz w:val="24"/>
          <w:szCs w:val="24"/>
        </w:rPr>
      </w:pPr>
    </w:p>
    <w:p w14:paraId="255664DE" w14:textId="77777777" w:rsidR="00EB00B6" w:rsidRDefault="00EB00B6" w:rsidP="00EB00B6">
      <w:pPr>
        <w:pStyle w:val="BodyTextIndent"/>
        <w:spacing w:after="0" w:line="276" w:lineRule="auto"/>
        <w:ind w:left="567" w:right="373" w:hanging="567"/>
        <w:jc w:val="both"/>
        <w:rPr>
          <w:sz w:val="24"/>
          <w:szCs w:val="24"/>
        </w:rPr>
      </w:pPr>
      <w:r w:rsidRPr="00EB00B6">
        <w:rPr>
          <w:sz w:val="24"/>
          <w:szCs w:val="24"/>
        </w:rPr>
        <w:t>Nicholas Barr, Bruce Chapman, Lorraine Dearden and Susan Dynarski (2019), “</w:t>
      </w:r>
      <w:hyperlink r:id="rId7" w:history="1">
        <w:r w:rsidRPr="00EB00B6">
          <w:rPr>
            <w:rStyle w:val="Hyperlink"/>
            <w:sz w:val="24"/>
            <w:szCs w:val="24"/>
          </w:rPr>
          <w:t>The US College Loans System: Reform Lessons from Australia and England</w:t>
        </w:r>
      </w:hyperlink>
      <w:r w:rsidRPr="00EB00B6">
        <w:rPr>
          <w:sz w:val="24"/>
          <w:szCs w:val="24"/>
        </w:rPr>
        <w:t xml:space="preserve">”, </w:t>
      </w:r>
      <w:r w:rsidRPr="00EB00B6">
        <w:rPr>
          <w:i/>
          <w:sz w:val="24"/>
          <w:szCs w:val="24"/>
        </w:rPr>
        <w:t>Economics of Education Review</w:t>
      </w:r>
      <w:r w:rsidRPr="00EB00B6">
        <w:rPr>
          <w:sz w:val="24"/>
          <w:szCs w:val="24"/>
        </w:rPr>
        <w:t xml:space="preserve">, Vol. 71: 32-49. </w:t>
      </w:r>
    </w:p>
    <w:p w14:paraId="64B52729" w14:textId="77777777" w:rsidR="00EB00B6" w:rsidRPr="00EB00B6" w:rsidRDefault="00EB00B6" w:rsidP="00EB00B6">
      <w:pPr>
        <w:pStyle w:val="BodyTextIndent"/>
        <w:spacing w:after="0" w:line="276" w:lineRule="auto"/>
        <w:contextualSpacing/>
        <w:jc w:val="both"/>
        <w:rPr>
          <w:iCs/>
          <w:sz w:val="24"/>
          <w:szCs w:val="24"/>
        </w:rPr>
      </w:pPr>
    </w:p>
    <w:p w14:paraId="14AC2F35" w14:textId="77777777" w:rsidR="00EB00B6" w:rsidRDefault="00EB00B6" w:rsidP="00EB00B6">
      <w:pPr>
        <w:pStyle w:val="Heading9"/>
        <w:spacing w:line="276" w:lineRule="auto"/>
        <w:ind w:left="567" w:hanging="567"/>
        <w:rPr>
          <w:i w:val="0"/>
          <w:iCs/>
          <w:sz w:val="24"/>
          <w:szCs w:val="24"/>
        </w:rPr>
      </w:pPr>
      <w:r w:rsidRPr="00EB00B6">
        <w:rPr>
          <w:i w:val="0"/>
          <w:iCs/>
          <w:sz w:val="24"/>
          <w:szCs w:val="24"/>
        </w:rPr>
        <w:t>Bruce Chapman (2006),</w:t>
      </w:r>
      <w:r w:rsidRPr="00EB00B6">
        <w:rPr>
          <w:iCs/>
          <w:sz w:val="24"/>
          <w:szCs w:val="24"/>
        </w:rPr>
        <w:t xml:space="preserve"> </w:t>
      </w:r>
      <w:hyperlink r:id="rId8" w:anchor="v=onepage&amp;q=bruce%20chapman&amp;f=false" w:history="1">
        <w:r w:rsidRPr="00EB00B6">
          <w:rPr>
            <w:rStyle w:val="Hyperlink"/>
            <w:sz w:val="24"/>
            <w:szCs w:val="24"/>
          </w:rPr>
          <w:t>Government Managing Risk: Income contingent loans for social and economic progress,</w:t>
        </w:r>
      </w:hyperlink>
      <w:r w:rsidRPr="00EB00B6">
        <w:rPr>
          <w:sz w:val="24"/>
          <w:szCs w:val="24"/>
        </w:rPr>
        <w:t xml:space="preserve"> </w:t>
      </w:r>
      <w:r w:rsidRPr="00EB00B6">
        <w:rPr>
          <w:i w:val="0"/>
          <w:iCs/>
          <w:sz w:val="24"/>
          <w:szCs w:val="24"/>
        </w:rPr>
        <w:t>Routledge, London.</w:t>
      </w:r>
    </w:p>
    <w:p w14:paraId="53B51360" w14:textId="64DBCB12" w:rsidR="00EB00B6" w:rsidRDefault="00EB00B6" w:rsidP="00EB00B6">
      <w:pPr>
        <w:spacing w:line="276" w:lineRule="auto"/>
        <w:ind w:left="567" w:right="373" w:hanging="567"/>
        <w:contextualSpacing/>
        <w:jc w:val="both"/>
        <w:rPr>
          <w:rFonts w:ascii="Times New Roman" w:hAnsi="Times New Roman" w:cs="Times New Roman"/>
        </w:rPr>
      </w:pPr>
      <w:r w:rsidRPr="00EB00B6">
        <w:rPr>
          <w:rFonts w:ascii="Times New Roman" w:hAnsi="Times New Roman" w:cs="Times New Roman"/>
        </w:rPr>
        <w:t>Bruce Chapman (2016), “</w:t>
      </w:r>
      <w:hyperlink r:id="rId9" w:history="1">
        <w:r w:rsidRPr="00EB00B6">
          <w:rPr>
            <w:rStyle w:val="Hyperlink"/>
            <w:rFonts w:ascii="Times New Roman" w:hAnsi="Times New Roman" w:cs="Times New Roman"/>
          </w:rPr>
          <w:t>Income Contingent Loans in Higher Education Financing</w:t>
        </w:r>
      </w:hyperlink>
      <w:r w:rsidRPr="00EB00B6">
        <w:rPr>
          <w:rFonts w:ascii="Times New Roman" w:hAnsi="Times New Roman" w:cs="Times New Roman"/>
        </w:rPr>
        <w:t xml:space="preserve">”, </w:t>
      </w:r>
      <w:r w:rsidRPr="00EB00B6">
        <w:rPr>
          <w:rFonts w:ascii="Times New Roman" w:hAnsi="Times New Roman" w:cs="Times New Roman"/>
          <w:i/>
        </w:rPr>
        <w:t>IZA World of Labor</w:t>
      </w:r>
      <w:r w:rsidRPr="00EB00B6">
        <w:rPr>
          <w:rFonts w:ascii="Times New Roman" w:hAnsi="Times New Roman" w:cs="Times New Roman"/>
        </w:rPr>
        <w:t>: 227 doi: 10.15185/izawol.227</w:t>
      </w:r>
    </w:p>
    <w:p w14:paraId="36C2A41C" w14:textId="77777777" w:rsidR="00664DD0" w:rsidRDefault="00664DD0" w:rsidP="00EB00B6">
      <w:pPr>
        <w:spacing w:line="276" w:lineRule="auto"/>
        <w:ind w:left="567" w:right="373" w:hanging="567"/>
        <w:contextualSpacing/>
        <w:jc w:val="both"/>
        <w:rPr>
          <w:rFonts w:ascii="Times New Roman" w:hAnsi="Times New Roman" w:cs="Times New Roman"/>
        </w:rPr>
      </w:pPr>
    </w:p>
    <w:p w14:paraId="641EA627" w14:textId="2214EA2D" w:rsidR="00664DD0" w:rsidRPr="001B4A10" w:rsidRDefault="00664DD0" w:rsidP="001B4A10">
      <w:pPr>
        <w:pStyle w:val="BodyTextIndent"/>
        <w:spacing w:after="0" w:line="276" w:lineRule="auto"/>
        <w:ind w:left="567" w:hanging="567"/>
        <w:contextualSpacing/>
        <w:rPr>
          <w:sz w:val="24"/>
          <w:szCs w:val="24"/>
        </w:rPr>
      </w:pPr>
      <w:r w:rsidRPr="00664DD0">
        <w:rPr>
          <w:sz w:val="24"/>
          <w:szCs w:val="24"/>
        </w:rPr>
        <w:t>Bruce Chapman and Tim Higgins (2013), “</w:t>
      </w:r>
      <w:hyperlink r:id="rId10" w:history="1">
        <w:r w:rsidRPr="00664DD0">
          <w:rPr>
            <w:rStyle w:val="Hyperlink"/>
            <w:sz w:val="24"/>
            <w:szCs w:val="24"/>
          </w:rPr>
          <w:t>The Costs of Unpaid Higher Education Contribution Scheme Debts of Graduates Working Abroad</w:t>
        </w:r>
      </w:hyperlink>
      <w:r w:rsidRPr="00664DD0">
        <w:rPr>
          <w:sz w:val="24"/>
          <w:szCs w:val="24"/>
        </w:rPr>
        <w:t xml:space="preserve">”, </w:t>
      </w:r>
      <w:r w:rsidRPr="00664DD0">
        <w:rPr>
          <w:i/>
          <w:iCs/>
          <w:sz w:val="24"/>
          <w:szCs w:val="24"/>
        </w:rPr>
        <w:t xml:space="preserve">Australian Economic Review, </w:t>
      </w:r>
      <w:r w:rsidRPr="00664DD0">
        <w:rPr>
          <w:sz w:val="24"/>
          <w:szCs w:val="24"/>
        </w:rPr>
        <w:t>Vol.46 (3) (September): 286-299.</w:t>
      </w:r>
    </w:p>
    <w:p w14:paraId="7F36D055" w14:textId="77777777" w:rsidR="00A40CC9" w:rsidRDefault="00A40CC9" w:rsidP="00EB00B6">
      <w:pPr>
        <w:spacing w:line="276" w:lineRule="auto"/>
        <w:ind w:left="567" w:right="373" w:hanging="567"/>
        <w:contextualSpacing/>
        <w:jc w:val="both"/>
        <w:rPr>
          <w:rFonts w:ascii="Times New Roman" w:hAnsi="Times New Roman" w:cs="Times New Roman"/>
        </w:rPr>
      </w:pPr>
    </w:p>
    <w:p w14:paraId="14258A49" w14:textId="73D2A9C9" w:rsidR="00A40CC9" w:rsidRPr="00A40CC9" w:rsidRDefault="00A40CC9" w:rsidP="00A40CC9">
      <w:pPr>
        <w:spacing w:before="60" w:after="60" w:line="276" w:lineRule="auto"/>
        <w:ind w:left="540" w:right="-1" w:hanging="540"/>
        <w:rPr>
          <w:rFonts w:ascii="Times New Roman" w:hAnsi="Times New Roman" w:cs="Times New Roman"/>
          <w:iCs/>
        </w:rPr>
      </w:pPr>
      <w:r w:rsidRPr="00A40CC9">
        <w:rPr>
          <w:rFonts w:ascii="Times New Roman" w:hAnsi="Times New Roman" w:cs="Times New Roman"/>
          <w:iCs/>
        </w:rPr>
        <w:t>Bruce Chapman, Timothy Higgins and Joseph E. Stiglitz</w:t>
      </w:r>
      <w:r w:rsidRPr="00A40CC9">
        <w:rPr>
          <w:rFonts w:ascii="Times New Roman" w:hAnsi="Times New Roman" w:cs="Times New Roman"/>
          <w:i/>
          <w:iCs/>
        </w:rPr>
        <w:t xml:space="preserve"> </w:t>
      </w:r>
      <w:r w:rsidRPr="00A40CC9">
        <w:rPr>
          <w:rFonts w:ascii="Times New Roman" w:hAnsi="Times New Roman" w:cs="Times New Roman"/>
          <w:iCs/>
        </w:rPr>
        <w:t>(eds</w:t>
      </w:r>
      <w:r>
        <w:rPr>
          <w:rFonts w:ascii="Times New Roman" w:hAnsi="Times New Roman" w:cs="Times New Roman"/>
          <w:iCs/>
        </w:rPr>
        <w:t>.</w:t>
      </w:r>
      <w:r w:rsidRPr="00A40CC9">
        <w:rPr>
          <w:rFonts w:ascii="Times New Roman" w:hAnsi="Times New Roman" w:cs="Times New Roman"/>
          <w:iCs/>
        </w:rPr>
        <w:t>) (2014)</w:t>
      </w:r>
      <w:r w:rsidRPr="00A40CC9">
        <w:rPr>
          <w:rFonts w:ascii="Times New Roman" w:hAnsi="Times New Roman" w:cs="Times New Roman"/>
          <w:i/>
          <w:iCs/>
        </w:rPr>
        <w:t xml:space="preserve">, Income Contingent Loans: Theory, Practice and Prospects, </w:t>
      </w:r>
      <w:r w:rsidRPr="00A40CC9">
        <w:rPr>
          <w:rFonts w:ascii="Times New Roman" w:hAnsi="Times New Roman" w:cs="Times New Roman"/>
          <w:iCs/>
        </w:rPr>
        <w:t>Pa</w:t>
      </w:r>
      <w:r>
        <w:rPr>
          <w:rFonts w:ascii="Times New Roman" w:hAnsi="Times New Roman" w:cs="Times New Roman"/>
          <w:iCs/>
        </w:rPr>
        <w:t>lgrave McMillan, New York</w:t>
      </w:r>
      <w:r w:rsidRPr="00A40CC9">
        <w:rPr>
          <w:rFonts w:ascii="Times New Roman" w:hAnsi="Times New Roman" w:cs="Times New Roman"/>
          <w:iCs/>
        </w:rPr>
        <w:t>.</w:t>
      </w:r>
    </w:p>
    <w:p w14:paraId="56C381C6" w14:textId="77777777" w:rsidR="00EB00B6" w:rsidRDefault="00EB00B6" w:rsidP="00EB00B6">
      <w:pPr>
        <w:pStyle w:val="BodyTextIndent"/>
        <w:spacing w:after="0" w:line="276" w:lineRule="auto"/>
        <w:contextualSpacing/>
        <w:jc w:val="both"/>
        <w:rPr>
          <w:iCs/>
          <w:sz w:val="24"/>
          <w:szCs w:val="24"/>
        </w:rPr>
      </w:pPr>
    </w:p>
    <w:p w14:paraId="25AB7F3B" w14:textId="787C25FB" w:rsidR="00CE3A0E" w:rsidRDefault="00CE3A0E" w:rsidP="00CA3E95">
      <w:pPr>
        <w:pStyle w:val="BodyTextIndent"/>
        <w:spacing w:after="0" w:line="276" w:lineRule="auto"/>
        <w:ind w:left="567" w:hanging="567"/>
        <w:contextualSpacing/>
        <w:jc w:val="both"/>
        <w:rPr>
          <w:iCs/>
          <w:sz w:val="24"/>
          <w:szCs w:val="24"/>
        </w:rPr>
      </w:pPr>
      <w:r w:rsidRPr="00EB00B6">
        <w:rPr>
          <w:iCs/>
          <w:sz w:val="24"/>
          <w:szCs w:val="24"/>
        </w:rPr>
        <w:t>Bruce Chapman and Kiatananthan Lounkaew (2015), “</w:t>
      </w:r>
      <w:hyperlink r:id="rId11" w:history="1">
        <w:r w:rsidRPr="00EB00B6">
          <w:rPr>
            <w:rStyle w:val="Hyperlink"/>
            <w:iCs/>
            <w:sz w:val="24"/>
            <w:szCs w:val="24"/>
          </w:rPr>
          <w:t>Measuring the Value of Externalities from Higher Education</w:t>
        </w:r>
      </w:hyperlink>
      <w:r w:rsidRPr="00EB00B6">
        <w:rPr>
          <w:iCs/>
          <w:sz w:val="24"/>
          <w:szCs w:val="24"/>
        </w:rPr>
        <w:t xml:space="preserve">”, </w:t>
      </w:r>
      <w:r w:rsidRPr="00EB00B6">
        <w:rPr>
          <w:i/>
          <w:iCs/>
          <w:sz w:val="24"/>
          <w:szCs w:val="24"/>
        </w:rPr>
        <w:t>Higher Education</w:t>
      </w:r>
      <w:r w:rsidRPr="00EB00B6">
        <w:rPr>
          <w:iCs/>
          <w:sz w:val="24"/>
          <w:szCs w:val="24"/>
        </w:rPr>
        <w:t>, Vol. 70: 767-785.</w:t>
      </w:r>
    </w:p>
    <w:p w14:paraId="79826C1A" w14:textId="77777777" w:rsidR="00214B3F" w:rsidRDefault="00214B3F" w:rsidP="00CA3E95">
      <w:pPr>
        <w:pStyle w:val="BodyTextIndent"/>
        <w:spacing w:after="0" w:line="276" w:lineRule="auto"/>
        <w:ind w:left="567" w:hanging="567"/>
        <w:contextualSpacing/>
        <w:jc w:val="both"/>
        <w:rPr>
          <w:iCs/>
          <w:sz w:val="24"/>
          <w:szCs w:val="24"/>
        </w:rPr>
      </w:pPr>
    </w:p>
    <w:p w14:paraId="01A0592F" w14:textId="704AAC50" w:rsidR="00F10D3E" w:rsidRPr="00F10D3E" w:rsidRDefault="00F10D3E" w:rsidP="00F10D3E">
      <w:pPr>
        <w:ind w:left="567" w:hanging="567"/>
        <w:rPr>
          <w:rFonts w:ascii="Times New Roman" w:eastAsia="Times New Roman" w:hAnsi="Times New Roman" w:cs="Times New Roman"/>
          <w:lang w:val="en-US"/>
        </w:rPr>
      </w:pPr>
      <w:r w:rsidRPr="00F10D3E">
        <w:rPr>
          <w:rFonts w:ascii="Times New Roman" w:hAnsi="Times New Roman" w:cs="Times New Roman"/>
          <w:iCs/>
        </w:rPr>
        <w:t>Claire Crawford, Lorraine Dearden, John Micklewright and Anna Vignoles (2017</w:t>
      </w:r>
      <w:r w:rsidR="00214B3F" w:rsidRPr="00F10D3E">
        <w:rPr>
          <w:rFonts w:ascii="Times New Roman" w:hAnsi="Times New Roman" w:cs="Times New Roman"/>
          <w:iCs/>
        </w:rPr>
        <w:t>)</w:t>
      </w:r>
      <w:r w:rsidRPr="00F10D3E">
        <w:rPr>
          <w:rFonts w:ascii="Times New Roman" w:hAnsi="Times New Roman" w:cs="Times New Roman"/>
          <w:lang w:eastAsia="en-GB"/>
        </w:rPr>
        <w:t>,</w:t>
      </w:r>
      <w:r w:rsidRPr="00F10D3E">
        <w:rPr>
          <w:rFonts w:ascii="Times New Roman" w:eastAsia="Times New Roman" w:hAnsi="Times New Roman" w:cs="Times New Roman"/>
          <w:sz w:val="36"/>
          <w:szCs w:val="36"/>
          <w:shd w:val="clear" w:color="auto" w:fill="FFFFFF"/>
        </w:rPr>
        <w:t xml:space="preserve"> </w:t>
      </w:r>
      <w:r w:rsidRPr="00F10D3E">
        <w:rPr>
          <w:rFonts w:ascii="Times New Roman" w:eastAsia="Times New Roman" w:hAnsi="Times New Roman" w:cs="Times New Roman"/>
          <w:i/>
          <w:shd w:val="clear" w:color="auto" w:fill="FFFFFF"/>
          <w:lang w:val="en-US"/>
        </w:rPr>
        <w:t>Family Background and University Success: Differences in Higher Education Access and Outcomes in England</w:t>
      </w:r>
      <w:r w:rsidRPr="00F10D3E">
        <w:rPr>
          <w:rFonts w:ascii="Times New Roman" w:eastAsia="Times New Roman" w:hAnsi="Times New Roman" w:cs="Times New Roman"/>
          <w:shd w:val="clear" w:color="auto" w:fill="FFFFFF"/>
          <w:lang w:val="en-US"/>
        </w:rPr>
        <w:t>, Oxford.</w:t>
      </w:r>
    </w:p>
    <w:p w14:paraId="4953E2DD" w14:textId="77777777" w:rsidR="00B63D5B" w:rsidRDefault="00B63D5B" w:rsidP="00F10D3E">
      <w:pPr>
        <w:pStyle w:val="BodyTextIndent"/>
        <w:spacing w:after="0" w:line="276" w:lineRule="auto"/>
        <w:contextualSpacing/>
        <w:jc w:val="both"/>
        <w:rPr>
          <w:iCs/>
          <w:sz w:val="24"/>
          <w:szCs w:val="24"/>
        </w:rPr>
      </w:pPr>
    </w:p>
    <w:p w14:paraId="323305D6" w14:textId="22DEB40B" w:rsidR="00B63D5B" w:rsidRPr="00B63D5B" w:rsidRDefault="00B63D5B" w:rsidP="00CA3E95">
      <w:pPr>
        <w:pStyle w:val="BodyTextIndent"/>
        <w:spacing w:after="0" w:line="276" w:lineRule="auto"/>
        <w:ind w:left="567" w:hanging="567"/>
        <w:contextualSpacing/>
        <w:jc w:val="both"/>
        <w:rPr>
          <w:iCs/>
          <w:sz w:val="24"/>
          <w:szCs w:val="24"/>
        </w:rPr>
      </w:pPr>
      <w:r>
        <w:rPr>
          <w:iCs/>
          <w:sz w:val="24"/>
          <w:szCs w:val="24"/>
        </w:rPr>
        <w:t xml:space="preserve">Milton Friedman (1955), </w:t>
      </w:r>
      <w:r>
        <w:rPr>
          <w:i/>
          <w:iCs/>
          <w:sz w:val="24"/>
          <w:szCs w:val="24"/>
        </w:rPr>
        <w:t xml:space="preserve">Capitalism and Freedom, </w:t>
      </w:r>
      <w:r>
        <w:rPr>
          <w:iCs/>
          <w:sz w:val="24"/>
          <w:szCs w:val="24"/>
        </w:rPr>
        <w:t>Chicago University Press, Chicago.</w:t>
      </w:r>
    </w:p>
    <w:p w14:paraId="1589F80B" w14:textId="77777777" w:rsidR="009F0C30" w:rsidRDefault="009F0C30" w:rsidP="00CA3E95">
      <w:pPr>
        <w:pStyle w:val="BodyTextIndent"/>
        <w:spacing w:after="0" w:line="276" w:lineRule="auto"/>
        <w:ind w:left="567" w:hanging="567"/>
        <w:contextualSpacing/>
        <w:jc w:val="both"/>
        <w:rPr>
          <w:iCs/>
          <w:sz w:val="24"/>
          <w:szCs w:val="24"/>
        </w:rPr>
      </w:pPr>
    </w:p>
    <w:p w14:paraId="51CE437A" w14:textId="31051E68" w:rsidR="009F0C30" w:rsidRPr="009F0C30" w:rsidRDefault="009F0C30" w:rsidP="00CA3E95">
      <w:pPr>
        <w:pStyle w:val="BodyTextIndent"/>
        <w:spacing w:after="0" w:line="276" w:lineRule="auto"/>
        <w:ind w:left="567" w:hanging="567"/>
        <w:contextualSpacing/>
        <w:jc w:val="both"/>
        <w:rPr>
          <w:iCs/>
          <w:sz w:val="24"/>
          <w:szCs w:val="24"/>
        </w:rPr>
      </w:pPr>
      <w:r w:rsidRPr="009F0C30">
        <w:rPr>
          <w:sz w:val="24"/>
          <w:szCs w:val="24"/>
        </w:rPr>
        <w:t xml:space="preserve">“Special Issue: Higher Education Financing: Student Loans” (2019), </w:t>
      </w:r>
      <w:r w:rsidRPr="009F0C30">
        <w:rPr>
          <w:i/>
          <w:sz w:val="24"/>
          <w:szCs w:val="24"/>
        </w:rPr>
        <w:t>Economics of Education Review</w:t>
      </w:r>
      <w:r w:rsidRPr="009F0C30">
        <w:rPr>
          <w:sz w:val="24"/>
          <w:szCs w:val="24"/>
        </w:rPr>
        <w:t>, Vol. 71: 1-7.</w:t>
      </w:r>
    </w:p>
    <w:p w14:paraId="33D02CAF" w14:textId="77777777" w:rsidR="00EB00B6" w:rsidRPr="009F0C30" w:rsidRDefault="00EB00B6" w:rsidP="00EB00B6">
      <w:pPr>
        <w:spacing w:line="276" w:lineRule="auto"/>
        <w:ind w:right="373"/>
        <w:contextualSpacing/>
        <w:jc w:val="both"/>
        <w:rPr>
          <w:rFonts w:ascii="Times New Roman" w:hAnsi="Times New Roman" w:cs="Times New Roman"/>
          <w:bCs/>
        </w:rPr>
      </w:pPr>
    </w:p>
    <w:p w14:paraId="0EBED734" w14:textId="747FF02C" w:rsidR="00EB00B6" w:rsidRDefault="00EB00B6" w:rsidP="00EB00B6">
      <w:pPr>
        <w:spacing w:before="60" w:after="60" w:line="276" w:lineRule="auto"/>
        <w:ind w:left="540" w:right="373" w:hanging="540"/>
        <w:contextualSpacing/>
        <w:jc w:val="both"/>
        <w:rPr>
          <w:rFonts w:ascii="Times New Roman" w:hAnsi="Times New Roman" w:cs="Times New Roman"/>
          <w:iCs/>
        </w:rPr>
      </w:pPr>
      <w:r w:rsidRPr="00EB00B6">
        <w:rPr>
          <w:rFonts w:ascii="Times New Roman" w:hAnsi="Times New Roman" w:cs="Times New Roman"/>
        </w:rPr>
        <w:t xml:space="preserve">Joseph E. Stiglitz (2014), “Remarks on income-contingent loans: How effective are they in mitigating risk?”, in </w:t>
      </w:r>
      <w:r w:rsidRPr="00EB00B6">
        <w:rPr>
          <w:rFonts w:ascii="Times New Roman" w:hAnsi="Times New Roman" w:cs="Times New Roman"/>
          <w:iCs/>
        </w:rPr>
        <w:t>Bruce Chapman, Timothy Higgins and Joseph E. Stiglitz (eds.),</w:t>
      </w:r>
      <w:r w:rsidRPr="00EB00B6">
        <w:rPr>
          <w:rFonts w:ascii="Times New Roman" w:hAnsi="Times New Roman" w:cs="Times New Roman"/>
        </w:rPr>
        <w:t xml:space="preserve"> </w:t>
      </w:r>
      <w:r w:rsidRPr="00EB00B6">
        <w:rPr>
          <w:rFonts w:ascii="Times New Roman" w:hAnsi="Times New Roman" w:cs="Times New Roman"/>
          <w:i/>
          <w:iCs/>
        </w:rPr>
        <w:t xml:space="preserve">Income Contingent Loans: Theory, practice and prospects, </w:t>
      </w:r>
      <w:r w:rsidRPr="00EB00B6">
        <w:rPr>
          <w:rFonts w:ascii="Times New Roman" w:hAnsi="Times New Roman" w:cs="Times New Roman"/>
          <w:iCs/>
        </w:rPr>
        <w:t>Palgrave Macmillan, New York: 136-141.</w:t>
      </w:r>
    </w:p>
    <w:p w14:paraId="6F186D74" w14:textId="77777777" w:rsidR="00CD4BB0" w:rsidRPr="00EB00B6" w:rsidRDefault="00CD4BB0" w:rsidP="00EB00B6">
      <w:pPr>
        <w:spacing w:before="60" w:after="60" w:line="276" w:lineRule="auto"/>
        <w:ind w:left="540" w:right="373" w:hanging="540"/>
        <w:contextualSpacing/>
        <w:jc w:val="both"/>
        <w:rPr>
          <w:rFonts w:ascii="Times New Roman" w:hAnsi="Times New Roman" w:cs="Times New Roman"/>
          <w:iCs/>
        </w:rPr>
      </w:pPr>
    </w:p>
    <w:p w14:paraId="76C83353" w14:textId="0E15183F" w:rsidR="009E3759" w:rsidRDefault="009E3759" w:rsidP="00CA3E95">
      <w:pPr>
        <w:spacing w:line="276" w:lineRule="auto"/>
        <w:ind w:left="567" w:hanging="567"/>
        <w:rPr>
          <w:rFonts w:ascii="Times New Roman" w:eastAsia="Times New Roman" w:hAnsi="Times New Roman" w:cs="Times New Roman"/>
          <w:color w:val="000000" w:themeColor="text1"/>
          <w:shd w:val="clear" w:color="auto" w:fill="FFFFFF"/>
        </w:rPr>
      </w:pPr>
      <w:r w:rsidRPr="00EB00B6">
        <w:rPr>
          <w:rFonts w:ascii="Times New Roman" w:eastAsia="Times New Roman" w:hAnsi="Times New Roman" w:cs="Times New Roman"/>
          <w:color w:val="000000" w:themeColor="text1"/>
          <w:shd w:val="clear" w:color="auto" w:fill="FFFFFF"/>
        </w:rPr>
        <w:t>G. Wyness, R. Murphy and J. Scott Clayton (2019),</w:t>
      </w:r>
      <w:r w:rsidR="00CA3E95" w:rsidRPr="00EB00B6">
        <w:rPr>
          <w:rFonts w:ascii="Times New Roman" w:eastAsia="Times New Roman" w:hAnsi="Times New Roman" w:cs="Times New Roman"/>
          <w:color w:val="000000" w:themeColor="text1"/>
          <w:shd w:val="clear" w:color="auto" w:fill="FFFFFF"/>
        </w:rPr>
        <w:t xml:space="preserve"> “The end of free college in England: Implications for enrolments, equity and quality”, </w:t>
      </w:r>
      <w:r w:rsidRPr="00EB00B6">
        <w:rPr>
          <w:rFonts w:ascii="Times New Roman" w:eastAsia="Times New Roman" w:hAnsi="Times New Roman" w:cs="Times New Roman"/>
          <w:i/>
          <w:iCs/>
          <w:color w:val="000000" w:themeColor="text1"/>
          <w:bdr w:val="none" w:sz="0" w:space="0" w:color="auto" w:frame="1"/>
          <w:shd w:val="clear" w:color="auto" w:fill="FFFFFF"/>
        </w:rPr>
        <w:t>Economics of Education Review</w:t>
      </w:r>
      <w:r w:rsidRPr="00EB00B6">
        <w:rPr>
          <w:rFonts w:ascii="Times New Roman" w:eastAsia="Times New Roman" w:hAnsi="Times New Roman" w:cs="Times New Roman"/>
          <w:color w:val="000000" w:themeColor="text1"/>
          <w:shd w:val="clear" w:color="auto" w:fill="FFFFFF"/>
        </w:rPr>
        <w:t>. doi:10.1016/j.econedurev.2018.11.007</w:t>
      </w:r>
    </w:p>
    <w:p w14:paraId="5459FB8A" w14:textId="77777777" w:rsidR="006C079D" w:rsidRDefault="006C079D" w:rsidP="00CA3E95">
      <w:pPr>
        <w:spacing w:line="276" w:lineRule="auto"/>
        <w:ind w:left="567" w:hanging="567"/>
        <w:rPr>
          <w:rFonts w:ascii="Times New Roman" w:eastAsia="Times New Roman" w:hAnsi="Times New Roman" w:cs="Times New Roman"/>
          <w:color w:val="000000" w:themeColor="text1"/>
          <w:shd w:val="clear" w:color="auto" w:fill="FFFFFF"/>
        </w:rPr>
      </w:pPr>
    </w:p>
    <w:sectPr w:rsidR="006C079D" w:rsidSect="003111EB">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7EAFE" w14:textId="77777777" w:rsidR="00D70F6B" w:rsidRDefault="00D70F6B" w:rsidP="001268E2">
      <w:r>
        <w:separator/>
      </w:r>
    </w:p>
  </w:endnote>
  <w:endnote w:type="continuationSeparator" w:id="0">
    <w:p w14:paraId="35867C74" w14:textId="77777777" w:rsidR="00D70F6B" w:rsidRDefault="00D70F6B" w:rsidP="0012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Italic">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1A848" w14:textId="77777777" w:rsidR="001268E2" w:rsidRDefault="001268E2" w:rsidP="00D8380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EE8A70" w14:textId="77777777" w:rsidR="001268E2" w:rsidRDefault="001268E2" w:rsidP="001268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26DCB" w14:textId="77777777" w:rsidR="001268E2" w:rsidRDefault="001268E2" w:rsidP="00D8380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3910">
      <w:rPr>
        <w:rStyle w:val="PageNumber"/>
        <w:noProof/>
      </w:rPr>
      <w:t>1</w:t>
    </w:r>
    <w:r>
      <w:rPr>
        <w:rStyle w:val="PageNumber"/>
      </w:rPr>
      <w:fldChar w:fldCharType="end"/>
    </w:r>
  </w:p>
  <w:p w14:paraId="5B969517" w14:textId="77777777" w:rsidR="001268E2" w:rsidRDefault="001268E2" w:rsidP="001268E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03011" w14:textId="77777777" w:rsidR="00D70F6B" w:rsidRDefault="00D70F6B" w:rsidP="001268E2">
      <w:r>
        <w:separator/>
      </w:r>
    </w:p>
  </w:footnote>
  <w:footnote w:type="continuationSeparator" w:id="0">
    <w:p w14:paraId="4FE3A467" w14:textId="77777777" w:rsidR="00D70F6B" w:rsidRDefault="00D70F6B" w:rsidP="001268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B30C4"/>
    <w:multiLevelType w:val="hybridMultilevel"/>
    <w:tmpl w:val="00E0F062"/>
    <w:lvl w:ilvl="0" w:tplc="23607BC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07F60"/>
    <w:multiLevelType w:val="hybridMultilevel"/>
    <w:tmpl w:val="E58A8124"/>
    <w:lvl w:ilvl="0" w:tplc="569C2000">
      <w:start w:val="1"/>
      <w:numFmt w:val="lowerRoman"/>
      <w:lvlText w:val="(%1)"/>
      <w:lvlJc w:val="left"/>
      <w:pPr>
        <w:ind w:left="1080" w:hanging="72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F460BB"/>
    <w:multiLevelType w:val="hybridMultilevel"/>
    <w:tmpl w:val="18E69320"/>
    <w:lvl w:ilvl="0" w:tplc="9DC654A6">
      <w:start w:val="1"/>
      <w:numFmt w:val="decimal"/>
      <w:lvlText w:val="%1."/>
      <w:lvlJc w:val="left"/>
      <w:pPr>
        <w:ind w:left="720" w:hanging="360"/>
      </w:pPr>
      <w:rPr>
        <w:rFonts w:ascii="Times" w:hAnsi="Times"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C77B93"/>
    <w:multiLevelType w:val="hybridMultilevel"/>
    <w:tmpl w:val="878ED4A6"/>
    <w:lvl w:ilvl="0" w:tplc="ED5A309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84032B"/>
    <w:multiLevelType w:val="hybridMultilevel"/>
    <w:tmpl w:val="8F5647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B71C20"/>
    <w:multiLevelType w:val="hybridMultilevel"/>
    <w:tmpl w:val="532082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971E2A"/>
    <w:multiLevelType w:val="hybridMultilevel"/>
    <w:tmpl w:val="ACA6D4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DA733C"/>
    <w:multiLevelType w:val="multilevel"/>
    <w:tmpl w:val="1FCAEEF0"/>
    <w:lvl w:ilvl="0">
      <w:start w:val="1"/>
      <w:numFmt w:val="decimal"/>
      <w:lvlText w:val="%1"/>
      <w:lvlJc w:val="left"/>
      <w:pPr>
        <w:ind w:left="920" w:hanging="5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6DA48F3"/>
    <w:multiLevelType w:val="hybridMultilevel"/>
    <w:tmpl w:val="532082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8"/>
  </w:num>
  <w:num w:numId="5">
    <w:abstractNumId w:val="4"/>
  </w:num>
  <w:num w:numId="6">
    <w:abstractNumId w:val="0"/>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4D2"/>
    <w:rsid w:val="000027B2"/>
    <w:rsid w:val="000821AE"/>
    <w:rsid w:val="000C37FA"/>
    <w:rsid w:val="000D62D2"/>
    <w:rsid w:val="001150A2"/>
    <w:rsid w:val="001268E2"/>
    <w:rsid w:val="00136C91"/>
    <w:rsid w:val="00145B34"/>
    <w:rsid w:val="00162E05"/>
    <w:rsid w:val="001B4A10"/>
    <w:rsid w:val="001C7B61"/>
    <w:rsid w:val="001D3894"/>
    <w:rsid w:val="001D4959"/>
    <w:rsid w:val="001E2E09"/>
    <w:rsid w:val="001E4715"/>
    <w:rsid w:val="001E5EB9"/>
    <w:rsid w:val="00200B1F"/>
    <w:rsid w:val="00214B3F"/>
    <w:rsid w:val="00215531"/>
    <w:rsid w:val="00250647"/>
    <w:rsid w:val="00264224"/>
    <w:rsid w:val="0028015B"/>
    <w:rsid w:val="002A20CA"/>
    <w:rsid w:val="002A5667"/>
    <w:rsid w:val="002D10C4"/>
    <w:rsid w:val="003111EB"/>
    <w:rsid w:val="0036739F"/>
    <w:rsid w:val="003940E6"/>
    <w:rsid w:val="00396AEB"/>
    <w:rsid w:val="003A39BF"/>
    <w:rsid w:val="003B01B9"/>
    <w:rsid w:val="003E4311"/>
    <w:rsid w:val="00425A17"/>
    <w:rsid w:val="0044198D"/>
    <w:rsid w:val="00462853"/>
    <w:rsid w:val="0048416F"/>
    <w:rsid w:val="004A2BF6"/>
    <w:rsid w:val="004C51B0"/>
    <w:rsid w:val="00555D2D"/>
    <w:rsid w:val="005642F0"/>
    <w:rsid w:val="005704E0"/>
    <w:rsid w:val="005718CA"/>
    <w:rsid w:val="00584F78"/>
    <w:rsid w:val="005B0C32"/>
    <w:rsid w:val="005C29FD"/>
    <w:rsid w:val="005D7F27"/>
    <w:rsid w:val="005E3876"/>
    <w:rsid w:val="005F471C"/>
    <w:rsid w:val="00627EDB"/>
    <w:rsid w:val="006530C0"/>
    <w:rsid w:val="00664DD0"/>
    <w:rsid w:val="006775B6"/>
    <w:rsid w:val="006A59D7"/>
    <w:rsid w:val="006A7239"/>
    <w:rsid w:val="006C079D"/>
    <w:rsid w:val="007012D6"/>
    <w:rsid w:val="00713450"/>
    <w:rsid w:val="00730D5E"/>
    <w:rsid w:val="00732564"/>
    <w:rsid w:val="0074366F"/>
    <w:rsid w:val="00754A26"/>
    <w:rsid w:val="00772DD5"/>
    <w:rsid w:val="007C223F"/>
    <w:rsid w:val="007D1BA8"/>
    <w:rsid w:val="007F372A"/>
    <w:rsid w:val="00805B12"/>
    <w:rsid w:val="00815CB7"/>
    <w:rsid w:val="00825001"/>
    <w:rsid w:val="00831293"/>
    <w:rsid w:val="00841CB8"/>
    <w:rsid w:val="00896582"/>
    <w:rsid w:val="008C1BC0"/>
    <w:rsid w:val="00974B71"/>
    <w:rsid w:val="009D7FFA"/>
    <w:rsid w:val="009E3695"/>
    <w:rsid w:val="009E3759"/>
    <w:rsid w:val="009F0C30"/>
    <w:rsid w:val="00A27043"/>
    <w:rsid w:val="00A4001F"/>
    <w:rsid w:val="00A40CC9"/>
    <w:rsid w:val="00A42699"/>
    <w:rsid w:val="00A53910"/>
    <w:rsid w:val="00A56FCA"/>
    <w:rsid w:val="00A85B8D"/>
    <w:rsid w:val="00A96272"/>
    <w:rsid w:val="00AD24D2"/>
    <w:rsid w:val="00AE5592"/>
    <w:rsid w:val="00B252D1"/>
    <w:rsid w:val="00B63D5B"/>
    <w:rsid w:val="00B66136"/>
    <w:rsid w:val="00BC0102"/>
    <w:rsid w:val="00C043E7"/>
    <w:rsid w:val="00C117C3"/>
    <w:rsid w:val="00C16272"/>
    <w:rsid w:val="00C5153E"/>
    <w:rsid w:val="00C72ECE"/>
    <w:rsid w:val="00CA3E95"/>
    <w:rsid w:val="00CD2B81"/>
    <w:rsid w:val="00CD4BB0"/>
    <w:rsid w:val="00CE3A0E"/>
    <w:rsid w:val="00D66ABA"/>
    <w:rsid w:val="00D70F6B"/>
    <w:rsid w:val="00D9663D"/>
    <w:rsid w:val="00DA0894"/>
    <w:rsid w:val="00DE2995"/>
    <w:rsid w:val="00E051A1"/>
    <w:rsid w:val="00E51DDB"/>
    <w:rsid w:val="00E6274A"/>
    <w:rsid w:val="00E67EB6"/>
    <w:rsid w:val="00E9012B"/>
    <w:rsid w:val="00E9200A"/>
    <w:rsid w:val="00E9720B"/>
    <w:rsid w:val="00EA25C3"/>
    <w:rsid w:val="00EB00B6"/>
    <w:rsid w:val="00F10D3E"/>
    <w:rsid w:val="00F426FD"/>
    <w:rsid w:val="00F54B24"/>
    <w:rsid w:val="00F73A75"/>
    <w:rsid w:val="00F82F5F"/>
    <w:rsid w:val="00F93B06"/>
    <w:rsid w:val="00F957E7"/>
    <w:rsid w:val="00FA7A59"/>
    <w:rsid w:val="00FD1E01"/>
    <w:rsid w:val="00FF7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1DC4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paragraph" w:styleId="Heading9">
    <w:name w:val="heading 9"/>
    <w:basedOn w:val="Normal"/>
    <w:next w:val="Normal"/>
    <w:link w:val="Heading9Char"/>
    <w:qFormat/>
    <w:rsid w:val="006530C0"/>
    <w:pPr>
      <w:keepNext/>
      <w:spacing w:after="240"/>
      <w:ind w:right="-1"/>
      <w:outlineLvl w:val="8"/>
    </w:pPr>
    <w:rPr>
      <w:rFonts w:ascii="Times New Roman" w:eastAsia="Times New Roman" w:hAnsi="Times New Roman" w:cs="Times New Roman"/>
      <w:i/>
      <w:sz w:val="22"/>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E3A0E"/>
    <w:pPr>
      <w:spacing w:after="200" w:line="320" w:lineRule="atLeast"/>
    </w:pPr>
    <w:rPr>
      <w:rFonts w:ascii="Times New Roman" w:eastAsia="Times New Roman" w:hAnsi="Times New Roman" w:cs="Times New Roman"/>
      <w:sz w:val="22"/>
      <w:szCs w:val="20"/>
      <w:lang w:val="en-US"/>
    </w:rPr>
  </w:style>
  <w:style w:type="character" w:customStyle="1" w:styleId="BodyTextIndentChar">
    <w:name w:val="Body Text Indent Char"/>
    <w:basedOn w:val="DefaultParagraphFont"/>
    <w:link w:val="BodyTextIndent"/>
    <w:rsid w:val="00CE3A0E"/>
    <w:rPr>
      <w:rFonts w:ascii="Times New Roman" w:eastAsia="Times New Roman" w:hAnsi="Times New Roman" w:cs="Times New Roman"/>
      <w:sz w:val="22"/>
      <w:szCs w:val="20"/>
    </w:rPr>
  </w:style>
  <w:style w:type="character" w:styleId="Hyperlink">
    <w:name w:val="Hyperlink"/>
    <w:rsid w:val="00CE3A0E"/>
    <w:rPr>
      <w:color w:val="0563C1"/>
      <w:u w:val="single"/>
    </w:rPr>
  </w:style>
  <w:style w:type="paragraph" w:styleId="Footer">
    <w:name w:val="footer"/>
    <w:basedOn w:val="Normal"/>
    <w:link w:val="FooterChar"/>
    <w:uiPriority w:val="99"/>
    <w:unhideWhenUsed/>
    <w:rsid w:val="001268E2"/>
    <w:pPr>
      <w:tabs>
        <w:tab w:val="center" w:pos="4513"/>
        <w:tab w:val="right" w:pos="9026"/>
      </w:tabs>
    </w:pPr>
  </w:style>
  <w:style w:type="character" w:customStyle="1" w:styleId="FooterChar">
    <w:name w:val="Footer Char"/>
    <w:basedOn w:val="DefaultParagraphFont"/>
    <w:link w:val="Footer"/>
    <w:uiPriority w:val="99"/>
    <w:rsid w:val="001268E2"/>
    <w:rPr>
      <w:lang w:val="en-CA"/>
    </w:rPr>
  </w:style>
  <w:style w:type="character" w:styleId="PageNumber">
    <w:name w:val="page number"/>
    <w:basedOn w:val="DefaultParagraphFont"/>
    <w:uiPriority w:val="99"/>
    <w:semiHidden/>
    <w:unhideWhenUsed/>
    <w:rsid w:val="001268E2"/>
  </w:style>
  <w:style w:type="character" w:customStyle="1" w:styleId="Heading9Char">
    <w:name w:val="Heading 9 Char"/>
    <w:basedOn w:val="DefaultParagraphFont"/>
    <w:link w:val="Heading9"/>
    <w:rsid w:val="006530C0"/>
    <w:rPr>
      <w:rFonts w:ascii="Times New Roman" w:eastAsia="Times New Roman" w:hAnsi="Times New Roman" w:cs="Times New Roman"/>
      <w:i/>
      <w:sz w:val="22"/>
      <w:szCs w:val="20"/>
      <w:lang w:val="en-AU"/>
    </w:rPr>
  </w:style>
  <w:style w:type="character" w:styleId="FollowedHyperlink">
    <w:name w:val="FollowedHyperlink"/>
    <w:basedOn w:val="DefaultParagraphFont"/>
    <w:uiPriority w:val="99"/>
    <w:semiHidden/>
    <w:unhideWhenUsed/>
    <w:rsid w:val="006530C0"/>
    <w:rPr>
      <w:color w:val="954F72" w:themeColor="followedHyperlink"/>
      <w:u w:val="single"/>
    </w:rPr>
  </w:style>
  <w:style w:type="paragraph" w:styleId="ListParagraph">
    <w:name w:val="List Paragraph"/>
    <w:basedOn w:val="Normal"/>
    <w:uiPriority w:val="34"/>
    <w:qFormat/>
    <w:rsid w:val="00555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79535">
      <w:bodyDiv w:val="1"/>
      <w:marLeft w:val="0"/>
      <w:marRight w:val="0"/>
      <w:marTop w:val="0"/>
      <w:marBottom w:val="0"/>
      <w:divBdr>
        <w:top w:val="none" w:sz="0" w:space="0" w:color="auto"/>
        <w:left w:val="none" w:sz="0" w:space="0" w:color="auto"/>
        <w:bottom w:val="none" w:sz="0" w:space="0" w:color="auto"/>
        <w:right w:val="none" w:sz="0" w:space="0" w:color="auto"/>
      </w:divBdr>
    </w:div>
    <w:div w:id="840775759">
      <w:bodyDiv w:val="1"/>
      <w:marLeft w:val="0"/>
      <w:marRight w:val="0"/>
      <w:marTop w:val="0"/>
      <w:marBottom w:val="0"/>
      <w:divBdr>
        <w:top w:val="none" w:sz="0" w:space="0" w:color="auto"/>
        <w:left w:val="none" w:sz="0" w:space="0" w:color="auto"/>
        <w:bottom w:val="none" w:sz="0" w:space="0" w:color="auto"/>
        <w:right w:val="none" w:sz="0" w:space="0" w:color="auto"/>
      </w:divBdr>
    </w:div>
    <w:div w:id="1821262324">
      <w:bodyDiv w:val="1"/>
      <w:marLeft w:val="0"/>
      <w:marRight w:val="0"/>
      <w:marTop w:val="0"/>
      <w:marBottom w:val="0"/>
      <w:divBdr>
        <w:top w:val="none" w:sz="0" w:space="0" w:color="auto"/>
        <w:left w:val="none" w:sz="0" w:space="0" w:color="auto"/>
        <w:bottom w:val="none" w:sz="0" w:space="0" w:color="auto"/>
        <w:right w:val="none" w:sz="0" w:space="0" w:color="auto"/>
      </w:divBdr>
    </w:div>
    <w:div w:id="21261515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au/books?hl=en&amp;lr=&amp;id=1_OBAgAAQBAJ&amp;oi=fnd&amp;pg=PP1&amp;dq=bruce+chapman&amp;ots=XxcJ4wooNV&amp;sig=m-a2CMNOlZW9SYl_wLgOrHl_BK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rucejchapman.com/wp-content/uploads/2019/01/US-College-Loans-System-1.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dcu.be/bi6Y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rucejchapman.com/wp-content/uploads/2019/02/The-Costs-of-Unpaid-Higher-Education-Contribution-Scheme-for-Graduates-Working-Abroad.pdf" TargetMode="External"/><Relationship Id="rId4" Type="http://schemas.openxmlformats.org/officeDocument/2006/relationships/webSettings" Target="webSettings.xml"/><Relationship Id="rId9" Type="http://schemas.openxmlformats.org/officeDocument/2006/relationships/hyperlink" Target="https://wol.iza.org/uploads/articles/227/pdfs/income-contingent-loans-in-higher-education-financing.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D88DCE26.dotm</Template>
  <TotalTime>3</TotalTime>
  <Pages>12</Pages>
  <Words>4906</Words>
  <Characters>27969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Submission IR129 - Bruce Chapman - Skills and Workforce Agreement - Commissioned study</vt:lpstr>
    </vt:vector>
  </TitlesOfParts>
  <Company>Bruce Chapman</Company>
  <LinksUpToDate>false</LinksUpToDate>
  <CharactersWithSpaces>32810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IR129 - Bruce Chapman - Skills and Workforce Agreement - Commissioned study</dc:title>
  <dc:subject/>
  <dc:creator>Bruce Chapman</dc:creator>
  <cp:keywords/>
  <dc:description/>
  <cp:lastModifiedBy>Productivity Commission</cp:lastModifiedBy>
  <cp:revision>3</cp:revision>
  <dcterms:created xsi:type="dcterms:W3CDTF">2020-07-23T04:23:00Z</dcterms:created>
  <dcterms:modified xsi:type="dcterms:W3CDTF">2020-07-27T06:11:00Z</dcterms:modified>
</cp:coreProperties>
</file>