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1CD7C" w14:textId="0F1D121F" w:rsidR="00F3184C" w:rsidRDefault="00F3184C" w:rsidP="00F3184C">
      <w:pPr>
        <w:pStyle w:val="Title"/>
        <w:jc w:val="both"/>
        <w:rPr>
          <w:rFonts w:ascii="Arial" w:hAnsi="Arial" w:cs="Arial"/>
          <w:sz w:val="40"/>
          <w:szCs w:val="40"/>
        </w:rPr>
      </w:pPr>
      <w:bookmarkStart w:id="0" w:name="_GoBack"/>
      <w:bookmarkEnd w:id="0"/>
      <w:r w:rsidRPr="00A11EA3">
        <w:rPr>
          <w:rFonts w:ascii="Arial" w:hAnsi="Arial" w:cs="Arial"/>
          <w:sz w:val="40"/>
          <w:szCs w:val="40"/>
        </w:rPr>
        <w:t>Submission to the Productivity Commission’s Draft Indigenous Evaluation Strategy</w:t>
      </w:r>
    </w:p>
    <w:p w14:paraId="694CD7F2" w14:textId="5093F312" w:rsidR="009E74E7" w:rsidRDefault="009E74E7" w:rsidP="009E74E7"/>
    <w:p w14:paraId="1DCCB7C8" w14:textId="77777777" w:rsidR="009E74E7" w:rsidRDefault="009E74E7" w:rsidP="00AB595D">
      <w:pPr>
        <w:spacing w:after="0"/>
      </w:pPr>
      <w:r>
        <w:t>Aboriginal Strategy and Oversight and the Centre for Evaluation, Research and Evidence,</w:t>
      </w:r>
    </w:p>
    <w:p w14:paraId="16358533" w14:textId="76318DFF" w:rsidR="009E74E7" w:rsidRDefault="009E74E7" w:rsidP="00AB595D">
      <w:pPr>
        <w:spacing w:after="0"/>
      </w:pPr>
      <w:r>
        <w:t>Department of Health and Human Services</w:t>
      </w:r>
    </w:p>
    <w:p w14:paraId="6621638C" w14:textId="05C43E1D" w:rsidR="004516BB" w:rsidRDefault="004516BB" w:rsidP="00AB595D">
      <w:pPr>
        <w:spacing w:after="0"/>
      </w:pPr>
      <w:r>
        <w:t>3 August 2020</w:t>
      </w:r>
    </w:p>
    <w:p w14:paraId="1AFF8C04" w14:textId="3AFA50DD" w:rsidR="009E74E7" w:rsidRPr="009E74E7" w:rsidRDefault="009E74E7" w:rsidP="009E74E7"/>
    <w:p w14:paraId="0514C606" w14:textId="77777777" w:rsidR="00F3184C" w:rsidRPr="00F15322" w:rsidRDefault="00F3184C" w:rsidP="00F3184C">
      <w:pPr>
        <w:pStyle w:val="Heading1"/>
        <w:jc w:val="both"/>
        <w:rPr>
          <w:rFonts w:cs="Arial"/>
        </w:rPr>
      </w:pPr>
      <w:r w:rsidRPr="00F15322">
        <w:rPr>
          <w:rFonts w:cs="Arial"/>
        </w:rPr>
        <w:t>Introduction</w:t>
      </w:r>
    </w:p>
    <w:p w14:paraId="08FD7B98" w14:textId="79D1B841" w:rsidR="00F3184C" w:rsidRDefault="00F3184C" w:rsidP="00F3184C">
      <w:pPr>
        <w:jc w:val="both"/>
        <w:rPr>
          <w:rFonts w:ascii="Arial" w:hAnsi="Arial" w:cs="Arial"/>
        </w:rPr>
      </w:pPr>
      <w:r w:rsidRPr="00EB1840">
        <w:rPr>
          <w:rFonts w:ascii="Arial" w:hAnsi="Arial" w:cs="Arial"/>
        </w:rPr>
        <w:t xml:space="preserve">The </w:t>
      </w:r>
      <w:r>
        <w:rPr>
          <w:rFonts w:ascii="Arial" w:hAnsi="Arial" w:cs="Arial"/>
        </w:rPr>
        <w:t xml:space="preserve">Victorian </w:t>
      </w:r>
      <w:r w:rsidRPr="00F15322">
        <w:rPr>
          <w:rFonts w:ascii="Arial" w:hAnsi="Arial" w:cs="Arial"/>
        </w:rPr>
        <w:t>Department of Health and Human Services (the department</w:t>
      </w:r>
      <w:r>
        <w:rPr>
          <w:rFonts w:ascii="Arial" w:hAnsi="Arial" w:cs="Arial"/>
        </w:rPr>
        <w:t>)</w:t>
      </w:r>
      <w:r w:rsidRPr="00EB1840">
        <w:rPr>
          <w:rFonts w:ascii="Arial" w:hAnsi="Arial" w:cs="Arial"/>
        </w:rPr>
        <w:t xml:space="preserve"> acknowledges </w:t>
      </w:r>
      <w:r w:rsidRPr="00863097">
        <w:rPr>
          <w:rFonts w:ascii="Arial" w:hAnsi="Arial" w:cs="Arial"/>
        </w:rPr>
        <w:t>the effects of colonisation and past government policies and practice</w:t>
      </w:r>
      <w:r>
        <w:rPr>
          <w:rFonts w:ascii="Arial" w:hAnsi="Arial" w:cs="Arial"/>
        </w:rPr>
        <w:t>s on Aboriginal Victorians</w:t>
      </w:r>
      <w:r>
        <w:rPr>
          <w:rStyle w:val="FootnoteReference"/>
          <w:rFonts w:ascii="Arial" w:hAnsi="Arial" w:cs="Arial"/>
        </w:rPr>
        <w:footnoteReference w:id="1"/>
      </w:r>
      <w:r>
        <w:rPr>
          <w:rFonts w:ascii="Arial" w:hAnsi="Arial" w:cs="Arial"/>
        </w:rPr>
        <w:t xml:space="preserve"> who continue to experience poorer health, wellbeing and safety outcomes than the broader Victorian population. </w:t>
      </w:r>
    </w:p>
    <w:p w14:paraId="7F7B3E85" w14:textId="77777777" w:rsidR="00F3184C" w:rsidRDefault="00F3184C" w:rsidP="00F3184C">
      <w:pPr>
        <w:jc w:val="both"/>
        <w:rPr>
          <w:rFonts w:ascii="Arial" w:hAnsi="Arial" w:cs="Arial"/>
        </w:rPr>
      </w:pPr>
      <w:r>
        <w:rPr>
          <w:rFonts w:ascii="Arial" w:hAnsi="Arial" w:cs="Arial"/>
        </w:rPr>
        <w:t>T</w:t>
      </w:r>
      <w:r w:rsidRPr="00F15322">
        <w:rPr>
          <w:rFonts w:ascii="Arial" w:hAnsi="Arial" w:cs="Arial"/>
        </w:rPr>
        <w:t xml:space="preserve">he Australian Government’s draft </w:t>
      </w:r>
      <w:r w:rsidRPr="001A021F">
        <w:rPr>
          <w:rFonts w:ascii="Arial" w:hAnsi="Arial" w:cs="Arial"/>
          <w:i/>
          <w:iCs/>
        </w:rPr>
        <w:t>Indigenous Evaluation Strategy</w:t>
      </w:r>
      <w:r>
        <w:rPr>
          <w:rFonts w:ascii="Arial" w:hAnsi="Arial" w:cs="Arial"/>
        </w:rPr>
        <w:t xml:space="preserve">, which places Aboriginal and Torres Strait Islander people at its centre, shows promise in contributing to the system-wide change needed to improve outcomes for Aboriginal Victorians. </w:t>
      </w:r>
    </w:p>
    <w:p w14:paraId="69B9994B" w14:textId="1665CBA0" w:rsidR="00BB4E63" w:rsidRDefault="00F3184C" w:rsidP="00BB4E63">
      <w:pPr>
        <w:jc w:val="both"/>
        <w:rPr>
          <w:rFonts w:ascii="Arial" w:hAnsi="Arial" w:cs="Arial"/>
        </w:rPr>
      </w:pPr>
      <w:r>
        <w:rPr>
          <w:rFonts w:ascii="Arial" w:hAnsi="Arial" w:cs="Arial"/>
        </w:rPr>
        <w:t>This</w:t>
      </w:r>
      <w:r w:rsidR="00524746">
        <w:rPr>
          <w:rFonts w:ascii="Arial" w:hAnsi="Arial" w:cs="Arial"/>
        </w:rPr>
        <w:t xml:space="preserve"> </w:t>
      </w:r>
      <w:r>
        <w:rPr>
          <w:rFonts w:ascii="Arial" w:hAnsi="Arial" w:cs="Arial"/>
        </w:rPr>
        <w:t xml:space="preserve">submission </w:t>
      </w:r>
      <w:r w:rsidR="00BB4E63">
        <w:rPr>
          <w:rFonts w:ascii="Arial" w:hAnsi="Arial" w:cs="Arial"/>
        </w:rPr>
        <w:t xml:space="preserve">finds that the principles and priorities of the </w:t>
      </w:r>
      <w:r w:rsidR="00BB4E63" w:rsidRPr="001A021F">
        <w:rPr>
          <w:rFonts w:ascii="Arial" w:hAnsi="Arial" w:cs="Arial"/>
          <w:i/>
          <w:iCs/>
        </w:rPr>
        <w:t>Indigenous Evaluation Strategy</w:t>
      </w:r>
      <w:r w:rsidR="00BB4E63">
        <w:rPr>
          <w:rFonts w:ascii="Arial" w:hAnsi="Arial" w:cs="Arial"/>
        </w:rPr>
        <w:t xml:space="preserve"> are in alignment with the department’s key evaluation principles, strategies and activities relating to Aboriginal health, wellbeing and safety. </w:t>
      </w:r>
    </w:p>
    <w:p w14:paraId="361A7F62" w14:textId="103AB993" w:rsidR="00F3184C" w:rsidRDefault="00F3184C" w:rsidP="00F3184C">
      <w:pPr>
        <w:jc w:val="both"/>
        <w:rPr>
          <w:rFonts w:ascii="Arial" w:hAnsi="Arial" w:cs="Arial"/>
        </w:rPr>
      </w:pPr>
    </w:p>
    <w:p w14:paraId="3195B13D" w14:textId="77777777" w:rsidR="00F3184C" w:rsidRPr="00F15322" w:rsidRDefault="00F3184C" w:rsidP="00F3184C">
      <w:pPr>
        <w:pStyle w:val="Heading1"/>
        <w:jc w:val="both"/>
      </w:pPr>
      <w:r w:rsidRPr="00F15322">
        <w:t>The Department of Health and Human Services</w:t>
      </w:r>
    </w:p>
    <w:p w14:paraId="56BD3472" w14:textId="77777777" w:rsidR="00F3184C" w:rsidRDefault="00F3184C" w:rsidP="00F3184C">
      <w:pPr>
        <w:jc w:val="both"/>
        <w:rPr>
          <w:rFonts w:ascii="Arial" w:hAnsi="Arial" w:cs="Arial"/>
        </w:rPr>
      </w:pPr>
      <w:r w:rsidRPr="00F15322">
        <w:rPr>
          <w:rFonts w:ascii="Arial" w:hAnsi="Arial" w:cs="Arial"/>
        </w:rPr>
        <w:t xml:space="preserve">The department’s vision is to achieve the best health, wellbeing and safety of all Victorians so they can live a life they value. For Aboriginal Victorians, connections to culture and community are key enablers for improved health, wellbeing and safety. </w:t>
      </w:r>
    </w:p>
    <w:p w14:paraId="3391D79A" w14:textId="0A683387" w:rsidR="00F3184C" w:rsidRPr="00ED55F9" w:rsidRDefault="00F3184C" w:rsidP="00F3184C">
      <w:pPr>
        <w:jc w:val="both"/>
        <w:rPr>
          <w:rFonts w:ascii="Arial" w:hAnsi="Arial" w:cs="Arial"/>
          <w:highlight w:val="yellow"/>
        </w:rPr>
      </w:pPr>
      <w:r w:rsidRPr="00ED55F9">
        <w:rPr>
          <w:rFonts w:ascii="Arial" w:hAnsi="Arial" w:cs="Arial"/>
        </w:rPr>
        <w:t xml:space="preserve">As one of five domains in the </w:t>
      </w:r>
      <w:r w:rsidR="00D80062">
        <w:rPr>
          <w:rFonts w:ascii="Arial" w:hAnsi="Arial" w:cs="Arial"/>
        </w:rPr>
        <w:t>Department of Health and Human Services O</w:t>
      </w:r>
      <w:r w:rsidRPr="00ED55F9">
        <w:rPr>
          <w:rFonts w:ascii="Arial" w:hAnsi="Arial" w:cs="Arial"/>
        </w:rPr>
        <w:t xml:space="preserve">utcomes </w:t>
      </w:r>
      <w:r w:rsidR="00D80062">
        <w:rPr>
          <w:rFonts w:ascii="Arial" w:hAnsi="Arial" w:cs="Arial"/>
        </w:rPr>
        <w:t>F</w:t>
      </w:r>
      <w:r w:rsidRPr="00ED55F9">
        <w:rPr>
          <w:rFonts w:ascii="Arial" w:hAnsi="Arial" w:cs="Arial"/>
        </w:rPr>
        <w:t>ramework, these cultural connections are foundational to the other outcome domains where Victorians are healthy and well, are safe and secure and have the capabilities to participate. Importantly, the department includes a system-wide focus on person-centred and sustainable services and programs across</w:t>
      </w:r>
      <w:r w:rsidRPr="00FD03A8">
        <w:rPr>
          <w:rFonts w:ascii="Arial" w:hAnsi="Arial" w:cs="Arial"/>
        </w:rPr>
        <w:t xml:space="preserve"> Victoria</w:t>
      </w:r>
      <w:r w:rsidRPr="00F15322">
        <w:rPr>
          <w:rFonts w:ascii="Arial" w:hAnsi="Arial" w:cs="Arial"/>
        </w:rPr>
        <w:t xml:space="preserve">. </w:t>
      </w:r>
      <w:r>
        <w:rPr>
          <w:rFonts w:ascii="Arial" w:hAnsi="Arial" w:cs="Arial"/>
        </w:rPr>
        <w:t xml:space="preserve">This focus </w:t>
      </w:r>
      <w:r w:rsidR="0081088C">
        <w:rPr>
          <w:rFonts w:ascii="Arial" w:hAnsi="Arial" w:cs="Arial"/>
        </w:rPr>
        <w:t xml:space="preserve">aligns with </w:t>
      </w:r>
      <w:r>
        <w:rPr>
          <w:rFonts w:ascii="Arial" w:hAnsi="Arial" w:cs="Arial"/>
        </w:rPr>
        <w:t xml:space="preserve">the </w:t>
      </w:r>
      <w:r w:rsidRPr="0081088C">
        <w:rPr>
          <w:rFonts w:ascii="Arial" w:hAnsi="Arial" w:cs="Arial"/>
          <w:i/>
          <w:iCs/>
        </w:rPr>
        <w:t>Indigenous Evaluation Strategy’s</w:t>
      </w:r>
      <w:r>
        <w:rPr>
          <w:rFonts w:ascii="Arial" w:hAnsi="Arial" w:cs="Arial"/>
        </w:rPr>
        <w:t xml:space="preserve"> ‘Cross System Priority’ which will better integrate the key levers and enablers for improving outcomes.</w:t>
      </w:r>
    </w:p>
    <w:p w14:paraId="1A48FD68" w14:textId="67F81E68" w:rsidR="008D43EC" w:rsidRDefault="00BB70F3" w:rsidP="00F3184C">
      <w:pPr>
        <w:jc w:val="both"/>
        <w:rPr>
          <w:rFonts w:ascii="Arial" w:hAnsi="Arial" w:cs="Arial"/>
        </w:rPr>
      </w:pPr>
      <w:r>
        <w:rPr>
          <w:rFonts w:ascii="Arial" w:hAnsi="Arial" w:cs="Arial"/>
        </w:rPr>
        <w:t>A guiding</w:t>
      </w:r>
      <w:r w:rsidR="0081088C">
        <w:rPr>
          <w:rFonts w:ascii="Arial" w:hAnsi="Arial" w:cs="Arial"/>
        </w:rPr>
        <w:t xml:space="preserve"> principle underpinning t</w:t>
      </w:r>
      <w:r w:rsidR="00F3184C">
        <w:rPr>
          <w:rFonts w:ascii="Arial" w:hAnsi="Arial" w:cs="Arial"/>
        </w:rPr>
        <w:t>he department’s</w:t>
      </w:r>
      <w:r w:rsidR="00F3184C" w:rsidRPr="00F15322">
        <w:rPr>
          <w:rFonts w:ascii="Arial" w:hAnsi="Arial" w:cs="Arial"/>
        </w:rPr>
        <w:t xml:space="preserve"> vision </w:t>
      </w:r>
      <w:r w:rsidR="0081088C">
        <w:rPr>
          <w:rFonts w:ascii="Arial" w:hAnsi="Arial" w:cs="Arial"/>
        </w:rPr>
        <w:t xml:space="preserve">for improving the health, wellbeing and safety of Aboriginal Victorians, </w:t>
      </w:r>
      <w:r w:rsidR="00F3184C" w:rsidRPr="00F15322">
        <w:rPr>
          <w:rFonts w:ascii="Arial" w:hAnsi="Arial" w:cs="Arial"/>
        </w:rPr>
        <w:t xml:space="preserve">is Aboriginal self-determination, which is reflected across the department’s </w:t>
      </w:r>
      <w:r w:rsidR="0081088C">
        <w:rPr>
          <w:rFonts w:ascii="Arial" w:hAnsi="Arial" w:cs="Arial"/>
        </w:rPr>
        <w:t>four</w:t>
      </w:r>
      <w:r w:rsidR="00F3184C" w:rsidRPr="00F15322">
        <w:rPr>
          <w:rFonts w:ascii="Arial" w:hAnsi="Arial" w:cs="Arial"/>
        </w:rPr>
        <w:t xml:space="preserve"> </w:t>
      </w:r>
      <w:r w:rsidR="0081088C">
        <w:rPr>
          <w:rFonts w:ascii="Arial" w:hAnsi="Arial" w:cs="Arial"/>
        </w:rPr>
        <w:t xml:space="preserve">Aboriginal </w:t>
      </w:r>
      <w:r w:rsidR="00F3184C" w:rsidRPr="00F15322">
        <w:rPr>
          <w:rFonts w:ascii="Arial" w:hAnsi="Arial" w:cs="Arial"/>
        </w:rPr>
        <w:t>strategies</w:t>
      </w:r>
      <w:r w:rsidR="0081088C">
        <w:rPr>
          <w:rFonts w:ascii="Arial" w:hAnsi="Arial" w:cs="Arial"/>
        </w:rPr>
        <w:t>.</w:t>
      </w:r>
      <w:r w:rsidR="00F3184C" w:rsidRPr="00F15322">
        <w:rPr>
          <w:rFonts w:ascii="Arial" w:hAnsi="Arial" w:cs="Arial"/>
        </w:rPr>
        <w:t xml:space="preserve">  </w:t>
      </w:r>
      <w:r w:rsidR="00853060">
        <w:rPr>
          <w:rFonts w:ascii="Arial" w:hAnsi="Arial" w:cs="Arial"/>
        </w:rPr>
        <w:t>The Victorian Pub</w:t>
      </w:r>
      <w:r w:rsidR="004051B0">
        <w:rPr>
          <w:rFonts w:ascii="Arial" w:hAnsi="Arial" w:cs="Arial"/>
        </w:rPr>
        <w:t>l</w:t>
      </w:r>
      <w:r w:rsidR="00853060">
        <w:rPr>
          <w:rFonts w:ascii="Arial" w:hAnsi="Arial" w:cs="Arial"/>
        </w:rPr>
        <w:t>ic Sector Commission describes s</w:t>
      </w:r>
      <w:r w:rsidR="008D43EC" w:rsidRPr="008D43EC">
        <w:rPr>
          <w:rFonts w:ascii="Arial" w:hAnsi="Arial" w:cs="Arial"/>
        </w:rPr>
        <w:t xml:space="preserve">elf-determination </w:t>
      </w:r>
      <w:r w:rsidR="00853060">
        <w:rPr>
          <w:rFonts w:ascii="Arial" w:hAnsi="Arial" w:cs="Arial"/>
        </w:rPr>
        <w:t>as</w:t>
      </w:r>
      <w:r w:rsidR="008D43EC" w:rsidRPr="008D43EC">
        <w:rPr>
          <w:rFonts w:ascii="Arial" w:hAnsi="Arial" w:cs="Arial"/>
        </w:rPr>
        <w:t xml:space="preserve"> an </w:t>
      </w:r>
      <w:r w:rsidR="00853060">
        <w:rPr>
          <w:rFonts w:ascii="Arial" w:hAnsi="Arial" w:cs="Arial"/>
        </w:rPr>
        <w:t>“</w:t>
      </w:r>
      <w:r w:rsidR="00853060">
        <w:rPr>
          <w:rFonts w:ascii="Arial" w:hAnsi="Arial" w:cs="Arial"/>
          <w:i/>
          <w:iCs/>
        </w:rPr>
        <w:t>o</w:t>
      </w:r>
      <w:r w:rsidR="008D43EC" w:rsidRPr="00853060">
        <w:rPr>
          <w:rFonts w:ascii="Arial" w:hAnsi="Arial" w:cs="Arial"/>
          <w:i/>
          <w:iCs/>
        </w:rPr>
        <w:t>ngoing process of choice to ensure that Indigenous communities are able to meet their social, cultural and economic needs</w:t>
      </w:r>
      <w:r w:rsidR="00853060">
        <w:rPr>
          <w:rFonts w:ascii="Arial" w:hAnsi="Arial" w:cs="Arial"/>
          <w:i/>
          <w:iCs/>
        </w:rPr>
        <w:t>”</w:t>
      </w:r>
      <w:r w:rsidR="008D43EC" w:rsidRPr="00853060">
        <w:rPr>
          <w:rFonts w:ascii="Arial" w:hAnsi="Arial" w:cs="Arial"/>
          <w:i/>
          <w:iCs/>
        </w:rPr>
        <w:t>.</w:t>
      </w:r>
      <w:r w:rsidR="008D43EC" w:rsidRPr="008D43EC">
        <w:rPr>
          <w:rFonts w:ascii="Arial" w:hAnsi="Arial" w:cs="Arial"/>
        </w:rPr>
        <w:t xml:space="preserve"> </w:t>
      </w:r>
    </w:p>
    <w:p w14:paraId="2EEE4FB5" w14:textId="77777777" w:rsidR="00F3184C" w:rsidRPr="00F15322" w:rsidRDefault="00F3184C" w:rsidP="00F3184C">
      <w:pPr>
        <w:pStyle w:val="Heading1"/>
        <w:jc w:val="both"/>
      </w:pPr>
      <w:r w:rsidRPr="00F15322">
        <w:lastRenderedPageBreak/>
        <w:t>Aboriginal self-determination</w:t>
      </w:r>
      <w:r>
        <w:t xml:space="preserve"> as a guiding </w:t>
      </w:r>
      <w:r w:rsidRPr="00F15322">
        <w:t>principle</w:t>
      </w:r>
    </w:p>
    <w:p w14:paraId="0774990A" w14:textId="4FDBD129" w:rsidR="00F3184C" w:rsidRDefault="00F3184C" w:rsidP="00F3184C">
      <w:pPr>
        <w:jc w:val="both"/>
        <w:rPr>
          <w:rFonts w:ascii="Arial" w:hAnsi="Arial" w:cs="Arial"/>
        </w:rPr>
      </w:pPr>
      <w:r>
        <w:rPr>
          <w:rFonts w:ascii="Arial" w:hAnsi="Arial" w:cs="Arial"/>
        </w:rPr>
        <w:t>The department considers</w:t>
      </w:r>
      <w:r w:rsidRPr="00F15322">
        <w:rPr>
          <w:rFonts w:ascii="Arial" w:hAnsi="Arial" w:cs="Arial"/>
        </w:rPr>
        <w:t xml:space="preserve"> self-determination </w:t>
      </w:r>
      <w:r>
        <w:rPr>
          <w:rFonts w:ascii="Arial" w:hAnsi="Arial" w:cs="Arial"/>
        </w:rPr>
        <w:t xml:space="preserve">as a necessary approach for delivering effective and sustainable outcomes </w:t>
      </w:r>
      <w:r w:rsidR="00131C1A">
        <w:rPr>
          <w:rFonts w:ascii="Arial" w:hAnsi="Arial" w:cs="Arial"/>
        </w:rPr>
        <w:t>for Aboriginal</w:t>
      </w:r>
      <w:r>
        <w:rPr>
          <w:rFonts w:ascii="Arial" w:hAnsi="Arial" w:cs="Arial"/>
        </w:rPr>
        <w:t xml:space="preserve"> people for three reasons:</w:t>
      </w:r>
    </w:p>
    <w:p w14:paraId="1F1FD6A6" w14:textId="63DC967F" w:rsidR="00F3184C" w:rsidRPr="00BF3D84" w:rsidRDefault="00F3184C" w:rsidP="00F3184C">
      <w:pPr>
        <w:pStyle w:val="ListParagraph"/>
        <w:numPr>
          <w:ilvl w:val="0"/>
          <w:numId w:val="1"/>
        </w:numPr>
        <w:jc w:val="both"/>
        <w:rPr>
          <w:rFonts w:ascii="Arial" w:hAnsi="Arial" w:cs="Arial"/>
        </w:rPr>
      </w:pPr>
      <w:r w:rsidRPr="00BF3D84">
        <w:rPr>
          <w:rFonts w:ascii="Arial" w:hAnsi="Arial" w:cs="Arial"/>
        </w:rPr>
        <w:t xml:space="preserve">It </w:t>
      </w:r>
      <w:r>
        <w:rPr>
          <w:rFonts w:ascii="Arial" w:hAnsi="Arial" w:cs="Arial"/>
        </w:rPr>
        <w:t xml:space="preserve">is an effective policy </w:t>
      </w:r>
      <w:r w:rsidRPr="00BF3D84">
        <w:rPr>
          <w:rFonts w:ascii="Arial" w:hAnsi="Arial" w:cs="Arial"/>
        </w:rPr>
        <w:t>– Evidence shows that social policies and services are most effective and deliver better outcomes when the users of the policies and services participate in their design, delivery and evaluation.</w:t>
      </w:r>
    </w:p>
    <w:p w14:paraId="237A52C2" w14:textId="77777777" w:rsidR="00F3184C" w:rsidRPr="00BF3D84" w:rsidRDefault="00F3184C" w:rsidP="00F3184C">
      <w:pPr>
        <w:pStyle w:val="ListParagraph"/>
        <w:numPr>
          <w:ilvl w:val="0"/>
          <w:numId w:val="1"/>
        </w:numPr>
        <w:jc w:val="both"/>
        <w:rPr>
          <w:rFonts w:ascii="Arial" w:hAnsi="Arial" w:cs="Arial"/>
        </w:rPr>
      </w:pPr>
      <w:r w:rsidRPr="00BF3D84">
        <w:rPr>
          <w:rFonts w:ascii="Arial" w:hAnsi="Arial" w:cs="Arial"/>
        </w:rPr>
        <w:t>It is a right – Australia is a signatory to the United Nations Declaration on the Rights of Indigenous Peoples</w:t>
      </w:r>
      <w:r>
        <w:rPr>
          <w:rFonts w:ascii="Arial" w:hAnsi="Arial" w:cs="Arial"/>
        </w:rPr>
        <w:t>. Ethically, Australian governments are accountable to Indigenous communities for transferring power and resources to those communities.</w:t>
      </w:r>
    </w:p>
    <w:p w14:paraId="26C595A6" w14:textId="0071C736" w:rsidR="00F3184C" w:rsidRDefault="00F3184C" w:rsidP="00F3184C">
      <w:pPr>
        <w:pStyle w:val="ListParagraph"/>
        <w:numPr>
          <w:ilvl w:val="0"/>
          <w:numId w:val="1"/>
        </w:numPr>
        <w:jc w:val="both"/>
        <w:rPr>
          <w:rFonts w:ascii="Arial" w:hAnsi="Arial" w:cs="Arial"/>
        </w:rPr>
      </w:pPr>
      <w:r w:rsidRPr="00BF3D84">
        <w:rPr>
          <w:rFonts w:ascii="Arial" w:hAnsi="Arial" w:cs="Arial"/>
        </w:rPr>
        <w:t>Aboriginal Victorians have requested self</w:t>
      </w:r>
      <w:r>
        <w:rPr>
          <w:rFonts w:ascii="Arial" w:hAnsi="Arial" w:cs="Arial"/>
        </w:rPr>
        <w:t>-</w:t>
      </w:r>
      <w:r w:rsidRPr="00BF3D84">
        <w:rPr>
          <w:rFonts w:ascii="Arial" w:hAnsi="Arial" w:cs="Arial"/>
        </w:rPr>
        <w:t>determination</w:t>
      </w:r>
      <w:r>
        <w:rPr>
          <w:rFonts w:ascii="Arial" w:hAnsi="Arial" w:cs="Arial"/>
        </w:rPr>
        <w:t xml:space="preserve"> – The </w:t>
      </w:r>
      <w:r w:rsidRPr="0056362A">
        <w:rPr>
          <w:rFonts w:ascii="Arial" w:hAnsi="Arial" w:cs="Arial"/>
          <w:i/>
          <w:iCs/>
        </w:rPr>
        <w:t>Indigenous Evaluation Strategy</w:t>
      </w:r>
      <w:r>
        <w:rPr>
          <w:rFonts w:ascii="Arial" w:hAnsi="Arial" w:cs="Arial"/>
        </w:rPr>
        <w:t xml:space="preserve"> </w:t>
      </w:r>
      <w:r w:rsidR="0056362A">
        <w:rPr>
          <w:rFonts w:ascii="Arial" w:hAnsi="Arial" w:cs="Arial"/>
        </w:rPr>
        <w:t xml:space="preserve">puts </w:t>
      </w:r>
      <w:r>
        <w:rPr>
          <w:rFonts w:ascii="Arial" w:hAnsi="Arial" w:cs="Arial"/>
        </w:rPr>
        <w:t>Aboriginal and Torres Strait Islander people</w:t>
      </w:r>
      <w:r w:rsidR="0056362A">
        <w:rPr>
          <w:rFonts w:ascii="Arial" w:hAnsi="Arial" w:cs="Arial"/>
        </w:rPr>
        <w:t>’</w:t>
      </w:r>
      <w:r>
        <w:rPr>
          <w:rFonts w:ascii="Arial" w:hAnsi="Arial" w:cs="Arial"/>
        </w:rPr>
        <w:t>s perspectives, priorities and knowledge central to its guiding principles.</w:t>
      </w:r>
    </w:p>
    <w:p w14:paraId="050ACB7D" w14:textId="3702B5D1" w:rsidR="00F3184C" w:rsidRDefault="001C0D8B" w:rsidP="00F3184C">
      <w:pPr>
        <w:jc w:val="both"/>
        <w:rPr>
          <w:rFonts w:ascii="Arial" w:hAnsi="Arial" w:cs="Arial"/>
        </w:rPr>
      </w:pPr>
      <w:r>
        <w:rPr>
          <w:rFonts w:ascii="Arial" w:hAnsi="Arial" w:cs="Arial"/>
        </w:rPr>
        <w:t xml:space="preserve">Four </w:t>
      </w:r>
      <w:r w:rsidR="00F3184C">
        <w:rPr>
          <w:rFonts w:ascii="Arial" w:hAnsi="Arial" w:cs="Arial"/>
        </w:rPr>
        <w:t>strategies that place Aboriginal self-determination as a driving force for system-wide change include:</w:t>
      </w:r>
    </w:p>
    <w:p w14:paraId="0A2D2725" w14:textId="77777777" w:rsidR="00F3184C" w:rsidRPr="00F15322" w:rsidRDefault="00F3184C" w:rsidP="00F3184C">
      <w:pPr>
        <w:pStyle w:val="ListParagraph"/>
        <w:numPr>
          <w:ilvl w:val="0"/>
          <w:numId w:val="2"/>
        </w:numPr>
        <w:jc w:val="both"/>
        <w:rPr>
          <w:rFonts w:ascii="Arial" w:hAnsi="Arial" w:cs="Arial"/>
        </w:rPr>
      </w:pPr>
      <w:proofErr w:type="spellStart"/>
      <w:r w:rsidRPr="00F15322">
        <w:rPr>
          <w:rFonts w:ascii="Arial" w:hAnsi="Arial" w:cs="Arial"/>
          <w:i/>
          <w:iCs/>
        </w:rPr>
        <w:t>Korin</w:t>
      </w:r>
      <w:proofErr w:type="spellEnd"/>
      <w:r w:rsidRPr="00F15322">
        <w:rPr>
          <w:rFonts w:ascii="Arial" w:hAnsi="Arial" w:cs="Arial"/>
          <w:i/>
          <w:iCs/>
        </w:rPr>
        <w:t xml:space="preserve"> </w:t>
      </w:r>
      <w:proofErr w:type="spellStart"/>
      <w:r w:rsidRPr="00F15322">
        <w:rPr>
          <w:rFonts w:ascii="Arial" w:hAnsi="Arial" w:cs="Arial"/>
          <w:i/>
          <w:iCs/>
        </w:rPr>
        <w:t>Korin</w:t>
      </w:r>
      <w:proofErr w:type="spellEnd"/>
      <w:r w:rsidRPr="00F15322">
        <w:rPr>
          <w:rFonts w:ascii="Arial" w:hAnsi="Arial" w:cs="Arial"/>
          <w:i/>
          <w:iCs/>
        </w:rPr>
        <w:t xml:space="preserve"> </w:t>
      </w:r>
      <w:proofErr w:type="spellStart"/>
      <w:r w:rsidRPr="00F15322">
        <w:rPr>
          <w:rFonts w:ascii="Arial" w:hAnsi="Arial" w:cs="Arial"/>
          <w:i/>
          <w:iCs/>
        </w:rPr>
        <w:t>Balit-Djak</w:t>
      </w:r>
      <w:proofErr w:type="spellEnd"/>
      <w:r w:rsidRPr="00F15322">
        <w:rPr>
          <w:rFonts w:ascii="Arial" w:hAnsi="Arial" w:cs="Arial"/>
          <w:i/>
          <w:iCs/>
        </w:rPr>
        <w:t>:</w:t>
      </w:r>
      <w:r w:rsidRPr="00F15322">
        <w:rPr>
          <w:rFonts w:ascii="Arial" w:hAnsi="Arial" w:cs="Arial"/>
        </w:rPr>
        <w:t xml:space="preserve"> Aboriginal Health, Wellbeing and Safety Strategic Plan</w:t>
      </w:r>
      <w:r>
        <w:rPr>
          <w:rFonts w:ascii="Arial" w:hAnsi="Arial" w:cs="Arial"/>
        </w:rPr>
        <w:t xml:space="preserve"> 2017-2027</w:t>
      </w:r>
    </w:p>
    <w:p w14:paraId="01437AC8" w14:textId="77777777" w:rsidR="00F3184C" w:rsidRDefault="00F3184C" w:rsidP="00F3184C">
      <w:pPr>
        <w:pStyle w:val="ListParagraph"/>
        <w:numPr>
          <w:ilvl w:val="0"/>
          <w:numId w:val="2"/>
        </w:numPr>
        <w:jc w:val="both"/>
        <w:rPr>
          <w:rFonts w:ascii="Arial" w:hAnsi="Arial" w:cs="Arial"/>
        </w:rPr>
      </w:pPr>
      <w:proofErr w:type="spellStart"/>
      <w:r w:rsidRPr="00F15322">
        <w:rPr>
          <w:rFonts w:ascii="Arial" w:hAnsi="Arial" w:cs="Arial"/>
          <w:i/>
          <w:iCs/>
        </w:rPr>
        <w:t>Wungurilwil</w:t>
      </w:r>
      <w:proofErr w:type="spellEnd"/>
      <w:r w:rsidRPr="00F15322">
        <w:rPr>
          <w:rFonts w:ascii="Arial" w:hAnsi="Arial" w:cs="Arial"/>
          <w:i/>
          <w:iCs/>
        </w:rPr>
        <w:t xml:space="preserve"> </w:t>
      </w:r>
      <w:proofErr w:type="spellStart"/>
      <w:r w:rsidRPr="00F15322">
        <w:rPr>
          <w:rFonts w:ascii="Arial" w:hAnsi="Arial" w:cs="Arial"/>
          <w:i/>
          <w:iCs/>
        </w:rPr>
        <w:t>Gapgapduir</w:t>
      </w:r>
      <w:proofErr w:type="spellEnd"/>
      <w:r w:rsidRPr="00F15322">
        <w:rPr>
          <w:rFonts w:ascii="Arial" w:hAnsi="Arial" w:cs="Arial"/>
          <w:i/>
          <w:iCs/>
        </w:rPr>
        <w:t>:</w:t>
      </w:r>
      <w:r w:rsidRPr="00F15322">
        <w:rPr>
          <w:rFonts w:ascii="Arial" w:hAnsi="Arial" w:cs="Arial"/>
        </w:rPr>
        <w:t xml:space="preserve"> The Aboriginal Children and Families Agreement </w:t>
      </w:r>
    </w:p>
    <w:p w14:paraId="14C9F0F3" w14:textId="77777777" w:rsidR="00F3184C" w:rsidRDefault="00F3184C" w:rsidP="00F3184C">
      <w:pPr>
        <w:pStyle w:val="ListParagraph"/>
        <w:numPr>
          <w:ilvl w:val="0"/>
          <w:numId w:val="2"/>
        </w:numPr>
        <w:jc w:val="both"/>
        <w:rPr>
          <w:rFonts w:ascii="Arial" w:hAnsi="Arial" w:cs="Arial"/>
        </w:rPr>
      </w:pPr>
      <w:proofErr w:type="spellStart"/>
      <w:r w:rsidRPr="00673984">
        <w:rPr>
          <w:rFonts w:ascii="Arial" w:hAnsi="Arial" w:cs="Arial"/>
          <w:i/>
          <w:iCs/>
        </w:rPr>
        <w:t>Dhelk</w:t>
      </w:r>
      <w:proofErr w:type="spellEnd"/>
      <w:r w:rsidRPr="00673984">
        <w:rPr>
          <w:rFonts w:ascii="Arial" w:hAnsi="Arial" w:cs="Arial"/>
          <w:i/>
          <w:iCs/>
        </w:rPr>
        <w:t xml:space="preserve"> </w:t>
      </w:r>
      <w:proofErr w:type="spellStart"/>
      <w:r w:rsidRPr="00673984">
        <w:rPr>
          <w:rFonts w:ascii="Arial" w:hAnsi="Arial" w:cs="Arial"/>
          <w:i/>
          <w:iCs/>
        </w:rPr>
        <w:t>Dja</w:t>
      </w:r>
      <w:proofErr w:type="spellEnd"/>
      <w:r w:rsidRPr="00673984">
        <w:rPr>
          <w:rFonts w:ascii="Arial" w:hAnsi="Arial" w:cs="Arial"/>
          <w:i/>
          <w:iCs/>
        </w:rPr>
        <w:t>:</w:t>
      </w:r>
      <w:r w:rsidRPr="00673984">
        <w:rPr>
          <w:rFonts w:ascii="Arial" w:hAnsi="Arial" w:cs="Arial"/>
        </w:rPr>
        <w:t xml:space="preserve"> Safe Our Way - Strong Culture, Strong Peoples, Strong Families</w:t>
      </w:r>
    </w:p>
    <w:p w14:paraId="222D46CA" w14:textId="77777777" w:rsidR="00F3184C" w:rsidRPr="00673984" w:rsidRDefault="00F3184C" w:rsidP="00F3184C">
      <w:pPr>
        <w:pStyle w:val="ListParagraph"/>
        <w:numPr>
          <w:ilvl w:val="0"/>
          <w:numId w:val="2"/>
        </w:numPr>
        <w:jc w:val="both"/>
        <w:rPr>
          <w:rFonts w:ascii="Arial" w:hAnsi="Arial" w:cs="Arial"/>
        </w:rPr>
      </w:pPr>
      <w:proofErr w:type="spellStart"/>
      <w:r w:rsidRPr="00673984">
        <w:rPr>
          <w:rFonts w:ascii="Arial" w:hAnsi="Arial" w:cs="Arial"/>
          <w:i/>
          <w:iCs/>
        </w:rPr>
        <w:t>Balit</w:t>
      </w:r>
      <w:proofErr w:type="spellEnd"/>
      <w:r w:rsidRPr="00673984">
        <w:rPr>
          <w:rFonts w:ascii="Arial" w:hAnsi="Arial" w:cs="Arial"/>
          <w:i/>
          <w:iCs/>
        </w:rPr>
        <w:t xml:space="preserve"> </w:t>
      </w:r>
      <w:proofErr w:type="spellStart"/>
      <w:r w:rsidRPr="00673984">
        <w:rPr>
          <w:rFonts w:ascii="Arial" w:hAnsi="Arial" w:cs="Arial"/>
          <w:i/>
          <w:iCs/>
        </w:rPr>
        <w:t>Murrup</w:t>
      </w:r>
      <w:proofErr w:type="spellEnd"/>
      <w:r w:rsidRPr="00673984">
        <w:rPr>
          <w:rFonts w:ascii="Arial" w:hAnsi="Arial" w:cs="Arial"/>
          <w:i/>
          <w:iCs/>
        </w:rPr>
        <w:t>:</w:t>
      </w:r>
      <w:r w:rsidRPr="00673984">
        <w:rPr>
          <w:rFonts w:ascii="Arial" w:hAnsi="Arial" w:cs="Arial"/>
        </w:rPr>
        <w:t xml:space="preserve"> Aboriginal Social and Emotional Wellbeing Framework</w:t>
      </w:r>
    </w:p>
    <w:p w14:paraId="3E016E50" w14:textId="77777777" w:rsidR="00F3184C" w:rsidRDefault="00F3184C" w:rsidP="00F3184C">
      <w:pPr>
        <w:pStyle w:val="Heading2"/>
        <w:jc w:val="both"/>
      </w:pPr>
      <w:r>
        <w:t>The Victorian Aboriginal Affairs Framework</w:t>
      </w:r>
    </w:p>
    <w:p w14:paraId="57F1DABA" w14:textId="77777777" w:rsidR="00F3184C" w:rsidRDefault="00F3184C" w:rsidP="00F3184C">
      <w:pPr>
        <w:jc w:val="both"/>
        <w:rPr>
          <w:rFonts w:ascii="Arial" w:hAnsi="Arial" w:cs="Arial"/>
        </w:rPr>
      </w:pPr>
      <w:r>
        <w:rPr>
          <w:rFonts w:ascii="Arial" w:hAnsi="Arial" w:cs="Arial"/>
        </w:rPr>
        <w:t xml:space="preserve">The Victorian Aboriginal Affairs Framework (VAAF), coordinated through the Department of Premier and Cabinet on the advice of Victorian Aboriginal organisations and communities, provides a whole-of-Victorian government approach to delivering improved outcomes for Aboriginal Victorians. </w:t>
      </w:r>
    </w:p>
    <w:p w14:paraId="7460E3B0" w14:textId="77777777" w:rsidR="00F3184C" w:rsidRDefault="00F3184C" w:rsidP="00F3184C">
      <w:pPr>
        <w:jc w:val="both"/>
        <w:rPr>
          <w:rFonts w:ascii="Arial" w:hAnsi="Arial" w:cs="Arial"/>
        </w:rPr>
      </w:pPr>
      <w:r>
        <w:rPr>
          <w:rFonts w:ascii="Arial" w:hAnsi="Arial" w:cs="Arial"/>
        </w:rPr>
        <w:t>The VAAF includes eleven self-determination guiding principles and provides a strong emphasis on these principles in evaluative practice. As a key accountability mechanism for the department, the VAAF places Aboriginal knowledge</w:t>
      </w:r>
      <w:r w:rsidRPr="00E14A96">
        <w:rPr>
          <w:rFonts w:ascii="Arial" w:hAnsi="Arial" w:cs="Arial"/>
        </w:rPr>
        <w:t>, expertise and cultural integrity at the forefront of its priorities.</w:t>
      </w:r>
      <w:r>
        <w:rPr>
          <w:rFonts w:ascii="Arial" w:hAnsi="Arial" w:cs="Arial"/>
        </w:rPr>
        <w:t xml:space="preserve"> </w:t>
      </w:r>
    </w:p>
    <w:p w14:paraId="472C9C00" w14:textId="00181521" w:rsidR="00F3184C" w:rsidRPr="00F15322" w:rsidRDefault="00F3184C" w:rsidP="00F3184C">
      <w:pPr>
        <w:pStyle w:val="Heading2"/>
        <w:jc w:val="both"/>
      </w:pPr>
      <w:r w:rsidRPr="00F3184C">
        <w:t>Aboriginal</w:t>
      </w:r>
      <w:r w:rsidRPr="00F15322">
        <w:rPr>
          <w:rFonts w:eastAsia="Times New Roman"/>
          <w:lang w:eastAsia="en-AU"/>
        </w:rPr>
        <w:t xml:space="preserve"> Health, Wellbeing and Safety Evaluation Framework </w:t>
      </w:r>
    </w:p>
    <w:p w14:paraId="7C759F81" w14:textId="3C79F8A3" w:rsidR="00D723C0" w:rsidRDefault="00D723C0" w:rsidP="00D723C0">
      <w:pPr>
        <w:rPr>
          <w:rFonts w:ascii="Arial" w:hAnsi="Arial" w:cs="Arial"/>
        </w:rPr>
      </w:pPr>
      <w:r w:rsidRPr="00F15322">
        <w:rPr>
          <w:rFonts w:ascii="Arial" w:hAnsi="Arial" w:cs="Arial"/>
        </w:rPr>
        <w:t>Aboriginal Strategy and Oversight (ASO)</w:t>
      </w:r>
      <w:r>
        <w:rPr>
          <w:rFonts w:ascii="Arial" w:hAnsi="Arial" w:cs="Arial"/>
        </w:rPr>
        <w:t xml:space="preserve"> is a unit with the Department of Health and Human Services.  Its key functions include:</w:t>
      </w:r>
    </w:p>
    <w:p w14:paraId="3DB14933" w14:textId="77777777" w:rsidR="00D723C0" w:rsidRPr="00D723C0" w:rsidRDefault="00D723C0" w:rsidP="00951447">
      <w:pPr>
        <w:numPr>
          <w:ilvl w:val="0"/>
          <w:numId w:val="4"/>
        </w:numPr>
        <w:spacing w:after="100" w:afterAutospacing="1"/>
        <w:ind w:left="714" w:hanging="357"/>
        <w:rPr>
          <w:rFonts w:ascii="Arial" w:hAnsi="Arial" w:cs="Arial"/>
          <w:lang w:val="en-US"/>
        </w:rPr>
      </w:pPr>
      <w:r w:rsidRPr="00D723C0">
        <w:rPr>
          <w:rFonts w:ascii="Arial" w:hAnsi="Arial" w:cs="Arial"/>
        </w:rPr>
        <w:t>Working across the department and portfolios to support reform and policy design </w:t>
      </w:r>
      <w:r w:rsidRPr="00D723C0">
        <w:rPr>
          <w:rFonts w:ascii="Arial" w:hAnsi="Arial" w:cs="Arial"/>
          <w:lang w:val="en-US"/>
        </w:rPr>
        <w:t>​</w:t>
      </w:r>
    </w:p>
    <w:p w14:paraId="5551FECB" w14:textId="592D1CA5" w:rsidR="00D723C0" w:rsidRPr="00D723C0" w:rsidRDefault="00D723C0" w:rsidP="00951447">
      <w:pPr>
        <w:numPr>
          <w:ilvl w:val="0"/>
          <w:numId w:val="4"/>
        </w:numPr>
        <w:spacing w:after="100" w:afterAutospacing="1"/>
        <w:ind w:left="714" w:hanging="357"/>
        <w:rPr>
          <w:rFonts w:ascii="Arial" w:hAnsi="Arial" w:cs="Arial"/>
          <w:lang w:val="en-US"/>
        </w:rPr>
      </w:pPr>
      <w:r w:rsidRPr="00D723C0">
        <w:rPr>
          <w:rFonts w:ascii="Arial" w:hAnsi="Arial" w:cs="Arial"/>
        </w:rPr>
        <w:t xml:space="preserve">Sharing evidence from </w:t>
      </w:r>
      <w:r>
        <w:rPr>
          <w:rFonts w:ascii="Arial" w:hAnsi="Arial" w:cs="Arial"/>
        </w:rPr>
        <w:t xml:space="preserve">the </w:t>
      </w:r>
      <w:r w:rsidRPr="00D723C0">
        <w:rPr>
          <w:rFonts w:ascii="Arial" w:hAnsi="Arial" w:cs="Arial"/>
        </w:rPr>
        <w:t xml:space="preserve">voice of </w:t>
      </w:r>
      <w:r>
        <w:rPr>
          <w:rFonts w:ascii="Arial" w:hAnsi="Arial" w:cs="Arial"/>
        </w:rPr>
        <w:t xml:space="preserve">Aboriginal </w:t>
      </w:r>
      <w:r w:rsidRPr="00D723C0">
        <w:rPr>
          <w:rFonts w:ascii="Arial" w:hAnsi="Arial" w:cs="Arial"/>
        </w:rPr>
        <w:t>clients and project partners</w:t>
      </w:r>
      <w:r w:rsidRPr="00D723C0">
        <w:rPr>
          <w:rFonts w:ascii="Arial" w:hAnsi="Arial" w:cs="Arial"/>
          <w:lang w:val="en-US"/>
        </w:rPr>
        <w:t>​</w:t>
      </w:r>
    </w:p>
    <w:p w14:paraId="45A8A6B6" w14:textId="2917CCE5" w:rsidR="00D723C0" w:rsidRPr="00D723C0" w:rsidRDefault="00D723C0" w:rsidP="00951447">
      <w:pPr>
        <w:numPr>
          <w:ilvl w:val="0"/>
          <w:numId w:val="4"/>
        </w:numPr>
        <w:spacing w:after="100" w:afterAutospacing="1"/>
        <w:ind w:left="714" w:hanging="357"/>
        <w:rPr>
          <w:rFonts w:ascii="Arial" w:hAnsi="Arial" w:cs="Arial"/>
          <w:lang w:val="en-US"/>
        </w:rPr>
      </w:pPr>
      <w:r w:rsidRPr="00D723C0">
        <w:rPr>
          <w:rFonts w:ascii="Arial" w:hAnsi="Arial" w:cs="Arial"/>
        </w:rPr>
        <w:t xml:space="preserve">Analysing and interpreting </w:t>
      </w:r>
      <w:r>
        <w:rPr>
          <w:rFonts w:ascii="Arial" w:hAnsi="Arial" w:cs="Arial"/>
        </w:rPr>
        <w:t xml:space="preserve">data </w:t>
      </w:r>
    </w:p>
    <w:p w14:paraId="72105C58" w14:textId="77777777" w:rsidR="00D723C0" w:rsidRPr="00D723C0" w:rsidRDefault="00D723C0" w:rsidP="00951447">
      <w:pPr>
        <w:numPr>
          <w:ilvl w:val="0"/>
          <w:numId w:val="4"/>
        </w:numPr>
        <w:spacing w:after="100" w:afterAutospacing="1"/>
        <w:ind w:left="714" w:hanging="357"/>
        <w:rPr>
          <w:rFonts w:ascii="Arial" w:hAnsi="Arial" w:cs="Arial"/>
          <w:lang w:val="en-US"/>
        </w:rPr>
      </w:pPr>
      <w:r w:rsidRPr="00D723C0">
        <w:rPr>
          <w:rFonts w:ascii="Arial" w:hAnsi="Arial" w:cs="Arial"/>
        </w:rPr>
        <w:t>Exploring insights to inform policy </w:t>
      </w:r>
      <w:r w:rsidRPr="00D723C0">
        <w:rPr>
          <w:rFonts w:ascii="Arial" w:hAnsi="Arial" w:cs="Arial"/>
          <w:lang w:val="en-US"/>
        </w:rPr>
        <w:t>​</w:t>
      </w:r>
    </w:p>
    <w:p w14:paraId="15698A90" w14:textId="6AFE6F8E" w:rsidR="00F3184C" w:rsidRPr="00863097" w:rsidRDefault="00D723C0" w:rsidP="00951447">
      <w:pPr>
        <w:jc w:val="both"/>
        <w:rPr>
          <w:rFonts w:cs="Arial"/>
        </w:rPr>
      </w:pPr>
      <w:r w:rsidRPr="00D723C0">
        <w:rPr>
          <w:rFonts w:ascii="Arial" w:hAnsi="Arial" w:cs="Arial"/>
        </w:rPr>
        <w:t>ASO</w:t>
      </w:r>
      <w:r w:rsidR="00F3184C" w:rsidRPr="00D723C0">
        <w:rPr>
          <w:rFonts w:ascii="Arial" w:hAnsi="Arial" w:cs="Arial"/>
        </w:rPr>
        <w:t xml:space="preserve"> commissioned the </w:t>
      </w:r>
      <w:r w:rsidR="001C0D8B">
        <w:rPr>
          <w:rFonts w:ascii="Arial" w:hAnsi="Arial" w:cs="Arial"/>
        </w:rPr>
        <w:t>d</w:t>
      </w:r>
      <w:r w:rsidR="00F3184C" w:rsidRPr="00D723C0">
        <w:rPr>
          <w:rFonts w:ascii="Arial" w:hAnsi="Arial" w:cs="Arial"/>
        </w:rPr>
        <w:t>evelop</w:t>
      </w:r>
      <w:r w:rsidR="001C0D8B">
        <w:rPr>
          <w:rFonts w:ascii="Arial" w:hAnsi="Arial" w:cs="Arial"/>
        </w:rPr>
        <w:t>ment</w:t>
      </w:r>
      <w:r w:rsidR="00F3184C" w:rsidRPr="00D723C0">
        <w:rPr>
          <w:rFonts w:ascii="Arial" w:hAnsi="Arial" w:cs="Arial"/>
        </w:rPr>
        <w:t xml:space="preserve"> an Aboriginal-led health, wellbeing and safety evaluation framework. The intent of this project is to:</w:t>
      </w:r>
      <w:r w:rsidR="00F3184C" w:rsidRPr="00863097">
        <w:rPr>
          <w:rFonts w:cs="Arial"/>
        </w:rPr>
        <w:t xml:space="preserve"> </w:t>
      </w:r>
    </w:p>
    <w:p w14:paraId="68986FD2" w14:textId="4A392ED2" w:rsidR="00AD6D1B" w:rsidRDefault="00AD6D1B" w:rsidP="00951447">
      <w:pPr>
        <w:pStyle w:val="DHHSbullet1"/>
        <w:jc w:val="both"/>
        <w:rPr>
          <w:rFonts w:cs="Arial"/>
          <w:sz w:val="22"/>
          <w:szCs w:val="22"/>
        </w:rPr>
      </w:pPr>
      <w:r>
        <w:rPr>
          <w:rFonts w:cs="Arial"/>
          <w:sz w:val="22"/>
          <w:szCs w:val="22"/>
        </w:rPr>
        <w:t>Understand the role that culture plays in health and wellbeing through a literature review about the cultural determinants of health</w:t>
      </w:r>
    </w:p>
    <w:p w14:paraId="0CF572A2" w14:textId="78ECC7B3" w:rsidR="00F3184C" w:rsidRPr="00863097" w:rsidRDefault="00F3184C" w:rsidP="00951447">
      <w:pPr>
        <w:pStyle w:val="DHHSbullet1"/>
        <w:jc w:val="both"/>
        <w:rPr>
          <w:rFonts w:cs="Arial"/>
          <w:sz w:val="22"/>
          <w:szCs w:val="22"/>
        </w:rPr>
      </w:pPr>
      <w:r w:rsidRPr="00863097">
        <w:rPr>
          <w:rFonts w:cs="Arial"/>
          <w:sz w:val="22"/>
          <w:szCs w:val="22"/>
        </w:rPr>
        <w:lastRenderedPageBreak/>
        <w:t xml:space="preserve">develop </w:t>
      </w:r>
      <w:r w:rsidR="00AD6D1B">
        <w:rPr>
          <w:rFonts w:cs="Arial"/>
          <w:sz w:val="22"/>
          <w:szCs w:val="22"/>
        </w:rPr>
        <w:t xml:space="preserve">a library of </w:t>
      </w:r>
      <w:r w:rsidRPr="00863097">
        <w:rPr>
          <w:rFonts w:cs="Arial"/>
          <w:sz w:val="22"/>
          <w:szCs w:val="22"/>
        </w:rPr>
        <w:t>Aboriginal</w:t>
      </w:r>
      <w:r>
        <w:rPr>
          <w:rFonts w:cs="Arial"/>
          <w:sz w:val="22"/>
          <w:szCs w:val="22"/>
        </w:rPr>
        <w:t>-</w:t>
      </w:r>
      <w:r w:rsidRPr="00863097">
        <w:rPr>
          <w:rFonts w:cs="Arial"/>
          <w:sz w:val="22"/>
          <w:szCs w:val="22"/>
        </w:rPr>
        <w:t xml:space="preserve">defined indicators </w:t>
      </w:r>
      <w:r w:rsidR="00AD6D1B">
        <w:rPr>
          <w:rFonts w:cs="Arial"/>
          <w:sz w:val="22"/>
          <w:szCs w:val="22"/>
        </w:rPr>
        <w:t xml:space="preserve">across the domains of </w:t>
      </w:r>
      <w:r w:rsidRPr="00863097">
        <w:rPr>
          <w:rFonts w:cs="Arial"/>
          <w:sz w:val="22"/>
          <w:szCs w:val="22"/>
        </w:rPr>
        <w:t>health, wellbeing and safety</w:t>
      </w:r>
    </w:p>
    <w:p w14:paraId="38D61E1A" w14:textId="2F61CFAE" w:rsidR="00AE3902" w:rsidRDefault="00AD6D1B" w:rsidP="00951447">
      <w:pPr>
        <w:pStyle w:val="DHHSbullet1"/>
        <w:jc w:val="both"/>
        <w:rPr>
          <w:rFonts w:cs="Arial"/>
          <w:sz w:val="22"/>
          <w:szCs w:val="22"/>
        </w:rPr>
      </w:pPr>
      <w:r>
        <w:rPr>
          <w:rFonts w:cs="Arial"/>
          <w:sz w:val="22"/>
          <w:szCs w:val="22"/>
        </w:rPr>
        <w:t xml:space="preserve">deliver </w:t>
      </w:r>
      <w:r w:rsidR="008C1188">
        <w:rPr>
          <w:rFonts w:cs="Arial"/>
          <w:sz w:val="22"/>
          <w:szCs w:val="22"/>
        </w:rPr>
        <w:t xml:space="preserve">comprehensive </w:t>
      </w:r>
      <w:r>
        <w:rPr>
          <w:rFonts w:cs="Arial"/>
          <w:sz w:val="22"/>
          <w:szCs w:val="22"/>
        </w:rPr>
        <w:t>monitoring and evaluation plans</w:t>
      </w:r>
      <w:r w:rsidR="008C1188">
        <w:rPr>
          <w:rFonts w:cs="Arial"/>
          <w:sz w:val="22"/>
          <w:szCs w:val="22"/>
        </w:rPr>
        <w:t xml:space="preserve"> and theories of change</w:t>
      </w:r>
      <w:r>
        <w:rPr>
          <w:rFonts w:cs="Arial"/>
          <w:sz w:val="22"/>
          <w:szCs w:val="22"/>
        </w:rPr>
        <w:t xml:space="preserve"> that e</w:t>
      </w:r>
      <w:r w:rsidR="00F3184C" w:rsidRPr="00863097">
        <w:rPr>
          <w:rFonts w:cs="Arial"/>
          <w:sz w:val="22"/>
          <w:szCs w:val="22"/>
        </w:rPr>
        <w:t xml:space="preserve">nable </w:t>
      </w:r>
      <w:r>
        <w:rPr>
          <w:rFonts w:cs="Arial"/>
          <w:sz w:val="22"/>
          <w:szCs w:val="22"/>
        </w:rPr>
        <w:t xml:space="preserve">the </w:t>
      </w:r>
      <w:r w:rsidR="00F3184C" w:rsidRPr="00863097">
        <w:rPr>
          <w:rFonts w:cs="Arial"/>
          <w:sz w:val="22"/>
          <w:szCs w:val="22"/>
        </w:rPr>
        <w:t>monitor</w:t>
      </w:r>
      <w:r w:rsidR="008C1188">
        <w:rPr>
          <w:rFonts w:cs="Arial"/>
          <w:sz w:val="22"/>
          <w:szCs w:val="22"/>
        </w:rPr>
        <w:t>ing of</w:t>
      </w:r>
      <w:r w:rsidR="00F3184C" w:rsidRPr="00863097">
        <w:rPr>
          <w:rFonts w:cs="Arial"/>
          <w:sz w:val="22"/>
          <w:szCs w:val="22"/>
        </w:rPr>
        <w:t xml:space="preserve"> </w:t>
      </w:r>
      <w:r w:rsidR="008C1188">
        <w:rPr>
          <w:rFonts w:cs="Arial"/>
          <w:sz w:val="22"/>
          <w:szCs w:val="22"/>
        </w:rPr>
        <w:t xml:space="preserve">the strategies </w:t>
      </w:r>
      <w:r w:rsidR="00AE3902">
        <w:rPr>
          <w:rFonts w:cs="Arial"/>
          <w:sz w:val="22"/>
          <w:szCs w:val="22"/>
        </w:rPr>
        <w:t xml:space="preserve">at the program level </w:t>
      </w:r>
    </w:p>
    <w:p w14:paraId="3F3B6CCB" w14:textId="50E66105" w:rsidR="00F3184C" w:rsidRPr="00863097" w:rsidRDefault="00AE3902" w:rsidP="00951447">
      <w:pPr>
        <w:pStyle w:val="DHHSbullet1"/>
        <w:jc w:val="both"/>
        <w:rPr>
          <w:rFonts w:cs="Arial"/>
          <w:sz w:val="22"/>
          <w:szCs w:val="22"/>
        </w:rPr>
      </w:pPr>
      <w:r>
        <w:rPr>
          <w:rFonts w:cs="Arial"/>
          <w:sz w:val="22"/>
          <w:szCs w:val="22"/>
        </w:rPr>
        <w:t xml:space="preserve">deliver a system level theory of change about how change will happen </w:t>
      </w:r>
      <w:r w:rsidR="00C666D7">
        <w:rPr>
          <w:rFonts w:cs="Arial"/>
          <w:sz w:val="22"/>
          <w:szCs w:val="22"/>
        </w:rPr>
        <w:t xml:space="preserve">through </w:t>
      </w:r>
      <w:r>
        <w:rPr>
          <w:rFonts w:cs="Arial"/>
          <w:sz w:val="22"/>
          <w:szCs w:val="22"/>
        </w:rPr>
        <w:t>cross-portfolio level</w:t>
      </w:r>
      <w:r w:rsidR="00C666D7">
        <w:rPr>
          <w:rFonts w:cs="Arial"/>
          <w:sz w:val="22"/>
          <w:szCs w:val="22"/>
        </w:rPr>
        <w:t xml:space="preserve"> collaboration.</w:t>
      </w:r>
    </w:p>
    <w:p w14:paraId="396C7B5C" w14:textId="77777777" w:rsidR="00DD41B4" w:rsidRDefault="004846C4" w:rsidP="00951447">
      <w:pPr>
        <w:pStyle w:val="DHHSbody"/>
        <w:spacing w:before="240"/>
        <w:jc w:val="both"/>
        <w:rPr>
          <w:rFonts w:cs="Arial"/>
          <w:sz w:val="22"/>
          <w:szCs w:val="22"/>
        </w:rPr>
      </w:pPr>
      <w:r>
        <w:rPr>
          <w:rFonts w:cs="Arial"/>
          <w:sz w:val="22"/>
          <w:szCs w:val="22"/>
        </w:rPr>
        <w:t>The project</w:t>
      </w:r>
      <w:r w:rsidR="00F3184C">
        <w:rPr>
          <w:rFonts w:cs="Arial"/>
          <w:sz w:val="22"/>
          <w:szCs w:val="22"/>
        </w:rPr>
        <w:t xml:space="preserve"> recogni</w:t>
      </w:r>
      <w:r>
        <w:rPr>
          <w:rFonts w:cs="Arial"/>
          <w:sz w:val="22"/>
          <w:szCs w:val="22"/>
        </w:rPr>
        <w:t>ses</w:t>
      </w:r>
      <w:r w:rsidR="00F3184C">
        <w:rPr>
          <w:rFonts w:cs="Arial"/>
          <w:sz w:val="22"/>
          <w:szCs w:val="22"/>
        </w:rPr>
        <w:t xml:space="preserve"> </w:t>
      </w:r>
      <w:r w:rsidR="00F3184C" w:rsidRPr="00863097">
        <w:rPr>
          <w:rFonts w:cs="Arial"/>
          <w:sz w:val="22"/>
          <w:szCs w:val="22"/>
        </w:rPr>
        <w:t xml:space="preserve">Aboriginal expertise and cultural knowledge as a legitimate source of </w:t>
      </w:r>
      <w:r w:rsidR="00636BE8">
        <w:rPr>
          <w:rFonts w:cs="Arial"/>
          <w:sz w:val="22"/>
          <w:szCs w:val="22"/>
        </w:rPr>
        <w:t>data</w:t>
      </w:r>
      <w:r w:rsidR="00F3184C">
        <w:rPr>
          <w:rFonts w:cs="Arial"/>
          <w:sz w:val="22"/>
          <w:szCs w:val="22"/>
        </w:rPr>
        <w:t xml:space="preserve"> in evaluation and monitoring activities across multiple strategic reforms. </w:t>
      </w:r>
    </w:p>
    <w:p w14:paraId="0049147A" w14:textId="4BC85C10" w:rsidR="00F3184C" w:rsidRPr="00863097" w:rsidRDefault="00DD41B4" w:rsidP="00951447">
      <w:pPr>
        <w:pStyle w:val="DHHSbody"/>
        <w:spacing w:before="240"/>
        <w:jc w:val="both"/>
        <w:rPr>
          <w:rFonts w:cs="Arial"/>
          <w:sz w:val="22"/>
          <w:szCs w:val="22"/>
        </w:rPr>
      </w:pPr>
      <w:r>
        <w:rPr>
          <w:rFonts w:cs="Arial"/>
          <w:sz w:val="22"/>
          <w:szCs w:val="22"/>
        </w:rPr>
        <w:t xml:space="preserve">In 2020, the department will add indicators from the Aboriginal Indicator Library to the updated </w:t>
      </w:r>
      <w:r w:rsidRPr="007476AB">
        <w:rPr>
          <w:rFonts w:cs="Arial"/>
          <w:sz w:val="22"/>
          <w:szCs w:val="22"/>
        </w:rPr>
        <w:t>Health and Human Services Outcomes Framework</w:t>
      </w:r>
      <w:r>
        <w:rPr>
          <w:rFonts w:cs="Arial"/>
          <w:sz w:val="22"/>
          <w:szCs w:val="22"/>
        </w:rPr>
        <w:t xml:space="preserve">, which will </w:t>
      </w:r>
      <w:r w:rsidR="004C1FAB">
        <w:rPr>
          <w:rFonts w:cs="Arial"/>
          <w:sz w:val="22"/>
          <w:szCs w:val="22"/>
        </w:rPr>
        <w:t>embed</w:t>
      </w:r>
      <w:r>
        <w:rPr>
          <w:rFonts w:cs="Arial"/>
          <w:sz w:val="22"/>
          <w:szCs w:val="22"/>
        </w:rPr>
        <w:t xml:space="preserve"> the Aboriginal voice </w:t>
      </w:r>
      <w:r w:rsidR="004C1FAB">
        <w:rPr>
          <w:rFonts w:cs="Arial"/>
          <w:sz w:val="22"/>
          <w:szCs w:val="22"/>
        </w:rPr>
        <w:t>in</w:t>
      </w:r>
      <w:r>
        <w:rPr>
          <w:rFonts w:cs="Arial"/>
          <w:sz w:val="22"/>
          <w:szCs w:val="22"/>
        </w:rPr>
        <w:t>to a key departmental</w:t>
      </w:r>
      <w:r w:rsidR="00AD6D1B">
        <w:rPr>
          <w:rFonts w:cs="Arial"/>
          <w:sz w:val="22"/>
          <w:szCs w:val="22"/>
        </w:rPr>
        <w:t xml:space="preserve"> tool for </w:t>
      </w:r>
      <w:r w:rsidR="00CC60F6">
        <w:rPr>
          <w:rFonts w:cs="Arial"/>
          <w:sz w:val="22"/>
          <w:szCs w:val="22"/>
        </w:rPr>
        <w:t>monitoring the progress of</w:t>
      </w:r>
      <w:r w:rsidR="00DC74FF">
        <w:rPr>
          <w:rFonts w:cs="Arial"/>
          <w:sz w:val="22"/>
          <w:szCs w:val="22"/>
        </w:rPr>
        <w:t xml:space="preserve"> its health and wellbei</w:t>
      </w:r>
      <w:r>
        <w:rPr>
          <w:rFonts w:cs="Arial"/>
          <w:sz w:val="22"/>
          <w:szCs w:val="22"/>
        </w:rPr>
        <w:t>ng programs</w:t>
      </w:r>
      <w:r w:rsidR="00DC74FF">
        <w:rPr>
          <w:rFonts w:cs="Arial"/>
          <w:sz w:val="22"/>
          <w:szCs w:val="22"/>
        </w:rPr>
        <w:t xml:space="preserve">. </w:t>
      </w:r>
    </w:p>
    <w:p w14:paraId="363916CE" w14:textId="5E15222F" w:rsidR="00F3184C" w:rsidRDefault="00F3184C" w:rsidP="00951447">
      <w:pPr>
        <w:jc w:val="both"/>
      </w:pPr>
    </w:p>
    <w:p w14:paraId="3FEFDAC5" w14:textId="77777777" w:rsidR="004846C4" w:rsidRPr="00F15322" w:rsidRDefault="004846C4" w:rsidP="004846C4">
      <w:pPr>
        <w:pStyle w:val="Heading1"/>
      </w:pPr>
      <w:r w:rsidRPr="00F15322">
        <w:t>The Centre for Evaluation and Research Evidence</w:t>
      </w:r>
    </w:p>
    <w:p w14:paraId="6FA88BDC" w14:textId="1B44D84C" w:rsidR="004846C4" w:rsidRDefault="004846C4" w:rsidP="004846C4">
      <w:pPr>
        <w:jc w:val="both"/>
        <w:rPr>
          <w:rFonts w:ascii="Arial" w:hAnsi="Arial" w:cs="Arial"/>
        </w:rPr>
      </w:pPr>
      <w:r w:rsidRPr="00F15322">
        <w:rPr>
          <w:rFonts w:ascii="Arial" w:hAnsi="Arial" w:cs="Arial"/>
        </w:rPr>
        <w:t xml:space="preserve">The Centre for Evaluation and Research Evidence (the Centre) </w:t>
      </w:r>
      <w:r w:rsidR="00464969">
        <w:rPr>
          <w:rFonts w:ascii="Arial" w:hAnsi="Arial" w:cs="Arial"/>
        </w:rPr>
        <w:t xml:space="preserve">is the department’s internal </w:t>
      </w:r>
      <w:r w:rsidR="0035109B">
        <w:rPr>
          <w:rFonts w:ascii="Arial" w:hAnsi="Arial" w:cs="Arial"/>
        </w:rPr>
        <w:t xml:space="preserve">evaluation and research function that </w:t>
      </w:r>
      <w:r w:rsidRPr="00F15322">
        <w:rPr>
          <w:rFonts w:ascii="Arial" w:hAnsi="Arial" w:cs="Arial"/>
        </w:rPr>
        <w:t>provides advice, support and training for evaluation</w:t>
      </w:r>
      <w:r w:rsidR="000E4096">
        <w:rPr>
          <w:rFonts w:ascii="Arial" w:hAnsi="Arial" w:cs="Arial"/>
        </w:rPr>
        <w:t xml:space="preserve">. It also </w:t>
      </w:r>
      <w:r w:rsidRPr="00F15322">
        <w:rPr>
          <w:rFonts w:ascii="Arial" w:hAnsi="Arial" w:cs="Arial"/>
        </w:rPr>
        <w:t>delivers research and evaluation projects and works in partnership with service delivery partners to improve their impact</w:t>
      </w:r>
      <w:r>
        <w:rPr>
          <w:rFonts w:ascii="Arial" w:hAnsi="Arial" w:cs="Arial"/>
        </w:rPr>
        <w:t xml:space="preserve">. </w:t>
      </w:r>
    </w:p>
    <w:p w14:paraId="300A5E06" w14:textId="1F79FE41" w:rsidR="004846C4" w:rsidRDefault="004846C4" w:rsidP="004846C4">
      <w:pPr>
        <w:jc w:val="both"/>
        <w:rPr>
          <w:rFonts w:ascii="Arial" w:hAnsi="Arial" w:cs="Arial"/>
        </w:rPr>
      </w:pPr>
      <w:r w:rsidRPr="00F15322">
        <w:rPr>
          <w:rFonts w:ascii="Arial" w:hAnsi="Arial" w:cs="Arial"/>
        </w:rPr>
        <w:t xml:space="preserve">The Centre </w:t>
      </w:r>
      <w:r>
        <w:rPr>
          <w:rFonts w:ascii="Arial" w:hAnsi="Arial" w:cs="Arial"/>
        </w:rPr>
        <w:t xml:space="preserve">works closely with </w:t>
      </w:r>
      <w:r w:rsidR="0035109B">
        <w:rPr>
          <w:rFonts w:ascii="Arial" w:hAnsi="Arial" w:cs="Arial"/>
        </w:rPr>
        <w:t>Aboriginal Strategy and Oversight</w:t>
      </w:r>
      <w:r>
        <w:rPr>
          <w:rFonts w:ascii="Arial" w:hAnsi="Arial" w:cs="Arial"/>
        </w:rPr>
        <w:t xml:space="preserve"> to ensure Aboriginal voices are embedded across the department’s evaluations and to ensure Aboriginal-led evaluations are credible, useful and culturally and ethically appropriate.</w:t>
      </w:r>
    </w:p>
    <w:p w14:paraId="60F258A6" w14:textId="763531EF" w:rsidR="004846C4" w:rsidRDefault="004846C4" w:rsidP="004846C4">
      <w:pPr>
        <w:pStyle w:val="Heading3"/>
        <w:rPr>
          <w:rFonts w:ascii="Arial" w:hAnsi="Arial" w:cs="Arial"/>
        </w:rPr>
      </w:pPr>
      <w:r w:rsidRPr="004846C4">
        <w:rPr>
          <w:rFonts w:ascii="Arial" w:hAnsi="Arial" w:cs="Arial"/>
        </w:rPr>
        <w:t>Building the Aboriginal Evidence Base </w:t>
      </w:r>
      <w:r w:rsidR="001A021F">
        <w:rPr>
          <w:rFonts w:ascii="Arial" w:hAnsi="Arial" w:cs="Arial"/>
        </w:rPr>
        <w:t>Project</w:t>
      </w:r>
    </w:p>
    <w:p w14:paraId="1B50046F" w14:textId="77777777" w:rsidR="00DA2BAD" w:rsidRDefault="00DA2BAD" w:rsidP="00375E53">
      <w:pPr>
        <w:jc w:val="both"/>
        <w:rPr>
          <w:rFonts w:ascii="Arial" w:hAnsi="Arial" w:cs="Arial"/>
        </w:rPr>
      </w:pPr>
      <w:bookmarkStart w:id="1" w:name="_Hlk47084864"/>
    </w:p>
    <w:p w14:paraId="5F498B41" w14:textId="3F9B0899" w:rsidR="00375E53" w:rsidRDefault="004846C4" w:rsidP="00375E53">
      <w:pPr>
        <w:jc w:val="both"/>
        <w:rPr>
          <w:rFonts w:ascii="Arial" w:hAnsi="Arial" w:cs="Arial"/>
        </w:rPr>
      </w:pPr>
      <w:r>
        <w:rPr>
          <w:rFonts w:ascii="Arial" w:hAnsi="Arial" w:cs="Arial"/>
        </w:rPr>
        <w:t xml:space="preserve">The Building the Aboriginal Evidence Base </w:t>
      </w:r>
      <w:r w:rsidRPr="00E1355D">
        <w:rPr>
          <w:rFonts w:ascii="Arial" w:hAnsi="Arial" w:cs="Arial"/>
        </w:rPr>
        <w:t>project</w:t>
      </w:r>
      <w:r w:rsidR="000D116E">
        <w:rPr>
          <w:rFonts w:ascii="Arial" w:hAnsi="Arial" w:cs="Arial"/>
        </w:rPr>
        <w:t xml:space="preserve"> is a collaboration between the department and </w:t>
      </w:r>
      <w:r w:rsidR="00DA2BAD">
        <w:rPr>
          <w:rFonts w:ascii="Arial" w:hAnsi="Arial" w:cs="Arial"/>
        </w:rPr>
        <w:t xml:space="preserve">Victoria’s </w:t>
      </w:r>
      <w:r w:rsidR="00DA2BAD" w:rsidRPr="00E1355D">
        <w:rPr>
          <w:rFonts w:ascii="Arial" w:hAnsi="Arial" w:cs="Arial"/>
        </w:rPr>
        <w:t>A</w:t>
      </w:r>
      <w:r w:rsidR="00DA2BAD">
        <w:rPr>
          <w:rFonts w:ascii="Arial" w:hAnsi="Arial" w:cs="Arial"/>
        </w:rPr>
        <w:t xml:space="preserve">boriginal </w:t>
      </w:r>
      <w:r w:rsidR="00DA2BAD" w:rsidRPr="00E1355D">
        <w:rPr>
          <w:rFonts w:ascii="Arial" w:hAnsi="Arial" w:cs="Arial"/>
        </w:rPr>
        <w:t>C</w:t>
      </w:r>
      <w:r w:rsidR="00DA2BAD">
        <w:rPr>
          <w:rFonts w:ascii="Arial" w:hAnsi="Arial" w:cs="Arial"/>
        </w:rPr>
        <w:t xml:space="preserve">ommunity </w:t>
      </w:r>
      <w:r w:rsidR="00DA2BAD" w:rsidRPr="00E1355D">
        <w:rPr>
          <w:rFonts w:ascii="Arial" w:hAnsi="Arial" w:cs="Arial"/>
        </w:rPr>
        <w:t>C</w:t>
      </w:r>
      <w:r w:rsidR="00DA2BAD">
        <w:rPr>
          <w:rFonts w:ascii="Arial" w:hAnsi="Arial" w:cs="Arial"/>
        </w:rPr>
        <w:t xml:space="preserve">ontrolled </w:t>
      </w:r>
      <w:r w:rsidR="00DA2BAD" w:rsidRPr="00E1355D">
        <w:rPr>
          <w:rFonts w:ascii="Arial" w:hAnsi="Arial" w:cs="Arial"/>
        </w:rPr>
        <w:t>O</w:t>
      </w:r>
      <w:r w:rsidR="00DA2BAD">
        <w:rPr>
          <w:rFonts w:ascii="Arial" w:hAnsi="Arial" w:cs="Arial"/>
        </w:rPr>
        <w:t>rganisations (</w:t>
      </w:r>
      <w:r>
        <w:rPr>
          <w:rFonts w:ascii="Arial" w:hAnsi="Arial" w:cs="Arial"/>
        </w:rPr>
        <w:t>ACCOs</w:t>
      </w:r>
      <w:r w:rsidR="00DA2BAD">
        <w:rPr>
          <w:rFonts w:ascii="Arial" w:hAnsi="Arial" w:cs="Arial"/>
        </w:rPr>
        <w:t>)</w:t>
      </w:r>
      <w:r>
        <w:rPr>
          <w:rFonts w:ascii="Arial" w:hAnsi="Arial" w:cs="Arial"/>
        </w:rPr>
        <w:t xml:space="preserve"> </w:t>
      </w:r>
      <w:r w:rsidR="000D116E">
        <w:rPr>
          <w:rFonts w:ascii="Arial" w:hAnsi="Arial" w:cs="Arial"/>
        </w:rPr>
        <w:t xml:space="preserve">that intends to build </w:t>
      </w:r>
      <w:r w:rsidR="000E4096">
        <w:rPr>
          <w:rFonts w:ascii="Arial" w:hAnsi="Arial" w:cs="Arial"/>
        </w:rPr>
        <w:t xml:space="preserve">capacity of the department and the Aboriginal community sector to develop the Aboriginal evidence base. </w:t>
      </w:r>
      <w:r w:rsidR="000D116E">
        <w:rPr>
          <w:rFonts w:ascii="Arial" w:hAnsi="Arial" w:cs="Arial"/>
        </w:rPr>
        <w:t xml:space="preserve">The project </w:t>
      </w:r>
      <w:r w:rsidR="000E4096">
        <w:rPr>
          <w:rFonts w:ascii="Arial" w:hAnsi="Arial" w:cs="Arial"/>
        </w:rPr>
        <w:t xml:space="preserve">will support Aboriginal organisations to </w:t>
      </w:r>
      <w:r w:rsidR="00375E53" w:rsidRPr="00E1355D">
        <w:rPr>
          <w:rFonts w:ascii="Arial" w:hAnsi="Arial" w:cs="Arial"/>
        </w:rPr>
        <w:t>take ownership</w:t>
      </w:r>
      <w:r w:rsidR="00375E53">
        <w:rPr>
          <w:rFonts w:ascii="Arial" w:hAnsi="Arial" w:cs="Arial"/>
        </w:rPr>
        <w:t xml:space="preserve"> of,</w:t>
      </w:r>
      <w:r w:rsidR="00375E53" w:rsidRPr="00E1355D">
        <w:rPr>
          <w:rFonts w:ascii="Arial" w:hAnsi="Arial" w:cs="Arial"/>
        </w:rPr>
        <w:t xml:space="preserve"> and responsibility for designing, delivering and evaluating policies and programs on </w:t>
      </w:r>
      <w:r w:rsidR="000E4096">
        <w:rPr>
          <w:rFonts w:ascii="Arial" w:hAnsi="Arial" w:cs="Arial"/>
        </w:rPr>
        <w:t>their</w:t>
      </w:r>
      <w:r w:rsidR="00375E53" w:rsidRPr="00E1355D">
        <w:rPr>
          <w:rFonts w:ascii="Arial" w:hAnsi="Arial" w:cs="Arial"/>
        </w:rPr>
        <w:t xml:space="preserve"> own terms.</w:t>
      </w:r>
      <w:r w:rsidR="00375E53">
        <w:rPr>
          <w:rFonts w:ascii="Arial" w:hAnsi="Arial" w:cs="Arial"/>
        </w:rPr>
        <w:t xml:space="preserve"> </w:t>
      </w:r>
    </w:p>
    <w:p w14:paraId="4C3FB3CB" w14:textId="23701AF3" w:rsidR="004846C4" w:rsidRPr="00F63582" w:rsidRDefault="004846C4" w:rsidP="004846C4">
      <w:pPr>
        <w:jc w:val="both"/>
        <w:rPr>
          <w:rFonts w:ascii="Arial" w:hAnsi="Arial" w:cs="Arial"/>
        </w:rPr>
      </w:pPr>
      <w:r w:rsidRPr="00F63582">
        <w:rPr>
          <w:rFonts w:ascii="Arial" w:hAnsi="Arial" w:cs="Arial"/>
        </w:rPr>
        <w:t>This project involv</w:t>
      </w:r>
      <w:r>
        <w:rPr>
          <w:rFonts w:ascii="Arial" w:hAnsi="Arial" w:cs="Arial"/>
        </w:rPr>
        <w:t>es working with ACCOs to:</w:t>
      </w:r>
    </w:p>
    <w:p w14:paraId="42E14445" w14:textId="52A0951E" w:rsidR="004846C4" w:rsidRPr="003633F0" w:rsidRDefault="004846C4" w:rsidP="004846C4">
      <w:pPr>
        <w:pStyle w:val="DHHSbullet1"/>
        <w:jc w:val="both"/>
        <w:rPr>
          <w:rFonts w:cs="Arial"/>
        </w:rPr>
      </w:pPr>
      <w:r w:rsidRPr="002C3D41">
        <w:rPr>
          <w:rFonts w:cs="Arial"/>
          <w:sz w:val="22"/>
          <w:szCs w:val="22"/>
        </w:rPr>
        <w:t>scop</w:t>
      </w:r>
      <w:r>
        <w:rPr>
          <w:rFonts w:cs="Arial"/>
          <w:sz w:val="22"/>
          <w:szCs w:val="22"/>
        </w:rPr>
        <w:t>e</w:t>
      </w:r>
      <w:r w:rsidRPr="002C3D41">
        <w:rPr>
          <w:rFonts w:cs="Arial"/>
          <w:sz w:val="22"/>
          <w:szCs w:val="22"/>
        </w:rPr>
        <w:t xml:space="preserve"> a centre for Aboriginal knowledge and </w:t>
      </w:r>
      <w:r w:rsidR="00D80062" w:rsidRPr="002C3D41">
        <w:rPr>
          <w:rFonts w:cs="Arial"/>
          <w:sz w:val="22"/>
          <w:szCs w:val="22"/>
        </w:rPr>
        <w:t>culturally based</w:t>
      </w:r>
      <w:r w:rsidRPr="002C3D41">
        <w:rPr>
          <w:rFonts w:cs="Arial"/>
          <w:sz w:val="22"/>
          <w:szCs w:val="22"/>
        </w:rPr>
        <w:t xml:space="preserve"> practice</w:t>
      </w:r>
      <w:r>
        <w:rPr>
          <w:rFonts w:cs="Arial"/>
          <w:sz w:val="22"/>
          <w:szCs w:val="22"/>
        </w:rPr>
        <w:t xml:space="preserve"> in children and family services</w:t>
      </w:r>
    </w:p>
    <w:p w14:paraId="5704D685" w14:textId="77777777" w:rsidR="004846C4" w:rsidRPr="003633F0" w:rsidRDefault="004846C4" w:rsidP="004846C4">
      <w:pPr>
        <w:pStyle w:val="DHHSbullet1"/>
        <w:jc w:val="both"/>
        <w:rPr>
          <w:rFonts w:cs="Arial"/>
        </w:rPr>
      </w:pPr>
      <w:r w:rsidRPr="002C3D41">
        <w:rPr>
          <w:rFonts w:cs="Arial"/>
          <w:sz w:val="22"/>
          <w:szCs w:val="22"/>
        </w:rPr>
        <w:t xml:space="preserve">identifying models of Aboriginal evidence-informed practice in Victoria </w:t>
      </w:r>
    </w:p>
    <w:p w14:paraId="6FA682C8" w14:textId="77777777" w:rsidR="004846C4" w:rsidRPr="003633F0" w:rsidRDefault="004846C4" w:rsidP="004846C4">
      <w:pPr>
        <w:pStyle w:val="DHHSbullet1"/>
        <w:jc w:val="both"/>
        <w:rPr>
          <w:rFonts w:cs="Arial"/>
        </w:rPr>
      </w:pPr>
      <w:r w:rsidRPr="002C3D41">
        <w:rPr>
          <w:rFonts w:cs="Arial"/>
          <w:sz w:val="22"/>
          <w:szCs w:val="22"/>
        </w:rPr>
        <w:t xml:space="preserve">building knowledge of Aboriginal-led approaches to improve outcomes for Aboriginal children and families </w:t>
      </w:r>
      <w:r>
        <w:rPr>
          <w:rFonts w:cs="Arial"/>
          <w:sz w:val="22"/>
          <w:szCs w:val="22"/>
        </w:rPr>
        <w:t>using culturally appropriate methods and approaches</w:t>
      </w:r>
    </w:p>
    <w:p w14:paraId="61F42405" w14:textId="77777777" w:rsidR="004846C4" w:rsidRPr="003633F0" w:rsidRDefault="004846C4" w:rsidP="004846C4">
      <w:pPr>
        <w:pStyle w:val="DHHSbullet1"/>
        <w:jc w:val="both"/>
        <w:rPr>
          <w:rFonts w:cs="Arial"/>
        </w:rPr>
      </w:pPr>
      <w:r w:rsidRPr="002C3D41">
        <w:rPr>
          <w:rFonts w:cs="Arial"/>
          <w:sz w:val="22"/>
          <w:szCs w:val="22"/>
        </w:rPr>
        <w:t>build capacity to document and strengthen the evidence base of what works for Aboriginal children, families and community across Victoria.</w:t>
      </w:r>
    </w:p>
    <w:p w14:paraId="767A5D90" w14:textId="77777777" w:rsidR="00375E53" w:rsidRDefault="00375E53" w:rsidP="004846C4">
      <w:pPr>
        <w:jc w:val="both"/>
        <w:rPr>
          <w:rFonts w:ascii="Arial" w:hAnsi="Arial" w:cs="Arial"/>
        </w:rPr>
      </w:pPr>
    </w:p>
    <w:p w14:paraId="24427BA4" w14:textId="6110EAAB" w:rsidR="004846C4" w:rsidRDefault="004846C4" w:rsidP="004846C4">
      <w:pPr>
        <w:jc w:val="both"/>
        <w:rPr>
          <w:rFonts w:ascii="Arial" w:hAnsi="Arial" w:cs="Arial"/>
        </w:rPr>
      </w:pPr>
      <w:r w:rsidRPr="00DF188F">
        <w:rPr>
          <w:rFonts w:ascii="Arial" w:hAnsi="Arial" w:cs="Arial"/>
        </w:rPr>
        <w:t xml:space="preserve">Building the evidence base and sharing Aboriginal knowledge are critical enablers to achieve the aims of </w:t>
      </w:r>
      <w:r w:rsidR="00716CCA">
        <w:rPr>
          <w:rFonts w:ascii="Arial" w:hAnsi="Arial" w:cs="Arial"/>
        </w:rPr>
        <w:t>the Aboriginal Children and Families Agreement (</w:t>
      </w:r>
      <w:proofErr w:type="spellStart"/>
      <w:r w:rsidRPr="00DF188F">
        <w:rPr>
          <w:rFonts w:ascii="Arial" w:hAnsi="Arial" w:cs="Arial"/>
        </w:rPr>
        <w:t>Wungurilwil</w:t>
      </w:r>
      <w:proofErr w:type="spellEnd"/>
      <w:r w:rsidRPr="00DF188F">
        <w:rPr>
          <w:rFonts w:ascii="Arial" w:hAnsi="Arial" w:cs="Arial"/>
        </w:rPr>
        <w:t xml:space="preserve"> </w:t>
      </w:r>
      <w:proofErr w:type="spellStart"/>
      <w:r w:rsidRPr="00DF188F">
        <w:rPr>
          <w:rFonts w:ascii="Arial" w:hAnsi="Arial" w:cs="Arial"/>
        </w:rPr>
        <w:t>Gapgapduir</w:t>
      </w:r>
      <w:proofErr w:type="spellEnd"/>
      <w:r w:rsidR="00716CCA">
        <w:rPr>
          <w:rFonts w:ascii="Arial" w:hAnsi="Arial" w:cs="Arial"/>
        </w:rPr>
        <w:t>)</w:t>
      </w:r>
      <w:r>
        <w:rPr>
          <w:rFonts w:ascii="Arial" w:hAnsi="Arial" w:cs="Arial"/>
        </w:rPr>
        <w:t xml:space="preserve"> and </w:t>
      </w:r>
      <w:r>
        <w:rPr>
          <w:rFonts w:ascii="Arial" w:hAnsi="Arial" w:cs="Arial"/>
        </w:rPr>
        <w:lastRenderedPageBreak/>
        <w:t>the work through the Roadmap for Reform to deliver</w:t>
      </w:r>
      <w:r w:rsidRPr="00E1355D">
        <w:rPr>
          <w:rFonts w:ascii="Arial" w:hAnsi="Arial" w:cs="Arial"/>
        </w:rPr>
        <w:t xml:space="preserve"> better outcomes for Aboriginal children and young people</w:t>
      </w:r>
      <w:r>
        <w:rPr>
          <w:rFonts w:ascii="Arial" w:hAnsi="Arial" w:cs="Arial"/>
        </w:rPr>
        <w:t xml:space="preserve"> which reflect </w:t>
      </w:r>
      <w:r w:rsidRPr="00E1355D">
        <w:rPr>
          <w:rFonts w:ascii="Arial" w:hAnsi="Arial" w:cs="Arial"/>
        </w:rPr>
        <w:t>Aboriginal values and needs.</w:t>
      </w:r>
    </w:p>
    <w:bookmarkEnd w:id="1"/>
    <w:p w14:paraId="75A32E4D" w14:textId="77777777" w:rsidR="001A021F" w:rsidRPr="00F15322" w:rsidRDefault="001A021F" w:rsidP="001A021F">
      <w:pPr>
        <w:pStyle w:val="Heading1"/>
      </w:pPr>
      <w:r>
        <w:t>Alignment of key principles and priorities</w:t>
      </w:r>
    </w:p>
    <w:p w14:paraId="10342AE6" w14:textId="26BB3D85" w:rsidR="001A021F" w:rsidRDefault="001A021F" w:rsidP="001A021F">
      <w:pPr>
        <w:jc w:val="both"/>
        <w:rPr>
          <w:rFonts w:ascii="Arial" w:hAnsi="Arial" w:cs="Arial"/>
        </w:rPr>
      </w:pPr>
      <w:r>
        <w:rPr>
          <w:rFonts w:ascii="Arial" w:hAnsi="Arial" w:cs="Arial"/>
        </w:rPr>
        <w:t xml:space="preserve">The department finds that the principles for the </w:t>
      </w:r>
      <w:r w:rsidRPr="001A021F">
        <w:rPr>
          <w:rFonts w:ascii="Arial" w:hAnsi="Arial" w:cs="Arial"/>
          <w:i/>
          <w:iCs/>
        </w:rPr>
        <w:t>Indigenous Evaluation Framework</w:t>
      </w:r>
      <w:r>
        <w:rPr>
          <w:rFonts w:ascii="Arial" w:hAnsi="Arial" w:cs="Arial"/>
        </w:rPr>
        <w:t xml:space="preserve"> aligns with its own commitment to Aboriginal-led evaluation and monitoring. By placing Aboriginal people, their perspectives, priorities and knowledge at the centre of the </w:t>
      </w:r>
      <w:r w:rsidRPr="001A021F">
        <w:rPr>
          <w:rFonts w:ascii="Arial" w:hAnsi="Arial" w:cs="Arial"/>
          <w:i/>
          <w:iCs/>
        </w:rPr>
        <w:t>Indigenous Evaluation Framework</w:t>
      </w:r>
      <w:r>
        <w:rPr>
          <w:rFonts w:ascii="Arial" w:hAnsi="Arial" w:cs="Arial"/>
        </w:rPr>
        <w:t>, the department</w:t>
      </w:r>
      <w:r w:rsidR="00B763DA">
        <w:rPr>
          <w:rFonts w:ascii="Arial" w:hAnsi="Arial" w:cs="Arial"/>
        </w:rPr>
        <w:t>’s approach is consistent with th</w:t>
      </w:r>
      <w:r w:rsidR="00E945B3">
        <w:rPr>
          <w:rFonts w:ascii="Arial" w:hAnsi="Arial" w:cs="Arial"/>
        </w:rPr>
        <w:t>at of the Australian Government</w:t>
      </w:r>
      <w:r>
        <w:rPr>
          <w:rFonts w:ascii="Arial" w:hAnsi="Arial" w:cs="Arial"/>
        </w:rPr>
        <w:t xml:space="preserve">. </w:t>
      </w:r>
    </w:p>
    <w:p w14:paraId="3C5E74D3" w14:textId="09A3C4DF" w:rsidR="001A021F" w:rsidRDefault="001A021F" w:rsidP="001A021F">
      <w:pPr>
        <w:jc w:val="both"/>
        <w:rPr>
          <w:rFonts w:ascii="Arial" w:hAnsi="Arial" w:cs="Arial"/>
        </w:rPr>
      </w:pPr>
      <w:r>
        <w:rPr>
          <w:rFonts w:ascii="Arial" w:hAnsi="Arial" w:cs="Arial"/>
        </w:rPr>
        <w:t xml:space="preserve">The proposed </w:t>
      </w:r>
      <w:r w:rsidR="00B70A63">
        <w:rPr>
          <w:rFonts w:ascii="Arial" w:hAnsi="Arial" w:cs="Arial"/>
        </w:rPr>
        <w:t xml:space="preserve">Australian </w:t>
      </w:r>
      <w:r>
        <w:rPr>
          <w:rFonts w:ascii="Arial" w:hAnsi="Arial" w:cs="Arial"/>
        </w:rPr>
        <w:t xml:space="preserve">government-wide ‘Cross System Priority’ also aligns with the department’s integrated responses that reflect Aboriginal holistic understandings of health, wellbeing and safety.  Addressing racism, discrimination, healing and trauma, and the promotion of cultures and languages for Aboriginal people reflect the Victorian Aboriginal Affairs Framework priorities for action. Importantly, the Victorian Aboriginal Affairs Framework measurement domains, together with the department’s </w:t>
      </w:r>
      <w:r w:rsidR="00EA0918">
        <w:rPr>
          <w:rFonts w:ascii="Arial" w:hAnsi="Arial" w:cs="Arial"/>
        </w:rPr>
        <w:t xml:space="preserve">Health and Human Services </w:t>
      </w:r>
      <w:r>
        <w:rPr>
          <w:rFonts w:ascii="Arial" w:hAnsi="Arial" w:cs="Arial"/>
        </w:rPr>
        <w:t xml:space="preserve">Outcomes Framework, are closely aligned with the Priority Policy Areas of the </w:t>
      </w:r>
      <w:r w:rsidRPr="001A021F">
        <w:rPr>
          <w:rFonts w:ascii="Arial" w:hAnsi="Arial" w:cs="Arial"/>
          <w:i/>
          <w:iCs/>
        </w:rPr>
        <w:t>Indigenous Evaluation Strategy</w:t>
      </w:r>
      <w:r>
        <w:rPr>
          <w:rFonts w:ascii="Arial" w:hAnsi="Arial" w:cs="Arial"/>
        </w:rPr>
        <w:t xml:space="preserve">. This will enhance the capability of </w:t>
      </w:r>
      <w:r w:rsidR="00B70A63">
        <w:rPr>
          <w:rFonts w:ascii="Arial" w:hAnsi="Arial" w:cs="Arial"/>
        </w:rPr>
        <w:t xml:space="preserve">the Australian and Victorian </w:t>
      </w:r>
      <w:r>
        <w:rPr>
          <w:rFonts w:ascii="Arial" w:hAnsi="Arial" w:cs="Arial"/>
        </w:rPr>
        <w:t>government</w:t>
      </w:r>
      <w:r w:rsidR="00B70A63">
        <w:rPr>
          <w:rFonts w:ascii="Arial" w:hAnsi="Arial" w:cs="Arial"/>
        </w:rPr>
        <w:t>s</w:t>
      </w:r>
      <w:r>
        <w:rPr>
          <w:rFonts w:ascii="Arial" w:hAnsi="Arial" w:cs="Arial"/>
        </w:rPr>
        <w:t xml:space="preserve"> and Aboriginal communities to </w:t>
      </w:r>
      <w:r w:rsidR="00B70A63">
        <w:rPr>
          <w:rFonts w:ascii="Arial" w:hAnsi="Arial" w:cs="Arial"/>
        </w:rPr>
        <w:t>jointly</w:t>
      </w:r>
      <w:r>
        <w:rPr>
          <w:rFonts w:ascii="Arial" w:hAnsi="Arial" w:cs="Arial"/>
        </w:rPr>
        <w:t xml:space="preserve"> measure the impact of multiple strategies with greater consistency and comparability.  </w:t>
      </w:r>
    </w:p>
    <w:p w14:paraId="12821E8C" w14:textId="77777777" w:rsidR="00375E53" w:rsidRPr="00F15322" w:rsidRDefault="00375E53" w:rsidP="00375E53">
      <w:pPr>
        <w:pStyle w:val="Heading1"/>
      </w:pPr>
      <w:r w:rsidRPr="00F15322">
        <w:t xml:space="preserve">Conclusion </w:t>
      </w:r>
    </w:p>
    <w:p w14:paraId="24DA92EA" w14:textId="126C8C3E" w:rsidR="00375E53" w:rsidRDefault="00375E53" w:rsidP="00453790">
      <w:pPr>
        <w:jc w:val="both"/>
        <w:rPr>
          <w:rFonts w:ascii="Arial" w:hAnsi="Arial" w:cs="Arial"/>
        </w:rPr>
      </w:pPr>
      <w:r>
        <w:rPr>
          <w:rFonts w:ascii="Arial" w:hAnsi="Arial" w:cs="Arial"/>
        </w:rPr>
        <w:t>It is i</w:t>
      </w:r>
      <w:r w:rsidRPr="008C743B">
        <w:rPr>
          <w:rFonts w:ascii="Arial" w:hAnsi="Arial" w:cs="Arial"/>
        </w:rPr>
        <w:t xml:space="preserve">mportant to acknowledge that </w:t>
      </w:r>
      <w:r>
        <w:rPr>
          <w:rFonts w:ascii="Arial" w:hAnsi="Arial" w:cs="Arial"/>
        </w:rPr>
        <w:t xml:space="preserve">Victorian </w:t>
      </w:r>
      <w:r w:rsidRPr="008C743B">
        <w:rPr>
          <w:rFonts w:ascii="Arial" w:hAnsi="Arial" w:cs="Arial"/>
        </w:rPr>
        <w:t xml:space="preserve">Aboriginal organisations </w:t>
      </w:r>
      <w:r>
        <w:rPr>
          <w:rFonts w:ascii="Arial" w:hAnsi="Arial" w:cs="Arial"/>
        </w:rPr>
        <w:t xml:space="preserve">have well-established approaches based on their own knowledge systems and cultural expertise. The challenge for government is to embed this knowledge and expertise across the whole health, human and community services sector and other sectors seeking to improve outcomes for Aboriginal people. The </w:t>
      </w:r>
      <w:r w:rsidRPr="00CC60F6">
        <w:rPr>
          <w:rFonts w:ascii="Arial" w:hAnsi="Arial" w:cs="Arial"/>
          <w:i/>
          <w:iCs/>
        </w:rPr>
        <w:t>Indigenous Evaluation Strategy</w:t>
      </w:r>
      <w:r>
        <w:rPr>
          <w:rFonts w:ascii="Arial" w:hAnsi="Arial" w:cs="Arial"/>
        </w:rPr>
        <w:t xml:space="preserve"> will provide an additional layer of accountability to Aboriginal families and communities and provide greater impetus for other jurisdictions to follow suit. </w:t>
      </w:r>
    </w:p>
    <w:p w14:paraId="1BDD8463" w14:textId="77777777" w:rsidR="00CC60F6" w:rsidRDefault="00375E53" w:rsidP="00453790">
      <w:pPr>
        <w:jc w:val="both"/>
        <w:rPr>
          <w:rFonts w:ascii="Arial" w:hAnsi="Arial" w:cs="Arial"/>
        </w:rPr>
      </w:pPr>
      <w:r>
        <w:rPr>
          <w:rFonts w:ascii="Arial" w:hAnsi="Arial" w:cs="Arial"/>
        </w:rPr>
        <w:t xml:space="preserve">The department cautions against overly prescriptive approaches to evaluation and encourages a greater emphasis on drawing from Aboriginal perspectives early in the evaluation process, including initial design activities and then </w:t>
      </w:r>
      <w:r w:rsidR="00CC60F6">
        <w:rPr>
          <w:rFonts w:ascii="Arial" w:hAnsi="Arial" w:cs="Arial"/>
        </w:rPr>
        <w:t>a</w:t>
      </w:r>
      <w:r>
        <w:rPr>
          <w:rFonts w:ascii="Arial" w:hAnsi="Arial" w:cs="Arial"/>
        </w:rPr>
        <w:t xml:space="preserve">t every stage of delivery. </w:t>
      </w:r>
    </w:p>
    <w:p w14:paraId="4FE6A679" w14:textId="03E5AA15" w:rsidR="00375E53" w:rsidRPr="00323E24" w:rsidRDefault="00375E53" w:rsidP="00453790">
      <w:pPr>
        <w:jc w:val="both"/>
        <w:rPr>
          <w:rFonts w:ascii="Arial" w:hAnsi="Arial" w:cs="Arial"/>
        </w:rPr>
      </w:pPr>
      <w:r>
        <w:rPr>
          <w:rFonts w:ascii="Arial" w:hAnsi="Arial" w:cs="Arial"/>
        </w:rPr>
        <w:t xml:space="preserve">Further examples of Aboriginal-led practices should be considered for the </w:t>
      </w:r>
      <w:r w:rsidRPr="00CC60F6">
        <w:rPr>
          <w:rFonts w:ascii="Arial" w:hAnsi="Arial" w:cs="Arial"/>
          <w:i/>
          <w:iCs/>
        </w:rPr>
        <w:t>Indigenous Evaluation Framework,</w:t>
      </w:r>
      <w:r>
        <w:rPr>
          <w:rFonts w:ascii="Arial" w:hAnsi="Arial" w:cs="Arial"/>
        </w:rPr>
        <w:t xml:space="preserve"> where </w:t>
      </w:r>
      <w:r w:rsidRPr="00F15322">
        <w:rPr>
          <w:rFonts w:ascii="Arial" w:hAnsi="Arial" w:cs="Arial"/>
        </w:rPr>
        <w:t xml:space="preserve">Aboriginal communities have </w:t>
      </w:r>
      <w:r>
        <w:rPr>
          <w:rFonts w:ascii="Arial" w:hAnsi="Arial" w:cs="Arial"/>
        </w:rPr>
        <w:t xml:space="preserve">the </w:t>
      </w:r>
      <w:r w:rsidRPr="00F15322">
        <w:rPr>
          <w:rFonts w:ascii="Arial" w:hAnsi="Arial" w:cs="Arial"/>
        </w:rPr>
        <w:t xml:space="preserve">choice, control, authority and responsibility for determining </w:t>
      </w:r>
      <w:r>
        <w:rPr>
          <w:rFonts w:ascii="Arial" w:hAnsi="Arial" w:cs="Arial"/>
        </w:rPr>
        <w:t xml:space="preserve">evaluative </w:t>
      </w:r>
      <w:r w:rsidRPr="00F15322">
        <w:rPr>
          <w:rFonts w:ascii="Arial" w:hAnsi="Arial" w:cs="Arial"/>
        </w:rPr>
        <w:t xml:space="preserve">priorities </w:t>
      </w:r>
      <w:r>
        <w:rPr>
          <w:rFonts w:ascii="Arial" w:hAnsi="Arial" w:cs="Arial"/>
        </w:rPr>
        <w:t xml:space="preserve">and measures of success. </w:t>
      </w:r>
      <w:r w:rsidR="00CC60F6">
        <w:rPr>
          <w:rFonts w:ascii="Arial" w:hAnsi="Arial" w:cs="Arial"/>
        </w:rPr>
        <w:t xml:space="preserve"> </w:t>
      </w:r>
    </w:p>
    <w:p w14:paraId="2A7CD848" w14:textId="77777777" w:rsidR="00375E53" w:rsidRDefault="00375E53" w:rsidP="001A021F">
      <w:pPr>
        <w:jc w:val="both"/>
        <w:rPr>
          <w:rFonts w:ascii="Arial" w:hAnsi="Arial" w:cs="Arial"/>
        </w:rPr>
      </w:pPr>
    </w:p>
    <w:p w14:paraId="6BCD5983" w14:textId="77777777" w:rsidR="004846C4" w:rsidRDefault="004846C4" w:rsidP="00951447">
      <w:pPr>
        <w:jc w:val="both"/>
      </w:pPr>
    </w:p>
    <w:sectPr w:rsidR="004846C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AD79E" w14:textId="77777777" w:rsidR="00F3184C" w:rsidRDefault="00F3184C" w:rsidP="00F3184C">
      <w:pPr>
        <w:spacing w:after="0" w:line="240" w:lineRule="auto"/>
      </w:pPr>
      <w:r>
        <w:separator/>
      </w:r>
    </w:p>
  </w:endnote>
  <w:endnote w:type="continuationSeparator" w:id="0">
    <w:p w14:paraId="1807CCBB" w14:textId="77777777" w:rsidR="00F3184C" w:rsidRDefault="00F3184C" w:rsidP="00F3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A2E21" w14:textId="04340F78" w:rsidR="00327FA7" w:rsidRDefault="004051B0">
    <w:pPr>
      <w:pStyle w:val="Footer"/>
    </w:pPr>
    <w:r>
      <w:rPr>
        <w:noProof/>
        <w:lang w:eastAsia="en-AU"/>
      </w:rPr>
      <mc:AlternateContent>
        <mc:Choice Requires="wps">
          <w:drawing>
            <wp:anchor distT="0" distB="0" distL="114300" distR="114300" simplePos="0" relativeHeight="251659264" behindDoc="0" locked="0" layoutInCell="0" allowOverlap="1" wp14:anchorId="5C421482" wp14:editId="714AE5E3">
              <wp:simplePos x="0" y="0"/>
              <wp:positionH relativeFrom="page">
                <wp:posOffset>0</wp:posOffset>
              </wp:positionH>
              <wp:positionV relativeFrom="page">
                <wp:posOffset>10234930</wp:posOffset>
              </wp:positionV>
              <wp:extent cx="7560310" cy="266700"/>
              <wp:effectExtent l="0" t="0" r="0" b="0"/>
              <wp:wrapNone/>
              <wp:docPr id="1" name="MSIPCMb2e94abc9ddc5ee109a3c9e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8F179B" w14:textId="364E0D82" w:rsidR="004051B0" w:rsidRPr="004051B0" w:rsidRDefault="004051B0" w:rsidP="004051B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421482" id="_x0000_t202" coordsize="21600,21600" o:spt="202" path="m,l,21600r21600,l21600,xe">
              <v:stroke joinstyle="miter"/>
              <v:path gradientshapeok="t" o:connecttype="rect"/>
            </v:shapetype>
            <v:shape id="MSIPCMb2e94abc9ddc5ee109a3c9e9"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" o:allowincell="f" filled="f" stroked="f" strokeweight=".5pt">
              <v:textbox inset=",0,,0">
                <w:txbxContent>
                  <w:p w14:paraId="598F179B" w14:textId="364E0D82" w:rsidR="004051B0" w:rsidRPr="004051B0" w:rsidRDefault="004051B0" w:rsidP="004051B0">
                    <w:pPr>
                      <w:spacing w:after="0"/>
                      <w:jc w:val="center"/>
                      <w:rPr>
                        <w:rFonts w:ascii="Arial Black" w:hAnsi="Arial Black"/>
                        <w:color w:val="000000"/>
                        <w:sz w:val="20"/>
                      </w:rPr>
                    </w:pPr>
                  </w:p>
                </w:txbxContent>
              </v:textbox>
              <w10:wrap anchorx="page" anchory="page"/>
            </v:shape>
          </w:pict>
        </mc:Fallback>
      </mc:AlternateContent>
    </w:r>
    <w:r w:rsidR="00327FA7">
      <w:t xml:space="preserve">Australian Government Productivity Commission: </w:t>
    </w:r>
    <w:r w:rsidR="00A44E57">
      <w:t>R</w:t>
    </w:r>
    <w:r w:rsidR="00327FA7">
      <w:t xml:space="preserve">equest for responses to the Indigenous Evaluation Strategy </w:t>
    </w:r>
    <w:r w:rsidR="00327FA7">
      <w:tab/>
    </w:r>
    <w:r w:rsidR="00327FA7">
      <w:tab/>
      <w:t xml:space="preserve"> </w:t>
    </w:r>
  </w:p>
  <w:p w14:paraId="3F0431BC" w14:textId="24154BC7" w:rsidR="00D723C0" w:rsidRPr="00327FA7" w:rsidRDefault="00327FA7">
    <w:pPr>
      <w:pStyle w:val="Footer"/>
      <w:rPr>
        <w:rFonts w:ascii="Arial" w:hAnsi="Arial" w:cs="Arial"/>
        <w:b/>
        <w:bCs/>
      </w:rPr>
    </w:pPr>
    <w:r>
      <w:tab/>
    </w:r>
    <w:r w:rsidRPr="00327FA7">
      <w:rPr>
        <w:rFonts w:ascii="Arial" w:hAnsi="Arial" w:cs="Arial"/>
        <w:b/>
        <w:bCs/>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D6A9F" w14:textId="77777777" w:rsidR="00F3184C" w:rsidRDefault="00F3184C" w:rsidP="00F3184C">
      <w:pPr>
        <w:spacing w:after="0" w:line="240" w:lineRule="auto"/>
      </w:pPr>
      <w:r>
        <w:separator/>
      </w:r>
    </w:p>
  </w:footnote>
  <w:footnote w:type="continuationSeparator" w:id="0">
    <w:p w14:paraId="1F98657B" w14:textId="77777777" w:rsidR="00F3184C" w:rsidRDefault="00F3184C" w:rsidP="00F3184C">
      <w:pPr>
        <w:spacing w:after="0" w:line="240" w:lineRule="auto"/>
      </w:pPr>
      <w:r>
        <w:continuationSeparator/>
      </w:r>
    </w:p>
  </w:footnote>
  <w:footnote w:id="1">
    <w:p w14:paraId="45517E5B" w14:textId="77777777" w:rsidR="00F3184C" w:rsidRDefault="00F3184C" w:rsidP="00F3184C">
      <w:pPr>
        <w:pStyle w:val="FootnoteText"/>
      </w:pPr>
      <w:r>
        <w:rPr>
          <w:rStyle w:val="FootnoteReference"/>
        </w:rPr>
        <w:footnoteRef/>
      </w:r>
      <w:r>
        <w:t xml:space="preserve"> The terms, ‘Aboriginal’, ‘Indigenous’ and ‘Aboriginal and Torres Strait Islander people’ are used interchangeably in this document depending on the source of the information provided for this submission.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02846"/>
    <w:multiLevelType w:val="hybridMultilevel"/>
    <w:tmpl w:val="957AFE28"/>
    <w:lvl w:ilvl="0" w:tplc="E2789028">
      <w:start w:val="1"/>
      <w:numFmt w:val="bullet"/>
      <w:lvlText w:val=""/>
      <w:lvlJc w:val="left"/>
      <w:pPr>
        <w:ind w:left="360" w:hanging="360"/>
      </w:pPr>
      <w:rPr>
        <w:rFonts w:ascii="Symbol" w:eastAsiaTheme="minorHAnsi" w:hAnsi="Symbol" w:cstheme="minorBidi" w:hint="default"/>
      </w:rPr>
    </w:lvl>
    <w:lvl w:ilvl="1" w:tplc="0C090001">
      <w:start w:val="1"/>
      <w:numFmt w:val="bullet"/>
      <w:lvlText w:val=""/>
      <w:lvlJc w:val="left"/>
      <w:pPr>
        <w:ind w:left="36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2EA1318"/>
    <w:multiLevelType w:val="multilevel"/>
    <w:tmpl w:val="4240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BA1E5A"/>
    <w:multiLevelType w:val="multilevel"/>
    <w:tmpl w:val="87EC1416"/>
    <w:styleLink w:val="ZZBullets"/>
    <w:lvl w:ilvl="0">
      <w:start w:val="1"/>
      <w:numFmt w:val="bullet"/>
      <w:pStyle w:val="DHHSbullet1"/>
      <w:lvlText w:val="•"/>
      <w:lvlJc w:val="left"/>
      <w:pPr>
        <w:ind w:left="284" w:hanging="284"/>
      </w:pPr>
      <w:rPr>
        <w:rFonts w:ascii="Calibri" w:hAnsi="Calibri" w:hint="default"/>
      </w:rPr>
    </w:lvl>
    <w:lvl w:ilvl="1">
      <w:start w:val="1"/>
      <w:numFmt w:val="decimal"/>
      <w:lvlRestart w:val="0"/>
      <w:pStyle w:val="DHHSbullet2"/>
      <w:lvlText w:val="%2."/>
      <w:lvlJc w:val="left"/>
      <w:pPr>
        <w:ind w:left="567" w:hanging="283"/>
      </w:pPr>
      <w:rPr>
        <w:rFonts w:ascii="Arial" w:eastAsia="Times" w:hAnsi="Arial" w:cs="Times New Roman"/>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66785FCC"/>
    <w:multiLevelType w:val="hybridMultilevel"/>
    <w:tmpl w:val="CAAE12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84C"/>
    <w:rsid w:val="000C3F63"/>
    <w:rsid w:val="000D116E"/>
    <w:rsid w:val="000E4096"/>
    <w:rsid w:val="000F008A"/>
    <w:rsid w:val="00131C1A"/>
    <w:rsid w:val="001A021F"/>
    <w:rsid w:val="001B1BCC"/>
    <w:rsid w:val="001C0D8B"/>
    <w:rsid w:val="001E70CE"/>
    <w:rsid w:val="00295AA3"/>
    <w:rsid w:val="003271F8"/>
    <w:rsid w:val="00327FA7"/>
    <w:rsid w:val="0035109B"/>
    <w:rsid w:val="00375E53"/>
    <w:rsid w:val="004051B0"/>
    <w:rsid w:val="004516BB"/>
    <w:rsid w:val="00453790"/>
    <w:rsid w:val="00464969"/>
    <w:rsid w:val="004846C4"/>
    <w:rsid w:val="00487D45"/>
    <w:rsid w:val="004C1FAB"/>
    <w:rsid w:val="00524746"/>
    <w:rsid w:val="0056362A"/>
    <w:rsid w:val="00592348"/>
    <w:rsid w:val="005E2C69"/>
    <w:rsid w:val="00636BE8"/>
    <w:rsid w:val="0069148E"/>
    <w:rsid w:val="006B4878"/>
    <w:rsid w:val="00716CCA"/>
    <w:rsid w:val="007476AB"/>
    <w:rsid w:val="007604DF"/>
    <w:rsid w:val="0081088C"/>
    <w:rsid w:val="00853060"/>
    <w:rsid w:val="008C1188"/>
    <w:rsid w:val="008D43EC"/>
    <w:rsid w:val="00951447"/>
    <w:rsid w:val="009E74E7"/>
    <w:rsid w:val="00A4295D"/>
    <w:rsid w:val="00A44E57"/>
    <w:rsid w:val="00AB595D"/>
    <w:rsid w:val="00AD6D1B"/>
    <w:rsid w:val="00AE2181"/>
    <w:rsid w:val="00AE3902"/>
    <w:rsid w:val="00B70A63"/>
    <w:rsid w:val="00B763DA"/>
    <w:rsid w:val="00BB4E63"/>
    <w:rsid w:val="00BB70F3"/>
    <w:rsid w:val="00BC03C5"/>
    <w:rsid w:val="00C666D7"/>
    <w:rsid w:val="00CC60F6"/>
    <w:rsid w:val="00CE7735"/>
    <w:rsid w:val="00D04B2E"/>
    <w:rsid w:val="00D05488"/>
    <w:rsid w:val="00D170C3"/>
    <w:rsid w:val="00D723C0"/>
    <w:rsid w:val="00D80062"/>
    <w:rsid w:val="00DA2BAD"/>
    <w:rsid w:val="00DC6301"/>
    <w:rsid w:val="00DC74FF"/>
    <w:rsid w:val="00DD41B4"/>
    <w:rsid w:val="00E945B3"/>
    <w:rsid w:val="00EA0918"/>
    <w:rsid w:val="00F318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08524D"/>
  <w15:chartTrackingRefBased/>
  <w15:docId w15:val="{82013A90-8569-4D79-8A9E-E6840BC4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84C"/>
  </w:style>
  <w:style w:type="paragraph" w:styleId="Heading1">
    <w:name w:val="heading 1"/>
    <w:basedOn w:val="Normal"/>
    <w:next w:val="Normal"/>
    <w:link w:val="Heading1Char"/>
    <w:uiPriority w:val="9"/>
    <w:qFormat/>
    <w:rsid w:val="00F3184C"/>
    <w:pPr>
      <w:keepNext/>
      <w:keepLines/>
      <w:spacing w:before="240" w:after="120"/>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3184C"/>
    <w:pPr>
      <w:keepNext/>
      <w:keepLines/>
      <w:spacing w:before="120" w:after="120"/>
      <w:outlineLvl w:val="1"/>
    </w:pPr>
    <w:rPr>
      <w:rFonts w:ascii="Arial" w:eastAsiaTheme="majorEastAsia" w:hAnsi="Arial"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318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84C"/>
    <w:rPr>
      <w:rFonts w:ascii="Segoe UI" w:hAnsi="Segoe UI" w:cs="Segoe UI"/>
      <w:sz w:val="18"/>
      <w:szCs w:val="18"/>
    </w:rPr>
  </w:style>
  <w:style w:type="character" w:customStyle="1" w:styleId="Heading1Char">
    <w:name w:val="Heading 1 Char"/>
    <w:basedOn w:val="DefaultParagraphFont"/>
    <w:link w:val="Heading1"/>
    <w:uiPriority w:val="9"/>
    <w:rsid w:val="00F3184C"/>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rsid w:val="00F3184C"/>
    <w:rPr>
      <w:rFonts w:ascii="Arial" w:eastAsiaTheme="majorEastAsia" w:hAnsi="Arial" w:cstheme="majorBidi"/>
      <w:color w:val="365F91" w:themeColor="accent1" w:themeShade="BF"/>
      <w:sz w:val="26"/>
      <w:szCs w:val="26"/>
    </w:rPr>
  </w:style>
  <w:style w:type="paragraph" w:styleId="ListParagraph">
    <w:name w:val="List Paragraph"/>
    <w:basedOn w:val="Normal"/>
    <w:uiPriority w:val="34"/>
    <w:qFormat/>
    <w:rsid w:val="00F3184C"/>
    <w:pPr>
      <w:ind w:left="720"/>
      <w:contextualSpacing/>
    </w:pPr>
  </w:style>
  <w:style w:type="paragraph" w:styleId="Title">
    <w:name w:val="Title"/>
    <w:basedOn w:val="Normal"/>
    <w:next w:val="Normal"/>
    <w:link w:val="TitleChar"/>
    <w:uiPriority w:val="10"/>
    <w:qFormat/>
    <w:rsid w:val="00F318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84C"/>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F318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84C"/>
    <w:rPr>
      <w:sz w:val="20"/>
      <w:szCs w:val="20"/>
    </w:rPr>
  </w:style>
  <w:style w:type="character" w:styleId="FootnoteReference">
    <w:name w:val="footnote reference"/>
    <w:basedOn w:val="DefaultParagraphFont"/>
    <w:uiPriority w:val="99"/>
    <w:semiHidden/>
    <w:unhideWhenUsed/>
    <w:rsid w:val="00F3184C"/>
    <w:rPr>
      <w:vertAlign w:val="superscript"/>
    </w:rPr>
  </w:style>
  <w:style w:type="paragraph" w:customStyle="1" w:styleId="DHHSbody">
    <w:name w:val="DHHS body"/>
    <w:qFormat/>
    <w:rsid w:val="00F3184C"/>
    <w:pPr>
      <w:spacing w:after="120" w:line="270" w:lineRule="atLeast"/>
    </w:pPr>
    <w:rPr>
      <w:rFonts w:ascii="Arial" w:eastAsia="Times" w:hAnsi="Arial" w:cs="Times New Roman"/>
      <w:sz w:val="20"/>
      <w:szCs w:val="20"/>
    </w:rPr>
  </w:style>
  <w:style w:type="paragraph" w:customStyle="1" w:styleId="DHHSbullet1">
    <w:name w:val="DHHS bullet 1"/>
    <w:basedOn w:val="DHHSbody"/>
    <w:qFormat/>
    <w:rsid w:val="00F3184C"/>
    <w:pPr>
      <w:numPr>
        <w:numId w:val="3"/>
      </w:numPr>
      <w:spacing w:after="40"/>
    </w:pPr>
  </w:style>
  <w:style w:type="paragraph" w:customStyle="1" w:styleId="DHHSbullet2">
    <w:name w:val="DHHS bullet 2"/>
    <w:basedOn w:val="DHHSbody"/>
    <w:uiPriority w:val="2"/>
    <w:qFormat/>
    <w:rsid w:val="00F3184C"/>
    <w:pPr>
      <w:numPr>
        <w:ilvl w:val="1"/>
        <w:numId w:val="3"/>
      </w:numPr>
      <w:spacing w:after="40"/>
    </w:pPr>
  </w:style>
  <w:style w:type="numbering" w:customStyle="1" w:styleId="ZZBullets">
    <w:name w:val="ZZ Bullets"/>
    <w:rsid w:val="00F3184C"/>
    <w:pPr>
      <w:numPr>
        <w:numId w:val="3"/>
      </w:numPr>
    </w:pPr>
  </w:style>
  <w:style w:type="character" w:customStyle="1" w:styleId="Heading3Char">
    <w:name w:val="Heading 3 Char"/>
    <w:basedOn w:val="DefaultParagraphFont"/>
    <w:link w:val="Heading3"/>
    <w:uiPriority w:val="9"/>
    <w:semiHidden/>
    <w:rsid w:val="00F3184C"/>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D72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3C0"/>
  </w:style>
  <w:style w:type="paragraph" w:styleId="Footer">
    <w:name w:val="footer"/>
    <w:basedOn w:val="Normal"/>
    <w:link w:val="FooterChar"/>
    <w:uiPriority w:val="99"/>
    <w:unhideWhenUsed/>
    <w:rsid w:val="00D72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152139">
      <w:bodyDiv w:val="1"/>
      <w:marLeft w:val="0"/>
      <w:marRight w:val="0"/>
      <w:marTop w:val="0"/>
      <w:marBottom w:val="0"/>
      <w:divBdr>
        <w:top w:val="none" w:sz="0" w:space="0" w:color="auto"/>
        <w:left w:val="none" w:sz="0" w:space="0" w:color="auto"/>
        <w:bottom w:val="none" w:sz="0" w:space="0" w:color="auto"/>
        <w:right w:val="none" w:sz="0" w:space="0" w:color="auto"/>
      </w:divBdr>
    </w:div>
    <w:div w:id="210673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A0687AD0.dotm</Template>
  <TotalTime>329</TotalTime>
  <Pages>4</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Submission DR137 - Vic Department of Health and Human Services (DHHS) - Indigenous Evaluation Strategy - Project</vt:lpstr>
    </vt:vector>
  </TitlesOfParts>
  <Company>Vic Department of Health and Human Services (DHHS)</Company>
  <LinksUpToDate>false</LinksUpToDate>
  <CharactersWithSpaces>10044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DR137 - Vic Department of Health and Human Services (DHHS) - Indigenous Evaluation Strategy - Project</dc:title>
  <dc:subject/>
  <dc:creator>Vic Department of Health and Human Services (DHHS)</dc:creator>
  <cp:keywords/>
  <dc:description/>
  <cp:lastModifiedBy>Productivity Commission</cp:lastModifiedBy>
  <cp:revision>50</cp:revision>
  <dcterms:created xsi:type="dcterms:W3CDTF">2020-08-02T06:36:00Z</dcterms:created>
  <dcterms:modified xsi:type="dcterms:W3CDTF">2020-08-05T01:30:00Z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iteId">
    <vt:lpwstr>c0e0601f-0fac-449c-9c88-a104c4eb9f28</vt:lpwstr>
  </property>
  <property fmtid="{D5CDD505-2E9C-101B-9397-08002B2CF9AE}" pid="4" name="MSIP_Label_43e64453-338c-4f93-8a4d-0039a0a41f2a_Owner">
    <vt:lpwstr>Amanda.Allen-Toland@dhhs.vic.gov.au</vt:lpwstr>
  </property>
  <property fmtid="{D5CDD505-2E9C-101B-9397-08002B2CF9AE}" pid="5" name="MSIP_Label_43e64453-338c-4f93-8a4d-0039a0a41f2a_SetDate">
    <vt:lpwstr>2020-08-02T07:02:14.0175977Z</vt:lpwstr>
  </property>
  <property fmtid="{D5CDD505-2E9C-101B-9397-08002B2CF9AE}" pid="6" name="MSIP_Label_43e64453-338c-4f93-8a4d-0039a0a41f2a_Name">
    <vt:lpwstr>OFFICIAL</vt:lpwstr>
  </property>
  <property fmtid="{D5CDD505-2E9C-101B-9397-08002B2CF9AE}" pid="7" name="MSIP_Label_43e64453-338c-4f93-8a4d-0039a0a41f2a_Application">
    <vt:lpwstr>Microsoft Azure Information Protection</vt:lpwstr>
  </property>
  <property fmtid="{D5CDD505-2E9C-101B-9397-08002B2CF9AE}" pid="8" name="MSIP_Label_43e64453-338c-4f93-8a4d-0039a0a41f2a_ActionId">
    <vt:lpwstr>09774208-6473-4363-ac81-d4315a6f9d92</vt:lpwstr>
  </property>
  <property fmtid="{D5CDD505-2E9C-101B-9397-08002B2CF9AE}" pid="9" name="MSIP_Label_43e64453-338c-4f93-8a4d-0039a0a41f2a_Extended_MSFT_Method">
    <vt:lpwstr>Manual</vt:lpwstr>
  </property>
  <property fmtid="{D5CDD505-2E9C-101B-9397-08002B2CF9AE}" pid="10" name="Sensitivity">
    <vt:lpwstr>OFFICIAL</vt:lpwstr>
  </property>
</Properties>
</file>