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851FB" w14:textId="67AC3D61" w:rsidR="00FE535D" w:rsidRPr="00EE47F2" w:rsidRDefault="00EE47F2" w:rsidP="00EE47F2">
      <w:pPr>
        <w:pStyle w:val="Heading1"/>
      </w:pPr>
      <w:r w:rsidRPr="00EE47F2">
        <w:t>Comments – PC report Chapter 8</w:t>
      </w:r>
    </w:p>
    <w:p w14:paraId="15AE31AD" w14:textId="56B482D4" w:rsidR="00EE47F2" w:rsidRDefault="00EE47F2">
      <w:pPr>
        <w:spacing w:before="96" w:after="288"/>
      </w:pPr>
    </w:p>
    <w:p w14:paraId="3D0DE8EE" w14:textId="080E0B8D" w:rsidR="00B313C7" w:rsidRDefault="00B313C7" w:rsidP="00B313C7">
      <w:pPr>
        <w:snapToGrid w:val="0"/>
        <w:jc w:val="both"/>
        <w:rPr>
          <w:sz w:val="24"/>
        </w:rPr>
      </w:pPr>
      <w:r>
        <w:rPr>
          <w:sz w:val="24"/>
        </w:rPr>
        <w:t>This section covers very well most of the environmental management issues associated with the NWI (and beyond). I generally agreed with the draft NWI renewal advice provided in the report.</w:t>
      </w:r>
    </w:p>
    <w:p w14:paraId="0F454000" w14:textId="09B40325" w:rsidR="00B313C7" w:rsidRPr="00B313C7" w:rsidRDefault="00B313C7" w:rsidP="00B313C7">
      <w:pPr>
        <w:snapToGrid w:val="0"/>
        <w:jc w:val="both"/>
        <w:rPr>
          <w:sz w:val="24"/>
        </w:rPr>
      </w:pPr>
      <w:r>
        <w:rPr>
          <w:sz w:val="24"/>
        </w:rPr>
        <w:t>Below are some comments related to the report.</w:t>
      </w:r>
    </w:p>
    <w:p w14:paraId="4B32FB57" w14:textId="78E9D143" w:rsidR="00EE47F2" w:rsidRPr="00541984" w:rsidRDefault="00EE47F2" w:rsidP="00F454C7">
      <w:pPr>
        <w:pStyle w:val="ListParagraph"/>
        <w:numPr>
          <w:ilvl w:val="0"/>
          <w:numId w:val="4"/>
        </w:numPr>
        <w:snapToGrid w:val="0"/>
        <w:contextualSpacing w:val="0"/>
        <w:jc w:val="both"/>
        <w:rPr>
          <w:sz w:val="24"/>
        </w:rPr>
      </w:pPr>
      <w:r w:rsidRPr="00541984">
        <w:rPr>
          <w:sz w:val="24"/>
        </w:rPr>
        <w:t xml:space="preserve">I recommend that addition comments on planned water </w:t>
      </w:r>
      <w:r w:rsidR="00C05BA9">
        <w:rPr>
          <w:sz w:val="24"/>
        </w:rPr>
        <w:t>(p</w:t>
      </w:r>
      <w:r w:rsidR="00C05BA9" w:rsidRPr="00541984">
        <w:rPr>
          <w:sz w:val="24"/>
        </w:rPr>
        <w:t>91</w:t>
      </w:r>
      <w:r w:rsidR="00C05BA9">
        <w:rPr>
          <w:sz w:val="24"/>
        </w:rPr>
        <w:t xml:space="preserve"> and elsewhere)</w:t>
      </w:r>
      <w:r w:rsidR="00C05BA9" w:rsidRPr="00541984">
        <w:rPr>
          <w:sz w:val="24"/>
        </w:rPr>
        <w:t xml:space="preserve"> </w:t>
      </w:r>
      <w:r w:rsidRPr="00541984">
        <w:rPr>
          <w:sz w:val="24"/>
        </w:rPr>
        <w:t>be added to the report to emphases that:</w:t>
      </w:r>
    </w:p>
    <w:p w14:paraId="660BD5B5" w14:textId="55BBA64D" w:rsidR="00EE47F2" w:rsidRPr="00541984" w:rsidRDefault="00EE47F2" w:rsidP="00F454C7">
      <w:pPr>
        <w:pStyle w:val="ListParagraph"/>
        <w:numPr>
          <w:ilvl w:val="1"/>
          <w:numId w:val="4"/>
        </w:numPr>
        <w:snapToGrid w:val="0"/>
        <w:contextualSpacing w:val="0"/>
        <w:jc w:val="both"/>
        <w:rPr>
          <w:sz w:val="24"/>
        </w:rPr>
      </w:pPr>
      <w:r w:rsidRPr="00541984">
        <w:rPr>
          <w:sz w:val="24"/>
        </w:rPr>
        <w:t>this water will be most affected by climate change (see Victorian Long-Term Water Resource Assessment (</w:t>
      </w:r>
      <w:hyperlink r:id="rId5" w:history="1">
        <w:r w:rsidRPr="00541984">
          <w:rPr>
            <w:rStyle w:val="Hyperlink"/>
            <w:sz w:val="24"/>
          </w:rPr>
          <w:t>https://www.water.vic.gov.au/planning/long-term-assessments-and-strategies/ltwra</w:t>
        </w:r>
      </w:hyperlink>
      <w:r w:rsidRPr="00541984">
        <w:rPr>
          <w:sz w:val="24"/>
        </w:rPr>
        <w:t>)</w:t>
      </w:r>
    </w:p>
    <w:p w14:paraId="46EEC003" w14:textId="71739D99" w:rsidR="00EE47F2" w:rsidRDefault="00EE47F2" w:rsidP="00F454C7">
      <w:pPr>
        <w:pStyle w:val="ListParagraph"/>
        <w:numPr>
          <w:ilvl w:val="1"/>
          <w:numId w:val="4"/>
        </w:numPr>
        <w:snapToGrid w:val="0"/>
        <w:contextualSpacing w:val="0"/>
        <w:jc w:val="both"/>
        <w:rPr>
          <w:sz w:val="24"/>
        </w:rPr>
      </w:pPr>
      <w:r w:rsidRPr="00541984">
        <w:rPr>
          <w:sz w:val="24"/>
        </w:rPr>
        <w:t>this water in not as well protected as is ‘held’ water – but not</w:t>
      </w:r>
      <w:r w:rsidR="00C6256D">
        <w:rPr>
          <w:sz w:val="24"/>
        </w:rPr>
        <w:t>e</w:t>
      </w:r>
      <w:r w:rsidRPr="00541984">
        <w:rPr>
          <w:sz w:val="24"/>
        </w:rPr>
        <w:t xml:space="preserve"> that Victoria have now assessed that ‘above cap’ water (i.e., largely the volume of water above the SDL) </w:t>
      </w:r>
      <w:r w:rsidR="006C63A8" w:rsidRPr="00541984">
        <w:rPr>
          <w:sz w:val="24"/>
        </w:rPr>
        <w:t>is environmental water (see above report).</w:t>
      </w:r>
    </w:p>
    <w:p w14:paraId="2B4E5302" w14:textId="7B247EB3" w:rsidR="00C05BA9" w:rsidRPr="00C05BA9" w:rsidRDefault="00C05BA9" w:rsidP="00C05BA9">
      <w:pPr>
        <w:snapToGrid w:val="0"/>
        <w:ind w:left="360"/>
        <w:jc w:val="both"/>
        <w:rPr>
          <w:sz w:val="24"/>
        </w:rPr>
      </w:pPr>
      <w:r>
        <w:rPr>
          <w:sz w:val="24"/>
        </w:rPr>
        <w:t>I note that there is a separate section on held water (8.3) - why not also on planned water?</w:t>
      </w:r>
    </w:p>
    <w:p w14:paraId="641360C4" w14:textId="57C4D5A0" w:rsidR="00EE47F2" w:rsidRPr="00541984" w:rsidRDefault="00545EB5" w:rsidP="00F454C7">
      <w:pPr>
        <w:pStyle w:val="ListParagraph"/>
        <w:numPr>
          <w:ilvl w:val="0"/>
          <w:numId w:val="4"/>
        </w:numPr>
        <w:snapToGrid w:val="0"/>
        <w:contextualSpacing w:val="0"/>
        <w:jc w:val="both"/>
        <w:rPr>
          <w:sz w:val="24"/>
        </w:rPr>
      </w:pPr>
      <w:r w:rsidRPr="00541984">
        <w:rPr>
          <w:sz w:val="24"/>
        </w:rPr>
        <w:t>P92 – note that the reference to Hart and Butcher is Hart, B.T. and Butcher, R.</w:t>
      </w:r>
    </w:p>
    <w:p w14:paraId="43DC603A" w14:textId="4A560162" w:rsidR="00E731BC" w:rsidRPr="00773E04" w:rsidRDefault="00545EB5" w:rsidP="00F454C7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ind w:right="-52"/>
        <w:contextualSpacing w:val="0"/>
        <w:jc w:val="both"/>
        <w:rPr>
          <w:rFonts w:ascii="Helvetica" w:eastAsiaTheme="minorHAnsi" w:hAnsi="Helvetica" w:cs="Helvetica"/>
          <w:sz w:val="24"/>
          <w:lang w:val="en-GB" w:eastAsia="en-US"/>
        </w:rPr>
      </w:pPr>
      <w:r w:rsidRPr="00541984">
        <w:rPr>
          <w:sz w:val="24"/>
        </w:rPr>
        <w:t>P93, 2</w:t>
      </w:r>
      <w:r w:rsidRPr="00541984">
        <w:rPr>
          <w:sz w:val="24"/>
          <w:vertAlign w:val="superscript"/>
        </w:rPr>
        <w:t>nd</w:t>
      </w:r>
      <w:r w:rsidRPr="00541984">
        <w:rPr>
          <w:sz w:val="24"/>
        </w:rPr>
        <w:t xml:space="preserve"> para – regarding environmental decline you could also add reference to land clearing (for agriculture) and gold mining </w:t>
      </w:r>
      <w:r w:rsidR="009E0453">
        <w:rPr>
          <w:sz w:val="24"/>
        </w:rPr>
        <w:t>a</w:t>
      </w:r>
      <w:r w:rsidRPr="00541984">
        <w:rPr>
          <w:sz w:val="24"/>
        </w:rPr>
        <w:t xml:space="preserve">s major catchment disturbances that significantly impacted many rivers and streams </w:t>
      </w:r>
      <w:r w:rsidR="009E0453">
        <w:rPr>
          <w:sz w:val="24"/>
        </w:rPr>
        <w:t xml:space="preserve">in the 1800s </w:t>
      </w:r>
      <w:r w:rsidRPr="00541984">
        <w:rPr>
          <w:sz w:val="24"/>
        </w:rPr>
        <w:t>(</w:t>
      </w:r>
      <w:r w:rsidRPr="00541984">
        <w:rPr>
          <w:rFonts w:cs="Arial"/>
          <w:sz w:val="24"/>
        </w:rPr>
        <w:t xml:space="preserve">see </w:t>
      </w:r>
      <w:r w:rsidR="00E731BC" w:rsidRPr="00541984">
        <w:rPr>
          <w:rFonts w:eastAsiaTheme="minorHAnsi" w:cs="Arial"/>
          <w:sz w:val="24"/>
          <w:lang w:val="en-GB" w:eastAsia="en-US"/>
        </w:rPr>
        <w:t xml:space="preserve">Colloff, M.J., Peter Caley, P., </w:t>
      </w:r>
      <w:proofErr w:type="spellStart"/>
      <w:r w:rsidR="00E731BC" w:rsidRPr="00541984">
        <w:rPr>
          <w:rFonts w:eastAsiaTheme="minorHAnsi" w:cs="Arial"/>
          <w:sz w:val="24"/>
          <w:lang w:val="en-GB" w:eastAsia="en-US"/>
        </w:rPr>
        <w:t>Saintilan</w:t>
      </w:r>
      <w:proofErr w:type="spellEnd"/>
      <w:r w:rsidR="00E731BC" w:rsidRPr="00541984">
        <w:rPr>
          <w:rFonts w:eastAsiaTheme="minorHAnsi" w:cs="Arial"/>
          <w:sz w:val="24"/>
          <w:lang w:val="en-GB" w:eastAsia="en-US"/>
        </w:rPr>
        <w:t xml:space="preserve">, N., </w:t>
      </w:r>
      <w:proofErr w:type="spellStart"/>
      <w:r w:rsidR="00E731BC" w:rsidRPr="00541984">
        <w:rPr>
          <w:rFonts w:eastAsiaTheme="minorHAnsi" w:cs="Arial"/>
          <w:sz w:val="24"/>
          <w:lang w:val="en-GB" w:eastAsia="en-US"/>
        </w:rPr>
        <w:t>Pollino</w:t>
      </w:r>
      <w:proofErr w:type="spellEnd"/>
      <w:r w:rsidR="00E731BC" w:rsidRPr="00541984">
        <w:rPr>
          <w:rFonts w:eastAsiaTheme="minorHAnsi" w:cs="Arial"/>
          <w:sz w:val="24"/>
          <w:lang w:val="en-GB" w:eastAsia="en-US"/>
        </w:rPr>
        <w:t xml:space="preserve">, C.A. and Crossman, N.D. (2015). Long-term ecological trends of flow-dependent ecosystems in a major regulated river basin. </w:t>
      </w:r>
      <w:r w:rsidR="00E731BC" w:rsidRPr="00541984">
        <w:rPr>
          <w:rFonts w:eastAsiaTheme="minorHAnsi" w:cs="Arial"/>
          <w:i/>
          <w:iCs/>
          <w:sz w:val="24"/>
          <w:lang w:val="en-GB" w:eastAsia="en-US"/>
        </w:rPr>
        <w:t>Marine and Freshwater Research</w:t>
      </w:r>
      <w:r w:rsidR="00E731BC" w:rsidRPr="00541984">
        <w:rPr>
          <w:rFonts w:eastAsiaTheme="minorHAnsi" w:cs="Arial"/>
          <w:sz w:val="24"/>
          <w:lang w:val="en-GB" w:eastAsia="en-US"/>
        </w:rPr>
        <w:t xml:space="preserve"> 66, 957-969</w:t>
      </w:r>
      <w:r w:rsidR="009E0453">
        <w:rPr>
          <w:rFonts w:eastAsiaTheme="minorHAnsi" w:cs="Arial"/>
          <w:sz w:val="24"/>
          <w:lang w:val="en-GB" w:eastAsia="en-US"/>
        </w:rPr>
        <w:t>).</w:t>
      </w:r>
    </w:p>
    <w:p w14:paraId="6A6147A2" w14:textId="77777777" w:rsidR="00094821" w:rsidRPr="00094821" w:rsidRDefault="00137838" w:rsidP="00963E01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ind w:right="-52"/>
        <w:contextualSpacing w:val="0"/>
        <w:jc w:val="both"/>
        <w:rPr>
          <w:rFonts w:ascii="Helvetica" w:eastAsiaTheme="minorHAnsi" w:hAnsi="Helvetica" w:cs="Helvetica"/>
          <w:sz w:val="24"/>
          <w:lang w:val="en-GB" w:eastAsia="en-US"/>
        </w:rPr>
      </w:pPr>
      <w:r>
        <w:rPr>
          <w:sz w:val="24"/>
        </w:rPr>
        <w:t xml:space="preserve">P99 - </w:t>
      </w:r>
      <w:r w:rsidR="00773E04">
        <w:rPr>
          <w:sz w:val="24"/>
        </w:rPr>
        <w:t>I</w:t>
      </w:r>
      <w:r w:rsidR="00963E01">
        <w:rPr>
          <w:sz w:val="24"/>
        </w:rPr>
        <w:t xml:space="preserve"> suggest that the report focuses more specifically on the major i</w:t>
      </w:r>
      <w:r w:rsidR="00773E04">
        <w:rPr>
          <w:sz w:val="24"/>
        </w:rPr>
        <w:t>mplications of climate change</w:t>
      </w:r>
      <w:r w:rsidR="00963E01">
        <w:rPr>
          <w:sz w:val="24"/>
        </w:rPr>
        <w:t xml:space="preserve"> and what needs to done</w:t>
      </w:r>
      <w:r w:rsidR="00094821">
        <w:rPr>
          <w:sz w:val="24"/>
        </w:rPr>
        <w:t xml:space="preserve"> to adapt</w:t>
      </w:r>
      <w:r w:rsidR="00963E01">
        <w:rPr>
          <w:sz w:val="24"/>
        </w:rPr>
        <w:t>. The report makes clear that Australia will become hotter, drier with a more variable climate. However, I felt more could have been said about: t</w:t>
      </w:r>
      <w:r w:rsidR="00963E01" w:rsidRPr="00963E01">
        <w:rPr>
          <w:sz w:val="24"/>
        </w:rPr>
        <w:t xml:space="preserve">he </w:t>
      </w:r>
      <w:r w:rsidR="00963E01">
        <w:rPr>
          <w:sz w:val="24"/>
        </w:rPr>
        <w:t xml:space="preserve">inevitable </w:t>
      </w:r>
      <w:r w:rsidR="00963E01" w:rsidRPr="00963E01">
        <w:rPr>
          <w:sz w:val="24"/>
        </w:rPr>
        <w:t>need for major changes to irrigated agriculture (smaller footprint)</w:t>
      </w:r>
      <w:r w:rsidR="00963E01">
        <w:rPr>
          <w:sz w:val="24"/>
        </w:rPr>
        <w:t>, and the need for changed expectations of the water-related environments that can be maintained. In both cases it seems to me that the NWI could recommend a process to start a national conversation on these two key areas.</w:t>
      </w:r>
      <w:r>
        <w:rPr>
          <w:sz w:val="24"/>
        </w:rPr>
        <w:t xml:space="preserve"> </w:t>
      </w:r>
    </w:p>
    <w:p w14:paraId="1277F1AF" w14:textId="63846D48" w:rsidR="00963E01" w:rsidRPr="00963E01" w:rsidRDefault="00137838" w:rsidP="00094821">
      <w:pPr>
        <w:pStyle w:val="ListParagraph"/>
        <w:autoSpaceDE w:val="0"/>
        <w:autoSpaceDN w:val="0"/>
        <w:adjustRightInd w:val="0"/>
        <w:snapToGrid w:val="0"/>
        <w:ind w:left="360" w:right="-52"/>
        <w:contextualSpacing w:val="0"/>
        <w:jc w:val="both"/>
        <w:rPr>
          <w:rFonts w:ascii="Helvetica" w:eastAsiaTheme="minorHAnsi" w:hAnsi="Helvetica" w:cs="Helvetica"/>
          <w:sz w:val="24"/>
          <w:lang w:val="en-GB" w:eastAsia="en-US"/>
        </w:rPr>
      </w:pPr>
      <w:r>
        <w:rPr>
          <w:sz w:val="24"/>
        </w:rPr>
        <w:t>Draft advice 8.4 covers this need to some extent but I felt the wording – ‘clear processes should be established’ – was too low-key given the seriousness of these on-coming changes to irrigation and the environment.</w:t>
      </w:r>
    </w:p>
    <w:p w14:paraId="552D1CC0" w14:textId="4DD92A47" w:rsidR="00963E01" w:rsidRPr="00B73BA4" w:rsidRDefault="00963E01" w:rsidP="00963E01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ind w:right="-52"/>
        <w:contextualSpacing w:val="0"/>
        <w:jc w:val="both"/>
        <w:rPr>
          <w:rFonts w:ascii="Helvetica" w:eastAsiaTheme="minorHAnsi" w:hAnsi="Helvetica" w:cs="Helvetica"/>
          <w:sz w:val="24"/>
          <w:lang w:val="en-GB" w:eastAsia="en-US"/>
        </w:rPr>
      </w:pPr>
      <w:r>
        <w:rPr>
          <w:sz w:val="24"/>
        </w:rPr>
        <w:t xml:space="preserve">Section 8.2 – one of the major obstacles for achieving agreed environmental outcomes </w:t>
      </w:r>
      <w:r w:rsidR="003238BF">
        <w:rPr>
          <w:sz w:val="24"/>
        </w:rPr>
        <w:t>(at least in the Murray-Darling Basin) is the reluctance of states to permit the application of e-water overbank and onto the floodplain. This failure is seriously reducing t</w:t>
      </w:r>
      <w:r w:rsidR="00094821">
        <w:rPr>
          <w:sz w:val="24"/>
        </w:rPr>
        <w:t>he</w:t>
      </w:r>
      <w:r w:rsidR="003238BF">
        <w:rPr>
          <w:sz w:val="24"/>
        </w:rPr>
        <w:t xml:space="preserve"> potential for e-water to improve the condition of floodplain forests and wetlands.</w:t>
      </w:r>
      <w:r w:rsidR="00B73BA4">
        <w:rPr>
          <w:sz w:val="24"/>
        </w:rPr>
        <w:t xml:space="preserve"> I recommend that a section on this be added to Section 8.2.</w:t>
      </w:r>
    </w:p>
    <w:p w14:paraId="1E5919E7" w14:textId="7D35344B" w:rsidR="00B73BA4" w:rsidRPr="003238BF" w:rsidRDefault="001A6ED1" w:rsidP="00963E01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ind w:right="-52"/>
        <w:contextualSpacing w:val="0"/>
        <w:jc w:val="both"/>
        <w:rPr>
          <w:rFonts w:ascii="Helvetica" w:eastAsiaTheme="minorHAnsi" w:hAnsi="Helvetica" w:cs="Helvetica"/>
          <w:sz w:val="24"/>
          <w:lang w:val="en-GB" w:eastAsia="en-US"/>
        </w:rPr>
      </w:pPr>
      <w:r>
        <w:rPr>
          <w:rFonts w:ascii="Helvetica" w:eastAsiaTheme="minorHAnsi" w:hAnsi="Helvetica" w:cs="Helvetica"/>
          <w:sz w:val="24"/>
          <w:lang w:val="en-GB" w:eastAsia="en-US"/>
        </w:rPr>
        <w:t xml:space="preserve">P105, Advice 8.8 – I read this as focused on reducing the volume of e-water. Surely, the capacity to vary e-water entitlements should also include the possibility to </w:t>
      </w:r>
      <w:r w:rsidRPr="001A6ED1">
        <w:rPr>
          <w:rFonts w:ascii="Helvetica" w:eastAsiaTheme="minorHAnsi" w:hAnsi="Helvetica" w:cs="Helvetica"/>
          <w:b/>
          <w:bCs/>
          <w:sz w:val="24"/>
          <w:lang w:val="en-GB" w:eastAsia="en-US"/>
        </w:rPr>
        <w:t>increase</w:t>
      </w:r>
      <w:r>
        <w:rPr>
          <w:rFonts w:ascii="Helvetica" w:eastAsiaTheme="minorHAnsi" w:hAnsi="Helvetica" w:cs="Helvetica"/>
          <w:sz w:val="24"/>
          <w:lang w:val="en-GB" w:eastAsia="en-US"/>
        </w:rPr>
        <w:t xml:space="preserve"> the volume. </w:t>
      </w:r>
      <w:r w:rsidR="00381196">
        <w:rPr>
          <w:rFonts w:ascii="Helvetica" w:eastAsiaTheme="minorHAnsi" w:hAnsi="Helvetica" w:cs="Helvetica"/>
          <w:sz w:val="24"/>
          <w:lang w:val="en-GB" w:eastAsia="en-US"/>
        </w:rPr>
        <w:t xml:space="preserve">This could occur by either water holders using funds from previous sales of e-water to purchase additional entitlement or governments </w:t>
      </w:r>
      <w:r w:rsidR="00381196">
        <w:rPr>
          <w:rFonts w:ascii="Helvetica" w:eastAsiaTheme="minorHAnsi" w:hAnsi="Helvetica" w:cs="Helvetica"/>
          <w:sz w:val="24"/>
          <w:lang w:val="en-GB" w:eastAsia="en-US"/>
        </w:rPr>
        <w:lastRenderedPageBreak/>
        <w:t xml:space="preserve">agreeing to purchase more entitlements for the environment. </w:t>
      </w:r>
      <w:r w:rsidR="00287151">
        <w:rPr>
          <w:rFonts w:ascii="Helvetica" w:eastAsiaTheme="minorHAnsi" w:hAnsi="Helvetica" w:cs="Helvetica"/>
          <w:sz w:val="24"/>
          <w:lang w:val="en-GB" w:eastAsia="en-US"/>
        </w:rPr>
        <w:t>Both these options are not permitted b</w:t>
      </w:r>
      <w:r w:rsidR="00094821">
        <w:rPr>
          <w:rFonts w:ascii="Helvetica" w:eastAsiaTheme="minorHAnsi" w:hAnsi="Helvetica" w:cs="Helvetica"/>
          <w:sz w:val="24"/>
          <w:lang w:val="en-GB" w:eastAsia="en-US"/>
        </w:rPr>
        <w:t>y</w:t>
      </w:r>
      <w:r w:rsidR="00287151">
        <w:rPr>
          <w:rFonts w:ascii="Helvetica" w:eastAsiaTheme="minorHAnsi" w:hAnsi="Helvetica" w:cs="Helvetica"/>
          <w:sz w:val="24"/>
          <w:lang w:val="en-GB" w:eastAsia="en-US"/>
        </w:rPr>
        <w:t xml:space="preserve"> current government policy, but could easily become possible through changes to this policy. I recommend that the PC list these as possible future options.</w:t>
      </w:r>
    </w:p>
    <w:p w14:paraId="079924D9" w14:textId="77777777" w:rsidR="00B02A36" w:rsidRDefault="00A21BDC" w:rsidP="00963E01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ind w:right="-52"/>
        <w:contextualSpacing w:val="0"/>
        <w:jc w:val="both"/>
        <w:rPr>
          <w:rFonts w:ascii="Helvetica" w:eastAsiaTheme="minorHAnsi" w:hAnsi="Helvetica" w:cs="Helvetica"/>
          <w:sz w:val="24"/>
          <w:lang w:val="en-GB" w:eastAsia="en-US"/>
        </w:rPr>
      </w:pPr>
      <w:r>
        <w:rPr>
          <w:rFonts w:ascii="Helvetica" w:eastAsiaTheme="minorHAnsi" w:hAnsi="Helvetica" w:cs="Helvetica"/>
          <w:sz w:val="24"/>
          <w:lang w:val="en-GB" w:eastAsia="en-US"/>
        </w:rPr>
        <w:t xml:space="preserve">P108-109 – I suggest that the title of Section 8.5 be modified to place greater emphasis on adaptive management, perhaps </w:t>
      </w:r>
      <w:r w:rsidRPr="00A21BDC">
        <w:rPr>
          <w:rFonts w:ascii="Helvetica" w:eastAsiaTheme="minorHAnsi" w:hAnsi="Helvetica" w:cs="Helvetica"/>
          <w:i/>
          <w:iCs/>
          <w:sz w:val="24"/>
          <w:lang w:val="en-GB" w:eastAsia="en-US"/>
        </w:rPr>
        <w:t>‘Adaptive management through effective monitoring, evaluation and reporting’</w:t>
      </w:r>
      <w:r>
        <w:rPr>
          <w:rFonts w:ascii="Helvetica" w:eastAsiaTheme="minorHAnsi" w:hAnsi="Helvetica" w:cs="Helvetica"/>
          <w:sz w:val="24"/>
          <w:lang w:val="en-GB" w:eastAsia="en-US"/>
        </w:rPr>
        <w:t xml:space="preserve">. </w:t>
      </w:r>
    </w:p>
    <w:p w14:paraId="43CB015D" w14:textId="793A1B87" w:rsidR="003238BF" w:rsidRPr="00963E01" w:rsidRDefault="00A21BDC" w:rsidP="00B02A36">
      <w:pPr>
        <w:pStyle w:val="ListParagraph"/>
        <w:autoSpaceDE w:val="0"/>
        <w:autoSpaceDN w:val="0"/>
        <w:adjustRightInd w:val="0"/>
        <w:snapToGrid w:val="0"/>
        <w:ind w:left="360" w:right="-52"/>
        <w:contextualSpacing w:val="0"/>
        <w:jc w:val="both"/>
        <w:rPr>
          <w:rFonts w:ascii="Helvetica" w:eastAsiaTheme="minorHAnsi" w:hAnsi="Helvetica" w:cs="Helvetica"/>
          <w:sz w:val="24"/>
          <w:lang w:val="en-GB" w:eastAsia="en-US"/>
        </w:rPr>
      </w:pPr>
      <w:r>
        <w:rPr>
          <w:rFonts w:ascii="Helvetica" w:eastAsiaTheme="minorHAnsi" w:hAnsi="Helvetica" w:cs="Helvetica"/>
          <w:sz w:val="24"/>
          <w:lang w:val="en-GB" w:eastAsia="en-US"/>
        </w:rPr>
        <w:t xml:space="preserve">As noted in Hart and Butcher (and also </w:t>
      </w:r>
      <w:r w:rsidR="00B02A36">
        <w:rPr>
          <w:rFonts w:ascii="Helvetica" w:eastAsiaTheme="minorHAnsi" w:hAnsi="Helvetica" w:cs="Helvetica"/>
          <w:sz w:val="24"/>
          <w:lang w:val="en-GB" w:eastAsia="en-US"/>
        </w:rPr>
        <w:t xml:space="preserve">by </w:t>
      </w:r>
      <w:r>
        <w:rPr>
          <w:rFonts w:ascii="Helvetica" w:eastAsiaTheme="minorHAnsi" w:hAnsi="Helvetica" w:cs="Helvetica"/>
          <w:sz w:val="24"/>
          <w:lang w:val="en-GB" w:eastAsia="en-US"/>
        </w:rPr>
        <w:t xml:space="preserve">the most recent evaluation) in their mid-term review of CEWO’s Long-Term Intervention Monitoring (LTIM) program, </w:t>
      </w:r>
      <w:r w:rsidR="004839A0">
        <w:rPr>
          <w:rFonts w:ascii="Helvetica" w:eastAsiaTheme="minorHAnsi" w:hAnsi="Helvetica" w:cs="Helvetica"/>
          <w:sz w:val="24"/>
          <w:lang w:val="en-GB" w:eastAsia="en-US"/>
        </w:rPr>
        <w:t>while it was obvious that some adaptive management was occurring there was no mechanism for capturing</w:t>
      </w:r>
      <w:r w:rsidR="00B02A36">
        <w:rPr>
          <w:rFonts w:ascii="Helvetica" w:eastAsiaTheme="minorHAnsi" w:hAnsi="Helvetica" w:cs="Helvetica"/>
          <w:sz w:val="24"/>
          <w:lang w:val="en-GB" w:eastAsia="en-US"/>
        </w:rPr>
        <w:t xml:space="preserve"> and </w:t>
      </w:r>
      <w:r w:rsidR="004839A0">
        <w:rPr>
          <w:rFonts w:ascii="Helvetica" w:eastAsiaTheme="minorHAnsi" w:hAnsi="Helvetica" w:cs="Helvetica"/>
          <w:sz w:val="24"/>
          <w:lang w:val="en-GB" w:eastAsia="en-US"/>
        </w:rPr>
        <w:t xml:space="preserve">recording </w:t>
      </w:r>
      <w:r w:rsidR="00B02A36">
        <w:rPr>
          <w:rFonts w:ascii="Helvetica" w:eastAsiaTheme="minorHAnsi" w:hAnsi="Helvetica" w:cs="Helvetica"/>
          <w:sz w:val="24"/>
          <w:lang w:val="en-GB" w:eastAsia="en-US"/>
        </w:rPr>
        <w:t xml:space="preserve">adaptive learnings and showing how they were </w:t>
      </w:r>
      <w:r w:rsidR="005A7FB4">
        <w:rPr>
          <w:rFonts w:ascii="Helvetica" w:eastAsiaTheme="minorHAnsi" w:hAnsi="Helvetica" w:cs="Helvetica"/>
          <w:sz w:val="24"/>
          <w:lang w:val="en-GB" w:eastAsia="en-US"/>
        </w:rPr>
        <w:t xml:space="preserve">being </w:t>
      </w:r>
      <w:r w:rsidR="00B02A36">
        <w:rPr>
          <w:rFonts w:ascii="Helvetica" w:eastAsiaTheme="minorHAnsi" w:hAnsi="Helvetica" w:cs="Helvetica"/>
          <w:sz w:val="24"/>
          <w:lang w:val="en-GB" w:eastAsia="en-US"/>
        </w:rPr>
        <w:t>used to modify (adapt) the program.</w:t>
      </w:r>
      <w:r w:rsidR="005A7FB4">
        <w:rPr>
          <w:rFonts w:ascii="Helvetica" w:eastAsiaTheme="minorHAnsi" w:hAnsi="Helvetica" w:cs="Helvetica"/>
          <w:sz w:val="24"/>
          <w:lang w:val="en-GB" w:eastAsia="en-US"/>
        </w:rPr>
        <w:t xml:space="preserve"> I recommend to text in draft advice 8.12 be modified to make it more specific how the monitoring etc will lead to adaption.</w:t>
      </w:r>
    </w:p>
    <w:p w14:paraId="35444CF1" w14:textId="5AB5385A" w:rsidR="00545EB5" w:rsidRDefault="00545EB5" w:rsidP="00F454C7">
      <w:pPr>
        <w:snapToGrid w:val="0"/>
        <w:jc w:val="both"/>
        <w:rPr>
          <w:sz w:val="24"/>
        </w:rPr>
      </w:pPr>
    </w:p>
    <w:p w14:paraId="753FAC6F" w14:textId="0CE1D8F0" w:rsidR="000C7020" w:rsidRDefault="000C7020" w:rsidP="00F454C7">
      <w:pPr>
        <w:snapToGrid w:val="0"/>
        <w:jc w:val="both"/>
        <w:rPr>
          <w:sz w:val="24"/>
        </w:rPr>
      </w:pPr>
      <w:r>
        <w:rPr>
          <w:sz w:val="24"/>
        </w:rPr>
        <w:t>Prof Barry T Hart</w:t>
      </w:r>
    </w:p>
    <w:p w14:paraId="4F4C261C" w14:textId="26EAED03" w:rsidR="000C7020" w:rsidRPr="00541984" w:rsidRDefault="000C7020" w:rsidP="00F454C7">
      <w:pPr>
        <w:snapToGrid w:val="0"/>
        <w:jc w:val="both"/>
        <w:rPr>
          <w:sz w:val="24"/>
        </w:rPr>
      </w:pPr>
      <w:r>
        <w:rPr>
          <w:sz w:val="24"/>
        </w:rPr>
        <w:t>17 Februa</w:t>
      </w:r>
      <w:r w:rsidR="00B85FCF">
        <w:rPr>
          <w:sz w:val="24"/>
        </w:rPr>
        <w:t>r</w:t>
      </w:r>
      <w:r>
        <w:rPr>
          <w:sz w:val="24"/>
        </w:rPr>
        <w:t>y, 2021</w:t>
      </w:r>
    </w:p>
    <w:p w14:paraId="5516417B" w14:textId="77777777" w:rsidR="00545EB5" w:rsidRDefault="00545EB5">
      <w:pPr>
        <w:spacing w:before="96" w:after="288"/>
      </w:pPr>
    </w:p>
    <w:sectPr w:rsidR="00545EB5" w:rsidSect="004A00D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42816"/>
    <w:multiLevelType w:val="hybridMultilevel"/>
    <w:tmpl w:val="FFF2AAE2"/>
    <w:lvl w:ilvl="0" w:tplc="54DAA388">
      <w:start w:val="1"/>
      <w:numFmt w:val="bullet"/>
      <w:pStyle w:val="Defaul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E257B"/>
    <w:multiLevelType w:val="hybridMultilevel"/>
    <w:tmpl w:val="327E7D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4A2D11"/>
    <w:multiLevelType w:val="hybridMultilevel"/>
    <w:tmpl w:val="429019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7D7041"/>
    <w:multiLevelType w:val="hybridMultilevel"/>
    <w:tmpl w:val="5A62BE9E"/>
    <w:lvl w:ilvl="0" w:tplc="1EB20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F2"/>
    <w:rsid w:val="0000734D"/>
    <w:rsid w:val="000161F6"/>
    <w:rsid w:val="00024D89"/>
    <w:rsid w:val="00025D1A"/>
    <w:rsid w:val="00026A6F"/>
    <w:rsid w:val="00031B8A"/>
    <w:rsid w:val="00034AA7"/>
    <w:rsid w:val="00037684"/>
    <w:rsid w:val="0004483E"/>
    <w:rsid w:val="0005711F"/>
    <w:rsid w:val="00070EBF"/>
    <w:rsid w:val="0008784E"/>
    <w:rsid w:val="00090028"/>
    <w:rsid w:val="00094821"/>
    <w:rsid w:val="0009615E"/>
    <w:rsid w:val="000A2A1D"/>
    <w:rsid w:val="000A2C43"/>
    <w:rsid w:val="000B2F39"/>
    <w:rsid w:val="000B5DB1"/>
    <w:rsid w:val="000C7020"/>
    <w:rsid w:val="000E1952"/>
    <w:rsid w:val="000F3878"/>
    <w:rsid w:val="000F69B9"/>
    <w:rsid w:val="001067D9"/>
    <w:rsid w:val="00117E08"/>
    <w:rsid w:val="00123C2D"/>
    <w:rsid w:val="00123C91"/>
    <w:rsid w:val="00134830"/>
    <w:rsid w:val="00137838"/>
    <w:rsid w:val="001508B9"/>
    <w:rsid w:val="00170DB6"/>
    <w:rsid w:val="001710B5"/>
    <w:rsid w:val="00175A75"/>
    <w:rsid w:val="00176F04"/>
    <w:rsid w:val="00185EC5"/>
    <w:rsid w:val="001A6ED1"/>
    <w:rsid w:val="001B3BF0"/>
    <w:rsid w:val="001C0D7B"/>
    <w:rsid w:val="001C719D"/>
    <w:rsid w:val="001D0160"/>
    <w:rsid w:val="001D19DD"/>
    <w:rsid w:val="001E26C3"/>
    <w:rsid w:val="001F2392"/>
    <w:rsid w:val="001F5F1F"/>
    <w:rsid w:val="0022096D"/>
    <w:rsid w:val="00247441"/>
    <w:rsid w:val="00247C28"/>
    <w:rsid w:val="002531B7"/>
    <w:rsid w:val="00265860"/>
    <w:rsid w:val="002704DA"/>
    <w:rsid w:val="00287151"/>
    <w:rsid w:val="0028733E"/>
    <w:rsid w:val="0029558A"/>
    <w:rsid w:val="002958D4"/>
    <w:rsid w:val="002971BA"/>
    <w:rsid w:val="002B716B"/>
    <w:rsid w:val="002C4C1D"/>
    <w:rsid w:val="002D5E9F"/>
    <w:rsid w:val="002D7354"/>
    <w:rsid w:val="002E029A"/>
    <w:rsid w:val="002E399B"/>
    <w:rsid w:val="002F5F5F"/>
    <w:rsid w:val="0030196E"/>
    <w:rsid w:val="00302F6E"/>
    <w:rsid w:val="003120EA"/>
    <w:rsid w:val="00313509"/>
    <w:rsid w:val="00313E8C"/>
    <w:rsid w:val="00317EE1"/>
    <w:rsid w:val="003238BF"/>
    <w:rsid w:val="00370E1B"/>
    <w:rsid w:val="00381196"/>
    <w:rsid w:val="003D3C09"/>
    <w:rsid w:val="00400347"/>
    <w:rsid w:val="004011B9"/>
    <w:rsid w:val="0041004F"/>
    <w:rsid w:val="00410332"/>
    <w:rsid w:val="00411061"/>
    <w:rsid w:val="004151A0"/>
    <w:rsid w:val="00422EF7"/>
    <w:rsid w:val="004522E5"/>
    <w:rsid w:val="00453C92"/>
    <w:rsid w:val="00454BDB"/>
    <w:rsid w:val="004839A0"/>
    <w:rsid w:val="00484502"/>
    <w:rsid w:val="00490CA3"/>
    <w:rsid w:val="004959B9"/>
    <w:rsid w:val="004A00D5"/>
    <w:rsid w:val="004C4C24"/>
    <w:rsid w:val="004C5746"/>
    <w:rsid w:val="004D35C3"/>
    <w:rsid w:val="004D7596"/>
    <w:rsid w:val="004F2400"/>
    <w:rsid w:val="00500E7E"/>
    <w:rsid w:val="0050521B"/>
    <w:rsid w:val="00513C4B"/>
    <w:rsid w:val="00522C78"/>
    <w:rsid w:val="0052558C"/>
    <w:rsid w:val="00525803"/>
    <w:rsid w:val="00530549"/>
    <w:rsid w:val="00541984"/>
    <w:rsid w:val="00545EB5"/>
    <w:rsid w:val="0056127C"/>
    <w:rsid w:val="00563903"/>
    <w:rsid w:val="00572D5C"/>
    <w:rsid w:val="00575E93"/>
    <w:rsid w:val="00585CBA"/>
    <w:rsid w:val="00586E74"/>
    <w:rsid w:val="005A1A41"/>
    <w:rsid w:val="005A2A52"/>
    <w:rsid w:val="005A6247"/>
    <w:rsid w:val="005A7FB4"/>
    <w:rsid w:val="005C5048"/>
    <w:rsid w:val="005D1B06"/>
    <w:rsid w:val="005D614D"/>
    <w:rsid w:val="005E2A68"/>
    <w:rsid w:val="005E7004"/>
    <w:rsid w:val="005F2E31"/>
    <w:rsid w:val="00624B8E"/>
    <w:rsid w:val="00637BB3"/>
    <w:rsid w:val="006446B7"/>
    <w:rsid w:val="00650AA7"/>
    <w:rsid w:val="006659C6"/>
    <w:rsid w:val="006749F5"/>
    <w:rsid w:val="006C607B"/>
    <w:rsid w:val="006C63A8"/>
    <w:rsid w:val="006C7FBA"/>
    <w:rsid w:val="006D5E3D"/>
    <w:rsid w:val="006D748E"/>
    <w:rsid w:val="006E0366"/>
    <w:rsid w:val="006F5D16"/>
    <w:rsid w:val="0070562E"/>
    <w:rsid w:val="007318FA"/>
    <w:rsid w:val="00737B9E"/>
    <w:rsid w:val="007409F3"/>
    <w:rsid w:val="007562C6"/>
    <w:rsid w:val="0076434C"/>
    <w:rsid w:val="00772234"/>
    <w:rsid w:val="007739BE"/>
    <w:rsid w:val="00773E04"/>
    <w:rsid w:val="00775B4A"/>
    <w:rsid w:val="00776586"/>
    <w:rsid w:val="0077769F"/>
    <w:rsid w:val="00783089"/>
    <w:rsid w:val="007A505A"/>
    <w:rsid w:val="007C01A1"/>
    <w:rsid w:val="00810149"/>
    <w:rsid w:val="008121B5"/>
    <w:rsid w:val="00823E2C"/>
    <w:rsid w:val="00843D4C"/>
    <w:rsid w:val="0085114C"/>
    <w:rsid w:val="00854931"/>
    <w:rsid w:val="00856FD5"/>
    <w:rsid w:val="00860C80"/>
    <w:rsid w:val="008745C5"/>
    <w:rsid w:val="008779EB"/>
    <w:rsid w:val="008810CF"/>
    <w:rsid w:val="00887DF1"/>
    <w:rsid w:val="00890B66"/>
    <w:rsid w:val="008A27FC"/>
    <w:rsid w:val="008A5D6E"/>
    <w:rsid w:val="008C00FA"/>
    <w:rsid w:val="008C256A"/>
    <w:rsid w:val="008D498B"/>
    <w:rsid w:val="008E03F0"/>
    <w:rsid w:val="008F0E3A"/>
    <w:rsid w:val="008F20B6"/>
    <w:rsid w:val="008F3157"/>
    <w:rsid w:val="008F3E4C"/>
    <w:rsid w:val="0092188B"/>
    <w:rsid w:val="0093000B"/>
    <w:rsid w:val="00930801"/>
    <w:rsid w:val="00931B25"/>
    <w:rsid w:val="00932C49"/>
    <w:rsid w:val="00934B67"/>
    <w:rsid w:val="0094329E"/>
    <w:rsid w:val="009577F4"/>
    <w:rsid w:val="00963E01"/>
    <w:rsid w:val="00965276"/>
    <w:rsid w:val="00965D61"/>
    <w:rsid w:val="0097225D"/>
    <w:rsid w:val="00977F9F"/>
    <w:rsid w:val="00984F89"/>
    <w:rsid w:val="009920FB"/>
    <w:rsid w:val="00994895"/>
    <w:rsid w:val="009A61FA"/>
    <w:rsid w:val="009B7295"/>
    <w:rsid w:val="009C5160"/>
    <w:rsid w:val="009C62AA"/>
    <w:rsid w:val="009D41B9"/>
    <w:rsid w:val="009D53F6"/>
    <w:rsid w:val="009E0453"/>
    <w:rsid w:val="009E441A"/>
    <w:rsid w:val="00A01813"/>
    <w:rsid w:val="00A155C3"/>
    <w:rsid w:val="00A15C17"/>
    <w:rsid w:val="00A16D76"/>
    <w:rsid w:val="00A21BDC"/>
    <w:rsid w:val="00A30A7A"/>
    <w:rsid w:val="00A31FB2"/>
    <w:rsid w:val="00A602D7"/>
    <w:rsid w:val="00A624A6"/>
    <w:rsid w:val="00A90BE2"/>
    <w:rsid w:val="00A910C9"/>
    <w:rsid w:val="00A966A9"/>
    <w:rsid w:val="00A97132"/>
    <w:rsid w:val="00AA2018"/>
    <w:rsid w:val="00AA29DD"/>
    <w:rsid w:val="00AE3EC8"/>
    <w:rsid w:val="00AE5587"/>
    <w:rsid w:val="00AF3A98"/>
    <w:rsid w:val="00AF7237"/>
    <w:rsid w:val="00B01A83"/>
    <w:rsid w:val="00B02A36"/>
    <w:rsid w:val="00B313C7"/>
    <w:rsid w:val="00B449B5"/>
    <w:rsid w:val="00B518AB"/>
    <w:rsid w:val="00B53340"/>
    <w:rsid w:val="00B56C14"/>
    <w:rsid w:val="00B637A4"/>
    <w:rsid w:val="00B64202"/>
    <w:rsid w:val="00B73BA4"/>
    <w:rsid w:val="00B77A87"/>
    <w:rsid w:val="00B84129"/>
    <w:rsid w:val="00B85FCF"/>
    <w:rsid w:val="00BA6150"/>
    <w:rsid w:val="00BA643F"/>
    <w:rsid w:val="00BB4D83"/>
    <w:rsid w:val="00BC19FC"/>
    <w:rsid w:val="00BC7C9B"/>
    <w:rsid w:val="00BD3028"/>
    <w:rsid w:val="00BE53A0"/>
    <w:rsid w:val="00BE5B45"/>
    <w:rsid w:val="00BF19A3"/>
    <w:rsid w:val="00BF2EBB"/>
    <w:rsid w:val="00BF3162"/>
    <w:rsid w:val="00BF6F5B"/>
    <w:rsid w:val="00C05BA9"/>
    <w:rsid w:val="00C31C72"/>
    <w:rsid w:val="00C542A8"/>
    <w:rsid w:val="00C57652"/>
    <w:rsid w:val="00C6256D"/>
    <w:rsid w:val="00C744DA"/>
    <w:rsid w:val="00C75FBC"/>
    <w:rsid w:val="00C9485D"/>
    <w:rsid w:val="00C97ACC"/>
    <w:rsid w:val="00CA1CDC"/>
    <w:rsid w:val="00CA25AD"/>
    <w:rsid w:val="00CB3ED4"/>
    <w:rsid w:val="00CC7F24"/>
    <w:rsid w:val="00CF1D80"/>
    <w:rsid w:val="00D0315E"/>
    <w:rsid w:val="00D129EE"/>
    <w:rsid w:val="00D154B5"/>
    <w:rsid w:val="00D23DFD"/>
    <w:rsid w:val="00D32CD3"/>
    <w:rsid w:val="00D464E2"/>
    <w:rsid w:val="00D5536C"/>
    <w:rsid w:val="00D75817"/>
    <w:rsid w:val="00D76AF6"/>
    <w:rsid w:val="00D85309"/>
    <w:rsid w:val="00DA032F"/>
    <w:rsid w:val="00DA3B4B"/>
    <w:rsid w:val="00DC01CF"/>
    <w:rsid w:val="00DD4F8B"/>
    <w:rsid w:val="00DE58CC"/>
    <w:rsid w:val="00DE5964"/>
    <w:rsid w:val="00DF4CB4"/>
    <w:rsid w:val="00E004BF"/>
    <w:rsid w:val="00E05899"/>
    <w:rsid w:val="00E06E12"/>
    <w:rsid w:val="00E3688A"/>
    <w:rsid w:val="00E42B70"/>
    <w:rsid w:val="00E57C49"/>
    <w:rsid w:val="00E64021"/>
    <w:rsid w:val="00E731BC"/>
    <w:rsid w:val="00E745C6"/>
    <w:rsid w:val="00E755E6"/>
    <w:rsid w:val="00E84F98"/>
    <w:rsid w:val="00EA4264"/>
    <w:rsid w:val="00EB02BE"/>
    <w:rsid w:val="00EB4BB9"/>
    <w:rsid w:val="00EC5AA0"/>
    <w:rsid w:val="00EC7B39"/>
    <w:rsid w:val="00EE45E5"/>
    <w:rsid w:val="00EE47F2"/>
    <w:rsid w:val="00EF713B"/>
    <w:rsid w:val="00F06296"/>
    <w:rsid w:val="00F072D6"/>
    <w:rsid w:val="00F20823"/>
    <w:rsid w:val="00F3778D"/>
    <w:rsid w:val="00F41744"/>
    <w:rsid w:val="00F42FF6"/>
    <w:rsid w:val="00F454C7"/>
    <w:rsid w:val="00F51B09"/>
    <w:rsid w:val="00F5296D"/>
    <w:rsid w:val="00F56116"/>
    <w:rsid w:val="00F65747"/>
    <w:rsid w:val="00F97D76"/>
    <w:rsid w:val="00FA244B"/>
    <w:rsid w:val="00FA28EE"/>
    <w:rsid w:val="00FF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7DCC7"/>
  <w15:chartTrackingRefBased/>
  <w15:docId w15:val="{9A0E3F25-3460-C64C-A47F-B44CD261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before="4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ACC"/>
    <w:rPr>
      <w:rFonts w:ascii="Arial" w:eastAsiaTheme="minorEastAsia" w:hAnsi="Arial"/>
      <w:sz w:val="20"/>
      <w:lang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E47F2"/>
    <w:pPr>
      <w:keepNext/>
      <w:keepLines/>
      <w:outlineLvl w:val="0"/>
    </w:pPr>
    <w:rPr>
      <w:rFonts w:eastAsiaTheme="majorEastAsia" w:cstheme="majorBidi"/>
      <w:b/>
      <w:bCs/>
      <w:sz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E53A0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004BF"/>
    <w:pPr>
      <w:keepNext/>
      <w:keepLines/>
      <w:outlineLvl w:val="2"/>
    </w:pPr>
    <w:rPr>
      <w:rFonts w:eastAsiaTheme="majorEastAsia" w:cstheme="majorBidi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7F2"/>
    <w:rPr>
      <w:rFonts w:ascii="Arial" w:eastAsiaTheme="majorEastAsia" w:hAnsi="Arial" w:cstheme="majorBidi"/>
      <w:b/>
      <w:bCs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E53A0"/>
    <w:rPr>
      <w:rFonts w:ascii="Arial" w:eastAsiaTheme="majorEastAsia" w:hAnsi="Arial" w:cstheme="majorBidi"/>
      <w:b/>
      <w:i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04BF"/>
    <w:rPr>
      <w:rFonts w:ascii="Arial" w:eastAsiaTheme="majorEastAsia" w:hAnsi="Arial" w:cstheme="majorBidi"/>
      <w:b/>
      <w:i/>
      <w:color w:val="000000" w:themeColor="text1"/>
      <w:lang w:val="en-GB"/>
    </w:rPr>
  </w:style>
  <w:style w:type="paragraph" w:customStyle="1" w:styleId="Default">
    <w:name w:val="Default"/>
    <w:autoRedefine/>
    <w:qFormat/>
    <w:rsid w:val="00E64021"/>
    <w:pPr>
      <w:numPr>
        <w:numId w:val="2"/>
      </w:numPr>
      <w:autoSpaceDE w:val="0"/>
      <w:autoSpaceDN w:val="0"/>
      <w:adjustRightInd w:val="0"/>
      <w:snapToGrid w:val="0"/>
    </w:pPr>
    <w:rPr>
      <w:rFonts w:ascii="Arial" w:eastAsia="Calibri" w:hAnsi="Arial" w:cs="Calibri"/>
      <w:color w:val="000000"/>
      <w:sz w:val="20"/>
      <w:lang w:val="en-GB"/>
    </w:rPr>
  </w:style>
  <w:style w:type="paragraph" w:customStyle="1" w:styleId="Style1">
    <w:name w:val="Style1"/>
    <w:basedOn w:val="Default"/>
    <w:autoRedefine/>
    <w:qFormat/>
    <w:rsid w:val="001710B5"/>
    <w:pPr>
      <w:spacing w:after="40"/>
      <w:ind w:left="181" w:right="192"/>
    </w:pPr>
  </w:style>
  <w:style w:type="paragraph" w:customStyle="1" w:styleId="Normal1">
    <w:name w:val="Normal 1"/>
    <w:basedOn w:val="Normal"/>
    <w:autoRedefine/>
    <w:qFormat/>
    <w:rsid w:val="0077769F"/>
    <w:pPr>
      <w:snapToGrid w:val="0"/>
    </w:pPr>
    <w:rPr>
      <w:rFonts w:eastAsia="Calibri" w:cs="Times New Roman"/>
      <w:color w:val="000000" w:themeColor="text1"/>
      <w:spacing w:val="-1"/>
      <w:position w:val="1"/>
      <w:szCs w:val="20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EE47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7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4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ater.vic.gov.au/planning/long-term-assessments-and-strategies/ltw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DR115 - Prof Barry Hart - national Water Reform 2020 - Public inquiry</vt:lpstr>
    </vt:vector>
  </TitlesOfParts>
  <Company>Prof Barry Hart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DR115 - Prof Barry Hart - national Water Reform 2020 - Public inquiry</dc:title>
  <dc:subject/>
  <dc:creator>Prof Barry Hart</dc:creator>
  <cp:keywords/>
  <dc:description/>
  <cp:lastModifiedBy>Alston, Chris</cp:lastModifiedBy>
  <cp:revision>20</cp:revision>
  <dcterms:created xsi:type="dcterms:W3CDTF">2021-02-17T02:17:00Z</dcterms:created>
  <dcterms:modified xsi:type="dcterms:W3CDTF">2021-02-22T22:07:00Z</dcterms:modified>
</cp:coreProperties>
</file>