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626BA" w14:textId="77777777" w:rsidR="00BA2291" w:rsidRDefault="00BA2291" w:rsidP="00BA2291">
      <w:pPr>
        <w:jc w:val="center"/>
        <w:rPr>
          <w:b/>
          <w:sz w:val="40"/>
          <w:szCs w:val="40"/>
        </w:rPr>
      </w:pPr>
      <w:r>
        <w:rPr>
          <w:b/>
          <w:noProof/>
          <w:sz w:val="40"/>
          <w:szCs w:val="40"/>
          <w:lang w:eastAsia="en-AU"/>
        </w:rPr>
        <w:drawing>
          <wp:inline distT="0" distB="0" distL="0" distR="0" wp14:anchorId="6EB18017" wp14:editId="2A8BE3F3">
            <wp:extent cx="1938655" cy="232459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929" cy="2371686"/>
                    </a:xfrm>
                    <a:prstGeom prst="rect">
                      <a:avLst/>
                    </a:prstGeom>
                    <a:noFill/>
                    <a:ln>
                      <a:noFill/>
                    </a:ln>
                  </pic:spPr>
                </pic:pic>
              </a:graphicData>
            </a:graphic>
          </wp:inline>
        </w:drawing>
      </w:r>
    </w:p>
    <w:p w14:paraId="5148805E" w14:textId="77777777" w:rsidR="00BA2291" w:rsidRDefault="00BA2291" w:rsidP="00BA2291">
      <w:pPr>
        <w:jc w:val="center"/>
        <w:rPr>
          <w:b/>
          <w:sz w:val="40"/>
          <w:szCs w:val="40"/>
        </w:rPr>
      </w:pPr>
    </w:p>
    <w:p w14:paraId="657164F9" w14:textId="77777777" w:rsidR="00BA2291" w:rsidRPr="00BA2291" w:rsidRDefault="00BA2291" w:rsidP="00BA2291">
      <w:pPr>
        <w:jc w:val="center"/>
        <w:rPr>
          <w:b/>
          <w:sz w:val="40"/>
          <w:szCs w:val="40"/>
        </w:rPr>
      </w:pPr>
      <w:r w:rsidRPr="00BA2291">
        <w:rPr>
          <w:b/>
          <w:sz w:val="40"/>
          <w:szCs w:val="40"/>
        </w:rPr>
        <w:t>Submission to the Productivity Commission</w:t>
      </w:r>
    </w:p>
    <w:p w14:paraId="4A3B8198" w14:textId="77777777" w:rsidR="00BA2291" w:rsidRPr="00BA2291" w:rsidRDefault="00BA2291" w:rsidP="00BA2291">
      <w:pPr>
        <w:jc w:val="center"/>
        <w:rPr>
          <w:b/>
          <w:sz w:val="40"/>
          <w:szCs w:val="40"/>
        </w:rPr>
      </w:pPr>
    </w:p>
    <w:p w14:paraId="67E77597" w14:textId="77777777" w:rsidR="00BA2291" w:rsidRPr="00BA2291" w:rsidRDefault="00BA2291" w:rsidP="00BA2291">
      <w:pPr>
        <w:jc w:val="center"/>
        <w:rPr>
          <w:b/>
          <w:sz w:val="40"/>
          <w:szCs w:val="40"/>
        </w:rPr>
      </w:pPr>
      <w:r w:rsidRPr="00BA2291">
        <w:rPr>
          <w:b/>
          <w:sz w:val="40"/>
          <w:szCs w:val="40"/>
        </w:rPr>
        <w:t>National Water Reform 2020</w:t>
      </w:r>
    </w:p>
    <w:p w14:paraId="359705BC" w14:textId="77777777" w:rsidR="00BA2291" w:rsidRPr="00BA2291" w:rsidRDefault="00BA2291" w:rsidP="00BA2291">
      <w:pPr>
        <w:jc w:val="center"/>
        <w:rPr>
          <w:b/>
          <w:sz w:val="40"/>
          <w:szCs w:val="40"/>
        </w:rPr>
      </w:pPr>
    </w:p>
    <w:p w14:paraId="7DC3DC01" w14:textId="77777777" w:rsidR="00BA2291" w:rsidRPr="00BA2291" w:rsidRDefault="00BA2291" w:rsidP="00BA2291">
      <w:pPr>
        <w:jc w:val="center"/>
        <w:rPr>
          <w:b/>
          <w:sz w:val="40"/>
          <w:szCs w:val="40"/>
        </w:rPr>
      </w:pPr>
    </w:p>
    <w:p w14:paraId="5DDC02FB" w14:textId="77777777" w:rsidR="00BA2291" w:rsidRPr="00BA2291" w:rsidRDefault="00BA2291" w:rsidP="00BA2291">
      <w:pPr>
        <w:jc w:val="center"/>
        <w:rPr>
          <w:b/>
          <w:sz w:val="40"/>
          <w:szCs w:val="40"/>
        </w:rPr>
      </w:pPr>
    </w:p>
    <w:p w14:paraId="5C6B3152" w14:textId="77777777" w:rsidR="00BA2291" w:rsidRDefault="00BA2291" w:rsidP="00BA2291">
      <w:pPr>
        <w:jc w:val="center"/>
        <w:rPr>
          <w:b/>
          <w:sz w:val="40"/>
          <w:szCs w:val="40"/>
        </w:rPr>
      </w:pPr>
    </w:p>
    <w:p w14:paraId="17500456" w14:textId="77777777" w:rsidR="00BA2291" w:rsidRDefault="00BA2291" w:rsidP="00BA2291">
      <w:pPr>
        <w:jc w:val="center"/>
        <w:rPr>
          <w:b/>
          <w:sz w:val="40"/>
          <w:szCs w:val="40"/>
        </w:rPr>
      </w:pPr>
    </w:p>
    <w:p w14:paraId="73C32025" w14:textId="77777777" w:rsidR="00BA2291" w:rsidRDefault="00BA2291" w:rsidP="00BA2291">
      <w:pPr>
        <w:ind w:left="7920"/>
        <w:jc w:val="center"/>
        <w:rPr>
          <w:b/>
          <w:sz w:val="40"/>
          <w:szCs w:val="40"/>
        </w:rPr>
      </w:pPr>
    </w:p>
    <w:p w14:paraId="1FB52188" w14:textId="77777777" w:rsidR="00BA2291" w:rsidRDefault="00BA2291" w:rsidP="00BA2291">
      <w:pPr>
        <w:ind w:left="5760" w:firstLine="720"/>
        <w:rPr>
          <w:b/>
          <w:sz w:val="40"/>
          <w:szCs w:val="40"/>
        </w:rPr>
      </w:pPr>
      <w:r>
        <w:rPr>
          <w:b/>
          <w:sz w:val="40"/>
          <w:szCs w:val="40"/>
        </w:rPr>
        <w:t xml:space="preserve">March </w:t>
      </w:r>
      <w:r w:rsidRPr="00BA2291">
        <w:rPr>
          <w:b/>
          <w:sz w:val="40"/>
          <w:szCs w:val="40"/>
        </w:rPr>
        <w:t>2021</w:t>
      </w:r>
    </w:p>
    <w:p w14:paraId="02D41C14" w14:textId="77777777" w:rsidR="00BA2291" w:rsidRDefault="00BA2291" w:rsidP="00BA2291">
      <w:pPr>
        <w:ind w:left="5760" w:firstLine="720"/>
        <w:rPr>
          <w:b/>
          <w:sz w:val="40"/>
          <w:szCs w:val="40"/>
        </w:rPr>
      </w:pPr>
    </w:p>
    <w:p w14:paraId="1E45CB30" w14:textId="77777777" w:rsidR="00C62151" w:rsidRDefault="00C62151" w:rsidP="00CF539E">
      <w:pPr>
        <w:pStyle w:val="Heading1"/>
        <w:spacing w:line="276" w:lineRule="auto"/>
        <w:rPr>
          <w:lang w:val="en-US"/>
        </w:rPr>
      </w:pPr>
      <w:bookmarkStart w:id="0" w:name="_Toc48160237"/>
    </w:p>
    <w:p w14:paraId="7690B273" w14:textId="77777777" w:rsidR="000411D9" w:rsidRPr="000411D9" w:rsidRDefault="000411D9" w:rsidP="000411D9">
      <w:pPr>
        <w:rPr>
          <w:lang w:val="en-US"/>
        </w:rPr>
      </w:pPr>
    </w:p>
    <w:p w14:paraId="281AD798" w14:textId="77777777" w:rsidR="00982D5E" w:rsidRDefault="00982D5E" w:rsidP="00982D5E">
      <w:pPr>
        <w:pStyle w:val="Heading1"/>
        <w:spacing w:line="276" w:lineRule="auto"/>
        <w:rPr>
          <w:sz w:val="28"/>
          <w:szCs w:val="28"/>
        </w:rPr>
      </w:pPr>
      <w:bookmarkStart w:id="1" w:name="_Toc48160238"/>
    </w:p>
    <w:p w14:paraId="28CDB8C3" w14:textId="77777777" w:rsidR="00616E47" w:rsidRPr="00EF56A0" w:rsidRDefault="00616E47" w:rsidP="00982D5E">
      <w:pPr>
        <w:pStyle w:val="Heading1"/>
        <w:numPr>
          <w:ilvl w:val="0"/>
          <w:numId w:val="16"/>
        </w:numPr>
        <w:spacing w:line="276" w:lineRule="auto"/>
        <w:rPr>
          <w:sz w:val="28"/>
          <w:szCs w:val="28"/>
          <w:lang w:val="en-US"/>
        </w:rPr>
      </w:pPr>
      <w:r w:rsidRPr="00EF56A0">
        <w:rPr>
          <w:sz w:val="28"/>
          <w:szCs w:val="28"/>
        </w:rPr>
        <w:t>About the Central Land Council</w:t>
      </w:r>
      <w:bookmarkEnd w:id="1"/>
    </w:p>
    <w:p w14:paraId="7735E2CF" w14:textId="77777777" w:rsidR="00616E47" w:rsidRDefault="00616E47" w:rsidP="00616E47">
      <w:pPr>
        <w:spacing w:line="276" w:lineRule="auto"/>
        <w:rPr>
          <w:sz w:val="24"/>
          <w:szCs w:val="24"/>
          <w:lang w:val="en-US"/>
        </w:rPr>
      </w:pPr>
      <w:r>
        <w:rPr>
          <w:sz w:val="24"/>
          <w:szCs w:val="24"/>
          <w:lang w:val="en-US"/>
        </w:rPr>
        <w:t xml:space="preserve">The </w:t>
      </w:r>
      <w:r w:rsidR="00210C7D">
        <w:rPr>
          <w:sz w:val="24"/>
          <w:szCs w:val="24"/>
          <w:lang w:val="en-US"/>
        </w:rPr>
        <w:t>Central Land Council (</w:t>
      </w:r>
      <w:r w:rsidRPr="00954A15">
        <w:rPr>
          <w:b/>
          <w:sz w:val="24"/>
          <w:szCs w:val="24"/>
          <w:lang w:val="en-US"/>
        </w:rPr>
        <w:t>CLC</w:t>
      </w:r>
      <w:r w:rsidR="00210C7D">
        <w:rPr>
          <w:b/>
          <w:sz w:val="24"/>
          <w:szCs w:val="24"/>
          <w:lang w:val="en-US"/>
        </w:rPr>
        <w:t>)</w:t>
      </w:r>
      <w:r w:rsidRPr="00954A15">
        <w:rPr>
          <w:b/>
          <w:sz w:val="24"/>
          <w:szCs w:val="24"/>
          <w:lang w:val="en-US"/>
        </w:rPr>
        <w:t xml:space="preserve"> </w:t>
      </w:r>
      <w:r>
        <w:rPr>
          <w:sz w:val="24"/>
          <w:szCs w:val="24"/>
          <w:lang w:val="en-US"/>
        </w:rPr>
        <w:t xml:space="preserve">is a Commonwealth statutory authority established under the </w:t>
      </w:r>
      <w:r>
        <w:rPr>
          <w:i/>
          <w:sz w:val="24"/>
          <w:szCs w:val="24"/>
          <w:lang w:val="en-US"/>
        </w:rPr>
        <w:t>Aboriginal Land Rights (Northern Territory) Act 1976</w:t>
      </w:r>
      <w:r>
        <w:rPr>
          <w:sz w:val="24"/>
          <w:szCs w:val="24"/>
          <w:lang w:val="en-US"/>
        </w:rPr>
        <w:t xml:space="preserve"> </w:t>
      </w:r>
      <w:r w:rsidR="00000128">
        <w:rPr>
          <w:sz w:val="24"/>
          <w:szCs w:val="24"/>
          <w:lang w:val="en-US"/>
        </w:rPr>
        <w:t>(</w:t>
      </w:r>
      <w:proofErr w:type="spellStart"/>
      <w:r w:rsidR="00000128">
        <w:rPr>
          <w:sz w:val="24"/>
          <w:szCs w:val="24"/>
          <w:lang w:val="en-US"/>
        </w:rPr>
        <w:t>Cth</w:t>
      </w:r>
      <w:proofErr w:type="spellEnd"/>
      <w:r w:rsidR="00000128">
        <w:rPr>
          <w:sz w:val="24"/>
          <w:szCs w:val="24"/>
          <w:lang w:val="en-US"/>
        </w:rPr>
        <w:t xml:space="preserve">) </w:t>
      </w:r>
      <w:r>
        <w:rPr>
          <w:sz w:val="24"/>
          <w:szCs w:val="24"/>
          <w:lang w:val="en-US"/>
        </w:rPr>
        <w:t>(</w:t>
      </w:r>
      <w:r w:rsidRPr="00954A15">
        <w:rPr>
          <w:b/>
          <w:sz w:val="24"/>
          <w:szCs w:val="24"/>
          <w:lang w:val="en-US"/>
        </w:rPr>
        <w:t>ALRA</w:t>
      </w:r>
      <w:r>
        <w:rPr>
          <w:sz w:val="24"/>
          <w:szCs w:val="24"/>
          <w:lang w:val="en-US"/>
        </w:rPr>
        <w:t xml:space="preserve">). It is also a native title representative body under the </w:t>
      </w:r>
      <w:r>
        <w:rPr>
          <w:i/>
          <w:iCs/>
          <w:sz w:val="24"/>
          <w:szCs w:val="24"/>
          <w:lang w:val="en-US"/>
        </w:rPr>
        <w:t>Native Title Act 1993</w:t>
      </w:r>
      <w:r w:rsidR="00000128">
        <w:rPr>
          <w:i/>
          <w:iCs/>
          <w:sz w:val="24"/>
          <w:szCs w:val="24"/>
          <w:lang w:val="en-US"/>
        </w:rPr>
        <w:t xml:space="preserve"> (</w:t>
      </w:r>
      <w:proofErr w:type="spellStart"/>
      <w:r w:rsidR="00000128">
        <w:rPr>
          <w:i/>
          <w:iCs/>
          <w:sz w:val="24"/>
          <w:szCs w:val="24"/>
          <w:lang w:val="en-US"/>
        </w:rPr>
        <w:t>Cth</w:t>
      </w:r>
      <w:proofErr w:type="spellEnd"/>
      <w:r w:rsidR="00000128">
        <w:rPr>
          <w:iCs/>
          <w:sz w:val="24"/>
          <w:szCs w:val="24"/>
          <w:lang w:val="en-US"/>
        </w:rPr>
        <w:t>) (</w:t>
      </w:r>
      <w:r w:rsidR="00000128">
        <w:rPr>
          <w:b/>
          <w:iCs/>
          <w:sz w:val="24"/>
          <w:szCs w:val="24"/>
          <w:lang w:val="en-US"/>
        </w:rPr>
        <w:t>NTA</w:t>
      </w:r>
      <w:r w:rsidR="00000128">
        <w:rPr>
          <w:iCs/>
          <w:sz w:val="24"/>
          <w:szCs w:val="24"/>
          <w:lang w:val="en-US"/>
        </w:rPr>
        <w:t>)</w:t>
      </w:r>
      <w:r>
        <w:rPr>
          <w:sz w:val="24"/>
          <w:szCs w:val="24"/>
          <w:lang w:val="en-US"/>
        </w:rPr>
        <w:t xml:space="preserve">. It is led by a representative body of 90 Aboriginal people elected from communities in the southern half of the Northern Territory, which covers almost 777,000 square </w:t>
      </w:r>
      <w:proofErr w:type="spellStart"/>
      <w:r>
        <w:rPr>
          <w:sz w:val="24"/>
          <w:szCs w:val="24"/>
          <w:lang w:val="en-US"/>
        </w:rPr>
        <w:t>kilometres</w:t>
      </w:r>
      <w:proofErr w:type="spellEnd"/>
      <w:r>
        <w:rPr>
          <w:sz w:val="24"/>
          <w:szCs w:val="24"/>
          <w:lang w:val="en-US"/>
        </w:rPr>
        <w:t xml:space="preserve"> and has </w:t>
      </w:r>
      <w:r w:rsidR="00210C7D">
        <w:rPr>
          <w:sz w:val="24"/>
          <w:szCs w:val="24"/>
          <w:lang w:val="en-US"/>
        </w:rPr>
        <w:t xml:space="preserve">an </w:t>
      </w:r>
      <w:r>
        <w:rPr>
          <w:sz w:val="24"/>
          <w:szCs w:val="24"/>
          <w:lang w:val="en-US"/>
        </w:rPr>
        <w:t>Aboriginal population of more than 24,000.</w:t>
      </w:r>
    </w:p>
    <w:p w14:paraId="694B1476" w14:textId="77777777" w:rsidR="00616E47" w:rsidRDefault="00616E47" w:rsidP="00616E47">
      <w:pPr>
        <w:spacing w:line="276" w:lineRule="auto"/>
        <w:rPr>
          <w:sz w:val="24"/>
          <w:szCs w:val="24"/>
          <w:lang w:val="en-US"/>
        </w:rPr>
      </w:pPr>
      <w:r>
        <w:rPr>
          <w:sz w:val="24"/>
          <w:szCs w:val="24"/>
          <w:lang w:val="en-US"/>
        </w:rPr>
        <w:t>The CLC has statutory responsibilities to ascertain, represent, and protect the rights and interests of Aboriginal people living in the CLC region. It also has specific statutory functions with respect to Aboriginal land</w:t>
      </w:r>
      <w:r w:rsidR="00210C7D">
        <w:rPr>
          <w:sz w:val="24"/>
          <w:szCs w:val="24"/>
          <w:lang w:val="en-US"/>
        </w:rPr>
        <w:t xml:space="preserve"> and native title land</w:t>
      </w:r>
      <w:r>
        <w:rPr>
          <w:sz w:val="24"/>
          <w:szCs w:val="24"/>
          <w:lang w:val="en-US"/>
        </w:rPr>
        <w:t xml:space="preserve">. One of the CLC’s central roles is to protect the interests of Aboriginal people with an interest in Aboriginal land, by assisting constituents to make land claims, negotiate agreements with third parties, protect sacred sites, and </w:t>
      </w:r>
      <w:proofErr w:type="spellStart"/>
      <w:r>
        <w:rPr>
          <w:sz w:val="24"/>
          <w:szCs w:val="24"/>
          <w:lang w:val="en-US"/>
        </w:rPr>
        <w:t>utilise</w:t>
      </w:r>
      <w:proofErr w:type="spellEnd"/>
      <w:r>
        <w:rPr>
          <w:sz w:val="24"/>
          <w:szCs w:val="24"/>
          <w:lang w:val="en-US"/>
        </w:rPr>
        <w:t xml:space="preserve"> land and other financial resources for the benefit of their communities. Many Indigenous communities and outstations are located upon Aboriginal land owned under the ALRA, and thus the CLC had a direct interest in, and responsibility for, the administration of land in those communities and outstations.</w:t>
      </w:r>
    </w:p>
    <w:p w14:paraId="005CD70D" w14:textId="77777777" w:rsidR="00616E47" w:rsidRDefault="00616E47" w:rsidP="00616E47">
      <w:pPr>
        <w:spacing w:line="276" w:lineRule="auto"/>
        <w:rPr>
          <w:sz w:val="24"/>
          <w:szCs w:val="24"/>
          <w:lang w:val="en-US"/>
        </w:rPr>
      </w:pPr>
      <w:r>
        <w:rPr>
          <w:sz w:val="24"/>
          <w:szCs w:val="24"/>
          <w:lang w:val="en-US"/>
        </w:rPr>
        <w:t>In addition to these functions, the CLC administers a range of programs for the benefit of constituents in relation to environmental management, community development, governance, cultural heritage, and customary practices. The CLC also plays a strong role in advocating for the interests of our constituents, the majority of which reside in remote communities.</w:t>
      </w:r>
    </w:p>
    <w:p w14:paraId="04B2BB95" w14:textId="77777777" w:rsidR="00616E47" w:rsidRPr="00EF56A0" w:rsidRDefault="00616E47" w:rsidP="00616E47">
      <w:pPr>
        <w:pStyle w:val="Heading1"/>
        <w:numPr>
          <w:ilvl w:val="0"/>
          <w:numId w:val="9"/>
        </w:numPr>
        <w:spacing w:line="276" w:lineRule="auto"/>
        <w:rPr>
          <w:sz w:val="28"/>
          <w:szCs w:val="28"/>
        </w:rPr>
      </w:pPr>
      <w:r w:rsidRPr="00EF56A0">
        <w:rPr>
          <w:sz w:val="28"/>
          <w:szCs w:val="28"/>
        </w:rPr>
        <w:t>Introduction</w:t>
      </w:r>
    </w:p>
    <w:p w14:paraId="57D2FCE6" w14:textId="77777777" w:rsidR="008D3053" w:rsidRDefault="00616E47" w:rsidP="0017480F">
      <w:pPr>
        <w:spacing w:line="276" w:lineRule="auto"/>
        <w:rPr>
          <w:sz w:val="24"/>
          <w:szCs w:val="24"/>
          <w:lang w:val="en-US"/>
        </w:rPr>
      </w:pPr>
      <w:r>
        <w:rPr>
          <w:sz w:val="24"/>
          <w:szCs w:val="24"/>
          <w:lang w:val="en-US"/>
        </w:rPr>
        <w:t>The CLC</w:t>
      </w:r>
      <w:r w:rsidR="0017480F" w:rsidRPr="0017480F">
        <w:rPr>
          <w:sz w:val="24"/>
          <w:szCs w:val="24"/>
          <w:lang w:val="en-US"/>
        </w:rPr>
        <w:t xml:space="preserve"> welcome</w:t>
      </w:r>
      <w:r>
        <w:rPr>
          <w:sz w:val="24"/>
          <w:szCs w:val="24"/>
          <w:lang w:val="en-US"/>
        </w:rPr>
        <w:t>s</w:t>
      </w:r>
      <w:r w:rsidR="0017480F" w:rsidRPr="0017480F">
        <w:rPr>
          <w:sz w:val="24"/>
          <w:szCs w:val="24"/>
          <w:lang w:val="en-US"/>
        </w:rPr>
        <w:t xml:space="preserve"> the opportunity to provide </w:t>
      </w:r>
      <w:r w:rsidR="0017480F">
        <w:rPr>
          <w:sz w:val="24"/>
          <w:szCs w:val="24"/>
          <w:lang w:val="en-US"/>
        </w:rPr>
        <w:t xml:space="preserve">a final submission to the </w:t>
      </w:r>
      <w:r w:rsidR="0017480F" w:rsidRPr="0017480F">
        <w:rPr>
          <w:sz w:val="24"/>
          <w:szCs w:val="24"/>
          <w:lang w:val="en-US"/>
        </w:rPr>
        <w:t>Draft Report of the Productivity Commission’s National Water Reform Inquiry</w:t>
      </w:r>
      <w:r w:rsidR="0017480F">
        <w:rPr>
          <w:sz w:val="24"/>
          <w:szCs w:val="24"/>
          <w:lang w:val="en-US"/>
        </w:rPr>
        <w:t xml:space="preserve"> released on 11 February 2021</w:t>
      </w:r>
      <w:r w:rsidR="0017480F" w:rsidRPr="0017480F">
        <w:rPr>
          <w:sz w:val="24"/>
          <w:szCs w:val="24"/>
          <w:lang w:val="en-US"/>
        </w:rPr>
        <w:t xml:space="preserve">. </w:t>
      </w:r>
    </w:p>
    <w:p w14:paraId="543CED7D" w14:textId="77777777" w:rsidR="00616E47" w:rsidRDefault="00616E47" w:rsidP="0017480F">
      <w:pPr>
        <w:spacing w:line="276" w:lineRule="auto"/>
        <w:rPr>
          <w:sz w:val="24"/>
          <w:szCs w:val="24"/>
          <w:lang w:val="en-US"/>
        </w:rPr>
      </w:pPr>
      <w:r>
        <w:rPr>
          <w:sz w:val="24"/>
          <w:szCs w:val="24"/>
          <w:lang w:val="en-US"/>
        </w:rPr>
        <w:t xml:space="preserve">As outlined in our </w:t>
      </w:r>
      <w:r w:rsidR="008D3053">
        <w:rPr>
          <w:sz w:val="24"/>
          <w:szCs w:val="24"/>
          <w:lang w:val="en-US"/>
        </w:rPr>
        <w:t>August 2020</w:t>
      </w:r>
      <w:r>
        <w:rPr>
          <w:sz w:val="24"/>
          <w:szCs w:val="24"/>
          <w:lang w:val="en-US"/>
        </w:rPr>
        <w:t xml:space="preserve"> submission</w:t>
      </w:r>
      <w:r w:rsidR="008D3053">
        <w:rPr>
          <w:sz w:val="24"/>
          <w:szCs w:val="24"/>
          <w:lang w:val="en-US"/>
        </w:rPr>
        <w:t>:</w:t>
      </w:r>
    </w:p>
    <w:p w14:paraId="406FB79E" w14:textId="77777777" w:rsidR="00616E47" w:rsidRPr="00616E47" w:rsidRDefault="008D3053" w:rsidP="00616E47">
      <w:pPr>
        <w:spacing w:line="276" w:lineRule="auto"/>
        <w:rPr>
          <w:sz w:val="24"/>
          <w:szCs w:val="24"/>
          <w:lang w:val="en-US"/>
        </w:rPr>
      </w:pPr>
      <w:r>
        <w:rPr>
          <w:sz w:val="24"/>
          <w:szCs w:val="24"/>
          <w:lang w:val="en-US"/>
        </w:rPr>
        <w:t>“</w:t>
      </w:r>
      <w:r w:rsidR="00616E47" w:rsidRPr="00616E47">
        <w:rPr>
          <w:sz w:val="24"/>
          <w:szCs w:val="24"/>
          <w:lang w:val="en-US"/>
        </w:rPr>
        <w:t xml:space="preserve">Water is essential for the viability, self-determination, and sustainability of Indigenous communities across the NT. </w:t>
      </w:r>
      <w:r w:rsidR="00616E47">
        <w:rPr>
          <w:sz w:val="24"/>
          <w:szCs w:val="24"/>
          <w:lang w:val="en-US"/>
        </w:rPr>
        <w:t>As outlined in our first submission the</w:t>
      </w:r>
      <w:r w:rsidR="00616E47" w:rsidRPr="00616E47">
        <w:rPr>
          <w:sz w:val="24"/>
          <w:szCs w:val="24"/>
          <w:lang w:val="en-US"/>
        </w:rPr>
        <w:t xml:space="preserve"> value </w:t>
      </w:r>
      <w:r w:rsidR="00616E47">
        <w:rPr>
          <w:sz w:val="24"/>
          <w:szCs w:val="24"/>
          <w:lang w:val="en-US"/>
        </w:rPr>
        <w:t xml:space="preserve">of water </w:t>
      </w:r>
      <w:r w:rsidR="00616E47" w:rsidRPr="00616E47">
        <w:rPr>
          <w:sz w:val="24"/>
          <w:szCs w:val="24"/>
          <w:lang w:val="en-US"/>
        </w:rPr>
        <w:t xml:space="preserve">to Aboriginal people has five main components:  </w:t>
      </w:r>
    </w:p>
    <w:p w14:paraId="18E3EEC2" w14:textId="77777777" w:rsidR="00616E47" w:rsidRPr="00616E47" w:rsidRDefault="00616E47" w:rsidP="00616E47">
      <w:pPr>
        <w:pStyle w:val="ListParagraph"/>
        <w:numPr>
          <w:ilvl w:val="0"/>
          <w:numId w:val="1"/>
        </w:numPr>
        <w:spacing w:line="276" w:lineRule="auto"/>
        <w:rPr>
          <w:sz w:val="24"/>
          <w:szCs w:val="24"/>
          <w:lang w:val="en-US"/>
        </w:rPr>
      </w:pPr>
      <w:r w:rsidRPr="00954A15">
        <w:rPr>
          <w:b/>
          <w:sz w:val="24"/>
          <w:szCs w:val="24"/>
          <w:lang w:val="en-US"/>
        </w:rPr>
        <w:t>Cultural:</w:t>
      </w:r>
      <w:r w:rsidRPr="00616E47">
        <w:rPr>
          <w:sz w:val="24"/>
          <w:szCs w:val="24"/>
          <w:lang w:val="en-US"/>
        </w:rPr>
        <w:t xml:space="preserve"> connection to country (including water) is core to Indigenous peoples’ identity and culture. Detrimental impacts on country negatively impact Indigenous identities and the continuity of culture.</w:t>
      </w:r>
    </w:p>
    <w:p w14:paraId="7B4B5174" w14:textId="77777777" w:rsidR="00616E47" w:rsidRPr="008143C7" w:rsidRDefault="00616E47" w:rsidP="00616E47">
      <w:pPr>
        <w:numPr>
          <w:ilvl w:val="0"/>
          <w:numId w:val="1"/>
        </w:numPr>
        <w:spacing w:after="0" w:line="276" w:lineRule="auto"/>
        <w:contextualSpacing/>
        <w:rPr>
          <w:sz w:val="24"/>
          <w:szCs w:val="24"/>
          <w:lang w:val="en-US"/>
        </w:rPr>
      </w:pPr>
      <w:r w:rsidRPr="00954A15">
        <w:rPr>
          <w:b/>
          <w:sz w:val="24"/>
          <w:szCs w:val="24"/>
          <w:lang w:val="en-US"/>
        </w:rPr>
        <w:t>Health:</w:t>
      </w:r>
      <w:r w:rsidRPr="008143C7">
        <w:rPr>
          <w:sz w:val="24"/>
          <w:szCs w:val="24"/>
          <w:lang w:val="en-US"/>
        </w:rPr>
        <w:t xml:space="preserve"> water is key to human health, life, and the viability of all communities. </w:t>
      </w:r>
      <w:r>
        <w:rPr>
          <w:sz w:val="24"/>
          <w:szCs w:val="24"/>
          <w:lang w:val="en-US"/>
        </w:rPr>
        <w:t>The significance of water to culture means t</w:t>
      </w:r>
      <w:r w:rsidRPr="008143C7">
        <w:rPr>
          <w:sz w:val="24"/>
          <w:szCs w:val="24"/>
          <w:lang w:val="en-US"/>
        </w:rPr>
        <w:t xml:space="preserve">he denigration of country </w:t>
      </w:r>
      <w:r>
        <w:rPr>
          <w:sz w:val="24"/>
          <w:szCs w:val="24"/>
          <w:lang w:val="en-US"/>
        </w:rPr>
        <w:t xml:space="preserve">also </w:t>
      </w:r>
      <w:r w:rsidRPr="008143C7">
        <w:rPr>
          <w:sz w:val="24"/>
          <w:szCs w:val="24"/>
          <w:lang w:val="en-US"/>
        </w:rPr>
        <w:t>has negative impacts on the physical and mental health of people.</w:t>
      </w:r>
    </w:p>
    <w:p w14:paraId="1380CC33" w14:textId="77777777" w:rsidR="00616E47" w:rsidRDefault="00616E47" w:rsidP="00616E47">
      <w:pPr>
        <w:pStyle w:val="ListParagraph"/>
        <w:numPr>
          <w:ilvl w:val="0"/>
          <w:numId w:val="1"/>
        </w:numPr>
        <w:spacing w:line="276" w:lineRule="auto"/>
        <w:rPr>
          <w:sz w:val="24"/>
          <w:szCs w:val="24"/>
          <w:lang w:val="en-US"/>
        </w:rPr>
      </w:pPr>
      <w:r w:rsidRPr="00954A15">
        <w:rPr>
          <w:b/>
          <w:sz w:val="24"/>
          <w:szCs w:val="24"/>
          <w:lang w:val="en-US"/>
        </w:rPr>
        <w:lastRenderedPageBreak/>
        <w:t>Social:</w:t>
      </w:r>
      <w:r>
        <w:rPr>
          <w:sz w:val="24"/>
          <w:szCs w:val="24"/>
          <w:lang w:val="en-US"/>
        </w:rPr>
        <w:t xml:space="preserve"> a</w:t>
      </w:r>
      <w:r w:rsidRPr="008143C7">
        <w:rPr>
          <w:sz w:val="24"/>
          <w:szCs w:val="24"/>
          <w:lang w:val="en-US"/>
        </w:rPr>
        <w:t xml:space="preserve"> key priority for </w:t>
      </w:r>
      <w:r>
        <w:rPr>
          <w:sz w:val="24"/>
          <w:szCs w:val="24"/>
          <w:lang w:val="en-US"/>
        </w:rPr>
        <w:t xml:space="preserve">the CLC’s </w:t>
      </w:r>
      <w:r w:rsidRPr="008143C7">
        <w:rPr>
          <w:sz w:val="24"/>
          <w:szCs w:val="24"/>
          <w:lang w:val="en-US"/>
        </w:rPr>
        <w:t>constituents is living and maintaining connection to country. Limited water resources and poor infrastructure pose major barriers to sustainable living.</w:t>
      </w:r>
    </w:p>
    <w:p w14:paraId="4F267A26" w14:textId="77777777" w:rsidR="00616E47" w:rsidRDefault="00616E47" w:rsidP="00616E47">
      <w:pPr>
        <w:pStyle w:val="ListParagraph"/>
        <w:numPr>
          <w:ilvl w:val="0"/>
          <w:numId w:val="1"/>
        </w:numPr>
        <w:spacing w:line="276" w:lineRule="auto"/>
        <w:rPr>
          <w:sz w:val="24"/>
          <w:szCs w:val="24"/>
          <w:lang w:val="en-US"/>
        </w:rPr>
      </w:pPr>
      <w:r w:rsidRPr="00954A15">
        <w:rPr>
          <w:b/>
          <w:sz w:val="24"/>
          <w:szCs w:val="24"/>
          <w:lang w:val="en-US"/>
        </w:rPr>
        <w:t xml:space="preserve">Environmental: </w:t>
      </w:r>
      <w:r>
        <w:rPr>
          <w:sz w:val="24"/>
          <w:szCs w:val="24"/>
          <w:lang w:val="en-US"/>
        </w:rPr>
        <w:t>m</w:t>
      </w:r>
      <w:r w:rsidRPr="008143C7">
        <w:rPr>
          <w:sz w:val="24"/>
          <w:szCs w:val="24"/>
          <w:lang w:val="en-US"/>
        </w:rPr>
        <w:t>aintaining healthy water sources and related ecosystems is a key component of sustainable resource management.</w:t>
      </w:r>
    </w:p>
    <w:p w14:paraId="1228D16F" w14:textId="77777777" w:rsidR="00616E47" w:rsidRPr="008143C7" w:rsidRDefault="00616E47" w:rsidP="00616E47">
      <w:pPr>
        <w:pStyle w:val="ListParagraph"/>
        <w:numPr>
          <w:ilvl w:val="0"/>
          <w:numId w:val="1"/>
        </w:numPr>
        <w:spacing w:line="276" w:lineRule="auto"/>
        <w:rPr>
          <w:sz w:val="24"/>
          <w:szCs w:val="24"/>
          <w:lang w:val="en-US"/>
        </w:rPr>
      </w:pPr>
      <w:r w:rsidRPr="00954A15">
        <w:rPr>
          <w:b/>
          <w:sz w:val="24"/>
          <w:szCs w:val="24"/>
          <w:lang w:val="en-US"/>
        </w:rPr>
        <w:t>Economic:</w:t>
      </w:r>
      <w:r>
        <w:rPr>
          <w:sz w:val="24"/>
          <w:szCs w:val="24"/>
          <w:lang w:val="en-US"/>
        </w:rPr>
        <w:t xml:space="preserve"> a</w:t>
      </w:r>
      <w:r w:rsidRPr="008143C7">
        <w:rPr>
          <w:sz w:val="24"/>
          <w:szCs w:val="24"/>
          <w:lang w:val="en-US"/>
        </w:rPr>
        <w:t xml:space="preserve">s the Strategic Aboriginal Water Reserves Policy </w:t>
      </w:r>
      <w:proofErr w:type="spellStart"/>
      <w:r w:rsidRPr="008143C7">
        <w:rPr>
          <w:sz w:val="24"/>
          <w:szCs w:val="24"/>
          <w:lang w:val="en-US"/>
        </w:rPr>
        <w:t>recognises</w:t>
      </w:r>
      <w:proofErr w:type="spellEnd"/>
      <w:r w:rsidRPr="008143C7">
        <w:rPr>
          <w:sz w:val="24"/>
          <w:szCs w:val="24"/>
          <w:lang w:val="en-US"/>
        </w:rPr>
        <w:t>, access to water is critical to Aboriginal-led economic development activities in the region</w:t>
      </w:r>
      <w:r w:rsidR="008D3053">
        <w:rPr>
          <w:sz w:val="24"/>
          <w:szCs w:val="24"/>
          <w:lang w:val="en-US"/>
        </w:rPr>
        <w:t>.”</w:t>
      </w:r>
    </w:p>
    <w:p w14:paraId="42F749B2" w14:textId="77777777" w:rsidR="00EF56A0" w:rsidRPr="00982D5E" w:rsidRDefault="00EF56A0" w:rsidP="00616E47">
      <w:pPr>
        <w:spacing w:line="276" w:lineRule="auto"/>
        <w:rPr>
          <w:b/>
          <w:sz w:val="16"/>
          <w:szCs w:val="16"/>
          <w:lang w:val="en-US"/>
        </w:rPr>
      </w:pPr>
    </w:p>
    <w:p w14:paraId="23D2F840" w14:textId="77777777" w:rsidR="00616E47" w:rsidRPr="00284DE9" w:rsidRDefault="008D3053" w:rsidP="00616E47">
      <w:pPr>
        <w:spacing w:line="276" w:lineRule="auto"/>
        <w:rPr>
          <w:sz w:val="24"/>
          <w:szCs w:val="24"/>
          <w:lang w:val="en-US"/>
        </w:rPr>
      </w:pPr>
      <w:r w:rsidRPr="00CF539E">
        <w:rPr>
          <w:sz w:val="24"/>
          <w:szCs w:val="24"/>
          <w:lang w:val="en-US"/>
        </w:rPr>
        <w:t>Des</w:t>
      </w:r>
      <w:r>
        <w:rPr>
          <w:sz w:val="24"/>
          <w:szCs w:val="24"/>
          <w:lang w:val="en-US"/>
        </w:rPr>
        <w:t xml:space="preserve">pite these </w:t>
      </w:r>
      <w:proofErr w:type="spellStart"/>
      <w:r w:rsidR="00EF56A0">
        <w:rPr>
          <w:sz w:val="24"/>
          <w:szCs w:val="24"/>
          <w:lang w:val="en-US"/>
        </w:rPr>
        <w:t>recognis</w:t>
      </w:r>
      <w:r>
        <w:rPr>
          <w:sz w:val="24"/>
          <w:szCs w:val="24"/>
          <w:lang w:val="en-US"/>
        </w:rPr>
        <w:t>ed</w:t>
      </w:r>
      <w:proofErr w:type="spellEnd"/>
      <w:r>
        <w:rPr>
          <w:sz w:val="24"/>
          <w:szCs w:val="24"/>
          <w:lang w:val="en-US"/>
        </w:rPr>
        <w:t xml:space="preserve"> values, water security remains a significant issue for Aboriginal people in the NT. Risks to water security include:</w:t>
      </w:r>
    </w:p>
    <w:p w14:paraId="6F8A66C5" w14:textId="77777777" w:rsidR="00616E47" w:rsidRPr="00944DD0" w:rsidRDefault="00616E47" w:rsidP="00944DD0">
      <w:pPr>
        <w:pStyle w:val="ListParagraph"/>
        <w:numPr>
          <w:ilvl w:val="0"/>
          <w:numId w:val="12"/>
        </w:numPr>
        <w:spacing w:line="276" w:lineRule="auto"/>
        <w:rPr>
          <w:sz w:val="24"/>
          <w:szCs w:val="24"/>
          <w:lang w:val="en-US"/>
        </w:rPr>
      </w:pPr>
      <w:r w:rsidRPr="00944DD0">
        <w:rPr>
          <w:sz w:val="24"/>
          <w:szCs w:val="24"/>
          <w:lang w:val="en-US"/>
        </w:rPr>
        <w:t xml:space="preserve">NT Indigenous communities are experiencing </w:t>
      </w:r>
      <w:r w:rsidR="008D3053">
        <w:rPr>
          <w:sz w:val="24"/>
          <w:szCs w:val="24"/>
          <w:lang w:val="en-US"/>
        </w:rPr>
        <w:t>significant and ongoing</w:t>
      </w:r>
      <w:r w:rsidRPr="00944DD0">
        <w:rPr>
          <w:sz w:val="24"/>
          <w:szCs w:val="24"/>
          <w:lang w:val="en-US"/>
        </w:rPr>
        <w:t xml:space="preserve"> challenges in relation to the supply of adequate and safe drinking water. These challenges variously concern water supply, water quality, and drinking water infrastructure. In summary these risks include: </w:t>
      </w:r>
    </w:p>
    <w:p w14:paraId="2B958443" w14:textId="77777777" w:rsidR="00944DD0" w:rsidRDefault="00616E47" w:rsidP="00944DD0">
      <w:pPr>
        <w:pStyle w:val="ListParagraph"/>
        <w:numPr>
          <w:ilvl w:val="0"/>
          <w:numId w:val="11"/>
        </w:numPr>
        <w:spacing w:line="276" w:lineRule="auto"/>
        <w:rPr>
          <w:sz w:val="24"/>
          <w:szCs w:val="24"/>
          <w:lang w:val="en-US"/>
        </w:rPr>
      </w:pPr>
      <w:r>
        <w:rPr>
          <w:sz w:val="24"/>
          <w:szCs w:val="24"/>
          <w:lang w:val="en-US"/>
        </w:rPr>
        <w:t>A</w:t>
      </w:r>
      <w:r w:rsidR="00944DD0">
        <w:rPr>
          <w:sz w:val="24"/>
          <w:szCs w:val="24"/>
          <w:lang w:val="en-US"/>
        </w:rPr>
        <w:t>t least 21 remote communities</w:t>
      </w:r>
      <w:r>
        <w:rPr>
          <w:sz w:val="24"/>
          <w:szCs w:val="24"/>
          <w:lang w:val="en-US"/>
        </w:rPr>
        <w:t xml:space="preserve"> at extreme or very high risk with respect to water quality and availability. </w:t>
      </w:r>
      <w:r w:rsidR="00944DD0">
        <w:rPr>
          <w:sz w:val="24"/>
          <w:szCs w:val="24"/>
          <w:lang w:val="en-US"/>
        </w:rPr>
        <w:t>Communities at extreme risk are not able to develop new housing or other infrastructure that included new water fixtures.</w:t>
      </w:r>
    </w:p>
    <w:p w14:paraId="21FFB903" w14:textId="77777777" w:rsidR="00616E47" w:rsidRDefault="00944DD0" w:rsidP="00944DD0">
      <w:pPr>
        <w:pStyle w:val="ListParagraph"/>
        <w:numPr>
          <w:ilvl w:val="0"/>
          <w:numId w:val="11"/>
        </w:numPr>
        <w:spacing w:line="276" w:lineRule="auto"/>
        <w:rPr>
          <w:sz w:val="24"/>
          <w:szCs w:val="24"/>
          <w:lang w:val="en-US"/>
        </w:rPr>
      </w:pPr>
      <w:r>
        <w:rPr>
          <w:sz w:val="24"/>
          <w:szCs w:val="24"/>
          <w:lang w:val="en-US"/>
        </w:rPr>
        <w:t xml:space="preserve">Ageing and </w:t>
      </w:r>
      <w:proofErr w:type="gramStart"/>
      <w:r>
        <w:rPr>
          <w:sz w:val="24"/>
          <w:szCs w:val="24"/>
          <w:lang w:val="en-US"/>
        </w:rPr>
        <w:t>p</w:t>
      </w:r>
      <w:r w:rsidR="00616E47">
        <w:rPr>
          <w:sz w:val="24"/>
          <w:szCs w:val="24"/>
          <w:lang w:val="en-US"/>
        </w:rPr>
        <w:t>oor quality</w:t>
      </w:r>
      <w:proofErr w:type="gramEnd"/>
      <w:r w:rsidR="00616E47">
        <w:rPr>
          <w:sz w:val="24"/>
          <w:szCs w:val="24"/>
          <w:lang w:val="en-US"/>
        </w:rPr>
        <w:t xml:space="preserve"> water infrastructure </w:t>
      </w:r>
      <w:r>
        <w:rPr>
          <w:sz w:val="24"/>
          <w:szCs w:val="24"/>
          <w:lang w:val="en-US"/>
        </w:rPr>
        <w:t>affecting both water supply and sewerage in remote communities</w:t>
      </w:r>
      <w:r w:rsidR="000411D9">
        <w:rPr>
          <w:sz w:val="24"/>
          <w:szCs w:val="24"/>
          <w:lang w:val="en-US"/>
        </w:rPr>
        <w:t>.</w:t>
      </w:r>
    </w:p>
    <w:p w14:paraId="6A69642E" w14:textId="77777777" w:rsidR="00616E47" w:rsidRDefault="00944DD0" w:rsidP="00616E47">
      <w:pPr>
        <w:pStyle w:val="ListParagraph"/>
        <w:numPr>
          <w:ilvl w:val="0"/>
          <w:numId w:val="2"/>
        </w:numPr>
        <w:spacing w:line="276" w:lineRule="auto"/>
        <w:rPr>
          <w:sz w:val="24"/>
          <w:szCs w:val="24"/>
          <w:lang w:val="en-US"/>
        </w:rPr>
      </w:pPr>
      <w:r>
        <w:rPr>
          <w:sz w:val="24"/>
          <w:szCs w:val="24"/>
          <w:lang w:val="en-US"/>
        </w:rPr>
        <w:t>A total allocation of $7 million annually to maintain existing water infrastructure with no additional NT</w:t>
      </w:r>
      <w:r w:rsidR="00210C7D">
        <w:rPr>
          <w:sz w:val="24"/>
          <w:szCs w:val="24"/>
          <w:lang w:val="en-US"/>
        </w:rPr>
        <w:t xml:space="preserve"> </w:t>
      </w:r>
      <w:r>
        <w:rPr>
          <w:sz w:val="24"/>
          <w:szCs w:val="24"/>
          <w:lang w:val="en-US"/>
        </w:rPr>
        <w:t>G</w:t>
      </w:r>
      <w:r w:rsidR="00954A15">
        <w:rPr>
          <w:sz w:val="24"/>
          <w:szCs w:val="24"/>
          <w:lang w:val="en-US"/>
        </w:rPr>
        <w:t>overnment</w:t>
      </w:r>
      <w:r>
        <w:rPr>
          <w:sz w:val="24"/>
          <w:szCs w:val="24"/>
          <w:lang w:val="en-US"/>
        </w:rPr>
        <w:t xml:space="preserve"> resources allocated for new remote water </w:t>
      </w:r>
      <w:r w:rsidR="000411D9">
        <w:rPr>
          <w:sz w:val="24"/>
          <w:szCs w:val="24"/>
          <w:lang w:val="en-US"/>
        </w:rPr>
        <w:t>infrastructure.</w:t>
      </w:r>
    </w:p>
    <w:p w14:paraId="68352C79" w14:textId="77777777" w:rsidR="00982D5E" w:rsidRPr="00284DE9" w:rsidRDefault="00982D5E" w:rsidP="00982D5E">
      <w:pPr>
        <w:pStyle w:val="ListParagraph"/>
        <w:spacing w:line="276" w:lineRule="auto"/>
        <w:rPr>
          <w:sz w:val="24"/>
          <w:szCs w:val="24"/>
          <w:lang w:val="en-US"/>
        </w:rPr>
      </w:pPr>
    </w:p>
    <w:p w14:paraId="5AF81025" w14:textId="77777777" w:rsidR="00616E47" w:rsidRPr="00982D5E" w:rsidRDefault="00616E47" w:rsidP="00616E47">
      <w:pPr>
        <w:pStyle w:val="ListParagraph"/>
        <w:numPr>
          <w:ilvl w:val="0"/>
          <w:numId w:val="12"/>
        </w:numPr>
        <w:spacing w:line="276" w:lineRule="auto"/>
        <w:rPr>
          <w:sz w:val="24"/>
          <w:szCs w:val="24"/>
          <w:lang w:val="en-US"/>
        </w:rPr>
      </w:pPr>
      <w:r w:rsidRPr="00944DD0">
        <w:rPr>
          <w:sz w:val="24"/>
          <w:szCs w:val="24"/>
          <w:lang w:val="en-US"/>
        </w:rPr>
        <w:t>Water insecurity is likely to be exacerbated by the impacts of climate change in the NT.</w:t>
      </w:r>
      <w:r w:rsidRPr="00944DD0">
        <w:rPr>
          <w:rFonts w:eastAsia="Times New Roman" w:cs="Calibri"/>
          <w:sz w:val="24"/>
          <w:szCs w:val="24"/>
          <w:lang w:eastAsia="en-GB"/>
        </w:rPr>
        <w:t xml:space="preserve"> This will significantly impact the water resources of the Northern Territory, including from increased droughts, erratic rainfall (and recharge of aquifers) and extreme temperatures.</w:t>
      </w:r>
      <w:r>
        <w:rPr>
          <w:rStyle w:val="FootnoteReference"/>
          <w:rFonts w:eastAsia="Times New Roman" w:cs="Calibri"/>
          <w:sz w:val="24"/>
          <w:szCs w:val="24"/>
          <w:lang w:eastAsia="en-GB"/>
        </w:rPr>
        <w:footnoteReference w:id="1"/>
      </w:r>
      <w:r w:rsidRPr="00944DD0">
        <w:rPr>
          <w:rFonts w:eastAsia="Times New Roman" w:cs="Calibri"/>
          <w:sz w:val="24"/>
          <w:szCs w:val="24"/>
          <w:lang w:eastAsia="en-GB"/>
        </w:rPr>
        <w:t xml:space="preserve">  Climate change is also likely to exacerbate existing inequalities in health, infrastructure provision, lack of educational and employment opportunities, and income in Indigenous communities in northern Australia, raising questions about the viability of human habitation in these places without radical changes.</w:t>
      </w:r>
      <w:r>
        <w:rPr>
          <w:rStyle w:val="FootnoteReference"/>
          <w:rFonts w:eastAsia="Times New Roman" w:cs="Calibri"/>
          <w:sz w:val="24"/>
          <w:szCs w:val="24"/>
          <w:lang w:eastAsia="en-GB"/>
        </w:rPr>
        <w:footnoteReference w:id="2"/>
      </w:r>
      <w:r w:rsidRPr="00944DD0">
        <w:rPr>
          <w:rFonts w:eastAsia="Times New Roman" w:cs="Calibri"/>
          <w:sz w:val="24"/>
          <w:szCs w:val="24"/>
          <w:lang w:eastAsia="en-GB"/>
        </w:rPr>
        <w:t xml:space="preserve">  </w:t>
      </w:r>
    </w:p>
    <w:p w14:paraId="799054BF" w14:textId="77777777" w:rsidR="00982D5E" w:rsidRPr="00944DD0" w:rsidRDefault="00982D5E" w:rsidP="00982D5E">
      <w:pPr>
        <w:pStyle w:val="ListParagraph"/>
        <w:spacing w:line="276" w:lineRule="auto"/>
        <w:ind w:left="360"/>
        <w:rPr>
          <w:sz w:val="24"/>
          <w:szCs w:val="24"/>
          <w:lang w:val="en-US"/>
        </w:rPr>
      </w:pPr>
    </w:p>
    <w:p w14:paraId="31102683" w14:textId="77777777" w:rsidR="00982D5E" w:rsidRPr="00982D5E" w:rsidRDefault="00616E47" w:rsidP="00982D5E">
      <w:pPr>
        <w:pStyle w:val="ListParagraph"/>
        <w:numPr>
          <w:ilvl w:val="0"/>
          <w:numId w:val="12"/>
        </w:numPr>
        <w:spacing w:line="276" w:lineRule="auto"/>
        <w:rPr>
          <w:sz w:val="24"/>
          <w:szCs w:val="24"/>
          <w:lang w:val="en-US"/>
        </w:rPr>
      </w:pPr>
      <w:r w:rsidRPr="00944DD0">
        <w:rPr>
          <w:sz w:val="24"/>
          <w:szCs w:val="24"/>
          <w:lang w:val="en-US"/>
        </w:rPr>
        <w:t xml:space="preserve">The NT is also under renewed pressure to develop water-intensive industries, including via the </w:t>
      </w:r>
      <w:r w:rsidR="006D280F" w:rsidRPr="006D280F">
        <w:rPr>
          <w:sz w:val="24"/>
          <w:szCs w:val="24"/>
          <w:lang w:val="en-US"/>
        </w:rPr>
        <w:t>recommendations of the Territory Economic Reconstruction Commission Final Report</w:t>
      </w:r>
      <w:bookmarkEnd w:id="0"/>
      <w:r w:rsidR="00EF56A0">
        <w:rPr>
          <w:sz w:val="28"/>
          <w:szCs w:val="28"/>
        </w:rPr>
        <w:t>.</w:t>
      </w:r>
    </w:p>
    <w:p w14:paraId="53A244A2" w14:textId="77777777" w:rsidR="00982D5E" w:rsidRPr="00982D5E" w:rsidRDefault="00982D5E" w:rsidP="00982D5E">
      <w:pPr>
        <w:pStyle w:val="ListParagraph"/>
        <w:rPr>
          <w:sz w:val="24"/>
          <w:szCs w:val="24"/>
          <w:lang w:val="en-US"/>
        </w:rPr>
      </w:pPr>
    </w:p>
    <w:p w14:paraId="132FDAEA" w14:textId="77777777" w:rsidR="008D3053" w:rsidRPr="00EF56A0" w:rsidRDefault="00982D5E" w:rsidP="00982D5E">
      <w:pPr>
        <w:spacing w:line="276" w:lineRule="auto"/>
        <w:jc w:val="both"/>
        <w:rPr>
          <w:sz w:val="24"/>
          <w:szCs w:val="24"/>
          <w:lang w:val="en-US"/>
        </w:rPr>
      </w:pPr>
      <w:r>
        <w:rPr>
          <w:sz w:val="24"/>
          <w:szCs w:val="24"/>
          <w:lang w:val="en-US"/>
        </w:rPr>
        <w:lastRenderedPageBreak/>
        <w:t>T</w:t>
      </w:r>
      <w:r w:rsidR="008D3053" w:rsidRPr="00EF56A0">
        <w:rPr>
          <w:sz w:val="24"/>
          <w:szCs w:val="24"/>
          <w:lang w:val="en-US"/>
        </w:rPr>
        <w:t xml:space="preserve">he </w:t>
      </w:r>
      <w:r w:rsidR="00EF56A0">
        <w:rPr>
          <w:sz w:val="24"/>
          <w:szCs w:val="24"/>
          <w:lang w:val="en-US"/>
        </w:rPr>
        <w:t xml:space="preserve">primary </w:t>
      </w:r>
      <w:r w:rsidR="008D3053" w:rsidRPr="00EF56A0">
        <w:rPr>
          <w:sz w:val="24"/>
          <w:szCs w:val="24"/>
          <w:lang w:val="en-US"/>
        </w:rPr>
        <w:t xml:space="preserve">focus of the </w:t>
      </w:r>
      <w:r w:rsidR="00210C7D">
        <w:rPr>
          <w:sz w:val="24"/>
          <w:szCs w:val="24"/>
          <w:lang w:val="en-US"/>
        </w:rPr>
        <w:t>CLC</w:t>
      </w:r>
      <w:r w:rsidR="008D3053" w:rsidRPr="00EF56A0">
        <w:rPr>
          <w:sz w:val="24"/>
          <w:szCs w:val="24"/>
          <w:lang w:val="en-US"/>
        </w:rPr>
        <w:t xml:space="preserve">’s detailed submission to the National Water Reform Inquiry Issues paper in August 2020 </w:t>
      </w:r>
      <w:r w:rsidR="00DF0549">
        <w:rPr>
          <w:sz w:val="24"/>
          <w:szCs w:val="24"/>
          <w:lang w:val="en-US"/>
        </w:rPr>
        <w:t>related to point 1. (above) and</w:t>
      </w:r>
      <w:r w:rsidR="008D3053" w:rsidRPr="00EF56A0">
        <w:rPr>
          <w:sz w:val="24"/>
          <w:szCs w:val="24"/>
          <w:lang w:val="en-US"/>
        </w:rPr>
        <w:t xml:space="preserve"> the need for greater legislative and regulatory protection of drinking water </w:t>
      </w:r>
      <w:r w:rsidR="00034E14" w:rsidRPr="00EF56A0">
        <w:rPr>
          <w:sz w:val="24"/>
          <w:szCs w:val="24"/>
          <w:lang w:val="en-US"/>
        </w:rPr>
        <w:t xml:space="preserve">with respect to both </w:t>
      </w:r>
      <w:r w:rsidR="008D3053" w:rsidRPr="00EF56A0">
        <w:rPr>
          <w:sz w:val="24"/>
          <w:szCs w:val="24"/>
          <w:lang w:val="en-US"/>
        </w:rPr>
        <w:t>access and quality in remote Aboriginal communities, the majority of which lie outs</w:t>
      </w:r>
      <w:r>
        <w:rPr>
          <w:sz w:val="24"/>
          <w:szCs w:val="24"/>
          <w:lang w:val="en-US"/>
        </w:rPr>
        <w:t>ide existing w</w:t>
      </w:r>
      <w:r w:rsidR="008D3053" w:rsidRPr="00EF56A0">
        <w:rPr>
          <w:sz w:val="24"/>
          <w:szCs w:val="24"/>
          <w:lang w:val="en-US"/>
        </w:rPr>
        <w:t xml:space="preserve">ater </w:t>
      </w:r>
      <w:r w:rsidR="00210C7D">
        <w:rPr>
          <w:sz w:val="24"/>
          <w:szCs w:val="24"/>
          <w:lang w:val="en-US"/>
        </w:rPr>
        <w:t xml:space="preserve">control </w:t>
      </w:r>
      <w:r w:rsidR="008D3053" w:rsidRPr="00EF56A0">
        <w:rPr>
          <w:sz w:val="24"/>
          <w:szCs w:val="24"/>
          <w:lang w:val="en-US"/>
        </w:rPr>
        <w:t xml:space="preserve">districts and are not covered by Water Allocation Plans. </w:t>
      </w:r>
      <w:r w:rsidR="00034E14" w:rsidRPr="00EF56A0">
        <w:rPr>
          <w:sz w:val="24"/>
          <w:szCs w:val="24"/>
          <w:lang w:val="en-US"/>
        </w:rPr>
        <w:t>In addition to drinking water protections o</w:t>
      </w:r>
      <w:r w:rsidR="008D3053" w:rsidRPr="00EF56A0">
        <w:rPr>
          <w:sz w:val="24"/>
          <w:szCs w:val="24"/>
          <w:lang w:val="en-US"/>
        </w:rPr>
        <w:t xml:space="preserve">ur submission also </w:t>
      </w:r>
      <w:proofErr w:type="spellStart"/>
      <w:r w:rsidR="008D3053" w:rsidRPr="00EF56A0">
        <w:rPr>
          <w:sz w:val="24"/>
          <w:szCs w:val="24"/>
          <w:lang w:val="en-US"/>
        </w:rPr>
        <w:t>recognised</w:t>
      </w:r>
      <w:proofErr w:type="spellEnd"/>
      <w:r w:rsidR="008D3053" w:rsidRPr="00EF56A0">
        <w:rPr>
          <w:sz w:val="24"/>
          <w:szCs w:val="24"/>
          <w:lang w:val="en-US"/>
        </w:rPr>
        <w:t xml:space="preserve"> that the very viability of remote Indigenous communities is under threat in the NT from government neglect, renewed calls for water-intensive development in northern Australia, and climate change. </w:t>
      </w:r>
      <w:r w:rsidR="00FA30B2">
        <w:rPr>
          <w:sz w:val="24"/>
          <w:szCs w:val="24"/>
          <w:lang w:val="en-US"/>
        </w:rPr>
        <w:t>Our first submission explores</w:t>
      </w:r>
      <w:r w:rsidR="008D3053" w:rsidRPr="00EF56A0">
        <w:rPr>
          <w:sz w:val="24"/>
          <w:szCs w:val="24"/>
          <w:lang w:val="en-US"/>
        </w:rPr>
        <w:t xml:space="preserve"> the extent to which drinking water supply is unprotected, unregulated, and unaccountable in </w:t>
      </w:r>
      <w:proofErr w:type="gramStart"/>
      <w:r w:rsidR="008D3053" w:rsidRPr="00EF56A0">
        <w:rPr>
          <w:sz w:val="24"/>
          <w:szCs w:val="24"/>
          <w:lang w:val="en-US"/>
        </w:rPr>
        <w:t>the vast majority of</w:t>
      </w:r>
      <w:proofErr w:type="gramEnd"/>
      <w:r w:rsidR="008D3053" w:rsidRPr="00EF56A0">
        <w:rPr>
          <w:sz w:val="24"/>
          <w:szCs w:val="24"/>
          <w:lang w:val="en-US"/>
        </w:rPr>
        <w:t xml:space="preserve"> remote Indigenous communities in the NT </w:t>
      </w:r>
      <w:r w:rsidR="00FA30B2">
        <w:rPr>
          <w:sz w:val="24"/>
          <w:szCs w:val="24"/>
          <w:lang w:val="en-US"/>
        </w:rPr>
        <w:t>and argues</w:t>
      </w:r>
      <w:r w:rsidR="008D3053" w:rsidRPr="00EF56A0">
        <w:rPr>
          <w:sz w:val="24"/>
          <w:szCs w:val="24"/>
          <w:lang w:val="en-US"/>
        </w:rPr>
        <w:t xml:space="preserve"> for specific reforms </w:t>
      </w:r>
      <w:r w:rsidR="00034E14" w:rsidRPr="00EF56A0">
        <w:rPr>
          <w:sz w:val="24"/>
          <w:szCs w:val="24"/>
          <w:lang w:val="en-US"/>
        </w:rPr>
        <w:t xml:space="preserve">and improved performance by the Northern Territory Government in relation to the performance against the 2004 </w:t>
      </w:r>
      <w:r w:rsidR="00F15554">
        <w:rPr>
          <w:sz w:val="24"/>
          <w:szCs w:val="24"/>
          <w:lang w:val="en-US"/>
        </w:rPr>
        <w:t>National Water Initiative (</w:t>
      </w:r>
      <w:r w:rsidR="00F15554">
        <w:rPr>
          <w:b/>
          <w:sz w:val="24"/>
          <w:szCs w:val="24"/>
          <w:lang w:val="en-US"/>
        </w:rPr>
        <w:t>2004 NWI</w:t>
      </w:r>
      <w:r w:rsidR="00F15554">
        <w:rPr>
          <w:sz w:val="24"/>
          <w:szCs w:val="24"/>
          <w:lang w:val="en-US"/>
        </w:rPr>
        <w:t>)</w:t>
      </w:r>
      <w:r w:rsidR="00034E14" w:rsidRPr="00EF56A0">
        <w:rPr>
          <w:sz w:val="24"/>
          <w:szCs w:val="24"/>
          <w:lang w:val="en-US"/>
        </w:rPr>
        <w:t xml:space="preserve">. </w:t>
      </w:r>
    </w:p>
    <w:p w14:paraId="2DEDF13D" w14:textId="77777777" w:rsidR="00AA68A9" w:rsidRDefault="008D3053" w:rsidP="00AA68A9">
      <w:pPr>
        <w:spacing w:line="276" w:lineRule="auto"/>
        <w:rPr>
          <w:sz w:val="24"/>
          <w:szCs w:val="24"/>
          <w:lang w:val="en-US"/>
        </w:rPr>
      </w:pPr>
      <w:r>
        <w:rPr>
          <w:sz w:val="24"/>
          <w:szCs w:val="24"/>
          <w:lang w:val="en-US"/>
        </w:rPr>
        <w:t xml:space="preserve">In this brief submission </w:t>
      </w:r>
      <w:r w:rsidRPr="00FA30B2">
        <w:rPr>
          <w:b/>
          <w:sz w:val="24"/>
          <w:szCs w:val="24"/>
          <w:lang w:val="en-US"/>
        </w:rPr>
        <w:t xml:space="preserve">we endorse </w:t>
      </w:r>
      <w:r w:rsidR="00CF539E" w:rsidRPr="00FA30B2">
        <w:rPr>
          <w:b/>
          <w:sz w:val="24"/>
          <w:szCs w:val="24"/>
          <w:lang w:val="en-US"/>
        </w:rPr>
        <w:t xml:space="preserve">each of </w:t>
      </w:r>
      <w:r w:rsidRPr="00FA30B2">
        <w:rPr>
          <w:b/>
          <w:sz w:val="24"/>
          <w:szCs w:val="24"/>
          <w:lang w:val="en-US"/>
        </w:rPr>
        <w:t xml:space="preserve">the 21 recommendations made by the Northern Land Council </w:t>
      </w:r>
      <w:r w:rsidR="00F15554">
        <w:rPr>
          <w:b/>
          <w:sz w:val="24"/>
          <w:szCs w:val="24"/>
          <w:lang w:val="en-US"/>
        </w:rPr>
        <w:t>(</w:t>
      </w:r>
      <w:r w:rsidR="00F15554" w:rsidRPr="00954A15">
        <w:rPr>
          <w:b/>
          <w:sz w:val="24"/>
          <w:szCs w:val="24"/>
          <w:lang w:val="en-US"/>
        </w:rPr>
        <w:t>NLC</w:t>
      </w:r>
      <w:r w:rsidR="00F15554">
        <w:rPr>
          <w:b/>
          <w:sz w:val="24"/>
          <w:szCs w:val="24"/>
          <w:lang w:val="en-US"/>
        </w:rPr>
        <w:t xml:space="preserve">) </w:t>
      </w:r>
      <w:r w:rsidRPr="00FA30B2">
        <w:rPr>
          <w:b/>
          <w:sz w:val="24"/>
          <w:szCs w:val="24"/>
          <w:lang w:val="en-US"/>
        </w:rPr>
        <w:t>in their submission to the National Water Reform Inquiry Draft Report</w:t>
      </w:r>
      <w:r w:rsidR="00E82A40">
        <w:rPr>
          <w:sz w:val="24"/>
          <w:szCs w:val="24"/>
          <w:lang w:val="en-US"/>
        </w:rPr>
        <w:t xml:space="preserve"> including</w:t>
      </w:r>
      <w:r w:rsidR="00EF56A0">
        <w:rPr>
          <w:sz w:val="24"/>
          <w:szCs w:val="24"/>
          <w:lang w:val="en-US"/>
        </w:rPr>
        <w:t xml:space="preserve"> </w:t>
      </w:r>
      <w:r w:rsidR="00CF539E">
        <w:rPr>
          <w:sz w:val="24"/>
          <w:szCs w:val="24"/>
          <w:lang w:val="en-US"/>
        </w:rPr>
        <w:t>their call for an assessment and recommendations regarding</w:t>
      </w:r>
      <w:r w:rsidR="00DF0549">
        <w:rPr>
          <w:sz w:val="24"/>
          <w:szCs w:val="24"/>
          <w:lang w:val="en-US"/>
        </w:rPr>
        <w:t xml:space="preserve"> the NT Government</w:t>
      </w:r>
      <w:r w:rsidR="00CF539E">
        <w:rPr>
          <w:sz w:val="24"/>
          <w:szCs w:val="24"/>
          <w:lang w:val="en-US"/>
        </w:rPr>
        <w:t>’s</w:t>
      </w:r>
      <w:r w:rsidR="00DF0549">
        <w:rPr>
          <w:sz w:val="24"/>
          <w:szCs w:val="24"/>
          <w:lang w:val="en-US"/>
        </w:rPr>
        <w:t xml:space="preserve"> </w:t>
      </w:r>
      <w:r w:rsidR="00CF539E">
        <w:rPr>
          <w:sz w:val="24"/>
          <w:szCs w:val="24"/>
          <w:lang w:val="en-US"/>
        </w:rPr>
        <w:t>failure</w:t>
      </w:r>
      <w:r w:rsidR="00DF0549">
        <w:rPr>
          <w:sz w:val="24"/>
          <w:szCs w:val="24"/>
          <w:lang w:val="en-US"/>
        </w:rPr>
        <w:t xml:space="preserve"> to make adequate progress against the 2004 NWI. </w:t>
      </w:r>
      <w:r w:rsidR="00982D5E">
        <w:rPr>
          <w:sz w:val="24"/>
          <w:szCs w:val="24"/>
          <w:lang w:val="en-US"/>
        </w:rPr>
        <w:t>We agree that t</w:t>
      </w:r>
      <w:r w:rsidR="00AA68A9">
        <w:rPr>
          <w:sz w:val="24"/>
          <w:szCs w:val="24"/>
          <w:lang w:val="en-US"/>
        </w:rPr>
        <w:t xml:space="preserve">hese shortcomings need to be identified and remedied as part of the process of renewing the NWI rather than being replaced by an entirely new </w:t>
      </w:r>
      <w:r w:rsidR="00F15554">
        <w:rPr>
          <w:sz w:val="24"/>
          <w:szCs w:val="24"/>
          <w:lang w:val="en-US"/>
        </w:rPr>
        <w:t xml:space="preserve">National Water </w:t>
      </w:r>
      <w:r w:rsidR="00AA68A9">
        <w:rPr>
          <w:sz w:val="24"/>
          <w:szCs w:val="24"/>
          <w:lang w:val="en-US"/>
        </w:rPr>
        <w:t xml:space="preserve">Initiative. In endorsing the NLC’s submission we are keen to draw the Productivity Commission’s attention to serious shortcomings </w:t>
      </w:r>
      <w:r w:rsidR="00CF539E">
        <w:rPr>
          <w:sz w:val="24"/>
          <w:szCs w:val="24"/>
          <w:lang w:val="en-US"/>
        </w:rPr>
        <w:t xml:space="preserve">in </w:t>
      </w:r>
      <w:r w:rsidR="00AA68A9">
        <w:rPr>
          <w:sz w:val="24"/>
          <w:szCs w:val="24"/>
          <w:lang w:val="en-US"/>
        </w:rPr>
        <w:t>the way water license decisions are made in the NT including but not limited to:</w:t>
      </w:r>
    </w:p>
    <w:p w14:paraId="1C4C8DC6" w14:textId="77777777" w:rsidR="00034E14" w:rsidRDefault="00034E14" w:rsidP="00AA68A9">
      <w:pPr>
        <w:pStyle w:val="ListParagraph"/>
        <w:numPr>
          <w:ilvl w:val="0"/>
          <w:numId w:val="15"/>
        </w:numPr>
        <w:spacing w:line="276" w:lineRule="auto"/>
        <w:rPr>
          <w:sz w:val="24"/>
          <w:szCs w:val="24"/>
          <w:lang w:val="en-US"/>
        </w:rPr>
      </w:pPr>
      <w:r w:rsidRPr="00AA68A9">
        <w:rPr>
          <w:sz w:val="24"/>
          <w:szCs w:val="24"/>
          <w:lang w:val="en-US"/>
        </w:rPr>
        <w:t xml:space="preserve">The poor coverage of Water Allocation Plans </w:t>
      </w:r>
      <w:r w:rsidR="00F15554">
        <w:rPr>
          <w:sz w:val="24"/>
          <w:szCs w:val="24"/>
          <w:lang w:val="en-US"/>
        </w:rPr>
        <w:t>(</w:t>
      </w:r>
      <w:r w:rsidR="00F15554">
        <w:rPr>
          <w:b/>
          <w:sz w:val="24"/>
          <w:szCs w:val="24"/>
          <w:lang w:val="en-US"/>
        </w:rPr>
        <w:t>WAP</w:t>
      </w:r>
      <w:r w:rsidR="00F15554">
        <w:rPr>
          <w:sz w:val="24"/>
          <w:szCs w:val="24"/>
          <w:lang w:val="en-US"/>
        </w:rPr>
        <w:t>)</w:t>
      </w:r>
      <w:r w:rsidR="00F15554">
        <w:rPr>
          <w:b/>
          <w:sz w:val="24"/>
          <w:szCs w:val="24"/>
          <w:lang w:val="en-US"/>
        </w:rPr>
        <w:t xml:space="preserve"> </w:t>
      </w:r>
      <w:r w:rsidRPr="00AA68A9">
        <w:rPr>
          <w:sz w:val="24"/>
          <w:szCs w:val="24"/>
          <w:lang w:val="en-US"/>
        </w:rPr>
        <w:t xml:space="preserve">for areas subject to water </w:t>
      </w:r>
      <w:r w:rsidR="00EF56A0" w:rsidRPr="00AA68A9">
        <w:rPr>
          <w:sz w:val="24"/>
          <w:szCs w:val="24"/>
          <w:lang w:val="en-US"/>
        </w:rPr>
        <w:t>license</w:t>
      </w:r>
      <w:r w:rsidRPr="00AA68A9">
        <w:rPr>
          <w:sz w:val="24"/>
          <w:szCs w:val="24"/>
          <w:lang w:val="en-US"/>
        </w:rPr>
        <w:t xml:space="preserve"> applications and decisions. In the NT just 28% of areas subject to water extraction </w:t>
      </w:r>
      <w:r w:rsidR="00EF56A0" w:rsidRPr="00AA68A9">
        <w:rPr>
          <w:sz w:val="24"/>
          <w:szCs w:val="24"/>
          <w:lang w:val="en-US"/>
        </w:rPr>
        <w:t>licenses</w:t>
      </w:r>
      <w:r w:rsidRPr="00AA68A9">
        <w:rPr>
          <w:sz w:val="24"/>
          <w:szCs w:val="24"/>
          <w:lang w:val="en-US"/>
        </w:rPr>
        <w:t xml:space="preserve"> are covered by a WAP. The NLC submission provides </w:t>
      </w:r>
      <w:proofErr w:type="gramStart"/>
      <w:r w:rsidRPr="00AA68A9">
        <w:rPr>
          <w:sz w:val="24"/>
          <w:szCs w:val="24"/>
          <w:lang w:val="en-US"/>
        </w:rPr>
        <w:t>a number of</w:t>
      </w:r>
      <w:proofErr w:type="gramEnd"/>
      <w:r w:rsidRPr="00AA68A9">
        <w:rPr>
          <w:sz w:val="24"/>
          <w:szCs w:val="24"/>
          <w:lang w:val="en-US"/>
        </w:rPr>
        <w:t xml:space="preserve"> specific examples of </w:t>
      </w:r>
      <w:r w:rsidR="00EF56A0" w:rsidRPr="00AA68A9">
        <w:rPr>
          <w:sz w:val="24"/>
          <w:szCs w:val="24"/>
          <w:lang w:val="en-US"/>
        </w:rPr>
        <w:t>licenses</w:t>
      </w:r>
      <w:r w:rsidRPr="00AA68A9">
        <w:rPr>
          <w:sz w:val="24"/>
          <w:szCs w:val="24"/>
          <w:lang w:val="en-US"/>
        </w:rPr>
        <w:t xml:space="preserve"> above 7,000 ML </w:t>
      </w:r>
      <w:r w:rsidR="00F15554">
        <w:rPr>
          <w:sz w:val="24"/>
          <w:szCs w:val="24"/>
          <w:lang w:val="en-US"/>
        </w:rPr>
        <w:t xml:space="preserve">per year being </w:t>
      </w:r>
      <w:r w:rsidRPr="00AA68A9">
        <w:rPr>
          <w:sz w:val="24"/>
          <w:szCs w:val="24"/>
          <w:lang w:val="en-US"/>
        </w:rPr>
        <w:t xml:space="preserve">issued </w:t>
      </w:r>
      <w:r w:rsidR="00F15554">
        <w:rPr>
          <w:sz w:val="24"/>
          <w:szCs w:val="24"/>
          <w:lang w:val="en-US"/>
        </w:rPr>
        <w:t>which are not subject to</w:t>
      </w:r>
      <w:r w:rsidRPr="00AA68A9">
        <w:rPr>
          <w:sz w:val="24"/>
          <w:szCs w:val="24"/>
          <w:lang w:val="en-US"/>
        </w:rPr>
        <w:t xml:space="preserve"> a WAP or issued prior to WAP</w:t>
      </w:r>
      <w:r w:rsidR="00CF539E">
        <w:rPr>
          <w:sz w:val="24"/>
          <w:szCs w:val="24"/>
          <w:lang w:val="en-US"/>
        </w:rPr>
        <w:t xml:space="preserve"> being declared where cultural and environmental considerations are poorly regulated.</w:t>
      </w:r>
    </w:p>
    <w:p w14:paraId="3FE7ABE3" w14:textId="77777777" w:rsidR="00982D5E" w:rsidRPr="00982D5E" w:rsidRDefault="00982D5E" w:rsidP="00982D5E">
      <w:pPr>
        <w:pStyle w:val="ListParagraph"/>
        <w:spacing w:line="276" w:lineRule="auto"/>
        <w:ind w:left="360"/>
        <w:rPr>
          <w:sz w:val="16"/>
          <w:szCs w:val="16"/>
          <w:lang w:val="en-US"/>
        </w:rPr>
      </w:pPr>
    </w:p>
    <w:p w14:paraId="35B9FDD4" w14:textId="77777777" w:rsidR="00982D5E" w:rsidRDefault="00AA68A9" w:rsidP="00982D5E">
      <w:pPr>
        <w:pStyle w:val="ListParagraph"/>
        <w:numPr>
          <w:ilvl w:val="0"/>
          <w:numId w:val="15"/>
        </w:numPr>
        <w:spacing w:after="240" w:line="276" w:lineRule="auto"/>
        <w:rPr>
          <w:sz w:val="24"/>
          <w:szCs w:val="24"/>
          <w:lang w:val="en-US"/>
        </w:rPr>
      </w:pPr>
      <w:r>
        <w:rPr>
          <w:sz w:val="24"/>
          <w:szCs w:val="24"/>
          <w:lang w:val="en-US"/>
        </w:rPr>
        <w:t xml:space="preserve">The lack of functioning </w:t>
      </w:r>
      <w:r w:rsidR="00BB57F3">
        <w:rPr>
          <w:sz w:val="24"/>
          <w:szCs w:val="24"/>
          <w:lang w:val="en-US"/>
        </w:rPr>
        <w:t xml:space="preserve">water </w:t>
      </w:r>
      <w:r>
        <w:rPr>
          <w:sz w:val="24"/>
          <w:szCs w:val="24"/>
          <w:lang w:val="en-US"/>
        </w:rPr>
        <w:t>planning committees</w:t>
      </w:r>
      <w:r w:rsidR="00BB57F3">
        <w:rPr>
          <w:sz w:val="24"/>
          <w:szCs w:val="24"/>
          <w:lang w:val="en-US"/>
        </w:rPr>
        <w:t xml:space="preserve"> (</w:t>
      </w:r>
      <w:r w:rsidR="00BB57F3">
        <w:rPr>
          <w:b/>
          <w:sz w:val="24"/>
          <w:szCs w:val="24"/>
          <w:lang w:val="en-US"/>
        </w:rPr>
        <w:t>Water Committees</w:t>
      </w:r>
      <w:r w:rsidR="00BB57F3">
        <w:rPr>
          <w:sz w:val="24"/>
          <w:szCs w:val="24"/>
          <w:lang w:val="en-US"/>
        </w:rPr>
        <w:t>)</w:t>
      </w:r>
      <w:r>
        <w:rPr>
          <w:sz w:val="24"/>
          <w:szCs w:val="24"/>
          <w:lang w:val="en-US"/>
        </w:rPr>
        <w:t xml:space="preserve">. </w:t>
      </w:r>
      <w:r w:rsidR="00B7568B">
        <w:rPr>
          <w:sz w:val="24"/>
          <w:szCs w:val="24"/>
          <w:lang w:val="en-US"/>
        </w:rPr>
        <w:t xml:space="preserve">Where Water </w:t>
      </w:r>
      <w:r w:rsidR="00BB57F3">
        <w:rPr>
          <w:sz w:val="24"/>
          <w:szCs w:val="24"/>
          <w:lang w:val="en-US"/>
        </w:rPr>
        <w:t xml:space="preserve">Control </w:t>
      </w:r>
      <w:r w:rsidR="00B7568B">
        <w:rPr>
          <w:sz w:val="24"/>
          <w:szCs w:val="24"/>
          <w:lang w:val="en-US"/>
        </w:rPr>
        <w:t>Districts have been established, it is critical that functioning and representative Water Committees are established and maintained. As the NLC submission indicates</w:t>
      </w:r>
      <w:r w:rsidR="00CF539E">
        <w:rPr>
          <w:sz w:val="24"/>
          <w:szCs w:val="24"/>
          <w:lang w:val="en-US"/>
        </w:rPr>
        <w:t>,</w:t>
      </w:r>
      <w:r w:rsidR="00B7568B">
        <w:rPr>
          <w:sz w:val="24"/>
          <w:szCs w:val="24"/>
          <w:lang w:val="en-US"/>
        </w:rPr>
        <w:t xml:space="preserve"> since 2017 the number of </w:t>
      </w:r>
      <w:r w:rsidR="00BB57F3">
        <w:rPr>
          <w:sz w:val="24"/>
          <w:szCs w:val="24"/>
          <w:lang w:val="en-US"/>
        </w:rPr>
        <w:t xml:space="preserve">Water Committees </w:t>
      </w:r>
      <w:r w:rsidR="00B7568B">
        <w:rPr>
          <w:sz w:val="24"/>
          <w:szCs w:val="24"/>
          <w:lang w:val="en-US"/>
        </w:rPr>
        <w:t xml:space="preserve">has dropped from seven to just one. Aboriginal representation on </w:t>
      </w:r>
      <w:r w:rsidR="00BB57F3">
        <w:rPr>
          <w:sz w:val="24"/>
          <w:szCs w:val="24"/>
          <w:lang w:val="en-US"/>
        </w:rPr>
        <w:t xml:space="preserve">Water Committees </w:t>
      </w:r>
      <w:r w:rsidR="00B7568B">
        <w:rPr>
          <w:sz w:val="24"/>
          <w:szCs w:val="24"/>
          <w:lang w:val="en-US"/>
        </w:rPr>
        <w:t>must be a requirement</w:t>
      </w:r>
      <w:r w:rsidR="00CE588D">
        <w:rPr>
          <w:sz w:val="24"/>
          <w:szCs w:val="24"/>
          <w:lang w:val="en-US"/>
        </w:rPr>
        <w:t xml:space="preserve"> with representation at least proportional to </w:t>
      </w:r>
      <w:r w:rsidR="00535B66">
        <w:rPr>
          <w:sz w:val="24"/>
          <w:szCs w:val="24"/>
          <w:lang w:val="en-US"/>
        </w:rPr>
        <w:t xml:space="preserve">Aboriginal </w:t>
      </w:r>
      <w:r w:rsidR="00CE588D">
        <w:rPr>
          <w:sz w:val="24"/>
          <w:szCs w:val="24"/>
          <w:lang w:val="en-US"/>
        </w:rPr>
        <w:t>land interests</w:t>
      </w:r>
      <w:r w:rsidR="00535B66">
        <w:rPr>
          <w:sz w:val="24"/>
          <w:szCs w:val="24"/>
          <w:lang w:val="en-US"/>
        </w:rPr>
        <w:t xml:space="preserve"> in the </w:t>
      </w:r>
      <w:r w:rsidR="00CF539E">
        <w:rPr>
          <w:sz w:val="24"/>
          <w:szCs w:val="24"/>
          <w:lang w:val="en-US"/>
        </w:rPr>
        <w:t xml:space="preserve">relevant </w:t>
      </w:r>
      <w:r w:rsidR="00535B66">
        <w:rPr>
          <w:sz w:val="24"/>
          <w:szCs w:val="24"/>
          <w:lang w:val="en-US"/>
        </w:rPr>
        <w:t>WAP area</w:t>
      </w:r>
      <w:r w:rsidR="00CE588D">
        <w:rPr>
          <w:sz w:val="24"/>
          <w:szCs w:val="24"/>
          <w:lang w:val="en-US"/>
        </w:rPr>
        <w:t>.</w:t>
      </w:r>
      <w:r w:rsidR="00B7568B">
        <w:rPr>
          <w:sz w:val="24"/>
          <w:szCs w:val="24"/>
          <w:lang w:val="en-US"/>
        </w:rPr>
        <w:t xml:space="preserve"> </w:t>
      </w:r>
      <w:r w:rsidR="00535B66">
        <w:rPr>
          <w:sz w:val="24"/>
          <w:szCs w:val="24"/>
          <w:lang w:val="en-US"/>
        </w:rPr>
        <w:t>R</w:t>
      </w:r>
      <w:r w:rsidR="00B7568B">
        <w:rPr>
          <w:sz w:val="24"/>
          <w:szCs w:val="24"/>
          <w:lang w:val="en-US"/>
        </w:rPr>
        <w:t xml:space="preserve">esourcing of accessible planning information and use of interpreters </w:t>
      </w:r>
      <w:r w:rsidR="00535B66">
        <w:rPr>
          <w:sz w:val="24"/>
          <w:szCs w:val="24"/>
          <w:lang w:val="en-US"/>
        </w:rPr>
        <w:t xml:space="preserve">must be </w:t>
      </w:r>
      <w:r w:rsidR="00B7568B">
        <w:rPr>
          <w:sz w:val="24"/>
          <w:szCs w:val="24"/>
          <w:lang w:val="en-US"/>
        </w:rPr>
        <w:t>factored into all processes</w:t>
      </w:r>
      <w:r w:rsidR="00535B66">
        <w:rPr>
          <w:sz w:val="24"/>
          <w:szCs w:val="24"/>
          <w:lang w:val="en-US"/>
        </w:rPr>
        <w:t xml:space="preserve"> and meaningfully applied</w:t>
      </w:r>
      <w:r w:rsidR="00B7568B">
        <w:rPr>
          <w:sz w:val="24"/>
          <w:szCs w:val="24"/>
          <w:lang w:val="en-US"/>
        </w:rPr>
        <w:t xml:space="preserve">. Rather than disbanding committees once a WAP is </w:t>
      </w:r>
      <w:proofErr w:type="spellStart"/>
      <w:r w:rsidR="00CF539E">
        <w:rPr>
          <w:sz w:val="24"/>
          <w:szCs w:val="24"/>
          <w:lang w:val="en-US"/>
        </w:rPr>
        <w:t>finalis</w:t>
      </w:r>
      <w:r w:rsidR="00B7568B">
        <w:rPr>
          <w:sz w:val="24"/>
          <w:szCs w:val="24"/>
          <w:lang w:val="en-US"/>
        </w:rPr>
        <w:t>ed</w:t>
      </w:r>
      <w:proofErr w:type="spellEnd"/>
      <w:r w:rsidR="00B7568B">
        <w:rPr>
          <w:sz w:val="24"/>
          <w:szCs w:val="24"/>
          <w:lang w:val="en-US"/>
        </w:rPr>
        <w:t xml:space="preserve"> they should be maintained and consulted as management plans are implemented and </w:t>
      </w:r>
      <w:proofErr w:type="gramStart"/>
      <w:r w:rsidR="00535B66">
        <w:rPr>
          <w:sz w:val="24"/>
          <w:szCs w:val="24"/>
          <w:lang w:val="en-US"/>
        </w:rPr>
        <w:t>5 year</w:t>
      </w:r>
      <w:proofErr w:type="gramEnd"/>
      <w:r w:rsidR="00535B66">
        <w:rPr>
          <w:sz w:val="24"/>
          <w:szCs w:val="24"/>
          <w:lang w:val="en-US"/>
        </w:rPr>
        <w:t xml:space="preserve"> </w:t>
      </w:r>
      <w:r w:rsidR="00B7568B">
        <w:rPr>
          <w:sz w:val="24"/>
          <w:szCs w:val="24"/>
          <w:lang w:val="en-US"/>
        </w:rPr>
        <w:t>reviews of WAPs conducted.</w:t>
      </w:r>
    </w:p>
    <w:p w14:paraId="3B4B8A1A" w14:textId="77777777" w:rsidR="00982D5E" w:rsidRPr="00982D5E" w:rsidRDefault="00982D5E" w:rsidP="00982D5E">
      <w:pPr>
        <w:pStyle w:val="ListParagraph"/>
        <w:spacing w:after="240" w:line="276" w:lineRule="auto"/>
        <w:ind w:left="360"/>
        <w:rPr>
          <w:sz w:val="16"/>
          <w:szCs w:val="16"/>
          <w:lang w:val="en-US"/>
        </w:rPr>
      </w:pPr>
    </w:p>
    <w:p w14:paraId="5BFDEA59" w14:textId="77777777" w:rsidR="00B7568B" w:rsidRDefault="00DF0549" w:rsidP="00982D5E">
      <w:pPr>
        <w:pStyle w:val="ListParagraph"/>
        <w:numPr>
          <w:ilvl w:val="0"/>
          <w:numId w:val="14"/>
        </w:numPr>
        <w:spacing w:before="240" w:line="276" w:lineRule="auto"/>
        <w:rPr>
          <w:sz w:val="24"/>
          <w:szCs w:val="24"/>
          <w:lang w:val="en-US"/>
        </w:rPr>
      </w:pPr>
      <w:r w:rsidRPr="00B7568B">
        <w:rPr>
          <w:sz w:val="24"/>
          <w:szCs w:val="24"/>
          <w:lang w:val="en-US"/>
        </w:rPr>
        <w:t xml:space="preserve">The potential impact of water license decisions outside </w:t>
      </w:r>
      <w:r w:rsidR="00BB57F3">
        <w:rPr>
          <w:sz w:val="24"/>
          <w:szCs w:val="24"/>
          <w:lang w:val="en-US"/>
        </w:rPr>
        <w:t xml:space="preserve">WAP </w:t>
      </w:r>
      <w:r w:rsidR="00CF539E">
        <w:rPr>
          <w:sz w:val="24"/>
          <w:szCs w:val="24"/>
          <w:lang w:val="en-US"/>
        </w:rPr>
        <w:t xml:space="preserve">whereby </w:t>
      </w:r>
      <w:r w:rsidRPr="00B7568B">
        <w:rPr>
          <w:sz w:val="24"/>
          <w:szCs w:val="24"/>
          <w:lang w:val="en-US"/>
        </w:rPr>
        <w:t xml:space="preserve">Traditional Owners </w:t>
      </w:r>
      <w:r w:rsidR="00BB57F3">
        <w:rPr>
          <w:sz w:val="24"/>
          <w:szCs w:val="24"/>
          <w:lang w:val="en-US"/>
        </w:rPr>
        <w:t xml:space="preserve">and Native Title Holders </w:t>
      </w:r>
      <w:r w:rsidR="00CF539E">
        <w:rPr>
          <w:sz w:val="24"/>
          <w:szCs w:val="24"/>
          <w:lang w:val="en-US"/>
        </w:rPr>
        <w:t xml:space="preserve">are excluded </w:t>
      </w:r>
      <w:r w:rsidRPr="00B7568B">
        <w:rPr>
          <w:sz w:val="24"/>
          <w:szCs w:val="24"/>
          <w:lang w:val="en-US"/>
        </w:rPr>
        <w:t xml:space="preserve">from involvement in planning and </w:t>
      </w:r>
      <w:r w:rsidRPr="00B7568B">
        <w:rPr>
          <w:sz w:val="24"/>
          <w:szCs w:val="24"/>
          <w:lang w:val="en-US"/>
        </w:rPr>
        <w:lastRenderedPageBreak/>
        <w:t>decision making about water licenses with potential for deleterious impacts on environmental and cultural values</w:t>
      </w:r>
      <w:r w:rsidR="00CF539E">
        <w:rPr>
          <w:sz w:val="24"/>
          <w:szCs w:val="24"/>
          <w:lang w:val="en-US"/>
        </w:rPr>
        <w:t>. Without a W</w:t>
      </w:r>
      <w:r w:rsidR="00BB57F3">
        <w:rPr>
          <w:sz w:val="24"/>
          <w:szCs w:val="24"/>
          <w:lang w:val="en-US"/>
        </w:rPr>
        <w:t>A</w:t>
      </w:r>
      <w:r w:rsidR="00CF539E">
        <w:rPr>
          <w:sz w:val="24"/>
          <w:szCs w:val="24"/>
          <w:lang w:val="en-US"/>
        </w:rPr>
        <w:t>P in place</w:t>
      </w:r>
      <w:r w:rsidRPr="00B7568B">
        <w:rPr>
          <w:sz w:val="24"/>
          <w:szCs w:val="24"/>
          <w:lang w:val="en-US"/>
        </w:rPr>
        <w:t xml:space="preserve"> </w:t>
      </w:r>
      <w:r w:rsidR="00CF539E">
        <w:rPr>
          <w:sz w:val="24"/>
          <w:szCs w:val="24"/>
          <w:lang w:val="en-US"/>
        </w:rPr>
        <w:t>there is also no</w:t>
      </w:r>
      <w:r w:rsidRPr="00B7568B">
        <w:rPr>
          <w:sz w:val="24"/>
          <w:szCs w:val="24"/>
          <w:lang w:val="en-US"/>
        </w:rPr>
        <w:t xml:space="preserve"> access to potential allocations for </w:t>
      </w:r>
      <w:r w:rsidR="00B7568B" w:rsidRPr="00B7568B">
        <w:rPr>
          <w:sz w:val="24"/>
          <w:szCs w:val="24"/>
          <w:lang w:val="en-US"/>
        </w:rPr>
        <w:t xml:space="preserve">future economic development through </w:t>
      </w:r>
      <w:r w:rsidR="00CF539E">
        <w:rPr>
          <w:sz w:val="24"/>
          <w:szCs w:val="24"/>
          <w:lang w:val="en-US"/>
        </w:rPr>
        <w:t xml:space="preserve">the establishment of </w:t>
      </w:r>
      <w:r w:rsidR="00B7568B" w:rsidRPr="00B7568B">
        <w:rPr>
          <w:sz w:val="24"/>
          <w:szCs w:val="24"/>
          <w:lang w:val="en-US"/>
        </w:rPr>
        <w:t xml:space="preserve">Strategic Aboriginal Water Reserves. </w:t>
      </w:r>
    </w:p>
    <w:p w14:paraId="37144F8B" w14:textId="77777777" w:rsidR="00982D5E" w:rsidRPr="00982D5E" w:rsidRDefault="00982D5E" w:rsidP="00982D5E">
      <w:pPr>
        <w:pStyle w:val="ListParagraph"/>
        <w:spacing w:before="240" w:line="276" w:lineRule="auto"/>
        <w:ind w:left="360"/>
        <w:rPr>
          <w:sz w:val="16"/>
          <w:szCs w:val="16"/>
          <w:lang w:val="en-US"/>
        </w:rPr>
      </w:pPr>
    </w:p>
    <w:p w14:paraId="213C60F6" w14:textId="77777777" w:rsidR="00982D5E" w:rsidRPr="00982D5E" w:rsidRDefault="00DF0549" w:rsidP="00982D5E">
      <w:pPr>
        <w:pStyle w:val="ListParagraph"/>
        <w:numPr>
          <w:ilvl w:val="0"/>
          <w:numId w:val="14"/>
        </w:numPr>
        <w:spacing w:line="276" w:lineRule="auto"/>
        <w:rPr>
          <w:sz w:val="16"/>
          <w:szCs w:val="16"/>
          <w:lang w:val="en-US"/>
        </w:rPr>
      </w:pPr>
      <w:r w:rsidRPr="00982D5E">
        <w:rPr>
          <w:sz w:val="24"/>
          <w:szCs w:val="24"/>
          <w:lang w:val="en-US"/>
        </w:rPr>
        <w:t>In the case of the Western Davenport Water District, the creation of</w:t>
      </w:r>
      <w:r w:rsidR="00034E14" w:rsidRPr="00982D5E">
        <w:rPr>
          <w:sz w:val="24"/>
          <w:szCs w:val="24"/>
          <w:lang w:val="en-US"/>
        </w:rPr>
        <w:t xml:space="preserve"> guideline </w:t>
      </w:r>
      <w:r w:rsidR="00BB57F3">
        <w:rPr>
          <w:sz w:val="24"/>
          <w:szCs w:val="24"/>
          <w:lang w:val="en-US"/>
        </w:rPr>
        <w:t>b</w:t>
      </w:r>
      <w:r w:rsidR="00BB57F3" w:rsidRPr="00982D5E">
        <w:rPr>
          <w:sz w:val="24"/>
          <w:szCs w:val="24"/>
          <w:lang w:val="en-US"/>
        </w:rPr>
        <w:t xml:space="preserve">y </w:t>
      </w:r>
      <w:r w:rsidRPr="00982D5E">
        <w:rPr>
          <w:sz w:val="24"/>
          <w:szCs w:val="24"/>
          <w:lang w:val="en-US"/>
        </w:rPr>
        <w:t xml:space="preserve">the </w:t>
      </w:r>
      <w:r w:rsidR="00BB57F3">
        <w:rPr>
          <w:sz w:val="24"/>
          <w:szCs w:val="24"/>
          <w:lang w:val="en-US"/>
        </w:rPr>
        <w:t xml:space="preserve">Chief Executive Officer of the NT Department of Environment, Parks and Water Security, who is also </w:t>
      </w:r>
      <w:r w:rsidRPr="00982D5E">
        <w:rPr>
          <w:sz w:val="24"/>
          <w:szCs w:val="24"/>
          <w:lang w:val="en-US"/>
        </w:rPr>
        <w:t xml:space="preserve">Water Controller </w:t>
      </w:r>
      <w:r w:rsidR="00034E14" w:rsidRPr="00982D5E">
        <w:rPr>
          <w:sz w:val="24"/>
          <w:szCs w:val="24"/>
          <w:lang w:val="en-US"/>
        </w:rPr>
        <w:t xml:space="preserve">that </w:t>
      </w:r>
      <w:r w:rsidR="00BB57F3">
        <w:rPr>
          <w:sz w:val="24"/>
          <w:szCs w:val="24"/>
          <w:lang w:val="en-US"/>
        </w:rPr>
        <w:t>is inconsistent with</w:t>
      </w:r>
      <w:r w:rsidR="00BB57F3" w:rsidRPr="00982D5E">
        <w:rPr>
          <w:sz w:val="24"/>
          <w:szCs w:val="24"/>
          <w:lang w:val="en-US"/>
        </w:rPr>
        <w:t xml:space="preserve"> </w:t>
      </w:r>
      <w:r w:rsidRPr="00982D5E">
        <w:rPr>
          <w:sz w:val="24"/>
          <w:szCs w:val="24"/>
          <w:lang w:val="en-US"/>
        </w:rPr>
        <w:t xml:space="preserve">the Western Davenport </w:t>
      </w:r>
      <w:r w:rsidR="00034E14" w:rsidRPr="00982D5E">
        <w:rPr>
          <w:sz w:val="24"/>
          <w:szCs w:val="24"/>
          <w:lang w:val="en-US"/>
        </w:rPr>
        <w:t xml:space="preserve">WAP. Under </w:t>
      </w:r>
      <w:r w:rsidR="00BB57F3">
        <w:rPr>
          <w:sz w:val="24"/>
          <w:szCs w:val="24"/>
          <w:lang w:val="en-US"/>
        </w:rPr>
        <w:t xml:space="preserve">section </w:t>
      </w:r>
      <w:r w:rsidR="00BB57F3" w:rsidRPr="00982D5E">
        <w:rPr>
          <w:sz w:val="24"/>
          <w:szCs w:val="24"/>
          <w:lang w:val="en-US"/>
        </w:rPr>
        <w:t xml:space="preserve">90 </w:t>
      </w:r>
      <w:r w:rsidRPr="00982D5E">
        <w:rPr>
          <w:sz w:val="24"/>
          <w:szCs w:val="24"/>
          <w:lang w:val="en-US"/>
        </w:rPr>
        <w:t xml:space="preserve">of the </w:t>
      </w:r>
      <w:r w:rsidR="00034E14" w:rsidRPr="00982D5E">
        <w:rPr>
          <w:sz w:val="24"/>
          <w:szCs w:val="24"/>
          <w:lang w:val="en-US"/>
        </w:rPr>
        <w:t>NT Water Act</w:t>
      </w:r>
      <w:r w:rsidR="00BB57F3">
        <w:rPr>
          <w:sz w:val="24"/>
          <w:szCs w:val="24"/>
          <w:lang w:val="en-US"/>
        </w:rPr>
        <w:t>,</w:t>
      </w:r>
      <w:r w:rsidR="00034E14" w:rsidRPr="00982D5E">
        <w:rPr>
          <w:sz w:val="24"/>
          <w:szCs w:val="24"/>
          <w:lang w:val="en-US"/>
        </w:rPr>
        <w:t xml:space="preserve"> </w:t>
      </w:r>
      <w:r w:rsidRPr="00982D5E">
        <w:rPr>
          <w:sz w:val="24"/>
          <w:szCs w:val="24"/>
          <w:lang w:val="en-US"/>
        </w:rPr>
        <w:t>the</w:t>
      </w:r>
      <w:r w:rsidR="00034E14" w:rsidRPr="00982D5E">
        <w:rPr>
          <w:sz w:val="24"/>
          <w:szCs w:val="24"/>
          <w:lang w:val="en-US"/>
        </w:rPr>
        <w:t xml:space="preserve"> Water Controller </w:t>
      </w:r>
      <w:r w:rsidRPr="00982D5E">
        <w:rPr>
          <w:sz w:val="24"/>
          <w:szCs w:val="24"/>
          <w:lang w:val="en-US"/>
        </w:rPr>
        <w:t>is required</w:t>
      </w:r>
      <w:r w:rsidR="00034E14" w:rsidRPr="00982D5E">
        <w:rPr>
          <w:sz w:val="24"/>
          <w:szCs w:val="24"/>
          <w:lang w:val="en-US"/>
        </w:rPr>
        <w:t xml:space="preserve"> </w:t>
      </w:r>
      <w:r w:rsidRPr="00982D5E">
        <w:rPr>
          <w:sz w:val="24"/>
          <w:szCs w:val="24"/>
          <w:lang w:val="en-US"/>
        </w:rPr>
        <w:t xml:space="preserve">to </w:t>
      </w:r>
      <w:r w:rsidR="00034E14" w:rsidRPr="00982D5E">
        <w:rPr>
          <w:sz w:val="24"/>
          <w:szCs w:val="24"/>
          <w:lang w:val="en-US"/>
        </w:rPr>
        <w:t xml:space="preserve">make </w:t>
      </w:r>
      <w:r w:rsidR="00EF56A0" w:rsidRPr="00982D5E">
        <w:rPr>
          <w:sz w:val="24"/>
          <w:szCs w:val="24"/>
          <w:lang w:val="en-US"/>
        </w:rPr>
        <w:t>water</w:t>
      </w:r>
      <w:r w:rsidR="00034E14" w:rsidRPr="00982D5E">
        <w:rPr>
          <w:sz w:val="24"/>
          <w:szCs w:val="24"/>
          <w:lang w:val="en-US"/>
        </w:rPr>
        <w:t xml:space="preserve"> </w:t>
      </w:r>
      <w:r w:rsidR="00EF56A0" w:rsidRPr="00982D5E">
        <w:rPr>
          <w:sz w:val="24"/>
          <w:szCs w:val="24"/>
          <w:lang w:val="en-US"/>
        </w:rPr>
        <w:t>license</w:t>
      </w:r>
      <w:r w:rsidR="00034E14" w:rsidRPr="00982D5E">
        <w:rPr>
          <w:sz w:val="24"/>
          <w:szCs w:val="24"/>
          <w:lang w:val="en-US"/>
        </w:rPr>
        <w:t xml:space="preserve"> </w:t>
      </w:r>
      <w:r w:rsidR="00EF56A0" w:rsidRPr="00982D5E">
        <w:rPr>
          <w:sz w:val="24"/>
          <w:szCs w:val="24"/>
          <w:lang w:val="en-US"/>
        </w:rPr>
        <w:t>d</w:t>
      </w:r>
      <w:r w:rsidR="00034E14" w:rsidRPr="00982D5E">
        <w:rPr>
          <w:sz w:val="24"/>
          <w:szCs w:val="24"/>
          <w:lang w:val="en-US"/>
        </w:rPr>
        <w:t>ec</w:t>
      </w:r>
      <w:r w:rsidR="00EF56A0" w:rsidRPr="00982D5E">
        <w:rPr>
          <w:sz w:val="24"/>
          <w:szCs w:val="24"/>
          <w:lang w:val="en-US"/>
        </w:rPr>
        <w:t>isi</w:t>
      </w:r>
      <w:r w:rsidR="00034E14" w:rsidRPr="00982D5E">
        <w:rPr>
          <w:sz w:val="24"/>
          <w:szCs w:val="24"/>
          <w:lang w:val="en-US"/>
        </w:rPr>
        <w:t xml:space="preserve">ons </w:t>
      </w:r>
      <w:r w:rsidR="00BB57F3">
        <w:rPr>
          <w:sz w:val="24"/>
          <w:szCs w:val="24"/>
          <w:lang w:val="en-US"/>
        </w:rPr>
        <w:t xml:space="preserve">which </w:t>
      </w:r>
      <w:proofErr w:type="gramStart"/>
      <w:r w:rsidR="00BB57F3">
        <w:rPr>
          <w:sz w:val="24"/>
          <w:szCs w:val="24"/>
          <w:lang w:val="en-US"/>
        </w:rPr>
        <w:t>take into account</w:t>
      </w:r>
      <w:proofErr w:type="gramEnd"/>
      <w:r w:rsidR="00034E14" w:rsidRPr="00982D5E">
        <w:rPr>
          <w:sz w:val="24"/>
          <w:szCs w:val="24"/>
          <w:lang w:val="en-US"/>
        </w:rPr>
        <w:t xml:space="preserve"> that district’s WAP</w:t>
      </w:r>
      <w:r w:rsidR="003B29DF" w:rsidRPr="00982D5E">
        <w:rPr>
          <w:sz w:val="24"/>
          <w:szCs w:val="24"/>
          <w:lang w:val="en-US"/>
        </w:rPr>
        <w:t xml:space="preserve">. </w:t>
      </w:r>
      <w:r w:rsidR="00BB57F3">
        <w:rPr>
          <w:sz w:val="24"/>
          <w:szCs w:val="24"/>
          <w:lang w:val="en-US"/>
        </w:rPr>
        <w:t xml:space="preserve">Section </w:t>
      </w:r>
      <w:r w:rsidR="00000128">
        <w:rPr>
          <w:sz w:val="24"/>
          <w:szCs w:val="24"/>
          <w:lang w:val="en-US"/>
        </w:rPr>
        <w:t>22</w:t>
      </w:r>
      <w:proofErr w:type="gramStart"/>
      <w:r w:rsidR="00000128">
        <w:rPr>
          <w:sz w:val="24"/>
          <w:szCs w:val="24"/>
          <w:lang w:val="en-US"/>
        </w:rPr>
        <w:t>B(</w:t>
      </w:r>
      <w:proofErr w:type="gramEnd"/>
      <w:r w:rsidR="00000128">
        <w:rPr>
          <w:sz w:val="24"/>
          <w:szCs w:val="24"/>
          <w:lang w:val="en-US"/>
        </w:rPr>
        <w:t xml:space="preserve">4) of the NT Water Act also specifies that water resource management in a water control district is to be in accordance with the WAP declared in respect to that district. </w:t>
      </w:r>
      <w:r w:rsidR="003B29DF" w:rsidRPr="00982D5E">
        <w:rPr>
          <w:sz w:val="24"/>
          <w:szCs w:val="24"/>
          <w:lang w:val="en-US"/>
        </w:rPr>
        <w:t xml:space="preserve">The Singleton Water License Case Study below details a situation where the requirement to </w:t>
      </w:r>
      <w:r w:rsidR="00000128">
        <w:rPr>
          <w:sz w:val="24"/>
          <w:szCs w:val="24"/>
          <w:lang w:val="en-US"/>
        </w:rPr>
        <w:t>manage water resources in accordance</w:t>
      </w:r>
      <w:r w:rsidR="003B29DF" w:rsidRPr="00982D5E">
        <w:rPr>
          <w:sz w:val="24"/>
          <w:szCs w:val="24"/>
          <w:lang w:val="en-US"/>
        </w:rPr>
        <w:t xml:space="preserve"> with the Western </w:t>
      </w:r>
      <w:r w:rsidR="00000128">
        <w:rPr>
          <w:sz w:val="24"/>
          <w:szCs w:val="24"/>
          <w:lang w:val="en-US"/>
        </w:rPr>
        <w:t>D</w:t>
      </w:r>
      <w:r w:rsidR="00000128" w:rsidRPr="00982D5E">
        <w:rPr>
          <w:sz w:val="24"/>
          <w:szCs w:val="24"/>
          <w:lang w:val="en-US"/>
        </w:rPr>
        <w:t xml:space="preserve">avenport </w:t>
      </w:r>
      <w:r w:rsidR="003B29DF" w:rsidRPr="00982D5E">
        <w:rPr>
          <w:sz w:val="24"/>
          <w:szCs w:val="24"/>
          <w:lang w:val="en-US"/>
        </w:rPr>
        <w:t xml:space="preserve">WAP is circumvented by the Water Controller’s creation of guidelines allowing for a deeper draw down on the aquifer (from 15m to 50 m) and up to 30% destruction of </w:t>
      </w:r>
      <w:r w:rsidR="00000128">
        <w:rPr>
          <w:sz w:val="24"/>
          <w:szCs w:val="24"/>
          <w:lang w:val="en-US"/>
        </w:rPr>
        <w:t>Groundwater Dependent Ecosystems (</w:t>
      </w:r>
      <w:r w:rsidR="00000128">
        <w:rPr>
          <w:b/>
          <w:sz w:val="24"/>
          <w:szCs w:val="24"/>
          <w:lang w:val="en-US"/>
        </w:rPr>
        <w:t>GDEs</w:t>
      </w:r>
      <w:r w:rsidR="00000128">
        <w:rPr>
          <w:sz w:val="24"/>
          <w:szCs w:val="24"/>
          <w:lang w:val="en-US"/>
        </w:rPr>
        <w:t>)</w:t>
      </w:r>
      <w:r w:rsidR="003B29DF" w:rsidRPr="00982D5E">
        <w:rPr>
          <w:sz w:val="24"/>
          <w:szCs w:val="24"/>
          <w:lang w:val="en-US"/>
        </w:rPr>
        <w:t xml:space="preserve">. </w:t>
      </w:r>
      <w:r w:rsidR="00034E14" w:rsidRPr="00982D5E">
        <w:rPr>
          <w:sz w:val="24"/>
          <w:szCs w:val="24"/>
          <w:lang w:val="en-US"/>
        </w:rPr>
        <w:t xml:space="preserve">(See Singleton </w:t>
      </w:r>
      <w:r w:rsidR="00EF56A0" w:rsidRPr="00982D5E">
        <w:rPr>
          <w:sz w:val="24"/>
          <w:szCs w:val="24"/>
          <w:lang w:val="en-US"/>
        </w:rPr>
        <w:t>Water</w:t>
      </w:r>
      <w:r w:rsidR="00982D5E" w:rsidRPr="00982D5E">
        <w:rPr>
          <w:sz w:val="24"/>
          <w:szCs w:val="24"/>
          <w:lang w:val="en-US"/>
        </w:rPr>
        <w:t xml:space="preserve"> License C</w:t>
      </w:r>
      <w:r w:rsidR="00034E14" w:rsidRPr="00982D5E">
        <w:rPr>
          <w:sz w:val="24"/>
          <w:szCs w:val="24"/>
          <w:lang w:val="en-US"/>
        </w:rPr>
        <w:t>ase Study below</w:t>
      </w:r>
      <w:r w:rsidR="00982D5E" w:rsidRPr="00982D5E">
        <w:rPr>
          <w:sz w:val="24"/>
          <w:szCs w:val="24"/>
          <w:lang w:val="en-US"/>
        </w:rPr>
        <w:t>)</w:t>
      </w:r>
      <w:r w:rsidR="00982D5E">
        <w:rPr>
          <w:sz w:val="24"/>
          <w:szCs w:val="24"/>
          <w:lang w:val="en-US"/>
        </w:rPr>
        <w:t>.</w:t>
      </w:r>
    </w:p>
    <w:p w14:paraId="24609290" w14:textId="77777777" w:rsidR="00982D5E" w:rsidRPr="00982D5E" w:rsidRDefault="00982D5E" w:rsidP="00982D5E">
      <w:pPr>
        <w:pStyle w:val="ListParagraph"/>
        <w:spacing w:line="276" w:lineRule="auto"/>
        <w:ind w:left="360"/>
        <w:rPr>
          <w:sz w:val="16"/>
          <w:szCs w:val="16"/>
          <w:lang w:val="en-US"/>
        </w:rPr>
      </w:pPr>
    </w:p>
    <w:p w14:paraId="27E365F2" w14:textId="77777777" w:rsidR="00982D5E" w:rsidRDefault="00B7568B" w:rsidP="00982D5E">
      <w:pPr>
        <w:pStyle w:val="ListParagraph"/>
        <w:numPr>
          <w:ilvl w:val="0"/>
          <w:numId w:val="14"/>
        </w:numPr>
        <w:spacing w:line="276" w:lineRule="auto"/>
        <w:rPr>
          <w:sz w:val="24"/>
          <w:szCs w:val="24"/>
          <w:lang w:val="en-US"/>
        </w:rPr>
      </w:pPr>
      <w:r>
        <w:rPr>
          <w:sz w:val="24"/>
          <w:szCs w:val="24"/>
          <w:lang w:val="en-US"/>
        </w:rPr>
        <w:t>Where water comp</w:t>
      </w:r>
      <w:r w:rsidR="00AA68A9">
        <w:rPr>
          <w:sz w:val="24"/>
          <w:szCs w:val="24"/>
          <w:lang w:val="en-US"/>
        </w:rPr>
        <w:t>etitio</w:t>
      </w:r>
      <w:r>
        <w:rPr>
          <w:sz w:val="24"/>
          <w:szCs w:val="24"/>
          <w:lang w:val="en-US"/>
        </w:rPr>
        <w:t xml:space="preserve">n is under the threshold for establishment of a Water </w:t>
      </w:r>
      <w:r w:rsidR="00000128">
        <w:rPr>
          <w:sz w:val="24"/>
          <w:szCs w:val="24"/>
          <w:lang w:val="en-US"/>
        </w:rPr>
        <w:t xml:space="preserve">Control </w:t>
      </w:r>
      <w:r>
        <w:rPr>
          <w:sz w:val="24"/>
          <w:szCs w:val="24"/>
          <w:lang w:val="en-US"/>
        </w:rPr>
        <w:t xml:space="preserve">District and </w:t>
      </w:r>
      <w:r w:rsidR="00000128">
        <w:rPr>
          <w:sz w:val="24"/>
          <w:szCs w:val="24"/>
          <w:lang w:val="en-US"/>
        </w:rPr>
        <w:t>WAP</w:t>
      </w:r>
      <w:r>
        <w:rPr>
          <w:sz w:val="24"/>
          <w:szCs w:val="24"/>
          <w:lang w:val="en-US"/>
        </w:rPr>
        <w:t xml:space="preserve">, we support the NLC’s call for the application of best available science and consultation with Traditional Owners </w:t>
      </w:r>
      <w:r w:rsidR="00000128">
        <w:rPr>
          <w:sz w:val="24"/>
          <w:szCs w:val="24"/>
          <w:lang w:val="en-US"/>
        </w:rPr>
        <w:t xml:space="preserve">and Native Title Holders </w:t>
      </w:r>
      <w:r>
        <w:rPr>
          <w:sz w:val="24"/>
          <w:szCs w:val="24"/>
          <w:lang w:val="en-US"/>
        </w:rPr>
        <w:t>over protection of cultural values with application of a precautionary approach to all water license decisions.</w:t>
      </w:r>
    </w:p>
    <w:p w14:paraId="59CAC144" w14:textId="77777777" w:rsidR="00982D5E" w:rsidRPr="00982D5E" w:rsidRDefault="00982D5E" w:rsidP="00954A15">
      <w:pPr>
        <w:pStyle w:val="ListParagraph"/>
        <w:spacing w:line="276" w:lineRule="auto"/>
        <w:ind w:left="360"/>
        <w:rPr>
          <w:sz w:val="16"/>
          <w:szCs w:val="16"/>
          <w:lang w:val="en-US"/>
        </w:rPr>
      </w:pPr>
    </w:p>
    <w:p w14:paraId="52652B10" w14:textId="77777777" w:rsidR="00EF56A0" w:rsidRDefault="00AA68A9" w:rsidP="00AA68A9">
      <w:pPr>
        <w:pStyle w:val="ListParagraph"/>
        <w:numPr>
          <w:ilvl w:val="0"/>
          <w:numId w:val="14"/>
        </w:numPr>
        <w:spacing w:line="276" w:lineRule="auto"/>
        <w:rPr>
          <w:sz w:val="24"/>
          <w:szCs w:val="24"/>
          <w:lang w:val="en-US"/>
        </w:rPr>
      </w:pPr>
      <w:r>
        <w:rPr>
          <w:sz w:val="24"/>
          <w:szCs w:val="24"/>
          <w:lang w:val="en-US"/>
        </w:rPr>
        <w:t xml:space="preserve">Recognition </w:t>
      </w:r>
      <w:r w:rsidR="00000128">
        <w:rPr>
          <w:sz w:val="24"/>
          <w:szCs w:val="24"/>
          <w:lang w:val="en-US"/>
        </w:rPr>
        <w:t xml:space="preserve">by the NT Government </w:t>
      </w:r>
      <w:r>
        <w:rPr>
          <w:sz w:val="24"/>
          <w:szCs w:val="24"/>
          <w:lang w:val="en-US"/>
        </w:rPr>
        <w:t xml:space="preserve">that water license </w:t>
      </w:r>
      <w:r w:rsidR="00000128">
        <w:rPr>
          <w:sz w:val="24"/>
          <w:szCs w:val="24"/>
          <w:lang w:val="en-US"/>
        </w:rPr>
        <w:t xml:space="preserve">applications </w:t>
      </w:r>
      <w:r>
        <w:rPr>
          <w:sz w:val="24"/>
          <w:szCs w:val="24"/>
          <w:lang w:val="en-US"/>
        </w:rPr>
        <w:t xml:space="preserve">constitute ‘Future Acts’ </w:t>
      </w:r>
      <w:r w:rsidR="00000128">
        <w:rPr>
          <w:sz w:val="24"/>
          <w:szCs w:val="24"/>
          <w:lang w:val="en-US"/>
        </w:rPr>
        <w:t xml:space="preserve">which require the NT Government to comply with the procedures </w:t>
      </w:r>
      <w:r>
        <w:rPr>
          <w:sz w:val="24"/>
          <w:szCs w:val="24"/>
          <w:lang w:val="en-US"/>
        </w:rPr>
        <w:t xml:space="preserve">under </w:t>
      </w:r>
      <w:r w:rsidRPr="00535B66">
        <w:rPr>
          <w:sz w:val="24"/>
          <w:szCs w:val="24"/>
          <w:lang w:val="en-US"/>
        </w:rPr>
        <w:t>S24HA of the NTA</w:t>
      </w:r>
      <w:r w:rsidR="00CE588D" w:rsidRPr="00535B66">
        <w:rPr>
          <w:sz w:val="24"/>
          <w:szCs w:val="24"/>
          <w:lang w:val="en-US"/>
        </w:rPr>
        <w:t>. We support the NLC</w:t>
      </w:r>
      <w:r w:rsidR="00000128">
        <w:rPr>
          <w:sz w:val="24"/>
          <w:szCs w:val="24"/>
          <w:lang w:val="en-US"/>
        </w:rPr>
        <w:t>’s position</w:t>
      </w:r>
      <w:r w:rsidR="00CE588D" w:rsidRPr="00535B66">
        <w:rPr>
          <w:sz w:val="24"/>
          <w:szCs w:val="24"/>
          <w:lang w:val="en-US"/>
        </w:rPr>
        <w:t xml:space="preserve"> in their submission regarding </w:t>
      </w:r>
      <w:r w:rsidR="00000128">
        <w:rPr>
          <w:sz w:val="24"/>
          <w:szCs w:val="24"/>
          <w:lang w:val="en-US"/>
        </w:rPr>
        <w:t xml:space="preserve">the NT Government complying with </w:t>
      </w:r>
      <w:r w:rsidR="00CE588D" w:rsidRPr="00535B66">
        <w:rPr>
          <w:sz w:val="24"/>
          <w:szCs w:val="24"/>
          <w:lang w:val="en-US"/>
        </w:rPr>
        <w:t xml:space="preserve">formal procedures </w:t>
      </w:r>
      <w:r w:rsidR="006C0BD9">
        <w:rPr>
          <w:sz w:val="24"/>
          <w:szCs w:val="24"/>
          <w:lang w:val="en-US"/>
        </w:rPr>
        <w:t xml:space="preserve">under the NTA </w:t>
      </w:r>
      <w:r w:rsidR="00CE588D" w:rsidRPr="00535B66">
        <w:rPr>
          <w:sz w:val="24"/>
          <w:szCs w:val="24"/>
          <w:lang w:val="en-US"/>
        </w:rPr>
        <w:t xml:space="preserve">for notifying and consulting native title holders of proposed water extraction </w:t>
      </w:r>
      <w:r w:rsidR="00982D5E" w:rsidRPr="00535B66">
        <w:rPr>
          <w:sz w:val="24"/>
          <w:szCs w:val="24"/>
          <w:lang w:val="en-US"/>
        </w:rPr>
        <w:t>license</w:t>
      </w:r>
      <w:r w:rsidR="00CE588D" w:rsidRPr="00535B66">
        <w:rPr>
          <w:sz w:val="24"/>
          <w:szCs w:val="24"/>
          <w:lang w:val="en-US"/>
        </w:rPr>
        <w:t xml:space="preserve"> decisions.</w:t>
      </w:r>
      <w:r w:rsidR="00000128">
        <w:rPr>
          <w:sz w:val="24"/>
          <w:szCs w:val="24"/>
          <w:lang w:val="en-US"/>
        </w:rPr>
        <w:t xml:space="preserve"> As submitted by NLC, the water </w:t>
      </w:r>
      <w:proofErr w:type="spellStart"/>
      <w:r w:rsidR="00000128">
        <w:rPr>
          <w:sz w:val="24"/>
          <w:szCs w:val="24"/>
          <w:lang w:val="en-US"/>
        </w:rPr>
        <w:t>licences</w:t>
      </w:r>
      <w:proofErr w:type="spellEnd"/>
      <w:r w:rsidR="00000128">
        <w:rPr>
          <w:sz w:val="24"/>
          <w:szCs w:val="24"/>
          <w:lang w:val="en-US"/>
        </w:rPr>
        <w:t xml:space="preserve"> are future acts giving rise to right to compensation for impacts on native title. Degradation of sacred sites and cultural landscapes through water </w:t>
      </w:r>
      <w:proofErr w:type="spellStart"/>
      <w:r w:rsidR="00000128">
        <w:rPr>
          <w:sz w:val="24"/>
          <w:szCs w:val="24"/>
          <w:lang w:val="en-US"/>
        </w:rPr>
        <w:t>licence</w:t>
      </w:r>
      <w:proofErr w:type="spellEnd"/>
      <w:r w:rsidR="00000128">
        <w:rPr>
          <w:sz w:val="24"/>
          <w:szCs w:val="24"/>
          <w:lang w:val="en-US"/>
        </w:rPr>
        <w:t xml:space="preserve"> decisions will foreseeably </w:t>
      </w:r>
      <w:r w:rsidR="006C0BD9">
        <w:rPr>
          <w:sz w:val="24"/>
          <w:szCs w:val="24"/>
          <w:lang w:val="en-US"/>
        </w:rPr>
        <w:t xml:space="preserve">negatively impact </w:t>
      </w:r>
      <w:r w:rsidR="00000128">
        <w:rPr>
          <w:sz w:val="24"/>
          <w:szCs w:val="24"/>
          <w:lang w:val="en-US"/>
        </w:rPr>
        <w:t xml:space="preserve">upon the exercise of native title rights </w:t>
      </w:r>
      <w:r w:rsidR="00B330F3">
        <w:rPr>
          <w:sz w:val="24"/>
          <w:szCs w:val="24"/>
          <w:lang w:val="en-US"/>
        </w:rPr>
        <w:t xml:space="preserve">and interests causing compensable loss payable by the NT Government. </w:t>
      </w:r>
    </w:p>
    <w:p w14:paraId="0E31EB18" w14:textId="77777777" w:rsidR="00982D5E" w:rsidRPr="00982D5E" w:rsidRDefault="00982D5E" w:rsidP="00954A15">
      <w:pPr>
        <w:pStyle w:val="ListParagraph"/>
        <w:spacing w:line="276" w:lineRule="auto"/>
        <w:ind w:left="360"/>
        <w:rPr>
          <w:sz w:val="16"/>
          <w:szCs w:val="16"/>
          <w:lang w:val="en-US"/>
        </w:rPr>
      </w:pPr>
    </w:p>
    <w:p w14:paraId="2C14A8E0" w14:textId="77777777" w:rsidR="00CE588D" w:rsidRDefault="00535B66" w:rsidP="00954A15">
      <w:pPr>
        <w:pStyle w:val="ListParagraph"/>
        <w:numPr>
          <w:ilvl w:val="0"/>
          <w:numId w:val="14"/>
        </w:numPr>
        <w:spacing w:line="276" w:lineRule="auto"/>
        <w:jc w:val="both"/>
        <w:rPr>
          <w:sz w:val="24"/>
          <w:szCs w:val="24"/>
          <w:lang w:val="en-US"/>
        </w:rPr>
      </w:pPr>
      <w:r w:rsidRPr="00617D0B">
        <w:rPr>
          <w:sz w:val="24"/>
          <w:szCs w:val="24"/>
          <w:lang w:val="en-US"/>
        </w:rPr>
        <w:t xml:space="preserve">The CLC concurs with the NLC’s conclusion that while the </w:t>
      </w:r>
      <w:r w:rsidR="00CE588D" w:rsidRPr="00617D0B">
        <w:rPr>
          <w:sz w:val="24"/>
          <w:szCs w:val="24"/>
          <w:lang w:val="en-US"/>
        </w:rPr>
        <w:t xml:space="preserve">provision of water for </w:t>
      </w:r>
      <w:r w:rsidR="003B29DF">
        <w:rPr>
          <w:sz w:val="24"/>
          <w:szCs w:val="24"/>
          <w:lang w:val="en-US"/>
        </w:rPr>
        <w:t xml:space="preserve">Strategic </w:t>
      </w:r>
      <w:r w:rsidR="00CE588D" w:rsidRPr="00617D0B">
        <w:rPr>
          <w:sz w:val="24"/>
          <w:szCs w:val="24"/>
          <w:lang w:val="en-US"/>
        </w:rPr>
        <w:t>Aborigin</w:t>
      </w:r>
      <w:r w:rsidR="005A5890">
        <w:rPr>
          <w:sz w:val="24"/>
          <w:szCs w:val="24"/>
          <w:lang w:val="en-US"/>
        </w:rPr>
        <w:t>al economic development through</w:t>
      </w:r>
      <w:r w:rsidR="00617D0B">
        <w:rPr>
          <w:sz w:val="24"/>
          <w:szCs w:val="24"/>
          <w:lang w:val="en-US"/>
        </w:rPr>
        <w:t xml:space="preserve"> Strategic </w:t>
      </w:r>
      <w:r w:rsidR="00CE588D" w:rsidRPr="00617D0B">
        <w:rPr>
          <w:sz w:val="24"/>
          <w:szCs w:val="24"/>
          <w:lang w:val="en-US"/>
        </w:rPr>
        <w:t>Aboriginal Water Reserves (</w:t>
      </w:r>
      <w:r w:rsidR="00617D0B" w:rsidRPr="00954A15">
        <w:rPr>
          <w:b/>
          <w:sz w:val="24"/>
          <w:szCs w:val="24"/>
          <w:lang w:val="en-US"/>
        </w:rPr>
        <w:t>S</w:t>
      </w:r>
      <w:r w:rsidR="00CE588D" w:rsidRPr="00954A15">
        <w:rPr>
          <w:b/>
          <w:sz w:val="24"/>
          <w:szCs w:val="24"/>
          <w:lang w:val="en-US"/>
        </w:rPr>
        <w:t>AWR</w:t>
      </w:r>
      <w:r w:rsidR="00CE588D" w:rsidRPr="00617D0B">
        <w:rPr>
          <w:sz w:val="24"/>
          <w:szCs w:val="24"/>
          <w:lang w:val="en-US"/>
        </w:rPr>
        <w:t>)</w:t>
      </w:r>
      <w:r w:rsidRPr="00617D0B">
        <w:rPr>
          <w:sz w:val="24"/>
          <w:szCs w:val="24"/>
          <w:lang w:val="en-US"/>
        </w:rPr>
        <w:t xml:space="preserve"> is a long awaited and positive initiative </w:t>
      </w:r>
      <w:r w:rsidR="00617D0B" w:rsidRPr="00617D0B">
        <w:rPr>
          <w:sz w:val="24"/>
          <w:szCs w:val="24"/>
          <w:lang w:val="en-US"/>
        </w:rPr>
        <w:t>in theory</w:t>
      </w:r>
      <w:r w:rsidR="00B330F3">
        <w:rPr>
          <w:sz w:val="24"/>
          <w:szCs w:val="24"/>
          <w:lang w:val="en-US"/>
        </w:rPr>
        <w:t>,</w:t>
      </w:r>
      <w:r w:rsidR="00617D0B" w:rsidRPr="00617D0B">
        <w:rPr>
          <w:sz w:val="24"/>
          <w:szCs w:val="24"/>
          <w:lang w:val="en-US"/>
        </w:rPr>
        <w:t xml:space="preserve"> </w:t>
      </w:r>
      <w:r w:rsidR="00617D0B">
        <w:rPr>
          <w:sz w:val="24"/>
          <w:szCs w:val="24"/>
          <w:lang w:val="en-US"/>
        </w:rPr>
        <w:t>there is a high risk that it</w:t>
      </w:r>
      <w:r w:rsidRPr="00617D0B">
        <w:rPr>
          <w:sz w:val="24"/>
          <w:szCs w:val="24"/>
          <w:lang w:val="en-US"/>
        </w:rPr>
        <w:t xml:space="preserve"> may never be adequately </w:t>
      </w:r>
      <w:proofErr w:type="spellStart"/>
      <w:r w:rsidRPr="00617D0B">
        <w:rPr>
          <w:sz w:val="24"/>
          <w:szCs w:val="24"/>
          <w:lang w:val="en-US"/>
        </w:rPr>
        <w:t>realised</w:t>
      </w:r>
      <w:proofErr w:type="spellEnd"/>
      <w:r w:rsidR="00617D0B" w:rsidRPr="00617D0B">
        <w:rPr>
          <w:sz w:val="24"/>
          <w:szCs w:val="24"/>
          <w:lang w:val="en-US"/>
        </w:rPr>
        <w:t>.</w:t>
      </w:r>
      <w:r w:rsidRPr="00617D0B">
        <w:rPr>
          <w:sz w:val="24"/>
          <w:szCs w:val="24"/>
          <w:lang w:val="en-US"/>
        </w:rPr>
        <w:t xml:space="preserve"> </w:t>
      </w:r>
      <w:r w:rsidR="00F27840">
        <w:rPr>
          <w:sz w:val="24"/>
          <w:szCs w:val="24"/>
          <w:lang w:val="en-US"/>
        </w:rPr>
        <w:t>I</w:t>
      </w:r>
      <w:r w:rsidR="00F27840" w:rsidRPr="00617D0B">
        <w:rPr>
          <w:sz w:val="24"/>
          <w:szCs w:val="24"/>
          <w:lang w:val="en-US"/>
        </w:rPr>
        <w:t xml:space="preserve">n </w:t>
      </w:r>
      <w:proofErr w:type="gramStart"/>
      <w:r w:rsidR="00F27840" w:rsidRPr="00617D0B">
        <w:rPr>
          <w:sz w:val="24"/>
          <w:szCs w:val="24"/>
          <w:lang w:val="en-US"/>
        </w:rPr>
        <w:t>the majority of</w:t>
      </w:r>
      <w:proofErr w:type="gramEnd"/>
      <w:r w:rsidR="00F27840" w:rsidRPr="00617D0B">
        <w:rPr>
          <w:sz w:val="24"/>
          <w:szCs w:val="24"/>
          <w:lang w:val="en-US"/>
        </w:rPr>
        <w:t xml:space="preserve"> cases where the </w:t>
      </w:r>
      <w:r w:rsidR="003B29DF">
        <w:rPr>
          <w:sz w:val="24"/>
          <w:szCs w:val="24"/>
          <w:lang w:val="en-US"/>
        </w:rPr>
        <w:t>S</w:t>
      </w:r>
      <w:r w:rsidR="00F27840" w:rsidRPr="00617D0B">
        <w:rPr>
          <w:sz w:val="24"/>
          <w:szCs w:val="24"/>
          <w:lang w:val="en-US"/>
        </w:rPr>
        <w:t>AWR</w:t>
      </w:r>
      <w:r w:rsidR="00B330F3">
        <w:rPr>
          <w:sz w:val="24"/>
          <w:szCs w:val="24"/>
          <w:lang w:val="en-US"/>
        </w:rPr>
        <w:t>s</w:t>
      </w:r>
      <w:r w:rsidR="00F27840" w:rsidRPr="00617D0B">
        <w:rPr>
          <w:sz w:val="24"/>
          <w:szCs w:val="24"/>
          <w:lang w:val="en-US"/>
        </w:rPr>
        <w:t xml:space="preserve"> should be available, the water resources have been fully or over</w:t>
      </w:r>
      <w:r w:rsidR="003B29DF">
        <w:rPr>
          <w:sz w:val="24"/>
          <w:szCs w:val="24"/>
          <w:lang w:val="en-US"/>
        </w:rPr>
        <w:t>-</w:t>
      </w:r>
      <w:r w:rsidR="00F27840" w:rsidRPr="00617D0B">
        <w:rPr>
          <w:sz w:val="24"/>
          <w:szCs w:val="24"/>
          <w:lang w:val="en-US"/>
        </w:rPr>
        <w:t xml:space="preserve">allocated and there </w:t>
      </w:r>
      <w:r w:rsidR="00F27840">
        <w:rPr>
          <w:sz w:val="24"/>
          <w:szCs w:val="24"/>
          <w:lang w:val="en-US"/>
        </w:rPr>
        <w:t>is no water available</w:t>
      </w:r>
      <w:r w:rsidR="00B330F3">
        <w:rPr>
          <w:sz w:val="24"/>
          <w:szCs w:val="24"/>
          <w:lang w:val="en-US"/>
        </w:rPr>
        <w:t xml:space="preserve"> for SAWR</w:t>
      </w:r>
      <w:r w:rsidR="00F27840">
        <w:rPr>
          <w:sz w:val="24"/>
          <w:szCs w:val="24"/>
          <w:lang w:val="en-US"/>
        </w:rPr>
        <w:t xml:space="preserve">. </w:t>
      </w:r>
      <w:r w:rsidR="00617D0B" w:rsidRPr="00CF539E">
        <w:rPr>
          <w:sz w:val="24"/>
          <w:szCs w:val="24"/>
          <w:lang w:val="en-US"/>
        </w:rPr>
        <w:t xml:space="preserve">In the Western Davenport </w:t>
      </w:r>
      <w:r w:rsidR="00B330F3">
        <w:rPr>
          <w:sz w:val="24"/>
          <w:szCs w:val="24"/>
          <w:lang w:val="en-US"/>
        </w:rPr>
        <w:t>WAP,</w:t>
      </w:r>
      <w:r w:rsidR="00617D0B" w:rsidRPr="00CF539E">
        <w:rPr>
          <w:sz w:val="24"/>
          <w:szCs w:val="24"/>
          <w:lang w:val="en-US"/>
        </w:rPr>
        <w:t xml:space="preserve"> the SAWR has been allocated but the required legislation to enable issuing of water extraction licenses to eligible Aboriginal rights holders is still not fully in place, despite the primary legislation being passed by the NT </w:t>
      </w:r>
      <w:r w:rsidR="00617D0B" w:rsidRPr="00CF539E">
        <w:rPr>
          <w:sz w:val="24"/>
          <w:szCs w:val="24"/>
          <w:lang w:val="en-US"/>
        </w:rPr>
        <w:lastRenderedPageBreak/>
        <w:t xml:space="preserve">Legislative Assembly in October 2019.  If the Singleton Station </w:t>
      </w:r>
      <w:r w:rsidR="00B330F3">
        <w:rPr>
          <w:sz w:val="24"/>
          <w:szCs w:val="24"/>
          <w:lang w:val="en-US"/>
        </w:rPr>
        <w:t xml:space="preserve">Water </w:t>
      </w:r>
      <w:r w:rsidR="00617D0B" w:rsidRPr="00CF539E">
        <w:rPr>
          <w:sz w:val="24"/>
          <w:szCs w:val="24"/>
          <w:lang w:val="en-US"/>
        </w:rPr>
        <w:t xml:space="preserve">License application is approved at 40,000 ML per year it may render an Aboriginal Economic Development </w:t>
      </w:r>
      <w:r w:rsidR="00B330F3">
        <w:rPr>
          <w:sz w:val="24"/>
          <w:szCs w:val="24"/>
          <w:lang w:val="en-US"/>
        </w:rPr>
        <w:t xml:space="preserve">Project </w:t>
      </w:r>
      <w:r w:rsidR="00617D0B" w:rsidRPr="00CF539E">
        <w:rPr>
          <w:sz w:val="24"/>
          <w:szCs w:val="24"/>
          <w:lang w:val="en-US"/>
        </w:rPr>
        <w:t xml:space="preserve">on the neighboring </w:t>
      </w:r>
      <w:proofErr w:type="spellStart"/>
      <w:r w:rsidR="00617D0B" w:rsidRPr="00CF539E">
        <w:rPr>
          <w:sz w:val="24"/>
          <w:szCs w:val="24"/>
          <w:lang w:val="en-US"/>
        </w:rPr>
        <w:t>Ileyarne</w:t>
      </w:r>
      <w:proofErr w:type="spellEnd"/>
      <w:r w:rsidR="00617D0B" w:rsidRPr="00CF539E">
        <w:rPr>
          <w:sz w:val="24"/>
          <w:szCs w:val="24"/>
          <w:lang w:val="en-US"/>
        </w:rPr>
        <w:t xml:space="preserve"> </w:t>
      </w:r>
      <w:r w:rsidR="00B330F3">
        <w:rPr>
          <w:sz w:val="24"/>
          <w:szCs w:val="24"/>
          <w:lang w:val="en-US"/>
        </w:rPr>
        <w:t xml:space="preserve">Aboriginal </w:t>
      </w:r>
      <w:r w:rsidR="00617D0B" w:rsidRPr="00CF539E">
        <w:rPr>
          <w:sz w:val="24"/>
          <w:szCs w:val="24"/>
          <w:lang w:val="en-US"/>
        </w:rPr>
        <w:t>Land</w:t>
      </w:r>
      <w:r w:rsidR="00B330F3">
        <w:rPr>
          <w:sz w:val="24"/>
          <w:szCs w:val="24"/>
          <w:lang w:val="en-US"/>
        </w:rPr>
        <w:t xml:space="preserve"> T</w:t>
      </w:r>
      <w:r w:rsidR="00B330F3" w:rsidRPr="00CF539E">
        <w:rPr>
          <w:sz w:val="24"/>
          <w:szCs w:val="24"/>
          <w:lang w:val="en-US"/>
        </w:rPr>
        <w:t xml:space="preserve">rust </w:t>
      </w:r>
      <w:r w:rsidR="00617D0B" w:rsidRPr="00CF539E">
        <w:rPr>
          <w:sz w:val="24"/>
          <w:szCs w:val="24"/>
          <w:lang w:val="en-US"/>
        </w:rPr>
        <w:t xml:space="preserve">unviable because of proximity before </w:t>
      </w:r>
      <w:r w:rsidR="00CF539E">
        <w:rPr>
          <w:sz w:val="24"/>
          <w:szCs w:val="24"/>
          <w:lang w:val="en-US"/>
        </w:rPr>
        <w:t xml:space="preserve">the </w:t>
      </w:r>
      <w:r w:rsidR="00617D0B" w:rsidRPr="00CF539E">
        <w:rPr>
          <w:sz w:val="24"/>
          <w:szCs w:val="24"/>
          <w:lang w:val="en-US"/>
        </w:rPr>
        <w:t>project proponent</w:t>
      </w:r>
      <w:r w:rsidR="00CF539E">
        <w:rPr>
          <w:sz w:val="24"/>
          <w:szCs w:val="24"/>
          <w:lang w:val="en-US"/>
        </w:rPr>
        <w:t xml:space="preserve"> has an opportunity to apply for an SAWR </w:t>
      </w:r>
      <w:r w:rsidR="00B330F3">
        <w:rPr>
          <w:sz w:val="24"/>
          <w:szCs w:val="24"/>
          <w:lang w:val="en-US"/>
        </w:rPr>
        <w:t xml:space="preserve">water </w:t>
      </w:r>
      <w:r w:rsidR="00CF539E">
        <w:rPr>
          <w:sz w:val="24"/>
          <w:szCs w:val="24"/>
          <w:lang w:val="en-US"/>
        </w:rPr>
        <w:t>license.</w:t>
      </w:r>
      <w:r w:rsidR="003B29DF">
        <w:rPr>
          <w:sz w:val="24"/>
          <w:szCs w:val="24"/>
          <w:lang w:val="en-US"/>
        </w:rPr>
        <w:t xml:space="preserve"> </w:t>
      </w:r>
      <w:r w:rsidR="00B330F3">
        <w:rPr>
          <w:sz w:val="24"/>
          <w:szCs w:val="24"/>
          <w:lang w:val="en-US"/>
        </w:rPr>
        <w:t>I</w:t>
      </w:r>
      <w:r w:rsidR="003B29DF">
        <w:rPr>
          <w:sz w:val="24"/>
          <w:szCs w:val="24"/>
          <w:lang w:val="en-US"/>
        </w:rPr>
        <w:t>f that site is not viable</w:t>
      </w:r>
      <w:r w:rsidR="00B330F3">
        <w:rPr>
          <w:sz w:val="24"/>
          <w:szCs w:val="24"/>
          <w:lang w:val="en-US"/>
        </w:rPr>
        <w:t>,</w:t>
      </w:r>
      <w:r w:rsidR="003B29DF">
        <w:rPr>
          <w:sz w:val="24"/>
          <w:szCs w:val="24"/>
          <w:lang w:val="en-US"/>
        </w:rPr>
        <w:t xml:space="preserve"> there are limited if any options for alternative economic development proposal locations.</w:t>
      </w:r>
    </w:p>
    <w:p w14:paraId="2F9F52D9" w14:textId="77777777" w:rsidR="00B330F3" w:rsidRPr="00954A15" w:rsidRDefault="00B330F3" w:rsidP="00954A15">
      <w:pPr>
        <w:spacing w:after="0" w:line="240" w:lineRule="auto"/>
        <w:rPr>
          <w:sz w:val="24"/>
          <w:szCs w:val="24"/>
          <w:lang w:val="en-US"/>
        </w:rPr>
      </w:pPr>
    </w:p>
    <w:p w14:paraId="0E3A0E86" w14:textId="77777777" w:rsidR="008D3053" w:rsidRPr="00954A15" w:rsidRDefault="00E82A40" w:rsidP="006A1E77">
      <w:pPr>
        <w:jc w:val="both"/>
        <w:rPr>
          <w:rFonts w:cstheme="minorHAnsi"/>
          <w:b/>
          <w:sz w:val="24"/>
          <w:szCs w:val="24"/>
          <w:lang w:val="en-US"/>
        </w:rPr>
      </w:pPr>
      <w:r w:rsidRPr="00954A15">
        <w:rPr>
          <w:rFonts w:eastAsiaTheme="majorEastAsia" w:cstheme="minorHAnsi"/>
          <w:b/>
          <w:color w:val="2E74B5" w:themeColor="accent1" w:themeShade="BF"/>
          <w:sz w:val="24"/>
          <w:szCs w:val="24"/>
          <w:lang w:val="en-US"/>
        </w:rPr>
        <w:t>Case Study: Singleton Station Water License Application (40,000 ML per year over 30 years</w:t>
      </w:r>
      <w:r w:rsidRPr="00954A15">
        <w:rPr>
          <w:rFonts w:cstheme="minorHAnsi"/>
          <w:b/>
          <w:color w:val="2E74B5" w:themeColor="accent1" w:themeShade="BF"/>
          <w:sz w:val="24"/>
          <w:szCs w:val="24"/>
          <w:lang w:val="en-US"/>
        </w:rPr>
        <w:t>)</w:t>
      </w:r>
    </w:p>
    <w:p w14:paraId="644BED4A" w14:textId="77777777" w:rsidR="00C62151" w:rsidRPr="006A1E77" w:rsidRDefault="00E82A40" w:rsidP="00954A15">
      <w:pPr>
        <w:spacing w:line="276" w:lineRule="auto"/>
        <w:jc w:val="both"/>
        <w:rPr>
          <w:sz w:val="24"/>
          <w:szCs w:val="24"/>
          <w:lang w:val="en-US"/>
        </w:rPr>
      </w:pPr>
      <w:r>
        <w:rPr>
          <w:sz w:val="24"/>
          <w:szCs w:val="24"/>
          <w:lang w:val="en-US"/>
        </w:rPr>
        <w:t xml:space="preserve">In September 2020, </w:t>
      </w:r>
      <w:r w:rsidR="00C62151" w:rsidRPr="006A1E77">
        <w:rPr>
          <w:sz w:val="24"/>
          <w:szCs w:val="24"/>
          <w:lang w:val="en-US"/>
        </w:rPr>
        <w:t>Fortune Agribusiness Funds Management Pty Ltd (</w:t>
      </w:r>
      <w:r w:rsidR="00C62151" w:rsidRPr="00954A15">
        <w:rPr>
          <w:b/>
          <w:sz w:val="24"/>
          <w:szCs w:val="24"/>
          <w:lang w:val="en-US"/>
        </w:rPr>
        <w:t>Fortune Agribusiness</w:t>
      </w:r>
      <w:r w:rsidR="00C62151" w:rsidRPr="006A1E77">
        <w:rPr>
          <w:sz w:val="24"/>
          <w:szCs w:val="24"/>
          <w:lang w:val="en-US"/>
        </w:rPr>
        <w:t xml:space="preserve">) applied for </w:t>
      </w:r>
      <w:r>
        <w:rPr>
          <w:sz w:val="24"/>
          <w:szCs w:val="24"/>
          <w:lang w:val="en-US"/>
        </w:rPr>
        <w:t xml:space="preserve">a </w:t>
      </w:r>
      <w:r w:rsidR="00D474C4">
        <w:rPr>
          <w:sz w:val="24"/>
          <w:szCs w:val="24"/>
          <w:lang w:val="en-US"/>
        </w:rPr>
        <w:t xml:space="preserve">groundwater </w:t>
      </w:r>
      <w:r w:rsidR="00C62151" w:rsidRPr="006A1E77">
        <w:rPr>
          <w:sz w:val="24"/>
          <w:szCs w:val="24"/>
          <w:lang w:val="en-US"/>
        </w:rPr>
        <w:t xml:space="preserve">water </w:t>
      </w:r>
      <w:r w:rsidR="00D474C4">
        <w:rPr>
          <w:sz w:val="24"/>
          <w:szCs w:val="24"/>
          <w:lang w:val="en-US"/>
        </w:rPr>
        <w:t xml:space="preserve">extraction </w:t>
      </w:r>
      <w:r w:rsidRPr="006A1E77">
        <w:rPr>
          <w:sz w:val="24"/>
          <w:szCs w:val="24"/>
          <w:lang w:val="en-US"/>
        </w:rPr>
        <w:t>license</w:t>
      </w:r>
      <w:r w:rsidR="00C62151" w:rsidRPr="006A1E77">
        <w:rPr>
          <w:sz w:val="24"/>
          <w:szCs w:val="24"/>
          <w:lang w:val="en-US"/>
        </w:rPr>
        <w:t xml:space="preserve">. The application volume is 39,800 ML per year for agricultural purposes and 200 ML per year for public water supply purposes, a total volume of 40,000 ML/year. Singleton Station is situated within the Central Plains management zone of the Western Davenport Water Allocation Plan (WDWAP) for the period of 2018 to 2021. The WDWAP covers the Western Davenport Water Control District. </w:t>
      </w:r>
    </w:p>
    <w:p w14:paraId="4FDB1C14" w14:textId="77777777" w:rsidR="00C62151" w:rsidRPr="006A1E77" w:rsidRDefault="00C62151" w:rsidP="00954A15">
      <w:pPr>
        <w:spacing w:line="276" w:lineRule="auto"/>
        <w:jc w:val="both"/>
        <w:rPr>
          <w:sz w:val="24"/>
          <w:szCs w:val="24"/>
          <w:lang w:val="en-US"/>
        </w:rPr>
      </w:pPr>
      <w:r w:rsidRPr="006A1E77">
        <w:rPr>
          <w:sz w:val="24"/>
          <w:szCs w:val="24"/>
          <w:lang w:val="en-US"/>
        </w:rPr>
        <w:t xml:space="preserve">The CLC has consulted with affected native title holders for Singleton Station, affected community members in </w:t>
      </w:r>
      <w:proofErr w:type="spellStart"/>
      <w:r w:rsidRPr="006A1E77">
        <w:rPr>
          <w:sz w:val="24"/>
          <w:szCs w:val="24"/>
          <w:lang w:val="en-US"/>
        </w:rPr>
        <w:t>Alekarenge</w:t>
      </w:r>
      <w:proofErr w:type="spellEnd"/>
      <w:r w:rsidRPr="006A1E77">
        <w:rPr>
          <w:sz w:val="24"/>
          <w:szCs w:val="24"/>
          <w:lang w:val="en-US"/>
        </w:rPr>
        <w:t xml:space="preserve"> community</w:t>
      </w:r>
      <w:r w:rsidR="00B330F3">
        <w:rPr>
          <w:sz w:val="24"/>
          <w:szCs w:val="24"/>
          <w:lang w:val="en-US"/>
        </w:rPr>
        <w:t>, nearby outstation residents</w:t>
      </w:r>
      <w:r w:rsidRPr="006A1E77">
        <w:rPr>
          <w:sz w:val="24"/>
          <w:szCs w:val="24"/>
          <w:lang w:val="en-US"/>
        </w:rPr>
        <w:t xml:space="preserve"> and traditional owners of </w:t>
      </w:r>
      <w:r w:rsidR="00B330F3" w:rsidRPr="006A1E77">
        <w:rPr>
          <w:sz w:val="24"/>
          <w:szCs w:val="24"/>
          <w:lang w:val="en-US"/>
        </w:rPr>
        <w:t>neighboring</w:t>
      </w:r>
      <w:r w:rsidRPr="006A1E77">
        <w:rPr>
          <w:sz w:val="24"/>
          <w:szCs w:val="24"/>
          <w:lang w:val="en-US"/>
        </w:rPr>
        <w:t xml:space="preserve"> land trusts. </w:t>
      </w:r>
      <w:r w:rsidR="00B330F3">
        <w:rPr>
          <w:sz w:val="24"/>
          <w:szCs w:val="24"/>
          <w:lang w:val="en-US"/>
        </w:rPr>
        <w:t>Their concerns</w:t>
      </w:r>
      <w:r w:rsidRPr="006A1E77">
        <w:rPr>
          <w:sz w:val="24"/>
          <w:szCs w:val="24"/>
          <w:lang w:val="en-US"/>
        </w:rPr>
        <w:t xml:space="preserve"> can be </w:t>
      </w:r>
      <w:proofErr w:type="spellStart"/>
      <w:r w:rsidRPr="006A1E77">
        <w:rPr>
          <w:sz w:val="24"/>
          <w:szCs w:val="24"/>
          <w:lang w:val="en-US"/>
        </w:rPr>
        <w:t>summarised</w:t>
      </w:r>
      <w:proofErr w:type="spellEnd"/>
      <w:r w:rsidRPr="006A1E77">
        <w:rPr>
          <w:sz w:val="24"/>
          <w:szCs w:val="24"/>
          <w:lang w:val="en-US"/>
        </w:rPr>
        <w:t xml:space="preserve"> as follows: </w:t>
      </w:r>
    </w:p>
    <w:p w14:paraId="23D11032" w14:textId="77777777" w:rsidR="00C62151" w:rsidRDefault="00C62151" w:rsidP="00954A15">
      <w:pPr>
        <w:pStyle w:val="ListParagraph"/>
        <w:numPr>
          <w:ilvl w:val="0"/>
          <w:numId w:val="7"/>
        </w:numPr>
        <w:spacing w:line="276" w:lineRule="auto"/>
        <w:ind w:left="357" w:hanging="357"/>
        <w:contextualSpacing w:val="0"/>
        <w:jc w:val="both"/>
        <w:rPr>
          <w:sz w:val="24"/>
          <w:szCs w:val="24"/>
          <w:lang w:val="en-US"/>
        </w:rPr>
      </w:pPr>
      <w:r w:rsidRPr="006A1E77">
        <w:rPr>
          <w:sz w:val="24"/>
          <w:szCs w:val="24"/>
          <w:lang w:val="en-US"/>
        </w:rPr>
        <w:t xml:space="preserve">The size of the water </w:t>
      </w:r>
      <w:r w:rsidR="00982D5E" w:rsidRPr="006A1E77">
        <w:rPr>
          <w:sz w:val="24"/>
          <w:szCs w:val="24"/>
          <w:lang w:val="en-US"/>
        </w:rPr>
        <w:t>license</w:t>
      </w:r>
      <w:r w:rsidRPr="006A1E77">
        <w:rPr>
          <w:sz w:val="24"/>
          <w:szCs w:val="24"/>
          <w:lang w:val="en-US"/>
        </w:rPr>
        <w:t xml:space="preserve"> applied for – 40,000 ML/year</w:t>
      </w:r>
      <w:r w:rsidR="00D474C4">
        <w:rPr>
          <w:sz w:val="24"/>
          <w:szCs w:val="24"/>
          <w:lang w:val="en-US"/>
        </w:rPr>
        <w:t xml:space="preserve"> for 30 years</w:t>
      </w:r>
      <w:r w:rsidRPr="006A1E77">
        <w:rPr>
          <w:sz w:val="24"/>
          <w:szCs w:val="24"/>
          <w:lang w:val="en-US"/>
        </w:rPr>
        <w:t xml:space="preserve"> – is significantly larger than any other </w:t>
      </w:r>
      <w:r w:rsidR="00982D5E" w:rsidRPr="006A1E77">
        <w:rPr>
          <w:sz w:val="24"/>
          <w:szCs w:val="24"/>
          <w:lang w:val="en-US"/>
        </w:rPr>
        <w:t>licenses</w:t>
      </w:r>
      <w:r w:rsidRPr="006A1E77">
        <w:rPr>
          <w:sz w:val="24"/>
          <w:szCs w:val="24"/>
          <w:lang w:val="en-US"/>
        </w:rPr>
        <w:t xml:space="preserve"> issued in the region</w:t>
      </w:r>
      <w:r w:rsidR="00D474C4">
        <w:rPr>
          <w:sz w:val="24"/>
          <w:szCs w:val="24"/>
          <w:lang w:val="en-US"/>
        </w:rPr>
        <w:t xml:space="preserve"> and the largest ever applied for in the NT</w:t>
      </w:r>
      <w:r w:rsidRPr="006A1E77">
        <w:rPr>
          <w:sz w:val="24"/>
          <w:szCs w:val="24"/>
          <w:lang w:val="en-US"/>
        </w:rPr>
        <w:t xml:space="preserve">. The total quantity of water that currently may be taken from the Western Davenport District is 10,479 ML/year. </w:t>
      </w:r>
    </w:p>
    <w:p w14:paraId="26671B58" w14:textId="77777777" w:rsidR="00982D5E" w:rsidRPr="00954A15" w:rsidRDefault="00982D5E" w:rsidP="00954A15">
      <w:pPr>
        <w:pStyle w:val="ListParagraph"/>
        <w:spacing w:line="276" w:lineRule="auto"/>
        <w:ind w:left="360"/>
        <w:rPr>
          <w:sz w:val="16"/>
          <w:szCs w:val="16"/>
          <w:lang w:val="en-US"/>
        </w:rPr>
      </w:pPr>
    </w:p>
    <w:p w14:paraId="5C90B5E4" w14:textId="77777777" w:rsidR="00C62151" w:rsidRDefault="00C62151" w:rsidP="00954A15">
      <w:pPr>
        <w:pStyle w:val="ListParagraph"/>
        <w:numPr>
          <w:ilvl w:val="0"/>
          <w:numId w:val="7"/>
        </w:numPr>
        <w:spacing w:line="276" w:lineRule="auto"/>
        <w:ind w:left="357" w:hanging="357"/>
        <w:contextualSpacing w:val="0"/>
        <w:jc w:val="both"/>
        <w:rPr>
          <w:sz w:val="24"/>
          <w:szCs w:val="24"/>
          <w:lang w:val="en-US"/>
        </w:rPr>
      </w:pPr>
      <w:r w:rsidRPr="006A1E77">
        <w:rPr>
          <w:sz w:val="24"/>
          <w:szCs w:val="24"/>
          <w:lang w:val="en-US"/>
        </w:rPr>
        <w:t xml:space="preserve">The scientific modelling included in the WDWAP that would guide the </w:t>
      </w:r>
      <w:r w:rsidR="00B330F3">
        <w:rPr>
          <w:sz w:val="24"/>
          <w:szCs w:val="24"/>
          <w:lang w:val="en-US"/>
        </w:rPr>
        <w:t xml:space="preserve">Water </w:t>
      </w:r>
      <w:r w:rsidRPr="006A1E77">
        <w:rPr>
          <w:sz w:val="24"/>
          <w:szCs w:val="24"/>
          <w:lang w:val="en-US"/>
        </w:rPr>
        <w:t xml:space="preserve">Controller’s decision to grant the water </w:t>
      </w:r>
      <w:r w:rsidR="00982D5E" w:rsidRPr="006A1E77">
        <w:rPr>
          <w:sz w:val="24"/>
          <w:szCs w:val="24"/>
          <w:lang w:val="en-US"/>
        </w:rPr>
        <w:t>license</w:t>
      </w:r>
      <w:r w:rsidRPr="006A1E77">
        <w:rPr>
          <w:sz w:val="24"/>
          <w:szCs w:val="24"/>
          <w:lang w:val="en-US"/>
        </w:rPr>
        <w:t xml:space="preserve"> has </w:t>
      </w:r>
      <w:proofErr w:type="gramStart"/>
      <w:r w:rsidRPr="006A1E77">
        <w:rPr>
          <w:sz w:val="24"/>
          <w:szCs w:val="24"/>
          <w:lang w:val="en-US"/>
        </w:rPr>
        <w:t>a number of</w:t>
      </w:r>
      <w:proofErr w:type="gramEnd"/>
      <w:r w:rsidRPr="006A1E77">
        <w:rPr>
          <w:sz w:val="24"/>
          <w:szCs w:val="24"/>
          <w:lang w:val="en-US"/>
        </w:rPr>
        <w:t xml:space="preserve"> issues including its estimation of sustainable yield of groundwater. The WDWAP </w:t>
      </w:r>
      <w:r w:rsidR="00596CCE">
        <w:rPr>
          <w:sz w:val="24"/>
          <w:szCs w:val="24"/>
          <w:lang w:val="en-US"/>
        </w:rPr>
        <w:t xml:space="preserve">asserts a </w:t>
      </w:r>
      <w:r w:rsidR="00596CCE" w:rsidRPr="006C0BD9">
        <w:rPr>
          <w:sz w:val="24"/>
          <w:szCs w:val="24"/>
          <w:lang w:val="en-US"/>
        </w:rPr>
        <w:t xml:space="preserve">single storage figure </w:t>
      </w:r>
      <w:r w:rsidR="008E4C6A" w:rsidRPr="006C0BD9">
        <w:rPr>
          <w:sz w:val="24"/>
          <w:szCs w:val="24"/>
          <w:lang w:val="en-US"/>
        </w:rPr>
        <w:t>wi</w:t>
      </w:r>
      <w:r w:rsidR="008E4C6A">
        <w:rPr>
          <w:sz w:val="24"/>
          <w:szCs w:val="24"/>
          <w:lang w:val="en-US"/>
        </w:rPr>
        <w:t xml:space="preserve">th an estimated sustainable yield </w:t>
      </w:r>
      <w:r w:rsidR="00596CCE">
        <w:rPr>
          <w:sz w:val="24"/>
          <w:szCs w:val="24"/>
          <w:lang w:val="en-US"/>
        </w:rPr>
        <w:t xml:space="preserve">of </w:t>
      </w:r>
      <w:r w:rsidR="001127CC">
        <w:rPr>
          <w:sz w:val="24"/>
          <w:szCs w:val="24"/>
          <w:lang w:val="en-US"/>
        </w:rPr>
        <w:t>168,000</w:t>
      </w:r>
      <w:r w:rsidR="00596CCE">
        <w:rPr>
          <w:sz w:val="24"/>
          <w:szCs w:val="24"/>
          <w:lang w:val="en-US"/>
        </w:rPr>
        <w:t xml:space="preserve"> ML </w:t>
      </w:r>
      <w:r w:rsidR="008E4C6A">
        <w:rPr>
          <w:sz w:val="24"/>
          <w:szCs w:val="24"/>
          <w:lang w:val="en-US"/>
        </w:rPr>
        <w:t xml:space="preserve">per year </w:t>
      </w:r>
      <w:r w:rsidR="00596CCE">
        <w:rPr>
          <w:sz w:val="24"/>
          <w:szCs w:val="24"/>
          <w:lang w:val="en-US"/>
        </w:rPr>
        <w:t xml:space="preserve">yet also </w:t>
      </w:r>
      <w:r w:rsidRPr="006A1E77">
        <w:rPr>
          <w:sz w:val="24"/>
          <w:szCs w:val="24"/>
          <w:lang w:val="en-US"/>
        </w:rPr>
        <w:t xml:space="preserve">includes numerous statements that </w:t>
      </w:r>
      <w:r w:rsidR="00596CCE">
        <w:rPr>
          <w:sz w:val="24"/>
          <w:szCs w:val="24"/>
          <w:lang w:val="en-US"/>
        </w:rPr>
        <w:t>that figure is</w:t>
      </w:r>
      <w:r w:rsidRPr="006A1E77">
        <w:rPr>
          <w:sz w:val="24"/>
          <w:szCs w:val="24"/>
          <w:lang w:val="en-US"/>
        </w:rPr>
        <w:t xml:space="preserve"> based on limited information and further research is recommended, particularly </w:t>
      </w:r>
      <w:proofErr w:type="gramStart"/>
      <w:r w:rsidRPr="006A1E77">
        <w:rPr>
          <w:sz w:val="24"/>
          <w:szCs w:val="24"/>
          <w:lang w:val="en-US"/>
        </w:rPr>
        <w:t>in regard to</w:t>
      </w:r>
      <w:proofErr w:type="gramEnd"/>
      <w:r w:rsidRPr="006A1E77">
        <w:rPr>
          <w:sz w:val="24"/>
          <w:szCs w:val="24"/>
          <w:lang w:val="en-US"/>
        </w:rPr>
        <w:t xml:space="preserve"> accessibility of groundwater stored in the regolith and the location and individual requirements of GDEs. The work still required to be done under the WDWAP are set out in section 8.4.1 (Framework setting out WDWAP implementation activities) and section 9.1 (Table of risk management treatments). The WDWAP also identified nine of those risks in Table 15 as ‘extreme’ risks. We have asked the </w:t>
      </w:r>
      <w:r w:rsidR="00B330F3">
        <w:rPr>
          <w:sz w:val="24"/>
          <w:szCs w:val="24"/>
          <w:lang w:val="en-US"/>
        </w:rPr>
        <w:t xml:space="preserve">Water </w:t>
      </w:r>
      <w:r w:rsidRPr="006A1E77">
        <w:rPr>
          <w:sz w:val="24"/>
          <w:szCs w:val="24"/>
          <w:lang w:val="en-US"/>
        </w:rPr>
        <w:t>Controller to prov</w:t>
      </w:r>
      <w:r w:rsidR="00D474C4">
        <w:rPr>
          <w:sz w:val="24"/>
          <w:szCs w:val="24"/>
          <w:lang w:val="en-US"/>
        </w:rPr>
        <w:t>ide an update on such work as without adequate data the uncertainty around estimated sustainable yield remains high.</w:t>
      </w:r>
      <w:r w:rsidRPr="006A1E77">
        <w:rPr>
          <w:sz w:val="24"/>
          <w:szCs w:val="24"/>
          <w:lang w:val="en-US"/>
        </w:rPr>
        <w:t xml:space="preserve"> </w:t>
      </w:r>
      <w:r w:rsidR="00D474C4">
        <w:rPr>
          <w:sz w:val="24"/>
          <w:szCs w:val="24"/>
          <w:lang w:val="en-US"/>
        </w:rPr>
        <w:t xml:space="preserve">The </w:t>
      </w:r>
      <w:r w:rsidR="00596CCE">
        <w:rPr>
          <w:sz w:val="24"/>
          <w:szCs w:val="24"/>
          <w:lang w:val="en-US"/>
        </w:rPr>
        <w:t>assertion of an</w:t>
      </w:r>
      <w:r w:rsidR="00D474C4">
        <w:rPr>
          <w:sz w:val="24"/>
          <w:szCs w:val="24"/>
          <w:lang w:val="en-US"/>
        </w:rPr>
        <w:t xml:space="preserve"> estimate</w:t>
      </w:r>
      <w:r w:rsidR="008E4C6A">
        <w:rPr>
          <w:sz w:val="24"/>
          <w:szCs w:val="24"/>
          <w:lang w:val="en-US"/>
        </w:rPr>
        <w:t>d sustainable yield</w:t>
      </w:r>
      <w:r w:rsidR="00D474C4">
        <w:rPr>
          <w:sz w:val="24"/>
          <w:szCs w:val="24"/>
          <w:lang w:val="en-US"/>
        </w:rPr>
        <w:t xml:space="preserve"> </w:t>
      </w:r>
      <w:r w:rsidR="001127CC">
        <w:rPr>
          <w:sz w:val="24"/>
          <w:szCs w:val="24"/>
          <w:lang w:val="en-US"/>
        </w:rPr>
        <w:t>168,000</w:t>
      </w:r>
      <w:r w:rsidR="00596CCE">
        <w:rPr>
          <w:sz w:val="24"/>
          <w:szCs w:val="24"/>
          <w:lang w:val="en-US"/>
        </w:rPr>
        <w:t xml:space="preserve"> ML </w:t>
      </w:r>
      <w:r w:rsidR="008E4C6A">
        <w:rPr>
          <w:sz w:val="24"/>
          <w:szCs w:val="24"/>
          <w:lang w:val="en-US"/>
        </w:rPr>
        <w:t xml:space="preserve">per year </w:t>
      </w:r>
      <w:r w:rsidR="00596CCE">
        <w:rPr>
          <w:sz w:val="24"/>
          <w:szCs w:val="24"/>
          <w:lang w:val="en-US"/>
        </w:rPr>
        <w:t xml:space="preserve">as a fact rather than just one of a range of possible groundwater modelling values is problematic. To enable the full range of likely impacts to be assessed it would be preferable to present a best, </w:t>
      </w:r>
      <w:proofErr w:type="gramStart"/>
      <w:r w:rsidR="00596CCE">
        <w:rPr>
          <w:sz w:val="24"/>
          <w:szCs w:val="24"/>
          <w:lang w:val="en-US"/>
        </w:rPr>
        <w:t>worst</w:t>
      </w:r>
      <w:proofErr w:type="gramEnd"/>
      <w:r w:rsidR="00596CCE">
        <w:rPr>
          <w:sz w:val="24"/>
          <w:szCs w:val="24"/>
          <w:lang w:val="en-US"/>
        </w:rPr>
        <w:t xml:space="preserve"> and probable estimates of storage.</w:t>
      </w:r>
    </w:p>
    <w:p w14:paraId="369ECB23" w14:textId="77777777" w:rsidR="00982D5E" w:rsidRPr="00954A15" w:rsidRDefault="00982D5E" w:rsidP="00954A15">
      <w:pPr>
        <w:pStyle w:val="ListParagraph"/>
        <w:spacing w:line="276" w:lineRule="auto"/>
        <w:ind w:left="360"/>
        <w:contextualSpacing w:val="0"/>
        <w:jc w:val="both"/>
        <w:rPr>
          <w:sz w:val="16"/>
          <w:szCs w:val="16"/>
          <w:lang w:val="en-US"/>
        </w:rPr>
      </w:pPr>
    </w:p>
    <w:p w14:paraId="04E3D95B" w14:textId="77777777" w:rsidR="00C62151" w:rsidRPr="006A1E77" w:rsidRDefault="00C62151" w:rsidP="00954A15">
      <w:pPr>
        <w:pStyle w:val="ListParagraph"/>
        <w:numPr>
          <w:ilvl w:val="0"/>
          <w:numId w:val="7"/>
        </w:numPr>
        <w:spacing w:after="240" w:line="276" w:lineRule="auto"/>
        <w:contextualSpacing w:val="0"/>
        <w:jc w:val="both"/>
        <w:rPr>
          <w:sz w:val="24"/>
          <w:szCs w:val="24"/>
          <w:lang w:val="en-US"/>
        </w:rPr>
      </w:pPr>
      <w:r w:rsidRPr="006A1E77">
        <w:rPr>
          <w:sz w:val="24"/>
          <w:szCs w:val="24"/>
          <w:lang w:val="en-US"/>
        </w:rPr>
        <w:lastRenderedPageBreak/>
        <w:t xml:space="preserve">The impact that the scale of the drawdown from the water </w:t>
      </w:r>
      <w:r w:rsidR="00982D5E" w:rsidRPr="006A1E77">
        <w:rPr>
          <w:sz w:val="24"/>
          <w:szCs w:val="24"/>
          <w:lang w:val="en-US"/>
        </w:rPr>
        <w:t>license</w:t>
      </w:r>
      <w:r w:rsidRPr="006A1E77">
        <w:rPr>
          <w:sz w:val="24"/>
          <w:szCs w:val="24"/>
          <w:lang w:val="en-US"/>
        </w:rPr>
        <w:t xml:space="preserve"> may have on the exercise of their traditional rights, including hunting and collecting of bush tucker, and cultural and sacred sites. The projected drawdown could have adverse effects on the availability of </w:t>
      </w:r>
      <w:proofErr w:type="spellStart"/>
      <w:r w:rsidRPr="006A1E77">
        <w:rPr>
          <w:sz w:val="24"/>
          <w:szCs w:val="24"/>
          <w:lang w:val="en-US"/>
        </w:rPr>
        <w:t>soakages</w:t>
      </w:r>
      <w:proofErr w:type="spellEnd"/>
      <w:r w:rsidRPr="006A1E77">
        <w:rPr>
          <w:sz w:val="24"/>
          <w:szCs w:val="24"/>
          <w:lang w:val="en-US"/>
        </w:rPr>
        <w:t xml:space="preserve"> and </w:t>
      </w:r>
      <w:r w:rsidR="000411D9" w:rsidRPr="006A1E77">
        <w:rPr>
          <w:sz w:val="24"/>
          <w:szCs w:val="24"/>
          <w:lang w:val="en-US"/>
        </w:rPr>
        <w:t>flood outs</w:t>
      </w:r>
      <w:r w:rsidRPr="006A1E77">
        <w:rPr>
          <w:sz w:val="24"/>
          <w:szCs w:val="24"/>
          <w:lang w:val="en-US"/>
        </w:rPr>
        <w:t xml:space="preserve"> and the health of important GDEs.</w:t>
      </w:r>
      <w:r w:rsidR="00D474C4">
        <w:rPr>
          <w:sz w:val="24"/>
          <w:szCs w:val="24"/>
          <w:lang w:val="en-US"/>
        </w:rPr>
        <w:t xml:space="preserve"> The </w:t>
      </w:r>
      <w:r w:rsidR="00B330F3">
        <w:rPr>
          <w:sz w:val="24"/>
          <w:szCs w:val="24"/>
          <w:lang w:val="en-US"/>
        </w:rPr>
        <w:t>WDWAP</w:t>
      </w:r>
      <w:r w:rsidR="00D474C4">
        <w:rPr>
          <w:sz w:val="24"/>
          <w:szCs w:val="24"/>
          <w:lang w:val="en-US"/>
        </w:rPr>
        <w:t xml:space="preserve"> pays scant attention to these most vulnerable aquatic GDEs yet independent hydrogeological advice provided to the CLC indicates the high likelihood of the presence of aquatic GDE’s along creek lines in the Central Plains management zone. These are most likely to be impacted quickly and permanently if groundwater levels drop more or more quickly than anticipated.</w:t>
      </w:r>
    </w:p>
    <w:p w14:paraId="34163128" w14:textId="77777777" w:rsidR="009F4AB5" w:rsidRPr="00954A15" w:rsidRDefault="009F4AB5" w:rsidP="00C62151">
      <w:pPr>
        <w:jc w:val="both"/>
        <w:rPr>
          <w:rFonts w:ascii="Calibri" w:eastAsiaTheme="majorEastAsia" w:hAnsi="Calibri" w:cs="Calibri"/>
          <w:b/>
          <w:color w:val="2E74B5" w:themeColor="accent1" w:themeShade="BF"/>
          <w:sz w:val="24"/>
          <w:szCs w:val="24"/>
          <w:lang w:val="en-US"/>
        </w:rPr>
      </w:pPr>
      <w:r w:rsidRPr="00954A15">
        <w:rPr>
          <w:rFonts w:ascii="Calibri" w:eastAsiaTheme="majorEastAsia" w:hAnsi="Calibri" w:cs="Calibri"/>
          <w:b/>
          <w:color w:val="2E74B5" w:themeColor="accent1" w:themeShade="BF"/>
          <w:sz w:val="24"/>
          <w:szCs w:val="24"/>
          <w:lang w:val="en-US"/>
        </w:rPr>
        <w:t>Establishment of Guidelines outside of the Water Allocation Plan</w:t>
      </w:r>
    </w:p>
    <w:p w14:paraId="52688EBE" w14:textId="77777777" w:rsidR="00C62151" w:rsidRPr="00954A15" w:rsidRDefault="00C62151" w:rsidP="00954A15">
      <w:pPr>
        <w:spacing w:after="0" w:line="276" w:lineRule="auto"/>
        <w:jc w:val="both"/>
        <w:rPr>
          <w:i/>
          <w:sz w:val="24"/>
          <w:szCs w:val="24"/>
          <w:lang w:val="en-US"/>
        </w:rPr>
      </w:pPr>
      <w:r w:rsidRPr="006A1E77">
        <w:rPr>
          <w:sz w:val="24"/>
          <w:szCs w:val="24"/>
          <w:lang w:val="en-US"/>
        </w:rPr>
        <w:t xml:space="preserve">In providing its comments to the </w:t>
      </w:r>
      <w:r w:rsidR="008E4C6A">
        <w:rPr>
          <w:sz w:val="24"/>
          <w:szCs w:val="24"/>
          <w:lang w:val="en-US"/>
        </w:rPr>
        <w:t xml:space="preserve">Water </w:t>
      </w:r>
      <w:r w:rsidRPr="006A1E77">
        <w:rPr>
          <w:sz w:val="24"/>
          <w:szCs w:val="24"/>
          <w:lang w:val="en-US"/>
        </w:rPr>
        <w:t xml:space="preserve">Controller about Fortune Agribusiness’s water </w:t>
      </w:r>
      <w:proofErr w:type="spellStart"/>
      <w:r w:rsidRPr="006A1E77">
        <w:rPr>
          <w:sz w:val="24"/>
          <w:szCs w:val="24"/>
          <w:lang w:val="en-US"/>
        </w:rPr>
        <w:t>licence</w:t>
      </w:r>
      <w:proofErr w:type="spellEnd"/>
      <w:r w:rsidRPr="006A1E77">
        <w:rPr>
          <w:sz w:val="24"/>
          <w:szCs w:val="24"/>
          <w:lang w:val="en-US"/>
        </w:rPr>
        <w:t xml:space="preserve"> application, the CLC notes that section 22</w:t>
      </w:r>
      <w:proofErr w:type="gramStart"/>
      <w:r w:rsidRPr="006A1E77">
        <w:rPr>
          <w:sz w:val="24"/>
          <w:szCs w:val="24"/>
          <w:lang w:val="en-US"/>
        </w:rPr>
        <w:t>B(</w:t>
      </w:r>
      <w:proofErr w:type="gramEnd"/>
      <w:r w:rsidRPr="006A1E77">
        <w:rPr>
          <w:sz w:val="24"/>
          <w:szCs w:val="24"/>
          <w:lang w:val="en-US"/>
        </w:rPr>
        <w:t xml:space="preserve">4) of the </w:t>
      </w:r>
      <w:r w:rsidR="008E4C6A">
        <w:rPr>
          <w:sz w:val="24"/>
          <w:szCs w:val="24"/>
          <w:lang w:val="en-US"/>
        </w:rPr>
        <w:t xml:space="preserve">NT </w:t>
      </w:r>
      <w:r w:rsidRPr="006A1E77">
        <w:rPr>
          <w:sz w:val="24"/>
          <w:szCs w:val="24"/>
          <w:lang w:val="en-US"/>
        </w:rPr>
        <w:t>Water Act states that “</w:t>
      </w:r>
      <w:r w:rsidRPr="00954A15">
        <w:rPr>
          <w:i/>
          <w:sz w:val="24"/>
          <w:szCs w:val="24"/>
          <w:lang w:val="en-US"/>
        </w:rPr>
        <w:t>water resource management in a water control district is to be in accordance with the water allocation plan decl</w:t>
      </w:r>
      <w:r w:rsidR="006A1E77" w:rsidRPr="00954A15">
        <w:rPr>
          <w:i/>
          <w:sz w:val="24"/>
          <w:szCs w:val="24"/>
          <w:lang w:val="en-US"/>
        </w:rPr>
        <w:t>ared in respect of the district</w:t>
      </w:r>
      <w:r w:rsidR="00596CCE" w:rsidRPr="00954A15">
        <w:rPr>
          <w:i/>
          <w:sz w:val="24"/>
          <w:szCs w:val="24"/>
          <w:lang w:val="en-US"/>
        </w:rPr>
        <w:t>.”</w:t>
      </w:r>
      <w:r w:rsidRPr="00954A15">
        <w:rPr>
          <w:i/>
          <w:sz w:val="24"/>
          <w:szCs w:val="24"/>
          <w:lang w:val="en-US"/>
        </w:rPr>
        <w:t xml:space="preserve"> </w:t>
      </w:r>
    </w:p>
    <w:p w14:paraId="1038E63E" w14:textId="77777777" w:rsidR="008E4C6A" w:rsidRPr="00954A15" w:rsidRDefault="008E4C6A" w:rsidP="00954A15">
      <w:pPr>
        <w:spacing w:after="0" w:line="276" w:lineRule="auto"/>
        <w:jc w:val="both"/>
        <w:rPr>
          <w:sz w:val="16"/>
          <w:szCs w:val="16"/>
          <w:lang w:val="en-US"/>
        </w:rPr>
      </w:pPr>
    </w:p>
    <w:p w14:paraId="71E59C7B" w14:textId="77777777" w:rsidR="00C62151" w:rsidRPr="006A1E77" w:rsidRDefault="00C62151" w:rsidP="00C62151">
      <w:pPr>
        <w:jc w:val="both"/>
        <w:rPr>
          <w:sz w:val="24"/>
          <w:szCs w:val="24"/>
          <w:lang w:val="en-US"/>
        </w:rPr>
      </w:pPr>
      <w:r w:rsidRPr="006A1E77">
        <w:rPr>
          <w:sz w:val="24"/>
          <w:szCs w:val="24"/>
          <w:lang w:val="en-US"/>
        </w:rPr>
        <w:t xml:space="preserve">On </w:t>
      </w:r>
      <w:proofErr w:type="gramStart"/>
      <w:r w:rsidRPr="006A1E77">
        <w:rPr>
          <w:sz w:val="24"/>
          <w:szCs w:val="24"/>
          <w:lang w:val="en-US"/>
        </w:rPr>
        <w:t>13 February 2020</w:t>
      </w:r>
      <w:proofErr w:type="gramEnd"/>
      <w:r w:rsidRPr="006A1E77">
        <w:rPr>
          <w:sz w:val="24"/>
          <w:szCs w:val="24"/>
          <w:lang w:val="en-US"/>
        </w:rPr>
        <w:t xml:space="preserve"> the </w:t>
      </w:r>
      <w:r w:rsidR="008E4C6A">
        <w:rPr>
          <w:sz w:val="24"/>
          <w:szCs w:val="24"/>
          <w:lang w:val="en-US"/>
        </w:rPr>
        <w:t>NT</w:t>
      </w:r>
      <w:r w:rsidRPr="006A1E77">
        <w:rPr>
          <w:sz w:val="24"/>
          <w:szCs w:val="24"/>
          <w:lang w:val="en-US"/>
        </w:rPr>
        <w:t xml:space="preserve"> Government published a guideline, “</w:t>
      </w:r>
      <w:r w:rsidRPr="00954A15">
        <w:rPr>
          <w:i/>
          <w:sz w:val="24"/>
          <w:szCs w:val="24"/>
          <w:lang w:val="en-US"/>
        </w:rPr>
        <w:t>Limits of acceptable change of groundwater dependent vegetation in the Western Davenport Water Control District”</w:t>
      </w:r>
      <w:r w:rsidRPr="006A1E77">
        <w:rPr>
          <w:sz w:val="24"/>
          <w:szCs w:val="24"/>
          <w:lang w:val="en-US"/>
        </w:rPr>
        <w:t xml:space="preserve"> (</w:t>
      </w:r>
      <w:r w:rsidRPr="00954A15">
        <w:rPr>
          <w:b/>
          <w:sz w:val="24"/>
          <w:szCs w:val="24"/>
          <w:lang w:val="en-US"/>
        </w:rPr>
        <w:t>Guideline</w:t>
      </w:r>
      <w:r w:rsidRPr="006A1E77">
        <w:rPr>
          <w:sz w:val="24"/>
          <w:szCs w:val="24"/>
          <w:lang w:val="en-US"/>
        </w:rPr>
        <w:t xml:space="preserve">) without any public consultation. CLC is deeply concerned about the Guideline for the following reasons: </w:t>
      </w:r>
    </w:p>
    <w:p w14:paraId="10B11139" w14:textId="77777777" w:rsidR="00C62151" w:rsidRPr="00954A15" w:rsidRDefault="00C62151" w:rsidP="00954A15">
      <w:pPr>
        <w:pStyle w:val="ListParagraph"/>
        <w:numPr>
          <w:ilvl w:val="0"/>
          <w:numId w:val="8"/>
        </w:numPr>
        <w:spacing w:line="276" w:lineRule="auto"/>
        <w:ind w:left="357"/>
        <w:contextualSpacing w:val="0"/>
        <w:jc w:val="both"/>
        <w:rPr>
          <w:i/>
          <w:sz w:val="24"/>
          <w:szCs w:val="24"/>
          <w:lang w:val="en-US"/>
        </w:rPr>
      </w:pPr>
      <w:r w:rsidRPr="006A1E77">
        <w:rPr>
          <w:sz w:val="24"/>
          <w:szCs w:val="24"/>
          <w:lang w:val="en-US"/>
        </w:rPr>
        <w:t xml:space="preserve">The Guideline states that it is </w:t>
      </w:r>
      <w:r w:rsidRPr="00954A15">
        <w:rPr>
          <w:i/>
          <w:sz w:val="24"/>
          <w:szCs w:val="24"/>
          <w:lang w:val="en-US"/>
        </w:rPr>
        <w:t>‘intended to be read subject to the Western Davenport Water Allocation Plan 2018-2021’.</w:t>
      </w:r>
    </w:p>
    <w:p w14:paraId="73EE78F7" w14:textId="77777777" w:rsidR="00982D5E" w:rsidRPr="00954A15" w:rsidRDefault="00982D5E" w:rsidP="00954A15">
      <w:pPr>
        <w:spacing w:after="0" w:line="276" w:lineRule="auto"/>
        <w:jc w:val="both"/>
        <w:rPr>
          <w:sz w:val="16"/>
          <w:szCs w:val="16"/>
          <w:lang w:val="en-US"/>
        </w:rPr>
      </w:pPr>
    </w:p>
    <w:p w14:paraId="1EA3A3F4" w14:textId="77777777" w:rsidR="00596CCE" w:rsidRPr="008E4C6A" w:rsidRDefault="00596CCE" w:rsidP="00954A15">
      <w:pPr>
        <w:pStyle w:val="ListParagraph"/>
        <w:numPr>
          <w:ilvl w:val="0"/>
          <w:numId w:val="8"/>
        </w:numPr>
        <w:spacing w:line="276" w:lineRule="auto"/>
        <w:ind w:left="357"/>
        <w:contextualSpacing w:val="0"/>
        <w:jc w:val="both"/>
        <w:rPr>
          <w:sz w:val="24"/>
          <w:szCs w:val="24"/>
          <w:lang w:val="en-US"/>
        </w:rPr>
      </w:pPr>
      <w:r>
        <w:rPr>
          <w:sz w:val="24"/>
          <w:szCs w:val="24"/>
          <w:lang w:val="en-US"/>
        </w:rPr>
        <w:t xml:space="preserve">The Guideline has been created just for the Western Davenport Water </w:t>
      </w:r>
      <w:r w:rsidR="008E4C6A">
        <w:rPr>
          <w:sz w:val="24"/>
          <w:szCs w:val="24"/>
          <w:lang w:val="en-US"/>
        </w:rPr>
        <w:t xml:space="preserve">Control </w:t>
      </w:r>
      <w:r>
        <w:rPr>
          <w:sz w:val="24"/>
          <w:szCs w:val="24"/>
          <w:lang w:val="en-US"/>
        </w:rPr>
        <w:t>District</w:t>
      </w:r>
      <w:r w:rsidR="00982D5E" w:rsidRPr="008E4C6A">
        <w:rPr>
          <w:sz w:val="24"/>
          <w:szCs w:val="24"/>
          <w:lang w:val="en-US"/>
        </w:rPr>
        <w:t>.</w:t>
      </w:r>
    </w:p>
    <w:p w14:paraId="06D583D0" w14:textId="77777777" w:rsidR="00982D5E" w:rsidRPr="00954A15" w:rsidRDefault="00982D5E" w:rsidP="00954A15">
      <w:pPr>
        <w:pStyle w:val="ListParagraph"/>
        <w:spacing w:line="276" w:lineRule="auto"/>
        <w:ind w:left="357"/>
        <w:contextualSpacing w:val="0"/>
        <w:jc w:val="both"/>
        <w:rPr>
          <w:sz w:val="16"/>
          <w:szCs w:val="16"/>
          <w:lang w:val="en-US"/>
        </w:rPr>
      </w:pPr>
    </w:p>
    <w:p w14:paraId="482E7091" w14:textId="77777777" w:rsidR="006A1E77" w:rsidRDefault="00C62151" w:rsidP="00954A15">
      <w:pPr>
        <w:pStyle w:val="ListParagraph"/>
        <w:numPr>
          <w:ilvl w:val="0"/>
          <w:numId w:val="8"/>
        </w:numPr>
        <w:spacing w:line="276" w:lineRule="auto"/>
        <w:ind w:left="357"/>
        <w:contextualSpacing w:val="0"/>
        <w:jc w:val="both"/>
        <w:rPr>
          <w:sz w:val="24"/>
          <w:szCs w:val="24"/>
          <w:lang w:val="en-US"/>
        </w:rPr>
      </w:pPr>
      <w:r w:rsidRPr="006A1E77">
        <w:rPr>
          <w:sz w:val="24"/>
          <w:szCs w:val="24"/>
          <w:lang w:val="en-US"/>
        </w:rPr>
        <w:t>The Guideline states that Department of Environment and Natural Resources has determined that 70% of the current extent of GDEs in the Western Davenport Water Control District should be protected from negative impact.</w:t>
      </w:r>
      <w:r w:rsidR="00596CCE">
        <w:rPr>
          <w:sz w:val="24"/>
          <w:szCs w:val="24"/>
          <w:lang w:val="en-US"/>
        </w:rPr>
        <w:t xml:space="preserve"> </w:t>
      </w:r>
      <w:r w:rsidR="00596CCE" w:rsidRPr="006A1E77">
        <w:rPr>
          <w:sz w:val="24"/>
          <w:szCs w:val="24"/>
          <w:lang w:val="en-US"/>
        </w:rPr>
        <w:t xml:space="preserve">The 30% threshold is inconsistent with the WDWAP, which does not have such a threshold. The WDWAP refers to the NT Water Allocation Planning Framework which specifies that GDEs must be protected from deleterious impacts when considering water extraction license applications in the arid zone. The CLC submits that the </w:t>
      </w:r>
      <w:r w:rsidR="00596CCE">
        <w:rPr>
          <w:sz w:val="24"/>
          <w:szCs w:val="24"/>
          <w:lang w:val="en-US"/>
        </w:rPr>
        <w:t xml:space="preserve">Water </w:t>
      </w:r>
      <w:r w:rsidR="00596CCE" w:rsidRPr="006A1E77">
        <w:rPr>
          <w:sz w:val="24"/>
          <w:szCs w:val="24"/>
          <w:lang w:val="en-US"/>
        </w:rPr>
        <w:t>Controller should only have regard to the WDWAP in their decision and not the Guideline. This includes the limits to the changes in groundwater conditions a</w:t>
      </w:r>
      <w:r w:rsidR="00596CCE">
        <w:rPr>
          <w:sz w:val="24"/>
          <w:szCs w:val="24"/>
          <w:lang w:val="en-US"/>
        </w:rPr>
        <w:t>t GDEs as set out in the WDWAP.</w:t>
      </w:r>
    </w:p>
    <w:p w14:paraId="38A158BF" w14:textId="77777777" w:rsidR="00982D5E" w:rsidRPr="00954A15" w:rsidRDefault="00982D5E" w:rsidP="00954A15">
      <w:pPr>
        <w:pStyle w:val="ListParagraph"/>
        <w:spacing w:line="276" w:lineRule="auto"/>
        <w:ind w:left="357"/>
        <w:contextualSpacing w:val="0"/>
        <w:jc w:val="both"/>
        <w:rPr>
          <w:sz w:val="16"/>
          <w:szCs w:val="16"/>
          <w:lang w:val="en-US"/>
        </w:rPr>
      </w:pPr>
    </w:p>
    <w:p w14:paraId="20D66AB6" w14:textId="77777777" w:rsidR="006A1E77" w:rsidRPr="00596CCE" w:rsidRDefault="00C62151" w:rsidP="00954A15">
      <w:pPr>
        <w:pStyle w:val="ListParagraph"/>
        <w:numPr>
          <w:ilvl w:val="0"/>
          <w:numId w:val="8"/>
        </w:numPr>
        <w:spacing w:line="276" w:lineRule="auto"/>
        <w:ind w:left="357"/>
        <w:contextualSpacing w:val="0"/>
        <w:jc w:val="both"/>
        <w:rPr>
          <w:sz w:val="24"/>
          <w:szCs w:val="24"/>
          <w:lang w:val="en-US"/>
        </w:rPr>
      </w:pPr>
      <w:r w:rsidRPr="006A1E77">
        <w:rPr>
          <w:sz w:val="24"/>
          <w:szCs w:val="24"/>
          <w:lang w:val="en-US"/>
        </w:rPr>
        <w:t xml:space="preserve">The Guideline fails to set out the basis for this position even noting in the Guideline that </w:t>
      </w:r>
      <w:r w:rsidRPr="00954A15">
        <w:rPr>
          <w:i/>
          <w:sz w:val="24"/>
          <w:szCs w:val="24"/>
          <w:lang w:val="en-US"/>
        </w:rPr>
        <w:t>“there is limited scientific evidence to confidently set this threshold for Australian arid-zone GDEs specifically”.</w:t>
      </w:r>
      <w:r w:rsidRPr="006A1E77">
        <w:rPr>
          <w:sz w:val="24"/>
          <w:szCs w:val="24"/>
          <w:lang w:val="en-US"/>
        </w:rPr>
        <w:t xml:space="preserve"> The Guideline refers to recent studies and “research in a broad range of environmental and department contexts nationally” but none of these studies have been cited. </w:t>
      </w:r>
    </w:p>
    <w:p w14:paraId="5CC87AFE" w14:textId="77777777" w:rsidR="00C62151" w:rsidRPr="006A1E77" w:rsidRDefault="00C62151" w:rsidP="00954A15">
      <w:pPr>
        <w:spacing w:line="276" w:lineRule="auto"/>
        <w:ind w:left="357"/>
        <w:jc w:val="both"/>
        <w:rPr>
          <w:sz w:val="24"/>
          <w:szCs w:val="24"/>
          <w:lang w:val="en-US"/>
        </w:rPr>
      </w:pPr>
    </w:p>
    <w:p w14:paraId="122348EE" w14:textId="77777777" w:rsidR="00BA2291" w:rsidRPr="006A1E77" w:rsidRDefault="00BA2291" w:rsidP="00515CAF">
      <w:pPr>
        <w:ind w:left="5760" w:firstLine="720"/>
        <w:rPr>
          <w:sz w:val="24"/>
          <w:szCs w:val="24"/>
          <w:lang w:val="en-US"/>
        </w:rPr>
      </w:pPr>
    </w:p>
    <w:sectPr w:rsidR="00BA2291" w:rsidRPr="006A1E77" w:rsidSect="00A0426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990A4" w14:textId="77777777" w:rsidR="00A94797" w:rsidRDefault="00A94797" w:rsidP="00BA2291">
      <w:pPr>
        <w:spacing w:after="0" w:line="240" w:lineRule="auto"/>
      </w:pPr>
      <w:r>
        <w:separator/>
      </w:r>
    </w:p>
  </w:endnote>
  <w:endnote w:type="continuationSeparator" w:id="0">
    <w:p w14:paraId="08D47C23" w14:textId="77777777" w:rsidR="00A94797" w:rsidRDefault="00A94797" w:rsidP="00BA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057779"/>
      <w:docPartObj>
        <w:docPartGallery w:val="Page Numbers (Bottom of Page)"/>
        <w:docPartUnique/>
      </w:docPartObj>
    </w:sdtPr>
    <w:sdtEndPr>
      <w:rPr>
        <w:noProof/>
      </w:rPr>
    </w:sdtEndPr>
    <w:sdtContent>
      <w:p w14:paraId="6A70EBCB" w14:textId="77777777" w:rsidR="00982D5E" w:rsidRDefault="00982D5E">
        <w:pPr>
          <w:pStyle w:val="Footer"/>
          <w:jc w:val="right"/>
        </w:pPr>
        <w:r>
          <w:fldChar w:fldCharType="begin"/>
        </w:r>
        <w:r>
          <w:instrText xml:space="preserve"> PAGE   \* MERGEFORMAT </w:instrText>
        </w:r>
        <w:r>
          <w:fldChar w:fldCharType="separate"/>
        </w:r>
        <w:r w:rsidR="00131CB2">
          <w:rPr>
            <w:noProof/>
          </w:rPr>
          <w:t>1</w:t>
        </w:r>
        <w:r>
          <w:rPr>
            <w:noProof/>
          </w:rPr>
          <w:fldChar w:fldCharType="end"/>
        </w:r>
      </w:p>
    </w:sdtContent>
  </w:sdt>
  <w:p w14:paraId="0912B84C" w14:textId="77777777" w:rsidR="000411D9" w:rsidRDefault="0004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4A2D7" w14:textId="77777777" w:rsidR="00A94797" w:rsidRDefault="00A94797" w:rsidP="00BA2291">
      <w:pPr>
        <w:spacing w:after="0" w:line="240" w:lineRule="auto"/>
      </w:pPr>
      <w:r>
        <w:separator/>
      </w:r>
    </w:p>
  </w:footnote>
  <w:footnote w:type="continuationSeparator" w:id="0">
    <w:p w14:paraId="1D2498DB" w14:textId="77777777" w:rsidR="00A94797" w:rsidRDefault="00A94797" w:rsidP="00BA2291">
      <w:pPr>
        <w:spacing w:after="0" w:line="240" w:lineRule="auto"/>
      </w:pPr>
      <w:r>
        <w:continuationSeparator/>
      </w:r>
    </w:p>
  </w:footnote>
  <w:footnote w:id="1">
    <w:p w14:paraId="272807DC" w14:textId="77777777" w:rsidR="00616E47" w:rsidRPr="00126524" w:rsidRDefault="00616E47" w:rsidP="00616E47">
      <w:pPr>
        <w:pStyle w:val="FootnoteText"/>
        <w:rPr>
          <w:sz w:val="22"/>
          <w:szCs w:val="22"/>
        </w:rPr>
      </w:pPr>
      <w:r w:rsidRPr="00126524">
        <w:rPr>
          <w:rStyle w:val="FootnoteReference"/>
          <w:sz w:val="22"/>
          <w:szCs w:val="22"/>
        </w:rPr>
        <w:footnoteRef/>
      </w:r>
      <w:r w:rsidRPr="00126524">
        <w:rPr>
          <w:sz w:val="22"/>
          <w:szCs w:val="22"/>
        </w:rPr>
        <w:t xml:space="preserve"> W. </w:t>
      </w:r>
      <w:proofErr w:type="spellStart"/>
      <w:r w:rsidRPr="00126524">
        <w:rPr>
          <w:sz w:val="22"/>
          <w:szCs w:val="22"/>
        </w:rPr>
        <w:t>Nikolakis</w:t>
      </w:r>
      <w:proofErr w:type="spellEnd"/>
      <w:r w:rsidRPr="00126524">
        <w:rPr>
          <w:sz w:val="22"/>
          <w:szCs w:val="22"/>
        </w:rPr>
        <w:t>, A. Nygaard</w:t>
      </w:r>
      <w:r>
        <w:rPr>
          <w:sz w:val="22"/>
          <w:szCs w:val="22"/>
        </w:rPr>
        <w:t>,</w:t>
      </w:r>
      <w:r w:rsidRPr="00126524">
        <w:rPr>
          <w:sz w:val="22"/>
          <w:szCs w:val="22"/>
        </w:rPr>
        <w:t xml:space="preserve"> and R. Quentin Grafton, </w:t>
      </w:r>
      <w:r w:rsidRPr="00126524">
        <w:rPr>
          <w:i/>
          <w:iCs/>
          <w:sz w:val="22"/>
          <w:szCs w:val="22"/>
        </w:rPr>
        <w:t>Adapting to climate change for water resource management: issues for northern Australia</w:t>
      </w:r>
      <w:r w:rsidRPr="00126524">
        <w:rPr>
          <w:sz w:val="22"/>
          <w:szCs w:val="22"/>
        </w:rPr>
        <w:t>, Research Report No 108, Environmental Economics Research Hub Research Reports, Australian National University (Canberra, 2011).</w:t>
      </w:r>
    </w:p>
  </w:footnote>
  <w:footnote w:id="2">
    <w:p w14:paraId="45C24934" w14:textId="77777777" w:rsidR="00616E47" w:rsidRPr="00126524" w:rsidRDefault="00616E47" w:rsidP="00616E47">
      <w:pPr>
        <w:pStyle w:val="FootnoteText"/>
        <w:spacing w:line="276" w:lineRule="auto"/>
      </w:pPr>
      <w:r w:rsidRPr="006C5C63">
        <w:rPr>
          <w:rStyle w:val="FootnoteReference"/>
          <w:rFonts w:cstheme="minorHAnsi"/>
          <w:b/>
          <w:sz w:val="22"/>
          <w:szCs w:val="22"/>
        </w:rPr>
        <w:footnoteRef/>
      </w:r>
      <w:r w:rsidRPr="006C5C63">
        <w:rPr>
          <w:rFonts w:cstheme="minorHAnsi"/>
          <w:b/>
          <w:sz w:val="22"/>
          <w:szCs w:val="22"/>
        </w:rPr>
        <w:t xml:space="preserve"> </w:t>
      </w:r>
      <w:r w:rsidRPr="00126524">
        <w:rPr>
          <w:noProof/>
          <w:sz w:val="22"/>
          <w:szCs w:val="22"/>
        </w:rPr>
        <w:t xml:space="preserve">D. </w:t>
      </w:r>
      <w:r w:rsidRPr="00126524">
        <w:rPr>
          <w:sz w:val="22"/>
          <w:szCs w:val="22"/>
        </w:rPr>
        <w:t xml:space="preserve">Green, S. Jackson and J. Morrison, </w:t>
      </w:r>
      <w:r w:rsidRPr="006C5C63">
        <w:rPr>
          <w:i/>
          <w:sz w:val="22"/>
          <w:szCs w:val="22"/>
        </w:rPr>
        <w:t>Risks from climate change to Indigenous communities in the tropical north of Australia</w:t>
      </w:r>
      <w:r w:rsidRPr="00126524">
        <w:rPr>
          <w:sz w:val="22"/>
          <w:szCs w:val="22"/>
        </w:rPr>
        <w:t>, Department of Climate Change and Energy Efficiency (Canberra,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75F1"/>
    <w:multiLevelType w:val="hybridMultilevel"/>
    <w:tmpl w:val="067887C0"/>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1AF0EBB"/>
    <w:multiLevelType w:val="hybridMultilevel"/>
    <w:tmpl w:val="979CA86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2" w15:restartNumberingAfterBreak="0">
    <w:nsid w:val="12767E2A"/>
    <w:multiLevelType w:val="hybridMultilevel"/>
    <w:tmpl w:val="CA12A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2742AC"/>
    <w:multiLevelType w:val="hybridMultilevel"/>
    <w:tmpl w:val="1E306CF6"/>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E351793"/>
    <w:multiLevelType w:val="hybridMultilevel"/>
    <w:tmpl w:val="4122071C"/>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B15F20"/>
    <w:multiLevelType w:val="hybridMultilevel"/>
    <w:tmpl w:val="D284BD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8D16A4"/>
    <w:multiLevelType w:val="hybridMultilevel"/>
    <w:tmpl w:val="7C86C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37D19"/>
    <w:multiLevelType w:val="hybridMultilevel"/>
    <w:tmpl w:val="89C48F9A"/>
    <w:lvl w:ilvl="0" w:tplc="F3000F46">
      <w:start w:val="1"/>
      <w:numFmt w:val="decimal"/>
      <w:lvlText w:val="%1."/>
      <w:lvlJc w:val="left"/>
      <w:pPr>
        <w:ind w:left="360" w:hanging="360"/>
      </w:pPr>
      <w:rPr>
        <w:i w:val="0"/>
      </w:rPr>
    </w:lvl>
    <w:lvl w:ilvl="1" w:tplc="AB2C2830">
      <w:start w:val="1"/>
      <w:numFmt w:val="lowerLetter"/>
      <w:lvlText w:val="%2."/>
      <w:lvlJc w:val="left"/>
      <w:pPr>
        <w:ind w:left="872" w:hanging="360"/>
      </w:pPr>
      <w:rPr>
        <w:i w:val="0"/>
      </w:rPr>
    </w:lvl>
    <w:lvl w:ilvl="2" w:tplc="0C09001B">
      <w:start w:val="1"/>
      <w:numFmt w:val="lowerRoman"/>
      <w:lvlText w:val="%3."/>
      <w:lvlJc w:val="right"/>
      <w:pPr>
        <w:ind w:left="1592" w:hanging="180"/>
      </w:pPr>
    </w:lvl>
    <w:lvl w:ilvl="3" w:tplc="0C09000F">
      <w:start w:val="1"/>
      <w:numFmt w:val="decimal"/>
      <w:lvlText w:val="%4."/>
      <w:lvlJc w:val="left"/>
      <w:pPr>
        <w:ind w:left="2312" w:hanging="360"/>
      </w:pPr>
    </w:lvl>
    <w:lvl w:ilvl="4" w:tplc="0C090019">
      <w:start w:val="1"/>
      <w:numFmt w:val="lowerLetter"/>
      <w:lvlText w:val="%5."/>
      <w:lvlJc w:val="left"/>
      <w:pPr>
        <w:ind w:left="3032" w:hanging="360"/>
      </w:pPr>
    </w:lvl>
    <w:lvl w:ilvl="5" w:tplc="0C09001B">
      <w:start w:val="1"/>
      <w:numFmt w:val="lowerRoman"/>
      <w:lvlText w:val="%6."/>
      <w:lvlJc w:val="right"/>
      <w:pPr>
        <w:ind w:left="3752" w:hanging="180"/>
      </w:pPr>
    </w:lvl>
    <w:lvl w:ilvl="6" w:tplc="0C09000F">
      <w:start w:val="1"/>
      <w:numFmt w:val="decimal"/>
      <w:lvlText w:val="%7."/>
      <w:lvlJc w:val="left"/>
      <w:pPr>
        <w:ind w:left="4472" w:hanging="360"/>
      </w:pPr>
    </w:lvl>
    <w:lvl w:ilvl="7" w:tplc="0C090019">
      <w:start w:val="1"/>
      <w:numFmt w:val="lowerLetter"/>
      <w:lvlText w:val="%8."/>
      <w:lvlJc w:val="left"/>
      <w:pPr>
        <w:ind w:left="5192" w:hanging="360"/>
      </w:pPr>
    </w:lvl>
    <w:lvl w:ilvl="8" w:tplc="0C09001B">
      <w:start w:val="1"/>
      <w:numFmt w:val="lowerRoman"/>
      <w:lvlText w:val="%9."/>
      <w:lvlJc w:val="right"/>
      <w:pPr>
        <w:ind w:left="5912" w:hanging="180"/>
      </w:pPr>
    </w:lvl>
  </w:abstractNum>
  <w:abstractNum w:abstractNumId="8" w15:restartNumberingAfterBreak="0">
    <w:nsid w:val="399429DF"/>
    <w:multiLevelType w:val="hybridMultilevel"/>
    <w:tmpl w:val="FC00174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DAF2303"/>
    <w:multiLevelType w:val="hybridMultilevel"/>
    <w:tmpl w:val="F87A04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5D06E4"/>
    <w:multiLevelType w:val="hybridMultilevel"/>
    <w:tmpl w:val="00BA3D5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43959"/>
    <w:multiLevelType w:val="hybridMultilevel"/>
    <w:tmpl w:val="431AC8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F542905A">
      <w:start w:val="1"/>
      <w:numFmt w:val="lowerRoman"/>
      <w:lvlText w:val="%3."/>
      <w:lvlJc w:val="lef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6DC31E10"/>
    <w:multiLevelType w:val="hybridMultilevel"/>
    <w:tmpl w:val="02EA1172"/>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DEE23A4"/>
    <w:multiLevelType w:val="hybridMultilevel"/>
    <w:tmpl w:val="618233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D069C4"/>
    <w:multiLevelType w:val="hybridMultilevel"/>
    <w:tmpl w:val="D320F0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2"/>
  </w:num>
  <w:num w:numId="3">
    <w:abstractNumId w:val="1"/>
  </w:num>
  <w:num w:numId="4">
    <w:abstractNumId w:val="8"/>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0"/>
  </w:num>
  <w:num w:numId="12">
    <w:abstractNumId w:val="14"/>
  </w:num>
  <w:num w:numId="13">
    <w:abstractNumId w:val="6"/>
  </w:num>
  <w:num w:numId="14">
    <w:abstractNumId w:val="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91"/>
    <w:rsid w:val="00000128"/>
    <w:rsid w:val="00034E14"/>
    <w:rsid w:val="000411D9"/>
    <w:rsid w:val="000516EB"/>
    <w:rsid w:val="000E0A4A"/>
    <w:rsid w:val="001127CC"/>
    <w:rsid w:val="00131CB2"/>
    <w:rsid w:val="0017480F"/>
    <w:rsid w:val="00210C7D"/>
    <w:rsid w:val="00337DE7"/>
    <w:rsid w:val="003B29DF"/>
    <w:rsid w:val="00515CAF"/>
    <w:rsid w:val="00535B66"/>
    <w:rsid w:val="00556CC0"/>
    <w:rsid w:val="00596CCE"/>
    <w:rsid w:val="005A5890"/>
    <w:rsid w:val="00616E47"/>
    <w:rsid w:val="00617D0B"/>
    <w:rsid w:val="006306BE"/>
    <w:rsid w:val="006A1E77"/>
    <w:rsid w:val="006C0BD9"/>
    <w:rsid w:val="006D280F"/>
    <w:rsid w:val="007E23CF"/>
    <w:rsid w:val="00812EDF"/>
    <w:rsid w:val="00890478"/>
    <w:rsid w:val="008D3053"/>
    <w:rsid w:val="008E4C6A"/>
    <w:rsid w:val="008F4ED7"/>
    <w:rsid w:val="00944DD0"/>
    <w:rsid w:val="00954A15"/>
    <w:rsid w:val="00982D5E"/>
    <w:rsid w:val="009E2EE8"/>
    <w:rsid w:val="009F4AB5"/>
    <w:rsid w:val="00A0426E"/>
    <w:rsid w:val="00A94797"/>
    <w:rsid w:val="00AA68A9"/>
    <w:rsid w:val="00B10C4D"/>
    <w:rsid w:val="00B134BE"/>
    <w:rsid w:val="00B330F3"/>
    <w:rsid w:val="00B7568B"/>
    <w:rsid w:val="00B82094"/>
    <w:rsid w:val="00BA2291"/>
    <w:rsid w:val="00BB57F3"/>
    <w:rsid w:val="00C62151"/>
    <w:rsid w:val="00CE588D"/>
    <w:rsid w:val="00CF539E"/>
    <w:rsid w:val="00D474C4"/>
    <w:rsid w:val="00DD0D2B"/>
    <w:rsid w:val="00DF0549"/>
    <w:rsid w:val="00E52310"/>
    <w:rsid w:val="00E82A40"/>
    <w:rsid w:val="00EF56A0"/>
    <w:rsid w:val="00F15554"/>
    <w:rsid w:val="00F27840"/>
    <w:rsid w:val="00F67C94"/>
    <w:rsid w:val="00FA3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C9E7D"/>
  <w15:chartTrackingRefBased/>
  <w15:docId w15:val="{BD648278-9FDB-46D9-B8D9-A02A69A9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29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22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2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A229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1"/>
    <w:uiPriority w:val="99"/>
    <w:unhideWhenUsed/>
    <w:rsid w:val="00BA2291"/>
    <w:pPr>
      <w:spacing w:after="0" w:line="240" w:lineRule="auto"/>
    </w:pPr>
    <w:rPr>
      <w:sz w:val="20"/>
      <w:szCs w:val="20"/>
    </w:rPr>
  </w:style>
  <w:style w:type="character" w:customStyle="1" w:styleId="FootnoteTextChar">
    <w:name w:val="Footnote Text Char"/>
    <w:basedOn w:val="DefaultParagraphFont"/>
    <w:uiPriority w:val="99"/>
    <w:semiHidden/>
    <w:rsid w:val="00BA2291"/>
    <w:rPr>
      <w:sz w:val="20"/>
      <w:szCs w:val="20"/>
    </w:rPr>
  </w:style>
  <w:style w:type="paragraph" w:styleId="ListParagraph">
    <w:name w:val="List Paragraph"/>
    <w:basedOn w:val="Normal"/>
    <w:uiPriority w:val="34"/>
    <w:qFormat/>
    <w:rsid w:val="00BA2291"/>
    <w:pPr>
      <w:spacing w:after="0" w:line="240" w:lineRule="auto"/>
      <w:ind w:left="720"/>
      <w:contextualSpacing/>
    </w:pPr>
  </w:style>
  <w:style w:type="character" w:styleId="FootnoteReference">
    <w:name w:val="footnote reference"/>
    <w:aliases w:val="*Footnote Reference,Appel note de bas de page,Footnotes refss"/>
    <w:basedOn w:val="DefaultParagraphFont"/>
    <w:uiPriority w:val="99"/>
    <w:unhideWhenUsed/>
    <w:rsid w:val="00BA2291"/>
    <w:rPr>
      <w:vertAlign w:val="superscript"/>
    </w:rPr>
  </w:style>
  <w:style w:type="character" w:customStyle="1" w:styleId="FootnoteTextChar1">
    <w:name w:val="Footnote Text Char1"/>
    <w:basedOn w:val="DefaultParagraphFont"/>
    <w:link w:val="FootnoteText"/>
    <w:uiPriority w:val="99"/>
    <w:semiHidden/>
    <w:locked/>
    <w:rsid w:val="00BA2291"/>
    <w:rPr>
      <w:sz w:val="20"/>
      <w:szCs w:val="20"/>
    </w:rPr>
  </w:style>
  <w:style w:type="paragraph" w:styleId="TableofFigures">
    <w:name w:val="table of figures"/>
    <w:basedOn w:val="Normal"/>
    <w:next w:val="Normal"/>
    <w:uiPriority w:val="99"/>
    <w:unhideWhenUsed/>
    <w:rsid w:val="00515CAF"/>
    <w:pPr>
      <w:spacing w:line="256" w:lineRule="auto"/>
      <w:ind w:left="440" w:hanging="440"/>
    </w:pPr>
    <w:rPr>
      <w:rFonts w:ascii="Calibri" w:hAnsi="Calibri"/>
    </w:rPr>
  </w:style>
  <w:style w:type="paragraph" w:styleId="Header">
    <w:name w:val="header"/>
    <w:basedOn w:val="Normal"/>
    <w:link w:val="HeaderChar"/>
    <w:uiPriority w:val="99"/>
    <w:unhideWhenUsed/>
    <w:rsid w:val="00041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1D9"/>
  </w:style>
  <w:style w:type="paragraph" w:styleId="Footer">
    <w:name w:val="footer"/>
    <w:basedOn w:val="Normal"/>
    <w:link w:val="FooterChar"/>
    <w:uiPriority w:val="99"/>
    <w:unhideWhenUsed/>
    <w:rsid w:val="00041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1D9"/>
  </w:style>
  <w:style w:type="paragraph" w:styleId="BalloonText">
    <w:name w:val="Balloon Text"/>
    <w:basedOn w:val="Normal"/>
    <w:link w:val="BalloonTextChar"/>
    <w:uiPriority w:val="99"/>
    <w:semiHidden/>
    <w:unhideWhenUsed/>
    <w:rsid w:val="0021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129">
      <w:bodyDiv w:val="1"/>
      <w:marLeft w:val="0"/>
      <w:marRight w:val="0"/>
      <w:marTop w:val="0"/>
      <w:marBottom w:val="0"/>
      <w:divBdr>
        <w:top w:val="none" w:sz="0" w:space="0" w:color="auto"/>
        <w:left w:val="none" w:sz="0" w:space="0" w:color="auto"/>
        <w:bottom w:val="none" w:sz="0" w:space="0" w:color="auto"/>
        <w:right w:val="none" w:sz="0" w:space="0" w:color="auto"/>
      </w:divBdr>
    </w:div>
    <w:div w:id="600337936">
      <w:bodyDiv w:val="1"/>
      <w:marLeft w:val="0"/>
      <w:marRight w:val="0"/>
      <w:marTop w:val="0"/>
      <w:marBottom w:val="0"/>
      <w:divBdr>
        <w:top w:val="none" w:sz="0" w:space="0" w:color="auto"/>
        <w:left w:val="none" w:sz="0" w:space="0" w:color="auto"/>
        <w:bottom w:val="none" w:sz="0" w:space="0" w:color="auto"/>
        <w:right w:val="none" w:sz="0" w:space="0" w:color="auto"/>
      </w:divBdr>
    </w:div>
    <w:div w:id="902833322">
      <w:bodyDiv w:val="1"/>
      <w:marLeft w:val="0"/>
      <w:marRight w:val="0"/>
      <w:marTop w:val="0"/>
      <w:marBottom w:val="0"/>
      <w:divBdr>
        <w:top w:val="none" w:sz="0" w:space="0" w:color="auto"/>
        <w:left w:val="none" w:sz="0" w:space="0" w:color="auto"/>
        <w:bottom w:val="none" w:sz="0" w:space="0" w:color="auto"/>
        <w:right w:val="none" w:sz="0" w:space="0" w:color="auto"/>
      </w:divBdr>
    </w:div>
    <w:div w:id="20491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C1F0-A4B8-4715-B469-71910087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DR131 - Central Land Council (CLC) - National Water Reform - Public inquiry</vt:lpstr>
    </vt:vector>
  </TitlesOfParts>
  <Company>Central Land Council (CLC)</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DR131 - Central Land Council (CLC) - National Water Reform - Public inquiry</dc:title>
  <dc:subject/>
  <dc:creator>Central Land Council (CLC)</dc:creator>
  <cp:keywords/>
  <dc:description/>
  <cp:lastModifiedBy>Alston, Chris</cp:lastModifiedBy>
  <cp:revision>3</cp:revision>
  <dcterms:created xsi:type="dcterms:W3CDTF">2021-03-23T07:21:00Z</dcterms:created>
  <dcterms:modified xsi:type="dcterms:W3CDTF">2021-03-24T23:45:00Z</dcterms:modified>
</cp:coreProperties>
</file>