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5A82" w14:textId="77777777" w:rsidR="00FE6FA2" w:rsidRDefault="00FE6FA2" w:rsidP="00FE6FA2">
      <w:pPr>
        <w:jc w:val="center"/>
        <w:rPr>
          <w:sz w:val="32"/>
          <w:szCs w:val="32"/>
        </w:rPr>
      </w:pPr>
    </w:p>
    <w:p w14:paraId="4699ED31" w14:textId="77777777" w:rsidR="00FE6FA2" w:rsidRDefault="00FE6FA2" w:rsidP="00FE6FA2">
      <w:pPr>
        <w:jc w:val="center"/>
        <w:rPr>
          <w:sz w:val="32"/>
          <w:szCs w:val="32"/>
        </w:rPr>
      </w:pPr>
    </w:p>
    <w:p w14:paraId="580DD64F" w14:textId="77777777" w:rsidR="00FE6FA2" w:rsidRDefault="00FE6FA2" w:rsidP="00FE6FA2">
      <w:pPr>
        <w:jc w:val="center"/>
        <w:rPr>
          <w:sz w:val="32"/>
          <w:szCs w:val="32"/>
        </w:rPr>
      </w:pPr>
    </w:p>
    <w:p w14:paraId="2098DB5E" w14:textId="77777777" w:rsidR="00FE6FA2" w:rsidRDefault="00FE6FA2" w:rsidP="00FE6FA2">
      <w:pPr>
        <w:jc w:val="center"/>
        <w:rPr>
          <w:sz w:val="32"/>
          <w:szCs w:val="32"/>
        </w:rPr>
      </w:pPr>
    </w:p>
    <w:p w14:paraId="47E6BB94" w14:textId="77777777" w:rsidR="00FE6FA2" w:rsidRDefault="00FE6FA2" w:rsidP="00FE6FA2">
      <w:pPr>
        <w:jc w:val="center"/>
        <w:rPr>
          <w:sz w:val="32"/>
          <w:szCs w:val="32"/>
        </w:rPr>
      </w:pPr>
    </w:p>
    <w:p w14:paraId="78B565C8" w14:textId="77777777" w:rsidR="00FE6FA2" w:rsidRDefault="00FE6FA2" w:rsidP="00FE6FA2">
      <w:pPr>
        <w:jc w:val="center"/>
        <w:rPr>
          <w:sz w:val="32"/>
          <w:szCs w:val="32"/>
        </w:rPr>
      </w:pPr>
    </w:p>
    <w:p w14:paraId="6815A8FA" w14:textId="77777777" w:rsidR="00FE6FA2" w:rsidRDefault="00FE6FA2" w:rsidP="00FE6FA2">
      <w:pPr>
        <w:jc w:val="center"/>
        <w:rPr>
          <w:sz w:val="32"/>
          <w:szCs w:val="32"/>
        </w:rPr>
      </w:pPr>
    </w:p>
    <w:p w14:paraId="04E29FB7" w14:textId="77777777" w:rsidR="00FE6FA2" w:rsidRDefault="00FE6FA2" w:rsidP="00FE6FA2">
      <w:pPr>
        <w:jc w:val="center"/>
        <w:rPr>
          <w:sz w:val="32"/>
          <w:szCs w:val="32"/>
        </w:rPr>
      </w:pPr>
    </w:p>
    <w:p w14:paraId="31691CEE" w14:textId="77777777" w:rsidR="00FE6FA2" w:rsidRDefault="00FE6FA2" w:rsidP="00FE6FA2">
      <w:pPr>
        <w:jc w:val="center"/>
        <w:rPr>
          <w:sz w:val="32"/>
          <w:szCs w:val="32"/>
        </w:rPr>
      </w:pPr>
    </w:p>
    <w:p w14:paraId="77557938" w14:textId="77777777" w:rsidR="00FE6FA2" w:rsidRDefault="00FE6FA2" w:rsidP="00FE6FA2">
      <w:pPr>
        <w:jc w:val="center"/>
        <w:rPr>
          <w:sz w:val="32"/>
          <w:szCs w:val="32"/>
        </w:rPr>
      </w:pPr>
    </w:p>
    <w:p w14:paraId="33B9EFD1" w14:textId="77777777" w:rsidR="00FE6FA2" w:rsidRDefault="00FE6FA2" w:rsidP="00FE6FA2">
      <w:pPr>
        <w:jc w:val="center"/>
        <w:rPr>
          <w:sz w:val="32"/>
          <w:szCs w:val="32"/>
        </w:rPr>
      </w:pPr>
    </w:p>
    <w:p w14:paraId="112C5C19" w14:textId="251863D0" w:rsidR="00007A62" w:rsidRPr="00FE6FA2" w:rsidRDefault="00C509EE" w:rsidP="00FE6FA2">
      <w:pPr>
        <w:jc w:val="center"/>
        <w:rPr>
          <w:sz w:val="32"/>
          <w:szCs w:val="32"/>
        </w:rPr>
      </w:pPr>
      <w:r w:rsidRPr="00FE6FA2">
        <w:rPr>
          <w:sz w:val="32"/>
          <w:szCs w:val="32"/>
        </w:rPr>
        <w:t>Submission to Productivity Commission’s study into Indirect Employment in aged care.</w:t>
      </w:r>
    </w:p>
    <w:p w14:paraId="5ACEE5F2" w14:textId="4E586A40" w:rsidR="00C509EE" w:rsidRPr="00FE6FA2" w:rsidRDefault="00C509EE" w:rsidP="00FE6FA2">
      <w:pPr>
        <w:jc w:val="center"/>
        <w:rPr>
          <w:sz w:val="32"/>
          <w:szCs w:val="32"/>
        </w:rPr>
      </w:pPr>
    </w:p>
    <w:p w14:paraId="30F10453" w14:textId="2B35B066" w:rsidR="00C509EE" w:rsidRPr="00FE6FA2" w:rsidRDefault="00C509EE" w:rsidP="00FE6FA2">
      <w:pPr>
        <w:jc w:val="center"/>
        <w:rPr>
          <w:sz w:val="32"/>
          <w:szCs w:val="32"/>
        </w:rPr>
      </w:pPr>
      <w:r w:rsidRPr="00FE6FA2">
        <w:rPr>
          <w:sz w:val="32"/>
          <w:szCs w:val="32"/>
        </w:rPr>
        <w:t>Dr. Elsa Underhill, M.Com (</w:t>
      </w:r>
      <w:proofErr w:type="spellStart"/>
      <w:r w:rsidRPr="00FE6FA2">
        <w:rPr>
          <w:sz w:val="32"/>
          <w:szCs w:val="32"/>
        </w:rPr>
        <w:t>Melb</w:t>
      </w:r>
      <w:proofErr w:type="spellEnd"/>
      <w:r w:rsidRPr="00FE6FA2">
        <w:rPr>
          <w:sz w:val="32"/>
          <w:szCs w:val="32"/>
        </w:rPr>
        <w:t>), PhD (UNSW), Deakin University Victoria</w:t>
      </w:r>
    </w:p>
    <w:p w14:paraId="45BD14C4" w14:textId="01D289A2" w:rsidR="00C509EE" w:rsidRPr="00FE6FA2" w:rsidRDefault="00C509EE" w:rsidP="00FE6FA2">
      <w:pPr>
        <w:jc w:val="center"/>
        <w:rPr>
          <w:sz w:val="32"/>
          <w:szCs w:val="32"/>
        </w:rPr>
      </w:pPr>
    </w:p>
    <w:p w14:paraId="04F6CAF2" w14:textId="5BE2A06A" w:rsidR="00C509EE" w:rsidRPr="00FE6FA2" w:rsidRDefault="00C509EE" w:rsidP="00FE6FA2">
      <w:pPr>
        <w:jc w:val="center"/>
        <w:rPr>
          <w:sz w:val="32"/>
          <w:szCs w:val="32"/>
        </w:rPr>
      </w:pPr>
      <w:r w:rsidRPr="00FE6FA2">
        <w:rPr>
          <w:sz w:val="32"/>
          <w:szCs w:val="32"/>
        </w:rPr>
        <w:t>29</w:t>
      </w:r>
      <w:r w:rsidRPr="00FE6FA2">
        <w:rPr>
          <w:sz w:val="32"/>
          <w:szCs w:val="32"/>
          <w:vertAlign w:val="superscript"/>
        </w:rPr>
        <w:t>th</w:t>
      </w:r>
      <w:r w:rsidRPr="00FE6FA2">
        <w:rPr>
          <w:sz w:val="32"/>
          <w:szCs w:val="32"/>
        </w:rPr>
        <w:t xml:space="preserve"> April 2022.</w:t>
      </w:r>
    </w:p>
    <w:p w14:paraId="2030E1AC" w14:textId="77777777" w:rsidR="00C509EE" w:rsidRDefault="00C509EE" w:rsidP="003A06AA">
      <w:pPr>
        <w:jc w:val="both"/>
      </w:pPr>
      <w:r>
        <w:br w:type="page"/>
      </w:r>
    </w:p>
    <w:p w14:paraId="02B459B8" w14:textId="78EFA51E" w:rsidR="00C509EE" w:rsidRDefault="00C509EE" w:rsidP="003A06AA">
      <w:pPr>
        <w:jc w:val="both"/>
      </w:pPr>
      <w:r>
        <w:lastRenderedPageBreak/>
        <w:t>I, Dr. Elsa Underhill, M.Com (</w:t>
      </w:r>
      <w:proofErr w:type="spellStart"/>
      <w:r>
        <w:t>Melb</w:t>
      </w:r>
      <w:proofErr w:type="spellEnd"/>
      <w:r>
        <w:t xml:space="preserve">), PhD (UNSW), Visitor, Deakin University Victoria make the following submission to the </w:t>
      </w:r>
      <w:r w:rsidRPr="00C509EE">
        <w:t>Productivity Commission’s study into Indirect Employment in aged care</w:t>
      </w:r>
      <w:r>
        <w:t xml:space="preserve">, in response to the Issues Paper released in March 2022. </w:t>
      </w:r>
      <w:r w:rsidR="00915FF9">
        <w:t>The study looks at the use of indirect employment in aged care – with a particular focus on independent contactors (including those in labour hire agencies) and workers engaged through digital platforms in residential and home-based aged care and the implications for consumers, the aged care workforce and aged care providers. This submission focuses upon</w:t>
      </w:r>
      <w:r w:rsidR="00C60992">
        <w:t xml:space="preserve"> the ‘information requests’ presented in the Issues Paper</w:t>
      </w:r>
      <w:r w:rsidR="00FE6FA2">
        <w:t xml:space="preserve"> on pages 12, 21, 28 and 29)</w:t>
      </w:r>
      <w:r w:rsidR="00915FF9">
        <w:t>.</w:t>
      </w:r>
    </w:p>
    <w:p w14:paraId="151A7FA3" w14:textId="06843B3D" w:rsidR="0017793D" w:rsidRDefault="00915FF9" w:rsidP="003A06AA">
      <w:pPr>
        <w:spacing w:after="200" w:line="276" w:lineRule="auto"/>
        <w:jc w:val="both"/>
        <w:rPr>
          <w:rFonts w:ascii="Calibri" w:eastAsia="Calibri" w:hAnsi="Calibri" w:cs="Times New Roman"/>
        </w:rPr>
      </w:pPr>
      <w:r w:rsidRPr="00915FF9">
        <w:rPr>
          <w:rFonts w:ascii="Calibri" w:eastAsia="Calibri" w:hAnsi="Calibri" w:cs="Times New Roman"/>
        </w:rPr>
        <w:t xml:space="preserve">I have conducted substantial research into labour hire employment, commencing with my doctoral thesis (UNSW) which focused upon the employment and occupational health and safety implications of labour hire employment. </w:t>
      </w:r>
      <w:r w:rsidR="00061190">
        <w:rPr>
          <w:rFonts w:ascii="Calibri" w:eastAsia="Calibri" w:hAnsi="Calibri" w:cs="Times New Roman"/>
        </w:rPr>
        <w:t xml:space="preserve">I have been researching insecure/precarious work and particularly its effects on health/safety, workers’ compensation and labour standards amongst labour hire workers since the early 1990s. My more recent research has focused upon temporary migrant workers, especially visa 417 working holiday makers. I have published extensively on these subjects, made submissions to government enquiries, and been an expert witness for WorkSafe Victoria in several prosecutions involving injuries/deaths to labour hire workers. </w:t>
      </w:r>
      <w:r w:rsidRPr="00915FF9">
        <w:rPr>
          <w:rFonts w:ascii="Calibri" w:eastAsia="Calibri" w:hAnsi="Calibri" w:cs="Times New Roman"/>
        </w:rPr>
        <w:t>My research has been published and cited in international and Australian academic journals. Through my research I have surveyed and conducted focus groups of labour hire employees; I have examined worker’s compensation claims of labour hire and comparable direct hire workers; and I have conducted focus groups with labour hire employers and employers that use labour hire workers (with Prof. Michael Quinlan, UNSW).  My expertise in labour hire employment is draw</w:t>
      </w:r>
      <w:r w:rsidR="00AC7C36">
        <w:rPr>
          <w:rFonts w:ascii="Calibri" w:eastAsia="Calibri" w:hAnsi="Calibri" w:cs="Times New Roman"/>
        </w:rPr>
        <w:t>n</w:t>
      </w:r>
      <w:r w:rsidRPr="00915FF9">
        <w:rPr>
          <w:rFonts w:ascii="Calibri" w:eastAsia="Calibri" w:hAnsi="Calibri" w:cs="Times New Roman"/>
        </w:rPr>
        <w:t xml:space="preserve"> upon in this submission. </w:t>
      </w:r>
      <w:r w:rsidR="0017793D">
        <w:rPr>
          <w:rFonts w:ascii="Calibri" w:eastAsia="Calibri" w:hAnsi="Calibri" w:cs="Times New Roman"/>
        </w:rPr>
        <w:t xml:space="preserve"> A listing of the more directly relevant material and evidence of my expertise can be found in Appendix 1. </w:t>
      </w:r>
    </w:p>
    <w:p w14:paraId="6B15F954" w14:textId="64FBA060" w:rsidR="005F5E3B" w:rsidRDefault="005F5E3B" w:rsidP="003A06AA">
      <w:pPr>
        <w:spacing w:after="200" w:line="276" w:lineRule="auto"/>
        <w:jc w:val="both"/>
        <w:rPr>
          <w:rFonts w:ascii="Calibri" w:eastAsia="Calibri" w:hAnsi="Calibri" w:cs="Times New Roman"/>
        </w:rPr>
      </w:pPr>
      <w:r>
        <w:rPr>
          <w:rFonts w:ascii="Calibri" w:eastAsia="Calibri" w:hAnsi="Calibri" w:cs="Times New Roman"/>
        </w:rPr>
        <w:t>The Issues Paper on Indirect Employment in Aged Care notes that the workforce in age care has been the subject of several reviews, “that have highlighted the following issues:</w:t>
      </w:r>
    </w:p>
    <w:p w14:paraId="24445F0A" w14:textId="372A3CA7" w:rsidR="005F5E3B" w:rsidRPr="003024D3" w:rsidRDefault="005F5E3B" w:rsidP="003A06AA">
      <w:pPr>
        <w:pStyle w:val="ListParagraph"/>
        <w:numPr>
          <w:ilvl w:val="0"/>
          <w:numId w:val="6"/>
        </w:numPr>
        <w:spacing w:after="200" w:line="276" w:lineRule="auto"/>
        <w:jc w:val="both"/>
        <w:rPr>
          <w:rFonts w:ascii="Calibri" w:eastAsia="Calibri" w:hAnsi="Calibri" w:cs="Times New Roman"/>
        </w:rPr>
      </w:pPr>
      <w:r w:rsidRPr="003024D3">
        <w:rPr>
          <w:rFonts w:ascii="Calibri" w:eastAsia="Calibri" w:hAnsi="Calibri" w:cs="Times New Roman"/>
        </w:rPr>
        <w:t>Staff and skills shortages that will not, in light of a growing population, meet the growing demand for aged care services</w:t>
      </w:r>
    </w:p>
    <w:p w14:paraId="6A65A05E" w14:textId="20865E2F" w:rsidR="005F5E3B" w:rsidRPr="003024D3" w:rsidRDefault="005F5E3B" w:rsidP="003A06AA">
      <w:pPr>
        <w:pStyle w:val="ListParagraph"/>
        <w:numPr>
          <w:ilvl w:val="0"/>
          <w:numId w:val="6"/>
        </w:numPr>
        <w:spacing w:after="200" w:line="276" w:lineRule="auto"/>
        <w:jc w:val="both"/>
        <w:rPr>
          <w:rFonts w:ascii="Calibri" w:eastAsia="Calibri" w:hAnsi="Calibri" w:cs="Times New Roman"/>
        </w:rPr>
      </w:pPr>
      <w:r w:rsidRPr="003024D3">
        <w:rPr>
          <w:rFonts w:ascii="Calibri" w:eastAsia="Calibri" w:hAnsi="Calibri" w:cs="Times New Roman"/>
        </w:rPr>
        <w:t>Poor working conditions such as low pay and inconsistent working hours, forcing workers to hold multiple jobs</w:t>
      </w:r>
    </w:p>
    <w:p w14:paraId="5DD7FA5A" w14:textId="1DA119D9" w:rsidR="005F5E3B" w:rsidRPr="003024D3" w:rsidRDefault="005F5E3B" w:rsidP="003A06AA">
      <w:pPr>
        <w:pStyle w:val="ListParagraph"/>
        <w:numPr>
          <w:ilvl w:val="0"/>
          <w:numId w:val="6"/>
        </w:numPr>
        <w:spacing w:after="200" w:line="276" w:lineRule="auto"/>
        <w:jc w:val="both"/>
        <w:rPr>
          <w:rFonts w:ascii="Calibri" w:eastAsia="Calibri" w:hAnsi="Calibri" w:cs="Times New Roman"/>
        </w:rPr>
      </w:pPr>
      <w:r w:rsidRPr="003024D3">
        <w:rPr>
          <w:rFonts w:ascii="Calibri" w:eastAsia="Calibri" w:hAnsi="Calibri" w:cs="Times New Roman"/>
        </w:rPr>
        <w:t xml:space="preserve">High staff turnover and staff retention issues, including significant movement between organisations; and </w:t>
      </w:r>
    </w:p>
    <w:p w14:paraId="48696D87" w14:textId="525B995A" w:rsidR="005F5E3B" w:rsidRPr="003024D3" w:rsidRDefault="005F5E3B" w:rsidP="003A06AA">
      <w:pPr>
        <w:pStyle w:val="ListParagraph"/>
        <w:numPr>
          <w:ilvl w:val="0"/>
          <w:numId w:val="6"/>
        </w:numPr>
        <w:spacing w:after="200" w:line="276" w:lineRule="auto"/>
        <w:jc w:val="both"/>
        <w:rPr>
          <w:rFonts w:ascii="Calibri" w:eastAsia="Calibri" w:hAnsi="Calibri" w:cs="Times New Roman"/>
        </w:rPr>
      </w:pPr>
      <w:r w:rsidRPr="003024D3">
        <w:rPr>
          <w:rFonts w:ascii="Calibri" w:eastAsia="Calibri" w:hAnsi="Calibri" w:cs="Times New Roman"/>
        </w:rPr>
        <w:t>Lack of skill development and career progression, leading staff to move to other industries</w:t>
      </w:r>
      <w:r w:rsidR="00857334" w:rsidRPr="003024D3">
        <w:rPr>
          <w:rFonts w:ascii="Calibri" w:eastAsia="Calibri" w:hAnsi="Calibri" w:cs="Times New Roman"/>
        </w:rPr>
        <w:t>”</w:t>
      </w:r>
      <w:r w:rsidRPr="003024D3">
        <w:rPr>
          <w:rFonts w:ascii="Calibri" w:eastAsia="Calibri" w:hAnsi="Calibri" w:cs="Times New Roman"/>
        </w:rPr>
        <w:t xml:space="preserve"> (Productivity Commission, 2022, p. </w:t>
      </w:r>
      <w:r w:rsidR="00857334" w:rsidRPr="003024D3">
        <w:rPr>
          <w:rFonts w:ascii="Calibri" w:eastAsia="Calibri" w:hAnsi="Calibri" w:cs="Times New Roman"/>
        </w:rPr>
        <w:t>6).</w:t>
      </w:r>
    </w:p>
    <w:p w14:paraId="52AE2DFA" w14:textId="13AB0132" w:rsidR="00857334" w:rsidRDefault="00857334" w:rsidP="003A06AA">
      <w:pPr>
        <w:spacing w:after="200" w:line="276" w:lineRule="auto"/>
        <w:jc w:val="both"/>
        <w:rPr>
          <w:rFonts w:ascii="Calibri" w:eastAsia="Calibri" w:hAnsi="Calibri" w:cs="Times New Roman"/>
        </w:rPr>
      </w:pPr>
      <w:r>
        <w:rPr>
          <w:rFonts w:ascii="Calibri" w:eastAsia="Calibri" w:hAnsi="Calibri" w:cs="Times New Roman"/>
        </w:rPr>
        <w:t xml:space="preserve">The Issues Paper also notes (at p.6) that “The Royal Commission also recommended that the proposed new Aged care Act include a non-delegable duty that organisations that provide subsidised aged care services provide safe and </w:t>
      </w:r>
      <w:proofErr w:type="gramStart"/>
      <w:r>
        <w:rPr>
          <w:rFonts w:ascii="Calibri" w:eastAsia="Calibri" w:hAnsi="Calibri" w:cs="Times New Roman"/>
        </w:rPr>
        <w:t>high quality</w:t>
      </w:r>
      <w:proofErr w:type="gramEnd"/>
      <w:r>
        <w:rPr>
          <w:rFonts w:ascii="Calibri" w:eastAsia="Calibri" w:hAnsi="Calibri" w:cs="Times New Roman"/>
        </w:rPr>
        <w:t xml:space="preserve"> services and that their personal care and nursing staff have the experience, qualifications, skills and training to perform the work that they are being asked to perform.” </w:t>
      </w:r>
    </w:p>
    <w:p w14:paraId="22599EAD" w14:textId="574E9491" w:rsidR="00857334" w:rsidRDefault="003024D3" w:rsidP="003A06AA">
      <w:pPr>
        <w:spacing w:after="200" w:line="276" w:lineRule="auto"/>
        <w:jc w:val="both"/>
        <w:rPr>
          <w:rFonts w:ascii="Calibri" w:eastAsia="Calibri" w:hAnsi="Calibri" w:cs="Times New Roman"/>
        </w:rPr>
      </w:pPr>
      <w:r>
        <w:rPr>
          <w:rFonts w:ascii="Calibri" w:eastAsia="Calibri" w:hAnsi="Calibri" w:cs="Times New Roman"/>
        </w:rPr>
        <w:t xml:space="preserve">Recommendation 87 of the Royal Commission concerns employment status and related labour standards as enforceable standards. It recommends that as an ongoing condition of holding an approval to provide aged care services, </w:t>
      </w:r>
    </w:p>
    <w:p w14:paraId="7CA67549" w14:textId="010B6E78" w:rsidR="003024D3" w:rsidRDefault="003024D3" w:rsidP="003A06AA">
      <w:pPr>
        <w:spacing w:after="200" w:line="276" w:lineRule="auto"/>
        <w:jc w:val="both"/>
        <w:rPr>
          <w:rFonts w:ascii="Calibri" w:eastAsia="Calibri" w:hAnsi="Calibri" w:cs="Times New Roman"/>
        </w:rPr>
      </w:pPr>
      <w:r>
        <w:rPr>
          <w:rFonts w:ascii="Calibri" w:eastAsia="Calibri" w:hAnsi="Calibri" w:cs="Times New Roman"/>
        </w:rPr>
        <w:lastRenderedPageBreak/>
        <w:t xml:space="preserve">a. approved providers: have policies and procedures </w:t>
      </w:r>
      <w:r w:rsidR="005E7DFB">
        <w:rPr>
          <w:rFonts w:ascii="Calibri" w:eastAsia="Calibri" w:hAnsi="Calibri" w:cs="Times New Roman"/>
        </w:rPr>
        <w:t xml:space="preserve">that preference the direct employment of workers engaged to provide personal care and nursing services on their behalf; and </w:t>
      </w:r>
    </w:p>
    <w:p w14:paraId="2E99914A" w14:textId="292F4BE2" w:rsidR="005E7DFB" w:rsidRDefault="005E7DFB" w:rsidP="003A06AA">
      <w:pPr>
        <w:spacing w:after="200" w:line="276" w:lineRule="auto"/>
        <w:jc w:val="both"/>
        <w:rPr>
          <w:rFonts w:ascii="Calibri" w:eastAsia="Calibri" w:hAnsi="Calibri" w:cs="Times New Roman"/>
        </w:rPr>
      </w:pPr>
      <w:r>
        <w:rPr>
          <w:rFonts w:ascii="Calibri" w:eastAsia="Calibri" w:hAnsi="Calibri" w:cs="Times New Roman"/>
        </w:rPr>
        <w:t xml:space="preserve">b. where personal care or nursing work is contacted to another entity, that entity has policies and procedures that preference direct employment of workers for work performed under that contract. </w:t>
      </w:r>
    </w:p>
    <w:p w14:paraId="167EE855" w14:textId="19E13B66" w:rsidR="005E7DFB" w:rsidRDefault="005E7DFB" w:rsidP="003A06AA">
      <w:pPr>
        <w:spacing w:after="200" w:line="276" w:lineRule="auto"/>
        <w:jc w:val="both"/>
        <w:rPr>
          <w:rFonts w:ascii="Calibri" w:eastAsia="Calibri" w:hAnsi="Calibri" w:cs="Times New Roman"/>
        </w:rPr>
      </w:pPr>
      <w:r>
        <w:rPr>
          <w:rFonts w:ascii="Calibri" w:eastAsia="Calibri" w:hAnsi="Calibri" w:cs="Times New Roman"/>
        </w:rPr>
        <w:t>This recommendation was supported by their findings that modes of engagement affect the quality of care provided, and that ‘monitoring and checking the quality of care … is far simpler when employing staff directly’ (Issues Paper, p. 7).</w:t>
      </w:r>
    </w:p>
    <w:p w14:paraId="70B08048" w14:textId="1D91790B" w:rsidR="00AC7C36" w:rsidRDefault="00AC7C36" w:rsidP="003A06AA">
      <w:pPr>
        <w:spacing w:after="200" w:line="276" w:lineRule="auto"/>
        <w:jc w:val="both"/>
        <w:rPr>
          <w:rFonts w:ascii="Calibri" w:eastAsia="Calibri" w:hAnsi="Calibri" w:cs="Times New Roman"/>
        </w:rPr>
      </w:pPr>
      <w:r>
        <w:rPr>
          <w:rFonts w:ascii="Calibri" w:eastAsia="Calibri" w:hAnsi="Calibri" w:cs="Times New Roman"/>
        </w:rPr>
        <w:t xml:space="preserve">The Productivity Commission has sought information on a number of issues related to the preferencing of direct hire employment. I address several of these below. </w:t>
      </w:r>
    </w:p>
    <w:p w14:paraId="7596C3F0" w14:textId="77777777" w:rsidR="00AC7C36" w:rsidRDefault="00AC7C36" w:rsidP="003A06AA">
      <w:pPr>
        <w:spacing w:after="200" w:line="276" w:lineRule="auto"/>
        <w:jc w:val="both"/>
        <w:rPr>
          <w:rFonts w:ascii="Calibri" w:eastAsia="Calibri" w:hAnsi="Calibri" w:cs="Times New Roman"/>
          <w:b/>
          <w:bCs/>
        </w:rPr>
      </w:pPr>
    </w:p>
    <w:p w14:paraId="5A8B5D94" w14:textId="70DD51C4" w:rsidR="00C60992" w:rsidRPr="00464BA5" w:rsidRDefault="00464BA5" w:rsidP="003A06AA">
      <w:pPr>
        <w:spacing w:after="200" w:line="276" w:lineRule="auto"/>
        <w:jc w:val="both"/>
        <w:rPr>
          <w:rFonts w:ascii="Calibri" w:eastAsia="Calibri" w:hAnsi="Calibri" w:cs="Times New Roman"/>
          <w:b/>
          <w:bCs/>
        </w:rPr>
      </w:pPr>
      <w:r>
        <w:rPr>
          <w:rFonts w:ascii="Calibri" w:eastAsia="Calibri" w:hAnsi="Calibri" w:cs="Times New Roman"/>
          <w:b/>
          <w:bCs/>
        </w:rPr>
        <w:t>I</w:t>
      </w:r>
      <w:r w:rsidR="00C60992" w:rsidRPr="00464BA5">
        <w:rPr>
          <w:rFonts w:ascii="Calibri" w:eastAsia="Calibri" w:hAnsi="Calibri" w:cs="Times New Roman"/>
          <w:b/>
          <w:bCs/>
        </w:rPr>
        <w:t>ssues paper</w:t>
      </w:r>
      <w:r w:rsidR="00FE6FA2">
        <w:rPr>
          <w:rFonts w:ascii="Calibri" w:eastAsia="Calibri" w:hAnsi="Calibri" w:cs="Times New Roman"/>
          <w:b/>
          <w:bCs/>
        </w:rPr>
        <w:t xml:space="preserve"> (page 12):</w:t>
      </w:r>
      <w:r>
        <w:rPr>
          <w:rFonts w:ascii="Calibri" w:eastAsia="Calibri" w:hAnsi="Calibri" w:cs="Times New Roman"/>
          <w:b/>
          <w:bCs/>
        </w:rPr>
        <w:t xml:space="preserve"> Defining key concepts and the study’s scope</w:t>
      </w:r>
      <w:r w:rsidR="00C60992" w:rsidRPr="00464BA5">
        <w:rPr>
          <w:rFonts w:ascii="Calibri" w:eastAsia="Calibri" w:hAnsi="Calibri" w:cs="Times New Roman"/>
          <w:b/>
          <w:bCs/>
        </w:rPr>
        <w:t>:</w:t>
      </w:r>
    </w:p>
    <w:p w14:paraId="69158A4B" w14:textId="0988FA7E" w:rsidR="00C60992" w:rsidRPr="00464BA5" w:rsidRDefault="00C60992" w:rsidP="003A06AA">
      <w:pPr>
        <w:spacing w:after="200" w:line="276" w:lineRule="auto"/>
        <w:jc w:val="both"/>
        <w:rPr>
          <w:rFonts w:ascii="Calibri" w:eastAsia="Calibri" w:hAnsi="Calibri" w:cs="Times New Roman"/>
          <w:b/>
          <w:bCs/>
        </w:rPr>
      </w:pPr>
      <w:r w:rsidRPr="00464BA5">
        <w:rPr>
          <w:rFonts w:ascii="Calibri" w:eastAsia="Calibri" w:hAnsi="Calibri" w:cs="Times New Roman"/>
          <w:b/>
          <w:bCs/>
        </w:rPr>
        <w:t xml:space="preserve">For the purposes of the study, the Commission proposes to focus primarily on the use of independent contractors (including those in labour hire agencies) and platform workers among nursing and personal care workers in residential and home-based age care.  Should labour hire agency workers who are directly employed by the agency also be a major focus of the analysis? If </w:t>
      </w:r>
      <w:proofErr w:type="gramStart"/>
      <w:r w:rsidRPr="00464BA5">
        <w:rPr>
          <w:rFonts w:ascii="Calibri" w:eastAsia="Calibri" w:hAnsi="Calibri" w:cs="Times New Roman"/>
          <w:b/>
          <w:bCs/>
        </w:rPr>
        <w:t>so</w:t>
      </w:r>
      <w:proofErr w:type="gramEnd"/>
      <w:r w:rsidRPr="00464BA5">
        <w:rPr>
          <w:rFonts w:ascii="Calibri" w:eastAsia="Calibri" w:hAnsi="Calibri" w:cs="Times New Roman"/>
          <w:b/>
          <w:bCs/>
        </w:rPr>
        <w:t xml:space="preserve"> why?</w:t>
      </w:r>
    </w:p>
    <w:p w14:paraId="26C759AD" w14:textId="6A2E07CC" w:rsidR="00795161" w:rsidRDefault="00C60992" w:rsidP="003A06AA">
      <w:pPr>
        <w:spacing w:after="200" w:line="276" w:lineRule="auto"/>
        <w:jc w:val="both"/>
        <w:rPr>
          <w:rFonts w:ascii="Calibri" w:eastAsia="Calibri" w:hAnsi="Calibri" w:cs="Times New Roman"/>
        </w:rPr>
      </w:pPr>
      <w:r>
        <w:rPr>
          <w:rFonts w:ascii="Calibri" w:eastAsia="Calibri" w:hAnsi="Calibri" w:cs="Times New Roman"/>
        </w:rPr>
        <w:t xml:space="preserve">Labour hire agency workers who are directly employed by the agency </w:t>
      </w:r>
      <w:r w:rsidR="00AC7C36">
        <w:rPr>
          <w:rFonts w:ascii="Calibri" w:eastAsia="Calibri" w:hAnsi="Calibri" w:cs="Times New Roman"/>
        </w:rPr>
        <w:t>sh</w:t>
      </w:r>
      <w:r>
        <w:rPr>
          <w:rFonts w:ascii="Calibri" w:eastAsia="Calibri" w:hAnsi="Calibri" w:cs="Times New Roman"/>
        </w:rPr>
        <w:t xml:space="preserve">ould be a major focus of the analysis. </w:t>
      </w:r>
      <w:r w:rsidR="009A675A">
        <w:rPr>
          <w:rFonts w:ascii="Calibri" w:eastAsia="Calibri" w:hAnsi="Calibri" w:cs="Times New Roman"/>
        </w:rPr>
        <w:t>T</w:t>
      </w:r>
      <w:r w:rsidR="00435248">
        <w:rPr>
          <w:rFonts w:ascii="Calibri" w:eastAsia="Calibri" w:hAnsi="Calibri" w:cs="Times New Roman"/>
        </w:rPr>
        <w:t xml:space="preserve">he </w:t>
      </w:r>
      <w:r w:rsidR="00111143">
        <w:rPr>
          <w:rFonts w:ascii="Calibri" w:eastAsia="Calibri" w:hAnsi="Calibri" w:cs="Times New Roman"/>
        </w:rPr>
        <w:t>limitations</w:t>
      </w:r>
      <w:r w:rsidR="00435248">
        <w:rPr>
          <w:rFonts w:ascii="Calibri" w:eastAsia="Calibri" w:hAnsi="Calibri" w:cs="Times New Roman"/>
        </w:rPr>
        <w:t xml:space="preserve"> associa</w:t>
      </w:r>
      <w:r w:rsidR="00111143">
        <w:rPr>
          <w:rFonts w:ascii="Calibri" w:eastAsia="Calibri" w:hAnsi="Calibri" w:cs="Times New Roman"/>
        </w:rPr>
        <w:t xml:space="preserve">ted with labour hire placements occur irrespective of whether the worker is </w:t>
      </w:r>
      <w:r w:rsidR="009A675A">
        <w:rPr>
          <w:rFonts w:ascii="Calibri" w:eastAsia="Calibri" w:hAnsi="Calibri" w:cs="Times New Roman"/>
        </w:rPr>
        <w:t xml:space="preserve">hired as </w:t>
      </w:r>
      <w:r w:rsidR="00111143">
        <w:rPr>
          <w:rFonts w:ascii="Calibri" w:eastAsia="Calibri" w:hAnsi="Calibri" w:cs="Times New Roman"/>
        </w:rPr>
        <w:t>an employee or independent contractor</w:t>
      </w:r>
      <w:r w:rsidR="00AC7C36">
        <w:rPr>
          <w:rFonts w:ascii="Calibri" w:eastAsia="Calibri" w:hAnsi="Calibri" w:cs="Times New Roman"/>
        </w:rPr>
        <w:t>.</w:t>
      </w:r>
      <w:r w:rsidR="00435248">
        <w:rPr>
          <w:rFonts w:ascii="Calibri" w:eastAsia="Calibri" w:hAnsi="Calibri" w:cs="Times New Roman"/>
        </w:rPr>
        <w:t xml:space="preserve"> </w:t>
      </w:r>
      <w:r>
        <w:rPr>
          <w:rFonts w:ascii="Calibri" w:eastAsia="Calibri" w:hAnsi="Calibri" w:cs="Times New Roman"/>
        </w:rPr>
        <w:t xml:space="preserve"> </w:t>
      </w:r>
      <w:r w:rsidR="00AE039F">
        <w:rPr>
          <w:rFonts w:ascii="Calibri" w:eastAsia="Calibri" w:hAnsi="Calibri" w:cs="Times New Roman"/>
        </w:rPr>
        <w:t xml:space="preserve">These include deleterious impacts on workers, and deleterious impacts on aged care recipients. </w:t>
      </w:r>
    </w:p>
    <w:p w14:paraId="28010CDB" w14:textId="6D1B02E7" w:rsidR="00111143" w:rsidRDefault="00207D43" w:rsidP="003A06AA">
      <w:pPr>
        <w:spacing w:after="200" w:line="276" w:lineRule="auto"/>
        <w:jc w:val="both"/>
        <w:rPr>
          <w:rFonts w:ascii="Calibri" w:eastAsia="Calibri" w:hAnsi="Calibri" w:cs="Times New Roman"/>
        </w:rPr>
      </w:pPr>
      <w:r>
        <w:rPr>
          <w:rFonts w:ascii="Calibri" w:eastAsia="Calibri" w:hAnsi="Calibri" w:cs="Times New Roman"/>
        </w:rPr>
        <w:t>For example, o</w:t>
      </w:r>
      <w:r w:rsidR="00795161">
        <w:rPr>
          <w:rFonts w:ascii="Calibri" w:eastAsia="Calibri" w:hAnsi="Calibri" w:cs="Times New Roman"/>
        </w:rPr>
        <w:t xml:space="preserve">ver several decades, </w:t>
      </w:r>
      <w:r w:rsidR="00795161" w:rsidRPr="00795161">
        <w:rPr>
          <w:rFonts w:ascii="Calibri" w:eastAsia="Calibri" w:hAnsi="Calibri" w:cs="Times New Roman"/>
        </w:rPr>
        <w:t>a large body of global research and evidence, amounting to many hundreds of independent peer-reviewed scientific studies (including a significant number undertaken in Australia) ha</w:t>
      </w:r>
      <w:r w:rsidR="00795161">
        <w:rPr>
          <w:rFonts w:ascii="Calibri" w:eastAsia="Calibri" w:hAnsi="Calibri" w:cs="Times New Roman"/>
        </w:rPr>
        <w:t>ve</w:t>
      </w:r>
      <w:r w:rsidR="00795161" w:rsidRPr="00795161">
        <w:rPr>
          <w:rFonts w:ascii="Calibri" w:eastAsia="Calibri" w:hAnsi="Calibri" w:cs="Times New Roman"/>
        </w:rPr>
        <w:t xml:space="preserve"> examined the association between job insecurity</w:t>
      </w:r>
      <w:r w:rsidR="00795161">
        <w:rPr>
          <w:rFonts w:ascii="Calibri" w:eastAsia="Calibri" w:hAnsi="Calibri" w:cs="Times New Roman"/>
        </w:rPr>
        <w:t xml:space="preserve">, </w:t>
      </w:r>
      <w:r w:rsidR="00795161" w:rsidRPr="00795161">
        <w:rPr>
          <w:rFonts w:ascii="Calibri" w:eastAsia="Calibri" w:hAnsi="Calibri" w:cs="Times New Roman"/>
        </w:rPr>
        <w:t xml:space="preserve">precarious work arrangements and </w:t>
      </w:r>
      <w:r>
        <w:rPr>
          <w:rFonts w:ascii="Calibri" w:eastAsia="Calibri" w:hAnsi="Calibri" w:cs="Times New Roman"/>
        </w:rPr>
        <w:t>occupational health and safety (</w:t>
      </w:r>
      <w:r w:rsidR="00795161" w:rsidRPr="00795161">
        <w:rPr>
          <w:rFonts w:ascii="Calibri" w:eastAsia="Calibri" w:hAnsi="Calibri" w:cs="Times New Roman"/>
        </w:rPr>
        <w:t>OHS</w:t>
      </w:r>
      <w:r>
        <w:rPr>
          <w:rFonts w:ascii="Calibri" w:eastAsia="Calibri" w:hAnsi="Calibri" w:cs="Times New Roman"/>
        </w:rPr>
        <w:t>)</w:t>
      </w:r>
      <w:r w:rsidR="00795161" w:rsidRPr="00795161">
        <w:rPr>
          <w:rFonts w:ascii="Calibri" w:eastAsia="Calibri" w:hAnsi="Calibri" w:cs="Times New Roman"/>
        </w:rPr>
        <w:t>. Th</w:t>
      </w:r>
      <w:r w:rsidR="00795161">
        <w:rPr>
          <w:rFonts w:ascii="Calibri" w:eastAsia="Calibri" w:hAnsi="Calibri" w:cs="Times New Roman"/>
        </w:rPr>
        <w:t xml:space="preserve">ese </w:t>
      </w:r>
      <w:r w:rsidR="00795161" w:rsidRPr="00795161">
        <w:rPr>
          <w:rFonts w:ascii="Calibri" w:eastAsia="Calibri" w:hAnsi="Calibri" w:cs="Times New Roman"/>
        </w:rPr>
        <w:t>include studies focusing on casuals, temporary work, labour hire/agency labour, part-time and fixed-term contract employees and self-employed subcontractors.</w:t>
      </w:r>
      <w:r w:rsidR="00795161">
        <w:rPr>
          <w:rFonts w:ascii="Calibri" w:eastAsia="Calibri" w:hAnsi="Calibri" w:cs="Times New Roman"/>
        </w:rPr>
        <w:t xml:space="preserve">  There is often overlap with these categories, and some workers move between status</w:t>
      </w:r>
      <w:r w:rsidR="003D575A">
        <w:rPr>
          <w:rFonts w:ascii="Calibri" w:eastAsia="Calibri" w:hAnsi="Calibri" w:cs="Times New Roman"/>
        </w:rPr>
        <w:t xml:space="preserve"> within short </w:t>
      </w:r>
      <w:proofErr w:type="gramStart"/>
      <w:r w:rsidR="003D575A">
        <w:rPr>
          <w:rFonts w:ascii="Calibri" w:eastAsia="Calibri" w:hAnsi="Calibri" w:cs="Times New Roman"/>
        </w:rPr>
        <w:t>time-frames</w:t>
      </w:r>
      <w:proofErr w:type="gramEnd"/>
      <w:r w:rsidR="003D575A">
        <w:rPr>
          <w:rFonts w:ascii="Calibri" w:eastAsia="Calibri" w:hAnsi="Calibri" w:cs="Times New Roman"/>
        </w:rPr>
        <w:t xml:space="preserve">, such as </w:t>
      </w:r>
      <w:r w:rsidR="00795161">
        <w:rPr>
          <w:rFonts w:ascii="Calibri" w:eastAsia="Calibri" w:hAnsi="Calibri" w:cs="Times New Roman"/>
        </w:rPr>
        <w:t xml:space="preserve">being an employee with an agency for one shift, and </w:t>
      </w:r>
      <w:r w:rsidR="003D575A">
        <w:rPr>
          <w:rFonts w:ascii="Calibri" w:eastAsia="Calibri" w:hAnsi="Calibri" w:cs="Times New Roman"/>
        </w:rPr>
        <w:t xml:space="preserve">then </w:t>
      </w:r>
      <w:r w:rsidR="00795161">
        <w:rPr>
          <w:rFonts w:ascii="Calibri" w:eastAsia="Calibri" w:hAnsi="Calibri" w:cs="Times New Roman"/>
        </w:rPr>
        <w:t>an independent contractor with another agency for a second shift</w:t>
      </w:r>
      <w:r w:rsidR="003D575A">
        <w:rPr>
          <w:rFonts w:ascii="Calibri" w:eastAsia="Calibri" w:hAnsi="Calibri" w:cs="Times New Roman"/>
        </w:rPr>
        <w:t xml:space="preserve"> on the same or the next day. These studies have overwhelmingly found a significant relationship between job insecurity – a common characteristic of agency work – and negative OHS outcomes.  These negative health outcomes include:</w:t>
      </w:r>
    </w:p>
    <w:p w14:paraId="0F5D473D" w14:textId="09601B95" w:rsidR="003D575A" w:rsidRDefault="003D575A" w:rsidP="003A06AA">
      <w:pPr>
        <w:spacing w:after="200" w:line="276" w:lineRule="auto"/>
        <w:jc w:val="both"/>
        <w:rPr>
          <w:rFonts w:ascii="Calibri" w:eastAsia="Calibri" w:hAnsi="Calibri" w:cs="Times New Roman"/>
        </w:rPr>
      </w:pPr>
      <w:r>
        <w:rPr>
          <w:rFonts w:ascii="Calibri" w:eastAsia="Calibri" w:hAnsi="Calibri" w:cs="Times New Roman"/>
        </w:rPr>
        <w:t xml:space="preserve">1. Higher incidence/frequency of injuries, including </w:t>
      </w:r>
      <w:r w:rsidR="00490A30">
        <w:rPr>
          <w:rFonts w:ascii="Calibri" w:eastAsia="Calibri" w:hAnsi="Calibri" w:cs="Times New Roman"/>
        </w:rPr>
        <w:t>fatalities</w:t>
      </w:r>
    </w:p>
    <w:p w14:paraId="1A3C3FBC" w14:textId="7CA890CB" w:rsidR="003D575A" w:rsidRDefault="003D575A" w:rsidP="003A06AA">
      <w:pPr>
        <w:spacing w:after="200" w:line="276" w:lineRule="auto"/>
        <w:jc w:val="both"/>
        <w:rPr>
          <w:rFonts w:ascii="Calibri" w:eastAsia="Calibri" w:hAnsi="Calibri" w:cs="Times New Roman"/>
        </w:rPr>
      </w:pPr>
      <w:r>
        <w:rPr>
          <w:rFonts w:ascii="Calibri" w:eastAsia="Calibri" w:hAnsi="Calibri" w:cs="Times New Roman"/>
        </w:rPr>
        <w:t xml:space="preserve">2. Poorer physical and mental health (including </w:t>
      </w:r>
      <w:r w:rsidR="009A675A">
        <w:rPr>
          <w:rFonts w:ascii="Calibri" w:eastAsia="Calibri" w:hAnsi="Calibri" w:cs="Times New Roman"/>
        </w:rPr>
        <w:t>susceptibility</w:t>
      </w:r>
      <w:r>
        <w:rPr>
          <w:rFonts w:ascii="Calibri" w:eastAsia="Calibri" w:hAnsi="Calibri" w:cs="Times New Roman"/>
        </w:rPr>
        <w:t xml:space="preserve"> to bullying and drug use</w:t>
      </w:r>
      <w:proofErr w:type="gramStart"/>
      <w:r>
        <w:rPr>
          <w:rFonts w:ascii="Calibri" w:eastAsia="Calibri" w:hAnsi="Calibri" w:cs="Times New Roman"/>
        </w:rPr>
        <w:t>);</w:t>
      </w:r>
      <w:proofErr w:type="gramEnd"/>
      <w:r>
        <w:rPr>
          <w:rFonts w:ascii="Calibri" w:eastAsia="Calibri" w:hAnsi="Calibri" w:cs="Times New Roman"/>
        </w:rPr>
        <w:t xml:space="preserve"> </w:t>
      </w:r>
    </w:p>
    <w:p w14:paraId="3E839429" w14:textId="3D1A8779" w:rsidR="003D575A" w:rsidRPr="003D575A" w:rsidRDefault="003D575A" w:rsidP="003A06AA">
      <w:pPr>
        <w:spacing w:after="200" w:line="276" w:lineRule="auto"/>
        <w:jc w:val="both"/>
        <w:rPr>
          <w:rFonts w:ascii="Calibri" w:eastAsia="Calibri" w:hAnsi="Calibri" w:cs="Times New Roman"/>
        </w:rPr>
      </w:pPr>
      <w:r>
        <w:rPr>
          <w:rFonts w:ascii="Calibri" w:eastAsia="Calibri" w:hAnsi="Calibri" w:cs="Times New Roman"/>
        </w:rPr>
        <w:t xml:space="preserve">3. Poor knowledge </w:t>
      </w:r>
      <w:r w:rsidRPr="003D575A">
        <w:rPr>
          <w:rFonts w:ascii="Calibri" w:eastAsia="Calibri" w:hAnsi="Calibri" w:cs="Times New Roman"/>
        </w:rPr>
        <w:t>Poor knowledge of and access to regulatory employment rights and less willingness to raise OHS concerns.</w:t>
      </w:r>
      <w:r w:rsidR="00490A30">
        <w:rPr>
          <w:rStyle w:val="EndnoteReference"/>
          <w:rFonts w:ascii="Calibri" w:eastAsia="Calibri" w:hAnsi="Calibri" w:cs="Times New Roman"/>
        </w:rPr>
        <w:endnoteReference w:id="1"/>
      </w:r>
    </w:p>
    <w:p w14:paraId="18400490" w14:textId="48A64ADF" w:rsidR="003D575A" w:rsidRPr="009A675A" w:rsidRDefault="00490A30" w:rsidP="003A06AA">
      <w:pPr>
        <w:spacing w:after="200" w:line="276" w:lineRule="auto"/>
        <w:jc w:val="both"/>
        <w:rPr>
          <w:rFonts w:ascii="Calibri" w:eastAsia="Calibri" w:hAnsi="Calibri" w:cs="Times New Roman"/>
          <w:b/>
          <w:bCs/>
        </w:rPr>
      </w:pPr>
      <w:r w:rsidRPr="009A675A">
        <w:rPr>
          <w:rFonts w:ascii="Calibri" w:eastAsia="Calibri" w:hAnsi="Calibri" w:cs="Times New Roman"/>
          <w:b/>
          <w:bCs/>
        </w:rPr>
        <w:t xml:space="preserve">These findings are relevant to all agency workers, irrespective of whether they are hired as </w:t>
      </w:r>
      <w:r w:rsidR="009A675A" w:rsidRPr="009A675A">
        <w:rPr>
          <w:rFonts w:ascii="Calibri" w:eastAsia="Calibri" w:hAnsi="Calibri" w:cs="Times New Roman"/>
          <w:b/>
          <w:bCs/>
        </w:rPr>
        <w:t>employees</w:t>
      </w:r>
      <w:r w:rsidRPr="009A675A">
        <w:rPr>
          <w:rFonts w:ascii="Calibri" w:eastAsia="Calibri" w:hAnsi="Calibri" w:cs="Times New Roman"/>
          <w:b/>
          <w:bCs/>
        </w:rPr>
        <w:t xml:space="preserve"> or independent </w:t>
      </w:r>
      <w:r w:rsidR="009A675A" w:rsidRPr="009A675A">
        <w:rPr>
          <w:rFonts w:ascii="Calibri" w:eastAsia="Calibri" w:hAnsi="Calibri" w:cs="Times New Roman"/>
          <w:b/>
          <w:bCs/>
        </w:rPr>
        <w:t>contractors</w:t>
      </w:r>
      <w:r w:rsidRPr="009A675A">
        <w:rPr>
          <w:rFonts w:ascii="Calibri" w:eastAsia="Calibri" w:hAnsi="Calibri" w:cs="Times New Roman"/>
          <w:b/>
          <w:bCs/>
        </w:rPr>
        <w:t xml:space="preserve">.  </w:t>
      </w:r>
    </w:p>
    <w:p w14:paraId="31B09619" w14:textId="51374581" w:rsidR="00AE039F" w:rsidRDefault="009A675A" w:rsidP="003A06AA">
      <w:pPr>
        <w:spacing w:after="200" w:line="276" w:lineRule="auto"/>
        <w:jc w:val="both"/>
        <w:rPr>
          <w:rFonts w:ascii="Calibri" w:eastAsia="Calibri" w:hAnsi="Calibri" w:cs="Times New Roman"/>
        </w:rPr>
      </w:pPr>
      <w:r>
        <w:rPr>
          <w:rFonts w:ascii="Calibri" w:eastAsia="Calibri" w:hAnsi="Calibri" w:cs="Times New Roman"/>
        </w:rPr>
        <w:lastRenderedPageBreak/>
        <w:t xml:space="preserve">Research has identified factors such as poor supervision, poor knowledge of workplace specific </w:t>
      </w:r>
      <w:r w:rsidR="00207D43">
        <w:rPr>
          <w:rFonts w:ascii="Calibri" w:eastAsia="Calibri" w:hAnsi="Calibri" w:cs="Times New Roman"/>
        </w:rPr>
        <w:t xml:space="preserve">equipment and other </w:t>
      </w:r>
      <w:r>
        <w:rPr>
          <w:rFonts w:ascii="Calibri" w:eastAsia="Calibri" w:hAnsi="Calibri" w:cs="Times New Roman"/>
        </w:rPr>
        <w:t>idiosyncrasies, and lack of training associated with labour hire work – irrespective of whether the worker was an employee or an independent cont</w:t>
      </w:r>
      <w:r w:rsidR="00015407">
        <w:rPr>
          <w:rFonts w:ascii="Calibri" w:eastAsia="Calibri" w:hAnsi="Calibri" w:cs="Times New Roman"/>
        </w:rPr>
        <w:t>r</w:t>
      </w:r>
      <w:r>
        <w:rPr>
          <w:rFonts w:ascii="Calibri" w:eastAsia="Calibri" w:hAnsi="Calibri" w:cs="Times New Roman"/>
        </w:rPr>
        <w:t>actor.</w:t>
      </w:r>
    </w:p>
    <w:p w14:paraId="6F46713D" w14:textId="432F5E7C" w:rsidR="009A675A" w:rsidRDefault="009A675A" w:rsidP="003A06AA">
      <w:pPr>
        <w:spacing w:after="200" w:line="276" w:lineRule="auto"/>
        <w:jc w:val="both"/>
        <w:rPr>
          <w:rFonts w:ascii="Calibri" w:eastAsia="Calibri" w:hAnsi="Calibri" w:cs="Times New Roman"/>
        </w:rPr>
      </w:pPr>
      <w:r>
        <w:rPr>
          <w:rFonts w:ascii="Calibri" w:eastAsia="Calibri" w:hAnsi="Calibri" w:cs="Times New Roman"/>
        </w:rPr>
        <w:t>Likewise, the recent experience of agency workers placed at multiple aged care homes, and transmitting covid-19 across those sites, did not distinguish between whether those workers were employees or held an ABN.</w:t>
      </w:r>
      <w:r w:rsidR="00BC6E01">
        <w:rPr>
          <w:rStyle w:val="EndnoteReference"/>
          <w:rFonts w:ascii="Calibri" w:eastAsia="Calibri" w:hAnsi="Calibri" w:cs="Times New Roman"/>
        </w:rPr>
        <w:endnoteReference w:id="2"/>
      </w:r>
      <w:r>
        <w:rPr>
          <w:rFonts w:ascii="Calibri" w:eastAsia="Calibri" w:hAnsi="Calibri" w:cs="Times New Roman"/>
        </w:rPr>
        <w:t xml:space="preserve"> </w:t>
      </w:r>
    </w:p>
    <w:p w14:paraId="34CFB674" w14:textId="587E446A" w:rsidR="00015407" w:rsidRDefault="00015407" w:rsidP="003A06AA">
      <w:pPr>
        <w:spacing w:after="200" w:line="276" w:lineRule="auto"/>
        <w:jc w:val="both"/>
        <w:rPr>
          <w:rFonts w:ascii="Calibri" w:eastAsia="Calibri" w:hAnsi="Calibri" w:cs="Times New Roman"/>
        </w:rPr>
      </w:pPr>
      <w:r>
        <w:rPr>
          <w:rFonts w:ascii="Calibri" w:eastAsia="Calibri" w:hAnsi="Calibri" w:cs="Times New Roman"/>
        </w:rPr>
        <w:t xml:space="preserve">The high level of multiple job holding identified in the Issues Paper, and its implications for the development of care and quality standards </w:t>
      </w:r>
      <w:r w:rsidR="00BC6E01">
        <w:rPr>
          <w:rFonts w:ascii="Calibri" w:eastAsia="Calibri" w:hAnsi="Calibri" w:cs="Times New Roman"/>
        </w:rPr>
        <w:t xml:space="preserve">required </w:t>
      </w:r>
      <w:r>
        <w:rPr>
          <w:rFonts w:ascii="Calibri" w:eastAsia="Calibri" w:hAnsi="Calibri" w:cs="Times New Roman"/>
        </w:rPr>
        <w:t>in the aged care sector, occurs irrespective of whether the worker is an employee or independent contactor hired by an agency.</w:t>
      </w:r>
    </w:p>
    <w:p w14:paraId="66FE6E71" w14:textId="2817A245" w:rsidR="00C60992" w:rsidRDefault="00C60992" w:rsidP="003A06AA">
      <w:pPr>
        <w:spacing w:after="200" w:line="276" w:lineRule="auto"/>
        <w:jc w:val="both"/>
        <w:rPr>
          <w:rFonts w:ascii="Calibri" w:eastAsia="Calibri" w:hAnsi="Calibri" w:cs="Times New Roman"/>
        </w:rPr>
      </w:pPr>
      <w:r>
        <w:rPr>
          <w:rFonts w:ascii="Calibri" w:eastAsia="Calibri" w:hAnsi="Calibri" w:cs="Times New Roman"/>
        </w:rPr>
        <w:t xml:space="preserve">To limit the </w:t>
      </w:r>
      <w:r w:rsidR="00435248">
        <w:rPr>
          <w:rFonts w:ascii="Calibri" w:eastAsia="Calibri" w:hAnsi="Calibri" w:cs="Times New Roman"/>
        </w:rPr>
        <w:t xml:space="preserve">analysis to labour hire workers hired as independent contractors is to </w:t>
      </w:r>
      <w:r w:rsidR="00015407">
        <w:rPr>
          <w:rFonts w:ascii="Calibri" w:eastAsia="Calibri" w:hAnsi="Calibri" w:cs="Times New Roman"/>
        </w:rPr>
        <w:t>draw a</w:t>
      </w:r>
      <w:r w:rsidR="00BC6E01">
        <w:rPr>
          <w:rFonts w:ascii="Calibri" w:eastAsia="Calibri" w:hAnsi="Calibri" w:cs="Times New Roman"/>
        </w:rPr>
        <w:t xml:space="preserve"> false</w:t>
      </w:r>
      <w:r w:rsidR="00015407">
        <w:rPr>
          <w:rFonts w:ascii="Calibri" w:eastAsia="Calibri" w:hAnsi="Calibri" w:cs="Times New Roman"/>
        </w:rPr>
        <w:t xml:space="preserve"> line based on a lack of understanding of how labour hire arrangements operate.  </w:t>
      </w:r>
    </w:p>
    <w:p w14:paraId="2DB8F9C0" w14:textId="77777777" w:rsidR="00FE6FA2" w:rsidRDefault="00FE6FA2" w:rsidP="003A06AA">
      <w:pPr>
        <w:spacing w:after="200" w:line="276" w:lineRule="auto"/>
        <w:jc w:val="both"/>
        <w:rPr>
          <w:rFonts w:ascii="Calibri" w:eastAsia="Calibri" w:hAnsi="Calibri" w:cs="Times New Roman"/>
        </w:rPr>
      </w:pPr>
    </w:p>
    <w:p w14:paraId="5EC48F2E" w14:textId="1F211AD6" w:rsidR="00464BA5" w:rsidRPr="00EE5712" w:rsidRDefault="00464BA5"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Issues paper</w:t>
      </w:r>
      <w:r w:rsidR="00FE6FA2">
        <w:rPr>
          <w:rFonts w:ascii="Calibri" w:eastAsia="Calibri" w:hAnsi="Calibri" w:cs="Times New Roman"/>
          <w:b/>
          <w:bCs/>
        </w:rPr>
        <w:t xml:space="preserve"> (page 21): </w:t>
      </w:r>
      <w:r w:rsidRPr="00EE5712">
        <w:rPr>
          <w:rFonts w:ascii="Calibri" w:eastAsia="Calibri" w:hAnsi="Calibri" w:cs="Times New Roman"/>
          <w:b/>
          <w:bCs/>
        </w:rPr>
        <w:t>Regulation of indirect employment in aged care</w:t>
      </w:r>
    </w:p>
    <w:p w14:paraId="1F1C3B25" w14:textId="386162E9" w:rsidR="00464BA5" w:rsidRPr="00EE5712" w:rsidRDefault="00464BA5"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What are the implications for aged care recipients of using agency workers, independent contractors, or platform workers to provide government subsidised care?</w:t>
      </w:r>
    </w:p>
    <w:p w14:paraId="0B1C5FFC" w14:textId="0EB4766D" w:rsidR="00464BA5" w:rsidRPr="00EE5712" w:rsidRDefault="00464BA5"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Who is responsible for the quality of care provided in these circumstances?</w:t>
      </w:r>
    </w:p>
    <w:p w14:paraId="3C2FE221" w14:textId="6F2E8D6F" w:rsidR="00464BA5" w:rsidRPr="00EE5712" w:rsidRDefault="00464BA5"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 xml:space="preserve">Does the situation differ if the worker is engaged as an </w:t>
      </w:r>
      <w:r w:rsidR="00EE5712" w:rsidRPr="00EE5712">
        <w:rPr>
          <w:rFonts w:ascii="Calibri" w:eastAsia="Calibri" w:hAnsi="Calibri" w:cs="Times New Roman"/>
          <w:b/>
          <w:bCs/>
        </w:rPr>
        <w:t>independent</w:t>
      </w:r>
      <w:r w:rsidRPr="00EE5712">
        <w:rPr>
          <w:rFonts w:ascii="Calibri" w:eastAsia="Calibri" w:hAnsi="Calibri" w:cs="Times New Roman"/>
          <w:b/>
          <w:bCs/>
        </w:rPr>
        <w:t xml:space="preserve"> contractor</w:t>
      </w:r>
      <w:r w:rsidR="00EE5712" w:rsidRPr="00EE5712">
        <w:rPr>
          <w:rFonts w:ascii="Calibri" w:eastAsia="Calibri" w:hAnsi="Calibri" w:cs="Times New Roman"/>
          <w:b/>
          <w:bCs/>
        </w:rPr>
        <w:t xml:space="preserve"> rather than as an employee of an agency or a platform? </w:t>
      </w:r>
    </w:p>
    <w:p w14:paraId="38914BE2" w14:textId="7C2E7C6D" w:rsidR="00EE5712" w:rsidRPr="00EE5712" w:rsidRDefault="00EE5712"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 xml:space="preserve">Who is currently accountable for lapses in work health and safety or quality of care when care is delivered by agency workers, independent contractors or platform workers? </w:t>
      </w:r>
    </w:p>
    <w:p w14:paraId="1E686DA4" w14:textId="681C2D88" w:rsidR="00EE5712" w:rsidRDefault="00EE5712" w:rsidP="003A06AA">
      <w:pPr>
        <w:spacing w:after="200" w:line="276" w:lineRule="auto"/>
        <w:jc w:val="both"/>
        <w:rPr>
          <w:rFonts w:ascii="Calibri" w:eastAsia="Calibri" w:hAnsi="Calibri" w:cs="Times New Roman"/>
          <w:b/>
          <w:bCs/>
        </w:rPr>
      </w:pPr>
      <w:r w:rsidRPr="00EE5712">
        <w:rPr>
          <w:rFonts w:ascii="Calibri" w:eastAsia="Calibri" w:hAnsi="Calibri" w:cs="Times New Roman"/>
          <w:b/>
          <w:bCs/>
        </w:rPr>
        <w:t xml:space="preserve">Is there any evidence that the existing regulatory framework is deficient in scope, implementation or enforcement? </w:t>
      </w:r>
    </w:p>
    <w:p w14:paraId="1C0BB66A" w14:textId="77777777" w:rsidR="002F5B71" w:rsidRDefault="002F5B71" w:rsidP="003A06AA">
      <w:pPr>
        <w:spacing w:after="200" w:line="276" w:lineRule="auto"/>
        <w:jc w:val="both"/>
        <w:rPr>
          <w:rFonts w:ascii="Calibri" w:eastAsia="Calibri" w:hAnsi="Calibri" w:cs="Times New Roman"/>
          <w:b/>
          <w:bCs/>
        </w:rPr>
      </w:pPr>
    </w:p>
    <w:p w14:paraId="0501914C" w14:textId="471BD8B3" w:rsidR="00E036C9" w:rsidRDefault="00EE5712" w:rsidP="003A06AA">
      <w:pPr>
        <w:spacing w:after="200" w:line="276" w:lineRule="auto"/>
        <w:jc w:val="both"/>
        <w:rPr>
          <w:rFonts w:ascii="Calibri" w:eastAsia="Calibri" w:hAnsi="Calibri" w:cs="Times New Roman"/>
        </w:rPr>
      </w:pPr>
      <w:r>
        <w:rPr>
          <w:rFonts w:ascii="Calibri" w:eastAsia="Calibri" w:hAnsi="Calibri" w:cs="Times New Roman"/>
        </w:rPr>
        <w:t xml:space="preserve">The blurring of responsibilities </w:t>
      </w:r>
      <w:r w:rsidR="00F704AF">
        <w:rPr>
          <w:rFonts w:ascii="Calibri" w:eastAsia="Calibri" w:hAnsi="Calibri" w:cs="Times New Roman"/>
        </w:rPr>
        <w:t xml:space="preserve">resulting from </w:t>
      </w:r>
      <w:r>
        <w:rPr>
          <w:rFonts w:ascii="Calibri" w:eastAsia="Calibri" w:hAnsi="Calibri" w:cs="Times New Roman"/>
        </w:rPr>
        <w:t xml:space="preserve">tiered subcontracting, </w:t>
      </w:r>
      <w:r w:rsidR="00EA0B3A">
        <w:rPr>
          <w:rFonts w:ascii="Calibri" w:eastAsia="Calibri" w:hAnsi="Calibri" w:cs="Times New Roman"/>
        </w:rPr>
        <w:t xml:space="preserve">whether </w:t>
      </w:r>
      <w:r>
        <w:rPr>
          <w:rFonts w:ascii="Calibri" w:eastAsia="Calibri" w:hAnsi="Calibri" w:cs="Times New Roman"/>
        </w:rPr>
        <w:t xml:space="preserve">through labour </w:t>
      </w:r>
      <w:r w:rsidR="00EA0B3A">
        <w:rPr>
          <w:rFonts w:ascii="Calibri" w:eastAsia="Calibri" w:hAnsi="Calibri" w:cs="Times New Roman"/>
        </w:rPr>
        <w:t xml:space="preserve">hire </w:t>
      </w:r>
      <w:r>
        <w:rPr>
          <w:rFonts w:ascii="Calibri" w:eastAsia="Calibri" w:hAnsi="Calibri" w:cs="Times New Roman"/>
        </w:rPr>
        <w:t xml:space="preserve">agencies or through </w:t>
      </w:r>
      <w:r w:rsidR="00EA0B3A">
        <w:rPr>
          <w:rFonts w:ascii="Calibri" w:eastAsia="Calibri" w:hAnsi="Calibri" w:cs="Times New Roman"/>
        </w:rPr>
        <w:t>independent</w:t>
      </w:r>
      <w:r>
        <w:rPr>
          <w:rFonts w:ascii="Calibri" w:eastAsia="Calibri" w:hAnsi="Calibri" w:cs="Times New Roman"/>
        </w:rPr>
        <w:t xml:space="preserve"> contracting </w:t>
      </w:r>
      <w:r w:rsidR="00EA0B3A">
        <w:rPr>
          <w:rFonts w:ascii="Calibri" w:eastAsia="Calibri" w:hAnsi="Calibri" w:cs="Times New Roman"/>
        </w:rPr>
        <w:t xml:space="preserve">arrangements (platform based or more traditional processes) </w:t>
      </w:r>
      <w:r>
        <w:rPr>
          <w:rFonts w:ascii="Calibri" w:eastAsia="Calibri" w:hAnsi="Calibri" w:cs="Times New Roman"/>
        </w:rPr>
        <w:t>is well establ</w:t>
      </w:r>
      <w:r w:rsidR="00EA0B3A">
        <w:rPr>
          <w:rFonts w:ascii="Calibri" w:eastAsia="Calibri" w:hAnsi="Calibri" w:cs="Times New Roman"/>
        </w:rPr>
        <w:t xml:space="preserve">ished in </w:t>
      </w:r>
      <w:r w:rsidR="006E4271">
        <w:rPr>
          <w:rFonts w:ascii="Calibri" w:eastAsia="Calibri" w:hAnsi="Calibri" w:cs="Times New Roman"/>
        </w:rPr>
        <w:t xml:space="preserve">international </w:t>
      </w:r>
      <w:proofErr w:type="gramStart"/>
      <w:r w:rsidR="00EA0B3A">
        <w:rPr>
          <w:rFonts w:ascii="Calibri" w:eastAsia="Calibri" w:hAnsi="Calibri" w:cs="Times New Roman"/>
        </w:rPr>
        <w:t>research, and</w:t>
      </w:r>
      <w:proofErr w:type="gramEnd"/>
      <w:r w:rsidR="00EA0B3A">
        <w:rPr>
          <w:rFonts w:ascii="Calibri" w:eastAsia="Calibri" w:hAnsi="Calibri" w:cs="Times New Roman"/>
        </w:rPr>
        <w:t xml:space="preserve"> </w:t>
      </w:r>
      <w:r w:rsidR="00F704AF">
        <w:rPr>
          <w:rFonts w:ascii="Calibri" w:eastAsia="Calibri" w:hAnsi="Calibri" w:cs="Times New Roman"/>
        </w:rPr>
        <w:t xml:space="preserve">evidenced </w:t>
      </w:r>
      <w:r w:rsidR="00EA0B3A">
        <w:rPr>
          <w:rFonts w:ascii="Calibri" w:eastAsia="Calibri" w:hAnsi="Calibri" w:cs="Times New Roman"/>
        </w:rPr>
        <w:t>through complex legal cases.</w:t>
      </w:r>
      <w:r w:rsidR="006E4271">
        <w:rPr>
          <w:rFonts w:ascii="Calibri" w:eastAsia="Calibri" w:hAnsi="Calibri" w:cs="Times New Roman"/>
        </w:rPr>
        <w:t xml:space="preserve"> This blurring of responsibilities is not industry </w:t>
      </w:r>
      <w:proofErr w:type="gramStart"/>
      <w:r w:rsidR="006E4271">
        <w:rPr>
          <w:rFonts w:ascii="Calibri" w:eastAsia="Calibri" w:hAnsi="Calibri" w:cs="Times New Roman"/>
        </w:rPr>
        <w:t>specific, and</w:t>
      </w:r>
      <w:proofErr w:type="gramEnd"/>
      <w:r w:rsidR="006E4271">
        <w:rPr>
          <w:rFonts w:ascii="Calibri" w:eastAsia="Calibri" w:hAnsi="Calibri" w:cs="Times New Roman"/>
        </w:rPr>
        <w:t xml:space="preserve"> occur</w:t>
      </w:r>
      <w:r w:rsidR="002F5B71">
        <w:rPr>
          <w:rFonts w:ascii="Calibri" w:eastAsia="Calibri" w:hAnsi="Calibri" w:cs="Times New Roman"/>
        </w:rPr>
        <w:t xml:space="preserve">s </w:t>
      </w:r>
      <w:r w:rsidR="006E4271">
        <w:rPr>
          <w:rFonts w:ascii="Calibri" w:eastAsia="Calibri" w:hAnsi="Calibri" w:cs="Times New Roman"/>
        </w:rPr>
        <w:t xml:space="preserve">in aged care as it does in other industries.  </w:t>
      </w:r>
    </w:p>
    <w:p w14:paraId="7E70EA0B" w14:textId="077E796A" w:rsidR="006E4271" w:rsidRDefault="00CC315D" w:rsidP="003A06AA">
      <w:pPr>
        <w:spacing w:after="200" w:line="276" w:lineRule="auto"/>
        <w:jc w:val="both"/>
        <w:rPr>
          <w:rFonts w:ascii="Calibri" w:eastAsia="Calibri" w:hAnsi="Calibri" w:cs="Times New Roman"/>
        </w:rPr>
      </w:pPr>
      <w:r>
        <w:rPr>
          <w:rFonts w:ascii="Calibri" w:eastAsia="Calibri" w:hAnsi="Calibri" w:cs="Times New Roman"/>
        </w:rPr>
        <w:t>A</w:t>
      </w:r>
      <w:r w:rsidR="006E4271">
        <w:rPr>
          <w:rFonts w:ascii="Calibri" w:eastAsia="Calibri" w:hAnsi="Calibri" w:cs="Times New Roman"/>
        </w:rPr>
        <w:t xml:space="preserve">s acknowledged by the Royal Commission into Aged Care Quality and Safety, the consequences of a failure to have clear lines of responsibility in aged care can have devastating </w:t>
      </w:r>
      <w:r w:rsidR="00F704AF">
        <w:rPr>
          <w:rFonts w:ascii="Calibri" w:eastAsia="Calibri" w:hAnsi="Calibri" w:cs="Times New Roman"/>
        </w:rPr>
        <w:t xml:space="preserve">and potentially fatal </w:t>
      </w:r>
      <w:r w:rsidR="006E4271">
        <w:rPr>
          <w:rFonts w:ascii="Calibri" w:eastAsia="Calibri" w:hAnsi="Calibri" w:cs="Times New Roman"/>
        </w:rPr>
        <w:t xml:space="preserve">consequences for aged care recipients. </w:t>
      </w:r>
    </w:p>
    <w:p w14:paraId="6837EDBB" w14:textId="4410FF4D" w:rsidR="00EA0B3A" w:rsidRPr="00EA0B3A" w:rsidRDefault="006E4271" w:rsidP="003A06AA">
      <w:pPr>
        <w:spacing w:after="200" w:line="276" w:lineRule="auto"/>
        <w:jc w:val="both"/>
        <w:rPr>
          <w:rFonts w:ascii="Calibri" w:eastAsia="Calibri" w:hAnsi="Calibri" w:cs="Times New Roman"/>
        </w:rPr>
      </w:pPr>
      <w:r>
        <w:rPr>
          <w:rFonts w:ascii="Calibri" w:eastAsia="Calibri" w:hAnsi="Calibri" w:cs="Times New Roman"/>
        </w:rPr>
        <w:t xml:space="preserve">Regulatory </w:t>
      </w:r>
      <w:r w:rsidR="00EA0B3A" w:rsidRPr="00EA0B3A">
        <w:rPr>
          <w:rFonts w:ascii="Calibri" w:eastAsia="Calibri" w:hAnsi="Calibri" w:cs="Times New Roman"/>
        </w:rPr>
        <w:t>failure arise</w:t>
      </w:r>
      <w:r>
        <w:rPr>
          <w:rFonts w:ascii="Calibri" w:eastAsia="Calibri" w:hAnsi="Calibri" w:cs="Times New Roman"/>
        </w:rPr>
        <w:t>s</w:t>
      </w:r>
      <w:r w:rsidR="00EA0B3A" w:rsidRPr="00EA0B3A">
        <w:rPr>
          <w:rFonts w:ascii="Calibri" w:eastAsia="Calibri" w:hAnsi="Calibri" w:cs="Times New Roman"/>
        </w:rPr>
        <w:t xml:space="preserve"> from gaps or flaws in legislative coverage</w:t>
      </w:r>
      <w:r w:rsidR="00F704AF">
        <w:rPr>
          <w:rFonts w:ascii="Calibri" w:eastAsia="Calibri" w:hAnsi="Calibri" w:cs="Times New Roman"/>
        </w:rPr>
        <w:t>, as well a</w:t>
      </w:r>
      <w:r w:rsidR="00EA0B3A" w:rsidRPr="00EA0B3A">
        <w:rPr>
          <w:rFonts w:ascii="Calibri" w:eastAsia="Calibri" w:hAnsi="Calibri" w:cs="Times New Roman"/>
        </w:rPr>
        <w:t>s limitations in regulatory oversight/enforcement.</w:t>
      </w:r>
      <w:r w:rsidR="00F704AF">
        <w:rPr>
          <w:rStyle w:val="EndnoteReference"/>
          <w:rFonts w:ascii="Calibri" w:eastAsia="Calibri" w:hAnsi="Calibri" w:cs="Times New Roman"/>
        </w:rPr>
        <w:endnoteReference w:id="3"/>
      </w:r>
      <w:r w:rsidR="00EA0B3A" w:rsidRPr="00EA0B3A">
        <w:rPr>
          <w:rFonts w:ascii="Calibri" w:eastAsia="Calibri" w:hAnsi="Calibri" w:cs="Times New Roman"/>
        </w:rPr>
        <w:t xml:space="preserve"> Changes in work arrangements, and particularly </w:t>
      </w:r>
      <w:r w:rsidR="00F704AF">
        <w:rPr>
          <w:rFonts w:ascii="Calibri" w:eastAsia="Calibri" w:hAnsi="Calibri" w:cs="Times New Roman"/>
        </w:rPr>
        <w:t>independent contracting and labour hire arrangements,</w:t>
      </w:r>
      <w:r w:rsidR="00EA0B3A" w:rsidRPr="00EA0B3A">
        <w:rPr>
          <w:rFonts w:ascii="Calibri" w:eastAsia="Calibri" w:hAnsi="Calibri" w:cs="Times New Roman"/>
        </w:rPr>
        <w:t xml:space="preserve"> present more complex inter-organisational chains of responsibility and increase demands on regulator/inspectorate resources. </w:t>
      </w:r>
      <w:r w:rsidR="00F704AF">
        <w:rPr>
          <w:rFonts w:ascii="Calibri" w:eastAsia="Calibri" w:hAnsi="Calibri" w:cs="Times New Roman"/>
        </w:rPr>
        <w:t xml:space="preserve"> They also reduce the capacity of organisations to control the working environment</w:t>
      </w:r>
      <w:r w:rsidR="00CC315D">
        <w:rPr>
          <w:rFonts w:ascii="Calibri" w:eastAsia="Calibri" w:hAnsi="Calibri" w:cs="Times New Roman"/>
        </w:rPr>
        <w:t>, and supervise their workforce,</w:t>
      </w:r>
      <w:r w:rsidR="00F704AF">
        <w:rPr>
          <w:rFonts w:ascii="Calibri" w:eastAsia="Calibri" w:hAnsi="Calibri" w:cs="Times New Roman"/>
        </w:rPr>
        <w:t xml:space="preserve"> which impacts </w:t>
      </w:r>
      <w:r w:rsidR="00F704AF">
        <w:rPr>
          <w:rFonts w:ascii="Calibri" w:eastAsia="Calibri" w:hAnsi="Calibri" w:cs="Times New Roman"/>
        </w:rPr>
        <w:lastRenderedPageBreak/>
        <w:t xml:space="preserve">directly upon aged care recipients. </w:t>
      </w:r>
      <w:r w:rsidR="00EA0B3A" w:rsidRPr="00EA0B3A">
        <w:rPr>
          <w:rFonts w:ascii="Calibri" w:eastAsia="Calibri" w:hAnsi="Calibri" w:cs="Times New Roman"/>
        </w:rPr>
        <w:t xml:space="preserve">Problems that have been identified include poorer knowledge of and ability to exercise legislative rights amongst </w:t>
      </w:r>
      <w:r w:rsidR="00CC315D">
        <w:rPr>
          <w:rFonts w:ascii="Calibri" w:eastAsia="Calibri" w:hAnsi="Calibri" w:cs="Times New Roman"/>
        </w:rPr>
        <w:t xml:space="preserve">agency and other precarious </w:t>
      </w:r>
      <w:r w:rsidR="00EA0B3A" w:rsidRPr="00EA0B3A">
        <w:rPr>
          <w:rFonts w:ascii="Calibri" w:eastAsia="Calibri" w:hAnsi="Calibri" w:cs="Times New Roman"/>
        </w:rPr>
        <w:t>workers, fractured/disputed regulatory obligations and more problematic regulatory oversight and stretched inspectoral resources. Research on temporary workers has found they are significantly less likely to have access to complaint mechanisms, health services, statutory entitlements to protections/benefits, return to work pathways, and representation.</w:t>
      </w:r>
      <w:r w:rsidR="00CC315D">
        <w:rPr>
          <w:rStyle w:val="EndnoteReference"/>
          <w:rFonts w:ascii="Calibri" w:eastAsia="Calibri" w:hAnsi="Calibri" w:cs="Times New Roman"/>
        </w:rPr>
        <w:endnoteReference w:id="4"/>
      </w:r>
      <w:r w:rsidR="00CC315D">
        <w:rPr>
          <w:rFonts w:ascii="Calibri" w:eastAsia="Calibri" w:hAnsi="Calibri" w:cs="Times New Roman"/>
        </w:rPr>
        <w:t xml:space="preserve"> </w:t>
      </w:r>
      <w:r w:rsidR="00EA0B3A" w:rsidRPr="00EA0B3A">
        <w:rPr>
          <w:rFonts w:ascii="Calibri" w:eastAsia="Calibri" w:hAnsi="Calibri" w:cs="Times New Roman"/>
        </w:rPr>
        <w:t xml:space="preserve"> </w:t>
      </w:r>
      <w:r w:rsidR="00CC315D">
        <w:rPr>
          <w:rFonts w:ascii="Calibri" w:eastAsia="Calibri" w:hAnsi="Calibri" w:cs="Times New Roman"/>
        </w:rPr>
        <w:t xml:space="preserve">These issues are compounded for independent contractors that do not have a direct employer with responsibilities. </w:t>
      </w:r>
      <w:r w:rsidR="00EA0B3A" w:rsidRPr="00EA0B3A">
        <w:rPr>
          <w:rFonts w:ascii="Calibri" w:eastAsia="Calibri" w:hAnsi="Calibri" w:cs="Times New Roman"/>
        </w:rPr>
        <w:t xml:space="preserve">A Swedish study found temporary workers were less likely to raise safety issues than permanent workers and when they did raise </w:t>
      </w:r>
      <w:proofErr w:type="gramStart"/>
      <w:r w:rsidR="00EA0B3A" w:rsidRPr="00EA0B3A">
        <w:rPr>
          <w:rFonts w:ascii="Calibri" w:eastAsia="Calibri" w:hAnsi="Calibri" w:cs="Times New Roman"/>
        </w:rPr>
        <w:t>concerns</w:t>
      </w:r>
      <w:proofErr w:type="gramEnd"/>
      <w:r w:rsidR="00EA0B3A" w:rsidRPr="00EA0B3A">
        <w:rPr>
          <w:rFonts w:ascii="Calibri" w:eastAsia="Calibri" w:hAnsi="Calibri" w:cs="Times New Roman"/>
        </w:rPr>
        <w:t xml:space="preserve"> they were less likely to be treated seriously.</w:t>
      </w:r>
      <w:r w:rsidR="00E036C9">
        <w:rPr>
          <w:rFonts w:ascii="Calibri" w:eastAsia="Calibri" w:hAnsi="Calibri" w:cs="Times New Roman"/>
        </w:rPr>
        <w:t xml:space="preserve"> The lack of protection for workers in aged care flows through to a lack of protection to aged care recipients. Workers need protection to voice their concerns about care and quality standards</w:t>
      </w:r>
      <w:r w:rsidR="002F5B71">
        <w:rPr>
          <w:rFonts w:ascii="Calibri" w:eastAsia="Calibri" w:hAnsi="Calibri" w:cs="Times New Roman"/>
        </w:rPr>
        <w:t xml:space="preserve"> in aged care</w:t>
      </w:r>
      <w:r w:rsidR="00E036C9">
        <w:rPr>
          <w:rFonts w:ascii="Calibri" w:eastAsia="Calibri" w:hAnsi="Calibri" w:cs="Times New Roman"/>
        </w:rPr>
        <w:t xml:space="preserve">, </w:t>
      </w:r>
      <w:r w:rsidR="002F5B71">
        <w:rPr>
          <w:rFonts w:ascii="Calibri" w:eastAsia="Calibri" w:hAnsi="Calibri" w:cs="Times New Roman"/>
        </w:rPr>
        <w:t>without risking their</w:t>
      </w:r>
      <w:r w:rsidR="001F5D3B">
        <w:rPr>
          <w:rFonts w:ascii="Calibri" w:eastAsia="Calibri" w:hAnsi="Calibri" w:cs="Times New Roman"/>
        </w:rPr>
        <w:t xml:space="preserve"> economic security</w:t>
      </w:r>
      <w:r w:rsidR="002F5B71">
        <w:rPr>
          <w:rFonts w:ascii="Calibri" w:eastAsia="Calibri" w:hAnsi="Calibri" w:cs="Times New Roman"/>
        </w:rPr>
        <w:t xml:space="preserve">. </w:t>
      </w:r>
    </w:p>
    <w:p w14:paraId="4BA93702" w14:textId="12553667" w:rsidR="00EA0B3A" w:rsidRDefault="00EA0B3A" w:rsidP="003A06AA">
      <w:pPr>
        <w:spacing w:after="200" w:line="276" w:lineRule="auto"/>
        <w:jc w:val="both"/>
        <w:rPr>
          <w:rFonts w:ascii="Calibri" w:eastAsia="Calibri" w:hAnsi="Calibri" w:cs="Times New Roman"/>
        </w:rPr>
      </w:pPr>
    </w:p>
    <w:p w14:paraId="6A14CC0E" w14:textId="40B90F0B" w:rsidR="002F5B71" w:rsidRPr="00A70565" w:rsidRDefault="002F5B71" w:rsidP="003A06AA">
      <w:pPr>
        <w:spacing w:after="200" w:line="276" w:lineRule="auto"/>
        <w:jc w:val="both"/>
        <w:rPr>
          <w:rFonts w:ascii="Calibri" w:eastAsia="Calibri" w:hAnsi="Calibri" w:cs="Times New Roman"/>
          <w:b/>
          <w:bCs/>
        </w:rPr>
      </w:pPr>
      <w:r w:rsidRPr="00A70565">
        <w:rPr>
          <w:rFonts w:ascii="Calibri" w:eastAsia="Calibri" w:hAnsi="Calibri" w:cs="Times New Roman"/>
          <w:b/>
          <w:bCs/>
        </w:rPr>
        <w:t>Issues Paper</w:t>
      </w:r>
      <w:r w:rsidR="00FE6FA2">
        <w:rPr>
          <w:rFonts w:ascii="Calibri" w:eastAsia="Calibri" w:hAnsi="Calibri" w:cs="Times New Roman"/>
          <w:b/>
          <w:bCs/>
        </w:rPr>
        <w:t xml:space="preserve"> (page 28)</w:t>
      </w:r>
      <w:r w:rsidRPr="00A70565">
        <w:rPr>
          <w:rFonts w:ascii="Calibri" w:eastAsia="Calibri" w:hAnsi="Calibri" w:cs="Times New Roman"/>
          <w:b/>
          <w:bCs/>
        </w:rPr>
        <w:t xml:space="preserve">: What are the pros and cons of agency workers, independent </w:t>
      </w:r>
      <w:r w:rsidR="00A70565" w:rsidRPr="00A70565">
        <w:rPr>
          <w:rFonts w:ascii="Calibri" w:eastAsia="Calibri" w:hAnsi="Calibri" w:cs="Times New Roman"/>
          <w:b/>
          <w:bCs/>
        </w:rPr>
        <w:t>contractors</w:t>
      </w:r>
      <w:r w:rsidRPr="00A70565">
        <w:rPr>
          <w:rFonts w:ascii="Calibri" w:eastAsia="Calibri" w:hAnsi="Calibri" w:cs="Times New Roman"/>
          <w:b/>
          <w:bCs/>
        </w:rPr>
        <w:t xml:space="preserve"> and platform workers in aged care for:</w:t>
      </w:r>
    </w:p>
    <w:p w14:paraId="4E237D4A" w14:textId="1CA872A4" w:rsidR="002F5B71" w:rsidRPr="00A70565" w:rsidRDefault="002F5B71" w:rsidP="003A06AA">
      <w:pPr>
        <w:spacing w:after="200" w:line="276" w:lineRule="auto"/>
        <w:jc w:val="both"/>
        <w:rPr>
          <w:rFonts w:ascii="Calibri" w:eastAsia="Calibri" w:hAnsi="Calibri" w:cs="Times New Roman"/>
          <w:b/>
          <w:bCs/>
        </w:rPr>
      </w:pPr>
      <w:r w:rsidRPr="00A70565">
        <w:rPr>
          <w:rFonts w:ascii="Calibri" w:eastAsia="Calibri" w:hAnsi="Calibri" w:cs="Times New Roman"/>
          <w:b/>
          <w:bCs/>
        </w:rPr>
        <w:t>Aged care recipients (in terms of quality of care and consumer choice)</w:t>
      </w:r>
    </w:p>
    <w:p w14:paraId="67F8AE76" w14:textId="2933AFAC" w:rsidR="002F5B71" w:rsidRPr="00A70565" w:rsidRDefault="002F5B71" w:rsidP="003A06AA">
      <w:pPr>
        <w:spacing w:after="200" w:line="276" w:lineRule="auto"/>
        <w:jc w:val="both"/>
        <w:rPr>
          <w:rFonts w:ascii="Calibri" w:eastAsia="Calibri" w:hAnsi="Calibri" w:cs="Times New Roman"/>
          <w:b/>
          <w:bCs/>
        </w:rPr>
      </w:pPr>
      <w:r w:rsidRPr="00A70565">
        <w:rPr>
          <w:rFonts w:ascii="Calibri" w:eastAsia="Calibri" w:hAnsi="Calibri" w:cs="Times New Roman"/>
          <w:b/>
          <w:bCs/>
        </w:rPr>
        <w:t xml:space="preserve">Aged care workers (in terms of employment conditions and worker </w:t>
      </w:r>
      <w:r w:rsidR="00A70565" w:rsidRPr="00A70565">
        <w:rPr>
          <w:rFonts w:ascii="Calibri" w:eastAsia="Calibri" w:hAnsi="Calibri" w:cs="Times New Roman"/>
          <w:b/>
          <w:bCs/>
        </w:rPr>
        <w:t>preferences</w:t>
      </w:r>
      <w:r w:rsidRPr="00A70565">
        <w:rPr>
          <w:rFonts w:ascii="Calibri" w:eastAsia="Calibri" w:hAnsi="Calibri" w:cs="Times New Roman"/>
          <w:b/>
          <w:bCs/>
        </w:rPr>
        <w:t>)</w:t>
      </w:r>
    </w:p>
    <w:p w14:paraId="07B059E5" w14:textId="09EA6E5F" w:rsidR="002F5B71" w:rsidRPr="00A70565" w:rsidRDefault="002F5B71" w:rsidP="003A06AA">
      <w:pPr>
        <w:spacing w:after="200" w:line="276" w:lineRule="auto"/>
        <w:jc w:val="both"/>
        <w:rPr>
          <w:rFonts w:ascii="Calibri" w:eastAsia="Calibri" w:hAnsi="Calibri" w:cs="Times New Roman"/>
          <w:b/>
          <w:bCs/>
        </w:rPr>
      </w:pPr>
      <w:r w:rsidRPr="00A70565">
        <w:rPr>
          <w:rFonts w:ascii="Calibri" w:eastAsia="Calibri" w:hAnsi="Calibri" w:cs="Times New Roman"/>
          <w:b/>
          <w:bCs/>
        </w:rPr>
        <w:t xml:space="preserve">Aged care providers (in terms of job creation and availability of workforce, </w:t>
      </w:r>
      <w:r w:rsidR="00A70565" w:rsidRPr="00A70565">
        <w:rPr>
          <w:rFonts w:ascii="Calibri" w:eastAsia="Calibri" w:hAnsi="Calibri" w:cs="Times New Roman"/>
          <w:b/>
          <w:bCs/>
        </w:rPr>
        <w:t>flexible</w:t>
      </w:r>
      <w:r w:rsidRPr="00A70565">
        <w:rPr>
          <w:rFonts w:ascii="Calibri" w:eastAsia="Calibri" w:hAnsi="Calibri" w:cs="Times New Roman"/>
          <w:b/>
          <w:bCs/>
        </w:rPr>
        <w:t xml:space="preserve"> and </w:t>
      </w:r>
      <w:r w:rsidR="00A70565" w:rsidRPr="00A70565">
        <w:rPr>
          <w:rFonts w:ascii="Calibri" w:eastAsia="Calibri" w:hAnsi="Calibri" w:cs="Times New Roman"/>
          <w:b/>
          <w:bCs/>
        </w:rPr>
        <w:t>innovative models of care, accountability of aged care providers for the care delivered on their behalf, costs of providing care and viability of aged care providers?)</w:t>
      </w:r>
    </w:p>
    <w:p w14:paraId="1AB48EDF" w14:textId="0CFF4084" w:rsidR="00A70565" w:rsidRDefault="00A70565" w:rsidP="003A06AA">
      <w:pPr>
        <w:spacing w:after="200" w:line="276" w:lineRule="auto"/>
        <w:jc w:val="both"/>
        <w:rPr>
          <w:rFonts w:ascii="Calibri" w:eastAsia="Calibri" w:hAnsi="Calibri" w:cs="Times New Roman"/>
        </w:rPr>
      </w:pPr>
    </w:p>
    <w:p w14:paraId="073F8201" w14:textId="1BA9B50B" w:rsidR="00291947" w:rsidRDefault="00A70565" w:rsidP="003A06AA">
      <w:pPr>
        <w:spacing w:after="200" w:line="276" w:lineRule="auto"/>
        <w:jc w:val="both"/>
        <w:rPr>
          <w:rFonts w:ascii="Calibri" w:eastAsia="Calibri" w:hAnsi="Calibri" w:cs="Times New Roman"/>
        </w:rPr>
      </w:pPr>
      <w:r>
        <w:rPr>
          <w:rFonts w:ascii="Calibri" w:eastAsia="Calibri" w:hAnsi="Calibri" w:cs="Times New Roman"/>
        </w:rPr>
        <w:t>Responses to these questions are interrelated.  Quality care for aged care recipients is dependent, in part, upon aged care providers being able to offer skilled, caring workers</w:t>
      </w:r>
      <w:r w:rsidR="00772307">
        <w:rPr>
          <w:rFonts w:ascii="Calibri" w:eastAsia="Calibri" w:hAnsi="Calibri" w:cs="Times New Roman"/>
        </w:rPr>
        <w:t xml:space="preserve"> (including sufficient time to care)</w:t>
      </w:r>
      <w:r>
        <w:rPr>
          <w:rFonts w:ascii="Calibri" w:eastAsia="Calibri" w:hAnsi="Calibri" w:cs="Times New Roman"/>
        </w:rPr>
        <w:t xml:space="preserve">. This requires aged care providers to investment in the skills of the workforce, with certainty that funds spent on training and upskilling their workforce will </w:t>
      </w:r>
      <w:r w:rsidR="00291947">
        <w:rPr>
          <w:rFonts w:ascii="Calibri" w:eastAsia="Calibri" w:hAnsi="Calibri" w:cs="Times New Roman"/>
        </w:rPr>
        <w:t>provide a return to the organisation</w:t>
      </w:r>
      <w:r w:rsidR="00931847">
        <w:rPr>
          <w:rFonts w:ascii="Calibri" w:eastAsia="Calibri" w:hAnsi="Calibri" w:cs="Times New Roman"/>
        </w:rPr>
        <w:t>.</w:t>
      </w:r>
      <w:r w:rsidR="00291947">
        <w:rPr>
          <w:rFonts w:ascii="Calibri" w:eastAsia="Calibri" w:hAnsi="Calibri" w:cs="Times New Roman"/>
        </w:rPr>
        <w:t xml:space="preserve"> This will only occur when aged care providers directly employ their </w:t>
      </w:r>
      <w:proofErr w:type="gramStart"/>
      <w:r w:rsidR="00291947">
        <w:rPr>
          <w:rFonts w:ascii="Calibri" w:eastAsia="Calibri" w:hAnsi="Calibri" w:cs="Times New Roman"/>
        </w:rPr>
        <w:t>workers</w:t>
      </w:r>
      <w:r w:rsidR="00931847">
        <w:rPr>
          <w:rFonts w:ascii="Calibri" w:eastAsia="Calibri" w:hAnsi="Calibri" w:cs="Times New Roman"/>
        </w:rPr>
        <w:t>,</w:t>
      </w:r>
      <w:r w:rsidR="00291947">
        <w:rPr>
          <w:rFonts w:ascii="Calibri" w:eastAsia="Calibri" w:hAnsi="Calibri" w:cs="Times New Roman"/>
        </w:rPr>
        <w:t xml:space="preserve"> and</w:t>
      </w:r>
      <w:proofErr w:type="gramEnd"/>
      <w:r w:rsidR="00291947">
        <w:rPr>
          <w:rFonts w:ascii="Calibri" w:eastAsia="Calibri" w:hAnsi="Calibri" w:cs="Times New Roman"/>
        </w:rPr>
        <w:t xml:space="preserve"> employ them for sufficient hours to reap a return on the training. </w:t>
      </w:r>
      <w:r w:rsidR="00931847">
        <w:rPr>
          <w:rFonts w:ascii="Calibri" w:eastAsia="Calibri" w:hAnsi="Calibri" w:cs="Times New Roman"/>
        </w:rPr>
        <w:t xml:space="preserve"> </w:t>
      </w:r>
      <w:r w:rsidR="003A06AA">
        <w:rPr>
          <w:rFonts w:ascii="Calibri" w:eastAsia="Calibri" w:hAnsi="Calibri" w:cs="Times New Roman"/>
        </w:rPr>
        <w:t>The development of internal labour markets offering career paths to aged care workers will also contribute to greater job satisfaction and higher retention rates. Likewise, flexible and innovative models of care require a stable workforce that can understand and apply those models</w:t>
      </w:r>
      <w:r w:rsidR="00CC315D">
        <w:rPr>
          <w:rFonts w:ascii="Calibri" w:eastAsia="Calibri" w:hAnsi="Calibri" w:cs="Times New Roman"/>
        </w:rPr>
        <w:t xml:space="preserve">. </w:t>
      </w:r>
      <w:r w:rsidR="003A06AA">
        <w:rPr>
          <w:rFonts w:ascii="Calibri" w:eastAsia="Calibri" w:hAnsi="Calibri" w:cs="Times New Roman"/>
        </w:rPr>
        <w:t xml:space="preserve"> </w:t>
      </w:r>
      <w:r w:rsidR="00931847">
        <w:rPr>
          <w:rFonts w:ascii="Calibri" w:eastAsia="Calibri" w:hAnsi="Calibri" w:cs="Times New Roman"/>
        </w:rPr>
        <w:t xml:space="preserve">The capacity of providers to invest in training and </w:t>
      </w:r>
      <w:proofErr w:type="gramStart"/>
      <w:r w:rsidR="00931847">
        <w:rPr>
          <w:rFonts w:ascii="Calibri" w:eastAsia="Calibri" w:hAnsi="Calibri" w:cs="Times New Roman"/>
        </w:rPr>
        <w:t>development</w:t>
      </w:r>
      <w:proofErr w:type="gramEnd"/>
      <w:r w:rsidR="00931847">
        <w:rPr>
          <w:rFonts w:ascii="Calibri" w:eastAsia="Calibri" w:hAnsi="Calibri" w:cs="Times New Roman"/>
        </w:rPr>
        <w:t xml:space="preserve"> </w:t>
      </w:r>
      <w:r w:rsidR="003A06AA">
        <w:rPr>
          <w:rFonts w:ascii="Calibri" w:eastAsia="Calibri" w:hAnsi="Calibri" w:cs="Times New Roman"/>
        </w:rPr>
        <w:t xml:space="preserve">however, </w:t>
      </w:r>
      <w:r w:rsidR="00931847">
        <w:rPr>
          <w:rFonts w:ascii="Calibri" w:eastAsia="Calibri" w:hAnsi="Calibri" w:cs="Times New Roman"/>
        </w:rPr>
        <w:t xml:space="preserve">will be constrained when competing organisations choose to prioritise low skill, low wage workers without penalty.  This vicious circle has to be broken in order to promote quality care. </w:t>
      </w:r>
    </w:p>
    <w:p w14:paraId="375ABDC1" w14:textId="2F9EC3A1" w:rsidR="00A70565" w:rsidRDefault="00291947" w:rsidP="003A06AA">
      <w:pPr>
        <w:spacing w:after="200" w:line="276" w:lineRule="auto"/>
        <w:jc w:val="both"/>
        <w:rPr>
          <w:rFonts w:ascii="Calibri" w:eastAsia="Calibri" w:hAnsi="Calibri" w:cs="Times New Roman"/>
        </w:rPr>
      </w:pPr>
      <w:r>
        <w:rPr>
          <w:rFonts w:ascii="Calibri" w:eastAsia="Calibri" w:hAnsi="Calibri" w:cs="Times New Roman"/>
        </w:rPr>
        <w:t xml:space="preserve">Aged care providers will not invest in the skills and training of workers </w:t>
      </w:r>
      <w:r w:rsidR="003A06AA">
        <w:rPr>
          <w:rFonts w:ascii="Calibri" w:eastAsia="Calibri" w:hAnsi="Calibri" w:cs="Times New Roman"/>
        </w:rPr>
        <w:t xml:space="preserve">placed with them but </w:t>
      </w:r>
      <w:r>
        <w:rPr>
          <w:rFonts w:ascii="Calibri" w:eastAsia="Calibri" w:hAnsi="Calibri" w:cs="Times New Roman"/>
        </w:rPr>
        <w:t xml:space="preserve">employed by others, </w:t>
      </w:r>
      <w:r w:rsidR="00931847">
        <w:rPr>
          <w:rFonts w:ascii="Calibri" w:eastAsia="Calibri" w:hAnsi="Calibri" w:cs="Times New Roman"/>
        </w:rPr>
        <w:t>such as labour hire agencie</w:t>
      </w:r>
      <w:r w:rsidR="00CC315D">
        <w:rPr>
          <w:rFonts w:ascii="Calibri" w:eastAsia="Calibri" w:hAnsi="Calibri" w:cs="Times New Roman"/>
        </w:rPr>
        <w:t>s</w:t>
      </w:r>
      <w:r w:rsidR="003A06AA">
        <w:rPr>
          <w:rFonts w:ascii="Calibri" w:eastAsia="Calibri" w:hAnsi="Calibri" w:cs="Times New Roman"/>
        </w:rPr>
        <w:t xml:space="preserve">; and </w:t>
      </w:r>
      <w:r>
        <w:rPr>
          <w:rFonts w:ascii="Calibri" w:eastAsia="Calibri" w:hAnsi="Calibri" w:cs="Times New Roman"/>
        </w:rPr>
        <w:t xml:space="preserve">most labour hire agencies do not invest in the skills of their workforce because those workers are casuals and can be easily replaced if their performance does not meet required standards. </w:t>
      </w:r>
    </w:p>
    <w:p w14:paraId="6EF92323" w14:textId="1EE14A38" w:rsidR="00931847" w:rsidRPr="00EE5712" w:rsidRDefault="00931847" w:rsidP="003A06AA">
      <w:pPr>
        <w:spacing w:after="200" w:line="276" w:lineRule="auto"/>
        <w:jc w:val="both"/>
        <w:rPr>
          <w:rFonts w:ascii="Calibri" w:eastAsia="Calibri" w:hAnsi="Calibri" w:cs="Times New Roman"/>
        </w:rPr>
      </w:pPr>
      <w:r>
        <w:rPr>
          <w:rFonts w:ascii="Calibri" w:eastAsia="Calibri" w:hAnsi="Calibri" w:cs="Times New Roman"/>
        </w:rPr>
        <w:t>Aged care workers, like workers in other</w:t>
      </w:r>
      <w:r w:rsidR="00327B7C">
        <w:rPr>
          <w:rFonts w:ascii="Calibri" w:eastAsia="Calibri" w:hAnsi="Calibri" w:cs="Times New Roman"/>
        </w:rPr>
        <w:t xml:space="preserve"> industries</w:t>
      </w:r>
      <w:r>
        <w:rPr>
          <w:rFonts w:ascii="Calibri" w:eastAsia="Calibri" w:hAnsi="Calibri" w:cs="Times New Roman"/>
        </w:rPr>
        <w:t xml:space="preserve">, </w:t>
      </w:r>
      <w:r w:rsidR="00327B7C">
        <w:rPr>
          <w:rFonts w:ascii="Calibri" w:eastAsia="Calibri" w:hAnsi="Calibri" w:cs="Times New Roman"/>
        </w:rPr>
        <w:t>are disadvantaged when working for agencies, platforms, or when offered no choice but to work as an ABN independent contractor. The vulnerability of agency workers has been recognised by State governments that now require licensing of labour hire agencies (Queensland, Victoria and now South Australia);</w:t>
      </w:r>
      <w:r w:rsidR="003B3A81">
        <w:rPr>
          <w:rFonts w:ascii="Calibri" w:eastAsia="Calibri" w:hAnsi="Calibri" w:cs="Times New Roman"/>
        </w:rPr>
        <w:t xml:space="preserve"> and</w:t>
      </w:r>
      <w:r w:rsidR="00327B7C">
        <w:rPr>
          <w:rFonts w:ascii="Calibri" w:eastAsia="Calibri" w:hAnsi="Calibri" w:cs="Times New Roman"/>
        </w:rPr>
        <w:t xml:space="preserve"> the Victorian Government has </w:t>
      </w:r>
      <w:r w:rsidR="00327B7C">
        <w:rPr>
          <w:rFonts w:ascii="Calibri" w:eastAsia="Calibri" w:hAnsi="Calibri" w:cs="Times New Roman"/>
        </w:rPr>
        <w:lastRenderedPageBreak/>
        <w:t xml:space="preserve">accepted key recommendations to protect platform workers following </w:t>
      </w:r>
      <w:r w:rsidR="003B3A81">
        <w:rPr>
          <w:rFonts w:ascii="Calibri" w:eastAsia="Calibri" w:hAnsi="Calibri" w:cs="Times New Roman"/>
        </w:rPr>
        <w:t xml:space="preserve">an </w:t>
      </w:r>
      <w:r w:rsidR="00327B7C">
        <w:rPr>
          <w:rFonts w:ascii="Calibri" w:eastAsia="Calibri" w:hAnsi="Calibri" w:cs="Times New Roman"/>
        </w:rPr>
        <w:t>enquiry into platform work</w:t>
      </w:r>
      <w:r w:rsidR="003B3A81">
        <w:rPr>
          <w:rFonts w:ascii="Calibri" w:eastAsia="Calibri" w:hAnsi="Calibri" w:cs="Times New Roman"/>
        </w:rPr>
        <w:t xml:space="preserve">.  These State level actions point to the need for wider recognition of inherent risks to workers hired through agencies (whether through online platform or other modes of hire). </w:t>
      </w:r>
    </w:p>
    <w:p w14:paraId="39855B39" w14:textId="1682FB3B" w:rsidR="00EE5712" w:rsidRDefault="003B3A81" w:rsidP="003A06AA">
      <w:pPr>
        <w:spacing w:after="200" w:line="276" w:lineRule="auto"/>
        <w:jc w:val="both"/>
        <w:rPr>
          <w:rFonts w:ascii="Calibri" w:eastAsia="Calibri" w:hAnsi="Calibri" w:cs="Times New Roman"/>
        </w:rPr>
      </w:pPr>
      <w:r>
        <w:rPr>
          <w:rFonts w:ascii="Calibri" w:eastAsia="Calibri" w:hAnsi="Calibri" w:cs="Times New Roman"/>
        </w:rPr>
        <w:t>A wide range of studies of labour hire workers</w:t>
      </w:r>
      <w:r w:rsidR="005748AD">
        <w:rPr>
          <w:rFonts w:ascii="Calibri" w:eastAsia="Calibri" w:hAnsi="Calibri" w:cs="Times New Roman"/>
        </w:rPr>
        <w:t>, both in Australia and internationally, have found</w:t>
      </w:r>
      <w:r w:rsidR="00FE6FA2">
        <w:rPr>
          <w:rStyle w:val="EndnoteReference"/>
          <w:rFonts w:ascii="Calibri" w:eastAsia="Calibri" w:hAnsi="Calibri" w:cs="Times New Roman"/>
        </w:rPr>
        <w:endnoteReference w:id="5"/>
      </w:r>
      <w:r w:rsidR="005748AD">
        <w:rPr>
          <w:rFonts w:ascii="Calibri" w:eastAsia="Calibri" w:hAnsi="Calibri" w:cs="Times New Roman"/>
        </w:rPr>
        <w:t xml:space="preserve">: </w:t>
      </w:r>
    </w:p>
    <w:p w14:paraId="7952344F" w14:textId="5A169DB9" w:rsidR="005748AD" w:rsidRDefault="005748AD" w:rsidP="003A06AA">
      <w:pPr>
        <w:spacing w:after="200" w:line="276" w:lineRule="auto"/>
        <w:jc w:val="both"/>
        <w:rPr>
          <w:rFonts w:ascii="Calibri" w:eastAsia="Calibri" w:hAnsi="Calibri" w:cs="Times New Roman"/>
        </w:rPr>
      </w:pPr>
      <w:r>
        <w:rPr>
          <w:rFonts w:ascii="Calibri" w:eastAsia="Calibri" w:hAnsi="Calibri" w:cs="Times New Roman"/>
        </w:rPr>
        <w:t xml:space="preserve">1. Agency workers receive a lower hourly rate of pay than directly hired workers, and the casual loading, </w:t>
      </w:r>
      <w:r w:rsidR="003A06AA">
        <w:rPr>
          <w:rFonts w:ascii="Calibri" w:eastAsia="Calibri" w:hAnsi="Calibri" w:cs="Times New Roman"/>
        </w:rPr>
        <w:t>when</w:t>
      </w:r>
      <w:r>
        <w:rPr>
          <w:rFonts w:ascii="Calibri" w:eastAsia="Calibri" w:hAnsi="Calibri" w:cs="Times New Roman"/>
        </w:rPr>
        <w:t xml:space="preserve"> paid, does not cover that </w:t>
      </w:r>
      <w:proofErr w:type="gramStart"/>
      <w:r>
        <w:rPr>
          <w:rFonts w:ascii="Calibri" w:eastAsia="Calibri" w:hAnsi="Calibri" w:cs="Times New Roman"/>
        </w:rPr>
        <w:t>gap;</w:t>
      </w:r>
      <w:proofErr w:type="gramEnd"/>
      <w:r>
        <w:rPr>
          <w:rFonts w:ascii="Calibri" w:eastAsia="Calibri" w:hAnsi="Calibri" w:cs="Times New Roman"/>
        </w:rPr>
        <w:t xml:space="preserve"> </w:t>
      </w:r>
    </w:p>
    <w:p w14:paraId="417FC235" w14:textId="35BAD6BF" w:rsidR="005748AD" w:rsidRDefault="005748AD" w:rsidP="003A06AA">
      <w:pPr>
        <w:spacing w:after="200" w:line="276" w:lineRule="auto"/>
        <w:jc w:val="both"/>
        <w:rPr>
          <w:rFonts w:ascii="Calibri" w:eastAsia="Calibri" w:hAnsi="Calibri" w:cs="Times New Roman"/>
        </w:rPr>
      </w:pPr>
      <w:r>
        <w:rPr>
          <w:rFonts w:ascii="Calibri" w:eastAsia="Calibri" w:hAnsi="Calibri" w:cs="Times New Roman"/>
        </w:rPr>
        <w:t xml:space="preserve">2. Agency workers would overwhelmingly prefer to be employed directly than by an </w:t>
      </w:r>
      <w:proofErr w:type="gramStart"/>
      <w:r>
        <w:rPr>
          <w:rFonts w:ascii="Calibri" w:eastAsia="Calibri" w:hAnsi="Calibri" w:cs="Times New Roman"/>
        </w:rPr>
        <w:t>agency;</w:t>
      </w:r>
      <w:proofErr w:type="gramEnd"/>
    </w:p>
    <w:p w14:paraId="6BDF3B71" w14:textId="6C477C25" w:rsidR="005748AD" w:rsidRDefault="0024346A" w:rsidP="003A06AA">
      <w:pPr>
        <w:spacing w:after="200" w:line="276" w:lineRule="auto"/>
        <w:jc w:val="both"/>
        <w:rPr>
          <w:rFonts w:ascii="Calibri" w:eastAsia="Calibri" w:hAnsi="Calibri" w:cs="Times New Roman"/>
        </w:rPr>
      </w:pPr>
      <w:r>
        <w:rPr>
          <w:rFonts w:ascii="Calibri" w:eastAsia="Calibri" w:hAnsi="Calibri" w:cs="Times New Roman"/>
        </w:rPr>
        <w:t>3. Australian</w:t>
      </w:r>
      <w:r w:rsidR="005748AD">
        <w:rPr>
          <w:rFonts w:ascii="Calibri" w:eastAsia="Calibri" w:hAnsi="Calibri" w:cs="Times New Roman"/>
        </w:rPr>
        <w:t xml:space="preserve"> and international evidence shows that organisations used labour hire agency workers primar</w:t>
      </w:r>
      <w:r>
        <w:rPr>
          <w:rFonts w:ascii="Calibri" w:eastAsia="Calibri" w:hAnsi="Calibri" w:cs="Times New Roman"/>
        </w:rPr>
        <w:t>i</w:t>
      </w:r>
      <w:r w:rsidR="005748AD">
        <w:rPr>
          <w:rFonts w:ascii="Calibri" w:eastAsia="Calibri" w:hAnsi="Calibri" w:cs="Times New Roman"/>
        </w:rPr>
        <w:t>ly to reduce costs</w:t>
      </w:r>
      <w:r>
        <w:rPr>
          <w:rFonts w:ascii="Calibri" w:eastAsia="Calibri" w:hAnsi="Calibri" w:cs="Times New Roman"/>
        </w:rPr>
        <w:t xml:space="preserve"> and increase flexibility. The burden of these objectives is borne by agency workers;</w:t>
      </w:r>
      <w:r w:rsidR="003A06AA">
        <w:rPr>
          <w:rFonts w:ascii="Calibri" w:eastAsia="Calibri" w:hAnsi="Calibri" w:cs="Times New Roman"/>
        </w:rPr>
        <w:t xml:space="preserve"> and</w:t>
      </w:r>
    </w:p>
    <w:p w14:paraId="464402D0" w14:textId="45CF24E2" w:rsidR="005748AD" w:rsidRDefault="0024346A" w:rsidP="003A06AA">
      <w:pPr>
        <w:spacing w:after="200" w:line="276" w:lineRule="auto"/>
        <w:jc w:val="both"/>
        <w:rPr>
          <w:rFonts w:ascii="Calibri" w:eastAsia="Calibri" w:hAnsi="Calibri" w:cs="Times New Roman"/>
        </w:rPr>
      </w:pPr>
      <w:r>
        <w:rPr>
          <w:rFonts w:ascii="Calibri" w:eastAsia="Calibri" w:hAnsi="Calibri" w:cs="Times New Roman"/>
        </w:rPr>
        <w:t xml:space="preserve">4. As noted earlier, agency workers are more likely to be injured, and injured more severely, than directly hire workers. They are also less likely to be offered employment post-injury at work. </w:t>
      </w:r>
    </w:p>
    <w:p w14:paraId="36C6C26D" w14:textId="1BC06A88" w:rsidR="0024346A" w:rsidRDefault="0024346A" w:rsidP="003A06AA">
      <w:pPr>
        <w:spacing w:after="200" w:line="276" w:lineRule="auto"/>
        <w:jc w:val="both"/>
        <w:rPr>
          <w:rFonts w:ascii="Calibri" w:eastAsia="Calibri" w:hAnsi="Calibri" w:cs="Times New Roman"/>
        </w:rPr>
      </w:pPr>
      <w:r>
        <w:rPr>
          <w:rFonts w:ascii="Calibri" w:eastAsia="Calibri" w:hAnsi="Calibri" w:cs="Times New Roman"/>
        </w:rPr>
        <w:t xml:space="preserve">Together, these characteristics create a disincentive to labour hire workers </w:t>
      </w:r>
      <w:r w:rsidR="00CC315D">
        <w:rPr>
          <w:rFonts w:ascii="Calibri" w:eastAsia="Calibri" w:hAnsi="Calibri" w:cs="Times New Roman"/>
        </w:rPr>
        <w:t xml:space="preserve">in aged care to </w:t>
      </w:r>
      <w:r>
        <w:rPr>
          <w:rFonts w:ascii="Calibri" w:eastAsia="Calibri" w:hAnsi="Calibri" w:cs="Times New Roman"/>
        </w:rPr>
        <w:t>invest in their own skills and training when the only job opportunities on offer are short hour</w:t>
      </w:r>
      <w:r w:rsidR="00772307">
        <w:rPr>
          <w:rFonts w:ascii="Calibri" w:eastAsia="Calibri" w:hAnsi="Calibri" w:cs="Times New Roman"/>
        </w:rPr>
        <w:t>, low paid</w:t>
      </w:r>
      <w:r>
        <w:rPr>
          <w:rFonts w:ascii="Calibri" w:eastAsia="Calibri" w:hAnsi="Calibri" w:cs="Times New Roman"/>
        </w:rPr>
        <w:t xml:space="preserve"> agency jobs.  The aged care sector needs to offer more full-time direct employment in order to attract workers with appropriate skills and training to ensure quality care</w:t>
      </w:r>
      <w:r w:rsidR="003A06AA">
        <w:rPr>
          <w:rFonts w:ascii="Calibri" w:eastAsia="Calibri" w:hAnsi="Calibri" w:cs="Times New Roman"/>
        </w:rPr>
        <w:t xml:space="preserve">. </w:t>
      </w:r>
      <w:r w:rsidR="00CC315D">
        <w:rPr>
          <w:rFonts w:ascii="Calibri" w:eastAsia="Calibri" w:hAnsi="Calibri" w:cs="Times New Roman"/>
        </w:rPr>
        <w:t xml:space="preserve"> </w:t>
      </w:r>
    </w:p>
    <w:p w14:paraId="41D89B8C" w14:textId="2DD4323C" w:rsidR="00773CA0" w:rsidRDefault="00773CA0" w:rsidP="003A06AA">
      <w:pPr>
        <w:spacing w:after="200" w:line="276" w:lineRule="auto"/>
        <w:jc w:val="both"/>
        <w:rPr>
          <w:rFonts w:ascii="Calibri" w:eastAsia="Calibri" w:hAnsi="Calibri" w:cs="Times New Roman"/>
        </w:rPr>
      </w:pPr>
    </w:p>
    <w:p w14:paraId="4098029C" w14:textId="021B64B5" w:rsidR="00773CA0" w:rsidRPr="00773CA0" w:rsidRDefault="00773CA0" w:rsidP="003A06AA">
      <w:pPr>
        <w:spacing w:after="200" w:line="276" w:lineRule="auto"/>
        <w:jc w:val="both"/>
        <w:rPr>
          <w:rFonts w:ascii="Calibri" w:eastAsia="Calibri" w:hAnsi="Calibri" w:cs="Times New Roman"/>
          <w:b/>
          <w:bCs/>
        </w:rPr>
      </w:pPr>
      <w:r w:rsidRPr="00773CA0">
        <w:rPr>
          <w:rFonts w:ascii="Calibri" w:eastAsia="Calibri" w:hAnsi="Calibri" w:cs="Times New Roman"/>
          <w:b/>
          <w:bCs/>
        </w:rPr>
        <w:t>Issues Paper</w:t>
      </w:r>
      <w:r w:rsidR="00FE6FA2">
        <w:rPr>
          <w:rFonts w:ascii="Calibri" w:eastAsia="Calibri" w:hAnsi="Calibri" w:cs="Times New Roman"/>
          <w:b/>
          <w:bCs/>
        </w:rPr>
        <w:t xml:space="preserve"> (page 29)</w:t>
      </w:r>
      <w:r w:rsidRPr="00773CA0">
        <w:rPr>
          <w:rFonts w:ascii="Calibri" w:eastAsia="Calibri" w:hAnsi="Calibri" w:cs="Times New Roman"/>
          <w:b/>
          <w:bCs/>
        </w:rPr>
        <w:t xml:space="preserve">: </w:t>
      </w:r>
    </w:p>
    <w:p w14:paraId="5378D017" w14:textId="3C347186" w:rsidR="00773CA0" w:rsidRPr="00773CA0" w:rsidRDefault="00773CA0" w:rsidP="003A06AA">
      <w:pPr>
        <w:spacing w:after="200" w:line="276" w:lineRule="auto"/>
        <w:jc w:val="both"/>
        <w:rPr>
          <w:rFonts w:ascii="Calibri" w:eastAsia="Calibri" w:hAnsi="Calibri" w:cs="Times New Roman"/>
          <w:b/>
          <w:bCs/>
        </w:rPr>
      </w:pPr>
      <w:r w:rsidRPr="00773CA0">
        <w:rPr>
          <w:rFonts w:ascii="Calibri" w:eastAsia="Calibri" w:hAnsi="Calibri" w:cs="Times New Roman"/>
          <w:b/>
          <w:bCs/>
        </w:rPr>
        <w:t>What are the potential impacts of preferencing the use of direct employment of personal carers and nurses in aged care?</w:t>
      </w:r>
    </w:p>
    <w:p w14:paraId="40FC4579" w14:textId="019E3983" w:rsidR="00BE28A3" w:rsidRDefault="00773CA0" w:rsidP="00BE28A3">
      <w:pPr>
        <w:spacing w:after="200" w:line="276" w:lineRule="auto"/>
        <w:jc w:val="both"/>
        <w:rPr>
          <w:rFonts w:ascii="Calibri" w:eastAsia="Calibri" w:hAnsi="Calibri" w:cs="Times New Roman"/>
        </w:rPr>
      </w:pPr>
      <w:r>
        <w:rPr>
          <w:rFonts w:ascii="Calibri" w:eastAsia="Calibri" w:hAnsi="Calibri" w:cs="Times New Roman"/>
        </w:rPr>
        <w:t xml:space="preserve">Preferencing the direct employment of personal carers and nurses in aged care would be expected to minimise many of the problems for workers and quality care identified above. It should also reduce the problem of multiple job holding and underemployment identified in the </w:t>
      </w:r>
      <w:r w:rsidR="00772307">
        <w:rPr>
          <w:rFonts w:ascii="Calibri" w:eastAsia="Calibri" w:hAnsi="Calibri" w:cs="Times New Roman"/>
        </w:rPr>
        <w:t>I</w:t>
      </w:r>
      <w:r>
        <w:rPr>
          <w:rFonts w:ascii="Calibri" w:eastAsia="Calibri" w:hAnsi="Calibri" w:cs="Times New Roman"/>
        </w:rPr>
        <w:t xml:space="preserve">ssues </w:t>
      </w:r>
      <w:r w:rsidR="00772307">
        <w:rPr>
          <w:rFonts w:ascii="Calibri" w:eastAsia="Calibri" w:hAnsi="Calibri" w:cs="Times New Roman"/>
        </w:rPr>
        <w:t>P</w:t>
      </w:r>
      <w:r>
        <w:rPr>
          <w:rFonts w:ascii="Calibri" w:eastAsia="Calibri" w:hAnsi="Calibri" w:cs="Times New Roman"/>
        </w:rPr>
        <w:t xml:space="preserve">aper. Organisations will have an incentive to invest in the skills of their workforce because they will reap the return on that investment.  When organisations have invested in the skills of their workforce, they have an incentive to retain those workers and to offer them sufficient working hours to promote retention.  </w:t>
      </w:r>
      <w:r w:rsidR="00BE28A3">
        <w:rPr>
          <w:rFonts w:ascii="Calibri" w:eastAsia="Calibri" w:hAnsi="Calibri" w:cs="Times New Roman"/>
        </w:rPr>
        <w:t>Care recipients will benefit from a more skilled and better trained workforce, and from on-going relationships with those workers that are critical to well-being.  The aged care sector will become increasingly attractive to a wider share of the workforce, in contrast to its current reputation as low paid, short hour</w:t>
      </w:r>
      <w:r w:rsidR="00772307">
        <w:rPr>
          <w:rFonts w:ascii="Calibri" w:eastAsia="Calibri" w:hAnsi="Calibri" w:cs="Times New Roman"/>
        </w:rPr>
        <w:t>, last resort</w:t>
      </w:r>
      <w:r w:rsidR="00BE28A3">
        <w:rPr>
          <w:rFonts w:ascii="Calibri" w:eastAsia="Calibri" w:hAnsi="Calibri" w:cs="Times New Roman"/>
        </w:rPr>
        <w:t xml:space="preserve"> work. </w:t>
      </w:r>
    </w:p>
    <w:p w14:paraId="6F1C3AD0" w14:textId="680272D5" w:rsidR="0017793D" w:rsidRDefault="0017793D" w:rsidP="00BE28A3">
      <w:pPr>
        <w:spacing w:after="200" w:line="276" w:lineRule="auto"/>
        <w:jc w:val="both"/>
        <w:rPr>
          <w:rFonts w:ascii="Calibri" w:eastAsia="Calibri" w:hAnsi="Calibri" w:cs="Times New Roman"/>
        </w:rPr>
      </w:pPr>
      <w:r>
        <w:rPr>
          <w:rFonts w:ascii="Calibri" w:eastAsia="Calibri" w:hAnsi="Calibri" w:cs="Times New Roman"/>
        </w:rPr>
        <w:br w:type="page"/>
      </w:r>
    </w:p>
    <w:p w14:paraId="65289A98" w14:textId="675FB35F"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b/>
          <w:sz w:val="20"/>
          <w:szCs w:val="20"/>
          <w:lang w:val="en-US"/>
        </w:rPr>
      </w:pPr>
      <w:r w:rsidRPr="0017793D">
        <w:rPr>
          <w:rFonts w:ascii="Calibri" w:eastAsia="Times New Roman" w:hAnsi="Calibri" w:cs="Times New Roman"/>
          <w:b/>
          <w:sz w:val="20"/>
          <w:szCs w:val="20"/>
          <w:lang w:val="en-US"/>
        </w:rPr>
        <w:lastRenderedPageBreak/>
        <w:t xml:space="preserve">APPENDIX </w:t>
      </w:r>
      <w:r>
        <w:rPr>
          <w:rFonts w:ascii="Calibri" w:eastAsia="Times New Roman" w:hAnsi="Calibri" w:cs="Times New Roman"/>
          <w:b/>
          <w:sz w:val="20"/>
          <w:szCs w:val="20"/>
          <w:lang w:val="en-US"/>
        </w:rPr>
        <w:t>1</w:t>
      </w:r>
      <w:r w:rsidRPr="0017793D">
        <w:rPr>
          <w:rFonts w:ascii="Calibri" w:eastAsia="Times New Roman" w:hAnsi="Calibri" w:cs="Times New Roman"/>
          <w:b/>
          <w:sz w:val="20"/>
          <w:szCs w:val="20"/>
          <w:lang w:val="en-US"/>
        </w:rPr>
        <w:t>: EVIDENCE OF EXPERTISE DR. ELSA UNDERHILL.</w:t>
      </w:r>
    </w:p>
    <w:p w14:paraId="61BFB4B3"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w:t>
      </w:r>
    </w:p>
    <w:p w14:paraId="12841E0F"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 xml:space="preserve">Government agency and Industry Reports including significant consideration of effects of insecure/precarious work </w:t>
      </w:r>
    </w:p>
    <w:p w14:paraId="7181CF8E"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p>
    <w:p w14:paraId="1C047DF0"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Worland, D., &amp; Fitzpatrick, M. (1997). </w:t>
      </w:r>
      <w:r w:rsidRPr="0017793D">
        <w:rPr>
          <w:rFonts w:ascii="Calibri" w:eastAsia="Times New Roman" w:hAnsi="Calibri" w:cs="Times New Roman"/>
          <w:i/>
          <w:iCs/>
          <w:sz w:val="20"/>
          <w:szCs w:val="20"/>
        </w:rPr>
        <w:t>Self-employment in the Victorian construction industry: An assessment of its impact on individual workers and the industry</w:t>
      </w:r>
      <w:r w:rsidRPr="0017793D">
        <w:rPr>
          <w:rFonts w:ascii="Calibri" w:eastAsia="Times New Roman" w:hAnsi="Calibri" w:cs="Times New Roman"/>
          <w:sz w:val="20"/>
          <w:szCs w:val="20"/>
        </w:rPr>
        <w:t xml:space="preserve">. Melbourne: Workplace Studies Centre, Victoria University and </w:t>
      </w:r>
      <w:proofErr w:type="spellStart"/>
      <w:r w:rsidRPr="0017793D">
        <w:rPr>
          <w:rFonts w:ascii="Calibri" w:eastAsia="Times New Roman" w:hAnsi="Calibri" w:cs="Times New Roman"/>
          <w:sz w:val="20"/>
          <w:szCs w:val="20"/>
        </w:rPr>
        <w:t>Incolink</w:t>
      </w:r>
      <w:proofErr w:type="spellEnd"/>
      <w:r w:rsidRPr="0017793D">
        <w:rPr>
          <w:rFonts w:ascii="Calibri" w:eastAsia="Times New Roman" w:hAnsi="Calibri" w:cs="Times New Roman"/>
          <w:sz w:val="20"/>
          <w:szCs w:val="20"/>
        </w:rPr>
        <w:t xml:space="preserve"> (the Redundancy Payment Central Fund Limited).</w:t>
      </w:r>
    </w:p>
    <w:p w14:paraId="736023B2"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Gallagher, C., Underhill, E., &amp; Rimmer, M. (2001). </w:t>
      </w:r>
      <w:r w:rsidRPr="0017793D">
        <w:rPr>
          <w:rFonts w:ascii="Calibri" w:eastAsia="Times New Roman" w:hAnsi="Calibri" w:cs="Times New Roman"/>
          <w:i/>
          <w:iCs/>
          <w:sz w:val="20"/>
          <w:szCs w:val="20"/>
        </w:rPr>
        <w:t>Review of the Effectiveness of OHS Management Systems in Securing Healthy &amp; Safe Workplaces</w:t>
      </w:r>
      <w:r w:rsidRPr="0017793D">
        <w:rPr>
          <w:rFonts w:ascii="Calibri" w:eastAsia="Times New Roman" w:hAnsi="Calibri" w:cs="Times New Roman"/>
          <w:sz w:val="20"/>
          <w:szCs w:val="20"/>
        </w:rPr>
        <w:t>. Sydney: National Occupational Health &amp; Safety Commission.</w:t>
      </w:r>
    </w:p>
    <w:p w14:paraId="4A4656C1"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(2002). </w:t>
      </w:r>
      <w:r w:rsidRPr="0017793D">
        <w:rPr>
          <w:rFonts w:ascii="Calibri" w:eastAsia="Times New Roman" w:hAnsi="Calibri" w:cs="Times New Roman"/>
          <w:i/>
          <w:iCs/>
          <w:sz w:val="20"/>
          <w:szCs w:val="20"/>
        </w:rPr>
        <w:t>Extending Knowledge on Occupational Health &amp; Safety and Labour Hire Employment: A Literature Review and Analysis of Victorian Worker's Compensation Claims</w:t>
      </w:r>
      <w:r w:rsidRPr="0017793D">
        <w:rPr>
          <w:rFonts w:ascii="Calibri" w:eastAsia="Times New Roman" w:hAnsi="Calibri" w:cs="Times New Roman"/>
          <w:sz w:val="20"/>
          <w:szCs w:val="20"/>
        </w:rPr>
        <w:t>. Melbourne: WorkSafe Victoria.</w:t>
      </w:r>
    </w:p>
    <w:p w14:paraId="077B03F5"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(2004). </w:t>
      </w:r>
      <w:r w:rsidRPr="0017793D">
        <w:rPr>
          <w:rFonts w:ascii="Calibri" w:eastAsia="Times New Roman" w:hAnsi="Calibri" w:cs="Times New Roman"/>
          <w:i/>
          <w:iCs/>
          <w:sz w:val="20"/>
          <w:szCs w:val="20"/>
        </w:rPr>
        <w:t>Working under labour hire arrangements: The experience and views of Victorian labour hire employees</w:t>
      </w:r>
      <w:r w:rsidRPr="0017793D">
        <w:rPr>
          <w:rFonts w:ascii="Calibri" w:eastAsia="Times New Roman" w:hAnsi="Calibri" w:cs="Times New Roman"/>
          <w:sz w:val="20"/>
          <w:szCs w:val="20"/>
        </w:rPr>
        <w:t>. Melbourne: Report for the Victorian Trades Hall Council.</w:t>
      </w:r>
    </w:p>
    <w:p w14:paraId="15537951"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eastAsia="en-AU"/>
        </w:rPr>
        <w:t xml:space="preserve">Underhill, E. and Quinlan, M. (2010) </w:t>
      </w:r>
      <w:r w:rsidRPr="0017793D">
        <w:rPr>
          <w:rFonts w:ascii="Calibri" w:eastAsia="Times New Roman" w:hAnsi="Calibri" w:cs="Times New Roman"/>
          <w:i/>
          <w:sz w:val="20"/>
          <w:szCs w:val="20"/>
          <w:lang w:eastAsia="en-AU"/>
        </w:rPr>
        <w:t>Strategies for Improving the Safe Placement of Labour Hire Workers</w:t>
      </w:r>
      <w:r w:rsidRPr="0017793D">
        <w:rPr>
          <w:rFonts w:ascii="Calibri" w:eastAsia="Times New Roman" w:hAnsi="Calibri" w:cs="Times New Roman"/>
          <w:sz w:val="20"/>
          <w:szCs w:val="20"/>
          <w:lang w:eastAsia="en-AU"/>
        </w:rPr>
        <w:t>, Report Prepared for the Queensland Division of Workplace Health and Safety, Melbourne: Deakin University.</w:t>
      </w:r>
    </w:p>
    <w:p w14:paraId="3E61CB74"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Underhill, E. (2013</w:t>
      </w:r>
      <w:r w:rsidRPr="0017793D">
        <w:rPr>
          <w:rFonts w:ascii="Calibri" w:eastAsia="Times New Roman" w:hAnsi="Calibri" w:cs="Times New Roman"/>
          <w:i/>
          <w:iCs/>
          <w:sz w:val="20"/>
          <w:szCs w:val="20"/>
        </w:rPr>
        <w:t>). A Review of Licensing Arrangements for Labour Hire Firms.</w:t>
      </w:r>
      <w:r w:rsidRPr="0017793D">
        <w:rPr>
          <w:rFonts w:ascii="Calibri" w:eastAsia="Times New Roman" w:hAnsi="Calibri" w:cs="Times New Roman"/>
          <w:sz w:val="20"/>
          <w:szCs w:val="20"/>
        </w:rPr>
        <w:t xml:space="preserve"> Report prepared for the National Union of Workers. Melbourne Deakin University.</w:t>
      </w:r>
    </w:p>
    <w:p w14:paraId="48C6EF5E" w14:textId="77777777" w:rsidR="0017793D" w:rsidRPr="0017793D" w:rsidRDefault="0017793D" w:rsidP="003A06AA">
      <w:pPr>
        <w:widowControl w:val="0"/>
        <w:numPr>
          <w:ilvl w:val="0"/>
          <w:numId w:val="1"/>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eastAsia="en-AU"/>
        </w:rPr>
        <w:t>Underhill, E., Huang, S., Yi, S., &amp; Rimmer, M. (2018)</w:t>
      </w:r>
      <w:r w:rsidRPr="0017793D">
        <w:rPr>
          <w:rFonts w:ascii="Calibri" w:eastAsia="Times New Roman" w:hAnsi="Calibri" w:cs="Times New Roman"/>
          <w:i/>
          <w:iCs/>
          <w:sz w:val="20"/>
          <w:szCs w:val="20"/>
          <w:lang w:eastAsia="en-AU"/>
        </w:rPr>
        <w:t xml:space="preserve"> Information Seeking Behaviours of temporary visa workers in Victoria,</w:t>
      </w:r>
      <w:r w:rsidRPr="0017793D">
        <w:rPr>
          <w:rFonts w:ascii="Calibri" w:eastAsia="Times New Roman" w:hAnsi="Calibri" w:cs="Times New Roman"/>
          <w:sz w:val="20"/>
          <w:szCs w:val="20"/>
          <w:lang w:eastAsia="en-AU"/>
        </w:rPr>
        <w:t xml:space="preserve"> Report Prepared for IR Victoria, Melbourne, Deakin University, </w:t>
      </w:r>
    </w:p>
    <w:p w14:paraId="12D9B4E7"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p>
    <w:p w14:paraId="44FDCDE5"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i/>
          <w:sz w:val="20"/>
          <w:szCs w:val="20"/>
          <w:lang w:val="en-US"/>
        </w:rPr>
      </w:pPr>
      <w:r w:rsidRPr="0017793D">
        <w:rPr>
          <w:rFonts w:ascii="Calibri" w:eastAsia="Times New Roman" w:hAnsi="Calibri" w:cs="Times New Roman"/>
          <w:i/>
          <w:sz w:val="20"/>
          <w:szCs w:val="20"/>
          <w:lang w:val="en-US"/>
        </w:rPr>
        <w:t>Refereed articles and editorials in scholarly/scientific journals</w:t>
      </w:r>
    </w:p>
    <w:p w14:paraId="57D0AB13"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p>
    <w:p w14:paraId="7B3FCC6B"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Kelly, D. (1993). Eliminating traditional employment: </w:t>
      </w:r>
      <w:proofErr w:type="spellStart"/>
      <w:r w:rsidRPr="0017793D">
        <w:rPr>
          <w:rFonts w:ascii="Calibri" w:eastAsia="Times New Roman" w:hAnsi="Calibri" w:cs="Times New Roman"/>
          <w:sz w:val="20"/>
          <w:szCs w:val="20"/>
        </w:rPr>
        <w:t>Troubleshooters</w:t>
      </w:r>
      <w:proofErr w:type="spellEnd"/>
      <w:r w:rsidRPr="0017793D">
        <w:rPr>
          <w:rFonts w:ascii="Calibri" w:eastAsia="Times New Roman" w:hAnsi="Calibri" w:cs="Times New Roman"/>
          <w:sz w:val="20"/>
          <w:szCs w:val="20"/>
        </w:rPr>
        <w:t xml:space="preserve"> available in the building and meat industries. </w:t>
      </w:r>
      <w:r w:rsidRPr="0017793D">
        <w:rPr>
          <w:rFonts w:ascii="Calibri" w:eastAsia="Times New Roman" w:hAnsi="Calibri" w:cs="Times New Roman"/>
          <w:i/>
          <w:iCs/>
          <w:sz w:val="20"/>
          <w:szCs w:val="20"/>
        </w:rPr>
        <w:t>Journal of Industrial Relations, 35</w:t>
      </w:r>
      <w:r w:rsidRPr="0017793D">
        <w:rPr>
          <w:rFonts w:ascii="Calibri" w:eastAsia="Times New Roman" w:hAnsi="Calibri" w:cs="Times New Roman"/>
          <w:sz w:val="20"/>
          <w:szCs w:val="20"/>
        </w:rPr>
        <w:t>(3), 398-423.</w:t>
      </w:r>
    </w:p>
    <w:p w14:paraId="599220E0"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(1999). The Victorian Labour Hire Maintenance Workers' Strike of 1997. </w:t>
      </w:r>
      <w:r w:rsidRPr="0017793D">
        <w:rPr>
          <w:rFonts w:ascii="Calibri" w:eastAsia="Times New Roman" w:hAnsi="Calibri" w:cs="Times New Roman"/>
          <w:i/>
          <w:iCs/>
          <w:sz w:val="20"/>
          <w:szCs w:val="20"/>
        </w:rPr>
        <w:t>The Economic and Labour Relations Review, 10</w:t>
      </w:r>
      <w:r w:rsidRPr="0017793D">
        <w:rPr>
          <w:rFonts w:ascii="Calibri" w:eastAsia="Times New Roman" w:hAnsi="Calibri" w:cs="Times New Roman"/>
          <w:sz w:val="20"/>
          <w:szCs w:val="20"/>
        </w:rPr>
        <w:t>(1), 73-91.</w:t>
      </w:r>
    </w:p>
    <w:p w14:paraId="560422E4"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Gallagher, C., Underhill, E., &amp; Rimmer, M. (2003). Occupational safety and health management systems in Australia: barriers to success. </w:t>
      </w:r>
      <w:r w:rsidRPr="0017793D">
        <w:rPr>
          <w:rFonts w:ascii="Calibri" w:eastAsia="Times New Roman" w:hAnsi="Calibri" w:cs="Times New Roman"/>
          <w:i/>
          <w:iCs/>
          <w:sz w:val="20"/>
          <w:szCs w:val="20"/>
        </w:rPr>
        <w:t>Policy &amp; Practice in Health and Safety, 1</w:t>
      </w:r>
      <w:r w:rsidRPr="0017793D">
        <w:rPr>
          <w:rFonts w:ascii="Calibri" w:eastAsia="Times New Roman" w:hAnsi="Calibri" w:cs="Times New Roman"/>
          <w:sz w:val="20"/>
          <w:szCs w:val="20"/>
        </w:rPr>
        <w:t>(2), 67-81.</w:t>
      </w:r>
    </w:p>
    <w:p w14:paraId="77BB65C8"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(2005). Winners or losers?  Work/life Balance and Temporary Agency Workers. </w:t>
      </w:r>
      <w:r w:rsidRPr="0017793D">
        <w:rPr>
          <w:rFonts w:ascii="Calibri" w:eastAsia="Times New Roman" w:hAnsi="Calibri" w:cs="Times New Roman"/>
          <w:i/>
          <w:iCs/>
          <w:sz w:val="20"/>
          <w:szCs w:val="20"/>
        </w:rPr>
        <w:t>Labour and Industry, 16</w:t>
      </w:r>
      <w:r w:rsidRPr="0017793D">
        <w:rPr>
          <w:rFonts w:ascii="Calibri" w:eastAsia="Times New Roman" w:hAnsi="Calibri" w:cs="Times New Roman"/>
          <w:sz w:val="20"/>
          <w:szCs w:val="20"/>
        </w:rPr>
        <w:t>(2), 29-59.</w:t>
      </w:r>
    </w:p>
    <w:p w14:paraId="6B3CAB81"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(2006). Labour hire employment and independent contracting in Australia: two inquiries, how much change? </w:t>
      </w:r>
      <w:r w:rsidRPr="0017793D">
        <w:rPr>
          <w:rFonts w:ascii="Calibri" w:eastAsia="Times New Roman" w:hAnsi="Calibri" w:cs="Times New Roman"/>
          <w:i/>
          <w:iCs/>
          <w:sz w:val="20"/>
          <w:szCs w:val="20"/>
        </w:rPr>
        <w:t>Australian Journal of Labour Law, 19</w:t>
      </w:r>
      <w:r w:rsidRPr="0017793D">
        <w:rPr>
          <w:rFonts w:ascii="Calibri" w:eastAsia="Times New Roman" w:hAnsi="Calibri" w:cs="Times New Roman"/>
          <w:sz w:val="20"/>
          <w:szCs w:val="20"/>
        </w:rPr>
        <w:t>, 306-314.</w:t>
      </w:r>
    </w:p>
    <w:p w14:paraId="118C6BD4"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Quinlan, M. (2011). How precarious employment affects health and safety at work: the case of temporary agency workers. </w:t>
      </w:r>
      <w:r w:rsidRPr="0017793D">
        <w:rPr>
          <w:rFonts w:ascii="Calibri" w:eastAsia="Times New Roman" w:hAnsi="Calibri" w:cs="Times New Roman"/>
          <w:i/>
          <w:iCs/>
          <w:sz w:val="20"/>
          <w:szCs w:val="20"/>
        </w:rPr>
        <w:t xml:space="preserve">Relations </w:t>
      </w:r>
      <w:proofErr w:type="spellStart"/>
      <w:r w:rsidRPr="0017793D">
        <w:rPr>
          <w:rFonts w:ascii="Calibri" w:eastAsia="Times New Roman" w:hAnsi="Calibri" w:cs="Times New Roman"/>
          <w:i/>
          <w:iCs/>
          <w:sz w:val="20"/>
          <w:szCs w:val="20"/>
        </w:rPr>
        <w:t>Industrielles</w:t>
      </w:r>
      <w:proofErr w:type="spellEnd"/>
      <w:r w:rsidRPr="0017793D">
        <w:rPr>
          <w:rFonts w:ascii="Calibri" w:eastAsia="Times New Roman" w:hAnsi="Calibri" w:cs="Times New Roman"/>
          <w:i/>
          <w:iCs/>
          <w:sz w:val="20"/>
          <w:szCs w:val="20"/>
        </w:rPr>
        <w:t>, 66</w:t>
      </w:r>
      <w:r w:rsidRPr="0017793D">
        <w:rPr>
          <w:rFonts w:ascii="Calibri" w:eastAsia="Times New Roman" w:hAnsi="Calibri" w:cs="Times New Roman"/>
          <w:sz w:val="20"/>
          <w:szCs w:val="20"/>
        </w:rPr>
        <w:t>(3), 397-421.</w:t>
      </w:r>
    </w:p>
    <w:p w14:paraId="53115026"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eastAsia="en-AU"/>
        </w:rPr>
        <w:t xml:space="preserve">Underhill, E. </w:t>
      </w:r>
      <w:proofErr w:type="spellStart"/>
      <w:r w:rsidRPr="0017793D">
        <w:rPr>
          <w:rFonts w:ascii="Calibri" w:eastAsia="Times New Roman" w:hAnsi="Calibri" w:cs="Times New Roman"/>
          <w:sz w:val="20"/>
          <w:szCs w:val="20"/>
          <w:lang w:eastAsia="en-AU"/>
        </w:rPr>
        <w:t>Lippel</w:t>
      </w:r>
      <w:proofErr w:type="spellEnd"/>
      <w:r w:rsidRPr="0017793D">
        <w:rPr>
          <w:rFonts w:ascii="Calibri" w:eastAsia="Times New Roman" w:hAnsi="Calibri" w:cs="Times New Roman"/>
          <w:sz w:val="20"/>
          <w:szCs w:val="20"/>
          <w:lang w:eastAsia="en-AU"/>
        </w:rPr>
        <w:t xml:space="preserve">, K. &amp; Quinlan, M. (2011) Editorial: Precarious work: recent research and policy challenges, </w:t>
      </w:r>
      <w:r w:rsidRPr="0017793D">
        <w:rPr>
          <w:rFonts w:ascii="Calibri" w:eastAsia="Times New Roman" w:hAnsi="Calibri" w:cs="Times New Roman"/>
          <w:i/>
          <w:sz w:val="20"/>
          <w:szCs w:val="20"/>
          <w:lang w:eastAsia="en-AU"/>
        </w:rPr>
        <w:t>Policy and Practice in Health and Safety</w:t>
      </w:r>
      <w:r w:rsidRPr="0017793D">
        <w:rPr>
          <w:rFonts w:ascii="Calibri" w:eastAsia="Times New Roman" w:hAnsi="Calibri" w:cs="Times New Roman"/>
          <w:sz w:val="20"/>
          <w:szCs w:val="20"/>
          <w:lang w:eastAsia="en-AU"/>
        </w:rPr>
        <w:t>, 9(2):1-5.</w:t>
      </w:r>
    </w:p>
    <w:p w14:paraId="5A3C9B1E"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 xml:space="preserve">Underhill, E. and Quinlan, M. (2011) Beyond statutory enforcement – alternative approaches to improving OHS in the Temporary Agency Sector, </w:t>
      </w:r>
      <w:r w:rsidRPr="0017793D">
        <w:rPr>
          <w:rFonts w:ascii="Calibri" w:eastAsia="Times New Roman" w:hAnsi="Calibri" w:cs="Times New Roman"/>
          <w:i/>
          <w:sz w:val="20"/>
          <w:szCs w:val="20"/>
          <w:lang w:val="en-US"/>
        </w:rPr>
        <w:t>Policy and Practice in Safety and Health</w:t>
      </w:r>
      <w:r w:rsidRPr="0017793D">
        <w:rPr>
          <w:rFonts w:ascii="Calibri" w:eastAsia="Times New Roman" w:hAnsi="Calibri" w:cs="Times New Roman"/>
          <w:sz w:val="20"/>
          <w:szCs w:val="20"/>
          <w:lang w:val="en-US"/>
        </w:rPr>
        <w:t>, 9(2):109-131.</w:t>
      </w:r>
    </w:p>
    <w:p w14:paraId="6217BB84"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Rimmer, M. (2015). Itinerant foreign harvest workers in Australia: the impact of precarious employment on occupational health and safety. </w:t>
      </w:r>
      <w:r w:rsidRPr="0017793D">
        <w:rPr>
          <w:rFonts w:ascii="Calibri" w:eastAsia="Times New Roman" w:hAnsi="Calibri" w:cs="Times New Roman"/>
          <w:i/>
          <w:iCs/>
          <w:sz w:val="20"/>
          <w:szCs w:val="20"/>
        </w:rPr>
        <w:t>Policy and Practice in Health and Safety, 13</w:t>
      </w:r>
      <w:r w:rsidRPr="0017793D">
        <w:rPr>
          <w:rFonts w:ascii="Calibri" w:eastAsia="Times New Roman" w:hAnsi="Calibri" w:cs="Times New Roman"/>
          <w:sz w:val="20"/>
          <w:szCs w:val="20"/>
        </w:rPr>
        <w:t>(2), 26-46.</w:t>
      </w:r>
    </w:p>
    <w:p w14:paraId="4381AD31"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Rimmer, M. (2016). Layered vulnerability: Temporary migrants in Australian horticulture. </w:t>
      </w:r>
      <w:r w:rsidRPr="0017793D">
        <w:rPr>
          <w:rFonts w:ascii="Calibri" w:eastAsia="Times New Roman" w:hAnsi="Calibri" w:cs="Times New Roman"/>
          <w:i/>
          <w:iCs/>
          <w:sz w:val="20"/>
          <w:szCs w:val="20"/>
        </w:rPr>
        <w:t>Journal of Industrial Relations, 58</w:t>
      </w:r>
      <w:r w:rsidRPr="0017793D">
        <w:rPr>
          <w:rFonts w:ascii="Calibri" w:eastAsia="Times New Roman" w:hAnsi="Calibri" w:cs="Times New Roman"/>
          <w:sz w:val="20"/>
          <w:szCs w:val="20"/>
        </w:rPr>
        <w:t>(5), 608-626.</w:t>
      </w:r>
    </w:p>
    <w:p w14:paraId="60DDFC67"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Rimmer, M. (2017). Private governance, state regulation and employment standards: how political factors shape their nexus in Australian horticulture. </w:t>
      </w:r>
      <w:r w:rsidRPr="0017793D">
        <w:rPr>
          <w:rFonts w:ascii="Calibri" w:eastAsia="Times New Roman" w:hAnsi="Calibri" w:cs="Times New Roman"/>
          <w:i/>
          <w:iCs/>
          <w:sz w:val="20"/>
          <w:szCs w:val="20"/>
        </w:rPr>
        <w:t xml:space="preserve">Relations </w:t>
      </w:r>
      <w:proofErr w:type="spellStart"/>
      <w:r w:rsidRPr="0017793D">
        <w:rPr>
          <w:rFonts w:ascii="Calibri" w:eastAsia="Times New Roman" w:hAnsi="Calibri" w:cs="Times New Roman"/>
          <w:i/>
          <w:iCs/>
          <w:sz w:val="20"/>
          <w:szCs w:val="20"/>
        </w:rPr>
        <w:t>Industrielles</w:t>
      </w:r>
      <w:proofErr w:type="spellEnd"/>
      <w:r w:rsidRPr="0017793D">
        <w:rPr>
          <w:rFonts w:ascii="Calibri" w:eastAsia="Times New Roman" w:hAnsi="Calibri" w:cs="Times New Roman"/>
          <w:i/>
          <w:iCs/>
          <w:sz w:val="20"/>
          <w:szCs w:val="20"/>
        </w:rPr>
        <w:t>, 72</w:t>
      </w:r>
      <w:r w:rsidRPr="0017793D">
        <w:rPr>
          <w:rFonts w:ascii="Calibri" w:eastAsia="Times New Roman" w:hAnsi="Calibri" w:cs="Times New Roman"/>
          <w:sz w:val="20"/>
          <w:szCs w:val="20"/>
        </w:rPr>
        <w:t>(1), 33-55.</w:t>
      </w:r>
    </w:p>
    <w:p w14:paraId="3F28DFD2" w14:textId="77777777"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w:t>
      </w:r>
      <w:proofErr w:type="spellStart"/>
      <w:r w:rsidRPr="0017793D">
        <w:rPr>
          <w:rFonts w:ascii="Calibri" w:eastAsia="Times New Roman" w:hAnsi="Calibri" w:cs="Times New Roman"/>
          <w:sz w:val="20"/>
          <w:szCs w:val="20"/>
        </w:rPr>
        <w:t>Groutsis</w:t>
      </w:r>
      <w:proofErr w:type="spellEnd"/>
      <w:r w:rsidRPr="0017793D">
        <w:rPr>
          <w:rFonts w:ascii="Calibri" w:eastAsia="Times New Roman" w:hAnsi="Calibri" w:cs="Times New Roman"/>
          <w:sz w:val="20"/>
          <w:szCs w:val="20"/>
        </w:rPr>
        <w:t xml:space="preserve">, D., van den Broek, D., &amp; Rimmer, M. (2018). Migration Intermediaries and Codes of Conduct: Temporary Migrant Workers in Australian Horticulture. </w:t>
      </w:r>
      <w:r w:rsidRPr="0017793D">
        <w:rPr>
          <w:rFonts w:ascii="Calibri" w:eastAsia="Times New Roman" w:hAnsi="Calibri" w:cs="Times New Roman"/>
          <w:i/>
          <w:iCs/>
          <w:sz w:val="20"/>
          <w:szCs w:val="20"/>
        </w:rPr>
        <w:t>Journal of Business Ethics, 153</w:t>
      </w:r>
      <w:r w:rsidRPr="0017793D">
        <w:rPr>
          <w:rFonts w:ascii="Calibri" w:eastAsia="Times New Roman" w:hAnsi="Calibri" w:cs="Times New Roman"/>
          <w:sz w:val="20"/>
          <w:szCs w:val="20"/>
        </w:rPr>
        <w:t>(3), 675-689.</w:t>
      </w:r>
    </w:p>
    <w:p w14:paraId="1E1F646A" w14:textId="5D71406A"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Huang, S., Yi, S., &amp; Rimmer, M. (2019/20). Using social media to improve temporary migrant workers' access to information about their employment rights. </w:t>
      </w:r>
      <w:r w:rsidRPr="0017793D">
        <w:rPr>
          <w:rFonts w:ascii="Calibri" w:eastAsia="Times New Roman" w:hAnsi="Calibri" w:cs="Times New Roman"/>
          <w:i/>
          <w:iCs/>
          <w:sz w:val="20"/>
          <w:szCs w:val="20"/>
        </w:rPr>
        <w:t>Journal of Australian Political Economy, 84</w:t>
      </w:r>
      <w:r w:rsidRPr="0017793D">
        <w:rPr>
          <w:rFonts w:ascii="Calibri" w:eastAsia="Times New Roman" w:hAnsi="Calibri" w:cs="Times New Roman"/>
          <w:sz w:val="20"/>
          <w:szCs w:val="20"/>
        </w:rPr>
        <w:t>, 147-176.</w:t>
      </w:r>
    </w:p>
    <w:p w14:paraId="5CC11AD7" w14:textId="1CBE0910" w:rsidR="0017793D" w:rsidRPr="0017793D" w:rsidRDefault="0017793D" w:rsidP="003A06AA">
      <w:pPr>
        <w:widowControl w:val="0"/>
        <w:numPr>
          <w:ilvl w:val="0"/>
          <w:numId w:val="2"/>
        </w:numPr>
        <w:autoSpaceDE w:val="0"/>
        <w:autoSpaceDN w:val="0"/>
        <w:adjustRightInd w:val="0"/>
        <w:spacing w:after="0" w:line="240" w:lineRule="auto"/>
        <w:contextualSpacing/>
        <w:jc w:val="both"/>
        <w:rPr>
          <w:rFonts w:ascii="Calibri" w:eastAsia="Times New Roman" w:hAnsi="Calibri" w:cs="Times New Roman"/>
          <w:sz w:val="20"/>
          <w:szCs w:val="20"/>
          <w:lang w:val="en-US"/>
        </w:rPr>
      </w:pPr>
      <w:r>
        <w:rPr>
          <w:rFonts w:ascii="Calibri" w:eastAsia="Times New Roman" w:hAnsi="Calibri" w:cs="Times New Roman"/>
          <w:sz w:val="20"/>
          <w:szCs w:val="20"/>
        </w:rPr>
        <w:t xml:space="preserve">Underhill, E. &amp; Rimmer, M. (2020) Organising across borders: </w:t>
      </w:r>
      <w:r w:rsidR="006547CB">
        <w:rPr>
          <w:rFonts w:ascii="Calibri" w:eastAsia="Times New Roman" w:hAnsi="Calibri" w:cs="Times New Roman"/>
          <w:sz w:val="20"/>
          <w:szCs w:val="20"/>
        </w:rPr>
        <w:t xml:space="preserve">Mobilising temporary migrant labour in Australian food production. </w:t>
      </w:r>
      <w:r w:rsidR="006547CB" w:rsidRPr="006547CB">
        <w:rPr>
          <w:rFonts w:ascii="Calibri" w:eastAsia="Times New Roman" w:hAnsi="Calibri" w:cs="Times New Roman"/>
          <w:i/>
          <w:iCs/>
          <w:sz w:val="20"/>
          <w:szCs w:val="20"/>
        </w:rPr>
        <w:t>Journal of Industrial Relations</w:t>
      </w:r>
      <w:r w:rsidR="006547CB">
        <w:rPr>
          <w:rFonts w:ascii="Calibri" w:eastAsia="Times New Roman" w:hAnsi="Calibri" w:cs="Times New Roman"/>
          <w:sz w:val="20"/>
          <w:szCs w:val="20"/>
        </w:rPr>
        <w:t>, 62 (2): 278-303.</w:t>
      </w:r>
    </w:p>
    <w:p w14:paraId="355C0A47"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lastRenderedPageBreak/>
        <w:t>.</w:t>
      </w:r>
    </w:p>
    <w:p w14:paraId="2703227B"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r w:rsidRPr="0017793D">
        <w:rPr>
          <w:rFonts w:ascii="Calibri" w:eastAsia="Times New Roman" w:hAnsi="Calibri" w:cs="Times New Roman"/>
          <w:i/>
          <w:sz w:val="20"/>
          <w:szCs w:val="20"/>
          <w:lang w:val="en-US"/>
        </w:rPr>
        <w:t>Chapters in books</w:t>
      </w:r>
      <w:r w:rsidRPr="0017793D">
        <w:rPr>
          <w:rFonts w:ascii="Calibri" w:eastAsia="Times New Roman" w:hAnsi="Calibri" w:cs="Times New Roman"/>
          <w:sz w:val="20"/>
          <w:szCs w:val="20"/>
          <w:lang w:val="en-US"/>
        </w:rPr>
        <w:t xml:space="preserve"> </w:t>
      </w:r>
    </w:p>
    <w:p w14:paraId="3E4E969C"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p>
    <w:p w14:paraId="67F4B4EA" w14:textId="77777777"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(1991). Unions and contract workers in the New South Wales and Victorian Building Industries. In M. Bray &amp; V. Taylor (Eds.), </w:t>
      </w:r>
      <w:r w:rsidRPr="0017793D">
        <w:rPr>
          <w:rFonts w:ascii="Calibri" w:eastAsia="Times New Roman" w:hAnsi="Calibri" w:cs="Times New Roman"/>
          <w:i/>
          <w:iCs/>
          <w:sz w:val="20"/>
          <w:szCs w:val="20"/>
        </w:rPr>
        <w:t>The Other Side of Flexibility: Unions and Marginal Workers in Australia</w:t>
      </w:r>
      <w:r w:rsidRPr="0017793D">
        <w:rPr>
          <w:rFonts w:ascii="Calibri" w:eastAsia="Times New Roman" w:hAnsi="Calibri" w:cs="Times New Roman"/>
          <w:sz w:val="20"/>
          <w:szCs w:val="20"/>
        </w:rPr>
        <w:t xml:space="preserve"> (Vol. Monograph No.3, pp. 115-142). Sydney: ACIRRT, University of Sydney.</w:t>
      </w:r>
    </w:p>
    <w:p w14:paraId="31CD5178" w14:textId="77777777"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(2005). The importance of having a say: Labour hire employees' workplace voice. In M. Baird, R. Cooper &amp; M. Westcott (Eds.), </w:t>
      </w:r>
      <w:r w:rsidRPr="0017793D">
        <w:rPr>
          <w:rFonts w:ascii="Calibri" w:eastAsia="Times New Roman" w:hAnsi="Calibri" w:cs="Times New Roman"/>
          <w:i/>
          <w:iCs/>
          <w:sz w:val="20"/>
          <w:szCs w:val="20"/>
        </w:rPr>
        <w:t>Reworking Work AIRAANZ 05</w:t>
      </w:r>
      <w:r w:rsidRPr="0017793D">
        <w:rPr>
          <w:rFonts w:ascii="Calibri" w:eastAsia="Times New Roman" w:hAnsi="Calibri" w:cs="Times New Roman"/>
          <w:sz w:val="20"/>
          <w:szCs w:val="20"/>
        </w:rPr>
        <w:t xml:space="preserve"> (Vol. 1, pp. 527-536). University of Sydney: Association of Industrial Relations Academics of Australia and New Zealand.</w:t>
      </w:r>
    </w:p>
    <w:p w14:paraId="2CBB47FB" w14:textId="77777777"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(2006). "We only supply fully fit workers to suit our clients' need" - Injured labour hire workers and their </w:t>
      </w:r>
      <w:proofErr w:type="gramStart"/>
      <w:r w:rsidRPr="0017793D">
        <w:rPr>
          <w:rFonts w:ascii="Calibri" w:eastAsia="Times New Roman" w:hAnsi="Calibri" w:cs="Times New Roman"/>
          <w:sz w:val="20"/>
          <w:szCs w:val="20"/>
        </w:rPr>
        <w:t>return to work</w:t>
      </w:r>
      <w:proofErr w:type="gramEnd"/>
      <w:r w:rsidRPr="0017793D">
        <w:rPr>
          <w:rFonts w:ascii="Calibri" w:eastAsia="Times New Roman" w:hAnsi="Calibri" w:cs="Times New Roman"/>
          <w:sz w:val="20"/>
          <w:szCs w:val="20"/>
        </w:rPr>
        <w:t xml:space="preserve"> experience</w:t>
      </w:r>
      <w:r w:rsidRPr="0017793D">
        <w:rPr>
          <w:rFonts w:ascii="Calibri" w:eastAsia="Times New Roman" w:hAnsi="Calibri" w:cs="Times New Roman"/>
          <w:i/>
          <w:iCs/>
          <w:sz w:val="20"/>
          <w:szCs w:val="20"/>
        </w:rPr>
        <w:t>.</w:t>
      </w:r>
      <w:r w:rsidRPr="0017793D">
        <w:rPr>
          <w:rFonts w:ascii="Calibri" w:eastAsia="Times New Roman" w:hAnsi="Calibri" w:cs="Times New Roman"/>
          <w:sz w:val="20"/>
          <w:szCs w:val="20"/>
        </w:rPr>
        <w:t xml:space="preserve"> In B. Pocock &amp; C. </w:t>
      </w:r>
      <w:proofErr w:type="spellStart"/>
      <w:r w:rsidRPr="0017793D">
        <w:rPr>
          <w:rFonts w:ascii="Calibri" w:eastAsia="Times New Roman" w:hAnsi="Calibri" w:cs="Times New Roman"/>
          <w:sz w:val="20"/>
          <w:szCs w:val="20"/>
        </w:rPr>
        <w:t>Provis</w:t>
      </w:r>
      <w:proofErr w:type="spellEnd"/>
      <w:r w:rsidRPr="0017793D">
        <w:rPr>
          <w:rFonts w:ascii="Calibri" w:eastAsia="Times New Roman" w:hAnsi="Calibri" w:cs="Times New Roman"/>
          <w:sz w:val="20"/>
          <w:szCs w:val="20"/>
        </w:rPr>
        <w:t xml:space="preserve"> (eds), </w:t>
      </w:r>
      <w:r w:rsidRPr="0017793D">
        <w:rPr>
          <w:rFonts w:ascii="Calibri" w:eastAsia="Times New Roman" w:hAnsi="Calibri" w:cs="Times New Roman"/>
          <w:i/>
          <w:iCs/>
          <w:sz w:val="20"/>
          <w:szCs w:val="20"/>
        </w:rPr>
        <w:t>21st Century Work: High Road or Low Road? Refereed Proceedings of the 20th AIRAANZ Conference</w:t>
      </w:r>
      <w:r w:rsidRPr="0017793D">
        <w:rPr>
          <w:rFonts w:ascii="Calibri" w:eastAsia="Times New Roman" w:hAnsi="Calibri" w:cs="Times New Roman"/>
          <w:sz w:val="20"/>
          <w:szCs w:val="20"/>
        </w:rPr>
        <w:t>), Adelaide.</w:t>
      </w:r>
    </w:p>
    <w:p w14:paraId="27C5246E" w14:textId="77777777"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(2006). The role of employment agencies in structuring and regulating labour markets. In C. Arup, P. Gahan, J. Howe, R. Johnstone, R. Mitchell &amp; A. O'Donnell (Eds.), </w:t>
      </w:r>
      <w:r w:rsidRPr="0017793D">
        <w:rPr>
          <w:rFonts w:ascii="Calibri" w:eastAsia="Times New Roman" w:hAnsi="Calibri" w:cs="Times New Roman"/>
          <w:i/>
          <w:iCs/>
          <w:sz w:val="20"/>
          <w:szCs w:val="20"/>
        </w:rPr>
        <w:t>Labour Law and Labour Market Regulation: Essays on the Construction, Constitution and Regulation of Labour Markets</w:t>
      </w:r>
      <w:r w:rsidRPr="0017793D">
        <w:rPr>
          <w:rFonts w:ascii="Calibri" w:eastAsia="Times New Roman" w:hAnsi="Calibri" w:cs="Times New Roman"/>
          <w:sz w:val="20"/>
          <w:szCs w:val="20"/>
        </w:rPr>
        <w:t>. Sydney: Federation Press.</w:t>
      </w:r>
    </w:p>
    <w:p w14:paraId="511344EF" w14:textId="77777777"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Underhill, E. (2007). Temporary agency workers and the contribution of workplace unfamiliarity to workplace injuries</w:t>
      </w:r>
      <w:r w:rsidRPr="0017793D">
        <w:rPr>
          <w:rFonts w:ascii="Calibri" w:eastAsia="Times New Roman" w:hAnsi="Calibri" w:cs="Times New Roman"/>
          <w:i/>
          <w:iCs/>
          <w:sz w:val="20"/>
          <w:szCs w:val="20"/>
        </w:rPr>
        <w:t>.</w:t>
      </w:r>
      <w:r w:rsidRPr="0017793D">
        <w:rPr>
          <w:rFonts w:ascii="Calibri" w:eastAsia="Times New Roman" w:hAnsi="Calibri" w:cs="Times New Roman"/>
          <w:sz w:val="20"/>
          <w:szCs w:val="20"/>
        </w:rPr>
        <w:t xml:space="preserve"> In E. Rasmussen (ed.), </w:t>
      </w:r>
      <w:r w:rsidRPr="0017793D">
        <w:rPr>
          <w:rFonts w:ascii="Calibri" w:eastAsia="Times New Roman" w:hAnsi="Calibri" w:cs="Times New Roman"/>
          <w:i/>
          <w:iCs/>
          <w:sz w:val="20"/>
          <w:szCs w:val="20"/>
        </w:rPr>
        <w:t>Diverging Employment Relations: Patterns in Australia and New Zealand? Annual AIRAANZ Conference 2007</w:t>
      </w:r>
      <w:r w:rsidRPr="0017793D">
        <w:rPr>
          <w:rFonts w:ascii="Calibri" w:eastAsia="Times New Roman" w:hAnsi="Calibri" w:cs="Times New Roman"/>
          <w:sz w:val="20"/>
          <w:szCs w:val="20"/>
        </w:rPr>
        <w:t>), Auckland.</w:t>
      </w:r>
    </w:p>
    <w:p w14:paraId="6B486EC5" w14:textId="679679CA" w:rsidR="0017793D" w:rsidRPr="0017793D"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Rimmer, M. (2009). State protection for temporary agency workers: Australian developments. In W. Bromwich, O. </w:t>
      </w:r>
      <w:proofErr w:type="spellStart"/>
      <w:r w:rsidRPr="0017793D">
        <w:rPr>
          <w:rFonts w:ascii="Calibri" w:eastAsia="Times New Roman" w:hAnsi="Calibri" w:cs="Times New Roman"/>
          <w:sz w:val="20"/>
          <w:szCs w:val="20"/>
        </w:rPr>
        <w:t>Rymkevich</w:t>
      </w:r>
      <w:proofErr w:type="spellEnd"/>
      <w:r w:rsidRPr="0017793D">
        <w:rPr>
          <w:rFonts w:ascii="Calibri" w:eastAsia="Times New Roman" w:hAnsi="Calibri" w:cs="Times New Roman"/>
          <w:sz w:val="20"/>
          <w:szCs w:val="20"/>
        </w:rPr>
        <w:t xml:space="preserve"> &amp; S. </w:t>
      </w:r>
      <w:proofErr w:type="spellStart"/>
      <w:r w:rsidRPr="0017793D">
        <w:rPr>
          <w:rFonts w:ascii="Calibri" w:eastAsia="Times New Roman" w:hAnsi="Calibri" w:cs="Times New Roman"/>
          <w:sz w:val="20"/>
          <w:szCs w:val="20"/>
        </w:rPr>
        <w:t>Spattini</w:t>
      </w:r>
      <w:proofErr w:type="spellEnd"/>
      <w:r w:rsidRPr="0017793D">
        <w:rPr>
          <w:rFonts w:ascii="Calibri" w:eastAsia="Times New Roman" w:hAnsi="Calibri" w:cs="Times New Roman"/>
          <w:sz w:val="20"/>
          <w:szCs w:val="20"/>
        </w:rPr>
        <w:t xml:space="preserve"> (Eds.), </w:t>
      </w:r>
      <w:r w:rsidRPr="0017793D">
        <w:rPr>
          <w:rFonts w:ascii="Calibri" w:eastAsia="Times New Roman" w:hAnsi="Calibri" w:cs="Times New Roman"/>
          <w:i/>
          <w:iCs/>
          <w:sz w:val="20"/>
          <w:szCs w:val="20"/>
        </w:rPr>
        <w:t>The modernisation of labour law and industrial relations in a comparative perspective</w:t>
      </w:r>
      <w:r w:rsidRPr="0017793D">
        <w:rPr>
          <w:rFonts w:ascii="Calibri" w:eastAsia="Times New Roman" w:hAnsi="Calibri" w:cs="Times New Roman"/>
          <w:sz w:val="20"/>
          <w:szCs w:val="20"/>
        </w:rPr>
        <w:t xml:space="preserve">  </w:t>
      </w:r>
      <w:r w:rsidR="00745C54">
        <w:rPr>
          <w:rFonts w:ascii="Calibri" w:eastAsia="Times New Roman" w:hAnsi="Calibri" w:cs="Times New Roman"/>
          <w:sz w:val="20"/>
          <w:szCs w:val="20"/>
        </w:rPr>
        <w:t>(</w:t>
      </w:r>
      <w:r w:rsidRPr="0017793D">
        <w:rPr>
          <w:rFonts w:ascii="Calibri" w:eastAsia="Times New Roman" w:hAnsi="Calibri" w:cs="Times New Roman"/>
          <w:sz w:val="20"/>
          <w:szCs w:val="20"/>
        </w:rPr>
        <w:t>pp. 173-192). The Netherlands: Kluwer Law International.</w:t>
      </w:r>
    </w:p>
    <w:p w14:paraId="54CE75A0" w14:textId="77777777" w:rsidR="0017793D" w:rsidRPr="0017793D" w:rsidRDefault="0017793D" w:rsidP="003A06AA">
      <w:pPr>
        <w:numPr>
          <w:ilvl w:val="0"/>
          <w:numId w:val="3"/>
        </w:numPr>
        <w:spacing w:after="0" w:line="240" w:lineRule="auto"/>
        <w:contextualSpacing/>
        <w:jc w:val="both"/>
        <w:rPr>
          <w:rFonts w:ascii="Calibri" w:eastAsia="Calibri" w:hAnsi="Calibri" w:cs="Times New Roman"/>
          <w:sz w:val="20"/>
          <w:szCs w:val="20"/>
        </w:rPr>
      </w:pPr>
      <w:r w:rsidRPr="0017793D">
        <w:rPr>
          <w:rFonts w:ascii="Calibri" w:eastAsia="Calibri" w:hAnsi="Calibri" w:cs="Times New Roman"/>
          <w:sz w:val="20"/>
          <w:szCs w:val="20"/>
        </w:rPr>
        <w:t xml:space="preserve">Underhill, E. and Rimmer, M. (2015) ‘Temporary migrant workers in Australian horticulture: boosting supply but at what price?’ in </w:t>
      </w:r>
      <w:proofErr w:type="spellStart"/>
      <w:r w:rsidRPr="0017793D">
        <w:rPr>
          <w:rFonts w:ascii="Calibri" w:eastAsia="Calibri" w:hAnsi="Calibri" w:cs="Times New Roman"/>
          <w:sz w:val="20"/>
          <w:szCs w:val="20"/>
        </w:rPr>
        <w:t>Pilati</w:t>
      </w:r>
      <w:proofErr w:type="spellEnd"/>
      <w:r w:rsidRPr="0017793D">
        <w:rPr>
          <w:rFonts w:ascii="Calibri" w:eastAsia="Calibri" w:hAnsi="Calibri" w:cs="Times New Roman"/>
          <w:sz w:val="20"/>
          <w:szCs w:val="20"/>
        </w:rPr>
        <w:t xml:space="preserve">, M., Sheikh, H., </w:t>
      </w:r>
      <w:proofErr w:type="spellStart"/>
      <w:r w:rsidRPr="0017793D">
        <w:rPr>
          <w:rFonts w:ascii="Calibri" w:eastAsia="Calibri" w:hAnsi="Calibri" w:cs="Times New Roman"/>
          <w:sz w:val="20"/>
          <w:szCs w:val="20"/>
        </w:rPr>
        <w:t>Sperotti</w:t>
      </w:r>
      <w:proofErr w:type="spellEnd"/>
      <w:r w:rsidRPr="0017793D">
        <w:rPr>
          <w:rFonts w:ascii="Calibri" w:eastAsia="Calibri" w:hAnsi="Calibri" w:cs="Times New Roman"/>
          <w:sz w:val="20"/>
          <w:szCs w:val="20"/>
        </w:rPr>
        <w:t xml:space="preserve">, F. and Chris Tilly, C. (eds.)  </w:t>
      </w:r>
      <w:r w:rsidRPr="0017793D">
        <w:rPr>
          <w:rFonts w:ascii="Calibri" w:eastAsia="Calibri" w:hAnsi="Calibri" w:cs="Times New Roman"/>
          <w:i/>
          <w:sz w:val="20"/>
          <w:szCs w:val="20"/>
        </w:rPr>
        <w:t>How Global Migration Changes  the Workforce Diversity Equation</w:t>
      </w:r>
      <w:r w:rsidRPr="0017793D">
        <w:rPr>
          <w:rFonts w:ascii="Calibri" w:eastAsia="Calibri" w:hAnsi="Calibri" w:cs="Times New Roman"/>
          <w:sz w:val="20"/>
          <w:szCs w:val="20"/>
        </w:rPr>
        <w:t>, Cambridge Scholars Publishing, Newcastle Upon Tyne, pp. 143-168.</w:t>
      </w:r>
    </w:p>
    <w:p w14:paraId="0F8350EC" w14:textId="416E7C43" w:rsidR="0017793D" w:rsidRPr="006547CB" w:rsidRDefault="0017793D"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rPr>
        <w:t xml:space="preserve">Underhill, E., &amp; Rimmer, M. (2019). </w:t>
      </w:r>
      <w:r w:rsidRPr="0017793D">
        <w:rPr>
          <w:rFonts w:ascii="Calibri" w:eastAsia="Times New Roman" w:hAnsi="Calibri" w:cs="Times New Roman"/>
          <w:i/>
          <w:iCs/>
          <w:sz w:val="20"/>
          <w:szCs w:val="20"/>
        </w:rPr>
        <w:t>Overcoming the Challenge of Reaching an Itinerant Research Population Using a Multimethod Research Design</w:t>
      </w:r>
      <w:r w:rsidRPr="0017793D">
        <w:rPr>
          <w:rFonts w:ascii="Calibri" w:eastAsia="Times New Roman" w:hAnsi="Calibri" w:cs="Times New Roman"/>
          <w:sz w:val="20"/>
          <w:szCs w:val="20"/>
        </w:rPr>
        <w:t>. London: Sage Publications Limited.</w:t>
      </w:r>
    </w:p>
    <w:p w14:paraId="7FFD2925" w14:textId="402C9F3B" w:rsidR="00745C54" w:rsidRPr="00745C54" w:rsidRDefault="006547CB" w:rsidP="003A06AA">
      <w:pPr>
        <w:widowControl w:val="0"/>
        <w:numPr>
          <w:ilvl w:val="0"/>
          <w:numId w:val="3"/>
        </w:numPr>
        <w:autoSpaceDE w:val="0"/>
        <w:autoSpaceDN w:val="0"/>
        <w:adjustRightInd w:val="0"/>
        <w:spacing w:after="0" w:line="240" w:lineRule="auto"/>
        <w:contextualSpacing/>
        <w:jc w:val="both"/>
        <w:rPr>
          <w:rFonts w:ascii="Calibri" w:eastAsia="Times New Roman" w:hAnsi="Calibri" w:cs="Times New Roman"/>
          <w:sz w:val="20"/>
          <w:szCs w:val="20"/>
        </w:rPr>
      </w:pPr>
      <w:r>
        <w:rPr>
          <w:rFonts w:ascii="Calibri" w:eastAsia="Times New Roman" w:hAnsi="Calibri" w:cs="Times New Roman"/>
          <w:sz w:val="20"/>
          <w:szCs w:val="20"/>
        </w:rPr>
        <w:t xml:space="preserve">Underhill, E. (2022) ‘The decline of unions and worker representation’. In </w:t>
      </w:r>
      <w:r w:rsidRPr="006547CB">
        <w:rPr>
          <w:rFonts w:ascii="Calibri" w:eastAsia="Times New Roman" w:hAnsi="Calibri" w:cs="Times New Roman"/>
          <w:sz w:val="20"/>
          <w:szCs w:val="20"/>
        </w:rPr>
        <w:t>P</w:t>
      </w:r>
      <w:r>
        <w:rPr>
          <w:rFonts w:ascii="Calibri" w:eastAsia="Times New Roman" w:hAnsi="Calibri" w:cs="Times New Roman"/>
          <w:sz w:val="20"/>
          <w:szCs w:val="20"/>
        </w:rPr>
        <w:t xml:space="preserve">. </w:t>
      </w:r>
      <w:r w:rsidRPr="006547CB">
        <w:rPr>
          <w:rFonts w:ascii="Calibri" w:eastAsia="Times New Roman" w:hAnsi="Calibri" w:cs="Times New Roman"/>
          <w:sz w:val="20"/>
          <w:szCs w:val="20"/>
        </w:rPr>
        <w:t>Brough</w:t>
      </w:r>
      <w:r>
        <w:rPr>
          <w:rFonts w:ascii="Calibri" w:eastAsia="Times New Roman" w:hAnsi="Calibri" w:cs="Times New Roman"/>
          <w:sz w:val="20"/>
          <w:szCs w:val="20"/>
        </w:rPr>
        <w:t xml:space="preserve">, M. Gardiner &amp; </w:t>
      </w:r>
      <w:r w:rsidR="00745C54">
        <w:rPr>
          <w:rFonts w:ascii="Calibri" w:eastAsia="Times New Roman" w:hAnsi="Calibri" w:cs="Times New Roman"/>
          <w:sz w:val="20"/>
          <w:szCs w:val="20"/>
        </w:rPr>
        <w:t xml:space="preserve">K. Daniels (Eds.) </w:t>
      </w:r>
      <w:r w:rsidR="00745C54" w:rsidRPr="00745C54">
        <w:rPr>
          <w:rFonts w:ascii="Calibri" w:eastAsia="Times New Roman" w:hAnsi="Calibri" w:cs="Times New Roman"/>
          <w:i/>
          <w:iCs/>
          <w:sz w:val="20"/>
          <w:szCs w:val="20"/>
        </w:rPr>
        <w:t>Handbook on Management and Employment Practices</w:t>
      </w:r>
      <w:r w:rsidR="00745C54">
        <w:rPr>
          <w:rFonts w:ascii="Calibri" w:eastAsia="Times New Roman" w:hAnsi="Calibri" w:cs="Times New Roman"/>
          <w:sz w:val="20"/>
          <w:szCs w:val="20"/>
        </w:rPr>
        <w:t xml:space="preserve">, (pp. 855-871), </w:t>
      </w:r>
      <w:r w:rsidR="00745C54" w:rsidRPr="00745C54">
        <w:rPr>
          <w:rFonts w:ascii="Calibri" w:eastAsia="Times New Roman" w:hAnsi="Calibri" w:cs="Times New Roman"/>
          <w:sz w:val="20"/>
          <w:szCs w:val="20"/>
        </w:rPr>
        <w:t>Handbook Series in Occupational Health Sciences</w:t>
      </w:r>
      <w:r w:rsidR="00745C54">
        <w:rPr>
          <w:rFonts w:ascii="Calibri" w:eastAsia="Times New Roman" w:hAnsi="Calibri" w:cs="Times New Roman"/>
          <w:sz w:val="20"/>
          <w:szCs w:val="20"/>
        </w:rPr>
        <w:t>, Springer Link, Switzerland.</w:t>
      </w:r>
    </w:p>
    <w:p w14:paraId="46A1DAD3" w14:textId="2E207F42" w:rsidR="006547CB" w:rsidRPr="0017793D" w:rsidRDefault="006547CB" w:rsidP="003A06AA">
      <w:pPr>
        <w:widowControl w:val="0"/>
        <w:autoSpaceDE w:val="0"/>
        <w:autoSpaceDN w:val="0"/>
        <w:adjustRightInd w:val="0"/>
        <w:spacing w:after="0" w:line="240" w:lineRule="auto"/>
        <w:ind w:left="720"/>
        <w:contextualSpacing/>
        <w:jc w:val="both"/>
        <w:rPr>
          <w:rFonts w:ascii="Calibri" w:eastAsia="Times New Roman" w:hAnsi="Calibri" w:cs="Times New Roman"/>
          <w:sz w:val="20"/>
          <w:szCs w:val="20"/>
        </w:rPr>
      </w:pPr>
    </w:p>
    <w:p w14:paraId="6E1B47B6"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i/>
          <w:sz w:val="20"/>
          <w:szCs w:val="20"/>
          <w:lang w:val="en-US"/>
        </w:rPr>
      </w:pPr>
      <w:r w:rsidRPr="0017793D">
        <w:rPr>
          <w:rFonts w:ascii="Calibri" w:eastAsia="Times New Roman" w:hAnsi="Calibri" w:cs="Times New Roman"/>
          <w:i/>
          <w:sz w:val="20"/>
          <w:szCs w:val="20"/>
          <w:lang w:val="en-US"/>
        </w:rPr>
        <w:t xml:space="preserve">Submissions and evidence given to government inquiries, </w:t>
      </w:r>
      <w:proofErr w:type="gramStart"/>
      <w:r w:rsidRPr="0017793D">
        <w:rPr>
          <w:rFonts w:ascii="Calibri" w:eastAsia="Times New Roman" w:hAnsi="Calibri" w:cs="Times New Roman"/>
          <w:i/>
          <w:sz w:val="20"/>
          <w:szCs w:val="20"/>
          <w:lang w:val="en-US"/>
        </w:rPr>
        <w:t>courts</w:t>
      </w:r>
      <w:proofErr w:type="gramEnd"/>
      <w:r w:rsidRPr="0017793D">
        <w:rPr>
          <w:rFonts w:ascii="Calibri" w:eastAsia="Times New Roman" w:hAnsi="Calibri" w:cs="Times New Roman"/>
          <w:i/>
          <w:sz w:val="20"/>
          <w:szCs w:val="20"/>
          <w:lang w:val="en-US"/>
        </w:rPr>
        <w:t xml:space="preserve"> and tribunals</w:t>
      </w:r>
    </w:p>
    <w:p w14:paraId="279AF17A" w14:textId="77777777" w:rsidR="0017793D" w:rsidRPr="0017793D" w:rsidRDefault="0017793D" w:rsidP="003A06AA">
      <w:pPr>
        <w:widowControl w:val="0"/>
        <w:autoSpaceDE w:val="0"/>
        <w:autoSpaceDN w:val="0"/>
        <w:adjustRightInd w:val="0"/>
        <w:spacing w:after="0" w:line="240" w:lineRule="auto"/>
        <w:jc w:val="both"/>
        <w:rPr>
          <w:rFonts w:ascii="Calibri" w:eastAsia="Times New Roman" w:hAnsi="Calibri" w:cs="Times New Roman"/>
          <w:sz w:val="20"/>
          <w:szCs w:val="20"/>
          <w:lang w:val="en-US"/>
        </w:rPr>
      </w:pPr>
    </w:p>
    <w:p w14:paraId="7E2E9F92" w14:textId="77777777" w:rsidR="0017793D" w:rsidRPr="0017793D" w:rsidRDefault="0017793D" w:rsidP="003A06AA">
      <w:pPr>
        <w:widowControl w:val="0"/>
        <w:numPr>
          <w:ilvl w:val="0"/>
          <w:numId w:val="4"/>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Underhill, E. (2003)</w:t>
      </w:r>
      <w:r w:rsidRPr="0017793D">
        <w:rPr>
          <w:rFonts w:ascii="Calibri" w:eastAsia="Times New Roman" w:hAnsi="Calibri" w:cs="Times New Roman"/>
          <w:sz w:val="20"/>
          <w:szCs w:val="20"/>
        </w:rPr>
        <w:t xml:space="preserve"> </w:t>
      </w:r>
      <w:r w:rsidRPr="0017793D">
        <w:rPr>
          <w:rFonts w:ascii="Calibri" w:eastAsia="Times New Roman" w:hAnsi="Calibri" w:cs="Times New Roman"/>
          <w:sz w:val="20"/>
          <w:szCs w:val="20"/>
          <w:lang w:val="en-US"/>
        </w:rPr>
        <w:t xml:space="preserve">Expert submission and cross examination on outsourcing maintenance at BHP Western Port, Australian Industrial Relations Commission, Melbourne. </w:t>
      </w:r>
    </w:p>
    <w:p w14:paraId="5DACA477" w14:textId="77777777" w:rsidR="0017793D" w:rsidRPr="0017793D" w:rsidRDefault="0017793D" w:rsidP="003A06AA">
      <w:pPr>
        <w:widowControl w:val="0"/>
        <w:numPr>
          <w:ilvl w:val="0"/>
          <w:numId w:val="4"/>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Underhill, E. (2004) Invited to give evidence to Victorian Parliamentary Committee Inquiry into Labour Hire Employment in Victoria, Melbourne.</w:t>
      </w:r>
    </w:p>
    <w:p w14:paraId="432E4FF5" w14:textId="77777777" w:rsidR="0017793D" w:rsidRPr="0017793D" w:rsidRDefault="0017793D" w:rsidP="003A06AA">
      <w:pPr>
        <w:widowControl w:val="0"/>
        <w:numPr>
          <w:ilvl w:val="0"/>
          <w:numId w:val="4"/>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sz w:val="20"/>
          <w:szCs w:val="20"/>
          <w:lang w:val="en-US"/>
        </w:rPr>
        <w:t xml:space="preserve">Underhill, E.  (2004) Submission on </w:t>
      </w:r>
      <w:proofErr w:type="spellStart"/>
      <w:r w:rsidRPr="0017793D">
        <w:rPr>
          <w:rFonts w:ascii="Calibri" w:eastAsia="Times New Roman" w:hAnsi="Calibri" w:cs="Times New Roman"/>
          <w:sz w:val="20"/>
          <w:szCs w:val="20"/>
          <w:lang w:val="en-US"/>
        </w:rPr>
        <w:t>labour</w:t>
      </w:r>
      <w:proofErr w:type="spellEnd"/>
      <w:r w:rsidRPr="0017793D">
        <w:rPr>
          <w:rFonts w:ascii="Calibri" w:eastAsia="Times New Roman" w:hAnsi="Calibri" w:cs="Times New Roman"/>
          <w:sz w:val="20"/>
          <w:szCs w:val="20"/>
          <w:lang w:val="en-US"/>
        </w:rPr>
        <w:t xml:space="preserve"> hire </w:t>
      </w:r>
      <w:proofErr w:type="gramStart"/>
      <w:r w:rsidRPr="0017793D">
        <w:rPr>
          <w:rFonts w:ascii="Calibri" w:eastAsia="Times New Roman" w:hAnsi="Calibri" w:cs="Times New Roman"/>
          <w:sz w:val="20"/>
          <w:szCs w:val="20"/>
          <w:lang w:val="en-US"/>
        </w:rPr>
        <w:t>workers’</w:t>
      </w:r>
      <w:proofErr w:type="gramEnd"/>
      <w:r w:rsidRPr="0017793D">
        <w:rPr>
          <w:rFonts w:ascii="Calibri" w:eastAsia="Times New Roman" w:hAnsi="Calibri" w:cs="Times New Roman"/>
          <w:sz w:val="20"/>
          <w:szCs w:val="20"/>
          <w:lang w:val="en-US"/>
        </w:rPr>
        <w:t xml:space="preserve"> OHS to Maxwell Review of the Victorian Occupational Health and Safety Act.</w:t>
      </w:r>
    </w:p>
    <w:p w14:paraId="62BE44F7" w14:textId="77777777" w:rsidR="0017793D" w:rsidRPr="0017793D" w:rsidRDefault="0017793D" w:rsidP="003A06AA">
      <w:pPr>
        <w:widowControl w:val="0"/>
        <w:numPr>
          <w:ilvl w:val="0"/>
          <w:numId w:val="4"/>
        </w:numPr>
        <w:autoSpaceDE w:val="0"/>
        <w:autoSpaceDN w:val="0"/>
        <w:adjustRightInd w:val="0"/>
        <w:spacing w:after="0" w:line="240" w:lineRule="auto"/>
        <w:contextualSpacing/>
        <w:jc w:val="both"/>
        <w:rPr>
          <w:rFonts w:ascii="Calibri" w:eastAsia="Times New Roman" w:hAnsi="Calibri" w:cs="Times New Roman"/>
          <w:sz w:val="20"/>
          <w:szCs w:val="20"/>
          <w:lang w:val="en-US"/>
        </w:rPr>
      </w:pPr>
      <w:r w:rsidRPr="0017793D">
        <w:rPr>
          <w:rFonts w:ascii="Calibri" w:eastAsia="Times New Roman" w:hAnsi="Calibri" w:cs="Times New Roman"/>
          <w:color w:val="000000"/>
          <w:sz w:val="20"/>
          <w:szCs w:val="20"/>
          <w:lang w:eastAsia="en-AU"/>
        </w:rPr>
        <w:t>Underhill, E. (2009, 2010, 2011, 2017) Expert reports prepared in connection with prosecution undertaken by WorkSafe Victoria (details are confidential).</w:t>
      </w:r>
    </w:p>
    <w:p w14:paraId="3868A534" w14:textId="77777777" w:rsidR="0017793D" w:rsidRPr="0017793D" w:rsidRDefault="0017793D" w:rsidP="003A06AA">
      <w:pPr>
        <w:widowControl w:val="0"/>
        <w:numPr>
          <w:ilvl w:val="0"/>
          <w:numId w:val="4"/>
        </w:numPr>
        <w:spacing w:after="0" w:line="240" w:lineRule="auto"/>
        <w:ind w:left="714" w:hanging="357"/>
        <w:contextualSpacing/>
        <w:jc w:val="both"/>
        <w:rPr>
          <w:rFonts w:ascii="Calibri" w:eastAsia="Times New Roman" w:hAnsi="Calibri" w:cs="Times New Roman"/>
          <w:sz w:val="20"/>
          <w:szCs w:val="20"/>
        </w:rPr>
      </w:pPr>
      <w:r w:rsidRPr="0017793D">
        <w:rPr>
          <w:rFonts w:ascii="Calibri" w:eastAsia="Times New Roman" w:hAnsi="Calibri" w:cs="Times New Roman"/>
          <w:sz w:val="20"/>
          <w:szCs w:val="20"/>
        </w:rPr>
        <w:t xml:space="preserve">Underhill, E. (2015) Submission to the </w:t>
      </w:r>
      <w:r w:rsidRPr="0017793D">
        <w:rPr>
          <w:rFonts w:ascii="Calibri" w:eastAsia="Times New Roman" w:hAnsi="Calibri" w:cs="Times New Roman"/>
          <w:i/>
          <w:iCs/>
          <w:sz w:val="20"/>
          <w:szCs w:val="20"/>
        </w:rPr>
        <w:t>Productivity Commission Inquiry into the Workplace Relations Framework</w:t>
      </w:r>
      <w:r w:rsidRPr="0017793D">
        <w:rPr>
          <w:rFonts w:ascii="Calibri" w:eastAsia="Times New Roman" w:hAnsi="Calibri" w:cs="Times New Roman"/>
          <w:sz w:val="20"/>
          <w:szCs w:val="20"/>
        </w:rPr>
        <w:t>, Melbourne</w:t>
      </w:r>
    </w:p>
    <w:p w14:paraId="21967DD4" w14:textId="77777777" w:rsidR="0017793D" w:rsidRPr="0017793D" w:rsidRDefault="0017793D" w:rsidP="003A06AA">
      <w:pPr>
        <w:widowControl w:val="0"/>
        <w:numPr>
          <w:ilvl w:val="0"/>
          <w:numId w:val="4"/>
        </w:numPr>
        <w:spacing w:after="0" w:line="240" w:lineRule="auto"/>
        <w:ind w:left="714" w:hanging="357"/>
        <w:contextualSpacing/>
        <w:jc w:val="both"/>
        <w:rPr>
          <w:rFonts w:ascii="Calibri" w:eastAsia="Times New Roman" w:hAnsi="Calibri" w:cs="Times New Roman"/>
          <w:sz w:val="20"/>
          <w:szCs w:val="20"/>
        </w:rPr>
      </w:pPr>
      <w:r w:rsidRPr="0017793D">
        <w:rPr>
          <w:rFonts w:ascii="Calibri" w:eastAsia="Times New Roman" w:hAnsi="Calibri" w:cs="Times New Roman"/>
          <w:color w:val="000000"/>
          <w:sz w:val="20"/>
          <w:szCs w:val="20"/>
          <w:lang w:eastAsia="en-AU"/>
        </w:rPr>
        <w:t xml:space="preserve">Underhill, E. (2015) </w:t>
      </w:r>
      <w:r w:rsidRPr="0017793D">
        <w:rPr>
          <w:rFonts w:ascii="Calibri" w:eastAsia="Times New Roman" w:hAnsi="Calibri" w:cs="Times New Roman"/>
          <w:sz w:val="20"/>
          <w:szCs w:val="20"/>
          <w:lang w:val="en-US"/>
        </w:rPr>
        <w:t>Expert submission and cross examination on casual employment and OHS before the Fair Work Commission case, conversion of casual employees to permanent employment.</w:t>
      </w:r>
    </w:p>
    <w:p w14:paraId="256601DD" w14:textId="77777777" w:rsidR="0017793D" w:rsidRPr="0017793D" w:rsidRDefault="0017793D" w:rsidP="003A06AA">
      <w:pPr>
        <w:widowControl w:val="0"/>
        <w:numPr>
          <w:ilvl w:val="0"/>
          <w:numId w:val="4"/>
        </w:numPr>
        <w:spacing w:after="0" w:line="240" w:lineRule="auto"/>
        <w:ind w:left="714" w:hanging="357"/>
        <w:contextualSpacing/>
        <w:jc w:val="both"/>
        <w:rPr>
          <w:rFonts w:ascii="Calibri" w:eastAsia="Times New Roman" w:hAnsi="Calibri" w:cs="Times New Roman"/>
          <w:sz w:val="20"/>
          <w:szCs w:val="20"/>
        </w:rPr>
      </w:pPr>
      <w:r w:rsidRPr="0017793D">
        <w:rPr>
          <w:rFonts w:ascii="Calibri" w:eastAsia="Times New Roman" w:hAnsi="Calibri" w:cs="Times New Roman"/>
          <w:sz w:val="20"/>
          <w:szCs w:val="20"/>
          <w:lang w:val="en-US"/>
        </w:rPr>
        <w:t xml:space="preserve">Underhill, E. and Rimmer, M. (2016) Submission to Senate Enquiry </w:t>
      </w:r>
      <w:r w:rsidRPr="0017793D">
        <w:rPr>
          <w:rFonts w:ascii="Calibri" w:eastAsia="Times New Roman" w:hAnsi="Calibri" w:cs="Times New Roman"/>
          <w:sz w:val="20"/>
          <w:szCs w:val="20"/>
        </w:rPr>
        <w:t xml:space="preserve">Senate Education and Employment Committee Inquiry into the impact of Australia’s temporary work visa programs on the Australian labour market and on the temporary work visa holders. </w:t>
      </w:r>
    </w:p>
    <w:p w14:paraId="55623893" w14:textId="77777777" w:rsidR="0017793D" w:rsidRPr="0017793D" w:rsidRDefault="0017793D" w:rsidP="003A06AA">
      <w:pPr>
        <w:widowControl w:val="0"/>
        <w:numPr>
          <w:ilvl w:val="0"/>
          <w:numId w:val="4"/>
        </w:numPr>
        <w:spacing w:after="0" w:line="240" w:lineRule="auto"/>
        <w:ind w:left="714" w:hanging="357"/>
        <w:contextualSpacing/>
        <w:jc w:val="both"/>
        <w:rPr>
          <w:rFonts w:ascii="Calibri" w:eastAsia="Times New Roman" w:hAnsi="Calibri" w:cs="Times New Roman"/>
          <w:sz w:val="20"/>
          <w:szCs w:val="20"/>
        </w:rPr>
      </w:pPr>
      <w:r w:rsidRPr="0017793D">
        <w:rPr>
          <w:rFonts w:ascii="Calibri" w:eastAsia="Times New Roman" w:hAnsi="Calibri" w:cs="Times New Roman"/>
          <w:color w:val="000000"/>
          <w:sz w:val="20"/>
          <w:szCs w:val="20"/>
          <w:lang w:eastAsia="en-AU"/>
        </w:rPr>
        <w:t xml:space="preserve">Underhill, E. (2016) Invited to consultations for the </w:t>
      </w:r>
      <w:r w:rsidRPr="0017793D">
        <w:rPr>
          <w:rFonts w:ascii="Calibri" w:eastAsia="Times New Roman" w:hAnsi="Calibri" w:cs="Times New Roman"/>
          <w:i/>
          <w:color w:val="000000"/>
          <w:sz w:val="20"/>
          <w:szCs w:val="20"/>
          <w:lang w:eastAsia="en-AU"/>
        </w:rPr>
        <w:t xml:space="preserve">Victorian Inquiry into the Labour Hire Industry and Insecure Work, </w:t>
      </w:r>
      <w:r w:rsidRPr="0017793D">
        <w:rPr>
          <w:rFonts w:ascii="Calibri" w:eastAsia="Times New Roman" w:hAnsi="Calibri" w:cs="Times New Roman"/>
          <w:iCs/>
          <w:color w:val="000000"/>
          <w:sz w:val="20"/>
          <w:szCs w:val="20"/>
          <w:lang w:eastAsia="en-AU"/>
        </w:rPr>
        <w:t>Melbourne.</w:t>
      </w:r>
      <w:r w:rsidRPr="0017793D">
        <w:rPr>
          <w:rFonts w:ascii="Calibri" w:eastAsia="Times New Roman" w:hAnsi="Calibri" w:cs="Times New Roman"/>
          <w:i/>
          <w:color w:val="000000"/>
          <w:sz w:val="20"/>
          <w:szCs w:val="20"/>
          <w:lang w:eastAsia="en-AU"/>
        </w:rPr>
        <w:t xml:space="preserve"> </w:t>
      </w:r>
    </w:p>
    <w:p w14:paraId="34214F92" w14:textId="57D16427" w:rsidR="0017793D" w:rsidRDefault="0017793D" w:rsidP="003A06AA">
      <w:pPr>
        <w:widowControl w:val="0"/>
        <w:numPr>
          <w:ilvl w:val="0"/>
          <w:numId w:val="4"/>
        </w:numPr>
        <w:spacing w:after="0" w:line="240" w:lineRule="auto"/>
        <w:ind w:left="714" w:hanging="357"/>
        <w:contextualSpacing/>
        <w:jc w:val="both"/>
        <w:rPr>
          <w:rFonts w:ascii="Calibri" w:eastAsia="Times New Roman" w:hAnsi="Calibri" w:cs="Times New Roman"/>
          <w:sz w:val="20"/>
          <w:szCs w:val="20"/>
        </w:rPr>
      </w:pPr>
      <w:r w:rsidRPr="0017793D">
        <w:rPr>
          <w:rFonts w:ascii="Calibri" w:eastAsia="Times New Roman" w:hAnsi="Calibri" w:cs="Times New Roman"/>
          <w:sz w:val="20"/>
          <w:szCs w:val="20"/>
          <w:lang w:val="en-US"/>
        </w:rPr>
        <w:t>Underhill, E. (2017)</w:t>
      </w:r>
      <w:r w:rsidRPr="0017793D">
        <w:rPr>
          <w:rFonts w:ascii="Calibri" w:eastAsia="Times New Roman" w:hAnsi="Calibri" w:cs="Times New Roman"/>
          <w:color w:val="000000"/>
          <w:sz w:val="20"/>
          <w:szCs w:val="20"/>
          <w:lang w:eastAsia="en-AU"/>
        </w:rPr>
        <w:t xml:space="preserve"> </w:t>
      </w:r>
      <w:r w:rsidRPr="0017793D">
        <w:rPr>
          <w:rFonts w:ascii="Calibri" w:eastAsia="Times New Roman" w:hAnsi="Calibri" w:cs="Times New Roman"/>
          <w:sz w:val="20"/>
          <w:szCs w:val="20"/>
        </w:rPr>
        <w:t xml:space="preserve">Invited to consultations with the </w:t>
      </w:r>
      <w:r w:rsidRPr="0017793D">
        <w:rPr>
          <w:rFonts w:ascii="Calibri" w:eastAsia="Times New Roman" w:hAnsi="Calibri" w:cs="Times New Roman"/>
          <w:i/>
          <w:iCs/>
          <w:sz w:val="20"/>
          <w:szCs w:val="20"/>
        </w:rPr>
        <w:t>Migrant Worker Taskforce (Fels)</w:t>
      </w:r>
      <w:r w:rsidRPr="0017793D">
        <w:rPr>
          <w:rFonts w:ascii="Calibri" w:eastAsia="Times New Roman" w:hAnsi="Calibri" w:cs="Times New Roman"/>
          <w:sz w:val="20"/>
          <w:szCs w:val="20"/>
        </w:rPr>
        <w:t xml:space="preserve">, Melbourne. </w:t>
      </w:r>
    </w:p>
    <w:p w14:paraId="16FC0C74" w14:textId="2A4EE488" w:rsidR="00745C54" w:rsidRDefault="00745C54" w:rsidP="003A06AA">
      <w:pPr>
        <w:widowControl w:val="0"/>
        <w:numPr>
          <w:ilvl w:val="0"/>
          <w:numId w:val="4"/>
        </w:numPr>
        <w:spacing w:after="0" w:line="240" w:lineRule="auto"/>
        <w:ind w:left="714" w:hanging="357"/>
        <w:contextualSpacing/>
        <w:jc w:val="both"/>
        <w:rPr>
          <w:rFonts w:ascii="Calibri" w:eastAsia="Times New Roman" w:hAnsi="Calibri" w:cs="Times New Roman"/>
          <w:bCs/>
          <w:sz w:val="20"/>
          <w:szCs w:val="20"/>
        </w:rPr>
      </w:pPr>
      <w:r>
        <w:rPr>
          <w:rFonts w:ascii="Calibri" w:eastAsia="Times New Roman" w:hAnsi="Calibri" w:cs="Times New Roman"/>
          <w:sz w:val="20"/>
          <w:szCs w:val="20"/>
        </w:rPr>
        <w:t>Quinlan, M. and Underhill, E. (2021)</w:t>
      </w:r>
      <w:r w:rsidR="0052705B">
        <w:rPr>
          <w:rFonts w:ascii="Calibri" w:eastAsia="Times New Roman" w:hAnsi="Calibri" w:cs="Times New Roman"/>
          <w:sz w:val="20"/>
          <w:szCs w:val="20"/>
        </w:rPr>
        <w:t xml:space="preserve"> </w:t>
      </w:r>
      <w:r w:rsidR="0052705B" w:rsidRPr="0052705B">
        <w:rPr>
          <w:rFonts w:ascii="Calibri" w:eastAsia="Times New Roman" w:hAnsi="Calibri" w:cs="Times New Roman"/>
          <w:bCs/>
          <w:i/>
          <w:iCs/>
          <w:sz w:val="20"/>
          <w:szCs w:val="20"/>
        </w:rPr>
        <w:t>Submission to Senate Select Committee on Job Security</w:t>
      </w:r>
      <w:r w:rsidR="0052705B" w:rsidRPr="0052705B">
        <w:rPr>
          <w:rFonts w:ascii="Calibri" w:eastAsia="Times New Roman" w:hAnsi="Calibri" w:cs="Times New Roman"/>
          <w:bCs/>
          <w:sz w:val="20"/>
          <w:szCs w:val="20"/>
        </w:rPr>
        <w:t>, Canberra.</w:t>
      </w:r>
    </w:p>
    <w:p w14:paraId="74EF22E4" w14:textId="3E43A81B" w:rsidR="00915FF9" w:rsidRPr="0052705B" w:rsidRDefault="0052705B" w:rsidP="003A06AA">
      <w:pPr>
        <w:widowControl w:val="0"/>
        <w:numPr>
          <w:ilvl w:val="0"/>
          <w:numId w:val="4"/>
        </w:numPr>
        <w:spacing w:after="0" w:line="240" w:lineRule="auto"/>
        <w:ind w:left="714" w:hanging="357"/>
        <w:contextualSpacing/>
        <w:jc w:val="both"/>
        <w:rPr>
          <w:rFonts w:ascii="Calibri" w:eastAsia="Times New Roman" w:hAnsi="Calibri" w:cs="Times New Roman"/>
          <w:bCs/>
          <w:sz w:val="20"/>
          <w:szCs w:val="20"/>
        </w:rPr>
      </w:pPr>
      <w:r>
        <w:rPr>
          <w:rFonts w:ascii="Calibri" w:eastAsia="Times New Roman" w:hAnsi="Calibri" w:cs="Times New Roman"/>
          <w:bCs/>
          <w:sz w:val="20"/>
          <w:szCs w:val="20"/>
        </w:rPr>
        <w:t xml:space="preserve">Underhill. E. (2021) Expert witness in Application to establish a minimum wage for piece workers in the Horticultural Award, Fair Work Commission. </w:t>
      </w:r>
    </w:p>
    <w:sectPr w:rsidR="00915FF9" w:rsidRPr="0052705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16DF" w14:textId="77777777" w:rsidR="007A0902" w:rsidRDefault="007A0902" w:rsidP="00490A30">
      <w:pPr>
        <w:spacing w:after="0" w:line="240" w:lineRule="auto"/>
      </w:pPr>
      <w:r>
        <w:separator/>
      </w:r>
    </w:p>
  </w:endnote>
  <w:endnote w:type="continuationSeparator" w:id="0">
    <w:p w14:paraId="7DCF18AD" w14:textId="77777777" w:rsidR="007A0902" w:rsidRDefault="007A0902" w:rsidP="00490A30">
      <w:pPr>
        <w:spacing w:after="0" w:line="240" w:lineRule="auto"/>
      </w:pPr>
      <w:r>
        <w:continuationSeparator/>
      </w:r>
    </w:p>
  </w:endnote>
  <w:endnote w:id="1">
    <w:p w14:paraId="3DCBF198" w14:textId="73200532" w:rsidR="00490A30" w:rsidRDefault="00490A30" w:rsidP="00E036C9">
      <w:pPr>
        <w:pStyle w:val="FootnoteText"/>
        <w:rPr>
          <w:rFonts w:ascii="Calibri" w:eastAsia="Calibri" w:hAnsi="Calibri" w:cs="Times New Roman"/>
          <w:lang w:val="en-US"/>
        </w:rPr>
      </w:pPr>
      <w:r>
        <w:rPr>
          <w:rStyle w:val="EndnoteReference"/>
        </w:rPr>
        <w:endnoteRef/>
      </w:r>
      <w:r>
        <w:t xml:space="preserve"> Quinlan &amp; Underhill (2021)</w:t>
      </w:r>
      <w:r w:rsidRPr="00490A30">
        <w:rPr>
          <w:rFonts w:ascii="Calibri" w:eastAsia="Times New Roman" w:hAnsi="Calibri" w:cs="Times New Roman"/>
          <w:bCs/>
          <w:i/>
          <w:iCs/>
        </w:rPr>
        <w:t xml:space="preserve"> </w:t>
      </w:r>
      <w:r w:rsidRPr="0052705B">
        <w:rPr>
          <w:rFonts w:ascii="Calibri" w:eastAsia="Times New Roman" w:hAnsi="Calibri" w:cs="Times New Roman"/>
          <w:bCs/>
          <w:i/>
          <w:iCs/>
        </w:rPr>
        <w:t>Submission to Senate Select Committee on Job Security</w:t>
      </w:r>
      <w:r w:rsidRPr="0052705B">
        <w:rPr>
          <w:rFonts w:ascii="Calibri" w:eastAsia="Times New Roman" w:hAnsi="Calibri" w:cs="Times New Roman"/>
          <w:bCs/>
        </w:rPr>
        <w:t>, Canberra.</w:t>
      </w:r>
      <w:r>
        <w:t xml:space="preserve">  </w:t>
      </w:r>
      <w:r w:rsidRPr="00490A30">
        <w:rPr>
          <w:rFonts w:ascii="Calibri" w:eastAsia="Calibri" w:hAnsi="Calibri" w:cs="Times New Roman"/>
        </w:rPr>
        <w:t xml:space="preserve">See for example Francois M, &amp; Lievin D, (1995) Emplois Precaires et Accidentabilite: Enquete Statistique Dans 85 Entreprises. Paris, Institut National de Recherche et de Securite; Storrie D, (2002) </w:t>
      </w:r>
      <w:r w:rsidRPr="00490A30">
        <w:rPr>
          <w:rFonts w:ascii="Calibri" w:eastAsia="Calibri" w:hAnsi="Calibri" w:cs="Times New Roman"/>
          <w:i/>
        </w:rPr>
        <w:t>Temporary Agency Work in the European Union</w:t>
      </w:r>
      <w:r w:rsidRPr="00490A30">
        <w:rPr>
          <w:rFonts w:ascii="Calibri" w:eastAsia="Calibri" w:hAnsi="Calibri" w:cs="Times New Roman"/>
        </w:rPr>
        <w:t xml:space="preserve">, European Foundation for the Improvement of Living and Working Conditions, Dublin; Silverstein B, &amp; Foley M, (1998) Protecting contingent workers from work-related injury. Paper presented to the Ergonomics Society of Australia Conference, October 5-7, Melbourne; Park Y, &amp; Butler R, (2001) The safety costs of contingent work: Evidence from Minnesota, </w:t>
      </w:r>
      <w:r w:rsidRPr="00490A30">
        <w:rPr>
          <w:rFonts w:ascii="Calibri" w:eastAsia="Calibri" w:hAnsi="Calibri" w:cs="Times New Roman"/>
          <w:i/>
        </w:rPr>
        <w:t>Journal of Labor Research</w:t>
      </w:r>
      <w:r w:rsidRPr="00490A30">
        <w:rPr>
          <w:rFonts w:ascii="Calibri" w:eastAsia="Calibri" w:hAnsi="Calibri" w:cs="Times New Roman"/>
        </w:rPr>
        <w:t xml:space="preserve">, 22(4):831-850; </w:t>
      </w:r>
      <w:r w:rsidRPr="00490A30">
        <w:rPr>
          <w:rFonts w:ascii="Calibri" w:eastAsia="Calibri" w:hAnsi="Calibri" w:cs="Times New Roman"/>
          <w:lang w:val="en-US"/>
        </w:rPr>
        <w:t xml:space="preserve">Underhill E, (2008) Double Jeopardy: Occupational injury and rehabilitation of temporary agency workers, PhD thesis, UNSW Sydney; Lippel K, MacEachen E, Saunders R, Werhun N, Kosny A, Mansfield L, Carrasco C, Pugliese D, (2011) Legal protections governing the occupational safety and health and workers’ compensation of temporary employment agency workers in Canada: reflections on regulatory effectiveness, </w:t>
      </w:r>
      <w:r w:rsidRPr="00490A30">
        <w:rPr>
          <w:rFonts w:ascii="Calibri" w:eastAsia="Calibri" w:hAnsi="Calibri" w:cs="Times New Roman"/>
          <w:i/>
        </w:rPr>
        <w:t>Policy and Practice in Health and Safety</w:t>
      </w:r>
      <w:r w:rsidRPr="00490A30">
        <w:rPr>
          <w:rFonts w:ascii="Calibri" w:eastAsia="Calibri" w:hAnsi="Calibri" w:cs="Times New Roman"/>
        </w:rPr>
        <w:t>, 9(2):69-90, DOI: 10.1080/14774003.2011.11667762.</w:t>
      </w:r>
      <w:r>
        <w:rPr>
          <w:rFonts w:ascii="Calibri" w:eastAsia="Calibri" w:hAnsi="Calibri" w:cs="Times New Roman"/>
          <w:vertAlign w:val="superscript"/>
        </w:rPr>
        <w:t xml:space="preserve">. </w:t>
      </w:r>
      <w:r w:rsidRPr="00490A30">
        <w:rPr>
          <w:rFonts w:ascii="Calibri" w:eastAsia="Calibri" w:hAnsi="Calibri" w:cs="Times New Roman"/>
        </w:rPr>
        <w:t xml:space="preserve"> For reviews of this research see </w:t>
      </w:r>
      <w:r w:rsidRPr="00490A30">
        <w:rPr>
          <w:rFonts w:ascii="Calibri" w:eastAsia="Calibri" w:hAnsi="Calibri" w:cs="Times New Roman"/>
          <w:bCs/>
          <w:lang w:val="en-US"/>
        </w:rPr>
        <w:t xml:space="preserve">Quinlan, M.  Mayhew, P. &amp; Bohle, P. (2001) </w:t>
      </w:r>
      <w:r w:rsidRPr="00490A30">
        <w:rPr>
          <w:rFonts w:ascii="Calibri" w:eastAsia="Calibri" w:hAnsi="Calibri" w:cs="Times New Roman"/>
          <w:lang w:val="en-US"/>
        </w:rPr>
        <w:t xml:space="preserve">The Global Expansion of Precarious Employment, Work Disorganisation and Occupational Health: A Review of Recent Research, </w:t>
      </w:r>
      <w:r w:rsidRPr="00490A30">
        <w:rPr>
          <w:rFonts w:ascii="Calibri" w:eastAsia="Calibri" w:hAnsi="Calibri" w:cs="Times New Roman"/>
          <w:i/>
          <w:lang w:val="en-US"/>
        </w:rPr>
        <w:t>International Journal of Health Services</w:t>
      </w:r>
      <w:r w:rsidRPr="00490A30">
        <w:rPr>
          <w:rFonts w:ascii="Calibri" w:eastAsia="Calibri" w:hAnsi="Calibri" w:cs="Times New Roman"/>
          <w:lang w:val="en-US"/>
        </w:rPr>
        <w:t>, 31(2):335-414; Virtanen M, Kivimäki M, Joensuu M, Virtanen P, Elovainio M, &amp; Vahtera J, (2005) Temporary employment and health: a review</w:t>
      </w:r>
      <w:r w:rsidRPr="00490A30">
        <w:rPr>
          <w:rFonts w:ascii="Meridien-Italic" w:eastAsia="Calibri" w:hAnsi="Meridien-Italic" w:cs="Meridien-Italic"/>
          <w:i/>
          <w:iCs/>
          <w:sz w:val="14"/>
          <w:szCs w:val="14"/>
        </w:rPr>
        <w:t xml:space="preserve"> </w:t>
      </w:r>
      <w:r w:rsidRPr="00490A30">
        <w:rPr>
          <w:rFonts w:ascii="Calibri" w:eastAsia="Calibri" w:hAnsi="Calibri" w:cs="Times New Roman"/>
          <w:i/>
          <w:iCs/>
        </w:rPr>
        <w:t xml:space="preserve">International Journal of Epidemiology </w:t>
      </w:r>
      <w:r w:rsidRPr="00490A30">
        <w:rPr>
          <w:rFonts w:ascii="Calibri" w:eastAsia="Calibri" w:hAnsi="Calibri" w:cs="Times New Roman"/>
          <w:bCs/>
        </w:rPr>
        <w:t>34</w:t>
      </w:r>
      <w:r w:rsidRPr="00490A30">
        <w:rPr>
          <w:rFonts w:ascii="Calibri" w:eastAsia="Calibri" w:hAnsi="Calibri" w:cs="Times New Roman"/>
          <w:b/>
          <w:bCs/>
        </w:rPr>
        <w:t>:</w:t>
      </w:r>
      <w:r w:rsidRPr="00490A30">
        <w:rPr>
          <w:rFonts w:ascii="Calibri" w:eastAsia="Calibri" w:hAnsi="Calibri" w:cs="Times New Roman"/>
        </w:rPr>
        <w:t xml:space="preserve">610–622; </w:t>
      </w:r>
      <w:r w:rsidRPr="00490A30">
        <w:rPr>
          <w:rFonts w:ascii="Calibri" w:eastAsia="Calibri" w:hAnsi="Calibri" w:cs="Times New Roman"/>
          <w:lang w:val="en-US"/>
        </w:rPr>
        <w:t xml:space="preserve">Quinlan, M. &amp; Bohle, P. (2008) Under pressure, out of control or home alone? Reviewing research and policy debates on the OHS effects of outsourcing and home-based work, </w:t>
      </w:r>
      <w:r w:rsidRPr="00490A30">
        <w:rPr>
          <w:rFonts w:ascii="Calibri" w:eastAsia="Calibri" w:hAnsi="Calibri" w:cs="Times New Roman"/>
          <w:i/>
          <w:lang w:val="en-US"/>
        </w:rPr>
        <w:t>International Journal of Health Services</w:t>
      </w:r>
      <w:r w:rsidRPr="00490A30">
        <w:rPr>
          <w:rFonts w:ascii="Calibri" w:eastAsia="Calibri" w:hAnsi="Calibri" w:cs="Times New Roman"/>
          <w:lang w:val="en-US"/>
        </w:rPr>
        <w:t xml:space="preserve">, 38(3): 489-525; Quinlan, M. &amp; Bohle, P. (2009), Over-stretched and Unreciprocated Commitment: Reviewing research on the OHS effects of downsizing and job insecurity </w:t>
      </w:r>
      <w:r w:rsidRPr="00490A30">
        <w:rPr>
          <w:rFonts w:ascii="Calibri" w:eastAsia="Calibri" w:hAnsi="Calibri" w:cs="Times New Roman"/>
          <w:i/>
          <w:lang w:val="en-US"/>
        </w:rPr>
        <w:t>International Journal of Health Services</w:t>
      </w:r>
      <w:r w:rsidRPr="00490A30">
        <w:rPr>
          <w:rFonts w:ascii="Calibri" w:eastAsia="Calibri" w:hAnsi="Calibri" w:cs="Times New Roman"/>
          <w:lang w:val="en-US"/>
        </w:rPr>
        <w:t xml:space="preserve"> 39(1): 1-44</w:t>
      </w:r>
    </w:p>
    <w:p w14:paraId="2E7445A1" w14:textId="77777777" w:rsidR="00FE6FA2" w:rsidRPr="00E036C9" w:rsidRDefault="00FE6FA2" w:rsidP="00E036C9">
      <w:pPr>
        <w:pStyle w:val="FootnoteText"/>
        <w:rPr>
          <w:rFonts w:ascii="Calibri" w:eastAsia="Calibri" w:hAnsi="Calibri" w:cs="Times New Roman"/>
        </w:rPr>
      </w:pPr>
    </w:p>
  </w:endnote>
  <w:endnote w:id="2">
    <w:p w14:paraId="0B488D52" w14:textId="3D9FEBB5" w:rsidR="00BC6E01" w:rsidRDefault="00BC6E01" w:rsidP="00E036C9">
      <w:pPr>
        <w:pStyle w:val="FootnoteText"/>
        <w:rPr>
          <w:rFonts w:ascii="Calibri" w:eastAsia="Calibri" w:hAnsi="Calibri" w:cs="Times New Roman"/>
          <w:color w:val="0000FF"/>
          <w:u w:val="single"/>
          <w:lang w:val="en-US"/>
        </w:rPr>
      </w:pPr>
      <w:r>
        <w:rPr>
          <w:rStyle w:val="EndnoteReference"/>
        </w:rPr>
        <w:endnoteRef/>
      </w:r>
      <w:r>
        <w:t xml:space="preserve"> </w:t>
      </w:r>
      <w:r w:rsidRPr="00BC6E01">
        <w:rPr>
          <w:rFonts w:ascii="Calibri" w:eastAsia="Calibri" w:hAnsi="Calibri" w:cs="Times New Roman"/>
        </w:rPr>
        <w:t xml:space="preserve">For some research on this see Vuma, C. </w:t>
      </w:r>
      <w:r w:rsidRPr="00BC6E01">
        <w:rPr>
          <w:rFonts w:ascii="Calibri" w:eastAsia="Calibri" w:hAnsi="Calibri" w:cs="Times New Roman"/>
        </w:rPr>
        <w:t xml:space="preserve">Manganyi, J. Wilson, K. &amp; Rees, D. (2019) The Effect on Fit of Multiple Consecutive Donning and Doffing of N95 Filtering Facepiece Respirators, </w:t>
      </w:r>
      <w:r w:rsidRPr="00BC6E01">
        <w:rPr>
          <w:rFonts w:ascii="Calibri" w:eastAsia="Calibri" w:hAnsi="Calibri" w:cs="Times New Roman"/>
          <w:i/>
          <w:iCs/>
        </w:rPr>
        <w:t xml:space="preserve">Annals of Work Exposures and Health, </w:t>
      </w:r>
      <w:r w:rsidRPr="00BC6E01">
        <w:rPr>
          <w:rFonts w:ascii="Calibri" w:eastAsia="Calibri" w:hAnsi="Calibri" w:cs="Times New Roman"/>
        </w:rPr>
        <w:t xml:space="preserve">63(8): 930–936; </w:t>
      </w:r>
      <w:r w:rsidRPr="00BC6E01">
        <w:rPr>
          <w:rFonts w:ascii="Calibri" w:eastAsia="Calibri" w:hAnsi="Calibri" w:cs="Times New Roman"/>
          <w:lang w:val="en-US"/>
        </w:rPr>
        <w:t>Lippel, K. (2020) Occupational health and safety and COVID-19: Whose Rights Come First in a Pandemic?</w:t>
      </w:r>
      <w:r w:rsidRPr="00BC6E01">
        <w:rPr>
          <w:rFonts w:ascii="Calibri" w:eastAsia="Calibri" w:hAnsi="Calibri" w:cs="Times New Roman"/>
          <w:b/>
          <w:bCs/>
          <w:lang w:val="en-US"/>
        </w:rPr>
        <w:t xml:space="preserve"> </w:t>
      </w:r>
      <w:r w:rsidRPr="00BC6E01">
        <w:rPr>
          <w:rFonts w:ascii="Calibri" w:eastAsia="Calibri" w:hAnsi="Calibri" w:cs="Times New Roman"/>
          <w:lang w:val="en-US"/>
        </w:rPr>
        <w:t xml:space="preserve">Colleen M. Flood, Vanessa MacDonnell, Jane Philpott, Sophie Thériault &amp; Sridhar Venkatapurum (eds), </w:t>
      </w:r>
      <w:r w:rsidRPr="00BC6E01">
        <w:rPr>
          <w:rFonts w:ascii="Calibri" w:eastAsia="Calibri" w:hAnsi="Calibri" w:cs="Times New Roman"/>
          <w:i/>
          <w:lang w:val="en-US"/>
        </w:rPr>
        <w:t>Vulnerable</w:t>
      </w:r>
      <w:r w:rsidRPr="00BC6E01">
        <w:rPr>
          <w:rFonts w:ascii="Calibri" w:eastAsia="Calibri" w:hAnsi="Calibri" w:cs="Times New Roman"/>
          <w:lang w:val="en-US"/>
        </w:rPr>
        <w:t xml:space="preserve">: </w:t>
      </w:r>
      <w:r w:rsidRPr="00BC6E01">
        <w:rPr>
          <w:rFonts w:ascii="Calibri" w:eastAsia="Calibri" w:hAnsi="Calibri" w:cs="Times New Roman"/>
          <w:i/>
          <w:lang w:val="en-US"/>
        </w:rPr>
        <w:t>The Law, Policy &amp; Ethics of Covid-19</w:t>
      </w:r>
      <w:r w:rsidRPr="00BC6E01">
        <w:rPr>
          <w:rFonts w:ascii="Calibri" w:eastAsia="Calibri" w:hAnsi="Calibri" w:cs="Times New Roman"/>
          <w:lang w:val="en-US"/>
        </w:rPr>
        <w:t xml:space="preserve">, University of Ottawa Press, Ottawa, 473-486 </w:t>
      </w:r>
      <w:hyperlink r:id="rId1" w:tooltip="https://ruor.uottawa.ca/handle/10393/40726" w:history="1">
        <w:r w:rsidRPr="00BC6E01">
          <w:rPr>
            <w:rFonts w:ascii="Calibri" w:eastAsia="Calibri" w:hAnsi="Calibri" w:cs="Times New Roman"/>
            <w:color w:val="0000FF"/>
            <w:u w:val="single"/>
            <w:lang w:val="en-US"/>
          </w:rPr>
          <w:t>https://ruor.uottawa.ca/handle/10393/40726</w:t>
        </w:r>
      </w:hyperlink>
    </w:p>
    <w:p w14:paraId="3B225DC3" w14:textId="77777777" w:rsidR="00FE6FA2" w:rsidRPr="00E036C9" w:rsidRDefault="00FE6FA2" w:rsidP="00E036C9">
      <w:pPr>
        <w:pStyle w:val="FootnoteText"/>
        <w:rPr>
          <w:rFonts w:ascii="Calibri" w:eastAsia="Calibri" w:hAnsi="Calibri" w:cs="Times New Roman"/>
        </w:rPr>
      </w:pPr>
    </w:p>
  </w:endnote>
  <w:endnote w:id="3">
    <w:p w14:paraId="1E782CC4" w14:textId="3073E7F8" w:rsidR="00F704AF" w:rsidRDefault="00F704AF">
      <w:pPr>
        <w:pStyle w:val="EndnoteText"/>
        <w:rPr>
          <w:lang w:val="en-US"/>
        </w:rPr>
      </w:pPr>
      <w:r>
        <w:rPr>
          <w:rStyle w:val="EndnoteReference"/>
        </w:rPr>
        <w:endnoteRef/>
      </w:r>
      <w:r>
        <w:t xml:space="preserve"> </w:t>
      </w:r>
      <w:r w:rsidRPr="00F704AF">
        <w:t xml:space="preserve">See for example </w:t>
      </w:r>
      <w:r w:rsidRPr="00F704AF">
        <w:rPr>
          <w:lang w:val="en-US"/>
        </w:rPr>
        <w:t xml:space="preserve">Quinlan M, Johnstone R &amp; McNamara M, (2009) Australian health and safety inspectors’ perceptions and actions in relation to changed work arrangements </w:t>
      </w:r>
      <w:r w:rsidRPr="00F704AF">
        <w:rPr>
          <w:i/>
          <w:lang w:val="en-US"/>
        </w:rPr>
        <w:t>Journal of Industrial Relations</w:t>
      </w:r>
      <w:r w:rsidRPr="00F704AF">
        <w:rPr>
          <w:lang w:val="en-US"/>
        </w:rPr>
        <w:t xml:space="preserve"> 51(4): 559-575</w:t>
      </w:r>
      <w:r w:rsidR="00E036C9">
        <w:rPr>
          <w:lang w:val="en-US"/>
        </w:rPr>
        <w:t xml:space="preserve">; </w:t>
      </w:r>
      <w:r w:rsidR="00E036C9" w:rsidRPr="00E036C9">
        <w:rPr>
          <w:lang w:val="en-US"/>
        </w:rPr>
        <w:t xml:space="preserve">Johnstone R, Quinlan M &amp; Mayhew C, (2001) Outsourcing Risk? (2001), The regulation of OHS where contractors are employed, </w:t>
      </w:r>
      <w:r w:rsidR="00E036C9" w:rsidRPr="00E036C9">
        <w:rPr>
          <w:i/>
          <w:lang w:val="en-US"/>
        </w:rPr>
        <w:t>Comparative Labor Law and Policy Journal</w:t>
      </w:r>
      <w:r w:rsidR="00E036C9" w:rsidRPr="00E036C9">
        <w:rPr>
          <w:lang w:val="en-US"/>
        </w:rPr>
        <w:t xml:space="preserve">, 22(2&amp;3): 351-93; Johnstone, R. &amp; Quinlan, M. (2006) The OHS Regulatory Challenges of Agency </w:t>
      </w:r>
      <w:r w:rsidR="00E036C9" w:rsidRPr="00E036C9">
        <w:rPr>
          <w:lang w:val="en-US"/>
        </w:rPr>
        <w:t xml:space="preserve">Labour: Evidence from Australia </w:t>
      </w:r>
      <w:r w:rsidR="00E036C9" w:rsidRPr="00E036C9">
        <w:rPr>
          <w:i/>
          <w:iCs/>
          <w:lang w:val="en-US"/>
        </w:rPr>
        <w:t>Employee Relations</w:t>
      </w:r>
      <w:r w:rsidR="00E036C9" w:rsidRPr="00E036C9">
        <w:rPr>
          <w:lang w:val="en-US"/>
        </w:rPr>
        <w:t>, 28(3): 273-289.</w:t>
      </w:r>
    </w:p>
    <w:p w14:paraId="6996DEAC" w14:textId="77777777" w:rsidR="00FE6FA2" w:rsidRDefault="00FE6FA2">
      <w:pPr>
        <w:pStyle w:val="EndnoteText"/>
      </w:pPr>
    </w:p>
  </w:endnote>
  <w:endnote w:id="4">
    <w:p w14:paraId="4B78E95A" w14:textId="5BE9548F" w:rsidR="00CC315D" w:rsidRDefault="00CC315D" w:rsidP="00CC315D">
      <w:pPr>
        <w:pStyle w:val="EndnoteText"/>
      </w:pPr>
      <w:r>
        <w:rPr>
          <w:rStyle w:val="EndnoteReference"/>
        </w:rPr>
        <w:endnoteRef/>
      </w:r>
      <w:r>
        <w:t xml:space="preserve"> </w:t>
      </w:r>
      <w:r w:rsidRPr="00E036C9">
        <w:t xml:space="preserve">Aronsson, G. (1999) Contingent Workers and Health and Safety, </w:t>
      </w:r>
      <w:r w:rsidRPr="00E036C9">
        <w:rPr>
          <w:i/>
          <w:iCs/>
        </w:rPr>
        <w:t>Work, Employment and Society</w:t>
      </w:r>
      <w:r w:rsidRPr="00E036C9">
        <w:t>, 13(3): 439–459.</w:t>
      </w:r>
    </w:p>
    <w:p w14:paraId="215DD741" w14:textId="77777777" w:rsidR="00FE6FA2" w:rsidRDefault="00FE6FA2" w:rsidP="00CC315D">
      <w:pPr>
        <w:pStyle w:val="EndnoteText"/>
      </w:pPr>
    </w:p>
  </w:endnote>
  <w:endnote w:id="5">
    <w:p w14:paraId="39ECBEEE" w14:textId="64322771" w:rsidR="00FE6FA2" w:rsidRDefault="00FE6FA2">
      <w:pPr>
        <w:pStyle w:val="EndnoteText"/>
      </w:pPr>
      <w:r>
        <w:rPr>
          <w:rStyle w:val="EndnoteReference"/>
        </w:rPr>
        <w:endnoteRef/>
      </w:r>
      <w:r>
        <w:t xml:space="preserve"> Details of these research findings can be supplied on request.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idien-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127829"/>
      <w:docPartObj>
        <w:docPartGallery w:val="Page Numbers (Bottom of Page)"/>
        <w:docPartUnique/>
      </w:docPartObj>
    </w:sdtPr>
    <w:sdtEndPr>
      <w:rPr>
        <w:noProof/>
      </w:rPr>
    </w:sdtEndPr>
    <w:sdtContent>
      <w:p w14:paraId="24BC3A40" w14:textId="5800534D" w:rsidR="00FE6FA2" w:rsidRDefault="00FE6F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472E4" w14:textId="77777777" w:rsidR="00FE6FA2" w:rsidRDefault="00FE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6BD5" w14:textId="77777777" w:rsidR="007A0902" w:rsidRDefault="007A0902" w:rsidP="00490A30">
      <w:pPr>
        <w:spacing w:after="0" w:line="240" w:lineRule="auto"/>
      </w:pPr>
      <w:r>
        <w:separator/>
      </w:r>
    </w:p>
  </w:footnote>
  <w:footnote w:type="continuationSeparator" w:id="0">
    <w:p w14:paraId="36D24231" w14:textId="77777777" w:rsidR="007A0902" w:rsidRDefault="007A0902" w:rsidP="00490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713"/>
    <w:multiLevelType w:val="hybridMultilevel"/>
    <w:tmpl w:val="CF9AE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BD1CF6"/>
    <w:multiLevelType w:val="hybridMultilevel"/>
    <w:tmpl w:val="64A6D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D55EC"/>
    <w:multiLevelType w:val="multilevel"/>
    <w:tmpl w:val="F1CA83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358B2"/>
    <w:multiLevelType w:val="hybridMultilevel"/>
    <w:tmpl w:val="6F0A4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D704D7"/>
    <w:multiLevelType w:val="hybridMultilevel"/>
    <w:tmpl w:val="ED3CD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7F93BD5"/>
    <w:multiLevelType w:val="hybridMultilevel"/>
    <w:tmpl w:val="D5800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277C5A"/>
    <w:multiLevelType w:val="hybridMultilevel"/>
    <w:tmpl w:val="A630E8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EE"/>
    <w:rsid w:val="00007A62"/>
    <w:rsid w:val="00015407"/>
    <w:rsid w:val="00061190"/>
    <w:rsid w:val="00111143"/>
    <w:rsid w:val="0017793D"/>
    <w:rsid w:val="001F5D3B"/>
    <w:rsid w:val="00207D43"/>
    <w:rsid w:val="0024346A"/>
    <w:rsid w:val="00291947"/>
    <w:rsid w:val="002F5B71"/>
    <w:rsid w:val="003024D3"/>
    <w:rsid w:val="00327B7C"/>
    <w:rsid w:val="003A06AA"/>
    <w:rsid w:val="003B3A81"/>
    <w:rsid w:val="003D575A"/>
    <w:rsid w:val="00435248"/>
    <w:rsid w:val="00464BA5"/>
    <w:rsid w:val="00490A30"/>
    <w:rsid w:val="0052705B"/>
    <w:rsid w:val="005748AD"/>
    <w:rsid w:val="005E7DFB"/>
    <w:rsid w:val="005F5E3B"/>
    <w:rsid w:val="006547CB"/>
    <w:rsid w:val="006E4271"/>
    <w:rsid w:val="00745C54"/>
    <w:rsid w:val="00772307"/>
    <w:rsid w:val="00773CA0"/>
    <w:rsid w:val="00795161"/>
    <w:rsid w:val="007A0902"/>
    <w:rsid w:val="00857334"/>
    <w:rsid w:val="00915FF9"/>
    <w:rsid w:val="00931847"/>
    <w:rsid w:val="009A675A"/>
    <w:rsid w:val="00A70565"/>
    <w:rsid w:val="00AC7C36"/>
    <w:rsid w:val="00AE039F"/>
    <w:rsid w:val="00BC6E01"/>
    <w:rsid w:val="00BE28A3"/>
    <w:rsid w:val="00C509EE"/>
    <w:rsid w:val="00C60992"/>
    <w:rsid w:val="00CC315D"/>
    <w:rsid w:val="00D042AE"/>
    <w:rsid w:val="00E036C9"/>
    <w:rsid w:val="00E332C2"/>
    <w:rsid w:val="00EA0B3A"/>
    <w:rsid w:val="00EE5712"/>
    <w:rsid w:val="00F704AF"/>
    <w:rsid w:val="00FE6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2F3F"/>
  <w15:chartTrackingRefBased/>
  <w15:docId w15:val="{1F7410B1-F13C-4246-93C7-C8EB3EE0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C5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24D3"/>
    <w:pPr>
      <w:ind w:left="720"/>
      <w:contextualSpacing/>
    </w:pPr>
  </w:style>
  <w:style w:type="paragraph" w:styleId="EndnoteText">
    <w:name w:val="endnote text"/>
    <w:basedOn w:val="Normal"/>
    <w:link w:val="EndnoteTextChar"/>
    <w:uiPriority w:val="99"/>
    <w:semiHidden/>
    <w:unhideWhenUsed/>
    <w:rsid w:val="00490A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0A30"/>
    <w:rPr>
      <w:sz w:val="20"/>
      <w:szCs w:val="20"/>
    </w:rPr>
  </w:style>
  <w:style w:type="character" w:styleId="EndnoteReference">
    <w:name w:val="endnote reference"/>
    <w:basedOn w:val="DefaultParagraphFont"/>
    <w:uiPriority w:val="99"/>
    <w:semiHidden/>
    <w:unhideWhenUsed/>
    <w:rsid w:val="00490A30"/>
    <w:rPr>
      <w:vertAlign w:val="superscript"/>
    </w:rPr>
  </w:style>
  <w:style w:type="paragraph" w:styleId="FootnoteText">
    <w:name w:val="footnote text"/>
    <w:basedOn w:val="Normal"/>
    <w:link w:val="FootnoteTextChar"/>
    <w:uiPriority w:val="99"/>
    <w:unhideWhenUsed/>
    <w:rsid w:val="00490A30"/>
    <w:pPr>
      <w:spacing w:after="0" w:line="240" w:lineRule="auto"/>
    </w:pPr>
    <w:rPr>
      <w:sz w:val="20"/>
      <w:szCs w:val="20"/>
    </w:rPr>
  </w:style>
  <w:style w:type="character" w:customStyle="1" w:styleId="FootnoteTextChar">
    <w:name w:val="Footnote Text Char"/>
    <w:basedOn w:val="DefaultParagraphFont"/>
    <w:link w:val="FootnoteText"/>
    <w:uiPriority w:val="99"/>
    <w:rsid w:val="00490A30"/>
    <w:rPr>
      <w:sz w:val="20"/>
      <w:szCs w:val="20"/>
    </w:rPr>
  </w:style>
  <w:style w:type="character" w:styleId="FootnoteReference">
    <w:name w:val="footnote reference"/>
    <w:basedOn w:val="DefaultParagraphFont"/>
    <w:uiPriority w:val="99"/>
    <w:semiHidden/>
    <w:unhideWhenUsed/>
    <w:rsid w:val="00EA0B3A"/>
    <w:rPr>
      <w:vertAlign w:val="superscript"/>
    </w:rPr>
  </w:style>
  <w:style w:type="paragraph" w:styleId="Header">
    <w:name w:val="header"/>
    <w:basedOn w:val="Normal"/>
    <w:link w:val="HeaderChar"/>
    <w:uiPriority w:val="99"/>
    <w:unhideWhenUsed/>
    <w:rsid w:val="00FE6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FA2"/>
  </w:style>
  <w:style w:type="paragraph" w:styleId="Footer">
    <w:name w:val="footer"/>
    <w:basedOn w:val="Normal"/>
    <w:link w:val="FooterChar"/>
    <w:uiPriority w:val="99"/>
    <w:unhideWhenUsed/>
    <w:rsid w:val="00FE6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9378">
      <w:bodyDiv w:val="1"/>
      <w:marLeft w:val="0"/>
      <w:marRight w:val="0"/>
      <w:marTop w:val="0"/>
      <w:marBottom w:val="0"/>
      <w:divBdr>
        <w:top w:val="none" w:sz="0" w:space="0" w:color="auto"/>
        <w:left w:val="none" w:sz="0" w:space="0" w:color="auto"/>
        <w:bottom w:val="none" w:sz="0" w:space="0" w:color="auto"/>
        <w:right w:val="none" w:sz="0" w:space="0" w:color="auto"/>
      </w:divBdr>
    </w:div>
    <w:div w:id="8923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D929-6EFD-4904-8C69-FA5297D5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Submission 25 - Dr Elsa Underhill - Aged Care Employment - Commissioned study</vt:lpstr>
    </vt:vector>
  </TitlesOfParts>
  <Company>Dr Elsa Underhill</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Dr Elsa Underhill - Aged Care Employment - Commissioned study</dc:title>
  <dc:subject/>
  <dc:creator>Dr Elsa Underhill</dc:creator>
  <cp:keywords/>
  <dc:description/>
  <cp:lastModifiedBy>Alston, Chris</cp:lastModifiedBy>
  <cp:revision>3</cp:revision>
  <cp:lastPrinted>2022-04-29T06:33:00Z</cp:lastPrinted>
  <dcterms:created xsi:type="dcterms:W3CDTF">2022-04-29T02:31:00Z</dcterms:created>
  <dcterms:modified xsi:type="dcterms:W3CDTF">2022-05-03T23:28:00Z</dcterms:modified>
</cp:coreProperties>
</file>