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82" w14:textId="77777777" w:rsidR="004B6628" w:rsidRPr="004B6628" w:rsidRDefault="004B6628" w:rsidP="009C4168">
      <w:pPr>
        <w:spacing w:after="0" w:line="360" w:lineRule="auto"/>
        <w:jc w:val="both"/>
        <w:rPr>
          <w:rFonts w:ascii="Times New Roman" w:eastAsia="Times New Roman" w:hAnsi="Times New Roman" w:cs="Times New Roman"/>
          <w:sz w:val="24"/>
          <w:szCs w:val="24"/>
          <w:lang w:val="en-GB" w:eastAsia="en-GB"/>
        </w:rPr>
      </w:pPr>
      <w:r w:rsidRPr="004B6628">
        <w:rPr>
          <w:rFonts w:ascii="Helvetica" w:eastAsia="Times New Roman" w:hAnsi="Helvetica" w:cs="Times New Roman"/>
          <w:sz w:val="41"/>
          <w:szCs w:val="41"/>
          <w:shd w:val="clear" w:color="auto" w:fill="FFFFFF"/>
          <w:lang w:val="en-GB" w:eastAsia="en-GB"/>
        </w:rPr>
        <w:t>Gender, Income, and Numeracy Test Scores</w:t>
      </w:r>
    </w:p>
    <w:p w14:paraId="151B5D0B" w14:textId="55CD3A26" w:rsidR="009C4168" w:rsidRDefault="004369D5" w:rsidP="009C4168">
      <w:pPr>
        <w:spacing w:line="360" w:lineRule="auto"/>
        <w:jc w:val="both"/>
        <w:rPr>
          <w:rFonts w:ascii="Times New Roman" w:hAnsi="Times New Roman" w:cs="Times New Roman"/>
          <w:b/>
          <w:sz w:val="24"/>
        </w:rPr>
      </w:pPr>
      <w:r>
        <w:rPr>
          <w:rFonts w:ascii="Times New Roman" w:hAnsi="Times New Roman" w:cs="Times New Roman"/>
          <w:b/>
          <w:sz w:val="24"/>
        </w:rPr>
        <w:t>By Molly Paterson (KPMG), Jaai Parasnis (Monash University) and Michelle Rendall (Monash University and CEPR)</w:t>
      </w:r>
    </w:p>
    <w:p w14:paraId="25EEA0C3" w14:textId="77777777" w:rsidR="003926CF" w:rsidRDefault="003926CF" w:rsidP="009C4168">
      <w:pPr>
        <w:spacing w:line="360" w:lineRule="auto"/>
        <w:jc w:val="both"/>
        <w:rPr>
          <w:rFonts w:ascii="Times New Roman" w:hAnsi="Times New Roman" w:cs="Times New Roman"/>
          <w:b/>
          <w:sz w:val="24"/>
        </w:rPr>
      </w:pPr>
      <w:r>
        <w:rPr>
          <w:rFonts w:ascii="Times New Roman" w:hAnsi="Times New Roman" w:cs="Times New Roman"/>
          <w:b/>
          <w:sz w:val="24"/>
        </w:rPr>
        <w:t xml:space="preserve">Submission to </w:t>
      </w:r>
      <w:r w:rsidRPr="003926CF">
        <w:rPr>
          <w:rFonts w:ascii="Times New Roman" w:hAnsi="Times New Roman" w:cs="Times New Roman"/>
          <w:b/>
          <w:sz w:val="24"/>
        </w:rPr>
        <w:t>Review of the National School Reform Agreement</w:t>
      </w:r>
      <w:r>
        <w:rPr>
          <w:rFonts w:ascii="Times New Roman" w:hAnsi="Times New Roman" w:cs="Times New Roman"/>
          <w:b/>
          <w:sz w:val="24"/>
        </w:rPr>
        <w:t xml:space="preserve"> </w:t>
      </w:r>
    </w:p>
    <w:p w14:paraId="64862B44" w14:textId="690F8F8D" w:rsidR="00B33434" w:rsidRDefault="00B33434" w:rsidP="009C4168">
      <w:pPr>
        <w:spacing w:line="360" w:lineRule="auto"/>
        <w:jc w:val="both"/>
        <w:rPr>
          <w:rFonts w:ascii="Times New Roman" w:hAnsi="Times New Roman" w:cs="Times New Roman"/>
          <w:b/>
          <w:sz w:val="24"/>
        </w:rPr>
      </w:pPr>
      <w:r w:rsidRPr="003926CF">
        <w:rPr>
          <w:rFonts w:ascii="Times New Roman" w:hAnsi="Times New Roman" w:cs="Times New Roman"/>
          <w:b/>
          <w:sz w:val="24"/>
        </w:rPr>
        <w:t>In response to “Information request 1: Drivers of student outcomes”</w:t>
      </w:r>
    </w:p>
    <w:p w14:paraId="150310FB" w14:textId="5DE8DBB7" w:rsidR="000A2679" w:rsidRDefault="000A2679" w:rsidP="009C4168">
      <w:pPr>
        <w:spacing w:line="360" w:lineRule="auto"/>
        <w:jc w:val="both"/>
        <w:rPr>
          <w:rFonts w:ascii="Times New Roman" w:hAnsi="Times New Roman" w:cs="Times New Roman"/>
          <w:b/>
          <w:sz w:val="24"/>
        </w:rPr>
      </w:pPr>
      <w:r>
        <w:rPr>
          <w:rFonts w:ascii="Times New Roman" w:hAnsi="Times New Roman" w:cs="Times New Roman"/>
          <w:b/>
          <w:sz w:val="24"/>
        </w:rPr>
        <w:t>Key points</w:t>
      </w:r>
    </w:p>
    <w:p w14:paraId="5C902F0F" w14:textId="13C8E850" w:rsidR="003926CF" w:rsidRPr="003926CF" w:rsidRDefault="003926CF" w:rsidP="009C4168">
      <w:pPr>
        <w:pStyle w:val="ListParagraph"/>
        <w:numPr>
          <w:ilvl w:val="0"/>
          <w:numId w:val="4"/>
        </w:numPr>
        <w:spacing w:line="360" w:lineRule="auto"/>
        <w:jc w:val="both"/>
        <w:rPr>
          <w:rFonts w:ascii="Times New Roman" w:hAnsi="Times New Roman" w:cs="Times New Roman"/>
          <w:sz w:val="24"/>
        </w:rPr>
      </w:pPr>
      <w:r w:rsidRPr="003926CF">
        <w:rPr>
          <w:rFonts w:ascii="Times New Roman" w:hAnsi="Times New Roman" w:cs="Times New Roman"/>
          <w:sz w:val="24"/>
        </w:rPr>
        <w:t>In our research, we identify early-life socioeconomic status as a key influence in girls’ numeracy test scores.</w:t>
      </w:r>
    </w:p>
    <w:p w14:paraId="226A2852" w14:textId="6726161B" w:rsidR="003926CF" w:rsidRPr="003926CF" w:rsidRDefault="003926CF" w:rsidP="009C4168">
      <w:pPr>
        <w:pStyle w:val="ListParagraph"/>
        <w:numPr>
          <w:ilvl w:val="0"/>
          <w:numId w:val="4"/>
        </w:numPr>
        <w:spacing w:line="360" w:lineRule="auto"/>
        <w:jc w:val="both"/>
        <w:rPr>
          <w:rFonts w:ascii="Times New Roman" w:hAnsi="Times New Roman" w:cs="Times New Roman"/>
          <w:sz w:val="24"/>
        </w:rPr>
      </w:pPr>
      <w:r w:rsidRPr="003926CF">
        <w:rPr>
          <w:rFonts w:ascii="Times New Roman" w:hAnsi="Times New Roman" w:cs="Times New Roman"/>
          <w:sz w:val="24"/>
        </w:rPr>
        <w:t>Girls from the most disadvantaged background where mother is not in labour force or has lower education levels show disproportionally lower numeracy test scores.</w:t>
      </w:r>
    </w:p>
    <w:p w14:paraId="3A050FAD" w14:textId="45D2BFD7" w:rsidR="00B33434" w:rsidRDefault="003926CF" w:rsidP="009C4168">
      <w:pPr>
        <w:pStyle w:val="ListParagraph"/>
        <w:numPr>
          <w:ilvl w:val="0"/>
          <w:numId w:val="4"/>
        </w:numPr>
        <w:spacing w:line="360" w:lineRule="auto"/>
        <w:jc w:val="both"/>
        <w:rPr>
          <w:rFonts w:ascii="Times New Roman" w:hAnsi="Times New Roman" w:cs="Times New Roman"/>
          <w:sz w:val="24"/>
        </w:rPr>
      </w:pPr>
      <w:r w:rsidRPr="003926CF">
        <w:rPr>
          <w:rFonts w:ascii="Times New Roman" w:hAnsi="Times New Roman" w:cs="Times New Roman"/>
          <w:sz w:val="24"/>
        </w:rPr>
        <w:t>Our research suggests a need for gender and income targeted policies as early as possible in child’s schooling.</w:t>
      </w:r>
    </w:p>
    <w:p w14:paraId="41167578" w14:textId="77777777" w:rsidR="003926CF" w:rsidRPr="003926CF" w:rsidRDefault="003926CF" w:rsidP="009C4168">
      <w:pPr>
        <w:pStyle w:val="ListParagraph"/>
        <w:spacing w:line="360" w:lineRule="auto"/>
        <w:jc w:val="both"/>
        <w:rPr>
          <w:rFonts w:ascii="Times New Roman" w:hAnsi="Times New Roman" w:cs="Times New Roman"/>
          <w:sz w:val="24"/>
        </w:rPr>
      </w:pPr>
    </w:p>
    <w:p w14:paraId="2AFB84A6" w14:textId="7017C581" w:rsidR="00B33434" w:rsidRPr="003926CF" w:rsidRDefault="003926CF" w:rsidP="009C4168">
      <w:pPr>
        <w:pStyle w:val="ListParagraph"/>
        <w:numPr>
          <w:ilvl w:val="0"/>
          <w:numId w:val="3"/>
        </w:numPr>
        <w:spacing w:line="360" w:lineRule="auto"/>
        <w:jc w:val="both"/>
        <w:rPr>
          <w:rFonts w:ascii="Times New Roman" w:hAnsi="Times New Roman" w:cs="Times New Roman"/>
          <w:b/>
          <w:sz w:val="24"/>
        </w:rPr>
      </w:pPr>
      <w:r>
        <w:rPr>
          <w:rFonts w:ascii="Times New Roman" w:hAnsi="Times New Roman" w:cs="Times New Roman"/>
          <w:b/>
          <w:sz w:val="24"/>
        </w:rPr>
        <w:t>Introduction</w:t>
      </w:r>
    </w:p>
    <w:p w14:paraId="46A7C19F" w14:textId="685347A8" w:rsidR="00CA54D3" w:rsidRDefault="00CA54D3" w:rsidP="009C4168">
      <w:pPr>
        <w:spacing w:line="360" w:lineRule="auto"/>
        <w:jc w:val="both"/>
        <w:rPr>
          <w:rFonts w:ascii="Times New Roman" w:hAnsi="Times New Roman" w:cs="Times New Roman"/>
          <w:sz w:val="24"/>
        </w:rPr>
      </w:pPr>
      <w:r w:rsidRPr="00CA54D3">
        <w:rPr>
          <w:rFonts w:ascii="Times New Roman" w:hAnsi="Times New Roman" w:cs="Times New Roman"/>
          <w:sz w:val="24"/>
        </w:rPr>
        <w:t>Lower educational achievement has significant and long-lasting social and economic consequences all through life. Hence, it is important to identify why educational performance gaps between students occur and how they evolve as a child progresses through schooling. Research has</w:t>
      </w:r>
      <w:r>
        <w:rPr>
          <w:rFonts w:ascii="Times New Roman" w:hAnsi="Times New Roman" w:cs="Times New Roman"/>
          <w:sz w:val="24"/>
        </w:rPr>
        <w:t xml:space="preserve"> </w:t>
      </w:r>
      <w:r w:rsidRPr="00CA54D3">
        <w:rPr>
          <w:rFonts w:ascii="Times New Roman" w:hAnsi="Times New Roman" w:cs="Times New Roman"/>
          <w:sz w:val="24"/>
        </w:rPr>
        <w:t>established that numeracy test scores are lower for girls than boys and that they are lower for students from lower socio-economic background than for those from higher socio-economics status. In the research using data from the Longitudinal Survey of Australian Children (LSAC), we show that socioeconomic gaps based on early-life household income and gender are significant drivers of numeracy</w:t>
      </w:r>
      <w:r>
        <w:rPr>
          <w:rFonts w:ascii="Times New Roman" w:hAnsi="Times New Roman" w:cs="Times New Roman"/>
          <w:sz w:val="24"/>
        </w:rPr>
        <w:t xml:space="preserve"> in Australia. </w:t>
      </w:r>
      <w:r w:rsidRPr="00CA54D3">
        <w:rPr>
          <w:rFonts w:ascii="Times New Roman" w:hAnsi="Times New Roman" w:cs="Times New Roman"/>
          <w:sz w:val="24"/>
        </w:rPr>
        <w:t xml:space="preserve">Our research </w:t>
      </w:r>
      <w:r w:rsidR="0068795D">
        <w:rPr>
          <w:rFonts w:ascii="Times New Roman" w:hAnsi="Times New Roman" w:cs="Times New Roman"/>
          <w:sz w:val="24"/>
        </w:rPr>
        <w:t>expands on this by</w:t>
      </w:r>
      <w:r w:rsidRPr="00CA54D3">
        <w:rPr>
          <w:rFonts w:ascii="Times New Roman" w:hAnsi="Times New Roman" w:cs="Times New Roman"/>
          <w:sz w:val="24"/>
        </w:rPr>
        <w:t xml:space="preserve"> investigat</w:t>
      </w:r>
      <w:r w:rsidR="0068795D">
        <w:rPr>
          <w:rFonts w:ascii="Times New Roman" w:hAnsi="Times New Roman" w:cs="Times New Roman"/>
          <w:sz w:val="24"/>
        </w:rPr>
        <w:t>ing</w:t>
      </w:r>
      <w:r w:rsidRPr="00CA54D3">
        <w:rPr>
          <w:rFonts w:ascii="Times New Roman" w:hAnsi="Times New Roman" w:cs="Times New Roman"/>
          <w:sz w:val="24"/>
        </w:rPr>
        <w:t xml:space="preserve"> whether —and how— gender and socio-economic status interact in </w:t>
      </w:r>
      <w:r w:rsidR="00F369EB">
        <w:rPr>
          <w:rFonts w:ascii="Times New Roman" w:hAnsi="Times New Roman" w:cs="Times New Roman"/>
          <w:sz w:val="24"/>
        </w:rPr>
        <w:t>affecting</w:t>
      </w:r>
      <w:r w:rsidRPr="00CA54D3">
        <w:rPr>
          <w:rFonts w:ascii="Times New Roman" w:hAnsi="Times New Roman" w:cs="Times New Roman"/>
          <w:sz w:val="24"/>
        </w:rPr>
        <w:t xml:space="preserve"> numeracy test scores. Do girls and boys from lower socio-economic background experience similar disadvantage? Or is the penalty (or advantage) imposed by socio-economic background different for girls and boys?</w:t>
      </w:r>
      <w:r>
        <w:rPr>
          <w:rFonts w:ascii="Times New Roman" w:hAnsi="Times New Roman" w:cs="Times New Roman"/>
          <w:sz w:val="24"/>
        </w:rPr>
        <w:t xml:space="preserve"> W</w:t>
      </w:r>
      <w:r w:rsidR="00E768A2">
        <w:rPr>
          <w:rFonts w:ascii="Times New Roman" w:hAnsi="Times New Roman" w:cs="Times New Roman"/>
          <w:sz w:val="24"/>
        </w:rPr>
        <w:t xml:space="preserve">e show that as well as having separate effects, </w:t>
      </w:r>
      <w:r w:rsidR="00F369EB">
        <w:rPr>
          <w:rFonts w:ascii="Times New Roman" w:hAnsi="Times New Roman" w:cs="Times New Roman"/>
          <w:sz w:val="24"/>
        </w:rPr>
        <w:t xml:space="preserve">gender and socioeconomic background </w:t>
      </w:r>
      <w:r w:rsidR="00E768A2">
        <w:rPr>
          <w:rFonts w:ascii="Times New Roman" w:hAnsi="Times New Roman" w:cs="Times New Roman"/>
          <w:sz w:val="24"/>
        </w:rPr>
        <w:t xml:space="preserve">interact resulting </w:t>
      </w:r>
      <w:r w:rsidR="00F369EB">
        <w:rPr>
          <w:rFonts w:ascii="Times New Roman" w:hAnsi="Times New Roman" w:cs="Times New Roman"/>
          <w:sz w:val="24"/>
        </w:rPr>
        <w:t xml:space="preserve">in </w:t>
      </w:r>
      <w:r w:rsidR="00E768A2">
        <w:rPr>
          <w:rFonts w:ascii="Times New Roman" w:hAnsi="Times New Roman" w:cs="Times New Roman"/>
          <w:sz w:val="24"/>
        </w:rPr>
        <w:t xml:space="preserve">a significant double-disadvantage for girls from poorer households. </w:t>
      </w:r>
    </w:p>
    <w:p w14:paraId="3EEE1C04" w14:textId="0662B920" w:rsidR="009127F7" w:rsidRDefault="00CA54D3" w:rsidP="009C4168">
      <w:pPr>
        <w:spacing w:line="360" w:lineRule="auto"/>
        <w:jc w:val="both"/>
        <w:rPr>
          <w:rFonts w:ascii="Times New Roman" w:hAnsi="Times New Roman" w:cs="Times New Roman"/>
          <w:sz w:val="24"/>
        </w:rPr>
      </w:pPr>
      <w:r w:rsidRPr="00CA54D3">
        <w:rPr>
          <w:rFonts w:ascii="Times New Roman" w:hAnsi="Times New Roman" w:cs="Times New Roman"/>
          <w:sz w:val="24"/>
        </w:rPr>
        <w:t xml:space="preserve">Test scores from standardised tests are commonly used as a measure of academic performance. While this measure has its own strengths and limitations, it enables comparison across student </w:t>
      </w:r>
      <w:r w:rsidRPr="00CA54D3">
        <w:rPr>
          <w:rFonts w:ascii="Times New Roman" w:hAnsi="Times New Roman" w:cs="Times New Roman"/>
          <w:sz w:val="24"/>
        </w:rPr>
        <w:lastRenderedPageBreak/>
        <w:t>groups over time. We focus on numeracy gaps, a skill that is increasingly important in the labour market, and, in particular, we explore girls’ disadvantage in this critical domain. Rendall and Rendall (2014) shows that wage premium for occupations with high maths requirement has been growing. While there is overall underrepresentation of women in STEM, it is particularly concentrated in the math-intensive fields (Kahn and Ginther, 2017).</w:t>
      </w:r>
      <w:r>
        <w:rPr>
          <w:rFonts w:ascii="Times New Roman" w:hAnsi="Times New Roman" w:cs="Times New Roman"/>
          <w:sz w:val="24"/>
        </w:rPr>
        <w:t xml:space="preserve"> </w:t>
      </w:r>
    </w:p>
    <w:p w14:paraId="0D9C93A4" w14:textId="69C1F0E6" w:rsidR="009127F7" w:rsidRPr="003926CF" w:rsidRDefault="009127F7" w:rsidP="009C4168">
      <w:pPr>
        <w:pStyle w:val="ListParagraph"/>
        <w:numPr>
          <w:ilvl w:val="0"/>
          <w:numId w:val="3"/>
        </w:numPr>
        <w:spacing w:line="360" w:lineRule="auto"/>
        <w:jc w:val="both"/>
        <w:rPr>
          <w:rFonts w:ascii="Times New Roman" w:hAnsi="Times New Roman" w:cs="Times New Roman"/>
          <w:b/>
          <w:sz w:val="24"/>
        </w:rPr>
      </w:pPr>
      <w:r w:rsidRPr="003926CF">
        <w:rPr>
          <w:rFonts w:ascii="Times New Roman" w:hAnsi="Times New Roman" w:cs="Times New Roman"/>
          <w:b/>
          <w:sz w:val="24"/>
        </w:rPr>
        <w:t>Summary of results</w:t>
      </w:r>
    </w:p>
    <w:p w14:paraId="50439433" w14:textId="1464B24E" w:rsidR="009127F7" w:rsidRDefault="00E768A2" w:rsidP="009C4168">
      <w:pPr>
        <w:spacing w:line="360" w:lineRule="auto"/>
        <w:jc w:val="both"/>
        <w:rPr>
          <w:rFonts w:ascii="Times New Roman" w:hAnsi="Times New Roman" w:cs="Times New Roman"/>
          <w:sz w:val="24"/>
        </w:rPr>
      </w:pPr>
      <w:r w:rsidRPr="00E768A2">
        <w:rPr>
          <w:rFonts w:ascii="Times New Roman" w:hAnsi="Times New Roman" w:cs="Times New Roman"/>
          <w:sz w:val="24"/>
        </w:rPr>
        <w:t>We find that between</w:t>
      </w:r>
      <w:r>
        <w:rPr>
          <w:rFonts w:ascii="Times New Roman" w:hAnsi="Times New Roman" w:cs="Times New Roman"/>
          <w:sz w:val="24"/>
        </w:rPr>
        <w:t xml:space="preserve"> </w:t>
      </w:r>
      <w:r w:rsidRPr="00E768A2">
        <w:rPr>
          <w:rFonts w:ascii="Times New Roman" w:hAnsi="Times New Roman" w:cs="Times New Roman"/>
          <w:sz w:val="24"/>
        </w:rPr>
        <w:t>Grades 3 to 9, boys have a distinct advantage in numeracy scores over girls, which</w:t>
      </w:r>
      <w:r>
        <w:rPr>
          <w:rFonts w:ascii="Times New Roman" w:hAnsi="Times New Roman" w:cs="Times New Roman"/>
          <w:sz w:val="24"/>
        </w:rPr>
        <w:t xml:space="preserve"> </w:t>
      </w:r>
      <w:r w:rsidRPr="00E768A2">
        <w:rPr>
          <w:rFonts w:ascii="Times New Roman" w:hAnsi="Times New Roman" w:cs="Times New Roman"/>
          <w:sz w:val="24"/>
        </w:rPr>
        <w:t xml:space="preserve">widens over time. </w:t>
      </w:r>
      <w:r w:rsidR="00EA5FFC" w:rsidRPr="00EA5FFC">
        <w:rPr>
          <w:rFonts w:ascii="Times New Roman" w:hAnsi="Times New Roman" w:cs="Times New Roman"/>
          <w:sz w:val="24"/>
        </w:rPr>
        <w:t>This gender gap is not explained by early childhood numeracy or literacy, contemporaneous household characteristics, or school types.</w:t>
      </w:r>
      <w:r w:rsidR="00EA5FFC">
        <w:rPr>
          <w:rFonts w:ascii="Times New Roman" w:hAnsi="Times New Roman" w:cs="Times New Roman"/>
          <w:sz w:val="24"/>
        </w:rPr>
        <w:t xml:space="preserve"> </w:t>
      </w:r>
      <w:r w:rsidRPr="00E768A2">
        <w:rPr>
          <w:rFonts w:ascii="Times New Roman" w:hAnsi="Times New Roman" w:cs="Times New Roman"/>
          <w:sz w:val="24"/>
        </w:rPr>
        <w:t>By Grade 9, poorer female students are doubly disadvantaged.</w:t>
      </w:r>
      <w:r>
        <w:rPr>
          <w:rFonts w:ascii="Times New Roman" w:hAnsi="Times New Roman" w:cs="Times New Roman"/>
          <w:sz w:val="24"/>
        </w:rPr>
        <w:t xml:space="preserve"> </w:t>
      </w:r>
      <w:r w:rsidRPr="00E768A2">
        <w:rPr>
          <w:rFonts w:ascii="Times New Roman" w:hAnsi="Times New Roman" w:cs="Times New Roman"/>
          <w:sz w:val="24"/>
        </w:rPr>
        <w:t>This disadvantage arise</w:t>
      </w:r>
      <w:r>
        <w:rPr>
          <w:rFonts w:ascii="Times New Roman" w:hAnsi="Times New Roman" w:cs="Times New Roman"/>
          <w:sz w:val="24"/>
        </w:rPr>
        <w:t>s</w:t>
      </w:r>
      <w:r w:rsidRPr="00E768A2">
        <w:rPr>
          <w:rFonts w:ascii="Times New Roman" w:hAnsi="Times New Roman" w:cs="Times New Roman"/>
          <w:sz w:val="24"/>
        </w:rPr>
        <w:t xml:space="preserve"> because the effect of a lower socioeconomic background on test scores is significant only for girls. </w:t>
      </w:r>
      <w:r w:rsidR="00EA5FFC" w:rsidRPr="00EA5FFC">
        <w:rPr>
          <w:rFonts w:ascii="Times New Roman" w:hAnsi="Times New Roman" w:cs="Times New Roman"/>
          <w:sz w:val="24"/>
        </w:rPr>
        <w:t>Belonging to a bottom income decile household leads to a penalty for girls, but not for boys. In our base estimations, approximately one-third of the gender gap in Grade 9 is explained by early household income.</w:t>
      </w:r>
      <w:r w:rsidR="00EA5FFC">
        <w:rPr>
          <w:rFonts w:ascii="Times New Roman" w:hAnsi="Times New Roman" w:cs="Times New Roman"/>
          <w:sz w:val="24"/>
        </w:rPr>
        <w:t xml:space="preserve"> </w:t>
      </w:r>
      <w:r w:rsidRPr="00E768A2">
        <w:rPr>
          <w:rFonts w:ascii="Times New Roman" w:hAnsi="Times New Roman" w:cs="Times New Roman"/>
          <w:sz w:val="24"/>
        </w:rPr>
        <w:t>We also find that mother’s education and</w:t>
      </w:r>
      <w:r>
        <w:rPr>
          <w:rFonts w:ascii="Times New Roman" w:hAnsi="Times New Roman" w:cs="Times New Roman"/>
          <w:sz w:val="24"/>
        </w:rPr>
        <w:t xml:space="preserve"> </w:t>
      </w:r>
      <w:r w:rsidRPr="00E768A2">
        <w:rPr>
          <w:rFonts w:ascii="Times New Roman" w:hAnsi="Times New Roman" w:cs="Times New Roman"/>
          <w:sz w:val="24"/>
        </w:rPr>
        <w:t>labour force status play an important role in the emergence of gender gaps, at both</w:t>
      </w:r>
      <w:r>
        <w:rPr>
          <w:rFonts w:ascii="Times New Roman" w:hAnsi="Times New Roman" w:cs="Times New Roman"/>
          <w:sz w:val="24"/>
        </w:rPr>
        <w:t xml:space="preserve"> </w:t>
      </w:r>
      <w:r w:rsidRPr="00E768A2">
        <w:rPr>
          <w:rFonts w:ascii="Times New Roman" w:hAnsi="Times New Roman" w:cs="Times New Roman"/>
          <w:sz w:val="24"/>
        </w:rPr>
        <w:t>ends (top/bottom) of the income distribution</w:t>
      </w:r>
      <w:r w:rsidR="00CA54D3">
        <w:rPr>
          <w:rFonts w:ascii="Times New Roman" w:hAnsi="Times New Roman" w:cs="Times New Roman"/>
          <w:sz w:val="24"/>
        </w:rPr>
        <w:t>.</w:t>
      </w:r>
      <w:r w:rsidR="00EA5FFC" w:rsidRPr="00EA5FFC">
        <w:t xml:space="preserve"> </w:t>
      </w:r>
      <w:r w:rsidR="00EA5FFC" w:rsidRPr="00EA5FFC">
        <w:rPr>
          <w:rFonts w:ascii="Times New Roman" w:hAnsi="Times New Roman" w:cs="Times New Roman"/>
          <w:sz w:val="24"/>
        </w:rPr>
        <w:t>At the top of the income distribution, a high level of mother’s education almost results in gender parity. In contrast, for boys, test scores increase with stay-at-home mothers at the top of the income distribution with limited effect at the bottom and none in the middle.</w:t>
      </w:r>
    </w:p>
    <w:p w14:paraId="4B9950E7" w14:textId="3480F652" w:rsidR="009127F7" w:rsidRPr="003926CF" w:rsidRDefault="009127F7" w:rsidP="009C4168">
      <w:pPr>
        <w:pStyle w:val="ListParagraph"/>
        <w:numPr>
          <w:ilvl w:val="0"/>
          <w:numId w:val="3"/>
        </w:numPr>
        <w:spacing w:line="360" w:lineRule="auto"/>
        <w:jc w:val="both"/>
        <w:rPr>
          <w:rFonts w:ascii="Times New Roman" w:hAnsi="Times New Roman" w:cs="Times New Roman"/>
          <w:b/>
          <w:sz w:val="24"/>
        </w:rPr>
      </w:pPr>
      <w:r w:rsidRPr="003926CF">
        <w:rPr>
          <w:rFonts w:ascii="Times New Roman" w:hAnsi="Times New Roman" w:cs="Times New Roman"/>
          <w:b/>
          <w:sz w:val="24"/>
        </w:rPr>
        <w:t>Conclusion</w:t>
      </w:r>
    </w:p>
    <w:p w14:paraId="2907D2EF" w14:textId="5201D2A9" w:rsidR="00CA54D3" w:rsidRDefault="00CA54D3" w:rsidP="009C4168">
      <w:pPr>
        <w:spacing w:line="360" w:lineRule="auto"/>
        <w:jc w:val="both"/>
        <w:rPr>
          <w:rFonts w:ascii="Times New Roman" w:hAnsi="Times New Roman" w:cs="Times New Roman"/>
          <w:sz w:val="24"/>
        </w:rPr>
      </w:pPr>
      <w:r w:rsidRPr="00CA54D3">
        <w:rPr>
          <w:rFonts w:ascii="Times New Roman" w:hAnsi="Times New Roman" w:cs="Times New Roman"/>
          <w:sz w:val="24"/>
        </w:rPr>
        <w:t>Our research demonstrates the double disadvantage, recognising it</w:t>
      </w:r>
      <w:r w:rsidR="00F369EB">
        <w:rPr>
          <w:rFonts w:ascii="Times New Roman" w:hAnsi="Times New Roman" w:cs="Times New Roman"/>
          <w:sz w:val="24"/>
        </w:rPr>
        <w:t>,</w:t>
      </w:r>
      <w:r w:rsidRPr="00CA54D3">
        <w:rPr>
          <w:rFonts w:ascii="Times New Roman" w:hAnsi="Times New Roman" w:cs="Times New Roman"/>
          <w:sz w:val="24"/>
        </w:rPr>
        <w:t xml:space="preserve"> is a first step towards addressing it. Our results also suggest the way forward for addressing these gaps: who should be the focus of efforts for closing numeracy gaps, when is the most effective time to intervene towards closing the gaps and how to close numeracy gaps?  Girls from lower socio-economic status need to be the prime focus for numeracy skills development and should be supported by policies and programs designed to lift numeracy skills. </w:t>
      </w:r>
      <w:r w:rsidR="00F369EB">
        <w:rPr>
          <w:rFonts w:ascii="Times New Roman" w:hAnsi="Times New Roman" w:cs="Times New Roman"/>
          <w:sz w:val="24"/>
        </w:rPr>
        <w:t xml:space="preserve">Our results provide early suggestive evidence for the potential of gender-specific policies. More specifically, labour market role models have a positive correlation with higher numeracy scores for girls, while for boys (parental-) time resources have </w:t>
      </w:r>
      <w:r w:rsidR="00B33434">
        <w:rPr>
          <w:rFonts w:ascii="Times New Roman" w:hAnsi="Times New Roman" w:cs="Times New Roman"/>
          <w:sz w:val="24"/>
        </w:rPr>
        <w:t>shown</w:t>
      </w:r>
      <w:r w:rsidR="00F369EB">
        <w:rPr>
          <w:rFonts w:ascii="Times New Roman" w:hAnsi="Times New Roman" w:cs="Times New Roman"/>
          <w:sz w:val="24"/>
        </w:rPr>
        <w:t xml:space="preserve"> a positive correlation. </w:t>
      </w:r>
      <w:r w:rsidRPr="00CA54D3">
        <w:rPr>
          <w:rFonts w:ascii="Times New Roman" w:hAnsi="Times New Roman" w:cs="Times New Roman"/>
          <w:sz w:val="24"/>
        </w:rPr>
        <w:t xml:space="preserve">In terms of timing, early years matter. Numeracy skills attainted in grade 3 and socio-economic status at that early age explain the majority of numeracy gaps in grade 9. This provides guidance for “when” interventions should be targeted; interventions at early grades will be most effective and have cumulative effects.  </w:t>
      </w:r>
    </w:p>
    <w:p w14:paraId="2C33E109" w14:textId="0753BA1C" w:rsidR="00FF20CF" w:rsidRPr="00FF20CF" w:rsidRDefault="009C4168" w:rsidP="0084554C">
      <w:pPr>
        <w:rPr>
          <w:rFonts w:ascii="Times New Roman" w:hAnsi="Times New Roman" w:cs="Times New Roman"/>
          <w:b/>
          <w:sz w:val="24"/>
        </w:rPr>
      </w:pPr>
      <w:r>
        <w:rPr>
          <w:rFonts w:ascii="Times New Roman" w:hAnsi="Times New Roman" w:cs="Times New Roman"/>
          <w:b/>
          <w:sz w:val="24"/>
        </w:rPr>
        <w:br w:type="page"/>
      </w:r>
      <w:r w:rsidR="00FF20CF" w:rsidRPr="00FF20CF">
        <w:rPr>
          <w:rFonts w:ascii="Times New Roman" w:hAnsi="Times New Roman" w:cs="Times New Roman"/>
          <w:b/>
          <w:sz w:val="24"/>
        </w:rPr>
        <w:lastRenderedPageBreak/>
        <w:t>References</w:t>
      </w:r>
    </w:p>
    <w:p w14:paraId="5D4CD150" w14:textId="77777777" w:rsidR="00FF20CF" w:rsidRDefault="00FF20CF" w:rsidP="009C4168">
      <w:pPr>
        <w:spacing w:line="360" w:lineRule="auto"/>
        <w:jc w:val="both"/>
        <w:rPr>
          <w:rFonts w:ascii="Times New Roman" w:hAnsi="Times New Roman" w:cs="Times New Roman"/>
          <w:sz w:val="24"/>
        </w:rPr>
      </w:pPr>
      <w:r w:rsidRPr="00FF20CF">
        <w:rPr>
          <w:rFonts w:ascii="Times New Roman" w:hAnsi="Times New Roman" w:cs="Times New Roman"/>
          <w:sz w:val="24"/>
        </w:rPr>
        <w:t xml:space="preserve">Kahn, </w:t>
      </w:r>
      <w:proofErr w:type="spellStart"/>
      <w:r w:rsidRPr="00FF20CF">
        <w:rPr>
          <w:rFonts w:ascii="Times New Roman" w:hAnsi="Times New Roman" w:cs="Times New Roman"/>
          <w:sz w:val="24"/>
        </w:rPr>
        <w:t>Shulamit</w:t>
      </w:r>
      <w:proofErr w:type="spellEnd"/>
      <w:r w:rsidRPr="00FF20CF">
        <w:rPr>
          <w:rFonts w:ascii="Times New Roman" w:hAnsi="Times New Roman" w:cs="Times New Roman"/>
          <w:sz w:val="24"/>
        </w:rPr>
        <w:t>, and Donna Ginther. 2017. “Women and STEM.” National Bureau of Economic Research, Inc NBER Working Papers 23525.</w:t>
      </w:r>
    </w:p>
    <w:p w14:paraId="6706C8FF" w14:textId="77777777" w:rsidR="00FF20CF" w:rsidRDefault="00FF20CF" w:rsidP="009C4168">
      <w:pPr>
        <w:spacing w:line="360" w:lineRule="auto"/>
        <w:jc w:val="both"/>
        <w:rPr>
          <w:rFonts w:ascii="Times New Roman" w:hAnsi="Times New Roman" w:cs="Times New Roman"/>
          <w:sz w:val="24"/>
        </w:rPr>
      </w:pPr>
      <w:r w:rsidRPr="00FF20CF">
        <w:rPr>
          <w:rFonts w:ascii="Times New Roman" w:hAnsi="Times New Roman" w:cs="Times New Roman"/>
          <w:sz w:val="24"/>
        </w:rPr>
        <w:t>Rendall, Andrew, and Michelle Rendall. 2014. “Math Matters: Student Ability, College Majors, and Wage Inequality.” Department of Economics, University of Zurich Working Papers.</w:t>
      </w:r>
    </w:p>
    <w:p w14:paraId="30E2D631" w14:textId="77777777" w:rsidR="005846F0" w:rsidRDefault="005846F0" w:rsidP="009C4168">
      <w:pPr>
        <w:spacing w:line="360" w:lineRule="auto"/>
        <w:jc w:val="both"/>
        <w:rPr>
          <w:rFonts w:ascii="Times New Roman" w:hAnsi="Times New Roman" w:cs="Times New Roman"/>
          <w:sz w:val="24"/>
        </w:rPr>
      </w:pPr>
    </w:p>
    <w:p w14:paraId="3680C953" w14:textId="4DEF9AC1" w:rsidR="005846F0" w:rsidRPr="003926CF" w:rsidRDefault="005846F0" w:rsidP="009C4168">
      <w:pPr>
        <w:spacing w:line="360" w:lineRule="auto"/>
        <w:jc w:val="both"/>
        <w:rPr>
          <w:rFonts w:ascii="Times New Roman" w:hAnsi="Times New Roman" w:cs="Times New Roman"/>
          <w:b/>
          <w:sz w:val="24"/>
        </w:rPr>
      </w:pPr>
      <w:r w:rsidRPr="003926CF">
        <w:rPr>
          <w:rFonts w:ascii="Times New Roman" w:hAnsi="Times New Roman" w:cs="Times New Roman"/>
          <w:b/>
          <w:sz w:val="24"/>
        </w:rPr>
        <w:t>Inclusions</w:t>
      </w:r>
    </w:p>
    <w:p w14:paraId="2BF2A49E" w14:textId="77777777" w:rsidR="009419D3" w:rsidRDefault="005846F0" w:rsidP="009C4168">
      <w:pPr>
        <w:spacing w:line="360" w:lineRule="auto"/>
        <w:jc w:val="both"/>
        <w:rPr>
          <w:rFonts w:ascii="Times New Roman" w:hAnsi="Times New Roman" w:cs="Times New Roman"/>
          <w:sz w:val="24"/>
        </w:rPr>
      </w:pPr>
      <w:r w:rsidRPr="005846F0">
        <w:rPr>
          <w:rFonts w:ascii="Times New Roman" w:hAnsi="Times New Roman" w:cs="Times New Roman"/>
          <w:sz w:val="24"/>
        </w:rPr>
        <w:t xml:space="preserve">Parasnis, J, Paterson, M and Rendall, M. 2022. 'Gender, Income, and Numeracy Test Scores'. London, Centre for Economic Policy Research. </w:t>
      </w:r>
    </w:p>
    <w:p w14:paraId="5C9EEF1C" w14:textId="16FA4EC9" w:rsidR="005846F0" w:rsidRPr="00FF20CF" w:rsidRDefault="0072407D" w:rsidP="009C4168">
      <w:pPr>
        <w:spacing w:line="360" w:lineRule="auto"/>
        <w:jc w:val="both"/>
        <w:rPr>
          <w:rFonts w:ascii="Times New Roman" w:hAnsi="Times New Roman" w:cs="Times New Roman"/>
          <w:sz w:val="24"/>
        </w:rPr>
      </w:pPr>
      <w:hyperlink r:id="rId11" w:history="1">
        <w:r w:rsidR="005846F0" w:rsidRPr="009419D3">
          <w:rPr>
            <w:rStyle w:val="Hyperlink"/>
            <w:rFonts w:ascii="Times New Roman" w:hAnsi="Times New Roman" w:cs="Times New Roman"/>
            <w:sz w:val="24"/>
          </w:rPr>
          <w:t>https://cepr.org/active/publications/discussion_papers/dp.php?dpno=16895</w:t>
        </w:r>
      </w:hyperlink>
    </w:p>
    <w:p w14:paraId="0A59BDCD" w14:textId="77777777" w:rsidR="00FF20CF" w:rsidRPr="001A63F8" w:rsidRDefault="00FF20CF" w:rsidP="009C4168">
      <w:pPr>
        <w:spacing w:line="360" w:lineRule="auto"/>
        <w:jc w:val="both"/>
        <w:rPr>
          <w:rFonts w:ascii="Times New Roman" w:hAnsi="Times New Roman" w:cs="Times New Roman"/>
          <w:sz w:val="24"/>
        </w:rPr>
      </w:pPr>
    </w:p>
    <w:sectPr w:rsidR="00FF20CF" w:rsidRPr="001A63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90AD" w14:textId="77777777" w:rsidR="0072407D" w:rsidRDefault="0072407D" w:rsidP="00177064">
      <w:pPr>
        <w:spacing w:after="0" w:line="240" w:lineRule="auto"/>
      </w:pPr>
      <w:r>
        <w:separator/>
      </w:r>
    </w:p>
  </w:endnote>
  <w:endnote w:type="continuationSeparator" w:id="0">
    <w:p w14:paraId="0E795C45" w14:textId="77777777" w:rsidR="0072407D" w:rsidRDefault="0072407D" w:rsidP="0017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8025" w14:textId="77777777" w:rsidR="0072407D" w:rsidRDefault="0072407D" w:rsidP="00177064">
      <w:pPr>
        <w:spacing w:after="0" w:line="240" w:lineRule="auto"/>
      </w:pPr>
      <w:r>
        <w:separator/>
      </w:r>
    </w:p>
  </w:footnote>
  <w:footnote w:type="continuationSeparator" w:id="0">
    <w:p w14:paraId="1CCBCED8" w14:textId="77777777" w:rsidR="0072407D" w:rsidRDefault="0072407D" w:rsidP="00177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41105"/>
    <w:multiLevelType w:val="hybridMultilevel"/>
    <w:tmpl w:val="645CB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976723"/>
    <w:multiLevelType w:val="hybridMultilevel"/>
    <w:tmpl w:val="F94A4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61450E"/>
    <w:multiLevelType w:val="hybridMultilevel"/>
    <w:tmpl w:val="3670C5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D085E33"/>
    <w:multiLevelType w:val="hybridMultilevel"/>
    <w:tmpl w:val="FA6CC5F4"/>
    <w:lvl w:ilvl="0" w:tplc="94A029DA">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51"/>
    <w:rsid w:val="0007483A"/>
    <w:rsid w:val="00082651"/>
    <w:rsid w:val="000A2679"/>
    <w:rsid w:val="0016536A"/>
    <w:rsid w:val="00177064"/>
    <w:rsid w:val="001A63F8"/>
    <w:rsid w:val="0029277B"/>
    <w:rsid w:val="003926CF"/>
    <w:rsid w:val="003B33C4"/>
    <w:rsid w:val="00425D20"/>
    <w:rsid w:val="004369D5"/>
    <w:rsid w:val="00443CE7"/>
    <w:rsid w:val="004B6628"/>
    <w:rsid w:val="004D2CEF"/>
    <w:rsid w:val="005846F0"/>
    <w:rsid w:val="0068795D"/>
    <w:rsid w:val="0072407D"/>
    <w:rsid w:val="0084554C"/>
    <w:rsid w:val="009127F7"/>
    <w:rsid w:val="009419D3"/>
    <w:rsid w:val="00994FF2"/>
    <w:rsid w:val="009C4168"/>
    <w:rsid w:val="00AA390E"/>
    <w:rsid w:val="00AF2B86"/>
    <w:rsid w:val="00B27918"/>
    <w:rsid w:val="00B33434"/>
    <w:rsid w:val="00C10041"/>
    <w:rsid w:val="00C10E22"/>
    <w:rsid w:val="00CA54D3"/>
    <w:rsid w:val="00E768A2"/>
    <w:rsid w:val="00E90719"/>
    <w:rsid w:val="00EA5FFC"/>
    <w:rsid w:val="00F369EB"/>
    <w:rsid w:val="00FF20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E44F"/>
  <w15:chartTrackingRefBased/>
  <w15:docId w15:val="{1E3E1FF8-A0D1-476A-A233-FAA1FAA5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uiPriority w:val="4"/>
    <w:qFormat/>
    <w:rsid w:val="001A63F8"/>
    <w:pPr>
      <w:spacing w:before="60" w:after="120" w:line="280" w:lineRule="atLeast"/>
      <w:contextualSpacing/>
    </w:pPr>
    <w:rPr>
      <w:b/>
      <w:color w:val="E7E6E6" w:themeColor="background2"/>
      <w:sz w:val="20"/>
      <w:szCs w:val="20"/>
    </w:rPr>
  </w:style>
  <w:style w:type="paragraph" w:styleId="BodyText">
    <w:name w:val="Body Text"/>
    <w:basedOn w:val="Normal"/>
    <w:link w:val="BodyTextChar"/>
    <w:qFormat/>
    <w:rsid w:val="001A63F8"/>
    <w:pPr>
      <w:spacing w:before="120" w:after="120" w:line="280" w:lineRule="atLeast"/>
    </w:pPr>
    <w:rPr>
      <w:sz w:val="20"/>
      <w:szCs w:val="20"/>
    </w:rPr>
  </w:style>
  <w:style w:type="character" w:customStyle="1" w:styleId="BodyTextChar">
    <w:name w:val="Body Text Char"/>
    <w:basedOn w:val="DefaultParagraphFont"/>
    <w:link w:val="BodyText"/>
    <w:rsid w:val="001A63F8"/>
    <w:rPr>
      <w:sz w:val="20"/>
      <w:szCs w:val="20"/>
    </w:rPr>
  </w:style>
  <w:style w:type="table" w:customStyle="1" w:styleId="TextTable-Grey">
    <w:name w:val="Text Table-Grey"/>
    <w:basedOn w:val="TableNormal"/>
    <w:uiPriority w:val="99"/>
    <w:rsid w:val="001A63F8"/>
    <w:pPr>
      <w:spacing w:after="0" w:line="240" w:lineRule="auto"/>
    </w:pPr>
    <w:rPr>
      <w:color w:val="E7E6E6" w:themeColor="background2"/>
    </w:rPr>
    <w:tblPr>
      <w:tblCellMar>
        <w:top w:w="113" w:type="dxa"/>
        <w:left w:w="113" w:type="dxa"/>
        <w:bottom w:w="113" w:type="dxa"/>
        <w:right w:w="113" w:type="dxa"/>
      </w:tblCellMar>
    </w:tblPr>
    <w:tcPr>
      <w:shd w:val="clear" w:color="auto" w:fill="F2F2F2"/>
    </w:tcPr>
  </w:style>
  <w:style w:type="paragraph" w:styleId="BalloonText">
    <w:name w:val="Balloon Text"/>
    <w:basedOn w:val="Normal"/>
    <w:link w:val="BalloonTextChar"/>
    <w:uiPriority w:val="99"/>
    <w:semiHidden/>
    <w:unhideWhenUsed/>
    <w:rsid w:val="006879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795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46F0"/>
    <w:rPr>
      <w:sz w:val="18"/>
      <w:szCs w:val="18"/>
    </w:rPr>
  </w:style>
  <w:style w:type="paragraph" w:styleId="CommentText">
    <w:name w:val="annotation text"/>
    <w:basedOn w:val="Normal"/>
    <w:link w:val="CommentTextChar"/>
    <w:uiPriority w:val="99"/>
    <w:semiHidden/>
    <w:unhideWhenUsed/>
    <w:rsid w:val="005846F0"/>
    <w:pPr>
      <w:spacing w:line="240" w:lineRule="auto"/>
    </w:pPr>
    <w:rPr>
      <w:sz w:val="24"/>
      <w:szCs w:val="24"/>
    </w:rPr>
  </w:style>
  <w:style w:type="character" w:customStyle="1" w:styleId="CommentTextChar">
    <w:name w:val="Comment Text Char"/>
    <w:basedOn w:val="DefaultParagraphFont"/>
    <w:link w:val="CommentText"/>
    <w:uiPriority w:val="99"/>
    <w:semiHidden/>
    <w:rsid w:val="005846F0"/>
    <w:rPr>
      <w:sz w:val="24"/>
      <w:szCs w:val="24"/>
    </w:rPr>
  </w:style>
  <w:style w:type="paragraph" w:styleId="CommentSubject">
    <w:name w:val="annotation subject"/>
    <w:basedOn w:val="CommentText"/>
    <w:next w:val="CommentText"/>
    <w:link w:val="CommentSubjectChar"/>
    <w:uiPriority w:val="99"/>
    <w:semiHidden/>
    <w:unhideWhenUsed/>
    <w:rsid w:val="005846F0"/>
    <w:rPr>
      <w:b/>
      <w:bCs/>
      <w:sz w:val="20"/>
      <w:szCs w:val="20"/>
    </w:rPr>
  </w:style>
  <w:style w:type="character" w:customStyle="1" w:styleId="CommentSubjectChar">
    <w:name w:val="Comment Subject Char"/>
    <w:basedOn w:val="CommentTextChar"/>
    <w:link w:val="CommentSubject"/>
    <w:uiPriority w:val="99"/>
    <w:semiHidden/>
    <w:rsid w:val="005846F0"/>
    <w:rPr>
      <w:b/>
      <w:bCs/>
      <w:sz w:val="20"/>
      <w:szCs w:val="20"/>
    </w:rPr>
  </w:style>
  <w:style w:type="paragraph" w:styleId="ListParagraph">
    <w:name w:val="List Paragraph"/>
    <w:basedOn w:val="Normal"/>
    <w:uiPriority w:val="34"/>
    <w:qFormat/>
    <w:rsid w:val="009127F7"/>
    <w:pPr>
      <w:ind w:left="720"/>
      <w:contextualSpacing/>
    </w:pPr>
  </w:style>
  <w:style w:type="paragraph" w:styleId="Title">
    <w:name w:val="Title"/>
    <w:basedOn w:val="Normal"/>
    <w:next w:val="Normal"/>
    <w:link w:val="TitleChar"/>
    <w:uiPriority w:val="10"/>
    <w:qFormat/>
    <w:rsid w:val="003926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C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419D3"/>
    <w:rPr>
      <w:color w:val="0563C1" w:themeColor="hyperlink"/>
      <w:u w:val="single"/>
    </w:rPr>
  </w:style>
  <w:style w:type="character" w:styleId="UnresolvedMention">
    <w:name w:val="Unresolved Mention"/>
    <w:basedOn w:val="DefaultParagraphFont"/>
    <w:uiPriority w:val="99"/>
    <w:rsid w:val="009419D3"/>
    <w:rPr>
      <w:color w:val="605E5C"/>
      <w:shd w:val="clear" w:color="auto" w:fill="E1DFDD"/>
    </w:rPr>
  </w:style>
  <w:style w:type="paragraph" w:styleId="Header">
    <w:name w:val="header"/>
    <w:basedOn w:val="Normal"/>
    <w:link w:val="HeaderChar"/>
    <w:uiPriority w:val="99"/>
    <w:unhideWhenUsed/>
    <w:rsid w:val="0017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064"/>
  </w:style>
  <w:style w:type="paragraph" w:styleId="Footer">
    <w:name w:val="footer"/>
    <w:basedOn w:val="Normal"/>
    <w:link w:val="FooterChar"/>
    <w:uiPriority w:val="99"/>
    <w:unhideWhenUsed/>
    <w:rsid w:val="00177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064"/>
  </w:style>
  <w:style w:type="character" w:styleId="FollowedHyperlink">
    <w:name w:val="FollowedHyperlink"/>
    <w:basedOn w:val="DefaultParagraphFont"/>
    <w:uiPriority w:val="99"/>
    <w:semiHidden/>
    <w:unhideWhenUsed/>
    <w:rsid w:val="000A26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940008">
      <w:bodyDiv w:val="1"/>
      <w:marLeft w:val="0"/>
      <w:marRight w:val="0"/>
      <w:marTop w:val="0"/>
      <w:marBottom w:val="0"/>
      <w:divBdr>
        <w:top w:val="none" w:sz="0" w:space="0" w:color="auto"/>
        <w:left w:val="none" w:sz="0" w:space="0" w:color="auto"/>
        <w:bottom w:val="none" w:sz="0" w:space="0" w:color="auto"/>
        <w:right w:val="none" w:sz="0" w:space="0" w:color="auto"/>
      </w:divBdr>
    </w:div>
    <w:div w:id="18198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pr.org/active/publications/discussion_papers/dp.php?dpno=1689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19b086e4617933b6cffc37c6a58e955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a571bc7369ef5a925904b674c810deb5"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B207-F976-4D74-8687-D65423702384}">
  <ds:schemaRefs>
    <ds:schemaRef ds:uri="http://schemas.microsoft.com/office/2006/metadata/properties"/>
    <ds:schemaRef ds:uri="http://schemas.microsoft.com/office/infopath/2007/PartnerControls"/>
    <ds:schemaRef ds:uri="52167780-d458-4e20-a521-cd369a511d6e"/>
  </ds:schemaRefs>
</ds:datastoreItem>
</file>

<file path=customXml/itemProps2.xml><?xml version="1.0" encoding="utf-8"?>
<ds:datastoreItem xmlns:ds="http://schemas.openxmlformats.org/officeDocument/2006/customXml" ds:itemID="{E17D2D5C-8A3C-4C49-8474-23DD5DC8C08D}">
  <ds:schemaRefs>
    <ds:schemaRef ds:uri="http://schemas.microsoft.com/sharepoint/v3/contenttype/forms"/>
  </ds:schemaRefs>
</ds:datastoreItem>
</file>

<file path=customXml/itemProps3.xml><?xml version="1.0" encoding="utf-8"?>
<ds:datastoreItem xmlns:ds="http://schemas.openxmlformats.org/officeDocument/2006/customXml" ds:itemID="{ED06CACF-0F46-46FD-844A-2AF021992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9DF29-FC55-4E00-97C9-A237C7C6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9 - Molly Paterson, Jaai Parasnis and Michelle Rendall - National School Reform Agreement - Commissioned study</vt:lpstr>
    </vt:vector>
  </TitlesOfParts>
  <Company>Molly Paterson, Jaai Parasnis and Michelle Rendall</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Molly Paterson, Jaai Parasnis and Michelle Rendall - National School Reform Agreement - Commissioned study</dc:title>
  <dc:subject/>
  <dc:creator>Molly Paterson, Jaai Parasnis and Michelle Rendall</dc:creator>
  <cp:keywords/>
  <dc:description/>
  <cp:lastModifiedBy>Alston, Chris</cp:lastModifiedBy>
  <cp:revision>2</cp:revision>
  <dcterms:created xsi:type="dcterms:W3CDTF">2022-06-20T02:15:00Z</dcterms:created>
  <dcterms:modified xsi:type="dcterms:W3CDTF">2022-06-20T04:35:00Z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