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9B3AC" w14:textId="63069A8A" w:rsidR="00A9204E" w:rsidRPr="00FC51BD" w:rsidRDefault="00FC51BD" w:rsidP="00037965">
      <w:pPr>
        <w:jc w:val="center"/>
        <w:rPr>
          <w:b/>
          <w:bCs/>
          <w:sz w:val="24"/>
          <w:szCs w:val="24"/>
        </w:rPr>
      </w:pPr>
      <w:r w:rsidRPr="00FC51BD">
        <w:rPr>
          <w:rFonts w:ascii="Times New Roman" w:hAnsi="Times New Roman" w:cs="Times New Roman"/>
          <w:b/>
          <w:bCs/>
          <w:sz w:val="24"/>
          <w:szCs w:val="24"/>
        </w:rPr>
        <w:t>CLOSING THE DISTANCE BETWEEN POLICY AND PRACTICE</w:t>
      </w:r>
    </w:p>
    <w:p w14:paraId="097F6A0F" w14:textId="77777777" w:rsidR="00FC51BD" w:rsidRDefault="00FC51BD" w:rsidP="006B4B93">
      <w:pPr>
        <w:jc w:val="center"/>
        <w:rPr>
          <w:rFonts w:ascii="Times New Roman" w:hAnsi="Times New Roman" w:cs="Times New Roman"/>
          <w:b/>
          <w:bCs/>
          <w:sz w:val="24"/>
          <w:szCs w:val="24"/>
        </w:rPr>
      </w:pPr>
    </w:p>
    <w:p w14:paraId="51195BBD" w14:textId="11F57D17" w:rsidR="004F1BB2" w:rsidRPr="00A23E3C" w:rsidRDefault="00FC51BD" w:rsidP="006B4B93">
      <w:pPr>
        <w:jc w:val="center"/>
        <w:rPr>
          <w:rFonts w:ascii="Times New Roman" w:hAnsi="Times New Roman" w:cs="Times New Roman"/>
          <w:b/>
          <w:bCs/>
          <w:sz w:val="24"/>
          <w:szCs w:val="24"/>
        </w:rPr>
      </w:pPr>
      <w:r>
        <w:rPr>
          <w:rFonts w:ascii="Times New Roman" w:hAnsi="Times New Roman" w:cs="Times New Roman"/>
          <w:b/>
          <w:bCs/>
          <w:sz w:val="24"/>
          <w:szCs w:val="24"/>
        </w:rPr>
        <w:t>A r</w:t>
      </w:r>
      <w:r w:rsidRPr="00315111">
        <w:rPr>
          <w:rFonts w:ascii="Times New Roman" w:hAnsi="Times New Roman" w:cs="Times New Roman"/>
          <w:b/>
          <w:bCs/>
          <w:sz w:val="24"/>
          <w:szCs w:val="24"/>
        </w:rPr>
        <w:t xml:space="preserve">esponse </w:t>
      </w:r>
      <w:r w:rsidR="00A6109E">
        <w:rPr>
          <w:rFonts w:ascii="Times New Roman" w:hAnsi="Times New Roman" w:cs="Times New Roman"/>
          <w:b/>
          <w:bCs/>
          <w:sz w:val="24"/>
          <w:szCs w:val="24"/>
        </w:rPr>
        <w:t xml:space="preserve">to the </w:t>
      </w:r>
      <w:r w:rsidRPr="00315111">
        <w:rPr>
          <w:rFonts w:ascii="Times New Roman" w:hAnsi="Times New Roman" w:cs="Times New Roman"/>
          <w:b/>
          <w:bCs/>
          <w:sz w:val="24"/>
          <w:szCs w:val="24"/>
        </w:rPr>
        <w:t xml:space="preserve"> </w:t>
      </w:r>
      <w:r>
        <w:rPr>
          <w:rFonts w:ascii="Times New Roman" w:hAnsi="Times New Roman" w:cs="Times New Roman"/>
          <w:b/>
          <w:bCs/>
          <w:sz w:val="24"/>
          <w:szCs w:val="24"/>
        </w:rPr>
        <w:t>I</w:t>
      </w:r>
      <w:r w:rsidRPr="00315111">
        <w:rPr>
          <w:rFonts w:ascii="Times New Roman" w:hAnsi="Times New Roman" w:cs="Times New Roman"/>
          <w:b/>
          <w:bCs/>
          <w:sz w:val="24"/>
          <w:szCs w:val="24"/>
        </w:rPr>
        <w:t xml:space="preserve">nterim </w:t>
      </w:r>
      <w:r>
        <w:rPr>
          <w:rFonts w:ascii="Times New Roman" w:hAnsi="Times New Roman" w:cs="Times New Roman"/>
          <w:b/>
          <w:bCs/>
          <w:sz w:val="24"/>
          <w:szCs w:val="24"/>
        </w:rPr>
        <w:t>R</w:t>
      </w:r>
      <w:r w:rsidRPr="00315111">
        <w:rPr>
          <w:rFonts w:ascii="Times New Roman" w:hAnsi="Times New Roman" w:cs="Times New Roman"/>
          <w:b/>
          <w:bCs/>
          <w:sz w:val="24"/>
          <w:szCs w:val="24"/>
        </w:rPr>
        <w:t xml:space="preserve">eport of the </w:t>
      </w:r>
      <w:r>
        <w:rPr>
          <w:rFonts w:ascii="Times New Roman" w:hAnsi="Times New Roman" w:cs="Times New Roman"/>
          <w:b/>
          <w:bCs/>
          <w:sz w:val="24"/>
          <w:szCs w:val="24"/>
        </w:rPr>
        <w:t>P</w:t>
      </w:r>
      <w:r w:rsidRPr="00315111">
        <w:rPr>
          <w:rFonts w:ascii="Times New Roman" w:hAnsi="Times New Roman" w:cs="Times New Roman"/>
          <w:b/>
          <w:bCs/>
          <w:sz w:val="24"/>
          <w:szCs w:val="24"/>
        </w:rPr>
        <w:t xml:space="preserve">roductivity </w:t>
      </w:r>
      <w:r>
        <w:rPr>
          <w:rFonts w:ascii="Times New Roman" w:hAnsi="Times New Roman" w:cs="Times New Roman"/>
          <w:b/>
          <w:bCs/>
          <w:sz w:val="24"/>
          <w:szCs w:val="24"/>
        </w:rPr>
        <w:t>C</w:t>
      </w:r>
      <w:r w:rsidRPr="00315111">
        <w:rPr>
          <w:rFonts w:ascii="Times New Roman" w:hAnsi="Times New Roman" w:cs="Times New Roman"/>
          <w:b/>
          <w:bCs/>
          <w:sz w:val="24"/>
          <w:szCs w:val="24"/>
        </w:rPr>
        <w:t>ommission</w:t>
      </w:r>
    </w:p>
    <w:p w14:paraId="2B6B72B1" w14:textId="75100F93" w:rsidR="004F1BB2" w:rsidRPr="00A23E3C" w:rsidRDefault="00AA2B0E" w:rsidP="00AA2B0E">
      <w:pPr>
        <w:spacing w:before="120"/>
        <w:jc w:val="center"/>
        <w:rPr>
          <w:rFonts w:ascii="Times New Roman" w:hAnsi="Times New Roman" w:cs="Times New Roman"/>
          <w:b/>
          <w:bCs/>
          <w:sz w:val="24"/>
          <w:szCs w:val="24"/>
        </w:rPr>
      </w:pPr>
      <w:r>
        <w:rPr>
          <w:rFonts w:ascii="Times New Roman" w:hAnsi="Times New Roman" w:cs="Times New Roman"/>
          <w:b/>
          <w:bCs/>
          <w:sz w:val="24"/>
          <w:szCs w:val="24"/>
        </w:rPr>
        <w:t xml:space="preserve">Professor </w:t>
      </w:r>
      <w:r w:rsidR="004F1BB2" w:rsidRPr="00A23E3C">
        <w:rPr>
          <w:rFonts w:ascii="Times New Roman" w:hAnsi="Times New Roman" w:cs="Times New Roman"/>
          <w:b/>
          <w:bCs/>
          <w:sz w:val="24"/>
          <w:szCs w:val="24"/>
        </w:rPr>
        <w:t>Brian J. Caldwell</w:t>
      </w:r>
      <w:r>
        <w:rPr>
          <w:rStyle w:val="FootnoteReference"/>
          <w:rFonts w:ascii="Times New Roman" w:hAnsi="Times New Roman" w:cs="Times New Roman"/>
          <w:b/>
          <w:bCs/>
          <w:sz w:val="24"/>
          <w:szCs w:val="24"/>
        </w:rPr>
        <w:footnoteReference w:id="1"/>
      </w:r>
    </w:p>
    <w:p w14:paraId="1198F1E5" w14:textId="192B3EBF" w:rsidR="007F04D9" w:rsidRDefault="00E16BF1" w:rsidP="006B4B93">
      <w:pPr>
        <w:spacing w:before="120"/>
        <w:jc w:val="both"/>
        <w:rPr>
          <w:rFonts w:ascii="Times New Roman" w:hAnsi="Times New Roman" w:cs="Times New Roman"/>
          <w:sz w:val="24"/>
          <w:szCs w:val="24"/>
        </w:rPr>
      </w:pPr>
      <w:r>
        <w:rPr>
          <w:rFonts w:ascii="Times New Roman" w:hAnsi="Times New Roman" w:cs="Times New Roman"/>
          <w:sz w:val="24"/>
          <w:szCs w:val="24"/>
        </w:rPr>
        <w:t xml:space="preserve">This </w:t>
      </w:r>
      <w:r w:rsidR="00565F53" w:rsidRPr="00565F53">
        <w:rPr>
          <w:rFonts w:ascii="Times New Roman" w:hAnsi="Times New Roman" w:cs="Times New Roman"/>
          <w:sz w:val="24"/>
          <w:szCs w:val="24"/>
        </w:rPr>
        <w:t xml:space="preserve">response is limited to </w:t>
      </w:r>
      <w:r w:rsidR="008E1806">
        <w:rPr>
          <w:rFonts w:ascii="Times New Roman" w:hAnsi="Times New Roman" w:cs="Times New Roman"/>
          <w:sz w:val="24"/>
          <w:szCs w:val="24"/>
        </w:rPr>
        <w:t>four</w:t>
      </w:r>
      <w:r w:rsidR="00565F53" w:rsidRPr="00565F53">
        <w:rPr>
          <w:rFonts w:ascii="Times New Roman" w:hAnsi="Times New Roman" w:cs="Times New Roman"/>
          <w:sz w:val="24"/>
          <w:szCs w:val="24"/>
        </w:rPr>
        <w:t xml:space="preserve"> themes on matters </w:t>
      </w:r>
      <w:r w:rsidR="00315111">
        <w:rPr>
          <w:rFonts w:ascii="Times New Roman" w:hAnsi="Times New Roman" w:cs="Times New Roman"/>
          <w:sz w:val="24"/>
          <w:szCs w:val="24"/>
        </w:rPr>
        <w:t>for</w:t>
      </w:r>
      <w:r w:rsidR="00565F53" w:rsidRPr="00565F53">
        <w:rPr>
          <w:rFonts w:ascii="Times New Roman" w:hAnsi="Times New Roman" w:cs="Times New Roman"/>
          <w:sz w:val="24"/>
          <w:szCs w:val="24"/>
        </w:rPr>
        <w:t xml:space="preserve"> which </w:t>
      </w:r>
      <w:r w:rsidR="009543DC">
        <w:rPr>
          <w:rFonts w:ascii="Times New Roman" w:hAnsi="Times New Roman" w:cs="Times New Roman"/>
          <w:sz w:val="24"/>
          <w:szCs w:val="24"/>
        </w:rPr>
        <w:t xml:space="preserve">I </w:t>
      </w:r>
      <w:r w:rsidR="00565F53" w:rsidRPr="00565F53">
        <w:rPr>
          <w:rFonts w:ascii="Times New Roman" w:hAnsi="Times New Roman" w:cs="Times New Roman"/>
          <w:sz w:val="24"/>
          <w:szCs w:val="24"/>
        </w:rPr>
        <w:t>have expertise and have conducted related research in recent years.</w:t>
      </w:r>
      <w:r w:rsidR="008E1806">
        <w:rPr>
          <w:rFonts w:ascii="Times New Roman" w:hAnsi="Times New Roman" w:cs="Times New Roman"/>
          <w:sz w:val="24"/>
          <w:szCs w:val="24"/>
        </w:rPr>
        <w:t xml:space="preserve"> These</w:t>
      </w:r>
      <w:r>
        <w:rPr>
          <w:rFonts w:ascii="Times New Roman" w:hAnsi="Times New Roman" w:cs="Times New Roman"/>
          <w:sz w:val="24"/>
          <w:szCs w:val="24"/>
        </w:rPr>
        <w:t xml:space="preserve"> </w:t>
      </w:r>
      <w:r w:rsidR="008E1806">
        <w:rPr>
          <w:rFonts w:ascii="Times New Roman" w:hAnsi="Times New Roman" w:cs="Times New Roman"/>
          <w:sz w:val="24"/>
          <w:szCs w:val="24"/>
        </w:rPr>
        <w:t xml:space="preserve">are concerned with </w:t>
      </w:r>
      <w:r w:rsidR="002A158E">
        <w:rPr>
          <w:rFonts w:ascii="Times New Roman" w:hAnsi="Times New Roman" w:cs="Times New Roman"/>
          <w:sz w:val="24"/>
          <w:szCs w:val="24"/>
        </w:rPr>
        <w:t xml:space="preserve">(1) </w:t>
      </w:r>
      <w:r w:rsidR="008E1806">
        <w:rPr>
          <w:rFonts w:ascii="Times New Roman" w:hAnsi="Times New Roman" w:cs="Times New Roman"/>
          <w:sz w:val="24"/>
          <w:szCs w:val="24"/>
        </w:rPr>
        <w:t xml:space="preserve">policy deliberations, </w:t>
      </w:r>
      <w:r w:rsidR="002A158E">
        <w:rPr>
          <w:rFonts w:ascii="Times New Roman" w:hAnsi="Times New Roman" w:cs="Times New Roman"/>
          <w:sz w:val="24"/>
          <w:szCs w:val="24"/>
        </w:rPr>
        <w:t xml:space="preserve">(2) </w:t>
      </w:r>
      <w:r w:rsidR="008E1806">
        <w:rPr>
          <w:rFonts w:ascii="Times New Roman" w:hAnsi="Times New Roman" w:cs="Times New Roman"/>
          <w:sz w:val="24"/>
          <w:szCs w:val="24"/>
        </w:rPr>
        <w:t xml:space="preserve">targeted interventions, </w:t>
      </w:r>
      <w:r w:rsidR="002A158E">
        <w:rPr>
          <w:rFonts w:ascii="Times New Roman" w:hAnsi="Times New Roman" w:cs="Times New Roman"/>
          <w:sz w:val="24"/>
          <w:szCs w:val="24"/>
        </w:rPr>
        <w:t xml:space="preserve">(3) </w:t>
      </w:r>
      <w:r w:rsidR="009543DC">
        <w:rPr>
          <w:rFonts w:ascii="Times New Roman" w:hAnsi="Times New Roman" w:cs="Times New Roman"/>
          <w:sz w:val="24"/>
          <w:szCs w:val="24"/>
        </w:rPr>
        <w:t>teacher and principal time</w:t>
      </w:r>
      <w:r w:rsidR="00497800">
        <w:rPr>
          <w:rFonts w:ascii="Times New Roman" w:hAnsi="Times New Roman" w:cs="Times New Roman"/>
          <w:sz w:val="24"/>
          <w:szCs w:val="24"/>
        </w:rPr>
        <w:t>,</w:t>
      </w:r>
      <w:r w:rsidR="009543DC">
        <w:rPr>
          <w:rFonts w:ascii="Times New Roman" w:hAnsi="Times New Roman" w:cs="Times New Roman"/>
          <w:sz w:val="24"/>
          <w:szCs w:val="24"/>
        </w:rPr>
        <w:t xml:space="preserve"> and </w:t>
      </w:r>
      <w:r w:rsidR="002A158E">
        <w:rPr>
          <w:rFonts w:ascii="Times New Roman" w:hAnsi="Times New Roman" w:cs="Times New Roman"/>
          <w:sz w:val="24"/>
          <w:szCs w:val="24"/>
        </w:rPr>
        <w:t xml:space="preserve">(4) </w:t>
      </w:r>
      <w:r w:rsidR="009543DC">
        <w:rPr>
          <w:rFonts w:ascii="Times New Roman" w:hAnsi="Times New Roman" w:cs="Times New Roman"/>
          <w:sz w:val="24"/>
          <w:szCs w:val="24"/>
        </w:rPr>
        <w:t xml:space="preserve">the role of the principal under conditions of autonomy. </w:t>
      </w:r>
      <w:r>
        <w:rPr>
          <w:rFonts w:ascii="Times New Roman" w:hAnsi="Times New Roman" w:cs="Times New Roman"/>
          <w:sz w:val="24"/>
          <w:szCs w:val="24"/>
        </w:rPr>
        <w:t>S</w:t>
      </w:r>
      <w:r w:rsidR="007F04D9">
        <w:rPr>
          <w:rFonts w:ascii="Times New Roman" w:hAnsi="Times New Roman" w:cs="Times New Roman"/>
          <w:sz w:val="24"/>
          <w:szCs w:val="24"/>
        </w:rPr>
        <w:t xml:space="preserve">everal recommendations call for immediate and urgent action. The nation cannot afford to wait another </w:t>
      </w:r>
      <w:r w:rsidR="00AC5D04">
        <w:rPr>
          <w:rFonts w:ascii="Times New Roman" w:hAnsi="Times New Roman" w:cs="Times New Roman"/>
          <w:sz w:val="24"/>
          <w:szCs w:val="24"/>
        </w:rPr>
        <w:t xml:space="preserve">three or so </w:t>
      </w:r>
      <w:r w:rsidR="007F04D9">
        <w:rPr>
          <w:rFonts w:ascii="Times New Roman" w:hAnsi="Times New Roman" w:cs="Times New Roman"/>
          <w:sz w:val="24"/>
          <w:szCs w:val="24"/>
        </w:rPr>
        <w:t xml:space="preserve">years before findings of related projects are released and implementation </w:t>
      </w:r>
      <w:r w:rsidR="00AC5D04">
        <w:rPr>
          <w:rFonts w:ascii="Times New Roman" w:hAnsi="Times New Roman" w:cs="Times New Roman"/>
          <w:sz w:val="24"/>
          <w:szCs w:val="24"/>
        </w:rPr>
        <w:t>gets</w:t>
      </w:r>
      <w:r w:rsidR="007F04D9">
        <w:rPr>
          <w:rFonts w:ascii="Times New Roman" w:hAnsi="Times New Roman" w:cs="Times New Roman"/>
          <w:sz w:val="24"/>
          <w:szCs w:val="24"/>
        </w:rPr>
        <w:t xml:space="preserve"> underway.</w:t>
      </w:r>
    </w:p>
    <w:p w14:paraId="09842471" w14:textId="11CC8851" w:rsidR="007F04D9" w:rsidRPr="00565F53" w:rsidRDefault="007F04D9" w:rsidP="006B4B93">
      <w:pPr>
        <w:spacing w:before="120"/>
        <w:jc w:val="both"/>
        <w:rPr>
          <w:rFonts w:ascii="Times New Roman" w:hAnsi="Times New Roman" w:cs="Times New Roman"/>
          <w:sz w:val="24"/>
          <w:szCs w:val="24"/>
        </w:rPr>
      </w:pPr>
      <w:r>
        <w:rPr>
          <w:rFonts w:ascii="Times New Roman" w:hAnsi="Times New Roman" w:cs="Times New Roman"/>
          <w:sz w:val="24"/>
          <w:szCs w:val="24"/>
        </w:rPr>
        <w:tab/>
        <w:t xml:space="preserve">It is acknowledged that the </w:t>
      </w:r>
      <w:r w:rsidR="00AA2B0E">
        <w:rPr>
          <w:rFonts w:ascii="Times New Roman" w:hAnsi="Times New Roman" w:cs="Times New Roman"/>
          <w:sz w:val="24"/>
          <w:szCs w:val="24"/>
        </w:rPr>
        <w:t>Productivity Commission is concerne</w:t>
      </w:r>
      <w:r>
        <w:rPr>
          <w:rFonts w:ascii="Times New Roman" w:hAnsi="Times New Roman" w:cs="Times New Roman"/>
          <w:sz w:val="24"/>
          <w:szCs w:val="24"/>
        </w:rPr>
        <w:t>d</w:t>
      </w:r>
      <w:r w:rsidR="00AA2B0E">
        <w:rPr>
          <w:rFonts w:ascii="Times New Roman" w:hAnsi="Times New Roman" w:cs="Times New Roman"/>
          <w:sz w:val="24"/>
          <w:szCs w:val="24"/>
        </w:rPr>
        <w:t>, a</w:t>
      </w:r>
      <w:r w:rsidR="005F10F6">
        <w:rPr>
          <w:rFonts w:ascii="Times New Roman" w:hAnsi="Times New Roman" w:cs="Times New Roman"/>
          <w:sz w:val="24"/>
          <w:szCs w:val="24"/>
        </w:rPr>
        <w:t>mong</w:t>
      </w:r>
      <w:r w:rsidR="00AA2B0E">
        <w:rPr>
          <w:rFonts w:ascii="Times New Roman" w:hAnsi="Times New Roman" w:cs="Times New Roman"/>
          <w:sz w:val="24"/>
          <w:szCs w:val="24"/>
        </w:rPr>
        <w:t xml:space="preserve"> other matters,</w:t>
      </w:r>
      <w:r>
        <w:rPr>
          <w:rFonts w:ascii="Times New Roman" w:hAnsi="Times New Roman" w:cs="Times New Roman"/>
          <w:sz w:val="24"/>
          <w:szCs w:val="24"/>
        </w:rPr>
        <w:t xml:space="preserve"> with the outcomes of actions taken in the current </w:t>
      </w:r>
      <w:r w:rsidR="005F10F6">
        <w:rPr>
          <w:rFonts w:ascii="Times New Roman" w:hAnsi="Times New Roman" w:cs="Times New Roman"/>
          <w:sz w:val="24"/>
          <w:szCs w:val="24"/>
        </w:rPr>
        <w:t>National School Reform Agreement (</w:t>
      </w:r>
      <w:r>
        <w:rPr>
          <w:rFonts w:ascii="Times New Roman" w:hAnsi="Times New Roman" w:cs="Times New Roman"/>
          <w:sz w:val="24"/>
          <w:szCs w:val="24"/>
        </w:rPr>
        <w:t>NSRA</w:t>
      </w:r>
      <w:r w:rsidR="005F10F6">
        <w:rPr>
          <w:rFonts w:ascii="Times New Roman" w:hAnsi="Times New Roman" w:cs="Times New Roman"/>
          <w:sz w:val="24"/>
          <w:szCs w:val="24"/>
        </w:rPr>
        <w:t xml:space="preserve">) </w:t>
      </w:r>
      <w:r>
        <w:rPr>
          <w:rFonts w:ascii="Times New Roman" w:hAnsi="Times New Roman" w:cs="Times New Roman"/>
          <w:sz w:val="24"/>
          <w:szCs w:val="24"/>
        </w:rPr>
        <w:t>and recommendations for the next agreement. The context is deeply concerning, namely, that outcomes for students have flatlined or declined despite what states and territories have agreed to do</w:t>
      </w:r>
      <w:r w:rsidR="0081122B">
        <w:rPr>
          <w:rFonts w:ascii="Times New Roman" w:hAnsi="Times New Roman" w:cs="Times New Roman"/>
          <w:sz w:val="24"/>
          <w:szCs w:val="24"/>
        </w:rPr>
        <w:t>.</w:t>
      </w:r>
      <w:r w:rsidR="005B2075">
        <w:rPr>
          <w:rFonts w:ascii="Times New Roman" w:hAnsi="Times New Roman" w:cs="Times New Roman"/>
          <w:sz w:val="24"/>
          <w:szCs w:val="24"/>
        </w:rPr>
        <w:t xml:space="preserve"> There has been “little impact”</w:t>
      </w:r>
      <w:r w:rsidR="00DB5A72">
        <w:rPr>
          <w:rFonts w:ascii="Times New Roman" w:hAnsi="Times New Roman" w:cs="Times New Roman"/>
          <w:sz w:val="24"/>
          <w:szCs w:val="24"/>
        </w:rPr>
        <w:t xml:space="preserve"> of the current agreement</w:t>
      </w:r>
      <w:r w:rsidR="00A6109E">
        <w:rPr>
          <w:rFonts w:ascii="Times New Roman" w:hAnsi="Times New Roman" w:cs="Times New Roman"/>
          <w:sz w:val="24"/>
          <w:szCs w:val="24"/>
        </w:rPr>
        <w:t>.</w:t>
      </w:r>
      <w:r w:rsidR="005B2075">
        <w:rPr>
          <w:rFonts w:ascii="Times New Roman" w:hAnsi="Times New Roman" w:cs="Times New Roman"/>
          <w:sz w:val="24"/>
          <w:szCs w:val="24"/>
        </w:rPr>
        <w:t xml:space="preserve"> (Productivity Commission, 2022, p. 7)</w:t>
      </w:r>
    </w:p>
    <w:p w14:paraId="33F8BAEB" w14:textId="42AF1A8B" w:rsidR="00656CC6" w:rsidRPr="002A158E" w:rsidRDefault="00037965" w:rsidP="002A158E">
      <w:pPr>
        <w:pStyle w:val="ListParagraph"/>
        <w:numPr>
          <w:ilvl w:val="0"/>
          <w:numId w:val="28"/>
        </w:numPr>
        <w:spacing w:before="120" w:after="120"/>
        <w:jc w:val="both"/>
        <w:rPr>
          <w:rFonts w:ascii="Times New Roman" w:hAnsi="Times New Roman" w:cs="Times New Roman"/>
          <w:b/>
          <w:bCs/>
          <w:sz w:val="24"/>
          <w:szCs w:val="24"/>
        </w:rPr>
      </w:pPr>
      <w:r w:rsidRPr="002A158E">
        <w:rPr>
          <w:rFonts w:ascii="Times New Roman" w:hAnsi="Times New Roman" w:cs="Times New Roman"/>
          <w:b/>
          <w:bCs/>
          <w:sz w:val="24"/>
          <w:szCs w:val="24"/>
        </w:rPr>
        <w:t>POLICY DELIBERATIONS</w:t>
      </w:r>
    </w:p>
    <w:p w14:paraId="29E74C0C" w14:textId="161ACB75" w:rsidR="001A6F48" w:rsidRPr="00771C84" w:rsidRDefault="001A6F48" w:rsidP="00037965">
      <w:pPr>
        <w:spacing w:after="120"/>
        <w:jc w:val="both"/>
        <w:rPr>
          <w:rFonts w:ascii="Times New Roman" w:hAnsi="Times New Roman" w:cs="Times New Roman"/>
          <w:i/>
          <w:iCs/>
          <w:sz w:val="24"/>
          <w:szCs w:val="24"/>
        </w:rPr>
      </w:pPr>
      <w:r w:rsidRPr="00A23E3C">
        <w:rPr>
          <w:rFonts w:ascii="Times New Roman" w:hAnsi="Times New Roman" w:cs="Times New Roman"/>
          <w:i/>
          <w:iCs/>
          <w:sz w:val="24"/>
          <w:szCs w:val="24"/>
        </w:rPr>
        <w:t>Interim Report</w:t>
      </w:r>
    </w:p>
    <w:p w14:paraId="0E65D79F" w14:textId="74E149A2" w:rsidR="00FA1DD9" w:rsidRPr="00A23E3C" w:rsidRDefault="00FA1DD9" w:rsidP="00037965">
      <w:pPr>
        <w:spacing w:after="120"/>
        <w:ind w:left="720"/>
        <w:jc w:val="both"/>
        <w:rPr>
          <w:rFonts w:ascii="Times New Roman" w:hAnsi="Times New Roman" w:cs="Times New Roman"/>
        </w:rPr>
      </w:pPr>
      <w:r w:rsidRPr="00A23E3C">
        <w:rPr>
          <w:rFonts w:ascii="Times New Roman" w:hAnsi="Times New Roman" w:cs="Times New Roman"/>
        </w:rPr>
        <w:t>A key challenge in lifting school performance is that policy deliberations — including as part of intergovernmental agreements — can be far removed from the daily realities of classrooms, teachers and students. A theme of this report is the need for the next NSRA to move beyond system architecture and drive real improvements on the ground. To be successful, the NSRA will need to close the distance between national policy making and classroom practice. Each should inform the other — with teachers and school leaders influencing policy, and evidence-based approaches gaining more traction in schools and classrooms. (Productivity Commission, 2022, p. 22)</w:t>
      </w:r>
    </w:p>
    <w:p w14:paraId="50FACDD5" w14:textId="5D2AF3E7" w:rsidR="001A6F48" w:rsidRPr="00771C84" w:rsidRDefault="001A6F48" w:rsidP="00037965">
      <w:pPr>
        <w:spacing w:after="120"/>
        <w:jc w:val="both"/>
        <w:rPr>
          <w:rFonts w:ascii="Times New Roman" w:hAnsi="Times New Roman" w:cs="Times New Roman"/>
          <w:i/>
          <w:iCs/>
        </w:rPr>
      </w:pPr>
      <w:r w:rsidRPr="00A23E3C">
        <w:rPr>
          <w:rFonts w:ascii="Times New Roman" w:hAnsi="Times New Roman" w:cs="Times New Roman"/>
          <w:i/>
          <w:iCs/>
        </w:rPr>
        <w:t>Response</w:t>
      </w:r>
    </w:p>
    <w:p w14:paraId="14BF4ECA" w14:textId="534ED33C" w:rsidR="00656CC6" w:rsidRPr="00A23E3C" w:rsidRDefault="0032354B" w:rsidP="00037965">
      <w:pPr>
        <w:spacing w:after="120"/>
        <w:jc w:val="both"/>
        <w:rPr>
          <w:rFonts w:ascii="Times New Roman" w:hAnsi="Times New Roman" w:cs="Times New Roman"/>
        </w:rPr>
      </w:pPr>
      <w:r w:rsidRPr="00A23E3C">
        <w:rPr>
          <w:rFonts w:ascii="Times New Roman" w:hAnsi="Times New Roman" w:cs="Times New Roman"/>
        </w:rPr>
        <w:t>I consider this to be one of the most important statements in the Interim Report and endorse without reservation the view that “the NSRA will need to close the distance between national policy making and classroom practice</w:t>
      </w:r>
      <w:r w:rsidR="00FC51BD">
        <w:rPr>
          <w:rFonts w:ascii="Times New Roman" w:hAnsi="Times New Roman" w:cs="Times New Roman"/>
        </w:rPr>
        <w:t>,</w:t>
      </w:r>
      <w:r w:rsidR="00AC5D04">
        <w:rPr>
          <w:rFonts w:ascii="Times New Roman" w:hAnsi="Times New Roman" w:cs="Times New Roman"/>
        </w:rPr>
        <w:t>”</w:t>
      </w:r>
      <w:r w:rsidR="00AA2B0E">
        <w:rPr>
          <w:rFonts w:ascii="Times New Roman" w:hAnsi="Times New Roman" w:cs="Times New Roman"/>
        </w:rPr>
        <w:t xml:space="preserve"> </w:t>
      </w:r>
      <w:r w:rsidR="00FC51BD">
        <w:rPr>
          <w:rFonts w:ascii="Times New Roman" w:hAnsi="Times New Roman" w:cs="Times New Roman"/>
        </w:rPr>
        <w:t xml:space="preserve">hence the title of this response. </w:t>
      </w:r>
      <w:r w:rsidR="00AC5D04">
        <w:rPr>
          <w:rFonts w:ascii="Times New Roman" w:hAnsi="Times New Roman" w:cs="Times New Roman"/>
        </w:rPr>
        <w:t>Taking up</w:t>
      </w:r>
      <w:r w:rsidR="00AA2B0E">
        <w:rPr>
          <w:rFonts w:ascii="Times New Roman" w:hAnsi="Times New Roman" w:cs="Times New Roman"/>
        </w:rPr>
        <w:t xml:space="preserve"> this challenge is key to improving outcomes for students, and Sections 2-4 below endorse and propose particular ways of achieving that </w:t>
      </w:r>
      <w:r w:rsidR="00AC5D04">
        <w:rPr>
          <w:rFonts w:ascii="Times New Roman" w:hAnsi="Times New Roman" w:cs="Times New Roman"/>
        </w:rPr>
        <w:t xml:space="preserve">end. </w:t>
      </w:r>
    </w:p>
    <w:p w14:paraId="550E3826" w14:textId="61BE15BC" w:rsidR="00656CC6" w:rsidRPr="00946C38" w:rsidRDefault="00037965" w:rsidP="002A158E">
      <w:pPr>
        <w:pStyle w:val="ListParagraph"/>
        <w:numPr>
          <w:ilvl w:val="0"/>
          <w:numId w:val="28"/>
        </w:numPr>
        <w:spacing w:before="120"/>
        <w:jc w:val="both"/>
        <w:rPr>
          <w:rFonts w:ascii="Times New Roman" w:hAnsi="Times New Roman" w:cs="Times New Roman"/>
          <w:b/>
          <w:bCs/>
          <w:sz w:val="24"/>
          <w:szCs w:val="24"/>
        </w:rPr>
      </w:pPr>
      <w:r w:rsidRPr="00946C38">
        <w:rPr>
          <w:rFonts w:ascii="Times New Roman" w:hAnsi="Times New Roman" w:cs="Times New Roman"/>
          <w:b/>
          <w:bCs/>
          <w:sz w:val="24"/>
          <w:szCs w:val="24"/>
        </w:rPr>
        <w:t>TARGETED INTERVENTIONS</w:t>
      </w:r>
    </w:p>
    <w:p w14:paraId="4CB49F0A" w14:textId="77777777" w:rsidR="00C36F8C" w:rsidRPr="00A23E3C" w:rsidRDefault="001A6F48" w:rsidP="006B4B93">
      <w:pPr>
        <w:spacing w:before="120"/>
        <w:jc w:val="both"/>
        <w:rPr>
          <w:rFonts w:ascii="Times New Roman" w:hAnsi="Times New Roman" w:cs="Times New Roman"/>
          <w:i/>
          <w:iCs/>
        </w:rPr>
      </w:pPr>
      <w:r w:rsidRPr="00A23E3C">
        <w:rPr>
          <w:rFonts w:ascii="Times New Roman" w:hAnsi="Times New Roman" w:cs="Times New Roman"/>
          <w:i/>
          <w:iCs/>
        </w:rPr>
        <w:t>Interim Report</w:t>
      </w:r>
    </w:p>
    <w:p w14:paraId="3FD9F2DC" w14:textId="484623BE" w:rsidR="00CA45D5" w:rsidRPr="00A23E3C" w:rsidRDefault="00CA45D5" w:rsidP="005F10F6">
      <w:pPr>
        <w:spacing w:before="120" w:after="120"/>
        <w:ind w:left="720"/>
        <w:jc w:val="both"/>
        <w:rPr>
          <w:rFonts w:ascii="Times New Roman" w:hAnsi="Times New Roman" w:cs="Times New Roman"/>
          <w:i/>
          <w:iCs/>
        </w:rPr>
      </w:pPr>
      <w:r w:rsidRPr="00A23E3C">
        <w:rPr>
          <w:rFonts w:ascii="Times New Roman" w:hAnsi="Times New Roman" w:cs="Times New Roman"/>
        </w:rPr>
        <w:t>Research suggests that targeted interventions are effective, particularly small group or one-to-one tuition. Intensive, targeted support allows the teacher to focus on the needs of a small number of learners, providing teaching that is closely matched to pupil understanding and opportunities for greater levels of interaction and feedback. International evidence from two high performing nations — Finland and Singapore — shows that small group tuition can improve learning by around four months over one or two school terms. (Productivity Commission, 2022, p. 81 citing a submission from AERO</w:t>
      </w:r>
      <w:r w:rsidR="00C36F8C" w:rsidRPr="00A23E3C">
        <w:rPr>
          <w:rFonts w:ascii="Times New Roman" w:hAnsi="Times New Roman" w:cs="Times New Roman"/>
        </w:rPr>
        <w:t>)</w:t>
      </w:r>
    </w:p>
    <w:p w14:paraId="21D1E3B8" w14:textId="65768687" w:rsidR="00CA45D5" w:rsidRPr="00A23E3C" w:rsidRDefault="001A6F48" w:rsidP="00037965">
      <w:pPr>
        <w:spacing w:after="120"/>
        <w:jc w:val="both"/>
        <w:rPr>
          <w:rFonts w:ascii="Times New Roman" w:hAnsi="Times New Roman" w:cs="Times New Roman"/>
          <w:i/>
          <w:iCs/>
          <w:sz w:val="24"/>
          <w:szCs w:val="24"/>
        </w:rPr>
      </w:pPr>
      <w:r w:rsidRPr="00A23E3C">
        <w:rPr>
          <w:rFonts w:ascii="Times New Roman" w:hAnsi="Times New Roman" w:cs="Times New Roman"/>
          <w:i/>
          <w:iCs/>
          <w:sz w:val="24"/>
          <w:szCs w:val="24"/>
        </w:rPr>
        <w:t>Response</w:t>
      </w:r>
    </w:p>
    <w:p w14:paraId="6339D7EB" w14:textId="447C0F1F" w:rsidR="00C4642E" w:rsidRDefault="00C36F8C" w:rsidP="00037965">
      <w:pPr>
        <w:spacing w:after="120"/>
        <w:jc w:val="both"/>
        <w:rPr>
          <w:rFonts w:ascii="Times New Roman" w:hAnsi="Times New Roman" w:cs="Times New Roman"/>
          <w:sz w:val="24"/>
          <w:szCs w:val="24"/>
        </w:rPr>
      </w:pPr>
      <w:r w:rsidRPr="00A23E3C">
        <w:rPr>
          <w:rFonts w:ascii="Times New Roman" w:hAnsi="Times New Roman" w:cs="Times New Roman"/>
          <w:sz w:val="24"/>
          <w:szCs w:val="24"/>
        </w:rPr>
        <w:t>This statement has important implications for the next NSRA and i</w:t>
      </w:r>
      <w:r w:rsidR="00284AB7" w:rsidRPr="00A23E3C">
        <w:rPr>
          <w:rFonts w:ascii="Times New Roman" w:hAnsi="Times New Roman" w:cs="Times New Roman"/>
          <w:sz w:val="24"/>
          <w:szCs w:val="24"/>
        </w:rPr>
        <w:t>s</w:t>
      </w:r>
      <w:r w:rsidRPr="00A23E3C">
        <w:rPr>
          <w:rFonts w:ascii="Times New Roman" w:hAnsi="Times New Roman" w:cs="Times New Roman"/>
          <w:sz w:val="24"/>
          <w:szCs w:val="24"/>
        </w:rPr>
        <w:t xml:space="preserve"> an example of how </w:t>
      </w:r>
      <w:r w:rsidR="00C4642E">
        <w:rPr>
          <w:rFonts w:ascii="Times New Roman" w:hAnsi="Times New Roman" w:cs="Times New Roman"/>
          <w:sz w:val="24"/>
          <w:szCs w:val="24"/>
        </w:rPr>
        <w:t xml:space="preserve">the gap between national policymaking and </w:t>
      </w:r>
      <w:r w:rsidR="00FC51BD">
        <w:rPr>
          <w:rFonts w:ascii="Times New Roman" w:hAnsi="Times New Roman" w:cs="Times New Roman"/>
          <w:sz w:val="24"/>
          <w:szCs w:val="24"/>
        </w:rPr>
        <w:t>classroom practice</w:t>
      </w:r>
      <w:r w:rsidR="00C4642E">
        <w:rPr>
          <w:rFonts w:ascii="Times New Roman" w:hAnsi="Times New Roman" w:cs="Times New Roman"/>
          <w:sz w:val="24"/>
          <w:szCs w:val="24"/>
        </w:rPr>
        <w:t xml:space="preserve"> should be addressed</w:t>
      </w:r>
      <w:r w:rsidRPr="00A23E3C">
        <w:rPr>
          <w:rFonts w:ascii="Times New Roman" w:hAnsi="Times New Roman" w:cs="Times New Roman"/>
          <w:sz w:val="24"/>
          <w:szCs w:val="24"/>
        </w:rPr>
        <w:t xml:space="preserve">. </w:t>
      </w:r>
      <w:r w:rsidR="00775CAD" w:rsidRPr="00A23E3C">
        <w:rPr>
          <w:rFonts w:ascii="Times New Roman" w:hAnsi="Times New Roman" w:cs="Times New Roman"/>
          <w:sz w:val="24"/>
          <w:szCs w:val="24"/>
        </w:rPr>
        <w:t xml:space="preserve">Part </w:t>
      </w:r>
      <w:r w:rsidR="001D7EC4" w:rsidRPr="00A23E3C">
        <w:rPr>
          <w:rFonts w:ascii="Times New Roman" w:hAnsi="Times New Roman" w:cs="Times New Roman"/>
          <w:sz w:val="24"/>
          <w:szCs w:val="24"/>
        </w:rPr>
        <w:t xml:space="preserve">A(ii) among the </w:t>
      </w:r>
      <w:r w:rsidR="001D7EC4" w:rsidRPr="00A23E3C">
        <w:rPr>
          <w:rFonts w:ascii="Times New Roman" w:hAnsi="Times New Roman" w:cs="Times New Roman"/>
          <w:sz w:val="24"/>
          <w:szCs w:val="24"/>
        </w:rPr>
        <w:lastRenderedPageBreak/>
        <w:t>agreed National Policy Initiativ</w:t>
      </w:r>
      <w:r w:rsidR="002F4DAC" w:rsidRPr="00A23E3C">
        <w:rPr>
          <w:rFonts w:ascii="Times New Roman" w:hAnsi="Times New Roman" w:cs="Times New Roman"/>
          <w:sz w:val="24"/>
          <w:szCs w:val="24"/>
        </w:rPr>
        <w:t xml:space="preserve">es </w:t>
      </w:r>
      <w:r w:rsidR="008222EA" w:rsidRPr="00A23E3C">
        <w:rPr>
          <w:rFonts w:ascii="Times New Roman" w:hAnsi="Times New Roman" w:cs="Times New Roman"/>
          <w:sz w:val="24"/>
          <w:szCs w:val="24"/>
        </w:rPr>
        <w:t xml:space="preserve"> (NPI</w:t>
      </w:r>
      <w:r w:rsidR="00FC51BD">
        <w:rPr>
          <w:rFonts w:ascii="Times New Roman" w:hAnsi="Times New Roman" w:cs="Times New Roman"/>
          <w:sz w:val="24"/>
          <w:szCs w:val="24"/>
        </w:rPr>
        <w:t>s</w:t>
      </w:r>
      <w:r w:rsidR="008222EA" w:rsidRPr="00A23E3C">
        <w:rPr>
          <w:rFonts w:ascii="Times New Roman" w:hAnsi="Times New Roman" w:cs="Times New Roman"/>
          <w:sz w:val="24"/>
          <w:szCs w:val="24"/>
        </w:rPr>
        <w:t>)</w:t>
      </w:r>
      <w:r w:rsidR="00D04C0C" w:rsidRPr="00A23E3C">
        <w:rPr>
          <w:rFonts w:ascii="Times New Roman" w:hAnsi="Times New Roman" w:cs="Times New Roman"/>
          <w:sz w:val="24"/>
          <w:szCs w:val="24"/>
        </w:rPr>
        <w:t xml:space="preserve"> </w:t>
      </w:r>
      <w:r w:rsidR="002F4DAC" w:rsidRPr="00A23E3C">
        <w:rPr>
          <w:rFonts w:ascii="Times New Roman" w:hAnsi="Times New Roman" w:cs="Times New Roman"/>
          <w:sz w:val="24"/>
          <w:szCs w:val="24"/>
        </w:rPr>
        <w:t xml:space="preserve">in the current NSRA calls for </w:t>
      </w:r>
      <w:r w:rsidR="00C4642E">
        <w:rPr>
          <w:rFonts w:ascii="Times New Roman" w:hAnsi="Times New Roman" w:cs="Times New Roman"/>
          <w:sz w:val="24"/>
          <w:szCs w:val="24"/>
        </w:rPr>
        <w:t>s</w:t>
      </w:r>
      <w:r w:rsidR="002F4DAC" w:rsidRPr="00A23E3C">
        <w:rPr>
          <w:rFonts w:ascii="Times New Roman" w:hAnsi="Times New Roman" w:cs="Times New Roman"/>
          <w:sz w:val="24"/>
          <w:szCs w:val="24"/>
        </w:rPr>
        <w:t xml:space="preserve">tates and </w:t>
      </w:r>
      <w:r w:rsidR="00C4642E">
        <w:rPr>
          <w:rFonts w:ascii="Times New Roman" w:hAnsi="Times New Roman" w:cs="Times New Roman"/>
          <w:sz w:val="24"/>
          <w:szCs w:val="24"/>
        </w:rPr>
        <w:t>t</w:t>
      </w:r>
      <w:r w:rsidR="002F4DAC" w:rsidRPr="00A23E3C">
        <w:rPr>
          <w:rFonts w:ascii="Times New Roman" w:hAnsi="Times New Roman" w:cs="Times New Roman"/>
          <w:sz w:val="24"/>
          <w:szCs w:val="24"/>
        </w:rPr>
        <w:t>erritories to “Ass</w:t>
      </w:r>
      <w:r w:rsidR="00A408BB" w:rsidRPr="00A23E3C">
        <w:rPr>
          <w:rFonts w:ascii="Times New Roman" w:hAnsi="Times New Roman" w:cs="Times New Roman"/>
          <w:sz w:val="24"/>
          <w:szCs w:val="24"/>
        </w:rPr>
        <w:t>is</w:t>
      </w:r>
      <w:r w:rsidR="002F4DAC" w:rsidRPr="00A23E3C">
        <w:rPr>
          <w:rFonts w:ascii="Times New Roman" w:hAnsi="Times New Roman" w:cs="Times New Roman"/>
          <w:sz w:val="24"/>
          <w:szCs w:val="24"/>
        </w:rPr>
        <w:t xml:space="preserve">t teachers to monitor individual student progress and identify students learning needs through opt-in online and on demand learning assessment tools with links to student learning resources, prioritising early years foundational skills.” </w:t>
      </w:r>
    </w:p>
    <w:p w14:paraId="1DC3FC7A" w14:textId="792A7C9C" w:rsidR="00C36F8C" w:rsidRPr="00C4642E" w:rsidRDefault="002F4DAC" w:rsidP="00037965">
      <w:pPr>
        <w:spacing w:after="120"/>
        <w:ind w:firstLine="720"/>
        <w:jc w:val="both"/>
        <w:rPr>
          <w:rFonts w:ascii="Times New Roman" w:hAnsi="Times New Roman" w:cs="Times New Roman"/>
          <w:sz w:val="24"/>
          <w:szCs w:val="24"/>
        </w:rPr>
      </w:pPr>
      <w:r w:rsidRPr="00A23E3C">
        <w:rPr>
          <w:rFonts w:ascii="Times New Roman" w:hAnsi="Times New Roman" w:cs="Times New Roman"/>
          <w:sz w:val="24"/>
          <w:szCs w:val="24"/>
        </w:rPr>
        <w:t>The Interim Report notes that the opt-in online and on demand assessment tools</w:t>
      </w:r>
      <w:r w:rsidR="0078023D" w:rsidRPr="00A23E3C">
        <w:rPr>
          <w:rFonts w:ascii="Times New Roman" w:hAnsi="Times New Roman" w:cs="Times New Roman"/>
          <w:sz w:val="24"/>
          <w:szCs w:val="24"/>
        </w:rPr>
        <w:t xml:space="preserve"> </w:t>
      </w:r>
      <w:r w:rsidR="00DA25FC" w:rsidRPr="00A23E3C">
        <w:rPr>
          <w:rFonts w:ascii="Times New Roman" w:hAnsi="Times New Roman" w:cs="Times New Roman"/>
          <w:sz w:val="24"/>
          <w:szCs w:val="24"/>
        </w:rPr>
        <w:t xml:space="preserve">(the online formative assessment initiative </w:t>
      </w:r>
      <w:r w:rsidR="00A408BB" w:rsidRPr="00A23E3C">
        <w:rPr>
          <w:rFonts w:ascii="Times New Roman" w:hAnsi="Times New Roman" w:cs="Times New Roman"/>
          <w:sz w:val="24"/>
          <w:szCs w:val="24"/>
        </w:rPr>
        <w:t>[</w:t>
      </w:r>
      <w:r w:rsidR="00DA25FC" w:rsidRPr="00A23E3C">
        <w:rPr>
          <w:rFonts w:ascii="Times New Roman" w:hAnsi="Times New Roman" w:cs="Times New Roman"/>
          <w:sz w:val="24"/>
          <w:szCs w:val="24"/>
        </w:rPr>
        <w:t>OFAI</w:t>
      </w:r>
      <w:r w:rsidR="00A408BB" w:rsidRPr="00A23E3C">
        <w:rPr>
          <w:rFonts w:ascii="Times New Roman" w:hAnsi="Times New Roman" w:cs="Times New Roman"/>
          <w:sz w:val="24"/>
          <w:szCs w:val="24"/>
        </w:rPr>
        <w:t>]</w:t>
      </w:r>
      <w:r w:rsidR="00DA25FC" w:rsidRPr="00A23E3C">
        <w:rPr>
          <w:rFonts w:ascii="Times New Roman" w:hAnsi="Times New Roman" w:cs="Times New Roman"/>
        </w:rPr>
        <w:t xml:space="preserve"> </w:t>
      </w:r>
      <w:r w:rsidR="00A408BB" w:rsidRPr="00A23E3C">
        <w:rPr>
          <w:rFonts w:ascii="Times New Roman" w:hAnsi="Times New Roman" w:cs="Times New Roman"/>
        </w:rPr>
        <w:t>ha</w:t>
      </w:r>
      <w:r w:rsidR="00E825AF">
        <w:rPr>
          <w:rFonts w:ascii="Times New Roman" w:hAnsi="Times New Roman" w:cs="Times New Roman"/>
        </w:rPr>
        <w:t>ve</w:t>
      </w:r>
      <w:r w:rsidR="00A408BB" w:rsidRPr="00A23E3C">
        <w:rPr>
          <w:rFonts w:ascii="Times New Roman" w:hAnsi="Times New Roman" w:cs="Times New Roman"/>
        </w:rPr>
        <w:t xml:space="preserve"> not been implemented </w:t>
      </w:r>
      <w:r w:rsidR="00DA25FC" w:rsidRPr="00A23E3C">
        <w:rPr>
          <w:rFonts w:ascii="Times New Roman" w:hAnsi="Times New Roman" w:cs="Times New Roman"/>
        </w:rPr>
        <w:t xml:space="preserve">(p. 7 and Attachment </w:t>
      </w:r>
      <w:r w:rsidR="00A408BB" w:rsidRPr="00A23E3C">
        <w:rPr>
          <w:rFonts w:ascii="Times New Roman" w:hAnsi="Times New Roman" w:cs="Times New Roman"/>
        </w:rPr>
        <w:t>C</w:t>
      </w:r>
      <w:r w:rsidR="00DA25FC" w:rsidRPr="00A23E3C">
        <w:rPr>
          <w:rFonts w:ascii="Times New Roman" w:hAnsi="Times New Roman" w:cs="Times New Roman"/>
        </w:rPr>
        <w:t>).</w:t>
      </w:r>
      <w:r w:rsidR="00A408BB" w:rsidRPr="00A23E3C">
        <w:rPr>
          <w:rFonts w:ascii="Times New Roman" w:hAnsi="Times New Roman" w:cs="Times New Roman"/>
        </w:rPr>
        <w:t xml:space="preserve"> The Interim Report canvasse</w:t>
      </w:r>
      <w:r w:rsidR="001A4105">
        <w:rPr>
          <w:rFonts w:ascii="Times New Roman" w:hAnsi="Times New Roman" w:cs="Times New Roman"/>
        </w:rPr>
        <w:t>d</w:t>
      </w:r>
      <w:r w:rsidR="00A408BB" w:rsidRPr="00A23E3C">
        <w:rPr>
          <w:rFonts w:ascii="Times New Roman" w:hAnsi="Times New Roman" w:cs="Times New Roman"/>
        </w:rPr>
        <w:t xml:space="preserve"> in Attachment C whether there is commitment to and need for a national initiative.</w:t>
      </w:r>
      <w:r w:rsidR="00B22311">
        <w:rPr>
          <w:rFonts w:ascii="Times New Roman" w:hAnsi="Times New Roman" w:cs="Times New Roman"/>
        </w:rPr>
        <w:t xml:space="preserve"> Expressed bluntly, is it worth the effort?</w:t>
      </w:r>
    </w:p>
    <w:p w14:paraId="0F695B30" w14:textId="52D53FAA" w:rsidR="00A408BB" w:rsidRPr="00A23E3C" w:rsidRDefault="00A408BB" w:rsidP="00037965">
      <w:pPr>
        <w:spacing w:after="120"/>
        <w:jc w:val="both"/>
        <w:rPr>
          <w:rFonts w:ascii="Times New Roman" w:hAnsi="Times New Roman" w:cs="Times New Roman"/>
          <w:sz w:val="24"/>
          <w:szCs w:val="24"/>
        </w:rPr>
      </w:pPr>
      <w:r w:rsidRPr="00A23E3C">
        <w:rPr>
          <w:rFonts w:ascii="Times New Roman" w:hAnsi="Times New Roman" w:cs="Times New Roman"/>
        </w:rPr>
        <w:tab/>
        <w:t>However, there is a fundamental issue arising from the first words in the NPI A</w:t>
      </w:r>
      <w:r w:rsidR="008222EA" w:rsidRPr="00A23E3C">
        <w:rPr>
          <w:rFonts w:ascii="Times New Roman" w:hAnsi="Times New Roman" w:cs="Times New Roman"/>
        </w:rPr>
        <w:t>(</w:t>
      </w:r>
      <w:r w:rsidRPr="00A23E3C">
        <w:rPr>
          <w:rFonts w:ascii="Times New Roman" w:hAnsi="Times New Roman" w:cs="Times New Roman"/>
        </w:rPr>
        <w:t xml:space="preserve">ii) cited above: </w:t>
      </w:r>
      <w:r w:rsidR="008222EA" w:rsidRPr="00A23E3C">
        <w:rPr>
          <w:rFonts w:ascii="Times New Roman" w:hAnsi="Times New Roman" w:cs="Times New Roman"/>
        </w:rPr>
        <w:t>“</w:t>
      </w:r>
      <w:r w:rsidR="008222EA" w:rsidRPr="00A23E3C">
        <w:rPr>
          <w:rFonts w:ascii="Times New Roman" w:hAnsi="Times New Roman" w:cs="Times New Roman"/>
          <w:sz w:val="24"/>
          <w:szCs w:val="24"/>
        </w:rPr>
        <w:t>Assist teachers to monitor individual student progress and identify students learning needs.”</w:t>
      </w:r>
      <w:r w:rsidR="00284AB7" w:rsidRPr="00A23E3C">
        <w:rPr>
          <w:rFonts w:ascii="Times New Roman" w:hAnsi="Times New Roman" w:cs="Times New Roman"/>
          <w:sz w:val="24"/>
          <w:szCs w:val="24"/>
        </w:rPr>
        <w:t xml:space="preserve"> Are jurisdictions aware of the number of schools that have the capacity to do this and are using this capacity to good effect as far as student achievement is concerned</w:t>
      </w:r>
      <w:r w:rsidR="00FD1B55" w:rsidRPr="00A23E3C">
        <w:rPr>
          <w:rFonts w:ascii="Times New Roman" w:hAnsi="Times New Roman" w:cs="Times New Roman"/>
          <w:sz w:val="24"/>
          <w:szCs w:val="24"/>
        </w:rPr>
        <w:t>?</w:t>
      </w:r>
      <w:r w:rsidR="00284AB7" w:rsidRPr="00A23E3C">
        <w:rPr>
          <w:rFonts w:ascii="Times New Roman" w:hAnsi="Times New Roman" w:cs="Times New Roman"/>
          <w:sz w:val="24"/>
          <w:szCs w:val="24"/>
        </w:rPr>
        <w:t xml:space="preserve"> Schools do not need </w:t>
      </w:r>
      <w:r w:rsidR="00FD1B55" w:rsidRPr="00A23E3C">
        <w:rPr>
          <w:rFonts w:ascii="Times New Roman" w:hAnsi="Times New Roman" w:cs="Times New Roman"/>
          <w:sz w:val="24"/>
          <w:szCs w:val="24"/>
        </w:rPr>
        <w:t>O</w:t>
      </w:r>
      <w:r w:rsidR="00284AB7" w:rsidRPr="00A23E3C">
        <w:rPr>
          <w:rFonts w:ascii="Times New Roman" w:hAnsi="Times New Roman" w:cs="Times New Roman"/>
          <w:sz w:val="24"/>
          <w:szCs w:val="24"/>
        </w:rPr>
        <w:t xml:space="preserve">FAI to do this as I demonstrated in </w:t>
      </w:r>
      <w:r w:rsidR="00E825AF">
        <w:rPr>
          <w:rFonts w:ascii="Times New Roman" w:hAnsi="Times New Roman" w:cs="Times New Roman"/>
          <w:sz w:val="24"/>
          <w:szCs w:val="24"/>
        </w:rPr>
        <w:t>a</w:t>
      </w:r>
      <w:r w:rsidR="00284AB7" w:rsidRPr="00A23E3C">
        <w:rPr>
          <w:rFonts w:ascii="Times New Roman" w:hAnsi="Times New Roman" w:cs="Times New Roman"/>
          <w:sz w:val="24"/>
          <w:szCs w:val="24"/>
        </w:rPr>
        <w:t xml:space="preserve"> study in 2015 of primary and secondary schools in the government sector (Caldwell, 2016</w:t>
      </w:r>
      <w:r w:rsidR="00565F53">
        <w:rPr>
          <w:rFonts w:ascii="Times New Roman" w:hAnsi="Times New Roman" w:cs="Times New Roman"/>
          <w:sz w:val="24"/>
          <w:szCs w:val="24"/>
        </w:rPr>
        <w:t>a</w:t>
      </w:r>
      <w:r w:rsidR="00284AB7" w:rsidRPr="00A23E3C">
        <w:rPr>
          <w:rFonts w:ascii="Times New Roman" w:hAnsi="Times New Roman" w:cs="Times New Roman"/>
          <w:sz w:val="24"/>
          <w:szCs w:val="24"/>
        </w:rPr>
        <w:t>)</w:t>
      </w:r>
      <w:r w:rsidR="002A158E">
        <w:rPr>
          <w:rFonts w:ascii="Times New Roman" w:hAnsi="Times New Roman" w:cs="Times New Roman"/>
          <w:sz w:val="24"/>
          <w:szCs w:val="24"/>
        </w:rPr>
        <w:t>,</w:t>
      </w:r>
      <w:r w:rsidR="00FD1B55" w:rsidRPr="00A23E3C">
        <w:rPr>
          <w:rFonts w:ascii="Times New Roman" w:hAnsi="Times New Roman" w:cs="Times New Roman"/>
          <w:sz w:val="24"/>
          <w:szCs w:val="24"/>
        </w:rPr>
        <w:t xml:space="preserve"> most </w:t>
      </w:r>
      <w:r w:rsidR="00E825AF">
        <w:rPr>
          <w:rFonts w:ascii="Times New Roman" w:hAnsi="Times New Roman" w:cs="Times New Roman"/>
          <w:sz w:val="24"/>
          <w:szCs w:val="24"/>
        </w:rPr>
        <w:t xml:space="preserve">of which were </w:t>
      </w:r>
      <w:r w:rsidR="00FD1B55" w:rsidRPr="00A23E3C">
        <w:rPr>
          <w:rFonts w:ascii="Times New Roman" w:hAnsi="Times New Roman" w:cs="Times New Roman"/>
          <w:sz w:val="24"/>
          <w:szCs w:val="24"/>
        </w:rPr>
        <w:t>in disadvantaged settings and performing well in NAPLAN</w:t>
      </w:r>
      <w:r w:rsidR="00284AB7" w:rsidRPr="00A23E3C">
        <w:rPr>
          <w:rFonts w:ascii="Times New Roman" w:hAnsi="Times New Roman" w:cs="Times New Roman"/>
          <w:sz w:val="24"/>
          <w:szCs w:val="24"/>
        </w:rPr>
        <w:t xml:space="preserve">. </w:t>
      </w:r>
      <w:r w:rsidR="00DB5A72">
        <w:rPr>
          <w:rFonts w:ascii="Times New Roman" w:hAnsi="Times New Roman" w:cs="Times New Roman"/>
          <w:sz w:val="24"/>
          <w:szCs w:val="24"/>
        </w:rPr>
        <w:t>Leaders in c</w:t>
      </w:r>
      <w:r w:rsidR="00284AB7" w:rsidRPr="00A23E3C">
        <w:rPr>
          <w:rFonts w:ascii="Times New Roman" w:hAnsi="Times New Roman" w:cs="Times New Roman"/>
          <w:sz w:val="24"/>
          <w:szCs w:val="24"/>
        </w:rPr>
        <w:t xml:space="preserve">ase study schools were able to explain the links between </w:t>
      </w:r>
      <w:r w:rsidR="00FD1B55" w:rsidRPr="00A23E3C">
        <w:rPr>
          <w:rFonts w:ascii="Times New Roman" w:hAnsi="Times New Roman" w:cs="Times New Roman"/>
          <w:sz w:val="24"/>
          <w:szCs w:val="24"/>
        </w:rPr>
        <w:t>their capacity to do this and student achievement</w:t>
      </w:r>
      <w:r w:rsidR="00284AB7" w:rsidRPr="00A23E3C">
        <w:rPr>
          <w:rFonts w:ascii="Times New Roman" w:hAnsi="Times New Roman" w:cs="Times New Roman"/>
          <w:sz w:val="24"/>
          <w:szCs w:val="24"/>
        </w:rPr>
        <w:t>.</w:t>
      </w:r>
    </w:p>
    <w:p w14:paraId="42CEC0A9" w14:textId="791A1730" w:rsidR="00A84F9E" w:rsidRPr="00A23E3C" w:rsidRDefault="00FD1B55" w:rsidP="00037965">
      <w:pPr>
        <w:spacing w:after="120"/>
        <w:jc w:val="both"/>
        <w:rPr>
          <w:rFonts w:ascii="Times New Roman" w:hAnsi="Times New Roman" w:cs="Times New Roman"/>
          <w:sz w:val="24"/>
          <w:szCs w:val="24"/>
        </w:rPr>
      </w:pPr>
      <w:r w:rsidRPr="00A23E3C">
        <w:rPr>
          <w:rFonts w:ascii="Times New Roman" w:hAnsi="Times New Roman" w:cs="Times New Roman"/>
          <w:sz w:val="24"/>
          <w:szCs w:val="24"/>
        </w:rPr>
        <w:tab/>
        <w:t>I have studied schools in Finland where there is a capacity in schools to ensure that no student falls behind by more than a day or two. This is called “special education” in that country</w:t>
      </w:r>
      <w:r w:rsidR="00775CAD" w:rsidRPr="00A23E3C">
        <w:rPr>
          <w:rFonts w:ascii="Times New Roman" w:hAnsi="Times New Roman" w:cs="Times New Roman"/>
          <w:sz w:val="24"/>
          <w:szCs w:val="24"/>
        </w:rPr>
        <w:t>,</w:t>
      </w:r>
      <w:r w:rsidR="00A84F9E" w:rsidRPr="00A23E3C">
        <w:rPr>
          <w:rFonts w:ascii="Times New Roman" w:hAnsi="Times New Roman" w:cs="Times New Roman"/>
          <w:sz w:val="24"/>
          <w:szCs w:val="24"/>
        </w:rPr>
        <w:t xml:space="preserve"> which has a high level of equity among systems participating in PISA. There is no counterpart to an OFAI.</w:t>
      </w:r>
      <w:r w:rsidR="001A4105">
        <w:rPr>
          <w:rFonts w:ascii="Times New Roman" w:hAnsi="Times New Roman" w:cs="Times New Roman"/>
          <w:sz w:val="24"/>
          <w:szCs w:val="24"/>
        </w:rPr>
        <w:t xml:space="preserve"> Over the course of their schooling about one-third of students need “special education.”</w:t>
      </w:r>
    </w:p>
    <w:p w14:paraId="32EA2A12" w14:textId="665CFF23" w:rsidR="00FD1B55" w:rsidRPr="00A23E3C" w:rsidRDefault="00A84F9E" w:rsidP="00037965">
      <w:pPr>
        <w:spacing w:after="120"/>
        <w:jc w:val="both"/>
        <w:rPr>
          <w:rFonts w:ascii="Times New Roman" w:hAnsi="Times New Roman" w:cs="Times New Roman"/>
          <w:sz w:val="24"/>
          <w:szCs w:val="24"/>
        </w:rPr>
      </w:pPr>
      <w:r w:rsidRPr="00A23E3C">
        <w:rPr>
          <w:rFonts w:ascii="Times New Roman" w:hAnsi="Times New Roman" w:cs="Times New Roman"/>
          <w:sz w:val="24"/>
          <w:szCs w:val="24"/>
        </w:rPr>
        <w:tab/>
        <w:t>I recommend that the next</w:t>
      </w:r>
      <w:r w:rsidR="00FD1B55" w:rsidRPr="00A23E3C">
        <w:rPr>
          <w:rFonts w:ascii="Times New Roman" w:hAnsi="Times New Roman" w:cs="Times New Roman"/>
          <w:sz w:val="24"/>
          <w:szCs w:val="24"/>
        </w:rPr>
        <w:t xml:space="preserve"> </w:t>
      </w:r>
      <w:r w:rsidRPr="00A23E3C">
        <w:rPr>
          <w:rFonts w:ascii="Times New Roman" w:hAnsi="Times New Roman" w:cs="Times New Roman"/>
          <w:sz w:val="24"/>
          <w:szCs w:val="24"/>
        </w:rPr>
        <w:t xml:space="preserve">NSRA require agreement by </w:t>
      </w:r>
      <w:r w:rsidR="001A4105">
        <w:rPr>
          <w:rFonts w:ascii="Times New Roman" w:hAnsi="Times New Roman" w:cs="Times New Roman"/>
          <w:sz w:val="24"/>
          <w:szCs w:val="24"/>
        </w:rPr>
        <w:t>s</w:t>
      </w:r>
      <w:r w:rsidRPr="00A23E3C">
        <w:rPr>
          <w:rFonts w:ascii="Times New Roman" w:hAnsi="Times New Roman" w:cs="Times New Roman"/>
          <w:sz w:val="24"/>
          <w:szCs w:val="24"/>
        </w:rPr>
        <w:t xml:space="preserve">tates and </w:t>
      </w:r>
      <w:r w:rsidR="001A4105">
        <w:rPr>
          <w:rFonts w:ascii="Times New Roman" w:hAnsi="Times New Roman" w:cs="Times New Roman"/>
          <w:sz w:val="24"/>
          <w:szCs w:val="24"/>
        </w:rPr>
        <w:t>t</w:t>
      </w:r>
      <w:r w:rsidRPr="00A23E3C">
        <w:rPr>
          <w:rFonts w:ascii="Times New Roman" w:hAnsi="Times New Roman" w:cs="Times New Roman"/>
          <w:sz w:val="24"/>
          <w:szCs w:val="24"/>
        </w:rPr>
        <w:t>erritories to report the number of schools that have a capacity to implement the approach described in the Interim Report</w:t>
      </w:r>
      <w:r w:rsidR="001A4105">
        <w:rPr>
          <w:rFonts w:ascii="Times New Roman" w:hAnsi="Times New Roman" w:cs="Times New Roman"/>
          <w:sz w:val="24"/>
          <w:szCs w:val="24"/>
        </w:rPr>
        <w:t>,</w:t>
      </w:r>
      <w:r w:rsidRPr="00A23E3C">
        <w:rPr>
          <w:rFonts w:ascii="Times New Roman" w:hAnsi="Times New Roman" w:cs="Times New Roman"/>
          <w:sz w:val="24"/>
          <w:szCs w:val="24"/>
        </w:rPr>
        <w:t xml:space="preserve"> and to design and implement programs to build the capacity of schools</w:t>
      </w:r>
      <w:r w:rsidR="00F255A1" w:rsidRPr="00A23E3C">
        <w:rPr>
          <w:rFonts w:ascii="Times New Roman" w:hAnsi="Times New Roman" w:cs="Times New Roman"/>
          <w:sz w:val="24"/>
          <w:szCs w:val="24"/>
        </w:rPr>
        <w:t xml:space="preserve"> that do not. There are implications for leadership development. It is noted here that the National Professional Standards for Teachers and the National Professional Standard for Principals </w:t>
      </w:r>
      <w:r w:rsidR="001A4105">
        <w:rPr>
          <w:rFonts w:ascii="Times New Roman" w:hAnsi="Times New Roman" w:cs="Times New Roman"/>
          <w:sz w:val="24"/>
          <w:szCs w:val="24"/>
        </w:rPr>
        <w:t xml:space="preserve">expect </w:t>
      </w:r>
      <w:r w:rsidR="00F255A1" w:rsidRPr="00A23E3C">
        <w:rPr>
          <w:rFonts w:ascii="Times New Roman" w:hAnsi="Times New Roman" w:cs="Times New Roman"/>
          <w:sz w:val="24"/>
          <w:szCs w:val="24"/>
        </w:rPr>
        <w:t xml:space="preserve">that leaders in schools should do these things well. </w:t>
      </w:r>
    </w:p>
    <w:p w14:paraId="3A308998" w14:textId="4F06097D" w:rsidR="001A4105" w:rsidRDefault="00F255A1" w:rsidP="00037965">
      <w:pPr>
        <w:spacing w:after="120"/>
        <w:jc w:val="both"/>
        <w:rPr>
          <w:rFonts w:ascii="Times New Roman" w:hAnsi="Times New Roman" w:cs="Times New Roman"/>
          <w:sz w:val="24"/>
          <w:szCs w:val="24"/>
        </w:rPr>
      </w:pPr>
      <w:r w:rsidRPr="00A23E3C">
        <w:rPr>
          <w:rFonts w:ascii="Times New Roman" w:hAnsi="Times New Roman" w:cs="Times New Roman"/>
          <w:sz w:val="24"/>
          <w:szCs w:val="24"/>
        </w:rPr>
        <w:tab/>
        <w:t>I read the annual reports of the largest</w:t>
      </w:r>
      <w:r w:rsidR="001A4105">
        <w:rPr>
          <w:rFonts w:ascii="Times New Roman" w:hAnsi="Times New Roman" w:cs="Times New Roman"/>
          <w:sz w:val="24"/>
          <w:szCs w:val="24"/>
        </w:rPr>
        <w:t xml:space="preserve"> s</w:t>
      </w:r>
      <w:r w:rsidRPr="00A23E3C">
        <w:rPr>
          <w:rFonts w:ascii="Times New Roman" w:hAnsi="Times New Roman" w:cs="Times New Roman"/>
          <w:sz w:val="24"/>
          <w:szCs w:val="24"/>
        </w:rPr>
        <w:t>tates and there is no indication they have knowledge of school capacity in this area</w:t>
      </w:r>
      <w:r w:rsidR="00C94B02" w:rsidRPr="00A23E3C">
        <w:rPr>
          <w:rFonts w:ascii="Times New Roman" w:hAnsi="Times New Roman" w:cs="Times New Roman"/>
          <w:sz w:val="24"/>
          <w:szCs w:val="24"/>
        </w:rPr>
        <w:t xml:space="preserve"> or that they have addressed the matter in schools that do not.</w:t>
      </w:r>
      <w:r w:rsidR="0043736B" w:rsidRPr="00A23E3C">
        <w:rPr>
          <w:rFonts w:ascii="Times New Roman" w:hAnsi="Times New Roman" w:cs="Times New Roman"/>
          <w:sz w:val="24"/>
          <w:szCs w:val="24"/>
        </w:rPr>
        <w:t xml:space="preserve"> </w:t>
      </w:r>
      <w:r w:rsidR="003B3CC3">
        <w:rPr>
          <w:rFonts w:ascii="Times New Roman" w:hAnsi="Times New Roman" w:cs="Times New Roman"/>
          <w:sz w:val="24"/>
          <w:szCs w:val="24"/>
        </w:rPr>
        <w:t>To illustrate</w:t>
      </w:r>
      <w:r w:rsidR="00A6109E">
        <w:rPr>
          <w:rFonts w:ascii="Times New Roman" w:hAnsi="Times New Roman" w:cs="Times New Roman"/>
          <w:sz w:val="24"/>
          <w:szCs w:val="24"/>
        </w:rPr>
        <w:t xml:space="preserve"> from a recent report</w:t>
      </w:r>
      <w:r w:rsidR="003B3CC3">
        <w:rPr>
          <w:rFonts w:ascii="Times New Roman" w:hAnsi="Times New Roman" w:cs="Times New Roman"/>
          <w:sz w:val="24"/>
          <w:szCs w:val="24"/>
        </w:rPr>
        <w:t>, c</w:t>
      </w:r>
      <w:r w:rsidR="0043736B" w:rsidRPr="00A23E3C">
        <w:rPr>
          <w:rFonts w:ascii="Times New Roman" w:hAnsi="Times New Roman" w:cs="Times New Roman"/>
          <w:sz w:val="24"/>
          <w:szCs w:val="24"/>
        </w:rPr>
        <w:t>onsidering quality of teaching in a broader sense</w:t>
      </w:r>
      <w:r w:rsidR="00AB0E9F" w:rsidRPr="00A23E3C">
        <w:rPr>
          <w:rFonts w:ascii="Times New Roman" w:hAnsi="Times New Roman" w:cs="Times New Roman"/>
          <w:sz w:val="24"/>
          <w:szCs w:val="24"/>
        </w:rPr>
        <w:t xml:space="preserve"> in </w:t>
      </w:r>
      <w:r w:rsidR="003B3CC3">
        <w:rPr>
          <w:rFonts w:ascii="Times New Roman" w:hAnsi="Times New Roman" w:cs="Times New Roman"/>
          <w:sz w:val="24"/>
          <w:szCs w:val="24"/>
        </w:rPr>
        <w:t>New South Wales</w:t>
      </w:r>
      <w:r w:rsidR="0043736B" w:rsidRPr="00A23E3C">
        <w:rPr>
          <w:rFonts w:ascii="Times New Roman" w:hAnsi="Times New Roman" w:cs="Times New Roman"/>
          <w:sz w:val="24"/>
          <w:szCs w:val="24"/>
        </w:rPr>
        <w:t xml:space="preserve">, </w:t>
      </w:r>
      <w:r w:rsidR="00B61A2E" w:rsidRPr="00A23E3C">
        <w:rPr>
          <w:rFonts w:ascii="Times New Roman" w:hAnsi="Times New Roman" w:cs="Times New Roman"/>
          <w:sz w:val="24"/>
          <w:szCs w:val="24"/>
        </w:rPr>
        <w:t>t</w:t>
      </w:r>
      <w:r w:rsidR="0043736B" w:rsidRPr="00A23E3C">
        <w:rPr>
          <w:rFonts w:ascii="Times New Roman" w:hAnsi="Times New Roman" w:cs="Times New Roman"/>
          <w:sz w:val="24"/>
          <w:szCs w:val="24"/>
        </w:rPr>
        <w:t>he Auditor-General found in 2019 that the New South Wales Education and Standards Authority (NESA) “did not oversight principals’ decisions to ensure that minimum standards for teaching quality are consistently met” and that “The Department does not effectively monitor teaching quality across the state … The Department’s Performance and Development Framework does not adequately support principals and supervisors to effectively manage and improve teacher performance or actively improve teaching quality.”(Audit Office of New South Wales, 2019</w:t>
      </w:r>
      <w:r w:rsidR="001A4105">
        <w:rPr>
          <w:rFonts w:ascii="Times New Roman" w:hAnsi="Times New Roman" w:cs="Times New Roman"/>
          <w:sz w:val="24"/>
          <w:szCs w:val="24"/>
        </w:rPr>
        <w:t>, pp. 8-9</w:t>
      </w:r>
      <w:r w:rsidR="0043736B" w:rsidRPr="00A23E3C">
        <w:rPr>
          <w:rFonts w:ascii="Times New Roman" w:hAnsi="Times New Roman" w:cs="Times New Roman"/>
          <w:sz w:val="24"/>
          <w:szCs w:val="24"/>
        </w:rPr>
        <w:t xml:space="preserve">) </w:t>
      </w:r>
    </w:p>
    <w:p w14:paraId="6899325B" w14:textId="3C0D811A" w:rsidR="00656CC6" w:rsidRPr="002A158E" w:rsidRDefault="00037965" w:rsidP="002A158E">
      <w:pPr>
        <w:pStyle w:val="ListParagraph"/>
        <w:numPr>
          <w:ilvl w:val="0"/>
          <w:numId w:val="28"/>
        </w:numPr>
        <w:jc w:val="both"/>
        <w:rPr>
          <w:rFonts w:ascii="Times New Roman" w:hAnsi="Times New Roman" w:cs="Times New Roman"/>
          <w:b/>
          <w:bCs/>
          <w:sz w:val="24"/>
          <w:szCs w:val="24"/>
        </w:rPr>
      </w:pPr>
      <w:r w:rsidRPr="002A158E">
        <w:rPr>
          <w:rFonts w:ascii="Times New Roman" w:hAnsi="Times New Roman" w:cs="Times New Roman"/>
          <w:b/>
          <w:bCs/>
          <w:sz w:val="24"/>
          <w:szCs w:val="24"/>
        </w:rPr>
        <w:t>TEACHER AND SCHOOL LEADER TIME</w:t>
      </w:r>
    </w:p>
    <w:p w14:paraId="370E935F" w14:textId="476B4927" w:rsidR="001A6F48" w:rsidRPr="00A23E3C" w:rsidRDefault="001A6F48" w:rsidP="00037965">
      <w:pPr>
        <w:spacing w:before="120" w:after="120"/>
        <w:jc w:val="both"/>
        <w:rPr>
          <w:rFonts w:ascii="Times New Roman" w:hAnsi="Times New Roman" w:cs="Times New Roman"/>
          <w:i/>
          <w:iCs/>
          <w:sz w:val="24"/>
          <w:szCs w:val="24"/>
        </w:rPr>
      </w:pPr>
      <w:r w:rsidRPr="00A23E3C">
        <w:rPr>
          <w:rFonts w:ascii="Times New Roman" w:hAnsi="Times New Roman" w:cs="Times New Roman"/>
          <w:i/>
          <w:iCs/>
          <w:sz w:val="24"/>
          <w:szCs w:val="24"/>
        </w:rPr>
        <w:t>Interim Report</w:t>
      </w:r>
    </w:p>
    <w:p w14:paraId="142BE302" w14:textId="693B5BE3" w:rsidR="007F01B1" w:rsidRPr="00A23E3C" w:rsidRDefault="008749CE" w:rsidP="00037965">
      <w:pPr>
        <w:ind w:left="720"/>
        <w:jc w:val="both"/>
        <w:rPr>
          <w:rFonts w:ascii="Times New Roman" w:hAnsi="Times New Roman" w:cs="Times New Roman"/>
        </w:rPr>
      </w:pPr>
      <w:r w:rsidRPr="00A23E3C">
        <w:rPr>
          <w:rFonts w:ascii="Times New Roman" w:hAnsi="Times New Roman" w:cs="Times New Roman"/>
        </w:rPr>
        <w:t>In the next agreement, the Australian, State and Territory Governments — in consultation with teachers and school leaders — should develop a new National Policy Initiative that commits all</w:t>
      </w:r>
      <w:r w:rsidR="008409D5" w:rsidRPr="00A23E3C">
        <w:rPr>
          <w:rFonts w:ascii="Times New Roman" w:hAnsi="Times New Roman" w:cs="Times New Roman"/>
        </w:rPr>
        <w:t xml:space="preserve"> </w:t>
      </w:r>
      <w:r w:rsidRPr="00A23E3C">
        <w:rPr>
          <w:rFonts w:ascii="Times New Roman" w:hAnsi="Times New Roman" w:cs="Times New Roman"/>
        </w:rPr>
        <w:t xml:space="preserve">jurisdictions to undertake an assessment of teacher and principal time use. This could involve a four-step process, whereby Australian, State and Territory Governments: </w:t>
      </w:r>
    </w:p>
    <w:p w14:paraId="2A9E93E0" w14:textId="77777777" w:rsidR="007F01B1" w:rsidRPr="00A23E3C" w:rsidRDefault="008749CE" w:rsidP="00037965">
      <w:pPr>
        <w:pStyle w:val="ListParagraph"/>
        <w:numPr>
          <w:ilvl w:val="0"/>
          <w:numId w:val="25"/>
        </w:numPr>
        <w:ind w:left="1080"/>
        <w:jc w:val="both"/>
        <w:rPr>
          <w:rFonts w:ascii="Times New Roman" w:hAnsi="Times New Roman" w:cs="Times New Roman"/>
        </w:rPr>
      </w:pPr>
      <w:r w:rsidRPr="00A23E3C">
        <w:rPr>
          <w:rFonts w:ascii="Times New Roman" w:hAnsi="Times New Roman" w:cs="Times New Roman"/>
        </w:rPr>
        <w:lastRenderedPageBreak/>
        <w:t xml:space="preserve">commit to an assessment of teacher and principal time use across school sectors, with a focus on identifying how teachers and principals spend their time, and what tasks they rate as low or high value  </w:t>
      </w:r>
    </w:p>
    <w:p w14:paraId="52927E97" w14:textId="77777777" w:rsidR="007F01B1" w:rsidRPr="00A23E3C" w:rsidRDefault="008749CE" w:rsidP="00037965">
      <w:pPr>
        <w:pStyle w:val="ListParagraph"/>
        <w:numPr>
          <w:ilvl w:val="0"/>
          <w:numId w:val="25"/>
        </w:numPr>
        <w:ind w:left="1080"/>
        <w:jc w:val="both"/>
        <w:rPr>
          <w:rFonts w:ascii="Times New Roman" w:hAnsi="Times New Roman" w:cs="Times New Roman"/>
        </w:rPr>
      </w:pPr>
      <w:r w:rsidRPr="00A23E3C">
        <w:rPr>
          <w:rFonts w:ascii="Times New Roman" w:hAnsi="Times New Roman" w:cs="Times New Roman"/>
        </w:rPr>
        <w:t xml:space="preserve">specify how they will remove low-value tasks, duplicate tasks and regulatory inefficiencies  </w:t>
      </w:r>
    </w:p>
    <w:p w14:paraId="3CEEF345" w14:textId="77777777" w:rsidR="007F01B1" w:rsidRPr="00A23E3C" w:rsidRDefault="008749CE" w:rsidP="00037965">
      <w:pPr>
        <w:pStyle w:val="ListParagraph"/>
        <w:numPr>
          <w:ilvl w:val="0"/>
          <w:numId w:val="25"/>
        </w:numPr>
        <w:ind w:left="1080"/>
        <w:jc w:val="both"/>
        <w:rPr>
          <w:rFonts w:ascii="Times New Roman" w:hAnsi="Times New Roman" w:cs="Times New Roman"/>
        </w:rPr>
      </w:pPr>
      <w:r w:rsidRPr="00A23E3C">
        <w:rPr>
          <w:rFonts w:ascii="Times New Roman" w:hAnsi="Times New Roman" w:cs="Times New Roman"/>
        </w:rPr>
        <w:t xml:space="preserve">specify how teaching assistants can be best deployed, including to reduce teacher workload </w:t>
      </w:r>
    </w:p>
    <w:p w14:paraId="4C5E0F9F" w14:textId="590F59A5" w:rsidR="008749CE" w:rsidRPr="00A23E3C" w:rsidRDefault="008749CE" w:rsidP="00037965">
      <w:pPr>
        <w:pStyle w:val="ListParagraph"/>
        <w:numPr>
          <w:ilvl w:val="0"/>
          <w:numId w:val="25"/>
        </w:numPr>
        <w:ind w:left="1080"/>
        <w:jc w:val="both"/>
        <w:rPr>
          <w:rFonts w:ascii="Times New Roman" w:hAnsi="Times New Roman" w:cs="Times New Roman"/>
        </w:rPr>
      </w:pPr>
      <w:r w:rsidRPr="00A23E3C">
        <w:rPr>
          <w:rFonts w:ascii="Times New Roman" w:hAnsi="Times New Roman" w:cs="Times New Roman"/>
        </w:rPr>
        <w:t>monitor the compliance and administration burden on teachers and principals over time. (Productivity Commission, 2022, p. 36)</w:t>
      </w:r>
    </w:p>
    <w:p w14:paraId="5AE8BAE1" w14:textId="3D59633F" w:rsidR="001A6F48" w:rsidRPr="0081652A" w:rsidRDefault="001A6F48" w:rsidP="00037965">
      <w:pPr>
        <w:spacing w:after="120"/>
        <w:jc w:val="both"/>
        <w:rPr>
          <w:rFonts w:ascii="Times New Roman" w:hAnsi="Times New Roman" w:cs="Times New Roman"/>
          <w:i/>
          <w:iCs/>
          <w:sz w:val="24"/>
          <w:szCs w:val="24"/>
        </w:rPr>
      </w:pPr>
      <w:r w:rsidRPr="00A23E3C">
        <w:rPr>
          <w:rFonts w:ascii="Times New Roman" w:hAnsi="Times New Roman" w:cs="Times New Roman"/>
          <w:i/>
          <w:iCs/>
          <w:sz w:val="24"/>
          <w:szCs w:val="24"/>
        </w:rPr>
        <w:t>Response</w:t>
      </w:r>
    </w:p>
    <w:p w14:paraId="23CF6595" w14:textId="4FACFABD" w:rsidR="004D7B70" w:rsidRDefault="004D7B70" w:rsidP="00037965">
      <w:pPr>
        <w:spacing w:after="120"/>
        <w:jc w:val="both"/>
        <w:rPr>
          <w:rFonts w:ascii="Times New Roman" w:hAnsi="Times New Roman" w:cs="Times New Roman"/>
          <w:sz w:val="24"/>
          <w:szCs w:val="24"/>
        </w:rPr>
      </w:pPr>
      <w:r>
        <w:rPr>
          <w:rFonts w:ascii="Times New Roman" w:hAnsi="Times New Roman" w:cs="Times New Roman"/>
          <w:sz w:val="24"/>
          <w:szCs w:val="24"/>
        </w:rPr>
        <w:t>I undertook a study from late 2021 to mid-2022 of school curriculum and quality of teaching in Australia (Caldwell, 2022</w:t>
      </w:r>
      <w:r w:rsidR="005F10F6">
        <w:rPr>
          <w:rFonts w:ascii="Times New Roman" w:hAnsi="Times New Roman" w:cs="Times New Roman"/>
          <w:sz w:val="24"/>
          <w:szCs w:val="24"/>
        </w:rPr>
        <w:t>a</w:t>
      </w:r>
      <w:r>
        <w:rPr>
          <w:rFonts w:ascii="Times New Roman" w:hAnsi="Times New Roman" w:cs="Times New Roman"/>
          <w:sz w:val="24"/>
          <w:szCs w:val="24"/>
        </w:rPr>
        <w:t xml:space="preserve">) and drew the same conclusions as the Interim Report but I injected a sense of urgency. </w:t>
      </w:r>
      <w:r w:rsidRPr="00A23E3C">
        <w:rPr>
          <w:rFonts w:ascii="Times New Roman" w:hAnsi="Times New Roman" w:cs="Times New Roman"/>
          <w:sz w:val="24"/>
          <w:szCs w:val="24"/>
        </w:rPr>
        <w:t xml:space="preserve">For how much longer must teachers and principals, and organisations that represent them, report that their roles under the status quo are unmanageable? That it is so is evident in expectations that Proficient teachers should perform well against 37 standards, be in tune with expanding folios of evidence-based findings that should shape their work; respond to the needs of all students in their care through a form of personalised learning; keep up-to-date with advances in technology; manage the implications of the never-ending stream of reviews and inquiries; deal with mountains of administrative paperwork; and look after the wellbeing of their students, always, and especially in post-pandemic circumstances. </w:t>
      </w:r>
      <w:r w:rsidRPr="00A23E3C">
        <w:rPr>
          <w:rFonts w:ascii="Times New Roman" w:hAnsi="Times New Roman" w:cs="Times New Roman"/>
          <w:sz w:val="24"/>
          <w:szCs w:val="24"/>
          <w:shd w:val="clear" w:color="auto" w:fill="FEFEFE"/>
        </w:rPr>
        <w:t xml:space="preserve">Face-to-face teaching loads are far higher for primary and secondary teachers in Australia than for counterparts in high-performing countries … </w:t>
      </w:r>
      <w:r w:rsidRPr="00A23E3C">
        <w:rPr>
          <w:rFonts w:ascii="Times New Roman" w:hAnsi="Times New Roman" w:cs="Times New Roman"/>
          <w:sz w:val="24"/>
          <w:szCs w:val="24"/>
        </w:rPr>
        <w:t>Australia urgently needs a vision of the role of a fully professional teacher in the third decade of the 21</w:t>
      </w:r>
      <w:r w:rsidRPr="00A23E3C">
        <w:rPr>
          <w:rFonts w:ascii="Times New Roman" w:hAnsi="Times New Roman" w:cs="Times New Roman"/>
          <w:sz w:val="24"/>
          <w:szCs w:val="24"/>
          <w:vertAlign w:val="superscript"/>
        </w:rPr>
        <w:t>st</w:t>
      </w:r>
      <w:r w:rsidRPr="00A23E3C">
        <w:rPr>
          <w:rFonts w:ascii="Times New Roman" w:hAnsi="Times New Roman" w:cs="Times New Roman"/>
          <w:sz w:val="24"/>
          <w:szCs w:val="24"/>
        </w:rPr>
        <w:t xml:space="preserve"> century, as exists in Finland (“teacher-as-researcher”) and Singapore (“teacher-in-an-inquiring-culture”). (Caldwell, 2022</w:t>
      </w:r>
      <w:r w:rsidR="005F10F6">
        <w:rPr>
          <w:rFonts w:ascii="Times New Roman" w:hAnsi="Times New Roman" w:cs="Times New Roman"/>
          <w:sz w:val="24"/>
          <w:szCs w:val="24"/>
        </w:rPr>
        <w:t>a</w:t>
      </w:r>
      <w:r w:rsidRPr="00A23E3C">
        <w:rPr>
          <w:rFonts w:ascii="Times New Roman" w:hAnsi="Times New Roman" w:cs="Times New Roman"/>
          <w:sz w:val="24"/>
          <w:szCs w:val="24"/>
        </w:rPr>
        <w:t>, p. 56)</w:t>
      </w:r>
    </w:p>
    <w:p w14:paraId="456406AF" w14:textId="3654D2D4" w:rsidR="0081652A" w:rsidRDefault="00771C84" w:rsidP="00037965">
      <w:pPr>
        <w:spacing w:after="120"/>
        <w:ind w:firstLine="720"/>
        <w:jc w:val="both"/>
        <w:rPr>
          <w:rFonts w:ascii="Times New Roman" w:hAnsi="Times New Roman" w:cs="Times New Roman"/>
          <w:sz w:val="24"/>
          <w:szCs w:val="24"/>
        </w:rPr>
      </w:pPr>
      <w:r>
        <w:rPr>
          <w:rFonts w:ascii="Times New Roman" w:hAnsi="Times New Roman" w:cs="Times New Roman"/>
          <w:sz w:val="24"/>
          <w:szCs w:val="24"/>
        </w:rPr>
        <w:t xml:space="preserve">I support the recommendation in the above excerpt from the Interim Report but urge that the studies be conducted quickly, </w:t>
      </w:r>
      <w:r w:rsidR="003B3CC3">
        <w:rPr>
          <w:rFonts w:ascii="Times New Roman" w:hAnsi="Times New Roman" w:cs="Times New Roman"/>
          <w:sz w:val="24"/>
          <w:szCs w:val="24"/>
        </w:rPr>
        <w:t xml:space="preserve">with a sense of urgency, </w:t>
      </w:r>
      <w:r>
        <w:rPr>
          <w:rFonts w:ascii="Times New Roman" w:hAnsi="Times New Roman" w:cs="Times New Roman"/>
          <w:sz w:val="24"/>
          <w:szCs w:val="24"/>
        </w:rPr>
        <w:t>given that so much is</w:t>
      </w:r>
      <w:r w:rsidR="000C7F78">
        <w:rPr>
          <w:rFonts w:ascii="Times New Roman" w:hAnsi="Times New Roman" w:cs="Times New Roman"/>
          <w:sz w:val="24"/>
          <w:szCs w:val="24"/>
        </w:rPr>
        <w:t xml:space="preserve"> already</w:t>
      </w:r>
      <w:r>
        <w:rPr>
          <w:rFonts w:ascii="Times New Roman" w:hAnsi="Times New Roman" w:cs="Times New Roman"/>
          <w:sz w:val="24"/>
          <w:szCs w:val="24"/>
        </w:rPr>
        <w:t xml:space="preserve"> known about how teachers and school leaders spend their time. We can’t afford to wait around for three or more years before findings are assembled and a further two years elapse before action is taken</w:t>
      </w:r>
      <w:r w:rsidR="002A158E">
        <w:rPr>
          <w:rFonts w:ascii="Times New Roman" w:hAnsi="Times New Roman" w:cs="Times New Roman"/>
          <w:sz w:val="24"/>
          <w:szCs w:val="24"/>
        </w:rPr>
        <w:t xml:space="preserve"> and impact assessed</w:t>
      </w:r>
      <w:r>
        <w:rPr>
          <w:rFonts w:ascii="Times New Roman" w:hAnsi="Times New Roman" w:cs="Times New Roman"/>
          <w:sz w:val="24"/>
          <w:szCs w:val="24"/>
        </w:rPr>
        <w:t xml:space="preserve">. The assumption here is that </w:t>
      </w:r>
      <w:r w:rsidR="004D7B70">
        <w:rPr>
          <w:rFonts w:ascii="Times New Roman" w:hAnsi="Times New Roman" w:cs="Times New Roman"/>
          <w:sz w:val="24"/>
          <w:szCs w:val="24"/>
        </w:rPr>
        <w:t xml:space="preserve">contracted </w:t>
      </w:r>
      <w:r w:rsidR="000C7F78">
        <w:rPr>
          <w:rFonts w:ascii="Times New Roman" w:hAnsi="Times New Roman" w:cs="Times New Roman"/>
          <w:sz w:val="24"/>
          <w:szCs w:val="24"/>
        </w:rPr>
        <w:t xml:space="preserve">or in-house </w:t>
      </w:r>
      <w:r>
        <w:rPr>
          <w:rFonts w:ascii="Times New Roman" w:hAnsi="Times New Roman" w:cs="Times New Roman"/>
          <w:sz w:val="24"/>
          <w:szCs w:val="24"/>
        </w:rPr>
        <w:t xml:space="preserve">researchers have the capacity to conduct their work expeditiously and that system authorities are committed to making a serious and timely response. </w:t>
      </w:r>
    </w:p>
    <w:p w14:paraId="336653D2" w14:textId="7CDF8E59" w:rsidR="005B2075" w:rsidRDefault="00771C84" w:rsidP="00037965">
      <w:pPr>
        <w:spacing w:after="120"/>
        <w:jc w:val="both"/>
        <w:rPr>
          <w:rFonts w:ascii="Times New Roman" w:hAnsi="Times New Roman" w:cs="Times New Roman"/>
          <w:sz w:val="24"/>
          <w:szCs w:val="24"/>
        </w:rPr>
      </w:pPr>
      <w:r>
        <w:rPr>
          <w:rFonts w:ascii="Times New Roman" w:hAnsi="Times New Roman" w:cs="Times New Roman"/>
          <w:sz w:val="24"/>
          <w:szCs w:val="24"/>
        </w:rPr>
        <w:tab/>
        <w:t xml:space="preserve">I also recommend that a similar </w:t>
      </w:r>
      <w:r w:rsidR="00A6109E">
        <w:rPr>
          <w:rFonts w:ascii="Times New Roman" w:hAnsi="Times New Roman" w:cs="Times New Roman"/>
          <w:sz w:val="24"/>
          <w:szCs w:val="24"/>
        </w:rPr>
        <w:t xml:space="preserve">and independent </w:t>
      </w:r>
      <w:r>
        <w:rPr>
          <w:rFonts w:ascii="Times New Roman" w:hAnsi="Times New Roman" w:cs="Times New Roman"/>
          <w:sz w:val="24"/>
          <w:szCs w:val="24"/>
        </w:rPr>
        <w:t>study be undertaken of how system personnel spend their time</w:t>
      </w:r>
      <w:r w:rsidR="00927590">
        <w:rPr>
          <w:rFonts w:ascii="Times New Roman" w:hAnsi="Times New Roman" w:cs="Times New Roman"/>
          <w:sz w:val="24"/>
          <w:szCs w:val="24"/>
        </w:rPr>
        <w:t>,</w:t>
      </w:r>
      <w:r>
        <w:rPr>
          <w:rFonts w:ascii="Times New Roman" w:hAnsi="Times New Roman" w:cs="Times New Roman"/>
          <w:sz w:val="24"/>
          <w:szCs w:val="24"/>
        </w:rPr>
        <w:t xml:space="preserve"> not only on </w:t>
      </w:r>
      <w:r w:rsidR="00927590">
        <w:rPr>
          <w:rFonts w:ascii="Times New Roman" w:hAnsi="Times New Roman" w:cs="Times New Roman"/>
          <w:sz w:val="24"/>
          <w:szCs w:val="24"/>
        </w:rPr>
        <w:t xml:space="preserve">recommendations </w:t>
      </w:r>
      <w:r w:rsidR="004D7B70">
        <w:rPr>
          <w:rFonts w:ascii="Times New Roman" w:hAnsi="Times New Roman" w:cs="Times New Roman"/>
          <w:sz w:val="24"/>
          <w:szCs w:val="24"/>
        </w:rPr>
        <w:t>in the preceding secti</w:t>
      </w:r>
      <w:r w:rsidR="009543DC">
        <w:rPr>
          <w:rFonts w:ascii="Times New Roman" w:hAnsi="Times New Roman" w:cs="Times New Roman"/>
          <w:sz w:val="24"/>
          <w:szCs w:val="24"/>
        </w:rPr>
        <w:t>on</w:t>
      </w:r>
      <w:r w:rsidR="00927590">
        <w:rPr>
          <w:rFonts w:ascii="Times New Roman" w:hAnsi="Times New Roman" w:cs="Times New Roman"/>
          <w:sz w:val="24"/>
          <w:szCs w:val="24"/>
        </w:rPr>
        <w:t xml:space="preserve"> in respect to Targeted Interventions but also on the extent to which they actually read and act on the reports they expect schools to provide</w:t>
      </w:r>
      <w:r w:rsidR="003B3CC3">
        <w:rPr>
          <w:rFonts w:ascii="Times New Roman" w:hAnsi="Times New Roman" w:cs="Times New Roman"/>
          <w:sz w:val="24"/>
          <w:szCs w:val="24"/>
        </w:rPr>
        <w:t>. It is not enough to require teachers and principals to be accountable and submit lengthy reports that provide evidence of what they have accomplished</w:t>
      </w:r>
      <w:r w:rsidR="002A158E">
        <w:rPr>
          <w:rFonts w:ascii="Times New Roman" w:hAnsi="Times New Roman" w:cs="Times New Roman"/>
          <w:sz w:val="24"/>
          <w:szCs w:val="24"/>
        </w:rPr>
        <w:t xml:space="preserve">. </w:t>
      </w:r>
      <w:r w:rsidR="003B3CC3">
        <w:rPr>
          <w:rFonts w:ascii="Times New Roman" w:hAnsi="Times New Roman" w:cs="Times New Roman"/>
          <w:sz w:val="24"/>
          <w:szCs w:val="24"/>
        </w:rPr>
        <w:t xml:space="preserve">Such a study should also report on </w:t>
      </w:r>
      <w:r w:rsidR="00C510A1">
        <w:rPr>
          <w:rFonts w:ascii="Times New Roman" w:hAnsi="Times New Roman" w:cs="Times New Roman"/>
          <w:sz w:val="24"/>
          <w:szCs w:val="24"/>
        </w:rPr>
        <w:t xml:space="preserve">how system personnel </w:t>
      </w:r>
      <w:r w:rsidR="009543DC">
        <w:rPr>
          <w:rFonts w:ascii="Times New Roman" w:hAnsi="Times New Roman" w:cs="Times New Roman"/>
          <w:sz w:val="24"/>
          <w:szCs w:val="24"/>
        </w:rPr>
        <w:t xml:space="preserve">spend </w:t>
      </w:r>
      <w:r w:rsidR="00C510A1">
        <w:rPr>
          <w:rFonts w:ascii="Times New Roman" w:hAnsi="Times New Roman" w:cs="Times New Roman"/>
          <w:sz w:val="24"/>
          <w:szCs w:val="24"/>
        </w:rPr>
        <w:t xml:space="preserve">their </w:t>
      </w:r>
      <w:r w:rsidR="009543DC">
        <w:rPr>
          <w:rFonts w:ascii="Times New Roman" w:hAnsi="Times New Roman" w:cs="Times New Roman"/>
          <w:sz w:val="24"/>
          <w:szCs w:val="24"/>
        </w:rPr>
        <w:t xml:space="preserve">time in schools to find out what occurs and why, providing direction and support as required (“system-as-researcher”). </w:t>
      </w:r>
    </w:p>
    <w:p w14:paraId="619B804E" w14:textId="144542AD" w:rsidR="00771C84" w:rsidRPr="00A23E3C" w:rsidRDefault="005B2075" w:rsidP="00037965">
      <w:pPr>
        <w:spacing w:after="120"/>
        <w:jc w:val="both"/>
        <w:rPr>
          <w:rFonts w:ascii="Times New Roman" w:hAnsi="Times New Roman" w:cs="Times New Roman"/>
          <w:sz w:val="24"/>
          <w:szCs w:val="24"/>
        </w:rPr>
      </w:pPr>
      <w:r>
        <w:rPr>
          <w:rFonts w:ascii="Times New Roman" w:hAnsi="Times New Roman" w:cs="Times New Roman"/>
          <w:sz w:val="24"/>
          <w:szCs w:val="24"/>
        </w:rPr>
        <w:tab/>
        <w:t xml:space="preserve">The brief to the Productivity Commission included the statement: “As managers of the largest school systems, states and territories have broad and deep insights into the impact of the National Policy Initiatives …” (Productivity Commission, 2022, p. v). This assumption </w:t>
      </w:r>
      <w:r w:rsidR="002A71FF">
        <w:rPr>
          <w:rFonts w:ascii="Times New Roman" w:hAnsi="Times New Roman" w:cs="Times New Roman"/>
          <w:sz w:val="24"/>
          <w:szCs w:val="24"/>
        </w:rPr>
        <w:t>is</w:t>
      </w:r>
      <w:r>
        <w:rPr>
          <w:rFonts w:ascii="Times New Roman" w:hAnsi="Times New Roman" w:cs="Times New Roman"/>
          <w:sz w:val="24"/>
          <w:szCs w:val="24"/>
        </w:rPr>
        <w:t xml:space="preserve"> challenged </w:t>
      </w:r>
      <w:r w:rsidR="00A6109E">
        <w:rPr>
          <w:rFonts w:ascii="Times New Roman" w:hAnsi="Times New Roman" w:cs="Times New Roman"/>
          <w:sz w:val="24"/>
          <w:szCs w:val="24"/>
        </w:rPr>
        <w:t>on the basis of</w:t>
      </w:r>
      <w:r>
        <w:rPr>
          <w:rFonts w:ascii="Times New Roman" w:hAnsi="Times New Roman" w:cs="Times New Roman"/>
          <w:sz w:val="24"/>
          <w:szCs w:val="24"/>
        </w:rPr>
        <w:t xml:space="preserve"> evidence presented in the Interim Report.</w:t>
      </w:r>
      <w:r w:rsidR="004D7B70">
        <w:rPr>
          <w:rFonts w:ascii="Times New Roman" w:hAnsi="Times New Roman" w:cs="Times New Roman"/>
          <w:sz w:val="24"/>
          <w:szCs w:val="24"/>
        </w:rPr>
        <w:t xml:space="preserve"> </w:t>
      </w:r>
    </w:p>
    <w:p w14:paraId="3AC27F0D" w14:textId="3ED0F04D" w:rsidR="00A85986" w:rsidRPr="000132E7" w:rsidRDefault="000132E7" w:rsidP="000132E7">
      <w:pPr>
        <w:pStyle w:val="ListParagraph"/>
        <w:numPr>
          <w:ilvl w:val="0"/>
          <w:numId w:val="28"/>
        </w:numPr>
        <w:spacing w:after="120"/>
        <w:jc w:val="both"/>
        <w:rPr>
          <w:rFonts w:ascii="Times New Roman" w:hAnsi="Times New Roman" w:cs="Times New Roman"/>
          <w:b/>
          <w:bCs/>
          <w:sz w:val="24"/>
          <w:szCs w:val="24"/>
        </w:rPr>
      </w:pPr>
      <w:r w:rsidRPr="000132E7">
        <w:rPr>
          <w:rFonts w:ascii="Times New Roman" w:hAnsi="Times New Roman" w:cs="Times New Roman"/>
          <w:b/>
          <w:bCs/>
          <w:sz w:val="24"/>
          <w:szCs w:val="24"/>
        </w:rPr>
        <w:t>ROLE OF PRINCIPALS UNDER CONDITIONS OF AUTONOMY</w:t>
      </w:r>
    </w:p>
    <w:p w14:paraId="50F70292" w14:textId="53503C59" w:rsidR="0006157E" w:rsidRDefault="0006157E" w:rsidP="00037965">
      <w:pPr>
        <w:spacing w:after="120"/>
        <w:jc w:val="both"/>
      </w:pPr>
      <w:r>
        <w:t>Th</w:t>
      </w:r>
      <w:r w:rsidR="000132E7">
        <w:t>e</w:t>
      </w:r>
      <w:r>
        <w:t xml:space="preserve"> Interim Report addresse</w:t>
      </w:r>
      <w:r w:rsidR="00037965">
        <w:t>d</w:t>
      </w:r>
      <w:r>
        <w:t xml:space="preserve"> matters related to the role of the principal and canvasse</w:t>
      </w:r>
      <w:r w:rsidR="00037965">
        <w:t>d</w:t>
      </w:r>
      <w:r>
        <w:t xml:space="preserve"> possibilities for attracting able people to leadership. My response is limited to the role of principals under conditions of autonomy, a subject I have researched and written about in recent decades.</w:t>
      </w:r>
    </w:p>
    <w:p w14:paraId="10FA1139" w14:textId="17F65445" w:rsidR="00441DE2" w:rsidRDefault="0006157E" w:rsidP="00037965">
      <w:pPr>
        <w:spacing w:after="120"/>
        <w:ind w:firstLine="720"/>
        <w:jc w:val="both"/>
      </w:pPr>
      <w:r>
        <w:lastRenderedPageBreak/>
        <w:t>The Interim Report provides a good summary of literature on the topic</w:t>
      </w:r>
      <w:r w:rsidR="00441DE2">
        <w:t>,</w:t>
      </w:r>
      <w:r>
        <w:t xml:space="preserve"> both national and international. I believe we have sufficient knowledge and experience to ensure that </w:t>
      </w:r>
      <w:r w:rsidR="00DB5A72">
        <w:t>s</w:t>
      </w:r>
      <w:r>
        <w:t xml:space="preserve">tates and </w:t>
      </w:r>
      <w:r w:rsidR="00DB5A72">
        <w:t>t</w:t>
      </w:r>
      <w:r>
        <w:t xml:space="preserve">erritories </w:t>
      </w:r>
      <w:r w:rsidR="00441DE2">
        <w:t>are able to</w:t>
      </w:r>
      <w:r>
        <w:t xml:space="preserve"> implement school autonomy well; indeed, better than most  countries. </w:t>
      </w:r>
    </w:p>
    <w:p w14:paraId="5B140D28" w14:textId="66AB0CBF" w:rsidR="002A71FF" w:rsidRDefault="002A71FF" w:rsidP="00037965">
      <w:pPr>
        <w:spacing w:after="120"/>
        <w:ind w:firstLine="720"/>
        <w:jc w:val="both"/>
      </w:pPr>
      <w:r>
        <w:t>There should be agreement on the meaning of school autonomy. I recommend the following</w:t>
      </w:r>
      <w:r w:rsidR="0037785F">
        <w:t xml:space="preserve"> based on findings in projects reported below along with foundation conceptual work on the self-managing school (Caldwell &amp; Spinks, 1988). This definition makes clear that autonomy is constrained by system accountabilities.</w:t>
      </w:r>
    </w:p>
    <w:p w14:paraId="7334D28E" w14:textId="787439DA" w:rsidR="002A71FF" w:rsidRDefault="002A71FF" w:rsidP="0037785F">
      <w:pPr>
        <w:spacing w:after="120"/>
        <w:ind w:left="720"/>
      </w:pPr>
      <w:r>
        <w:t xml:space="preserve">There is school autonomy when there has been significant and consistent decentralisation to the school level of authority to make decisions related to the allocation of resources, with decisions at the school level being made within a framework of local, state </w:t>
      </w:r>
      <w:r w:rsidR="00DB5A72">
        <w:t>and</w:t>
      </w:r>
      <w:r>
        <w:t xml:space="preserve"> national policies and</w:t>
      </w:r>
      <w:r w:rsidR="0037785F">
        <w:t xml:space="preserve"> priorities</w:t>
      </w:r>
      <w:r>
        <w:t>. The school remains accountable to a central authority for the manner in which resources are allocated.</w:t>
      </w:r>
      <w:r w:rsidR="0037785F">
        <w:t xml:space="preserve"> </w:t>
      </w:r>
      <w:r>
        <w:t xml:space="preserve">Resources </w:t>
      </w:r>
      <w:r w:rsidR="0037785F">
        <w:t>are</w:t>
      </w:r>
      <w:r>
        <w:t xml:space="preserve"> defined broadly to include curriculum,</w:t>
      </w:r>
      <w:r w:rsidR="0037785F">
        <w:t xml:space="preserve"> people, time, </w:t>
      </w:r>
      <w:r>
        <w:t xml:space="preserve">materiel, </w:t>
      </w:r>
      <w:r w:rsidR="0037785F">
        <w:t>technology</w:t>
      </w:r>
      <w:r>
        <w:t xml:space="preserve"> and finance. </w:t>
      </w:r>
    </w:p>
    <w:p w14:paraId="5CE65C2B" w14:textId="401BB3F3" w:rsidR="0006157E" w:rsidRDefault="0006157E" w:rsidP="0037785F">
      <w:pPr>
        <w:spacing w:before="120"/>
        <w:ind w:firstLine="720"/>
        <w:jc w:val="both"/>
      </w:pPr>
      <w:r>
        <w:t>There are six projects that are not referenced in the Interim Report that might be useful in preparing the Final Report</w:t>
      </w:r>
      <w:r w:rsidR="00441DE2">
        <w:t>. All six were funded by the Australian Government.</w:t>
      </w:r>
      <w:r w:rsidR="0037785F">
        <w:t xml:space="preserve"> I was chief investigator </w:t>
      </w:r>
      <w:r w:rsidR="00DB5A72">
        <w:t>for</w:t>
      </w:r>
      <w:r w:rsidR="0037785F">
        <w:t xml:space="preserve"> each.</w:t>
      </w:r>
      <w:r w:rsidR="00441DE2">
        <w:t xml:space="preserve"> </w:t>
      </w:r>
      <w:r w:rsidR="0037785F">
        <w:t>T</w:t>
      </w:r>
      <w:r w:rsidR="000132E7">
        <w:t>hree</w:t>
      </w:r>
      <w:r w:rsidR="00441DE2">
        <w:t xml:space="preserve"> books were published</w:t>
      </w:r>
      <w:r w:rsidR="000132E7">
        <w:t xml:space="preserve"> (Caldwell &amp; Harris, 2008; Caldwell, 2016a; Caldwell, 2018). </w:t>
      </w:r>
      <w:r w:rsidR="00441DE2">
        <w:t xml:space="preserve"> These  projects were conducted from 2007 to 2017. </w:t>
      </w:r>
      <w:r w:rsidR="00AC5D04">
        <w:t>The following are brief summaries.</w:t>
      </w:r>
      <w:r w:rsidR="00441DE2">
        <w:t xml:space="preserve"> </w:t>
      </w:r>
    </w:p>
    <w:p w14:paraId="77884257" w14:textId="162B3876" w:rsidR="00046420" w:rsidRDefault="00046420" w:rsidP="0037785F">
      <w:pPr>
        <w:spacing w:before="120"/>
        <w:ind w:firstLine="720"/>
        <w:jc w:val="both"/>
        <w:rPr>
          <w:rFonts w:ascii="Times New Roman" w:hAnsi="Times New Roman" w:cs="Times New Roman"/>
        </w:rPr>
      </w:pPr>
      <w:r>
        <w:t xml:space="preserve">The </w:t>
      </w:r>
      <w:r w:rsidRPr="00B61E85">
        <w:rPr>
          <w:i/>
          <w:iCs/>
        </w:rPr>
        <w:t>Principal Autonomy Research Project</w:t>
      </w:r>
      <w:r>
        <w:t xml:space="preserve"> was commissioned by the Australian Government in 2007. The project involved mapping approaches to school autonomy in each state and territory as well as in Catholic and independent schools. Document analysis and interviews with leaders in each sector were conducted in every state and territory as well as with leaders of principals’ associations around the country. Case studies were conducted in each jurisdiction and in each sector. A comprehensive review of research was undertaken. The report was submitted to the Department of Education, Science and Training (DEST) </w:t>
      </w:r>
      <w:r w:rsidR="00037965">
        <w:t>in</w:t>
      </w:r>
      <w:r>
        <w:t xml:space="preserve"> December 2007, being received on the change of government by Julia Gillard, then Minister for Education. Gillard released the report in 2009.</w:t>
      </w:r>
      <w:r>
        <w:tab/>
      </w:r>
    </w:p>
    <w:p w14:paraId="7760AA49" w14:textId="77777777" w:rsidR="00DB5A72" w:rsidRDefault="00046420" w:rsidP="003E7755">
      <w:pPr>
        <w:spacing w:before="120"/>
        <w:ind w:firstLine="720"/>
        <w:jc w:val="both"/>
      </w:pPr>
      <w:r>
        <w:t xml:space="preserve">The </w:t>
      </w:r>
      <w:r w:rsidRPr="00B61E85">
        <w:rPr>
          <w:i/>
          <w:iCs/>
        </w:rPr>
        <w:t>International Project to Frame the Transformation of Schools</w:t>
      </w:r>
      <w:r>
        <w:t xml:space="preserve"> was conducted in 2006 and 2007, with the findings included in Caldwell and Harris (2008). Funds were provided by the Department of Education, Science and Training (DEST (Australia) and the Department for Education, Lifelong Learning and Skills (DELLS) (Wales). The framework for the project was derived from a series of events from 2004 to 2006 for school and system leaders from 11 countries who had an interest in transformation: 49 case studies written by school leaders, 4 master classes and 60 workshops. These included 19 workshops in every state and territory in a program organised by the Australian College of Educators. The aim was to identify factors that were perceived to be important in efforts to achieve the transformation of schools. </w:t>
      </w:r>
      <w:r w:rsidR="00DB5A72">
        <w:t xml:space="preserve">   </w:t>
      </w:r>
    </w:p>
    <w:p w14:paraId="1612AD13" w14:textId="06DD6B0E" w:rsidR="00046420" w:rsidRPr="00037965" w:rsidRDefault="00046420" w:rsidP="003E7755">
      <w:pPr>
        <w:spacing w:before="120"/>
        <w:ind w:firstLine="720"/>
        <w:jc w:val="both"/>
        <w:rPr>
          <w:rFonts w:ascii="Times New Roman" w:hAnsi="Times New Roman" w:cs="Times New Roman"/>
        </w:rPr>
      </w:pPr>
      <w:r>
        <w:t>Analysis resulted in the identification of four forms of “capital,” or resources, as reported in Caldwell and</w:t>
      </w:r>
      <w:r w:rsidR="00DB5A72">
        <w:t xml:space="preserve"> </w:t>
      </w:r>
      <w:r>
        <w:t xml:space="preserve">Spinks (2006) and Caldwell and Harris (2008). Schools that have been transformed or have made good progress to transformation are adept at strengthening and aligning four forms of capital: intellectual capital, social capital, spiritual capital and financial capital, achieving this strength and alignment through </w:t>
      </w:r>
      <w:r w:rsidR="00FB638E">
        <w:t>good</w:t>
      </w:r>
      <w:r>
        <w:t xml:space="preserve"> governance. About 4,000 school and school system leaders participated the activities described above.</w:t>
      </w:r>
      <w:r w:rsidR="00037965">
        <w:rPr>
          <w:rFonts w:ascii="Times New Roman" w:hAnsi="Times New Roman" w:cs="Times New Roman"/>
        </w:rPr>
        <w:t xml:space="preserve"> </w:t>
      </w:r>
      <w:r>
        <w:t xml:space="preserve">The project concluded with case studies in six countries in 2006 and 2007, all in public secondary schools (except in Victoria, Australia where one primary and one independent school were included): Australia (Victoria) (7 schools), China (Chongqing) (5), England (5), Finland (Tampere) (5), United States (Michigan, New Mexico, Hawaii, California, New York) (5) and Wales (5). </w:t>
      </w:r>
    </w:p>
    <w:p w14:paraId="658666E0" w14:textId="5E3276F7" w:rsidR="00046420" w:rsidRDefault="00046420" w:rsidP="00037965">
      <w:pPr>
        <w:spacing w:before="120"/>
        <w:ind w:firstLine="720"/>
        <w:jc w:val="both"/>
        <w:rPr>
          <w:rFonts w:ascii="Times New Roman" w:hAnsi="Times New Roman" w:cs="Times New Roman"/>
        </w:rPr>
      </w:pPr>
      <w:r>
        <w:t xml:space="preserve">I was invited to make an Australian contribution to a project entitled the </w:t>
      </w:r>
      <w:r w:rsidRPr="00B61E85">
        <w:rPr>
          <w:i/>
          <w:iCs/>
        </w:rPr>
        <w:t>International Study on School Autonomy and Learning</w:t>
      </w:r>
      <w:r>
        <w:t xml:space="preserve"> (ISSAL). Convened by the Chief Scientist</w:t>
      </w:r>
      <w:r w:rsidR="00A6109E">
        <w:t xml:space="preserve"> in the Israel Ministry of Education</w:t>
      </w:r>
      <w:r>
        <w:t xml:space="preserve">, members of the research team were from Australia, Canada, China (Hong Kong), England, Finland, Israel and Singapore. The purpose was to use surveys and conduct case studies that illuminate the link between school autonomy and learning. Three contributions from Australia were funded by the federal </w:t>
      </w:r>
      <w:r>
        <w:lastRenderedPageBreak/>
        <w:t xml:space="preserve">government and published in Caldwell (2016a, 2016b and 2018). </w:t>
      </w:r>
      <w:r w:rsidR="00B22311">
        <w:t>The project was conducted from 2014 to 2017.</w:t>
      </w:r>
    </w:p>
    <w:p w14:paraId="7AF55B36" w14:textId="77777777" w:rsidR="007150B8" w:rsidRDefault="00046420" w:rsidP="00037965">
      <w:pPr>
        <w:spacing w:before="120"/>
        <w:jc w:val="both"/>
      </w:pPr>
      <w:r>
        <w:tab/>
        <w:t xml:space="preserve">The </w:t>
      </w:r>
      <w:r w:rsidRPr="00046420">
        <w:t>first contribution</w:t>
      </w:r>
      <w:r>
        <w:t xml:space="preserve"> dealt with the “how,” with findings published in Caldwell (2016a). System leaders in the ACT, Queensland and Victoria were each invited to nominate three schools in their jurisdiction that had a high degree of autonomy, had performed well on tests of student achievement and which would be able to explain how the links were made. Five schools were selected to ensure representation of each level of schooling and </w:t>
      </w:r>
      <w:r w:rsidR="00B22311">
        <w:t xml:space="preserve">I </w:t>
      </w:r>
      <w:r>
        <w:t>spent two days in each school, interviewing principals, other school leaders and teachers. Participants were from primary schools in Victoria (Broadmeadows and Specimen Hill), one secondary school in the ACT (Canberra High), one P-10 school in Queensland (Millmerran) and a senior secondary college in Victoria (Glen Waverley). Diagrams were prepared illustrating the chain of cause-and-effect for various initiatives. Case study accounts and diagrams were confirmed by principals. The outcome of the project included a summary of international research on the impact of school autonomy as well as accounts of the Australian context and the five case studies. A seminar for stakeholders was held at Parliament House, Canberra featuring presentations from the five principals and the author.</w:t>
      </w:r>
      <w:r w:rsidR="00037965">
        <w:t xml:space="preserve"> </w:t>
      </w:r>
    </w:p>
    <w:p w14:paraId="6B1208D8" w14:textId="76AA3663" w:rsidR="00046420" w:rsidRDefault="00046420" w:rsidP="007150B8">
      <w:pPr>
        <w:spacing w:before="120"/>
        <w:ind w:firstLine="720"/>
        <w:jc w:val="both"/>
      </w:pPr>
      <w:r>
        <w:t>An important distinction in the report of this study, cited in Gonski 2.0 (Department of Education and Training, 2018, p. 89) was between structural autonomy and professional autonomy. Case study schools exhibited a high level of professional autonomy.</w:t>
      </w:r>
    </w:p>
    <w:p w14:paraId="2DEA42A0" w14:textId="77777777" w:rsidR="00046420" w:rsidRDefault="00046420" w:rsidP="00037965">
      <w:pPr>
        <w:spacing w:before="120"/>
        <w:ind w:left="720"/>
        <w:jc w:val="both"/>
      </w:pPr>
      <w:r w:rsidRPr="00046420">
        <w:t>Structural autonomy</w:t>
      </w:r>
      <w:r>
        <w:t xml:space="preserve"> refers to policies, regulations and procedures that permit the school to exercise autonomy. Schools may take up such a remit in a variety of ways, or not at all, including ways that are ineffective or counter-productive if the intent is to improve outcomes for students. The granting of autonomy may make no difference to outcomes for students unless the school has the capacity to make decisions that are likely to make a difference, and uses that capacity to achieve this end.</w:t>
      </w:r>
    </w:p>
    <w:p w14:paraId="0F0ACD38" w14:textId="77777777" w:rsidR="00046420" w:rsidRDefault="00046420" w:rsidP="00037965">
      <w:pPr>
        <w:spacing w:before="120"/>
        <w:ind w:left="720"/>
        <w:jc w:val="both"/>
      </w:pPr>
      <w:r w:rsidRPr="00046420">
        <w:t>Professional autonomy</w:t>
      </w:r>
      <w:r>
        <w:t xml:space="preserve"> refers to teachers and their leaders having the capacity to make decisions that are likely to make a difference to outcomes for students, and this capacity is exercised in a significant, systemic and sustained fashion. Professional autonomy calls for the exercise of judgement, with a high level of discretion in the exercise of that judgement. (Caldwell, 2016a, p. 35)</w:t>
      </w:r>
    </w:p>
    <w:p w14:paraId="4036C356" w14:textId="77777777" w:rsidR="003E7755" w:rsidRDefault="00046420" w:rsidP="00037965">
      <w:pPr>
        <w:spacing w:before="120"/>
        <w:ind w:firstLine="720"/>
        <w:jc w:val="both"/>
      </w:pPr>
      <w:r>
        <w:t xml:space="preserve">The </w:t>
      </w:r>
      <w:r w:rsidRPr="00046420">
        <w:t>second contribution</w:t>
      </w:r>
      <w:r>
        <w:t xml:space="preserve"> drew on a survey of principals across Australia, with findings reported in Caldwell (2018b). The Australian Council for Educational Research (ACER) provided a stratified random sample of public schools. More than half of respondents reported a higher level of autonomy than five years ago. Most identified factors associated with autonomy that enabled them to make decisions that helped achieve improved learning outcomes. They identified strategies that were employed to build the capacity of staff. Their school systems supported schools in a variety of ways. A majority would prefer a higher level of autonomy.</w:t>
      </w:r>
      <w:r w:rsidR="00037965">
        <w:t xml:space="preserve"> </w:t>
      </w:r>
    </w:p>
    <w:p w14:paraId="4EE87BE6" w14:textId="41825655" w:rsidR="00046420" w:rsidRDefault="00046420" w:rsidP="00037965">
      <w:pPr>
        <w:spacing w:before="120"/>
        <w:ind w:firstLine="720"/>
        <w:jc w:val="both"/>
      </w:pPr>
      <w:r>
        <w:t xml:space="preserve">Noteworthy were responses on constraints on autonomy. Six factors were generally viewed as clearly constraining and four were perceived to be both constraining and supporting. In the first category were national/system curriculum, national/system testing, expectations/demands on principals’ time, expectations/demands on teachers’ time, national/system targets for improvement, and compliance requirements. In the second category were performance management requirements for principals, performance management requirements for teachers, system requirements for school review, and system requirements for accountability. The most constraining factor was compliance requirements. The most supportive was performance management requirements for teachers. These </w:t>
      </w:r>
      <w:r w:rsidR="00037965">
        <w:t xml:space="preserve">and open-ended </w:t>
      </w:r>
      <w:r>
        <w:t xml:space="preserve">responses underpinned the following recommendation: </w:t>
      </w:r>
    </w:p>
    <w:p w14:paraId="47E61766" w14:textId="77777777" w:rsidR="00046420" w:rsidRDefault="00046420" w:rsidP="00037965">
      <w:pPr>
        <w:spacing w:before="120"/>
        <w:ind w:left="720"/>
        <w:jc w:val="both"/>
      </w:pPr>
      <w:r>
        <w:t xml:space="preserve">There were simply too many concerns raised or implied about these matters which are seen as a constraint on autonomy. The open-ended responses, in particular, make this clear. While school systems can offer good reasons why these exist, they should re-double their efforts to reduce the </w:t>
      </w:r>
      <w:r>
        <w:lastRenderedPageBreak/>
        <w:t>demands on principals, especially as far as compliance requirements are concerned. (Caldwell, 2016b, p. 44)</w:t>
      </w:r>
    </w:p>
    <w:p w14:paraId="611C6CA9" w14:textId="77777777" w:rsidR="00046420" w:rsidRDefault="00046420" w:rsidP="00A6109E">
      <w:pPr>
        <w:spacing w:before="120" w:after="120"/>
        <w:ind w:firstLine="720"/>
        <w:jc w:val="both"/>
      </w:pPr>
      <w:r>
        <w:t xml:space="preserve">The third contribution </w:t>
      </w:r>
      <w:r w:rsidRPr="00046420">
        <w:t>to the International Study on School Autonomy and Learning</w:t>
      </w:r>
      <w:r>
        <w:t xml:space="preserve"> arose from an invitation from a senior official in a department of the federal government in 2016 to consider a study of how the two levels of government worked together in the cause of school education. Agreement was reached with the Department of Education and Training for a funded project that would be of value to the Department as well as make a contribution to ISSAL. This project was conducted in 2017 with integration of research reports in a book (Caldwell, 2018). There were five objectives:</w:t>
      </w:r>
    </w:p>
    <w:p w14:paraId="1A81699C" w14:textId="77777777" w:rsidR="00046420" w:rsidRDefault="00046420" w:rsidP="00AC5D04">
      <w:pPr>
        <w:pStyle w:val="NoSpacing"/>
        <w:numPr>
          <w:ilvl w:val="0"/>
          <w:numId w:val="26"/>
        </w:numPr>
        <w:spacing w:before="0" w:after="0"/>
      </w:pPr>
      <w:r>
        <w:t>How have high-performing jurisdictions achieved strategic alignment across different levels of government when formulating and implementing policy to improve student performance?</w:t>
      </w:r>
    </w:p>
    <w:p w14:paraId="71BD53D2" w14:textId="77777777" w:rsidR="00046420" w:rsidRDefault="00046420" w:rsidP="00AC5D04">
      <w:pPr>
        <w:pStyle w:val="NoSpacing"/>
        <w:numPr>
          <w:ilvl w:val="0"/>
          <w:numId w:val="26"/>
        </w:numPr>
        <w:spacing w:before="0" w:after="0"/>
        <w:ind w:left="1077" w:hanging="357"/>
      </w:pPr>
      <w:r>
        <w:t>What role is played by a higher level of school autonomy, especially professional autonomy, in achieving this alignment?</w:t>
      </w:r>
    </w:p>
    <w:p w14:paraId="07458A71" w14:textId="77777777" w:rsidR="00046420" w:rsidRDefault="00046420" w:rsidP="00AC5D04">
      <w:pPr>
        <w:pStyle w:val="NoSpacing"/>
        <w:numPr>
          <w:ilvl w:val="0"/>
          <w:numId w:val="26"/>
        </w:numPr>
        <w:spacing w:before="0" w:after="0"/>
      </w:pPr>
      <w:r>
        <w:t xml:space="preserve">How have principals and teachers exercised professional autonomy to build a capacity for transformational change? </w:t>
      </w:r>
    </w:p>
    <w:p w14:paraId="11DCBAF0" w14:textId="77777777" w:rsidR="00046420" w:rsidRDefault="00046420" w:rsidP="00AC5D04">
      <w:pPr>
        <w:pStyle w:val="NoSpacing"/>
        <w:numPr>
          <w:ilvl w:val="0"/>
          <w:numId w:val="26"/>
        </w:numPr>
        <w:spacing w:before="0" w:after="0"/>
      </w:pPr>
      <w:r>
        <w:t>What approaches to the preparation and professional development of principals and teachers have proved effective in systems where higher levels of autonomy have been extended to schools?</w:t>
      </w:r>
    </w:p>
    <w:p w14:paraId="5BFC5144" w14:textId="77777777" w:rsidR="00046420" w:rsidRDefault="00046420" w:rsidP="00AC5D04">
      <w:pPr>
        <w:pStyle w:val="NoSpacing"/>
        <w:numPr>
          <w:ilvl w:val="0"/>
          <w:numId w:val="26"/>
        </w:numPr>
        <w:spacing w:before="0" w:after="0"/>
      </w:pPr>
      <w:r>
        <w:t>What factors have constrained efforts to achieve transformational change as efforts have been made to improve performance?</w:t>
      </w:r>
    </w:p>
    <w:p w14:paraId="2BC896B4" w14:textId="1392EE99" w:rsidR="00903A45" w:rsidRDefault="00903A45" w:rsidP="00903A45">
      <w:pPr>
        <w:pStyle w:val="NoSpacing"/>
        <w:ind w:firstLine="720"/>
      </w:pPr>
      <w:r>
        <w:t>A large amount of information was gathered in respect to #4 above, and this will be of interest to the Productivity Commission and jurisdictions around the country.</w:t>
      </w:r>
    </w:p>
    <w:p w14:paraId="6E95601B" w14:textId="55FB7BC8" w:rsidR="008E1806" w:rsidRDefault="00046420" w:rsidP="00903A45">
      <w:pPr>
        <w:pStyle w:val="NoSpacing"/>
        <w:ind w:firstLine="720"/>
      </w:pPr>
      <w:r>
        <w:t xml:space="preserve">Information was gathered about alignment in four federations (Australia, Canada, Germany, United States) and nine unitary states (England, Estonia, Finland, Israel, Japan, Korea [South], New Zealand, Singapore and China [Hong Kong]). Narratives on alignment yielded 15 benchmarks with 12 that facilitate comparisons on roles in accounting for current high performance and three on roles in adaptability or sustaining high performance in the longer term. </w:t>
      </w:r>
    </w:p>
    <w:p w14:paraId="4C372113" w14:textId="3DE8243A" w:rsidR="009C77B1" w:rsidRDefault="000132E7" w:rsidP="007150B8">
      <w:pPr>
        <w:pStyle w:val="NoSpacing"/>
        <w:ind w:firstLine="720"/>
      </w:pPr>
      <w:r>
        <w:t xml:space="preserve">Based on what is contained in the Interim Report and the additional information provided above, I recommend that the next NSRA include an agreement to </w:t>
      </w:r>
      <w:r w:rsidR="009C77B1">
        <w:t>build the capacity of schools, further and urgently,</w:t>
      </w:r>
      <w:r>
        <w:t xml:space="preserve"> in respect to </w:t>
      </w:r>
      <w:r w:rsidR="009C77B1">
        <w:t xml:space="preserve">their professional autonomy. </w:t>
      </w:r>
      <w:r w:rsidR="007150B8">
        <w:t xml:space="preserve">It is acknowledged that programs in initial teacher education should make a contribution. The Interim Report deals comprehensively with this matter and secretaries of education in the </w:t>
      </w:r>
      <w:r w:rsidR="003E7755">
        <w:t>s</w:t>
      </w:r>
      <w:r w:rsidR="007150B8">
        <w:t xml:space="preserve">tates and </w:t>
      </w:r>
      <w:r w:rsidR="003E7755">
        <w:t>t</w:t>
      </w:r>
      <w:r w:rsidR="007150B8">
        <w:t>erritories are prov</w:t>
      </w:r>
      <w:r w:rsidR="003E7755">
        <w:t>id</w:t>
      </w:r>
      <w:r w:rsidR="007150B8">
        <w:t xml:space="preserve">ing </w:t>
      </w:r>
      <w:r w:rsidR="003E7755">
        <w:t xml:space="preserve">a </w:t>
      </w:r>
      <w:r w:rsidR="007150B8">
        <w:t>report to the Education Ministers Meeting in December.</w:t>
      </w:r>
    </w:p>
    <w:p w14:paraId="6E36BA76" w14:textId="0F6282C7" w:rsidR="009C77B1" w:rsidRPr="009C77B1" w:rsidRDefault="009C77B1" w:rsidP="009C77B1">
      <w:pPr>
        <w:pStyle w:val="NoSpacing"/>
      </w:pPr>
      <w:r>
        <w:rPr>
          <w:i/>
          <w:iCs/>
        </w:rPr>
        <w:t>Note on transparency</w:t>
      </w:r>
      <w:r w:rsidR="000132E7" w:rsidRPr="009C77B1">
        <w:t xml:space="preserve"> </w:t>
      </w:r>
    </w:p>
    <w:p w14:paraId="032C58B0" w14:textId="3B7FE3FC" w:rsidR="009C77B1" w:rsidRDefault="009C77B1" w:rsidP="009C77B1">
      <w:pPr>
        <w:pStyle w:val="NoSpacing"/>
      </w:pPr>
      <w:r>
        <w:t xml:space="preserve">I </w:t>
      </w:r>
      <w:r w:rsidR="0069355D">
        <w:t>read</w:t>
      </w:r>
      <w:r>
        <w:t xml:space="preserve"> the response to the Interim Report </w:t>
      </w:r>
      <w:r w:rsidR="00C71216">
        <w:t>from</w:t>
      </w:r>
      <w:r>
        <w:t xml:space="preserve"> the National School Resourcing Board which called for more transparency in the way money is allocated, across a system and within schools.</w:t>
      </w:r>
    </w:p>
    <w:p w14:paraId="0152D6F6" w14:textId="0723A2E4" w:rsidR="00271AD2" w:rsidRDefault="009C77B1" w:rsidP="009C77B1">
      <w:pPr>
        <w:pStyle w:val="NoSpacing"/>
      </w:pPr>
      <w:r>
        <w:tab/>
      </w:r>
      <w:r w:rsidR="00B22311">
        <w:t>Government s</w:t>
      </w:r>
      <w:r>
        <w:t xml:space="preserve">chools with a relatively high level of autonomy </w:t>
      </w:r>
      <w:r w:rsidR="0081122B">
        <w:t xml:space="preserve">in </w:t>
      </w:r>
      <w:r w:rsidR="00B22311">
        <w:t>most</w:t>
      </w:r>
      <w:r w:rsidR="0081122B">
        <w:t xml:space="preserve"> jurisdictions</w:t>
      </w:r>
      <w:r w:rsidR="00B22311">
        <w:t xml:space="preserve"> as well as non-government schools</w:t>
      </w:r>
      <w:r w:rsidR="0081122B">
        <w:t xml:space="preserve"> </w:t>
      </w:r>
      <w:r>
        <w:t>already prepare their budgets with a high degree of transparency and make them available to their policymaking bod</w:t>
      </w:r>
      <w:r w:rsidR="00271AD2">
        <w:t>ies</w:t>
      </w:r>
      <w:r>
        <w:t xml:space="preserve"> such as a school board or school council</w:t>
      </w:r>
      <w:r w:rsidR="0069355D">
        <w:t xml:space="preserve">, </w:t>
      </w:r>
      <w:r w:rsidR="00B22311">
        <w:t>who must approve them in most instances</w:t>
      </w:r>
      <w:r w:rsidR="00271AD2">
        <w:t xml:space="preserve">. The </w:t>
      </w:r>
      <w:r w:rsidR="003E7755">
        <w:t>style and substances</w:t>
      </w:r>
      <w:r w:rsidR="00271AD2">
        <w:t xml:space="preserve"> of these budgets does not match what is reported on the My School website, but they make sense</w:t>
      </w:r>
      <w:r w:rsidR="003E7755">
        <w:t xml:space="preserve"> in the local context</w:t>
      </w:r>
      <w:r w:rsidR="00271AD2">
        <w:t>.</w:t>
      </w:r>
      <w:r>
        <w:t xml:space="preserve"> </w:t>
      </w:r>
    </w:p>
    <w:p w14:paraId="186FF16E" w14:textId="6E819ED1" w:rsidR="009C77B1" w:rsidRDefault="009C77B1" w:rsidP="00271AD2">
      <w:pPr>
        <w:pStyle w:val="NoSpacing"/>
        <w:ind w:firstLine="720"/>
      </w:pPr>
      <w:r>
        <w:t xml:space="preserve">This is particularly evident in </w:t>
      </w:r>
      <w:r w:rsidR="0069355D">
        <w:t>public schools in Victoria where there has been</w:t>
      </w:r>
      <w:r w:rsidR="0081122B">
        <w:t xml:space="preserve"> </w:t>
      </w:r>
      <w:r w:rsidR="0069355D">
        <w:t xml:space="preserve">more than 20 years’ experience of school-based program budgeting. I chaired a committee in the 1990s that </w:t>
      </w:r>
      <w:r w:rsidR="0069355D">
        <w:lastRenderedPageBreak/>
        <w:t xml:space="preserve">made the “first cut” of such an approach which was based on experience of needs-based system and school level budgeting in the landmark reforms in Edmonton Public Schools in Canada. </w:t>
      </w:r>
      <w:r w:rsidR="006D506D">
        <w:t>A range of funding models, including the Edmonton approach, is contained in Chapter 11 of Caldwell and Spinks (2013). In other words, there is extensive knowledge of how to achieve a high level of transparency in the allocation of resources at the school level, so the Productivity Commission is well-placed to recommend speedy action in the next NSRA.</w:t>
      </w:r>
      <w:r w:rsidR="00271AD2">
        <w:t xml:space="preserve"> Developing a one-best-way to secure transparency that suits all schools and contexts across the country may not be possible. There should at least be a review of the way the allocation of funds is reported on My School. The school’s budget should be reported in its My School profile.</w:t>
      </w:r>
    </w:p>
    <w:p w14:paraId="4E711BA3" w14:textId="0BE4CB7A" w:rsidR="00C71216" w:rsidRDefault="00C71216" w:rsidP="009C77B1">
      <w:pPr>
        <w:pStyle w:val="NoSpacing"/>
      </w:pPr>
      <w:r>
        <w:tab/>
        <w:t xml:space="preserve">The National School Resourcing Board believes it is important to establish the relationship between funding and outcomes. While funding is important, it is </w:t>
      </w:r>
      <w:r w:rsidR="00903A45">
        <w:t>critical</w:t>
      </w:r>
      <w:r>
        <w:t xml:space="preserve"> to recall the findings of the International Project to Frame the Transformation of Schools cited above. Four forms of capital are </w:t>
      </w:r>
      <w:r w:rsidR="00903A45">
        <w:t>necessary</w:t>
      </w:r>
      <w:r>
        <w:t xml:space="preserve"> to securing high performance: intellectual, social, spiritual (defined broadly to include values) and financial, with all four integrated through good governance. Two schools receiving identical funds and with the same level of socio-educational advantage may have dramatically different outcomes for students</w:t>
      </w:r>
      <w:r w:rsidR="00903A45">
        <w:t xml:space="preserve"> because they have paid attention to the other forms of capital</w:t>
      </w:r>
      <w:r w:rsidR="006A58CF">
        <w:t>.</w:t>
      </w:r>
    </w:p>
    <w:p w14:paraId="250CF8D7" w14:textId="103558E5" w:rsidR="006D506D" w:rsidRPr="006D506D" w:rsidRDefault="006D506D" w:rsidP="009C77B1">
      <w:pPr>
        <w:pStyle w:val="NoSpacing"/>
        <w:rPr>
          <w:b/>
          <w:bCs/>
        </w:rPr>
      </w:pPr>
      <w:r>
        <w:rPr>
          <w:b/>
          <w:bCs/>
        </w:rPr>
        <w:t>SUMMARY</w:t>
      </w:r>
    </w:p>
    <w:p w14:paraId="53012DB8" w14:textId="757354BE" w:rsidR="000132E7" w:rsidRPr="00B71725" w:rsidRDefault="00903A45" w:rsidP="00B71725">
      <w:pPr>
        <w:pStyle w:val="NoSpacing"/>
        <w:rPr>
          <w:szCs w:val="24"/>
        </w:rPr>
      </w:pPr>
      <w:r>
        <w:t>The starting point in this response to the Interim Report was the statement on page</w:t>
      </w:r>
      <w:r w:rsidR="009C77B1">
        <w:tab/>
      </w:r>
      <w:r w:rsidR="000132E7">
        <w:t xml:space="preserve"> </w:t>
      </w:r>
      <w:r>
        <w:t xml:space="preserve">22 that </w:t>
      </w:r>
      <w:r w:rsidRPr="00A23E3C">
        <w:t>“the NSRA will need to close the distance between national policy making and classroom practice</w:t>
      </w:r>
      <w:r>
        <w:t>.” This frame</w:t>
      </w:r>
      <w:r w:rsidR="00946C38">
        <w:t>d</w:t>
      </w:r>
      <w:r>
        <w:t xml:space="preserve"> the </w:t>
      </w:r>
      <w:r w:rsidR="00E311CA">
        <w:t>analysis and recommendations on targetted interventions, teacher and principal time</w:t>
      </w:r>
      <w:r w:rsidR="00E311CA" w:rsidRPr="00B71725">
        <w:rPr>
          <w:szCs w:val="24"/>
        </w:rPr>
        <w:t xml:space="preserve">, and the role of the principal under conditions of autonomy. I have no doubt that jurisdictions recognise the importance of the matters raised, and </w:t>
      </w:r>
      <w:r w:rsidR="00BA4D80" w:rsidRPr="00B71725">
        <w:rPr>
          <w:szCs w:val="24"/>
        </w:rPr>
        <w:t>many</w:t>
      </w:r>
      <w:r w:rsidR="00E311CA" w:rsidRPr="00B71725">
        <w:rPr>
          <w:szCs w:val="24"/>
        </w:rPr>
        <w:t xml:space="preserve"> strategies have been tried</w:t>
      </w:r>
      <w:r w:rsidR="00E46962" w:rsidRPr="00B71725">
        <w:rPr>
          <w:szCs w:val="24"/>
        </w:rPr>
        <w:t>,</w:t>
      </w:r>
      <w:r w:rsidR="00E311CA" w:rsidRPr="00B71725">
        <w:rPr>
          <w:szCs w:val="24"/>
        </w:rPr>
        <w:t xml:space="preserve"> but measures taken to date are simply not working if the goal of improved outcomes is to be achieved. </w:t>
      </w:r>
    </w:p>
    <w:p w14:paraId="49CB1773" w14:textId="16FFB005" w:rsidR="00BA4D80" w:rsidRPr="00B71725" w:rsidRDefault="00BA4D80" w:rsidP="00B71725">
      <w:pPr>
        <w:spacing w:after="120"/>
        <w:ind w:firstLine="720"/>
        <w:jc w:val="both"/>
        <w:rPr>
          <w:sz w:val="24"/>
          <w:szCs w:val="24"/>
        </w:rPr>
      </w:pPr>
      <w:r w:rsidRPr="00B71725">
        <w:rPr>
          <w:sz w:val="24"/>
          <w:szCs w:val="24"/>
        </w:rPr>
        <w:t xml:space="preserve">The next NSRA should </w:t>
      </w:r>
      <w:r w:rsidR="006A58CF">
        <w:rPr>
          <w:sz w:val="24"/>
          <w:szCs w:val="24"/>
        </w:rPr>
        <w:t xml:space="preserve">reflect an </w:t>
      </w:r>
      <w:r w:rsidRPr="00B71725">
        <w:rPr>
          <w:sz w:val="24"/>
          <w:szCs w:val="24"/>
        </w:rPr>
        <w:t>accept</w:t>
      </w:r>
      <w:r w:rsidR="006A58CF">
        <w:rPr>
          <w:sz w:val="24"/>
          <w:szCs w:val="24"/>
        </w:rPr>
        <w:t>ance of</w:t>
      </w:r>
      <w:r w:rsidRPr="00B71725">
        <w:rPr>
          <w:sz w:val="24"/>
          <w:szCs w:val="24"/>
        </w:rPr>
        <w:t xml:space="preserve"> the </w:t>
      </w:r>
      <w:r w:rsidR="006A58CF">
        <w:rPr>
          <w:sz w:val="24"/>
          <w:szCs w:val="24"/>
        </w:rPr>
        <w:t>need for a relatively high degree of</w:t>
      </w:r>
      <w:r w:rsidRPr="00B71725">
        <w:rPr>
          <w:sz w:val="24"/>
          <w:szCs w:val="24"/>
        </w:rPr>
        <w:t xml:space="preserve"> school autonomy. A summation of the evidence on the impact of school autonomy was provided by OECDs education chief Andreas Schleicher who reviewed findings on most aspects of schools and school systems in </w:t>
      </w:r>
      <w:r w:rsidRPr="00B71725">
        <w:rPr>
          <w:i/>
          <w:iCs/>
          <w:sz w:val="24"/>
          <w:szCs w:val="24"/>
        </w:rPr>
        <w:t>World class: How to build a 21</w:t>
      </w:r>
      <w:r w:rsidRPr="00B71725">
        <w:rPr>
          <w:i/>
          <w:iCs/>
          <w:sz w:val="24"/>
          <w:szCs w:val="24"/>
          <w:vertAlign w:val="superscript"/>
        </w:rPr>
        <w:t>st</w:t>
      </w:r>
      <w:r w:rsidRPr="00B71725">
        <w:rPr>
          <w:i/>
          <w:iCs/>
          <w:sz w:val="24"/>
          <w:szCs w:val="24"/>
        </w:rPr>
        <w:t xml:space="preserve">-century school system </w:t>
      </w:r>
      <w:r w:rsidRPr="00B71725">
        <w:rPr>
          <w:sz w:val="24"/>
          <w:szCs w:val="24"/>
        </w:rPr>
        <w:t>(Schleicher, 2020). He concluded:</w:t>
      </w:r>
    </w:p>
    <w:p w14:paraId="0F4F8620" w14:textId="4C9C8E8A" w:rsidR="00BA4D80" w:rsidRPr="00B71725" w:rsidRDefault="00BA4D80" w:rsidP="00B71725">
      <w:pPr>
        <w:spacing w:after="120"/>
        <w:ind w:left="720"/>
        <w:jc w:val="both"/>
        <w:rPr>
          <w:sz w:val="24"/>
          <w:szCs w:val="24"/>
        </w:rPr>
      </w:pPr>
      <w:r w:rsidRPr="00B71725">
        <w:rPr>
          <w:sz w:val="24"/>
          <w:szCs w:val="24"/>
        </w:rPr>
        <w:t>The data from PISA suggest that, once the state has set clear expectations for students, school autonomy in defining the details of the curriculum and assessments is positively related to the system’s overall performance. For example, school systems that provide their schools with greater discretion in student assessments, the courses offered, the course content and the textbooks used, tend to be the school systems that perform at higher levels on PISA, whatever the causal nature of that relationship. (Schleicher, 2020, p. 109)</w:t>
      </w:r>
    </w:p>
    <w:p w14:paraId="648701F2" w14:textId="20CCF05B" w:rsidR="00BA4D80" w:rsidRPr="00B71725" w:rsidRDefault="00A53AEF" w:rsidP="007150B8">
      <w:pPr>
        <w:ind w:firstLine="720"/>
        <w:jc w:val="both"/>
        <w:rPr>
          <w:sz w:val="24"/>
          <w:szCs w:val="24"/>
        </w:rPr>
      </w:pPr>
      <w:r>
        <w:rPr>
          <w:sz w:val="24"/>
          <w:szCs w:val="24"/>
        </w:rPr>
        <w:t>C</w:t>
      </w:r>
      <w:r w:rsidR="00BA4D80" w:rsidRPr="00B71725">
        <w:rPr>
          <w:sz w:val="24"/>
          <w:szCs w:val="24"/>
        </w:rPr>
        <w:t xml:space="preserve">onsistent with analysis in </w:t>
      </w:r>
      <w:r w:rsidR="006A58CF">
        <w:rPr>
          <w:sz w:val="24"/>
          <w:szCs w:val="24"/>
        </w:rPr>
        <w:t>the preceding pages,</w:t>
      </w:r>
      <w:r w:rsidR="00BA4D80" w:rsidRPr="00B71725">
        <w:rPr>
          <w:sz w:val="24"/>
          <w:szCs w:val="24"/>
        </w:rPr>
        <w:t xml:space="preserve"> the focus should be on professional autonomy and the capacity of teachers and school leaders to succeed in approaches </w:t>
      </w:r>
      <w:r w:rsidR="00B71725" w:rsidRPr="00B71725">
        <w:rPr>
          <w:sz w:val="24"/>
          <w:szCs w:val="24"/>
        </w:rPr>
        <w:t xml:space="preserve">along the lines of </w:t>
      </w:r>
      <w:r w:rsidR="00BA4D80" w:rsidRPr="00B71725">
        <w:rPr>
          <w:sz w:val="24"/>
          <w:szCs w:val="24"/>
        </w:rPr>
        <w:t xml:space="preserve">targeted interventions. </w:t>
      </w:r>
      <w:r w:rsidR="00B71725" w:rsidRPr="00B71725">
        <w:rPr>
          <w:sz w:val="24"/>
          <w:szCs w:val="24"/>
        </w:rPr>
        <w:t>Structural autonomy is high in Australia, well above the OECD average; it is professional autonomy that is uniformly necessary across the nation.</w:t>
      </w:r>
    </w:p>
    <w:p w14:paraId="68B98374" w14:textId="0C01C1BF" w:rsidR="007150B8" w:rsidRPr="00C23EDE" w:rsidRDefault="00E311CA" w:rsidP="00C23EDE">
      <w:pPr>
        <w:pStyle w:val="NoSpacing"/>
      </w:pPr>
      <w:r w:rsidRPr="00B71725">
        <w:rPr>
          <w:szCs w:val="24"/>
        </w:rPr>
        <w:tab/>
        <w:t>While the role of the Commonwealth has expanded over the last 50 years (Caldwell, 2022b), it is likely that</w:t>
      </w:r>
      <w:r>
        <w:t xml:space="preserve"> expectations for a national approach with implementation by all are too high. States and </w:t>
      </w:r>
      <w:r w:rsidR="003E7755">
        <w:t>t</w:t>
      </w:r>
      <w:r>
        <w:t>er</w:t>
      </w:r>
      <w:r w:rsidR="00E46962">
        <w:t>r</w:t>
      </w:r>
      <w:r>
        <w:t>itories should act more like unitary states</w:t>
      </w:r>
      <w:r w:rsidR="00946C38">
        <w:t>. Almost all</w:t>
      </w:r>
      <w:r>
        <w:t xml:space="preserve"> of the high-per</w:t>
      </w:r>
      <w:r w:rsidR="00E46962">
        <w:t xml:space="preserve">forming countries are unitary states. System personnel should immerse themselves to a greater extent in </w:t>
      </w:r>
      <w:r w:rsidR="00E46962">
        <w:lastRenderedPageBreak/>
        <w:t>what occurs in schools and in building the capacity of schools. Securing a high level of alignment between system expectations and what occurs in schools is an important priority and should appear prominently in the next NSRA. At the same time systems should back off dysfunctional compliance requirements and allow an innovation culture to flourish.</w:t>
      </w:r>
    </w:p>
    <w:p w14:paraId="6E152CDC" w14:textId="2FF4D920" w:rsidR="007F01B1" w:rsidRPr="00A23E3C" w:rsidRDefault="007F01B1" w:rsidP="00AF559E">
      <w:pPr>
        <w:spacing w:before="120"/>
        <w:jc w:val="both"/>
        <w:rPr>
          <w:rFonts w:ascii="Times New Roman" w:hAnsi="Times New Roman" w:cs="Times New Roman"/>
          <w:b/>
          <w:bCs/>
          <w:sz w:val="24"/>
          <w:szCs w:val="24"/>
        </w:rPr>
      </w:pPr>
      <w:r w:rsidRPr="00A23E3C">
        <w:rPr>
          <w:rFonts w:ascii="Times New Roman" w:hAnsi="Times New Roman" w:cs="Times New Roman"/>
          <w:b/>
          <w:bCs/>
          <w:sz w:val="24"/>
          <w:szCs w:val="24"/>
        </w:rPr>
        <w:t>REFERENCES</w:t>
      </w:r>
    </w:p>
    <w:p w14:paraId="18B44EBC" w14:textId="2CBCA79D" w:rsidR="005F10F6" w:rsidRDefault="00A44F8C" w:rsidP="00737763">
      <w:pPr>
        <w:pStyle w:val="References"/>
        <w:spacing w:before="120" w:after="0"/>
        <w:jc w:val="left"/>
      </w:pPr>
      <w:r w:rsidRPr="00A23E3C">
        <w:t xml:space="preserve">Audit Office of New South Wales (2019). “Ensuring teaching quality in NSW public schools.” Retrieved from </w:t>
      </w:r>
      <w:hyperlink r:id="rId11" w:history="1">
        <w:r w:rsidR="00737763" w:rsidRPr="00FB09D4">
          <w:rPr>
            <w:rStyle w:val="Hyperlink"/>
          </w:rPr>
          <w:t>https://www.audit.nsw.gov.au/our-work/reports/ensuring-teaching-quality-in-nsw-public-schools</w:t>
        </w:r>
      </w:hyperlink>
      <w:r w:rsidRPr="00737763">
        <w:t>.</w:t>
      </w:r>
      <w:r w:rsidRPr="00A23E3C">
        <w:t xml:space="preserve"> </w:t>
      </w:r>
      <w:bookmarkStart w:id="0" w:name="_Toc106741230"/>
    </w:p>
    <w:p w14:paraId="6DF99158" w14:textId="583D33F9" w:rsidR="00BE34BE" w:rsidRDefault="00BE34BE" w:rsidP="005F10F6">
      <w:pPr>
        <w:pStyle w:val="References"/>
        <w:spacing w:before="120"/>
        <w:jc w:val="left"/>
      </w:pPr>
      <w:r w:rsidRPr="00A23E3C">
        <w:t>Caldwell, B.J. (2022</w:t>
      </w:r>
      <w:r w:rsidR="005F10F6">
        <w:t>a</w:t>
      </w:r>
      <w:r w:rsidRPr="00A23E3C">
        <w:t xml:space="preserve">). </w:t>
      </w:r>
      <w:r w:rsidRPr="00A23E3C">
        <w:rPr>
          <w:i/>
          <w:iCs/>
        </w:rPr>
        <w:t>School curriculum and quality of teaching in Australia</w:t>
      </w:r>
      <w:r w:rsidRPr="00A23E3C">
        <w:t xml:space="preserve">. Brighton VIC: Educational Transformations. Retrieved from </w:t>
      </w:r>
      <w:hyperlink r:id="rId12" w:history="1">
        <w:r w:rsidRPr="00A23E3C">
          <w:rPr>
            <w:rStyle w:val="Hyperlink"/>
          </w:rPr>
          <w:t>http://educationaltransformations.com.au/school-curriculum-and-quality-teaching-ebook-for-free-download-and-distribution</w:t>
        </w:r>
      </w:hyperlink>
      <w:r w:rsidRPr="00A23E3C">
        <w:t>.</w:t>
      </w:r>
    </w:p>
    <w:p w14:paraId="3EC006A4" w14:textId="4031202E" w:rsidR="00F40D75" w:rsidRDefault="005F10F6" w:rsidP="007150B8">
      <w:pPr>
        <w:spacing w:after="120"/>
        <w:ind w:left="720" w:hanging="720"/>
        <w:rPr>
          <w:rFonts w:ascii="Segoe UI" w:eastAsia="Times New Roman" w:hAnsi="Segoe UI" w:cs="Segoe UI"/>
          <w:sz w:val="24"/>
          <w:szCs w:val="24"/>
        </w:rPr>
      </w:pPr>
      <w:r>
        <w:t xml:space="preserve">Caldwell, B.J. (2022b). </w:t>
      </w:r>
      <w:r w:rsidRPr="00347BD8">
        <w:rPr>
          <w:i/>
          <w:iCs/>
        </w:rPr>
        <w:t>The legacy of the Whitlam Government in school education: How some of its values have gone missing</w:t>
      </w:r>
      <w:r>
        <w:t>. Brighton VIC: Educational Transformations. Retrieved from</w:t>
      </w:r>
      <w:r w:rsidR="00F40D75">
        <w:t xml:space="preserve"> </w:t>
      </w:r>
      <w:hyperlink r:id="rId13" w:history="1">
        <w:r w:rsidR="00F40D75">
          <w:rPr>
            <w:rStyle w:val="Hyperlink"/>
            <w:rFonts w:ascii="Segoe UI" w:eastAsia="Times New Roman" w:hAnsi="Segoe UI" w:cs="Segoe UI"/>
            <w:sz w:val="24"/>
            <w:szCs w:val="24"/>
          </w:rPr>
          <w:t>http://educationaltransformations.com.au/legacy-of-whitlam-government-in-schools%ef%bb%bf</w:t>
        </w:r>
      </w:hyperlink>
      <w:r w:rsidR="00F40D75">
        <w:rPr>
          <w:rFonts w:ascii="Segoe UI" w:eastAsia="Times New Roman" w:hAnsi="Segoe UI" w:cs="Segoe UI"/>
          <w:sz w:val="24"/>
          <w:szCs w:val="24"/>
        </w:rPr>
        <w:t>.</w:t>
      </w:r>
    </w:p>
    <w:p w14:paraId="1A49DF92" w14:textId="584647BD" w:rsidR="00BE34BE" w:rsidRPr="00A23E3C" w:rsidRDefault="00BE34BE" w:rsidP="00F40D75">
      <w:pPr>
        <w:pStyle w:val="References"/>
        <w:ind w:left="0" w:firstLine="0"/>
        <w:jc w:val="left"/>
      </w:pPr>
      <w:r w:rsidRPr="00A23E3C">
        <w:t xml:space="preserve">Caldwell, B.J. (2018). </w:t>
      </w:r>
      <w:r w:rsidRPr="00A23E3C">
        <w:rPr>
          <w:i/>
          <w:iCs/>
        </w:rPr>
        <w:t xml:space="preserve">The </w:t>
      </w:r>
      <w:r w:rsidR="00347BD8" w:rsidRPr="00A23E3C">
        <w:rPr>
          <w:i/>
          <w:iCs/>
        </w:rPr>
        <w:t>alignment premium</w:t>
      </w:r>
      <w:r w:rsidRPr="00A23E3C">
        <w:t>. Camberwell, VIC: ACER Press.</w:t>
      </w:r>
    </w:p>
    <w:p w14:paraId="1F12AE98" w14:textId="44B66750" w:rsidR="00BE34BE" w:rsidRPr="00A23E3C" w:rsidRDefault="00BE34BE" w:rsidP="006B4B93">
      <w:pPr>
        <w:pStyle w:val="References"/>
        <w:jc w:val="left"/>
      </w:pPr>
      <w:r w:rsidRPr="00A23E3C">
        <w:t>Caldwell, B.J. (2016a).</w:t>
      </w:r>
      <w:r w:rsidRPr="00A23E3C">
        <w:rPr>
          <w:i/>
          <w:iCs/>
        </w:rPr>
        <w:t xml:space="preserve"> The </w:t>
      </w:r>
      <w:r w:rsidR="00347BD8" w:rsidRPr="00A23E3C">
        <w:rPr>
          <w:i/>
          <w:iCs/>
        </w:rPr>
        <w:t>autonomy premium</w:t>
      </w:r>
      <w:r w:rsidRPr="00A23E3C">
        <w:t>. Camberwell, VIC: ACER Press.</w:t>
      </w:r>
    </w:p>
    <w:p w14:paraId="2AC0CCCB" w14:textId="0E600A2D" w:rsidR="00BE34BE" w:rsidRDefault="00BE34BE" w:rsidP="006B4B93">
      <w:pPr>
        <w:pStyle w:val="References"/>
        <w:jc w:val="left"/>
      </w:pPr>
      <w:r w:rsidRPr="00A23E3C">
        <w:t xml:space="preserve">Caldwell, B.J. (2016b). </w:t>
      </w:r>
      <w:r w:rsidRPr="00A23E3C">
        <w:rPr>
          <w:i/>
          <w:iCs/>
        </w:rPr>
        <w:t>What the principals say</w:t>
      </w:r>
      <w:r w:rsidRPr="00A23E3C">
        <w:t>. Brighton, VIC: Educational Transformations.</w:t>
      </w:r>
      <w:r w:rsidR="007012A0">
        <w:t xml:space="preserve"> Retrieved from </w:t>
      </w:r>
      <w:hyperlink r:id="rId14" w:history="1">
        <w:r w:rsidR="007012A0" w:rsidRPr="00527F4E">
          <w:rPr>
            <w:rStyle w:val="Hyperlink"/>
          </w:rPr>
          <w:t>http://educationaltransformations.com.au/what-the-principals-say</w:t>
        </w:r>
      </w:hyperlink>
      <w:r w:rsidR="007012A0">
        <w:t>.</w:t>
      </w:r>
    </w:p>
    <w:p w14:paraId="20E33AC8" w14:textId="77777777" w:rsidR="00046420" w:rsidRDefault="00046420" w:rsidP="006B4B93">
      <w:pPr>
        <w:pStyle w:val="References"/>
        <w:jc w:val="left"/>
      </w:pPr>
      <w:r>
        <w:t xml:space="preserve">Caldwell, B.J. &amp; Harris, J. (2008). </w:t>
      </w:r>
      <w:r>
        <w:rPr>
          <w:i/>
          <w:iCs/>
        </w:rPr>
        <w:t>Why not the best schools?</w:t>
      </w:r>
      <w:r>
        <w:t xml:space="preserve"> Camberwell, VIC: ACER Press.</w:t>
      </w:r>
    </w:p>
    <w:p w14:paraId="4852DB5B" w14:textId="5FA46DFB" w:rsidR="00046420" w:rsidRDefault="00046420" w:rsidP="006B4B93">
      <w:pPr>
        <w:pStyle w:val="References"/>
        <w:jc w:val="left"/>
      </w:pPr>
      <w:r>
        <w:t>Caldwell, B.J. &amp; Spinks, J.M. (</w:t>
      </w:r>
      <w:r w:rsidR="0081122B">
        <w:t>2013</w:t>
      </w:r>
      <w:r>
        <w:t xml:space="preserve">). </w:t>
      </w:r>
      <w:r w:rsidR="0081122B">
        <w:rPr>
          <w:i/>
          <w:iCs/>
        </w:rPr>
        <w:t>The self-transforming school</w:t>
      </w:r>
      <w:r>
        <w:t>. London</w:t>
      </w:r>
      <w:r w:rsidR="0081122B">
        <w:t xml:space="preserve"> and New York</w:t>
      </w:r>
      <w:r>
        <w:t>:</w:t>
      </w:r>
      <w:r w:rsidR="0081122B">
        <w:t xml:space="preserve"> Routledge</w:t>
      </w:r>
      <w:r>
        <w:t>.</w:t>
      </w:r>
    </w:p>
    <w:p w14:paraId="421C2321" w14:textId="247EDEBC" w:rsidR="007150B8" w:rsidRDefault="007150B8" w:rsidP="006B4B93">
      <w:pPr>
        <w:pStyle w:val="References"/>
        <w:jc w:val="left"/>
      </w:pPr>
      <w:r>
        <w:t xml:space="preserve">Caldwell, B.J. &amp; Spinks, J.M. (1988). </w:t>
      </w:r>
      <w:r w:rsidRPr="007150B8">
        <w:rPr>
          <w:i/>
          <w:iCs/>
        </w:rPr>
        <w:t>The self-managing school</w:t>
      </w:r>
      <w:r>
        <w:t>. London: Falmer.</w:t>
      </w:r>
    </w:p>
    <w:p w14:paraId="2DB5FD96" w14:textId="77777777" w:rsidR="00046420" w:rsidRDefault="00046420" w:rsidP="006B4B93">
      <w:pPr>
        <w:pStyle w:val="References"/>
        <w:jc w:val="left"/>
      </w:pPr>
      <w:r>
        <w:t xml:space="preserve">Department of Education and Training (DET) (2018). </w:t>
      </w:r>
      <w:r>
        <w:rPr>
          <w:i/>
          <w:iCs/>
        </w:rPr>
        <w:t>Through growth to achievement</w:t>
      </w:r>
      <w:r>
        <w:t xml:space="preserve">. Report of the Review to Achieve Educational Excellence in Australian Schools. David Gonski (Chair). Canberra: DET. Retrieved from </w:t>
      </w:r>
      <w:hyperlink r:id="rId15" w:history="1">
        <w:r>
          <w:rPr>
            <w:rStyle w:val="Hyperlink"/>
          </w:rPr>
          <w:t>https://www.dese.gov.au/quality-schools-package/resources/through-growth-achievement-report-review-achieve-educational-excellence-australian-schools</w:t>
        </w:r>
      </w:hyperlink>
      <w:r>
        <w:t>. [Gonski 2.0]</w:t>
      </w:r>
    </w:p>
    <w:p w14:paraId="4E72B881" w14:textId="7EC1B92D" w:rsidR="004F1BB2" w:rsidRDefault="00BE34BE" w:rsidP="006B4B93">
      <w:pPr>
        <w:pStyle w:val="References"/>
        <w:jc w:val="left"/>
      </w:pPr>
      <w:r w:rsidRPr="00A23E3C">
        <w:t xml:space="preserve">Productivity Commission (2022). </w:t>
      </w:r>
      <w:r w:rsidRPr="00A23E3C">
        <w:rPr>
          <w:i/>
          <w:iCs/>
        </w:rPr>
        <w:t>Review of the National School Reform Agreement</w:t>
      </w:r>
      <w:r w:rsidRPr="00A23E3C">
        <w:t xml:space="preserve">. Interim Report. Canberra: Productivity Commission.  Retrieved from </w:t>
      </w:r>
      <w:hyperlink r:id="rId16" w:history="1">
        <w:r w:rsidRPr="00A23E3C">
          <w:rPr>
            <w:rStyle w:val="Hyperlink"/>
          </w:rPr>
          <w:t>https://www.pc.gov.au/inquiries/current/school-agreement/interim/school-agreement-interim.pdf</w:t>
        </w:r>
      </w:hyperlink>
      <w:r w:rsidRPr="00A23E3C">
        <w:t xml:space="preserve">. </w:t>
      </w:r>
    </w:p>
    <w:p w14:paraId="7E875D2F" w14:textId="77777777" w:rsidR="00B71725" w:rsidRDefault="00B71725" w:rsidP="00B71725">
      <w:pPr>
        <w:pStyle w:val="References"/>
        <w:jc w:val="left"/>
      </w:pPr>
      <w:r>
        <w:t xml:space="preserve">Schleicher, A. (2020). </w:t>
      </w:r>
      <w:r w:rsidRPr="008C6089">
        <w:rPr>
          <w:i/>
          <w:iCs/>
        </w:rPr>
        <w:t>World class: How to build a 21</w:t>
      </w:r>
      <w:r w:rsidRPr="008C6089">
        <w:rPr>
          <w:i/>
          <w:iCs/>
          <w:vertAlign w:val="superscript"/>
        </w:rPr>
        <w:t>st</w:t>
      </w:r>
      <w:r w:rsidRPr="008C6089">
        <w:rPr>
          <w:i/>
          <w:iCs/>
        </w:rPr>
        <w:t>-century school system</w:t>
      </w:r>
      <w:r>
        <w:t xml:space="preserve">. Paris: OECD Publishing. Retrieved from </w:t>
      </w:r>
      <w:hyperlink r:id="rId17" w:history="1">
        <w:r w:rsidRPr="00AC1C0B">
          <w:rPr>
            <w:rStyle w:val="Hyperlink"/>
          </w:rPr>
          <w:t>https://www.oecd-ilibrary.org/docserver/9789264300002-en.pdf?expires=1662600103&amp;id=id&amp;accname=guest&amp;checksum=939E5D8DCD757EB5EDDA4B7E616B7B8F</w:t>
        </w:r>
      </w:hyperlink>
      <w:r>
        <w:t>.</w:t>
      </w:r>
    </w:p>
    <w:p w14:paraId="68E9EE27" w14:textId="77777777" w:rsidR="00B71725" w:rsidRPr="00A23E3C" w:rsidRDefault="00B71725" w:rsidP="006B4B93">
      <w:pPr>
        <w:pStyle w:val="References"/>
        <w:jc w:val="left"/>
      </w:pPr>
    </w:p>
    <w:bookmarkEnd w:id="0"/>
    <w:p w14:paraId="6AB49C02" w14:textId="77777777" w:rsidR="007150B8" w:rsidRDefault="007150B8" w:rsidP="00C23EDE">
      <w:pPr>
        <w:pStyle w:val="References"/>
        <w:ind w:left="0" w:firstLine="0"/>
        <w:rPr>
          <w:b/>
          <w:bCs/>
        </w:rPr>
      </w:pPr>
    </w:p>
    <w:p w14:paraId="67E93AEE" w14:textId="77777777" w:rsidR="007150B8" w:rsidRDefault="007150B8" w:rsidP="00037965">
      <w:pPr>
        <w:pStyle w:val="References"/>
        <w:rPr>
          <w:b/>
          <w:bCs/>
        </w:rPr>
      </w:pPr>
    </w:p>
    <w:p w14:paraId="5B700113" w14:textId="3901D6C2" w:rsidR="004F1BB2" w:rsidRPr="00A23E3C" w:rsidRDefault="007150B8" w:rsidP="00C23EDE">
      <w:pPr>
        <w:pStyle w:val="References"/>
        <w:ind w:left="0" w:firstLine="0"/>
      </w:pPr>
      <w:r>
        <w:rPr>
          <w:b/>
          <w:bCs/>
        </w:rPr>
        <w:t xml:space="preserve">AUTHOR </w:t>
      </w:r>
    </w:p>
    <w:p w14:paraId="195B84D8" w14:textId="408480D5" w:rsidR="000745C3" w:rsidRDefault="004F1BB2" w:rsidP="00037965">
      <w:pPr>
        <w:jc w:val="both"/>
      </w:pPr>
      <w:r w:rsidRPr="00A23E3C">
        <w:rPr>
          <w:rFonts w:ascii="Times New Roman" w:hAnsi="Times New Roman" w:cs="Times New Roman"/>
          <w:sz w:val="24"/>
          <w:szCs w:val="24"/>
        </w:rPr>
        <w:t>Brian J. Caldwell is Professor Emeritus at the University of Melbourne where he is a former Dean of Education. He has served as Dean of Education at the University of Tasmania, Deputy Chair of the Australian Council for Educational Research (ACER), and Deputy Chair of the Australian Curriculum, Assessment and Reporting Authority (ACARA). He is Managing Director and Principal Consultant at Educational Transformations Pty Ltd. He holds the highest awards of the Australian Council for Educational Leaders (ACEL) (Gold Medal), for whom he is a past president, and the Australian College of Educators (ACE) (College Medal). He has  conducted professional assignment</w:t>
      </w:r>
      <w:r w:rsidR="00A87801">
        <w:rPr>
          <w:rFonts w:ascii="Times New Roman" w:hAnsi="Times New Roman" w:cs="Times New Roman"/>
          <w:sz w:val="24"/>
          <w:szCs w:val="24"/>
        </w:rPr>
        <w:t>s</w:t>
      </w:r>
      <w:r w:rsidRPr="00A23E3C">
        <w:rPr>
          <w:rFonts w:ascii="Times New Roman" w:hAnsi="Times New Roman" w:cs="Times New Roman"/>
          <w:sz w:val="24"/>
          <w:szCs w:val="24"/>
        </w:rPr>
        <w:t xml:space="preserve"> of one kind or another in or for 43 countries</w:t>
      </w:r>
      <w:r w:rsidR="001A6F48" w:rsidRPr="00A23E3C">
        <w:rPr>
          <w:rFonts w:ascii="Times New Roman" w:hAnsi="Times New Roman" w:cs="Times New Roman"/>
          <w:sz w:val="24"/>
          <w:szCs w:val="24"/>
        </w:rPr>
        <w:t xml:space="preserve">, and </w:t>
      </w:r>
      <w:r w:rsidRPr="00A23E3C">
        <w:rPr>
          <w:rFonts w:ascii="Times New Roman" w:hAnsi="Times New Roman" w:cs="Times New Roman"/>
          <w:sz w:val="24"/>
          <w:szCs w:val="24"/>
        </w:rPr>
        <w:t xml:space="preserve">authored, co-authored or co-edited 19 books on school education that deal with </w:t>
      </w:r>
      <w:r w:rsidR="00AF559E">
        <w:rPr>
          <w:rFonts w:ascii="Times New Roman" w:hAnsi="Times New Roman" w:cs="Times New Roman"/>
          <w:sz w:val="24"/>
          <w:szCs w:val="24"/>
        </w:rPr>
        <w:t xml:space="preserve">autonomy, </w:t>
      </w:r>
      <w:r w:rsidRPr="00A23E3C">
        <w:rPr>
          <w:rFonts w:ascii="Times New Roman" w:hAnsi="Times New Roman" w:cs="Times New Roman"/>
          <w:sz w:val="24"/>
          <w:szCs w:val="24"/>
        </w:rPr>
        <w:t xml:space="preserve">change, curriculum, finance, </w:t>
      </w:r>
      <w:r w:rsidR="00F40D75">
        <w:rPr>
          <w:rFonts w:ascii="Times New Roman" w:hAnsi="Times New Roman" w:cs="Times New Roman"/>
          <w:sz w:val="24"/>
          <w:szCs w:val="24"/>
        </w:rPr>
        <w:t xml:space="preserve">futures, </w:t>
      </w:r>
      <w:r w:rsidR="0081122B">
        <w:rPr>
          <w:rFonts w:ascii="Times New Roman" w:hAnsi="Times New Roman" w:cs="Times New Roman"/>
          <w:sz w:val="24"/>
          <w:szCs w:val="24"/>
        </w:rPr>
        <w:t xml:space="preserve">governance, </w:t>
      </w:r>
      <w:r w:rsidRPr="00A23E3C">
        <w:rPr>
          <w:rFonts w:ascii="Times New Roman" w:hAnsi="Times New Roman" w:cs="Times New Roman"/>
          <w:sz w:val="24"/>
          <w:szCs w:val="24"/>
        </w:rPr>
        <w:t>leadership, management, policy, strategy and teaching.</w:t>
      </w:r>
      <w:r w:rsidR="003E7755">
        <w:rPr>
          <w:rFonts w:ascii="Times New Roman" w:hAnsi="Times New Roman" w:cs="Times New Roman"/>
          <w:sz w:val="24"/>
          <w:szCs w:val="24"/>
        </w:rPr>
        <w:t xml:space="preserve"> He is currently completing a trilogy in the SCOPE series, each of which provides a strategic commentary on pol</w:t>
      </w:r>
      <w:r w:rsidR="00BB2892">
        <w:rPr>
          <w:rFonts w:ascii="Times New Roman" w:hAnsi="Times New Roman" w:cs="Times New Roman"/>
          <w:sz w:val="24"/>
          <w:szCs w:val="24"/>
        </w:rPr>
        <w:t>ic</w:t>
      </w:r>
      <w:r w:rsidR="003E7755">
        <w:rPr>
          <w:rFonts w:ascii="Times New Roman" w:hAnsi="Times New Roman" w:cs="Times New Roman"/>
          <w:sz w:val="24"/>
          <w:szCs w:val="24"/>
        </w:rPr>
        <w:t>ies in education. Completed in 2022 were S</w:t>
      </w:r>
      <w:r w:rsidR="00BB2892">
        <w:rPr>
          <w:rFonts w:ascii="Times New Roman" w:hAnsi="Times New Roman" w:cs="Times New Roman"/>
          <w:sz w:val="24"/>
          <w:szCs w:val="24"/>
        </w:rPr>
        <w:t>chool Curriculum and Quality of Teaching in Australia and The Legacy of the Whitlam Government in School Education. Re-imagining the School and School System in Australia will be completed in early 2023.</w:t>
      </w:r>
    </w:p>
    <w:sectPr w:rsidR="000745C3">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29382" w14:textId="77777777" w:rsidR="00A853A7" w:rsidRDefault="00A853A7" w:rsidP="007D5DE5">
      <w:r>
        <w:separator/>
      </w:r>
    </w:p>
  </w:endnote>
  <w:endnote w:type="continuationSeparator" w:id="0">
    <w:p w14:paraId="04704467" w14:textId="77777777" w:rsidR="00A853A7" w:rsidRDefault="00A853A7" w:rsidP="007D5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6025851"/>
      <w:docPartObj>
        <w:docPartGallery w:val="Page Numbers (Bottom of Page)"/>
        <w:docPartUnique/>
      </w:docPartObj>
    </w:sdtPr>
    <w:sdtEndPr>
      <w:rPr>
        <w:noProof/>
      </w:rPr>
    </w:sdtEndPr>
    <w:sdtContent>
      <w:p w14:paraId="6F5C4625" w14:textId="0363CC44" w:rsidR="00315111" w:rsidRDefault="0031511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2E3AE0" w14:textId="77777777" w:rsidR="00315111" w:rsidRDefault="003151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B581C" w14:textId="77777777" w:rsidR="00A853A7" w:rsidRDefault="00A853A7" w:rsidP="007D5DE5">
      <w:r>
        <w:separator/>
      </w:r>
    </w:p>
  </w:footnote>
  <w:footnote w:type="continuationSeparator" w:id="0">
    <w:p w14:paraId="30DCDE2E" w14:textId="77777777" w:rsidR="00A853A7" w:rsidRDefault="00A853A7" w:rsidP="007D5DE5">
      <w:r>
        <w:continuationSeparator/>
      </w:r>
    </w:p>
  </w:footnote>
  <w:footnote w:id="1">
    <w:p w14:paraId="2EBCD6E3" w14:textId="1E4B7D22" w:rsidR="00AA2B0E" w:rsidRDefault="00AA2B0E">
      <w:pPr>
        <w:pStyle w:val="FootnoteText"/>
      </w:pPr>
      <w:r>
        <w:rPr>
          <w:rStyle w:val="FootnoteReference"/>
        </w:rPr>
        <w:footnoteRef/>
      </w:r>
      <w:r>
        <w:t xml:space="preserve"> Brian J. Caldwell is Professor Emeritus and former Dean of Education at the University of Melbourne</w:t>
      </w:r>
      <w:r w:rsidR="00FB638E">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BD47A" w14:textId="0C85824A" w:rsidR="007D5DE5" w:rsidRDefault="007D5DE5">
    <w:pPr>
      <w:pStyle w:val="Header"/>
      <w:jc w:val="center"/>
    </w:pPr>
  </w:p>
  <w:p w14:paraId="28704DBC" w14:textId="77777777" w:rsidR="007D5DE5" w:rsidRDefault="007D5D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09CF80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321F7"/>
    <w:multiLevelType w:val="hybridMultilevel"/>
    <w:tmpl w:val="6422C4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E207288"/>
    <w:multiLevelType w:val="hybridMultilevel"/>
    <w:tmpl w:val="45E6035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23CC0BE5"/>
    <w:multiLevelType w:val="hybridMultilevel"/>
    <w:tmpl w:val="04C418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AD90386"/>
    <w:multiLevelType w:val="hybridMultilevel"/>
    <w:tmpl w:val="CFD82EF8"/>
    <w:lvl w:ilvl="0" w:tplc="25688140">
      <w:start w:val="1"/>
      <w:numFmt w:val="decimal"/>
      <w:lvlText w:val="%1."/>
      <w:lvlJc w:val="left"/>
      <w:pPr>
        <w:ind w:left="1080" w:hanging="360"/>
      </w:pPr>
      <w:rPr>
        <w:rFonts w:ascii="Arial" w:eastAsiaTheme="minorEastAsia" w:hAnsi="Arial" w:cs="Arial" w:hint="default"/>
      </w:rPr>
    </w:lvl>
    <w:lvl w:ilvl="1" w:tplc="0C090019">
      <w:start w:val="1"/>
      <w:numFmt w:val="decimal"/>
      <w:lvlText w:val="%2."/>
      <w:lvlJc w:val="left"/>
      <w:pPr>
        <w:tabs>
          <w:tab w:val="num" w:pos="1800"/>
        </w:tabs>
        <w:ind w:left="1800" w:hanging="360"/>
      </w:pPr>
    </w:lvl>
    <w:lvl w:ilvl="2" w:tplc="0C09001B">
      <w:start w:val="1"/>
      <w:numFmt w:val="decimal"/>
      <w:lvlText w:val="%3."/>
      <w:lvlJc w:val="left"/>
      <w:pPr>
        <w:tabs>
          <w:tab w:val="num" w:pos="2520"/>
        </w:tabs>
        <w:ind w:left="2520" w:hanging="360"/>
      </w:pPr>
    </w:lvl>
    <w:lvl w:ilvl="3" w:tplc="0C09000F">
      <w:start w:val="1"/>
      <w:numFmt w:val="decimal"/>
      <w:lvlText w:val="%4."/>
      <w:lvlJc w:val="left"/>
      <w:pPr>
        <w:tabs>
          <w:tab w:val="num" w:pos="3240"/>
        </w:tabs>
        <w:ind w:left="3240" w:hanging="360"/>
      </w:pPr>
    </w:lvl>
    <w:lvl w:ilvl="4" w:tplc="0C090019">
      <w:start w:val="1"/>
      <w:numFmt w:val="decimal"/>
      <w:lvlText w:val="%5."/>
      <w:lvlJc w:val="left"/>
      <w:pPr>
        <w:tabs>
          <w:tab w:val="num" w:pos="3960"/>
        </w:tabs>
        <w:ind w:left="3960" w:hanging="360"/>
      </w:pPr>
    </w:lvl>
    <w:lvl w:ilvl="5" w:tplc="0C09001B">
      <w:start w:val="1"/>
      <w:numFmt w:val="decimal"/>
      <w:lvlText w:val="%6."/>
      <w:lvlJc w:val="left"/>
      <w:pPr>
        <w:tabs>
          <w:tab w:val="num" w:pos="4680"/>
        </w:tabs>
        <w:ind w:left="4680" w:hanging="360"/>
      </w:pPr>
    </w:lvl>
    <w:lvl w:ilvl="6" w:tplc="0C09000F">
      <w:start w:val="1"/>
      <w:numFmt w:val="decimal"/>
      <w:lvlText w:val="%7."/>
      <w:lvlJc w:val="left"/>
      <w:pPr>
        <w:tabs>
          <w:tab w:val="num" w:pos="5400"/>
        </w:tabs>
        <w:ind w:left="5400" w:hanging="360"/>
      </w:pPr>
    </w:lvl>
    <w:lvl w:ilvl="7" w:tplc="0C090019">
      <w:start w:val="1"/>
      <w:numFmt w:val="decimal"/>
      <w:lvlText w:val="%8."/>
      <w:lvlJc w:val="left"/>
      <w:pPr>
        <w:tabs>
          <w:tab w:val="num" w:pos="6120"/>
        </w:tabs>
        <w:ind w:left="6120" w:hanging="360"/>
      </w:pPr>
    </w:lvl>
    <w:lvl w:ilvl="8" w:tplc="0C09001B">
      <w:start w:val="1"/>
      <w:numFmt w:val="decimal"/>
      <w:lvlText w:val="%9."/>
      <w:lvlJc w:val="left"/>
      <w:pPr>
        <w:tabs>
          <w:tab w:val="num" w:pos="6840"/>
        </w:tabs>
        <w:ind w:left="6840" w:hanging="360"/>
      </w:pPr>
    </w:lvl>
  </w:abstractNum>
  <w:abstractNum w:abstractNumId="19"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2B84635"/>
    <w:multiLevelType w:val="hybridMultilevel"/>
    <w:tmpl w:val="7090A492"/>
    <w:lvl w:ilvl="0" w:tplc="05DE704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797143827">
    <w:abstractNumId w:val="24"/>
  </w:num>
  <w:num w:numId="2" w16cid:durableId="81462404">
    <w:abstractNumId w:val="13"/>
  </w:num>
  <w:num w:numId="3" w16cid:durableId="1709792678">
    <w:abstractNumId w:val="11"/>
  </w:num>
  <w:num w:numId="4" w16cid:durableId="52388667">
    <w:abstractNumId w:val="26"/>
  </w:num>
  <w:num w:numId="5" w16cid:durableId="1695114222">
    <w:abstractNumId w:val="14"/>
  </w:num>
  <w:num w:numId="6" w16cid:durableId="1729064912">
    <w:abstractNumId w:val="20"/>
  </w:num>
  <w:num w:numId="7" w16cid:durableId="1284458502">
    <w:abstractNumId w:val="23"/>
  </w:num>
  <w:num w:numId="8" w16cid:durableId="1183864519">
    <w:abstractNumId w:val="9"/>
  </w:num>
  <w:num w:numId="9" w16cid:durableId="1008214098">
    <w:abstractNumId w:val="7"/>
  </w:num>
  <w:num w:numId="10" w16cid:durableId="941303414">
    <w:abstractNumId w:val="6"/>
  </w:num>
  <w:num w:numId="11" w16cid:durableId="122163659">
    <w:abstractNumId w:val="5"/>
  </w:num>
  <w:num w:numId="12" w16cid:durableId="1359506548">
    <w:abstractNumId w:val="4"/>
  </w:num>
  <w:num w:numId="13" w16cid:durableId="17314647">
    <w:abstractNumId w:val="8"/>
  </w:num>
  <w:num w:numId="14" w16cid:durableId="735200031">
    <w:abstractNumId w:val="3"/>
  </w:num>
  <w:num w:numId="15" w16cid:durableId="497354974">
    <w:abstractNumId w:val="2"/>
  </w:num>
  <w:num w:numId="16" w16cid:durableId="1909614478">
    <w:abstractNumId w:val="1"/>
  </w:num>
  <w:num w:numId="17" w16cid:durableId="1325235989">
    <w:abstractNumId w:val="0"/>
  </w:num>
  <w:num w:numId="18" w16cid:durableId="1756396575">
    <w:abstractNumId w:val="17"/>
  </w:num>
  <w:num w:numId="19" w16cid:durableId="1193223069">
    <w:abstractNumId w:val="19"/>
  </w:num>
  <w:num w:numId="20" w16cid:durableId="1840195148">
    <w:abstractNumId w:val="25"/>
  </w:num>
  <w:num w:numId="21" w16cid:durableId="693262313">
    <w:abstractNumId w:val="22"/>
  </w:num>
  <w:num w:numId="22" w16cid:durableId="906956332">
    <w:abstractNumId w:val="12"/>
  </w:num>
  <w:num w:numId="23" w16cid:durableId="1821267104">
    <w:abstractNumId w:val="27"/>
  </w:num>
  <w:num w:numId="24" w16cid:durableId="320934891">
    <w:abstractNumId w:val="21"/>
  </w:num>
  <w:num w:numId="25" w16cid:durableId="352341216">
    <w:abstractNumId w:val="10"/>
  </w:num>
  <w:num w:numId="26" w16cid:durableId="8476018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051910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244905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DD9"/>
    <w:rsid w:val="000132E7"/>
    <w:rsid w:val="00016E7C"/>
    <w:rsid w:val="00037965"/>
    <w:rsid w:val="00046420"/>
    <w:rsid w:val="0006157E"/>
    <w:rsid w:val="000745C3"/>
    <w:rsid w:val="000C7F78"/>
    <w:rsid w:val="00103406"/>
    <w:rsid w:val="00145F5A"/>
    <w:rsid w:val="0016704F"/>
    <w:rsid w:val="001A4105"/>
    <w:rsid w:val="001A6F48"/>
    <w:rsid w:val="001D7EC4"/>
    <w:rsid w:val="00271AD2"/>
    <w:rsid w:val="00284AB7"/>
    <w:rsid w:val="002A158E"/>
    <w:rsid w:val="002A2578"/>
    <w:rsid w:val="002A71FF"/>
    <w:rsid w:val="002F4DAC"/>
    <w:rsid w:val="00315111"/>
    <w:rsid w:val="0032354B"/>
    <w:rsid w:val="00337E56"/>
    <w:rsid w:val="00347BD8"/>
    <w:rsid w:val="0037785F"/>
    <w:rsid w:val="0039759F"/>
    <w:rsid w:val="003B3CC3"/>
    <w:rsid w:val="003C4D91"/>
    <w:rsid w:val="003E7755"/>
    <w:rsid w:val="0043736B"/>
    <w:rsid w:val="00441DE2"/>
    <w:rsid w:val="004828D4"/>
    <w:rsid w:val="00497800"/>
    <w:rsid w:val="004D7B70"/>
    <w:rsid w:val="004E39E1"/>
    <w:rsid w:val="004F1BB2"/>
    <w:rsid w:val="00565F53"/>
    <w:rsid w:val="005A22E6"/>
    <w:rsid w:val="005B2075"/>
    <w:rsid w:val="005B2E28"/>
    <w:rsid w:val="005F10F6"/>
    <w:rsid w:val="00632B2D"/>
    <w:rsid w:val="00645252"/>
    <w:rsid w:val="00645AC1"/>
    <w:rsid w:val="006526DA"/>
    <w:rsid w:val="00656CC6"/>
    <w:rsid w:val="00661040"/>
    <w:rsid w:val="0069355D"/>
    <w:rsid w:val="006A58CF"/>
    <w:rsid w:val="006B4B93"/>
    <w:rsid w:val="006D3D74"/>
    <w:rsid w:val="006D506D"/>
    <w:rsid w:val="007012A0"/>
    <w:rsid w:val="007150B8"/>
    <w:rsid w:val="00737763"/>
    <w:rsid w:val="00771C84"/>
    <w:rsid w:val="00775CAD"/>
    <w:rsid w:val="0078023D"/>
    <w:rsid w:val="007D5DE5"/>
    <w:rsid w:val="007D6BA5"/>
    <w:rsid w:val="007F01B1"/>
    <w:rsid w:val="007F04D9"/>
    <w:rsid w:val="0081122B"/>
    <w:rsid w:val="0081652A"/>
    <w:rsid w:val="008222EA"/>
    <w:rsid w:val="0083569A"/>
    <w:rsid w:val="008409D5"/>
    <w:rsid w:val="00851463"/>
    <w:rsid w:val="008749CE"/>
    <w:rsid w:val="0087675B"/>
    <w:rsid w:val="008E1806"/>
    <w:rsid w:val="00903A45"/>
    <w:rsid w:val="00927590"/>
    <w:rsid w:val="009423E9"/>
    <w:rsid w:val="00946C38"/>
    <w:rsid w:val="009543DC"/>
    <w:rsid w:val="009C77B1"/>
    <w:rsid w:val="009D3D46"/>
    <w:rsid w:val="00A1437A"/>
    <w:rsid w:val="00A23E3C"/>
    <w:rsid w:val="00A408BB"/>
    <w:rsid w:val="00A44F8C"/>
    <w:rsid w:val="00A53AEF"/>
    <w:rsid w:val="00A6109E"/>
    <w:rsid w:val="00A72EEE"/>
    <w:rsid w:val="00A84F9E"/>
    <w:rsid w:val="00A853A7"/>
    <w:rsid w:val="00A85986"/>
    <w:rsid w:val="00A87801"/>
    <w:rsid w:val="00A9204E"/>
    <w:rsid w:val="00AA2B0E"/>
    <w:rsid w:val="00AB0E9F"/>
    <w:rsid w:val="00AC5D04"/>
    <w:rsid w:val="00AF559E"/>
    <w:rsid w:val="00B22311"/>
    <w:rsid w:val="00B61A2E"/>
    <w:rsid w:val="00B61E85"/>
    <w:rsid w:val="00B70C2C"/>
    <w:rsid w:val="00B71725"/>
    <w:rsid w:val="00B9018F"/>
    <w:rsid w:val="00BA4D80"/>
    <w:rsid w:val="00BB2892"/>
    <w:rsid w:val="00BE34BE"/>
    <w:rsid w:val="00C23EDE"/>
    <w:rsid w:val="00C35E11"/>
    <w:rsid w:val="00C36F8C"/>
    <w:rsid w:val="00C4642E"/>
    <w:rsid w:val="00C510A1"/>
    <w:rsid w:val="00C64440"/>
    <w:rsid w:val="00C71216"/>
    <w:rsid w:val="00C7252B"/>
    <w:rsid w:val="00C94B02"/>
    <w:rsid w:val="00CA3A56"/>
    <w:rsid w:val="00CA45D5"/>
    <w:rsid w:val="00D04C0C"/>
    <w:rsid w:val="00D22E94"/>
    <w:rsid w:val="00D74BC5"/>
    <w:rsid w:val="00D755A7"/>
    <w:rsid w:val="00DA25FC"/>
    <w:rsid w:val="00DB5A72"/>
    <w:rsid w:val="00E16BF1"/>
    <w:rsid w:val="00E311CA"/>
    <w:rsid w:val="00E46962"/>
    <w:rsid w:val="00E65C6F"/>
    <w:rsid w:val="00E825AF"/>
    <w:rsid w:val="00F255A1"/>
    <w:rsid w:val="00F40D75"/>
    <w:rsid w:val="00F70798"/>
    <w:rsid w:val="00F7639B"/>
    <w:rsid w:val="00FA1DD9"/>
    <w:rsid w:val="00FB638E"/>
    <w:rsid w:val="00FC51BD"/>
    <w:rsid w:val="00FD1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4BC67"/>
  <w15:chartTrackingRefBased/>
  <w15:docId w15:val="{1C9350A8-BDA7-40E3-BF02-D5D784D0D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rPr>
      <w:lang w:val="en-AU"/>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character" w:customStyle="1" w:styleId="NoSpacingChar">
    <w:name w:val="No Spacing Char"/>
    <w:aliases w:val="Bullet point Char"/>
    <w:basedOn w:val="DefaultParagraphFont"/>
    <w:link w:val="NoSpacing"/>
    <w:uiPriority w:val="1"/>
    <w:locked/>
    <w:rsid w:val="009C77B1"/>
    <w:rPr>
      <w:rFonts w:ascii="Times New Roman" w:hAnsi="Times New Roman" w:cs="Times New Roman"/>
      <w:sz w:val="24"/>
    </w:rPr>
  </w:style>
  <w:style w:type="paragraph" w:styleId="NoSpacing">
    <w:name w:val="No Spacing"/>
    <w:aliases w:val="Bullet point"/>
    <w:link w:val="NoSpacingChar"/>
    <w:autoRedefine/>
    <w:uiPriority w:val="1"/>
    <w:qFormat/>
    <w:rsid w:val="009C77B1"/>
    <w:pPr>
      <w:spacing w:before="120" w:after="120"/>
      <w:jc w:val="both"/>
    </w:pPr>
    <w:rPr>
      <w:rFonts w:ascii="Times New Roman" w:hAnsi="Times New Roman" w:cs="Times New Roman"/>
      <w:sz w:val="24"/>
    </w:rPr>
  </w:style>
  <w:style w:type="paragraph" w:customStyle="1" w:styleId="References">
    <w:name w:val="References"/>
    <w:basedOn w:val="Normal"/>
    <w:qFormat/>
    <w:rsid w:val="00A44F8C"/>
    <w:pPr>
      <w:spacing w:after="120"/>
      <w:ind w:left="720" w:hanging="720"/>
      <w:jc w:val="both"/>
    </w:pPr>
    <w:rPr>
      <w:rFonts w:ascii="Times New Roman" w:hAnsi="Times New Roman" w:cs="Times New Roman"/>
      <w:sz w:val="24"/>
      <w:szCs w:val="24"/>
    </w:rPr>
  </w:style>
  <w:style w:type="paragraph" w:styleId="ListParagraph">
    <w:name w:val="List Paragraph"/>
    <w:basedOn w:val="Normal"/>
    <w:uiPriority w:val="34"/>
    <w:unhideWhenUsed/>
    <w:qFormat/>
    <w:rsid w:val="007F01B1"/>
    <w:pPr>
      <w:ind w:left="720"/>
      <w:contextualSpacing/>
    </w:pPr>
  </w:style>
  <w:style w:type="character" w:styleId="FootnoteReference">
    <w:name w:val="footnote reference"/>
    <w:basedOn w:val="DefaultParagraphFont"/>
    <w:uiPriority w:val="99"/>
    <w:semiHidden/>
    <w:unhideWhenUsed/>
    <w:rsid w:val="00AA2B0E"/>
    <w:rPr>
      <w:vertAlign w:val="superscript"/>
    </w:rPr>
  </w:style>
  <w:style w:type="character" w:styleId="UnresolvedMention">
    <w:name w:val="Unresolved Mention"/>
    <w:basedOn w:val="DefaultParagraphFont"/>
    <w:uiPriority w:val="99"/>
    <w:semiHidden/>
    <w:unhideWhenUsed/>
    <w:rsid w:val="007377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47412">
      <w:bodyDiv w:val="1"/>
      <w:marLeft w:val="0"/>
      <w:marRight w:val="0"/>
      <w:marTop w:val="0"/>
      <w:marBottom w:val="0"/>
      <w:divBdr>
        <w:top w:val="none" w:sz="0" w:space="0" w:color="auto"/>
        <w:left w:val="none" w:sz="0" w:space="0" w:color="auto"/>
        <w:bottom w:val="none" w:sz="0" w:space="0" w:color="auto"/>
        <w:right w:val="none" w:sz="0" w:space="0" w:color="auto"/>
      </w:divBdr>
    </w:div>
    <w:div w:id="1140927665">
      <w:bodyDiv w:val="1"/>
      <w:marLeft w:val="0"/>
      <w:marRight w:val="0"/>
      <w:marTop w:val="0"/>
      <w:marBottom w:val="0"/>
      <w:divBdr>
        <w:top w:val="none" w:sz="0" w:space="0" w:color="auto"/>
        <w:left w:val="none" w:sz="0" w:space="0" w:color="auto"/>
        <w:bottom w:val="none" w:sz="0" w:space="0" w:color="auto"/>
        <w:right w:val="none" w:sz="0" w:space="0" w:color="auto"/>
      </w:divBdr>
    </w:div>
    <w:div w:id="179964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ducationaltransformations.com.au/legacy-of-whitlam-government-in-schools%ef%bb%b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ducationaltransformations.com.au/school-curriculum-and-quality-teaching-ebook-for-free-download-and-distribution" TargetMode="External"/><Relationship Id="rId17" Type="http://schemas.openxmlformats.org/officeDocument/2006/relationships/hyperlink" Target="https://www.oecd-ilibrary.org/docserver/9789264300002-en.pdf?expires=1662600103&amp;id=id&amp;accname=guest&amp;checksum=939E5D8DCD757EB5EDDA4B7E616B7B8F" TargetMode="External"/><Relationship Id="rId2" Type="http://schemas.openxmlformats.org/officeDocument/2006/relationships/customXml" Target="../customXml/item2.xml"/><Relationship Id="rId16" Type="http://schemas.openxmlformats.org/officeDocument/2006/relationships/hyperlink" Target="https://www.pc.gov.au/inquiries/current/school-agreement/interim/school-agreement-interim.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udit.nsw.gov.au/our-work/reports/ensuring-teaching-quality-in-nsw-public-schools" TargetMode="External"/><Relationship Id="rId5" Type="http://schemas.openxmlformats.org/officeDocument/2006/relationships/numbering" Target="numbering.xml"/><Relationship Id="rId15" Type="http://schemas.openxmlformats.org/officeDocument/2006/relationships/hyperlink" Target="https://www.dese.gov.au/quality-schools-package/resources/through-growth-achievement-report-review-achieve-educational-excellence-australian-school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ducationaltransformations.com.au/what-the-principals-sa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an\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7589F987-644E-4089-84C8-740699ABE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2262</TotalTime>
  <Pages>9</Pages>
  <Words>4617</Words>
  <Characters>26323</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Submission DR62 - Prof Emeritus Brian J Caldwell - National School Reform Agreement - Commissioned study</vt:lpstr>
    </vt:vector>
  </TitlesOfParts>
  <Company>Prof Emeritus Brian J Caldwell</Company>
  <LinksUpToDate>false</LinksUpToDate>
  <CharactersWithSpaces>30879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DR62 - Prof Emeritus Brian J Caldwell - National School Reform Agreement - Commissioned study</dc:title>
  <dc:subject/>
  <dc:creator>Prof Emeritus Brian J Caldwell</dc:creator>
  <cp:keywords/>
  <dc:description/>
  <cp:lastModifiedBy>Chris Alston</cp:lastModifiedBy>
  <cp:revision>47</cp:revision>
  <cp:lastPrinted>2022-10-05T03:30:00Z</cp:lastPrinted>
  <dcterms:created xsi:type="dcterms:W3CDTF">2022-09-22T02:54:00Z</dcterms:created>
  <dcterms:modified xsi:type="dcterms:W3CDTF">2022-10-11T21:38:00Z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