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E597" w14:textId="66E33BD2" w:rsidR="00B94494" w:rsidRPr="0005224D" w:rsidRDefault="00870477">
      <w:pPr>
        <w:rPr>
          <w:i/>
          <w:iCs/>
          <w:color w:val="000000" w:themeColor="text1"/>
        </w:rPr>
      </w:pPr>
      <w:r w:rsidRPr="0005224D">
        <w:rPr>
          <w:b/>
          <w:bCs/>
          <w:i/>
          <w:iCs/>
          <w:color w:val="000000" w:themeColor="text1"/>
        </w:rPr>
        <w:t xml:space="preserve">Mobile and </w:t>
      </w:r>
      <w:r w:rsidR="00B94494" w:rsidRPr="0005224D">
        <w:rPr>
          <w:b/>
          <w:bCs/>
          <w:i/>
          <w:iCs/>
          <w:color w:val="000000" w:themeColor="text1"/>
        </w:rPr>
        <w:t xml:space="preserve">Modular </w:t>
      </w:r>
      <w:r w:rsidR="005D5533">
        <w:rPr>
          <w:b/>
          <w:bCs/>
          <w:i/>
          <w:iCs/>
          <w:color w:val="000000" w:themeColor="text1"/>
        </w:rPr>
        <w:t>T</w:t>
      </w:r>
      <w:r w:rsidR="00B94494" w:rsidRPr="0005224D">
        <w:rPr>
          <w:b/>
          <w:bCs/>
          <w:i/>
          <w:iCs/>
          <w:color w:val="000000" w:themeColor="text1"/>
        </w:rPr>
        <w:t xml:space="preserve">eaching </w:t>
      </w:r>
      <w:r w:rsidR="005D5533">
        <w:rPr>
          <w:b/>
          <w:bCs/>
          <w:i/>
          <w:iCs/>
          <w:color w:val="000000" w:themeColor="text1"/>
        </w:rPr>
        <w:t>U</w:t>
      </w:r>
      <w:r w:rsidR="00B94494" w:rsidRPr="0005224D">
        <w:rPr>
          <w:b/>
          <w:bCs/>
          <w:i/>
          <w:iCs/>
          <w:color w:val="000000" w:themeColor="text1"/>
        </w:rPr>
        <w:t xml:space="preserve">nits to </w:t>
      </w:r>
      <w:r w:rsidR="005D5533">
        <w:rPr>
          <w:b/>
          <w:bCs/>
          <w:i/>
          <w:iCs/>
          <w:color w:val="000000" w:themeColor="text1"/>
        </w:rPr>
        <w:t>C</w:t>
      </w:r>
      <w:r w:rsidR="00B94494" w:rsidRPr="0005224D">
        <w:rPr>
          <w:b/>
          <w:bCs/>
          <w:i/>
          <w:iCs/>
          <w:color w:val="000000" w:themeColor="text1"/>
        </w:rPr>
        <w:t xml:space="preserve">hange </w:t>
      </w:r>
      <w:r w:rsidR="005D5533">
        <w:rPr>
          <w:b/>
          <w:bCs/>
          <w:i/>
          <w:iCs/>
          <w:color w:val="000000" w:themeColor="text1"/>
        </w:rPr>
        <w:t>E</w:t>
      </w:r>
      <w:r w:rsidR="00B94494" w:rsidRPr="0005224D">
        <w:rPr>
          <w:b/>
          <w:bCs/>
          <w:i/>
          <w:iCs/>
          <w:color w:val="000000" w:themeColor="text1"/>
        </w:rPr>
        <w:t xml:space="preserve">ducation </w:t>
      </w:r>
      <w:r w:rsidR="005D5533">
        <w:rPr>
          <w:b/>
          <w:bCs/>
          <w:i/>
          <w:iCs/>
          <w:color w:val="000000" w:themeColor="text1"/>
        </w:rPr>
        <w:t>S</w:t>
      </w:r>
      <w:r w:rsidR="00B94494" w:rsidRPr="0005224D">
        <w:rPr>
          <w:b/>
          <w:bCs/>
          <w:i/>
          <w:iCs/>
          <w:color w:val="000000" w:themeColor="text1"/>
        </w:rPr>
        <w:t>tructures</w:t>
      </w:r>
      <w:r w:rsidR="00B94494" w:rsidRPr="0005224D">
        <w:rPr>
          <w:i/>
          <w:iCs/>
          <w:color w:val="000000" w:themeColor="text1"/>
        </w:rPr>
        <w:t>.</w:t>
      </w:r>
    </w:p>
    <w:p w14:paraId="7CFBAA44" w14:textId="77777777" w:rsidR="00B94494" w:rsidRPr="0005224D" w:rsidRDefault="00B94494">
      <w:pPr>
        <w:rPr>
          <w:i/>
          <w:iCs/>
          <w:color w:val="000000" w:themeColor="text1"/>
        </w:rPr>
      </w:pPr>
    </w:p>
    <w:p w14:paraId="5DBFFFCB" w14:textId="76621D53" w:rsidR="00DD7A4D" w:rsidRPr="0005224D" w:rsidRDefault="00300AE5" w:rsidP="00DD7A4D">
      <w:pPr>
        <w:ind w:firstLine="720"/>
        <w:rPr>
          <w:color w:val="000000" w:themeColor="text1"/>
        </w:rPr>
      </w:pPr>
      <w:r w:rsidRPr="0005224D">
        <w:rPr>
          <w:color w:val="000000" w:themeColor="text1"/>
        </w:rPr>
        <w:t xml:space="preserve">The interim report </w:t>
      </w:r>
      <w:r w:rsidR="009E1CB8" w:rsidRPr="0005224D">
        <w:rPr>
          <w:color w:val="000000" w:themeColor="text1"/>
        </w:rPr>
        <w:t xml:space="preserve">on the </w:t>
      </w:r>
      <w:r w:rsidR="009E1CB8" w:rsidRPr="0005224D">
        <w:rPr>
          <w:bCs/>
          <w:color w:val="000000" w:themeColor="text1"/>
        </w:rPr>
        <w:t>National School Reform Agreement (NSRA)</w:t>
      </w:r>
      <w:r w:rsidR="00DD7A4D" w:rsidRPr="0005224D">
        <w:rPr>
          <w:bCs/>
          <w:color w:val="000000" w:themeColor="text1"/>
        </w:rPr>
        <w:t xml:space="preserve"> </w:t>
      </w:r>
      <w:r w:rsidRPr="0005224D">
        <w:rPr>
          <w:color w:val="000000" w:themeColor="text1"/>
        </w:rPr>
        <w:t>expresses frustration at the lack of progress</w:t>
      </w:r>
      <w:r w:rsidR="009319B3" w:rsidRPr="0005224D">
        <w:rPr>
          <w:color w:val="000000" w:themeColor="text1"/>
        </w:rPr>
        <w:t>,</w:t>
      </w:r>
      <w:r w:rsidRPr="0005224D">
        <w:rPr>
          <w:color w:val="000000" w:themeColor="text1"/>
        </w:rPr>
        <w:t xml:space="preserve"> given the money spent</w:t>
      </w:r>
      <w:r w:rsidR="009319B3" w:rsidRPr="0005224D">
        <w:rPr>
          <w:color w:val="000000" w:themeColor="text1"/>
        </w:rPr>
        <w:t>,</w:t>
      </w:r>
      <w:r w:rsidRPr="0005224D">
        <w:rPr>
          <w:color w:val="000000" w:themeColor="text1"/>
        </w:rPr>
        <w:t xml:space="preserve"> on </w:t>
      </w:r>
      <w:r w:rsidR="00DD7A4D" w:rsidRPr="0005224D">
        <w:rPr>
          <w:color w:val="000000" w:themeColor="text1"/>
        </w:rPr>
        <w:t>“the appropriateness and effectiveness of the national reform initiatives in the NSRA”.</w:t>
      </w:r>
    </w:p>
    <w:p w14:paraId="29C4E9C9" w14:textId="77777777" w:rsidR="004F1845" w:rsidRPr="0005224D" w:rsidRDefault="004F1845" w:rsidP="00DD7A4D">
      <w:pPr>
        <w:ind w:firstLine="720"/>
        <w:rPr>
          <w:color w:val="000000" w:themeColor="text1"/>
        </w:rPr>
      </w:pPr>
    </w:p>
    <w:p w14:paraId="02499219" w14:textId="77777777" w:rsidR="00803A34" w:rsidRPr="0005224D" w:rsidRDefault="00300AE5" w:rsidP="00803A34">
      <w:pPr>
        <w:ind w:firstLine="720"/>
        <w:rPr>
          <w:color w:val="000000" w:themeColor="text1"/>
        </w:rPr>
      </w:pPr>
      <w:r w:rsidRPr="0005224D">
        <w:rPr>
          <w:bCs/>
          <w:color w:val="000000" w:themeColor="text1"/>
        </w:rPr>
        <w:t xml:space="preserve">We believe the frustration arises in part from the </w:t>
      </w:r>
      <w:r w:rsidR="00DD7A4D" w:rsidRPr="0005224D">
        <w:rPr>
          <w:bCs/>
          <w:color w:val="000000" w:themeColor="text1"/>
        </w:rPr>
        <w:t>constraints</w:t>
      </w:r>
      <w:r w:rsidRPr="0005224D">
        <w:rPr>
          <w:bCs/>
          <w:color w:val="000000" w:themeColor="text1"/>
        </w:rPr>
        <w:t xml:space="preserve"> inherent to </w:t>
      </w:r>
      <w:r w:rsidR="009319B3" w:rsidRPr="0005224D">
        <w:rPr>
          <w:bCs/>
          <w:color w:val="000000" w:themeColor="text1"/>
        </w:rPr>
        <w:t>all state and territory</w:t>
      </w:r>
      <w:r w:rsidRPr="0005224D">
        <w:rPr>
          <w:bCs/>
          <w:color w:val="000000" w:themeColor="text1"/>
        </w:rPr>
        <w:t xml:space="preserve"> education system</w:t>
      </w:r>
      <w:r w:rsidR="009319B3" w:rsidRPr="0005224D">
        <w:rPr>
          <w:bCs/>
          <w:color w:val="000000" w:themeColor="text1"/>
        </w:rPr>
        <w:t>s.</w:t>
      </w:r>
      <w:r w:rsidRPr="0005224D">
        <w:rPr>
          <w:bCs/>
          <w:color w:val="000000" w:themeColor="text1"/>
        </w:rPr>
        <w:t xml:space="preserve"> </w:t>
      </w:r>
      <w:r w:rsidR="00AA0C6F" w:rsidRPr="0005224D">
        <w:rPr>
          <w:bCs/>
          <w:color w:val="000000" w:themeColor="text1"/>
        </w:rPr>
        <w:t>Unless we chang</w:t>
      </w:r>
      <w:r w:rsidR="00361638" w:rsidRPr="0005224D">
        <w:rPr>
          <w:bCs/>
          <w:color w:val="000000" w:themeColor="text1"/>
        </w:rPr>
        <w:t>e</w:t>
      </w:r>
      <w:r w:rsidR="00AA0C6F" w:rsidRPr="0005224D">
        <w:rPr>
          <w:bCs/>
          <w:color w:val="000000" w:themeColor="text1"/>
        </w:rPr>
        <w:t xml:space="preserve"> basic educational </w:t>
      </w:r>
      <w:r w:rsidR="003750AE" w:rsidRPr="0005224D">
        <w:rPr>
          <w:bCs/>
          <w:color w:val="000000" w:themeColor="text1"/>
        </w:rPr>
        <w:t>structures,</w:t>
      </w:r>
      <w:r w:rsidR="00AA0C6F" w:rsidRPr="0005224D">
        <w:rPr>
          <w:bCs/>
          <w:color w:val="000000" w:themeColor="text1"/>
        </w:rPr>
        <w:t xml:space="preserve"> we will continue to only tinker at the edges of reform</w:t>
      </w:r>
      <w:r w:rsidR="00361638" w:rsidRPr="0005224D">
        <w:rPr>
          <w:bCs/>
          <w:color w:val="000000" w:themeColor="text1"/>
        </w:rPr>
        <w:t xml:space="preserve"> and continue to experience frustration.</w:t>
      </w:r>
      <w:r w:rsidR="00122E78" w:rsidRPr="0005224D">
        <w:rPr>
          <w:bCs/>
          <w:color w:val="000000" w:themeColor="text1"/>
        </w:rPr>
        <w:t xml:space="preserve"> As </w:t>
      </w:r>
      <w:r w:rsidR="00122E78" w:rsidRPr="0005224D">
        <w:rPr>
          <w:color w:val="000000" w:themeColor="text1"/>
        </w:rPr>
        <w:t>the Productivity Commission recognises “education is ripe for disruption.”</w:t>
      </w:r>
    </w:p>
    <w:p w14:paraId="5B7686E6" w14:textId="77777777" w:rsidR="004F1845" w:rsidRPr="0005224D" w:rsidRDefault="004F1845" w:rsidP="00803A34">
      <w:pPr>
        <w:ind w:firstLine="720"/>
        <w:rPr>
          <w:bCs/>
          <w:color w:val="000000" w:themeColor="text1"/>
        </w:rPr>
      </w:pPr>
    </w:p>
    <w:p w14:paraId="6D21F9C6" w14:textId="77777777" w:rsidR="000431B6" w:rsidRPr="0005224D" w:rsidRDefault="00122E78" w:rsidP="000F5243">
      <w:pPr>
        <w:ind w:firstLine="720"/>
        <w:rPr>
          <w:color w:val="000000" w:themeColor="text1"/>
        </w:rPr>
      </w:pPr>
      <w:r w:rsidRPr="0005224D">
        <w:rPr>
          <w:bCs/>
          <w:color w:val="000000" w:themeColor="text1"/>
        </w:rPr>
        <w:t>However, a</w:t>
      </w:r>
      <w:r w:rsidR="00803A34" w:rsidRPr="0005224D">
        <w:rPr>
          <w:bCs/>
          <w:color w:val="000000" w:themeColor="text1"/>
        </w:rPr>
        <w:t xml:space="preserve"> major inhibitor of meaningful change could be </w:t>
      </w:r>
      <w:r w:rsidR="00222EB9" w:rsidRPr="0005224D">
        <w:rPr>
          <w:bCs/>
          <w:color w:val="000000" w:themeColor="text1"/>
        </w:rPr>
        <w:t>that</w:t>
      </w:r>
      <w:r w:rsidR="00803A34" w:rsidRPr="0005224D">
        <w:rPr>
          <w:bCs/>
          <w:color w:val="000000" w:themeColor="text1"/>
        </w:rPr>
        <w:t xml:space="preserve"> “</w:t>
      </w:r>
      <w:r w:rsidR="00803A34" w:rsidRPr="0005224D">
        <w:rPr>
          <w:i/>
          <w:iCs/>
          <w:color w:val="000000" w:themeColor="text1"/>
        </w:rPr>
        <w:t xml:space="preserve">The Commission has focused on factors that can operate ‘within the school </w:t>
      </w:r>
      <w:r w:rsidR="000F5243" w:rsidRPr="0005224D">
        <w:rPr>
          <w:i/>
          <w:iCs/>
          <w:color w:val="000000" w:themeColor="text1"/>
        </w:rPr>
        <w:t>gates</w:t>
      </w:r>
      <w:r w:rsidR="00803A34" w:rsidRPr="0005224D">
        <w:rPr>
          <w:i/>
          <w:iCs/>
          <w:color w:val="000000" w:themeColor="text1"/>
        </w:rPr>
        <w:t>.”</w:t>
      </w:r>
      <w:r w:rsidR="000F5243" w:rsidRPr="0005224D">
        <w:rPr>
          <w:i/>
          <w:iCs/>
          <w:color w:val="000000" w:themeColor="text1"/>
        </w:rPr>
        <w:t xml:space="preserve"> </w:t>
      </w:r>
      <w:r w:rsidR="00803A34" w:rsidRPr="0005224D">
        <w:rPr>
          <w:color w:val="000000" w:themeColor="text1"/>
        </w:rPr>
        <w:t>The problem is the “gates”. The “gates” perpetuate the well-recognised industrial model of education.</w:t>
      </w:r>
      <w:r w:rsidR="000431B6" w:rsidRPr="0005224D">
        <w:rPr>
          <w:color w:val="000000" w:themeColor="text1"/>
        </w:rPr>
        <w:t xml:space="preserve"> The</w:t>
      </w:r>
      <w:r w:rsidRPr="0005224D">
        <w:rPr>
          <w:color w:val="000000" w:themeColor="text1"/>
        </w:rPr>
        <w:t xml:space="preserve">y </w:t>
      </w:r>
      <w:r w:rsidR="000431B6" w:rsidRPr="0005224D">
        <w:rPr>
          <w:color w:val="000000" w:themeColor="text1"/>
        </w:rPr>
        <w:t xml:space="preserve">reinforce mindsets that silo students and curriculum. They perpetuate the </w:t>
      </w:r>
      <w:r w:rsidR="00803A34" w:rsidRPr="0005224D">
        <w:rPr>
          <w:color w:val="000000" w:themeColor="text1"/>
        </w:rPr>
        <w:t>inequities</w:t>
      </w:r>
      <w:r w:rsidR="000431B6" w:rsidRPr="0005224D">
        <w:rPr>
          <w:color w:val="000000" w:themeColor="text1"/>
        </w:rPr>
        <w:t xml:space="preserve"> that remain constants</w:t>
      </w:r>
      <w:r w:rsidR="00803A34" w:rsidRPr="0005224D">
        <w:rPr>
          <w:color w:val="000000" w:themeColor="text1"/>
        </w:rPr>
        <w:t xml:space="preserve"> behind the gate. </w:t>
      </w:r>
    </w:p>
    <w:p w14:paraId="4B781811" w14:textId="77777777" w:rsidR="000F5243" w:rsidRPr="0005224D" w:rsidRDefault="000F5243" w:rsidP="000F5243">
      <w:pPr>
        <w:ind w:firstLine="720"/>
        <w:rPr>
          <w:bCs/>
          <w:color w:val="000000" w:themeColor="text1"/>
        </w:rPr>
      </w:pPr>
    </w:p>
    <w:p w14:paraId="594016D2" w14:textId="77777777" w:rsidR="00803A34" w:rsidRPr="0005224D" w:rsidRDefault="000431B6" w:rsidP="00364BB2">
      <w:pPr>
        <w:rPr>
          <w:color w:val="000000" w:themeColor="text1"/>
        </w:rPr>
      </w:pPr>
      <w:r w:rsidRPr="0005224D">
        <w:rPr>
          <w:color w:val="000000" w:themeColor="text1"/>
        </w:rPr>
        <w:tab/>
        <w:t xml:space="preserve">We strongly believe that </w:t>
      </w:r>
      <w:r w:rsidR="000F5243" w:rsidRPr="0005224D">
        <w:rPr>
          <w:color w:val="000000" w:themeColor="text1"/>
        </w:rPr>
        <w:t>meaningful reform</w:t>
      </w:r>
      <w:r w:rsidRPr="0005224D">
        <w:rPr>
          <w:color w:val="000000" w:themeColor="text1"/>
        </w:rPr>
        <w:t xml:space="preserve"> </w:t>
      </w:r>
      <w:r w:rsidR="000F5243" w:rsidRPr="0005224D">
        <w:rPr>
          <w:color w:val="000000" w:themeColor="text1"/>
        </w:rPr>
        <w:t>aims</w:t>
      </w:r>
      <w:r w:rsidRPr="0005224D">
        <w:rPr>
          <w:color w:val="000000" w:themeColor="text1"/>
        </w:rPr>
        <w:t xml:space="preserve"> for an education system </w:t>
      </w:r>
      <w:r w:rsidR="00222EB9" w:rsidRPr="0005224D">
        <w:rPr>
          <w:color w:val="000000" w:themeColor="text1"/>
        </w:rPr>
        <w:t xml:space="preserve">without gates. The focus of the Commission should be on factors that </w:t>
      </w:r>
      <w:r w:rsidR="0059220E" w:rsidRPr="0005224D">
        <w:rPr>
          <w:color w:val="000000" w:themeColor="text1"/>
        </w:rPr>
        <w:t>CAN operate ‘within the school gates’ but aims</w:t>
      </w:r>
      <w:r w:rsidR="00364BB2" w:rsidRPr="0005224D">
        <w:rPr>
          <w:color w:val="000000" w:themeColor="text1"/>
        </w:rPr>
        <w:t>, in the long term,</w:t>
      </w:r>
      <w:r w:rsidR="0059220E" w:rsidRPr="0005224D">
        <w:rPr>
          <w:color w:val="000000" w:themeColor="text1"/>
        </w:rPr>
        <w:t xml:space="preserve"> to remove them. That is</w:t>
      </w:r>
      <w:r w:rsidR="0073318F" w:rsidRPr="0005224D">
        <w:rPr>
          <w:color w:val="000000" w:themeColor="text1"/>
        </w:rPr>
        <w:t>,</w:t>
      </w:r>
      <w:r w:rsidR="0059220E" w:rsidRPr="0005224D">
        <w:rPr>
          <w:color w:val="000000" w:themeColor="text1"/>
        </w:rPr>
        <w:t xml:space="preserve"> the greatest impact will be on reforms that provide resources outside the gates </w:t>
      </w:r>
      <w:r w:rsidR="0073318F" w:rsidRPr="0005224D">
        <w:rPr>
          <w:color w:val="000000" w:themeColor="text1"/>
        </w:rPr>
        <w:t>and</w:t>
      </w:r>
      <w:r w:rsidR="0059220E" w:rsidRPr="0005224D">
        <w:rPr>
          <w:color w:val="000000" w:themeColor="text1"/>
        </w:rPr>
        <w:t xml:space="preserve"> accessible by all. </w:t>
      </w:r>
    </w:p>
    <w:p w14:paraId="0AB85D8B" w14:textId="77777777" w:rsidR="00364BB2" w:rsidRPr="0005224D" w:rsidRDefault="00364BB2" w:rsidP="00364BB2">
      <w:pPr>
        <w:rPr>
          <w:color w:val="000000" w:themeColor="text1"/>
        </w:rPr>
      </w:pPr>
    </w:p>
    <w:p w14:paraId="5DE95C82" w14:textId="77777777" w:rsidR="0059220E" w:rsidRPr="0005224D" w:rsidRDefault="00361638" w:rsidP="009319B3">
      <w:pPr>
        <w:ind w:firstLine="720"/>
        <w:rPr>
          <w:bCs/>
          <w:color w:val="000000" w:themeColor="text1"/>
        </w:rPr>
      </w:pPr>
      <w:r w:rsidRPr="0005224D">
        <w:rPr>
          <w:bCs/>
          <w:color w:val="000000" w:themeColor="text1"/>
        </w:rPr>
        <w:t xml:space="preserve">We propose a model of mobile, modular teaching units that would form a mechanism </w:t>
      </w:r>
      <w:r w:rsidR="006E3A11" w:rsidRPr="0005224D">
        <w:rPr>
          <w:bCs/>
          <w:color w:val="000000" w:themeColor="text1"/>
        </w:rPr>
        <w:t>of</w:t>
      </w:r>
      <w:r w:rsidRPr="0005224D">
        <w:rPr>
          <w:bCs/>
          <w:color w:val="000000" w:themeColor="text1"/>
        </w:rPr>
        <w:t xml:space="preserve"> transition from our current broken system</w:t>
      </w:r>
      <w:r w:rsidR="00954D14" w:rsidRPr="0005224D">
        <w:rPr>
          <w:bCs/>
          <w:color w:val="000000" w:themeColor="text1"/>
        </w:rPr>
        <w:t xml:space="preserve">, </w:t>
      </w:r>
      <w:r w:rsidR="0059220E" w:rsidRPr="0005224D">
        <w:rPr>
          <w:bCs/>
          <w:color w:val="000000" w:themeColor="text1"/>
        </w:rPr>
        <w:t>to one that embeds an educational philosophy throughout the community.</w:t>
      </w:r>
    </w:p>
    <w:p w14:paraId="5C8EDE36" w14:textId="77777777" w:rsidR="0059220E" w:rsidRPr="0005224D" w:rsidRDefault="0059220E" w:rsidP="009319B3">
      <w:pPr>
        <w:ind w:firstLine="720"/>
        <w:rPr>
          <w:bCs/>
          <w:color w:val="000000" w:themeColor="text1"/>
        </w:rPr>
      </w:pPr>
    </w:p>
    <w:p w14:paraId="6FEFA88A" w14:textId="77777777" w:rsidR="0059220E" w:rsidRPr="0005224D" w:rsidRDefault="0059220E" w:rsidP="009319B3">
      <w:pPr>
        <w:ind w:firstLine="720"/>
        <w:rPr>
          <w:bCs/>
          <w:color w:val="000000" w:themeColor="text1"/>
        </w:rPr>
      </w:pPr>
      <w:r w:rsidRPr="0005224D">
        <w:rPr>
          <w:bCs/>
          <w:color w:val="000000" w:themeColor="text1"/>
        </w:rPr>
        <w:t xml:space="preserve">Initially the units should be designed to </w:t>
      </w:r>
      <w:r w:rsidR="00364BB2" w:rsidRPr="0005224D">
        <w:rPr>
          <w:bCs/>
          <w:color w:val="000000" w:themeColor="text1"/>
        </w:rPr>
        <w:t xml:space="preserve">address recognised priority </w:t>
      </w:r>
      <w:r w:rsidR="001748B8" w:rsidRPr="0005224D">
        <w:rPr>
          <w:bCs/>
          <w:color w:val="000000" w:themeColor="text1"/>
        </w:rPr>
        <w:t xml:space="preserve">equity </w:t>
      </w:r>
      <w:r w:rsidR="0073318F" w:rsidRPr="0005224D">
        <w:rPr>
          <w:bCs/>
          <w:color w:val="000000" w:themeColor="text1"/>
        </w:rPr>
        <w:t>cohorts</w:t>
      </w:r>
      <w:r w:rsidR="00364BB2" w:rsidRPr="0005224D">
        <w:rPr>
          <w:bCs/>
          <w:color w:val="000000" w:themeColor="text1"/>
        </w:rPr>
        <w:t xml:space="preserve">. They would be made up of staff and resources that can be moved as a unit to </w:t>
      </w:r>
      <w:r w:rsidR="0073318F" w:rsidRPr="0005224D">
        <w:rPr>
          <w:bCs/>
          <w:color w:val="000000" w:themeColor="text1"/>
        </w:rPr>
        <w:t>priority</w:t>
      </w:r>
      <w:r w:rsidR="00364BB2" w:rsidRPr="0005224D">
        <w:rPr>
          <w:bCs/>
          <w:color w:val="000000" w:themeColor="text1"/>
        </w:rPr>
        <w:t xml:space="preserve"> communities, or have </w:t>
      </w:r>
      <w:r w:rsidR="0073318F" w:rsidRPr="0005224D">
        <w:rPr>
          <w:bCs/>
          <w:color w:val="000000" w:themeColor="text1"/>
        </w:rPr>
        <w:t>priority cohort</w:t>
      </w:r>
      <w:r w:rsidR="00364BB2" w:rsidRPr="0005224D">
        <w:rPr>
          <w:bCs/>
          <w:color w:val="000000" w:themeColor="text1"/>
        </w:rPr>
        <w:t xml:space="preserve"> students move to them.</w:t>
      </w:r>
      <w:r w:rsidR="0073318F" w:rsidRPr="0005224D">
        <w:rPr>
          <w:bCs/>
          <w:color w:val="000000" w:themeColor="text1"/>
        </w:rPr>
        <w:t xml:space="preserve"> They would not segregate students by age </w:t>
      </w:r>
      <w:r w:rsidR="00B03F93" w:rsidRPr="0005224D">
        <w:rPr>
          <w:bCs/>
          <w:color w:val="000000" w:themeColor="text1"/>
        </w:rPr>
        <w:t>but would provide a vertically</w:t>
      </w:r>
      <w:r w:rsidR="004C71AA" w:rsidRPr="0005224D">
        <w:rPr>
          <w:bCs/>
          <w:color w:val="000000" w:themeColor="text1"/>
        </w:rPr>
        <w:t>-</w:t>
      </w:r>
      <w:r w:rsidR="00B03F93" w:rsidRPr="0005224D">
        <w:rPr>
          <w:bCs/>
          <w:color w:val="000000" w:themeColor="text1"/>
        </w:rPr>
        <w:t>integrated</w:t>
      </w:r>
      <w:r w:rsidR="004C71AA" w:rsidRPr="0005224D">
        <w:rPr>
          <w:bCs/>
          <w:color w:val="000000" w:themeColor="text1"/>
        </w:rPr>
        <w:t xml:space="preserve"> or circular</w:t>
      </w:r>
      <w:r w:rsidR="00B03F93" w:rsidRPr="0005224D">
        <w:rPr>
          <w:bCs/>
          <w:color w:val="000000" w:themeColor="text1"/>
        </w:rPr>
        <w:t xml:space="preserve"> curriculum that students move through at their own speed, or move into and out of as needed, or as circumstances dictate. In the future they would be accessible to anyone in the community who wished to learn</w:t>
      </w:r>
      <w:r w:rsidR="00403D6C" w:rsidRPr="0005224D">
        <w:rPr>
          <w:bCs/>
          <w:color w:val="000000" w:themeColor="text1"/>
        </w:rPr>
        <w:t xml:space="preserve"> as well as</w:t>
      </w:r>
      <w:r w:rsidR="00C8535D" w:rsidRPr="0005224D">
        <w:rPr>
          <w:bCs/>
          <w:color w:val="000000" w:themeColor="text1"/>
        </w:rPr>
        <w:t xml:space="preserve"> inviting in</w:t>
      </w:r>
      <w:r w:rsidR="00403D6C" w:rsidRPr="0005224D">
        <w:rPr>
          <w:bCs/>
          <w:color w:val="000000" w:themeColor="text1"/>
        </w:rPr>
        <w:t xml:space="preserve"> those</w:t>
      </w:r>
      <w:r w:rsidR="002F1835" w:rsidRPr="0005224D">
        <w:rPr>
          <w:bCs/>
          <w:color w:val="000000" w:themeColor="text1"/>
        </w:rPr>
        <w:t xml:space="preserve"> from the community</w:t>
      </w:r>
      <w:r w:rsidR="00403D6C" w:rsidRPr="0005224D">
        <w:rPr>
          <w:bCs/>
          <w:color w:val="000000" w:themeColor="text1"/>
        </w:rPr>
        <w:t xml:space="preserve"> who can make valuable contributions to the lea</w:t>
      </w:r>
      <w:r w:rsidR="004C71AA" w:rsidRPr="0005224D">
        <w:rPr>
          <w:bCs/>
          <w:color w:val="000000" w:themeColor="text1"/>
        </w:rPr>
        <w:t>r</w:t>
      </w:r>
      <w:r w:rsidR="00403D6C" w:rsidRPr="0005224D">
        <w:rPr>
          <w:bCs/>
          <w:color w:val="000000" w:themeColor="text1"/>
        </w:rPr>
        <w:t>ning</w:t>
      </w:r>
      <w:r w:rsidR="00C8535D" w:rsidRPr="0005224D">
        <w:rPr>
          <w:bCs/>
          <w:color w:val="000000" w:themeColor="text1"/>
        </w:rPr>
        <w:t xml:space="preserve"> environment. Over time we will see</w:t>
      </w:r>
      <w:r w:rsidR="00B03F93" w:rsidRPr="0005224D">
        <w:rPr>
          <w:bCs/>
          <w:color w:val="000000" w:themeColor="text1"/>
        </w:rPr>
        <w:t xml:space="preserve"> the barriers between the student population and the community break down.</w:t>
      </w:r>
    </w:p>
    <w:p w14:paraId="582197B0" w14:textId="77777777" w:rsidR="00B03F93" w:rsidRPr="0005224D" w:rsidRDefault="00B03F93" w:rsidP="002C044D">
      <w:pPr>
        <w:rPr>
          <w:bCs/>
          <w:color w:val="000000" w:themeColor="text1"/>
        </w:rPr>
      </w:pPr>
    </w:p>
    <w:p w14:paraId="1BC527F6" w14:textId="77777777" w:rsidR="00662AE8" w:rsidRPr="0005224D" w:rsidRDefault="00E92DE8" w:rsidP="002C044D">
      <w:pPr>
        <w:ind w:firstLine="720"/>
        <w:rPr>
          <w:bCs/>
          <w:color w:val="000000" w:themeColor="text1"/>
        </w:rPr>
      </w:pPr>
      <w:r w:rsidRPr="0005224D">
        <w:rPr>
          <w:bCs/>
          <w:color w:val="000000" w:themeColor="text1"/>
        </w:rPr>
        <w:t xml:space="preserve">Mobile, modular units could </w:t>
      </w:r>
      <w:r w:rsidR="00283FCE" w:rsidRPr="0005224D">
        <w:rPr>
          <w:bCs/>
          <w:color w:val="000000" w:themeColor="text1"/>
        </w:rPr>
        <w:t>address many of the concerns expressed in the NRSA interim review.</w:t>
      </w:r>
      <w:r w:rsidR="006E3A11" w:rsidRPr="0005224D">
        <w:rPr>
          <w:bCs/>
          <w:color w:val="000000" w:themeColor="text1"/>
        </w:rPr>
        <w:t xml:space="preserve"> </w:t>
      </w:r>
      <w:r w:rsidR="00B24B03" w:rsidRPr="0005224D">
        <w:rPr>
          <w:bCs/>
          <w:color w:val="000000" w:themeColor="text1"/>
        </w:rPr>
        <w:t>They would:</w:t>
      </w:r>
    </w:p>
    <w:p w14:paraId="759AC6DB" w14:textId="77777777" w:rsidR="001748B8" w:rsidRPr="0005224D" w:rsidRDefault="00B24B03" w:rsidP="001748B8">
      <w:pPr>
        <w:ind w:firstLine="720"/>
        <w:rPr>
          <w:bCs/>
          <w:color w:val="000000" w:themeColor="text1"/>
        </w:rPr>
      </w:pPr>
      <w:r w:rsidRPr="0005224D">
        <w:rPr>
          <w:bCs/>
          <w:color w:val="000000" w:themeColor="text1"/>
        </w:rPr>
        <w:t xml:space="preserve">- </w:t>
      </w:r>
      <w:r w:rsidR="001748B8" w:rsidRPr="0005224D">
        <w:rPr>
          <w:bCs/>
          <w:color w:val="000000" w:themeColor="text1"/>
        </w:rPr>
        <w:t>specifically address, and cater to, priority equity cohorts</w:t>
      </w:r>
    </w:p>
    <w:p w14:paraId="4DCBAC21" w14:textId="77777777" w:rsidR="004C71AA" w:rsidRPr="0005224D" w:rsidRDefault="001748B8" w:rsidP="001748B8">
      <w:pPr>
        <w:ind w:firstLine="720"/>
        <w:rPr>
          <w:bCs/>
          <w:color w:val="000000" w:themeColor="text1"/>
        </w:rPr>
      </w:pPr>
      <w:r w:rsidRPr="0005224D">
        <w:rPr>
          <w:bCs/>
          <w:color w:val="000000" w:themeColor="text1"/>
        </w:rPr>
        <w:t xml:space="preserve">- </w:t>
      </w:r>
      <w:r w:rsidR="00B24B03" w:rsidRPr="0005224D">
        <w:rPr>
          <w:bCs/>
          <w:color w:val="000000" w:themeColor="text1"/>
        </w:rPr>
        <w:t xml:space="preserve">provide </w:t>
      </w:r>
      <w:r w:rsidR="00466D74" w:rsidRPr="0005224D">
        <w:rPr>
          <w:bCs/>
          <w:color w:val="000000" w:themeColor="text1"/>
        </w:rPr>
        <w:t xml:space="preserve">implementation </w:t>
      </w:r>
      <w:r w:rsidR="009319B3" w:rsidRPr="0005224D">
        <w:rPr>
          <w:bCs/>
          <w:color w:val="000000" w:themeColor="text1"/>
        </w:rPr>
        <w:t>flexibility</w:t>
      </w:r>
      <w:r w:rsidR="00954D14" w:rsidRPr="0005224D">
        <w:rPr>
          <w:bCs/>
          <w:color w:val="000000" w:themeColor="text1"/>
        </w:rPr>
        <w:t xml:space="preserve"> and adaptability</w:t>
      </w:r>
      <w:r w:rsidR="009319B3" w:rsidRPr="0005224D">
        <w:rPr>
          <w:bCs/>
          <w:color w:val="000000" w:themeColor="text1"/>
        </w:rPr>
        <w:t xml:space="preserve"> into the delivery of education</w:t>
      </w:r>
      <w:r w:rsidR="00662AE8" w:rsidRPr="0005224D">
        <w:rPr>
          <w:bCs/>
          <w:color w:val="000000" w:themeColor="text1"/>
        </w:rPr>
        <w:t>;</w:t>
      </w:r>
    </w:p>
    <w:p w14:paraId="19974F79" w14:textId="77777777" w:rsidR="00B0535F" w:rsidRPr="0005224D" w:rsidRDefault="00B0535F" w:rsidP="009319B3">
      <w:pPr>
        <w:ind w:firstLine="720"/>
        <w:rPr>
          <w:bCs/>
          <w:color w:val="000000" w:themeColor="text1"/>
        </w:rPr>
      </w:pPr>
      <w:r w:rsidRPr="0005224D">
        <w:rPr>
          <w:bCs/>
          <w:color w:val="000000" w:themeColor="text1"/>
        </w:rPr>
        <w:t xml:space="preserve">- </w:t>
      </w:r>
      <w:r w:rsidR="00450B3F" w:rsidRPr="0005224D">
        <w:rPr>
          <w:bCs/>
          <w:color w:val="000000" w:themeColor="text1"/>
        </w:rPr>
        <w:t>facilitate</w:t>
      </w:r>
      <w:r w:rsidRPr="0005224D">
        <w:rPr>
          <w:bCs/>
          <w:color w:val="000000" w:themeColor="text1"/>
        </w:rPr>
        <w:t xml:space="preserve"> access to specialist education in critical areas;</w:t>
      </w:r>
    </w:p>
    <w:p w14:paraId="5CD0947F" w14:textId="77777777" w:rsidR="00662AE8" w:rsidRPr="0005224D" w:rsidRDefault="00662AE8" w:rsidP="009319B3">
      <w:pPr>
        <w:ind w:firstLine="720"/>
        <w:rPr>
          <w:bCs/>
          <w:color w:val="000000" w:themeColor="text1"/>
        </w:rPr>
      </w:pPr>
      <w:r w:rsidRPr="0005224D">
        <w:rPr>
          <w:bCs/>
          <w:color w:val="000000" w:themeColor="text1"/>
        </w:rPr>
        <w:t>-</w:t>
      </w:r>
      <w:r w:rsidR="006E3A11" w:rsidRPr="0005224D">
        <w:rPr>
          <w:bCs/>
          <w:color w:val="000000" w:themeColor="text1"/>
        </w:rPr>
        <w:t xml:space="preserve"> </w:t>
      </w:r>
      <w:r w:rsidRPr="0005224D">
        <w:rPr>
          <w:bCs/>
          <w:color w:val="000000" w:themeColor="text1"/>
        </w:rPr>
        <w:t>driv</w:t>
      </w:r>
      <w:r w:rsidR="00954D14" w:rsidRPr="0005224D">
        <w:rPr>
          <w:bCs/>
          <w:color w:val="000000" w:themeColor="text1"/>
        </w:rPr>
        <w:t>e</w:t>
      </w:r>
      <w:r w:rsidR="006E3A11" w:rsidRPr="0005224D">
        <w:rPr>
          <w:bCs/>
          <w:color w:val="000000" w:themeColor="text1"/>
        </w:rPr>
        <w:t xml:space="preserve"> the development of</w:t>
      </w:r>
      <w:r w:rsidR="000F5243" w:rsidRPr="0005224D">
        <w:rPr>
          <w:bCs/>
          <w:color w:val="000000" w:themeColor="text1"/>
        </w:rPr>
        <w:t xml:space="preserve"> </w:t>
      </w:r>
      <w:r w:rsidRPr="0005224D">
        <w:rPr>
          <w:bCs/>
          <w:color w:val="000000" w:themeColor="text1"/>
        </w:rPr>
        <w:t>on</w:t>
      </w:r>
      <w:r w:rsidR="00954D14" w:rsidRPr="0005224D">
        <w:rPr>
          <w:bCs/>
          <w:color w:val="000000" w:themeColor="text1"/>
        </w:rPr>
        <w:t>-</w:t>
      </w:r>
      <w:r w:rsidRPr="0005224D">
        <w:rPr>
          <w:bCs/>
          <w:color w:val="000000" w:themeColor="text1"/>
        </w:rPr>
        <w:t xml:space="preserve">line </w:t>
      </w:r>
      <w:r w:rsidR="00CB70B5" w:rsidRPr="0005224D">
        <w:rPr>
          <w:bCs/>
          <w:color w:val="000000" w:themeColor="text1"/>
        </w:rPr>
        <w:t>formative assessment tools</w:t>
      </w:r>
      <w:r w:rsidR="00954D14" w:rsidRPr="0005224D">
        <w:rPr>
          <w:bCs/>
          <w:color w:val="000000" w:themeColor="text1"/>
        </w:rPr>
        <w:t xml:space="preserve"> </w:t>
      </w:r>
      <w:r w:rsidRPr="0005224D">
        <w:rPr>
          <w:color w:val="000000" w:themeColor="text1"/>
        </w:rPr>
        <w:t xml:space="preserve">(OFAI) </w:t>
      </w:r>
      <w:r w:rsidR="006E3A11" w:rsidRPr="0005224D">
        <w:rPr>
          <w:bCs/>
          <w:color w:val="000000" w:themeColor="text1"/>
        </w:rPr>
        <w:t>on which the units could be based</w:t>
      </w:r>
      <w:r w:rsidRPr="0005224D">
        <w:rPr>
          <w:bCs/>
          <w:color w:val="000000" w:themeColor="text1"/>
        </w:rPr>
        <w:t>;</w:t>
      </w:r>
    </w:p>
    <w:p w14:paraId="48DDA72D" w14:textId="77777777" w:rsidR="000C7F9B" w:rsidRPr="0005224D" w:rsidRDefault="00662AE8" w:rsidP="009319B3">
      <w:pPr>
        <w:ind w:firstLine="720"/>
        <w:rPr>
          <w:bCs/>
          <w:color w:val="000000" w:themeColor="text1"/>
        </w:rPr>
      </w:pPr>
      <w:r w:rsidRPr="0005224D">
        <w:rPr>
          <w:bCs/>
          <w:color w:val="000000" w:themeColor="text1"/>
        </w:rPr>
        <w:t>-</w:t>
      </w:r>
      <w:r w:rsidR="006E3A11" w:rsidRPr="0005224D">
        <w:rPr>
          <w:bCs/>
          <w:color w:val="000000" w:themeColor="text1"/>
        </w:rPr>
        <w:t xml:space="preserve"> provid</w:t>
      </w:r>
      <w:r w:rsidR="00954D14" w:rsidRPr="0005224D">
        <w:rPr>
          <w:bCs/>
          <w:color w:val="000000" w:themeColor="text1"/>
        </w:rPr>
        <w:t>e</w:t>
      </w:r>
      <w:r w:rsidR="006E3A11" w:rsidRPr="0005224D">
        <w:rPr>
          <w:bCs/>
          <w:color w:val="000000" w:themeColor="text1"/>
        </w:rPr>
        <w:t xml:space="preserve"> an </w:t>
      </w:r>
      <w:r w:rsidR="000C7F9B" w:rsidRPr="0005224D">
        <w:rPr>
          <w:bCs/>
          <w:color w:val="000000" w:themeColor="text1"/>
        </w:rPr>
        <w:t>incubator for</w:t>
      </w:r>
      <w:r w:rsidR="000D15C9" w:rsidRPr="0005224D">
        <w:rPr>
          <w:bCs/>
          <w:color w:val="000000" w:themeColor="text1"/>
        </w:rPr>
        <w:t xml:space="preserve"> Quality Teaching Rounds</w:t>
      </w:r>
      <w:r w:rsidR="000C7F9B" w:rsidRPr="0005224D">
        <w:rPr>
          <w:bCs/>
          <w:color w:val="000000" w:themeColor="text1"/>
        </w:rPr>
        <w:t>;</w:t>
      </w:r>
    </w:p>
    <w:p w14:paraId="7A63376B" w14:textId="77777777" w:rsidR="001748B8" w:rsidRPr="0005224D" w:rsidRDefault="000C7F9B" w:rsidP="001748B8">
      <w:pPr>
        <w:ind w:firstLine="720"/>
        <w:rPr>
          <w:bCs/>
          <w:color w:val="000000" w:themeColor="text1"/>
        </w:rPr>
      </w:pPr>
      <w:r w:rsidRPr="0005224D">
        <w:rPr>
          <w:bCs/>
          <w:color w:val="000000" w:themeColor="text1"/>
        </w:rPr>
        <w:t>- provide a potential interface between</w:t>
      </w:r>
      <w:r w:rsidR="00FA4162" w:rsidRPr="0005224D">
        <w:rPr>
          <w:bCs/>
          <w:color w:val="000000" w:themeColor="text1"/>
        </w:rPr>
        <w:t xml:space="preserve"> the </w:t>
      </w:r>
      <w:r w:rsidRPr="0005224D">
        <w:rPr>
          <w:bCs/>
          <w:color w:val="000000" w:themeColor="text1"/>
        </w:rPr>
        <w:t>Initial Teacher Education</w:t>
      </w:r>
      <w:r w:rsidR="00FA4162" w:rsidRPr="0005224D">
        <w:rPr>
          <w:bCs/>
          <w:color w:val="000000" w:themeColor="text1"/>
        </w:rPr>
        <w:t xml:space="preserve"> (ITE) institutes</w:t>
      </w:r>
      <w:r w:rsidRPr="0005224D">
        <w:rPr>
          <w:bCs/>
          <w:color w:val="000000" w:themeColor="text1"/>
        </w:rPr>
        <w:t xml:space="preserve"> and the classroom</w:t>
      </w:r>
      <w:r w:rsidR="00662AE8" w:rsidRPr="0005224D">
        <w:rPr>
          <w:bCs/>
          <w:color w:val="000000" w:themeColor="text1"/>
        </w:rPr>
        <w:t>;</w:t>
      </w:r>
    </w:p>
    <w:p w14:paraId="4B520E6A" w14:textId="77777777" w:rsidR="009319B3" w:rsidRPr="0005224D" w:rsidRDefault="001748B8" w:rsidP="009319B3">
      <w:pPr>
        <w:ind w:firstLine="720"/>
        <w:rPr>
          <w:bCs/>
          <w:color w:val="000000" w:themeColor="text1"/>
        </w:rPr>
      </w:pPr>
      <w:r w:rsidRPr="0005224D">
        <w:rPr>
          <w:bCs/>
          <w:color w:val="000000" w:themeColor="text1"/>
        </w:rPr>
        <w:lastRenderedPageBreak/>
        <w:t xml:space="preserve">- </w:t>
      </w:r>
      <w:r w:rsidR="00954D14" w:rsidRPr="0005224D">
        <w:rPr>
          <w:bCs/>
          <w:color w:val="000000" w:themeColor="text1"/>
        </w:rPr>
        <w:t xml:space="preserve">drive </w:t>
      </w:r>
      <w:r w:rsidR="000D15C9" w:rsidRPr="0005224D">
        <w:rPr>
          <w:bCs/>
          <w:color w:val="000000" w:themeColor="text1"/>
        </w:rPr>
        <w:t xml:space="preserve">implementation of the </w:t>
      </w:r>
      <w:r w:rsidR="00726121" w:rsidRPr="0005224D">
        <w:rPr>
          <w:bCs/>
          <w:color w:val="000000" w:themeColor="text1"/>
        </w:rPr>
        <w:t>unique student identifier (</w:t>
      </w:r>
      <w:r w:rsidR="000D15C9" w:rsidRPr="0005224D">
        <w:rPr>
          <w:bCs/>
          <w:color w:val="000000" w:themeColor="text1"/>
        </w:rPr>
        <w:t>USI</w:t>
      </w:r>
      <w:r w:rsidR="00726121" w:rsidRPr="0005224D">
        <w:rPr>
          <w:bCs/>
          <w:color w:val="000000" w:themeColor="text1"/>
        </w:rPr>
        <w:t>)</w:t>
      </w:r>
      <w:r w:rsidR="00954D14" w:rsidRPr="0005224D">
        <w:rPr>
          <w:bCs/>
          <w:color w:val="000000" w:themeColor="text1"/>
        </w:rPr>
        <w:t xml:space="preserve"> to facilitate documentation</w:t>
      </w:r>
      <w:r w:rsidR="00726121" w:rsidRPr="0005224D">
        <w:rPr>
          <w:bCs/>
          <w:color w:val="000000" w:themeColor="text1"/>
        </w:rPr>
        <w:t xml:space="preserve"> of individual</w:t>
      </w:r>
      <w:r w:rsidR="00954D14" w:rsidRPr="0005224D">
        <w:rPr>
          <w:bCs/>
          <w:color w:val="000000" w:themeColor="text1"/>
        </w:rPr>
        <w:t xml:space="preserve"> </w:t>
      </w:r>
      <w:r w:rsidR="00726121" w:rsidRPr="0005224D">
        <w:rPr>
          <w:bCs/>
          <w:color w:val="000000" w:themeColor="text1"/>
        </w:rPr>
        <w:t>student achievement across a variety of modules.</w:t>
      </w:r>
    </w:p>
    <w:p w14:paraId="25FFCCCE" w14:textId="77777777" w:rsidR="002C044D" w:rsidRPr="0005224D" w:rsidRDefault="002C044D" w:rsidP="009319B3">
      <w:pPr>
        <w:ind w:firstLine="720"/>
        <w:rPr>
          <w:bCs/>
          <w:color w:val="000000" w:themeColor="text1"/>
        </w:rPr>
      </w:pPr>
    </w:p>
    <w:p w14:paraId="6160BB93" w14:textId="77777777" w:rsidR="003563E8" w:rsidRPr="0005224D" w:rsidRDefault="003563E8" w:rsidP="003563E8">
      <w:pPr>
        <w:ind w:firstLine="720"/>
        <w:rPr>
          <w:color w:val="000000" w:themeColor="text1"/>
        </w:rPr>
      </w:pPr>
      <w:r w:rsidRPr="0005224D">
        <w:rPr>
          <w:bCs/>
          <w:color w:val="000000" w:themeColor="text1"/>
        </w:rPr>
        <w:t xml:space="preserve">The most profound effect of the NRSA would be to address the education deficits in priority equity cohorts. Flexibly designed and delivered units are the ideal mechanism for focusing on students who have fallen behind. They can be responsive for </w:t>
      </w:r>
      <w:r w:rsidRPr="0005224D">
        <w:rPr>
          <w:color w:val="000000" w:themeColor="text1"/>
        </w:rPr>
        <w:t xml:space="preserve">“targeted interventions”, “small group or </w:t>
      </w:r>
      <w:r w:rsidRPr="0005224D" w:rsidDel="008C35A4">
        <w:rPr>
          <w:color w:val="000000" w:themeColor="text1"/>
        </w:rPr>
        <w:t xml:space="preserve">one-to-one </w:t>
      </w:r>
      <w:r w:rsidRPr="0005224D">
        <w:rPr>
          <w:color w:val="000000" w:themeColor="text1"/>
        </w:rPr>
        <w:t>tuition” that “focus on the needs of a small number of learners,</w:t>
      </w:r>
      <w:r w:rsidRPr="0005224D">
        <w:rPr>
          <w:rFonts w:cstheme="minorHAnsi"/>
          <w:color w:val="000000" w:themeColor="text1"/>
        </w:rPr>
        <w:t xml:space="preserve"> </w:t>
      </w:r>
      <w:r w:rsidRPr="0005224D">
        <w:rPr>
          <w:color w:val="000000" w:themeColor="text1"/>
        </w:rPr>
        <w:t>providing teaching that is closely matched to pupil understanding, and opportunities for greater levels of interaction and feedback.” It is imperative that restricted funding and resources are directed to</w:t>
      </w:r>
      <w:r w:rsidR="00214EF2" w:rsidRPr="0005224D">
        <w:rPr>
          <w:color w:val="000000" w:themeColor="text1"/>
        </w:rPr>
        <w:t xml:space="preserve"> where they will have the greatest effects </w:t>
      </w:r>
      <w:r w:rsidR="00AC43AD" w:rsidRPr="0005224D">
        <w:rPr>
          <w:color w:val="000000" w:themeColor="text1"/>
        </w:rPr>
        <w:t xml:space="preserve">and </w:t>
      </w:r>
      <w:r w:rsidR="003E35AB" w:rsidRPr="0005224D">
        <w:rPr>
          <w:color w:val="000000" w:themeColor="text1"/>
        </w:rPr>
        <w:t>are not spread thinly across the whole education system</w:t>
      </w:r>
      <w:r w:rsidR="00BA6A66" w:rsidRPr="0005224D">
        <w:rPr>
          <w:color w:val="000000" w:themeColor="text1"/>
        </w:rPr>
        <w:t>.</w:t>
      </w:r>
    </w:p>
    <w:p w14:paraId="5708CDD8" w14:textId="77777777" w:rsidR="001748B8" w:rsidRPr="0005224D" w:rsidRDefault="001748B8" w:rsidP="00BA6A66">
      <w:pPr>
        <w:rPr>
          <w:bCs/>
          <w:color w:val="000000" w:themeColor="text1"/>
        </w:rPr>
      </w:pPr>
    </w:p>
    <w:p w14:paraId="07CDB056" w14:textId="77777777" w:rsidR="002B1F6C" w:rsidRPr="0005224D" w:rsidRDefault="00361A5A" w:rsidP="002B1F6C">
      <w:pPr>
        <w:ind w:firstLine="720"/>
        <w:rPr>
          <w:bCs/>
          <w:color w:val="000000" w:themeColor="text1"/>
        </w:rPr>
      </w:pPr>
      <w:r w:rsidRPr="0005224D">
        <w:rPr>
          <w:bCs/>
          <w:color w:val="000000" w:themeColor="text1"/>
        </w:rPr>
        <w:t xml:space="preserve">For this submission, we have chosen not to provide specific details on how modular teaching units would function </w:t>
      </w:r>
      <w:r w:rsidR="009B593B" w:rsidRPr="0005224D">
        <w:rPr>
          <w:bCs/>
          <w:color w:val="000000" w:themeColor="text1"/>
        </w:rPr>
        <w:t>with respect to th</w:t>
      </w:r>
      <w:r w:rsidRPr="0005224D">
        <w:rPr>
          <w:bCs/>
          <w:color w:val="000000" w:themeColor="text1"/>
        </w:rPr>
        <w:t>eir staffing</w:t>
      </w:r>
      <w:r w:rsidR="009B593B" w:rsidRPr="0005224D">
        <w:rPr>
          <w:bCs/>
          <w:color w:val="000000" w:themeColor="text1"/>
        </w:rPr>
        <w:t xml:space="preserve">, </w:t>
      </w:r>
      <w:r w:rsidRPr="0005224D">
        <w:rPr>
          <w:bCs/>
          <w:color w:val="000000" w:themeColor="text1"/>
        </w:rPr>
        <w:t>composition, governance and accountability</w:t>
      </w:r>
      <w:r w:rsidR="009B593B" w:rsidRPr="0005224D">
        <w:rPr>
          <w:bCs/>
          <w:color w:val="000000" w:themeColor="text1"/>
        </w:rPr>
        <w:t xml:space="preserve">, since that would depend on the needs identified by states and territories. </w:t>
      </w:r>
      <w:r w:rsidR="002B1F6C" w:rsidRPr="0005224D">
        <w:rPr>
          <w:bCs/>
          <w:color w:val="000000" w:themeColor="text1"/>
        </w:rPr>
        <w:t>In general, however</w:t>
      </w:r>
      <w:r w:rsidR="009B593B" w:rsidRPr="0005224D">
        <w:rPr>
          <w:bCs/>
          <w:color w:val="000000" w:themeColor="text1"/>
        </w:rPr>
        <w:t>,</w:t>
      </w:r>
      <w:r w:rsidRPr="0005224D">
        <w:rPr>
          <w:bCs/>
          <w:color w:val="000000" w:themeColor="text1"/>
        </w:rPr>
        <w:t xml:space="preserve"> </w:t>
      </w:r>
      <w:r w:rsidR="009B593B" w:rsidRPr="0005224D">
        <w:rPr>
          <w:bCs/>
          <w:color w:val="000000" w:themeColor="text1"/>
        </w:rPr>
        <w:t>u</w:t>
      </w:r>
      <w:r w:rsidR="00972CCB" w:rsidRPr="0005224D">
        <w:rPr>
          <w:bCs/>
          <w:color w:val="000000" w:themeColor="text1"/>
        </w:rPr>
        <w:t>nits are inherently flexible</w:t>
      </w:r>
      <w:r w:rsidR="002B1F6C" w:rsidRPr="0005224D">
        <w:rPr>
          <w:bCs/>
          <w:color w:val="000000" w:themeColor="text1"/>
        </w:rPr>
        <w:t>.</w:t>
      </w:r>
    </w:p>
    <w:p w14:paraId="78F2970D" w14:textId="77777777" w:rsidR="002B1F6C" w:rsidRPr="0005224D" w:rsidRDefault="002B1F6C" w:rsidP="002B1F6C">
      <w:pPr>
        <w:ind w:firstLine="720"/>
        <w:rPr>
          <w:bCs/>
          <w:color w:val="000000" w:themeColor="text1"/>
        </w:rPr>
      </w:pPr>
    </w:p>
    <w:p w14:paraId="0D99B653" w14:textId="77777777" w:rsidR="00E029B9" w:rsidRPr="0005224D" w:rsidRDefault="002B1F6C" w:rsidP="002B1F6C">
      <w:pPr>
        <w:ind w:firstLine="720"/>
        <w:rPr>
          <w:bCs/>
          <w:color w:val="000000" w:themeColor="text1"/>
        </w:rPr>
      </w:pPr>
      <w:r w:rsidRPr="0005224D">
        <w:rPr>
          <w:bCs/>
          <w:color w:val="000000" w:themeColor="text1"/>
        </w:rPr>
        <w:t xml:space="preserve">They </w:t>
      </w:r>
      <w:r w:rsidR="00972CCB" w:rsidRPr="0005224D">
        <w:rPr>
          <w:bCs/>
          <w:color w:val="000000" w:themeColor="text1"/>
        </w:rPr>
        <w:t>could tap into structures that already exist</w:t>
      </w:r>
      <w:r w:rsidR="001E73D8" w:rsidRPr="0005224D">
        <w:rPr>
          <w:bCs/>
          <w:color w:val="000000" w:themeColor="text1"/>
        </w:rPr>
        <w:t>.</w:t>
      </w:r>
      <w:r w:rsidR="00037C17" w:rsidRPr="0005224D">
        <w:rPr>
          <w:bCs/>
          <w:color w:val="000000" w:themeColor="text1"/>
        </w:rPr>
        <w:t xml:space="preserve"> </w:t>
      </w:r>
      <w:r w:rsidR="00F94292" w:rsidRPr="0005224D">
        <w:rPr>
          <w:bCs/>
          <w:color w:val="000000" w:themeColor="text1"/>
        </w:rPr>
        <w:t xml:space="preserve">Teaching and support staff for priority subject areas (e.g. </w:t>
      </w:r>
      <w:r w:rsidR="00AF4346" w:rsidRPr="0005224D">
        <w:rPr>
          <w:bCs/>
          <w:color w:val="000000" w:themeColor="text1"/>
        </w:rPr>
        <w:t>L</w:t>
      </w:r>
      <w:r w:rsidR="00F94292" w:rsidRPr="0005224D">
        <w:rPr>
          <w:bCs/>
          <w:color w:val="000000" w:themeColor="text1"/>
        </w:rPr>
        <w:t>anguages o</w:t>
      </w:r>
      <w:r w:rsidR="00AF4346" w:rsidRPr="0005224D">
        <w:rPr>
          <w:bCs/>
          <w:color w:val="000000" w:themeColor="text1"/>
        </w:rPr>
        <w:t>r</w:t>
      </w:r>
      <w:r w:rsidR="00F94292" w:rsidRPr="0005224D">
        <w:rPr>
          <w:bCs/>
          <w:color w:val="000000" w:themeColor="text1"/>
        </w:rPr>
        <w:t xml:space="preserve"> STEM) could visit</w:t>
      </w:r>
      <w:r w:rsidR="00E029B9" w:rsidRPr="0005224D">
        <w:rPr>
          <w:bCs/>
          <w:color w:val="000000" w:themeColor="text1"/>
        </w:rPr>
        <w:t xml:space="preserve"> school sites or alternative sites in the case of </w:t>
      </w:r>
      <w:proofErr w:type="gramStart"/>
      <w:r w:rsidR="00E029B9" w:rsidRPr="0005224D">
        <w:rPr>
          <w:bCs/>
          <w:color w:val="000000" w:themeColor="text1"/>
        </w:rPr>
        <w:t>bush-fire</w:t>
      </w:r>
      <w:proofErr w:type="gramEnd"/>
      <w:r w:rsidR="00E029B9" w:rsidRPr="0005224D">
        <w:rPr>
          <w:bCs/>
          <w:color w:val="000000" w:themeColor="text1"/>
        </w:rPr>
        <w:t xml:space="preserve"> or flood effected communities. They could have a variety of support material travel with them, up to whole transportable Physics Labs for example.</w:t>
      </w:r>
    </w:p>
    <w:p w14:paraId="5CF45781" w14:textId="77777777" w:rsidR="00296620" w:rsidRPr="0005224D" w:rsidRDefault="00296620" w:rsidP="009319B3">
      <w:pPr>
        <w:ind w:firstLine="720"/>
        <w:rPr>
          <w:bCs/>
          <w:color w:val="000000" w:themeColor="text1"/>
        </w:rPr>
      </w:pPr>
    </w:p>
    <w:p w14:paraId="24CDE966" w14:textId="77777777" w:rsidR="007334AE" w:rsidRPr="0005224D" w:rsidRDefault="00E029B9" w:rsidP="00BA6A66">
      <w:pPr>
        <w:ind w:firstLine="720"/>
        <w:rPr>
          <w:bCs/>
          <w:color w:val="000000" w:themeColor="text1"/>
        </w:rPr>
      </w:pPr>
      <w:r w:rsidRPr="0005224D">
        <w:rPr>
          <w:bCs/>
          <w:color w:val="000000" w:themeColor="text1"/>
        </w:rPr>
        <w:t xml:space="preserve">They could visit </w:t>
      </w:r>
      <w:r w:rsidR="002B499B" w:rsidRPr="0005224D">
        <w:rPr>
          <w:bCs/>
          <w:color w:val="000000" w:themeColor="text1"/>
        </w:rPr>
        <w:t xml:space="preserve">weekly </w:t>
      </w:r>
      <w:r w:rsidRPr="0005224D">
        <w:rPr>
          <w:bCs/>
          <w:color w:val="000000" w:themeColor="text1"/>
        </w:rPr>
        <w:t>for a day at a time</w:t>
      </w:r>
      <w:r w:rsidR="00F94292" w:rsidRPr="0005224D">
        <w:rPr>
          <w:bCs/>
          <w:color w:val="000000" w:themeColor="text1"/>
        </w:rPr>
        <w:t xml:space="preserve">, </w:t>
      </w:r>
      <w:r w:rsidR="002B499B" w:rsidRPr="0005224D">
        <w:rPr>
          <w:bCs/>
          <w:color w:val="000000" w:themeColor="text1"/>
        </w:rPr>
        <w:t>to</w:t>
      </w:r>
      <w:r w:rsidRPr="0005224D">
        <w:rPr>
          <w:bCs/>
          <w:color w:val="000000" w:themeColor="text1"/>
        </w:rPr>
        <w:t xml:space="preserve"> </w:t>
      </w:r>
      <w:r w:rsidR="00F94292" w:rsidRPr="0005224D">
        <w:rPr>
          <w:bCs/>
          <w:color w:val="000000" w:themeColor="text1"/>
        </w:rPr>
        <w:t xml:space="preserve">schools </w:t>
      </w:r>
      <w:r w:rsidRPr="0005224D">
        <w:rPr>
          <w:bCs/>
          <w:color w:val="000000" w:themeColor="text1"/>
        </w:rPr>
        <w:t>that</w:t>
      </w:r>
      <w:r w:rsidR="002B499B" w:rsidRPr="0005224D">
        <w:rPr>
          <w:bCs/>
          <w:color w:val="000000" w:themeColor="text1"/>
        </w:rPr>
        <w:t xml:space="preserve"> already</w:t>
      </w:r>
      <w:r w:rsidRPr="0005224D">
        <w:rPr>
          <w:bCs/>
          <w:color w:val="000000" w:themeColor="text1"/>
        </w:rPr>
        <w:t xml:space="preserve"> have</w:t>
      </w:r>
      <w:r w:rsidR="00F94292" w:rsidRPr="0005224D">
        <w:rPr>
          <w:bCs/>
          <w:color w:val="000000" w:themeColor="text1"/>
        </w:rPr>
        <w:t xml:space="preserve"> Alternative Learning Programs </w:t>
      </w:r>
      <w:r w:rsidR="002B499B" w:rsidRPr="0005224D">
        <w:rPr>
          <w:bCs/>
          <w:color w:val="000000" w:themeColor="text1"/>
        </w:rPr>
        <w:t>with</w:t>
      </w:r>
      <w:r w:rsidR="00F94292" w:rsidRPr="0005224D">
        <w:rPr>
          <w:bCs/>
          <w:color w:val="000000" w:themeColor="text1"/>
        </w:rPr>
        <w:t xml:space="preserve"> dedicated days for non-standard curriculum. </w:t>
      </w:r>
      <w:r w:rsidR="00A46AB5" w:rsidRPr="0005224D">
        <w:rPr>
          <w:bCs/>
          <w:color w:val="000000" w:themeColor="text1"/>
        </w:rPr>
        <w:t xml:space="preserve">Or they could visit for a more extended time to cover more material in a concentrated time. </w:t>
      </w:r>
      <w:r w:rsidR="00F94292" w:rsidRPr="0005224D">
        <w:rPr>
          <w:bCs/>
          <w:color w:val="000000" w:themeColor="text1"/>
        </w:rPr>
        <w:t>Students</w:t>
      </w:r>
      <w:r w:rsidR="00AF4346" w:rsidRPr="0005224D">
        <w:rPr>
          <w:bCs/>
          <w:color w:val="000000" w:themeColor="text1"/>
        </w:rPr>
        <w:t xml:space="preserve"> across</w:t>
      </w:r>
      <w:r w:rsidR="00F94292" w:rsidRPr="0005224D">
        <w:rPr>
          <w:bCs/>
          <w:color w:val="000000" w:themeColor="text1"/>
        </w:rPr>
        <w:t xml:space="preserve"> all </w:t>
      </w:r>
      <w:r w:rsidR="00AF4346" w:rsidRPr="0005224D">
        <w:rPr>
          <w:bCs/>
          <w:color w:val="000000" w:themeColor="text1"/>
        </w:rPr>
        <w:t xml:space="preserve">year </w:t>
      </w:r>
      <w:r w:rsidR="00F94292" w:rsidRPr="0005224D">
        <w:rPr>
          <w:bCs/>
          <w:color w:val="000000" w:themeColor="text1"/>
        </w:rPr>
        <w:t>level</w:t>
      </w:r>
      <w:r w:rsidR="00AF4346" w:rsidRPr="0005224D">
        <w:rPr>
          <w:bCs/>
          <w:color w:val="000000" w:themeColor="text1"/>
        </w:rPr>
        <w:t>s would access face-to-face teaching at their individual level of understanding with experienced teachers</w:t>
      </w:r>
      <w:r w:rsidR="002B499B" w:rsidRPr="0005224D">
        <w:rPr>
          <w:bCs/>
          <w:color w:val="000000" w:themeColor="text1"/>
        </w:rPr>
        <w:t>,</w:t>
      </w:r>
      <w:r w:rsidR="00AF4346" w:rsidRPr="0005224D">
        <w:rPr>
          <w:bCs/>
          <w:color w:val="000000" w:themeColor="text1"/>
        </w:rPr>
        <w:t xml:space="preserve"> then continue to interact with specialist teachers on line between visits. </w:t>
      </w:r>
      <w:r w:rsidR="007353D5" w:rsidRPr="0005224D">
        <w:rPr>
          <w:bCs/>
          <w:color w:val="000000" w:themeColor="text1"/>
        </w:rPr>
        <w:t>Their progress would be documented using their USI.</w:t>
      </w:r>
    </w:p>
    <w:p w14:paraId="0A7FB95C" w14:textId="77777777" w:rsidR="00D729CD" w:rsidRPr="0005224D" w:rsidRDefault="00D729CD" w:rsidP="009319B3">
      <w:pPr>
        <w:ind w:firstLine="720"/>
        <w:rPr>
          <w:bCs/>
          <w:color w:val="000000" w:themeColor="text1"/>
        </w:rPr>
      </w:pPr>
    </w:p>
    <w:p w14:paraId="60F6C6F3" w14:textId="77777777" w:rsidR="00A11CCA" w:rsidRPr="0005224D" w:rsidRDefault="001269D6" w:rsidP="009319B3">
      <w:pPr>
        <w:ind w:firstLine="720"/>
        <w:rPr>
          <w:bCs/>
          <w:color w:val="000000" w:themeColor="text1"/>
        </w:rPr>
      </w:pPr>
      <w:r w:rsidRPr="0005224D">
        <w:rPr>
          <w:bCs/>
          <w:color w:val="000000" w:themeColor="text1"/>
        </w:rPr>
        <w:t>Units could be staffed in such a way that Quality Teaching Rounds are inherently incorporated. Teachers</w:t>
      </w:r>
      <w:r w:rsidR="00B36611" w:rsidRPr="0005224D">
        <w:rPr>
          <w:bCs/>
          <w:color w:val="000000" w:themeColor="text1"/>
        </w:rPr>
        <w:t xml:space="preserve"> at different levels of experience and expertise, including student and beginner teachers, could work together along with other</w:t>
      </w:r>
      <w:r w:rsidRPr="0005224D">
        <w:rPr>
          <w:bCs/>
          <w:color w:val="000000" w:themeColor="text1"/>
        </w:rPr>
        <w:t xml:space="preserve"> </w:t>
      </w:r>
      <w:r w:rsidR="00B36611" w:rsidRPr="0005224D">
        <w:rPr>
          <w:bCs/>
          <w:color w:val="000000" w:themeColor="text1"/>
        </w:rPr>
        <w:t>priority</w:t>
      </w:r>
      <w:r w:rsidRPr="0005224D">
        <w:rPr>
          <w:bCs/>
          <w:color w:val="000000" w:themeColor="text1"/>
        </w:rPr>
        <w:t xml:space="preserve"> specialist teachers for example in special education</w:t>
      </w:r>
      <w:r w:rsidR="007353D5" w:rsidRPr="0005224D">
        <w:rPr>
          <w:bCs/>
          <w:color w:val="000000" w:themeColor="text1"/>
        </w:rPr>
        <w:t>. Most importantly, units will provide an effective mechanism to</w:t>
      </w:r>
      <w:r w:rsidR="00A446F6" w:rsidRPr="0005224D">
        <w:rPr>
          <w:bCs/>
          <w:color w:val="000000" w:themeColor="text1"/>
        </w:rPr>
        <w:t xml:space="preserve"> incorporate</w:t>
      </w:r>
      <w:r w:rsidR="007353D5" w:rsidRPr="0005224D">
        <w:rPr>
          <w:bCs/>
          <w:color w:val="000000" w:themeColor="text1"/>
        </w:rPr>
        <w:t xml:space="preserve"> </w:t>
      </w:r>
      <w:r w:rsidR="00403D6C" w:rsidRPr="0005224D">
        <w:rPr>
          <w:bCs/>
          <w:color w:val="000000" w:themeColor="text1"/>
        </w:rPr>
        <w:t>Aboriginal and Torres Strait Islander</w:t>
      </w:r>
      <w:r w:rsidR="00C8535D" w:rsidRPr="0005224D">
        <w:rPr>
          <w:bCs/>
          <w:color w:val="000000" w:themeColor="text1"/>
        </w:rPr>
        <w:t xml:space="preserve"> </w:t>
      </w:r>
      <w:r w:rsidR="00523685" w:rsidRPr="0005224D">
        <w:rPr>
          <w:bCs/>
          <w:color w:val="000000" w:themeColor="text1"/>
        </w:rPr>
        <w:t>culture and knowledge</w:t>
      </w:r>
      <w:r w:rsidR="00A11CCA" w:rsidRPr="0005224D">
        <w:rPr>
          <w:bCs/>
          <w:color w:val="000000" w:themeColor="text1"/>
        </w:rPr>
        <w:t xml:space="preserve"> by incorporating specialists </w:t>
      </w:r>
      <w:r w:rsidR="008352BA" w:rsidRPr="0005224D">
        <w:rPr>
          <w:bCs/>
          <w:color w:val="000000" w:themeColor="text1"/>
        </w:rPr>
        <w:t xml:space="preserve">as </w:t>
      </w:r>
      <w:r w:rsidR="00A11CCA" w:rsidRPr="0005224D">
        <w:rPr>
          <w:bCs/>
          <w:color w:val="000000" w:themeColor="text1"/>
        </w:rPr>
        <w:t xml:space="preserve">team </w:t>
      </w:r>
      <w:r w:rsidR="008352BA" w:rsidRPr="0005224D">
        <w:rPr>
          <w:bCs/>
          <w:color w:val="000000" w:themeColor="text1"/>
        </w:rPr>
        <w:t>members but also by</w:t>
      </w:r>
      <w:r w:rsidR="007353D5" w:rsidRPr="0005224D">
        <w:rPr>
          <w:bCs/>
          <w:color w:val="000000" w:themeColor="text1"/>
        </w:rPr>
        <w:t xml:space="preserve"> inviting</w:t>
      </w:r>
      <w:r w:rsidR="008352BA" w:rsidRPr="0005224D">
        <w:rPr>
          <w:bCs/>
          <w:color w:val="000000" w:themeColor="text1"/>
        </w:rPr>
        <w:t xml:space="preserve"> in</w:t>
      </w:r>
      <w:r w:rsidR="007353D5" w:rsidRPr="0005224D">
        <w:rPr>
          <w:bCs/>
          <w:color w:val="000000" w:themeColor="text1"/>
        </w:rPr>
        <w:t xml:space="preserve"> local indigenous community members at the site of delivery</w:t>
      </w:r>
      <w:r w:rsidR="00B36611" w:rsidRPr="0005224D">
        <w:rPr>
          <w:bCs/>
          <w:color w:val="000000" w:themeColor="text1"/>
        </w:rPr>
        <w:t>.</w:t>
      </w:r>
      <w:r w:rsidRPr="0005224D">
        <w:rPr>
          <w:bCs/>
          <w:color w:val="000000" w:themeColor="text1"/>
        </w:rPr>
        <w:t xml:space="preserve"> </w:t>
      </w:r>
    </w:p>
    <w:p w14:paraId="763B51E2" w14:textId="77777777" w:rsidR="00296620" w:rsidRPr="0005224D" w:rsidRDefault="00296620" w:rsidP="009319B3">
      <w:pPr>
        <w:ind w:firstLine="720"/>
        <w:rPr>
          <w:bCs/>
          <w:color w:val="000000" w:themeColor="text1"/>
        </w:rPr>
      </w:pPr>
    </w:p>
    <w:p w14:paraId="5CC143BC" w14:textId="77777777" w:rsidR="002C044D" w:rsidRPr="0005224D" w:rsidRDefault="00B36611" w:rsidP="009319B3">
      <w:pPr>
        <w:ind w:firstLine="720"/>
        <w:rPr>
          <w:bCs/>
          <w:color w:val="000000" w:themeColor="text1"/>
        </w:rPr>
      </w:pPr>
      <w:r w:rsidRPr="0005224D">
        <w:rPr>
          <w:bCs/>
          <w:color w:val="000000" w:themeColor="text1"/>
        </w:rPr>
        <w:t>U</w:t>
      </w:r>
      <w:r w:rsidR="00A46AB5" w:rsidRPr="0005224D">
        <w:rPr>
          <w:bCs/>
          <w:color w:val="000000" w:themeColor="text1"/>
        </w:rPr>
        <w:t>nits could be associated with ITE</w:t>
      </w:r>
      <w:r w:rsidR="00A11CCA" w:rsidRPr="0005224D">
        <w:rPr>
          <w:bCs/>
          <w:color w:val="000000" w:themeColor="text1"/>
        </w:rPr>
        <w:t xml:space="preserve"> institutes providing a more meaningful link between teacher training and teacher</w:t>
      </w:r>
      <w:r w:rsidR="00876217" w:rsidRPr="0005224D">
        <w:rPr>
          <w:bCs/>
          <w:color w:val="000000" w:themeColor="text1"/>
        </w:rPr>
        <w:t xml:space="preserve"> practice</w:t>
      </w:r>
      <w:r w:rsidR="00A11CCA" w:rsidRPr="0005224D">
        <w:rPr>
          <w:bCs/>
          <w:color w:val="000000" w:themeColor="text1"/>
        </w:rPr>
        <w:t>. They</w:t>
      </w:r>
      <w:r w:rsidR="00575675" w:rsidRPr="0005224D">
        <w:rPr>
          <w:bCs/>
          <w:color w:val="000000" w:themeColor="text1"/>
        </w:rPr>
        <w:t xml:space="preserve"> </w:t>
      </w:r>
      <w:r w:rsidRPr="0005224D">
        <w:rPr>
          <w:bCs/>
          <w:color w:val="000000" w:themeColor="text1"/>
        </w:rPr>
        <w:t xml:space="preserve">could </w:t>
      </w:r>
      <w:r w:rsidR="00A11CCA" w:rsidRPr="0005224D">
        <w:rPr>
          <w:bCs/>
          <w:color w:val="000000" w:themeColor="text1"/>
        </w:rPr>
        <w:t xml:space="preserve">also </w:t>
      </w:r>
      <w:r w:rsidRPr="0005224D">
        <w:rPr>
          <w:bCs/>
          <w:color w:val="000000" w:themeColor="text1"/>
        </w:rPr>
        <w:t xml:space="preserve">be vehicles </w:t>
      </w:r>
      <w:r w:rsidR="008E6E01" w:rsidRPr="0005224D">
        <w:rPr>
          <w:bCs/>
          <w:color w:val="000000" w:themeColor="text1"/>
        </w:rPr>
        <w:t>to</w:t>
      </w:r>
      <w:r w:rsidRPr="0005224D">
        <w:rPr>
          <w:bCs/>
          <w:color w:val="000000" w:themeColor="text1"/>
        </w:rPr>
        <w:t xml:space="preserve"> </w:t>
      </w:r>
      <w:r w:rsidR="008E6E01" w:rsidRPr="0005224D">
        <w:rPr>
          <w:color w:val="000000" w:themeColor="text1"/>
        </w:rPr>
        <w:t>streamline pathways for mid-career entrants, especially people with skills in critical areas</w:t>
      </w:r>
      <w:r w:rsidR="00A46AB5" w:rsidRPr="0005224D">
        <w:rPr>
          <w:bCs/>
          <w:color w:val="000000" w:themeColor="text1"/>
        </w:rPr>
        <w:t xml:space="preserve"> </w:t>
      </w:r>
      <w:r w:rsidR="00876217" w:rsidRPr="0005224D">
        <w:rPr>
          <w:bCs/>
          <w:color w:val="000000" w:themeColor="text1"/>
        </w:rPr>
        <w:t>who could maintain an</w:t>
      </w:r>
      <w:r w:rsidR="005D77F7" w:rsidRPr="0005224D">
        <w:rPr>
          <w:bCs/>
          <w:color w:val="000000" w:themeColor="text1"/>
        </w:rPr>
        <w:t xml:space="preserve"> income </w:t>
      </w:r>
      <w:r w:rsidR="00523685" w:rsidRPr="0005224D">
        <w:rPr>
          <w:bCs/>
          <w:color w:val="000000" w:themeColor="text1"/>
        </w:rPr>
        <w:t xml:space="preserve">as members </w:t>
      </w:r>
      <w:r w:rsidR="005D77F7" w:rsidRPr="0005224D">
        <w:rPr>
          <w:bCs/>
          <w:color w:val="000000" w:themeColor="text1"/>
        </w:rPr>
        <w:t>within the units.</w:t>
      </w:r>
    </w:p>
    <w:p w14:paraId="7D506E37" w14:textId="77777777" w:rsidR="00B24B03" w:rsidRPr="0005224D" w:rsidRDefault="00B24B03" w:rsidP="002C044D">
      <w:pPr>
        <w:rPr>
          <w:bCs/>
          <w:i/>
          <w:iCs/>
          <w:color w:val="000000" w:themeColor="text1"/>
        </w:rPr>
      </w:pPr>
    </w:p>
    <w:p w14:paraId="11A13BE7" w14:textId="77777777" w:rsidR="00B24B03" w:rsidRPr="0005224D" w:rsidRDefault="00523685" w:rsidP="00523685">
      <w:pPr>
        <w:ind w:firstLine="720"/>
        <w:rPr>
          <w:bCs/>
          <w:color w:val="000000" w:themeColor="text1"/>
        </w:rPr>
      </w:pPr>
      <w:r w:rsidRPr="0005224D">
        <w:rPr>
          <w:bCs/>
          <w:color w:val="000000" w:themeColor="text1"/>
        </w:rPr>
        <w:t xml:space="preserve"> We believe that </w:t>
      </w:r>
      <w:r w:rsidR="007D1455" w:rsidRPr="0005224D">
        <w:rPr>
          <w:bCs/>
          <w:color w:val="000000" w:themeColor="text1"/>
        </w:rPr>
        <w:t>mobile modular units are a much more effective model than the traditional classroom to glean understanding of effective evidence-based teaching practices. The Commission will gain greater perspective using units that operate across an array</w:t>
      </w:r>
      <w:r w:rsidR="00A446F6" w:rsidRPr="0005224D">
        <w:rPr>
          <w:bCs/>
          <w:color w:val="000000" w:themeColor="text1"/>
        </w:rPr>
        <w:t xml:space="preserve"> of </w:t>
      </w:r>
      <w:r w:rsidR="007D1455" w:rsidRPr="0005224D">
        <w:rPr>
          <w:bCs/>
          <w:color w:val="000000" w:themeColor="text1"/>
        </w:rPr>
        <w:t xml:space="preserve">educational settings </w:t>
      </w:r>
      <w:r w:rsidR="007353D5" w:rsidRPr="0005224D">
        <w:rPr>
          <w:bCs/>
          <w:color w:val="000000" w:themeColor="text1"/>
        </w:rPr>
        <w:t xml:space="preserve">while </w:t>
      </w:r>
      <w:r w:rsidR="00876217" w:rsidRPr="0005224D">
        <w:rPr>
          <w:bCs/>
          <w:color w:val="000000" w:themeColor="text1"/>
        </w:rPr>
        <w:t xml:space="preserve">the establishment and funding of these units will </w:t>
      </w:r>
      <w:r w:rsidR="007353D5" w:rsidRPr="0005224D">
        <w:rPr>
          <w:bCs/>
          <w:color w:val="000000" w:themeColor="text1"/>
        </w:rPr>
        <w:t>provid</w:t>
      </w:r>
      <w:r w:rsidR="00876217" w:rsidRPr="0005224D">
        <w:rPr>
          <w:bCs/>
          <w:color w:val="000000" w:themeColor="text1"/>
        </w:rPr>
        <w:t>e</w:t>
      </w:r>
      <w:r w:rsidR="007353D5" w:rsidRPr="0005224D">
        <w:rPr>
          <w:bCs/>
          <w:color w:val="000000" w:themeColor="text1"/>
        </w:rPr>
        <w:t xml:space="preserve"> valuable resources to an overstretched system.</w:t>
      </w:r>
    </w:p>
    <w:p w14:paraId="7183D393" w14:textId="77777777" w:rsidR="00A96522" w:rsidRPr="0005224D" w:rsidRDefault="00A96522" w:rsidP="00A96522">
      <w:pPr>
        <w:rPr>
          <w:bCs/>
          <w:color w:val="000000" w:themeColor="text1"/>
        </w:rPr>
      </w:pPr>
    </w:p>
    <w:p w14:paraId="69589341" w14:textId="77777777" w:rsidR="00A96522" w:rsidRPr="0005224D" w:rsidRDefault="00A96522" w:rsidP="00A96522">
      <w:pPr>
        <w:rPr>
          <w:bCs/>
          <w:color w:val="000000" w:themeColor="text1"/>
        </w:rPr>
      </w:pPr>
    </w:p>
    <w:p w14:paraId="06161157" w14:textId="77777777" w:rsidR="00A96522" w:rsidRPr="0005224D" w:rsidRDefault="00A96522" w:rsidP="00050ED8">
      <w:pPr>
        <w:ind w:left="4320" w:hanging="720"/>
        <w:rPr>
          <w:bCs/>
          <w:color w:val="000000" w:themeColor="text1"/>
        </w:rPr>
      </w:pPr>
      <w:r w:rsidRPr="0005224D">
        <w:rPr>
          <w:bCs/>
          <w:color w:val="000000" w:themeColor="text1"/>
        </w:rPr>
        <w:t xml:space="preserve">Jane Dixon: </w:t>
      </w:r>
      <w:r w:rsidR="001278B7" w:rsidRPr="0005224D">
        <w:rPr>
          <w:bCs/>
          <w:color w:val="000000" w:themeColor="text1"/>
        </w:rPr>
        <w:t>retired science teacher in the ACT government sector, mid-career transition from Associate Research Professor</w:t>
      </w:r>
      <w:r w:rsidR="00A446F6" w:rsidRPr="0005224D">
        <w:rPr>
          <w:bCs/>
          <w:color w:val="000000" w:themeColor="text1"/>
        </w:rPr>
        <w:t xml:space="preserve"> scientist</w:t>
      </w:r>
      <w:r w:rsidR="001278B7" w:rsidRPr="0005224D">
        <w:rPr>
          <w:bCs/>
          <w:color w:val="000000" w:themeColor="text1"/>
        </w:rPr>
        <w:t>.</w:t>
      </w:r>
    </w:p>
    <w:p w14:paraId="17A3D93A" w14:textId="77777777" w:rsidR="00050ED8" w:rsidRPr="0005224D" w:rsidRDefault="00050ED8" w:rsidP="00050ED8">
      <w:pPr>
        <w:ind w:left="4320" w:hanging="720"/>
        <w:rPr>
          <w:bCs/>
          <w:color w:val="000000" w:themeColor="text1"/>
        </w:rPr>
      </w:pPr>
    </w:p>
    <w:p w14:paraId="03D13667" w14:textId="77777777" w:rsidR="001278B7" w:rsidRPr="0005224D" w:rsidRDefault="001278B7" w:rsidP="00050ED8">
      <w:pPr>
        <w:ind w:left="4320" w:hanging="720"/>
        <w:rPr>
          <w:bCs/>
          <w:color w:val="000000" w:themeColor="text1"/>
        </w:rPr>
      </w:pPr>
      <w:r w:rsidRPr="0005224D">
        <w:rPr>
          <w:bCs/>
          <w:color w:val="000000" w:themeColor="text1"/>
        </w:rPr>
        <w:t>Don Dixon: school principal in regional NSW</w:t>
      </w:r>
    </w:p>
    <w:p w14:paraId="0C20C6F7" w14:textId="77777777" w:rsidR="00050ED8" w:rsidRPr="0005224D" w:rsidRDefault="00050ED8" w:rsidP="00050ED8">
      <w:pPr>
        <w:ind w:left="4320" w:hanging="720"/>
        <w:rPr>
          <w:bCs/>
          <w:color w:val="000000" w:themeColor="text1"/>
        </w:rPr>
      </w:pPr>
    </w:p>
    <w:p w14:paraId="607DB863" w14:textId="77777777" w:rsidR="001278B7" w:rsidRPr="0005224D" w:rsidRDefault="001278B7" w:rsidP="00050ED8">
      <w:pPr>
        <w:ind w:left="4320" w:hanging="720"/>
        <w:rPr>
          <w:bCs/>
          <w:color w:val="000000" w:themeColor="text1"/>
        </w:rPr>
      </w:pPr>
      <w:r w:rsidRPr="0005224D">
        <w:rPr>
          <w:bCs/>
          <w:color w:val="000000" w:themeColor="text1"/>
        </w:rPr>
        <w:t>Peter Dixon: behaviour management specialist and Physics teacher in NSW regional schools</w:t>
      </w:r>
    </w:p>
    <w:p w14:paraId="521792D1" w14:textId="77777777" w:rsidR="00050ED8" w:rsidRPr="0005224D" w:rsidRDefault="00050ED8" w:rsidP="00050ED8">
      <w:pPr>
        <w:ind w:left="4320" w:hanging="720"/>
        <w:rPr>
          <w:bCs/>
          <w:color w:val="000000" w:themeColor="text1"/>
        </w:rPr>
      </w:pPr>
    </w:p>
    <w:p w14:paraId="4A6BE218" w14:textId="47E08202" w:rsidR="001F6FC5" w:rsidRPr="0005224D" w:rsidRDefault="001278B7" w:rsidP="0005224D">
      <w:pPr>
        <w:ind w:left="4320" w:hanging="720"/>
        <w:rPr>
          <w:bCs/>
          <w:color w:val="000000" w:themeColor="text1"/>
        </w:rPr>
      </w:pPr>
      <w:r w:rsidRPr="0005224D">
        <w:rPr>
          <w:bCs/>
          <w:color w:val="000000" w:themeColor="text1"/>
        </w:rPr>
        <w:t>Jim Dixon: mid</w:t>
      </w:r>
      <w:r w:rsidR="00CE6D66" w:rsidRPr="0005224D">
        <w:rPr>
          <w:bCs/>
          <w:color w:val="000000" w:themeColor="text1"/>
        </w:rPr>
        <w:t>-</w:t>
      </w:r>
      <w:r w:rsidRPr="0005224D">
        <w:rPr>
          <w:bCs/>
          <w:color w:val="000000" w:themeColor="text1"/>
        </w:rPr>
        <w:t>career transition from accountant to primary school teacher</w:t>
      </w:r>
      <w:r w:rsidR="00050ED8" w:rsidRPr="0005224D">
        <w:rPr>
          <w:bCs/>
          <w:color w:val="000000" w:themeColor="text1"/>
        </w:rPr>
        <w:t>, retired.</w:t>
      </w:r>
    </w:p>
    <w:sectPr w:rsidR="001F6FC5" w:rsidRPr="00052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E6307"/>
    <w:multiLevelType w:val="hybridMultilevel"/>
    <w:tmpl w:val="82F2F8DA"/>
    <w:lvl w:ilvl="0" w:tplc="CCAED9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9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C5"/>
    <w:rsid w:val="00037C17"/>
    <w:rsid w:val="000431B6"/>
    <w:rsid w:val="00050ED8"/>
    <w:rsid w:val="0005224D"/>
    <w:rsid w:val="0005519B"/>
    <w:rsid w:val="000C7F9B"/>
    <w:rsid w:val="000D0315"/>
    <w:rsid w:val="000D15C9"/>
    <w:rsid w:val="000F0C29"/>
    <w:rsid w:val="000F5243"/>
    <w:rsid w:val="00115AD3"/>
    <w:rsid w:val="00122E78"/>
    <w:rsid w:val="001269D6"/>
    <w:rsid w:val="001278B7"/>
    <w:rsid w:val="00130D00"/>
    <w:rsid w:val="001748B8"/>
    <w:rsid w:val="001836C4"/>
    <w:rsid w:val="001A2CED"/>
    <w:rsid w:val="001C041A"/>
    <w:rsid w:val="001E73D8"/>
    <w:rsid w:val="001F17D1"/>
    <w:rsid w:val="001F6FC5"/>
    <w:rsid w:val="00214EF2"/>
    <w:rsid w:val="00222EB9"/>
    <w:rsid w:val="002362A3"/>
    <w:rsid w:val="0025543E"/>
    <w:rsid w:val="00283FCE"/>
    <w:rsid w:val="00296620"/>
    <w:rsid w:val="002B1F6C"/>
    <w:rsid w:val="002B499B"/>
    <w:rsid w:val="002C044D"/>
    <w:rsid w:val="002F1835"/>
    <w:rsid w:val="00300AE5"/>
    <w:rsid w:val="00320B31"/>
    <w:rsid w:val="003563E8"/>
    <w:rsid w:val="00361638"/>
    <w:rsid w:val="00361A5A"/>
    <w:rsid w:val="00364622"/>
    <w:rsid w:val="00364BB2"/>
    <w:rsid w:val="003750AE"/>
    <w:rsid w:val="003D7EF9"/>
    <w:rsid w:val="003E15A4"/>
    <w:rsid w:val="003E35AB"/>
    <w:rsid w:val="00403D6C"/>
    <w:rsid w:val="00430CB1"/>
    <w:rsid w:val="00450B3F"/>
    <w:rsid w:val="00466D74"/>
    <w:rsid w:val="00494DF5"/>
    <w:rsid w:val="004C71AA"/>
    <w:rsid w:val="004F1845"/>
    <w:rsid w:val="005019CE"/>
    <w:rsid w:val="00523685"/>
    <w:rsid w:val="00561CC2"/>
    <w:rsid w:val="00575675"/>
    <w:rsid w:val="0059220E"/>
    <w:rsid w:val="005D5533"/>
    <w:rsid w:val="005D77F7"/>
    <w:rsid w:val="005E26BB"/>
    <w:rsid w:val="006469B6"/>
    <w:rsid w:val="00657909"/>
    <w:rsid w:val="00662AE8"/>
    <w:rsid w:val="006E3A11"/>
    <w:rsid w:val="006E49F1"/>
    <w:rsid w:val="00724686"/>
    <w:rsid w:val="00726121"/>
    <w:rsid w:val="0073318F"/>
    <w:rsid w:val="007334AE"/>
    <w:rsid w:val="007353D5"/>
    <w:rsid w:val="007622BD"/>
    <w:rsid w:val="007D1455"/>
    <w:rsid w:val="007D2DB7"/>
    <w:rsid w:val="00803A34"/>
    <w:rsid w:val="008352BA"/>
    <w:rsid w:val="00854878"/>
    <w:rsid w:val="00863558"/>
    <w:rsid w:val="00870477"/>
    <w:rsid w:val="00876217"/>
    <w:rsid w:val="008E63E4"/>
    <w:rsid w:val="008E6E01"/>
    <w:rsid w:val="009162C9"/>
    <w:rsid w:val="009319B3"/>
    <w:rsid w:val="00954D14"/>
    <w:rsid w:val="00972CCB"/>
    <w:rsid w:val="00994F47"/>
    <w:rsid w:val="009A0922"/>
    <w:rsid w:val="009B593B"/>
    <w:rsid w:val="009E1CB8"/>
    <w:rsid w:val="00A11CCA"/>
    <w:rsid w:val="00A14C2A"/>
    <w:rsid w:val="00A42FFB"/>
    <w:rsid w:val="00A446F6"/>
    <w:rsid w:val="00A46AB5"/>
    <w:rsid w:val="00A96522"/>
    <w:rsid w:val="00AA0C6F"/>
    <w:rsid w:val="00AC43AD"/>
    <w:rsid w:val="00AF4346"/>
    <w:rsid w:val="00B03F93"/>
    <w:rsid w:val="00B0535F"/>
    <w:rsid w:val="00B24B03"/>
    <w:rsid w:val="00B36611"/>
    <w:rsid w:val="00B512CD"/>
    <w:rsid w:val="00B73763"/>
    <w:rsid w:val="00B94494"/>
    <w:rsid w:val="00BA1843"/>
    <w:rsid w:val="00BA6A66"/>
    <w:rsid w:val="00C65D99"/>
    <w:rsid w:val="00C8535D"/>
    <w:rsid w:val="00CA69A3"/>
    <w:rsid w:val="00CB55CB"/>
    <w:rsid w:val="00CB70B5"/>
    <w:rsid w:val="00CE6D66"/>
    <w:rsid w:val="00D433B9"/>
    <w:rsid w:val="00D66982"/>
    <w:rsid w:val="00D729CD"/>
    <w:rsid w:val="00D74808"/>
    <w:rsid w:val="00D84250"/>
    <w:rsid w:val="00D901D3"/>
    <w:rsid w:val="00DC7D5E"/>
    <w:rsid w:val="00DD7A4D"/>
    <w:rsid w:val="00E029B9"/>
    <w:rsid w:val="00E92DE8"/>
    <w:rsid w:val="00E92E7F"/>
    <w:rsid w:val="00EE4F0C"/>
    <w:rsid w:val="00EF6151"/>
    <w:rsid w:val="00F01800"/>
    <w:rsid w:val="00F94292"/>
    <w:rsid w:val="00FA4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C81A"/>
  <w15:chartTrackingRefBased/>
  <w15:docId w15:val="{FEBAC8A6-0241-514C-B804-D83D5396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94"/>
    <w:pPr>
      <w:ind w:left="720"/>
      <w:contextualSpacing/>
    </w:pPr>
  </w:style>
  <w:style w:type="character" w:styleId="Hyperlink">
    <w:name w:val="Hyperlink"/>
    <w:basedOn w:val="DefaultParagraphFont"/>
    <w:uiPriority w:val="99"/>
    <w:unhideWhenUsed/>
    <w:rsid w:val="00283FCE"/>
    <w:rPr>
      <w:color w:val="0563C1" w:themeColor="hyperlink"/>
      <w:u w:val="single"/>
    </w:rPr>
  </w:style>
  <w:style w:type="character" w:styleId="UnresolvedMention">
    <w:name w:val="Unresolved Mention"/>
    <w:basedOn w:val="DefaultParagraphFont"/>
    <w:uiPriority w:val="99"/>
    <w:semiHidden/>
    <w:unhideWhenUsed/>
    <w:rsid w:val="00283FCE"/>
    <w:rPr>
      <w:color w:val="605E5C"/>
      <w:shd w:val="clear" w:color="auto" w:fill="E1DFDD"/>
    </w:rPr>
  </w:style>
  <w:style w:type="paragraph" w:styleId="BodyText">
    <w:name w:val="Body Text"/>
    <w:basedOn w:val="Normal"/>
    <w:link w:val="BodyTextChar"/>
    <w:qFormat/>
    <w:rsid w:val="00724686"/>
    <w:pPr>
      <w:spacing w:before="120" w:after="120" w:line="280" w:lineRule="atLeast"/>
    </w:pPr>
    <w:rPr>
      <w:sz w:val="20"/>
      <w:szCs w:val="20"/>
    </w:rPr>
  </w:style>
  <w:style w:type="character" w:customStyle="1" w:styleId="BodyTextChar">
    <w:name w:val="Body Text Char"/>
    <w:basedOn w:val="DefaultParagraphFont"/>
    <w:link w:val="BodyText"/>
    <w:rsid w:val="00724686"/>
    <w:rPr>
      <w:sz w:val="20"/>
      <w:szCs w:val="20"/>
    </w:rPr>
  </w:style>
  <w:style w:type="paragraph" w:styleId="Signature">
    <w:name w:val="Signature"/>
    <w:basedOn w:val="Normal"/>
    <w:link w:val="SignatureChar"/>
    <w:uiPriority w:val="99"/>
    <w:semiHidden/>
    <w:unhideWhenUsed/>
    <w:rsid w:val="00D901D3"/>
    <w:pPr>
      <w:ind w:left="4252"/>
    </w:pPr>
  </w:style>
  <w:style w:type="character" w:customStyle="1" w:styleId="SignatureChar">
    <w:name w:val="Signature Char"/>
    <w:basedOn w:val="DefaultParagraphFont"/>
    <w:link w:val="Signature"/>
    <w:uiPriority w:val="99"/>
    <w:semiHidden/>
    <w:rsid w:val="00D901D3"/>
  </w:style>
  <w:style w:type="character" w:styleId="FollowedHyperlink">
    <w:name w:val="FollowedHyperlink"/>
    <w:basedOn w:val="DefaultParagraphFont"/>
    <w:uiPriority w:val="99"/>
    <w:semiHidden/>
    <w:unhideWhenUsed/>
    <w:rsid w:val="000522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489d69cc509ea8ff6335c2e3ed8b77e9">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5ca7857444555ed9b65516082750063d"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F093-3904-4AEE-9062-EF53808D4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3017D-52B4-4110-B40E-6DCB69F5D244}">
  <ds:schemaRefs>
    <ds:schemaRef ds:uri="http://schemas.microsoft.com/office/infopath/2007/PartnerControls"/>
    <ds:schemaRef ds:uri="http://purl.org/dc/dcmitype/"/>
    <ds:schemaRef ds:uri="52167780-d458-4e20-a521-cd369a511d6e"/>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8863fef4-a928-4b42-80f7-22702e616c5c"/>
    <ds:schemaRef ds:uri="http://schemas.microsoft.com/office/2006/metadata/properties"/>
  </ds:schemaRefs>
</ds:datastoreItem>
</file>

<file path=customXml/itemProps3.xml><?xml version="1.0" encoding="utf-8"?>
<ds:datastoreItem xmlns:ds="http://schemas.openxmlformats.org/officeDocument/2006/customXml" ds:itemID="{A2E1591B-D5EF-4B82-8E09-6618EFBCE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Submission DR75 - Jane Dixon, Don Dixon, Peter Dixon, James Dixon - National School Reform Agreement - Commissioned study</vt:lpstr>
    </vt:vector>
  </TitlesOfParts>
  <Company>Jane Dixon, Don Dixon, Peter Dixon, James Dixon</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DR75 - Jane Dixon, Don Dixon, Peter Dixon, James Dixon - National School Reform Agreement - Commissioned study</dc:title>
  <dc:subject/>
  <dc:creator>Jane Dixon, Don Dixon, Peter Dixon, James Dixon</dc:creator>
  <cp:keywords/>
  <dc:description/>
  <cp:lastModifiedBy>Chris Alston</cp:lastModifiedBy>
  <cp:revision>4</cp:revision>
  <dcterms:created xsi:type="dcterms:W3CDTF">2022-10-20T00:10:00Z</dcterms:created>
  <dcterms:modified xsi:type="dcterms:W3CDTF">2022-10-21T02:26:00Z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