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9B0C" w14:textId="59DB5153" w:rsidR="00B9014E" w:rsidRPr="00713993" w:rsidRDefault="00B9014E" w:rsidP="00713993">
      <w:pPr>
        <w:pStyle w:val="NoSpacing"/>
        <w:jc w:val="center"/>
        <w:rPr>
          <w:rStyle w:val="BookTitle"/>
          <w:rFonts w:cstheme="minorHAnsi"/>
        </w:rPr>
      </w:pPr>
      <w:r w:rsidRPr="00713993">
        <w:rPr>
          <w:rStyle w:val="BookTitle"/>
          <w:rFonts w:cstheme="minorHAnsi"/>
        </w:rPr>
        <w:t>Submission to the Productivity Commission</w:t>
      </w:r>
    </w:p>
    <w:p w14:paraId="15344B0A" w14:textId="5631CA99" w:rsidR="00B9014E" w:rsidRDefault="00B9014E" w:rsidP="00713993">
      <w:pPr>
        <w:pStyle w:val="NoSpacing"/>
        <w:jc w:val="center"/>
        <w:rPr>
          <w:rStyle w:val="BookTitle"/>
          <w:rFonts w:cstheme="minorHAnsi"/>
        </w:rPr>
      </w:pPr>
      <w:r w:rsidRPr="00713993">
        <w:rPr>
          <w:rStyle w:val="BookTitle"/>
          <w:rFonts w:cstheme="minorHAnsi"/>
        </w:rPr>
        <w:t>The impact of inauthentic First Nations visual arts and crafts</w:t>
      </w:r>
    </w:p>
    <w:p w14:paraId="4F3637A8" w14:textId="72778838" w:rsidR="00713993" w:rsidRPr="00713993" w:rsidRDefault="00713993" w:rsidP="00713993">
      <w:pPr>
        <w:pStyle w:val="NoSpacing"/>
        <w:jc w:val="center"/>
        <w:rPr>
          <w:rStyle w:val="BookTitle"/>
          <w:rFonts w:cstheme="minorHAnsi"/>
          <w:i w:val="0"/>
          <w:iCs w:val="0"/>
        </w:rPr>
      </w:pPr>
      <w:r>
        <w:rPr>
          <w:rStyle w:val="BookTitle"/>
          <w:rFonts w:cstheme="minorHAnsi"/>
          <w:i w:val="0"/>
          <w:iCs w:val="0"/>
        </w:rPr>
        <w:t xml:space="preserve">Amy Whinn </w:t>
      </w:r>
    </w:p>
    <w:p w14:paraId="42FD364E" w14:textId="77777777" w:rsidR="00DB247B" w:rsidRPr="00713993" w:rsidRDefault="00DB247B" w:rsidP="00713993">
      <w:pPr>
        <w:pStyle w:val="NoSpacing"/>
        <w:jc w:val="both"/>
        <w:rPr>
          <w:rFonts w:cstheme="minorHAnsi"/>
        </w:rPr>
      </w:pPr>
    </w:p>
    <w:p w14:paraId="6900CEB8" w14:textId="6B1FEE13" w:rsidR="00B9014E" w:rsidRPr="00713993" w:rsidRDefault="000E745C" w:rsidP="00713993">
      <w:pPr>
        <w:pStyle w:val="NoSpacing"/>
        <w:jc w:val="both"/>
        <w:rPr>
          <w:rStyle w:val="IntenseReference"/>
          <w:rFonts w:cstheme="minorHAnsi"/>
          <w:color w:val="auto"/>
        </w:rPr>
      </w:pPr>
      <w:r w:rsidRPr="00713993">
        <w:rPr>
          <w:rStyle w:val="IntenseReference"/>
          <w:rFonts w:cstheme="minorHAnsi"/>
          <w:color w:val="auto"/>
        </w:rPr>
        <w:t>Preliminary comments</w:t>
      </w:r>
    </w:p>
    <w:p w14:paraId="1578EF7E" w14:textId="4B2136B5" w:rsidR="00597181" w:rsidRPr="00713993" w:rsidRDefault="00862766" w:rsidP="00713993">
      <w:pPr>
        <w:pStyle w:val="NoSpacing"/>
        <w:jc w:val="both"/>
        <w:rPr>
          <w:rFonts w:cstheme="minorHAnsi"/>
        </w:rPr>
      </w:pPr>
      <w:r w:rsidRPr="00713993">
        <w:rPr>
          <w:rFonts w:cstheme="minorHAnsi"/>
        </w:rPr>
        <w:t xml:space="preserve">The protection of Indigenous </w:t>
      </w:r>
      <w:r w:rsidR="009C3CA7">
        <w:rPr>
          <w:rFonts w:cstheme="minorHAnsi"/>
        </w:rPr>
        <w:t>k</w:t>
      </w:r>
      <w:r w:rsidRPr="00713993">
        <w:rPr>
          <w:rFonts w:cstheme="minorHAnsi"/>
        </w:rPr>
        <w:t xml:space="preserve">nowledge (‘IK’) and Indigenous cultural and intellectual property (‘ICIP’) is a multifaceted and expansive issue which has been explored by multiple government </w:t>
      </w:r>
      <w:r w:rsidR="00DA770E">
        <w:rPr>
          <w:rFonts w:cstheme="minorHAnsi"/>
        </w:rPr>
        <w:t>i</w:t>
      </w:r>
      <w:r w:rsidRPr="00713993">
        <w:rPr>
          <w:rFonts w:cstheme="minorHAnsi"/>
        </w:rPr>
        <w:t xml:space="preserve">nquiries and committees as far back as 1974. However, very little has been done to actively assist with the protection of First Nations artists and their works, especially those in regional and remote communities, in a way that provides long term security and stability to some of our most vulnerable Australians. </w:t>
      </w:r>
      <w:r w:rsidR="00440AE6">
        <w:rPr>
          <w:rFonts w:cstheme="minorHAnsi"/>
        </w:rPr>
        <w:t xml:space="preserve"> </w:t>
      </w:r>
    </w:p>
    <w:p w14:paraId="26355C7C" w14:textId="77777777" w:rsidR="00DB247B" w:rsidRPr="00713993" w:rsidRDefault="00DB247B" w:rsidP="00713993">
      <w:pPr>
        <w:pStyle w:val="NoSpacing"/>
        <w:jc w:val="both"/>
        <w:rPr>
          <w:rFonts w:cstheme="minorHAnsi"/>
        </w:rPr>
      </w:pPr>
    </w:p>
    <w:p w14:paraId="05C45A6A" w14:textId="7BB60099" w:rsidR="006F48AE" w:rsidRPr="00713993" w:rsidRDefault="006F48AE" w:rsidP="00713993">
      <w:pPr>
        <w:pStyle w:val="NoSpacing"/>
        <w:jc w:val="both"/>
        <w:rPr>
          <w:rStyle w:val="IntenseReference"/>
          <w:rFonts w:cstheme="minorHAnsi"/>
        </w:rPr>
      </w:pPr>
      <w:r w:rsidRPr="00713993">
        <w:rPr>
          <w:rStyle w:val="IntenseReference"/>
          <w:rFonts w:cstheme="minorHAnsi"/>
          <w:color w:val="auto"/>
        </w:rPr>
        <w:t>Key issues</w:t>
      </w:r>
    </w:p>
    <w:p w14:paraId="46EC9619" w14:textId="7E1919BE" w:rsidR="0047353B" w:rsidRPr="00713993" w:rsidRDefault="004B0D82" w:rsidP="00713993">
      <w:pPr>
        <w:pStyle w:val="NoSpacing"/>
        <w:jc w:val="both"/>
        <w:rPr>
          <w:rFonts w:cstheme="minorHAnsi"/>
        </w:rPr>
      </w:pPr>
      <w:r>
        <w:rPr>
          <w:rFonts w:cstheme="minorHAnsi"/>
        </w:rPr>
        <w:t xml:space="preserve">Extant literature </w:t>
      </w:r>
      <w:r w:rsidR="00D77C4B" w:rsidRPr="00713993">
        <w:rPr>
          <w:rFonts w:cstheme="minorHAnsi"/>
        </w:rPr>
        <w:t xml:space="preserve">over the past decade </w:t>
      </w:r>
      <w:r w:rsidR="00D35A4C">
        <w:rPr>
          <w:rFonts w:cstheme="minorHAnsi"/>
        </w:rPr>
        <w:t xml:space="preserve">reveals </w:t>
      </w:r>
      <w:r w:rsidR="00D77C4B" w:rsidRPr="00713993">
        <w:rPr>
          <w:rFonts w:cstheme="minorHAnsi"/>
        </w:rPr>
        <w:t>numerous suggestions on ways in which First Nations artists could be better protected</w:t>
      </w:r>
      <w:r w:rsidR="00A649BB">
        <w:rPr>
          <w:rFonts w:cstheme="minorHAnsi"/>
        </w:rPr>
        <w:t xml:space="preserve"> – </w:t>
      </w:r>
      <w:r w:rsidR="00D77C4B" w:rsidRPr="00713993">
        <w:rPr>
          <w:rFonts w:cstheme="minorHAnsi"/>
        </w:rPr>
        <w:t xml:space="preserve">whether it be through amendments to current legislation, the creation of new legislation, or greater funding and more resources for those organisations which are already providing much needed support and education. </w:t>
      </w:r>
      <w:r w:rsidR="00E2593A" w:rsidRPr="00A1667C">
        <w:rPr>
          <w:rFonts w:cstheme="minorHAnsi"/>
        </w:rPr>
        <w:t>A</w:t>
      </w:r>
      <w:r w:rsidR="00D35A4C" w:rsidRPr="00A1667C">
        <w:rPr>
          <w:rFonts w:cstheme="minorHAnsi"/>
        </w:rPr>
        <w:t xml:space="preserve"> review of the literature</w:t>
      </w:r>
      <w:r w:rsidR="00E2593A" w:rsidRPr="00A1667C">
        <w:rPr>
          <w:rFonts w:cstheme="minorHAnsi"/>
        </w:rPr>
        <w:t xml:space="preserve"> reveals that</w:t>
      </w:r>
      <w:r w:rsidR="00D35A4C" w:rsidRPr="00A1667C">
        <w:rPr>
          <w:rFonts w:cstheme="minorHAnsi"/>
        </w:rPr>
        <w:t xml:space="preserve"> </w:t>
      </w:r>
      <w:r w:rsidR="0047353B" w:rsidRPr="00A1667C">
        <w:rPr>
          <w:rFonts w:cstheme="minorHAnsi"/>
        </w:rPr>
        <w:t xml:space="preserve">two </w:t>
      </w:r>
      <w:r w:rsidR="00365BBA" w:rsidRPr="00A1667C">
        <w:rPr>
          <w:rFonts w:cstheme="minorHAnsi"/>
        </w:rPr>
        <w:t xml:space="preserve">key areas of focus </w:t>
      </w:r>
      <w:r w:rsidR="00D35A4C" w:rsidRPr="00A1667C">
        <w:rPr>
          <w:rFonts w:cstheme="minorHAnsi"/>
        </w:rPr>
        <w:t>emerge:</w:t>
      </w:r>
      <w:r w:rsidR="00365BBA" w:rsidRPr="00A1667C">
        <w:rPr>
          <w:rFonts w:cstheme="minorHAnsi"/>
        </w:rPr>
        <w:t xml:space="preserve"> education and legislative reform.</w:t>
      </w:r>
      <w:r w:rsidR="00365BBA" w:rsidRPr="00713993">
        <w:rPr>
          <w:rFonts w:cstheme="minorHAnsi"/>
        </w:rPr>
        <w:t xml:space="preserve"> </w:t>
      </w:r>
    </w:p>
    <w:p w14:paraId="085F0691" w14:textId="77777777" w:rsidR="0047353B" w:rsidRPr="00713993" w:rsidRDefault="0047353B" w:rsidP="00713993">
      <w:pPr>
        <w:pStyle w:val="NoSpacing"/>
        <w:jc w:val="both"/>
        <w:rPr>
          <w:rFonts w:cstheme="minorHAnsi"/>
        </w:rPr>
      </w:pPr>
    </w:p>
    <w:p w14:paraId="15F0BBFF" w14:textId="560F2CD8" w:rsidR="00DB247B" w:rsidRPr="00713993" w:rsidRDefault="007534F6" w:rsidP="00713993">
      <w:pPr>
        <w:pStyle w:val="NoSpacing"/>
        <w:jc w:val="both"/>
        <w:rPr>
          <w:rStyle w:val="SubtleEmphasis"/>
          <w:rFonts w:cstheme="minorHAnsi"/>
        </w:rPr>
      </w:pPr>
      <w:r w:rsidRPr="00713993">
        <w:rPr>
          <w:rStyle w:val="SubtleEmphasis"/>
          <w:rFonts w:cstheme="minorHAnsi"/>
          <w:color w:val="auto"/>
        </w:rPr>
        <w:t>Education</w:t>
      </w:r>
    </w:p>
    <w:p w14:paraId="7D8B4B13" w14:textId="46BE322B" w:rsidR="007534F6" w:rsidRPr="004706B9" w:rsidRDefault="00F94545" w:rsidP="00713993">
      <w:pPr>
        <w:pStyle w:val="NoSpacing"/>
        <w:jc w:val="both"/>
        <w:rPr>
          <w:rFonts w:cstheme="minorHAnsi"/>
          <w:i/>
          <w:iCs/>
        </w:rPr>
      </w:pPr>
      <w:r w:rsidRPr="00713993">
        <w:rPr>
          <w:rFonts w:cstheme="minorHAnsi"/>
        </w:rPr>
        <w:t>Artist education is of paramount importance. For example, w</w:t>
      </w:r>
      <w:r w:rsidR="007534F6" w:rsidRPr="00713993">
        <w:rPr>
          <w:rFonts w:cstheme="minorHAnsi"/>
        </w:rPr>
        <w:t>hen a piece of artwork is produced, copyright ownership is retained by the author.</w:t>
      </w:r>
      <w:r w:rsidR="007534F6" w:rsidRPr="00713993">
        <w:rPr>
          <w:rStyle w:val="FootnoteReference"/>
          <w:rFonts w:cstheme="minorHAnsi"/>
          <w:color w:val="201F1E"/>
        </w:rPr>
        <w:footnoteReference w:id="1"/>
      </w:r>
      <w:r w:rsidR="007534F6" w:rsidRPr="00713993">
        <w:rPr>
          <w:rFonts w:cstheme="minorHAnsi"/>
        </w:rPr>
        <w:t xml:space="preserve"> </w:t>
      </w:r>
      <w:r w:rsidR="007534F6" w:rsidRPr="00A1667C">
        <w:rPr>
          <w:rFonts w:cstheme="minorHAnsi"/>
        </w:rPr>
        <w:t>This is a fact that many First Nations artists are uninformed of, and many hold the misconception that once a piece of artwork is sold, they as the artists no longer have any rights over that artwork.</w:t>
      </w:r>
      <w:r w:rsidR="007534F6" w:rsidRPr="00A1667C">
        <w:rPr>
          <w:rStyle w:val="FootnoteReference"/>
          <w:rFonts w:cstheme="minorHAnsi"/>
          <w:color w:val="201F1E"/>
        </w:rPr>
        <w:footnoteReference w:id="2"/>
      </w:r>
      <w:r w:rsidR="004706B9" w:rsidRPr="004706B9">
        <w:rPr>
          <w:rFonts w:cstheme="minorHAnsi"/>
          <w:i/>
          <w:iCs/>
        </w:rPr>
        <w:t xml:space="preserve"> </w:t>
      </w:r>
    </w:p>
    <w:p w14:paraId="5FCAABC5" w14:textId="7D2C872B" w:rsidR="007534F6" w:rsidRPr="00713993" w:rsidRDefault="007534F6" w:rsidP="00713993">
      <w:pPr>
        <w:pStyle w:val="NoSpacing"/>
        <w:jc w:val="both"/>
        <w:rPr>
          <w:rFonts w:cstheme="minorHAnsi"/>
        </w:rPr>
      </w:pPr>
    </w:p>
    <w:p w14:paraId="42608154" w14:textId="737B61CF" w:rsidR="007534F6" w:rsidRPr="00713993" w:rsidRDefault="007534F6" w:rsidP="00713993">
      <w:pPr>
        <w:pStyle w:val="NoSpacing"/>
        <w:jc w:val="both"/>
        <w:rPr>
          <w:rStyle w:val="SubtleEmphasis"/>
          <w:rFonts w:cstheme="minorHAnsi"/>
        </w:rPr>
      </w:pPr>
      <w:r w:rsidRPr="00713993">
        <w:rPr>
          <w:rStyle w:val="SubtleEmphasis"/>
          <w:rFonts w:cstheme="minorHAnsi"/>
          <w:color w:val="auto"/>
        </w:rPr>
        <w:t>Legislative reform</w:t>
      </w:r>
      <w:r w:rsidRPr="00713993">
        <w:rPr>
          <w:rStyle w:val="SubtleEmphasis"/>
          <w:rFonts w:cstheme="minorHAnsi"/>
        </w:rPr>
        <w:t xml:space="preserve"> </w:t>
      </w:r>
    </w:p>
    <w:p w14:paraId="2CBE8E26" w14:textId="13EDF8D1" w:rsidR="00DB247B" w:rsidRPr="00713993" w:rsidRDefault="00E3487F" w:rsidP="00713993">
      <w:pPr>
        <w:pStyle w:val="NoSpacing"/>
        <w:jc w:val="both"/>
        <w:rPr>
          <w:rFonts w:cstheme="minorHAnsi"/>
        </w:rPr>
      </w:pPr>
      <w:r w:rsidRPr="00713993">
        <w:rPr>
          <w:rFonts w:cstheme="minorHAnsi"/>
          <w:color w:val="201F1E"/>
        </w:rPr>
        <w:t>IP</w:t>
      </w:r>
      <w:r w:rsidR="00365BBA" w:rsidRPr="00713993">
        <w:rPr>
          <w:rFonts w:cstheme="minorHAnsi"/>
          <w:color w:val="201F1E"/>
        </w:rPr>
        <w:t xml:space="preserve"> laws in Australia ‘do not have specific provisions to protect Indigenous cultural expression’.</w:t>
      </w:r>
      <w:r w:rsidR="00365BBA" w:rsidRPr="00713993">
        <w:rPr>
          <w:rStyle w:val="FootnoteReference"/>
          <w:rFonts w:cstheme="minorHAnsi"/>
          <w:color w:val="201F1E"/>
        </w:rPr>
        <w:footnoteReference w:id="3"/>
      </w:r>
      <w:r w:rsidR="00D77C4B" w:rsidRPr="00713993">
        <w:rPr>
          <w:rFonts w:cstheme="minorHAnsi"/>
          <w:color w:val="201F1E"/>
        </w:rPr>
        <w:t xml:space="preserve"> </w:t>
      </w:r>
      <w:r w:rsidR="00AB48BD">
        <w:rPr>
          <w:rFonts w:cstheme="minorHAnsi"/>
          <w:color w:val="201F1E"/>
        </w:rPr>
        <w:t>D</w:t>
      </w:r>
      <w:r w:rsidR="00D77C4B" w:rsidRPr="00713993">
        <w:rPr>
          <w:rFonts w:cstheme="minorHAnsi"/>
          <w:color w:val="201F1E"/>
        </w:rPr>
        <w:t>ue to the collaborative nature of many First Nations artworks and stories, which are passed down through the generations,</w:t>
      </w:r>
      <w:r w:rsidR="00D77C4B" w:rsidRPr="00713993">
        <w:rPr>
          <w:rStyle w:val="FootnoteReference"/>
          <w:rFonts w:cstheme="minorHAnsi"/>
          <w:color w:val="201F1E"/>
        </w:rPr>
        <w:footnoteReference w:id="4"/>
      </w:r>
      <w:r w:rsidR="00D77C4B" w:rsidRPr="00713993">
        <w:rPr>
          <w:rFonts w:cstheme="minorHAnsi"/>
          <w:color w:val="201F1E"/>
        </w:rPr>
        <w:t xml:space="preserve"> many works are deemed to be owned by the community or “mob” rather than by one person. It has been recognised that ‘our legal system remains centred around individual personhood’</w:t>
      </w:r>
      <w:r w:rsidR="00D77C4B" w:rsidRPr="00713993">
        <w:rPr>
          <w:rStyle w:val="FootnoteReference"/>
          <w:rFonts w:cstheme="minorHAnsi"/>
          <w:color w:val="201F1E"/>
        </w:rPr>
        <w:footnoteReference w:id="5"/>
      </w:r>
      <w:r w:rsidR="00D77C4B" w:rsidRPr="00713993">
        <w:rPr>
          <w:rFonts w:cstheme="minorHAnsi"/>
          <w:color w:val="201F1E"/>
        </w:rPr>
        <w:t xml:space="preserve"> and therefore the concept of ‘community ownership remains largely unrecognised and unprotected’.</w:t>
      </w:r>
      <w:r w:rsidR="00D77C4B" w:rsidRPr="00713993">
        <w:rPr>
          <w:rStyle w:val="FootnoteReference"/>
          <w:rFonts w:cstheme="minorHAnsi"/>
          <w:color w:val="201F1E"/>
        </w:rPr>
        <w:footnoteReference w:id="6"/>
      </w:r>
      <w:r w:rsidR="00D77C4B" w:rsidRPr="00713993">
        <w:rPr>
          <w:rFonts w:cstheme="minorHAnsi"/>
          <w:color w:val="201F1E"/>
        </w:rPr>
        <w:t xml:space="preserve"> This issue was also noted as part of a House of Representatives Standing Committee Report; ‘Neither the ACL nor copyright law were designed to protect First Nations cultural expressions, and therefore each is inadequate to do so’.</w:t>
      </w:r>
      <w:r w:rsidR="00D77C4B" w:rsidRPr="00713993">
        <w:rPr>
          <w:rStyle w:val="FootnoteReference"/>
          <w:rFonts w:cstheme="minorHAnsi"/>
          <w:color w:val="201F1E"/>
        </w:rPr>
        <w:footnoteReference w:id="7"/>
      </w:r>
    </w:p>
    <w:p w14:paraId="465F7EFD" w14:textId="00F28146" w:rsidR="00D77C4B" w:rsidRPr="00713993" w:rsidRDefault="00D77C4B" w:rsidP="00713993">
      <w:pPr>
        <w:pStyle w:val="NoSpacing"/>
        <w:jc w:val="both"/>
        <w:rPr>
          <w:rStyle w:val="IntenseReference"/>
          <w:rFonts w:cstheme="minorHAnsi"/>
          <w:color w:val="auto"/>
        </w:rPr>
      </w:pPr>
    </w:p>
    <w:p w14:paraId="5D4A3F1F" w14:textId="38DE61EC" w:rsidR="006F48AE" w:rsidRPr="00713993" w:rsidRDefault="006F48AE" w:rsidP="00DA770E">
      <w:pPr>
        <w:pStyle w:val="NoSpacing"/>
        <w:keepNext/>
        <w:keepLines/>
        <w:jc w:val="both"/>
        <w:rPr>
          <w:rStyle w:val="IntenseReference"/>
          <w:rFonts w:cstheme="minorHAnsi"/>
        </w:rPr>
      </w:pPr>
      <w:r w:rsidRPr="00713993">
        <w:rPr>
          <w:rStyle w:val="IntenseReference"/>
          <w:rFonts w:cstheme="minorHAnsi"/>
          <w:color w:val="auto"/>
        </w:rPr>
        <w:t>Discussion questions</w:t>
      </w:r>
    </w:p>
    <w:p w14:paraId="7CAFEB41" w14:textId="16B6EC82" w:rsidR="006F48AE" w:rsidRPr="00713993" w:rsidRDefault="006F48AE" w:rsidP="00DA770E">
      <w:pPr>
        <w:pStyle w:val="NoSpacing"/>
        <w:keepNext/>
        <w:keepLines/>
        <w:jc w:val="both"/>
        <w:rPr>
          <w:rStyle w:val="SubtleEmphasis"/>
          <w:rFonts w:cstheme="minorHAnsi"/>
          <w:color w:val="auto"/>
        </w:rPr>
      </w:pPr>
      <w:r w:rsidRPr="00713993">
        <w:rPr>
          <w:rStyle w:val="SubtleEmphasis"/>
          <w:rFonts w:cstheme="minorHAnsi"/>
          <w:color w:val="auto"/>
        </w:rPr>
        <w:t>IP laws</w:t>
      </w:r>
    </w:p>
    <w:p w14:paraId="5C108DD8" w14:textId="77777777" w:rsidR="006F48AE" w:rsidRPr="00713993" w:rsidRDefault="006F48AE" w:rsidP="00713993">
      <w:pPr>
        <w:pStyle w:val="NoSpacing"/>
        <w:jc w:val="both"/>
        <w:rPr>
          <w:rFonts w:cstheme="minorHAnsi"/>
          <w:u w:val="single"/>
        </w:rPr>
      </w:pPr>
      <w:r w:rsidRPr="00713993">
        <w:rPr>
          <w:rFonts w:cstheme="minorHAnsi"/>
          <w:u w:val="single"/>
        </w:rPr>
        <w:t xml:space="preserve">What are the limits of the existing intellectual property protections? </w:t>
      </w:r>
    </w:p>
    <w:p w14:paraId="478C6944" w14:textId="5A61EDB2" w:rsidR="009B51AF" w:rsidRPr="00713993" w:rsidRDefault="00C26826" w:rsidP="00713993">
      <w:pPr>
        <w:pStyle w:val="NoSpacing"/>
        <w:jc w:val="both"/>
        <w:rPr>
          <w:rFonts w:cstheme="minorHAnsi"/>
          <w:color w:val="201F1E"/>
        </w:rPr>
      </w:pPr>
      <w:r w:rsidRPr="00713993">
        <w:rPr>
          <w:rFonts w:cstheme="minorHAnsi"/>
          <w:color w:val="201F1E"/>
        </w:rPr>
        <w:t xml:space="preserve">Looking at this in </w:t>
      </w:r>
      <w:r w:rsidR="005E0011" w:rsidRPr="00713993">
        <w:rPr>
          <w:rFonts w:cstheme="minorHAnsi"/>
          <w:color w:val="201F1E"/>
        </w:rPr>
        <w:t xml:space="preserve">a </w:t>
      </w:r>
      <w:r w:rsidRPr="00713993">
        <w:rPr>
          <w:rFonts w:cstheme="minorHAnsi"/>
          <w:color w:val="201F1E"/>
        </w:rPr>
        <w:t xml:space="preserve">global context, a 2017 article by J. Janewa Osei-Tutu discussed some of the issues that traditional knowledge holders face when seeking protection under </w:t>
      </w:r>
      <w:r w:rsidR="00E3487F" w:rsidRPr="00713993">
        <w:rPr>
          <w:rFonts w:cstheme="minorHAnsi"/>
          <w:color w:val="201F1E"/>
        </w:rPr>
        <w:t>IP laws.</w:t>
      </w:r>
      <w:r w:rsidR="00E3487F" w:rsidRPr="00713993">
        <w:rPr>
          <w:rStyle w:val="FootnoteReference"/>
          <w:rFonts w:cstheme="minorHAnsi"/>
          <w:color w:val="201F1E"/>
        </w:rPr>
        <w:footnoteReference w:id="8"/>
      </w:r>
      <w:r w:rsidR="00C631DF" w:rsidRPr="00713993">
        <w:rPr>
          <w:rFonts w:cstheme="minorHAnsi"/>
          <w:color w:val="201F1E"/>
        </w:rPr>
        <w:t xml:space="preserve"> The vast majority of IK and ICIP cannot be adequately </w:t>
      </w:r>
      <w:r w:rsidR="00145A6D" w:rsidRPr="00713993">
        <w:rPr>
          <w:rFonts w:cstheme="minorHAnsi"/>
          <w:color w:val="201F1E"/>
        </w:rPr>
        <w:t xml:space="preserve">protected as there is a requirement for the knowledge or property </w:t>
      </w:r>
      <w:r w:rsidR="00145A6D" w:rsidRPr="00713993">
        <w:rPr>
          <w:rFonts w:cstheme="minorHAnsi"/>
          <w:color w:val="201F1E"/>
        </w:rPr>
        <w:lastRenderedPageBreak/>
        <w:t>to be new or original; ‘given that traditional knowledge is passed down through generations, it is unlikely to meet [this] criteria for intellectual property protection’.</w:t>
      </w:r>
      <w:r w:rsidR="00145A6D" w:rsidRPr="00713993">
        <w:rPr>
          <w:rStyle w:val="FootnoteReference"/>
          <w:rFonts w:cstheme="minorHAnsi"/>
          <w:color w:val="201F1E"/>
        </w:rPr>
        <w:footnoteReference w:id="9"/>
      </w:r>
      <w:r w:rsidR="00145A6D" w:rsidRPr="00713993">
        <w:rPr>
          <w:rFonts w:cstheme="minorHAnsi"/>
          <w:color w:val="201F1E"/>
        </w:rPr>
        <w:t xml:space="preserve"> </w:t>
      </w:r>
    </w:p>
    <w:p w14:paraId="613D2A25" w14:textId="0286B72B" w:rsidR="00C26826" w:rsidRPr="00713993" w:rsidRDefault="00C26826" w:rsidP="00713993">
      <w:pPr>
        <w:pStyle w:val="NoSpacing"/>
        <w:jc w:val="both"/>
        <w:rPr>
          <w:rFonts w:cstheme="minorHAnsi"/>
          <w:color w:val="201F1E"/>
        </w:rPr>
      </w:pPr>
    </w:p>
    <w:p w14:paraId="0D9A31A7" w14:textId="5C1EB601" w:rsidR="009B51AF" w:rsidRPr="00713993" w:rsidRDefault="00CB7C35" w:rsidP="00713993">
      <w:pPr>
        <w:pStyle w:val="NoSpacing"/>
        <w:jc w:val="both"/>
        <w:rPr>
          <w:rFonts w:cstheme="minorHAnsi"/>
          <w:color w:val="201F1E"/>
        </w:rPr>
      </w:pPr>
      <w:r w:rsidRPr="00713993">
        <w:rPr>
          <w:rFonts w:cstheme="minorHAnsi"/>
          <w:color w:val="201F1E"/>
        </w:rPr>
        <w:t>In a 2020 article, Nopera Dennis-McCarthy discussed</w:t>
      </w:r>
      <w:r w:rsidR="002D45CE" w:rsidRPr="00713993">
        <w:rPr>
          <w:rFonts w:cstheme="minorHAnsi"/>
          <w:color w:val="201F1E"/>
        </w:rPr>
        <w:t xml:space="preserve"> </w:t>
      </w:r>
      <w:r w:rsidRPr="00713993">
        <w:rPr>
          <w:rFonts w:cstheme="minorHAnsi"/>
          <w:color w:val="201F1E"/>
        </w:rPr>
        <w:t>three sign</w:t>
      </w:r>
      <w:r w:rsidR="009B51AF" w:rsidRPr="00713993">
        <w:rPr>
          <w:rFonts w:cstheme="minorHAnsi"/>
          <w:color w:val="201F1E"/>
        </w:rPr>
        <w:t>ificant cases</w:t>
      </w:r>
      <w:r w:rsidR="002D45CE" w:rsidRPr="00713993">
        <w:rPr>
          <w:rFonts w:cstheme="minorHAnsi"/>
          <w:color w:val="201F1E"/>
        </w:rPr>
        <w:t>, amongst others,</w:t>
      </w:r>
      <w:r w:rsidR="009B51AF" w:rsidRPr="00713993">
        <w:rPr>
          <w:rFonts w:cstheme="minorHAnsi"/>
          <w:color w:val="201F1E"/>
        </w:rPr>
        <w:t xml:space="preserve"> which recognised the shortfalls in Australia’s legislation when it comes to the protection of IK and ICIP.</w:t>
      </w:r>
      <w:r w:rsidR="009B51AF" w:rsidRPr="00713993">
        <w:rPr>
          <w:rStyle w:val="FootnoteReference"/>
          <w:rFonts w:cstheme="minorHAnsi"/>
          <w:color w:val="201F1E"/>
        </w:rPr>
        <w:footnoteReference w:id="10"/>
      </w:r>
      <w:r w:rsidR="009B51AF" w:rsidRPr="00713993">
        <w:rPr>
          <w:rFonts w:cstheme="minorHAnsi"/>
          <w:color w:val="201F1E"/>
        </w:rPr>
        <w:t xml:space="preserve"> The first case, </w:t>
      </w:r>
      <w:r w:rsidR="009B51AF" w:rsidRPr="00713993">
        <w:rPr>
          <w:rFonts w:cstheme="minorHAnsi"/>
          <w:i/>
          <w:iCs/>
          <w:color w:val="201F1E"/>
        </w:rPr>
        <w:t>Yumbulul v Reserve Bank of Australia</w:t>
      </w:r>
      <w:r w:rsidR="009B51AF" w:rsidRPr="00713993">
        <w:rPr>
          <w:rFonts w:cstheme="minorHAnsi"/>
          <w:color w:val="201F1E"/>
        </w:rPr>
        <w:t>,</w:t>
      </w:r>
      <w:r w:rsidR="009B51AF" w:rsidRPr="00713993">
        <w:rPr>
          <w:rStyle w:val="FootnoteReference"/>
          <w:rFonts w:cstheme="minorHAnsi"/>
          <w:color w:val="201F1E"/>
        </w:rPr>
        <w:footnoteReference w:id="11"/>
      </w:r>
      <w:r w:rsidR="00C91ED4" w:rsidRPr="00713993">
        <w:rPr>
          <w:rFonts w:cstheme="minorHAnsi"/>
          <w:color w:val="201F1E"/>
        </w:rPr>
        <w:t xml:space="preserve"> was an appeal against a decision concerning the licencing of artwork. While the appeal was unsuccessful, the Federal Court did acknowledge ‘that Australia’s </w:t>
      </w:r>
      <w:r w:rsidR="00C91ED4" w:rsidRPr="00713993">
        <w:rPr>
          <w:rFonts w:cstheme="minorHAnsi"/>
          <w:bCs/>
        </w:rPr>
        <w:t>copyright law did not provide adequate recognition of Aboriginal community claims to regulate the reproduction of works that are essentially communal in origin’.</w:t>
      </w:r>
      <w:r w:rsidR="00C91ED4" w:rsidRPr="00713993">
        <w:rPr>
          <w:rStyle w:val="FootnoteReference"/>
          <w:rFonts w:cstheme="minorHAnsi"/>
          <w:bCs/>
        </w:rPr>
        <w:footnoteReference w:id="12"/>
      </w:r>
      <w:r w:rsidR="00C91ED4" w:rsidRPr="00713993">
        <w:rPr>
          <w:rFonts w:cstheme="minorHAnsi"/>
          <w:bCs/>
        </w:rPr>
        <w:t xml:space="preserve"> </w:t>
      </w:r>
    </w:p>
    <w:p w14:paraId="33A25ED8" w14:textId="6A7B0983" w:rsidR="00F94545" w:rsidRPr="00713993" w:rsidRDefault="00F94545" w:rsidP="00713993">
      <w:pPr>
        <w:pStyle w:val="NoSpacing"/>
        <w:jc w:val="both"/>
        <w:rPr>
          <w:rFonts w:cstheme="minorHAnsi"/>
        </w:rPr>
      </w:pPr>
    </w:p>
    <w:p w14:paraId="7BDF3EA2" w14:textId="45DEB6E0" w:rsidR="00E0296F" w:rsidRPr="00713993" w:rsidRDefault="00D72B9F" w:rsidP="00713993">
      <w:pPr>
        <w:pStyle w:val="NoSpacing"/>
        <w:jc w:val="both"/>
        <w:rPr>
          <w:rFonts w:cstheme="minorHAnsi"/>
          <w:bCs/>
        </w:rPr>
      </w:pPr>
      <w:r w:rsidRPr="00713993">
        <w:rPr>
          <w:rFonts w:cstheme="minorHAnsi"/>
          <w:bCs/>
        </w:rPr>
        <w:t xml:space="preserve">The second case, </w:t>
      </w:r>
      <w:r w:rsidR="002D45CE" w:rsidRPr="00713993">
        <w:rPr>
          <w:rFonts w:cstheme="minorHAnsi"/>
          <w:bCs/>
          <w:i/>
          <w:iCs/>
        </w:rPr>
        <w:t>Milpurrurru v Indofurn Pty Ltd</w:t>
      </w:r>
      <w:r w:rsidR="002D45CE" w:rsidRPr="00713993">
        <w:rPr>
          <w:rFonts w:cstheme="minorHAnsi"/>
          <w:bCs/>
        </w:rPr>
        <w:t>,</w:t>
      </w:r>
      <w:r w:rsidR="002D45CE" w:rsidRPr="00713993">
        <w:rPr>
          <w:rStyle w:val="FootnoteReference"/>
          <w:rFonts w:cstheme="minorHAnsi"/>
          <w:bCs/>
        </w:rPr>
        <w:footnoteReference w:id="13"/>
      </w:r>
      <w:r w:rsidR="00B10830" w:rsidRPr="00713993">
        <w:rPr>
          <w:rFonts w:cstheme="minorHAnsi"/>
          <w:bCs/>
        </w:rPr>
        <w:t xml:space="preserve"> saw indigenous artists </w:t>
      </w:r>
      <w:r w:rsidR="009C34E2" w:rsidRPr="00713993">
        <w:rPr>
          <w:rFonts w:cstheme="minorHAnsi"/>
          <w:bCs/>
        </w:rPr>
        <w:t>allege that the defendant was manufacturing, and importing into Australia for sale, woollen carpets which were reproductions of their artwork, which had been copied with</w:t>
      </w:r>
      <w:r w:rsidR="00C556CC" w:rsidRPr="00713993">
        <w:rPr>
          <w:rFonts w:cstheme="minorHAnsi"/>
          <w:bCs/>
        </w:rPr>
        <w:t>out</w:t>
      </w:r>
      <w:r w:rsidR="009C34E2" w:rsidRPr="00713993">
        <w:rPr>
          <w:rFonts w:cstheme="minorHAnsi"/>
          <w:bCs/>
        </w:rPr>
        <w:t xml:space="preserve"> licence or consent.</w:t>
      </w:r>
      <w:r w:rsidR="00E0296F" w:rsidRPr="00713993">
        <w:rPr>
          <w:rFonts w:cstheme="minorHAnsi"/>
          <w:bCs/>
        </w:rPr>
        <w:t xml:space="preserve"> Den</w:t>
      </w:r>
      <w:r w:rsidR="00EA0A3E" w:rsidRPr="00713993">
        <w:rPr>
          <w:rFonts w:cstheme="minorHAnsi"/>
          <w:bCs/>
        </w:rPr>
        <w:t>n</w:t>
      </w:r>
      <w:r w:rsidR="00E0296F" w:rsidRPr="00713993">
        <w:rPr>
          <w:rFonts w:cstheme="minorHAnsi"/>
          <w:bCs/>
        </w:rPr>
        <w:t>is-McCarthy noted that ‘while this case appears to indicate some recognition of a localised and holistic approach to dealing with misappropriation, it is constrained within the IP regime’.</w:t>
      </w:r>
      <w:r w:rsidR="00C556CC" w:rsidRPr="00713993">
        <w:rPr>
          <w:rStyle w:val="FootnoteReference"/>
          <w:rFonts w:cstheme="minorHAnsi"/>
          <w:bCs/>
        </w:rPr>
        <w:footnoteReference w:id="14"/>
      </w:r>
      <w:r w:rsidR="00C556CC" w:rsidRPr="00713993">
        <w:rPr>
          <w:rFonts w:cstheme="minorHAnsi"/>
          <w:bCs/>
        </w:rPr>
        <w:t xml:space="preserve"> This is because misappropriation can still occur </w:t>
      </w:r>
      <w:r w:rsidR="00E35052">
        <w:rPr>
          <w:rFonts w:cstheme="minorHAnsi"/>
          <w:bCs/>
        </w:rPr>
        <w:t>due to</w:t>
      </w:r>
      <w:r w:rsidR="00C556CC" w:rsidRPr="00713993">
        <w:rPr>
          <w:rFonts w:cstheme="minorHAnsi"/>
          <w:bCs/>
        </w:rPr>
        <w:t xml:space="preserve"> loopholes such as originality requirements or </w:t>
      </w:r>
      <w:r w:rsidR="007F7734" w:rsidRPr="00713993">
        <w:rPr>
          <w:rFonts w:cstheme="minorHAnsi"/>
          <w:bCs/>
        </w:rPr>
        <w:t>copyright time periods.</w:t>
      </w:r>
      <w:r w:rsidR="007F7734" w:rsidRPr="00713993">
        <w:rPr>
          <w:rStyle w:val="FootnoteReference"/>
          <w:rFonts w:cstheme="minorHAnsi"/>
          <w:bCs/>
        </w:rPr>
        <w:footnoteReference w:id="15"/>
      </w:r>
      <w:r w:rsidR="007F7734" w:rsidRPr="00713993">
        <w:rPr>
          <w:rFonts w:cstheme="minorHAnsi"/>
          <w:bCs/>
        </w:rPr>
        <w:t xml:space="preserve"> </w:t>
      </w:r>
    </w:p>
    <w:p w14:paraId="529681D6" w14:textId="401DE78F" w:rsidR="00E0296F" w:rsidRPr="00713993" w:rsidRDefault="00E0296F" w:rsidP="00713993">
      <w:pPr>
        <w:pStyle w:val="NoSpacing"/>
        <w:jc w:val="both"/>
        <w:rPr>
          <w:rFonts w:cstheme="minorHAnsi"/>
          <w:bCs/>
        </w:rPr>
      </w:pPr>
    </w:p>
    <w:p w14:paraId="56491FAE" w14:textId="1F6D45D4" w:rsidR="00DF70FD" w:rsidRPr="00713993" w:rsidRDefault="00F76115" w:rsidP="00713993">
      <w:pPr>
        <w:pStyle w:val="NoSpacing"/>
        <w:jc w:val="both"/>
        <w:rPr>
          <w:rFonts w:cstheme="minorHAnsi"/>
          <w:bCs/>
        </w:rPr>
      </w:pPr>
      <w:r w:rsidRPr="00713993">
        <w:rPr>
          <w:rFonts w:cstheme="minorHAnsi"/>
          <w:bCs/>
        </w:rPr>
        <w:t xml:space="preserve">The third case, </w:t>
      </w:r>
      <w:r w:rsidRPr="00713993">
        <w:rPr>
          <w:rFonts w:cstheme="minorHAnsi"/>
          <w:bCs/>
          <w:i/>
          <w:iCs/>
        </w:rPr>
        <w:t>Bulun v R &amp; T Textiles Pty Ltd</w:t>
      </w:r>
      <w:r w:rsidRPr="00713993">
        <w:rPr>
          <w:rFonts w:cstheme="minorHAnsi"/>
          <w:bCs/>
        </w:rPr>
        <w:t>,</w:t>
      </w:r>
      <w:r w:rsidRPr="00713993">
        <w:rPr>
          <w:rStyle w:val="FootnoteReference"/>
          <w:rFonts w:cstheme="minorHAnsi"/>
          <w:bCs/>
        </w:rPr>
        <w:footnoteReference w:id="16"/>
      </w:r>
      <w:r w:rsidRPr="00713993">
        <w:rPr>
          <w:rFonts w:cstheme="minorHAnsi"/>
          <w:bCs/>
        </w:rPr>
        <w:t xml:space="preserve"> was similar to </w:t>
      </w:r>
      <w:r w:rsidRPr="00713993">
        <w:rPr>
          <w:rFonts w:cstheme="minorHAnsi"/>
          <w:bCs/>
          <w:i/>
          <w:iCs/>
        </w:rPr>
        <w:t>Milpurrurru</w:t>
      </w:r>
      <w:r w:rsidRPr="00713993">
        <w:rPr>
          <w:rFonts w:cstheme="minorHAnsi"/>
          <w:bCs/>
        </w:rPr>
        <w:t xml:space="preserve">, in that artistic works were being reproduced on fabric, which was then imported and sold in Australia. Von Doussa J held that while ‘customary </w:t>
      </w:r>
      <w:r w:rsidR="00EA0A3E" w:rsidRPr="00713993">
        <w:rPr>
          <w:rFonts w:cstheme="minorHAnsi"/>
          <w:bCs/>
        </w:rPr>
        <w:t>Aboriginal law relating to group ownership of artistic works survived the reception of English common law…the codification of copyright law by statute now prevents communal title being successfully asserted as part of the general law’.</w:t>
      </w:r>
      <w:r w:rsidR="00EA0A3E" w:rsidRPr="00713993">
        <w:rPr>
          <w:rStyle w:val="FootnoteReference"/>
          <w:rFonts w:cstheme="minorHAnsi"/>
          <w:bCs/>
        </w:rPr>
        <w:footnoteReference w:id="17"/>
      </w:r>
      <w:r w:rsidR="00EA0A3E" w:rsidRPr="00713993">
        <w:rPr>
          <w:rFonts w:cstheme="minorHAnsi"/>
          <w:bCs/>
        </w:rPr>
        <w:t xml:space="preserve"> In his article, Dennis-McCarthy </w:t>
      </w:r>
      <w:r w:rsidR="00BA47AF" w:rsidRPr="00713993">
        <w:rPr>
          <w:rFonts w:cstheme="minorHAnsi"/>
          <w:bCs/>
        </w:rPr>
        <w:t>reflected on Kathy Bowery’s observation of this fact</w:t>
      </w:r>
      <w:r w:rsidR="004E40FE" w:rsidRPr="00713993">
        <w:rPr>
          <w:rFonts w:cstheme="minorHAnsi"/>
          <w:bCs/>
        </w:rPr>
        <w:t xml:space="preserve">; </w:t>
      </w:r>
      <w:r w:rsidR="00BA47AF" w:rsidRPr="00713993">
        <w:rPr>
          <w:rFonts w:cstheme="minorHAnsi"/>
          <w:bCs/>
        </w:rPr>
        <w:t>that ‘the Court's apparent openness to indigenous customary law and collective ownership was moderated by its obligation to preserve the integrity of "mainstream" copyright law’.</w:t>
      </w:r>
      <w:r w:rsidR="00BA47AF" w:rsidRPr="00713993">
        <w:rPr>
          <w:rStyle w:val="FootnoteReference"/>
          <w:rFonts w:cstheme="minorHAnsi"/>
          <w:bCs/>
        </w:rPr>
        <w:footnoteReference w:id="18"/>
      </w:r>
    </w:p>
    <w:p w14:paraId="20734C57" w14:textId="0244758F" w:rsidR="00FF4191" w:rsidRPr="00713993" w:rsidRDefault="00FF4191" w:rsidP="00713993">
      <w:pPr>
        <w:pStyle w:val="NoSpacing"/>
        <w:jc w:val="both"/>
        <w:rPr>
          <w:rFonts w:cstheme="minorHAnsi"/>
          <w:bCs/>
        </w:rPr>
      </w:pPr>
    </w:p>
    <w:p w14:paraId="175E9B29" w14:textId="5CE76403" w:rsidR="00FF4191" w:rsidRPr="00713993" w:rsidRDefault="00FF4191" w:rsidP="00713993">
      <w:pPr>
        <w:pStyle w:val="NoSpacing"/>
        <w:jc w:val="both"/>
        <w:rPr>
          <w:rFonts w:cstheme="minorHAnsi"/>
          <w:bCs/>
        </w:rPr>
      </w:pPr>
      <w:r w:rsidRPr="00713993">
        <w:rPr>
          <w:rFonts w:cstheme="minorHAnsi"/>
          <w:bCs/>
        </w:rPr>
        <w:t xml:space="preserve">These three cases are prime examples of the shortcomings of current IP legislation in Australia and its inability to provide adequate protection for our First Nations artists. </w:t>
      </w:r>
    </w:p>
    <w:p w14:paraId="6C4D9819" w14:textId="77D0E200" w:rsidR="00F94545" w:rsidRPr="00713993" w:rsidRDefault="00F94545" w:rsidP="00713993">
      <w:pPr>
        <w:pStyle w:val="NoSpacing"/>
        <w:jc w:val="both"/>
        <w:rPr>
          <w:rFonts w:cstheme="minorHAnsi"/>
        </w:rPr>
      </w:pPr>
    </w:p>
    <w:p w14:paraId="68ADCA2D" w14:textId="77777777" w:rsidR="006F48AE" w:rsidRPr="00713993" w:rsidRDefault="006F48AE" w:rsidP="00713993">
      <w:pPr>
        <w:pStyle w:val="NoSpacing"/>
        <w:jc w:val="both"/>
        <w:rPr>
          <w:rFonts w:cstheme="minorHAnsi"/>
          <w:u w:val="single"/>
        </w:rPr>
      </w:pPr>
      <w:r w:rsidRPr="00713993">
        <w:rPr>
          <w:rFonts w:cstheme="minorHAnsi"/>
          <w:u w:val="single"/>
        </w:rPr>
        <w:t xml:space="preserve">How can existing intellectual property laws be amended to improve protections for Indigenous Cultural and Intellectual Property or do we need standalone legislation? </w:t>
      </w:r>
    </w:p>
    <w:p w14:paraId="3C4F5B69" w14:textId="730D1405" w:rsidR="00DA01B4" w:rsidRPr="00713993" w:rsidRDefault="00DA01B4" w:rsidP="00713993">
      <w:pPr>
        <w:pStyle w:val="NoSpacing"/>
        <w:jc w:val="both"/>
        <w:rPr>
          <w:rFonts w:cstheme="minorHAnsi"/>
        </w:rPr>
      </w:pPr>
      <w:r w:rsidRPr="00713993">
        <w:rPr>
          <w:rFonts w:cstheme="minorHAnsi"/>
        </w:rPr>
        <w:t>Currently, legislative protections for IK are ‘piecemeal at best’.</w:t>
      </w:r>
      <w:r w:rsidRPr="00713993">
        <w:rPr>
          <w:rStyle w:val="FootnoteReference"/>
          <w:rFonts w:cstheme="minorHAnsi"/>
        </w:rPr>
        <w:footnoteReference w:id="19"/>
      </w:r>
      <w:r w:rsidRPr="00713993">
        <w:rPr>
          <w:rFonts w:cstheme="minorHAnsi"/>
        </w:rPr>
        <w:t xml:space="preserve"> For example, the </w:t>
      </w:r>
      <w:r w:rsidRPr="00713993">
        <w:rPr>
          <w:rFonts w:cstheme="minorHAnsi"/>
          <w:i/>
        </w:rPr>
        <w:t>Native Title Act 1993</w:t>
      </w:r>
      <w:r w:rsidRPr="00713993">
        <w:rPr>
          <w:rFonts w:cstheme="minorHAnsi"/>
        </w:rPr>
        <w:t xml:space="preserve"> (Cth) recognises ‘communal, group or individual rights and interests’</w:t>
      </w:r>
      <w:r w:rsidRPr="00713993">
        <w:rPr>
          <w:rStyle w:val="FootnoteReference"/>
          <w:rFonts w:cstheme="minorHAnsi"/>
        </w:rPr>
        <w:footnoteReference w:id="20"/>
      </w:r>
      <w:r w:rsidRPr="00713993">
        <w:rPr>
          <w:rFonts w:cstheme="minorHAnsi"/>
        </w:rPr>
        <w:t xml:space="preserve"> but only in relation to ‘land or waters, where the rights and interests are possessed under the traditional laws acknowledged, and the traditional customs observed’</w:t>
      </w:r>
      <w:r w:rsidRPr="00713993">
        <w:rPr>
          <w:rStyle w:val="FootnoteReference"/>
          <w:rFonts w:cstheme="minorHAnsi"/>
        </w:rPr>
        <w:footnoteReference w:id="21"/>
      </w:r>
      <w:r w:rsidRPr="00713993">
        <w:rPr>
          <w:rFonts w:cstheme="minorHAnsi"/>
        </w:rPr>
        <w:t xml:space="preserve"> and ‘the rights and interests are recognised by the common law of Australia’.</w:t>
      </w:r>
      <w:r w:rsidRPr="00713993">
        <w:rPr>
          <w:rStyle w:val="FootnoteReference"/>
          <w:rFonts w:cstheme="minorHAnsi"/>
        </w:rPr>
        <w:footnoteReference w:id="22"/>
      </w:r>
      <w:r w:rsidRPr="00713993">
        <w:rPr>
          <w:rFonts w:cstheme="minorHAnsi"/>
        </w:rPr>
        <w:t xml:space="preserve"> Therefore, while a claim could be made with regards to “traditional customs”, this term is ambiguous and is not in the spirit of the provision which is to demonstrate ‘</w:t>
      </w:r>
      <w:r w:rsidRPr="00713993">
        <w:rPr>
          <w:rFonts w:cstheme="minorHAnsi"/>
          <w:bCs/>
        </w:rPr>
        <w:t xml:space="preserve">evidence of an </w:t>
      </w:r>
      <w:r w:rsidRPr="00713993">
        <w:rPr>
          <w:rFonts w:cstheme="minorHAnsi"/>
          <w:bCs/>
        </w:rPr>
        <w:lastRenderedPageBreak/>
        <w:t>applicant's connection to the land and waters in question’</w:t>
      </w:r>
      <w:r w:rsidRPr="00713993">
        <w:rPr>
          <w:rStyle w:val="FootnoteReference"/>
          <w:rFonts w:cstheme="minorHAnsi"/>
        </w:rPr>
        <w:footnoteReference w:id="23"/>
      </w:r>
      <w:r w:rsidRPr="00713993">
        <w:rPr>
          <w:rFonts w:cstheme="minorHAnsi"/>
          <w:bCs/>
        </w:rPr>
        <w:t xml:space="preserve"> when disputing native title rights, not the protection of IK and ICIP.</w:t>
      </w:r>
    </w:p>
    <w:p w14:paraId="24931F83" w14:textId="77777777" w:rsidR="00AA3B3B" w:rsidRPr="00713993" w:rsidRDefault="00AA3B3B" w:rsidP="00713993">
      <w:pPr>
        <w:pStyle w:val="NoSpacing"/>
        <w:jc w:val="both"/>
        <w:rPr>
          <w:rFonts w:cstheme="minorHAnsi"/>
        </w:rPr>
      </w:pPr>
    </w:p>
    <w:p w14:paraId="10C6A4B5" w14:textId="77777777" w:rsidR="002B0FAC" w:rsidRPr="00713993" w:rsidRDefault="002B0FAC" w:rsidP="00713993">
      <w:pPr>
        <w:pStyle w:val="NoSpacing"/>
        <w:jc w:val="both"/>
        <w:rPr>
          <w:rFonts w:cstheme="minorHAnsi"/>
        </w:rPr>
      </w:pPr>
      <w:r w:rsidRPr="00713993">
        <w:rPr>
          <w:rFonts w:cstheme="minorHAnsi"/>
        </w:rPr>
        <w:t>Lee Elsdon, a solicitor with the Arts Law Centre of Australia, published an article in 2019 which focused on the protection of ICIP.</w:t>
      </w:r>
      <w:r w:rsidRPr="00713993">
        <w:rPr>
          <w:rStyle w:val="FootnoteReference"/>
          <w:rFonts w:cstheme="minorHAnsi"/>
        </w:rPr>
        <w:t xml:space="preserve"> </w:t>
      </w:r>
      <w:r w:rsidRPr="00713993">
        <w:rPr>
          <w:rStyle w:val="FootnoteReference"/>
          <w:rFonts w:cstheme="minorHAnsi"/>
        </w:rPr>
        <w:footnoteReference w:id="24"/>
      </w:r>
      <w:r w:rsidRPr="00713993">
        <w:rPr>
          <w:rFonts w:cstheme="minorHAnsi"/>
        </w:rPr>
        <w:t xml:space="preserve"> He eloquently describes how First Nations art ‘can express complex beliefs, stories, histories, and depictions of places’</w:t>
      </w:r>
      <w:r w:rsidRPr="00713993">
        <w:rPr>
          <w:rStyle w:val="FootnoteReference"/>
          <w:rFonts w:cstheme="minorHAnsi"/>
        </w:rPr>
        <w:footnoteReference w:id="25"/>
      </w:r>
      <w:r w:rsidRPr="00713993">
        <w:rPr>
          <w:rFonts w:cstheme="minorHAnsi"/>
        </w:rPr>
        <w:t xml:space="preserve"> and why, as a nation, Australians should ‘be doing all we can to protect the rights of cultural custodians and knowledge holders’.</w:t>
      </w:r>
      <w:r w:rsidRPr="00713993">
        <w:rPr>
          <w:rStyle w:val="FootnoteReference"/>
          <w:rFonts w:cstheme="minorHAnsi"/>
        </w:rPr>
        <w:footnoteReference w:id="26"/>
      </w:r>
      <w:r w:rsidRPr="00713993">
        <w:rPr>
          <w:rFonts w:cstheme="minorHAnsi"/>
        </w:rPr>
        <w:t xml:space="preserve"> Elsdon believes that new legislation, similar to the </w:t>
      </w:r>
      <w:r w:rsidRPr="00713993">
        <w:rPr>
          <w:rFonts w:cstheme="minorHAnsi"/>
          <w:i/>
          <w:iCs/>
        </w:rPr>
        <w:t>Aboriginal Heritage Act 2006</w:t>
      </w:r>
      <w:r w:rsidRPr="00713993">
        <w:rPr>
          <w:rFonts w:cstheme="minorHAnsi"/>
        </w:rPr>
        <w:t xml:space="preserve"> (Vic), may offer some protection, but only for items which have been registered.</w:t>
      </w:r>
      <w:r w:rsidRPr="00713993">
        <w:rPr>
          <w:rStyle w:val="FootnoteReference"/>
          <w:rFonts w:cstheme="minorHAnsi"/>
        </w:rPr>
        <w:footnoteReference w:id="27"/>
      </w:r>
      <w:r w:rsidRPr="00713993">
        <w:rPr>
          <w:rFonts w:cstheme="minorHAnsi"/>
        </w:rPr>
        <w:t xml:space="preserve"> This would place an additional burden on artists ‘to register their cultural property before it is protected’</w:t>
      </w:r>
      <w:r w:rsidRPr="00713993">
        <w:rPr>
          <w:rStyle w:val="FootnoteReference"/>
          <w:rFonts w:cstheme="minorHAnsi"/>
        </w:rPr>
        <w:footnoteReference w:id="28"/>
      </w:r>
      <w:r w:rsidRPr="00713993">
        <w:rPr>
          <w:rFonts w:cstheme="minorHAnsi"/>
        </w:rPr>
        <w:t xml:space="preserve"> and is therefore not ideal. His suggestion is that ICIP should be automatically protected ‘by virtue of its existence’</w:t>
      </w:r>
      <w:r w:rsidRPr="00713993">
        <w:rPr>
          <w:rStyle w:val="FootnoteReference"/>
          <w:rFonts w:cstheme="minorHAnsi"/>
        </w:rPr>
        <w:footnoteReference w:id="29"/>
      </w:r>
      <w:r w:rsidRPr="00713993">
        <w:rPr>
          <w:rFonts w:cstheme="minorHAnsi"/>
        </w:rPr>
        <w:t xml:space="preserve"> in the same way that copyright protects “works” upon their creation.</w:t>
      </w:r>
      <w:r w:rsidRPr="00713993">
        <w:rPr>
          <w:rStyle w:val="FootnoteReference"/>
          <w:rFonts w:cstheme="minorHAnsi"/>
        </w:rPr>
        <w:footnoteReference w:id="30"/>
      </w:r>
      <w:r w:rsidRPr="00713993">
        <w:rPr>
          <w:rFonts w:cstheme="minorHAnsi"/>
        </w:rPr>
        <w:t xml:space="preserve"> </w:t>
      </w:r>
    </w:p>
    <w:p w14:paraId="2FA96EB9" w14:textId="77777777" w:rsidR="002B0FAC" w:rsidRPr="00713993" w:rsidRDefault="002B0FAC" w:rsidP="00713993">
      <w:pPr>
        <w:pStyle w:val="NoSpacing"/>
        <w:jc w:val="both"/>
        <w:rPr>
          <w:rFonts w:cstheme="minorHAnsi"/>
        </w:rPr>
      </w:pPr>
    </w:p>
    <w:p w14:paraId="1209872D" w14:textId="77777777" w:rsidR="002B0FAC" w:rsidRPr="00713993" w:rsidRDefault="002B0FAC" w:rsidP="00713993">
      <w:pPr>
        <w:pStyle w:val="NoSpacing"/>
        <w:jc w:val="both"/>
        <w:rPr>
          <w:rFonts w:cstheme="minorHAnsi"/>
          <w:bCs/>
        </w:rPr>
      </w:pPr>
      <w:r w:rsidRPr="00713993">
        <w:rPr>
          <w:rFonts w:cstheme="minorHAnsi"/>
        </w:rPr>
        <w:t xml:space="preserve">Some articles have taken this idea one step further and advocate for the creation of </w:t>
      </w:r>
      <w:r w:rsidRPr="00713993">
        <w:rPr>
          <w:rFonts w:cstheme="minorHAnsi"/>
          <w:i/>
          <w:iCs/>
        </w:rPr>
        <w:t>sui generis</w:t>
      </w:r>
      <w:r w:rsidRPr="00713993">
        <w:rPr>
          <w:rStyle w:val="FootnoteReference"/>
          <w:rFonts w:cstheme="minorHAnsi"/>
        </w:rPr>
        <w:footnoteReference w:id="31"/>
      </w:r>
      <w:r w:rsidRPr="00713993">
        <w:rPr>
          <w:rFonts w:cstheme="minorHAnsi"/>
        </w:rPr>
        <w:t xml:space="preserve"> legislation to protect IK and ICIP. In 2015, Natalie Stoianoff and Alpana Roy published an extensive report on the protection IK and ICIP,</w:t>
      </w:r>
      <w:r w:rsidRPr="00713993">
        <w:rPr>
          <w:rStyle w:val="FootnoteReference"/>
          <w:rFonts w:cstheme="minorHAnsi"/>
        </w:rPr>
        <w:t xml:space="preserve"> </w:t>
      </w:r>
      <w:r w:rsidRPr="00713993">
        <w:rPr>
          <w:rStyle w:val="FootnoteReference"/>
          <w:rFonts w:cstheme="minorHAnsi"/>
        </w:rPr>
        <w:footnoteReference w:id="32"/>
      </w:r>
      <w:r w:rsidRPr="00713993">
        <w:rPr>
          <w:rFonts w:cstheme="minorHAnsi"/>
        </w:rPr>
        <w:t xml:space="preserve"> identifying the need for ‘</w:t>
      </w:r>
      <w:r w:rsidRPr="00713993">
        <w:rPr>
          <w:rFonts w:cstheme="minorHAnsi"/>
          <w:bCs/>
        </w:rPr>
        <w:t>stand-alone legislation for the protection of traditional or Indigenous knowledge and/or culture’.</w:t>
      </w:r>
      <w:r w:rsidRPr="00713993">
        <w:rPr>
          <w:rStyle w:val="FootnoteReference"/>
          <w:rFonts w:cstheme="minorHAnsi"/>
        </w:rPr>
        <w:footnoteReference w:id="33"/>
      </w:r>
      <w:r w:rsidRPr="00713993">
        <w:rPr>
          <w:rFonts w:cstheme="minorHAnsi"/>
          <w:bCs/>
        </w:rPr>
        <w:t xml:space="preserve"> Stoianoff and Roy came to this conclusion after the consideration of many different factors, including that ‘Western intellectual property laws’</w:t>
      </w:r>
      <w:r w:rsidRPr="00713993">
        <w:rPr>
          <w:rStyle w:val="FootnoteReference"/>
          <w:rFonts w:cstheme="minorHAnsi"/>
        </w:rPr>
        <w:footnoteReference w:id="34"/>
      </w:r>
      <w:r w:rsidRPr="00713993">
        <w:rPr>
          <w:rFonts w:cstheme="minorHAnsi"/>
          <w:bCs/>
        </w:rPr>
        <w:t xml:space="preserve"> are not able to provide adequate protection of Indigenous culture. One significant reason for this conclusion was that ‘If Indigenous knowledge is considered by an Indigenous community as their common heritage, then conflict may arise if the information is commodified by intellectual property laws’.</w:t>
      </w:r>
      <w:r w:rsidRPr="00713993">
        <w:rPr>
          <w:rStyle w:val="FootnoteReference"/>
          <w:rFonts w:cstheme="minorHAnsi"/>
        </w:rPr>
        <w:footnoteReference w:id="35"/>
      </w:r>
      <w:r w:rsidRPr="00713993">
        <w:rPr>
          <w:rFonts w:cstheme="minorHAnsi"/>
          <w:bCs/>
        </w:rPr>
        <w:t xml:space="preserve"> Therefore, legislation that is carefully worded and crafted with these aspects in mind, would provide the best protection for First Nations artists. </w:t>
      </w:r>
    </w:p>
    <w:p w14:paraId="12938644" w14:textId="77777777" w:rsidR="002B0FAC" w:rsidRPr="00713993" w:rsidRDefault="002B0FAC" w:rsidP="00713993">
      <w:pPr>
        <w:pStyle w:val="NoSpacing"/>
        <w:jc w:val="both"/>
        <w:rPr>
          <w:rFonts w:cstheme="minorHAnsi"/>
          <w:bCs/>
        </w:rPr>
      </w:pPr>
    </w:p>
    <w:p w14:paraId="4092AC08" w14:textId="3E1C872B" w:rsidR="002B0FAC" w:rsidRPr="00713993" w:rsidRDefault="002B0FAC" w:rsidP="00713993">
      <w:pPr>
        <w:pStyle w:val="NoSpacing"/>
        <w:jc w:val="both"/>
        <w:rPr>
          <w:rFonts w:cstheme="minorHAnsi"/>
        </w:rPr>
      </w:pPr>
      <w:r w:rsidRPr="00713993">
        <w:rPr>
          <w:rFonts w:cstheme="minorHAnsi"/>
        </w:rPr>
        <w:t xml:space="preserve">These sentiments were echoed last year in an article by </w:t>
      </w:r>
      <w:r w:rsidRPr="00713993">
        <w:rPr>
          <w:rFonts w:cstheme="minorHAnsi"/>
          <w:bCs/>
        </w:rPr>
        <w:t>Stephanie Parkin and Dr Kylie Pappalardo,</w:t>
      </w:r>
      <w:r w:rsidRPr="00713993">
        <w:rPr>
          <w:rStyle w:val="FootnoteReference"/>
          <w:rFonts w:cstheme="minorHAnsi"/>
        </w:rPr>
        <w:footnoteReference w:id="36"/>
      </w:r>
      <w:r w:rsidRPr="00713993">
        <w:rPr>
          <w:rFonts w:cstheme="minorHAnsi"/>
          <w:bCs/>
        </w:rPr>
        <w:t xml:space="preserve"> who believe that ‘a comprehensive, standalone legislative framework to protect Indigenous cultural expression in Australia’</w:t>
      </w:r>
      <w:r w:rsidRPr="00713993">
        <w:rPr>
          <w:rStyle w:val="FootnoteReference"/>
          <w:rFonts w:cstheme="minorHAnsi"/>
        </w:rPr>
        <w:footnoteReference w:id="37"/>
      </w:r>
      <w:r w:rsidRPr="00713993">
        <w:rPr>
          <w:rFonts w:cstheme="minorHAnsi"/>
          <w:bCs/>
        </w:rPr>
        <w:t xml:space="preserve"> is the best solution to prevent further exploitation and the harms that are ‘</w:t>
      </w:r>
      <w:r w:rsidRPr="00713993">
        <w:rPr>
          <w:rFonts w:cstheme="minorHAnsi"/>
        </w:rPr>
        <w:t>multifaceted and include emotional and spiritual impacts’.</w:t>
      </w:r>
      <w:r w:rsidRPr="00713993">
        <w:rPr>
          <w:rStyle w:val="FootnoteReference"/>
          <w:rFonts w:cstheme="minorHAnsi"/>
        </w:rPr>
        <w:footnoteReference w:id="38"/>
      </w:r>
      <w:r w:rsidRPr="00713993">
        <w:rPr>
          <w:rFonts w:cstheme="minorHAnsi"/>
        </w:rPr>
        <w:t xml:space="preserve"> However, as identified by Terri Janke and Company, ‘the difficulty with this option is that new laws take time and require significant political will and support.’</w:t>
      </w:r>
      <w:r w:rsidRPr="00713993">
        <w:rPr>
          <w:rStyle w:val="FootnoteReference"/>
          <w:rFonts w:cstheme="minorHAnsi"/>
        </w:rPr>
        <w:footnoteReference w:id="39"/>
      </w:r>
      <w:r w:rsidRPr="00713993">
        <w:rPr>
          <w:rFonts w:cstheme="minorHAnsi"/>
        </w:rPr>
        <w:t xml:space="preserve"> </w:t>
      </w:r>
    </w:p>
    <w:p w14:paraId="30DF1A23" w14:textId="3B2CBB22" w:rsidR="002B0FAC" w:rsidRPr="00713993" w:rsidRDefault="002B0FAC" w:rsidP="00713993">
      <w:pPr>
        <w:pStyle w:val="NoSpacing"/>
        <w:jc w:val="both"/>
        <w:rPr>
          <w:rFonts w:cstheme="minorHAnsi"/>
        </w:rPr>
      </w:pPr>
    </w:p>
    <w:p w14:paraId="2D3693B4" w14:textId="3B561D01" w:rsidR="003C435E" w:rsidRPr="00713993" w:rsidRDefault="00AA3B3B" w:rsidP="00713993">
      <w:pPr>
        <w:pStyle w:val="NoSpacing"/>
        <w:jc w:val="both"/>
        <w:rPr>
          <w:rFonts w:cstheme="minorHAnsi"/>
        </w:rPr>
      </w:pPr>
      <w:r w:rsidRPr="00713993">
        <w:rPr>
          <w:rFonts w:cstheme="minorHAnsi"/>
        </w:rPr>
        <w:t>In December 2018, the House of Representatives Standing Committee on Indigenous Affairs tabled a report on the impact of inauthentic art and craft in the style of First Nations peoples (‘the 2018 Report’).</w:t>
      </w:r>
      <w:r w:rsidRPr="00713993">
        <w:rPr>
          <w:rStyle w:val="FootnoteReference"/>
          <w:rFonts w:cstheme="minorHAnsi"/>
          <w:color w:val="201F1E"/>
        </w:rPr>
        <w:footnoteReference w:id="40"/>
      </w:r>
      <w:r w:rsidRPr="00713993">
        <w:rPr>
          <w:rFonts w:cstheme="minorHAnsi"/>
        </w:rPr>
        <w:t xml:space="preserve"> Recommendation 8 of the 2018 Report was that the Federal Government should begin ‘a </w:t>
      </w:r>
      <w:r w:rsidRPr="00713993">
        <w:rPr>
          <w:rFonts w:cstheme="minorHAnsi"/>
        </w:rPr>
        <w:lastRenderedPageBreak/>
        <w:t>consultation process to develop stand-alone legislation protecting Indigenous Cultural</w:t>
      </w:r>
      <w:r w:rsidR="007A3791" w:rsidRPr="00713993">
        <w:rPr>
          <w:rFonts w:cstheme="minorHAnsi"/>
        </w:rPr>
        <w:t xml:space="preserve"> </w:t>
      </w:r>
      <w:r w:rsidRPr="00713993">
        <w:rPr>
          <w:rFonts w:cstheme="minorHAnsi"/>
        </w:rPr>
        <w:t>Intellectual Property, including traditional knowledge and cultural expressions’.</w:t>
      </w:r>
      <w:r w:rsidRPr="00713993">
        <w:rPr>
          <w:rStyle w:val="FootnoteReference"/>
          <w:rFonts w:cstheme="minorHAnsi"/>
        </w:rPr>
        <w:footnoteReference w:id="41"/>
      </w:r>
      <w:r w:rsidRPr="00713993">
        <w:rPr>
          <w:rFonts w:cstheme="minorHAnsi"/>
        </w:rPr>
        <w:t xml:space="preserve"> </w:t>
      </w:r>
      <w:r w:rsidR="003C435E" w:rsidRPr="00713993">
        <w:rPr>
          <w:rFonts w:cstheme="minorHAnsi"/>
        </w:rPr>
        <w:t>The Committee noted that while ‘introducing stand-alone legislation…is a complex task that is not likely to be achieved in the short term’</w:t>
      </w:r>
      <w:r w:rsidR="00D80620">
        <w:rPr>
          <w:rFonts w:cstheme="minorHAnsi"/>
        </w:rPr>
        <w:t>,</w:t>
      </w:r>
      <w:r w:rsidR="003C435E" w:rsidRPr="00713993">
        <w:rPr>
          <w:rFonts w:cstheme="minorHAnsi"/>
        </w:rPr>
        <w:t xml:space="preserve"> that it ‘is achievable and should be considered’.</w:t>
      </w:r>
      <w:r w:rsidR="003C435E" w:rsidRPr="00713993">
        <w:rPr>
          <w:rStyle w:val="FootnoteReference"/>
          <w:rFonts w:cstheme="minorHAnsi"/>
        </w:rPr>
        <w:footnoteReference w:id="42"/>
      </w:r>
    </w:p>
    <w:p w14:paraId="5590E586" w14:textId="2B0A73FD" w:rsidR="003C435E" w:rsidRPr="00713993" w:rsidRDefault="003C435E" w:rsidP="00713993">
      <w:pPr>
        <w:pStyle w:val="NoSpacing"/>
        <w:jc w:val="both"/>
        <w:rPr>
          <w:rFonts w:cstheme="minorHAnsi"/>
        </w:rPr>
      </w:pPr>
    </w:p>
    <w:p w14:paraId="41ACB2EA" w14:textId="44DE20BB" w:rsidR="00AA3B3B" w:rsidRPr="00713993" w:rsidRDefault="003C435E" w:rsidP="00713993">
      <w:pPr>
        <w:pStyle w:val="NoSpacing"/>
        <w:jc w:val="both"/>
        <w:rPr>
          <w:rFonts w:cstheme="minorHAnsi"/>
        </w:rPr>
      </w:pPr>
      <w:r w:rsidRPr="00713993">
        <w:rPr>
          <w:rFonts w:cstheme="minorHAnsi"/>
        </w:rPr>
        <w:t>T</w:t>
      </w:r>
      <w:r w:rsidR="00AA3B3B" w:rsidRPr="00713993">
        <w:rPr>
          <w:rFonts w:cstheme="minorHAnsi"/>
        </w:rPr>
        <w:t>he idea to create a new, specific legislation is not a new concept. In 1974, the Commonwealth government formed a working party to investigate the different ways in which aboriginal folklore could be protected.</w:t>
      </w:r>
      <w:r w:rsidR="00AA3B3B" w:rsidRPr="00713993">
        <w:rPr>
          <w:rStyle w:val="FootnoteReference"/>
          <w:rFonts w:cstheme="minorHAnsi"/>
        </w:rPr>
        <w:footnoteReference w:id="43"/>
      </w:r>
      <w:r w:rsidR="00AA3B3B" w:rsidRPr="00713993">
        <w:rPr>
          <w:rFonts w:cstheme="minorHAnsi"/>
        </w:rPr>
        <w:t xml:space="preserve"> The working party published their findings in 1981 and ‘noted the inadequacies of the Copyright Act, but rather than recommending an amendment of the statute, it advocated the enactment of sui generis legislation to address the deficiencies’.</w:t>
      </w:r>
      <w:r w:rsidR="00AA3B3B" w:rsidRPr="00713993">
        <w:rPr>
          <w:rStyle w:val="FootnoteReference"/>
          <w:rFonts w:cstheme="minorHAnsi"/>
        </w:rPr>
        <w:footnoteReference w:id="44"/>
      </w:r>
      <w:r w:rsidR="00AA3B3B" w:rsidRPr="00713993">
        <w:rPr>
          <w:rFonts w:cstheme="minorHAnsi"/>
          <w:vertAlign w:val="superscript"/>
        </w:rPr>
        <w:t xml:space="preserve"> </w:t>
      </w:r>
      <w:r w:rsidR="00AA3B3B" w:rsidRPr="00713993">
        <w:rPr>
          <w:rFonts w:cstheme="minorHAnsi"/>
        </w:rPr>
        <w:t>This did not occur.</w:t>
      </w:r>
      <w:r w:rsidR="007A3791" w:rsidRPr="00713993">
        <w:rPr>
          <w:rFonts w:cstheme="minorHAnsi"/>
        </w:rPr>
        <w:t xml:space="preserve"> Other past attempts to introduce new legislation, or amend existing legislation include the </w:t>
      </w:r>
      <w:r w:rsidR="007A3791" w:rsidRPr="00713993">
        <w:rPr>
          <w:rFonts w:cstheme="minorHAnsi"/>
          <w:i/>
          <w:iCs/>
        </w:rPr>
        <w:t>Copyright Amendment (Indigenous Communal Moral Rights) Bill 2003</w:t>
      </w:r>
      <w:r w:rsidR="007A3791" w:rsidRPr="00713993">
        <w:rPr>
          <w:rFonts w:cstheme="minorHAnsi"/>
        </w:rPr>
        <w:t xml:space="preserve"> (Cth) and the National Indigenous Arts Advocacy Association ('NIAAA') 'Label of Authenticity' (authenticity marks were registered under the </w:t>
      </w:r>
      <w:r w:rsidR="007A3791" w:rsidRPr="00713993">
        <w:rPr>
          <w:rFonts w:cstheme="minorHAnsi"/>
          <w:i/>
          <w:iCs/>
        </w:rPr>
        <w:t>Trade Marks Act 1995</w:t>
      </w:r>
      <w:r w:rsidR="007A3791" w:rsidRPr="00713993">
        <w:rPr>
          <w:rFonts w:cstheme="minorHAnsi"/>
        </w:rPr>
        <w:t xml:space="preserve"> (Cth)).</w:t>
      </w:r>
    </w:p>
    <w:p w14:paraId="4FFFA2F2" w14:textId="1D1B0F48" w:rsidR="002B0FAC" w:rsidRPr="00713993" w:rsidRDefault="002B0FAC" w:rsidP="00713993">
      <w:pPr>
        <w:pStyle w:val="NoSpacing"/>
        <w:jc w:val="both"/>
        <w:rPr>
          <w:rFonts w:cstheme="minorHAnsi"/>
        </w:rPr>
      </w:pPr>
    </w:p>
    <w:p w14:paraId="11A62BAD" w14:textId="5194778F" w:rsidR="006F48AE" w:rsidRPr="00713993" w:rsidRDefault="006F48AE" w:rsidP="00713993">
      <w:pPr>
        <w:pStyle w:val="NoSpacing"/>
        <w:jc w:val="both"/>
        <w:rPr>
          <w:rStyle w:val="SubtleEmphasis"/>
          <w:rFonts w:cstheme="minorHAnsi"/>
          <w:color w:val="auto"/>
        </w:rPr>
      </w:pPr>
      <w:r w:rsidRPr="00713993">
        <w:rPr>
          <w:rStyle w:val="SubtleEmphasis"/>
          <w:rFonts w:cstheme="minorHAnsi"/>
          <w:color w:val="auto"/>
        </w:rPr>
        <w:t xml:space="preserve">Other countries </w:t>
      </w:r>
    </w:p>
    <w:p w14:paraId="797C279B" w14:textId="428DAD90" w:rsidR="006F48AE" w:rsidRPr="00713993" w:rsidRDefault="006F48AE" w:rsidP="00713993">
      <w:pPr>
        <w:pStyle w:val="NoSpacing"/>
        <w:jc w:val="both"/>
        <w:rPr>
          <w:rFonts w:cstheme="minorHAnsi"/>
          <w:u w:val="single"/>
        </w:rPr>
      </w:pPr>
      <w:r w:rsidRPr="00713993">
        <w:rPr>
          <w:rFonts w:cstheme="minorHAnsi"/>
          <w:u w:val="single"/>
        </w:rPr>
        <w:t>What can we learn from other countries’ efforts to protect First Nations people’s legal rights over their arts and cultures?</w:t>
      </w:r>
    </w:p>
    <w:p w14:paraId="2D417D0C" w14:textId="670B5541" w:rsidR="00956489" w:rsidRPr="00713993" w:rsidRDefault="0080200E" w:rsidP="00713993">
      <w:pPr>
        <w:pStyle w:val="NoSpacing"/>
        <w:jc w:val="both"/>
        <w:rPr>
          <w:rFonts w:cstheme="minorHAnsi"/>
        </w:rPr>
      </w:pPr>
      <w:r w:rsidRPr="00713993">
        <w:rPr>
          <w:rFonts w:cstheme="minorHAnsi"/>
        </w:rPr>
        <w:t>The Nagoya Protocol on Access to Genetic Resources and the Fair and Equitable Sharing of Benefits Arising from their Utilization to the Convention on Biological Diversity 2010 (the ‘Protocol’)</w:t>
      </w:r>
      <w:r w:rsidR="00856A46" w:rsidRPr="00713993">
        <w:rPr>
          <w:rFonts w:cstheme="minorHAnsi"/>
        </w:rPr>
        <w:t>, specifically Article 13, ‘sets out criteria for the establishment of what is termed a “Competent Authority”…to ensure that Indigenous communities are properly consulted and can provide free, prior and informed consent when their traditional knowledge is accessed’.</w:t>
      </w:r>
      <w:r w:rsidR="00856A46" w:rsidRPr="00713993">
        <w:rPr>
          <w:rStyle w:val="FootnoteReference"/>
          <w:rFonts w:cstheme="minorHAnsi"/>
        </w:rPr>
        <w:footnoteReference w:id="45"/>
      </w:r>
      <w:r w:rsidR="00856A46" w:rsidRPr="00713993">
        <w:rPr>
          <w:rFonts w:cstheme="minorHAnsi"/>
        </w:rPr>
        <w:t xml:space="preserve"> However, for such a program to work within Australia, ‘its design, development and operation must incorporate participation from Indigenous Australians’.</w:t>
      </w:r>
      <w:r w:rsidR="00856A46" w:rsidRPr="00713993">
        <w:rPr>
          <w:rStyle w:val="FootnoteReference"/>
          <w:rFonts w:cstheme="minorHAnsi"/>
        </w:rPr>
        <w:footnoteReference w:id="46"/>
      </w:r>
      <w:r w:rsidR="00856A46" w:rsidRPr="00713993">
        <w:rPr>
          <w:rFonts w:cstheme="minorHAnsi"/>
        </w:rPr>
        <w:t xml:space="preserve"> </w:t>
      </w:r>
    </w:p>
    <w:p w14:paraId="38D27C59" w14:textId="2642689D" w:rsidR="00856A46" w:rsidRPr="00713993" w:rsidRDefault="00856A46" w:rsidP="00713993">
      <w:pPr>
        <w:pStyle w:val="NoSpacing"/>
        <w:jc w:val="both"/>
        <w:rPr>
          <w:rFonts w:cstheme="minorHAnsi"/>
        </w:rPr>
      </w:pPr>
    </w:p>
    <w:p w14:paraId="5CB41218" w14:textId="14964787" w:rsidR="00BF5B95" w:rsidRPr="00713993" w:rsidRDefault="00BF5B95" w:rsidP="00713993">
      <w:pPr>
        <w:pStyle w:val="NoSpacing"/>
        <w:jc w:val="both"/>
        <w:rPr>
          <w:rFonts w:cstheme="minorHAnsi"/>
        </w:rPr>
      </w:pPr>
      <w:r w:rsidRPr="00713993">
        <w:rPr>
          <w:rFonts w:cstheme="minorHAnsi"/>
        </w:rPr>
        <w:t>In order for the Protocol to function, signatories need to create at least one Competent Authority ‘to govern and administer a legal framework…responsible for granting access or providing evidence that access requirements have been complied with’.</w:t>
      </w:r>
      <w:r w:rsidRPr="00713993">
        <w:rPr>
          <w:rStyle w:val="FootnoteReference"/>
          <w:rFonts w:cstheme="minorHAnsi"/>
        </w:rPr>
        <w:footnoteReference w:id="47"/>
      </w:r>
      <w:r w:rsidRPr="00713993">
        <w:rPr>
          <w:rFonts w:cstheme="minorHAnsi"/>
        </w:rPr>
        <w:t xml:space="preserve"> Unfortunately, ‘the Australian federal government has not established a Competent Authority and has treated its obligations</w:t>
      </w:r>
      <w:r w:rsidR="00585C5E" w:rsidRPr="00713993">
        <w:rPr>
          <w:rFonts w:cstheme="minorHAnsi"/>
        </w:rPr>
        <w:t>…</w:t>
      </w:r>
      <w:r w:rsidRPr="00713993">
        <w:rPr>
          <w:rFonts w:cstheme="minorHAnsi"/>
        </w:rPr>
        <w:t>as being met through environmental protection and biodiversity conservation systems already in place’.</w:t>
      </w:r>
      <w:r w:rsidRPr="00713993">
        <w:rPr>
          <w:rStyle w:val="FootnoteReference"/>
          <w:rFonts w:cstheme="minorHAnsi"/>
        </w:rPr>
        <w:footnoteReference w:id="48"/>
      </w:r>
      <w:r w:rsidR="0052167B" w:rsidRPr="00713993">
        <w:rPr>
          <w:rFonts w:cstheme="minorHAnsi"/>
        </w:rPr>
        <w:t xml:space="preserve"> </w:t>
      </w:r>
    </w:p>
    <w:p w14:paraId="5EDC4644" w14:textId="77777777" w:rsidR="00856A46" w:rsidRPr="00713993" w:rsidRDefault="00856A46" w:rsidP="00713993">
      <w:pPr>
        <w:pStyle w:val="NoSpacing"/>
        <w:jc w:val="both"/>
        <w:rPr>
          <w:rFonts w:cstheme="minorHAnsi"/>
        </w:rPr>
      </w:pPr>
    </w:p>
    <w:p w14:paraId="3C79E74D" w14:textId="677A5C74" w:rsidR="00D57BA6" w:rsidRPr="00713993" w:rsidRDefault="00CF3F32" w:rsidP="00713993">
      <w:pPr>
        <w:pStyle w:val="NoSpacing"/>
        <w:jc w:val="both"/>
        <w:rPr>
          <w:rFonts w:cstheme="minorHAnsi"/>
        </w:rPr>
      </w:pPr>
      <w:r w:rsidRPr="00713993">
        <w:rPr>
          <w:rFonts w:cstheme="minorHAnsi"/>
        </w:rPr>
        <w:t>The Garuwanga Project</w:t>
      </w:r>
      <w:r w:rsidRPr="00713993">
        <w:rPr>
          <w:rStyle w:val="FootnoteReference"/>
          <w:rFonts w:cstheme="minorHAnsi"/>
        </w:rPr>
        <w:footnoteReference w:id="49"/>
      </w:r>
      <w:r w:rsidRPr="00713993">
        <w:rPr>
          <w:rFonts w:cstheme="minorHAnsi"/>
        </w:rPr>
        <w:t xml:space="preserve"> was </w:t>
      </w:r>
      <w:r w:rsidR="00C03ADD">
        <w:rPr>
          <w:rFonts w:cstheme="minorHAnsi"/>
        </w:rPr>
        <w:t xml:space="preserve">a </w:t>
      </w:r>
      <w:r w:rsidRPr="00713993">
        <w:rPr>
          <w:rFonts w:cstheme="minorHAnsi"/>
        </w:rPr>
        <w:t>comparative study conducted by Evana Wright, Natalie Stoianoff and Fiona Martin, which examined the relevant laws from 69 different countries with a focus on legislation which contains provisions for the protection of traditional knowledge.</w:t>
      </w:r>
      <w:r w:rsidRPr="00713993">
        <w:rPr>
          <w:rStyle w:val="FootnoteReference"/>
          <w:rFonts w:cstheme="minorHAnsi"/>
        </w:rPr>
        <w:footnoteReference w:id="50"/>
      </w:r>
      <w:r w:rsidR="009565D0" w:rsidRPr="00713993">
        <w:rPr>
          <w:rFonts w:cstheme="minorHAnsi"/>
        </w:rPr>
        <w:t xml:space="preserve"> Of the 69 countries, only 20 had laws </w:t>
      </w:r>
      <w:r w:rsidR="00B966D3" w:rsidRPr="00713993">
        <w:rPr>
          <w:rFonts w:cstheme="minorHAnsi"/>
        </w:rPr>
        <w:t>‘relating to access and benefit sharing and a form of a Competent Authority’.</w:t>
      </w:r>
      <w:r w:rsidR="00B966D3" w:rsidRPr="00713993">
        <w:rPr>
          <w:rStyle w:val="FootnoteReference"/>
          <w:rFonts w:cstheme="minorHAnsi"/>
        </w:rPr>
        <w:footnoteReference w:id="51"/>
      </w:r>
      <w:r w:rsidR="00B966D3" w:rsidRPr="00713993">
        <w:rPr>
          <w:rFonts w:cstheme="minorHAnsi"/>
        </w:rPr>
        <w:t xml:space="preserve"> However, of those 20, only two had formed a Competent Authority that was independent of a government department or ministry; Cook Islands and Vanuatu.</w:t>
      </w:r>
      <w:r w:rsidR="00B966D3" w:rsidRPr="00713993">
        <w:rPr>
          <w:rStyle w:val="FootnoteReference"/>
          <w:rFonts w:cstheme="minorHAnsi"/>
        </w:rPr>
        <w:footnoteReference w:id="52"/>
      </w:r>
      <w:r w:rsidR="00B966D3" w:rsidRPr="00713993">
        <w:rPr>
          <w:rFonts w:cstheme="minorHAnsi"/>
        </w:rPr>
        <w:t xml:space="preserve"> </w:t>
      </w:r>
      <w:r w:rsidR="00D57BA6" w:rsidRPr="00713993">
        <w:rPr>
          <w:rFonts w:cstheme="minorHAnsi"/>
        </w:rPr>
        <w:t xml:space="preserve">These nations ‘have made significant attempts </w:t>
      </w:r>
      <w:r w:rsidR="00D57BA6" w:rsidRPr="00713993">
        <w:rPr>
          <w:rFonts w:cstheme="minorHAnsi"/>
        </w:rPr>
        <w:lastRenderedPageBreak/>
        <w:t>to incorporate traditional community involvement in the decision-making process for protection of traditional knowledge’.</w:t>
      </w:r>
      <w:r w:rsidR="00D57BA6" w:rsidRPr="00713993">
        <w:rPr>
          <w:rStyle w:val="FootnoteReference"/>
          <w:rFonts w:cstheme="minorHAnsi"/>
        </w:rPr>
        <w:footnoteReference w:id="53"/>
      </w:r>
      <w:r w:rsidR="00D57BA6" w:rsidRPr="00713993">
        <w:rPr>
          <w:rFonts w:cstheme="minorHAnsi"/>
        </w:rPr>
        <w:t xml:space="preserve"> </w:t>
      </w:r>
    </w:p>
    <w:p w14:paraId="3720629B" w14:textId="2BAB52DC" w:rsidR="007B1387" w:rsidRPr="00713993" w:rsidRDefault="007B1387" w:rsidP="00713993">
      <w:pPr>
        <w:pStyle w:val="NoSpacing"/>
        <w:jc w:val="both"/>
        <w:rPr>
          <w:rFonts w:cstheme="minorHAnsi"/>
        </w:rPr>
      </w:pPr>
    </w:p>
    <w:p w14:paraId="2452E1F0" w14:textId="5A13A84C" w:rsidR="007B1387" w:rsidRPr="00713993" w:rsidRDefault="007B1387" w:rsidP="00713993">
      <w:pPr>
        <w:pStyle w:val="NoSpacing"/>
        <w:jc w:val="both"/>
        <w:rPr>
          <w:rFonts w:cstheme="minorHAnsi"/>
        </w:rPr>
      </w:pPr>
      <w:r w:rsidRPr="00713993">
        <w:rPr>
          <w:rFonts w:cstheme="minorHAnsi"/>
        </w:rPr>
        <w:t>In the Cook Islands, they have introduced legislation which ‘provides legal recognition of the rights in traditional knowledge of its traditional communities’.</w:t>
      </w:r>
      <w:r w:rsidRPr="00713993">
        <w:rPr>
          <w:rStyle w:val="FootnoteReference"/>
          <w:rFonts w:cstheme="minorHAnsi"/>
        </w:rPr>
        <w:footnoteReference w:id="54"/>
      </w:r>
      <w:r w:rsidRPr="00713993">
        <w:rPr>
          <w:rFonts w:cstheme="minorHAnsi"/>
        </w:rPr>
        <w:t xml:space="preserve"> The </w:t>
      </w:r>
      <w:r w:rsidRPr="00713993">
        <w:rPr>
          <w:rFonts w:cstheme="minorHAnsi"/>
          <w:i/>
          <w:iCs/>
        </w:rPr>
        <w:t>Traditional Knowledge Act 2013</w:t>
      </w:r>
      <w:r w:rsidR="00EB4577" w:rsidRPr="00713993">
        <w:rPr>
          <w:rFonts w:cstheme="minorHAnsi"/>
        </w:rPr>
        <w:t xml:space="preserve"> ‘applies to all traditional knowledge, whether it existed before the commencement of this Act or was created, developed, inspired, or adapted later’.</w:t>
      </w:r>
      <w:r w:rsidR="00EB4577" w:rsidRPr="00713993">
        <w:rPr>
          <w:rStyle w:val="FootnoteReference"/>
          <w:rFonts w:cstheme="minorHAnsi"/>
        </w:rPr>
        <w:footnoteReference w:id="55"/>
      </w:r>
      <w:r w:rsidR="00EB4577" w:rsidRPr="00713993">
        <w:rPr>
          <w:rFonts w:cstheme="minorHAnsi"/>
        </w:rPr>
        <w:t xml:space="preserve"> </w:t>
      </w:r>
      <w:r w:rsidR="0046360D" w:rsidRPr="00713993">
        <w:rPr>
          <w:rFonts w:cstheme="minorHAnsi"/>
        </w:rPr>
        <w:t xml:space="preserve">In Vanuatu, a National Cultural Council has been formed in accordance with the </w:t>
      </w:r>
      <w:r w:rsidR="0046360D" w:rsidRPr="00713993">
        <w:rPr>
          <w:rFonts w:cstheme="minorHAnsi"/>
          <w:i/>
          <w:iCs/>
        </w:rPr>
        <w:t>Vanuatu National Cultural Council Act 2006</w:t>
      </w:r>
      <w:r w:rsidR="0046360D" w:rsidRPr="00713993">
        <w:rPr>
          <w:rFonts w:cstheme="minorHAnsi"/>
        </w:rPr>
        <w:t>.</w:t>
      </w:r>
      <w:r w:rsidR="0046360D" w:rsidRPr="00713993">
        <w:rPr>
          <w:rStyle w:val="FootnoteReference"/>
          <w:rFonts w:cstheme="minorHAnsi"/>
        </w:rPr>
        <w:footnoteReference w:id="56"/>
      </w:r>
      <w:r w:rsidR="0046360D" w:rsidRPr="00713993">
        <w:rPr>
          <w:rFonts w:cstheme="minorHAnsi"/>
        </w:rPr>
        <w:t xml:space="preserve"> </w:t>
      </w:r>
      <w:r w:rsidR="009D6FFD" w:rsidRPr="00713993">
        <w:rPr>
          <w:rFonts w:cstheme="minorHAnsi"/>
        </w:rPr>
        <w:t xml:space="preserve">There are also a number of provisions in their existing IP legislation which protects IK and ICIP, including vesting power in ‘the National Cultural Council to institute proceedings, at </w:t>
      </w:r>
      <w:r w:rsidR="009D6FFD" w:rsidRPr="009D6FFD">
        <w:rPr>
          <w:rFonts w:cstheme="minorHAnsi"/>
        </w:rPr>
        <w:t>the request and on behalf of customary owners of</w:t>
      </w:r>
      <w:r w:rsidR="009D6FFD" w:rsidRPr="00713993">
        <w:rPr>
          <w:rFonts w:cstheme="minorHAnsi"/>
        </w:rPr>
        <w:t xml:space="preserve"> expression in cases of alleged infringement’.</w:t>
      </w:r>
      <w:r w:rsidR="009D6FFD" w:rsidRPr="00713993">
        <w:rPr>
          <w:rStyle w:val="FootnoteReference"/>
          <w:rFonts w:cstheme="minorHAnsi"/>
        </w:rPr>
        <w:footnoteReference w:id="57"/>
      </w:r>
    </w:p>
    <w:p w14:paraId="4CD78D0B" w14:textId="77777777" w:rsidR="007B1387" w:rsidRPr="00713993" w:rsidRDefault="007B1387" w:rsidP="00713993">
      <w:pPr>
        <w:pStyle w:val="NoSpacing"/>
        <w:jc w:val="both"/>
        <w:rPr>
          <w:rFonts w:cstheme="minorHAnsi"/>
        </w:rPr>
      </w:pPr>
    </w:p>
    <w:p w14:paraId="083C805B" w14:textId="136B21C7" w:rsidR="006F48AE" w:rsidRPr="00713993" w:rsidRDefault="006611EE" w:rsidP="00713993">
      <w:pPr>
        <w:pStyle w:val="NoSpacing"/>
        <w:jc w:val="both"/>
        <w:rPr>
          <w:rFonts w:cstheme="minorHAnsi"/>
        </w:rPr>
      </w:pPr>
      <w:r w:rsidRPr="00713993">
        <w:rPr>
          <w:rFonts w:cstheme="minorHAnsi"/>
          <w:bCs/>
        </w:rPr>
        <w:t xml:space="preserve">The study also recognised countries </w:t>
      </w:r>
      <w:r w:rsidR="00C543C3" w:rsidRPr="00713993">
        <w:rPr>
          <w:rFonts w:cstheme="minorHAnsi"/>
          <w:bCs/>
        </w:rPr>
        <w:t xml:space="preserve">where there was ‘some </w:t>
      </w:r>
      <w:r w:rsidR="00C543C3" w:rsidRPr="00713993">
        <w:rPr>
          <w:rFonts w:cstheme="minorHAnsi"/>
        </w:rPr>
        <w:t>Indigenous and local community participation in the Competent Authority’.</w:t>
      </w:r>
      <w:r w:rsidR="00C543C3" w:rsidRPr="00713993">
        <w:rPr>
          <w:rStyle w:val="FootnoteReference"/>
          <w:rFonts w:cstheme="minorHAnsi"/>
        </w:rPr>
        <w:footnoteReference w:id="58"/>
      </w:r>
      <w:r w:rsidR="00C543C3" w:rsidRPr="00713993">
        <w:rPr>
          <w:rFonts w:cstheme="minorHAnsi"/>
        </w:rPr>
        <w:t xml:space="preserve"> One such country is Brazil, where the Competent Authority is comprised of 20 people, nine of which are from “civil society”</w:t>
      </w:r>
      <w:r w:rsidR="004B7AD8" w:rsidRPr="00713993">
        <w:rPr>
          <w:rFonts w:cstheme="minorHAnsi"/>
        </w:rPr>
        <w:t xml:space="preserve"> and include </w:t>
      </w:r>
      <w:r w:rsidR="001469CA" w:rsidRPr="00713993">
        <w:rPr>
          <w:rFonts w:cstheme="minorHAnsi"/>
        </w:rPr>
        <w:t>‘entities and organisations representing indigenous peoples, traditional communities and traditional farmers’.</w:t>
      </w:r>
      <w:r w:rsidR="006C7A10" w:rsidRPr="00713993">
        <w:rPr>
          <w:rStyle w:val="FootnoteReference"/>
          <w:rFonts w:cstheme="minorHAnsi"/>
        </w:rPr>
        <w:footnoteReference w:id="59"/>
      </w:r>
      <w:r w:rsidR="004B7AD8" w:rsidRPr="00713993">
        <w:rPr>
          <w:rFonts w:cstheme="minorHAnsi"/>
        </w:rPr>
        <w:t xml:space="preserve"> </w:t>
      </w:r>
      <w:r w:rsidR="001469CA" w:rsidRPr="00713993">
        <w:rPr>
          <w:rFonts w:cstheme="minorHAnsi"/>
        </w:rPr>
        <w:t>This speaks volumes of a country attempting to work with its indigenous community on the preservation of IK and ICIP, even though they only make up 0.4% of the Brazilian population.</w:t>
      </w:r>
      <w:r w:rsidR="001469CA" w:rsidRPr="00713993">
        <w:rPr>
          <w:rStyle w:val="FootnoteReference"/>
          <w:rFonts w:cstheme="minorHAnsi"/>
        </w:rPr>
        <w:footnoteReference w:id="60"/>
      </w:r>
      <w:r w:rsidR="001469CA" w:rsidRPr="00713993">
        <w:rPr>
          <w:rFonts w:cstheme="minorHAnsi"/>
        </w:rPr>
        <w:t xml:space="preserve"> </w:t>
      </w:r>
    </w:p>
    <w:p w14:paraId="6A44A91B" w14:textId="77777777" w:rsidR="006A4475" w:rsidRPr="00713993" w:rsidRDefault="006A4475" w:rsidP="00713993">
      <w:pPr>
        <w:pStyle w:val="NoSpacing"/>
        <w:jc w:val="both"/>
        <w:rPr>
          <w:rFonts w:cstheme="minorHAnsi"/>
        </w:rPr>
      </w:pPr>
    </w:p>
    <w:p w14:paraId="2E50103E" w14:textId="508BE0BB" w:rsidR="00FC5462" w:rsidRPr="00713993" w:rsidRDefault="00FC5462" w:rsidP="00713993">
      <w:pPr>
        <w:pStyle w:val="NoSpacing"/>
        <w:jc w:val="both"/>
        <w:rPr>
          <w:rFonts w:cstheme="minorHAnsi"/>
        </w:rPr>
      </w:pPr>
    </w:p>
    <w:p w14:paraId="62B4C233" w14:textId="6D9D6259" w:rsidR="006611EE" w:rsidRPr="00021410" w:rsidRDefault="00DB7EAB" w:rsidP="00713993">
      <w:pPr>
        <w:pStyle w:val="NoSpacing"/>
        <w:jc w:val="both"/>
        <w:rPr>
          <w:rFonts w:cstheme="minorHAnsi"/>
          <w:b/>
          <w:bCs/>
          <w:smallCaps/>
        </w:rPr>
      </w:pPr>
      <w:bookmarkStart w:id="3" w:name="_Hlk77191894"/>
      <w:bookmarkEnd w:id="3"/>
      <w:r w:rsidRPr="00021410">
        <w:rPr>
          <w:rFonts w:cstheme="minorHAnsi"/>
          <w:b/>
          <w:bCs/>
          <w:smallCaps/>
        </w:rPr>
        <w:t xml:space="preserve">Acknowledgement and appreciation </w:t>
      </w:r>
    </w:p>
    <w:p w14:paraId="3A2C4312" w14:textId="41DD7D02" w:rsidR="00DB7EAB" w:rsidRPr="00020203" w:rsidRDefault="00DB7EAB" w:rsidP="00DB7EAB">
      <w:pPr>
        <w:pStyle w:val="NoSpacing"/>
        <w:jc w:val="both"/>
        <w:rPr>
          <w:rFonts w:cstheme="minorHAnsi"/>
        </w:rPr>
      </w:pPr>
      <w:r w:rsidRPr="00020203">
        <w:t>I would like to pay my respects not only to my people, the Kaurna and the Narungga people</w:t>
      </w:r>
      <w:r w:rsidRPr="00020203">
        <w:rPr>
          <w:rFonts w:cstheme="minorHAnsi"/>
        </w:rPr>
        <w:t xml:space="preserve"> of South Australia, but I would also like to acknowledge the traditional owners of the lands on which </w:t>
      </w:r>
      <w:r>
        <w:rPr>
          <w:rFonts w:cstheme="minorHAnsi"/>
        </w:rPr>
        <w:t>I</w:t>
      </w:r>
      <w:r w:rsidRPr="00020203">
        <w:rPr>
          <w:rFonts w:cstheme="minorHAnsi"/>
        </w:rPr>
        <w:t xml:space="preserve"> work and learn, the Yuggera and Turrbul people</w:t>
      </w:r>
      <w:r>
        <w:rPr>
          <w:rFonts w:cstheme="minorHAnsi"/>
        </w:rPr>
        <w:t xml:space="preserve"> of south east Queensland</w:t>
      </w:r>
      <w:r w:rsidRPr="00020203">
        <w:rPr>
          <w:rFonts w:cstheme="minorHAnsi"/>
        </w:rPr>
        <w:t xml:space="preserve">. </w:t>
      </w:r>
    </w:p>
    <w:p w14:paraId="49D2E1C6" w14:textId="5EC4B242" w:rsidR="00DB7EAB" w:rsidRDefault="00DB7EAB" w:rsidP="00713993">
      <w:pPr>
        <w:pStyle w:val="NoSpacing"/>
        <w:jc w:val="both"/>
        <w:rPr>
          <w:rFonts w:cstheme="minorHAnsi"/>
        </w:rPr>
      </w:pPr>
    </w:p>
    <w:p w14:paraId="3AF77202" w14:textId="38CCCDD4" w:rsidR="00DB7EAB" w:rsidRPr="00713993" w:rsidRDefault="00DB7EAB" w:rsidP="00713993">
      <w:pPr>
        <w:pStyle w:val="NoSpacing"/>
        <w:jc w:val="both"/>
        <w:rPr>
          <w:rFonts w:cstheme="minorHAnsi"/>
        </w:rPr>
      </w:pPr>
      <w:r>
        <w:rPr>
          <w:rFonts w:cstheme="minorHAnsi"/>
        </w:rPr>
        <w:t xml:space="preserve">I would also like to thank Dr Amanda-Jane George of CQUniversity, who has provided me with an enormous amount of support, guidance, and assistance with this submission. </w:t>
      </w:r>
    </w:p>
    <w:sectPr w:rsidR="00DB7EAB" w:rsidRPr="00713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D55F" w14:textId="77777777" w:rsidR="0010169E" w:rsidRDefault="0010169E" w:rsidP="007534F6">
      <w:pPr>
        <w:spacing w:after="0" w:line="240" w:lineRule="auto"/>
      </w:pPr>
      <w:r>
        <w:separator/>
      </w:r>
    </w:p>
  </w:endnote>
  <w:endnote w:type="continuationSeparator" w:id="0">
    <w:p w14:paraId="03188D82" w14:textId="77777777" w:rsidR="0010169E" w:rsidRDefault="0010169E" w:rsidP="0075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A926" w14:textId="77777777" w:rsidR="0010169E" w:rsidRDefault="0010169E" w:rsidP="007534F6">
      <w:pPr>
        <w:spacing w:after="0" w:line="240" w:lineRule="auto"/>
      </w:pPr>
      <w:r>
        <w:separator/>
      </w:r>
    </w:p>
  </w:footnote>
  <w:footnote w:type="continuationSeparator" w:id="0">
    <w:p w14:paraId="58254FD6" w14:textId="77777777" w:rsidR="0010169E" w:rsidRDefault="0010169E" w:rsidP="007534F6">
      <w:pPr>
        <w:spacing w:after="0" w:line="240" w:lineRule="auto"/>
      </w:pPr>
      <w:r>
        <w:continuationSeparator/>
      </w:r>
    </w:p>
  </w:footnote>
  <w:footnote w:id="1">
    <w:p w14:paraId="63CC13C2" w14:textId="77777777" w:rsidR="007534F6" w:rsidRPr="003C435E" w:rsidRDefault="007534F6" w:rsidP="007534F6">
      <w:pPr>
        <w:pStyle w:val="FootnoteText"/>
        <w:rPr>
          <w:sz w:val="16"/>
          <w:szCs w:val="16"/>
        </w:rPr>
      </w:pPr>
      <w:r w:rsidRPr="003C435E">
        <w:rPr>
          <w:rStyle w:val="FootnoteReference"/>
          <w:sz w:val="16"/>
          <w:szCs w:val="16"/>
        </w:rPr>
        <w:footnoteRef/>
      </w:r>
      <w:r w:rsidRPr="003C435E">
        <w:rPr>
          <w:sz w:val="16"/>
          <w:szCs w:val="16"/>
        </w:rPr>
        <w:t xml:space="preserve"> </w:t>
      </w:r>
      <w:r w:rsidRPr="003C435E">
        <w:rPr>
          <w:i/>
          <w:iCs/>
          <w:sz w:val="16"/>
          <w:szCs w:val="16"/>
        </w:rPr>
        <w:t>Copyright Act 1968</w:t>
      </w:r>
      <w:r w:rsidRPr="003C435E">
        <w:rPr>
          <w:sz w:val="16"/>
          <w:szCs w:val="16"/>
        </w:rPr>
        <w:t xml:space="preserve"> (Cth) s 35(2). </w:t>
      </w:r>
    </w:p>
  </w:footnote>
  <w:footnote w:id="2">
    <w:p w14:paraId="271EDD0F" w14:textId="77777777" w:rsidR="007534F6" w:rsidRPr="003C435E" w:rsidRDefault="007534F6" w:rsidP="007534F6">
      <w:pPr>
        <w:pStyle w:val="NoSpacing"/>
        <w:rPr>
          <w:sz w:val="16"/>
          <w:szCs w:val="16"/>
          <w:u w:val="single"/>
        </w:rPr>
      </w:pPr>
      <w:r w:rsidRPr="003C435E">
        <w:rPr>
          <w:rStyle w:val="FootnoteReference"/>
          <w:sz w:val="16"/>
          <w:szCs w:val="16"/>
        </w:rPr>
        <w:footnoteRef/>
      </w:r>
      <w:r w:rsidRPr="003C435E">
        <w:rPr>
          <w:sz w:val="16"/>
          <w:szCs w:val="16"/>
        </w:rPr>
        <w:t xml:space="preserve"> </w:t>
      </w:r>
      <w:r w:rsidRPr="003C435E">
        <w:rPr>
          <w:rFonts w:ascii="Calibri" w:hAnsi="Calibri" w:cs="Calibri"/>
          <w:color w:val="201F1E"/>
          <w:sz w:val="16"/>
          <w:szCs w:val="16"/>
        </w:rPr>
        <w:t xml:space="preserve">House of Representatives Standing Committee on Indigenous Affairs, The Parliament of the Commonwealth of Australia, </w:t>
      </w:r>
      <w:r w:rsidRPr="003C435E">
        <w:rPr>
          <w:rFonts w:ascii="Calibri" w:hAnsi="Calibri" w:cs="Calibri"/>
          <w:i/>
          <w:iCs/>
          <w:color w:val="201F1E"/>
          <w:sz w:val="16"/>
          <w:szCs w:val="16"/>
        </w:rPr>
        <w:t>Report on the impact of inauthentic art and craft in the style of First Nations peoples</w:t>
      </w:r>
      <w:r w:rsidRPr="003C435E">
        <w:rPr>
          <w:rFonts w:ascii="Calibri" w:hAnsi="Calibri" w:cs="Calibri"/>
          <w:color w:val="201F1E"/>
          <w:sz w:val="16"/>
          <w:szCs w:val="16"/>
        </w:rPr>
        <w:t xml:space="preserve"> (2018) </w:t>
      </w:r>
      <w:r w:rsidRPr="003C435E">
        <w:rPr>
          <w:sz w:val="16"/>
          <w:szCs w:val="16"/>
        </w:rPr>
        <w:t>4.58.</w:t>
      </w:r>
    </w:p>
  </w:footnote>
  <w:footnote w:id="3">
    <w:p w14:paraId="4A11E9DF" w14:textId="63E2DCA2" w:rsidR="00365BBA" w:rsidRPr="003C435E" w:rsidRDefault="00365BBA" w:rsidP="00365BBA">
      <w:pPr>
        <w:pStyle w:val="FootnoteText"/>
        <w:rPr>
          <w:sz w:val="16"/>
          <w:szCs w:val="16"/>
        </w:rPr>
      </w:pPr>
      <w:r w:rsidRPr="003C435E">
        <w:rPr>
          <w:rStyle w:val="FootnoteReference"/>
          <w:sz w:val="16"/>
          <w:szCs w:val="16"/>
        </w:rPr>
        <w:footnoteRef/>
      </w:r>
      <w:r w:rsidRPr="003C435E">
        <w:rPr>
          <w:sz w:val="16"/>
          <w:szCs w:val="16"/>
        </w:rPr>
        <w:t xml:space="preserve"> </w:t>
      </w:r>
      <w:r w:rsidR="00B91DAE">
        <w:rPr>
          <w:rFonts w:ascii="Calibri" w:hAnsi="Calibri" w:cs="Calibri"/>
          <w:color w:val="201F1E"/>
          <w:sz w:val="16"/>
          <w:szCs w:val="16"/>
        </w:rPr>
        <w:t>Ibid</w:t>
      </w:r>
      <w:r w:rsidRPr="003C435E">
        <w:rPr>
          <w:rFonts w:ascii="Calibri" w:hAnsi="Calibri" w:cs="Calibri"/>
          <w:color w:val="201F1E"/>
          <w:sz w:val="16"/>
          <w:szCs w:val="16"/>
        </w:rPr>
        <w:t xml:space="preserve"> </w:t>
      </w:r>
      <w:r w:rsidRPr="003C435E">
        <w:rPr>
          <w:sz w:val="16"/>
          <w:szCs w:val="16"/>
        </w:rPr>
        <w:t>4.57.</w:t>
      </w:r>
    </w:p>
  </w:footnote>
  <w:footnote w:id="4">
    <w:p w14:paraId="3D103632" w14:textId="2D8DC6CC" w:rsidR="00D77C4B" w:rsidRPr="003C435E" w:rsidRDefault="00D77C4B" w:rsidP="00D77C4B">
      <w:pPr>
        <w:pStyle w:val="FootnoteText"/>
        <w:rPr>
          <w:sz w:val="16"/>
          <w:szCs w:val="16"/>
          <w:highlight w:val="yellow"/>
        </w:rPr>
      </w:pPr>
      <w:r w:rsidRPr="003C435E">
        <w:rPr>
          <w:rStyle w:val="FootnoteReference"/>
          <w:sz w:val="16"/>
          <w:szCs w:val="16"/>
        </w:rPr>
        <w:footnoteRef/>
      </w:r>
      <w:r w:rsidRPr="003C435E">
        <w:rPr>
          <w:sz w:val="16"/>
          <w:szCs w:val="16"/>
        </w:rPr>
        <w:t xml:space="preserve"> </w:t>
      </w:r>
      <w:r w:rsidRPr="003C435E">
        <w:rPr>
          <w:rFonts w:ascii="Calibri" w:hAnsi="Calibri" w:cs="Calibri"/>
          <w:color w:val="201F1E"/>
          <w:sz w:val="16"/>
          <w:szCs w:val="16"/>
        </w:rPr>
        <w:t xml:space="preserve">Terri Janke, ‘Protecting indigenous cultural expressions in Australia and New Zealand: Two decades after the “Mataatua Declaration and Our Culture, Our Future”’ (2018) </w:t>
      </w:r>
      <w:r w:rsidRPr="003C435E">
        <w:rPr>
          <w:rFonts w:ascii="Calibri" w:hAnsi="Calibri" w:cs="Calibri"/>
          <w:i/>
          <w:iCs/>
          <w:color w:val="201F1E"/>
          <w:sz w:val="16"/>
          <w:szCs w:val="16"/>
        </w:rPr>
        <w:t xml:space="preserve">Intellectual Property Forum: </w:t>
      </w:r>
      <w:r w:rsidR="00592E1B">
        <w:rPr>
          <w:rFonts w:ascii="Calibri" w:hAnsi="Calibri" w:cs="Calibri"/>
          <w:i/>
          <w:iCs/>
          <w:color w:val="201F1E"/>
          <w:sz w:val="16"/>
          <w:szCs w:val="16"/>
        </w:rPr>
        <w:t>J</w:t>
      </w:r>
      <w:r w:rsidRPr="003C435E">
        <w:rPr>
          <w:rFonts w:ascii="Calibri" w:hAnsi="Calibri" w:cs="Calibri"/>
          <w:i/>
          <w:iCs/>
          <w:color w:val="201F1E"/>
          <w:sz w:val="16"/>
          <w:szCs w:val="16"/>
        </w:rPr>
        <w:t>ournal of the Intellectual and Industrial Property Society of Australia and New Zealand</w:t>
      </w:r>
      <w:r w:rsidRPr="003C435E">
        <w:rPr>
          <w:rFonts w:ascii="Calibri" w:hAnsi="Calibri" w:cs="Calibri"/>
          <w:color w:val="201F1E"/>
          <w:sz w:val="16"/>
          <w:szCs w:val="16"/>
        </w:rPr>
        <w:t xml:space="preserve"> 22.</w:t>
      </w:r>
    </w:p>
  </w:footnote>
  <w:footnote w:id="5">
    <w:p w14:paraId="31FBE6CB" w14:textId="77777777" w:rsidR="00D77C4B" w:rsidRPr="003C435E" w:rsidRDefault="00D77C4B" w:rsidP="00D77C4B">
      <w:pPr>
        <w:pStyle w:val="FootnoteText"/>
        <w:rPr>
          <w:sz w:val="16"/>
          <w:szCs w:val="16"/>
          <w:highlight w:val="yellow"/>
        </w:rPr>
      </w:pPr>
      <w:r w:rsidRPr="003C435E">
        <w:rPr>
          <w:rStyle w:val="FootnoteReference"/>
          <w:sz w:val="16"/>
          <w:szCs w:val="16"/>
        </w:rPr>
        <w:footnoteRef/>
      </w:r>
      <w:r w:rsidRPr="003C435E">
        <w:rPr>
          <w:sz w:val="16"/>
          <w:szCs w:val="16"/>
        </w:rPr>
        <w:t xml:space="preserve"> Lee Elsdon, ‘Protecting the intellectual and cultural property of Aboriginal art’ (2019) 41(3) </w:t>
      </w:r>
      <w:r w:rsidRPr="003C435E">
        <w:rPr>
          <w:i/>
          <w:iCs/>
          <w:sz w:val="16"/>
          <w:szCs w:val="16"/>
        </w:rPr>
        <w:t>Bulletin (Law Society of South Australia)</w:t>
      </w:r>
      <w:r w:rsidRPr="003C435E">
        <w:rPr>
          <w:sz w:val="16"/>
          <w:szCs w:val="16"/>
        </w:rPr>
        <w:t xml:space="preserve"> 20.</w:t>
      </w:r>
    </w:p>
  </w:footnote>
  <w:footnote w:id="6">
    <w:p w14:paraId="27D1D04A" w14:textId="35827804" w:rsidR="00D77C4B" w:rsidRPr="003C435E" w:rsidRDefault="00D77C4B" w:rsidP="00D77C4B">
      <w:pPr>
        <w:pStyle w:val="FootnoteText"/>
        <w:rPr>
          <w:sz w:val="16"/>
          <w:szCs w:val="16"/>
          <w:highlight w:val="yellow"/>
        </w:rPr>
      </w:pPr>
      <w:r w:rsidRPr="003C435E">
        <w:rPr>
          <w:rStyle w:val="FootnoteReference"/>
          <w:sz w:val="16"/>
          <w:szCs w:val="16"/>
        </w:rPr>
        <w:footnoteRef/>
      </w:r>
      <w:r w:rsidRPr="003C435E">
        <w:rPr>
          <w:sz w:val="16"/>
          <w:szCs w:val="16"/>
        </w:rPr>
        <w:t xml:space="preserve"> </w:t>
      </w:r>
      <w:r w:rsidR="00B91DAE">
        <w:rPr>
          <w:rFonts w:ascii="Calibri" w:hAnsi="Calibri" w:cs="Calibri"/>
          <w:color w:val="201F1E"/>
          <w:sz w:val="16"/>
          <w:szCs w:val="16"/>
        </w:rPr>
        <w:t>Janke (n 4)</w:t>
      </w:r>
      <w:r w:rsidRPr="003C435E">
        <w:rPr>
          <w:rFonts w:ascii="Calibri" w:hAnsi="Calibri" w:cs="Calibri"/>
          <w:color w:val="201F1E"/>
          <w:sz w:val="16"/>
          <w:szCs w:val="16"/>
        </w:rPr>
        <w:t xml:space="preserve"> 22.</w:t>
      </w:r>
    </w:p>
  </w:footnote>
  <w:footnote w:id="7">
    <w:p w14:paraId="373078DB" w14:textId="51DF582F" w:rsidR="00D77C4B" w:rsidRPr="00EE1C2C" w:rsidRDefault="00D77C4B" w:rsidP="00D77C4B">
      <w:pPr>
        <w:pStyle w:val="FootnoteText"/>
        <w:rPr>
          <w:sz w:val="18"/>
          <w:szCs w:val="18"/>
        </w:rPr>
      </w:pPr>
      <w:r w:rsidRPr="003C435E">
        <w:rPr>
          <w:rStyle w:val="FootnoteReference"/>
          <w:sz w:val="16"/>
          <w:szCs w:val="16"/>
        </w:rPr>
        <w:footnoteRef/>
      </w:r>
      <w:r w:rsidRPr="003C435E">
        <w:rPr>
          <w:sz w:val="16"/>
          <w:szCs w:val="16"/>
        </w:rPr>
        <w:t xml:space="preserve"> </w:t>
      </w:r>
      <w:r w:rsidRPr="003C435E">
        <w:rPr>
          <w:rFonts w:ascii="Calibri" w:hAnsi="Calibri" w:cs="Calibri"/>
          <w:color w:val="201F1E"/>
          <w:sz w:val="16"/>
          <w:szCs w:val="16"/>
        </w:rPr>
        <w:t>House of Representatives Standing Committee on Indigenous Affairs</w:t>
      </w:r>
      <w:r w:rsidR="00B91DAE">
        <w:rPr>
          <w:rFonts w:ascii="Calibri" w:hAnsi="Calibri" w:cs="Calibri"/>
          <w:color w:val="201F1E"/>
          <w:sz w:val="16"/>
          <w:szCs w:val="16"/>
        </w:rPr>
        <w:t xml:space="preserve"> (n 2)</w:t>
      </w:r>
      <w:r w:rsidRPr="003C435E">
        <w:rPr>
          <w:rFonts w:ascii="Calibri" w:hAnsi="Calibri" w:cs="Calibri"/>
          <w:color w:val="201F1E"/>
          <w:sz w:val="16"/>
          <w:szCs w:val="16"/>
        </w:rPr>
        <w:t xml:space="preserve"> </w:t>
      </w:r>
      <w:r w:rsidRPr="003C435E">
        <w:rPr>
          <w:sz w:val="16"/>
          <w:szCs w:val="16"/>
        </w:rPr>
        <w:t>4.83.</w:t>
      </w:r>
      <w:r w:rsidRPr="00EE1C2C">
        <w:rPr>
          <w:sz w:val="14"/>
          <w:szCs w:val="14"/>
          <w:u w:val="single"/>
        </w:rPr>
        <w:t xml:space="preserve"> </w:t>
      </w:r>
    </w:p>
  </w:footnote>
  <w:footnote w:id="8">
    <w:p w14:paraId="0C455641" w14:textId="757BD4E0" w:rsidR="00E3487F" w:rsidRPr="00145A6D" w:rsidRDefault="00E3487F">
      <w:pPr>
        <w:pStyle w:val="FootnoteText"/>
        <w:rPr>
          <w:sz w:val="16"/>
          <w:szCs w:val="16"/>
        </w:rPr>
      </w:pPr>
      <w:r w:rsidRPr="00145A6D">
        <w:rPr>
          <w:rStyle w:val="FootnoteReference"/>
          <w:sz w:val="16"/>
          <w:szCs w:val="16"/>
        </w:rPr>
        <w:footnoteRef/>
      </w:r>
      <w:r w:rsidRPr="00145A6D">
        <w:rPr>
          <w:sz w:val="16"/>
          <w:szCs w:val="16"/>
        </w:rPr>
        <w:t xml:space="preserve"> J. Janewa Osei-Tutu, ‘What do traditional knowledge and traditional cultural expressions have to do with intellectual property rights?’ (2017) 9(4) </w:t>
      </w:r>
      <w:r w:rsidRPr="00145A6D">
        <w:rPr>
          <w:i/>
          <w:iCs/>
          <w:sz w:val="16"/>
          <w:szCs w:val="16"/>
        </w:rPr>
        <w:t>Landslide</w:t>
      </w:r>
      <w:r w:rsidRPr="00145A6D">
        <w:rPr>
          <w:sz w:val="16"/>
          <w:szCs w:val="16"/>
        </w:rPr>
        <w:t>.</w:t>
      </w:r>
    </w:p>
  </w:footnote>
  <w:footnote w:id="9">
    <w:p w14:paraId="3F1207F9" w14:textId="7650CF5A" w:rsidR="00145A6D" w:rsidRDefault="00145A6D">
      <w:pPr>
        <w:pStyle w:val="FootnoteText"/>
      </w:pPr>
      <w:r w:rsidRPr="00145A6D">
        <w:rPr>
          <w:rStyle w:val="FootnoteReference"/>
          <w:sz w:val="16"/>
          <w:szCs w:val="16"/>
        </w:rPr>
        <w:footnoteRef/>
      </w:r>
      <w:r w:rsidRPr="00145A6D">
        <w:rPr>
          <w:sz w:val="16"/>
          <w:szCs w:val="16"/>
        </w:rPr>
        <w:t xml:space="preserve"> </w:t>
      </w:r>
      <w:r w:rsidR="000C68AE">
        <w:rPr>
          <w:sz w:val="16"/>
          <w:szCs w:val="16"/>
        </w:rPr>
        <w:t>Ibid</w:t>
      </w:r>
      <w:r w:rsidRPr="00145A6D">
        <w:rPr>
          <w:sz w:val="16"/>
          <w:szCs w:val="16"/>
        </w:rPr>
        <w:t>.</w:t>
      </w:r>
    </w:p>
  </w:footnote>
  <w:footnote w:id="10">
    <w:p w14:paraId="660D0121" w14:textId="113F5181" w:rsidR="009B51AF" w:rsidRPr="0052167B" w:rsidRDefault="009B51AF">
      <w:pPr>
        <w:pStyle w:val="FootnoteText"/>
        <w:rPr>
          <w:sz w:val="16"/>
          <w:szCs w:val="16"/>
        </w:rPr>
      </w:pPr>
      <w:r w:rsidRPr="0052167B">
        <w:rPr>
          <w:rStyle w:val="FootnoteReference"/>
          <w:sz w:val="16"/>
          <w:szCs w:val="16"/>
        </w:rPr>
        <w:footnoteRef/>
      </w:r>
      <w:r w:rsidRPr="0052167B">
        <w:rPr>
          <w:sz w:val="16"/>
          <w:szCs w:val="16"/>
        </w:rPr>
        <w:t xml:space="preserve"> </w:t>
      </w:r>
      <w:r w:rsidRPr="0052167B">
        <w:rPr>
          <w:bCs/>
          <w:sz w:val="16"/>
          <w:szCs w:val="16"/>
        </w:rPr>
        <w:t>Nopera Dennis-McCarthy, ‘Indigenous customary law and international intellectual property: ascertaining an effective indigenous definition for misappropriation of traditional knowledge’ (2020)</w:t>
      </w:r>
      <w:r w:rsidRPr="0052167B">
        <w:rPr>
          <w:b/>
          <w:bCs/>
          <w:sz w:val="16"/>
          <w:szCs w:val="16"/>
        </w:rPr>
        <w:t xml:space="preserve"> </w:t>
      </w:r>
      <w:r w:rsidRPr="0052167B">
        <w:rPr>
          <w:bCs/>
          <w:i/>
          <w:iCs/>
          <w:sz w:val="16"/>
          <w:szCs w:val="16"/>
        </w:rPr>
        <w:t>Victoria University of Wellington Law Review</w:t>
      </w:r>
      <w:r w:rsidR="00A4156F">
        <w:rPr>
          <w:bCs/>
          <w:i/>
          <w:iCs/>
          <w:sz w:val="16"/>
          <w:szCs w:val="16"/>
        </w:rPr>
        <w:t xml:space="preserve"> </w:t>
      </w:r>
      <w:r w:rsidR="00A4156F">
        <w:rPr>
          <w:bCs/>
          <w:sz w:val="16"/>
          <w:szCs w:val="16"/>
        </w:rPr>
        <w:t>597</w:t>
      </w:r>
      <w:r w:rsidRPr="0052167B">
        <w:rPr>
          <w:bCs/>
          <w:sz w:val="16"/>
          <w:szCs w:val="16"/>
        </w:rPr>
        <w:t>.</w:t>
      </w:r>
    </w:p>
  </w:footnote>
  <w:footnote w:id="11">
    <w:p w14:paraId="6C82B61C" w14:textId="1CF7AF9E" w:rsidR="009B51AF" w:rsidRPr="0052167B" w:rsidRDefault="009B51AF">
      <w:pPr>
        <w:pStyle w:val="FootnoteText"/>
        <w:rPr>
          <w:sz w:val="16"/>
          <w:szCs w:val="16"/>
        </w:rPr>
      </w:pPr>
      <w:r w:rsidRPr="0052167B">
        <w:rPr>
          <w:rStyle w:val="FootnoteReference"/>
          <w:sz w:val="16"/>
          <w:szCs w:val="16"/>
        </w:rPr>
        <w:footnoteRef/>
      </w:r>
      <w:r w:rsidRPr="0052167B">
        <w:rPr>
          <w:sz w:val="16"/>
          <w:szCs w:val="16"/>
        </w:rPr>
        <w:t xml:space="preserve"> </w:t>
      </w:r>
      <w:r w:rsidR="00C91ED4" w:rsidRPr="0052167B">
        <w:rPr>
          <w:sz w:val="16"/>
          <w:szCs w:val="16"/>
        </w:rPr>
        <w:t>(1991) 21 IPR 481.</w:t>
      </w:r>
    </w:p>
  </w:footnote>
  <w:footnote w:id="12">
    <w:p w14:paraId="6FF90EAC" w14:textId="451BFB9E" w:rsidR="00C91ED4" w:rsidRPr="0052167B" w:rsidRDefault="00C91ED4">
      <w:pPr>
        <w:pStyle w:val="FootnoteText"/>
        <w:rPr>
          <w:sz w:val="16"/>
          <w:szCs w:val="16"/>
        </w:rPr>
      </w:pPr>
      <w:r w:rsidRPr="0052167B">
        <w:rPr>
          <w:rStyle w:val="FootnoteReference"/>
          <w:sz w:val="16"/>
          <w:szCs w:val="16"/>
        </w:rPr>
        <w:footnoteRef/>
      </w:r>
      <w:r w:rsidRPr="0052167B">
        <w:rPr>
          <w:sz w:val="16"/>
          <w:szCs w:val="16"/>
        </w:rPr>
        <w:t xml:space="preserve"> </w:t>
      </w:r>
      <w:r w:rsidRPr="0052167B">
        <w:rPr>
          <w:bCs/>
          <w:sz w:val="16"/>
          <w:szCs w:val="16"/>
        </w:rPr>
        <w:t>Dennis-McCarthy</w:t>
      </w:r>
      <w:r w:rsidR="000C68AE">
        <w:rPr>
          <w:bCs/>
          <w:sz w:val="16"/>
          <w:szCs w:val="16"/>
        </w:rPr>
        <w:t xml:space="preserve"> (n 10) </w:t>
      </w:r>
      <w:r w:rsidRPr="0052167B">
        <w:rPr>
          <w:bCs/>
          <w:sz w:val="16"/>
          <w:szCs w:val="16"/>
        </w:rPr>
        <w:t>631.</w:t>
      </w:r>
    </w:p>
  </w:footnote>
  <w:footnote w:id="13">
    <w:p w14:paraId="647D09EE" w14:textId="646F2E6C" w:rsidR="002D45CE" w:rsidRPr="0052167B" w:rsidRDefault="002D45CE">
      <w:pPr>
        <w:pStyle w:val="FootnoteText"/>
        <w:rPr>
          <w:sz w:val="16"/>
          <w:szCs w:val="16"/>
        </w:rPr>
      </w:pPr>
      <w:r w:rsidRPr="0052167B">
        <w:rPr>
          <w:rStyle w:val="FootnoteReference"/>
          <w:sz w:val="16"/>
          <w:szCs w:val="16"/>
        </w:rPr>
        <w:footnoteRef/>
      </w:r>
      <w:r w:rsidRPr="0052167B">
        <w:rPr>
          <w:sz w:val="16"/>
          <w:szCs w:val="16"/>
        </w:rPr>
        <w:t xml:space="preserve"> (1994) 54 FCR 240.</w:t>
      </w:r>
    </w:p>
  </w:footnote>
  <w:footnote w:id="14">
    <w:p w14:paraId="0A114150" w14:textId="5D90BAE2" w:rsidR="00C556CC" w:rsidRPr="0052167B" w:rsidRDefault="00C556CC">
      <w:pPr>
        <w:pStyle w:val="FootnoteText"/>
        <w:rPr>
          <w:sz w:val="16"/>
          <w:szCs w:val="16"/>
        </w:rPr>
      </w:pPr>
      <w:r w:rsidRPr="0052167B">
        <w:rPr>
          <w:rStyle w:val="FootnoteReference"/>
          <w:sz w:val="16"/>
          <w:szCs w:val="16"/>
        </w:rPr>
        <w:footnoteRef/>
      </w:r>
      <w:r w:rsidRPr="0052167B">
        <w:rPr>
          <w:sz w:val="16"/>
          <w:szCs w:val="16"/>
        </w:rPr>
        <w:t xml:space="preserve"> </w:t>
      </w:r>
      <w:r w:rsidRPr="0052167B">
        <w:rPr>
          <w:bCs/>
          <w:sz w:val="16"/>
          <w:szCs w:val="16"/>
        </w:rPr>
        <w:t>Dennis-McCarthy</w:t>
      </w:r>
      <w:r w:rsidR="000C68AE">
        <w:rPr>
          <w:bCs/>
          <w:sz w:val="16"/>
          <w:szCs w:val="16"/>
        </w:rPr>
        <w:t xml:space="preserve"> (n 10)</w:t>
      </w:r>
      <w:r w:rsidR="00E2584F">
        <w:rPr>
          <w:bCs/>
          <w:sz w:val="16"/>
          <w:szCs w:val="16"/>
        </w:rPr>
        <w:t xml:space="preserve"> </w:t>
      </w:r>
      <w:r w:rsidRPr="0052167B">
        <w:rPr>
          <w:bCs/>
          <w:sz w:val="16"/>
          <w:szCs w:val="16"/>
        </w:rPr>
        <w:t>629.</w:t>
      </w:r>
    </w:p>
  </w:footnote>
  <w:footnote w:id="15">
    <w:p w14:paraId="619290EC" w14:textId="4CBF14AD" w:rsidR="007F7734" w:rsidRPr="0052167B" w:rsidRDefault="007F7734">
      <w:pPr>
        <w:pStyle w:val="FootnoteText"/>
        <w:rPr>
          <w:sz w:val="16"/>
          <w:szCs w:val="16"/>
        </w:rPr>
      </w:pPr>
      <w:r w:rsidRPr="0052167B">
        <w:rPr>
          <w:rStyle w:val="FootnoteReference"/>
          <w:sz w:val="16"/>
          <w:szCs w:val="16"/>
        </w:rPr>
        <w:footnoteRef/>
      </w:r>
      <w:r w:rsidRPr="0052167B">
        <w:rPr>
          <w:sz w:val="16"/>
          <w:szCs w:val="16"/>
        </w:rPr>
        <w:t xml:space="preserve"> </w:t>
      </w:r>
      <w:r w:rsidR="000C68AE">
        <w:rPr>
          <w:bCs/>
          <w:sz w:val="16"/>
          <w:szCs w:val="16"/>
        </w:rPr>
        <w:t>Ibid</w:t>
      </w:r>
      <w:r w:rsidR="00E2584F">
        <w:rPr>
          <w:bCs/>
          <w:sz w:val="16"/>
          <w:szCs w:val="16"/>
        </w:rPr>
        <w:t xml:space="preserve"> </w:t>
      </w:r>
      <w:r w:rsidRPr="0052167B">
        <w:rPr>
          <w:bCs/>
          <w:sz w:val="16"/>
          <w:szCs w:val="16"/>
        </w:rPr>
        <w:t>630.</w:t>
      </w:r>
    </w:p>
  </w:footnote>
  <w:footnote w:id="16">
    <w:p w14:paraId="3A6EC3CD" w14:textId="5933DAD5" w:rsidR="00F76115" w:rsidRPr="0052167B" w:rsidRDefault="00F76115">
      <w:pPr>
        <w:pStyle w:val="FootnoteText"/>
        <w:rPr>
          <w:sz w:val="16"/>
          <w:szCs w:val="16"/>
        </w:rPr>
      </w:pPr>
      <w:r w:rsidRPr="0052167B">
        <w:rPr>
          <w:rStyle w:val="FootnoteReference"/>
          <w:sz w:val="16"/>
          <w:szCs w:val="16"/>
        </w:rPr>
        <w:footnoteRef/>
      </w:r>
      <w:r w:rsidRPr="0052167B">
        <w:rPr>
          <w:sz w:val="16"/>
          <w:szCs w:val="16"/>
        </w:rPr>
        <w:t xml:space="preserve"> (1998) 157 ALR 193.</w:t>
      </w:r>
    </w:p>
  </w:footnote>
  <w:footnote w:id="17">
    <w:p w14:paraId="330E78C2" w14:textId="56A426EF" w:rsidR="00EA0A3E" w:rsidRPr="0052167B" w:rsidRDefault="00EA0A3E">
      <w:pPr>
        <w:pStyle w:val="FootnoteText"/>
        <w:rPr>
          <w:sz w:val="16"/>
          <w:szCs w:val="16"/>
        </w:rPr>
      </w:pPr>
      <w:r w:rsidRPr="0052167B">
        <w:rPr>
          <w:rStyle w:val="FootnoteReference"/>
          <w:sz w:val="16"/>
          <w:szCs w:val="16"/>
        </w:rPr>
        <w:footnoteRef/>
      </w:r>
      <w:r w:rsidRPr="0052167B">
        <w:rPr>
          <w:sz w:val="16"/>
          <w:szCs w:val="16"/>
        </w:rPr>
        <w:t xml:space="preserve"> (1998) 157 ALR 193, 194. </w:t>
      </w:r>
    </w:p>
  </w:footnote>
  <w:footnote w:id="18">
    <w:p w14:paraId="55C5774E" w14:textId="145E62D2" w:rsidR="00BA47AF" w:rsidRPr="0052167B" w:rsidRDefault="00BA47AF" w:rsidP="004E40FE">
      <w:pPr>
        <w:pStyle w:val="FootnoteText"/>
        <w:rPr>
          <w:sz w:val="16"/>
          <w:szCs w:val="16"/>
        </w:rPr>
      </w:pPr>
      <w:r w:rsidRPr="0052167B">
        <w:rPr>
          <w:rStyle w:val="FootnoteReference"/>
          <w:sz w:val="16"/>
          <w:szCs w:val="16"/>
        </w:rPr>
        <w:footnoteRef/>
      </w:r>
      <w:r w:rsidRPr="0052167B">
        <w:rPr>
          <w:sz w:val="16"/>
          <w:szCs w:val="16"/>
        </w:rPr>
        <w:t xml:space="preserve"> </w:t>
      </w:r>
      <w:r w:rsidRPr="0052167B">
        <w:rPr>
          <w:bCs/>
          <w:sz w:val="16"/>
          <w:szCs w:val="16"/>
        </w:rPr>
        <w:t>Dennis-McCarthy</w:t>
      </w:r>
      <w:r w:rsidR="000C68AE">
        <w:rPr>
          <w:bCs/>
          <w:sz w:val="16"/>
          <w:szCs w:val="16"/>
        </w:rPr>
        <w:t xml:space="preserve"> (n 10)</w:t>
      </w:r>
      <w:r w:rsidRPr="0052167B">
        <w:rPr>
          <w:bCs/>
          <w:sz w:val="16"/>
          <w:szCs w:val="16"/>
        </w:rPr>
        <w:t xml:space="preserve"> 631 citing </w:t>
      </w:r>
      <w:r w:rsidR="004E40FE" w:rsidRPr="0052167B">
        <w:rPr>
          <w:bCs/>
          <w:sz w:val="16"/>
          <w:szCs w:val="16"/>
        </w:rPr>
        <w:t xml:space="preserve">Kathy Bowrey "Alternative Intellectual Property?: Indigenous Protocols, Copyleft and New Juridifications of Customary Practices" (2006) 6 </w:t>
      </w:r>
      <w:r w:rsidR="004E40FE" w:rsidRPr="0052167B">
        <w:rPr>
          <w:bCs/>
          <w:i/>
          <w:iCs/>
          <w:sz w:val="16"/>
          <w:szCs w:val="16"/>
        </w:rPr>
        <w:t>Macquarie Law Journal</w:t>
      </w:r>
      <w:r w:rsidR="004E40FE" w:rsidRPr="0052167B">
        <w:rPr>
          <w:bCs/>
          <w:sz w:val="16"/>
          <w:szCs w:val="16"/>
        </w:rPr>
        <w:t xml:space="preserve"> 65.</w:t>
      </w:r>
    </w:p>
  </w:footnote>
  <w:footnote w:id="19">
    <w:p w14:paraId="4B72983F" w14:textId="77777777" w:rsidR="00DA01B4" w:rsidRPr="0052167B" w:rsidRDefault="00DA01B4" w:rsidP="00DA01B4">
      <w:pPr>
        <w:pStyle w:val="FootnoteText"/>
        <w:rPr>
          <w:sz w:val="16"/>
          <w:szCs w:val="16"/>
        </w:rPr>
      </w:pPr>
      <w:r w:rsidRPr="0052167B">
        <w:rPr>
          <w:rStyle w:val="FootnoteReference"/>
          <w:sz w:val="16"/>
          <w:szCs w:val="16"/>
        </w:rPr>
        <w:footnoteRef/>
      </w:r>
      <w:r w:rsidRPr="0052167B">
        <w:rPr>
          <w:sz w:val="16"/>
          <w:szCs w:val="16"/>
        </w:rPr>
        <w:t xml:space="preserve"> </w:t>
      </w:r>
      <w:bookmarkStart w:id="0" w:name="_Hlk71483809"/>
      <w:bookmarkStart w:id="1" w:name="_Hlk71483911"/>
      <w:r w:rsidRPr="0052167B">
        <w:rPr>
          <w:sz w:val="16"/>
          <w:szCs w:val="16"/>
        </w:rPr>
        <w:t>Pro</w:t>
      </w:r>
      <w:r w:rsidRPr="0052167B">
        <w:rPr>
          <w:bCs/>
          <w:sz w:val="16"/>
          <w:szCs w:val="16"/>
        </w:rPr>
        <w:t>fessor Natalie Stoianoff, ‘</w:t>
      </w:r>
      <w:r w:rsidRPr="0052167B">
        <w:rPr>
          <w:sz w:val="16"/>
          <w:szCs w:val="16"/>
        </w:rPr>
        <w:t>Garuwanga: Forming a Competent Authority to Protect Indigenous Knowledge – A Project supported by the Australian Research Council Linkage Scheme</w:t>
      </w:r>
      <w:bookmarkEnd w:id="0"/>
      <w:r w:rsidRPr="0052167B">
        <w:rPr>
          <w:sz w:val="16"/>
          <w:szCs w:val="16"/>
        </w:rPr>
        <w:t xml:space="preserve">’ </w:t>
      </w:r>
      <w:bookmarkEnd w:id="1"/>
      <w:r w:rsidRPr="0052167B">
        <w:rPr>
          <w:bCs/>
          <w:sz w:val="16"/>
          <w:szCs w:val="16"/>
        </w:rPr>
        <w:t xml:space="preserve">(2017) </w:t>
      </w:r>
      <w:r w:rsidRPr="0052167B">
        <w:rPr>
          <w:bCs/>
          <w:i/>
          <w:iCs/>
          <w:sz w:val="16"/>
          <w:szCs w:val="16"/>
        </w:rPr>
        <w:t>Intellectual Property Forum: Journal of the Intellectual and Industrial Property Society of Australia and New Zealand</w:t>
      </w:r>
      <w:r w:rsidRPr="0052167B">
        <w:rPr>
          <w:bCs/>
          <w:sz w:val="16"/>
          <w:szCs w:val="16"/>
        </w:rPr>
        <w:t xml:space="preserve"> 73, </w:t>
      </w:r>
      <w:r w:rsidRPr="0052167B">
        <w:rPr>
          <w:sz w:val="16"/>
          <w:szCs w:val="16"/>
        </w:rPr>
        <w:t>74.</w:t>
      </w:r>
    </w:p>
  </w:footnote>
  <w:footnote w:id="20">
    <w:p w14:paraId="06477F35" w14:textId="77777777" w:rsidR="00DA01B4" w:rsidRPr="003C435E" w:rsidRDefault="00DA01B4" w:rsidP="00DA01B4">
      <w:pPr>
        <w:pStyle w:val="FootnoteText"/>
        <w:rPr>
          <w:sz w:val="16"/>
          <w:szCs w:val="16"/>
        </w:rPr>
      </w:pPr>
      <w:r w:rsidRPr="0052167B">
        <w:rPr>
          <w:rStyle w:val="FootnoteReference"/>
          <w:sz w:val="16"/>
          <w:szCs w:val="16"/>
        </w:rPr>
        <w:footnoteRef/>
      </w:r>
      <w:r w:rsidRPr="0052167B">
        <w:rPr>
          <w:sz w:val="16"/>
          <w:szCs w:val="16"/>
        </w:rPr>
        <w:t xml:space="preserve"> </w:t>
      </w:r>
      <w:r w:rsidRPr="0052167B">
        <w:rPr>
          <w:i/>
          <w:iCs/>
          <w:sz w:val="16"/>
          <w:szCs w:val="16"/>
        </w:rPr>
        <w:t>Native Title Act 1993</w:t>
      </w:r>
      <w:r w:rsidRPr="0052167B">
        <w:rPr>
          <w:sz w:val="16"/>
          <w:szCs w:val="16"/>
        </w:rPr>
        <w:t xml:space="preserve"> (Cth) s 223(1).</w:t>
      </w:r>
      <w:r w:rsidRPr="003C435E">
        <w:rPr>
          <w:sz w:val="16"/>
          <w:szCs w:val="16"/>
        </w:rPr>
        <w:t xml:space="preserve"> </w:t>
      </w:r>
    </w:p>
  </w:footnote>
  <w:footnote w:id="21">
    <w:p w14:paraId="7FE7D151" w14:textId="77777777" w:rsidR="00DA01B4" w:rsidRPr="003C435E" w:rsidRDefault="00DA01B4" w:rsidP="00DA01B4">
      <w:pPr>
        <w:pStyle w:val="FootnoteText"/>
        <w:rPr>
          <w:sz w:val="16"/>
          <w:szCs w:val="16"/>
        </w:rPr>
      </w:pPr>
      <w:r w:rsidRPr="003C435E">
        <w:rPr>
          <w:rStyle w:val="FootnoteReference"/>
          <w:sz w:val="16"/>
          <w:szCs w:val="16"/>
        </w:rPr>
        <w:footnoteRef/>
      </w:r>
      <w:r w:rsidRPr="003C435E">
        <w:rPr>
          <w:sz w:val="16"/>
          <w:szCs w:val="16"/>
        </w:rPr>
        <w:t xml:space="preserve"> Ibid s 223(1)(a).</w:t>
      </w:r>
    </w:p>
  </w:footnote>
  <w:footnote w:id="22">
    <w:p w14:paraId="7B56120C" w14:textId="77777777" w:rsidR="00DA01B4" w:rsidRPr="003C435E" w:rsidRDefault="00DA01B4" w:rsidP="00DA01B4">
      <w:pPr>
        <w:pStyle w:val="FootnoteText"/>
        <w:rPr>
          <w:sz w:val="16"/>
          <w:szCs w:val="16"/>
        </w:rPr>
      </w:pPr>
      <w:r w:rsidRPr="003C435E">
        <w:rPr>
          <w:rStyle w:val="FootnoteReference"/>
          <w:sz w:val="16"/>
          <w:szCs w:val="16"/>
        </w:rPr>
        <w:footnoteRef/>
      </w:r>
      <w:r w:rsidRPr="003C435E">
        <w:rPr>
          <w:sz w:val="16"/>
          <w:szCs w:val="16"/>
        </w:rPr>
        <w:t xml:space="preserve"> Ibid s 223(1)(c). </w:t>
      </w:r>
    </w:p>
  </w:footnote>
  <w:footnote w:id="23">
    <w:p w14:paraId="2FFF5FDB" w14:textId="77777777" w:rsidR="00DA01B4" w:rsidRPr="003C435E" w:rsidRDefault="00DA01B4" w:rsidP="00DA01B4">
      <w:pPr>
        <w:pStyle w:val="FootnoteText"/>
        <w:rPr>
          <w:sz w:val="16"/>
          <w:szCs w:val="16"/>
        </w:rPr>
      </w:pPr>
      <w:r w:rsidRPr="003C435E">
        <w:rPr>
          <w:rStyle w:val="FootnoteReference"/>
          <w:sz w:val="16"/>
          <w:szCs w:val="16"/>
        </w:rPr>
        <w:footnoteRef/>
      </w:r>
      <w:r w:rsidRPr="003C435E">
        <w:rPr>
          <w:sz w:val="16"/>
          <w:szCs w:val="16"/>
        </w:rPr>
        <w:t xml:space="preserve"> Natalie Stoianoff and Alpana Roy, ‘Indigenous knowledge and culture in Australia - the case for sui generis legislation’ (2015) 41(3) </w:t>
      </w:r>
      <w:r w:rsidRPr="003C435E">
        <w:rPr>
          <w:i/>
          <w:iCs/>
          <w:sz w:val="16"/>
          <w:szCs w:val="16"/>
        </w:rPr>
        <w:t>Monash University Law Review</w:t>
      </w:r>
      <w:r w:rsidRPr="003C435E">
        <w:rPr>
          <w:sz w:val="16"/>
          <w:szCs w:val="16"/>
        </w:rPr>
        <w:t xml:space="preserve"> </w:t>
      </w:r>
      <w:r w:rsidRPr="003C435E">
        <w:rPr>
          <w:bCs/>
          <w:sz w:val="16"/>
          <w:szCs w:val="16"/>
        </w:rPr>
        <w:t>III Australia's International Obligations.</w:t>
      </w:r>
    </w:p>
  </w:footnote>
  <w:footnote w:id="24">
    <w:p w14:paraId="31001C74" w14:textId="1A7E4606" w:rsidR="002B0FAC" w:rsidRPr="003C435E" w:rsidRDefault="002B0FAC" w:rsidP="002B0FAC">
      <w:pPr>
        <w:pStyle w:val="FootnoteText"/>
        <w:rPr>
          <w:sz w:val="16"/>
          <w:szCs w:val="16"/>
        </w:rPr>
      </w:pPr>
      <w:r w:rsidRPr="003C435E">
        <w:rPr>
          <w:rStyle w:val="FootnoteReference"/>
          <w:sz w:val="16"/>
          <w:szCs w:val="16"/>
        </w:rPr>
        <w:footnoteRef/>
      </w:r>
      <w:r w:rsidRPr="003C435E">
        <w:rPr>
          <w:sz w:val="16"/>
          <w:szCs w:val="16"/>
        </w:rPr>
        <w:t xml:space="preserve"> Lee Elsdon, ‘Protecting the intellectual and cultural property of Aboriginal art’ (2019) 41(3) </w:t>
      </w:r>
      <w:r w:rsidRPr="003C435E">
        <w:rPr>
          <w:i/>
          <w:iCs/>
          <w:sz w:val="16"/>
          <w:szCs w:val="16"/>
        </w:rPr>
        <w:t>Bulletin (Law Society of South Australia)</w:t>
      </w:r>
      <w:r w:rsidRPr="003C435E">
        <w:rPr>
          <w:sz w:val="16"/>
          <w:szCs w:val="16"/>
        </w:rPr>
        <w:t>.</w:t>
      </w:r>
    </w:p>
  </w:footnote>
  <w:footnote w:id="25">
    <w:p w14:paraId="6C50668E" w14:textId="27FBDFB8" w:rsidR="002B0FAC" w:rsidRPr="003C435E" w:rsidRDefault="002B0FAC" w:rsidP="002B0FAC">
      <w:pPr>
        <w:pStyle w:val="FootnoteText"/>
        <w:rPr>
          <w:sz w:val="16"/>
          <w:szCs w:val="16"/>
          <w:highlight w:val="yellow"/>
        </w:rPr>
      </w:pPr>
      <w:r w:rsidRPr="003C435E">
        <w:rPr>
          <w:rStyle w:val="FootnoteReference"/>
          <w:sz w:val="16"/>
          <w:szCs w:val="16"/>
        </w:rPr>
        <w:footnoteRef/>
      </w:r>
      <w:r w:rsidRPr="003C435E">
        <w:rPr>
          <w:sz w:val="16"/>
          <w:szCs w:val="16"/>
        </w:rPr>
        <w:t xml:space="preserve"> </w:t>
      </w:r>
      <w:r w:rsidR="009B6847">
        <w:rPr>
          <w:sz w:val="16"/>
          <w:szCs w:val="16"/>
        </w:rPr>
        <w:t xml:space="preserve">Ibid </w:t>
      </w:r>
      <w:r w:rsidRPr="003C435E">
        <w:rPr>
          <w:sz w:val="16"/>
          <w:szCs w:val="16"/>
        </w:rPr>
        <w:t>20.</w:t>
      </w:r>
    </w:p>
  </w:footnote>
  <w:footnote w:id="26">
    <w:p w14:paraId="637B3C50" w14:textId="64CCD4A0" w:rsidR="002B0FAC" w:rsidRPr="00EE1C2C" w:rsidRDefault="002B0FAC" w:rsidP="002B0FAC">
      <w:pPr>
        <w:pStyle w:val="FootnoteText"/>
        <w:rPr>
          <w:sz w:val="18"/>
          <w:szCs w:val="18"/>
        </w:rPr>
      </w:pPr>
      <w:r w:rsidRPr="003C435E">
        <w:rPr>
          <w:rStyle w:val="FootnoteReference"/>
          <w:sz w:val="16"/>
          <w:szCs w:val="16"/>
        </w:rPr>
        <w:footnoteRef/>
      </w:r>
      <w:r w:rsidRPr="003C435E">
        <w:rPr>
          <w:sz w:val="16"/>
          <w:szCs w:val="16"/>
        </w:rPr>
        <w:t xml:space="preserve"> </w:t>
      </w:r>
      <w:r w:rsidR="009B6847">
        <w:rPr>
          <w:sz w:val="16"/>
          <w:szCs w:val="16"/>
        </w:rPr>
        <w:t>Ibid</w:t>
      </w:r>
      <w:r w:rsidRPr="003C435E">
        <w:rPr>
          <w:sz w:val="16"/>
          <w:szCs w:val="16"/>
        </w:rPr>
        <w:t xml:space="preserve"> 21.</w:t>
      </w:r>
    </w:p>
  </w:footnote>
  <w:footnote w:id="27">
    <w:p w14:paraId="09C5A41B" w14:textId="53073174" w:rsidR="002B0FAC" w:rsidRPr="003C435E" w:rsidRDefault="002B0FAC" w:rsidP="002B0FAC">
      <w:pPr>
        <w:pStyle w:val="FootnoteText"/>
        <w:rPr>
          <w:sz w:val="16"/>
          <w:szCs w:val="16"/>
        </w:rPr>
      </w:pPr>
      <w:r w:rsidRPr="003C435E">
        <w:rPr>
          <w:rStyle w:val="FootnoteReference"/>
          <w:sz w:val="16"/>
          <w:szCs w:val="16"/>
        </w:rPr>
        <w:footnoteRef/>
      </w:r>
      <w:r w:rsidRPr="003C435E">
        <w:rPr>
          <w:sz w:val="16"/>
          <w:szCs w:val="16"/>
        </w:rPr>
        <w:t xml:space="preserve"> </w:t>
      </w:r>
      <w:r w:rsidR="009B6847">
        <w:rPr>
          <w:sz w:val="16"/>
          <w:szCs w:val="16"/>
        </w:rPr>
        <w:t>Ibid</w:t>
      </w:r>
      <w:r w:rsidRPr="003C435E">
        <w:rPr>
          <w:sz w:val="16"/>
          <w:szCs w:val="16"/>
        </w:rPr>
        <w:t>.</w:t>
      </w:r>
    </w:p>
  </w:footnote>
  <w:footnote w:id="28">
    <w:p w14:paraId="7E354784" w14:textId="28A533ED" w:rsidR="002B0FAC" w:rsidRPr="003C435E" w:rsidRDefault="002B0FAC" w:rsidP="002B0FAC">
      <w:pPr>
        <w:pStyle w:val="FootnoteText"/>
        <w:rPr>
          <w:sz w:val="16"/>
          <w:szCs w:val="16"/>
        </w:rPr>
      </w:pPr>
      <w:r w:rsidRPr="003C435E">
        <w:rPr>
          <w:rStyle w:val="FootnoteReference"/>
          <w:sz w:val="16"/>
          <w:szCs w:val="16"/>
        </w:rPr>
        <w:footnoteRef/>
      </w:r>
      <w:r w:rsidRPr="003C435E">
        <w:rPr>
          <w:sz w:val="16"/>
          <w:szCs w:val="16"/>
        </w:rPr>
        <w:t xml:space="preserve"> </w:t>
      </w:r>
      <w:r w:rsidR="009B6847">
        <w:rPr>
          <w:sz w:val="16"/>
          <w:szCs w:val="16"/>
        </w:rPr>
        <w:t>Ibid</w:t>
      </w:r>
      <w:r w:rsidRPr="003C435E">
        <w:rPr>
          <w:sz w:val="16"/>
          <w:szCs w:val="16"/>
        </w:rPr>
        <w:t>.</w:t>
      </w:r>
    </w:p>
  </w:footnote>
  <w:footnote w:id="29">
    <w:p w14:paraId="5D059D7E" w14:textId="5B153751" w:rsidR="002B0FAC" w:rsidRPr="003C435E" w:rsidRDefault="002B0FAC" w:rsidP="002B0FAC">
      <w:pPr>
        <w:pStyle w:val="FootnoteText"/>
        <w:rPr>
          <w:sz w:val="16"/>
          <w:szCs w:val="16"/>
        </w:rPr>
      </w:pPr>
      <w:r w:rsidRPr="003C435E">
        <w:rPr>
          <w:rStyle w:val="FootnoteReference"/>
          <w:sz w:val="16"/>
          <w:szCs w:val="16"/>
        </w:rPr>
        <w:footnoteRef/>
      </w:r>
      <w:r w:rsidRPr="003C435E">
        <w:rPr>
          <w:sz w:val="16"/>
          <w:szCs w:val="16"/>
        </w:rPr>
        <w:t xml:space="preserve"> </w:t>
      </w:r>
      <w:r w:rsidR="009B6847">
        <w:rPr>
          <w:sz w:val="16"/>
          <w:szCs w:val="16"/>
        </w:rPr>
        <w:t>Ibid</w:t>
      </w:r>
      <w:r w:rsidRPr="003C435E">
        <w:rPr>
          <w:sz w:val="16"/>
          <w:szCs w:val="16"/>
        </w:rPr>
        <w:t>.</w:t>
      </w:r>
    </w:p>
  </w:footnote>
  <w:footnote w:id="30">
    <w:p w14:paraId="3B77E56F" w14:textId="2495F8D3" w:rsidR="002B0FAC" w:rsidRPr="003C435E" w:rsidRDefault="002B0FAC" w:rsidP="002B0FAC">
      <w:pPr>
        <w:pStyle w:val="FootnoteText"/>
        <w:rPr>
          <w:sz w:val="16"/>
          <w:szCs w:val="16"/>
        </w:rPr>
      </w:pPr>
      <w:r w:rsidRPr="003C435E">
        <w:rPr>
          <w:rStyle w:val="FootnoteReference"/>
          <w:sz w:val="16"/>
          <w:szCs w:val="16"/>
        </w:rPr>
        <w:footnoteRef/>
      </w:r>
      <w:r w:rsidRPr="003C435E">
        <w:rPr>
          <w:sz w:val="16"/>
          <w:szCs w:val="16"/>
        </w:rPr>
        <w:t xml:space="preserve"> </w:t>
      </w:r>
      <w:r w:rsidR="009B6847">
        <w:rPr>
          <w:sz w:val="16"/>
          <w:szCs w:val="16"/>
        </w:rPr>
        <w:t>Ibid</w:t>
      </w:r>
      <w:r w:rsidRPr="003C435E">
        <w:rPr>
          <w:sz w:val="16"/>
          <w:szCs w:val="16"/>
        </w:rPr>
        <w:t>.</w:t>
      </w:r>
    </w:p>
  </w:footnote>
  <w:footnote w:id="31">
    <w:p w14:paraId="01A99411" w14:textId="77777777" w:rsidR="002B0FAC" w:rsidRPr="003C435E" w:rsidRDefault="002B0FAC" w:rsidP="002B0FAC">
      <w:pPr>
        <w:pStyle w:val="FootnoteText"/>
        <w:rPr>
          <w:sz w:val="16"/>
          <w:szCs w:val="16"/>
        </w:rPr>
      </w:pPr>
      <w:r w:rsidRPr="003C435E">
        <w:rPr>
          <w:rStyle w:val="FootnoteReference"/>
          <w:sz w:val="16"/>
          <w:szCs w:val="16"/>
        </w:rPr>
        <w:footnoteRef/>
      </w:r>
      <w:r w:rsidRPr="003C435E">
        <w:rPr>
          <w:sz w:val="16"/>
          <w:szCs w:val="16"/>
        </w:rPr>
        <w:t xml:space="preserve"> Unique. </w:t>
      </w:r>
      <w:r w:rsidRPr="003C435E">
        <w:rPr>
          <w:i/>
          <w:iCs/>
          <w:sz w:val="16"/>
          <w:szCs w:val="16"/>
        </w:rPr>
        <w:t>Butterworths Concise Australian Legal Dictionary</w:t>
      </w:r>
      <w:r w:rsidRPr="003C435E">
        <w:rPr>
          <w:sz w:val="16"/>
          <w:szCs w:val="16"/>
        </w:rPr>
        <w:t xml:space="preserve"> (3</w:t>
      </w:r>
      <w:r w:rsidRPr="003C435E">
        <w:rPr>
          <w:sz w:val="16"/>
          <w:szCs w:val="16"/>
          <w:vertAlign w:val="superscript"/>
        </w:rPr>
        <w:t>rd</w:t>
      </w:r>
      <w:r w:rsidRPr="003C435E">
        <w:rPr>
          <w:sz w:val="16"/>
          <w:szCs w:val="16"/>
        </w:rPr>
        <w:t xml:space="preserve"> ed, 2004) ‘sui generis’.</w:t>
      </w:r>
    </w:p>
  </w:footnote>
  <w:footnote w:id="32">
    <w:p w14:paraId="61A20141" w14:textId="087B85E9" w:rsidR="002B0FAC" w:rsidRPr="003C435E" w:rsidRDefault="002B0FAC" w:rsidP="002B0FAC">
      <w:pPr>
        <w:pStyle w:val="FootnoteText"/>
        <w:rPr>
          <w:sz w:val="16"/>
          <w:szCs w:val="16"/>
          <w:highlight w:val="yellow"/>
        </w:rPr>
      </w:pPr>
      <w:r w:rsidRPr="003C435E">
        <w:rPr>
          <w:rStyle w:val="FootnoteReference"/>
          <w:sz w:val="16"/>
          <w:szCs w:val="16"/>
        </w:rPr>
        <w:footnoteRef/>
      </w:r>
      <w:r w:rsidRPr="003C435E">
        <w:rPr>
          <w:sz w:val="16"/>
          <w:szCs w:val="16"/>
        </w:rPr>
        <w:t xml:space="preserve"> Natalie Stoianoff and Alpana Roy, ‘Indigenous knowledge and culture in Australia - the case for sui generis legislation’ (2015) 41(3) </w:t>
      </w:r>
      <w:r w:rsidRPr="003C435E">
        <w:rPr>
          <w:i/>
          <w:iCs/>
          <w:sz w:val="16"/>
          <w:szCs w:val="16"/>
        </w:rPr>
        <w:t>Monash University Law Review</w:t>
      </w:r>
      <w:r w:rsidRPr="003C435E">
        <w:rPr>
          <w:sz w:val="16"/>
          <w:szCs w:val="16"/>
        </w:rPr>
        <w:t>.</w:t>
      </w:r>
    </w:p>
  </w:footnote>
  <w:footnote w:id="33">
    <w:p w14:paraId="1F16F37B" w14:textId="41CE2BEB" w:rsidR="002B0FAC" w:rsidRPr="003C435E" w:rsidRDefault="002B0FAC" w:rsidP="002B0FAC">
      <w:pPr>
        <w:pStyle w:val="NoSpacing"/>
        <w:rPr>
          <w:bCs/>
          <w:sz w:val="16"/>
          <w:szCs w:val="16"/>
          <w:highlight w:val="yellow"/>
        </w:rPr>
      </w:pPr>
      <w:r w:rsidRPr="003C435E">
        <w:rPr>
          <w:rStyle w:val="FootnoteReference"/>
          <w:sz w:val="16"/>
          <w:szCs w:val="16"/>
        </w:rPr>
        <w:footnoteRef/>
      </w:r>
      <w:r w:rsidRPr="003C435E">
        <w:rPr>
          <w:sz w:val="16"/>
          <w:szCs w:val="16"/>
        </w:rPr>
        <w:t xml:space="preserve"> </w:t>
      </w:r>
      <w:r w:rsidR="009B6847">
        <w:rPr>
          <w:sz w:val="16"/>
          <w:szCs w:val="16"/>
        </w:rPr>
        <w:t>Ibid</w:t>
      </w:r>
      <w:r w:rsidRPr="003C435E">
        <w:rPr>
          <w:bCs/>
          <w:sz w:val="16"/>
          <w:szCs w:val="16"/>
        </w:rPr>
        <w:t xml:space="preserve"> I Introduction.</w:t>
      </w:r>
    </w:p>
  </w:footnote>
  <w:footnote w:id="34">
    <w:p w14:paraId="4E8784F5" w14:textId="2A92BB6A" w:rsidR="002B0FAC" w:rsidRPr="003C435E" w:rsidRDefault="002B0FAC" w:rsidP="002B0FAC">
      <w:pPr>
        <w:pStyle w:val="NoSpacing"/>
        <w:rPr>
          <w:bCs/>
          <w:sz w:val="16"/>
          <w:szCs w:val="16"/>
          <w:highlight w:val="yellow"/>
        </w:rPr>
      </w:pPr>
      <w:r w:rsidRPr="003C435E">
        <w:rPr>
          <w:rStyle w:val="FootnoteReference"/>
          <w:sz w:val="16"/>
          <w:szCs w:val="16"/>
        </w:rPr>
        <w:footnoteRef/>
      </w:r>
      <w:r w:rsidRPr="003C435E">
        <w:rPr>
          <w:sz w:val="16"/>
          <w:szCs w:val="16"/>
        </w:rPr>
        <w:t xml:space="preserve"> </w:t>
      </w:r>
      <w:r w:rsidR="009B6847">
        <w:rPr>
          <w:sz w:val="16"/>
          <w:szCs w:val="16"/>
        </w:rPr>
        <w:t>Ibid</w:t>
      </w:r>
      <w:r w:rsidRPr="003C435E">
        <w:rPr>
          <w:bCs/>
          <w:sz w:val="16"/>
          <w:szCs w:val="16"/>
        </w:rPr>
        <w:t>.</w:t>
      </w:r>
    </w:p>
  </w:footnote>
  <w:footnote w:id="35">
    <w:p w14:paraId="40048B96" w14:textId="0D9745AB" w:rsidR="002B0FAC" w:rsidRPr="003C435E" w:rsidRDefault="002B0FAC" w:rsidP="002B0FAC">
      <w:pPr>
        <w:pStyle w:val="FootnoteText"/>
        <w:rPr>
          <w:sz w:val="16"/>
          <w:szCs w:val="16"/>
        </w:rPr>
      </w:pPr>
      <w:r w:rsidRPr="003C435E">
        <w:rPr>
          <w:rStyle w:val="FootnoteReference"/>
          <w:sz w:val="16"/>
          <w:szCs w:val="16"/>
        </w:rPr>
        <w:footnoteRef/>
      </w:r>
      <w:r w:rsidRPr="003C435E">
        <w:rPr>
          <w:sz w:val="16"/>
          <w:szCs w:val="16"/>
        </w:rPr>
        <w:t xml:space="preserve"> </w:t>
      </w:r>
      <w:r w:rsidR="009B6847">
        <w:rPr>
          <w:sz w:val="16"/>
          <w:szCs w:val="16"/>
        </w:rPr>
        <w:t>Ibid</w:t>
      </w:r>
      <w:r w:rsidRPr="003C435E">
        <w:rPr>
          <w:sz w:val="16"/>
          <w:szCs w:val="16"/>
        </w:rPr>
        <w:t xml:space="preserve"> </w:t>
      </w:r>
      <w:r w:rsidRPr="003C435E">
        <w:rPr>
          <w:bCs/>
          <w:sz w:val="16"/>
          <w:szCs w:val="16"/>
        </w:rPr>
        <w:t>V The Case for Sui Generis Legislation in Australia.</w:t>
      </w:r>
    </w:p>
  </w:footnote>
  <w:footnote w:id="36">
    <w:p w14:paraId="096BD881" w14:textId="77777777" w:rsidR="002B0FAC" w:rsidRPr="003C435E" w:rsidRDefault="002B0FAC" w:rsidP="002B0FAC">
      <w:pPr>
        <w:pStyle w:val="NoSpacing"/>
        <w:rPr>
          <w:bCs/>
          <w:sz w:val="16"/>
          <w:szCs w:val="16"/>
          <w:highlight w:val="yellow"/>
          <w:u w:val="single"/>
        </w:rPr>
      </w:pPr>
      <w:r w:rsidRPr="003C435E">
        <w:rPr>
          <w:rStyle w:val="FootnoteReference"/>
          <w:sz w:val="16"/>
          <w:szCs w:val="16"/>
        </w:rPr>
        <w:footnoteRef/>
      </w:r>
      <w:r w:rsidRPr="003C435E">
        <w:rPr>
          <w:sz w:val="16"/>
          <w:szCs w:val="16"/>
        </w:rPr>
        <w:t xml:space="preserve"> </w:t>
      </w:r>
      <w:bookmarkStart w:id="2" w:name="_Hlk89020289"/>
      <w:r w:rsidRPr="003C435E">
        <w:rPr>
          <w:bCs/>
          <w:sz w:val="16"/>
          <w:szCs w:val="16"/>
        </w:rPr>
        <w:t>Stephanie Parkin and Dr Kylie Pappalardo, ‘</w:t>
      </w:r>
      <w:r w:rsidRPr="003C435E">
        <w:rPr>
          <w:sz w:val="16"/>
          <w:szCs w:val="16"/>
        </w:rPr>
        <w:t xml:space="preserve">Protecting indigenous art and culture: How the law fails to prevent exploitation’ </w:t>
      </w:r>
      <w:r w:rsidRPr="003C435E">
        <w:rPr>
          <w:bCs/>
          <w:sz w:val="16"/>
          <w:szCs w:val="16"/>
        </w:rPr>
        <w:t xml:space="preserve">(2020) 159 </w:t>
      </w:r>
      <w:r w:rsidRPr="003C435E">
        <w:rPr>
          <w:bCs/>
          <w:i/>
          <w:iCs/>
          <w:sz w:val="16"/>
          <w:szCs w:val="16"/>
        </w:rPr>
        <w:t>Precedent</w:t>
      </w:r>
      <w:bookmarkEnd w:id="2"/>
      <w:r w:rsidRPr="003C435E">
        <w:rPr>
          <w:bCs/>
          <w:sz w:val="16"/>
          <w:szCs w:val="16"/>
        </w:rPr>
        <w:t xml:space="preserve"> 32.</w:t>
      </w:r>
    </w:p>
  </w:footnote>
  <w:footnote w:id="37">
    <w:p w14:paraId="095D8CA2" w14:textId="541C5D59" w:rsidR="002B0FAC" w:rsidRPr="003C435E" w:rsidRDefault="002B0FAC" w:rsidP="002B0FAC">
      <w:pPr>
        <w:pStyle w:val="FootnoteText"/>
        <w:rPr>
          <w:sz w:val="16"/>
          <w:szCs w:val="16"/>
        </w:rPr>
      </w:pPr>
      <w:r w:rsidRPr="003C435E">
        <w:rPr>
          <w:rStyle w:val="FootnoteReference"/>
          <w:sz w:val="16"/>
          <w:szCs w:val="16"/>
        </w:rPr>
        <w:footnoteRef/>
      </w:r>
      <w:r w:rsidRPr="003C435E">
        <w:rPr>
          <w:sz w:val="16"/>
          <w:szCs w:val="16"/>
        </w:rPr>
        <w:t xml:space="preserve"> </w:t>
      </w:r>
      <w:r w:rsidR="009B6847">
        <w:rPr>
          <w:bCs/>
          <w:sz w:val="16"/>
          <w:szCs w:val="16"/>
        </w:rPr>
        <w:t>Ibid</w:t>
      </w:r>
      <w:r w:rsidRPr="003C435E">
        <w:rPr>
          <w:bCs/>
          <w:sz w:val="16"/>
          <w:szCs w:val="16"/>
        </w:rPr>
        <w:t xml:space="preserve"> 36.</w:t>
      </w:r>
    </w:p>
  </w:footnote>
  <w:footnote w:id="38">
    <w:p w14:paraId="64E8C611" w14:textId="6E256F9E" w:rsidR="002B0FAC" w:rsidRPr="003C435E" w:rsidRDefault="002B0FAC" w:rsidP="002B0FAC">
      <w:pPr>
        <w:pStyle w:val="FootnoteText"/>
        <w:rPr>
          <w:sz w:val="16"/>
          <w:szCs w:val="16"/>
        </w:rPr>
      </w:pPr>
      <w:r w:rsidRPr="003C435E">
        <w:rPr>
          <w:rStyle w:val="FootnoteReference"/>
          <w:sz w:val="16"/>
          <w:szCs w:val="16"/>
        </w:rPr>
        <w:footnoteRef/>
      </w:r>
      <w:r w:rsidRPr="003C435E">
        <w:rPr>
          <w:sz w:val="16"/>
          <w:szCs w:val="16"/>
        </w:rPr>
        <w:t xml:space="preserve"> </w:t>
      </w:r>
      <w:r w:rsidR="009B6847">
        <w:rPr>
          <w:bCs/>
          <w:sz w:val="16"/>
          <w:szCs w:val="16"/>
        </w:rPr>
        <w:t>Ibid</w:t>
      </w:r>
      <w:r w:rsidRPr="003C435E">
        <w:rPr>
          <w:bCs/>
          <w:sz w:val="16"/>
          <w:szCs w:val="16"/>
        </w:rPr>
        <w:t xml:space="preserve"> 33.</w:t>
      </w:r>
    </w:p>
  </w:footnote>
  <w:footnote w:id="39">
    <w:p w14:paraId="51036240" w14:textId="6628D00A" w:rsidR="002B0FAC" w:rsidRPr="003C435E" w:rsidRDefault="002B0FAC" w:rsidP="002B0FAC">
      <w:pPr>
        <w:pStyle w:val="FootnoteText"/>
        <w:rPr>
          <w:sz w:val="16"/>
          <w:szCs w:val="16"/>
        </w:rPr>
      </w:pPr>
      <w:r w:rsidRPr="003C435E">
        <w:rPr>
          <w:rStyle w:val="FootnoteReference"/>
          <w:sz w:val="16"/>
          <w:szCs w:val="16"/>
        </w:rPr>
        <w:footnoteRef/>
      </w:r>
      <w:r w:rsidRPr="003C435E">
        <w:rPr>
          <w:sz w:val="16"/>
          <w:szCs w:val="16"/>
        </w:rPr>
        <w:t xml:space="preserve"> </w:t>
      </w:r>
      <w:r w:rsidR="00AF2E65" w:rsidRPr="003C435E">
        <w:rPr>
          <w:rFonts w:ascii="Calibri" w:hAnsi="Calibri" w:cs="Calibri"/>
          <w:color w:val="201F1E"/>
          <w:sz w:val="16"/>
          <w:szCs w:val="16"/>
        </w:rPr>
        <w:t xml:space="preserve">Terri Janke and Company (Commissioned by IP Australia &amp; the Department of Industry, Innovation and Science), ‘Indigenous Knowledge: Issues for protection and management: Discussion Paper’ (2017) </w:t>
      </w:r>
      <w:r w:rsidRPr="003C435E">
        <w:rPr>
          <w:sz w:val="16"/>
          <w:szCs w:val="16"/>
        </w:rPr>
        <w:t>50.</w:t>
      </w:r>
    </w:p>
  </w:footnote>
  <w:footnote w:id="40">
    <w:p w14:paraId="19589633" w14:textId="266FE414" w:rsidR="00AA3B3B" w:rsidRPr="003C435E" w:rsidRDefault="00AA3B3B" w:rsidP="00AA3B3B">
      <w:pPr>
        <w:pStyle w:val="FootnoteText"/>
        <w:rPr>
          <w:sz w:val="16"/>
          <w:szCs w:val="16"/>
          <w:highlight w:val="yellow"/>
        </w:rPr>
      </w:pPr>
      <w:r w:rsidRPr="003C435E">
        <w:rPr>
          <w:rStyle w:val="FootnoteReference"/>
          <w:sz w:val="16"/>
          <w:szCs w:val="16"/>
        </w:rPr>
        <w:footnoteRef/>
      </w:r>
      <w:r w:rsidRPr="003C435E">
        <w:rPr>
          <w:sz w:val="16"/>
          <w:szCs w:val="16"/>
        </w:rPr>
        <w:t xml:space="preserve"> </w:t>
      </w:r>
      <w:r w:rsidR="00FA382F" w:rsidRPr="003C435E">
        <w:rPr>
          <w:rFonts w:ascii="Calibri" w:hAnsi="Calibri" w:cs="Calibri"/>
          <w:color w:val="201F1E"/>
          <w:sz w:val="16"/>
          <w:szCs w:val="16"/>
        </w:rPr>
        <w:t>House of Representatives Standing Committee on Indigenous Affairs</w:t>
      </w:r>
      <w:r w:rsidR="00FA382F">
        <w:rPr>
          <w:rFonts w:ascii="Calibri" w:hAnsi="Calibri" w:cs="Calibri"/>
          <w:color w:val="201F1E"/>
          <w:sz w:val="16"/>
          <w:szCs w:val="16"/>
        </w:rPr>
        <w:t xml:space="preserve"> (n 2)</w:t>
      </w:r>
      <w:r w:rsidRPr="003C435E">
        <w:rPr>
          <w:sz w:val="16"/>
          <w:szCs w:val="16"/>
        </w:rPr>
        <w:t xml:space="preserve">. </w:t>
      </w:r>
    </w:p>
  </w:footnote>
  <w:footnote w:id="41">
    <w:p w14:paraId="7686D82C" w14:textId="2D2733B6" w:rsidR="00AA3B3B" w:rsidRPr="003C435E" w:rsidRDefault="00AA3B3B" w:rsidP="00AA3B3B">
      <w:pPr>
        <w:pStyle w:val="FootnoteText"/>
        <w:rPr>
          <w:sz w:val="16"/>
          <w:szCs w:val="16"/>
        </w:rPr>
      </w:pPr>
      <w:r w:rsidRPr="003C435E">
        <w:rPr>
          <w:rStyle w:val="FootnoteReference"/>
          <w:sz w:val="16"/>
          <w:szCs w:val="16"/>
        </w:rPr>
        <w:footnoteRef/>
      </w:r>
      <w:r w:rsidRPr="003C435E">
        <w:rPr>
          <w:sz w:val="16"/>
          <w:szCs w:val="16"/>
        </w:rPr>
        <w:t xml:space="preserve"> </w:t>
      </w:r>
      <w:r w:rsidR="00FA382F">
        <w:rPr>
          <w:rFonts w:ascii="Calibri" w:hAnsi="Calibri" w:cs="Calibri"/>
          <w:color w:val="201F1E"/>
          <w:sz w:val="16"/>
          <w:szCs w:val="16"/>
        </w:rPr>
        <w:t>Ibid</w:t>
      </w:r>
      <w:r w:rsidRPr="003C435E">
        <w:rPr>
          <w:rFonts w:ascii="Calibri" w:hAnsi="Calibri" w:cs="Calibri"/>
          <w:color w:val="201F1E"/>
          <w:sz w:val="16"/>
          <w:szCs w:val="16"/>
        </w:rPr>
        <w:t xml:space="preserve"> </w:t>
      </w:r>
      <w:r w:rsidRPr="003C435E">
        <w:rPr>
          <w:sz w:val="16"/>
          <w:szCs w:val="16"/>
        </w:rPr>
        <w:t>5.47.</w:t>
      </w:r>
    </w:p>
  </w:footnote>
  <w:footnote w:id="42">
    <w:p w14:paraId="0C680D20" w14:textId="4E012474" w:rsidR="003C435E" w:rsidRPr="006C4C8D" w:rsidRDefault="003C435E">
      <w:pPr>
        <w:pStyle w:val="FootnoteText"/>
      </w:pPr>
      <w:r w:rsidRPr="006C4C8D">
        <w:rPr>
          <w:rStyle w:val="FootnoteReference"/>
          <w:sz w:val="16"/>
          <w:szCs w:val="16"/>
        </w:rPr>
        <w:footnoteRef/>
      </w:r>
      <w:r w:rsidRPr="006C4C8D">
        <w:rPr>
          <w:sz w:val="16"/>
          <w:szCs w:val="16"/>
        </w:rPr>
        <w:t xml:space="preserve"> </w:t>
      </w:r>
      <w:r w:rsidR="00FA382F" w:rsidRPr="006C4C8D">
        <w:rPr>
          <w:rFonts w:ascii="Calibri" w:hAnsi="Calibri" w:cs="Calibri"/>
          <w:color w:val="201F1E"/>
          <w:sz w:val="16"/>
          <w:szCs w:val="16"/>
        </w:rPr>
        <w:t xml:space="preserve">Ibid </w:t>
      </w:r>
      <w:r w:rsidRPr="006C4C8D">
        <w:rPr>
          <w:rFonts w:ascii="Calibri" w:hAnsi="Calibri" w:cs="Calibri"/>
          <w:color w:val="201F1E"/>
          <w:sz w:val="16"/>
          <w:szCs w:val="16"/>
        </w:rPr>
        <w:t>5.33.</w:t>
      </w:r>
    </w:p>
  </w:footnote>
  <w:footnote w:id="43">
    <w:p w14:paraId="2E201249" w14:textId="3648EB60" w:rsidR="00AA3B3B" w:rsidRPr="006C4C8D" w:rsidRDefault="00AA3B3B" w:rsidP="00AA3B3B">
      <w:pPr>
        <w:pStyle w:val="FootnoteText"/>
        <w:rPr>
          <w:sz w:val="16"/>
          <w:szCs w:val="16"/>
        </w:rPr>
      </w:pPr>
      <w:r w:rsidRPr="006C4C8D">
        <w:rPr>
          <w:rStyle w:val="FootnoteReference"/>
          <w:sz w:val="16"/>
          <w:szCs w:val="16"/>
        </w:rPr>
        <w:footnoteRef/>
      </w:r>
      <w:r w:rsidRPr="006C4C8D">
        <w:rPr>
          <w:sz w:val="16"/>
          <w:szCs w:val="16"/>
        </w:rPr>
        <w:t xml:space="preserve"> Stoianoff and Roy</w:t>
      </w:r>
      <w:r w:rsidR="006C4C8D" w:rsidRPr="006C4C8D">
        <w:rPr>
          <w:sz w:val="16"/>
          <w:szCs w:val="16"/>
        </w:rPr>
        <w:t xml:space="preserve"> (n 32)</w:t>
      </w:r>
      <w:r w:rsidRPr="006C4C8D">
        <w:rPr>
          <w:sz w:val="16"/>
          <w:szCs w:val="16"/>
        </w:rPr>
        <w:t xml:space="preserve"> II An Overview of Past Attempts to Protect Indigenous Knowledge and Culture in Australia. </w:t>
      </w:r>
    </w:p>
  </w:footnote>
  <w:footnote w:id="44">
    <w:p w14:paraId="1F6A4F91" w14:textId="77777777" w:rsidR="00AA3B3B" w:rsidRPr="00A81BCF" w:rsidRDefault="00AA3B3B" w:rsidP="00AA3B3B">
      <w:pPr>
        <w:pStyle w:val="FootnoteText"/>
        <w:rPr>
          <w:sz w:val="16"/>
          <w:szCs w:val="16"/>
        </w:rPr>
      </w:pPr>
      <w:r w:rsidRPr="006C4C8D">
        <w:rPr>
          <w:rStyle w:val="FootnoteReference"/>
          <w:sz w:val="16"/>
          <w:szCs w:val="16"/>
        </w:rPr>
        <w:footnoteRef/>
      </w:r>
      <w:r w:rsidRPr="006C4C8D">
        <w:rPr>
          <w:sz w:val="16"/>
          <w:szCs w:val="16"/>
        </w:rPr>
        <w:t xml:space="preserve"> Joseph Githaiga, ‘Intellectual Property Law and the Protection of Indigenous Folklore and Knowledge’ (1998) 5(2) </w:t>
      </w:r>
      <w:r w:rsidRPr="006C4C8D">
        <w:rPr>
          <w:i/>
          <w:iCs/>
          <w:sz w:val="16"/>
          <w:szCs w:val="16"/>
        </w:rPr>
        <w:t>Murdoch</w:t>
      </w:r>
      <w:r w:rsidRPr="003C435E">
        <w:rPr>
          <w:i/>
          <w:iCs/>
          <w:sz w:val="16"/>
          <w:szCs w:val="16"/>
        </w:rPr>
        <w:t xml:space="preserve"> University </w:t>
      </w:r>
      <w:r w:rsidRPr="00A81BCF">
        <w:rPr>
          <w:i/>
          <w:iCs/>
          <w:sz w:val="16"/>
          <w:szCs w:val="16"/>
        </w:rPr>
        <w:t>Electronic Journal of Law</w:t>
      </w:r>
      <w:r w:rsidRPr="00A81BCF">
        <w:rPr>
          <w:sz w:val="16"/>
          <w:szCs w:val="16"/>
        </w:rPr>
        <w:t>.</w:t>
      </w:r>
    </w:p>
  </w:footnote>
  <w:footnote w:id="45">
    <w:p w14:paraId="4FD7DD61" w14:textId="219B8251" w:rsidR="00856A46" w:rsidRPr="0052167B" w:rsidRDefault="00856A46">
      <w:pPr>
        <w:pStyle w:val="FootnoteText"/>
        <w:rPr>
          <w:sz w:val="16"/>
          <w:szCs w:val="16"/>
        </w:rPr>
      </w:pPr>
      <w:r w:rsidRPr="0052167B">
        <w:rPr>
          <w:rStyle w:val="FootnoteReference"/>
          <w:sz w:val="16"/>
          <w:szCs w:val="16"/>
        </w:rPr>
        <w:footnoteRef/>
      </w:r>
      <w:r w:rsidRPr="0052167B">
        <w:rPr>
          <w:sz w:val="16"/>
          <w:szCs w:val="16"/>
        </w:rPr>
        <w:t xml:space="preserve"> </w:t>
      </w:r>
      <w:r w:rsidRPr="0052167B">
        <w:rPr>
          <w:bCs/>
          <w:sz w:val="16"/>
          <w:szCs w:val="16"/>
        </w:rPr>
        <w:t xml:space="preserve">Fiona Martin, Ann Cahill, and Evana Wright and Natalie Stoianoff, ‘An international approach to establishing a Competent Authority to manage and protect traditional knowledge’ (2019) 44(1) </w:t>
      </w:r>
      <w:r w:rsidRPr="0052167B">
        <w:rPr>
          <w:bCs/>
          <w:i/>
          <w:iCs/>
          <w:sz w:val="16"/>
          <w:szCs w:val="16"/>
        </w:rPr>
        <w:t>Alternative Law Journal</w:t>
      </w:r>
      <w:r w:rsidR="00233BC6">
        <w:rPr>
          <w:bCs/>
          <w:sz w:val="16"/>
          <w:szCs w:val="16"/>
        </w:rPr>
        <w:t xml:space="preserve"> </w:t>
      </w:r>
      <w:r w:rsidRPr="0052167B">
        <w:rPr>
          <w:bCs/>
          <w:sz w:val="16"/>
          <w:szCs w:val="16"/>
        </w:rPr>
        <w:t>48.</w:t>
      </w:r>
    </w:p>
  </w:footnote>
  <w:footnote w:id="46">
    <w:p w14:paraId="02429AAB" w14:textId="00E79C99" w:rsidR="00856A46" w:rsidRPr="009D6FFD" w:rsidRDefault="00856A46" w:rsidP="006611EE">
      <w:pPr>
        <w:pStyle w:val="FootnoteText"/>
        <w:tabs>
          <w:tab w:val="left" w:pos="2127"/>
        </w:tabs>
        <w:rPr>
          <w:sz w:val="16"/>
          <w:szCs w:val="16"/>
        </w:rPr>
      </w:pPr>
      <w:r w:rsidRPr="009D6FFD">
        <w:rPr>
          <w:rStyle w:val="FootnoteReference"/>
          <w:sz w:val="16"/>
          <w:szCs w:val="16"/>
        </w:rPr>
        <w:footnoteRef/>
      </w:r>
      <w:r w:rsidRPr="009D6FFD">
        <w:rPr>
          <w:sz w:val="16"/>
          <w:szCs w:val="16"/>
        </w:rPr>
        <w:t xml:space="preserve"> </w:t>
      </w:r>
      <w:r w:rsidR="00FA382F">
        <w:rPr>
          <w:bCs/>
          <w:sz w:val="16"/>
          <w:szCs w:val="16"/>
        </w:rPr>
        <w:t>Ibid</w:t>
      </w:r>
      <w:r w:rsidRPr="009D6FFD">
        <w:rPr>
          <w:bCs/>
          <w:sz w:val="16"/>
          <w:szCs w:val="16"/>
        </w:rPr>
        <w:t xml:space="preserve"> 49.</w:t>
      </w:r>
    </w:p>
  </w:footnote>
  <w:footnote w:id="47">
    <w:p w14:paraId="459C1A37" w14:textId="514DCE5A" w:rsidR="00BF5B95" w:rsidRPr="009D6FFD" w:rsidRDefault="00BF5B95" w:rsidP="006611EE">
      <w:pPr>
        <w:pStyle w:val="FootnoteText"/>
        <w:tabs>
          <w:tab w:val="left" w:pos="2127"/>
        </w:tabs>
        <w:rPr>
          <w:sz w:val="16"/>
          <w:szCs w:val="16"/>
        </w:rPr>
      </w:pPr>
      <w:r w:rsidRPr="009D6FFD">
        <w:rPr>
          <w:rStyle w:val="FootnoteReference"/>
          <w:sz w:val="16"/>
          <w:szCs w:val="16"/>
        </w:rPr>
        <w:footnoteRef/>
      </w:r>
      <w:r w:rsidRPr="009D6FFD">
        <w:rPr>
          <w:sz w:val="16"/>
          <w:szCs w:val="16"/>
        </w:rPr>
        <w:t xml:space="preserve"> </w:t>
      </w:r>
      <w:r w:rsidR="00FA382F">
        <w:rPr>
          <w:bCs/>
          <w:sz w:val="16"/>
          <w:szCs w:val="16"/>
        </w:rPr>
        <w:t>Ibid</w:t>
      </w:r>
      <w:r w:rsidRPr="009D6FFD">
        <w:rPr>
          <w:bCs/>
          <w:sz w:val="16"/>
          <w:szCs w:val="16"/>
        </w:rPr>
        <w:t>.</w:t>
      </w:r>
    </w:p>
  </w:footnote>
  <w:footnote w:id="48">
    <w:p w14:paraId="7FE164E2" w14:textId="35A5CD89" w:rsidR="00BF5B95" w:rsidRPr="009D6FFD" w:rsidRDefault="00BF5B95" w:rsidP="006611EE">
      <w:pPr>
        <w:pStyle w:val="FootnoteText"/>
        <w:tabs>
          <w:tab w:val="left" w:pos="2127"/>
        </w:tabs>
        <w:rPr>
          <w:sz w:val="16"/>
          <w:szCs w:val="16"/>
        </w:rPr>
      </w:pPr>
      <w:r w:rsidRPr="009D6FFD">
        <w:rPr>
          <w:rStyle w:val="FootnoteReference"/>
          <w:sz w:val="16"/>
          <w:szCs w:val="16"/>
        </w:rPr>
        <w:footnoteRef/>
      </w:r>
      <w:r w:rsidRPr="009D6FFD">
        <w:rPr>
          <w:sz w:val="16"/>
          <w:szCs w:val="16"/>
        </w:rPr>
        <w:t xml:space="preserve"> </w:t>
      </w:r>
      <w:r w:rsidR="00FA382F">
        <w:rPr>
          <w:bCs/>
          <w:sz w:val="16"/>
          <w:szCs w:val="16"/>
        </w:rPr>
        <w:t>Ibid</w:t>
      </w:r>
      <w:r w:rsidRPr="009D6FFD">
        <w:rPr>
          <w:bCs/>
          <w:sz w:val="16"/>
          <w:szCs w:val="16"/>
        </w:rPr>
        <w:t xml:space="preserve"> 50.</w:t>
      </w:r>
    </w:p>
  </w:footnote>
  <w:footnote w:id="49">
    <w:p w14:paraId="41EF089C" w14:textId="0F63E5B3" w:rsidR="00CF3F32" w:rsidRPr="009D6FFD" w:rsidRDefault="00CF3F32" w:rsidP="006611EE">
      <w:pPr>
        <w:pStyle w:val="FootnoteText"/>
        <w:tabs>
          <w:tab w:val="left" w:pos="2127"/>
        </w:tabs>
        <w:rPr>
          <w:sz w:val="16"/>
          <w:szCs w:val="16"/>
        </w:rPr>
      </w:pPr>
      <w:r w:rsidRPr="009D6FFD">
        <w:rPr>
          <w:rStyle w:val="FootnoteReference"/>
          <w:sz w:val="16"/>
          <w:szCs w:val="16"/>
        </w:rPr>
        <w:footnoteRef/>
      </w:r>
      <w:r w:rsidRPr="009D6FFD">
        <w:rPr>
          <w:sz w:val="16"/>
          <w:szCs w:val="16"/>
        </w:rPr>
        <w:t xml:space="preserve"> Evana Wright, Natalie P Stoianoff and Fiona Martin, ‘Comparative Study - Garuwanga: Forming a Competent Authority to protect Indigenous knowledge’ (2017) University of Technology, Sydney - Indigenous Knowledge Forum.</w:t>
      </w:r>
    </w:p>
  </w:footnote>
  <w:footnote w:id="50">
    <w:p w14:paraId="340E8B45" w14:textId="4F3368E1" w:rsidR="00CF3F32" w:rsidRPr="009D6FFD" w:rsidRDefault="00CF3F32" w:rsidP="006611EE">
      <w:pPr>
        <w:pStyle w:val="FootnoteText"/>
        <w:tabs>
          <w:tab w:val="left" w:pos="2127"/>
        </w:tabs>
        <w:rPr>
          <w:sz w:val="16"/>
          <w:szCs w:val="16"/>
        </w:rPr>
      </w:pPr>
      <w:r w:rsidRPr="009D6FFD">
        <w:rPr>
          <w:rStyle w:val="FootnoteReference"/>
          <w:sz w:val="16"/>
          <w:szCs w:val="16"/>
        </w:rPr>
        <w:footnoteRef/>
      </w:r>
      <w:r w:rsidRPr="009D6FFD">
        <w:rPr>
          <w:sz w:val="16"/>
          <w:szCs w:val="16"/>
        </w:rPr>
        <w:t xml:space="preserve"> </w:t>
      </w:r>
      <w:r w:rsidR="00FA382F">
        <w:rPr>
          <w:sz w:val="16"/>
          <w:szCs w:val="16"/>
        </w:rPr>
        <w:t xml:space="preserve">Fiona </w:t>
      </w:r>
      <w:r w:rsidRPr="009D6FFD">
        <w:rPr>
          <w:bCs/>
          <w:sz w:val="16"/>
          <w:szCs w:val="16"/>
        </w:rPr>
        <w:t>Martin</w:t>
      </w:r>
      <w:r w:rsidR="00FA382F">
        <w:rPr>
          <w:bCs/>
          <w:sz w:val="16"/>
          <w:szCs w:val="16"/>
        </w:rPr>
        <w:t xml:space="preserve"> et al (n 45)</w:t>
      </w:r>
      <w:r w:rsidRPr="009D6FFD">
        <w:rPr>
          <w:bCs/>
          <w:sz w:val="16"/>
          <w:szCs w:val="16"/>
        </w:rPr>
        <w:t xml:space="preserve"> 50.</w:t>
      </w:r>
    </w:p>
  </w:footnote>
  <w:footnote w:id="51">
    <w:p w14:paraId="48579288" w14:textId="4780F143" w:rsidR="00B966D3" w:rsidRPr="009D6FFD" w:rsidRDefault="00B966D3" w:rsidP="006611EE">
      <w:pPr>
        <w:pStyle w:val="FootnoteText"/>
        <w:tabs>
          <w:tab w:val="left" w:pos="2127"/>
        </w:tabs>
        <w:rPr>
          <w:sz w:val="16"/>
          <w:szCs w:val="16"/>
        </w:rPr>
      </w:pPr>
      <w:r w:rsidRPr="009D6FFD">
        <w:rPr>
          <w:rStyle w:val="FootnoteReference"/>
          <w:sz w:val="16"/>
          <w:szCs w:val="16"/>
        </w:rPr>
        <w:footnoteRef/>
      </w:r>
      <w:r w:rsidRPr="009D6FFD">
        <w:rPr>
          <w:sz w:val="16"/>
          <w:szCs w:val="16"/>
        </w:rPr>
        <w:t xml:space="preserve"> </w:t>
      </w:r>
      <w:r w:rsidR="006C4C8D">
        <w:rPr>
          <w:sz w:val="16"/>
          <w:szCs w:val="16"/>
        </w:rPr>
        <w:t xml:space="preserve">Fiona </w:t>
      </w:r>
      <w:r w:rsidR="006C4C8D" w:rsidRPr="009D6FFD">
        <w:rPr>
          <w:bCs/>
          <w:sz w:val="16"/>
          <w:szCs w:val="16"/>
        </w:rPr>
        <w:t>Martin</w:t>
      </w:r>
      <w:r w:rsidR="006C4C8D">
        <w:rPr>
          <w:bCs/>
          <w:sz w:val="16"/>
          <w:szCs w:val="16"/>
        </w:rPr>
        <w:t xml:space="preserve"> et al (n 45)</w:t>
      </w:r>
      <w:r w:rsidR="006C4C8D" w:rsidRPr="009D6FFD">
        <w:rPr>
          <w:bCs/>
          <w:sz w:val="16"/>
          <w:szCs w:val="16"/>
        </w:rPr>
        <w:t xml:space="preserve"> </w:t>
      </w:r>
      <w:r w:rsidRPr="009D6FFD">
        <w:rPr>
          <w:bCs/>
          <w:sz w:val="16"/>
          <w:szCs w:val="16"/>
        </w:rPr>
        <w:t>50.</w:t>
      </w:r>
    </w:p>
  </w:footnote>
  <w:footnote w:id="52">
    <w:p w14:paraId="758FC7E8" w14:textId="3C2246F9" w:rsidR="00B966D3" w:rsidRPr="009D6FFD" w:rsidRDefault="00B966D3" w:rsidP="006611EE">
      <w:pPr>
        <w:pStyle w:val="FootnoteText"/>
        <w:tabs>
          <w:tab w:val="left" w:pos="2127"/>
        </w:tabs>
        <w:rPr>
          <w:sz w:val="16"/>
          <w:szCs w:val="16"/>
        </w:rPr>
      </w:pPr>
      <w:r w:rsidRPr="009D6FFD">
        <w:rPr>
          <w:rStyle w:val="FootnoteReference"/>
          <w:sz w:val="16"/>
          <w:szCs w:val="16"/>
        </w:rPr>
        <w:footnoteRef/>
      </w:r>
      <w:r w:rsidRPr="009D6FFD">
        <w:rPr>
          <w:sz w:val="16"/>
          <w:szCs w:val="16"/>
        </w:rPr>
        <w:t xml:space="preserve"> </w:t>
      </w:r>
      <w:r w:rsidR="006C4C8D">
        <w:rPr>
          <w:bCs/>
          <w:sz w:val="16"/>
          <w:szCs w:val="16"/>
        </w:rPr>
        <w:t>Ibid</w:t>
      </w:r>
      <w:r w:rsidRPr="009D6FFD">
        <w:rPr>
          <w:bCs/>
          <w:sz w:val="16"/>
          <w:szCs w:val="16"/>
        </w:rPr>
        <w:t>.</w:t>
      </w:r>
    </w:p>
  </w:footnote>
  <w:footnote w:id="53">
    <w:p w14:paraId="66968C40" w14:textId="02CDE283" w:rsidR="00D57BA6" w:rsidRPr="009E19A5" w:rsidRDefault="00D57BA6" w:rsidP="00D57BA6">
      <w:pPr>
        <w:pStyle w:val="FootnoteText"/>
        <w:tabs>
          <w:tab w:val="left" w:pos="2127"/>
        </w:tabs>
        <w:rPr>
          <w:sz w:val="16"/>
          <w:szCs w:val="16"/>
        </w:rPr>
      </w:pPr>
      <w:r w:rsidRPr="009E19A5">
        <w:rPr>
          <w:rStyle w:val="FootnoteReference"/>
          <w:sz w:val="16"/>
          <w:szCs w:val="16"/>
        </w:rPr>
        <w:footnoteRef/>
      </w:r>
      <w:r w:rsidRPr="009E19A5">
        <w:rPr>
          <w:sz w:val="16"/>
          <w:szCs w:val="16"/>
        </w:rPr>
        <w:t xml:space="preserve"> </w:t>
      </w:r>
      <w:r w:rsidR="006C4C8D" w:rsidRPr="009E19A5">
        <w:rPr>
          <w:bCs/>
          <w:sz w:val="16"/>
          <w:szCs w:val="16"/>
        </w:rPr>
        <w:t>Ibid</w:t>
      </w:r>
      <w:r w:rsidRPr="009E19A5">
        <w:rPr>
          <w:bCs/>
          <w:sz w:val="16"/>
          <w:szCs w:val="16"/>
        </w:rPr>
        <w:t xml:space="preserve"> 54.</w:t>
      </w:r>
    </w:p>
  </w:footnote>
  <w:footnote w:id="54">
    <w:p w14:paraId="520FB276" w14:textId="5A9A4C66" w:rsidR="007B1387" w:rsidRPr="009E19A5" w:rsidRDefault="007B1387">
      <w:pPr>
        <w:pStyle w:val="FootnoteText"/>
        <w:rPr>
          <w:sz w:val="16"/>
          <w:szCs w:val="16"/>
        </w:rPr>
      </w:pPr>
      <w:r w:rsidRPr="009E19A5">
        <w:rPr>
          <w:rStyle w:val="FootnoteReference"/>
          <w:sz w:val="16"/>
          <w:szCs w:val="16"/>
        </w:rPr>
        <w:footnoteRef/>
      </w:r>
      <w:r w:rsidRPr="009E19A5">
        <w:rPr>
          <w:sz w:val="16"/>
          <w:szCs w:val="16"/>
        </w:rPr>
        <w:t xml:space="preserve"> </w:t>
      </w:r>
      <w:r w:rsidR="006C4C8D" w:rsidRPr="009E19A5">
        <w:rPr>
          <w:bCs/>
          <w:sz w:val="16"/>
          <w:szCs w:val="16"/>
        </w:rPr>
        <w:t>Ibid</w:t>
      </w:r>
      <w:r w:rsidRPr="009E19A5">
        <w:rPr>
          <w:bCs/>
          <w:sz w:val="16"/>
          <w:szCs w:val="16"/>
        </w:rPr>
        <w:t xml:space="preserve"> 52.</w:t>
      </w:r>
    </w:p>
  </w:footnote>
  <w:footnote w:id="55">
    <w:p w14:paraId="52407E64" w14:textId="380F322C" w:rsidR="00EB4577" w:rsidRPr="009E19A5" w:rsidRDefault="00EB4577">
      <w:pPr>
        <w:pStyle w:val="FootnoteText"/>
        <w:rPr>
          <w:sz w:val="16"/>
          <w:szCs w:val="16"/>
        </w:rPr>
      </w:pPr>
      <w:r w:rsidRPr="009E19A5">
        <w:rPr>
          <w:rStyle w:val="FootnoteReference"/>
          <w:sz w:val="16"/>
          <w:szCs w:val="16"/>
        </w:rPr>
        <w:footnoteRef/>
      </w:r>
      <w:r w:rsidRPr="009E19A5">
        <w:rPr>
          <w:sz w:val="16"/>
          <w:szCs w:val="16"/>
        </w:rPr>
        <w:t xml:space="preserve"> </w:t>
      </w:r>
      <w:r w:rsidRPr="009E19A5">
        <w:rPr>
          <w:i/>
          <w:iCs/>
          <w:sz w:val="16"/>
          <w:szCs w:val="16"/>
        </w:rPr>
        <w:t>Traditional Knowledge Act 2013</w:t>
      </w:r>
      <w:r w:rsidRPr="009E19A5">
        <w:rPr>
          <w:sz w:val="16"/>
          <w:szCs w:val="16"/>
        </w:rPr>
        <w:t xml:space="preserve"> (Cook Islands) s 6(1). </w:t>
      </w:r>
    </w:p>
  </w:footnote>
  <w:footnote w:id="56">
    <w:p w14:paraId="5B51B19A" w14:textId="174D5E14" w:rsidR="0046360D" w:rsidRPr="009E19A5" w:rsidRDefault="0046360D">
      <w:pPr>
        <w:pStyle w:val="FootnoteText"/>
        <w:rPr>
          <w:sz w:val="16"/>
          <w:szCs w:val="16"/>
        </w:rPr>
      </w:pPr>
      <w:r w:rsidRPr="009E19A5">
        <w:rPr>
          <w:rStyle w:val="FootnoteReference"/>
          <w:sz w:val="16"/>
          <w:szCs w:val="16"/>
        </w:rPr>
        <w:footnoteRef/>
      </w:r>
      <w:r w:rsidRPr="009E19A5">
        <w:rPr>
          <w:sz w:val="16"/>
          <w:szCs w:val="16"/>
        </w:rPr>
        <w:t xml:space="preserve"> </w:t>
      </w:r>
      <w:r w:rsidR="006C4C8D" w:rsidRPr="009E19A5">
        <w:rPr>
          <w:sz w:val="16"/>
          <w:szCs w:val="16"/>
        </w:rPr>
        <w:t xml:space="preserve">Fiona </w:t>
      </w:r>
      <w:r w:rsidR="006C4C8D" w:rsidRPr="009E19A5">
        <w:rPr>
          <w:bCs/>
          <w:sz w:val="16"/>
          <w:szCs w:val="16"/>
        </w:rPr>
        <w:t xml:space="preserve">Martin et al (n 45) </w:t>
      </w:r>
      <w:r w:rsidRPr="009E19A5">
        <w:rPr>
          <w:bCs/>
          <w:sz w:val="16"/>
          <w:szCs w:val="16"/>
        </w:rPr>
        <w:t>53.</w:t>
      </w:r>
    </w:p>
  </w:footnote>
  <w:footnote w:id="57">
    <w:p w14:paraId="3F2C441A" w14:textId="150CF9EB" w:rsidR="009D6FFD" w:rsidRPr="009E19A5" w:rsidRDefault="009D6FFD">
      <w:pPr>
        <w:pStyle w:val="FootnoteText"/>
        <w:rPr>
          <w:sz w:val="16"/>
          <w:szCs w:val="16"/>
        </w:rPr>
      </w:pPr>
      <w:r w:rsidRPr="009E19A5">
        <w:rPr>
          <w:rStyle w:val="FootnoteReference"/>
          <w:sz w:val="16"/>
          <w:szCs w:val="16"/>
        </w:rPr>
        <w:footnoteRef/>
      </w:r>
      <w:r w:rsidRPr="009E19A5">
        <w:rPr>
          <w:sz w:val="16"/>
          <w:szCs w:val="16"/>
        </w:rPr>
        <w:t xml:space="preserve"> </w:t>
      </w:r>
      <w:r w:rsidR="006C4C8D" w:rsidRPr="009E19A5">
        <w:rPr>
          <w:bCs/>
          <w:sz w:val="16"/>
          <w:szCs w:val="16"/>
        </w:rPr>
        <w:t>Ibid</w:t>
      </w:r>
      <w:r w:rsidRPr="009E19A5">
        <w:rPr>
          <w:bCs/>
          <w:sz w:val="16"/>
          <w:szCs w:val="16"/>
        </w:rPr>
        <w:t>.</w:t>
      </w:r>
    </w:p>
  </w:footnote>
  <w:footnote w:id="58">
    <w:p w14:paraId="03C85F70" w14:textId="0DB50B40" w:rsidR="00C543C3" w:rsidRPr="009E19A5" w:rsidRDefault="00C543C3">
      <w:pPr>
        <w:pStyle w:val="FootnoteText"/>
        <w:rPr>
          <w:sz w:val="16"/>
          <w:szCs w:val="16"/>
        </w:rPr>
      </w:pPr>
      <w:r w:rsidRPr="009E19A5">
        <w:rPr>
          <w:rStyle w:val="FootnoteReference"/>
          <w:sz w:val="16"/>
          <w:szCs w:val="16"/>
        </w:rPr>
        <w:footnoteRef/>
      </w:r>
      <w:r w:rsidRPr="009E19A5">
        <w:rPr>
          <w:sz w:val="16"/>
          <w:szCs w:val="16"/>
        </w:rPr>
        <w:t xml:space="preserve"> </w:t>
      </w:r>
      <w:r w:rsidR="006C4C8D" w:rsidRPr="009E19A5">
        <w:rPr>
          <w:bCs/>
          <w:sz w:val="16"/>
          <w:szCs w:val="16"/>
        </w:rPr>
        <w:t>Ibid</w:t>
      </w:r>
      <w:r w:rsidRPr="009E19A5">
        <w:rPr>
          <w:bCs/>
          <w:sz w:val="16"/>
          <w:szCs w:val="16"/>
        </w:rPr>
        <w:t xml:space="preserve"> 54.</w:t>
      </w:r>
    </w:p>
  </w:footnote>
  <w:footnote w:id="59">
    <w:p w14:paraId="0F81E15E" w14:textId="4A06739A" w:rsidR="006C7A10" w:rsidRPr="009E19A5" w:rsidRDefault="006C7A10">
      <w:pPr>
        <w:pStyle w:val="FootnoteText"/>
        <w:rPr>
          <w:sz w:val="16"/>
          <w:szCs w:val="16"/>
        </w:rPr>
      </w:pPr>
      <w:r w:rsidRPr="009E19A5">
        <w:rPr>
          <w:rStyle w:val="FootnoteReference"/>
          <w:sz w:val="16"/>
          <w:szCs w:val="16"/>
        </w:rPr>
        <w:footnoteRef/>
      </w:r>
      <w:r w:rsidRPr="009E19A5">
        <w:rPr>
          <w:sz w:val="16"/>
          <w:szCs w:val="16"/>
        </w:rPr>
        <w:t xml:space="preserve"> </w:t>
      </w:r>
      <w:r w:rsidR="006C4C8D" w:rsidRPr="009E19A5">
        <w:rPr>
          <w:bCs/>
          <w:sz w:val="16"/>
          <w:szCs w:val="16"/>
        </w:rPr>
        <w:t>Ibid</w:t>
      </w:r>
      <w:r w:rsidRPr="009E19A5">
        <w:rPr>
          <w:bCs/>
          <w:sz w:val="16"/>
          <w:szCs w:val="16"/>
        </w:rPr>
        <w:t>.</w:t>
      </w:r>
    </w:p>
  </w:footnote>
  <w:footnote w:id="60">
    <w:p w14:paraId="0FFB8A91" w14:textId="18085F79" w:rsidR="001469CA" w:rsidRDefault="001469CA">
      <w:pPr>
        <w:pStyle w:val="FootnoteText"/>
      </w:pPr>
      <w:r w:rsidRPr="009E19A5">
        <w:rPr>
          <w:rStyle w:val="FootnoteReference"/>
          <w:sz w:val="16"/>
          <w:szCs w:val="16"/>
        </w:rPr>
        <w:footnoteRef/>
      </w:r>
      <w:r w:rsidR="00E466D1" w:rsidRPr="009E19A5">
        <w:rPr>
          <w:sz w:val="16"/>
          <w:szCs w:val="16"/>
        </w:rPr>
        <w:t xml:space="preserve"> </w:t>
      </w:r>
      <w:r w:rsidR="008526A8" w:rsidRPr="009E19A5">
        <w:rPr>
          <w:sz w:val="16"/>
          <w:szCs w:val="16"/>
        </w:rPr>
        <w:t xml:space="preserve">‘World Directory of Minorities and Indigenous Peoples – Brazil’, </w:t>
      </w:r>
      <w:r w:rsidR="008526A8" w:rsidRPr="009E19A5">
        <w:rPr>
          <w:i/>
          <w:iCs/>
          <w:sz w:val="16"/>
          <w:szCs w:val="16"/>
        </w:rPr>
        <w:t>UNHCR The UN Refugee Agency</w:t>
      </w:r>
      <w:r w:rsidR="008526A8" w:rsidRPr="009E19A5">
        <w:rPr>
          <w:sz w:val="16"/>
          <w:szCs w:val="16"/>
        </w:rPr>
        <w:t xml:space="preserve"> (Web Page)</w:t>
      </w:r>
      <w:r w:rsidR="00484FD4" w:rsidRPr="009E19A5">
        <w:rPr>
          <w:sz w:val="16"/>
          <w:szCs w:val="16"/>
        </w:rPr>
        <w:t xml:space="preserve"> &lt;</w:t>
      </w:r>
      <w:hyperlink r:id="rId1" w:history="1">
        <w:r w:rsidR="008526A8" w:rsidRPr="009E19A5">
          <w:rPr>
            <w:rStyle w:val="Hyperlink"/>
            <w:sz w:val="16"/>
            <w:szCs w:val="16"/>
          </w:rPr>
          <w:t>https://www.refworld.org/docid/4954ce5a23.html</w:t>
        </w:r>
      </w:hyperlink>
      <w:r w:rsidR="00484FD4" w:rsidRPr="009E19A5">
        <w:rPr>
          <w:sz w:val="16"/>
          <w:szCs w:val="16"/>
        </w:rPr>
        <w:t>&gt;.</w:t>
      </w:r>
      <w:r w:rsidRPr="00484FD4">
        <w:rPr>
          <w:sz w:val="16"/>
          <w:szCs w:val="16"/>
        </w:rPr>
        <w:t xml:space="preserve"> </w:t>
      </w:r>
      <w:r w:rsidR="00663BB7">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175"/>
    <w:multiLevelType w:val="hybridMultilevel"/>
    <w:tmpl w:val="B8087F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9C4609"/>
    <w:multiLevelType w:val="hybridMultilevel"/>
    <w:tmpl w:val="14B0F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196328D"/>
    <w:multiLevelType w:val="hybridMultilevel"/>
    <w:tmpl w:val="61FC5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796230">
    <w:abstractNumId w:val="2"/>
  </w:num>
  <w:num w:numId="2" w16cid:durableId="1328099445">
    <w:abstractNumId w:val="0"/>
  </w:num>
  <w:num w:numId="3" w16cid:durableId="1294405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AC"/>
    <w:rsid w:val="00020203"/>
    <w:rsid w:val="00021410"/>
    <w:rsid w:val="000648AC"/>
    <w:rsid w:val="000C68AE"/>
    <w:rsid w:val="000D4BC6"/>
    <w:rsid w:val="000D4CA4"/>
    <w:rsid w:val="000E0E69"/>
    <w:rsid w:val="000E745C"/>
    <w:rsid w:val="0010169E"/>
    <w:rsid w:val="00126336"/>
    <w:rsid w:val="00132314"/>
    <w:rsid w:val="00141397"/>
    <w:rsid w:val="00145A6D"/>
    <w:rsid w:val="001469CA"/>
    <w:rsid w:val="0015191A"/>
    <w:rsid w:val="001754FC"/>
    <w:rsid w:val="001D4718"/>
    <w:rsid w:val="00233BC6"/>
    <w:rsid w:val="00234A4B"/>
    <w:rsid w:val="002971B8"/>
    <w:rsid w:val="002B0FAC"/>
    <w:rsid w:val="002D45CE"/>
    <w:rsid w:val="002F4D99"/>
    <w:rsid w:val="00322BDC"/>
    <w:rsid w:val="00332EA8"/>
    <w:rsid w:val="00365BBA"/>
    <w:rsid w:val="003C435E"/>
    <w:rsid w:val="003D1961"/>
    <w:rsid w:val="00400B38"/>
    <w:rsid w:val="00423FFA"/>
    <w:rsid w:val="00440AE6"/>
    <w:rsid w:val="0046360D"/>
    <w:rsid w:val="004706B9"/>
    <w:rsid w:val="0047353B"/>
    <w:rsid w:val="00480689"/>
    <w:rsid w:val="00484FD4"/>
    <w:rsid w:val="004859A5"/>
    <w:rsid w:val="00490052"/>
    <w:rsid w:val="004A6E04"/>
    <w:rsid w:val="004B0B03"/>
    <w:rsid w:val="004B0D82"/>
    <w:rsid w:val="004B7AD8"/>
    <w:rsid w:val="004E40FE"/>
    <w:rsid w:val="0050152C"/>
    <w:rsid w:val="00511DC1"/>
    <w:rsid w:val="0052167B"/>
    <w:rsid w:val="00542EB4"/>
    <w:rsid w:val="00585C5E"/>
    <w:rsid w:val="00592E1B"/>
    <w:rsid w:val="00597181"/>
    <w:rsid w:val="005E0011"/>
    <w:rsid w:val="005E1DEA"/>
    <w:rsid w:val="005E4FE7"/>
    <w:rsid w:val="00632727"/>
    <w:rsid w:val="0064270A"/>
    <w:rsid w:val="006611EE"/>
    <w:rsid w:val="00663BB7"/>
    <w:rsid w:val="006A4475"/>
    <w:rsid w:val="006B53B5"/>
    <w:rsid w:val="006C4C8D"/>
    <w:rsid w:val="006C7A10"/>
    <w:rsid w:val="006F48AE"/>
    <w:rsid w:val="00713993"/>
    <w:rsid w:val="0073659C"/>
    <w:rsid w:val="00744E8F"/>
    <w:rsid w:val="007534F6"/>
    <w:rsid w:val="007567B5"/>
    <w:rsid w:val="007729E5"/>
    <w:rsid w:val="007745BE"/>
    <w:rsid w:val="00796D85"/>
    <w:rsid w:val="007A3791"/>
    <w:rsid w:val="007B1387"/>
    <w:rsid w:val="007F3F22"/>
    <w:rsid w:val="007F7734"/>
    <w:rsid w:val="0080200E"/>
    <w:rsid w:val="00806EED"/>
    <w:rsid w:val="00841082"/>
    <w:rsid w:val="008526A8"/>
    <w:rsid w:val="00856A46"/>
    <w:rsid w:val="00862766"/>
    <w:rsid w:val="0090144F"/>
    <w:rsid w:val="00915767"/>
    <w:rsid w:val="009376C3"/>
    <w:rsid w:val="00956489"/>
    <w:rsid w:val="009565D0"/>
    <w:rsid w:val="009B51AF"/>
    <w:rsid w:val="009B6847"/>
    <w:rsid w:val="009C34E2"/>
    <w:rsid w:val="009C3CA7"/>
    <w:rsid w:val="009D6FFD"/>
    <w:rsid w:val="009E19A5"/>
    <w:rsid w:val="009F4682"/>
    <w:rsid w:val="00A1667C"/>
    <w:rsid w:val="00A4156F"/>
    <w:rsid w:val="00A649BB"/>
    <w:rsid w:val="00A81BCF"/>
    <w:rsid w:val="00AA3B3B"/>
    <w:rsid w:val="00AB48BD"/>
    <w:rsid w:val="00AC6741"/>
    <w:rsid w:val="00AF09C4"/>
    <w:rsid w:val="00AF2E65"/>
    <w:rsid w:val="00B05997"/>
    <w:rsid w:val="00B10830"/>
    <w:rsid w:val="00B577FD"/>
    <w:rsid w:val="00B9014E"/>
    <w:rsid w:val="00B91DAE"/>
    <w:rsid w:val="00B966D3"/>
    <w:rsid w:val="00BA47AF"/>
    <w:rsid w:val="00BD2C60"/>
    <w:rsid w:val="00BF5B95"/>
    <w:rsid w:val="00C03ADD"/>
    <w:rsid w:val="00C26826"/>
    <w:rsid w:val="00C543C3"/>
    <w:rsid w:val="00C556CC"/>
    <w:rsid w:val="00C631DF"/>
    <w:rsid w:val="00C91ED4"/>
    <w:rsid w:val="00CB7C35"/>
    <w:rsid w:val="00CF3F32"/>
    <w:rsid w:val="00D35A4C"/>
    <w:rsid w:val="00D464B1"/>
    <w:rsid w:val="00D57BA6"/>
    <w:rsid w:val="00D72B9F"/>
    <w:rsid w:val="00D72D72"/>
    <w:rsid w:val="00D77C4B"/>
    <w:rsid w:val="00D80620"/>
    <w:rsid w:val="00DA01B4"/>
    <w:rsid w:val="00DA770E"/>
    <w:rsid w:val="00DB247B"/>
    <w:rsid w:val="00DB7EAB"/>
    <w:rsid w:val="00DC0255"/>
    <w:rsid w:val="00DF70FD"/>
    <w:rsid w:val="00E0296F"/>
    <w:rsid w:val="00E2584F"/>
    <w:rsid w:val="00E2593A"/>
    <w:rsid w:val="00E3487F"/>
    <w:rsid w:val="00E35052"/>
    <w:rsid w:val="00E466D1"/>
    <w:rsid w:val="00E93E1B"/>
    <w:rsid w:val="00E93E33"/>
    <w:rsid w:val="00EA0A3E"/>
    <w:rsid w:val="00EB4577"/>
    <w:rsid w:val="00EF3B8B"/>
    <w:rsid w:val="00F26188"/>
    <w:rsid w:val="00F76115"/>
    <w:rsid w:val="00F84A14"/>
    <w:rsid w:val="00F94545"/>
    <w:rsid w:val="00F978EB"/>
    <w:rsid w:val="00FA382F"/>
    <w:rsid w:val="00FC5462"/>
    <w:rsid w:val="00FC5F36"/>
    <w:rsid w:val="00FE226A"/>
    <w:rsid w:val="00FF4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B910B"/>
  <w15:chartTrackingRefBased/>
  <w15:docId w15:val="{7884C6E3-53A3-4CDA-98D4-A3DD74D7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8AC"/>
    <w:pPr>
      <w:spacing w:after="0" w:line="240" w:lineRule="auto"/>
    </w:pPr>
  </w:style>
  <w:style w:type="character" w:styleId="IntenseReference">
    <w:name w:val="Intense Reference"/>
    <w:basedOn w:val="DefaultParagraphFont"/>
    <w:uiPriority w:val="32"/>
    <w:qFormat/>
    <w:rsid w:val="00DB247B"/>
    <w:rPr>
      <w:b/>
      <w:bCs/>
      <w:smallCaps/>
      <w:color w:val="4472C4" w:themeColor="accent1"/>
      <w:spacing w:val="5"/>
    </w:rPr>
  </w:style>
  <w:style w:type="character" w:styleId="SubtleEmphasis">
    <w:name w:val="Subtle Emphasis"/>
    <w:basedOn w:val="DefaultParagraphFont"/>
    <w:uiPriority w:val="19"/>
    <w:qFormat/>
    <w:rsid w:val="00DB247B"/>
    <w:rPr>
      <w:i/>
      <w:iCs/>
      <w:color w:val="404040" w:themeColor="text1" w:themeTint="BF"/>
    </w:rPr>
  </w:style>
  <w:style w:type="character" w:styleId="Emphasis">
    <w:name w:val="Emphasis"/>
    <w:basedOn w:val="DefaultParagraphFont"/>
    <w:uiPriority w:val="20"/>
    <w:qFormat/>
    <w:rsid w:val="00DB247B"/>
    <w:rPr>
      <w:i/>
      <w:iCs/>
    </w:rPr>
  </w:style>
  <w:style w:type="character" w:styleId="BookTitle">
    <w:name w:val="Book Title"/>
    <w:basedOn w:val="DefaultParagraphFont"/>
    <w:uiPriority w:val="33"/>
    <w:qFormat/>
    <w:rsid w:val="00DB247B"/>
    <w:rPr>
      <w:b/>
      <w:bCs/>
      <w:i/>
      <w:iCs/>
      <w:spacing w:val="5"/>
    </w:rPr>
  </w:style>
  <w:style w:type="character" w:styleId="SubtleReference">
    <w:name w:val="Subtle Reference"/>
    <w:basedOn w:val="DefaultParagraphFont"/>
    <w:uiPriority w:val="31"/>
    <w:qFormat/>
    <w:rsid w:val="007534F6"/>
    <w:rPr>
      <w:smallCaps/>
      <w:color w:val="5A5A5A" w:themeColor="text1" w:themeTint="A5"/>
    </w:rPr>
  </w:style>
  <w:style w:type="paragraph" w:styleId="FootnoteText">
    <w:name w:val="footnote text"/>
    <w:basedOn w:val="Normal"/>
    <w:link w:val="FootnoteTextChar"/>
    <w:uiPriority w:val="99"/>
    <w:semiHidden/>
    <w:unhideWhenUsed/>
    <w:rsid w:val="007534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4F6"/>
    <w:rPr>
      <w:sz w:val="20"/>
      <w:szCs w:val="20"/>
    </w:rPr>
  </w:style>
  <w:style w:type="character" w:styleId="FootnoteReference">
    <w:name w:val="footnote reference"/>
    <w:basedOn w:val="DefaultParagraphFont"/>
    <w:uiPriority w:val="99"/>
    <w:semiHidden/>
    <w:unhideWhenUsed/>
    <w:rsid w:val="007534F6"/>
    <w:rPr>
      <w:vertAlign w:val="superscript"/>
    </w:rPr>
  </w:style>
  <w:style w:type="paragraph" w:customStyle="1" w:styleId="xmsonospacing">
    <w:name w:val="x_msonospacing"/>
    <w:basedOn w:val="Normal"/>
    <w:rsid w:val="00BD2C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469CA"/>
    <w:rPr>
      <w:color w:val="0563C1" w:themeColor="hyperlink"/>
      <w:u w:val="single"/>
    </w:rPr>
  </w:style>
  <w:style w:type="character" w:styleId="UnresolvedMention">
    <w:name w:val="Unresolved Mention"/>
    <w:basedOn w:val="DefaultParagraphFont"/>
    <w:uiPriority w:val="99"/>
    <w:semiHidden/>
    <w:unhideWhenUsed/>
    <w:rsid w:val="001469CA"/>
    <w:rPr>
      <w:color w:val="605E5C"/>
      <w:shd w:val="clear" w:color="auto" w:fill="E1DFDD"/>
    </w:rPr>
  </w:style>
  <w:style w:type="character" w:styleId="FollowedHyperlink">
    <w:name w:val="FollowedHyperlink"/>
    <w:basedOn w:val="DefaultParagraphFont"/>
    <w:uiPriority w:val="99"/>
    <w:semiHidden/>
    <w:unhideWhenUsed/>
    <w:rsid w:val="008526A8"/>
    <w:rPr>
      <w:color w:val="954F72" w:themeColor="followedHyperlink"/>
      <w:u w:val="single"/>
    </w:rPr>
  </w:style>
  <w:style w:type="paragraph" w:styleId="Revision">
    <w:name w:val="Revision"/>
    <w:hidden/>
    <w:uiPriority w:val="99"/>
    <w:semiHidden/>
    <w:rsid w:val="00D464B1"/>
    <w:pPr>
      <w:spacing w:after="0" w:line="240" w:lineRule="auto"/>
    </w:pPr>
  </w:style>
  <w:style w:type="character" w:styleId="CommentReference">
    <w:name w:val="annotation reference"/>
    <w:basedOn w:val="DefaultParagraphFont"/>
    <w:uiPriority w:val="99"/>
    <w:semiHidden/>
    <w:unhideWhenUsed/>
    <w:rsid w:val="00915767"/>
    <w:rPr>
      <w:sz w:val="16"/>
      <w:szCs w:val="16"/>
    </w:rPr>
  </w:style>
  <w:style w:type="paragraph" w:styleId="CommentText">
    <w:name w:val="annotation text"/>
    <w:basedOn w:val="Normal"/>
    <w:link w:val="CommentTextChar"/>
    <w:uiPriority w:val="99"/>
    <w:semiHidden/>
    <w:unhideWhenUsed/>
    <w:rsid w:val="00915767"/>
    <w:pPr>
      <w:spacing w:line="240" w:lineRule="auto"/>
    </w:pPr>
    <w:rPr>
      <w:sz w:val="20"/>
      <w:szCs w:val="20"/>
    </w:rPr>
  </w:style>
  <w:style w:type="character" w:customStyle="1" w:styleId="CommentTextChar">
    <w:name w:val="Comment Text Char"/>
    <w:basedOn w:val="DefaultParagraphFont"/>
    <w:link w:val="CommentText"/>
    <w:uiPriority w:val="99"/>
    <w:semiHidden/>
    <w:rsid w:val="00915767"/>
    <w:rPr>
      <w:sz w:val="20"/>
      <w:szCs w:val="20"/>
    </w:rPr>
  </w:style>
  <w:style w:type="paragraph" w:styleId="CommentSubject">
    <w:name w:val="annotation subject"/>
    <w:basedOn w:val="CommentText"/>
    <w:next w:val="CommentText"/>
    <w:link w:val="CommentSubjectChar"/>
    <w:uiPriority w:val="99"/>
    <w:semiHidden/>
    <w:unhideWhenUsed/>
    <w:rsid w:val="00915767"/>
    <w:rPr>
      <w:b/>
      <w:bCs/>
    </w:rPr>
  </w:style>
  <w:style w:type="character" w:customStyle="1" w:styleId="CommentSubjectChar">
    <w:name w:val="Comment Subject Char"/>
    <w:basedOn w:val="CommentTextChar"/>
    <w:link w:val="CommentSubject"/>
    <w:uiPriority w:val="99"/>
    <w:semiHidden/>
    <w:rsid w:val="009157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fworld.org/docid/4954ce5a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A0B6-48F4-4AEA-A5B9-04DE4035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1992</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Submission 22 - Amy Whinn - Aboriginal and Torres Strait Islander Visual Arts and Crafts - Commissioned study</vt:lpstr>
    </vt:vector>
  </TitlesOfParts>
  <Company>Amy Whinn</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Amy Whinn - Aboriginal and Torres Strait Islander Visual Arts and Crafts - Commissioned study</dc:title>
  <dc:subject/>
  <dc:creator>Amy Whinn</dc:creator>
  <cp:keywords/>
  <dc:description/>
  <cp:lastModifiedBy>Chris Alston</cp:lastModifiedBy>
  <cp:revision>3</cp:revision>
  <dcterms:created xsi:type="dcterms:W3CDTF">2021-12-20T02:59:00Z</dcterms:created>
  <dcterms:modified xsi:type="dcterms:W3CDTF">2022-12-14T02:51:00Z</dcterms:modified>
</cp:coreProperties>
</file>