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BEFA" w14:textId="4B807CE3" w:rsidR="007A2D21" w:rsidRDefault="007A2D21" w:rsidP="007A2D21">
      <w:pPr>
        <w:jc w:val="center"/>
        <w:rPr>
          <w:rFonts w:ascii="Gill Sans Light" w:hAnsi="Gill Sans Light" w:cs="Gill Sans Light"/>
        </w:rPr>
      </w:pPr>
    </w:p>
    <w:p w14:paraId="06E31B37" w14:textId="77777777" w:rsidR="00DD649E" w:rsidRDefault="00DD649E" w:rsidP="007A2D21">
      <w:pPr>
        <w:jc w:val="center"/>
        <w:rPr>
          <w:rFonts w:ascii="Gill Sans Light" w:hAnsi="Gill Sans Light" w:cs="Gill Sans Light"/>
        </w:rPr>
      </w:pPr>
    </w:p>
    <w:p w14:paraId="167D0618" w14:textId="555F788C" w:rsidR="007A2D21" w:rsidRDefault="007A2D21" w:rsidP="007A2D21">
      <w:pPr>
        <w:jc w:val="center"/>
        <w:rPr>
          <w:rFonts w:ascii="Gill Sans Light" w:hAnsi="Gill Sans Light" w:cs="Gill Sans Light"/>
          <w:b/>
          <w:bCs/>
          <w:color w:val="0C2D6D"/>
        </w:rPr>
      </w:pPr>
      <w:r w:rsidRPr="007A2D21">
        <w:rPr>
          <w:rFonts w:ascii="Gill Sans Light" w:hAnsi="Gill Sans Light" w:cs="Gill Sans Light"/>
          <w:b/>
          <w:bCs/>
          <w:color w:val="0C2D6D"/>
        </w:rPr>
        <w:t>FUTURE FOUNDATIONS IN GIVING</w:t>
      </w:r>
      <w:r>
        <w:rPr>
          <w:rFonts w:ascii="Gill Sans Light" w:hAnsi="Gill Sans Light" w:cs="Gill Sans Light"/>
          <w:b/>
          <w:bCs/>
          <w:color w:val="0C2D6D"/>
        </w:rPr>
        <w:t>:</w:t>
      </w:r>
    </w:p>
    <w:p w14:paraId="590FA2E1" w14:textId="100E7A78" w:rsidR="00772BE0" w:rsidRDefault="007A2D21" w:rsidP="007A2D21">
      <w:pPr>
        <w:pBdr>
          <w:bottom w:val="single" w:sz="4" w:space="1" w:color="auto"/>
        </w:pBdr>
        <w:jc w:val="center"/>
        <w:rPr>
          <w:rFonts w:ascii="Gill Sans Light" w:hAnsi="Gill Sans Light" w:cs="Gill Sans Light"/>
          <w:b/>
          <w:bCs/>
          <w:color w:val="0C2D6D"/>
        </w:rPr>
      </w:pPr>
      <w:r>
        <w:rPr>
          <w:rFonts w:ascii="Gill Sans Light" w:hAnsi="Gill Sans Light" w:cs="Gill Sans Light"/>
          <w:b/>
          <w:bCs/>
          <w:color w:val="0C2D6D"/>
        </w:rPr>
        <w:t>SUBMISSION FROM CATHOLIC EDUCATION TASMANIA</w:t>
      </w:r>
    </w:p>
    <w:p w14:paraId="303306AC" w14:textId="77777777" w:rsidR="007A2D21" w:rsidRPr="007A2D21" w:rsidRDefault="007A2D21" w:rsidP="007A2D21">
      <w:pPr>
        <w:pBdr>
          <w:bottom w:val="single" w:sz="4" w:space="1" w:color="auto"/>
        </w:pBdr>
        <w:jc w:val="center"/>
        <w:rPr>
          <w:rFonts w:ascii="Gill Sans Light" w:hAnsi="Gill Sans Light" w:cs="Gill Sans Light"/>
          <w:b/>
          <w:bCs/>
          <w:color w:val="0C2D6D"/>
        </w:rPr>
      </w:pPr>
    </w:p>
    <w:p w14:paraId="0E8283B6" w14:textId="16CEDB03" w:rsidR="00425F3F" w:rsidRDefault="00425F3F" w:rsidP="00772BE0">
      <w:pPr>
        <w:rPr>
          <w:rFonts w:ascii="Gill Sans Light" w:hAnsi="Gill Sans Light" w:cs="Gill Sans Light"/>
        </w:rPr>
      </w:pPr>
    </w:p>
    <w:p w14:paraId="31D93BE7" w14:textId="41678A15" w:rsidR="00425F3F" w:rsidRDefault="00425F3F" w:rsidP="00425F3F">
      <w:pPr>
        <w:rPr>
          <w:rFonts w:ascii="Gill Sans Light" w:hAnsi="Gill Sans Light" w:cs="Gill Sans Light"/>
        </w:rPr>
      </w:pPr>
      <w:r w:rsidRPr="00425F3F">
        <w:rPr>
          <w:rFonts w:ascii="Gill Sans Light" w:hAnsi="Gill Sans Light" w:cs="Gill Sans Light"/>
        </w:rPr>
        <w:t xml:space="preserve">This submission is made on behalf of the </w:t>
      </w:r>
      <w:r w:rsidR="000E543B" w:rsidRPr="000E543B">
        <w:rPr>
          <w:rFonts w:ascii="Gill Sans Light" w:hAnsi="Gill Sans Light" w:cs="Gill Sans Light"/>
        </w:rPr>
        <w:t>Catholic Education Tasmania</w:t>
      </w:r>
      <w:r w:rsidRPr="000E543B">
        <w:rPr>
          <w:rFonts w:ascii="Gill Sans Light" w:hAnsi="Gill Sans Light" w:cs="Gill Sans Light"/>
        </w:rPr>
        <w:t xml:space="preserve"> (</w:t>
      </w:r>
      <w:r w:rsidR="000E543B" w:rsidRPr="000E543B">
        <w:rPr>
          <w:rFonts w:ascii="Gill Sans Light" w:hAnsi="Gill Sans Light" w:cs="Gill Sans Light"/>
        </w:rPr>
        <w:t>CET</w:t>
      </w:r>
      <w:r w:rsidRPr="000E543B">
        <w:rPr>
          <w:rFonts w:ascii="Gill Sans Light" w:hAnsi="Gill Sans Light" w:cs="Gill Sans Light"/>
        </w:rPr>
        <w:t xml:space="preserve">). </w:t>
      </w:r>
      <w:r w:rsidR="000E543B" w:rsidRPr="000E543B">
        <w:rPr>
          <w:rFonts w:ascii="Gill Sans Light" w:hAnsi="Gill Sans Light" w:cs="Gill Sans Light"/>
        </w:rPr>
        <w:t>CET</w:t>
      </w:r>
      <w:r w:rsidRPr="000E543B">
        <w:rPr>
          <w:rFonts w:ascii="Gill Sans Light" w:hAnsi="Gill Sans Light" w:cs="Gill Sans Light"/>
        </w:rPr>
        <w:t xml:space="preserve"> </w:t>
      </w:r>
      <w:r w:rsidR="00C8262B">
        <w:rPr>
          <w:rFonts w:ascii="Gill Sans Light" w:hAnsi="Gill Sans Light" w:cs="Gill Sans Light"/>
        </w:rPr>
        <w:t>oversees</w:t>
      </w:r>
      <w:r w:rsidRPr="00425F3F">
        <w:rPr>
          <w:rFonts w:ascii="Gill Sans Light" w:hAnsi="Gill Sans Light" w:cs="Gill Sans Light"/>
        </w:rPr>
        <w:t xml:space="preserve"> </w:t>
      </w:r>
      <w:proofErr w:type="gramStart"/>
      <w:r w:rsidRPr="00425F3F">
        <w:rPr>
          <w:rFonts w:ascii="Gill Sans Light" w:hAnsi="Gill Sans Light" w:cs="Gill Sans Light"/>
        </w:rPr>
        <w:t>38  schools</w:t>
      </w:r>
      <w:proofErr w:type="gramEnd"/>
      <w:r w:rsidRPr="00425F3F">
        <w:rPr>
          <w:rFonts w:ascii="Gill Sans Light" w:hAnsi="Gill Sans Light" w:cs="Gill Sans Light"/>
        </w:rPr>
        <w:t xml:space="preserve">, educating 17,000 </w:t>
      </w:r>
      <w:r w:rsidR="00C8262B">
        <w:rPr>
          <w:rFonts w:ascii="Gill Sans Light" w:hAnsi="Gill Sans Light" w:cs="Gill Sans Light"/>
        </w:rPr>
        <w:t>students</w:t>
      </w:r>
      <w:r w:rsidRPr="00425F3F">
        <w:rPr>
          <w:rFonts w:ascii="Gill Sans Light" w:hAnsi="Gill Sans Light" w:cs="Gill Sans Light"/>
        </w:rPr>
        <w:t xml:space="preserve"> and employing 3,500 staff. It has been doing this for 60 years.</w:t>
      </w:r>
    </w:p>
    <w:p w14:paraId="74C2ECB9" w14:textId="77777777" w:rsidR="00425F3F" w:rsidRPr="00425F3F" w:rsidRDefault="00425F3F" w:rsidP="00425F3F">
      <w:pPr>
        <w:rPr>
          <w:rFonts w:ascii="Gill Sans Light" w:hAnsi="Gill Sans Light" w:cs="Gill Sans Light"/>
        </w:rPr>
      </w:pPr>
    </w:p>
    <w:p w14:paraId="75DBDC7D" w14:textId="192DF8EB" w:rsidR="00425F3F" w:rsidRDefault="000E543B" w:rsidP="00425F3F">
      <w:pPr>
        <w:rPr>
          <w:rFonts w:ascii="Gill Sans Light" w:hAnsi="Gill Sans Light" w:cs="Gill Sans Light"/>
        </w:rPr>
      </w:pPr>
      <w:r w:rsidRPr="000E543B">
        <w:rPr>
          <w:rFonts w:ascii="Gill Sans Light" w:hAnsi="Gill Sans Light" w:cs="Gill Sans Light"/>
        </w:rPr>
        <w:t>CET</w:t>
      </w:r>
      <w:r w:rsidR="00425F3F" w:rsidRPr="00425F3F">
        <w:rPr>
          <w:rFonts w:ascii="Gill Sans Light" w:hAnsi="Gill Sans Light" w:cs="Gill Sans Light"/>
        </w:rPr>
        <w:t xml:space="preserve"> strongly objects to key recommendations in the Productivity Commission Draft Report on Philanthropy (the Draft Report), published 30 November 2023. In summary, we urge the Government to reject draft recommendation 6.1, particularly its elements which would:</w:t>
      </w:r>
    </w:p>
    <w:p w14:paraId="62617ED0" w14:textId="77777777" w:rsidR="007A2D21" w:rsidRPr="00425F3F" w:rsidRDefault="007A2D21" w:rsidP="00425F3F">
      <w:pPr>
        <w:rPr>
          <w:rFonts w:ascii="Gill Sans Light" w:hAnsi="Gill Sans Light" w:cs="Gill Sans Light"/>
        </w:rPr>
      </w:pPr>
    </w:p>
    <w:p w14:paraId="0EA6A3DF" w14:textId="77777777" w:rsidR="00425F3F" w:rsidRPr="00425F3F" w:rsidRDefault="00425F3F" w:rsidP="00425F3F">
      <w:pPr>
        <w:pStyle w:val="ListParagraph"/>
        <w:numPr>
          <w:ilvl w:val="0"/>
          <w:numId w:val="9"/>
        </w:numPr>
        <w:rPr>
          <w:rFonts w:ascii="Gill Sans Light" w:hAnsi="Gill Sans Light" w:cs="Gill Sans Light"/>
        </w:rPr>
      </w:pPr>
      <w:r w:rsidRPr="00425F3F">
        <w:rPr>
          <w:rFonts w:ascii="Gill Sans Light" w:hAnsi="Gill Sans Light" w:cs="Gill Sans Light"/>
        </w:rPr>
        <w:t xml:space="preserve">remove DGR status for donations made to school building </w:t>
      </w:r>
      <w:proofErr w:type="gramStart"/>
      <w:r w:rsidRPr="00425F3F">
        <w:rPr>
          <w:rFonts w:ascii="Gill Sans Light" w:hAnsi="Gill Sans Light" w:cs="Gill Sans Light"/>
        </w:rPr>
        <w:t>funds;</w:t>
      </w:r>
      <w:proofErr w:type="gramEnd"/>
      <w:r w:rsidRPr="00425F3F">
        <w:rPr>
          <w:rFonts w:ascii="Gill Sans Light" w:hAnsi="Gill Sans Light" w:cs="Gill Sans Light"/>
        </w:rPr>
        <w:t xml:space="preserve"> </w:t>
      </w:r>
    </w:p>
    <w:p w14:paraId="29E94A40" w14:textId="77777777" w:rsidR="00425F3F" w:rsidRPr="00425F3F" w:rsidRDefault="00425F3F" w:rsidP="00425F3F">
      <w:pPr>
        <w:pStyle w:val="ListParagraph"/>
        <w:numPr>
          <w:ilvl w:val="0"/>
          <w:numId w:val="9"/>
        </w:numPr>
        <w:rPr>
          <w:rFonts w:ascii="Gill Sans Light" w:hAnsi="Gill Sans Light" w:cs="Gill Sans Light"/>
        </w:rPr>
      </w:pPr>
      <w:r w:rsidRPr="00425F3F">
        <w:rPr>
          <w:rFonts w:ascii="Gill Sans Light" w:hAnsi="Gill Sans Light" w:cs="Gill Sans Light"/>
        </w:rPr>
        <w:t xml:space="preserve">abolish basic religious </w:t>
      </w:r>
      <w:proofErr w:type="gramStart"/>
      <w:r w:rsidRPr="00425F3F">
        <w:rPr>
          <w:rFonts w:ascii="Gill Sans Light" w:hAnsi="Gill Sans Light" w:cs="Gill Sans Light"/>
        </w:rPr>
        <w:t>charities;</w:t>
      </w:r>
      <w:proofErr w:type="gramEnd"/>
      <w:r w:rsidRPr="00425F3F">
        <w:rPr>
          <w:rFonts w:ascii="Gill Sans Light" w:hAnsi="Gill Sans Light" w:cs="Gill Sans Light"/>
        </w:rPr>
        <w:t xml:space="preserve"> </w:t>
      </w:r>
    </w:p>
    <w:p w14:paraId="75D2417A" w14:textId="77777777" w:rsidR="00425F3F" w:rsidRPr="00425F3F" w:rsidRDefault="00425F3F" w:rsidP="00425F3F">
      <w:pPr>
        <w:pStyle w:val="ListParagraph"/>
        <w:numPr>
          <w:ilvl w:val="0"/>
          <w:numId w:val="9"/>
        </w:numPr>
        <w:rPr>
          <w:rFonts w:ascii="Gill Sans Light" w:hAnsi="Gill Sans Light" w:cs="Gill Sans Light"/>
        </w:rPr>
      </w:pPr>
      <w:r w:rsidRPr="00425F3F">
        <w:rPr>
          <w:rFonts w:ascii="Gill Sans Light" w:hAnsi="Gill Sans Light" w:cs="Gill Sans Light"/>
        </w:rPr>
        <w:t xml:space="preserve">remove DGR status for ‘primary, secondary, religious and other informal education </w:t>
      </w:r>
      <w:proofErr w:type="gramStart"/>
      <w:r w:rsidRPr="00425F3F">
        <w:rPr>
          <w:rFonts w:ascii="Gill Sans Light" w:hAnsi="Gill Sans Light" w:cs="Gill Sans Light"/>
        </w:rPr>
        <w:t>activities’</w:t>
      </w:r>
      <w:proofErr w:type="gramEnd"/>
    </w:p>
    <w:p w14:paraId="1E26E96C" w14:textId="3451D326" w:rsidR="00425F3F" w:rsidRPr="00425F3F" w:rsidRDefault="00425F3F" w:rsidP="00425F3F">
      <w:pPr>
        <w:pStyle w:val="ListParagraph"/>
        <w:numPr>
          <w:ilvl w:val="0"/>
          <w:numId w:val="9"/>
        </w:numPr>
        <w:rPr>
          <w:rFonts w:ascii="Gill Sans Light" w:hAnsi="Gill Sans Light" w:cs="Gill Sans Light"/>
        </w:rPr>
      </w:pPr>
      <w:r w:rsidRPr="00425F3F">
        <w:rPr>
          <w:rFonts w:ascii="Gill Sans Light" w:hAnsi="Gill Sans Light" w:cs="Gill Sans Light"/>
        </w:rPr>
        <w:t>grant DGR status to virtually every charitable subtype while specifically excluding the subtype advancing religion.</w:t>
      </w:r>
    </w:p>
    <w:p w14:paraId="7FB29214" w14:textId="77777777" w:rsidR="00425F3F" w:rsidRDefault="00425F3F" w:rsidP="00425F3F"/>
    <w:p w14:paraId="55D590B3" w14:textId="35A11515" w:rsidR="00425F3F" w:rsidRDefault="00425F3F" w:rsidP="00425F3F">
      <w:pPr>
        <w:rPr>
          <w:rFonts w:ascii="Gill Sans Light" w:hAnsi="Gill Sans Light" w:cs="Gill Sans Light"/>
        </w:rPr>
      </w:pPr>
      <w:r w:rsidRPr="00425F3F">
        <w:rPr>
          <w:rFonts w:ascii="Gill Sans Light" w:hAnsi="Gill Sans Light" w:cs="Gill Sans Light"/>
        </w:rPr>
        <w:t xml:space="preserve">Taken together, these recommendations represent a major attack on religion, religious observance, religious </w:t>
      </w:r>
      <w:proofErr w:type="gramStart"/>
      <w:r w:rsidRPr="00425F3F">
        <w:rPr>
          <w:rFonts w:ascii="Gill Sans Light" w:hAnsi="Gill Sans Light" w:cs="Gill Sans Light"/>
        </w:rPr>
        <w:t>education</w:t>
      </w:r>
      <w:proofErr w:type="gramEnd"/>
      <w:r w:rsidRPr="00425F3F">
        <w:rPr>
          <w:rFonts w:ascii="Gill Sans Light" w:hAnsi="Gill Sans Light" w:cs="Gill Sans Light"/>
        </w:rPr>
        <w:t xml:space="preserve"> and people of faith in this country. </w:t>
      </w:r>
    </w:p>
    <w:p w14:paraId="4D8D24EB" w14:textId="77777777" w:rsidR="00425F3F" w:rsidRPr="00425F3F" w:rsidRDefault="00425F3F" w:rsidP="00425F3F">
      <w:pPr>
        <w:rPr>
          <w:rFonts w:ascii="Gill Sans Light" w:hAnsi="Gill Sans Light" w:cs="Gill Sans Light"/>
        </w:rPr>
      </w:pPr>
    </w:p>
    <w:p w14:paraId="7D1D1344" w14:textId="7627B6FD" w:rsidR="00425F3F" w:rsidRDefault="00425F3F" w:rsidP="00425F3F">
      <w:pPr>
        <w:rPr>
          <w:rFonts w:ascii="Gill Sans Light" w:hAnsi="Gill Sans Light" w:cs="Gill Sans Light"/>
        </w:rPr>
      </w:pPr>
      <w:r w:rsidRPr="00425F3F">
        <w:rPr>
          <w:rFonts w:ascii="Gill Sans Light" w:hAnsi="Gill Sans Light" w:cs="Gill Sans Light"/>
        </w:rPr>
        <w:t>The message in this productivity commission report is that religious faith has little or no societal value. It places virtually every other conceivable charitable purpose as being inherently superior to religion. It ignores hundreds of years of history in Australia where religious faith has inspired countless Australians to set up hospitals, schools, homeless shelters, soup kitchens, prison ministries, drug and alcohol rehab, aged care facilities, migrant and refugee support and many other works of charity. It seeks to sever the link between religion and good works and ignores the fact that it has so often been</w:t>
      </w:r>
      <w:r w:rsidR="00C8262B">
        <w:rPr>
          <w:rFonts w:ascii="Gill Sans Light" w:hAnsi="Gill Sans Light" w:cs="Gill Sans Light"/>
        </w:rPr>
        <w:t xml:space="preserve"> religious </w:t>
      </w:r>
      <w:r w:rsidRPr="00425F3F">
        <w:rPr>
          <w:rFonts w:ascii="Gill Sans Light" w:hAnsi="Gill Sans Light" w:cs="Gill Sans Light"/>
        </w:rPr>
        <w:t xml:space="preserve">faith which has inspired people to step up and help their fellow citizen. </w:t>
      </w:r>
    </w:p>
    <w:p w14:paraId="10038AFA" w14:textId="77777777" w:rsidR="00425F3F" w:rsidRPr="00425F3F" w:rsidRDefault="00425F3F" w:rsidP="00425F3F">
      <w:pPr>
        <w:rPr>
          <w:rFonts w:ascii="Gill Sans Light" w:hAnsi="Gill Sans Light" w:cs="Gill Sans Light"/>
        </w:rPr>
      </w:pPr>
    </w:p>
    <w:p w14:paraId="5F791BA6" w14:textId="516CC785" w:rsidR="00425F3F" w:rsidRDefault="00C8262B" w:rsidP="00425F3F">
      <w:pPr>
        <w:rPr>
          <w:rFonts w:ascii="Gill Sans Light" w:hAnsi="Gill Sans Light" w:cs="Gill Sans Light"/>
        </w:rPr>
      </w:pPr>
      <w:r>
        <w:rPr>
          <w:rFonts w:ascii="Gill Sans Light" w:hAnsi="Gill Sans Light" w:cs="Gill Sans Light"/>
        </w:rPr>
        <w:t>The</w:t>
      </w:r>
      <w:r w:rsidR="00425F3F" w:rsidRPr="00425F3F">
        <w:rPr>
          <w:rFonts w:ascii="Gill Sans Light" w:hAnsi="Gill Sans Light" w:cs="Gill Sans Light"/>
        </w:rPr>
        <w:t xml:space="preserve"> Draft Report highlights the fact that: </w:t>
      </w:r>
    </w:p>
    <w:p w14:paraId="74DF18EE" w14:textId="77777777" w:rsidR="00425F3F" w:rsidRPr="007D51EB" w:rsidRDefault="00425F3F" w:rsidP="00425F3F">
      <w:pPr>
        <w:rPr>
          <w:rFonts w:ascii="Gill Sans Light" w:hAnsi="Gill Sans Light" w:cs="Gill Sans Light"/>
        </w:rPr>
      </w:pPr>
    </w:p>
    <w:p w14:paraId="4426AA90" w14:textId="77777777" w:rsidR="00425F3F" w:rsidRPr="007D51EB" w:rsidRDefault="00425F3F" w:rsidP="00425F3F">
      <w:pPr>
        <w:ind w:left="720"/>
        <w:rPr>
          <w:rFonts w:ascii="Gill Sans Light" w:hAnsi="Gill Sans Light" w:cs="Gill Sans Light"/>
          <w:i/>
          <w:iCs/>
        </w:rPr>
      </w:pPr>
      <w:r w:rsidRPr="007D51EB">
        <w:rPr>
          <w:rFonts w:ascii="Gill Sans Light" w:hAnsi="Gill Sans Light" w:cs="Gill Sans Light"/>
          <w:i/>
          <w:iCs/>
        </w:rPr>
        <w:t>“</w:t>
      </w:r>
      <w:proofErr w:type="gramStart"/>
      <w:r w:rsidRPr="007D51EB">
        <w:rPr>
          <w:rFonts w:ascii="Gill Sans Light" w:hAnsi="Gill Sans Light" w:cs="Gill Sans Light"/>
          <w:i/>
          <w:iCs/>
        </w:rPr>
        <w:t>the</w:t>
      </w:r>
      <w:proofErr w:type="gramEnd"/>
      <w:r w:rsidRPr="007D51EB">
        <w:rPr>
          <w:rFonts w:ascii="Gill Sans Light" w:hAnsi="Gill Sans Light" w:cs="Gill Sans Light"/>
          <w:i/>
          <w:iCs/>
        </w:rPr>
        <w:t xml:space="preserve"> formal volunteering rate fell from 36% in 2010 to 25% in 2020. Data indicates that by 2022, the volunteering rate had recovered slightly following the COVID-19 pandemic” (Draft Finding 3.2) </w:t>
      </w:r>
    </w:p>
    <w:p w14:paraId="0BBC12FB" w14:textId="77777777" w:rsidR="00425F3F" w:rsidRPr="00425F3F" w:rsidRDefault="00425F3F" w:rsidP="00425F3F">
      <w:pPr>
        <w:ind w:left="720"/>
        <w:rPr>
          <w:rFonts w:ascii="Gill Sans Light" w:hAnsi="Gill Sans Light" w:cs="Gill Sans Light"/>
          <w:i/>
          <w:iCs/>
        </w:rPr>
      </w:pPr>
    </w:p>
    <w:p w14:paraId="1A6A2870" w14:textId="0423D77F" w:rsidR="00425F3F" w:rsidRDefault="00041441" w:rsidP="00425F3F">
      <w:pPr>
        <w:rPr>
          <w:rFonts w:ascii="Gill Sans Light" w:hAnsi="Gill Sans Light" w:cs="Gill Sans Light"/>
        </w:rPr>
      </w:pPr>
      <w:r>
        <w:rPr>
          <w:rFonts w:ascii="Gill Sans Light" w:hAnsi="Gill Sans Light" w:cs="Gill Sans Light"/>
        </w:rPr>
        <w:t>T</w:t>
      </w:r>
      <w:r w:rsidR="00425F3F" w:rsidRPr="00425F3F">
        <w:rPr>
          <w:rFonts w:ascii="Gill Sans Light" w:hAnsi="Gill Sans Light" w:cs="Gill Sans Light"/>
        </w:rPr>
        <w:t xml:space="preserve">he recommendations of the report will inevitably make this situation worse, given the fact that </w:t>
      </w:r>
      <w:r w:rsidR="00425F3F" w:rsidRPr="00D96588">
        <w:rPr>
          <w:rFonts w:ascii="Gill Sans Light" w:hAnsi="Gill Sans Light" w:cs="Gill Sans Light"/>
        </w:rPr>
        <w:t xml:space="preserve">numerous studies have shown that religious people are more likely to be donors and volunteers </w:t>
      </w:r>
      <w:r w:rsidR="00425F3F" w:rsidRPr="00D96588">
        <w:rPr>
          <w:rFonts w:ascii="Gill Sans Light" w:hAnsi="Gill Sans Light" w:cs="Gill Sans Light"/>
          <w:i/>
          <w:iCs/>
        </w:rPr>
        <w:t>(see for instance Deloitte Access Economics “Economic value of donating and volunteering behaviour associated with religiosity</w:t>
      </w:r>
      <w:r w:rsidR="00D96588" w:rsidRPr="00D96588">
        <w:rPr>
          <w:rFonts w:ascii="Gill Sans Light" w:hAnsi="Gill Sans Light" w:cs="Gill Sans Light"/>
          <w:i/>
          <w:iCs/>
        </w:rPr>
        <w:t>”</w:t>
      </w:r>
      <w:r w:rsidR="00425F3F" w:rsidRPr="00D96588">
        <w:rPr>
          <w:rFonts w:ascii="Gill Sans Light" w:hAnsi="Gill Sans Light" w:cs="Gill Sans Light"/>
          <w:i/>
          <w:iCs/>
        </w:rPr>
        <w:t xml:space="preserve"> 2017).</w:t>
      </w:r>
    </w:p>
    <w:p w14:paraId="3594C17E" w14:textId="77777777" w:rsidR="00425F3F" w:rsidRPr="00425F3F" w:rsidRDefault="00425F3F" w:rsidP="00425F3F">
      <w:pPr>
        <w:rPr>
          <w:rFonts w:ascii="Gill Sans Light" w:hAnsi="Gill Sans Light" w:cs="Gill Sans Light"/>
        </w:rPr>
      </w:pPr>
    </w:p>
    <w:p w14:paraId="759E0728" w14:textId="27C6065F" w:rsidR="00425F3F" w:rsidRDefault="00041441" w:rsidP="00425F3F">
      <w:pPr>
        <w:rPr>
          <w:rFonts w:ascii="Gill Sans Light" w:hAnsi="Gill Sans Light" w:cs="Gill Sans Light"/>
        </w:rPr>
      </w:pPr>
      <w:r>
        <w:rPr>
          <w:rFonts w:ascii="Gill Sans Light" w:hAnsi="Gill Sans Light" w:cs="Gill Sans Light"/>
        </w:rPr>
        <w:t xml:space="preserve">The Draft Report </w:t>
      </w:r>
      <w:r w:rsidR="00425F3F" w:rsidRPr="00425F3F">
        <w:rPr>
          <w:rFonts w:ascii="Gill Sans Light" w:hAnsi="Gill Sans Light" w:cs="Gill Sans Light"/>
        </w:rPr>
        <w:t>is an egregious attack on religion itself and it should therefore be completely rejected by the Australian Government and the Australian Parliament. Coming on the back of last year’s Draft Australian Law Reform Commission Report which</w:t>
      </w:r>
      <w:r>
        <w:rPr>
          <w:rFonts w:ascii="Gill Sans Light" w:hAnsi="Gill Sans Light" w:cs="Gill Sans Light"/>
        </w:rPr>
        <w:t>,</w:t>
      </w:r>
      <w:r w:rsidR="00425F3F" w:rsidRPr="00425F3F">
        <w:rPr>
          <w:rFonts w:ascii="Gill Sans Light" w:hAnsi="Gill Sans Light" w:cs="Gill Sans Light"/>
        </w:rPr>
        <w:t xml:space="preserve"> in the words of the head of the National Catholic Education Commission, former Labor Senator Jacinta </w:t>
      </w:r>
      <w:r w:rsidR="00425F3F" w:rsidRPr="00425F3F">
        <w:rPr>
          <w:rFonts w:ascii="Gill Sans Light" w:hAnsi="Gill Sans Light" w:cs="Gill Sans Light"/>
        </w:rPr>
        <w:lastRenderedPageBreak/>
        <w:t>Collins</w:t>
      </w:r>
      <w:r>
        <w:rPr>
          <w:rFonts w:ascii="Gill Sans Light" w:hAnsi="Gill Sans Light" w:cs="Gill Sans Light"/>
        </w:rPr>
        <w:t>,</w:t>
      </w:r>
      <w:r w:rsidR="00425F3F" w:rsidRPr="00425F3F">
        <w:rPr>
          <w:rFonts w:ascii="Gill Sans Light" w:hAnsi="Gill Sans Light" w:cs="Gill Sans Light"/>
        </w:rPr>
        <w:t xml:space="preserve"> would make it </w:t>
      </w:r>
      <w:r w:rsidR="00425F3F" w:rsidRPr="00D24066">
        <w:rPr>
          <w:rFonts w:ascii="Gill Sans Light" w:hAnsi="Gill Sans Light" w:cs="Gill Sans Light"/>
          <w:i/>
          <w:iCs/>
        </w:rPr>
        <w:t xml:space="preserve">‘impossible for Catholic schools to be Catholic’ </w:t>
      </w:r>
      <w:r w:rsidR="00425F3F" w:rsidRPr="00425F3F">
        <w:rPr>
          <w:rFonts w:ascii="Gill Sans Light" w:hAnsi="Gill Sans Light" w:cs="Gill Sans Light"/>
        </w:rPr>
        <w:t xml:space="preserve">seems to be part of a concerning pattern of the Australian Government attacking and undermining </w:t>
      </w:r>
      <w:proofErr w:type="gramStart"/>
      <w:r w:rsidR="00425F3F" w:rsidRPr="00425F3F">
        <w:rPr>
          <w:rFonts w:ascii="Gill Sans Light" w:hAnsi="Gill Sans Light" w:cs="Gill Sans Light"/>
        </w:rPr>
        <w:t>faith based</w:t>
      </w:r>
      <w:proofErr w:type="gramEnd"/>
      <w:r w:rsidR="00425F3F" w:rsidRPr="00425F3F">
        <w:rPr>
          <w:rFonts w:ascii="Gill Sans Light" w:hAnsi="Gill Sans Light" w:cs="Gill Sans Light"/>
        </w:rPr>
        <w:t xml:space="preserve"> institutions.</w:t>
      </w:r>
    </w:p>
    <w:p w14:paraId="577F3DE0" w14:textId="77777777" w:rsidR="00DD649E" w:rsidRPr="00425F3F" w:rsidRDefault="00DD649E" w:rsidP="00425F3F">
      <w:pPr>
        <w:rPr>
          <w:rFonts w:ascii="Gill Sans Light" w:hAnsi="Gill Sans Light" w:cs="Gill Sans Light"/>
        </w:rPr>
      </w:pPr>
    </w:p>
    <w:p w14:paraId="4A858BC2" w14:textId="0FE6EBE6" w:rsidR="00425F3F" w:rsidRDefault="00425F3F" w:rsidP="00425F3F">
      <w:pPr>
        <w:rPr>
          <w:rFonts w:ascii="Gill Sans Light" w:hAnsi="Gill Sans Light" w:cs="Gill Sans Light"/>
        </w:rPr>
      </w:pPr>
      <w:r w:rsidRPr="00425F3F">
        <w:rPr>
          <w:rFonts w:ascii="Gill Sans Light" w:hAnsi="Gill Sans Light" w:cs="Gill Sans Light"/>
        </w:rPr>
        <w:t>We will now address each of the four most concerning aspects of the Draft Report in more detail.</w:t>
      </w:r>
    </w:p>
    <w:p w14:paraId="14E4957D" w14:textId="7D40FCB0" w:rsidR="00A21885" w:rsidRPr="00425F3F" w:rsidRDefault="00A21885" w:rsidP="00425F3F">
      <w:pPr>
        <w:rPr>
          <w:rFonts w:ascii="Gill Sans Light" w:hAnsi="Gill Sans Light" w:cs="Gill Sans Light"/>
        </w:rPr>
      </w:pPr>
    </w:p>
    <w:p w14:paraId="004F5FA2" w14:textId="6B43A16A" w:rsidR="00425F3F" w:rsidRPr="00A21885" w:rsidRDefault="00425F3F" w:rsidP="00425F3F">
      <w:pPr>
        <w:rPr>
          <w:rFonts w:ascii="Gill Sans Light" w:hAnsi="Gill Sans Light" w:cs="Gill Sans Light"/>
          <w:b/>
          <w:bCs/>
          <w:color w:val="2B8995"/>
        </w:rPr>
      </w:pPr>
      <w:r w:rsidRPr="00A21885">
        <w:rPr>
          <w:rFonts w:ascii="Gill Sans Light" w:hAnsi="Gill Sans Light" w:cs="Gill Sans Light"/>
          <w:b/>
          <w:bCs/>
          <w:color w:val="2B8995"/>
        </w:rPr>
        <w:t>School Building Funds</w:t>
      </w:r>
    </w:p>
    <w:p w14:paraId="00146847" w14:textId="77777777" w:rsidR="00425F3F" w:rsidRDefault="00425F3F" w:rsidP="00425F3F">
      <w:pPr>
        <w:rPr>
          <w:rFonts w:ascii="Gill Sans Light" w:hAnsi="Gill Sans Light" w:cs="Gill Sans Light"/>
        </w:rPr>
      </w:pPr>
      <w:r w:rsidRPr="00425F3F">
        <w:rPr>
          <w:rFonts w:ascii="Gill Sans Light" w:hAnsi="Gill Sans Light" w:cs="Gill Sans Light"/>
        </w:rPr>
        <w:t>The recommendation to abolish DGR status for School Building funds would have a devastating impact on Catholic schools in Tasmania and indeed other non-government schools in Tasmania and around the country. It would disproportionately affect low fee schools and those with a low capital base as they seek to grow. It would inevitably lead to higher school fees, poorer facilities or a need for more Government expenditure or a combination of all of these.</w:t>
      </w:r>
    </w:p>
    <w:p w14:paraId="18C87D6D" w14:textId="77777777" w:rsidR="00A21885" w:rsidRPr="00425F3F" w:rsidRDefault="00A21885" w:rsidP="00425F3F">
      <w:pPr>
        <w:rPr>
          <w:rFonts w:ascii="Gill Sans Light" w:hAnsi="Gill Sans Light" w:cs="Gill Sans Light"/>
        </w:rPr>
      </w:pPr>
    </w:p>
    <w:p w14:paraId="29F11588" w14:textId="77777777" w:rsidR="00425F3F" w:rsidRDefault="00425F3F" w:rsidP="00425F3F">
      <w:pPr>
        <w:rPr>
          <w:rFonts w:ascii="Gill Sans Light" w:hAnsi="Gill Sans Light" w:cs="Gill Sans Light"/>
        </w:rPr>
      </w:pPr>
      <w:r w:rsidRPr="00425F3F">
        <w:rPr>
          <w:rFonts w:ascii="Gill Sans Light" w:hAnsi="Gill Sans Light" w:cs="Gill Sans Light"/>
        </w:rPr>
        <w:t>DGR status for school building funds has long been granted as a recognition that while in Government schools 100% of capital spend if provided by government, in non-government schools only around 14% of funding is provided by government, with the remaining 86% funded by parents and communities.</w:t>
      </w:r>
    </w:p>
    <w:p w14:paraId="582A0380" w14:textId="77777777" w:rsidR="00A21885" w:rsidRPr="00425F3F" w:rsidRDefault="00A21885" w:rsidP="00425F3F">
      <w:pPr>
        <w:rPr>
          <w:rFonts w:ascii="Gill Sans Light" w:hAnsi="Gill Sans Light" w:cs="Gill Sans Light"/>
        </w:rPr>
      </w:pPr>
    </w:p>
    <w:p w14:paraId="20D3CAED" w14:textId="77777777" w:rsidR="00425F3F" w:rsidRPr="00425F3F" w:rsidRDefault="00425F3F" w:rsidP="00425F3F">
      <w:pPr>
        <w:rPr>
          <w:rFonts w:ascii="Gill Sans Light" w:hAnsi="Gill Sans Light" w:cs="Gill Sans Light"/>
        </w:rPr>
      </w:pPr>
      <w:r w:rsidRPr="00425F3F">
        <w:rPr>
          <w:rFonts w:ascii="Gill Sans Light" w:hAnsi="Gill Sans Light" w:cs="Gill Sans Light"/>
        </w:rPr>
        <w:t xml:space="preserve">For the 2024 school year, the Tasmanian Catholic Block Grant Authority has approved projects in schools with a total capital value of $25 million. Funding received from Commonwealth and State Governments will total $3.5 million. The shortfall in funding of $21.5 million will be funded by </w:t>
      </w:r>
      <w:proofErr w:type="gramStart"/>
      <w:r w:rsidRPr="00425F3F">
        <w:rPr>
          <w:rFonts w:ascii="Gill Sans Light" w:hAnsi="Gill Sans Light" w:cs="Gill Sans Light"/>
        </w:rPr>
        <w:t>private</w:t>
      </w:r>
      <w:proofErr w:type="gramEnd"/>
    </w:p>
    <w:p w14:paraId="781CB2F9" w14:textId="77777777" w:rsidR="00425F3F" w:rsidRPr="00425F3F" w:rsidRDefault="00425F3F" w:rsidP="00425F3F">
      <w:pPr>
        <w:rPr>
          <w:rFonts w:ascii="Gill Sans Light" w:hAnsi="Gill Sans Light" w:cs="Gill Sans Light"/>
        </w:rPr>
      </w:pPr>
      <w:r w:rsidRPr="00425F3F">
        <w:rPr>
          <w:rFonts w:ascii="Gill Sans Light" w:hAnsi="Gill Sans Light" w:cs="Gill Sans Light"/>
        </w:rPr>
        <w:t xml:space="preserve">income from Catholic families and from the small amount of funding derived from </w:t>
      </w:r>
      <w:proofErr w:type="gramStart"/>
      <w:r w:rsidRPr="00425F3F">
        <w:rPr>
          <w:rFonts w:ascii="Gill Sans Light" w:hAnsi="Gill Sans Light" w:cs="Gill Sans Light"/>
        </w:rPr>
        <w:t>building</w:t>
      </w:r>
      <w:proofErr w:type="gramEnd"/>
    </w:p>
    <w:p w14:paraId="000AE23D" w14:textId="77777777" w:rsidR="00425F3F" w:rsidRPr="00425F3F" w:rsidRDefault="00425F3F" w:rsidP="00425F3F">
      <w:pPr>
        <w:rPr>
          <w:rFonts w:ascii="Gill Sans Light" w:hAnsi="Gill Sans Light" w:cs="Gill Sans Light"/>
        </w:rPr>
      </w:pPr>
      <w:r w:rsidRPr="00425F3F">
        <w:rPr>
          <w:rFonts w:ascii="Gill Sans Light" w:hAnsi="Gill Sans Light" w:cs="Gill Sans Light"/>
        </w:rPr>
        <w:t xml:space="preserve">fund donations. While this contribution is possible in the short term, projections suggest </w:t>
      </w:r>
      <w:proofErr w:type="gramStart"/>
      <w:r w:rsidRPr="00425F3F">
        <w:rPr>
          <w:rFonts w:ascii="Gill Sans Light" w:hAnsi="Gill Sans Light" w:cs="Gill Sans Light"/>
        </w:rPr>
        <w:t>that</w:t>
      </w:r>
      <w:proofErr w:type="gramEnd"/>
    </w:p>
    <w:p w14:paraId="3C95E14D" w14:textId="77777777" w:rsidR="00425F3F" w:rsidRPr="00425F3F" w:rsidRDefault="00425F3F" w:rsidP="00425F3F">
      <w:pPr>
        <w:rPr>
          <w:rFonts w:ascii="Gill Sans Light" w:hAnsi="Gill Sans Light" w:cs="Gill Sans Light"/>
        </w:rPr>
      </w:pPr>
      <w:r w:rsidRPr="00425F3F">
        <w:rPr>
          <w:rFonts w:ascii="Gill Sans Light" w:hAnsi="Gill Sans Light" w:cs="Gill Sans Light"/>
        </w:rPr>
        <w:t>the current Commonwealth and State capital funding will not support Catholic schools in</w:t>
      </w:r>
    </w:p>
    <w:p w14:paraId="5CF12814" w14:textId="77777777" w:rsidR="00425F3F" w:rsidRPr="00425F3F" w:rsidRDefault="00425F3F" w:rsidP="00425F3F">
      <w:pPr>
        <w:rPr>
          <w:rFonts w:ascii="Gill Sans Light" w:hAnsi="Gill Sans Light" w:cs="Gill Sans Light"/>
        </w:rPr>
      </w:pPr>
      <w:r w:rsidRPr="00425F3F">
        <w:rPr>
          <w:rFonts w:ascii="Gill Sans Light" w:hAnsi="Gill Sans Light" w:cs="Gill Sans Light"/>
        </w:rPr>
        <w:t>Tasmania to meet capital infrastructure and compliance requirements in the future.</w:t>
      </w:r>
    </w:p>
    <w:p w14:paraId="039BF270" w14:textId="77777777" w:rsidR="00A21885" w:rsidRDefault="00A21885" w:rsidP="00425F3F">
      <w:pPr>
        <w:rPr>
          <w:rFonts w:ascii="Gill Sans Light" w:hAnsi="Gill Sans Light" w:cs="Gill Sans Light"/>
        </w:rPr>
      </w:pPr>
    </w:p>
    <w:p w14:paraId="2A4A280C" w14:textId="5E8085DA" w:rsidR="00425F3F" w:rsidRPr="00425F3F" w:rsidRDefault="00425F3F" w:rsidP="00425F3F">
      <w:pPr>
        <w:rPr>
          <w:rFonts w:ascii="Gill Sans Light" w:hAnsi="Gill Sans Light" w:cs="Gill Sans Light"/>
        </w:rPr>
      </w:pPr>
      <w:r w:rsidRPr="00425F3F">
        <w:rPr>
          <w:rFonts w:ascii="Gill Sans Light" w:hAnsi="Gill Sans Light" w:cs="Gill Sans Light"/>
        </w:rPr>
        <w:t>There is serious need for capital funding to continue to support Catholic schools’ development.</w:t>
      </w:r>
    </w:p>
    <w:p w14:paraId="79EF0B6E" w14:textId="77777777" w:rsidR="00425F3F" w:rsidRPr="00425F3F" w:rsidRDefault="00425F3F" w:rsidP="00425F3F">
      <w:pPr>
        <w:rPr>
          <w:rFonts w:ascii="Gill Sans Light" w:hAnsi="Gill Sans Light" w:cs="Gill Sans Light"/>
        </w:rPr>
      </w:pPr>
      <w:r w:rsidRPr="00425F3F">
        <w:rPr>
          <w:rFonts w:ascii="Gill Sans Light" w:hAnsi="Gill Sans Light" w:cs="Gill Sans Light"/>
        </w:rPr>
        <w:t xml:space="preserve">Many Tasmanian Catholic schools were constructed 40-60 (or more) years ago to suit the </w:t>
      </w:r>
      <w:proofErr w:type="gramStart"/>
      <w:r w:rsidRPr="00425F3F">
        <w:rPr>
          <w:rFonts w:ascii="Gill Sans Light" w:hAnsi="Gill Sans Light" w:cs="Gill Sans Light"/>
        </w:rPr>
        <w:t>teaching</w:t>
      </w:r>
      <w:proofErr w:type="gramEnd"/>
    </w:p>
    <w:p w14:paraId="62966834" w14:textId="77777777" w:rsidR="00425F3F" w:rsidRPr="00425F3F" w:rsidRDefault="00425F3F" w:rsidP="00425F3F">
      <w:pPr>
        <w:rPr>
          <w:rFonts w:ascii="Gill Sans Light" w:hAnsi="Gill Sans Light" w:cs="Gill Sans Light"/>
        </w:rPr>
      </w:pPr>
      <w:r w:rsidRPr="00425F3F">
        <w:rPr>
          <w:rFonts w:ascii="Gill Sans Light" w:hAnsi="Gill Sans Light" w:cs="Gill Sans Light"/>
        </w:rPr>
        <w:t>and learning methodology of that time. These facilities still represent the core infrastructure on</w:t>
      </w:r>
    </w:p>
    <w:p w14:paraId="3F288CCD" w14:textId="77777777" w:rsidR="00425F3F" w:rsidRPr="00425F3F" w:rsidRDefault="00425F3F" w:rsidP="00425F3F">
      <w:pPr>
        <w:rPr>
          <w:rFonts w:ascii="Gill Sans Light" w:hAnsi="Gill Sans Light" w:cs="Gill Sans Light"/>
        </w:rPr>
      </w:pPr>
      <w:r w:rsidRPr="00425F3F">
        <w:rPr>
          <w:rFonts w:ascii="Gill Sans Light" w:hAnsi="Gill Sans Light" w:cs="Gill Sans Light"/>
        </w:rPr>
        <w:t xml:space="preserve">most of our school and college sites. It is imperative that the levels of capital funding </w:t>
      </w:r>
      <w:proofErr w:type="gramStart"/>
      <w:r w:rsidRPr="00425F3F">
        <w:rPr>
          <w:rFonts w:ascii="Gill Sans Light" w:hAnsi="Gill Sans Light" w:cs="Gill Sans Light"/>
        </w:rPr>
        <w:t>provision</w:t>
      </w:r>
      <w:proofErr w:type="gramEnd"/>
    </w:p>
    <w:p w14:paraId="11AE5C42" w14:textId="77777777" w:rsidR="00425F3F" w:rsidRPr="00425F3F" w:rsidRDefault="00425F3F" w:rsidP="00425F3F">
      <w:pPr>
        <w:rPr>
          <w:rFonts w:ascii="Gill Sans Light" w:hAnsi="Gill Sans Light" w:cs="Gill Sans Light"/>
        </w:rPr>
      </w:pPr>
      <w:r w:rsidRPr="00425F3F">
        <w:rPr>
          <w:rFonts w:ascii="Gill Sans Light" w:hAnsi="Gill Sans Light" w:cs="Gill Sans Light"/>
        </w:rPr>
        <w:t xml:space="preserve">increase substantially to meet the growing challenges in education. </w:t>
      </w:r>
    </w:p>
    <w:p w14:paraId="691603E6" w14:textId="77777777" w:rsidR="00425F3F" w:rsidRPr="00425F3F" w:rsidRDefault="00425F3F" w:rsidP="00425F3F">
      <w:pPr>
        <w:rPr>
          <w:rFonts w:ascii="Gill Sans Light" w:hAnsi="Gill Sans Light" w:cs="Gill Sans Light"/>
        </w:rPr>
      </w:pPr>
    </w:p>
    <w:p w14:paraId="0CA08A0A" w14:textId="5ED52E9F" w:rsidR="00425F3F" w:rsidRDefault="00425F3F" w:rsidP="00425F3F">
      <w:pPr>
        <w:rPr>
          <w:rFonts w:ascii="Gill Sans Light" w:hAnsi="Gill Sans Light" w:cs="Gill Sans Light"/>
        </w:rPr>
      </w:pPr>
      <w:r w:rsidRPr="00425F3F">
        <w:rPr>
          <w:rFonts w:ascii="Gill Sans Light" w:hAnsi="Gill Sans Light" w:cs="Gill Sans Light"/>
        </w:rPr>
        <w:t xml:space="preserve">Undermining one of the main mechanisms which non-government schools have at their disposal to add to their capital stock therefore has echoes of the conditions which led to the Goulburn strike, whereby </w:t>
      </w:r>
      <w:proofErr w:type="gramStart"/>
      <w:r w:rsidRPr="00425F3F">
        <w:rPr>
          <w:rFonts w:ascii="Gill Sans Light" w:hAnsi="Gill Sans Light" w:cs="Gill Sans Light"/>
        </w:rPr>
        <w:t>government imposed</w:t>
      </w:r>
      <w:proofErr w:type="gramEnd"/>
      <w:r w:rsidRPr="00425F3F">
        <w:rPr>
          <w:rFonts w:ascii="Gill Sans Light" w:hAnsi="Gill Sans Light" w:cs="Gill Sans Light"/>
        </w:rPr>
        <w:t xml:space="preserve"> conditions on Catholic schools but refused to offer adequate support for those schools to live up to those conditions, thereby discriminating against families in those schools. Since that time there has been a growing bi-partisan consensus in Australia that government should properly support rather than discriminate against faith-based schools. </w:t>
      </w:r>
    </w:p>
    <w:p w14:paraId="1852C4E1" w14:textId="77777777" w:rsidR="00A21885" w:rsidRPr="00425F3F" w:rsidRDefault="00A21885" w:rsidP="00425F3F">
      <w:pPr>
        <w:rPr>
          <w:rFonts w:ascii="Gill Sans Light" w:hAnsi="Gill Sans Light" w:cs="Gill Sans Light"/>
        </w:rPr>
      </w:pPr>
    </w:p>
    <w:p w14:paraId="05DC624D" w14:textId="77777777" w:rsidR="00425F3F" w:rsidRDefault="00425F3F" w:rsidP="00425F3F">
      <w:pPr>
        <w:rPr>
          <w:rFonts w:ascii="Gill Sans Light" w:hAnsi="Gill Sans Light" w:cs="Gill Sans Light"/>
        </w:rPr>
      </w:pPr>
      <w:r w:rsidRPr="00425F3F">
        <w:rPr>
          <w:rFonts w:ascii="Gill Sans Light" w:hAnsi="Gill Sans Light" w:cs="Gill Sans Light"/>
        </w:rPr>
        <w:lastRenderedPageBreak/>
        <w:t>Accepting this recommendation in the Draft Report would therefore be a regressive step which undermines this longstanding consensus.</w:t>
      </w:r>
    </w:p>
    <w:p w14:paraId="527A8500" w14:textId="77777777" w:rsidR="00A21885" w:rsidRPr="00690E0F" w:rsidRDefault="00A21885" w:rsidP="00425F3F">
      <w:pPr>
        <w:rPr>
          <w:rFonts w:ascii="Gill Sans Light" w:hAnsi="Gill Sans Light" w:cs="Gill Sans Light"/>
        </w:rPr>
      </w:pPr>
    </w:p>
    <w:p w14:paraId="72B3CE14" w14:textId="77777777" w:rsidR="00425F3F" w:rsidRDefault="00425F3F" w:rsidP="00425F3F">
      <w:pPr>
        <w:rPr>
          <w:rFonts w:ascii="Gill Sans Light" w:hAnsi="Gill Sans Light" w:cs="Gill Sans Light"/>
        </w:rPr>
      </w:pPr>
      <w:r w:rsidRPr="00690E0F">
        <w:rPr>
          <w:rFonts w:ascii="Gill Sans Light" w:hAnsi="Gill Sans Light" w:cs="Gill Sans Light"/>
        </w:rPr>
        <w:t>CET</w:t>
      </w:r>
      <w:r w:rsidRPr="00425F3F">
        <w:rPr>
          <w:rFonts w:ascii="Gill Sans Light" w:hAnsi="Gill Sans Light" w:cs="Gill Sans Light"/>
        </w:rPr>
        <w:t xml:space="preserve"> also takes serious issue with the reasoning underpinning the Draft Recommendation to remove DGR for school building funds. The Commission states that:</w:t>
      </w:r>
    </w:p>
    <w:p w14:paraId="48D5E740" w14:textId="77777777" w:rsidR="00A21885" w:rsidRPr="00425F3F" w:rsidRDefault="00A21885" w:rsidP="00425F3F">
      <w:pPr>
        <w:rPr>
          <w:rFonts w:ascii="Gill Sans Light" w:hAnsi="Gill Sans Light" w:cs="Gill Sans Light"/>
        </w:rPr>
      </w:pPr>
    </w:p>
    <w:p w14:paraId="76F5D89D" w14:textId="77777777" w:rsidR="00425F3F" w:rsidRPr="00F537E4" w:rsidRDefault="00425F3F" w:rsidP="00425F3F">
      <w:pPr>
        <w:ind w:left="720"/>
        <w:rPr>
          <w:rFonts w:ascii="Gill Sans Light" w:hAnsi="Gill Sans Light" w:cs="Gill Sans Light"/>
          <w:i/>
          <w:iCs/>
        </w:rPr>
      </w:pPr>
      <w:r w:rsidRPr="00F537E4">
        <w:rPr>
          <w:rFonts w:ascii="Gill Sans Light" w:hAnsi="Gill Sans Light" w:cs="Gill Sans Light"/>
          <w:i/>
          <w:iCs/>
        </w:rPr>
        <w:t>‘</w:t>
      </w:r>
      <w:proofErr w:type="gramStart"/>
      <w:r w:rsidRPr="00F537E4">
        <w:rPr>
          <w:rFonts w:ascii="Gill Sans Light" w:hAnsi="Gill Sans Light" w:cs="Gill Sans Light"/>
          <w:i/>
          <w:iCs/>
        </w:rPr>
        <w:t>specifically</w:t>
      </w:r>
      <w:proofErr w:type="gramEnd"/>
      <w:r w:rsidRPr="00F537E4">
        <w:rPr>
          <w:rFonts w:ascii="Gill Sans Light" w:hAnsi="Gill Sans Light" w:cs="Gill Sans Light"/>
          <w:i/>
          <w:iCs/>
        </w:rPr>
        <w:t xml:space="preserve"> excluding some activities from the scope of the DGR system would refocus the system toward activities that generate greater social benefits.’</w:t>
      </w:r>
    </w:p>
    <w:p w14:paraId="3CCB00E6" w14:textId="77777777" w:rsidR="00A21885" w:rsidRPr="00425F3F" w:rsidRDefault="00A21885" w:rsidP="00425F3F">
      <w:pPr>
        <w:ind w:left="720"/>
        <w:rPr>
          <w:rFonts w:ascii="Gill Sans Light" w:hAnsi="Gill Sans Light" w:cs="Gill Sans Light"/>
        </w:rPr>
      </w:pPr>
    </w:p>
    <w:p w14:paraId="5083E8E8" w14:textId="77777777" w:rsidR="00425F3F" w:rsidRDefault="00425F3F" w:rsidP="00425F3F">
      <w:pPr>
        <w:rPr>
          <w:rFonts w:ascii="Gill Sans Light" w:hAnsi="Gill Sans Light" w:cs="Gill Sans Light"/>
        </w:rPr>
      </w:pPr>
      <w:r w:rsidRPr="00425F3F">
        <w:rPr>
          <w:rFonts w:ascii="Gill Sans Light" w:hAnsi="Gill Sans Light" w:cs="Gill Sans Light"/>
        </w:rPr>
        <w:t>This is an extraordinary assertion and should not go unchallenged. The suggestion underpinning this statement is that there is little benefit in the education of children in faith-based schools and in building the classrooms and other facilities which enable them to be educated.</w:t>
      </w:r>
      <w:r w:rsidRPr="00DA4EC6">
        <w:rPr>
          <w:rFonts w:ascii="Gill Sans Light" w:hAnsi="Gill Sans Light" w:cs="Gill Sans Light"/>
        </w:rPr>
        <w:t xml:space="preserve"> CET </w:t>
      </w:r>
      <w:r w:rsidRPr="00425F3F">
        <w:rPr>
          <w:rFonts w:ascii="Gill Sans Light" w:hAnsi="Gill Sans Light" w:cs="Gill Sans Light"/>
        </w:rPr>
        <w:t xml:space="preserve">educates thousands of students, most of whom are from </w:t>
      </w:r>
      <w:proofErr w:type="gramStart"/>
      <w:r w:rsidRPr="00425F3F">
        <w:rPr>
          <w:rFonts w:ascii="Gill Sans Light" w:hAnsi="Gill Sans Light" w:cs="Gill Sans Light"/>
        </w:rPr>
        <w:t>low and middle income</w:t>
      </w:r>
      <w:proofErr w:type="gramEnd"/>
      <w:r w:rsidRPr="00425F3F">
        <w:rPr>
          <w:rFonts w:ascii="Gill Sans Light" w:hAnsi="Gill Sans Light" w:cs="Gill Sans Light"/>
        </w:rPr>
        <w:t xml:space="preserve"> families and gives them a high-quality education in the Catholic tradition. It gives parents the ability to exercise their human right to choose the moral and religious education of their children as recognised in the International Charter on Civil and Political Rights (ICCPR). </w:t>
      </w:r>
    </w:p>
    <w:p w14:paraId="185FA7C7" w14:textId="77777777" w:rsidR="00A21885" w:rsidRPr="00425F3F" w:rsidRDefault="00A21885" w:rsidP="00425F3F">
      <w:pPr>
        <w:rPr>
          <w:rFonts w:ascii="Gill Sans Light" w:hAnsi="Gill Sans Light" w:cs="Gill Sans Light"/>
        </w:rPr>
      </w:pPr>
    </w:p>
    <w:p w14:paraId="6F8AFF72" w14:textId="77777777" w:rsidR="00425F3F" w:rsidRPr="00425F3F" w:rsidRDefault="00425F3F" w:rsidP="00425F3F">
      <w:pPr>
        <w:rPr>
          <w:rFonts w:ascii="Gill Sans Light" w:hAnsi="Gill Sans Light" w:cs="Gill Sans Light"/>
        </w:rPr>
      </w:pPr>
      <w:r w:rsidRPr="00C46A73">
        <w:rPr>
          <w:rFonts w:ascii="Gill Sans Light" w:hAnsi="Gill Sans Light" w:cs="Gill Sans Light"/>
        </w:rPr>
        <w:t xml:space="preserve">CET </w:t>
      </w:r>
      <w:r w:rsidRPr="00425F3F">
        <w:rPr>
          <w:rFonts w:ascii="Gill Sans Light" w:hAnsi="Gill Sans Light" w:cs="Gill Sans Light"/>
        </w:rPr>
        <w:t>submits that our schools are therefore providing substantial and widespread social benefits and reject any suggestion otherwise.</w:t>
      </w:r>
    </w:p>
    <w:p w14:paraId="5AE0ED42" w14:textId="77777777" w:rsidR="00425F3F" w:rsidRDefault="00425F3F" w:rsidP="00425F3F">
      <w:pPr>
        <w:rPr>
          <w:rFonts w:ascii="Gill Sans Light" w:hAnsi="Gill Sans Light" w:cs="Gill Sans Light"/>
        </w:rPr>
      </w:pPr>
    </w:p>
    <w:p w14:paraId="30D2C90E" w14:textId="77777777" w:rsidR="007A2D21" w:rsidRPr="00425F3F" w:rsidRDefault="007A2D21" w:rsidP="00425F3F">
      <w:pPr>
        <w:rPr>
          <w:rFonts w:ascii="Gill Sans Light" w:hAnsi="Gill Sans Light" w:cs="Gill Sans Light"/>
        </w:rPr>
      </w:pPr>
    </w:p>
    <w:p w14:paraId="01FAD6BF" w14:textId="77777777" w:rsidR="00425F3F" w:rsidRPr="00A21885" w:rsidRDefault="00425F3F" w:rsidP="00425F3F">
      <w:pPr>
        <w:rPr>
          <w:rFonts w:ascii="Gill Sans Light" w:hAnsi="Gill Sans Light" w:cs="Gill Sans Light"/>
          <w:b/>
          <w:bCs/>
          <w:color w:val="2B8995"/>
        </w:rPr>
      </w:pPr>
      <w:r w:rsidRPr="00A21885">
        <w:rPr>
          <w:rFonts w:ascii="Gill Sans Light" w:hAnsi="Gill Sans Light" w:cs="Gill Sans Light"/>
          <w:b/>
          <w:bCs/>
          <w:color w:val="2B8995"/>
        </w:rPr>
        <w:t>Religious Instruction in Government Schools</w:t>
      </w:r>
    </w:p>
    <w:p w14:paraId="0F0D01BB" w14:textId="77777777" w:rsidR="00425F3F" w:rsidRDefault="00425F3F" w:rsidP="00425F3F">
      <w:pPr>
        <w:rPr>
          <w:rFonts w:ascii="Gill Sans Light" w:hAnsi="Gill Sans Light" w:cs="Gill Sans Light"/>
        </w:rPr>
      </w:pPr>
      <w:r w:rsidRPr="00425F3F">
        <w:rPr>
          <w:rFonts w:ascii="Gill Sans Light" w:hAnsi="Gill Sans Light" w:cs="Gill Sans Light"/>
        </w:rPr>
        <w:t xml:space="preserve">While the recommendation to remove DGR for those providing religious instruction in Government schools will have no impact </w:t>
      </w:r>
      <w:r w:rsidRPr="00C46A73">
        <w:rPr>
          <w:rFonts w:ascii="Gill Sans Light" w:hAnsi="Gill Sans Light" w:cs="Gill Sans Light"/>
        </w:rPr>
        <w:t xml:space="preserve">on CET, we </w:t>
      </w:r>
      <w:r w:rsidRPr="00425F3F">
        <w:rPr>
          <w:rFonts w:ascii="Gill Sans Light" w:hAnsi="Gill Sans Light" w:cs="Gill Sans Light"/>
        </w:rPr>
        <w:t>would like to raise our strong objections to this recommendation.</w:t>
      </w:r>
    </w:p>
    <w:p w14:paraId="23EAF1D9" w14:textId="77777777" w:rsidR="00A21885" w:rsidRPr="00425F3F" w:rsidRDefault="00A21885" w:rsidP="00425F3F">
      <w:pPr>
        <w:rPr>
          <w:rFonts w:ascii="Gill Sans Light" w:hAnsi="Gill Sans Light" w:cs="Gill Sans Light"/>
        </w:rPr>
      </w:pPr>
    </w:p>
    <w:p w14:paraId="01081A16" w14:textId="34C8E196" w:rsidR="00425F3F" w:rsidRDefault="00425F3F" w:rsidP="00425F3F">
      <w:pPr>
        <w:rPr>
          <w:rFonts w:ascii="Gill Sans Light" w:hAnsi="Gill Sans Light" w:cs="Gill Sans Light"/>
        </w:rPr>
      </w:pPr>
      <w:r w:rsidRPr="00425F3F">
        <w:rPr>
          <w:rFonts w:ascii="Gill Sans Light" w:hAnsi="Gill Sans Light" w:cs="Gill Sans Light"/>
        </w:rPr>
        <w:t>Acceptance of this recommendation, together with the other three recommendations of concern, would be a further attack on parental rights to</w:t>
      </w:r>
      <w:r w:rsidR="00E211A1">
        <w:rPr>
          <w:rFonts w:ascii="Gill Sans Light" w:hAnsi="Gill Sans Light" w:cs="Gill Sans Light"/>
        </w:rPr>
        <w:t xml:space="preserve"> oversee</w:t>
      </w:r>
      <w:r w:rsidRPr="00425F3F">
        <w:rPr>
          <w:rFonts w:ascii="Gill Sans Light" w:hAnsi="Gill Sans Light" w:cs="Gill Sans Light"/>
        </w:rPr>
        <w:t xml:space="preserve"> the moral and religious education of their children. It would particularly affect those families of faith, including Catholic families, who are for various reasons unable to enrol their child in the religious school of their choice. This would inevitably disproportionately impact upon families from lower socio-economic backgrounds and those in remote communities. </w:t>
      </w:r>
    </w:p>
    <w:p w14:paraId="2B000DEB" w14:textId="77777777" w:rsidR="00A21885" w:rsidRPr="00425F3F" w:rsidRDefault="00A21885" w:rsidP="00425F3F">
      <w:pPr>
        <w:rPr>
          <w:rFonts w:ascii="Gill Sans Light" w:hAnsi="Gill Sans Light" w:cs="Gill Sans Light"/>
        </w:rPr>
      </w:pPr>
    </w:p>
    <w:p w14:paraId="2EDD7C7C" w14:textId="77777777" w:rsidR="00425F3F" w:rsidRDefault="00425F3F" w:rsidP="00425F3F">
      <w:pPr>
        <w:rPr>
          <w:rFonts w:ascii="Gill Sans Light" w:hAnsi="Gill Sans Light" w:cs="Gill Sans Light"/>
        </w:rPr>
      </w:pPr>
      <w:r w:rsidRPr="00425F3F">
        <w:rPr>
          <w:rFonts w:ascii="Gill Sans Light" w:hAnsi="Gill Sans Light" w:cs="Gill Sans Light"/>
        </w:rPr>
        <w:t>While we seek to offer a Catholic education to every Catholic child whose family seeks it, we are aware that there are circumstances where Catholic parents are unable or unwilling to send their child to a Catholic school but still desire that their child be given instruction in the faith. This choice should be supported.</w:t>
      </w:r>
    </w:p>
    <w:p w14:paraId="1D191246" w14:textId="77777777" w:rsidR="00A21885" w:rsidRDefault="00A21885" w:rsidP="00425F3F">
      <w:pPr>
        <w:rPr>
          <w:rFonts w:ascii="Gill Sans Light" w:hAnsi="Gill Sans Light" w:cs="Gill Sans Light"/>
        </w:rPr>
      </w:pPr>
    </w:p>
    <w:p w14:paraId="12946F17" w14:textId="77777777" w:rsidR="007A2D21" w:rsidRPr="00425F3F" w:rsidRDefault="007A2D21" w:rsidP="00425F3F">
      <w:pPr>
        <w:rPr>
          <w:rFonts w:ascii="Gill Sans Light" w:hAnsi="Gill Sans Light" w:cs="Gill Sans Light"/>
        </w:rPr>
      </w:pPr>
    </w:p>
    <w:p w14:paraId="01FD6743" w14:textId="77777777" w:rsidR="00425F3F" w:rsidRPr="00A21885" w:rsidRDefault="00425F3F" w:rsidP="00425F3F">
      <w:pPr>
        <w:rPr>
          <w:rFonts w:ascii="Gill Sans Light" w:hAnsi="Gill Sans Light" w:cs="Gill Sans Light"/>
          <w:b/>
          <w:bCs/>
          <w:color w:val="2B8995"/>
        </w:rPr>
      </w:pPr>
      <w:r w:rsidRPr="00A21885">
        <w:rPr>
          <w:rFonts w:ascii="Gill Sans Light" w:hAnsi="Gill Sans Light" w:cs="Gill Sans Light"/>
          <w:b/>
          <w:bCs/>
          <w:color w:val="2B8995"/>
        </w:rPr>
        <w:t>Abolition of Basic Religious Charities</w:t>
      </w:r>
    </w:p>
    <w:p w14:paraId="716F1585" w14:textId="77777777" w:rsidR="00425F3F" w:rsidRDefault="00425F3F" w:rsidP="00425F3F">
      <w:pPr>
        <w:rPr>
          <w:rFonts w:ascii="Gill Sans Light" w:hAnsi="Gill Sans Light" w:cs="Gill Sans Light"/>
        </w:rPr>
      </w:pPr>
      <w:r w:rsidRPr="00425F3F">
        <w:rPr>
          <w:rFonts w:ascii="Gill Sans Light" w:hAnsi="Gill Sans Light" w:cs="Gill Sans Light"/>
        </w:rPr>
        <w:t xml:space="preserve">Basic Religious Charities (BRC) are a subset of religious charities. They have less reporting requirements than other charities but are not eligible for DGR Status and are unable to receive more than $100,000 in government grants in a reporting period. </w:t>
      </w:r>
    </w:p>
    <w:p w14:paraId="2B206F53" w14:textId="77777777" w:rsidR="00A21885" w:rsidRPr="00425F3F" w:rsidRDefault="00A21885" w:rsidP="00425F3F">
      <w:pPr>
        <w:rPr>
          <w:rFonts w:ascii="Gill Sans Light" w:hAnsi="Gill Sans Light" w:cs="Gill Sans Light"/>
        </w:rPr>
      </w:pPr>
    </w:p>
    <w:p w14:paraId="4D997CE7" w14:textId="77777777" w:rsidR="00425F3F" w:rsidRDefault="00425F3F" w:rsidP="00425F3F">
      <w:pPr>
        <w:rPr>
          <w:rFonts w:ascii="Gill Sans Light" w:hAnsi="Gill Sans Light" w:cs="Gill Sans Light"/>
        </w:rPr>
      </w:pPr>
      <w:r w:rsidRPr="00425F3F">
        <w:rPr>
          <w:rFonts w:ascii="Gill Sans Light" w:hAnsi="Gill Sans Light" w:cs="Gill Sans Light"/>
        </w:rPr>
        <w:t xml:space="preserve">As noted in </w:t>
      </w:r>
      <w:r w:rsidRPr="007D6278">
        <w:rPr>
          <w:rFonts w:ascii="Gill Sans Light" w:hAnsi="Gill Sans Light" w:cs="Gill Sans Light"/>
          <w:i/>
          <w:iCs/>
        </w:rPr>
        <w:t>Strengthening for purpose: Australian Charities and not for profits legislation review 2018:(ACNC Review)</w:t>
      </w:r>
    </w:p>
    <w:p w14:paraId="51AB8494" w14:textId="77777777" w:rsidR="00A21885" w:rsidRPr="00425F3F" w:rsidRDefault="00A21885" w:rsidP="00425F3F">
      <w:pPr>
        <w:rPr>
          <w:rFonts w:ascii="Gill Sans Light" w:hAnsi="Gill Sans Light" w:cs="Gill Sans Light"/>
        </w:rPr>
      </w:pPr>
    </w:p>
    <w:p w14:paraId="14597A2B" w14:textId="77777777" w:rsidR="00425F3F" w:rsidRPr="00A21885" w:rsidRDefault="00425F3F" w:rsidP="00A21885">
      <w:pPr>
        <w:ind w:left="709"/>
        <w:rPr>
          <w:rFonts w:ascii="Gill Sans Light" w:hAnsi="Gill Sans Light" w:cs="Gill Sans Light"/>
          <w:i/>
          <w:iCs/>
        </w:rPr>
      </w:pPr>
      <w:r w:rsidRPr="00425F3F">
        <w:rPr>
          <w:rFonts w:ascii="Gill Sans Light" w:hAnsi="Gill Sans Light" w:cs="Gill Sans Light"/>
        </w:rPr>
        <w:lastRenderedPageBreak/>
        <w:t>“</w:t>
      </w:r>
      <w:r w:rsidRPr="00A21885">
        <w:rPr>
          <w:rFonts w:ascii="Gill Sans Light" w:hAnsi="Gill Sans Light" w:cs="Gill Sans Light"/>
          <w:i/>
          <w:iCs/>
        </w:rPr>
        <w:t xml:space="preserve">It seems the concept of a BRC is based, at least in part, on the concept of religious freedom. </w:t>
      </w:r>
    </w:p>
    <w:p w14:paraId="47B08BB4" w14:textId="77777777" w:rsidR="00425F3F" w:rsidRPr="00A21885" w:rsidRDefault="00425F3F" w:rsidP="00A21885">
      <w:pPr>
        <w:ind w:left="709"/>
        <w:rPr>
          <w:rFonts w:ascii="Gill Sans Light" w:hAnsi="Gill Sans Light" w:cs="Gill Sans Light"/>
          <w:i/>
          <w:iCs/>
        </w:rPr>
      </w:pPr>
      <w:r w:rsidRPr="00A21885">
        <w:rPr>
          <w:rFonts w:ascii="Gill Sans Light" w:hAnsi="Gill Sans Light" w:cs="Gill Sans Light"/>
          <w:i/>
          <w:iCs/>
        </w:rPr>
        <w:t>The BRC was intended as a classification for faith-based congregations to be granted a lower reporting burden and be exempt from certain mandatory governance arrangements for charities, because it was regarded as inappropriate for the ACNC to interfere in the governance of small religious bodies which were not incorporated and received little direct funds from government.”</w:t>
      </w:r>
    </w:p>
    <w:p w14:paraId="64CCE913" w14:textId="77777777" w:rsidR="00A21885" w:rsidRDefault="00A21885" w:rsidP="00425F3F">
      <w:pPr>
        <w:rPr>
          <w:rFonts w:ascii="Gill Sans Light" w:hAnsi="Gill Sans Light" w:cs="Gill Sans Light"/>
        </w:rPr>
      </w:pPr>
    </w:p>
    <w:p w14:paraId="5AEC4830" w14:textId="3C09F370" w:rsidR="00425F3F" w:rsidRDefault="00425F3F" w:rsidP="00425F3F">
      <w:pPr>
        <w:rPr>
          <w:rFonts w:ascii="Gill Sans Light" w:hAnsi="Gill Sans Light" w:cs="Gill Sans Light"/>
        </w:rPr>
      </w:pPr>
      <w:r w:rsidRPr="00425F3F">
        <w:rPr>
          <w:rFonts w:ascii="Gill Sans Light" w:hAnsi="Gill Sans Light" w:cs="Gill Sans Light"/>
        </w:rPr>
        <w:t>Related to this, the category was also set up to respond to concerns that without such a classification, the ACNC Commissioner would have the ability to remove bishops and other religious leaders from their positions, a major attack on religious freedom and an undermining of the separation of church and state.</w:t>
      </w:r>
    </w:p>
    <w:p w14:paraId="0927FC7E" w14:textId="77777777" w:rsidR="00F04061" w:rsidRPr="00425F3F" w:rsidRDefault="00F04061" w:rsidP="00425F3F">
      <w:pPr>
        <w:rPr>
          <w:rFonts w:ascii="Gill Sans Light" w:hAnsi="Gill Sans Light" w:cs="Gill Sans Light"/>
        </w:rPr>
      </w:pPr>
    </w:p>
    <w:p w14:paraId="359A4470" w14:textId="77777777" w:rsidR="00425F3F" w:rsidRDefault="00425F3F" w:rsidP="00425F3F">
      <w:pPr>
        <w:rPr>
          <w:rFonts w:ascii="Gill Sans Light" w:hAnsi="Gill Sans Light" w:cs="Gill Sans Light"/>
        </w:rPr>
      </w:pPr>
      <w:r w:rsidRPr="00425F3F">
        <w:rPr>
          <w:rFonts w:ascii="Gill Sans Light" w:hAnsi="Gill Sans Light" w:cs="Gill Sans Light"/>
        </w:rPr>
        <w:t>In their submission to the ACNC review, the Uniting Church of Australia summarised the arguments for BRC in this way:</w:t>
      </w:r>
    </w:p>
    <w:p w14:paraId="5F4983FB" w14:textId="77777777" w:rsidR="00F04061" w:rsidRPr="00425F3F" w:rsidRDefault="00F04061" w:rsidP="00425F3F">
      <w:pPr>
        <w:rPr>
          <w:rFonts w:ascii="Gill Sans Light" w:hAnsi="Gill Sans Light" w:cs="Gill Sans Light"/>
        </w:rPr>
      </w:pPr>
    </w:p>
    <w:p w14:paraId="7A403ED9" w14:textId="6640E13F" w:rsidR="00425F3F" w:rsidRPr="00C46A73" w:rsidRDefault="00C46A73" w:rsidP="00425F3F">
      <w:pPr>
        <w:ind w:left="720"/>
        <w:rPr>
          <w:rFonts w:ascii="Gill Sans Light" w:hAnsi="Gill Sans Light" w:cs="Gill Sans Light"/>
          <w:i/>
          <w:iCs/>
        </w:rPr>
      </w:pPr>
      <w:r w:rsidRPr="00C46A73">
        <w:rPr>
          <w:rFonts w:ascii="Gill Sans Light" w:hAnsi="Gill Sans Light" w:cs="Gill Sans Light"/>
          <w:i/>
          <w:iCs/>
        </w:rPr>
        <w:t>“</w:t>
      </w:r>
      <w:r w:rsidR="00425F3F" w:rsidRPr="00C46A73">
        <w:rPr>
          <w:rFonts w:ascii="Gill Sans Light" w:hAnsi="Gill Sans Light" w:cs="Gill Sans Light"/>
          <w:i/>
          <w:iCs/>
        </w:rPr>
        <w:t xml:space="preserve">Basic Religious Charities provide the opportunity for people of faith and goodwill to operate together in a simple but effectively governed way that finds the balance between red tape and religious freedom of action. As a result, the Uniting Church in Australia and its many members particularly value the support of the Commission for Basic Religious </w:t>
      </w:r>
      <w:proofErr w:type="gramStart"/>
      <w:r w:rsidR="00425F3F" w:rsidRPr="00C46A73">
        <w:rPr>
          <w:rFonts w:ascii="Gill Sans Light" w:hAnsi="Gill Sans Light" w:cs="Gill Sans Light"/>
          <w:i/>
          <w:iCs/>
        </w:rPr>
        <w:t>Charities</w:t>
      </w:r>
      <w:proofErr w:type="gramEnd"/>
      <w:r w:rsidR="00425F3F" w:rsidRPr="00C46A73">
        <w:rPr>
          <w:rFonts w:ascii="Gill Sans Light" w:hAnsi="Gill Sans Light" w:cs="Gill Sans Light"/>
          <w:i/>
          <w:iCs/>
        </w:rPr>
        <w:t xml:space="preserve"> and we are taking the opportunity to restate our support for these and for the approach the Commission has taken to date. Any changes to these bodies could have dire impacts on the life of the Church in Australia and the freedom of many religious communities to give expression to the call of the Gospel and would not be supported by the Uniting Church</w:t>
      </w:r>
      <w:r w:rsidR="00F04061" w:rsidRPr="00C46A73">
        <w:rPr>
          <w:rFonts w:ascii="Gill Sans Light" w:hAnsi="Gill Sans Light" w:cs="Gill Sans Light"/>
          <w:i/>
          <w:iCs/>
        </w:rPr>
        <w:t>.</w:t>
      </w:r>
      <w:r w:rsidRPr="00C46A73">
        <w:rPr>
          <w:rFonts w:ascii="Gill Sans Light" w:hAnsi="Gill Sans Light" w:cs="Gill Sans Light"/>
          <w:i/>
          <w:iCs/>
        </w:rPr>
        <w:t>”</w:t>
      </w:r>
    </w:p>
    <w:p w14:paraId="566D4DDD" w14:textId="77777777" w:rsidR="007A2D21" w:rsidRDefault="007A2D21" w:rsidP="00425F3F">
      <w:pPr>
        <w:rPr>
          <w:rFonts w:ascii="Gill Sans Light" w:hAnsi="Gill Sans Light" w:cs="Gill Sans Light"/>
          <w:color w:val="FF0000"/>
        </w:rPr>
      </w:pPr>
    </w:p>
    <w:p w14:paraId="0DB7F396" w14:textId="63768F88" w:rsidR="00425F3F" w:rsidRDefault="00425F3F" w:rsidP="00425F3F">
      <w:pPr>
        <w:rPr>
          <w:rFonts w:ascii="Gill Sans Light" w:hAnsi="Gill Sans Light" w:cs="Gill Sans Light"/>
        </w:rPr>
      </w:pPr>
      <w:r w:rsidRPr="00C46A73">
        <w:rPr>
          <w:rFonts w:ascii="Gill Sans Light" w:hAnsi="Gill Sans Light" w:cs="Gill Sans Light"/>
        </w:rPr>
        <w:t>CET</w:t>
      </w:r>
      <w:r w:rsidRPr="00425F3F">
        <w:rPr>
          <w:rFonts w:ascii="Gill Sans Light" w:hAnsi="Gill Sans Light" w:cs="Gill Sans Light"/>
        </w:rPr>
        <w:t xml:space="preserve"> endorses this position.</w:t>
      </w:r>
    </w:p>
    <w:p w14:paraId="44AAD27C" w14:textId="77777777" w:rsidR="00F04061" w:rsidRPr="00425F3F" w:rsidRDefault="00F04061" w:rsidP="00425F3F">
      <w:pPr>
        <w:rPr>
          <w:rFonts w:ascii="Gill Sans Light" w:hAnsi="Gill Sans Light" w:cs="Gill Sans Light"/>
        </w:rPr>
      </w:pPr>
    </w:p>
    <w:p w14:paraId="65087291" w14:textId="3D81A22C" w:rsidR="00425F3F" w:rsidRPr="00425F3F" w:rsidRDefault="00425F3F" w:rsidP="00425F3F">
      <w:pPr>
        <w:rPr>
          <w:rFonts w:ascii="Gill Sans Light" w:hAnsi="Gill Sans Light" w:cs="Gill Sans Light"/>
        </w:rPr>
      </w:pPr>
      <w:r w:rsidRPr="00425F3F">
        <w:rPr>
          <w:rFonts w:ascii="Gill Sans Light" w:hAnsi="Gill Sans Light" w:cs="Gill Sans Light"/>
        </w:rPr>
        <w:t xml:space="preserve">The ACNC review recommended a review of BRCs, but only if </w:t>
      </w:r>
      <w:proofErr w:type="gramStart"/>
      <w:r w:rsidRPr="00425F3F">
        <w:rPr>
          <w:rFonts w:ascii="Gill Sans Light" w:hAnsi="Gill Sans Light" w:cs="Gill Sans Light"/>
        </w:rPr>
        <w:t>a number of</w:t>
      </w:r>
      <w:proofErr w:type="gramEnd"/>
      <w:r w:rsidRPr="00425F3F">
        <w:rPr>
          <w:rFonts w:ascii="Gill Sans Light" w:hAnsi="Gill Sans Light" w:cs="Gill Sans Light"/>
        </w:rPr>
        <w:t xml:space="preserve"> conditions were met, including a recommendation to remove the ability of the ACNC Commissioner to remove responsible persons in all charities, a recommendation which was not accepted by the Government at the time. </w:t>
      </w:r>
    </w:p>
    <w:p w14:paraId="102023E8" w14:textId="77777777" w:rsidR="00425F3F" w:rsidRDefault="00425F3F" w:rsidP="00425F3F">
      <w:pPr>
        <w:rPr>
          <w:rFonts w:ascii="Gill Sans Light" w:hAnsi="Gill Sans Light" w:cs="Gill Sans Light"/>
        </w:rPr>
      </w:pPr>
      <w:r w:rsidRPr="00425F3F">
        <w:rPr>
          <w:rFonts w:ascii="Gill Sans Light" w:hAnsi="Gill Sans Light" w:cs="Gill Sans Light"/>
        </w:rPr>
        <w:t xml:space="preserve">The fact that the Productivity Commission has ignored this history and given a blanket recommendation for BRC to be abolished without caveat is highly concerning and adds to the overarching anti-religion theme which runs through the Draft Report. We note that Commissioner Krystian Seibert has had a longstanding opposition to BRCs, writing in ProBono Australia in August 2018 that part of his wishlist was to abolish BRCs. </w:t>
      </w:r>
    </w:p>
    <w:p w14:paraId="52AF89D0" w14:textId="77777777" w:rsidR="00F04061" w:rsidRDefault="00F04061" w:rsidP="00425F3F">
      <w:pPr>
        <w:rPr>
          <w:rFonts w:ascii="Gill Sans Light" w:hAnsi="Gill Sans Light" w:cs="Gill Sans Light"/>
        </w:rPr>
      </w:pPr>
    </w:p>
    <w:p w14:paraId="50C5ED33" w14:textId="77777777" w:rsidR="007A2D21" w:rsidRPr="00425F3F" w:rsidRDefault="007A2D21" w:rsidP="00425F3F">
      <w:pPr>
        <w:rPr>
          <w:rFonts w:ascii="Gill Sans Light" w:hAnsi="Gill Sans Light" w:cs="Gill Sans Light"/>
        </w:rPr>
      </w:pPr>
    </w:p>
    <w:p w14:paraId="3C0E3F18" w14:textId="77777777" w:rsidR="00425F3F" w:rsidRPr="00F04061" w:rsidRDefault="00425F3F" w:rsidP="00425F3F">
      <w:pPr>
        <w:rPr>
          <w:rFonts w:ascii="Gill Sans Light" w:hAnsi="Gill Sans Light" w:cs="Gill Sans Light"/>
          <w:b/>
          <w:bCs/>
          <w:color w:val="2B8995"/>
        </w:rPr>
      </w:pPr>
      <w:r w:rsidRPr="00F04061">
        <w:rPr>
          <w:rFonts w:ascii="Gill Sans Light" w:hAnsi="Gill Sans Light" w:cs="Gill Sans Light"/>
          <w:b/>
          <w:bCs/>
          <w:color w:val="2B8995"/>
        </w:rPr>
        <w:t>Granting DGR Status to virtually all charitable subtypes while specifically excluding subtype religion</w:t>
      </w:r>
    </w:p>
    <w:p w14:paraId="09973DF6" w14:textId="77777777" w:rsidR="00425F3F" w:rsidRDefault="00425F3F" w:rsidP="00425F3F">
      <w:pPr>
        <w:rPr>
          <w:rFonts w:ascii="Gill Sans Light" w:hAnsi="Gill Sans Light" w:cs="Gill Sans Light"/>
        </w:rPr>
      </w:pPr>
      <w:r w:rsidRPr="00425F3F">
        <w:rPr>
          <w:rFonts w:ascii="Gill Sans Light" w:hAnsi="Gill Sans Light" w:cs="Gill Sans Light"/>
        </w:rPr>
        <w:t xml:space="preserve">Of </w:t>
      </w:r>
      <w:proofErr w:type="gramStart"/>
      <w:r w:rsidRPr="00425F3F">
        <w:rPr>
          <w:rFonts w:ascii="Gill Sans Light" w:hAnsi="Gill Sans Light" w:cs="Gill Sans Light"/>
        </w:rPr>
        <w:t>all of</w:t>
      </w:r>
      <w:proofErr w:type="gramEnd"/>
      <w:r w:rsidRPr="00425F3F">
        <w:rPr>
          <w:rFonts w:ascii="Gill Sans Light" w:hAnsi="Gill Sans Light" w:cs="Gill Sans Light"/>
        </w:rPr>
        <w:t xml:space="preserve"> the elements of this draft report, perhaps the most concerning is the recommendation to dramatically expand the types of charities which can gain access to DGR status, and then specifically excluding religion.</w:t>
      </w:r>
    </w:p>
    <w:p w14:paraId="21697875" w14:textId="77777777" w:rsidR="00F04061" w:rsidRPr="00425F3F" w:rsidRDefault="00F04061" w:rsidP="00425F3F">
      <w:pPr>
        <w:rPr>
          <w:rFonts w:ascii="Gill Sans Light" w:hAnsi="Gill Sans Light" w:cs="Gill Sans Light"/>
        </w:rPr>
      </w:pPr>
    </w:p>
    <w:p w14:paraId="0A30A95D" w14:textId="68331A97" w:rsidR="00425F3F" w:rsidRDefault="00425F3F" w:rsidP="00425F3F">
      <w:pPr>
        <w:rPr>
          <w:rFonts w:ascii="Gill Sans Light" w:hAnsi="Gill Sans Light" w:cs="Gill Sans Light"/>
        </w:rPr>
      </w:pPr>
      <w:r w:rsidRPr="00425F3F">
        <w:rPr>
          <w:rFonts w:ascii="Gill Sans Light" w:hAnsi="Gill Sans Light" w:cs="Gill Sans Light"/>
        </w:rPr>
        <w:t xml:space="preserve">The message from this recommendation is </w:t>
      </w:r>
      <w:r w:rsidR="007D6278" w:rsidRPr="00425F3F">
        <w:rPr>
          <w:rFonts w:ascii="Gill Sans Light" w:hAnsi="Gill Sans Light" w:cs="Gill Sans Light"/>
        </w:rPr>
        <w:t>unmistakable</w:t>
      </w:r>
      <w:r w:rsidRPr="00425F3F">
        <w:rPr>
          <w:rFonts w:ascii="Gill Sans Light" w:hAnsi="Gill Sans Light" w:cs="Gill Sans Light"/>
        </w:rPr>
        <w:t xml:space="preserve">. According to the Productivity Commission, religion offers little or no value to society. Virtually every other type of charitable category is to be placed above that of religion and is therefore given greater status. If the </w:t>
      </w:r>
      <w:r w:rsidRPr="00425F3F">
        <w:rPr>
          <w:rFonts w:ascii="Gill Sans Light" w:hAnsi="Gill Sans Light" w:cs="Gill Sans Light"/>
        </w:rPr>
        <w:lastRenderedPageBreak/>
        <w:t>Government were to accept this recommendation, they would be endorsing this hostile message.</w:t>
      </w:r>
    </w:p>
    <w:p w14:paraId="14682993" w14:textId="77777777" w:rsidR="00F04061" w:rsidRPr="00425F3F" w:rsidRDefault="00F04061" w:rsidP="00425F3F">
      <w:pPr>
        <w:rPr>
          <w:rFonts w:ascii="Gill Sans Light" w:hAnsi="Gill Sans Light" w:cs="Gill Sans Light"/>
        </w:rPr>
      </w:pPr>
    </w:p>
    <w:p w14:paraId="07DE0199" w14:textId="402A9597" w:rsidR="00425F3F" w:rsidRDefault="00425F3F" w:rsidP="00425F3F">
      <w:pPr>
        <w:rPr>
          <w:rFonts w:ascii="Gill Sans Light" w:hAnsi="Gill Sans Light" w:cs="Gill Sans Light"/>
        </w:rPr>
      </w:pPr>
      <w:r w:rsidRPr="00425F3F">
        <w:rPr>
          <w:rFonts w:ascii="Gill Sans Light" w:hAnsi="Gill Sans Light" w:cs="Gill Sans Light"/>
        </w:rPr>
        <w:t xml:space="preserve">As discussed in the introduction, this recommendation ignores the strong religious motivation which has </w:t>
      </w:r>
      <w:proofErr w:type="spellStart"/>
      <w:proofErr w:type="gramStart"/>
      <w:r w:rsidRPr="00425F3F">
        <w:rPr>
          <w:rFonts w:ascii="Gill Sans Light" w:hAnsi="Gill Sans Light" w:cs="Gill Sans Light"/>
        </w:rPr>
        <w:t>lead</w:t>
      </w:r>
      <w:proofErr w:type="spellEnd"/>
      <w:proofErr w:type="gramEnd"/>
      <w:r w:rsidRPr="00425F3F">
        <w:rPr>
          <w:rFonts w:ascii="Gill Sans Light" w:hAnsi="Gill Sans Light" w:cs="Gill Sans Light"/>
        </w:rPr>
        <w:t xml:space="preserve"> to the establishment of some of Australia’s largest and most well-known charities – St Vincent De Paul, the Salvation Army, Anglicare, Uniting Care, Wesley Mission and countless others. It is religious faith which has </w:t>
      </w:r>
      <w:proofErr w:type="spellStart"/>
      <w:proofErr w:type="gramStart"/>
      <w:r w:rsidRPr="00425F3F">
        <w:rPr>
          <w:rFonts w:ascii="Gill Sans Light" w:hAnsi="Gill Sans Light" w:cs="Gill Sans Light"/>
        </w:rPr>
        <w:t>lead</w:t>
      </w:r>
      <w:proofErr w:type="spellEnd"/>
      <w:proofErr w:type="gramEnd"/>
      <w:r w:rsidRPr="00425F3F">
        <w:rPr>
          <w:rFonts w:ascii="Gill Sans Light" w:hAnsi="Gill Sans Light" w:cs="Gill Sans Light"/>
        </w:rPr>
        <w:t xml:space="preserve"> to the establishment of institutions which educate around a third of our children, and look after millions of Australians in hospitals, hospices, aged care facilities, </w:t>
      </w:r>
      <w:r w:rsidR="007D6278" w:rsidRPr="00425F3F">
        <w:rPr>
          <w:rFonts w:ascii="Gill Sans Light" w:hAnsi="Gill Sans Light" w:cs="Gill Sans Light"/>
        </w:rPr>
        <w:t>women’s</w:t>
      </w:r>
      <w:r w:rsidRPr="00425F3F">
        <w:rPr>
          <w:rFonts w:ascii="Gill Sans Light" w:hAnsi="Gill Sans Light" w:cs="Gill Sans Light"/>
        </w:rPr>
        <w:t xml:space="preserve"> shelters and countless other settings. </w:t>
      </w:r>
    </w:p>
    <w:p w14:paraId="20363AC4" w14:textId="77777777" w:rsidR="00F04061" w:rsidRPr="00425F3F" w:rsidRDefault="00F04061" w:rsidP="00425F3F">
      <w:pPr>
        <w:rPr>
          <w:rFonts w:ascii="Gill Sans Light" w:hAnsi="Gill Sans Light" w:cs="Gill Sans Light"/>
        </w:rPr>
      </w:pPr>
    </w:p>
    <w:p w14:paraId="6AEFEF85" w14:textId="77777777" w:rsidR="00425F3F" w:rsidRDefault="00425F3F" w:rsidP="00425F3F">
      <w:pPr>
        <w:rPr>
          <w:rFonts w:ascii="Gill Sans Light" w:hAnsi="Gill Sans Light" w:cs="Gill Sans Light"/>
        </w:rPr>
      </w:pPr>
      <w:r w:rsidRPr="00425F3F">
        <w:rPr>
          <w:rFonts w:ascii="Gill Sans Light" w:hAnsi="Gill Sans Light" w:cs="Gill Sans Light"/>
        </w:rPr>
        <w:t xml:space="preserve">While those who support such a move may well argue that these institutions which carry out these charitable works will still attract DGR status, this misses the point that the good works which these institutions undertake are a direct result of the faith of those who founded them. </w:t>
      </w:r>
      <w:proofErr w:type="gramStart"/>
      <w:r w:rsidRPr="00425F3F">
        <w:rPr>
          <w:rFonts w:ascii="Gill Sans Light" w:hAnsi="Gill Sans Light" w:cs="Gill Sans Light"/>
        </w:rPr>
        <w:t>The end result</w:t>
      </w:r>
      <w:proofErr w:type="gramEnd"/>
      <w:r w:rsidRPr="00425F3F">
        <w:rPr>
          <w:rFonts w:ascii="Gill Sans Light" w:hAnsi="Gill Sans Light" w:cs="Gill Sans Light"/>
        </w:rPr>
        <w:t xml:space="preserve"> charitable services produced by ‘Vinnies’ or ‘the Salvos’ are an outgrowth of Christian faith. A system which says the faith which underpins the works is of no societal benefit undermines the foundation of such organisations and will ultimately lead to less of these institutions being formed and less of these charitable works occurring. This assertion is backed up by multiple studies which link religiosity to volunteering and charitable giving. Broader society, and most particularly our most vulnerable citizens will be the ultimate losers out of such an approach.</w:t>
      </w:r>
    </w:p>
    <w:p w14:paraId="56C23C5B" w14:textId="77777777" w:rsidR="00F04061" w:rsidRPr="00425F3F" w:rsidRDefault="00F04061" w:rsidP="00425F3F">
      <w:pPr>
        <w:rPr>
          <w:rFonts w:ascii="Gill Sans Light" w:hAnsi="Gill Sans Light" w:cs="Gill Sans Light"/>
        </w:rPr>
      </w:pPr>
    </w:p>
    <w:p w14:paraId="11C4B037" w14:textId="74984623" w:rsidR="00425F3F" w:rsidRPr="00425F3F" w:rsidRDefault="00425F3F" w:rsidP="00425F3F">
      <w:pPr>
        <w:rPr>
          <w:rFonts w:ascii="Gill Sans Light" w:hAnsi="Gill Sans Light" w:cs="Gill Sans Light"/>
        </w:rPr>
      </w:pPr>
      <w:r w:rsidRPr="00425F3F">
        <w:rPr>
          <w:rFonts w:ascii="Gill Sans Light" w:hAnsi="Gill Sans Light" w:cs="Gill Sans Light"/>
        </w:rPr>
        <w:t xml:space="preserve">At best this is shortsighted and at worst it is an aggressive, wholesale attack on faith. Coming as it does so soon after another Australian Government commissioned report (the ALRC) which sought to undermine the religious ethos of religious schools, there may be a well-founded conclusion formed by many religious Australians that the Australian Government has an agenda which is hostile to them and </w:t>
      </w:r>
      <w:r w:rsidR="00447850">
        <w:rPr>
          <w:rFonts w:ascii="Gill Sans Light" w:hAnsi="Gill Sans Light" w:cs="Gill Sans Light"/>
        </w:rPr>
        <w:t xml:space="preserve">to </w:t>
      </w:r>
      <w:r w:rsidRPr="00425F3F">
        <w:rPr>
          <w:rFonts w:ascii="Gill Sans Light" w:hAnsi="Gill Sans Light" w:cs="Gill Sans Light"/>
        </w:rPr>
        <w:t>their beliefs.</w:t>
      </w:r>
    </w:p>
    <w:p w14:paraId="41A8DADD" w14:textId="77777777" w:rsidR="00425F3F" w:rsidRDefault="00425F3F" w:rsidP="00425F3F">
      <w:pPr>
        <w:rPr>
          <w:rFonts w:ascii="Gill Sans Light" w:hAnsi="Gill Sans Light" w:cs="Gill Sans Light"/>
        </w:rPr>
      </w:pPr>
    </w:p>
    <w:p w14:paraId="59956ED9" w14:textId="77777777" w:rsidR="007A2D21" w:rsidRPr="00425F3F" w:rsidRDefault="007A2D21" w:rsidP="00425F3F">
      <w:pPr>
        <w:rPr>
          <w:rFonts w:ascii="Gill Sans Light" w:hAnsi="Gill Sans Light" w:cs="Gill Sans Light"/>
        </w:rPr>
      </w:pPr>
    </w:p>
    <w:p w14:paraId="05E1228F" w14:textId="77777777" w:rsidR="00425F3F" w:rsidRPr="00F04061" w:rsidRDefault="00425F3F" w:rsidP="00425F3F">
      <w:pPr>
        <w:rPr>
          <w:rFonts w:ascii="Gill Sans Light" w:hAnsi="Gill Sans Light" w:cs="Gill Sans Light"/>
          <w:b/>
          <w:bCs/>
          <w:color w:val="2B8995"/>
        </w:rPr>
      </w:pPr>
      <w:r w:rsidRPr="00F04061">
        <w:rPr>
          <w:rFonts w:ascii="Gill Sans Light" w:hAnsi="Gill Sans Light" w:cs="Gill Sans Light"/>
          <w:b/>
          <w:bCs/>
          <w:color w:val="2B8995"/>
        </w:rPr>
        <w:t>Conclusion</w:t>
      </w:r>
    </w:p>
    <w:p w14:paraId="28F78C5C" w14:textId="77777777" w:rsidR="00425F3F" w:rsidRPr="00425F3F" w:rsidRDefault="00425F3F" w:rsidP="00425F3F">
      <w:pPr>
        <w:rPr>
          <w:rFonts w:ascii="Gill Sans Light" w:hAnsi="Gill Sans Light" w:cs="Gill Sans Light"/>
        </w:rPr>
      </w:pPr>
      <w:r w:rsidRPr="00425F3F">
        <w:rPr>
          <w:rFonts w:ascii="Gill Sans Light" w:hAnsi="Gill Sans Light" w:cs="Gill Sans Light"/>
        </w:rPr>
        <w:t xml:space="preserve">The Draft Report represents a major attack on faith-based education in Australia both in financial and philosophical terms. More broadly it represents a major assault on religion and religious practice as it seeks to significantly downgrade the role and value of faith to the Australian community. </w:t>
      </w:r>
      <w:r w:rsidRPr="006F590D">
        <w:rPr>
          <w:rFonts w:ascii="Gill Sans Light" w:hAnsi="Gill Sans Light" w:cs="Gill Sans Light"/>
        </w:rPr>
        <w:t xml:space="preserve">CET </w:t>
      </w:r>
      <w:r w:rsidRPr="00425F3F">
        <w:rPr>
          <w:rFonts w:ascii="Gill Sans Light" w:hAnsi="Gill Sans Light" w:cs="Gill Sans Light"/>
        </w:rPr>
        <w:t>urges in the strongest possible terms that the recommendations discussed in detail above be rejected outright by the Government and the Parliament.</w:t>
      </w:r>
    </w:p>
    <w:p w14:paraId="64EE5BF5" w14:textId="77777777" w:rsidR="00425F3F" w:rsidRDefault="00425F3F" w:rsidP="00772BE0">
      <w:pPr>
        <w:rPr>
          <w:rFonts w:ascii="Gill Sans Light" w:hAnsi="Gill Sans Light" w:cs="Gill Sans Light"/>
        </w:rPr>
      </w:pPr>
    </w:p>
    <w:p w14:paraId="06B3E4A0" w14:textId="3E568B0B" w:rsidR="00772BE0" w:rsidRDefault="00772BE0" w:rsidP="00772BE0">
      <w:pPr>
        <w:rPr>
          <w:rFonts w:ascii="Gill Sans Light" w:hAnsi="Gill Sans Light" w:cs="Gill Sans Light"/>
        </w:rPr>
      </w:pPr>
    </w:p>
    <w:p w14:paraId="1920F253" w14:textId="73EBF0B9" w:rsidR="00772BE0" w:rsidRDefault="00772BE0" w:rsidP="00772BE0">
      <w:pPr>
        <w:rPr>
          <w:rFonts w:ascii="Gill Sans Light" w:hAnsi="Gill Sans Light" w:cs="Gill Sans Light"/>
        </w:rPr>
      </w:pPr>
      <w:r>
        <w:rPr>
          <w:rFonts w:ascii="Gill Sans Light" w:hAnsi="Gill Sans Light" w:cs="Gill Sans Light"/>
        </w:rPr>
        <w:t>Yours in Christ</w:t>
      </w:r>
    </w:p>
    <w:p w14:paraId="177E7E22" w14:textId="6AB99AAB" w:rsidR="00772BE0" w:rsidRDefault="00772BE0" w:rsidP="00772BE0">
      <w:pPr>
        <w:rPr>
          <w:rFonts w:ascii="Gill Sans Light" w:hAnsi="Gill Sans Light" w:cs="Gill Sans Light"/>
        </w:rPr>
      </w:pPr>
    </w:p>
    <w:p w14:paraId="68167E11" w14:textId="40A71239" w:rsidR="00772BE0" w:rsidRDefault="00772BE0" w:rsidP="00772BE0">
      <w:pPr>
        <w:rPr>
          <w:rFonts w:ascii="Gill Sans Light" w:hAnsi="Gill Sans Light" w:cs="Gill Sans Light"/>
        </w:rPr>
      </w:pPr>
    </w:p>
    <w:p w14:paraId="41EF4EEE" w14:textId="77777777" w:rsidR="00772BE0" w:rsidRDefault="00772BE0" w:rsidP="00772BE0">
      <w:pPr>
        <w:rPr>
          <w:rFonts w:ascii="Gill Sans Light" w:hAnsi="Gill Sans Light" w:cs="Gill Sans Light"/>
        </w:rPr>
      </w:pPr>
    </w:p>
    <w:p w14:paraId="14B3EADD" w14:textId="77777777" w:rsidR="00772BE0" w:rsidRDefault="00772BE0" w:rsidP="00772BE0">
      <w:pPr>
        <w:rPr>
          <w:rFonts w:ascii="Gill Sans Light" w:hAnsi="Gill Sans Light" w:cs="Gill Sans Light"/>
        </w:rPr>
      </w:pPr>
    </w:p>
    <w:p w14:paraId="5545D110" w14:textId="77777777" w:rsidR="00772BE0" w:rsidRDefault="00772BE0" w:rsidP="00772BE0">
      <w:pPr>
        <w:rPr>
          <w:rFonts w:ascii="Gill Sans Light" w:hAnsi="Gill Sans Light" w:cs="Gill Sans Light"/>
        </w:rPr>
      </w:pPr>
      <w:r>
        <w:rPr>
          <w:rFonts w:ascii="Gill Sans Light" w:hAnsi="Gill Sans Light" w:cs="Gill Sans Light"/>
        </w:rPr>
        <w:t>Dr Gerard Gaskin</w:t>
      </w:r>
    </w:p>
    <w:p w14:paraId="7272362A" w14:textId="77777777" w:rsidR="00772BE0" w:rsidRPr="001E0558" w:rsidRDefault="00772BE0" w:rsidP="00772BE0">
      <w:pPr>
        <w:rPr>
          <w:rFonts w:ascii="Gill Sans Light" w:hAnsi="Gill Sans Light" w:cs="Gill Sans Light"/>
        </w:rPr>
      </w:pPr>
      <w:r w:rsidRPr="000B2577">
        <w:rPr>
          <w:rFonts w:ascii="Gill Sans Light" w:hAnsi="Gill Sans Light" w:cs="Gill Sans Light"/>
        </w:rPr>
        <w:t>Dip T Prim, B Ed, M Ed, Grad Cert App Sc, Ph D</w:t>
      </w:r>
    </w:p>
    <w:p w14:paraId="2294E3EB" w14:textId="77777777" w:rsidR="00772BE0" w:rsidRDefault="00772BE0" w:rsidP="00772BE0">
      <w:pPr>
        <w:rPr>
          <w:rFonts w:ascii="Gill Sans Light" w:hAnsi="Gill Sans Light" w:cs="Gill Sans Light"/>
          <w:b/>
          <w:bCs/>
        </w:rPr>
      </w:pPr>
      <w:r w:rsidRPr="00736EE2">
        <w:rPr>
          <w:rFonts w:ascii="Gill Sans Light" w:hAnsi="Gill Sans Light" w:cs="Gill Sans Light"/>
          <w:b/>
          <w:bCs/>
        </w:rPr>
        <w:t>E</w:t>
      </w:r>
      <w:r w:rsidRPr="00736EE2">
        <w:rPr>
          <w:rFonts w:ascii="Gill Sans Light" w:hAnsi="Gill Sans Light" w:cs="Gill Sans Light" w:hint="cs"/>
          <w:b/>
          <w:bCs/>
        </w:rPr>
        <w:t>xecutive Director</w:t>
      </w:r>
      <w:r>
        <w:rPr>
          <w:rFonts w:ascii="Gill Sans Light" w:hAnsi="Gill Sans Light" w:cs="Gill Sans Light"/>
          <w:b/>
          <w:bCs/>
        </w:rPr>
        <w:t>: Catholic Education Tasmania</w:t>
      </w:r>
    </w:p>
    <w:p w14:paraId="34F3B04C" w14:textId="77777777" w:rsidR="007A2D21" w:rsidRDefault="007A2D21" w:rsidP="00772BE0">
      <w:pPr>
        <w:rPr>
          <w:rFonts w:ascii="Gill Sans Light" w:hAnsi="Gill Sans Light" w:cs="Gill Sans Light"/>
          <w:b/>
          <w:bCs/>
        </w:rPr>
      </w:pPr>
    </w:p>
    <w:p w14:paraId="091D9282" w14:textId="77777777" w:rsidR="007A2D21" w:rsidRDefault="007A2D21" w:rsidP="007A2D21">
      <w:pPr>
        <w:rPr>
          <w:rFonts w:ascii="Gill Sans Light" w:hAnsi="Gill Sans Light" w:cs="Gill Sans Light"/>
        </w:rPr>
      </w:pPr>
      <w:r>
        <w:rPr>
          <w:rFonts w:ascii="Gill Sans Light" w:hAnsi="Gill Sans Light" w:cs="Gill Sans Light"/>
        </w:rPr>
        <w:t>9 February 2024</w:t>
      </w:r>
    </w:p>
    <w:p w14:paraId="58BDEC42" w14:textId="77777777" w:rsidR="007A2D21" w:rsidRPr="00736EE2" w:rsidRDefault="007A2D21" w:rsidP="00772BE0">
      <w:pPr>
        <w:rPr>
          <w:rFonts w:ascii="Gill Sans Light" w:hAnsi="Gill Sans Light" w:cs="Gill Sans Light"/>
          <w:b/>
          <w:bCs/>
        </w:rPr>
      </w:pPr>
    </w:p>
    <w:p w14:paraId="09CE3C7D" w14:textId="77777777" w:rsidR="00772BE0" w:rsidRDefault="00772BE0" w:rsidP="00772BE0">
      <w:pPr>
        <w:rPr>
          <w:rFonts w:ascii="Gill Sans Light" w:hAnsi="Gill Sans Light" w:cs="Gill Sans Light"/>
          <w:b/>
        </w:rPr>
      </w:pPr>
    </w:p>
    <w:sectPr w:rsidR="00772BE0" w:rsidSect="001F27D4">
      <w:headerReference w:type="even" r:id="rId12"/>
      <w:headerReference w:type="default" r:id="rId13"/>
      <w:headerReference w:type="first" r:id="rId14"/>
      <w:footerReference w:type="first" r:id="rId15"/>
      <w:pgSz w:w="11900" w:h="16820"/>
      <w:pgMar w:top="1899" w:right="845" w:bottom="1497" w:left="1134" w:header="709"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5C3EE" w14:textId="77777777" w:rsidR="001F27D4" w:rsidRDefault="001F27D4" w:rsidP="001E1997">
      <w:r>
        <w:separator/>
      </w:r>
    </w:p>
  </w:endnote>
  <w:endnote w:type="continuationSeparator" w:id="0">
    <w:p w14:paraId="1F833AF1" w14:textId="77777777" w:rsidR="001F27D4" w:rsidRDefault="001F27D4" w:rsidP="001E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Gill Sans Light">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3D29" w14:textId="5BD035A0" w:rsidR="004E1A13" w:rsidRPr="004E1A13" w:rsidRDefault="00B37819" w:rsidP="004E1A13">
    <w:pPr>
      <w:pStyle w:val="Footer"/>
    </w:pPr>
    <w:r w:rsidRPr="00B37819">
      <w:rPr>
        <w:noProof/>
      </w:rPr>
      <w:drawing>
        <wp:anchor distT="0" distB="0" distL="114300" distR="114300" simplePos="0" relativeHeight="251661312" behindDoc="1" locked="0" layoutInCell="1" allowOverlap="1" wp14:anchorId="5DA62F90" wp14:editId="2F5E9642">
          <wp:simplePos x="0" y="0"/>
          <wp:positionH relativeFrom="column">
            <wp:posOffset>-427990</wp:posOffset>
          </wp:positionH>
          <wp:positionV relativeFrom="paragraph">
            <wp:posOffset>-154940</wp:posOffset>
          </wp:positionV>
          <wp:extent cx="6913704" cy="5721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20145" cy="5726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0BFD" w14:textId="77777777" w:rsidR="001F27D4" w:rsidRDefault="001F27D4" w:rsidP="001E1997">
      <w:r>
        <w:separator/>
      </w:r>
    </w:p>
  </w:footnote>
  <w:footnote w:type="continuationSeparator" w:id="0">
    <w:p w14:paraId="6E2777F5" w14:textId="77777777" w:rsidR="001F27D4" w:rsidRDefault="001F27D4" w:rsidP="001E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ED10" w14:textId="70179B32" w:rsidR="00315E5F" w:rsidRDefault="00315E5F">
    <w:pPr>
      <w:pStyle w:val="Header"/>
    </w:pPr>
    <w:r>
      <w:rPr>
        <w:noProof/>
      </w:rPr>
      <mc:AlternateContent>
        <mc:Choice Requires="wps">
          <w:drawing>
            <wp:anchor distT="0" distB="0" distL="0" distR="0" simplePos="0" relativeHeight="251663360" behindDoc="0" locked="0" layoutInCell="1" allowOverlap="1" wp14:anchorId="54A9CABE" wp14:editId="109C3596">
              <wp:simplePos x="635" y="635"/>
              <wp:positionH relativeFrom="page">
                <wp:align>center</wp:align>
              </wp:positionH>
              <wp:positionV relativeFrom="page">
                <wp:align>top</wp:align>
              </wp:positionV>
              <wp:extent cx="443865" cy="443865"/>
              <wp:effectExtent l="0" t="0" r="4445" b="4445"/>
              <wp:wrapNone/>
              <wp:docPr id="1078434600"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FAB756" w14:textId="53585886" w:rsidR="00315E5F" w:rsidRPr="00315E5F" w:rsidRDefault="00315E5F" w:rsidP="00315E5F">
                          <w:pPr>
                            <w:rPr>
                              <w:rFonts w:ascii="Calibri" w:eastAsia="Calibri" w:hAnsi="Calibri" w:cs="Calibri"/>
                              <w:noProof/>
                              <w:color w:val="000000"/>
                            </w:rPr>
                          </w:pPr>
                          <w:r w:rsidRPr="00315E5F">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9CABE"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EFAB756" w14:textId="53585886" w:rsidR="00315E5F" w:rsidRPr="00315E5F" w:rsidRDefault="00315E5F" w:rsidP="00315E5F">
                    <w:pPr>
                      <w:rPr>
                        <w:rFonts w:ascii="Calibri" w:eastAsia="Calibri" w:hAnsi="Calibri" w:cs="Calibri"/>
                        <w:noProof/>
                        <w:color w:val="000000"/>
                      </w:rPr>
                    </w:pPr>
                    <w:r w:rsidRPr="00315E5F">
                      <w:rPr>
                        <w:rFonts w:ascii="Calibri" w:eastAsia="Calibri" w:hAnsi="Calibri" w:cs="Calibri"/>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4770" w14:textId="1811F5E8" w:rsidR="00315E5F" w:rsidRDefault="00315E5F">
    <w:pPr>
      <w:pStyle w:val="Header"/>
    </w:pPr>
    <w:r>
      <w:rPr>
        <w:noProof/>
      </w:rPr>
      <mc:AlternateContent>
        <mc:Choice Requires="wps">
          <w:drawing>
            <wp:anchor distT="0" distB="0" distL="0" distR="0" simplePos="0" relativeHeight="251664384" behindDoc="0" locked="0" layoutInCell="1" allowOverlap="1" wp14:anchorId="04138918" wp14:editId="123970BF">
              <wp:simplePos x="723900" y="447675"/>
              <wp:positionH relativeFrom="page">
                <wp:align>center</wp:align>
              </wp:positionH>
              <wp:positionV relativeFrom="page">
                <wp:align>top</wp:align>
              </wp:positionV>
              <wp:extent cx="443865" cy="443865"/>
              <wp:effectExtent l="0" t="0" r="4445" b="4445"/>
              <wp:wrapNone/>
              <wp:docPr id="1357130051"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C873AC" w14:textId="180A3965" w:rsidR="00315E5F" w:rsidRPr="00315E5F" w:rsidRDefault="00315E5F" w:rsidP="00315E5F">
                          <w:pPr>
                            <w:rPr>
                              <w:rFonts w:ascii="Calibri" w:eastAsia="Calibri" w:hAnsi="Calibri" w:cs="Calibri"/>
                              <w:noProof/>
                              <w:color w:val="000000"/>
                            </w:rPr>
                          </w:pPr>
                          <w:r w:rsidRPr="00315E5F">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38918"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FC873AC" w14:textId="180A3965" w:rsidR="00315E5F" w:rsidRPr="00315E5F" w:rsidRDefault="00315E5F" w:rsidP="00315E5F">
                    <w:pPr>
                      <w:rPr>
                        <w:rFonts w:ascii="Calibri" w:eastAsia="Calibri" w:hAnsi="Calibri" w:cs="Calibri"/>
                        <w:noProof/>
                        <w:color w:val="000000"/>
                      </w:rPr>
                    </w:pPr>
                    <w:r w:rsidRPr="00315E5F">
                      <w:rPr>
                        <w:rFonts w:ascii="Calibri" w:eastAsia="Calibri" w:hAnsi="Calibri" w:cs="Calibri"/>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7D2D" w14:textId="0C178B37" w:rsidR="006716E2" w:rsidRDefault="00315E5F">
    <w:pPr>
      <w:pStyle w:val="Header"/>
    </w:pPr>
    <w:r>
      <w:rPr>
        <w:noProof/>
      </w:rPr>
      <mc:AlternateContent>
        <mc:Choice Requires="wps">
          <w:drawing>
            <wp:anchor distT="0" distB="0" distL="0" distR="0" simplePos="0" relativeHeight="251662336" behindDoc="0" locked="0" layoutInCell="1" allowOverlap="1" wp14:anchorId="7E4484AF" wp14:editId="7FD4A7B7">
              <wp:simplePos x="720725" y="450850"/>
              <wp:positionH relativeFrom="page">
                <wp:align>center</wp:align>
              </wp:positionH>
              <wp:positionV relativeFrom="page">
                <wp:align>top</wp:align>
              </wp:positionV>
              <wp:extent cx="443865" cy="443865"/>
              <wp:effectExtent l="0" t="0" r="4445" b="4445"/>
              <wp:wrapNone/>
              <wp:docPr id="1838775776"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A6CA1" w14:textId="7E3656FE" w:rsidR="00315E5F" w:rsidRPr="00315E5F" w:rsidRDefault="00315E5F" w:rsidP="00315E5F">
                          <w:pPr>
                            <w:rPr>
                              <w:rFonts w:ascii="Calibri" w:eastAsia="Calibri" w:hAnsi="Calibri" w:cs="Calibri"/>
                              <w:noProof/>
                              <w:color w:val="000000"/>
                            </w:rPr>
                          </w:pPr>
                          <w:r w:rsidRPr="00315E5F">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4484AF"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C4A6CA1" w14:textId="7E3656FE" w:rsidR="00315E5F" w:rsidRPr="00315E5F" w:rsidRDefault="00315E5F" w:rsidP="00315E5F">
                    <w:pPr>
                      <w:rPr>
                        <w:rFonts w:ascii="Calibri" w:eastAsia="Calibri" w:hAnsi="Calibri" w:cs="Calibri"/>
                        <w:noProof/>
                        <w:color w:val="000000"/>
                      </w:rPr>
                    </w:pPr>
                    <w:r w:rsidRPr="00315E5F">
                      <w:rPr>
                        <w:rFonts w:ascii="Calibri" w:eastAsia="Calibri" w:hAnsi="Calibri" w:cs="Calibri"/>
                        <w:noProof/>
                        <w:color w:val="000000"/>
                      </w:rPr>
                      <w:t xml:space="preserve"> OFFICIAL</w:t>
                    </w:r>
                  </w:p>
                </w:txbxContent>
              </v:textbox>
              <w10:wrap anchorx="page" anchory="page"/>
            </v:shape>
          </w:pict>
        </mc:Fallback>
      </mc:AlternateContent>
    </w:r>
    <w:r w:rsidR="00B37819" w:rsidRPr="00B37819">
      <w:rPr>
        <w:noProof/>
      </w:rPr>
      <w:drawing>
        <wp:anchor distT="0" distB="0" distL="114300" distR="114300" simplePos="0" relativeHeight="251660288" behindDoc="1" locked="0" layoutInCell="1" allowOverlap="1" wp14:anchorId="5D99FCFA" wp14:editId="5B8A3273">
          <wp:simplePos x="0" y="0"/>
          <wp:positionH relativeFrom="column">
            <wp:posOffset>4461510</wp:posOffset>
          </wp:positionH>
          <wp:positionV relativeFrom="paragraph">
            <wp:posOffset>-170180</wp:posOffset>
          </wp:positionV>
          <wp:extent cx="21082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0820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9E3"/>
    <w:multiLevelType w:val="multilevel"/>
    <w:tmpl w:val="899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A6C61"/>
    <w:multiLevelType w:val="hybridMultilevel"/>
    <w:tmpl w:val="186A1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E7379"/>
    <w:multiLevelType w:val="hybridMultilevel"/>
    <w:tmpl w:val="6F9048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1517A"/>
    <w:multiLevelType w:val="multilevel"/>
    <w:tmpl w:val="E0C4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57BF1"/>
    <w:multiLevelType w:val="hybridMultilevel"/>
    <w:tmpl w:val="CC545E4E"/>
    <w:lvl w:ilvl="0" w:tplc="A1B2A8F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47491B"/>
    <w:multiLevelType w:val="multilevel"/>
    <w:tmpl w:val="A7CC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060BA"/>
    <w:multiLevelType w:val="hybridMultilevel"/>
    <w:tmpl w:val="142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B2FE9"/>
    <w:multiLevelType w:val="multilevel"/>
    <w:tmpl w:val="5184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74019"/>
    <w:multiLevelType w:val="hybridMultilevel"/>
    <w:tmpl w:val="8742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847468">
    <w:abstractNumId w:val="1"/>
  </w:num>
  <w:num w:numId="2" w16cid:durableId="1144392912">
    <w:abstractNumId w:val="0"/>
  </w:num>
  <w:num w:numId="3" w16cid:durableId="634063305">
    <w:abstractNumId w:val="5"/>
  </w:num>
  <w:num w:numId="4" w16cid:durableId="1508515970">
    <w:abstractNumId w:val="7"/>
  </w:num>
  <w:num w:numId="5" w16cid:durableId="1842159062">
    <w:abstractNumId w:val="6"/>
  </w:num>
  <w:num w:numId="6" w16cid:durableId="1994329601">
    <w:abstractNumId w:val="3"/>
  </w:num>
  <w:num w:numId="7" w16cid:durableId="1797522383">
    <w:abstractNumId w:val="8"/>
  </w:num>
  <w:num w:numId="8" w16cid:durableId="228272569">
    <w:abstractNumId w:val="4"/>
  </w:num>
  <w:num w:numId="9" w16cid:durableId="1118259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A3"/>
    <w:rsid w:val="00002D5D"/>
    <w:rsid w:val="00012CCC"/>
    <w:rsid w:val="000263BB"/>
    <w:rsid w:val="00041441"/>
    <w:rsid w:val="0006017D"/>
    <w:rsid w:val="000633AD"/>
    <w:rsid w:val="000E543B"/>
    <w:rsid w:val="000F2A07"/>
    <w:rsid w:val="000F4C50"/>
    <w:rsid w:val="0013491C"/>
    <w:rsid w:val="00137D5E"/>
    <w:rsid w:val="00142521"/>
    <w:rsid w:val="001527BE"/>
    <w:rsid w:val="0018581E"/>
    <w:rsid w:val="00191206"/>
    <w:rsid w:val="001A6402"/>
    <w:rsid w:val="001B6A84"/>
    <w:rsid w:val="001C15A8"/>
    <w:rsid w:val="001E1997"/>
    <w:rsid w:val="001F182B"/>
    <w:rsid w:val="001F27D4"/>
    <w:rsid w:val="001F3DB0"/>
    <w:rsid w:val="0021747D"/>
    <w:rsid w:val="002174B6"/>
    <w:rsid w:val="002512E4"/>
    <w:rsid w:val="00283F9F"/>
    <w:rsid w:val="00292112"/>
    <w:rsid w:val="0029456D"/>
    <w:rsid w:val="002D01F8"/>
    <w:rsid w:val="0031303B"/>
    <w:rsid w:val="00315E5F"/>
    <w:rsid w:val="003208DE"/>
    <w:rsid w:val="0032483E"/>
    <w:rsid w:val="003D318D"/>
    <w:rsid w:val="003D34EC"/>
    <w:rsid w:val="003F08D9"/>
    <w:rsid w:val="003F40C1"/>
    <w:rsid w:val="00425F3F"/>
    <w:rsid w:val="00447850"/>
    <w:rsid w:val="00452DE9"/>
    <w:rsid w:val="0048465D"/>
    <w:rsid w:val="004D0C4C"/>
    <w:rsid w:val="004D629F"/>
    <w:rsid w:val="004E1A13"/>
    <w:rsid w:val="00511338"/>
    <w:rsid w:val="00512EBD"/>
    <w:rsid w:val="0054609D"/>
    <w:rsid w:val="00547FE8"/>
    <w:rsid w:val="0056617E"/>
    <w:rsid w:val="005A6E08"/>
    <w:rsid w:val="005A7BD2"/>
    <w:rsid w:val="005B6F28"/>
    <w:rsid w:val="005E45B3"/>
    <w:rsid w:val="005F48FF"/>
    <w:rsid w:val="006151A4"/>
    <w:rsid w:val="0062153B"/>
    <w:rsid w:val="00625A60"/>
    <w:rsid w:val="00630616"/>
    <w:rsid w:val="00641304"/>
    <w:rsid w:val="00661B14"/>
    <w:rsid w:val="0066473F"/>
    <w:rsid w:val="006716E2"/>
    <w:rsid w:val="006772A3"/>
    <w:rsid w:val="0068626C"/>
    <w:rsid w:val="00690E0F"/>
    <w:rsid w:val="006915AE"/>
    <w:rsid w:val="006A42F0"/>
    <w:rsid w:val="006A731B"/>
    <w:rsid w:val="006C6603"/>
    <w:rsid w:val="006E544C"/>
    <w:rsid w:val="006F590D"/>
    <w:rsid w:val="006F6FF8"/>
    <w:rsid w:val="007016A0"/>
    <w:rsid w:val="00714726"/>
    <w:rsid w:val="00723078"/>
    <w:rsid w:val="007709E3"/>
    <w:rsid w:val="0077109C"/>
    <w:rsid w:val="00772BE0"/>
    <w:rsid w:val="00774940"/>
    <w:rsid w:val="00784D92"/>
    <w:rsid w:val="007A2D21"/>
    <w:rsid w:val="007D51EB"/>
    <w:rsid w:val="007D6278"/>
    <w:rsid w:val="00811562"/>
    <w:rsid w:val="0083407D"/>
    <w:rsid w:val="00864A78"/>
    <w:rsid w:val="00881708"/>
    <w:rsid w:val="0089432E"/>
    <w:rsid w:val="008C1E42"/>
    <w:rsid w:val="008F777F"/>
    <w:rsid w:val="009241DE"/>
    <w:rsid w:val="009309DF"/>
    <w:rsid w:val="00953C85"/>
    <w:rsid w:val="00973230"/>
    <w:rsid w:val="00976A98"/>
    <w:rsid w:val="0098250C"/>
    <w:rsid w:val="009D127A"/>
    <w:rsid w:val="00A16F05"/>
    <w:rsid w:val="00A21885"/>
    <w:rsid w:val="00A30530"/>
    <w:rsid w:val="00A325FE"/>
    <w:rsid w:val="00A60DFD"/>
    <w:rsid w:val="00A65CAC"/>
    <w:rsid w:val="00A67CED"/>
    <w:rsid w:val="00A76321"/>
    <w:rsid w:val="00A91D8C"/>
    <w:rsid w:val="00AA7314"/>
    <w:rsid w:val="00B0045B"/>
    <w:rsid w:val="00B20149"/>
    <w:rsid w:val="00B33786"/>
    <w:rsid w:val="00B36D0E"/>
    <w:rsid w:val="00B37819"/>
    <w:rsid w:val="00BA57BD"/>
    <w:rsid w:val="00BB1A9E"/>
    <w:rsid w:val="00BC01FA"/>
    <w:rsid w:val="00BC5EEB"/>
    <w:rsid w:val="00BD4083"/>
    <w:rsid w:val="00BE6614"/>
    <w:rsid w:val="00BF50AB"/>
    <w:rsid w:val="00C029C2"/>
    <w:rsid w:val="00C11EAD"/>
    <w:rsid w:val="00C1390E"/>
    <w:rsid w:val="00C24DBC"/>
    <w:rsid w:val="00C25B0A"/>
    <w:rsid w:val="00C46A73"/>
    <w:rsid w:val="00C50D46"/>
    <w:rsid w:val="00C8262B"/>
    <w:rsid w:val="00D07D47"/>
    <w:rsid w:val="00D24066"/>
    <w:rsid w:val="00D263AF"/>
    <w:rsid w:val="00D3698F"/>
    <w:rsid w:val="00D76CBB"/>
    <w:rsid w:val="00D953AA"/>
    <w:rsid w:val="00D96588"/>
    <w:rsid w:val="00DA4B90"/>
    <w:rsid w:val="00DA4EC6"/>
    <w:rsid w:val="00DC278B"/>
    <w:rsid w:val="00DD649E"/>
    <w:rsid w:val="00DF2903"/>
    <w:rsid w:val="00E01C0B"/>
    <w:rsid w:val="00E05E26"/>
    <w:rsid w:val="00E16F88"/>
    <w:rsid w:val="00E211A1"/>
    <w:rsid w:val="00E2403F"/>
    <w:rsid w:val="00E4663F"/>
    <w:rsid w:val="00EA65C8"/>
    <w:rsid w:val="00EC4FA4"/>
    <w:rsid w:val="00ED485B"/>
    <w:rsid w:val="00EF6B6F"/>
    <w:rsid w:val="00F04061"/>
    <w:rsid w:val="00F158D3"/>
    <w:rsid w:val="00F23388"/>
    <w:rsid w:val="00F537E4"/>
    <w:rsid w:val="00F72A05"/>
    <w:rsid w:val="00FA2BF8"/>
    <w:rsid w:val="00FE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0F54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772A3"/>
  </w:style>
  <w:style w:type="paragraph" w:styleId="Heading1">
    <w:name w:val="heading 1"/>
    <w:basedOn w:val="Normal"/>
    <w:link w:val="Heading1Char"/>
    <w:uiPriority w:val="1"/>
    <w:qFormat/>
    <w:rsid w:val="006772A3"/>
    <w:pPr>
      <w:widowControl w:val="0"/>
      <w:ind w:left="218"/>
      <w:outlineLvl w:val="0"/>
    </w:pPr>
    <w:rPr>
      <w:rFonts w:ascii="Arial" w:eastAsia="Arial" w:hAnsi="Arial"/>
      <w:b/>
      <w:bCs/>
    </w:rPr>
  </w:style>
  <w:style w:type="paragraph" w:styleId="Heading2">
    <w:name w:val="heading 2"/>
    <w:basedOn w:val="Normal"/>
    <w:link w:val="Heading2Char"/>
    <w:uiPriority w:val="1"/>
    <w:qFormat/>
    <w:rsid w:val="006772A3"/>
    <w:pPr>
      <w:widowControl w:val="0"/>
      <w:ind w:left="218"/>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72A3"/>
    <w:rPr>
      <w:rFonts w:ascii="Arial" w:eastAsia="Arial" w:hAnsi="Arial"/>
      <w:b/>
      <w:bCs/>
    </w:rPr>
  </w:style>
  <w:style w:type="character" w:customStyle="1" w:styleId="Heading2Char">
    <w:name w:val="Heading 2 Char"/>
    <w:basedOn w:val="DefaultParagraphFont"/>
    <w:link w:val="Heading2"/>
    <w:uiPriority w:val="1"/>
    <w:rsid w:val="006772A3"/>
    <w:rPr>
      <w:rFonts w:ascii="Arial" w:eastAsia="Arial" w:hAnsi="Arial"/>
    </w:rPr>
  </w:style>
  <w:style w:type="paragraph" w:customStyle="1" w:styleId="TableParagraph">
    <w:name w:val="Table Paragraph"/>
    <w:basedOn w:val="Normal"/>
    <w:uiPriority w:val="1"/>
    <w:qFormat/>
    <w:rsid w:val="006772A3"/>
    <w:pPr>
      <w:widowControl w:val="0"/>
    </w:pPr>
    <w:rPr>
      <w:rFonts w:eastAsiaTheme="minorHAnsi"/>
      <w:sz w:val="22"/>
      <w:szCs w:val="22"/>
    </w:rPr>
  </w:style>
  <w:style w:type="paragraph" w:styleId="BalloonText">
    <w:name w:val="Balloon Text"/>
    <w:basedOn w:val="Normal"/>
    <w:link w:val="BalloonTextChar"/>
    <w:uiPriority w:val="99"/>
    <w:semiHidden/>
    <w:unhideWhenUsed/>
    <w:rsid w:val="006772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72A3"/>
    <w:rPr>
      <w:rFonts w:ascii="Lucida Grande" w:hAnsi="Lucida Grande" w:cs="Lucida Grande"/>
      <w:sz w:val="18"/>
      <w:szCs w:val="18"/>
    </w:rPr>
  </w:style>
  <w:style w:type="paragraph" w:styleId="Title">
    <w:name w:val="Title"/>
    <w:basedOn w:val="Normal"/>
    <w:next w:val="Normal"/>
    <w:link w:val="TitleChar"/>
    <w:uiPriority w:val="10"/>
    <w:qFormat/>
    <w:rsid w:val="003D31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318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E1997"/>
    <w:pPr>
      <w:tabs>
        <w:tab w:val="center" w:pos="4320"/>
        <w:tab w:val="right" w:pos="8640"/>
      </w:tabs>
    </w:pPr>
  </w:style>
  <w:style w:type="character" w:customStyle="1" w:styleId="HeaderChar">
    <w:name w:val="Header Char"/>
    <w:basedOn w:val="DefaultParagraphFont"/>
    <w:link w:val="Header"/>
    <w:uiPriority w:val="99"/>
    <w:rsid w:val="001E1997"/>
  </w:style>
  <w:style w:type="paragraph" w:styleId="Footer">
    <w:name w:val="footer"/>
    <w:basedOn w:val="Normal"/>
    <w:link w:val="FooterChar"/>
    <w:uiPriority w:val="99"/>
    <w:unhideWhenUsed/>
    <w:rsid w:val="001E1997"/>
    <w:pPr>
      <w:tabs>
        <w:tab w:val="center" w:pos="4320"/>
        <w:tab w:val="right" w:pos="8640"/>
      </w:tabs>
    </w:pPr>
  </w:style>
  <w:style w:type="character" w:customStyle="1" w:styleId="FooterChar">
    <w:name w:val="Footer Char"/>
    <w:basedOn w:val="DefaultParagraphFont"/>
    <w:link w:val="Footer"/>
    <w:uiPriority w:val="99"/>
    <w:rsid w:val="001E1997"/>
  </w:style>
  <w:style w:type="table" w:styleId="TableGrid">
    <w:name w:val="Table Grid"/>
    <w:basedOn w:val="TableNormal"/>
    <w:uiPriority w:val="59"/>
    <w:rsid w:val="0014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78B"/>
    <w:rPr>
      <w:color w:val="0000FF" w:themeColor="hyperlink"/>
      <w:u w:val="single"/>
    </w:rPr>
  </w:style>
  <w:style w:type="paragraph" w:styleId="ListParagraph">
    <w:name w:val="List Paragraph"/>
    <w:basedOn w:val="Normal"/>
    <w:uiPriority w:val="34"/>
    <w:qFormat/>
    <w:rsid w:val="00FA2BF8"/>
    <w:pPr>
      <w:ind w:left="720"/>
      <w:contextualSpacing/>
    </w:pPr>
    <w:rPr>
      <w:rFonts w:eastAsiaTheme="minorHAnsi"/>
      <w:lang w:val="en-GB"/>
    </w:rPr>
  </w:style>
  <w:style w:type="paragraph" w:styleId="NormalWeb">
    <w:name w:val="Normal (Web)"/>
    <w:basedOn w:val="Normal"/>
    <w:uiPriority w:val="99"/>
    <w:semiHidden/>
    <w:unhideWhenUsed/>
    <w:rsid w:val="006A731B"/>
    <w:pPr>
      <w:spacing w:before="100" w:beforeAutospacing="1" w:after="100" w:afterAutospacing="1"/>
    </w:pPr>
    <w:rPr>
      <w:rFonts w:ascii="Times New Roman" w:eastAsia="Times New Roman" w:hAnsi="Times New Roman" w:cs="Times New Roman"/>
      <w:lang w:val="en-AU"/>
    </w:rPr>
  </w:style>
  <w:style w:type="character" w:styleId="UnresolvedMention">
    <w:name w:val="Unresolved Mention"/>
    <w:basedOn w:val="DefaultParagraphFont"/>
    <w:uiPriority w:val="99"/>
    <w:rsid w:val="00251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50933">
      <w:bodyDiv w:val="1"/>
      <w:marLeft w:val="0"/>
      <w:marRight w:val="0"/>
      <w:marTop w:val="0"/>
      <w:marBottom w:val="0"/>
      <w:divBdr>
        <w:top w:val="none" w:sz="0" w:space="0" w:color="auto"/>
        <w:left w:val="none" w:sz="0" w:space="0" w:color="auto"/>
        <w:bottom w:val="none" w:sz="0" w:space="0" w:color="auto"/>
        <w:right w:val="none" w:sz="0" w:space="0" w:color="auto"/>
      </w:divBdr>
      <w:divsChild>
        <w:div w:id="90599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00145724">
              <w:marLeft w:val="0"/>
              <w:marRight w:val="0"/>
              <w:marTop w:val="0"/>
              <w:marBottom w:val="0"/>
              <w:divBdr>
                <w:top w:val="none" w:sz="0" w:space="0" w:color="auto"/>
                <w:left w:val="none" w:sz="0" w:space="0" w:color="auto"/>
                <w:bottom w:val="none" w:sz="0" w:space="0" w:color="auto"/>
                <w:right w:val="none" w:sz="0" w:space="0" w:color="auto"/>
              </w:divBdr>
            </w:div>
            <w:div w:id="298001599">
              <w:marLeft w:val="0"/>
              <w:marRight w:val="0"/>
              <w:marTop w:val="0"/>
              <w:marBottom w:val="0"/>
              <w:divBdr>
                <w:top w:val="none" w:sz="0" w:space="0" w:color="auto"/>
                <w:left w:val="none" w:sz="0" w:space="0" w:color="auto"/>
                <w:bottom w:val="none" w:sz="0" w:space="0" w:color="auto"/>
                <w:right w:val="none" w:sz="0" w:space="0" w:color="auto"/>
              </w:divBdr>
            </w:div>
          </w:divsChild>
        </w:div>
        <w:div w:id="199829475">
          <w:blockQuote w:val="1"/>
          <w:marLeft w:val="600"/>
          <w:marRight w:val="0"/>
          <w:marTop w:val="0"/>
          <w:marBottom w:val="0"/>
          <w:divBdr>
            <w:top w:val="none" w:sz="0" w:space="0" w:color="auto"/>
            <w:left w:val="none" w:sz="0" w:space="0" w:color="auto"/>
            <w:bottom w:val="none" w:sz="0" w:space="0" w:color="auto"/>
            <w:right w:val="none" w:sz="0" w:space="0" w:color="auto"/>
          </w:divBdr>
          <w:divsChild>
            <w:div w:id="755203078">
              <w:marLeft w:val="0"/>
              <w:marRight w:val="0"/>
              <w:marTop w:val="0"/>
              <w:marBottom w:val="0"/>
              <w:divBdr>
                <w:top w:val="none" w:sz="0" w:space="0" w:color="auto"/>
                <w:left w:val="none" w:sz="0" w:space="0" w:color="auto"/>
                <w:bottom w:val="none" w:sz="0" w:space="0" w:color="auto"/>
                <w:right w:val="none" w:sz="0" w:space="0" w:color="auto"/>
              </w:divBdr>
            </w:div>
            <w:div w:id="516041879">
              <w:marLeft w:val="0"/>
              <w:marRight w:val="0"/>
              <w:marTop w:val="0"/>
              <w:marBottom w:val="0"/>
              <w:divBdr>
                <w:top w:val="none" w:sz="0" w:space="0" w:color="auto"/>
                <w:left w:val="none" w:sz="0" w:space="0" w:color="auto"/>
                <w:bottom w:val="none" w:sz="0" w:space="0" w:color="auto"/>
                <w:right w:val="none" w:sz="0" w:space="0" w:color="auto"/>
              </w:divBdr>
            </w:div>
            <w:div w:id="661159212">
              <w:marLeft w:val="0"/>
              <w:marRight w:val="0"/>
              <w:marTop w:val="0"/>
              <w:marBottom w:val="0"/>
              <w:divBdr>
                <w:top w:val="none" w:sz="0" w:space="0" w:color="auto"/>
                <w:left w:val="none" w:sz="0" w:space="0" w:color="auto"/>
                <w:bottom w:val="none" w:sz="0" w:space="0" w:color="auto"/>
                <w:right w:val="none" w:sz="0" w:space="0" w:color="auto"/>
              </w:divBdr>
            </w:div>
            <w:div w:id="1012222928">
              <w:marLeft w:val="0"/>
              <w:marRight w:val="0"/>
              <w:marTop w:val="0"/>
              <w:marBottom w:val="0"/>
              <w:divBdr>
                <w:top w:val="none" w:sz="0" w:space="0" w:color="auto"/>
                <w:left w:val="none" w:sz="0" w:space="0" w:color="auto"/>
                <w:bottom w:val="none" w:sz="0" w:space="0" w:color="auto"/>
                <w:right w:val="none" w:sz="0" w:space="0" w:color="auto"/>
              </w:divBdr>
            </w:div>
          </w:divsChild>
        </w:div>
        <w:div w:id="2091387501">
          <w:blockQuote w:val="1"/>
          <w:marLeft w:val="600"/>
          <w:marRight w:val="0"/>
          <w:marTop w:val="0"/>
          <w:marBottom w:val="0"/>
          <w:divBdr>
            <w:top w:val="none" w:sz="0" w:space="0" w:color="auto"/>
            <w:left w:val="none" w:sz="0" w:space="0" w:color="auto"/>
            <w:bottom w:val="none" w:sz="0" w:space="0" w:color="auto"/>
            <w:right w:val="none" w:sz="0" w:space="0" w:color="auto"/>
          </w:divBdr>
          <w:divsChild>
            <w:div w:id="831916191">
              <w:marLeft w:val="0"/>
              <w:marRight w:val="0"/>
              <w:marTop w:val="0"/>
              <w:marBottom w:val="0"/>
              <w:divBdr>
                <w:top w:val="none" w:sz="0" w:space="0" w:color="auto"/>
                <w:left w:val="none" w:sz="0" w:space="0" w:color="auto"/>
                <w:bottom w:val="none" w:sz="0" w:space="0" w:color="auto"/>
                <w:right w:val="none" w:sz="0" w:space="0" w:color="auto"/>
              </w:divBdr>
            </w:div>
            <w:div w:id="1184126738">
              <w:marLeft w:val="0"/>
              <w:marRight w:val="0"/>
              <w:marTop w:val="0"/>
              <w:marBottom w:val="0"/>
              <w:divBdr>
                <w:top w:val="none" w:sz="0" w:space="0" w:color="auto"/>
                <w:left w:val="none" w:sz="0" w:space="0" w:color="auto"/>
                <w:bottom w:val="none" w:sz="0" w:space="0" w:color="auto"/>
                <w:right w:val="none" w:sz="0" w:space="0" w:color="auto"/>
              </w:divBdr>
            </w:div>
          </w:divsChild>
        </w:div>
        <w:div w:id="1687056655">
          <w:blockQuote w:val="1"/>
          <w:marLeft w:val="600"/>
          <w:marRight w:val="0"/>
          <w:marTop w:val="0"/>
          <w:marBottom w:val="0"/>
          <w:divBdr>
            <w:top w:val="none" w:sz="0" w:space="0" w:color="auto"/>
            <w:left w:val="none" w:sz="0" w:space="0" w:color="auto"/>
            <w:bottom w:val="none" w:sz="0" w:space="0" w:color="auto"/>
            <w:right w:val="none" w:sz="0" w:space="0" w:color="auto"/>
          </w:divBdr>
          <w:divsChild>
            <w:div w:id="58672052">
              <w:marLeft w:val="0"/>
              <w:marRight w:val="0"/>
              <w:marTop w:val="0"/>
              <w:marBottom w:val="0"/>
              <w:divBdr>
                <w:top w:val="none" w:sz="0" w:space="0" w:color="auto"/>
                <w:left w:val="none" w:sz="0" w:space="0" w:color="auto"/>
                <w:bottom w:val="none" w:sz="0" w:space="0" w:color="auto"/>
                <w:right w:val="none" w:sz="0" w:space="0" w:color="auto"/>
              </w:divBdr>
            </w:div>
          </w:divsChild>
        </w:div>
        <w:div w:id="1766225863">
          <w:blockQuote w:val="1"/>
          <w:marLeft w:val="600"/>
          <w:marRight w:val="0"/>
          <w:marTop w:val="0"/>
          <w:marBottom w:val="0"/>
          <w:divBdr>
            <w:top w:val="none" w:sz="0" w:space="0" w:color="auto"/>
            <w:left w:val="none" w:sz="0" w:space="0" w:color="auto"/>
            <w:bottom w:val="none" w:sz="0" w:space="0" w:color="auto"/>
            <w:right w:val="none" w:sz="0" w:space="0" w:color="auto"/>
          </w:divBdr>
          <w:divsChild>
            <w:div w:id="1842040460">
              <w:marLeft w:val="0"/>
              <w:marRight w:val="0"/>
              <w:marTop w:val="0"/>
              <w:marBottom w:val="0"/>
              <w:divBdr>
                <w:top w:val="none" w:sz="0" w:space="0" w:color="auto"/>
                <w:left w:val="none" w:sz="0" w:space="0" w:color="auto"/>
                <w:bottom w:val="none" w:sz="0" w:space="0" w:color="auto"/>
                <w:right w:val="none" w:sz="0" w:space="0" w:color="auto"/>
              </w:divBdr>
            </w:div>
          </w:divsChild>
        </w:div>
        <w:div w:id="793134833">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sChild>
                <w:div w:id="906111240">
                  <w:marLeft w:val="0"/>
                  <w:marRight w:val="0"/>
                  <w:marTop w:val="0"/>
                  <w:marBottom w:val="0"/>
                  <w:divBdr>
                    <w:top w:val="none" w:sz="0" w:space="0" w:color="auto"/>
                    <w:left w:val="none" w:sz="0" w:space="0" w:color="auto"/>
                    <w:bottom w:val="none" w:sz="0" w:space="0" w:color="auto"/>
                    <w:right w:val="none" w:sz="0" w:space="0" w:color="auto"/>
                  </w:divBdr>
                  <w:divsChild>
                    <w:div w:id="1497646236">
                      <w:marLeft w:val="0"/>
                      <w:marRight w:val="0"/>
                      <w:marTop w:val="0"/>
                      <w:marBottom w:val="0"/>
                      <w:divBdr>
                        <w:top w:val="none" w:sz="0" w:space="0" w:color="auto"/>
                        <w:left w:val="none" w:sz="0" w:space="0" w:color="auto"/>
                        <w:bottom w:val="none" w:sz="0" w:space="0" w:color="auto"/>
                        <w:right w:val="none" w:sz="0" w:space="0" w:color="auto"/>
                      </w:divBdr>
                      <w:divsChild>
                        <w:div w:id="1709716976">
                          <w:marLeft w:val="0"/>
                          <w:marRight w:val="0"/>
                          <w:marTop w:val="0"/>
                          <w:marBottom w:val="0"/>
                          <w:divBdr>
                            <w:top w:val="none" w:sz="0" w:space="0" w:color="auto"/>
                            <w:left w:val="none" w:sz="0" w:space="0" w:color="auto"/>
                            <w:bottom w:val="none" w:sz="0" w:space="0" w:color="auto"/>
                            <w:right w:val="none" w:sz="0" w:space="0" w:color="auto"/>
                          </w:divBdr>
                          <w:divsChild>
                            <w:div w:id="2028170804">
                              <w:marLeft w:val="0"/>
                              <w:marRight w:val="0"/>
                              <w:marTop w:val="0"/>
                              <w:marBottom w:val="0"/>
                              <w:divBdr>
                                <w:top w:val="none" w:sz="0" w:space="0" w:color="auto"/>
                                <w:left w:val="none" w:sz="0" w:space="0" w:color="auto"/>
                                <w:bottom w:val="none" w:sz="0" w:space="0" w:color="auto"/>
                                <w:right w:val="none" w:sz="0" w:space="0" w:color="auto"/>
                              </w:divBdr>
                              <w:divsChild>
                                <w:div w:id="815683867">
                                  <w:marLeft w:val="0"/>
                                  <w:marRight w:val="0"/>
                                  <w:marTop w:val="0"/>
                                  <w:marBottom w:val="0"/>
                                  <w:divBdr>
                                    <w:top w:val="none" w:sz="0" w:space="0" w:color="auto"/>
                                    <w:left w:val="none" w:sz="0" w:space="0" w:color="auto"/>
                                    <w:bottom w:val="none" w:sz="0" w:space="0" w:color="auto"/>
                                    <w:right w:val="none" w:sz="0" w:space="0" w:color="auto"/>
                                  </w:divBdr>
                                  <w:divsChild>
                                    <w:div w:id="740635222">
                                      <w:marLeft w:val="0"/>
                                      <w:marRight w:val="0"/>
                                      <w:marTop w:val="0"/>
                                      <w:marBottom w:val="0"/>
                                      <w:divBdr>
                                        <w:top w:val="none" w:sz="0" w:space="0" w:color="auto"/>
                                        <w:left w:val="none" w:sz="0" w:space="0" w:color="auto"/>
                                        <w:bottom w:val="none" w:sz="0" w:space="0" w:color="auto"/>
                                        <w:right w:val="none" w:sz="0" w:space="0" w:color="auto"/>
                                      </w:divBdr>
                                      <w:divsChild>
                                        <w:div w:id="1298796046">
                                          <w:marLeft w:val="0"/>
                                          <w:marRight w:val="0"/>
                                          <w:marTop w:val="0"/>
                                          <w:marBottom w:val="0"/>
                                          <w:divBdr>
                                            <w:top w:val="none" w:sz="0" w:space="0" w:color="auto"/>
                                            <w:left w:val="none" w:sz="0" w:space="0" w:color="auto"/>
                                            <w:bottom w:val="none" w:sz="0" w:space="0" w:color="auto"/>
                                            <w:right w:val="none" w:sz="0" w:space="0" w:color="auto"/>
                                          </w:divBdr>
                                          <w:divsChild>
                                            <w:div w:id="199827657">
                                              <w:marLeft w:val="0"/>
                                              <w:marRight w:val="0"/>
                                              <w:marTop w:val="0"/>
                                              <w:marBottom w:val="0"/>
                                              <w:divBdr>
                                                <w:top w:val="none" w:sz="0" w:space="0" w:color="auto"/>
                                                <w:left w:val="none" w:sz="0" w:space="0" w:color="auto"/>
                                                <w:bottom w:val="none" w:sz="0" w:space="0" w:color="auto"/>
                                                <w:right w:val="none" w:sz="0" w:space="0" w:color="auto"/>
                                              </w:divBdr>
                                              <w:divsChild>
                                                <w:div w:id="21443394">
                                                  <w:marLeft w:val="0"/>
                                                  <w:marRight w:val="0"/>
                                                  <w:marTop w:val="0"/>
                                                  <w:marBottom w:val="0"/>
                                                  <w:divBdr>
                                                    <w:top w:val="none" w:sz="0" w:space="0" w:color="auto"/>
                                                    <w:left w:val="none" w:sz="0" w:space="0" w:color="auto"/>
                                                    <w:bottom w:val="none" w:sz="0" w:space="0" w:color="auto"/>
                                                    <w:right w:val="none" w:sz="0" w:space="0" w:color="auto"/>
                                                  </w:divBdr>
                                                  <w:divsChild>
                                                    <w:div w:id="74981502">
                                                      <w:marLeft w:val="0"/>
                                                      <w:marRight w:val="0"/>
                                                      <w:marTop w:val="0"/>
                                                      <w:marBottom w:val="0"/>
                                                      <w:divBdr>
                                                        <w:top w:val="none" w:sz="0" w:space="0" w:color="auto"/>
                                                        <w:left w:val="none" w:sz="0" w:space="0" w:color="auto"/>
                                                        <w:bottom w:val="none" w:sz="0" w:space="0" w:color="auto"/>
                                                        <w:right w:val="none" w:sz="0" w:space="0" w:color="auto"/>
                                                      </w:divBdr>
                                                      <w:divsChild>
                                                        <w:div w:id="216287654">
                                                          <w:marLeft w:val="0"/>
                                                          <w:marRight w:val="0"/>
                                                          <w:marTop w:val="0"/>
                                                          <w:marBottom w:val="0"/>
                                                          <w:divBdr>
                                                            <w:top w:val="none" w:sz="0" w:space="0" w:color="auto"/>
                                                            <w:left w:val="none" w:sz="0" w:space="0" w:color="auto"/>
                                                            <w:bottom w:val="none" w:sz="0" w:space="0" w:color="auto"/>
                                                            <w:right w:val="none" w:sz="0" w:space="0" w:color="auto"/>
                                                          </w:divBdr>
                                                          <w:divsChild>
                                                            <w:div w:id="141392184">
                                                              <w:marLeft w:val="0"/>
                                                              <w:marRight w:val="0"/>
                                                              <w:marTop w:val="0"/>
                                                              <w:marBottom w:val="0"/>
                                                              <w:divBdr>
                                                                <w:top w:val="none" w:sz="0" w:space="0" w:color="auto"/>
                                                                <w:left w:val="none" w:sz="0" w:space="0" w:color="auto"/>
                                                                <w:bottom w:val="none" w:sz="0" w:space="0" w:color="auto"/>
                                                                <w:right w:val="none" w:sz="0" w:space="0" w:color="auto"/>
                                                              </w:divBdr>
                                                              <w:divsChild>
                                                                <w:div w:id="2131580851">
                                                                  <w:marLeft w:val="0"/>
                                                                  <w:marRight w:val="0"/>
                                                                  <w:marTop w:val="0"/>
                                                                  <w:marBottom w:val="0"/>
                                                                  <w:divBdr>
                                                                    <w:top w:val="none" w:sz="0" w:space="0" w:color="auto"/>
                                                                    <w:left w:val="none" w:sz="0" w:space="0" w:color="auto"/>
                                                                    <w:bottom w:val="none" w:sz="0" w:space="0" w:color="auto"/>
                                                                    <w:right w:val="none" w:sz="0" w:space="0" w:color="auto"/>
                                                                  </w:divBdr>
                                                                  <w:divsChild>
                                                                    <w:div w:id="1129395454">
                                                                      <w:marLeft w:val="0"/>
                                                                      <w:marRight w:val="0"/>
                                                                      <w:marTop w:val="0"/>
                                                                      <w:marBottom w:val="0"/>
                                                                      <w:divBdr>
                                                                        <w:top w:val="none" w:sz="0" w:space="0" w:color="auto"/>
                                                                        <w:left w:val="none" w:sz="0" w:space="0" w:color="auto"/>
                                                                        <w:bottom w:val="none" w:sz="0" w:space="0" w:color="auto"/>
                                                                        <w:right w:val="none" w:sz="0" w:space="0" w:color="auto"/>
                                                                      </w:divBdr>
                                                                      <w:divsChild>
                                                                        <w:div w:id="1068193126">
                                                                          <w:marLeft w:val="0"/>
                                                                          <w:marRight w:val="0"/>
                                                                          <w:marTop w:val="0"/>
                                                                          <w:marBottom w:val="0"/>
                                                                          <w:divBdr>
                                                                            <w:top w:val="none" w:sz="0" w:space="0" w:color="auto"/>
                                                                            <w:left w:val="none" w:sz="0" w:space="0" w:color="auto"/>
                                                                            <w:bottom w:val="none" w:sz="0" w:space="0" w:color="auto"/>
                                                                            <w:right w:val="none" w:sz="0" w:space="0" w:color="auto"/>
                                                                          </w:divBdr>
                                                                          <w:divsChild>
                                                                            <w:div w:id="1176654995">
                                                                              <w:marLeft w:val="0"/>
                                                                              <w:marRight w:val="0"/>
                                                                              <w:marTop w:val="0"/>
                                                                              <w:marBottom w:val="0"/>
                                                                              <w:divBdr>
                                                                                <w:top w:val="none" w:sz="0" w:space="0" w:color="auto"/>
                                                                                <w:left w:val="none" w:sz="0" w:space="0" w:color="auto"/>
                                                                                <w:bottom w:val="none" w:sz="0" w:space="0" w:color="auto"/>
                                                                                <w:right w:val="none" w:sz="0" w:space="0" w:color="auto"/>
                                                                              </w:divBdr>
                                                                              <w:divsChild>
                                                                                <w:div w:id="153837173">
                                                                                  <w:marLeft w:val="0"/>
                                                                                  <w:marRight w:val="0"/>
                                                                                  <w:marTop w:val="0"/>
                                                                                  <w:marBottom w:val="0"/>
                                                                                  <w:divBdr>
                                                                                    <w:top w:val="none" w:sz="0" w:space="0" w:color="auto"/>
                                                                                    <w:left w:val="none" w:sz="0" w:space="0" w:color="auto"/>
                                                                                    <w:bottom w:val="none" w:sz="0" w:space="0" w:color="auto"/>
                                                                                    <w:right w:val="none" w:sz="0" w:space="0" w:color="auto"/>
                                                                                  </w:divBdr>
                                                                                  <w:divsChild>
                                                                                    <w:div w:id="609439429">
                                                                                      <w:marLeft w:val="0"/>
                                                                                      <w:marRight w:val="0"/>
                                                                                      <w:marTop w:val="0"/>
                                                                                      <w:marBottom w:val="0"/>
                                                                                      <w:divBdr>
                                                                                        <w:top w:val="none" w:sz="0" w:space="0" w:color="auto"/>
                                                                                        <w:left w:val="none" w:sz="0" w:space="0" w:color="auto"/>
                                                                                        <w:bottom w:val="none" w:sz="0" w:space="0" w:color="auto"/>
                                                                                        <w:right w:val="none" w:sz="0" w:space="0" w:color="auto"/>
                                                                                      </w:divBdr>
                                                                                      <w:divsChild>
                                                                                        <w:div w:id="373389648">
                                                                                          <w:marLeft w:val="0"/>
                                                                                          <w:marRight w:val="0"/>
                                                                                          <w:marTop w:val="0"/>
                                                                                          <w:marBottom w:val="0"/>
                                                                                          <w:divBdr>
                                                                                            <w:top w:val="none" w:sz="0" w:space="0" w:color="auto"/>
                                                                                            <w:left w:val="none" w:sz="0" w:space="0" w:color="auto"/>
                                                                                            <w:bottom w:val="none" w:sz="0" w:space="0" w:color="auto"/>
                                                                                            <w:right w:val="none" w:sz="0" w:space="0" w:color="auto"/>
                                                                                          </w:divBdr>
                                                                                          <w:divsChild>
                                                                                            <w:div w:id="700588709">
                                                                                              <w:marLeft w:val="0"/>
                                                                                              <w:marRight w:val="0"/>
                                                                                              <w:marTop w:val="0"/>
                                                                                              <w:marBottom w:val="0"/>
                                                                                              <w:divBdr>
                                                                                                <w:top w:val="none" w:sz="0" w:space="0" w:color="auto"/>
                                                                                                <w:left w:val="none" w:sz="0" w:space="0" w:color="auto"/>
                                                                                                <w:bottom w:val="none" w:sz="0" w:space="0" w:color="auto"/>
                                                                                                <w:right w:val="none" w:sz="0" w:space="0" w:color="auto"/>
                                                                                              </w:divBdr>
                                                                                            </w:div>
                                                                                            <w:div w:id="677539235">
                                                                                              <w:marLeft w:val="0"/>
                                                                                              <w:marRight w:val="0"/>
                                                                                              <w:marTop w:val="0"/>
                                                                                              <w:marBottom w:val="0"/>
                                                                                              <w:divBdr>
                                                                                                <w:top w:val="none" w:sz="0" w:space="0" w:color="auto"/>
                                                                                                <w:left w:val="none" w:sz="0" w:space="0" w:color="auto"/>
                                                                                                <w:bottom w:val="none" w:sz="0" w:space="0" w:color="auto"/>
                                                                                                <w:right w:val="none" w:sz="0" w:space="0" w:color="auto"/>
                                                                                              </w:divBdr>
                                                                                            </w:div>
                                                                                            <w:div w:id="9814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494948">
      <w:bodyDiv w:val="1"/>
      <w:marLeft w:val="0"/>
      <w:marRight w:val="0"/>
      <w:marTop w:val="0"/>
      <w:marBottom w:val="0"/>
      <w:divBdr>
        <w:top w:val="none" w:sz="0" w:space="0" w:color="auto"/>
        <w:left w:val="none" w:sz="0" w:space="0" w:color="auto"/>
        <w:bottom w:val="none" w:sz="0" w:space="0" w:color="auto"/>
        <w:right w:val="none" w:sz="0" w:space="0" w:color="auto"/>
      </w:divBdr>
    </w:div>
    <w:div w:id="1016276172">
      <w:bodyDiv w:val="1"/>
      <w:marLeft w:val="0"/>
      <w:marRight w:val="0"/>
      <w:marTop w:val="0"/>
      <w:marBottom w:val="0"/>
      <w:divBdr>
        <w:top w:val="none" w:sz="0" w:space="0" w:color="auto"/>
        <w:left w:val="none" w:sz="0" w:space="0" w:color="auto"/>
        <w:bottom w:val="none" w:sz="0" w:space="0" w:color="auto"/>
        <w:right w:val="none" w:sz="0" w:space="0" w:color="auto"/>
      </w:divBdr>
    </w:div>
    <w:div w:id="1612667568">
      <w:bodyDiv w:val="1"/>
      <w:marLeft w:val="0"/>
      <w:marRight w:val="0"/>
      <w:marTop w:val="0"/>
      <w:marBottom w:val="0"/>
      <w:divBdr>
        <w:top w:val="none" w:sz="0" w:space="0" w:color="auto"/>
        <w:left w:val="none" w:sz="0" w:space="0" w:color="auto"/>
        <w:bottom w:val="none" w:sz="0" w:space="0" w:color="auto"/>
        <w:right w:val="none" w:sz="0" w:space="0" w:color="auto"/>
      </w:divBdr>
    </w:div>
    <w:div w:id="1761682762">
      <w:bodyDiv w:val="1"/>
      <w:marLeft w:val="0"/>
      <w:marRight w:val="0"/>
      <w:marTop w:val="0"/>
      <w:marBottom w:val="0"/>
      <w:divBdr>
        <w:top w:val="none" w:sz="0" w:space="0" w:color="auto"/>
        <w:left w:val="none" w:sz="0" w:space="0" w:color="auto"/>
        <w:bottom w:val="none" w:sz="0" w:space="0" w:color="auto"/>
        <w:right w:val="none" w:sz="0" w:space="0" w:color="auto"/>
      </w:divBdr>
    </w:div>
    <w:div w:id="2099132141">
      <w:bodyDiv w:val="1"/>
      <w:marLeft w:val="0"/>
      <w:marRight w:val="0"/>
      <w:marTop w:val="0"/>
      <w:marBottom w:val="0"/>
      <w:divBdr>
        <w:top w:val="none" w:sz="0" w:space="0" w:color="auto"/>
        <w:left w:val="none" w:sz="0" w:space="0" w:color="auto"/>
        <w:bottom w:val="none" w:sz="0" w:space="0" w:color="auto"/>
        <w:right w:val="none" w:sz="0" w:space="0" w:color="auto"/>
      </w:divBdr>
      <w:divsChild>
        <w:div w:id="1010257959">
          <w:marLeft w:val="0"/>
          <w:marRight w:val="0"/>
          <w:marTop w:val="0"/>
          <w:marBottom w:val="0"/>
          <w:divBdr>
            <w:top w:val="none" w:sz="0" w:space="0" w:color="auto"/>
            <w:left w:val="none" w:sz="0" w:space="0" w:color="auto"/>
            <w:bottom w:val="none" w:sz="0" w:space="0" w:color="auto"/>
            <w:right w:val="none" w:sz="0" w:space="0" w:color="auto"/>
          </w:divBdr>
        </w:div>
        <w:div w:id="26759045">
          <w:marLeft w:val="0"/>
          <w:marRight w:val="0"/>
          <w:marTop w:val="0"/>
          <w:marBottom w:val="0"/>
          <w:divBdr>
            <w:top w:val="none" w:sz="0" w:space="0" w:color="auto"/>
            <w:left w:val="none" w:sz="0" w:space="0" w:color="auto"/>
            <w:bottom w:val="none" w:sz="0" w:space="0" w:color="auto"/>
            <w:right w:val="none" w:sz="0" w:space="0" w:color="auto"/>
          </w:divBdr>
        </w:div>
        <w:div w:id="1347905390">
          <w:marLeft w:val="0"/>
          <w:marRight w:val="0"/>
          <w:marTop w:val="0"/>
          <w:marBottom w:val="0"/>
          <w:divBdr>
            <w:top w:val="none" w:sz="0" w:space="0" w:color="auto"/>
            <w:left w:val="none" w:sz="0" w:space="0" w:color="auto"/>
            <w:bottom w:val="none" w:sz="0" w:space="0" w:color="auto"/>
            <w:right w:val="none" w:sz="0" w:space="0" w:color="auto"/>
          </w:divBdr>
        </w:div>
        <w:div w:id="506218588">
          <w:marLeft w:val="0"/>
          <w:marRight w:val="0"/>
          <w:marTop w:val="0"/>
          <w:marBottom w:val="0"/>
          <w:divBdr>
            <w:top w:val="none" w:sz="0" w:space="0" w:color="auto"/>
            <w:left w:val="none" w:sz="0" w:space="0" w:color="auto"/>
            <w:bottom w:val="none" w:sz="0" w:space="0" w:color="auto"/>
            <w:right w:val="none" w:sz="0" w:space="0" w:color="auto"/>
          </w:divBdr>
        </w:div>
        <w:div w:id="391660877">
          <w:marLeft w:val="0"/>
          <w:marRight w:val="0"/>
          <w:marTop w:val="0"/>
          <w:marBottom w:val="0"/>
          <w:divBdr>
            <w:top w:val="none" w:sz="0" w:space="0" w:color="auto"/>
            <w:left w:val="none" w:sz="0" w:space="0" w:color="auto"/>
            <w:bottom w:val="none" w:sz="0" w:space="0" w:color="auto"/>
            <w:right w:val="none" w:sz="0" w:space="0" w:color="auto"/>
          </w:divBdr>
        </w:div>
        <w:div w:id="913123705">
          <w:marLeft w:val="0"/>
          <w:marRight w:val="0"/>
          <w:marTop w:val="0"/>
          <w:marBottom w:val="0"/>
          <w:divBdr>
            <w:top w:val="none" w:sz="0" w:space="0" w:color="auto"/>
            <w:left w:val="none" w:sz="0" w:space="0" w:color="auto"/>
            <w:bottom w:val="none" w:sz="0" w:space="0" w:color="auto"/>
            <w:right w:val="none" w:sz="0" w:space="0" w:color="auto"/>
          </w:divBdr>
        </w:div>
        <w:div w:id="3314909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MPWT-2140667901-60584</_dlc_DocId>
    <_dlc_DocIdUrl xmlns="20393cdf-440a-4521-8f19-00ba43423d00">
      <Url>https://pcgov.sharepoint.com/sites/sceteam/_layouts/15/DocIdRedir.aspx?ID=MPWT-2140667901-60584</Url>
      <Description>MPWT-2140667901-60584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B149F-3AA8-4580-BE01-9C80B5F4DB3F}">
  <ds:schemaRefs>
    <ds:schemaRef ds:uri="http://schemas.microsoft.com/sharepoint/events"/>
  </ds:schemaRefs>
</ds:datastoreItem>
</file>

<file path=customXml/itemProps2.xml><?xml version="1.0" encoding="utf-8"?>
<ds:datastoreItem xmlns:ds="http://schemas.openxmlformats.org/officeDocument/2006/customXml" ds:itemID="{D9E94272-CCA7-4D6B-8F6E-416BE915E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6F0D5-103A-464A-9A8A-DEC9FEDA4343}">
  <ds:schemaRefs>
    <ds:schemaRef ds:uri="http://schemas.microsoft.com/sharepoint/v3/contenttype/forms"/>
  </ds:schemaRefs>
</ds:datastoreItem>
</file>

<file path=customXml/itemProps4.xml><?xml version="1.0" encoding="utf-8"?>
<ds:datastoreItem xmlns:ds="http://schemas.openxmlformats.org/officeDocument/2006/customXml" ds:itemID="{3059A2CE-2D23-4CD9-BE06-DF2A053B8776}">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5.xml><?xml version="1.0" encoding="utf-8"?>
<ds:datastoreItem xmlns:ds="http://schemas.openxmlformats.org/officeDocument/2006/customXml" ds:itemID="{50B743A7-AD9A-E848-9C94-E82E1801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Submission 584 - Catholic Education Tasmania (CET) - Philanthropy - Public inquiry</vt:lpstr>
    </vt:vector>
  </TitlesOfParts>
  <Manager/>
  <Company>Catholic Education Tasmania (CET)</Company>
  <LinksUpToDate>false</LinksUpToDate>
  <CharactersWithSpaces>13594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584 - Catholic Education Tasmania (CET) - Philanthropy - Public inquiry</dc:title>
  <dc:subject/>
  <dc:creator>Catholic Education Tasmania (CET)</dc:creator>
  <cp:keywords> Year 12 Moderation, TASC</cp:keywords>
  <dc:description/>
  <cp:lastModifiedBy>Chris Alston</cp:lastModifiedBy>
  <cp:revision>46</cp:revision>
  <cp:lastPrinted>2024-02-09T01:27:00Z</cp:lastPrinted>
  <dcterms:created xsi:type="dcterms:W3CDTF">2019-01-22T04:49:00Z</dcterms:created>
  <dcterms:modified xsi:type="dcterms:W3CDTF">2024-02-27T22:57:00Z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6d997de0,40479b28,50e42943</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2024-02-26T23:37:27Z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9e45848f-f4a8-414d-9a16-17d73de7192b</vt:lpwstr>
  </property>
  <property fmtid="{D5CDD505-2E9C-101B-9397-08002B2CF9AE}" pid="14" name="MSIP_Label_f7467c1a-e0ed-413c-a72b-aac8e8e94f41_ContentBits">
    <vt:lpwstr>1</vt:lpwstr>
  </property>
  <property fmtid="{D5CDD505-2E9C-101B-9397-08002B2CF9AE}" pid="15" name="_dlc_DocIdItemGuid">
    <vt:lpwstr>4f640595-a096-439c-9d4e-1cb18ce3f775</vt:lpwstr>
  </property>
</Properties>
</file>