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94C" w:rsidRDefault="0078194C" w:rsidP="0078194C">
      <w:pPr>
        <w:jc w:val="center"/>
        <w:rPr>
          <w:b/>
          <w:sz w:val="52"/>
        </w:rPr>
      </w:pPr>
      <w:bookmarkStart w:id="0" w:name="_GoBack"/>
      <w:bookmarkEnd w:id="0"/>
    </w:p>
    <w:p w:rsidR="0078194C" w:rsidRDefault="0078194C" w:rsidP="0078194C">
      <w:pPr>
        <w:jc w:val="center"/>
        <w:rPr>
          <w:b/>
          <w:sz w:val="52"/>
        </w:rPr>
      </w:pPr>
      <w:r w:rsidRPr="0078194C">
        <w:rPr>
          <w:b/>
          <w:sz w:val="52"/>
        </w:rPr>
        <w:t>Productivity Commission</w:t>
      </w:r>
    </w:p>
    <w:p w:rsidR="0078194C" w:rsidRDefault="0078194C" w:rsidP="0078194C">
      <w:pPr>
        <w:jc w:val="center"/>
        <w:rPr>
          <w:b/>
          <w:sz w:val="52"/>
        </w:rPr>
      </w:pPr>
    </w:p>
    <w:p w:rsidR="0078194C" w:rsidRDefault="0078194C" w:rsidP="0078194C">
      <w:pPr>
        <w:jc w:val="center"/>
        <w:rPr>
          <w:b/>
          <w:sz w:val="52"/>
        </w:rPr>
      </w:pPr>
    </w:p>
    <w:p w:rsidR="0078194C" w:rsidRDefault="0078194C" w:rsidP="0078194C">
      <w:pPr>
        <w:jc w:val="center"/>
        <w:rPr>
          <w:b/>
          <w:sz w:val="52"/>
        </w:rPr>
      </w:pPr>
    </w:p>
    <w:p w:rsidR="00C334E1" w:rsidRDefault="0078194C" w:rsidP="0078194C">
      <w:pPr>
        <w:jc w:val="center"/>
        <w:rPr>
          <w:b/>
          <w:sz w:val="52"/>
        </w:rPr>
      </w:pPr>
      <w:r>
        <w:rPr>
          <w:b/>
          <w:sz w:val="52"/>
        </w:rPr>
        <w:t xml:space="preserve">Geographic labour mobility </w:t>
      </w:r>
    </w:p>
    <w:p w:rsidR="0078194C" w:rsidRDefault="0078194C" w:rsidP="0078194C">
      <w:pPr>
        <w:jc w:val="center"/>
        <w:rPr>
          <w:b/>
          <w:sz w:val="52"/>
        </w:rPr>
      </w:pPr>
      <w:r>
        <w:rPr>
          <w:b/>
          <w:sz w:val="52"/>
        </w:rPr>
        <w:t xml:space="preserve">research study </w:t>
      </w:r>
    </w:p>
    <w:p w:rsidR="0078194C" w:rsidRDefault="0078194C" w:rsidP="0078194C">
      <w:pPr>
        <w:jc w:val="center"/>
        <w:rPr>
          <w:b/>
          <w:sz w:val="52"/>
        </w:rPr>
      </w:pPr>
    </w:p>
    <w:p w:rsidR="0078194C" w:rsidRDefault="0078194C" w:rsidP="0078194C">
      <w:pPr>
        <w:jc w:val="center"/>
        <w:rPr>
          <w:b/>
          <w:sz w:val="52"/>
        </w:rPr>
      </w:pPr>
    </w:p>
    <w:p w:rsidR="0078194C" w:rsidRDefault="0078194C" w:rsidP="0078194C">
      <w:pPr>
        <w:jc w:val="center"/>
        <w:rPr>
          <w:b/>
          <w:sz w:val="52"/>
        </w:rPr>
      </w:pPr>
    </w:p>
    <w:p w:rsidR="00BC6185" w:rsidRDefault="0078194C" w:rsidP="0078194C">
      <w:pPr>
        <w:jc w:val="center"/>
        <w:rPr>
          <w:b/>
          <w:sz w:val="52"/>
        </w:rPr>
      </w:pPr>
      <w:r>
        <w:rPr>
          <w:b/>
          <w:sz w:val="52"/>
        </w:rPr>
        <w:t xml:space="preserve">Submission by the Australian Government Department of </w:t>
      </w:r>
      <w:r w:rsidR="00BC6185">
        <w:rPr>
          <w:b/>
          <w:sz w:val="52"/>
        </w:rPr>
        <w:t>Employment</w:t>
      </w:r>
      <w:r>
        <w:rPr>
          <w:b/>
          <w:sz w:val="52"/>
        </w:rPr>
        <w:t xml:space="preserve"> </w:t>
      </w:r>
    </w:p>
    <w:p w:rsidR="0078194C" w:rsidRDefault="0078194C" w:rsidP="0078194C">
      <w:pPr>
        <w:jc w:val="center"/>
        <w:rPr>
          <w:b/>
          <w:sz w:val="52"/>
        </w:rPr>
      </w:pPr>
    </w:p>
    <w:p w:rsidR="00634CE4" w:rsidRDefault="00634CE4" w:rsidP="0078194C">
      <w:pPr>
        <w:jc w:val="center"/>
        <w:rPr>
          <w:b/>
          <w:sz w:val="52"/>
        </w:rPr>
      </w:pPr>
    </w:p>
    <w:p w:rsidR="0078194C" w:rsidRPr="0078194C" w:rsidRDefault="00D0244B" w:rsidP="0078194C">
      <w:pPr>
        <w:jc w:val="center"/>
        <w:rPr>
          <w:b/>
          <w:sz w:val="52"/>
        </w:rPr>
      </w:pPr>
      <w:r>
        <w:rPr>
          <w:b/>
          <w:sz w:val="52"/>
        </w:rPr>
        <w:t>March 2014</w:t>
      </w:r>
    </w:p>
    <w:p w:rsidR="00634CE4" w:rsidRDefault="00634CE4">
      <w:pPr>
        <w:rPr>
          <w:b/>
        </w:rPr>
        <w:sectPr w:rsidR="00634CE4" w:rsidSect="00680AE8">
          <w:footerReference w:type="default" r:id="rId9"/>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bCs w:val="0"/>
          <w:color w:val="auto"/>
          <w:sz w:val="22"/>
          <w:szCs w:val="22"/>
          <w:lang w:val="en-AU" w:eastAsia="en-US"/>
        </w:rPr>
        <w:id w:val="-1506510538"/>
        <w:docPartObj>
          <w:docPartGallery w:val="Table of Contents"/>
          <w:docPartUnique/>
        </w:docPartObj>
      </w:sdtPr>
      <w:sdtEndPr>
        <w:rPr>
          <w:noProof/>
        </w:rPr>
      </w:sdtEndPr>
      <w:sdtContent>
        <w:p w:rsidR="00DD170E" w:rsidRDefault="00DD170E">
          <w:pPr>
            <w:pStyle w:val="TOCHeading"/>
          </w:pPr>
          <w:r>
            <w:t>Table of Contents</w:t>
          </w:r>
        </w:p>
        <w:p w:rsidR="00D01BAE" w:rsidRDefault="00DD170E">
          <w:pPr>
            <w:pStyle w:val="TOC1"/>
            <w:rPr>
              <w:rFonts w:eastAsiaTheme="minorEastAsia"/>
              <w:noProof/>
              <w:lang w:eastAsia="en-AU"/>
            </w:rPr>
          </w:pPr>
          <w:r>
            <w:fldChar w:fldCharType="begin"/>
          </w:r>
          <w:r>
            <w:instrText xml:space="preserve"> TOC \o "1-3" \h \z \u </w:instrText>
          </w:r>
          <w:r>
            <w:fldChar w:fldCharType="separate"/>
          </w:r>
          <w:hyperlink w:anchor="_Toc384202073" w:history="1">
            <w:r w:rsidR="00D01BAE" w:rsidRPr="001F22D5">
              <w:rPr>
                <w:rStyle w:val="Hyperlink"/>
                <w:noProof/>
              </w:rPr>
              <w:t>1.</w:t>
            </w:r>
            <w:r w:rsidR="00D01BAE">
              <w:rPr>
                <w:rFonts w:eastAsiaTheme="minorEastAsia"/>
                <w:noProof/>
                <w:lang w:eastAsia="en-AU"/>
              </w:rPr>
              <w:tab/>
            </w:r>
            <w:r w:rsidR="00D01BAE" w:rsidRPr="001F22D5">
              <w:rPr>
                <w:rStyle w:val="Hyperlink"/>
                <w:noProof/>
              </w:rPr>
              <w:t>INTRODUCTION AND CONTEXT</w:t>
            </w:r>
            <w:r w:rsidR="00D01BAE">
              <w:rPr>
                <w:noProof/>
                <w:webHidden/>
              </w:rPr>
              <w:tab/>
            </w:r>
            <w:r w:rsidR="00D01BAE">
              <w:rPr>
                <w:noProof/>
                <w:webHidden/>
              </w:rPr>
              <w:fldChar w:fldCharType="begin"/>
            </w:r>
            <w:r w:rsidR="00D01BAE">
              <w:rPr>
                <w:noProof/>
                <w:webHidden/>
              </w:rPr>
              <w:instrText xml:space="preserve"> PAGEREF _Toc384202073 \h </w:instrText>
            </w:r>
            <w:r w:rsidR="00D01BAE">
              <w:rPr>
                <w:noProof/>
                <w:webHidden/>
              </w:rPr>
            </w:r>
            <w:r w:rsidR="00D01BAE">
              <w:rPr>
                <w:noProof/>
                <w:webHidden/>
              </w:rPr>
              <w:fldChar w:fldCharType="separate"/>
            </w:r>
            <w:r w:rsidR="00382D64">
              <w:rPr>
                <w:noProof/>
                <w:webHidden/>
              </w:rPr>
              <w:t>5</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074" w:history="1">
            <w:r w:rsidR="00D01BAE" w:rsidRPr="001F22D5">
              <w:rPr>
                <w:rStyle w:val="Hyperlink"/>
                <w:noProof/>
              </w:rPr>
              <w:t>Labour market context and mobility</w:t>
            </w:r>
            <w:r w:rsidR="00D01BAE">
              <w:rPr>
                <w:noProof/>
                <w:webHidden/>
              </w:rPr>
              <w:tab/>
            </w:r>
            <w:r w:rsidR="00D01BAE">
              <w:rPr>
                <w:noProof/>
                <w:webHidden/>
              </w:rPr>
              <w:fldChar w:fldCharType="begin"/>
            </w:r>
            <w:r w:rsidR="00D01BAE">
              <w:rPr>
                <w:noProof/>
                <w:webHidden/>
              </w:rPr>
              <w:instrText xml:space="preserve"> PAGEREF _Toc384202074 \h </w:instrText>
            </w:r>
            <w:r w:rsidR="00D01BAE">
              <w:rPr>
                <w:noProof/>
                <w:webHidden/>
              </w:rPr>
            </w:r>
            <w:r w:rsidR="00D01BAE">
              <w:rPr>
                <w:noProof/>
                <w:webHidden/>
              </w:rPr>
              <w:fldChar w:fldCharType="separate"/>
            </w:r>
            <w:r w:rsidR="00382D64">
              <w:rPr>
                <w:noProof/>
                <w:webHidden/>
              </w:rPr>
              <w:t>5</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075" w:history="1">
            <w:r w:rsidR="00D01BAE" w:rsidRPr="001F22D5">
              <w:rPr>
                <w:rStyle w:val="Hyperlink"/>
                <w:noProof/>
              </w:rPr>
              <w:t>Factors which influence mobility</w:t>
            </w:r>
            <w:r w:rsidR="00D01BAE">
              <w:rPr>
                <w:noProof/>
                <w:webHidden/>
              </w:rPr>
              <w:tab/>
            </w:r>
            <w:r w:rsidR="00D01BAE">
              <w:rPr>
                <w:noProof/>
                <w:webHidden/>
              </w:rPr>
              <w:fldChar w:fldCharType="begin"/>
            </w:r>
            <w:r w:rsidR="00D01BAE">
              <w:rPr>
                <w:noProof/>
                <w:webHidden/>
              </w:rPr>
              <w:instrText xml:space="preserve"> PAGEREF _Toc384202075 \h </w:instrText>
            </w:r>
            <w:r w:rsidR="00D01BAE">
              <w:rPr>
                <w:noProof/>
                <w:webHidden/>
              </w:rPr>
            </w:r>
            <w:r w:rsidR="00D01BAE">
              <w:rPr>
                <w:noProof/>
                <w:webHidden/>
              </w:rPr>
              <w:fldChar w:fldCharType="separate"/>
            </w:r>
            <w:r w:rsidR="00382D64">
              <w:rPr>
                <w:noProof/>
                <w:webHidden/>
              </w:rPr>
              <w:t>5</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076" w:history="1">
            <w:r w:rsidR="00D01BAE" w:rsidRPr="001F22D5">
              <w:rPr>
                <w:rStyle w:val="Hyperlink"/>
                <w:noProof/>
              </w:rPr>
              <w:t>Relevant programmes delivered by the Department of Employment</w:t>
            </w:r>
            <w:r w:rsidR="00D01BAE">
              <w:rPr>
                <w:noProof/>
                <w:webHidden/>
              </w:rPr>
              <w:tab/>
            </w:r>
            <w:r w:rsidR="00D01BAE">
              <w:rPr>
                <w:noProof/>
                <w:webHidden/>
              </w:rPr>
              <w:fldChar w:fldCharType="begin"/>
            </w:r>
            <w:r w:rsidR="00D01BAE">
              <w:rPr>
                <w:noProof/>
                <w:webHidden/>
              </w:rPr>
              <w:instrText xml:space="preserve"> PAGEREF _Toc384202076 \h </w:instrText>
            </w:r>
            <w:r w:rsidR="00D01BAE">
              <w:rPr>
                <w:noProof/>
                <w:webHidden/>
              </w:rPr>
            </w:r>
            <w:r w:rsidR="00D01BAE">
              <w:rPr>
                <w:noProof/>
                <w:webHidden/>
              </w:rPr>
              <w:fldChar w:fldCharType="separate"/>
            </w:r>
            <w:r w:rsidR="00382D64">
              <w:rPr>
                <w:noProof/>
                <w:webHidden/>
              </w:rPr>
              <w:t>6</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077" w:history="1">
            <w:r w:rsidR="00D01BAE" w:rsidRPr="001F22D5">
              <w:rPr>
                <w:rStyle w:val="Hyperlink"/>
                <w:noProof/>
              </w:rPr>
              <w:t>Outline of the submission</w:t>
            </w:r>
            <w:r w:rsidR="00D01BAE">
              <w:rPr>
                <w:noProof/>
                <w:webHidden/>
              </w:rPr>
              <w:tab/>
            </w:r>
            <w:r w:rsidR="00D01BAE">
              <w:rPr>
                <w:noProof/>
                <w:webHidden/>
              </w:rPr>
              <w:fldChar w:fldCharType="begin"/>
            </w:r>
            <w:r w:rsidR="00D01BAE">
              <w:rPr>
                <w:noProof/>
                <w:webHidden/>
              </w:rPr>
              <w:instrText xml:space="preserve"> PAGEREF _Toc384202077 \h </w:instrText>
            </w:r>
            <w:r w:rsidR="00D01BAE">
              <w:rPr>
                <w:noProof/>
                <w:webHidden/>
              </w:rPr>
            </w:r>
            <w:r w:rsidR="00D01BAE">
              <w:rPr>
                <w:noProof/>
                <w:webHidden/>
              </w:rPr>
              <w:fldChar w:fldCharType="separate"/>
            </w:r>
            <w:r w:rsidR="00382D64">
              <w:rPr>
                <w:noProof/>
                <w:webHidden/>
              </w:rPr>
              <w:t>6</w:t>
            </w:r>
            <w:r w:rsidR="00D01BAE">
              <w:rPr>
                <w:noProof/>
                <w:webHidden/>
              </w:rPr>
              <w:fldChar w:fldCharType="end"/>
            </w:r>
          </w:hyperlink>
        </w:p>
        <w:p w:rsidR="00D01BAE" w:rsidRDefault="00356124">
          <w:pPr>
            <w:pStyle w:val="TOC1"/>
            <w:rPr>
              <w:rFonts w:eastAsiaTheme="minorEastAsia"/>
              <w:noProof/>
              <w:lang w:eastAsia="en-AU"/>
            </w:rPr>
          </w:pPr>
          <w:hyperlink w:anchor="_Toc384202078" w:history="1">
            <w:r w:rsidR="00D01BAE" w:rsidRPr="001F22D5">
              <w:rPr>
                <w:rStyle w:val="Hyperlink"/>
                <w:noProof/>
              </w:rPr>
              <w:t xml:space="preserve">2. </w:t>
            </w:r>
            <w:r w:rsidR="00D01BAE">
              <w:rPr>
                <w:rFonts w:eastAsiaTheme="minorEastAsia"/>
                <w:noProof/>
                <w:lang w:eastAsia="en-AU"/>
              </w:rPr>
              <w:tab/>
            </w:r>
            <w:r w:rsidR="00D01BAE" w:rsidRPr="001F22D5">
              <w:rPr>
                <w:rStyle w:val="Hyperlink"/>
                <w:noProof/>
              </w:rPr>
              <w:t>LABOUR MARKET PATTERNS AND TRENDS IN MOBILITY</w:t>
            </w:r>
            <w:r w:rsidR="00D01BAE">
              <w:rPr>
                <w:noProof/>
                <w:webHidden/>
              </w:rPr>
              <w:tab/>
            </w:r>
            <w:r w:rsidR="00D01BAE">
              <w:rPr>
                <w:noProof/>
                <w:webHidden/>
              </w:rPr>
              <w:fldChar w:fldCharType="begin"/>
            </w:r>
            <w:r w:rsidR="00D01BAE">
              <w:rPr>
                <w:noProof/>
                <w:webHidden/>
              </w:rPr>
              <w:instrText xml:space="preserve"> PAGEREF _Toc384202078 \h </w:instrText>
            </w:r>
            <w:r w:rsidR="00D01BAE">
              <w:rPr>
                <w:noProof/>
                <w:webHidden/>
              </w:rPr>
            </w:r>
            <w:r w:rsidR="00D01BAE">
              <w:rPr>
                <w:noProof/>
                <w:webHidden/>
              </w:rPr>
              <w:fldChar w:fldCharType="separate"/>
            </w:r>
            <w:r w:rsidR="00382D64">
              <w:rPr>
                <w:noProof/>
                <w:webHidden/>
              </w:rPr>
              <w:t>6</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079" w:history="1">
            <w:r w:rsidR="00D01BAE" w:rsidRPr="001F22D5">
              <w:rPr>
                <w:rStyle w:val="Hyperlink"/>
                <w:noProof/>
              </w:rPr>
              <w:t>Geographic patterns in labour market performance</w:t>
            </w:r>
            <w:r w:rsidR="00D01BAE">
              <w:rPr>
                <w:noProof/>
                <w:webHidden/>
              </w:rPr>
              <w:tab/>
            </w:r>
            <w:r w:rsidR="00D01BAE">
              <w:rPr>
                <w:noProof/>
                <w:webHidden/>
              </w:rPr>
              <w:fldChar w:fldCharType="begin"/>
            </w:r>
            <w:r w:rsidR="00D01BAE">
              <w:rPr>
                <w:noProof/>
                <w:webHidden/>
              </w:rPr>
              <w:instrText xml:space="preserve"> PAGEREF _Toc384202079 \h </w:instrText>
            </w:r>
            <w:r w:rsidR="00D01BAE">
              <w:rPr>
                <w:noProof/>
                <w:webHidden/>
              </w:rPr>
            </w:r>
            <w:r w:rsidR="00D01BAE">
              <w:rPr>
                <w:noProof/>
                <w:webHidden/>
              </w:rPr>
              <w:fldChar w:fldCharType="separate"/>
            </w:r>
            <w:r w:rsidR="00382D64">
              <w:rPr>
                <w:noProof/>
                <w:webHidden/>
              </w:rPr>
              <w:t>6</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080" w:history="1">
            <w:r w:rsidR="00D01BAE" w:rsidRPr="001F22D5">
              <w:rPr>
                <w:rStyle w:val="Hyperlink"/>
                <w:noProof/>
              </w:rPr>
              <w:t>Fly-in, fly-out (FIFO) workers</w:t>
            </w:r>
            <w:r w:rsidR="00D01BAE">
              <w:rPr>
                <w:noProof/>
                <w:webHidden/>
              </w:rPr>
              <w:tab/>
            </w:r>
            <w:r w:rsidR="00D01BAE">
              <w:rPr>
                <w:noProof/>
                <w:webHidden/>
              </w:rPr>
              <w:fldChar w:fldCharType="begin"/>
            </w:r>
            <w:r w:rsidR="00D01BAE">
              <w:rPr>
                <w:noProof/>
                <w:webHidden/>
              </w:rPr>
              <w:instrText xml:space="preserve"> PAGEREF _Toc384202080 \h </w:instrText>
            </w:r>
            <w:r w:rsidR="00D01BAE">
              <w:rPr>
                <w:noProof/>
                <w:webHidden/>
              </w:rPr>
            </w:r>
            <w:r w:rsidR="00D01BAE">
              <w:rPr>
                <w:noProof/>
                <w:webHidden/>
              </w:rPr>
              <w:fldChar w:fldCharType="separate"/>
            </w:r>
            <w:r w:rsidR="00382D64">
              <w:rPr>
                <w:noProof/>
                <w:webHidden/>
              </w:rPr>
              <w:t>11</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081" w:history="1">
            <w:r w:rsidR="00D01BAE" w:rsidRPr="001F22D5">
              <w:rPr>
                <w:rStyle w:val="Hyperlink"/>
                <w:noProof/>
              </w:rPr>
              <w:t>Geographic patterns in skill shortages</w:t>
            </w:r>
            <w:r w:rsidR="00D01BAE">
              <w:rPr>
                <w:noProof/>
                <w:webHidden/>
              </w:rPr>
              <w:tab/>
            </w:r>
            <w:r w:rsidR="00D01BAE">
              <w:rPr>
                <w:noProof/>
                <w:webHidden/>
              </w:rPr>
              <w:fldChar w:fldCharType="begin"/>
            </w:r>
            <w:r w:rsidR="00D01BAE">
              <w:rPr>
                <w:noProof/>
                <w:webHidden/>
              </w:rPr>
              <w:instrText xml:space="preserve"> PAGEREF _Toc384202081 \h </w:instrText>
            </w:r>
            <w:r w:rsidR="00D01BAE">
              <w:rPr>
                <w:noProof/>
                <w:webHidden/>
              </w:rPr>
            </w:r>
            <w:r w:rsidR="00D01BAE">
              <w:rPr>
                <w:noProof/>
                <w:webHidden/>
              </w:rPr>
              <w:fldChar w:fldCharType="separate"/>
            </w:r>
            <w:r w:rsidR="00382D64">
              <w:rPr>
                <w:noProof/>
                <w:webHidden/>
              </w:rPr>
              <w:t>12</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082" w:history="1">
            <w:r w:rsidR="00D01BAE" w:rsidRPr="001F22D5">
              <w:rPr>
                <w:rStyle w:val="Hyperlink"/>
                <w:noProof/>
              </w:rPr>
              <w:t>Labour mobility data and research</w:t>
            </w:r>
            <w:r w:rsidR="00D01BAE">
              <w:rPr>
                <w:noProof/>
                <w:webHidden/>
              </w:rPr>
              <w:tab/>
            </w:r>
            <w:r w:rsidR="00D01BAE">
              <w:rPr>
                <w:noProof/>
                <w:webHidden/>
              </w:rPr>
              <w:fldChar w:fldCharType="begin"/>
            </w:r>
            <w:r w:rsidR="00D01BAE">
              <w:rPr>
                <w:noProof/>
                <w:webHidden/>
              </w:rPr>
              <w:instrText xml:space="preserve"> PAGEREF _Toc384202082 \h </w:instrText>
            </w:r>
            <w:r w:rsidR="00D01BAE">
              <w:rPr>
                <w:noProof/>
                <w:webHidden/>
              </w:rPr>
            </w:r>
            <w:r w:rsidR="00D01BAE">
              <w:rPr>
                <w:noProof/>
                <w:webHidden/>
              </w:rPr>
              <w:fldChar w:fldCharType="separate"/>
            </w:r>
            <w:r w:rsidR="00382D64">
              <w:rPr>
                <w:noProof/>
                <w:webHidden/>
              </w:rPr>
              <w:t>15</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83" w:history="1">
            <w:r w:rsidR="00D01BAE" w:rsidRPr="001F22D5">
              <w:rPr>
                <w:rStyle w:val="Hyperlink"/>
                <w:rFonts w:cstheme="minorHAnsi"/>
                <w:noProof/>
              </w:rPr>
              <w:t>Extent of labour mobility</w:t>
            </w:r>
            <w:r w:rsidR="00D01BAE">
              <w:rPr>
                <w:noProof/>
                <w:webHidden/>
              </w:rPr>
              <w:tab/>
            </w:r>
            <w:r w:rsidR="00D01BAE">
              <w:rPr>
                <w:noProof/>
                <w:webHidden/>
              </w:rPr>
              <w:fldChar w:fldCharType="begin"/>
            </w:r>
            <w:r w:rsidR="00D01BAE">
              <w:rPr>
                <w:noProof/>
                <w:webHidden/>
              </w:rPr>
              <w:instrText xml:space="preserve"> PAGEREF _Toc384202083 \h </w:instrText>
            </w:r>
            <w:r w:rsidR="00D01BAE">
              <w:rPr>
                <w:noProof/>
                <w:webHidden/>
              </w:rPr>
            </w:r>
            <w:r w:rsidR="00D01BAE">
              <w:rPr>
                <w:noProof/>
                <w:webHidden/>
              </w:rPr>
              <w:fldChar w:fldCharType="separate"/>
            </w:r>
            <w:r w:rsidR="00382D64">
              <w:rPr>
                <w:noProof/>
                <w:webHidden/>
              </w:rPr>
              <w:t>15</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84" w:history="1">
            <w:r w:rsidR="00D01BAE" w:rsidRPr="001F22D5">
              <w:rPr>
                <w:rStyle w:val="Hyperlink"/>
                <w:rFonts w:cstheme="minorHAnsi"/>
                <w:noProof/>
              </w:rPr>
              <w:t>Interstate migration</w:t>
            </w:r>
            <w:r w:rsidR="00D01BAE">
              <w:rPr>
                <w:noProof/>
                <w:webHidden/>
              </w:rPr>
              <w:tab/>
            </w:r>
            <w:r w:rsidR="00D01BAE">
              <w:rPr>
                <w:noProof/>
                <w:webHidden/>
              </w:rPr>
              <w:fldChar w:fldCharType="begin"/>
            </w:r>
            <w:r w:rsidR="00D01BAE">
              <w:rPr>
                <w:noProof/>
                <w:webHidden/>
              </w:rPr>
              <w:instrText xml:space="preserve"> PAGEREF _Toc384202084 \h </w:instrText>
            </w:r>
            <w:r w:rsidR="00D01BAE">
              <w:rPr>
                <w:noProof/>
                <w:webHidden/>
              </w:rPr>
            </w:r>
            <w:r w:rsidR="00D01BAE">
              <w:rPr>
                <w:noProof/>
                <w:webHidden/>
              </w:rPr>
              <w:fldChar w:fldCharType="separate"/>
            </w:r>
            <w:r w:rsidR="00382D64">
              <w:rPr>
                <w:noProof/>
                <w:webHidden/>
              </w:rPr>
              <w:t>15</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085" w:history="1">
            <w:r w:rsidR="00D01BAE" w:rsidRPr="001F22D5">
              <w:rPr>
                <w:rStyle w:val="Hyperlink"/>
                <w:noProof/>
              </w:rPr>
              <w:t>Job, occupational and industrial mobility</w:t>
            </w:r>
            <w:r w:rsidR="00D01BAE">
              <w:rPr>
                <w:noProof/>
                <w:webHidden/>
              </w:rPr>
              <w:tab/>
            </w:r>
            <w:r w:rsidR="00D01BAE">
              <w:rPr>
                <w:noProof/>
                <w:webHidden/>
              </w:rPr>
              <w:fldChar w:fldCharType="begin"/>
            </w:r>
            <w:r w:rsidR="00D01BAE">
              <w:rPr>
                <w:noProof/>
                <w:webHidden/>
              </w:rPr>
              <w:instrText xml:space="preserve"> PAGEREF _Toc384202085 \h </w:instrText>
            </w:r>
            <w:r w:rsidR="00D01BAE">
              <w:rPr>
                <w:noProof/>
                <w:webHidden/>
              </w:rPr>
            </w:r>
            <w:r w:rsidR="00D01BAE">
              <w:rPr>
                <w:noProof/>
                <w:webHidden/>
              </w:rPr>
              <w:fldChar w:fldCharType="separate"/>
            </w:r>
            <w:r w:rsidR="00382D64">
              <w:rPr>
                <w:noProof/>
                <w:webHidden/>
              </w:rPr>
              <w:t>17</w:t>
            </w:r>
            <w:r w:rsidR="00D01BAE">
              <w:rPr>
                <w:noProof/>
                <w:webHidden/>
              </w:rPr>
              <w:fldChar w:fldCharType="end"/>
            </w:r>
          </w:hyperlink>
        </w:p>
        <w:p w:rsidR="00D01BAE" w:rsidRDefault="00356124">
          <w:pPr>
            <w:pStyle w:val="TOC1"/>
            <w:rPr>
              <w:rFonts w:eastAsiaTheme="minorEastAsia"/>
              <w:noProof/>
              <w:lang w:eastAsia="en-AU"/>
            </w:rPr>
          </w:pPr>
          <w:hyperlink w:anchor="_Toc384202086" w:history="1">
            <w:r w:rsidR="00D01BAE" w:rsidRPr="001F22D5">
              <w:rPr>
                <w:rStyle w:val="Hyperlink"/>
                <w:rFonts w:cstheme="minorHAnsi"/>
                <w:noProof/>
              </w:rPr>
              <w:t>3.</w:t>
            </w:r>
            <w:r w:rsidR="00D01BAE">
              <w:rPr>
                <w:rFonts w:eastAsiaTheme="minorEastAsia"/>
                <w:noProof/>
                <w:lang w:eastAsia="en-AU"/>
              </w:rPr>
              <w:tab/>
            </w:r>
            <w:r w:rsidR="00D01BAE" w:rsidRPr="001F22D5">
              <w:rPr>
                <w:rStyle w:val="Hyperlink"/>
                <w:rFonts w:cstheme="minorHAnsi"/>
                <w:noProof/>
              </w:rPr>
              <w:t>POLICIES AND PROGRAMMES</w:t>
            </w:r>
            <w:r w:rsidR="00D01BAE">
              <w:rPr>
                <w:noProof/>
                <w:webHidden/>
              </w:rPr>
              <w:tab/>
            </w:r>
            <w:r w:rsidR="00D01BAE">
              <w:rPr>
                <w:noProof/>
                <w:webHidden/>
              </w:rPr>
              <w:fldChar w:fldCharType="begin"/>
            </w:r>
            <w:r w:rsidR="00D01BAE">
              <w:rPr>
                <w:noProof/>
                <w:webHidden/>
              </w:rPr>
              <w:instrText xml:space="preserve"> PAGEREF _Toc384202086 \h </w:instrText>
            </w:r>
            <w:r w:rsidR="00D01BAE">
              <w:rPr>
                <w:noProof/>
                <w:webHidden/>
              </w:rPr>
            </w:r>
            <w:r w:rsidR="00D01BAE">
              <w:rPr>
                <w:noProof/>
                <w:webHidden/>
              </w:rPr>
              <w:fldChar w:fldCharType="separate"/>
            </w:r>
            <w:r w:rsidR="00382D64">
              <w:rPr>
                <w:noProof/>
                <w:webHidden/>
              </w:rPr>
              <w:t>18</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087" w:history="1">
            <w:r w:rsidR="00D01BAE" w:rsidRPr="001F22D5">
              <w:rPr>
                <w:rStyle w:val="Hyperlink"/>
                <w:noProof/>
              </w:rPr>
              <w:t>Employment services and labour activation strategies</w:t>
            </w:r>
            <w:r w:rsidR="00D01BAE">
              <w:rPr>
                <w:noProof/>
                <w:webHidden/>
              </w:rPr>
              <w:tab/>
            </w:r>
            <w:r w:rsidR="00D01BAE">
              <w:rPr>
                <w:noProof/>
                <w:webHidden/>
              </w:rPr>
              <w:fldChar w:fldCharType="begin"/>
            </w:r>
            <w:r w:rsidR="00D01BAE">
              <w:rPr>
                <w:noProof/>
                <w:webHidden/>
              </w:rPr>
              <w:instrText xml:space="preserve"> PAGEREF _Toc384202087 \h </w:instrText>
            </w:r>
            <w:r w:rsidR="00D01BAE">
              <w:rPr>
                <w:noProof/>
                <w:webHidden/>
              </w:rPr>
            </w:r>
            <w:r w:rsidR="00D01BAE">
              <w:rPr>
                <w:noProof/>
                <w:webHidden/>
              </w:rPr>
              <w:fldChar w:fldCharType="separate"/>
            </w:r>
            <w:r w:rsidR="00382D64">
              <w:rPr>
                <w:noProof/>
                <w:webHidden/>
              </w:rPr>
              <w:t>18</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88" w:history="1">
            <w:r w:rsidR="00D01BAE" w:rsidRPr="001F22D5">
              <w:rPr>
                <w:rStyle w:val="Hyperlink"/>
                <w:rFonts w:cstheme="minorHAnsi"/>
                <w:noProof/>
              </w:rPr>
              <w:t>JSA assistance</w:t>
            </w:r>
            <w:r w:rsidR="00D01BAE">
              <w:rPr>
                <w:noProof/>
                <w:webHidden/>
              </w:rPr>
              <w:tab/>
            </w:r>
            <w:r w:rsidR="00D01BAE">
              <w:rPr>
                <w:noProof/>
                <w:webHidden/>
              </w:rPr>
              <w:fldChar w:fldCharType="begin"/>
            </w:r>
            <w:r w:rsidR="00D01BAE">
              <w:rPr>
                <w:noProof/>
                <w:webHidden/>
              </w:rPr>
              <w:instrText xml:space="preserve"> PAGEREF _Toc384202088 \h </w:instrText>
            </w:r>
            <w:r w:rsidR="00D01BAE">
              <w:rPr>
                <w:noProof/>
                <w:webHidden/>
              </w:rPr>
            </w:r>
            <w:r w:rsidR="00D01BAE">
              <w:rPr>
                <w:noProof/>
                <w:webHidden/>
              </w:rPr>
              <w:fldChar w:fldCharType="separate"/>
            </w:r>
            <w:r w:rsidR="00382D64">
              <w:rPr>
                <w:noProof/>
                <w:webHidden/>
              </w:rPr>
              <w:t>18</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89" w:history="1">
            <w:r w:rsidR="00D01BAE" w:rsidRPr="001F22D5">
              <w:rPr>
                <w:rStyle w:val="Hyperlink"/>
                <w:rFonts w:cstheme="minorHAnsi"/>
                <w:noProof/>
              </w:rPr>
              <w:t>Activation strategy</w:t>
            </w:r>
            <w:r w:rsidR="00D01BAE">
              <w:rPr>
                <w:noProof/>
                <w:webHidden/>
              </w:rPr>
              <w:tab/>
            </w:r>
            <w:r w:rsidR="00D01BAE">
              <w:rPr>
                <w:noProof/>
                <w:webHidden/>
              </w:rPr>
              <w:fldChar w:fldCharType="begin"/>
            </w:r>
            <w:r w:rsidR="00D01BAE">
              <w:rPr>
                <w:noProof/>
                <w:webHidden/>
              </w:rPr>
              <w:instrText xml:space="preserve"> PAGEREF _Toc384202089 \h </w:instrText>
            </w:r>
            <w:r w:rsidR="00D01BAE">
              <w:rPr>
                <w:noProof/>
                <w:webHidden/>
              </w:rPr>
            </w:r>
            <w:r w:rsidR="00D01BAE">
              <w:rPr>
                <w:noProof/>
                <w:webHidden/>
              </w:rPr>
              <w:fldChar w:fldCharType="separate"/>
            </w:r>
            <w:r w:rsidR="00382D64">
              <w:rPr>
                <w:noProof/>
                <w:webHidden/>
              </w:rPr>
              <w:t>19</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90" w:history="1">
            <w:r w:rsidR="00D01BAE" w:rsidRPr="001F22D5">
              <w:rPr>
                <w:rStyle w:val="Hyperlink"/>
                <w:noProof/>
              </w:rPr>
              <w:t>Mobility and employment service areas</w:t>
            </w:r>
            <w:r w:rsidR="00D01BAE">
              <w:rPr>
                <w:noProof/>
                <w:webHidden/>
              </w:rPr>
              <w:tab/>
            </w:r>
            <w:r w:rsidR="00D01BAE">
              <w:rPr>
                <w:noProof/>
                <w:webHidden/>
              </w:rPr>
              <w:fldChar w:fldCharType="begin"/>
            </w:r>
            <w:r w:rsidR="00D01BAE">
              <w:rPr>
                <w:noProof/>
                <w:webHidden/>
              </w:rPr>
              <w:instrText xml:space="preserve"> PAGEREF _Toc384202090 \h </w:instrText>
            </w:r>
            <w:r w:rsidR="00D01BAE">
              <w:rPr>
                <w:noProof/>
                <w:webHidden/>
              </w:rPr>
            </w:r>
            <w:r w:rsidR="00D01BAE">
              <w:rPr>
                <w:noProof/>
                <w:webHidden/>
              </w:rPr>
              <w:fldChar w:fldCharType="separate"/>
            </w:r>
            <w:r w:rsidR="00382D64">
              <w:rPr>
                <w:noProof/>
                <w:webHidden/>
              </w:rPr>
              <w:t>19</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91" w:history="1">
            <w:r w:rsidR="00D01BAE" w:rsidRPr="001F22D5">
              <w:rPr>
                <w:rStyle w:val="Hyperlink"/>
                <w:noProof/>
              </w:rPr>
              <w:t>Use of the Employment Pathway Fund to support geographic mobility</w:t>
            </w:r>
            <w:r w:rsidR="00D01BAE">
              <w:rPr>
                <w:noProof/>
                <w:webHidden/>
              </w:rPr>
              <w:tab/>
            </w:r>
            <w:r w:rsidR="00D01BAE">
              <w:rPr>
                <w:noProof/>
                <w:webHidden/>
              </w:rPr>
              <w:fldChar w:fldCharType="begin"/>
            </w:r>
            <w:r w:rsidR="00D01BAE">
              <w:rPr>
                <w:noProof/>
                <w:webHidden/>
              </w:rPr>
              <w:instrText xml:space="preserve"> PAGEREF _Toc384202091 \h </w:instrText>
            </w:r>
            <w:r w:rsidR="00D01BAE">
              <w:rPr>
                <w:noProof/>
                <w:webHidden/>
              </w:rPr>
            </w:r>
            <w:r w:rsidR="00D01BAE">
              <w:rPr>
                <w:noProof/>
                <w:webHidden/>
              </w:rPr>
              <w:fldChar w:fldCharType="separate"/>
            </w:r>
            <w:r w:rsidR="00382D64">
              <w:rPr>
                <w:noProof/>
                <w:webHidden/>
              </w:rPr>
              <w:t>20</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92" w:history="1">
            <w:r w:rsidR="00D01BAE" w:rsidRPr="001F22D5">
              <w:rPr>
                <w:rStyle w:val="Hyperlink"/>
                <w:noProof/>
              </w:rPr>
              <w:t>The mobility of income support recipients</w:t>
            </w:r>
            <w:r w:rsidR="00D01BAE">
              <w:rPr>
                <w:noProof/>
                <w:webHidden/>
              </w:rPr>
              <w:tab/>
            </w:r>
            <w:r w:rsidR="00D01BAE">
              <w:rPr>
                <w:noProof/>
                <w:webHidden/>
              </w:rPr>
              <w:fldChar w:fldCharType="begin"/>
            </w:r>
            <w:r w:rsidR="00D01BAE">
              <w:rPr>
                <w:noProof/>
                <w:webHidden/>
              </w:rPr>
              <w:instrText xml:space="preserve"> PAGEREF _Toc384202092 \h </w:instrText>
            </w:r>
            <w:r w:rsidR="00D01BAE">
              <w:rPr>
                <w:noProof/>
                <w:webHidden/>
              </w:rPr>
            </w:r>
            <w:r w:rsidR="00D01BAE">
              <w:rPr>
                <w:noProof/>
                <w:webHidden/>
              </w:rPr>
              <w:fldChar w:fldCharType="separate"/>
            </w:r>
            <w:r w:rsidR="00382D64">
              <w:rPr>
                <w:noProof/>
                <w:webHidden/>
              </w:rPr>
              <w:t>20</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93" w:history="1">
            <w:r w:rsidR="00D01BAE" w:rsidRPr="001F22D5">
              <w:rPr>
                <w:rStyle w:val="Hyperlink"/>
                <w:noProof/>
              </w:rPr>
              <w:t>Preparations for new programme settings</w:t>
            </w:r>
            <w:r w:rsidR="00D01BAE">
              <w:rPr>
                <w:noProof/>
                <w:webHidden/>
              </w:rPr>
              <w:tab/>
            </w:r>
            <w:r w:rsidR="00D01BAE">
              <w:rPr>
                <w:noProof/>
                <w:webHidden/>
              </w:rPr>
              <w:fldChar w:fldCharType="begin"/>
            </w:r>
            <w:r w:rsidR="00D01BAE">
              <w:rPr>
                <w:noProof/>
                <w:webHidden/>
              </w:rPr>
              <w:instrText xml:space="preserve"> PAGEREF _Toc384202093 \h </w:instrText>
            </w:r>
            <w:r w:rsidR="00D01BAE">
              <w:rPr>
                <w:noProof/>
                <w:webHidden/>
              </w:rPr>
            </w:r>
            <w:r w:rsidR="00D01BAE">
              <w:rPr>
                <w:noProof/>
                <w:webHidden/>
              </w:rPr>
              <w:fldChar w:fldCharType="separate"/>
            </w:r>
            <w:r w:rsidR="00382D64">
              <w:rPr>
                <w:noProof/>
                <w:webHidden/>
              </w:rPr>
              <w:t>21</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094" w:history="1">
            <w:r w:rsidR="00D01BAE" w:rsidRPr="001F22D5">
              <w:rPr>
                <w:rStyle w:val="Hyperlink"/>
                <w:noProof/>
              </w:rPr>
              <w:t>Targeted programmes</w:t>
            </w:r>
            <w:r w:rsidR="00D01BAE">
              <w:rPr>
                <w:noProof/>
                <w:webHidden/>
              </w:rPr>
              <w:tab/>
            </w:r>
            <w:r w:rsidR="00D01BAE">
              <w:rPr>
                <w:noProof/>
                <w:webHidden/>
              </w:rPr>
              <w:fldChar w:fldCharType="begin"/>
            </w:r>
            <w:r w:rsidR="00D01BAE">
              <w:rPr>
                <w:noProof/>
                <w:webHidden/>
              </w:rPr>
              <w:instrText xml:space="preserve"> PAGEREF _Toc384202094 \h </w:instrText>
            </w:r>
            <w:r w:rsidR="00D01BAE">
              <w:rPr>
                <w:noProof/>
                <w:webHidden/>
              </w:rPr>
            </w:r>
            <w:r w:rsidR="00D01BAE">
              <w:rPr>
                <w:noProof/>
                <w:webHidden/>
              </w:rPr>
              <w:fldChar w:fldCharType="separate"/>
            </w:r>
            <w:r w:rsidR="00382D64">
              <w:rPr>
                <w:noProof/>
                <w:webHidden/>
              </w:rPr>
              <w:t>22</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95" w:history="1">
            <w:r w:rsidR="00D01BAE" w:rsidRPr="001F22D5">
              <w:rPr>
                <w:rStyle w:val="Hyperlink"/>
                <w:noProof/>
              </w:rPr>
              <w:t>Relocation Pilots 2006-2008</w:t>
            </w:r>
            <w:r w:rsidR="00D01BAE">
              <w:rPr>
                <w:noProof/>
                <w:webHidden/>
              </w:rPr>
              <w:tab/>
            </w:r>
            <w:r w:rsidR="00D01BAE">
              <w:rPr>
                <w:noProof/>
                <w:webHidden/>
              </w:rPr>
              <w:fldChar w:fldCharType="begin"/>
            </w:r>
            <w:r w:rsidR="00D01BAE">
              <w:rPr>
                <w:noProof/>
                <w:webHidden/>
              </w:rPr>
              <w:instrText xml:space="preserve"> PAGEREF _Toc384202095 \h </w:instrText>
            </w:r>
            <w:r w:rsidR="00D01BAE">
              <w:rPr>
                <w:noProof/>
                <w:webHidden/>
              </w:rPr>
            </w:r>
            <w:r w:rsidR="00D01BAE">
              <w:rPr>
                <w:noProof/>
                <w:webHidden/>
              </w:rPr>
              <w:fldChar w:fldCharType="separate"/>
            </w:r>
            <w:r w:rsidR="00382D64">
              <w:rPr>
                <w:noProof/>
                <w:webHidden/>
              </w:rPr>
              <w:t>22</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96" w:history="1">
            <w:r w:rsidR="00D01BAE" w:rsidRPr="001F22D5">
              <w:rPr>
                <w:rStyle w:val="Hyperlink"/>
                <w:noProof/>
              </w:rPr>
              <w:t>Connecting People with Jobs</w:t>
            </w:r>
            <w:r w:rsidR="00D01BAE">
              <w:rPr>
                <w:noProof/>
                <w:webHidden/>
              </w:rPr>
              <w:tab/>
            </w:r>
            <w:r w:rsidR="00D01BAE">
              <w:rPr>
                <w:noProof/>
                <w:webHidden/>
              </w:rPr>
              <w:fldChar w:fldCharType="begin"/>
            </w:r>
            <w:r w:rsidR="00D01BAE">
              <w:rPr>
                <w:noProof/>
                <w:webHidden/>
              </w:rPr>
              <w:instrText xml:space="preserve"> PAGEREF _Toc384202096 \h </w:instrText>
            </w:r>
            <w:r w:rsidR="00D01BAE">
              <w:rPr>
                <w:noProof/>
                <w:webHidden/>
              </w:rPr>
            </w:r>
            <w:r w:rsidR="00D01BAE">
              <w:rPr>
                <w:noProof/>
                <w:webHidden/>
              </w:rPr>
              <w:fldChar w:fldCharType="separate"/>
            </w:r>
            <w:r w:rsidR="00382D64">
              <w:rPr>
                <w:noProof/>
                <w:webHidden/>
              </w:rPr>
              <w:t>23</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97" w:history="1">
            <w:r w:rsidR="00D01BAE" w:rsidRPr="001F22D5">
              <w:rPr>
                <w:rStyle w:val="Hyperlink"/>
                <w:noProof/>
              </w:rPr>
              <w:t>Move 2 Work</w:t>
            </w:r>
            <w:r w:rsidR="00D01BAE">
              <w:rPr>
                <w:noProof/>
                <w:webHidden/>
              </w:rPr>
              <w:tab/>
            </w:r>
            <w:r w:rsidR="00D01BAE">
              <w:rPr>
                <w:noProof/>
                <w:webHidden/>
              </w:rPr>
              <w:fldChar w:fldCharType="begin"/>
            </w:r>
            <w:r w:rsidR="00D01BAE">
              <w:rPr>
                <w:noProof/>
                <w:webHidden/>
              </w:rPr>
              <w:instrText xml:space="preserve"> PAGEREF _Toc384202097 \h </w:instrText>
            </w:r>
            <w:r w:rsidR="00D01BAE">
              <w:rPr>
                <w:noProof/>
                <w:webHidden/>
              </w:rPr>
            </w:r>
            <w:r w:rsidR="00D01BAE">
              <w:rPr>
                <w:noProof/>
                <w:webHidden/>
              </w:rPr>
              <w:fldChar w:fldCharType="separate"/>
            </w:r>
            <w:r w:rsidR="00382D64">
              <w:rPr>
                <w:noProof/>
                <w:webHidden/>
              </w:rPr>
              <w:t>27</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98" w:history="1">
            <w:r w:rsidR="00D01BAE" w:rsidRPr="001F22D5">
              <w:rPr>
                <w:rStyle w:val="Hyperlink"/>
                <w:noProof/>
              </w:rPr>
              <w:t>Relocation Assistance to Take Up a Job</w:t>
            </w:r>
            <w:r w:rsidR="00D01BAE">
              <w:rPr>
                <w:noProof/>
                <w:webHidden/>
              </w:rPr>
              <w:tab/>
            </w:r>
            <w:r w:rsidR="00D01BAE">
              <w:rPr>
                <w:noProof/>
                <w:webHidden/>
              </w:rPr>
              <w:fldChar w:fldCharType="begin"/>
            </w:r>
            <w:r w:rsidR="00D01BAE">
              <w:rPr>
                <w:noProof/>
                <w:webHidden/>
              </w:rPr>
              <w:instrText xml:space="preserve"> PAGEREF _Toc384202098 \h </w:instrText>
            </w:r>
            <w:r w:rsidR="00D01BAE">
              <w:rPr>
                <w:noProof/>
                <w:webHidden/>
              </w:rPr>
            </w:r>
            <w:r w:rsidR="00D01BAE">
              <w:rPr>
                <w:noProof/>
                <w:webHidden/>
              </w:rPr>
              <w:fldChar w:fldCharType="separate"/>
            </w:r>
            <w:r w:rsidR="00382D64">
              <w:rPr>
                <w:noProof/>
                <w:webHidden/>
              </w:rPr>
              <w:t>28</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099" w:history="1">
            <w:r w:rsidR="00D01BAE" w:rsidRPr="001F22D5">
              <w:rPr>
                <w:rStyle w:val="Hyperlink"/>
                <w:noProof/>
              </w:rPr>
              <w:t>Harvest Labour Service</w:t>
            </w:r>
            <w:r w:rsidR="00D01BAE">
              <w:rPr>
                <w:noProof/>
                <w:webHidden/>
              </w:rPr>
              <w:tab/>
            </w:r>
            <w:r w:rsidR="00D01BAE">
              <w:rPr>
                <w:noProof/>
                <w:webHidden/>
              </w:rPr>
              <w:fldChar w:fldCharType="begin"/>
            </w:r>
            <w:r w:rsidR="00D01BAE">
              <w:rPr>
                <w:noProof/>
                <w:webHidden/>
              </w:rPr>
              <w:instrText xml:space="preserve"> PAGEREF _Toc384202099 \h </w:instrText>
            </w:r>
            <w:r w:rsidR="00D01BAE">
              <w:rPr>
                <w:noProof/>
                <w:webHidden/>
              </w:rPr>
            </w:r>
            <w:r w:rsidR="00D01BAE">
              <w:rPr>
                <w:noProof/>
                <w:webHidden/>
              </w:rPr>
              <w:fldChar w:fldCharType="separate"/>
            </w:r>
            <w:r w:rsidR="00382D64">
              <w:rPr>
                <w:noProof/>
                <w:webHidden/>
              </w:rPr>
              <w:t>28</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100" w:history="1">
            <w:r w:rsidR="00D01BAE" w:rsidRPr="001F22D5">
              <w:rPr>
                <w:rStyle w:val="Hyperlink"/>
                <w:noProof/>
              </w:rPr>
              <w:t>National Harvest Labour Information Service</w:t>
            </w:r>
            <w:r w:rsidR="00D01BAE">
              <w:rPr>
                <w:noProof/>
                <w:webHidden/>
              </w:rPr>
              <w:tab/>
            </w:r>
            <w:r w:rsidR="00D01BAE">
              <w:rPr>
                <w:noProof/>
                <w:webHidden/>
              </w:rPr>
              <w:fldChar w:fldCharType="begin"/>
            </w:r>
            <w:r w:rsidR="00D01BAE">
              <w:rPr>
                <w:noProof/>
                <w:webHidden/>
              </w:rPr>
              <w:instrText xml:space="preserve"> PAGEREF _Toc384202100 \h </w:instrText>
            </w:r>
            <w:r w:rsidR="00D01BAE">
              <w:rPr>
                <w:noProof/>
                <w:webHidden/>
              </w:rPr>
            </w:r>
            <w:r w:rsidR="00D01BAE">
              <w:rPr>
                <w:noProof/>
                <w:webHidden/>
              </w:rPr>
              <w:fldChar w:fldCharType="separate"/>
            </w:r>
            <w:r w:rsidR="00382D64">
              <w:rPr>
                <w:noProof/>
                <w:webHidden/>
              </w:rPr>
              <w:t>28</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101" w:history="1">
            <w:r w:rsidR="00D01BAE" w:rsidRPr="001F22D5">
              <w:rPr>
                <w:rStyle w:val="Hyperlink"/>
                <w:noProof/>
              </w:rPr>
              <w:t>The Pacific Seasonal Worker Pilot Scheme</w:t>
            </w:r>
            <w:r w:rsidR="00D01BAE">
              <w:rPr>
                <w:noProof/>
                <w:webHidden/>
              </w:rPr>
              <w:tab/>
            </w:r>
            <w:r w:rsidR="00D01BAE">
              <w:rPr>
                <w:noProof/>
                <w:webHidden/>
              </w:rPr>
              <w:fldChar w:fldCharType="begin"/>
            </w:r>
            <w:r w:rsidR="00D01BAE">
              <w:rPr>
                <w:noProof/>
                <w:webHidden/>
              </w:rPr>
              <w:instrText xml:space="preserve"> PAGEREF _Toc384202101 \h </w:instrText>
            </w:r>
            <w:r w:rsidR="00D01BAE">
              <w:rPr>
                <w:noProof/>
                <w:webHidden/>
              </w:rPr>
            </w:r>
            <w:r w:rsidR="00D01BAE">
              <w:rPr>
                <w:noProof/>
                <w:webHidden/>
              </w:rPr>
              <w:fldChar w:fldCharType="separate"/>
            </w:r>
            <w:r w:rsidR="00382D64">
              <w:rPr>
                <w:noProof/>
                <w:webHidden/>
              </w:rPr>
              <w:t>28</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102" w:history="1">
            <w:r w:rsidR="00D01BAE" w:rsidRPr="001F22D5">
              <w:rPr>
                <w:rStyle w:val="Hyperlink"/>
                <w:noProof/>
              </w:rPr>
              <w:t>Regional strategies</w:t>
            </w:r>
            <w:r w:rsidR="00D01BAE">
              <w:rPr>
                <w:noProof/>
                <w:webHidden/>
              </w:rPr>
              <w:tab/>
            </w:r>
            <w:r w:rsidR="00D01BAE">
              <w:rPr>
                <w:noProof/>
                <w:webHidden/>
              </w:rPr>
              <w:fldChar w:fldCharType="begin"/>
            </w:r>
            <w:r w:rsidR="00D01BAE">
              <w:rPr>
                <w:noProof/>
                <w:webHidden/>
              </w:rPr>
              <w:instrText xml:space="preserve"> PAGEREF _Toc384202102 \h </w:instrText>
            </w:r>
            <w:r w:rsidR="00D01BAE">
              <w:rPr>
                <w:noProof/>
                <w:webHidden/>
              </w:rPr>
            </w:r>
            <w:r w:rsidR="00D01BAE">
              <w:rPr>
                <w:noProof/>
                <w:webHidden/>
              </w:rPr>
              <w:fldChar w:fldCharType="separate"/>
            </w:r>
            <w:r w:rsidR="00382D64">
              <w:rPr>
                <w:noProof/>
                <w:webHidden/>
              </w:rPr>
              <w:t>29</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103" w:history="1">
            <w:r w:rsidR="00D01BAE" w:rsidRPr="001F22D5">
              <w:rPr>
                <w:rStyle w:val="Hyperlink"/>
                <w:noProof/>
              </w:rPr>
              <w:t>The Priority Employment Area initiative</w:t>
            </w:r>
            <w:r w:rsidR="00D01BAE">
              <w:rPr>
                <w:noProof/>
                <w:webHidden/>
              </w:rPr>
              <w:tab/>
            </w:r>
            <w:r w:rsidR="00D01BAE">
              <w:rPr>
                <w:noProof/>
                <w:webHidden/>
              </w:rPr>
              <w:fldChar w:fldCharType="begin"/>
            </w:r>
            <w:r w:rsidR="00D01BAE">
              <w:rPr>
                <w:noProof/>
                <w:webHidden/>
              </w:rPr>
              <w:instrText xml:space="preserve"> PAGEREF _Toc384202103 \h </w:instrText>
            </w:r>
            <w:r w:rsidR="00D01BAE">
              <w:rPr>
                <w:noProof/>
                <w:webHidden/>
              </w:rPr>
            </w:r>
            <w:r w:rsidR="00D01BAE">
              <w:rPr>
                <w:noProof/>
                <w:webHidden/>
              </w:rPr>
              <w:fldChar w:fldCharType="separate"/>
            </w:r>
            <w:r w:rsidR="00382D64">
              <w:rPr>
                <w:noProof/>
                <w:webHidden/>
              </w:rPr>
              <w:t>29</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104" w:history="1">
            <w:r w:rsidR="00D01BAE" w:rsidRPr="001F22D5">
              <w:rPr>
                <w:rStyle w:val="Hyperlink"/>
                <w:noProof/>
              </w:rPr>
              <w:t>Jobs boards</w:t>
            </w:r>
            <w:r w:rsidR="00D01BAE">
              <w:rPr>
                <w:noProof/>
                <w:webHidden/>
              </w:rPr>
              <w:tab/>
            </w:r>
            <w:r w:rsidR="00D01BAE">
              <w:rPr>
                <w:noProof/>
                <w:webHidden/>
              </w:rPr>
              <w:fldChar w:fldCharType="begin"/>
            </w:r>
            <w:r w:rsidR="00D01BAE">
              <w:rPr>
                <w:noProof/>
                <w:webHidden/>
              </w:rPr>
              <w:instrText xml:space="preserve"> PAGEREF _Toc384202104 \h </w:instrText>
            </w:r>
            <w:r w:rsidR="00D01BAE">
              <w:rPr>
                <w:noProof/>
                <w:webHidden/>
              </w:rPr>
            </w:r>
            <w:r w:rsidR="00D01BAE">
              <w:rPr>
                <w:noProof/>
                <w:webHidden/>
              </w:rPr>
              <w:fldChar w:fldCharType="separate"/>
            </w:r>
            <w:r w:rsidR="00382D64">
              <w:rPr>
                <w:noProof/>
                <w:webHidden/>
              </w:rPr>
              <w:t>30</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105" w:history="1">
            <w:r w:rsidR="00D01BAE" w:rsidRPr="001F22D5">
              <w:rPr>
                <w:rStyle w:val="Hyperlink"/>
                <w:noProof/>
              </w:rPr>
              <w:t>Australian JobSearch</w:t>
            </w:r>
            <w:r w:rsidR="00D01BAE">
              <w:rPr>
                <w:noProof/>
                <w:webHidden/>
              </w:rPr>
              <w:tab/>
            </w:r>
            <w:r w:rsidR="00D01BAE">
              <w:rPr>
                <w:noProof/>
                <w:webHidden/>
              </w:rPr>
              <w:fldChar w:fldCharType="begin"/>
            </w:r>
            <w:r w:rsidR="00D01BAE">
              <w:rPr>
                <w:noProof/>
                <w:webHidden/>
              </w:rPr>
              <w:instrText xml:space="preserve"> PAGEREF _Toc384202105 \h </w:instrText>
            </w:r>
            <w:r w:rsidR="00D01BAE">
              <w:rPr>
                <w:noProof/>
                <w:webHidden/>
              </w:rPr>
            </w:r>
            <w:r w:rsidR="00D01BAE">
              <w:rPr>
                <w:noProof/>
                <w:webHidden/>
              </w:rPr>
              <w:fldChar w:fldCharType="separate"/>
            </w:r>
            <w:r w:rsidR="00382D64">
              <w:rPr>
                <w:noProof/>
                <w:webHidden/>
              </w:rPr>
              <w:t>30</w:t>
            </w:r>
            <w:r w:rsidR="00D01BAE">
              <w:rPr>
                <w:noProof/>
                <w:webHidden/>
              </w:rPr>
              <w:fldChar w:fldCharType="end"/>
            </w:r>
          </w:hyperlink>
        </w:p>
        <w:p w:rsidR="00D01BAE" w:rsidRDefault="00356124">
          <w:pPr>
            <w:pStyle w:val="TOC3"/>
            <w:tabs>
              <w:tab w:val="right" w:leader="dot" w:pos="9016"/>
            </w:tabs>
            <w:rPr>
              <w:rFonts w:eastAsiaTheme="minorEastAsia"/>
              <w:noProof/>
              <w:lang w:eastAsia="en-AU"/>
            </w:rPr>
          </w:pPr>
          <w:hyperlink w:anchor="_Toc384202106" w:history="1">
            <w:r w:rsidR="00D01BAE" w:rsidRPr="001F22D5">
              <w:rPr>
                <w:rStyle w:val="Hyperlink"/>
                <w:noProof/>
              </w:rPr>
              <w:t>The Resources Sector Jobs Board</w:t>
            </w:r>
            <w:r w:rsidR="00D01BAE">
              <w:rPr>
                <w:noProof/>
                <w:webHidden/>
              </w:rPr>
              <w:tab/>
            </w:r>
            <w:r w:rsidR="00D01BAE">
              <w:rPr>
                <w:noProof/>
                <w:webHidden/>
              </w:rPr>
              <w:fldChar w:fldCharType="begin"/>
            </w:r>
            <w:r w:rsidR="00D01BAE">
              <w:rPr>
                <w:noProof/>
                <w:webHidden/>
              </w:rPr>
              <w:instrText xml:space="preserve"> PAGEREF _Toc384202106 \h </w:instrText>
            </w:r>
            <w:r w:rsidR="00D01BAE">
              <w:rPr>
                <w:noProof/>
                <w:webHidden/>
              </w:rPr>
            </w:r>
            <w:r w:rsidR="00D01BAE">
              <w:rPr>
                <w:noProof/>
                <w:webHidden/>
              </w:rPr>
              <w:fldChar w:fldCharType="separate"/>
            </w:r>
            <w:r w:rsidR="00382D64">
              <w:rPr>
                <w:noProof/>
                <w:webHidden/>
              </w:rPr>
              <w:t>31</w:t>
            </w:r>
            <w:r w:rsidR="00D01BAE">
              <w:rPr>
                <w:noProof/>
                <w:webHidden/>
              </w:rPr>
              <w:fldChar w:fldCharType="end"/>
            </w:r>
          </w:hyperlink>
        </w:p>
        <w:p w:rsidR="00D01BAE" w:rsidRDefault="00356124">
          <w:pPr>
            <w:pStyle w:val="TOC2"/>
            <w:tabs>
              <w:tab w:val="right" w:leader="dot" w:pos="9016"/>
            </w:tabs>
            <w:rPr>
              <w:rFonts w:eastAsiaTheme="minorEastAsia"/>
              <w:noProof/>
              <w:lang w:eastAsia="en-AU"/>
            </w:rPr>
          </w:pPr>
          <w:hyperlink w:anchor="_Toc384202107" w:history="1">
            <w:r w:rsidR="00D01BAE" w:rsidRPr="001F22D5">
              <w:rPr>
                <w:rStyle w:val="Hyperlink"/>
                <w:noProof/>
              </w:rPr>
              <w:t>Workplace relations</w:t>
            </w:r>
            <w:r w:rsidR="00D01BAE">
              <w:rPr>
                <w:noProof/>
                <w:webHidden/>
              </w:rPr>
              <w:tab/>
            </w:r>
            <w:r w:rsidR="00D01BAE">
              <w:rPr>
                <w:noProof/>
                <w:webHidden/>
              </w:rPr>
              <w:fldChar w:fldCharType="begin"/>
            </w:r>
            <w:r w:rsidR="00D01BAE">
              <w:rPr>
                <w:noProof/>
                <w:webHidden/>
              </w:rPr>
              <w:instrText xml:space="preserve"> PAGEREF _Toc384202107 \h </w:instrText>
            </w:r>
            <w:r w:rsidR="00D01BAE">
              <w:rPr>
                <w:noProof/>
                <w:webHidden/>
              </w:rPr>
            </w:r>
            <w:r w:rsidR="00D01BAE">
              <w:rPr>
                <w:noProof/>
                <w:webHidden/>
              </w:rPr>
              <w:fldChar w:fldCharType="separate"/>
            </w:r>
            <w:r w:rsidR="00382D64">
              <w:rPr>
                <w:noProof/>
                <w:webHidden/>
              </w:rPr>
              <w:t>31</w:t>
            </w:r>
            <w:r w:rsidR="00D01BAE">
              <w:rPr>
                <w:noProof/>
                <w:webHidden/>
              </w:rPr>
              <w:fldChar w:fldCharType="end"/>
            </w:r>
          </w:hyperlink>
        </w:p>
        <w:p w:rsidR="00D01BAE" w:rsidRDefault="00356124">
          <w:pPr>
            <w:pStyle w:val="TOC1"/>
            <w:rPr>
              <w:rFonts w:eastAsiaTheme="minorEastAsia"/>
              <w:noProof/>
              <w:lang w:eastAsia="en-AU"/>
            </w:rPr>
          </w:pPr>
          <w:hyperlink w:anchor="_Toc384202108" w:history="1">
            <w:r w:rsidR="00D01BAE" w:rsidRPr="001F22D5">
              <w:rPr>
                <w:rStyle w:val="Hyperlink"/>
                <w:rFonts w:cstheme="minorHAnsi"/>
                <w:noProof/>
              </w:rPr>
              <w:t>4.</w:t>
            </w:r>
            <w:r w:rsidR="00D01BAE">
              <w:rPr>
                <w:rFonts w:eastAsiaTheme="minorEastAsia"/>
                <w:noProof/>
                <w:lang w:eastAsia="en-AU"/>
              </w:rPr>
              <w:tab/>
            </w:r>
            <w:r w:rsidR="00D01BAE" w:rsidRPr="001F22D5">
              <w:rPr>
                <w:rStyle w:val="Hyperlink"/>
                <w:rFonts w:cstheme="minorHAnsi"/>
                <w:noProof/>
              </w:rPr>
              <w:t>CONCLUSION</w:t>
            </w:r>
            <w:r w:rsidR="00D01BAE">
              <w:rPr>
                <w:noProof/>
                <w:webHidden/>
              </w:rPr>
              <w:tab/>
            </w:r>
            <w:r w:rsidR="00D01BAE">
              <w:rPr>
                <w:noProof/>
                <w:webHidden/>
              </w:rPr>
              <w:fldChar w:fldCharType="begin"/>
            </w:r>
            <w:r w:rsidR="00D01BAE">
              <w:rPr>
                <w:noProof/>
                <w:webHidden/>
              </w:rPr>
              <w:instrText xml:space="preserve"> PAGEREF _Toc384202108 \h </w:instrText>
            </w:r>
            <w:r w:rsidR="00D01BAE">
              <w:rPr>
                <w:noProof/>
                <w:webHidden/>
              </w:rPr>
            </w:r>
            <w:r w:rsidR="00D01BAE">
              <w:rPr>
                <w:noProof/>
                <w:webHidden/>
              </w:rPr>
              <w:fldChar w:fldCharType="separate"/>
            </w:r>
            <w:r w:rsidR="00382D64">
              <w:rPr>
                <w:noProof/>
                <w:webHidden/>
              </w:rPr>
              <w:t>32</w:t>
            </w:r>
            <w:r w:rsidR="00D01BAE">
              <w:rPr>
                <w:noProof/>
                <w:webHidden/>
              </w:rPr>
              <w:fldChar w:fldCharType="end"/>
            </w:r>
          </w:hyperlink>
        </w:p>
        <w:p w:rsidR="00DD170E" w:rsidRDefault="00DD170E">
          <w:r>
            <w:rPr>
              <w:b/>
              <w:bCs/>
              <w:noProof/>
            </w:rPr>
            <w:fldChar w:fldCharType="end"/>
          </w:r>
        </w:p>
      </w:sdtContent>
    </w:sdt>
    <w:p w:rsidR="003503D7" w:rsidRDefault="003503D7">
      <w:pPr>
        <w:rPr>
          <w:b/>
        </w:rPr>
      </w:pPr>
    </w:p>
    <w:p w:rsidR="0078194C" w:rsidRDefault="0078194C" w:rsidP="00F66AC8">
      <w:pPr>
        <w:rPr>
          <w:b/>
        </w:rPr>
      </w:pPr>
    </w:p>
    <w:p w:rsidR="00F66AC8" w:rsidRDefault="00F66AC8">
      <w:pPr>
        <w:rPr>
          <w:b/>
        </w:rPr>
      </w:pPr>
      <w:r>
        <w:rPr>
          <w:b/>
        </w:rPr>
        <w:br w:type="page"/>
      </w:r>
    </w:p>
    <w:p w:rsidR="00AD1B16" w:rsidRPr="00AD1B16" w:rsidRDefault="00F03613" w:rsidP="00E3010D">
      <w:pPr>
        <w:pStyle w:val="Heading1"/>
        <w:rPr>
          <w:b w:val="0"/>
        </w:rPr>
      </w:pPr>
      <w:bookmarkStart w:id="1" w:name="_Toc384202073"/>
      <w:r w:rsidRPr="00231F38">
        <w:lastRenderedPageBreak/>
        <w:t>1.</w:t>
      </w:r>
      <w:r w:rsidRPr="00231F38">
        <w:tab/>
      </w:r>
      <w:r w:rsidR="00B92C75" w:rsidRPr="00231F38">
        <w:t>INTRODUCTION</w:t>
      </w:r>
      <w:r w:rsidR="003503D7" w:rsidRPr="00231F38">
        <w:t xml:space="preserve"> AND CONTEXT</w:t>
      </w:r>
      <w:bookmarkEnd w:id="1"/>
    </w:p>
    <w:p w:rsidR="00BC3801" w:rsidRDefault="00BC3801" w:rsidP="00BC3801">
      <w:pPr>
        <w:spacing w:after="240" w:line="240" w:lineRule="auto"/>
      </w:pPr>
      <w:r>
        <w:t>Geographic labour mobility is an important aspect of a well-functioning labour market</w:t>
      </w:r>
      <w:r w:rsidR="00FA6322">
        <w:t xml:space="preserve">, with </w:t>
      </w:r>
      <w:r w:rsidR="00865E95">
        <w:t>on</w:t>
      </w:r>
      <w:r w:rsidR="00865E95">
        <w:noBreakHyphen/>
        <w:t>going</w:t>
      </w:r>
      <w:r w:rsidR="00FA6322">
        <w:t xml:space="preserve"> structural change in economies requiring </w:t>
      </w:r>
      <w:r w:rsidR="002720AA">
        <w:t xml:space="preserve">adjustments </w:t>
      </w:r>
      <w:r w:rsidR="007B0734">
        <w:t xml:space="preserve">by the workforce across </w:t>
      </w:r>
      <w:r>
        <w:t>occupations, industries and geographic areas</w:t>
      </w:r>
      <w:r w:rsidR="000078E9">
        <w:t xml:space="preserve">. </w:t>
      </w:r>
      <w:r>
        <w:t xml:space="preserve">A </w:t>
      </w:r>
      <w:r w:rsidR="002A4164">
        <w:t xml:space="preserve">less dynamic </w:t>
      </w:r>
      <w:r>
        <w:t xml:space="preserve">labour market </w:t>
      </w:r>
      <w:r w:rsidR="00FA6322">
        <w:t xml:space="preserve">can </w:t>
      </w:r>
      <w:r w:rsidR="002720AA">
        <w:t xml:space="preserve">limit </w:t>
      </w:r>
      <w:r w:rsidR="00FA6322">
        <w:t xml:space="preserve">an economy’s ability to </w:t>
      </w:r>
      <w:r>
        <w:t xml:space="preserve">take advantage of new sources of growth in incomes and employment. </w:t>
      </w:r>
    </w:p>
    <w:p w:rsidR="002A4164" w:rsidRPr="002A4164" w:rsidRDefault="002A4164" w:rsidP="002A4164">
      <w:pPr>
        <w:pStyle w:val="Heading2"/>
        <w:rPr>
          <w:b w:val="0"/>
        </w:rPr>
      </w:pPr>
      <w:bookmarkStart w:id="2" w:name="_Toc384202074"/>
      <w:r w:rsidRPr="0015523E">
        <w:t>Labour market context</w:t>
      </w:r>
      <w:r>
        <w:t xml:space="preserve"> and mobility</w:t>
      </w:r>
      <w:bookmarkEnd w:id="2"/>
    </w:p>
    <w:p w:rsidR="00D40A11" w:rsidRDefault="00917CB1" w:rsidP="003503D7">
      <w:pPr>
        <w:spacing w:after="240" w:line="240" w:lineRule="auto"/>
      </w:pPr>
      <w:r>
        <w:t xml:space="preserve">Australia’s </w:t>
      </w:r>
      <w:r w:rsidR="007B0734">
        <w:t>unemployment rate is forecas</w:t>
      </w:r>
      <w:r w:rsidR="00184C3C">
        <w:t>t to rise to 6¼ per cent in 2014-15</w:t>
      </w:r>
      <w:r w:rsidR="002720AA">
        <w:t>. S</w:t>
      </w:r>
      <w:r w:rsidR="00E053D0">
        <w:t xml:space="preserve">ome </w:t>
      </w:r>
      <w:r w:rsidR="000E39C3">
        <w:t xml:space="preserve">regions and </w:t>
      </w:r>
      <w:r w:rsidR="0097303C">
        <w:t xml:space="preserve">demographic </w:t>
      </w:r>
      <w:r w:rsidR="0097303C" w:rsidRPr="006D48C2">
        <w:t xml:space="preserve">groups </w:t>
      </w:r>
      <w:r w:rsidR="000E39C3">
        <w:t xml:space="preserve">experience </w:t>
      </w:r>
      <w:r w:rsidR="00560D16">
        <w:t>very different unemployment rates to the nation as a whole, with a</w:t>
      </w:r>
      <w:r w:rsidR="00F670A3">
        <w:t xml:space="preserve">n 8 percentage point </w:t>
      </w:r>
      <w:r w:rsidR="00171475">
        <w:t>difference in regional unemployment rates</w:t>
      </w:r>
      <w:r w:rsidR="00560D16">
        <w:t xml:space="preserve"> </w:t>
      </w:r>
      <w:r w:rsidR="00171475">
        <w:t xml:space="preserve">as at </w:t>
      </w:r>
      <w:r w:rsidR="006D48C2" w:rsidRPr="006D48C2">
        <w:t>December 2013</w:t>
      </w:r>
      <w:r w:rsidR="00560D16">
        <w:t>.</w:t>
      </w:r>
      <w:r w:rsidR="00BB3A25">
        <w:t xml:space="preserve"> </w:t>
      </w:r>
    </w:p>
    <w:p w:rsidR="0097303C" w:rsidRDefault="00865E95" w:rsidP="003503D7">
      <w:pPr>
        <w:spacing w:after="240" w:line="240" w:lineRule="auto"/>
      </w:pPr>
      <w:r>
        <w:t>Different</w:t>
      </w:r>
      <w:r w:rsidR="00E053D0">
        <w:t xml:space="preserve"> </w:t>
      </w:r>
      <w:r w:rsidR="000E39C3">
        <w:t xml:space="preserve">labour market outcomes </w:t>
      </w:r>
      <w:r>
        <w:t>are to</w:t>
      </w:r>
      <w:r w:rsidR="00E053D0">
        <w:t xml:space="preserve"> be expected </w:t>
      </w:r>
      <w:r w:rsidR="000E39C3">
        <w:t>as</w:t>
      </w:r>
      <w:r w:rsidR="00E05EA2">
        <w:t xml:space="preserve"> communities respond </w:t>
      </w:r>
      <w:r w:rsidR="00171475">
        <w:t xml:space="preserve">differently to </w:t>
      </w:r>
      <w:r w:rsidR="00E05EA2">
        <w:t>structural change. U</w:t>
      </w:r>
      <w:r w:rsidR="00BC3801">
        <w:t>nderlying differences between regions</w:t>
      </w:r>
      <w:r w:rsidR="003C46C3">
        <w:t>,</w:t>
      </w:r>
      <w:r w:rsidR="003C46C3" w:rsidRPr="003C46C3">
        <w:t xml:space="preserve"> </w:t>
      </w:r>
      <w:r w:rsidR="003C46C3">
        <w:t xml:space="preserve">such as in their demography, skills profile and </w:t>
      </w:r>
      <w:r w:rsidR="004E1333">
        <w:t>general industrial base</w:t>
      </w:r>
      <w:r w:rsidR="003C46C3">
        <w:t xml:space="preserve">, can be particularly influential. </w:t>
      </w:r>
      <w:r w:rsidR="00E05EA2">
        <w:t xml:space="preserve">However, </w:t>
      </w:r>
      <w:r w:rsidR="00E053D0">
        <w:t xml:space="preserve">in the longer term, </w:t>
      </w:r>
      <w:r w:rsidR="003C46C3">
        <w:t>people tend to move f</w:t>
      </w:r>
      <w:r w:rsidR="0097303C">
        <w:t>rom those regions, i</w:t>
      </w:r>
      <w:r w:rsidR="00EC4EE7">
        <w:t>ndustries and occupations where fewer job opportunities are available</w:t>
      </w:r>
      <w:r w:rsidR="0097303C">
        <w:t xml:space="preserve"> to areas where </w:t>
      </w:r>
      <w:r w:rsidR="00EC4EE7">
        <w:t>more jobs are being created</w:t>
      </w:r>
      <w:r w:rsidR="0097303C">
        <w:t>.</w:t>
      </w:r>
    </w:p>
    <w:p w:rsidR="00EB5A4D" w:rsidRDefault="003C46C3" w:rsidP="002A4164">
      <w:pPr>
        <w:spacing w:after="240" w:line="240" w:lineRule="auto"/>
      </w:pPr>
      <w:r>
        <w:t xml:space="preserve">Geographic mobility can help to improve the matching of people with job vacancies, </w:t>
      </w:r>
      <w:r w:rsidR="00EB5A4D" w:rsidRPr="00E51A72">
        <w:t xml:space="preserve">complementing other local and regional employment strategies, and </w:t>
      </w:r>
      <w:r w:rsidR="00A86052">
        <w:t>supporting the process of</w:t>
      </w:r>
      <w:r w:rsidR="00EB5A4D" w:rsidRPr="00E51A72">
        <w:t xml:space="preserve"> structural change </w:t>
      </w:r>
      <w:r w:rsidR="00A86052">
        <w:t>in the economy</w:t>
      </w:r>
      <w:r w:rsidR="00EB5A4D" w:rsidRPr="00E51A72">
        <w:t>.</w:t>
      </w:r>
      <w:r w:rsidR="000E39C3" w:rsidRPr="000E39C3">
        <w:t xml:space="preserve"> </w:t>
      </w:r>
      <w:r w:rsidR="00E053D0">
        <w:t>M</w:t>
      </w:r>
      <w:r>
        <w:t xml:space="preserve">obility can help </w:t>
      </w:r>
      <w:r w:rsidRPr="003C46C3">
        <w:t xml:space="preserve">to </w:t>
      </w:r>
      <w:r w:rsidR="00E053D0">
        <w:t>address d</w:t>
      </w:r>
      <w:r w:rsidR="000E39C3" w:rsidRPr="003C46C3">
        <w:t>isparities in the labour market</w:t>
      </w:r>
      <w:r w:rsidR="00191905">
        <w:t xml:space="preserve">, improve overall employment and incomes. </w:t>
      </w:r>
    </w:p>
    <w:p w:rsidR="00E053D0" w:rsidRDefault="00137CA2" w:rsidP="00E053D0">
      <w:pPr>
        <w:spacing w:after="240" w:line="240" w:lineRule="auto"/>
      </w:pPr>
      <w:r>
        <w:t>Looking forward, the ageing of the population is projected to result in declining labour force participation rates</w:t>
      </w:r>
      <w:r w:rsidR="002A4164">
        <w:t xml:space="preserve"> and </w:t>
      </w:r>
      <w:r w:rsidR="00EB5A4D" w:rsidRPr="00E51A72">
        <w:t>increased competition for workers across the national labour market</w:t>
      </w:r>
      <w:r>
        <w:t xml:space="preserve">. </w:t>
      </w:r>
      <w:r w:rsidR="00F670A3">
        <w:t xml:space="preserve">In these circumstances, the mobility and responsiveness of the workforce will </w:t>
      </w:r>
      <w:r w:rsidR="00694973">
        <w:t xml:space="preserve">be </w:t>
      </w:r>
      <w:r w:rsidR="00A13716">
        <w:t>especially</w:t>
      </w:r>
      <w:r w:rsidR="00694973">
        <w:t xml:space="preserve"> valuable. </w:t>
      </w:r>
    </w:p>
    <w:p w:rsidR="00E053D0" w:rsidRPr="002A4164" w:rsidRDefault="00E053D0" w:rsidP="00E053D0">
      <w:pPr>
        <w:pStyle w:val="Heading2"/>
        <w:rPr>
          <w:b w:val="0"/>
        </w:rPr>
      </w:pPr>
      <w:bookmarkStart w:id="3" w:name="_Toc384202075"/>
      <w:r>
        <w:t>Factors which influence mobility</w:t>
      </w:r>
      <w:bookmarkEnd w:id="3"/>
    </w:p>
    <w:p w:rsidR="00C04B66" w:rsidRDefault="0062435B" w:rsidP="00834F55">
      <w:pPr>
        <w:spacing w:after="240" w:line="240" w:lineRule="auto"/>
      </w:pPr>
      <w:r>
        <w:t xml:space="preserve">The Productivity Commission indicates in its draft report that a </w:t>
      </w:r>
      <w:r w:rsidR="00B270E8">
        <w:t xml:space="preserve">wide range of factors </w:t>
      </w:r>
      <w:r>
        <w:t xml:space="preserve">affect </w:t>
      </w:r>
      <w:r w:rsidR="00B270E8">
        <w:t>geographic mobility</w:t>
      </w:r>
      <w:r>
        <w:t>.</w:t>
      </w:r>
      <w:r w:rsidR="00B270E8">
        <w:t xml:space="preserve"> </w:t>
      </w:r>
      <w:r>
        <w:t>While m</w:t>
      </w:r>
      <w:r w:rsidR="00B12B57">
        <w:t xml:space="preserve">arket signals such as </w:t>
      </w:r>
      <w:r>
        <w:t xml:space="preserve">relative </w:t>
      </w:r>
      <w:r w:rsidR="00B12B57">
        <w:t xml:space="preserve">wages </w:t>
      </w:r>
      <w:r>
        <w:t>a</w:t>
      </w:r>
      <w:r w:rsidR="00B12B57">
        <w:t xml:space="preserve">nd </w:t>
      </w:r>
      <w:r>
        <w:t xml:space="preserve">job vacancies can provide incentives to move, </w:t>
      </w:r>
      <w:r w:rsidR="00B12B57">
        <w:t>p</w:t>
      </w:r>
      <w:r w:rsidR="00037FDC">
        <w:t xml:space="preserve">eople weigh up a complex range of factors when deciding where to live and work, and </w:t>
      </w:r>
      <w:r w:rsidR="00C04B66">
        <w:t xml:space="preserve">they </w:t>
      </w:r>
      <w:r w:rsidR="00037FDC">
        <w:t xml:space="preserve">can </w:t>
      </w:r>
      <w:r>
        <w:t xml:space="preserve">also </w:t>
      </w:r>
      <w:r w:rsidR="00037FDC">
        <w:t xml:space="preserve">face a range of </w:t>
      </w:r>
      <w:r w:rsidR="000F3586">
        <w:t xml:space="preserve">impediments </w:t>
      </w:r>
      <w:r w:rsidR="00B12B57">
        <w:t xml:space="preserve">to </w:t>
      </w:r>
      <w:r w:rsidR="0074190E">
        <w:t>their m</w:t>
      </w:r>
      <w:r w:rsidR="00B12B57">
        <w:t>obility</w:t>
      </w:r>
      <w:r w:rsidR="00037FDC">
        <w:t xml:space="preserve">. </w:t>
      </w:r>
    </w:p>
    <w:p w:rsidR="003114AF" w:rsidRDefault="003114AF" w:rsidP="00834F55">
      <w:pPr>
        <w:spacing w:after="240" w:line="240" w:lineRule="auto"/>
      </w:pPr>
      <w:r>
        <w:t xml:space="preserve">Tangible factors (which might also be described as economic or </w:t>
      </w:r>
      <w:r w:rsidR="000F3586">
        <w:t xml:space="preserve">more </w:t>
      </w:r>
      <w:r>
        <w:t>measurable) can include:</w:t>
      </w:r>
    </w:p>
    <w:p w:rsidR="003114AF" w:rsidRPr="00E07A59" w:rsidRDefault="00394C84" w:rsidP="00046CCE">
      <w:pPr>
        <w:pStyle w:val="ListParagraph"/>
        <w:numPr>
          <w:ilvl w:val="0"/>
          <w:numId w:val="28"/>
        </w:numPr>
        <w:spacing w:after="240"/>
        <w:rPr>
          <w:rFonts w:cstheme="minorHAnsi"/>
        </w:rPr>
      </w:pPr>
      <w:r>
        <w:rPr>
          <w:rFonts w:asciiTheme="minorHAnsi" w:hAnsiTheme="minorHAnsi" w:cstheme="minorHAnsi"/>
          <w:sz w:val="22"/>
          <w:szCs w:val="22"/>
        </w:rPr>
        <w:t>r</w:t>
      </w:r>
      <w:r w:rsidR="003114AF" w:rsidRPr="00046CCE">
        <w:rPr>
          <w:rFonts w:asciiTheme="minorHAnsi" w:hAnsiTheme="minorHAnsi" w:cstheme="minorHAnsi"/>
          <w:sz w:val="22"/>
          <w:szCs w:val="22"/>
        </w:rPr>
        <w:t xml:space="preserve">emuneration (including the </w:t>
      </w:r>
      <w:r w:rsidR="002A4164">
        <w:rPr>
          <w:rFonts w:asciiTheme="minorHAnsi" w:hAnsiTheme="minorHAnsi" w:cstheme="minorHAnsi"/>
          <w:sz w:val="22"/>
          <w:szCs w:val="22"/>
        </w:rPr>
        <w:t xml:space="preserve">relative </w:t>
      </w:r>
      <w:r w:rsidR="003114AF" w:rsidRPr="00046CCE">
        <w:rPr>
          <w:rFonts w:asciiTheme="minorHAnsi" w:hAnsiTheme="minorHAnsi" w:cstheme="minorHAnsi"/>
          <w:sz w:val="22"/>
          <w:szCs w:val="22"/>
        </w:rPr>
        <w:t>cost of living and career prospects);</w:t>
      </w:r>
    </w:p>
    <w:p w:rsidR="003114AF" w:rsidRPr="00E07A59" w:rsidRDefault="00394C84" w:rsidP="00046CCE">
      <w:pPr>
        <w:pStyle w:val="ListParagraph"/>
        <w:numPr>
          <w:ilvl w:val="0"/>
          <w:numId w:val="28"/>
        </w:numPr>
        <w:spacing w:after="240"/>
        <w:rPr>
          <w:rFonts w:cstheme="minorHAnsi"/>
        </w:rPr>
      </w:pPr>
      <w:r>
        <w:rPr>
          <w:rFonts w:asciiTheme="minorHAnsi" w:hAnsiTheme="minorHAnsi" w:cstheme="minorHAnsi"/>
          <w:sz w:val="22"/>
          <w:szCs w:val="22"/>
        </w:rPr>
        <w:t>w</w:t>
      </w:r>
      <w:r w:rsidR="003114AF" w:rsidRPr="00046CCE">
        <w:rPr>
          <w:rFonts w:asciiTheme="minorHAnsi" w:hAnsiTheme="minorHAnsi" w:cstheme="minorHAnsi"/>
          <w:sz w:val="22"/>
          <w:szCs w:val="22"/>
        </w:rPr>
        <w:t>orking conditions;</w:t>
      </w:r>
    </w:p>
    <w:p w:rsidR="003114AF" w:rsidRPr="00E07A59" w:rsidRDefault="00394C84" w:rsidP="00046CCE">
      <w:pPr>
        <w:pStyle w:val="ListParagraph"/>
        <w:numPr>
          <w:ilvl w:val="0"/>
          <w:numId w:val="28"/>
        </w:numPr>
        <w:spacing w:after="240"/>
        <w:rPr>
          <w:rFonts w:cstheme="minorHAnsi"/>
        </w:rPr>
      </w:pPr>
      <w:r>
        <w:rPr>
          <w:rFonts w:asciiTheme="minorHAnsi" w:hAnsiTheme="minorHAnsi" w:cstheme="minorHAnsi"/>
          <w:sz w:val="22"/>
          <w:szCs w:val="22"/>
        </w:rPr>
        <w:t>s</w:t>
      </w:r>
      <w:r w:rsidR="003114AF" w:rsidRPr="00046CCE">
        <w:rPr>
          <w:rFonts w:asciiTheme="minorHAnsi" w:hAnsiTheme="minorHAnsi" w:cstheme="minorHAnsi"/>
          <w:sz w:val="22"/>
          <w:szCs w:val="22"/>
        </w:rPr>
        <w:t>kills and other job requirements;</w:t>
      </w:r>
    </w:p>
    <w:p w:rsidR="003114AF" w:rsidRPr="00E07A59" w:rsidRDefault="00394C84" w:rsidP="00046CCE">
      <w:pPr>
        <w:pStyle w:val="ListParagraph"/>
        <w:numPr>
          <w:ilvl w:val="0"/>
          <w:numId w:val="28"/>
        </w:numPr>
        <w:spacing w:after="240"/>
        <w:rPr>
          <w:rFonts w:cstheme="minorHAnsi"/>
        </w:rPr>
      </w:pPr>
      <w:r>
        <w:rPr>
          <w:rFonts w:asciiTheme="minorHAnsi" w:hAnsiTheme="minorHAnsi" w:cstheme="minorHAnsi"/>
          <w:sz w:val="22"/>
          <w:szCs w:val="22"/>
        </w:rPr>
        <w:t>r</w:t>
      </w:r>
      <w:r w:rsidR="003114AF" w:rsidRPr="00046CCE">
        <w:rPr>
          <w:rFonts w:asciiTheme="minorHAnsi" w:hAnsiTheme="minorHAnsi" w:cstheme="minorHAnsi"/>
          <w:sz w:val="22"/>
          <w:szCs w:val="22"/>
        </w:rPr>
        <w:t xml:space="preserve">elocation </w:t>
      </w:r>
      <w:r w:rsidR="002A4164">
        <w:rPr>
          <w:rFonts w:asciiTheme="minorHAnsi" w:hAnsiTheme="minorHAnsi" w:cstheme="minorHAnsi"/>
          <w:sz w:val="22"/>
          <w:szCs w:val="22"/>
        </w:rPr>
        <w:t>and other transaction costs</w:t>
      </w:r>
      <w:r w:rsidR="003114AF" w:rsidRPr="00046CCE">
        <w:rPr>
          <w:rFonts w:asciiTheme="minorHAnsi" w:hAnsiTheme="minorHAnsi" w:cstheme="minorHAnsi"/>
          <w:sz w:val="22"/>
          <w:szCs w:val="22"/>
        </w:rPr>
        <w:t>;</w:t>
      </w:r>
    </w:p>
    <w:p w:rsidR="003114AF" w:rsidRPr="00E07A59" w:rsidRDefault="00394C84" w:rsidP="00046CCE">
      <w:pPr>
        <w:pStyle w:val="ListParagraph"/>
        <w:numPr>
          <w:ilvl w:val="0"/>
          <w:numId w:val="28"/>
        </w:numPr>
        <w:spacing w:after="240"/>
        <w:rPr>
          <w:rFonts w:cstheme="minorHAnsi"/>
        </w:rPr>
      </w:pPr>
      <w:r>
        <w:rPr>
          <w:rFonts w:asciiTheme="minorHAnsi" w:hAnsiTheme="minorHAnsi" w:cstheme="minorHAnsi"/>
          <w:sz w:val="22"/>
          <w:szCs w:val="22"/>
        </w:rPr>
        <w:t>a</w:t>
      </w:r>
      <w:r w:rsidR="003114AF" w:rsidRPr="00046CCE">
        <w:rPr>
          <w:rFonts w:asciiTheme="minorHAnsi" w:hAnsiTheme="minorHAnsi" w:cstheme="minorHAnsi"/>
          <w:sz w:val="22"/>
          <w:szCs w:val="22"/>
        </w:rPr>
        <w:t>ccess to affordable housing;</w:t>
      </w:r>
    </w:p>
    <w:p w:rsidR="003114AF" w:rsidRPr="00E07A59" w:rsidRDefault="00394C84" w:rsidP="00046CCE">
      <w:pPr>
        <w:pStyle w:val="ListParagraph"/>
        <w:numPr>
          <w:ilvl w:val="0"/>
          <w:numId w:val="28"/>
        </w:numPr>
        <w:spacing w:after="240"/>
        <w:rPr>
          <w:rFonts w:cstheme="minorHAnsi"/>
        </w:rPr>
      </w:pPr>
      <w:r>
        <w:rPr>
          <w:rFonts w:asciiTheme="minorHAnsi" w:hAnsiTheme="minorHAnsi" w:cstheme="minorHAnsi"/>
          <w:sz w:val="22"/>
          <w:szCs w:val="22"/>
        </w:rPr>
        <w:t>h</w:t>
      </w:r>
      <w:r w:rsidR="003114AF" w:rsidRPr="00046CCE">
        <w:rPr>
          <w:rFonts w:asciiTheme="minorHAnsi" w:hAnsiTheme="minorHAnsi" w:cstheme="minorHAnsi"/>
          <w:sz w:val="22"/>
          <w:szCs w:val="22"/>
        </w:rPr>
        <w:t>ealth and social services;</w:t>
      </w:r>
    </w:p>
    <w:p w:rsidR="003114AF" w:rsidRPr="00E07A59" w:rsidRDefault="00394C84" w:rsidP="00046CCE">
      <w:pPr>
        <w:pStyle w:val="ListParagraph"/>
        <w:numPr>
          <w:ilvl w:val="0"/>
          <w:numId w:val="28"/>
        </w:numPr>
        <w:spacing w:after="240"/>
        <w:rPr>
          <w:rFonts w:cstheme="minorHAnsi"/>
        </w:rPr>
      </w:pPr>
      <w:r>
        <w:rPr>
          <w:rFonts w:asciiTheme="minorHAnsi" w:hAnsiTheme="minorHAnsi" w:cstheme="minorHAnsi"/>
          <w:sz w:val="22"/>
          <w:szCs w:val="22"/>
        </w:rPr>
        <w:t>t</w:t>
      </w:r>
      <w:r w:rsidR="003114AF" w:rsidRPr="00046CCE">
        <w:rPr>
          <w:rFonts w:asciiTheme="minorHAnsi" w:hAnsiTheme="minorHAnsi" w:cstheme="minorHAnsi"/>
          <w:sz w:val="22"/>
          <w:szCs w:val="22"/>
        </w:rPr>
        <w:t>ransport and schools; and</w:t>
      </w:r>
    </w:p>
    <w:p w:rsidR="003114AF" w:rsidRPr="00E07A59" w:rsidRDefault="00394C84" w:rsidP="00046CCE">
      <w:pPr>
        <w:pStyle w:val="ListParagraph"/>
        <w:numPr>
          <w:ilvl w:val="0"/>
          <w:numId w:val="28"/>
        </w:numPr>
        <w:spacing w:after="240"/>
        <w:rPr>
          <w:rFonts w:cstheme="minorHAnsi"/>
        </w:rPr>
      </w:pPr>
      <w:r>
        <w:rPr>
          <w:rFonts w:asciiTheme="minorHAnsi" w:hAnsiTheme="minorHAnsi" w:cstheme="minorHAnsi"/>
          <w:sz w:val="22"/>
          <w:szCs w:val="22"/>
        </w:rPr>
        <w:t>t</w:t>
      </w:r>
      <w:r w:rsidR="003114AF" w:rsidRPr="00046CCE">
        <w:rPr>
          <w:rFonts w:asciiTheme="minorHAnsi" w:hAnsiTheme="minorHAnsi" w:cstheme="minorHAnsi"/>
          <w:sz w:val="22"/>
          <w:szCs w:val="22"/>
        </w:rPr>
        <w:t>he availability of alternative job opportunities.</w:t>
      </w:r>
    </w:p>
    <w:p w:rsidR="003114AF" w:rsidRDefault="003114AF" w:rsidP="000F3586">
      <w:pPr>
        <w:keepNext/>
        <w:spacing w:after="240" w:line="240" w:lineRule="auto"/>
      </w:pPr>
      <w:r>
        <w:t xml:space="preserve">On the other hand, other factors are less amenable to measurement, but are no less significant – indeed, in some cases more significant – for </w:t>
      </w:r>
      <w:r w:rsidR="00394C84">
        <w:t>household decisions</w:t>
      </w:r>
      <w:r w:rsidR="0040064D">
        <w:t xml:space="preserve">. Intangible factors </w:t>
      </w:r>
      <w:r>
        <w:t>include:</w:t>
      </w:r>
    </w:p>
    <w:p w:rsidR="003114AF" w:rsidRPr="00E07A59" w:rsidRDefault="00394C84" w:rsidP="006D45C0">
      <w:pPr>
        <w:pStyle w:val="ListParagraph"/>
        <w:keepNext/>
        <w:numPr>
          <w:ilvl w:val="0"/>
          <w:numId w:val="29"/>
        </w:numPr>
        <w:spacing w:after="240"/>
        <w:rPr>
          <w:rFonts w:cstheme="minorHAnsi"/>
        </w:rPr>
      </w:pPr>
      <w:r>
        <w:rPr>
          <w:rFonts w:asciiTheme="minorHAnsi" w:hAnsiTheme="minorHAnsi" w:cstheme="minorHAnsi"/>
          <w:sz w:val="22"/>
          <w:szCs w:val="22"/>
        </w:rPr>
        <w:t>s</w:t>
      </w:r>
      <w:r w:rsidR="003114AF" w:rsidRPr="00046CCE">
        <w:rPr>
          <w:rFonts w:asciiTheme="minorHAnsi" w:hAnsiTheme="minorHAnsi" w:cstheme="minorHAnsi"/>
          <w:sz w:val="22"/>
          <w:szCs w:val="22"/>
        </w:rPr>
        <w:t>ocial connections</w:t>
      </w:r>
      <w:r w:rsidR="006D45C0">
        <w:rPr>
          <w:rFonts w:asciiTheme="minorHAnsi" w:hAnsiTheme="minorHAnsi" w:cstheme="minorHAnsi"/>
          <w:sz w:val="22"/>
          <w:szCs w:val="22"/>
        </w:rPr>
        <w:t xml:space="preserve">, such as with family and </w:t>
      </w:r>
      <w:r w:rsidR="003114AF" w:rsidRPr="00046CCE">
        <w:rPr>
          <w:rFonts w:asciiTheme="minorHAnsi" w:hAnsiTheme="minorHAnsi" w:cstheme="minorHAnsi"/>
          <w:sz w:val="22"/>
          <w:szCs w:val="22"/>
        </w:rPr>
        <w:t>support networks;</w:t>
      </w:r>
    </w:p>
    <w:p w:rsidR="003114AF" w:rsidRPr="00E07A59" w:rsidRDefault="00394C84" w:rsidP="000F3586">
      <w:pPr>
        <w:pStyle w:val="ListParagraph"/>
        <w:keepNext/>
        <w:numPr>
          <w:ilvl w:val="0"/>
          <w:numId w:val="29"/>
        </w:numPr>
        <w:spacing w:after="240"/>
        <w:rPr>
          <w:rFonts w:cstheme="minorHAnsi"/>
        </w:rPr>
      </w:pPr>
      <w:r>
        <w:rPr>
          <w:rFonts w:asciiTheme="minorHAnsi" w:hAnsiTheme="minorHAnsi" w:cstheme="minorHAnsi"/>
          <w:sz w:val="22"/>
          <w:szCs w:val="22"/>
        </w:rPr>
        <w:t>l</w:t>
      </w:r>
      <w:r w:rsidR="003114AF" w:rsidRPr="00046CCE">
        <w:rPr>
          <w:rFonts w:asciiTheme="minorHAnsi" w:hAnsiTheme="minorHAnsi" w:cstheme="minorHAnsi"/>
          <w:sz w:val="22"/>
          <w:szCs w:val="22"/>
        </w:rPr>
        <w:t>ifestyle</w:t>
      </w:r>
      <w:r w:rsidR="006D45C0">
        <w:rPr>
          <w:rFonts w:asciiTheme="minorHAnsi" w:hAnsiTheme="minorHAnsi" w:cstheme="minorHAnsi"/>
          <w:sz w:val="22"/>
          <w:szCs w:val="22"/>
        </w:rPr>
        <w:t xml:space="preserve">, </w:t>
      </w:r>
      <w:r w:rsidR="003114AF" w:rsidRPr="00046CCE">
        <w:rPr>
          <w:rFonts w:asciiTheme="minorHAnsi" w:hAnsiTheme="minorHAnsi" w:cstheme="minorHAnsi"/>
          <w:sz w:val="22"/>
          <w:szCs w:val="22"/>
        </w:rPr>
        <w:t>amenity</w:t>
      </w:r>
      <w:r w:rsidR="006D45C0">
        <w:rPr>
          <w:rFonts w:asciiTheme="minorHAnsi" w:hAnsiTheme="minorHAnsi" w:cstheme="minorHAnsi"/>
          <w:sz w:val="22"/>
          <w:szCs w:val="22"/>
        </w:rPr>
        <w:t xml:space="preserve"> and historical connections with a location</w:t>
      </w:r>
      <w:r w:rsidR="003114AF" w:rsidRPr="00046CCE">
        <w:rPr>
          <w:rFonts w:asciiTheme="minorHAnsi" w:hAnsiTheme="minorHAnsi" w:cstheme="minorHAnsi"/>
          <w:sz w:val="22"/>
          <w:szCs w:val="22"/>
        </w:rPr>
        <w:t>; and</w:t>
      </w:r>
    </w:p>
    <w:p w:rsidR="003114AF" w:rsidRPr="00E07A59" w:rsidRDefault="00394C84" w:rsidP="00046CCE">
      <w:pPr>
        <w:pStyle w:val="ListParagraph"/>
        <w:numPr>
          <w:ilvl w:val="0"/>
          <w:numId w:val="29"/>
        </w:numPr>
        <w:spacing w:after="240"/>
        <w:rPr>
          <w:rFonts w:cstheme="minorHAnsi"/>
        </w:rPr>
      </w:pPr>
      <w:r>
        <w:rPr>
          <w:rFonts w:asciiTheme="minorHAnsi" w:hAnsiTheme="minorHAnsi" w:cstheme="minorHAnsi"/>
          <w:sz w:val="22"/>
          <w:szCs w:val="22"/>
        </w:rPr>
        <w:t>t</w:t>
      </w:r>
      <w:r w:rsidR="003114AF" w:rsidRPr="00046CCE">
        <w:rPr>
          <w:rFonts w:asciiTheme="minorHAnsi" w:hAnsiTheme="minorHAnsi" w:cstheme="minorHAnsi"/>
          <w:sz w:val="22"/>
          <w:szCs w:val="22"/>
        </w:rPr>
        <w:t>he perceived risks of change.</w:t>
      </w:r>
    </w:p>
    <w:p w:rsidR="00205482" w:rsidRDefault="0018515A" w:rsidP="00394C84">
      <w:pPr>
        <w:spacing w:after="240" w:line="240" w:lineRule="auto"/>
      </w:pPr>
      <w:r>
        <w:lastRenderedPageBreak/>
        <w:t>S</w:t>
      </w:r>
      <w:r w:rsidR="003114AF">
        <w:t xml:space="preserve">ome of these </w:t>
      </w:r>
      <w:r w:rsidR="00276179">
        <w:t xml:space="preserve">factors </w:t>
      </w:r>
      <w:r w:rsidR="003114AF">
        <w:t xml:space="preserve">are </w:t>
      </w:r>
      <w:r w:rsidR="00276179">
        <w:t>more responsive to policy measures than others</w:t>
      </w:r>
      <w:r w:rsidR="00071BEE">
        <w:t xml:space="preserve">. </w:t>
      </w:r>
      <w:r w:rsidR="00205482">
        <w:t xml:space="preserve">Some policies can have unintended effects on mobility; for example, state-level </w:t>
      </w:r>
      <w:r w:rsidR="00071BEE">
        <w:t>occupational licensing regimes</w:t>
      </w:r>
      <w:r w:rsidR="00205482">
        <w:t xml:space="preserve"> can unintentionally become an impediment to mobility within a national economy. </w:t>
      </w:r>
    </w:p>
    <w:p w:rsidR="00205482" w:rsidRDefault="002B641E" w:rsidP="00394C84">
      <w:pPr>
        <w:spacing w:after="240" w:line="240" w:lineRule="auto"/>
      </w:pPr>
      <w:r>
        <w:t>E</w:t>
      </w:r>
      <w:r w:rsidR="00205482">
        <w:t>mployers also influence labour mobility; for example, in their recruitment decisions, willingness to offer attractive pay and conditions; and other business practices, such as openness to telework and long-distance commuting.</w:t>
      </w:r>
      <w:r w:rsidR="00BB3A25">
        <w:t xml:space="preserve"> </w:t>
      </w:r>
    </w:p>
    <w:p w:rsidR="00BF0CE7" w:rsidRDefault="00205482" w:rsidP="00394C84">
      <w:pPr>
        <w:spacing w:after="240" w:line="240" w:lineRule="auto"/>
      </w:pPr>
      <w:r>
        <w:t>T</w:t>
      </w:r>
      <w:r w:rsidRPr="00E51A72">
        <w:t xml:space="preserve">he decision </w:t>
      </w:r>
      <w:r>
        <w:t xml:space="preserve">by a household </w:t>
      </w:r>
      <w:r w:rsidRPr="00E51A72">
        <w:t xml:space="preserve">to move </w:t>
      </w:r>
      <w:r>
        <w:t>w</w:t>
      </w:r>
      <w:r w:rsidRPr="00E51A72">
        <w:t>ill depend on</w:t>
      </w:r>
      <w:r>
        <w:t xml:space="preserve"> their </w:t>
      </w:r>
      <w:r w:rsidR="002B641E">
        <w:t>understanding</w:t>
      </w:r>
      <w:r>
        <w:t xml:space="preserve"> of</w:t>
      </w:r>
      <w:r w:rsidRPr="00E51A72">
        <w:t xml:space="preserve"> the benefits and costs involved</w:t>
      </w:r>
      <w:r>
        <w:t xml:space="preserve">, risks and the ability to overcome any initial costs. A change in circumstances, such as recent job loss, can also change the cost-benefit of moving and the relative weight that people give to particular factors, including those which are more social in nature. </w:t>
      </w:r>
    </w:p>
    <w:p w:rsidR="0015523E" w:rsidRPr="0015523E" w:rsidRDefault="00812F1F" w:rsidP="00E3010D">
      <w:pPr>
        <w:pStyle w:val="Heading2"/>
        <w:rPr>
          <w:b w:val="0"/>
        </w:rPr>
      </w:pPr>
      <w:bookmarkStart w:id="4" w:name="_Toc384202076"/>
      <w:r>
        <w:t>Relevant p</w:t>
      </w:r>
      <w:r w:rsidR="00394C84">
        <w:t>rogram</w:t>
      </w:r>
      <w:r w:rsidR="00E303F9">
        <w:t>me</w:t>
      </w:r>
      <w:r w:rsidR="00394C84">
        <w:t xml:space="preserve">s </w:t>
      </w:r>
      <w:r w:rsidR="005A6A11">
        <w:t xml:space="preserve">delivered by the </w:t>
      </w:r>
      <w:r>
        <w:t>Department of Employment</w:t>
      </w:r>
      <w:bookmarkEnd w:id="4"/>
    </w:p>
    <w:p w:rsidR="00CC34FB" w:rsidRDefault="002822EA" w:rsidP="0015523E">
      <w:pPr>
        <w:spacing w:after="240" w:line="240" w:lineRule="auto"/>
      </w:pPr>
      <w:r>
        <w:t xml:space="preserve">The Department </w:t>
      </w:r>
      <w:r w:rsidR="005A6A11">
        <w:t xml:space="preserve">delivers a </w:t>
      </w:r>
      <w:r w:rsidR="00CC34FB">
        <w:t>range of program</w:t>
      </w:r>
      <w:r w:rsidR="00E303F9">
        <w:t>me</w:t>
      </w:r>
      <w:r w:rsidR="00CC34FB">
        <w:t xml:space="preserve">s which </w:t>
      </w:r>
      <w:r w:rsidR="00394C84">
        <w:t xml:space="preserve">affect </w:t>
      </w:r>
      <w:r w:rsidR="00CC34FB">
        <w:t xml:space="preserve">labour mobility. </w:t>
      </w:r>
      <w:r w:rsidR="005A6A11">
        <w:t xml:space="preserve">Some of these have broad influence, </w:t>
      </w:r>
      <w:r w:rsidR="00205482">
        <w:t xml:space="preserve">such as </w:t>
      </w:r>
      <w:r w:rsidR="005A6A11">
        <w:t>employment service</w:t>
      </w:r>
      <w:r w:rsidR="00205482">
        <w:t>s</w:t>
      </w:r>
      <w:r w:rsidR="0016099F">
        <w:t xml:space="preserve"> and </w:t>
      </w:r>
      <w:r w:rsidR="005A6A11">
        <w:t>labour market information</w:t>
      </w:r>
      <w:r w:rsidR="0016099F">
        <w:t xml:space="preserve"> systems.</w:t>
      </w:r>
      <w:r w:rsidR="005A6A11">
        <w:t xml:space="preserve"> Others </w:t>
      </w:r>
      <w:r w:rsidR="0016099F">
        <w:t>are more specifically targeted at mobility</w:t>
      </w:r>
      <w:r w:rsidR="005A6A11">
        <w:t xml:space="preserve"> </w:t>
      </w:r>
      <w:r w:rsidR="00CC34FB">
        <w:t xml:space="preserve">– for example, </w:t>
      </w:r>
      <w:r w:rsidR="005A6A11">
        <w:t xml:space="preserve">with the aim of </w:t>
      </w:r>
      <w:r w:rsidR="00CC34FB">
        <w:t xml:space="preserve">offsetting relocation costs for job seekers with limited financial resources, or providing employers with information about potential employees </w:t>
      </w:r>
      <w:r w:rsidR="00987781">
        <w:t xml:space="preserve">from </w:t>
      </w:r>
      <w:r w:rsidR="00CC34FB">
        <w:t>other regions.</w:t>
      </w:r>
      <w:r w:rsidR="006C7E13">
        <w:t xml:space="preserve"> </w:t>
      </w:r>
    </w:p>
    <w:p w:rsidR="005F04D8" w:rsidRDefault="00A432F0" w:rsidP="0015523E">
      <w:pPr>
        <w:spacing w:after="240" w:line="240" w:lineRule="auto"/>
      </w:pPr>
      <w:r>
        <w:t xml:space="preserve">Policies in these </w:t>
      </w:r>
      <w:r w:rsidR="00EC4EE7">
        <w:t>area</w:t>
      </w:r>
      <w:r>
        <w:t xml:space="preserve">s aim to </w:t>
      </w:r>
      <w:r w:rsidR="00037FDC">
        <w:t>improve the efficiency of the labour market</w:t>
      </w:r>
      <w:r w:rsidR="0016099F">
        <w:t>, by helping to reduce the cost</w:t>
      </w:r>
      <w:r w:rsidR="00037FDC">
        <w:t xml:space="preserve"> of job search and matching, improv</w:t>
      </w:r>
      <w:r w:rsidR="0016099F">
        <w:t>ing</w:t>
      </w:r>
      <w:r w:rsidR="00037FDC">
        <w:t xml:space="preserve"> coordination between stakeholders, and ensur</w:t>
      </w:r>
      <w:r w:rsidR="0016099F">
        <w:t>ing</w:t>
      </w:r>
      <w:r w:rsidR="00037FDC">
        <w:t xml:space="preserve"> the availability of clear information to g</w:t>
      </w:r>
      <w:r>
        <w:t xml:space="preserve">uide </w:t>
      </w:r>
      <w:r w:rsidR="00EC4EE7">
        <w:t>people in making decisions about where to live and work</w:t>
      </w:r>
      <w:r>
        <w:t xml:space="preserve">. </w:t>
      </w:r>
    </w:p>
    <w:p w:rsidR="00037FDC" w:rsidRPr="005F04D8" w:rsidRDefault="005F04D8" w:rsidP="00E3010D">
      <w:pPr>
        <w:pStyle w:val="Heading2"/>
        <w:rPr>
          <w:b w:val="0"/>
        </w:rPr>
      </w:pPr>
      <w:bookmarkStart w:id="5" w:name="_Toc384202077"/>
      <w:r>
        <w:t xml:space="preserve">Outline of </w:t>
      </w:r>
      <w:r w:rsidR="00C07A58">
        <w:t xml:space="preserve">the </w:t>
      </w:r>
      <w:r>
        <w:t>submission</w:t>
      </w:r>
      <w:bookmarkEnd w:id="5"/>
    </w:p>
    <w:p w:rsidR="00037FDC" w:rsidRPr="005F04D8" w:rsidRDefault="00C46693" w:rsidP="003503D7">
      <w:pPr>
        <w:spacing w:after="240" w:line="240" w:lineRule="auto"/>
      </w:pPr>
      <w:r>
        <w:t xml:space="preserve">In this context, the Department welcomes the opportunity to provide information in order to support the work of the </w:t>
      </w:r>
      <w:r w:rsidR="0016099F">
        <w:t xml:space="preserve">Commission </w:t>
      </w:r>
      <w:r>
        <w:t xml:space="preserve">in </w:t>
      </w:r>
      <w:r w:rsidR="00031DCE">
        <w:t>finalising its</w:t>
      </w:r>
      <w:r>
        <w:t xml:space="preserve"> study into </w:t>
      </w:r>
      <w:r w:rsidR="00031DCE">
        <w:t xml:space="preserve">geographic </w:t>
      </w:r>
      <w:r w:rsidR="0016099F">
        <w:t>labour mobility</w:t>
      </w:r>
      <w:r>
        <w:t>.</w:t>
      </w:r>
      <w:r w:rsidR="00987781">
        <w:t xml:space="preserve"> </w:t>
      </w:r>
      <w:r w:rsidR="008050D5">
        <w:t xml:space="preserve">Section 2 provides an overview of data relating to regional labour market </w:t>
      </w:r>
      <w:r w:rsidR="00D36C54">
        <w:t xml:space="preserve">patterns </w:t>
      </w:r>
      <w:r w:rsidR="008050D5">
        <w:t xml:space="preserve">and </w:t>
      </w:r>
      <w:r w:rsidR="0016099F">
        <w:t xml:space="preserve">mobility; while </w:t>
      </w:r>
      <w:r w:rsidR="00576375">
        <w:t>Section 3 provides information on a range of program</w:t>
      </w:r>
      <w:r w:rsidR="00E303F9">
        <w:t>me</w:t>
      </w:r>
      <w:r w:rsidR="00576375">
        <w:t xml:space="preserve">s and policy settings within the Employment portfolio which </w:t>
      </w:r>
      <w:r w:rsidR="0016099F">
        <w:t xml:space="preserve">are </w:t>
      </w:r>
      <w:r w:rsidR="00576375">
        <w:t>relevant to the study. Section 4 concludes.</w:t>
      </w:r>
    </w:p>
    <w:p w:rsidR="00AD1B16" w:rsidRPr="00341E31" w:rsidRDefault="00341E31" w:rsidP="00E3010D">
      <w:pPr>
        <w:pStyle w:val="Heading1"/>
        <w:rPr>
          <w:b w:val="0"/>
        </w:rPr>
      </w:pPr>
      <w:bookmarkStart w:id="6" w:name="_Toc384202078"/>
      <w:r w:rsidRPr="00341E31">
        <w:t xml:space="preserve">2. </w:t>
      </w:r>
      <w:r w:rsidRPr="00341E31">
        <w:tab/>
      </w:r>
      <w:r w:rsidR="00EF614D" w:rsidRPr="00341E31">
        <w:t>LABOUR MARKET PATTERNS AND TRENDS IN MOBILITY</w:t>
      </w:r>
      <w:bookmarkEnd w:id="6"/>
    </w:p>
    <w:p w:rsidR="00C07A58" w:rsidRPr="002653E2" w:rsidRDefault="00C07A58" w:rsidP="00C07A58">
      <w:pPr>
        <w:pStyle w:val="Heading2"/>
        <w:rPr>
          <w:b w:val="0"/>
        </w:rPr>
      </w:pPr>
      <w:bookmarkStart w:id="7" w:name="_Toc384202079"/>
      <w:r w:rsidRPr="002653E2">
        <w:t>Geographic patterns in labour market performance</w:t>
      </w:r>
      <w:bookmarkEnd w:id="7"/>
    </w:p>
    <w:p w:rsidR="00833608" w:rsidRPr="00926E45" w:rsidRDefault="00987781" w:rsidP="00A432F0">
      <w:pPr>
        <w:spacing w:after="240" w:line="240" w:lineRule="auto"/>
      </w:pPr>
      <w:r>
        <w:t xml:space="preserve">Some </w:t>
      </w:r>
      <w:r w:rsidR="00E4363D">
        <w:t>disparity between regional labour markets is normal, due to differences in local characteristics</w:t>
      </w:r>
      <w:r w:rsidR="00EC4EE7">
        <w:t xml:space="preserve"> (such as industrial structure and demography)</w:t>
      </w:r>
      <w:r w:rsidR="00E4363D">
        <w:t xml:space="preserve"> and the normal processes of adjustment in the economy. However, </w:t>
      </w:r>
      <w:r w:rsidR="00CC34FB">
        <w:t xml:space="preserve">such </w:t>
      </w:r>
      <w:r w:rsidR="00E4363D">
        <w:t>disparit</w:t>
      </w:r>
      <w:r w:rsidR="00CC34FB">
        <w:t>ies</w:t>
      </w:r>
      <w:r w:rsidR="00E4363D">
        <w:t xml:space="preserve"> may also be an indicator of market failures or </w:t>
      </w:r>
      <w:r w:rsidR="00394C84">
        <w:t>rigidities</w:t>
      </w:r>
      <w:r w:rsidR="00922BBD">
        <w:t>.</w:t>
      </w:r>
      <w:r w:rsidR="00652E08">
        <w:t xml:space="preserve"> </w:t>
      </w:r>
      <w:r w:rsidR="00E4363D">
        <w:t>This sub-section presents data on the extent of geographic dispariti</w:t>
      </w:r>
      <w:r w:rsidR="00CC4618">
        <w:t>es in labour market performance</w:t>
      </w:r>
      <w:r w:rsidR="00B63C1C">
        <w:t>.</w:t>
      </w:r>
    </w:p>
    <w:p w:rsidR="006C0F9C" w:rsidRPr="006C0F9C" w:rsidRDefault="006C0F9C" w:rsidP="006C0F9C">
      <w:pPr>
        <w:spacing w:after="240" w:line="240" w:lineRule="auto"/>
      </w:pPr>
      <w:r w:rsidRPr="006C0F9C">
        <w:t xml:space="preserve">The unemployment rate is a simple indicator of how well the labour market is matching labour supply with demand. </w:t>
      </w:r>
      <w:r w:rsidR="00C334E1">
        <w:t xml:space="preserve">While the </w:t>
      </w:r>
      <w:r w:rsidRPr="006C0F9C">
        <w:t xml:space="preserve">national unemployment rate is </w:t>
      </w:r>
      <w:r w:rsidR="00C334E1">
        <w:t xml:space="preserve">forecast to rise to </w:t>
      </w:r>
      <w:r w:rsidRPr="006C0F9C">
        <w:t>6¼ per cent</w:t>
      </w:r>
      <w:r w:rsidR="00394C84">
        <w:t xml:space="preserve"> </w:t>
      </w:r>
      <w:r w:rsidR="00C334E1">
        <w:t>by mid</w:t>
      </w:r>
      <w:r w:rsidR="00C334E1">
        <w:noBreakHyphen/>
        <w:t>2015</w:t>
      </w:r>
      <w:r w:rsidR="00394C84">
        <w:rPr>
          <w:rStyle w:val="FootnoteReference"/>
        </w:rPr>
        <w:footnoteReference w:id="1"/>
      </w:r>
      <w:r w:rsidRPr="006C0F9C">
        <w:t xml:space="preserve">, </w:t>
      </w:r>
      <w:r w:rsidR="00C334E1">
        <w:t xml:space="preserve">there are </w:t>
      </w:r>
      <w:r w:rsidRPr="006C0F9C">
        <w:t xml:space="preserve">wide variations in unemployment by region. </w:t>
      </w:r>
      <w:r w:rsidR="00C334E1">
        <w:t xml:space="preserve">Furthermore, some regions </w:t>
      </w:r>
      <w:r w:rsidRPr="006C0F9C">
        <w:t xml:space="preserve">have </w:t>
      </w:r>
      <w:r w:rsidR="00C334E1">
        <w:t xml:space="preserve">experienced </w:t>
      </w:r>
      <w:r w:rsidRPr="006C0F9C">
        <w:t xml:space="preserve">persistent skill shortages despite spare </w:t>
      </w:r>
      <w:r w:rsidR="00394C84">
        <w:t xml:space="preserve">workforce </w:t>
      </w:r>
      <w:r w:rsidRPr="006C0F9C">
        <w:t xml:space="preserve">capacity and local skill development. </w:t>
      </w:r>
    </w:p>
    <w:p w:rsidR="006C0F9C" w:rsidRPr="006C0F9C" w:rsidRDefault="006C0F9C" w:rsidP="006C0F9C">
      <w:pPr>
        <w:spacing w:after="240" w:line="240" w:lineRule="auto"/>
      </w:pPr>
      <w:r w:rsidRPr="006C0F9C">
        <w:t>While the national unemployment rate is relatively low, there are wide variations in labour</w:t>
      </w:r>
      <w:r w:rsidR="00CA35F3">
        <w:t xml:space="preserve"> market performance</w:t>
      </w:r>
      <w:r w:rsidR="008766CC">
        <w:t xml:space="preserve"> at the state and territory</w:t>
      </w:r>
      <w:r w:rsidRPr="006C0F9C">
        <w:t xml:space="preserve"> level. This disparity can reflect a wi</w:t>
      </w:r>
      <w:r w:rsidR="00CA35F3">
        <w:t>de range of factors, including s</w:t>
      </w:r>
      <w:r w:rsidRPr="006C0F9C">
        <w:t>tates’ industrial bases and the differing performance of those industries, as well as the availability of jobs and efficiency in matching job seekers with vacancies.</w:t>
      </w:r>
    </w:p>
    <w:p w:rsidR="00E51A72" w:rsidRDefault="006C0F9C" w:rsidP="006C0F9C">
      <w:pPr>
        <w:spacing w:after="240" w:line="240" w:lineRule="auto"/>
      </w:pPr>
      <w:r w:rsidRPr="006C0F9C">
        <w:lastRenderedPageBreak/>
        <w:t>Differences with respect to the pace of employment growth and unemployment rates ac</w:t>
      </w:r>
      <w:r w:rsidR="00394C84">
        <w:t xml:space="preserve">ross the country have persisted, </w:t>
      </w:r>
      <w:r w:rsidRPr="006C0F9C">
        <w:t>with W</w:t>
      </w:r>
      <w:r w:rsidR="00184C3C">
        <w:t>estern Australia an</w:t>
      </w:r>
      <w:r w:rsidRPr="006C0F9C">
        <w:t>d the Northern Territory generating stronger employment growth</w:t>
      </w:r>
      <w:r w:rsidR="00184C3C">
        <w:t xml:space="preserve"> and </w:t>
      </w:r>
      <w:r w:rsidRPr="006C0F9C">
        <w:t>lower unemployment rate</w:t>
      </w:r>
      <w:r w:rsidR="00184C3C">
        <w:t>s</w:t>
      </w:r>
      <w:r w:rsidR="00CA35F3">
        <w:t xml:space="preserve"> than other states and t</w:t>
      </w:r>
      <w:r w:rsidRPr="006C0F9C">
        <w:t>erritories since late 2008, while S</w:t>
      </w:r>
      <w:r w:rsidR="00184C3C">
        <w:t>outh Australia a</w:t>
      </w:r>
      <w:r w:rsidRPr="006C0F9C">
        <w:t>nd Tasmania have generated weaker labour market outcomes (Table</w:t>
      </w:r>
      <w:r w:rsidR="00184C3C">
        <w:t> </w:t>
      </w:r>
      <w:r w:rsidR="00CA35F3">
        <w:t>1). The disparity in state and t</w:t>
      </w:r>
      <w:r w:rsidRPr="006C0F9C">
        <w:t xml:space="preserve">erritory labour market performance </w:t>
      </w:r>
      <w:r w:rsidR="00394C84">
        <w:t xml:space="preserve">is greater </w:t>
      </w:r>
      <w:r w:rsidRPr="006C0F9C">
        <w:t>if differences in labour force participation are also taken into account</w:t>
      </w:r>
      <w:r w:rsidR="00511AC2" w:rsidRPr="006C0F9C">
        <w:t>.</w:t>
      </w:r>
    </w:p>
    <w:p w:rsidR="00511AC2" w:rsidRPr="00422A55" w:rsidRDefault="00511AC2" w:rsidP="002E5631">
      <w:pPr>
        <w:pStyle w:val="CABNETParagraphAtt"/>
        <w:keepNext/>
        <w:spacing w:before="0" w:after="0"/>
        <w:rPr>
          <w:rFonts w:asciiTheme="minorHAnsi" w:hAnsiTheme="minorHAnsi" w:cstheme="minorHAnsi"/>
          <w:b/>
        </w:rPr>
      </w:pPr>
      <w:r w:rsidRPr="00422A55">
        <w:rPr>
          <w:rFonts w:asciiTheme="minorHAnsi" w:hAnsiTheme="minorHAnsi" w:cstheme="minorHAnsi"/>
          <w:b/>
        </w:rPr>
        <w:t>Table 1: Annual average employment g</w:t>
      </w:r>
      <w:r w:rsidR="008766CC">
        <w:rPr>
          <w:rFonts w:asciiTheme="minorHAnsi" w:hAnsiTheme="minorHAnsi" w:cstheme="minorHAnsi"/>
          <w:b/>
        </w:rPr>
        <w:t>rowth and unemployment rate by state and t</w:t>
      </w:r>
      <w:r w:rsidRPr="00422A55">
        <w:rPr>
          <w:rFonts w:asciiTheme="minorHAnsi" w:hAnsiTheme="minorHAnsi" w:cstheme="minorHAnsi"/>
          <w:b/>
        </w:rPr>
        <w:t>erritory</w:t>
      </w:r>
    </w:p>
    <w:tbl>
      <w:tblPr>
        <w:tblW w:w="8946" w:type="dxa"/>
        <w:tblInd w:w="93" w:type="dxa"/>
        <w:tblLayout w:type="fixed"/>
        <w:tblLook w:val="04A0" w:firstRow="1" w:lastRow="0" w:firstColumn="1" w:lastColumn="0" w:noHBand="0" w:noVBand="1"/>
      </w:tblPr>
      <w:tblGrid>
        <w:gridCol w:w="1035"/>
        <w:gridCol w:w="1815"/>
        <w:gridCol w:w="2127"/>
        <w:gridCol w:w="850"/>
        <w:gridCol w:w="851"/>
        <w:gridCol w:w="2268"/>
      </w:tblGrid>
      <w:tr w:rsidR="000672CB" w:rsidRPr="000672CB" w:rsidTr="007E1756">
        <w:trPr>
          <w:trHeight w:val="393"/>
        </w:trPr>
        <w:tc>
          <w:tcPr>
            <w:tcW w:w="1035" w:type="dxa"/>
            <w:vMerge w:val="restart"/>
            <w:tcBorders>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 </w:t>
            </w:r>
          </w:p>
        </w:tc>
        <w:tc>
          <w:tcPr>
            <w:tcW w:w="39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672CB" w:rsidRPr="000672CB" w:rsidRDefault="000672CB" w:rsidP="000672CB">
            <w:pPr>
              <w:spacing w:after="0" w:line="240" w:lineRule="auto"/>
              <w:jc w:val="center"/>
              <w:rPr>
                <w:rFonts w:eastAsia="Times New Roman" w:cstheme="minorHAnsi"/>
                <w:b/>
                <w:color w:val="000000"/>
                <w:lang w:eastAsia="en-AU"/>
              </w:rPr>
            </w:pPr>
            <w:r w:rsidRPr="000672CB">
              <w:rPr>
                <w:rFonts w:eastAsia="Times New Roman" w:cstheme="minorHAnsi"/>
                <w:b/>
                <w:color w:val="000000"/>
                <w:lang w:eastAsia="en-AU"/>
              </w:rPr>
              <w:t>Annual average employment growth (%)</w:t>
            </w:r>
          </w:p>
        </w:tc>
        <w:tc>
          <w:tcPr>
            <w:tcW w:w="3969" w:type="dxa"/>
            <w:gridSpan w:val="3"/>
            <w:tcBorders>
              <w:top w:val="single" w:sz="4" w:space="0" w:color="auto"/>
              <w:left w:val="nil"/>
              <w:bottom w:val="single" w:sz="4" w:space="0" w:color="auto"/>
              <w:right w:val="single" w:sz="4" w:space="0" w:color="auto"/>
            </w:tcBorders>
            <w:shd w:val="clear" w:color="000000" w:fill="FFFFFF"/>
            <w:vAlign w:val="center"/>
            <w:hideMark/>
          </w:tcPr>
          <w:p w:rsidR="000672CB" w:rsidRPr="000672CB" w:rsidRDefault="000672CB" w:rsidP="000672CB">
            <w:pPr>
              <w:spacing w:after="0" w:line="240" w:lineRule="auto"/>
              <w:jc w:val="center"/>
              <w:rPr>
                <w:rFonts w:eastAsia="Times New Roman" w:cstheme="minorHAnsi"/>
                <w:b/>
                <w:color w:val="000000"/>
                <w:lang w:eastAsia="en-AU"/>
              </w:rPr>
            </w:pPr>
            <w:r w:rsidRPr="000672CB">
              <w:rPr>
                <w:rFonts w:eastAsia="Times New Roman" w:cstheme="minorHAnsi"/>
                <w:b/>
                <w:color w:val="000000"/>
                <w:lang w:eastAsia="en-AU"/>
              </w:rPr>
              <w:t>Unemployment rate (%)</w:t>
            </w:r>
          </w:p>
        </w:tc>
      </w:tr>
      <w:tr w:rsidR="000672CB" w:rsidRPr="000672CB" w:rsidTr="007E1756">
        <w:trPr>
          <w:trHeight w:val="413"/>
        </w:trPr>
        <w:tc>
          <w:tcPr>
            <w:tcW w:w="1035" w:type="dxa"/>
            <w:vMerge/>
            <w:tcBorders>
              <w:bottom w:val="single" w:sz="4" w:space="0" w:color="auto"/>
              <w:right w:val="single" w:sz="4" w:space="0" w:color="auto"/>
            </w:tcBorders>
            <w:vAlign w:val="center"/>
            <w:hideMark/>
          </w:tcPr>
          <w:p w:rsidR="000672CB" w:rsidRPr="000672CB" w:rsidRDefault="000672CB" w:rsidP="000672CB">
            <w:pPr>
              <w:spacing w:after="0" w:line="240" w:lineRule="auto"/>
              <w:rPr>
                <w:rFonts w:eastAsia="Times New Roman" w:cstheme="minorHAnsi"/>
                <w:color w:val="000000"/>
                <w:lang w:eastAsia="en-AU"/>
              </w:rPr>
            </w:pPr>
          </w:p>
        </w:tc>
        <w:tc>
          <w:tcPr>
            <w:tcW w:w="1815" w:type="dxa"/>
            <w:tcBorders>
              <w:top w:val="nil"/>
              <w:left w:val="single" w:sz="4" w:space="0" w:color="auto"/>
              <w:bottom w:val="single" w:sz="4" w:space="0" w:color="auto"/>
              <w:right w:val="single" w:sz="4" w:space="0" w:color="auto"/>
            </w:tcBorders>
            <w:shd w:val="clear" w:color="000000" w:fill="FFFFFF"/>
            <w:noWrap/>
            <w:vAlign w:val="center"/>
            <w:hideMark/>
          </w:tcPr>
          <w:p w:rsidR="000672CB" w:rsidRPr="000672CB" w:rsidRDefault="000672CB" w:rsidP="000672CB">
            <w:pPr>
              <w:spacing w:after="0" w:line="240" w:lineRule="auto"/>
              <w:jc w:val="center"/>
              <w:rPr>
                <w:rFonts w:eastAsia="Times New Roman" w:cstheme="minorHAnsi"/>
                <w:b/>
                <w:color w:val="000000"/>
                <w:lang w:eastAsia="en-AU"/>
              </w:rPr>
            </w:pPr>
            <w:r w:rsidRPr="000672CB">
              <w:rPr>
                <w:rFonts w:eastAsia="Times New Roman" w:cstheme="minorHAnsi"/>
                <w:b/>
                <w:color w:val="000000"/>
                <w:lang w:eastAsia="en-AU"/>
              </w:rPr>
              <w:t>Dec-03 to Sep-08</w:t>
            </w:r>
          </w:p>
        </w:tc>
        <w:tc>
          <w:tcPr>
            <w:tcW w:w="2127" w:type="dxa"/>
            <w:tcBorders>
              <w:top w:val="nil"/>
              <w:left w:val="nil"/>
              <w:bottom w:val="single" w:sz="4" w:space="0" w:color="auto"/>
              <w:right w:val="single" w:sz="4" w:space="0" w:color="auto"/>
            </w:tcBorders>
            <w:shd w:val="clear" w:color="000000" w:fill="FFFFFF"/>
            <w:noWrap/>
            <w:vAlign w:val="center"/>
            <w:hideMark/>
          </w:tcPr>
          <w:p w:rsidR="000672CB" w:rsidRPr="000672CB" w:rsidRDefault="000672CB" w:rsidP="000672CB">
            <w:pPr>
              <w:spacing w:after="0" w:line="240" w:lineRule="auto"/>
              <w:jc w:val="center"/>
              <w:rPr>
                <w:rFonts w:eastAsia="Times New Roman" w:cstheme="minorHAnsi"/>
                <w:b/>
                <w:color w:val="000000"/>
                <w:lang w:eastAsia="en-AU"/>
              </w:rPr>
            </w:pPr>
            <w:r w:rsidRPr="000672CB">
              <w:rPr>
                <w:rFonts w:eastAsia="Times New Roman" w:cstheme="minorHAnsi"/>
                <w:b/>
                <w:color w:val="000000"/>
                <w:lang w:eastAsia="en-AU"/>
              </w:rPr>
              <w:t>Sep-08 to Dec-13</w:t>
            </w:r>
          </w:p>
        </w:tc>
        <w:tc>
          <w:tcPr>
            <w:tcW w:w="850" w:type="dxa"/>
            <w:tcBorders>
              <w:top w:val="nil"/>
              <w:left w:val="nil"/>
              <w:bottom w:val="single" w:sz="4" w:space="0" w:color="auto"/>
              <w:right w:val="single" w:sz="4" w:space="0" w:color="auto"/>
            </w:tcBorders>
            <w:shd w:val="clear" w:color="000000" w:fill="FFFFFF"/>
            <w:noWrap/>
            <w:vAlign w:val="center"/>
            <w:hideMark/>
          </w:tcPr>
          <w:p w:rsidR="000672CB" w:rsidRPr="000672CB" w:rsidRDefault="000672CB" w:rsidP="000672CB">
            <w:pPr>
              <w:spacing w:after="0" w:line="240" w:lineRule="auto"/>
              <w:jc w:val="center"/>
              <w:rPr>
                <w:rFonts w:eastAsia="Times New Roman" w:cstheme="minorHAnsi"/>
                <w:b/>
                <w:color w:val="000000"/>
                <w:lang w:eastAsia="en-AU"/>
              </w:rPr>
            </w:pPr>
            <w:r w:rsidRPr="000672CB">
              <w:rPr>
                <w:rFonts w:eastAsia="Times New Roman" w:cstheme="minorHAnsi"/>
                <w:b/>
                <w:color w:val="000000"/>
                <w:lang w:eastAsia="en-AU"/>
              </w:rPr>
              <w:t>Sep-08</w:t>
            </w:r>
          </w:p>
        </w:tc>
        <w:tc>
          <w:tcPr>
            <w:tcW w:w="851" w:type="dxa"/>
            <w:tcBorders>
              <w:top w:val="nil"/>
              <w:left w:val="nil"/>
              <w:bottom w:val="single" w:sz="4" w:space="0" w:color="auto"/>
              <w:right w:val="single" w:sz="4" w:space="0" w:color="auto"/>
            </w:tcBorders>
            <w:shd w:val="clear" w:color="000000" w:fill="FFFFFF"/>
            <w:noWrap/>
            <w:vAlign w:val="center"/>
            <w:hideMark/>
          </w:tcPr>
          <w:p w:rsidR="000672CB" w:rsidRPr="000672CB" w:rsidRDefault="000672CB" w:rsidP="000672CB">
            <w:pPr>
              <w:spacing w:after="0" w:line="240" w:lineRule="auto"/>
              <w:jc w:val="center"/>
              <w:rPr>
                <w:rFonts w:eastAsia="Times New Roman" w:cstheme="minorHAnsi"/>
                <w:b/>
                <w:color w:val="000000"/>
                <w:lang w:eastAsia="en-AU"/>
              </w:rPr>
            </w:pPr>
            <w:r w:rsidRPr="000672CB">
              <w:rPr>
                <w:rFonts w:eastAsia="Times New Roman" w:cstheme="minorHAnsi"/>
                <w:b/>
                <w:color w:val="000000"/>
                <w:lang w:eastAsia="en-AU"/>
              </w:rPr>
              <w:t>Dec-13</w:t>
            </w:r>
          </w:p>
        </w:tc>
        <w:tc>
          <w:tcPr>
            <w:tcW w:w="2268" w:type="dxa"/>
            <w:tcBorders>
              <w:top w:val="nil"/>
              <w:left w:val="nil"/>
              <w:bottom w:val="single" w:sz="4" w:space="0" w:color="auto"/>
              <w:right w:val="single" w:sz="4" w:space="0" w:color="auto"/>
            </w:tcBorders>
            <w:shd w:val="clear" w:color="000000" w:fill="FFFFFF"/>
            <w:vAlign w:val="center"/>
            <w:hideMark/>
          </w:tcPr>
          <w:p w:rsidR="000672CB" w:rsidRPr="000672CB" w:rsidRDefault="000672CB" w:rsidP="000672CB">
            <w:pPr>
              <w:spacing w:after="0" w:line="240" w:lineRule="auto"/>
              <w:jc w:val="center"/>
              <w:rPr>
                <w:rFonts w:eastAsia="Times New Roman" w:cstheme="minorHAnsi"/>
                <w:b/>
                <w:color w:val="000000"/>
                <w:lang w:eastAsia="en-AU"/>
              </w:rPr>
            </w:pPr>
            <w:r w:rsidRPr="000672CB">
              <w:rPr>
                <w:rFonts w:eastAsia="Times New Roman" w:cstheme="minorHAnsi"/>
                <w:b/>
                <w:color w:val="000000"/>
                <w:lang w:eastAsia="en-AU"/>
              </w:rPr>
              <w:t>Peak (since Sep-08)</w:t>
            </w:r>
          </w:p>
        </w:tc>
      </w:tr>
      <w:tr w:rsidR="000672CB" w:rsidRPr="000672CB" w:rsidTr="007E1756">
        <w:trPr>
          <w:trHeight w:val="300"/>
        </w:trPr>
        <w:tc>
          <w:tcPr>
            <w:tcW w:w="10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rPr>
                <w:rFonts w:eastAsia="Times New Roman" w:cstheme="minorHAnsi"/>
                <w:color w:val="000000"/>
                <w:lang w:eastAsia="en-AU"/>
              </w:rPr>
            </w:pPr>
            <w:r w:rsidRPr="000672CB">
              <w:rPr>
                <w:rFonts w:eastAsia="Times New Roman" w:cstheme="minorHAnsi"/>
                <w:color w:val="000000"/>
                <w:lang w:eastAsia="en-AU"/>
              </w:rPr>
              <w:t>NSW</w:t>
            </w:r>
          </w:p>
        </w:tc>
        <w:tc>
          <w:tcPr>
            <w:tcW w:w="1815"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1.9</w:t>
            </w:r>
          </w:p>
        </w:tc>
        <w:tc>
          <w:tcPr>
            <w:tcW w:w="2127"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1.1</w:t>
            </w:r>
          </w:p>
        </w:tc>
        <w:tc>
          <w:tcPr>
            <w:tcW w:w="850"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4.9</w:t>
            </w:r>
          </w:p>
        </w:tc>
        <w:tc>
          <w:tcPr>
            <w:tcW w:w="851"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5.8</w:t>
            </w:r>
          </w:p>
        </w:tc>
        <w:tc>
          <w:tcPr>
            <w:tcW w:w="2268"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6.8</w:t>
            </w:r>
          </w:p>
        </w:tc>
      </w:tr>
      <w:tr w:rsidR="000672CB" w:rsidRPr="000672CB" w:rsidTr="00C334E1">
        <w:trPr>
          <w:trHeight w:val="300"/>
        </w:trPr>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rPr>
                <w:rFonts w:eastAsia="Times New Roman" w:cstheme="minorHAnsi"/>
                <w:color w:val="000000"/>
                <w:lang w:eastAsia="en-AU"/>
              </w:rPr>
            </w:pPr>
            <w:r w:rsidRPr="000672CB">
              <w:rPr>
                <w:rFonts w:eastAsia="Times New Roman" w:cstheme="minorHAnsi"/>
                <w:color w:val="000000"/>
                <w:lang w:eastAsia="en-AU"/>
              </w:rPr>
              <w:t>Vic</w:t>
            </w:r>
          </w:p>
        </w:tc>
        <w:tc>
          <w:tcPr>
            <w:tcW w:w="1815"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2.7</w:t>
            </w:r>
          </w:p>
        </w:tc>
        <w:tc>
          <w:tcPr>
            <w:tcW w:w="2127"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1.4</w:t>
            </w:r>
          </w:p>
        </w:tc>
        <w:tc>
          <w:tcPr>
            <w:tcW w:w="850"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4.4</w:t>
            </w:r>
          </w:p>
        </w:tc>
        <w:tc>
          <w:tcPr>
            <w:tcW w:w="851"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6.2</w:t>
            </w:r>
          </w:p>
        </w:tc>
        <w:tc>
          <w:tcPr>
            <w:tcW w:w="2268"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6.2</w:t>
            </w:r>
          </w:p>
        </w:tc>
      </w:tr>
      <w:tr w:rsidR="000672CB" w:rsidRPr="000672CB" w:rsidTr="00C334E1">
        <w:trPr>
          <w:trHeight w:val="300"/>
        </w:trPr>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rPr>
                <w:rFonts w:eastAsia="Times New Roman" w:cstheme="minorHAnsi"/>
                <w:color w:val="000000"/>
                <w:lang w:eastAsia="en-AU"/>
              </w:rPr>
            </w:pPr>
            <w:r w:rsidRPr="000672CB">
              <w:rPr>
                <w:rFonts w:eastAsia="Times New Roman" w:cstheme="minorHAnsi"/>
                <w:color w:val="000000"/>
                <w:lang w:eastAsia="en-AU"/>
              </w:rPr>
              <w:t>Qld</w:t>
            </w:r>
          </w:p>
        </w:tc>
        <w:tc>
          <w:tcPr>
            <w:tcW w:w="1815"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4.1</w:t>
            </w:r>
          </w:p>
        </w:tc>
        <w:tc>
          <w:tcPr>
            <w:tcW w:w="2127"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1.1</w:t>
            </w:r>
          </w:p>
        </w:tc>
        <w:tc>
          <w:tcPr>
            <w:tcW w:w="850"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3.7</w:t>
            </w:r>
          </w:p>
        </w:tc>
        <w:tc>
          <w:tcPr>
            <w:tcW w:w="851"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5.9</w:t>
            </w:r>
          </w:p>
        </w:tc>
        <w:tc>
          <w:tcPr>
            <w:tcW w:w="2268"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6.4</w:t>
            </w:r>
          </w:p>
        </w:tc>
      </w:tr>
      <w:tr w:rsidR="000672CB" w:rsidRPr="000672CB" w:rsidTr="00C334E1">
        <w:trPr>
          <w:trHeight w:val="300"/>
        </w:trPr>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rPr>
                <w:rFonts w:eastAsia="Times New Roman" w:cstheme="minorHAnsi"/>
                <w:color w:val="000000"/>
                <w:lang w:eastAsia="en-AU"/>
              </w:rPr>
            </w:pPr>
            <w:r w:rsidRPr="000672CB">
              <w:rPr>
                <w:rFonts w:eastAsia="Times New Roman" w:cstheme="minorHAnsi"/>
                <w:color w:val="000000"/>
                <w:lang w:eastAsia="en-AU"/>
              </w:rPr>
              <w:t>SA</w:t>
            </w:r>
          </w:p>
        </w:tc>
        <w:tc>
          <w:tcPr>
            <w:tcW w:w="1815"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2.2</w:t>
            </w:r>
          </w:p>
        </w:tc>
        <w:tc>
          <w:tcPr>
            <w:tcW w:w="2127"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0.1</w:t>
            </w:r>
          </w:p>
        </w:tc>
        <w:tc>
          <w:tcPr>
            <w:tcW w:w="850"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5.7</w:t>
            </w:r>
          </w:p>
        </w:tc>
        <w:tc>
          <w:tcPr>
            <w:tcW w:w="851"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6.7</w:t>
            </w:r>
          </w:p>
        </w:tc>
        <w:tc>
          <w:tcPr>
            <w:tcW w:w="2268"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7.1</w:t>
            </w:r>
          </w:p>
        </w:tc>
      </w:tr>
      <w:tr w:rsidR="000672CB" w:rsidRPr="000672CB" w:rsidTr="00C334E1">
        <w:trPr>
          <w:trHeight w:val="300"/>
        </w:trPr>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rPr>
                <w:rFonts w:eastAsia="Times New Roman" w:cstheme="minorHAnsi"/>
                <w:color w:val="000000"/>
                <w:lang w:eastAsia="en-AU"/>
              </w:rPr>
            </w:pPr>
            <w:r w:rsidRPr="000672CB">
              <w:rPr>
                <w:rFonts w:eastAsia="Times New Roman" w:cstheme="minorHAnsi"/>
                <w:color w:val="000000"/>
                <w:lang w:eastAsia="en-AU"/>
              </w:rPr>
              <w:t>WA</w:t>
            </w:r>
          </w:p>
        </w:tc>
        <w:tc>
          <w:tcPr>
            <w:tcW w:w="1815"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4.3</w:t>
            </w:r>
          </w:p>
        </w:tc>
        <w:tc>
          <w:tcPr>
            <w:tcW w:w="2127"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2.3</w:t>
            </w:r>
          </w:p>
        </w:tc>
        <w:tc>
          <w:tcPr>
            <w:tcW w:w="850"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2.9</w:t>
            </w:r>
          </w:p>
        </w:tc>
        <w:tc>
          <w:tcPr>
            <w:tcW w:w="851"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4.7</w:t>
            </w:r>
          </w:p>
        </w:tc>
        <w:tc>
          <w:tcPr>
            <w:tcW w:w="2268"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5.8</w:t>
            </w:r>
          </w:p>
        </w:tc>
      </w:tr>
      <w:tr w:rsidR="000672CB" w:rsidRPr="000672CB" w:rsidTr="00C334E1">
        <w:trPr>
          <w:trHeight w:val="300"/>
        </w:trPr>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rPr>
                <w:rFonts w:eastAsia="Times New Roman" w:cstheme="minorHAnsi"/>
                <w:color w:val="000000"/>
                <w:lang w:eastAsia="en-AU"/>
              </w:rPr>
            </w:pPr>
            <w:r w:rsidRPr="000672CB">
              <w:rPr>
                <w:rFonts w:eastAsia="Times New Roman" w:cstheme="minorHAnsi"/>
                <w:color w:val="000000"/>
                <w:lang w:eastAsia="en-AU"/>
              </w:rPr>
              <w:t>Tas</w:t>
            </w:r>
          </w:p>
        </w:tc>
        <w:tc>
          <w:tcPr>
            <w:tcW w:w="1815"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3.0</w:t>
            </w:r>
          </w:p>
        </w:tc>
        <w:tc>
          <w:tcPr>
            <w:tcW w:w="2127"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-1.2</w:t>
            </w:r>
          </w:p>
        </w:tc>
        <w:tc>
          <w:tcPr>
            <w:tcW w:w="850"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3.9</w:t>
            </w:r>
          </w:p>
        </w:tc>
        <w:tc>
          <w:tcPr>
            <w:tcW w:w="851"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7.7</w:t>
            </w:r>
          </w:p>
        </w:tc>
        <w:tc>
          <w:tcPr>
            <w:tcW w:w="2268"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9.0</w:t>
            </w:r>
          </w:p>
        </w:tc>
      </w:tr>
      <w:tr w:rsidR="000672CB" w:rsidRPr="000672CB" w:rsidTr="00C334E1">
        <w:trPr>
          <w:trHeight w:val="300"/>
        </w:trPr>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rPr>
                <w:rFonts w:eastAsia="Times New Roman" w:cstheme="minorHAnsi"/>
                <w:color w:val="000000"/>
                <w:lang w:eastAsia="en-AU"/>
              </w:rPr>
            </w:pPr>
            <w:r w:rsidRPr="000672CB">
              <w:rPr>
                <w:rFonts w:eastAsia="Times New Roman" w:cstheme="minorHAnsi"/>
                <w:color w:val="000000"/>
                <w:lang w:eastAsia="en-AU"/>
              </w:rPr>
              <w:t>NT</w:t>
            </w:r>
          </w:p>
        </w:tc>
        <w:tc>
          <w:tcPr>
            <w:tcW w:w="1815"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3.4</w:t>
            </w:r>
          </w:p>
        </w:tc>
        <w:tc>
          <w:tcPr>
            <w:tcW w:w="2127"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2.5</w:t>
            </w:r>
          </w:p>
        </w:tc>
        <w:tc>
          <w:tcPr>
            <w:tcW w:w="850"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3.1</w:t>
            </w:r>
          </w:p>
        </w:tc>
        <w:tc>
          <w:tcPr>
            <w:tcW w:w="851"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4.2</w:t>
            </w:r>
          </w:p>
        </w:tc>
        <w:tc>
          <w:tcPr>
            <w:tcW w:w="2268"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5.3</w:t>
            </w:r>
          </w:p>
        </w:tc>
      </w:tr>
      <w:tr w:rsidR="000672CB" w:rsidRPr="000672CB" w:rsidTr="00C334E1">
        <w:trPr>
          <w:trHeight w:val="300"/>
        </w:trPr>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rPr>
                <w:rFonts w:eastAsia="Times New Roman" w:cstheme="minorHAnsi"/>
                <w:color w:val="000000"/>
                <w:lang w:eastAsia="en-AU"/>
              </w:rPr>
            </w:pPr>
            <w:r w:rsidRPr="000672CB">
              <w:rPr>
                <w:rFonts w:eastAsia="Times New Roman" w:cstheme="minorHAnsi"/>
                <w:color w:val="000000"/>
                <w:lang w:eastAsia="en-AU"/>
              </w:rPr>
              <w:t>ACT</w:t>
            </w:r>
          </w:p>
        </w:tc>
        <w:tc>
          <w:tcPr>
            <w:tcW w:w="1815"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2.4</w:t>
            </w:r>
          </w:p>
        </w:tc>
        <w:tc>
          <w:tcPr>
            <w:tcW w:w="2127"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1.0</w:t>
            </w:r>
          </w:p>
        </w:tc>
        <w:tc>
          <w:tcPr>
            <w:tcW w:w="850"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2.8</w:t>
            </w:r>
          </w:p>
        </w:tc>
        <w:tc>
          <w:tcPr>
            <w:tcW w:w="851"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4.0</w:t>
            </w:r>
          </w:p>
        </w:tc>
        <w:tc>
          <w:tcPr>
            <w:tcW w:w="2268"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color w:val="000000"/>
                <w:lang w:eastAsia="en-AU"/>
              </w:rPr>
            </w:pPr>
            <w:r w:rsidRPr="000672CB">
              <w:rPr>
                <w:rFonts w:eastAsia="Times New Roman" w:cstheme="minorHAnsi"/>
                <w:color w:val="000000"/>
                <w:lang w:eastAsia="en-AU"/>
              </w:rPr>
              <w:t>4.5</w:t>
            </w:r>
          </w:p>
        </w:tc>
      </w:tr>
      <w:tr w:rsidR="000672CB" w:rsidRPr="000672CB" w:rsidTr="00C334E1">
        <w:trPr>
          <w:trHeight w:val="300"/>
        </w:trPr>
        <w:tc>
          <w:tcPr>
            <w:tcW w:w="1035" w:type="dxa"/>
            <w:tcBorders>
              <w:top w:val="nil"/>
              <w:left w:val="single" w:sz="4" w:space="0" w:color="auto"/>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rPr>
                <w:rFonts w:eastAsia="Times New Roman" w:cstheme="minorHAnsi"/>
                <w:b/>
                <w:bCs/>
                <w:color w:val="000000"/>
                <w:lang w:eastAsia="en-AU"/>
              </w:rPr>
            </w:pPr>
            <w:r w:rsidRPr="000672CB">
              <w:rPr>
                <w:rFonts w:eastAsia="Times New Roman" w:cstheme="minorHAnsi"/>
                <w:b/>
                <w:bCs/>
                <w:color w:val="000000"/>
                <w:lang w:eastAsia="en-AU"/>
              </w:rPr>
              <w:t>Australia</w:t>
            </w:r>
          </w:p>
        </w:tc>
        <w:tc>
          <w:tcPr>
            <w:tcW w:w="1815"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b/>
                <w:bCs/>
                <w:color w:val="000000"/>
                <w:lang w:eastAsia="en-AU"/>
              </w:rPr>
            </w:pPr>
            <w:r w:rsidRPr="000672CB">
              <w:rPr>
                <w:rFonts w:eastAsia="Times New Roman" w:cstheme="minorHAnsi"/>
                <w:b/>
                <w:bCs/>
                <w:color w:val="000000"/>
                <w:lang w:eastAsia="en-AU"/>
              </w:rPr>
              <w:t>2.8</w:t>
            </w:r>
          </w:p>
        </w:tc>
        <w:tc>
          <w:tcPr>
            <w:tcW w:w="2127"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b/>
                <w:bCs/>
                <w:color w:val="000000"/>
                <w:lang w:eastAsia="en-AU"/>
              </w:rPr>
            </w:pPr>
            <w:r w:rsidRPr="000672CB">
              <w:rPr>
                <w:rFonts w:eastAsia="Times New Roman" w:cstheme="minorHAnsi"/>
                <w:b/>
                <w:bCs/>
                <w:color w:val="000000"/>
                <w:lang w:eastAsia="en-AU"/>
              </w:rPr>
              <w:t>1.2</w:t>
            </w:r>
          </w:p>
        </w:tc>
        <w:tc>
          <w:tcPr>
            <w:tcW w:w="850"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b/>
                <w:bCs/>
                <w:color w:val="000000"/>
                <w:lang w:eastAsia="en-AU"/>
              </w:rPr>
            </w:pPr>
            <w:r w:rsidRPr="000672CB">
              <w:rPr>
                <w:rFonts w:eastAsia="Times New Roman" w:cstheme="minorHAnsi"/>
                <w:b/>
                <w:bCs/>
                <w:color w:val="000000"/>
                <w:lang w:eastAsia="en-AU"/>
              </w:rPr>
              <w:t>4.3</w:t>
            </w:r>
          </w:p>
        </w:tc>
        <w:tc>
          <w:tcPr>
            <w:tcW w:w="851"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b/>
                <w:bCs/>
                <w:color w:val="000000"/>
                <w:lang w:eastAsia="en-AU"/>
              </w:rPr>
            </w:pPr>
            <w:r w:rsidRPr="000672CB">
              <w:rPr>
                <w:rFonts w:eastAsia="Times New Roman" w:cstheme="minorHAnsi"/>
                <w:b/>
                <w:bCs/>
                <w:color w:val="000000"/>
                <w:lang w:eastAsia="en-AU"/>
              </w:rPr>
              <w:t>5.8</w:t>
            </w:r>
          </w:p>
        </w:tc>
        <w:tc>
          <w:tcPr>
            <w:tcW w:w="2268" w:type="dxa"/>
            <w:tcBorders>
              <w:top w:val="nil"/>
              <w:left w:val="nil"/>
              <w:bottom w:val="single" w:sz="4" w:space="0" w:color="auto"/>
              <w:right w:val="single" w:sz="4" w:space="0" w:color="auto"/>
            </w:tcBorders>
            <w:shd w:val="clear" w:color="000000" w:fill="FFFFFF"/>
            <w:noWrap/>
            <w:vAlign w:val="bottom"/>
            <w:hideMark/>
          </w:tcPr>
          <w:p w:rsidR="000672CB" w:rsidRPr="000672CB" w:rsidRDefault="000672CB" w:rsidP="000672CB">
            <w:pPr>
              <w:spacing w:after="0" w:line="240" w:lineRule="auto"/>
              <w:jc w:val="center"/>
              <w:rPr>
                <w:rFonts w:eastAsia="Times New Roman" w:cstheme="minorHAnsi"/>
                <w:b/>
                <w:bCs/>
                <w:color w:val="000000"/>
                <w:lang w:eastAsia="en-AU"/>
              </w:rPr>
            </w:pPr>
            <w:r w:rsidRPr="000672CB">
              <w:rPr>
                <w:rFonts w:eastAsia="Times New Roman" w:cstheme="minorHAnsi"/>
                <w:b/>
                <w:bCs/>
                <w:color w:val="000000"/>
                <w:lang w:eastAsia="en-AU"/>
              </w:rPr>
              <w:t>5.9</w:t>
            </w:r>
          </w:p>
        </w:tc>
      </w:tr>
    </w:tbl>
    <w:p w:rsidR="00511AC2" w:rsidRPr="00422A55" w:rsidRDefault="00511AC2" w:rsidP="00511AC2">
      <w:pPr>
        <w:pStyle w:val="CABNETParagraphAtt"/>
        <w:spacing w:before="0" w:after="240"/>
        <w:rPr>
          <w:rFonts w:asciiTheme="minorHAnsi" w:hAnsiTheme="minorHAnsi"/>
          <w:sz w:val="18"/>
          <w:szCs w:val="18"/>
        </w:rPr>
      </w:pPr>
      <w:r w:rsidRPr="00422A55">
        <w:rPr>
          <w:rFonts w:asciiTheme="minorHAnsi" w:hAnsiTheme="minorHAnsi"/>
          <w:sz w:val="18"/>
          <w:szCs w:val="18"/>
        </w:rPr>
        <w:t>Source: ABS Labour Force, A</w:t>
      </w:r>
      <w:r w:rsidR="006C0F9C">
        <w:rPr>
          <w:rFonts w:asciiTheme="minorHAnsi" w:hAnsiTheme="minorHAnsi"/>
          <w:sz w:val="18"/>
          <w:szCs w:val="18"/>
        </w:rPr>
        <w:t>ustralia (Cat. No. 6202.0), December</w:t>
      </w:r>
      <w:r w:rsidRPr="00422A55">
        <w:rPr>
          <w:rFonts w:asciiTheme="minorHAnsi" w:hAnsiTheme="minorHAnsi"/>
          <w:sz w:val="18"/>
          <w:szCs w:val="18"/>
        </w:rPr>
        <w:t xml:space="preserve"> 2013. Data for the States and Australia are seasonally adjusted, while data for the Territories are trend. Data are for those aged 15 years and over.</w:t>
      </w:r>
    </w:p>
    <w:p w:rsidR="00E51A72" w:rsidRPr="00E51A72" w:rsidRDefault="006C0F9C" w:rsidP="00511AC2">
      <w:pPr>
        <w:spacing w:after="240" w:line="240" w:lineRule="auto"/>
      </w:pPr>
      <w:r w:rsidRPr="006C0F9C">
        <w:t>Unemployment rates at</w:t>
      </w:r>
      <w:r w:rsidR="00CA35F3">
        <w:t xml:space="preserve"> the regional level (below the state and t</w:t>
      </w:r>
      <w:r w:rsidRPr="006C0F9C">
        <w:t>erritory levels) also differ widely. The difference between the highest and lowest unemployment rate stood at 7.8 percentage points in December 2013 (Chart 1)</w:t>
      </w:r>
      <w:r w:rsidR="00511AC2" w:rsidRPr="006C0F9C">
        <w:t>.</w:t>
      </w:r>
    </w:p>
    <w:p w:rsidR="00511AC2" w:rsidRPr="00422A55" w:rsidRDefault="00511AC2" w:rsidP="002E5631">
      <w:pPr>
        <w:pStyle w:val="CABNETParagraphAtt"/>
        <w:keepNext/>
        <w:spacing w:before="0" w:after="0"/>
        <w:rPr>
          <w:rFonts w:asciiTheme="minorHAnsi" w:hAnsiTheme="minorHAnsi" w:cstheme="minorHAnsi"/>
          <w:b/>
        </w:rPr>
      </w:pPr>
      <w:r w:rsidRPr="00422A55">
        <w:rPr>
          <w:rFonts w:asciiTheme="minorHAnsi" w:hAnsiTheme="minorHAnsi" w:cstheme="minorHAnsi"/>
          <w:b/>
        </w:rPr>
        <w:t xml:space="preserve">Chart 1: Regional labour market disparity, unemployment rates, April 2008 to </w:t>
      </w:r>
      <w:r w:rsidR="006C0F9C">
        <w:rPr>
          <w:rFonts w:asciiTheme="minorHAnsi" w:hAnsiTheme="minorHAnsi" w:cstheme="minorHAnsi"/>
          <w:b/>
        </w:rPr>
        <w:t>December</w:t>
      </w:r>
      <w:r w:rsidRPr="00422A55">
        <w:rPr>
          <w:rFonts w:asciiTheme="minorHAnsi" w:hAnsiTheme="minorHAnsi" w:cstheme="minorHAnsi"/>
          <w:b/>
        </w:rPr>
        <w:t xml:space="preserve"> 2013 </w:t>
      </w:r>
    </w:p>
    <w:p w:rsidR="00511AC2" w:rsidRPr="00422A55" w:rsidRDefault="00F406CC" w:rsidP="00511AC2">
      <w:pPr>
        <w:pStyle w:val="CABNETParagraphAtt"/>
        <w:rPr>
          <w:b/>
        </w:rPr>
      </w:pPr>
      <w:r w:rsidRPr="00F406CC">
        <w:rPr>
          <w:noProof/>
        </w:rPr>
        <w:drawing>
          <wp:inline distT="0" distB="0" distL="0" distR="0" wp14:anchorId="0D54C5C7" wp14:editId="08340850">
            <wp:extent cx="4680732" cy="30480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2079" cy="3048877"/>
                    </a:xfrm>
                    <a:prstGeom prst="rect">
                      <a:avLst/>
                    </a:prstGeom>
                    <a:noFill/>
                    <a:ln>
                      <a:noFill/>
                    </a:ln>
                  </pic:spPr>
                </pic:pic>
              </a:graphicData>
            </a:graphic>
          </wp:inline>
        </w:drawing>
      </w:r>
    </w:p>
    <w:p w:rsidR="00D030E0" w:rsidRPr="00422A55" w:rsidRDefault="00511AC2" w:rsidP="00511AC2">
      <w:pPr>
        <w:spacing w:after="240" w:line="240" w:lineRule="auto"/>
      </w:pPr>
      <w:r w:rsidRPr="00422A55">
        <w:rPr>
          <w:sz w:val="18"/>
          <w:szCs w:val="18"/>
        </w:rPr>
        <w:t xml:space="preserve">Source: ABS Labour Force, Australia, Detailed – Electronic Delivery, </w:t>
      </w:r>
      <w:r w:rsidR="006C0F9C">
        <w:rPr>
          <w:sz w:val="18"/>
          <w:szCs w:val="18"/>
        </w:rPr>
        <w:t>December</w:t>
      </w:r>
      <w:r w:rsidRPr="00422A55">
        <w:rPr>
          <w:sz w:val="18"/>
          <w:szCs w:val="18"/>
        </w:rPr>
        <w:t xml:space="preserve"> 2013 (Cat. No. 6291.0.55.001), three-month averages of original data.</w:t>
      </w:r>
      <w:r w:rsidR="00D030E0" w:rsidRPr="00422A55">
        <w:t xml:space="preserve"> </w:t>
      </w:r>
    </w:p>
    <w:p w:rsidR="006C0F9C" w:rsidRPr="00B9308E" w:rsidRDefault="00987781" w:rsidP="00A22777">
      <w:pPr>
        <w:spacing w:line="240" w:lineRule="auto"/>
      </w:pPr>
      <w:r>
        <w:lastRenderedPageBreak/>
        <w:t xml:space="preserve">Figure 1 </w:t>
      </w:r>
      <w:r w:rsidR="006C0F9C" w:rsidRPr="006C0F9C">
        <w:t>shows unemployment rates by Employment Service Area (ESA) in September 2008 and September 2013. Over this period, labour market conditions softened, with the national unemployment rate increasing from 4.2 per cent in September 2008 to 5.5</w:t>
      </w:r>
      <w:r w:rsidR="00184C3C">
        <w:t> </w:t>
      </w:r>
      <w:r w:rsidR="006C0F9C" w:rsidRPr="006C0F9C">
        <w:t>per</w:t>
      </w:r>
      <w:r w:rsidR="00184C3C">
        <w:t> </w:t>
      </w:r>
      <w:r w:rsidR="006C0F9C" w:rsidRPr="006C0F9C">
        <w:t>cent in September 2013. However, some regions recorded a larger increase in their unemployment rate than others</w:t>
      </w:r>
      <w:r w:rsidR="00184C3C">
        <w:t xml:space="preserve"> over this period</w:t>
      </w:r>
      <w:r w:rsidR="006C0F9C" w:rsidRPr="006C0F9C">
        <w:t>. For instance, around half of ESAs in Queensland recorded an unemployment rate below</w:t>
      </w:r>
      <w:r w:rsidR="002E5631">
        <w:t xml:space="preserve"> 4 per cent in September 2008</w:t>
      </w:r>
      <w:r w:rsidR="006C0F9C" w:rsidRPr="006C0F9C">
        <w:t xml:space="preserve"> but</w:t>
      </w:r>
      <w:r w:rsidR="002E5631">
        <w:t>,</w:t>
      </w:r>
      <w:r w:rsidR="006C0F9C" w:rsidRPr="006C0F9C">
        <w:t xml:space="preserve"> by September 2013, a large majority of Queensland ESAs were recording unemployment rates above 5 per cent. Similarly, the unemployment rate has noticeably increased in Tasmania, Mel</w:t>
      </w:r>
      <w:r w:rsidR="00184C3C">
        <w:t>bourne, Adelaide and Perth</w:t>
      </w:r>
      <w:r w:rsidR="006C0F9C" w:rsidRPr="006C0F9C">
        <w:t>, illustrating how quickly labo</w:t>
      </w:r>
      <w:r w:rsidR="002E5631">
        <w:t>ur market conditions can change</w:t>
      </w:r>
      <w:r w:rsidR="006C0F9C" w:rsidRPr="006C0F9C">
        <w:t xml:space="preserve"> and the importance of having a flexible </w:t>
      </w:r>
      <w:r w:rsidR="00184C3C">
        <w:t xml:space="preserve">and adaptable </w:t>
      </w:r>
      <w:r w:rsidR="006C0F9C" w:rsidRPr="006C0F9C">
        <w:t>labour market.</w:t>
      </w:r>
    </w:p>
    <w:p w:rsidR="00511AC2" w:rsidRPr="00422A55" w:rsidRDefault="00511AC2" w:rsidP="002E5631">
      <w:pPr>
        <w:pStyle w:val="CABNETParagraphAtt"/>
        <w:keepNext/>
        <w:spacing w:before="0" w:after="0"/>
        <w:rPr>
          <w:rFonts w:asciiTheme="minorHAnsi" w:hAnsiTheme="minorHAnsi" w:cstheme="minorHAnsi"/>
          <w:b/>
        </w:rPr>
      </w:pPr>
      <w:r w:rsidRPr="00422A55">
        <w:rPr>
          <w:rFonts w:asciiTheme="minorHAnsi" w:hAnsiTheme="minorHAnsi" w:cstheme="minorHAnsi"/>
          <w:b/>
        </w:rPr>
        <w:t xml:space="preserve">Figure 1: Variations in unemployment by region, </w:t>
      </w:r>
      <w:r w:rsidR="006C0F9C">
        <w:rPr>
          <w:rFonts w:asciiTheme="minorHAnsi" w:hAnsiTheme="minorHAnsi" w:cstheme="minorHAnsi"/>
          <w:b/>
        </w:rPr>
        <w:t>September</w:t>
      </w:r>
      <w:r w:rsidRPr="00422A55">
        <w:rPr>
          <w:rFonts w:asciiTheme="minorHAnsi" w:hAnsiTheme="minorHAnsi" w:cstheme="minorHAnsi"/>
          <w:b/>
        </w:rPr>
        <w:t xml:space="preserve"> 2008 and </w:t>
      </w:r>
      <w:r w:rsidR="006C0F9C">
        <w:rPr>
          <w:rFonts w:asciiTheme="minorHAnsi" w:hAnsiTheme="minorHAnsi" w:cstheme="minorHAnsi"/>
          <w:b/>
        </w:rPr>
        <w:t>September</w:t>
      </w:r>
      <w:r w:rsidRPr="00422A55">
        <w:rPr>
          <w:rFonts w:asciiTheme="minorHAnsi" w:hAnsiTheme="minorHAnsi" w:cstheme="minorHAnsi"/>
          <w:b/>
        </w:rPr>
        <w:t xml:space="preserve"> 2013 </w:t>
      </w:r>
    </w:p>
    <w:p w:rsidR="00511AC2" w:rsidRPr="00491093" w:rsidRDefault="006C0F9C" w:rsidP="00511AC2">
      <w:pPr>
        <w:pStyle w:val="CABNETParagraphAtt"/>
        <w:rPr>
          <w:b/>
        </w:rPr>
      </w:pPr>
      <w:r w:rsidRPr="006C0F9C">
        <w:rPr>
          <w:noProof/>
        </w:rPr>
        <w:drawing>
          <wp:inline distT="0" distB="0" distL="0" distR="0" wp14:anchorId="4F2F8E33" wp14:editId="6E6F09A6">
            <wp:extent cx="4656083" cy="6625157"/>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0666" cy="6631679"/>
                    </a:xfrm>
                    <a:prstGeom prst="rect">
                      <a:avLst/>
                    </a:prstGeom>
                    <a:noFill/>
                    <a:ln>
                      <a:noFill/>
                    </a:ln>
                  </pic:spPr>
                </pic:pic>
              </a:graphicData>
            </a:graphic>
          </wp:inline>
        </w:drawing>
      </w:r>
    </w:p>
    <w:p w:rsidR="00E51A72" w:rsidRPr="00845023" w:rsidRDefault="00A22777" w:rsidP="00845023">
      <w:pPr>
        <w:spacing w:after="240" w:line="240" w:lineRule="auto"/>
        <w:rPr>
          <w:sz w:val="18"/>
          <w:szCs w:val="18"/>
        </w:rPr>
      </w:pPr>
      <w:r w:rsidRPr="00845023">
        <w:rPr>
          <w:sz w:val="18"/>
          <w:szCs w:val="18"/>
        </w:rPr>
        <w:t xml:space="preserve">Source: </w:t>
      </w:r>
      <w:r w:rsidR="00845023" w:rsidRPr="00845023">
        <w:rPr>
          <w:sz w:val="18"/>
          <w:szCs w:val="18"/>
        </w:rPr>
        <w:t>Department of Employment, derived from Small Area Labour Markets data</w:t>
      </w:r>
    </w:p>
    <w:p w:rsidR="00511AC2" w:rsidRPr="00491093" w:rsidRDefault="00511AC2" w:rsidP="00511AC2">
      <w:pPr>
        <w:rPr>
          <w:b/>
        </w:rPr>
      </w:pPr>
      <w:r w:rsidRPr="00491093">
        <w:rPr>
          <w:b/>
        </w:rPr>
        <w:lastRenderedPageBreak/>
        <w:t>Case study: Tasmania</w:t>
      </w:r>
    </w:p>
    <w:p w:rsidR="006C0F9C" w:rsidRPr="006C0F9C" w:rsidRDefault="006C0F9C" w:rsidP="00A22777">
      <w:pPr>
        <w:spacing w:before="120" w:after="120" w:line="240" w:lineRule="auto"/>
        <w:rPr>
          <w:rFonts w:cstheme="minorHAnsi"/>
        </w:rPr>
      </w:pPr>
      <w:r w:rsidRPr="006C0F9C">
        <w:rPr>
          <w:rFonts w:cstheme="minorHAnsi"/>
        </w:rPr>
        <w:t>In the five years prior to the onset of the Global Financial Crisis (GFC) in September 2008, labour market conditions in Tasmania had improved significantly, with the unemployment rate declining from 8.4 per cent in June 2003 to 3.9 per cent in September 2008</w:t>
      </w:r>
      <w:r w:rsidR="00856289">
        <w:rPr>
          <w:rFonts w:cstheme="minorHAnsi"/>
        </w:rPr>
        <w:t>,</w:t>
      </w:r>
      <w:r w:rsidRPr="006C0F9C">
        <w:rPr>
          <w:rFonts w:cstheme="minorHAnsi"/>
        </w:rPr>
        <w:t xml:space="preserve"> and </w:t>
      </w:r>
      <w:r w:rsidR="00856289">
        <w:rPr>
          <w:rFonts w:cstheme="minorHAnsi"/>
        </w:rPr>
        <w:t xml:space="preserve">an </w:t>
      </w:r>
      <w:r w:rsidRPr="006C0F9C">
        <w:rPr>
          <w:rFonts w:cstheme="minorHAnsi"/>
        </w:rPr>
        <w:t xml:space="preserve">annual average rate of employment growth </w:t>
      </w:r>
      <w:r w:rsidR="00A22777">
        <w:rPr>
          <w:rFonts w:cstheme="minorHAnsi"/>
        </w:rPr>
        <w:t xml:space="preserve">of </w:t>
      </w:r>
      <w:r w:rsidRPr="006C0F9C">
        <w:rPr>
          <w:rFonts w:cstheme="minorHAnsi"/>
        </w:rPr>
        <w:t>2.9 per cent over the five years to September 2008. The</w:t>
      </w:r>
      <w:r w:rsidR="00A22777">
        <w:rPr>
          <w:rFonts w:cstheme="minorHAnsi"/>
        </w:rPr>
        <w:t>se outcomes were due in large part</w:t>
      </w:r>
      <w:r w:rsidRPr="006C0F9C">
        <w:rPr>
          <w:rFonts w:cstheme="minorHAnsi"/>
        </w:rPr>
        <w:t xml:space="preserve"> to the robust rate of economic growth in the State, with Gross State Product (GSP) growing by an annual average of 3.0 per cent over the five years to June 2008.</w:t>
      </w:r>
    </w:p>
    <w:p w:rsidR="00511AC2" w:rsidRPr="00491093" w:rsidRDefault="00856289" w:rsidP="00A22777">
      <w:pPr>
        <w:spacing w:before="120" w:after="120" w:line="240" w:lineRule="auto"/>
        <w:rPr>
          <w:rFonts w:cstheme="minorHAnsi"/>
        </w:rPr>
      </w:pPr>
      <w:r>
        <w:rPr>
          <w:rFonts w:cstheme="minorHAnsi"/>
        </w:rPr>
        <w:t xml:space="preserve">With </w:t>
      </w:r>
      <w:r w:rsidR="006C0F9C" w:rsidRPr="006C0F9C">
        <w:rPr>
          <w:rFonts w:cstheme="minorHAnsi"/>
        </w:rPr>
        <w:t>the onset of the GFC in September 2008, the level of employment declin</w:t>
      </w:r>
      <w:r>
        <w:rPr>
          <w:rFonts w:cstheme="minorHAnsi"/>
        </w:rPr>
        <w:t xml:space="preserve">ed </w:t>
      </w:r>
      <w:r w:rsidR="006C0F9C" w:rsidRPr="006C0F9C">
        <w:rPr>
          <w:rFonts w:cstheme="minorHAnsi"/>
        </w:rPr>
        <w:t xml:space="preserve">by 12,500 </w:t>
      </w:r>
      <w:r>
        <w:rPr>
          <w:rFonts w:cstheme="minorHAnsi"/>
        </w:rPr>
        <w:t xml:space="preserve">people </w:t>
      </w:r>
      <w:r w:rsidR="006C0F9C" w:rsidRPr="006C0F9C">
        <w:rPr>
          <w:rFonts w:cstheme="minorHAnsi"/>
        </w:rPr>
        <w:t>over the year to August 2009 and the unemployment rate increas</w:t>
      </w:r>
      <w:r>
        <w:rPr>
          <w:rFonts w:cstheme="minorHAnsi"/>
        </w:rPr>
        <w:t xml:space="preserve">ed </w:t>
      </w:r>
      <w:r w:rsidR="006C0F9C" w:rsidRPr="006C0F9C">
        <w:rPr>
          <w:rFonts w:cstheme="minorHAnsi"/>
        </w:rPr>
        <w:t xml:space="preserve">to </w:t>
      </w:r>
      <w:r w:rsidR="00A22777">
        <w:rPr>
          <w:rFonts w:cstheme="minorHAnsi"/>
        </w:rPr>
        <w:t>6.4 per cent in July 2010 (see C</w:t>
      </w:r>
      <w:r w:rsidR="006C0F9C" w:rsidRPr="006C0F9C">
        <w:rPr>
          <w:rFonts w:cstheme="minorHAnsi"/>
        </w:rPr>
        <w:t xml:space="preserve">hart 2, below). The Tasmanian labour market </w:t>
      </w:r>
      <w:r>
        <w:rPr>
          <w:rFonts w:cstheme="minorHAnsi"/>
        </w:rPr>
        <w:t xml:space="preserve">then </w:t>
      </w:r>
      <w:r w:rsidR="00A22777">
        <w:rPr>
          <w:rFonts w:cstheme="minorHAnsi"/>
        </w:rPr>
        <w:t>stabilised partly in response to government stimulus payments</w:t>
      </w:r>
      <w:r w:rsidR="006C0F9C" w:rsidRPr="006C0F9C">
        <w:rPr>
          <w:rFonts w:cstheme="minorHAnsi"/>
        </w:rPr>
        <w:t>, with the unemployment rate falling to a low of 4.7 per cent in September 2011</w:t>
      </w:r>
      <w:r w:rsidR="00511AC2" w:rsidRPr="006C0F9C">
        <w:rPr>
          <w:rFonts w:cstheme="minorHAnsi"/>
        </w:rPr>
        <w:t>.</w:t>
      </w:r>
      <w:r w:rsidR="00511AC2" w:rsidRPr="00491093">
        <w:rPr>
          <w:rFonts w:cstheme="minorHAnsi"/>
        </w:rPr>
        <w:t xml:space="preserve"> </w:t>
      </w:r>
    </w:p>
    <w:p w:rsidR="00511AC2" w:rsidRPr="00213B49" w:rsidRDefault="00491093" w:rsidP="00213B49">
      <w:pPr>
        <w:pStyle w:val="CABNETParagraphAtt"/>
        <w:keepNext/>
        <w:spacing w:before="0" w:after="0"/>
        <w:rPr>
          <w:rFonts w:asciiTheme="minorHAnsi" w:hAnsiTheme="minorHAnsi" w:cstheme="minorHAnsi"/>
          <w:b/>
        </w:rPr>
      </w:pPr>
      <w:r w:rsidRPr="00213B49">
        <w:rPr>
          <w:rFonts w:asciiTheme="minorHAnsi" w:hAnsiTheme="minorHAnsi" w:cstheme="minorHAnsi"/>
          <w:b/>
        </w:rPr>
        <w:t>Chart 2</w:t>
      </w:r>
      <w:r w:rsidR="00511AC2" w:rsidRPr="00213B49">
        <w:rPr>
          <w:rFonts w:asciiTheme="minorHAnsi" w:hAnsiTheme="minorHAnsi" w:cstheme="minorHAnsi"/>
          <w:b/>
        </w:rPr>
        <w:t xml:space="preserve">: Unemployment rate and annual employment growth in Tasmania, </w:t>
      </w:r>
      <w:r w:rsidR="006C0F9C" w:rsidRPr="00213B49">
        <w:rPr>
          <w:rFonts w:asciiTheme="minorHAnsi" w:hAnsiTheme="minorHAnsi" w:cstheme="minorHAnsi"/>
          <w:b/>
        </w:rPr>
        <w:t>December</w:t>
      </w:r>
      <w:r w:rsidR="00511AC2" w:rsidRPr="00213B49">
        <w:rPr>
          <w:rFonts w:asciiTheme="minorHAnsi" w:hAnsiTheme="minorHAnsi" w:cstheme="minorHAnsi"/>
          <w:b/>
        </w:rPr>
        <w:t xml:space="preserve"> 2003 to </w:t>
      </w:r>
      <w:r w:rsidR="006C0F9C" w:rsidRPr="00213B49">
        <w:rPr>
          <w:rFonts w:asciiTheme="minorHAnsi" w:hAnsiTheme="minorHAnsi" w:cstheme="minorHAnsi"/>
          <w:b/>
        </w:rPr>
        <w:t>December</w:t>
      </w:r>
      <w:r w:rsidR="00511AC2" w:rsidRPr="00213B49">
        <w:rPr>
          <w:rFonts w:asciiTheme="minorHAnsi" w:hAnsiTheme="minorHAnsi" w:cstheme="minorHAnsi"/>
          <w:b/>
        </w:rPr>
        <w:t xml:space="preserve"> 2013</w:t>
      </w:r>
    </w:p>
    <w:p w:rsidR="00511AC2" w:rsidRPr="00491093" w:rsidRDefault="00555678" w:rsidP="00511AC2">
      <w:pPr>
        <w:spacing w:before="120" w:after="120"/>
        <w:rPr>
          <w:rFonts w:cstheme="minorHAnsi"/>
        </w:rPr>
      </w:pPr>
      <w:r w:rsidRPr="00555678">
        <w:rPr>
          <w:noProof/>
          <w:lang w:eastAsia="en-AU"/>
        </w:rPr>
        <w:drawing>
          <wp:inline distT="0" distB="0" distL="0" distR="0" wp14:anchorId="34D21E51" wp14:editId="7BE1CA63">
            <wp:extent cx="4533233" cy="2949933"/>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3881" cy="2950355"/>
                    </a:xfrm>
                    <a:prstGeom prst="rect">
                      <a:avLst/>
                    </a:prstGeom>
                    <a:noFill/>
                    <a:ln>
                      <a:noFill/>
                    </a:ln>
                  </pic:spPr>
                </pic:pic>
              </a:graphicData>
            </a:graphic>
          </wp:inline>
        </w:drawing>
      </w:r>
    </w:p>
    <w:p w:rsidR="00A22777" w:rsidRPr="00280E87" w:rsidRDefault="00A22777" w:rsidP="007055F3">
      <w:pPr>
        <w:spacing w:before="120" w:after="120"/>
        <w:rPr>
          <w:rFonts w:cstheme="minorHAnsi"/>
          <w:sz w:val="18"/>
          <w:szCs w:val="18"/>
        </w:rPr>
      </w:pPr>
      <w:r w:rsidRPr="00280E87">
        <w:rPr>
          <w:rFonts w:cstheme="minorHAnsi"/>
          <w:sz w:val="18"/>
          <w:szCs w:val="18"/>
        </w:rPr>
        <w:t>Source:</w:t>
      </w:r>
      <w:r w:rsidR="00280E87" w:rsidRPr="00280E87">
        <w:rPr>
          <w:rFonts w:cstheme="minorHAnsi"/>
          <w:sz w:val="18"/>
          <w:szCs w:val="18"/>
        </w:rPr>
        <w:t xml:space="preserve"> ABS, Labour Force, Australia, December 2013 (Cat. no. 6202.0) data are in trend terms.</w:t>
      </w:r>
    </w:p>
    <w:p w:rsidR="00A22777" w:rsidRDefault="009F0186" w:rsidP="00A22777">
      <w:pPr>
        <w:spacing w:after="240" w:line="240" w:lineRule="auto"/>
        <w:rPr>
          <w:rFonts w:cstheme="minorHAnsi"/>
        </w:rPr>
      </w:pPr>
      <w:r>
        <w:rPr>
          <w:rFonts w:cstheme="minorHAnsi"/>
        </w:rPr>
        <w:t>However, more r</w:t>
      </w:r>
      <w:r w:rsidR="007055F3" w:rsidRPr="007055F3">
        <w:rPr>
          <w:rFonts w:cstheme="minorHAnsi"/>
        </w:rPr>
        <w:t>ecently, employment decreas</w:t>
      </w:r>
      <w:r>
        <w:rPr>
          <w:rFonts w:cstheme="minorHAnsi"/>
        </w:rPr>
        <w:t xml:space="preserve">ed in Tasmania </w:t>
      </w:r>
      <w:r w:rsidR="007055F3" w:rsidRPr="007055F3">
        <w:rPr>
          <w:rFonts w:cstheme="minorHAnsi"/>
        </w:rPr>
        <w:t>by 5200</w:t>
      </w:r>
      <w:r w:rsidR="00A22777">
        <w:rPr>
          <w:rFonts w:cstheme="minorHAnsi"/>
        </w:rPr>
        <w:t xml:space="preserve"> people</w:t>
      </w:r>
      <w:r w:rsidR="007055F3" w:rsidRPr="007055F3">
        <w:rPr>
          <w:rFonts w:cstheme="minorHAnsi"/>
        </w:rPr>
        <w:t xml:space="preserve"> (or 2.2 per cent) over the year to December 2013, while the unemployment rate increased to 7.7 per cent in December 2013, the highest rate recorded of any State or Territory and well above the national rate of 5.8 per cent. In addition, the State’s participation rate decreased by 1.3 percentage points over the </w:t>
      </w:r>
      <w:r>
        <w:rPr>
          <w:rFonts w:cstheme="minorHAnsi"/>
        </w:rPr>
        <w:t xml:space="preserve">year </w:t>
      </w:r>
      <w:r w:rsidR="007055F3" w:rsidRPr="007055F3">
        <w:rPr>
          <w:rFonts w:cstheme="minorHAnsi"/>
        </w:rPr>
        <w:t>to 59.1 per cent in December 2013, the lowest of any State or Territory and well below the 64.6 per cent recorded for Australia.</w:t>
      </w:r>
    </w:p>
    <w:p w:rsidR="00511AC2" w:rsidRDefault="00A22777" w:rsidP="00A22777">
      <w:pPr>
        <w:spacing w:after="240" w:line="240" w:lineRule="auto"/>
        <w:rPr>
          <w:rFonts w:cstheme="minorHAnsi"/>
        </w:rPr>
      </w:pPr>
      <w:r>
        <w:rPr>
          <w:rFonts w:cstheme="minorHAnsi"/>
        </w:rPr>
        <w:t xml:space="preserve">While </w:t>
      </w:r>
      <w:r w:rsidR="007055F3" w:rsidRPr="00A22777">
        <w:rPr>
          <w:rFonts w:cstheme="minorHAnsi"/>
        </w:rPr>
        <w:t xml:space="preserve">Tasmania has experienced both strong and weak labour market conditions at different </w:t>
      </w:r>
      <w:r w:rsidR="009F0186">
        <w:rPr>
          <w:rFonts w:cstheme="minorHAnsi"/>
        </w:rPr>
        <w:t xml:space="preserve">times </w:t>
      </w:r>
      <w:r w:rsidR="007055F3" w:rsidRPr="00A22777">
        <w:rPr>
          <w:rFonts w:cstheme="minorHAnsi"/>
        </w:rPr>
        <w:t xml:space="preserve">over the last decade, the unemployment rate </w:t>
      </w:r>
      <w:r>
        <w:rPr>
          <w:rFonts w:cstheme="minorHAnsi"/>
        </w:rPr>
        <w:t>has averaged 6.0 per cent</w:t>
      </w:r>
      <w:r w:rsidR="007055F3" w:rsidRPr="00A22777">
        <w:rPr>
          <w:rFonts w:cstheme="minorHAnsi"/>
        </w:rPr>
        <w:t xml:space="preserve"> compared with 5.1 per cent </w:t>
      </w:r>
      <w:r>
        <w:rPr>
          <w:rFonts w:cstheme="minorHAnsi"/>
        </w:rPr>
        <w:t xml:space="preserve">nationally. </w:t>
      </w:r>
      <w:r w:rsidR="009F0186">
        <w:rPr>
          <w:rFonts w:cstheme="minorHAnsi"/>
        </w:rPr>
        <w:t xml:space="preserve">Within Tasmania, regions have also varied in their labour market performance </w:t>
      </w:r>
      <w:r>
        <w:rPr>
          <w:rFonts w:cstheme="minorHAnsi"/>
        </w:rPr>
        <w:t xml:space="preserve">(Table 2). </w:t>
      </w:r>
    </w:p>
    <w:p w:rsidR="0038783D" w:rsidRDefault="0038783D">
      <w:pPr>
        <w:rPr>
          <w:rFonts w:eastAsia="Times New Roman" w:cstheme="minorHAnsi"/>
          <w:b/>
          <w:szCs w:val="24"/>
          <w:lang w:eastAsia="en-AU"/>
        </w:rPr>
      </w:pPr>
      <w:r>
        <w:rPr>
          <w:rFonts w:cstheme="minorHAnsi"/>
          <w:b/>
        </w:rPr>
        <w:br w:type="page"/>
      </w:r>
    </w:p>
    <w:p w:rsidR="00511AC2" w:rsidRPr="00213B49" w:rsidRDefault="00683C8F" w:rsidP="00213B49">
      <w:pPr>
        <w:pStyle w:val="CABNETParagraphAtt"/>
        <w:keepNext/>
        <w:spacing w:before="0" w:after="0"/>
        <w:rPr>
          <w:rFonts w:asciiTheme="minorHAnsi" w:hAnsiTheme="minorHAnsi" w:cstheme="minorHAnsi"/>
          <w:b/>
        </w:rPr>
      </w:pPr>
      <w:r w:rsidRPr="00213B49">
        <w:rPr>
          <w:rFonts w:asciiTheme="minorHAnsi" w:hAnsiTheme="minorHAnsi" w:cstheme="minorHAnsi"/>
          <w:b/>
        </w:rPr>
        <w:lastRenderedPageBreak/>
        <w:t>Table 2</w:t>
      </w:r>
      <w:r w:rsidR="00511AC2" w:rsidRPr="00213B49">
        <w:rPr>
          <w:rFonts w:asciiTheme="minorHAnsi" w:hAnsiTheme="minorHAnsi" w:cstheme="minorHAnsi"/>
          <w:b/>
        </w:rPr>
        <w:t>: Key labour market indicators, Tasmania and regions</w:t>
      </w:r>
    </w:p>
    <w:tbl>
      <w:tblPr>
        <w:tblW w:w="5350" w:type="pct"/>
        <w:tblLayout w:type="fixed"/>
        <w:tblLook w:val="04A0" w:firstRow="1" w:lastRow="0" w:firstColumn="1" w:lastColumn="0" w:noHBand="0" w:noVBand="1"/>
      </w:tblPr>
      <w:tblGrid>
        <w:gridCol w:w="1384"/>
        <w:gridCol w:w="1133"/>
        <w:gridCol w:w="991"/>
        <w:gridCol w:w="1703"/>
        <w:gridCol w:w="993"/>
        <w:gridCol w:w="1416"/>
        <w:gridCol w:w="993"/>
        <w:gridCol w:w="1276"/>
      </w:tblGrid>
      <w:tr w:rsidR="00B638C8" w:rsidRPr="0038783D" w:rsidTr="00B638C8">
        <w:trPr>
          <w:trHeight w:val="1080"/>
        </w:trPr>
        <w:tc>
          <w:tcPr>
            <w:tcW w:w="7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Region</w:t>
            </w:r>
          </w:p>
        </w:tc>
        <w:tc>
          <w:tcPr>
            <w:tcW w:w="573" w:type="pct"/>
            <w:tcBorders>
              <w:top w:val="single" w:sz="4" w:space="0" w:color="auto"/>
              <w:left w:val="nil"/>
              <w:bottom w:val="single" w:sz="4" w:space="0" w:color="auto"/>
              <w:right w:val="single" w:sz="4" w:space="0" w:color="auto"/>
            </w:tcBorders>
            <w:shd w:val="clear" w:color="000000" w:fill="FFFFFF"/>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Total employed ('000)</w:t>
            </w:r>
            <w:r w:rsidRPr="0038783D">
              <w:rPr>
                <w:rFonts w:ascii="Calibri" w:eastAsia="Times New Roman" w:hAnsi="Calibri" w:cs="Calibri"/>
                <w:b/>
                <w:bCs/>
                <w:color w:val="000000"/>
                <w:vertAlign w:val="superscript"/>
                <w:lang w:eastAsia="en-AU"/>
              </w:rPr>
              <w:t>1</w:t>
            </w:r>
          </w:p>
        </w:tc>
        <w:tc>
          <w:tcPr>
            <w:tcW w:w="5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Annual change (%)</w:t>
            </w:r>
          </w:p>
        </w:tc>
        <w:tc>
          <w:tcPr>
            <w:tcW w:w="861" w:type="pct"/>
            <w:tcBorders>
              <w:top w:val="single" w:sz="4" w:space="0" w:color="auto"/>
              <w:left w:val="nil"/>
              <w:bottom w:val="single" w:sz="4" w:space="0" w:color="auto"/>
              <w:right w:val="single" w:sz="4" w:space="0" w:color="auto"/>
            </w:tcBorders>
            <w:shd w:val="clear" w:color="000000" w:fill="FFFFFF"/>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Unemployment rate (%)</w:t>
            </w:r>
            <w:r w:rsidRPr="0038783D">
              <w:rPr>
                <w:rFonts w:ascii="Calibri" w:eastAsia="Times New Roman" w:hAnsi="Calibri" w:cs="Calibri"/>
                <w:b/>
                <w:bCs/>
                <w:color w:val="000000"/>
                <w:vertAlign w:val="superscript"/>
                <w:lang w:eastAsia="en-AU"/>
              </w:rPr>
              <w:t>1</w:t>
            </w:r>
          </w:p>
        </w:tc>
        <w:tc>
          <w:tcPr>
            <w:tcW w:w="5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Annual change (% pts)</w:t>
            </w:r>
          </w:p>
        </w:tc>
        <w:tc>
          <w:tcPr>
            <w:tcW w:w="716" w:type="pct"/>
            <w:tcBorders>
              <w:top w:val="single" w:sz="4" w:space="0" w:color="auto"/>
              <w:left w:val="nil"/>
              <w:bottom w:val="single" w:sz="4" w:space="0" w:color="auto"/>
              <w:right w:val="single" w:sz="4" w:space="0" w:color="auto"/>
            </w:tcBorders>
            <w:shd w:val="clear" w:color="000000" w:fill="FFFFFF"/>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Participation rate (%)</w:t>
            </w:r>
            <w:r w:rsidRPr="0038783D">
              <w:rPr>
                <w:rFonts w:ascii="Calibri" w:eastAsia="Times New Roman" w:hAnsi="Calibri" w:cs="Calibri"/>
                <w:b/>
                <w:bCs/>
                <w:color w:val="000000"/>
                <w:vertAlign w:val="superscript"/>
                <w:lang w:eastAsia="en-AU"/>
              </w:rPr>
              <w:t>1</w:t>
            </w:r>
          </w:p>
        </w:tc>
        <w:tc>
          <w:tcPr>
            <w:tcW w:w="5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Annual change (% pts)</w:t>
            </w:r>
          </w:p>
        </w:tc>
        <w:tc>
          <w:tcPr>
            <w:tcW w:w="645" w:type="pct"/>
            <w:tcBorders>
              <w:top w:val="single" w:sz="4" w:space="0" w:color="auto"/>
              <w:left w:val="nil"/>
              <w:bottom w:val="single" w:sz="4" w:space="0" w:color="auto"/>
              <w:right w:val="single" w:sz="4" w:space="0" w:color="auto"/>
            </w:tcBorders>
            <w:shd w:val="clear" w:color="000000" w:fill="FFFFFF"/>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Proportion of the population aged 15-64 on income support (%)</w:t>
            </w:r>
            <w:r w:rsidRPr="0038783D">
              <w:rPr>
                <w:rFonts w:ascii="Calibri" w:eastAsia="Times New Roman" w:hAnsi="Calibri" w:cs="Calibri"/>
                <w:b/>
                <w:bCs/>
                <w:color w:val="000000"/>
                <w:vertAlign w:val="superscript"/>
                <w:lang w:eastAsia="en-AU"/>
              </w:rPr>
              <w:t>2</w:t>
            </w:r>
          </w:p>
        </w:tc>
      </w:tr>
      <w:tr w:rsidR="00B638C8" w:rsidRPr="0038783D" w:rsidTr="00B638C8">
        <w:trPr>
          <w:trHeight w:val="300"/>
        </w:trPr>
        <w:tc>
          <w:tcPr>
            <w:tcW w:w="700" w:type="pct"/>
            <w:vMerge/>
            <w:tcBorders>
              <w:top w:val="single" w:sz="4" w:space="0" w:color="auto"/>
              <w:left w:val="single" w:sz="4" w:space="0" w:color="auto"/>
              <w:bottom w:val="single" w:sz="4" w:space="0" w:color="auto"/>
              <w:right w:val="single" w:sz="4" w:space="0" w:color="auto"/>
            </w:tcBorders>
            <w:vAlign w:val="center"/>
            <w:hideMark/>
          </w:tcPr>
          <w:p w:rsidR="0038783D" w:rsidRPr="0038783D" w:rsidRDefault="0038783D" w:rsidP="0038783D">
            <w:pPr>
              <w:spacing w:after="0" w:line="240" w:lineRule="auto"/>
              <w:rPr>
                <w:rFonts w:ascii="Calibri" w:eastAsia="Times New Roman" w:hAnsi="Calibri" w:cs="Calibri"/>
                <w:b/>
                <w:bCs/>
                <w:color w:val="000000"/>
                <w:lang w:eastAsia="en-AU"/>
              </w:rPr>
            </w:pPr>
          </w:p>
        </w:tc>
        <w:tc>
          <w:tcPr>
            <w:tcW w:w="573"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Dec-13</w:t>
            </w: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38783D" w:rsidRPr="0038783D" w:rsidRDefault="0038783D" w:rsidP="0038783D">
            <w:pPr>
              <w:spacing w:after="0" w:line="240" w:lineRule="auto"/>
              <w:rPr>
                <w:rFonts w:ascii="Calibri" w:eastAsia="Times New Roman" w:hAnsi="Calibri" w:cs="Calibri"/>
                <w:b/>
                <w:bCs/>
                <w:color w:val="000000"/>
                <w:lang w:eastAsia="en-AU"/>
              </w:rPr>
            </w:pPr>
          </w:p>
        </w:tc>
        <w:tc>
          <w:tcPr>
            <w:tcW w:w="86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Dec-13</w:t>
            </w:r>
          </w:p>
        </w:tc>
        <w:tc>
          <w:tcPr>
            <w:tcW w:w="502" w:type="pct"/>
            <w:vMerge/>
            <w:tcBorders>
              <w:top w:val="single" w:sz="4" w:space="0" w:color="auto"/>
              <w:left w:val="single" w:sz="4" w:space="0" w:color="auto"/>
              <w:bottom w:val="single" w:sz="4" w:space="0" w:color="auto"/>
              <w:right w:val="single" w:sz="4" w:space="0" w:color="auto"/>
            </w:tcBorders>
            <w:vAlign w:val="center"/>
            <w:hideMark/>
          </w:tcPr>
          <w:p w:rsidR="0038783D" w:rsidRPr="0038783D" w:rsidRDefault="0038783D" w:rsidP="0038783D">
            <w:pPr>
              <w:spacing w:after="0" w:line="240" w:lineRule="auto"/>
              <w:rPr>
                <w:rFonts w:ascii="Calibri" w:eastAsia="Times New Roman" w:hAnsi="Calibri" w:cs="Calibri"/>
                <w:b/>
                <w:bCs/>
                <w:color w:val="000000"/>
                <w:lang w:eastAsia="en-AU"/>
              </w:rPr>
            </w:pPr>
          </w:p>
        </w:tc>
        <w:tc>
          <w:tcPr>
            <w:tcW w:w="716"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Dec-13</w:t>
            </w:r>
          </w:p>
        </w:tc>
        <w:tc>
          <w:tcPr>
            <w:tcW w:w="502" w:type="pct"/>
            <w:vMerge/>
            <w:tcBorders>
              <w:top w:val="single" w:sz="4" w:space="0" w:color="auto"/>
              <w:left w:val="single" w:sz="4" w:space="0" w:color="auto"/>
              <w:bottom w:val="single" w:sz="4" w:space="0" w:color="auto"/>
              <w:right w:val="single" w:sz="4" w:space="0" w:color="auto"/>
            </w:tcBorders>
            <w:vAlign w:val="center"/>
            <w:hideMark/>
          </w:tcPr>
          <w:p w:rsidR="0038783D" w:rsidRPr="0038783D" w:rsidRDefault="0038783D" w:rsidP="0038783D">
            <w:pPr>
              <w:spacing w:after="0" w:line="240" w:lineRule="auto"/>
              <w:rPr>
                <w:rFonts w:ascii="Calibri" w:eastAsia="Times New Roman" w:hAnsi="Calibri" w:cs="Calibri"/>
                <w:b/>
                <w:bCs/>
                <w:color w:val="000000"/>
                <w:lang w:eastAsia="en-AU"/>
              </w:rPr>
            </w:pPr>
          </w:p>
        </w:tc>
        <w:tc>
          <w:tcPr>
            <w:tcW w:w="645"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Dec-13</w:t>
            </w:r>
          </w:p>
        </w:tc>
      </w:tr>
      <w:tr w:rsidR="00B638C8" w:rsidRPr="0038783D" w:rsidTr="00B638C8">
        <w:trPr>
          <w:trHeight w:val="300"/>
        </w:trPr>
        <w:tc>
          <w:tcPr>
            <w:tcW w:w="700" w:type="pct"/>
            <w:tcBorders>
              <w:top w:val="nil"/>
              <w:left w:val="single" w:sz="4" w:space="0" w:color="auto"/>
              <w:bottom w:val="single" w:sz="4" w:space="0" w:color="auto"/>
              <w:right w:val="single" w:sz="4" w:space="0" w:color="auto"/>
            </w:tcBorders>
            <w:shd w:val="clear" w:color="000000" w:fill="FFFFFF"/>
            <w:noWrap/>
            <w:vAlign w:val="bottom"/>
            <w:hideMark/>
          </w:tcPr>
          <w:p w:rsidR="0038783D" w:rsidRPr="0038783D" w:rsidRDefault="0038783D" w:rsidP="0038783D">
            <w:pPr>
              <w:spacing w:after="0" w:line="240" w:lineRule="auto"/>
              <w:rPr>
                <w:rFonts w:ascii="Calibri" w:eastAsia="Times New Roman" w:hAnsi="Calibri" w:cs="Calibri"/>
                <w:color w:val="000000"/>
                <w:lang w:eastAsia="en-AU"/>
              </w:rPr>
            </w:pPr>
            <w:r w:rsidRPr="0038783D">
              <w:rPr>
                <w:rFonts w:ascii="Calibri" w:eastAsia="Times New Roman" w:hAnsi="Calibri" w:cs="Calibri"/>
                <w:color w:val="000000"/>
                <w:lang w:eastAsia="en-AU"/>
              </w:rPr>
              <w:t>Greater Hobart-Southern</w:t>
            </w:r>
          </w:p>
        </w:tc>
        <w:tc>
          <w:tcPr>
            <w:tcW w:w="573"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115.7</w:t>
            </w:r>
          </w:p>
        </w:tc>
        <w:tc>
          <w:tcPr>
            <w:tcW w:w="50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-2.0</w:t>
            </w:r>
          </w:p>
        </w:tc>
        <w:tc>
          <w:tcPr>
            <w:tcW w:w="86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7.2</w:t>
            </w:r>
          </w:p>
        </w:tc>
        <w:tc>
          <w:tcPr>
            <w:tcW w:w="502"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0.9</w:t>
            </w:r>
          </w:p>
        </w:tc>
        <w:tc>
          <w:tcPr>
            <w:tcW w:w="716"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60.5</w:t>
            </w:r>
          </w:p>
        </w:tc>
        <w:tc>
          <w:tcPr>
            <w:tcW w:w="502"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-0.8</w:t>
            </w:r>
          </w:p>
        </w:tc>
        <w:tc>
          <w:tcPr>
            <w:tcW w:w="645"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19.1</w:t>
            </w:r>
          </w:p>
        </w:tc>
      </w:tr>
      <w:tr w:rsidR="00B638C8" w:rsidRPr="0038783D" w:rsidTr="00B638C8">
        <w:trPr>
          <w:trHeight w:val="300"/>
        </w:trPr>
        <w:tc>
          <w:tcPr>
            <w:tcW w:w="700" w:type="pct"/>
            <w:tcBorders>
              <w:top w:val="nil"/>
              <w:left w:val="single" w:sz="4" w:space="0" w:color="auto"/>
              <w:bottom w:val="single" w:sz="4" w:space="0" w:color="auto"/>
              <w:right w:val="single" w:sz="4" w:space="0" w:color="auto"/>
            </w:tcBorders>
            <w:shd w:val="clear" w:color="000000" w:fill="FFFFFF"/>
            <w:noWrap/>
            <w:vAlign w:val="bottom"/>
            <w:hideMark/>
          </w:tcPr>
          <w:p w:rsidR="0038783D" w:rsidRPr="0038783D" w:rsidRDefault="0038783D" w:rsidP="0038783D">
            <w:pPr>
              <w:spacing w:after="0" w:line="240" w:lineRule="auto"/>
              <w:rPr>
                <w:rFonts w:ascii="Calibri" w:eastAsia="Times New Roman" w:hAnsi="Calibri" w:cs="Calibri"/>
                <w:color w:val="000000"/>
                <w:lang w:eastAsia="en-AU"/>
              </w:rPr>
            </w:pPr>
            <w:r w:rsidRPr="0038783D">
              <w:rPr>
                <w:rFonts w:ascii="Calibri" w:eastAsia="Times New Roman" w:hAnsi="Calibri" w:cs="Calibri"/>
                <w:color w:val="000000"/>
                <w:lang w:eastAsia="en-AU"/>
              </w:rPr>
              <w:t>Greater Hobart</w:t>
            </w:r>
          </w:p>
        </w:tc>
        <w:tc>
          <w:tcPr>
            <w:tcW w:w="573"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99.2</w:t>
            </w:r>
          </w:p>
        </w:tc>
        <w:tc>
          <w:tcPr>
            <w:tcW w:w="50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-2.9</w:t>
            </w:r>
          </w:p>
        </w:tc>
        <w:tc>
          <w:tcPr>
            <w:tcW w:w="86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7.1</w:t>
            </w:r>
          </w:p>
        </w:tc>
        <w:tc>
          <w:tcPr>
            <w:tcW w:w="502"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1.4</w:t>
            </w:r>
          </w:p>
        </w:tc>
        <w:tc>
          <w:tcPr>
            <w:tcW w:w="716"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60.9</w:t>
            </w:r>
          </w:p>
        </w:tc>
        <w:tc>
          <w:tcPr>
            <w:tcW w:w="502"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-1.1</w:t>
            </w:r>
          </w:p>
        </w:tc>
        <w:tc>
          <w:tcPr>
            <w:tcW w:w="645"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18.2</w:t>
            </w:r>
          </w:p>
        </w:tc>
      </w:tr>
      <w:tr w:rsidR="00B638C8" w:rsidRPr="0038783D" w:rsidTr="00B638C8">
        <w:trPr>
          <w:trHeight w:val="300"/>
        </w:trPr>
        <w:tc>
          <w:tcPr>
            <w:tcW w:w="700" w:type="pct"/>
            <w:tcBorders>
              <w:top w:val="nil"/>
              <w:left w:val="single" w:sz="4" w:space="0" w:color="auto"/>
              <w:bottom w:val="single" w:sz="4" w:space="0" w:color="auto"/>
              <w:right w:val="single" w:sz="4" w:space="0" w:color="auto"/>
            </w:tcBorders>
            <w:shd w:val="clear" w:color="000000" w:fill="FFFFFF"/>
            <w:noWrap/>
            <w:vAlign w:val="bottom"/>
            <w:hideMark/>
          </w:tcPr>
          <w:p w:rsidR="0038783D" w:rsidRPr="0038783D" w:rsidRDefault="0038783D" w:rsidP="0038783D">
            <w:pPr>
              <w:spacing w:after="0" w:line="240" w:lineRule="auto"/>
              <w:rPr>
                <w:rFonts w:ascii="Calibri" w:eastAsia="Times New Roman" w:hAnsi="Calibri" w:cs="Calibri"/>
                <w:color w:val="000000"/>
                <w:lang w:eastAsia="en-AU"/>
              </w:rPr>
            </w:pPr>
            <w:r w:rsidRPr="0038783D">
              <w:rPr>
                <w:rFonts w:ascii="Calibri" w:eastAsia="Times New Roman" w:hAnsi="Calibri" w:cs="Calibri"/>
                <w:color w:val="000000"/>
                <w:lang w:eastAsia="en-AU"/>
              </w:rPr>
              <w:t>Northern Tasmania</w:t>
            </w:r>
          </w:p>
        </w:tc>
        <w:tc>
          <w:tcPr>
            <w:tcW w:w="573"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64.2</w:t>
            </w:r>
          </w:p>
        </w:tc>
        <w:tc>
          <w:tcPr>
            <w:tcW w:w="50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-3.9</w:t>
            </w:r>
          </w:p>
        </w:tc>
        <w:tc>
          <w:tcPr>
            <w:tcW w:w="86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7.5</w:t>
            </w:r>
          </w:p>
        </w:tc>
        <w:tc>
          <w:tcPr>
            <w:tcW w:w="502"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1.0</w:t>
            </w:r>
          </w:p>
        </w:tc>
        <w:tc>
          <w:tcPr>
            <w:tcW w:w="716"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59.1</w:t>
            </w:r>
          </w:p>
        </w:tc>
        <w:tc>
          <w:tcPr>
            <w:tcW w:w="502"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-1.9</w:t>
            </w:r>
          </w:p>
        </w:tc>
        <w:tc>
          <w:tcPr>
            <w:tcW w:w="645"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19.7</w:t>
            </w:r>
          </w:p>
        </w:tc>
      </w:tr>
      <w:tr w:rsidR="00B638C8" w:rsidRPr="0038783D" w:rsidTr="00B638C8">
        <w:trPr>
          <w:trHeight w:val="300"/>
        </w:trPr>
        <w:tc>
          <w:tcPr>
            <w:tcW w:w="700" w:type="pct"/>
            <w:tcBorders>
              <w:top w:val="nil"/>
              <w:left w:val="single" w:sz="4" w:space="0" w:color="auto"/>
              <w:bottom w:val="single" w:sz="4" w:space="0" w:color="auto"/>
              <w:right w:val="single" w:sz="4" w:space="0" w:color="auto"/>
            </w:tcBorders>
            <w:shd w:val="clear" w:color="000000" w:fill="FFFFFF"/>
            <w:noWrap/>
            <w:vAlign w:val="bottom"/>
            <w:hideMark/>
          </w:tcPr>
          <w:p w:rsidR="0038783D" w:rsidRPr="0038783D" w:rsidRDefault="0038783D" w:rsidP="0038783D">
            <w:pPr>
              <w:spacing w:after="0" w:line="240" w:lineRule="auto"/>
              <w:rPr>
                <w:rFonts w:ascii="Calibri" w:eastAsia="Times New Roman" w:hAnsi="Calibri" w:cs="Calibri"/>
                <w:color w:val="000000"/>
                <w:lang w:eastAsia="en-AU"/>
              </w:rPr>
            </w:pPr>
            <w:r w:rsidRPr="0038783D">
              <w:rPr>
                <w:rFonts w:ascii="Calibri" w:eastAsia="Times New Roman" w:hAnsi="Calibri" w:cs="Calibri"/>
                <w:color w:val="000000"/>
                <w:lang w:eastAsia="en-AU"/>
              </w:rPr>
              <w:t>Mersey-Lyell</w:t>
            </w:r>
          </w:p>
        </w:tc>
        <w:tc>
          <w:tcPr>
            <w:tcW w:w="573"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48.4</w:t>
            </w:r>
          </w:p>
        </w:tc>
        <w:tc>
          <w:tcPr>
            <w:tcW w:w="50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0.2</w:t>
            </w:r>
          </w:p>
        </w:tc>
        <w:tc>
          <w:tcPr>
            <w:tcW w:w="86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9.3</w:t>
            </w:r>
          </w:p>
        </w:tc>
        <w:tc>
          <w:tcPr>
            <w:tcW w:w="502"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-0.1</w:t>
            </w:r>
          </w:p>
        </w:tc>
        <w:tc>
          <w:tcPr>
            <w:tcW w:w="716"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57.8</w:t>
            </w:r>
          </w:p>
        </w:tc>
        <w:tc>
          <w:tcPr>
            <w:tcW w:w="502"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-0.1</w:t>
            </w:r>
          </w:p>
        </w:tc>
        <w:tc>
          <w:tcPr>
            <w:tcW w:w="645"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21.9</w:t>
            </w:r>
          </w:p>
        </w:tc>
      </w:tr>
      <w:tr w:rsidR="00B638C8" w:rsidRPr="0038783D" w:rsidTr="00B638C8">
        <w:trPr>
          <w:trHeight w:val="300"/>
        </w:trPr>
        <w:tc>
          <w:tcPr>
            <w:tcW w:w="700" w:type="pct"/>
            <w:tcBorders>
              <w:top w:val="nil"/>
              <w:left w:val="single" w:sz="4" w:space="0" w:color="auto"/>
              <w:bottom w:val="single" w:sz="4" w:space="0" w:color="auto"/>
              <w:right w:val="single" w:sz="4" w:space="0" w:color="auto"/>
            </w:tcBorders>
            <w:shd w:val="clear" w:color="000000" w:fill="FFFFFF"/>
            <w:noWrap/>
            <w:vAlign w:val="bottom"/>
            <w:hideMark/>
          </w:tcPr>
          <w:p w:rsidR="0038783D" w:rsidRPr="0038783D" w:rsidRDefault="0038783D" w:rsidP="0038783D">
            <w:pPr>
              <w:spacing w:after="0" w:line="240" w:lineRule="auto"/>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Tasmania</w:t>
            </w:r>
          </w:p>
        </w:tc>
        <w:tc>
          <w:tcPr>
            <w:tcW w:w="573"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226.6*</w:t>
            </w:r>
          </w:p>
        </w:tc>
        <w:tc>
          <w:tcPr>
            <w:tcW w:w="50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-2.2</w:t>
            </w:r>
          </w:p>
        </w:tc>
        <w:tc>
          <w:tcPr>
            <w:tcW w:w="86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7.7*</w:t>
            </w:r>
          </w:p>
        </w:tc>
        <w:tc>
          <w:tcPr>
            <w:tcW w:w="502"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0.3</w:t>
            </w:r>
          </w:p>
        </w:tc>
        <w:tc>
          <w:tcPr>
            <w:tcW w:w="716"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59.1*</w:t>
            </w:r>
          </w:p>
        </w:tc>
        <w:tc>
          <w:tcPr>
            <w:tcW w:w="502"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-1.3</w:t>
            </w:r>
          </w:p>
        </w:tc>
        <w:tc>
          <w:tcPr>
            <w:tcW w:w="645"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b/>
                <w:bCs/>
                <w:color w:val="000000"/>
                <w:lang w:eastAsia="en-AU"/>
              </w:rPr>
            </w:pPr>
            <w:r w:rsidRPr="0038783D">
              <w:rPr>
                <w:rFonts w:ascii="Calibri" w:eastAsia="Times New Roman" w:hAnsi="Calibri" w:cs="Calibri"/>
                <w:b/>
                <w:bCs/>
                <w:color w:val="000000"/>
                <w:lang w:eastAsia="en-AU"/>
              </w:rPr>
              <w:t>19.9</w:t>
            </w:r>
          </w:p>
        </w:tc>
      </w:tr>
      <w:tr w:rsidR="00B638C8" w:rsidRPr="0038783D" w:rsidTr="00B638C8">
        <w:trPr>
          <w:trHeight w:val="300"/>
        </w:trPr>
        <w:tc>
          <w:tcPr>
            <w:tcW w:w="700" w:type="pct"/>
            <w:tcBorders>
              <w:top w:val="nil"/>
              <w:left w:val="single" w:sz="4" w:space="0" w:color="auto"/>
              <w:bottom w:val="single" w:sz="4" w:space="0" w:color="auto"/>
              <w:right w:val="single" w:sz="4" w:space="0" w:color="auto"/>
            </w:tcBorders>
            <w:shd w:val="clear" w:color="000000" w:fill="FFFFFF"/>
            <w:noWrap/>
            <w:vAlign w:val="bottom"/>
            <w:hideMark/>
          </w:tcPr>
          <w:p w:rsidR="0038783D" w:rsidRPr="0038783D" w:rsidRDefault="0038783D" w:rsidP="0038783D">
            <w:pPr>
              <w:spacing w:after="0" w:line="240" w:lineRule="auto"/>
              <w:rPr>
                <w:rFonts w:ascii="Calibri" w:eastAsia="Times New Roman" w:hAnsi="Calibri" w:cs="Calibri"/>
                <w:color w:val="000000"/>
                <w:lang w:eastAsia="en-AU"/>
              </w:rPr>
            </w:pPr>
            <w:r w:rsidRPr="0038783D">
              <w:rPr>
                <w:rFonts w:ascii="Calibri" w:eastAsia="Times New Roman" w:hAnsi="Calibri" w:cs="Calibri"/>
                <w:color w:val="000000"/>
                <w:lang w:eastAsia="en-AU"/>
              </w:rPr>
              <w:t>Australia</w:t>
            </w:r>
          </w:p>
        </w:tc>
        <w:tc>
          <w:tcPr>
            <w:tcW w:w="573"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11,629.5*</w:t>
            </w:r>
          </w:p>
        </w:tc>
        <w:tc>
          <w:tcPr>
            <w:tcW w:w="50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0.5</w:t>
            </w:r>
          </w:p>
        </w:tc>
        <w:tc>
          <w:tcPr>
            <w:tcW w:w="861"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5.8*</w:t>
            </w:r>
          </w:p>
        </w:tc>
        <w:tc>
          <w:tcPr>
            <w:tcW w:w="502"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0.5</w:t>
            </w:r>
          </w:p>
        </w:tc>
        <w:tc>
          <w:tcPr>
            <w:tcW w:w="716"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64.6*</w:t>
            </w:r>
          </w:p>
        </w:tc>
        <w:tc>
          <w:tcPr>
            <w:tcW w:w="502"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-0.6</w:t>
            </w:r>
          </w:p>
        </w:tc>
        <w:tc>
          <w:tcPr>
            <w:tcW w:w="645" w:type="pct"/>
            <w:tcBorders>
              <w:top w:val="nil"/>
              <w:left w:val="nil"/>
              <w:bottom w:val="single" w:sz="4" w:space="0" w:color="auto"/>
              <w:right w:val="single" w:sz="4" w:space="0" w:color="auto"/>
            </w:tcBorders>
            <w:shd w:val="clear" w:color="000000" w:fill="FFFFFF"/>
            <w:noWrap/>
            <w:vAlign w:val="center"/>
            <w:hideMark/>
          </w:tcPr>
          <w:p w:rsidR="0038783D" w:rsidRPr="0038783D" w:rsidRDefault="0038783D" w:rsidP="0038783D">
            <w:pPr>
              <w:spacing w:after="0" w:line="240" w:lineRule="auto"/>
              <w:jc w:val="center"/>
              <w:rPr>
                <w:rFonts w:ascii="Calibri" w:eastAsia="Times New Roman" w:hAnsi="Calibri" w:cs="Calibri"/>
                <w:color w:val="000000"/>
                <w:lang w:eastAsia="en-AU"/>
              </w:rPr>
            </w:pPr>
            <w:r w:rsidRPr="0038783D">
              <w:rPr>
                <w:rFonts w:ascii="Calibri" w:eastAsia="Times New Roman" w:hAnsi="Calibri" w:cs="Calibri"/>
                <w:color w:val="000000"/>
                <w:lang w:eastAsia="en-AU"/>
              </w:rPr>
              <w:t>12.6</w:t>
            </w:r>
          </w:p>
        </w:tc>
      </w:tr>
    </w:tbl>
    <w:p w:rsidR="00856C74" w:rsidRDefault="00C3073F" w:rsidP="00987781">
      <w:pPr>
        <w:spacing w:after="0"/>
        <w:rPr>
          <w:rFonts w:cstheme="minorHAnsi"/>
          <w:sz w:val="18"/>
          <w:szCs w:val="18"/>
        </w:rPr>
      </w:pPr>
      <w:r w:rsidRPr="00C3073F">
        <w:rPr>
          <w:rFonts w:cstheme="minorHAnsi"/>
          <w:sz w:val="18"/>
          <w:szCs w:val="18"/>
          <w:vertAlign w:val="superscript"/>
        </w:rPr>
        <w:t xml:space="preserve">1 </w:t>
      </w:r>
      <w:r w:rsidRPr="00C3073F">
        <w:rPr>
          <w:rFonts w:cstheme="minorHAnsi"/>
          <w:sz w:val="18"/>
          <w:szCs w:val="18"/>
        </w:rPr>
        <w:t xml:space="preserve">Source: For </w:t>
      </w:r>
      <w:r w:rsidRPr="00C3073F">
        <w:rPr>
          <w:sz w:val="18"/>
          <w:szCs w:val="18"/>
        </w:rPr>
        <w:t>regions</w:t>
      </w:r>
      <w:r w:rsidRPr="00C3073F">
        <w:rPr>
          <w:rFonts w:cstheme="minorHAnsi"/>
          <w:sz w:val="18"/>
          <w:szCs w:val="18"/>
        </w:rPr>
        <w:t>, ABS, Labour Force - Detailed Electronic Delivery (Cat. no. 6291.0.55.001) data are three-month</w:t>
      </w:r>
      <w:r w:rsidR="00856C74">
        <w:rPr>
          <w:rFonts w:cstheme="minorHAnsi"/>
          <w:sz w:val="18"/>
          <w:szCs w:val="18"/>
        </w:rPr>
        <w:t xml:space="preserve"> </w:t>
      </w:r>
      <w:r w:rsidR="008C6FDB" w:rsidRPr="008C6FDB">
        <w:rPr>
          <w:rFonts w:cstheme="minorHAnsi"/>
          <w:sz w:val="18"/>
          <w:szCs w:val="18"/>
        </w:rPr>
        <w:t>averages of original data. For Tasmania and Australia, ABS, Labour Force, Australia, December 2013 (Cat. no. 6202.0) data are in seasonally adjusted terms.</w:t>
      </w:r>
    </w:p>
    <w:p w:rsidR="00C3073F" w:rsidRPr="00C3073F" w:rsidRDefault="00C3073F" w:rsidP="00987781">
      <w:pPr>
        <w:spacing w:after="120"/>
        <w:rPr>
          <w:rFonts w:cstheme="minorHAnsi"/>
          <w:sz w:val="18"/>
          <w:szCs w:val="18"/>
        </w:rPr>
      </w:pPr>
      <w:r w:rsidRPr="00C3073F">
        <w:rPr>
          <w:rFonts w:cstheme="minorHAnsi"/>
          <w:sz w:val="18"/>
          <w:szCs w:val="18"/>
          <w:vertAlign w:val="superscript"/>
        </w:rPr>
        <w:t>2</w:t>
      </w:r>
      <w:r w:rsidRPr="00C3073F">
        <w:rPr>
          <w:rFonts w:cstheme="minorHAnsi"/>
          <w:sz w:val="18"/>
          <w:szCs w:val="18"/>
        </w:rPr>
        <w:t xml:space="preserve"> Source: Centrelink Administrative Data (DEEWR Bluebook extract)</w:t>
      </w:r>
    </w:p>
    <w:p w:rsidR="00DA3DBB" w:rsidRPr="00DA3DBB" w:rsidRDefault="000E34C4" w:rsidP="00A22777">
      <w:pPr>
        <w:spacing w:after="240" w:line="240" w:lineRule="auto"/>
        <w:rPr>
          <w:rFonts w:cstheme="minorHAnsi"/>
        </w:rPr>
      </w:pPr>
      <w:r>
        <w:rPr>
          <w:rFonts w:cstheme="minorHAnsi"/>
        </w:rPr>
        <w:t xml:space="preserve">A </w:t>
      </w:r>
      <w:r w:rsidR="00DA3DBB" w:rsidRPr="00DA3DBB">
        <w:rPr>
          <w:rFonts w:cstheme="minorHAnsi"/>
        </w:rPr>
        <w:t xml:space="preserve">number of factors have contributed to Tasmania’s </w:t>
      </w:r>
      <w:r w:rsidR="000078E9">
        <w:rPr>
          <w:rFonts w:cstheme="minorHAnsi"/>
        </w:rPr>
        <w:t xml:space="preserve">weaker </w:t>
      </w:r>
      <w:r w:rsidR="00DA3DBB" w:rsidRPr="00DA3DBB">
        <w:rPr>
          <w:rFonts w:cstheme="minorHAnsi"/>
        </w:rPr>
        <w:t>labour market conditions</w:t>
      </w:r>
      <w:r>
        <w:rPr>
          <w:rFonts w:cstheme="minorHAnsi"/>
        </w:rPr>
        <w:t xml:space="preserve">. </w:t>
      </w:r>
      <w:r w:rsidR="00087C5A">
        <w:rPr>
          <w:rFonts w:cstheme="minorHAnsi"/>
        </w:rPr>
        <w:t xml:space="preserve">For example, a </w:t>
      </w:r>
      <w:r w:rsidR="00DA3DBB" w:rsidRPr="00DA3DBB">
        <w:rPr>
          <w:rFonts w:cstheme="minorHAnsi"/>
        </w:rPr>
        <w:t xml:space="preserve">high Australian dollar </w:t>
      </w:r>
      <w:r w:rsidR="00A22777">
        <w:rPr>
          <w:rFonts w:cstheme="minorHAnsi"/>
        </w:rPr>
        <w:t xml:space="preserve">exchange rate </w:t>
      </w:r>
      <w:r w:rsidR="00DA3DBB" w:rsidRPr="00DA3DBB">
        <w:rPr>
          <w:rFonts w:cstheme="minorHAnsi"/>
        </w:rPr>
        <w:t xml:space="preserve">had a negative </w:t>
      </w:r>
      <w:r>
        <w:rPr>
          <w:rFonts w:cstheme="minorHAnsi"/>
        </w:rPr>
        <w:t xml:space="preserve">effect </w:t>
      </w:r>
      <w:r w:rsidR="00DA3DBB" w:rsidRPr="00DA3DBB">
        <w:rPr>
          <w:rFonts w:cstheme="minorHAnsi"/>
        </w:rPr>
        <w:t xml:space="preserve">on </w:t>
      </w:r>
      <w:r w:rsidR="000078E9">
        <w:rPr>
          <w:rFonts w:cstheme="minorHAnsi"/>
        </w:rPr>
        <w:t>some of the state’s major industries (m</w:t>
      </w:r>
      <w:r w:rsidR="00DA3DBB" w:rsidRPr="00DA3DBB">
        <w:rPr>
          <w:rFonts w:cstheme="minorHAnsi"/>
        </w:rPr>
        <w:t xml:space="preserve">anufacturing, </w:t>
      </w:r>
      <w:r w:rsidR="000078E9">
        <w:rPr>
          <w:rFonts w:cstheme="minorHAnsi"/>
        </w:rPr>
        <w:t>f</w:t>
      </w:r>
      <w:r w:rsidR="00DA3DBB" w:rsidRPr="00DA3DBB">
        <w:rPr>
          <w:rFonts w:cstheme="minorHAnsi"/>
        </w:rPr>
        <w:t xml:space="preserve">orestry and </w:t>
      </w:r>
      <w:r w:rsidR="000078E9">
        <w:rPr>
          <w:rFonts w:cstheme="minorHAnsi"/>
        </w:rPr>
        <w:t>t</w:t>
      </w:r>
      <w:r w:rsidR="00DA3DBB" w:rsidRPr="00DA3DBB">
        <w:rPr>
          <w:rFonts w:cstheme="minorHAnsi"/>
        </w:rPr>
        <w:t>ourism</w:t>
      </w:r>
      <w:r w:rsidR="000078E9">
        <w:rPr>
          <w:rFonts w:cstheme="minorHAnsi"/>
        </w:rPr>
        <w:t>)</w:t>
      </w:r>
      <w:r>
        <w:rPr>
          <w:rFonts w:cstheme="minorHAnsi"/>
        </w:rPr>
        <w:t xml:space="preserve">; while </w:t>
      </w:r>
      <w:r w:rsidR="00DA3DBB" w:rsidRPr="00DA3DBB">
        <w:rPr>
          <w:rFonts w:cstheme="minorHAnsi"/>
        </w:rPr>
        <w:t xml:space="preserve">business investment </w:t>
      </w:r>
      <w:r>
        <w:rPr>
          <w:rFonts w:cstheme="minorHAnsi"/>
        </w:rPr>
        <w:t xml:space="preserve">has fallen. </w:t>
      </w:r>
      <w:r w:rsidR="00DA3DBB" w:rsidRPr="00DA3DBB">
        <w:rPr>
          <w:rFonts w:cstheme="minorHAnsi"/>
        </w:rPr>
        <w:t xml:space="preserve">Tasmania also has a low level of educational attainment, with 18.0 per cent of </w:t>
      </w:r>
      <w:r w:rsidR="000078E9">
        <w:rPr>
          <w:rFonts w:cstheme="minorHAnsi"/>
        </w:rPr>
        <w:t xml:space="preserve">the population aged </w:t>
      </w:r>
      <w:r w:rsidR="00DA3DBB" w:rsidRPr="00DA3DBB">
        <w:rPr>
          <w:rFonts w:cstheme="minorHAnsi"/>
        </w:rPr>
        <w:t>15</w:t>
      </w:r>
      <w:r w:rsidR="00DA3DBB" w:rsidRPr="00DA3DBB">
        <w:rPr>
          <w:rFonts w:cstheme="minorHAnsi"/>
        </w:rPr>
        <w:noBreakHyphen/>
        <w:t xml:space="preserve">64 </w:t>
      </w:r>
      <w:r>
        <w:rPr>
          <w:rFonts w:cstheme="minorHAnsi"/>
        </w:rPr>
        <w:t>h</w:t>
      </w:r>
      <w:r w:rsidR="00DA3DBB" w:rsidRPr="00DA3DBB">
        <w:rPr>
          <w:rFonts w:cstheme="minorHAnsi"/>
        </w:rPr>
        <w:t>aving attain</w:t>
      </w:r>
      <w:r>
        <w:rPr>
          <w:rFonts w:cstheme="minorHAnsi"/>
        </w:rPr>
        <w:t xml:space="preserve">ed a </w:t>
      </w:r>
      <w:r w:rsidR="000078E9">
        <w:rPr>
          <w:rFonts w:cstheme="minorHAnsi"/>
        </w:rPr>
        <w:t>b</w:t>
      </w:r>
      <w:r>
        <w:rPr>
          <w:rFonts w:cstheme="minorHAnsi"/>
        </w:rPr>
        <w:t xml:space="preserve">achelor’s </w:t>
      </w:r>
      <w:r w:rsidR="000078E9">
        <w:rPr>
          <w:rFonts w:cstheme="minorHAnsi"/>
        </w:rPr>
        <w:t>d</w:t>
      </w:r>
      <w:r>
        <w:rPr>
          <w:rFonts w:cstheme="minorHAnsi"/>
        </w:rPr>
        <w:t>egree or above</w:t>
      </w:r>
      <w:r w:rsidR="00DA3DBB" w:rsidRPr="00DA3DBB">
        <w:rPr>
          <w:rFonts w:cstheme="minorHAnsi"/>
        </w:rPr>
        <w:t xml:space="preserve"> compared with 24.4 per cent </w:t>
      </w:r>
      <w:r>
        <w:rPr>
          <w:rFonts w:cstheme="minorHAnsi"/>
        </w:rPr>
        <w:t xml:space="preserve">nationally. </w:t>
      </w:r>
    </w:p>
    <w:p w:rsidR="00DA3DBB" w:rsidRPr="00DA3DBB" w:rsidRDefault="00DA3DBB" w:rsidP="00A22777">
      <w:pPr>
        <w:spacing w:after="240" w:line="240" w:lineRule="auto"/>
        <w:rPr>
          <w:rFonts w:cstheme="minorHAnsi"/>
        </w:rPr>
      </w:pPr>
      <w:r w:rsidRPr="000078E9">
        <w:rPr>
          <w:rFonts w:cstheme="minorHAnsi"/>
        </w:rPr>
        <w:t xml:space="preserve">There are also a number of demographic factors </w:t>
      </w:r>
      <w:r w:rsidR="000E34C4" w:rsidRPr="000078E9">
        <w:rPr>
          <w:rFonts w:cstheme="minorHAnsi"/>
        </w:rPr>
        <w:t xml:space="preserve">affecting </w:t>
      </w:r>
      <w:r w:rsidR="001E3DA5">
        <w:rPr>
          <w:rFonts w:cstheme="minorHAnsi"/>
        </w:rPr>
        <w:t>the S</w:t>
      </w:r>
      <w:r w:rsidRPr="000078E9">
        <w:rPr>
          <w:rFonts w:cstheme="minorHAnsi"/>
        </w:rPr>
        <w:t>tate’s labour market. Tasmania has a</w:t>
      </w:r>
      <w:r w:rsidRPr="00DA3DBB">
        <w:rPr>
          <w:rFonts w:cstheme="minorHAnsi"/>
        </w:rPr>
        <w:t xml:space="preserve"> relatively old population, with 21.4 per cent of its civilian population aged 65 and above (compared with 17.9 per cent for Australia). In addition, the proportion of Tasmania’s population aged 25-44 (people classified as prime-age workers) stood at 29.0 per cent in December 2013, well below the 35.2 per cent recorded for Australia. Further, Tasmania has recorded low population growth, with the population in the State increasing by 0.2 per cent over the year to the June quarter 2013, compared with 1.8 per cent </w:t>
      </w:r>
      <w:r w:rsidR="000078E9">
        <w:rPr>
          <w:rFonts w:cstheme="minorHAnsi"/>
        </w:rPr>
        <w:t>nationally</w:t>
      </w:r>
      <w:r w:rsidRPr="00DA3DBB">
        <w:rPr>
          <w:rFonts w:cstheme="minorHAnsi"/>
        </w:rPr>
        <w:t>.</w:t>
      </w:r>
    </w:p>
    <w:p w:rsidR="000078E9" w:rsidRDefault="00DA3DBB" w:rsidP="00A22777">
      <w:pPr>
        <w:spacing w:after="240" w:line="240" w:lineRule="auto"/>
        <w:rPr>
          <w:rFonts w:cstheme="minorHAnsi"/>
        </w:rPr>
      </w:pPr>
      <w:r w:rsidRPr="00DA3DBB">
        <w:rPr>
          <w:rFonts w:cstheme="minorHAnsi"/>
        </w:rPr>
        <w:t>Taking a more detailed look at population movements, in each of the nine quarters to the June quarter 2013, the number of departures from Tasmania to other parts of Australia outstripped the number of arrivals</w:t>
      </w:r>
      <w:r w:rsidR="000078E9">
        <w:rPr>
          <w:rFonts w:cstheme="minorHAnsi"/>
        </w:rPr>
        <w:t xml:space="preserve"> (see </w:t>
      </w:r>
      <w:r w:rsidR="006E0DF2">
        <w:rPr>
          <w:rFonts w:cstheme="minorHAnsi"/>
        </w:rPr>
        <w:t xml:space="preserve">pages </w:t>
      </w:r>
      <w:r w:rsidR="002A2B46">
        <w:rPr>
          <w:rFonts w:cstheme="minorHAnsi"/>
        </w:rPr>
        <w:t>14-17</w:t>
      </w:r>
      <w:r w:rsidR="006E0DF2">
        <w:rPr>
          <w:rFonts w:cstheme="minorHAnsi"/>
        </w:rPr>
        <w:t xml:space="preserve"> </w:t>
      </w:r>
      <w:r w:rsidR="000078E9">
        <w:rPr>
          <w:rFonts w:cstheme="minorHAnsi"/>
        </w:rPr>
        <w:t>for a more national discussion of these flows)</w:t>
      </w:r>
      <w:r w:rsidRPr="00DA3DBB">
        <w:rPr>
          <w:rFonts w:cstheme="minorHAnsi"/>
        </w:rPr>
        <w:t xml:space="preserve">. While these data indicate that </w:t>
      </w:r>
      <w:r w:rsidR="000078E9">
        <w:rPr>
          <w:rFonts w:cstheme="minorHAnsi"/>
        </w:rPr>
        <w:t xml:space="preserve">there has been a net outflow of people from Tasmania over this period, </w:t>
      </w:r>
      <w:r w:rsidRPr="00DA3DBB">
        <w:rPr>
          <w:rFonts w:cstheme="minorHAnsi"/>
        </w:rPr>
        <w:t xml:space="preserve">they provide no indication of whether these are people leaving Tasmania for better employment opportunities elsewhere. </w:t>
      </w:r>
    </w:p>
    <w:p w:rsidR="000078E9" w:rsidRDefault="000078E9" w:rsidP="00A22777">
      <w:pPr>
        <w:spacing w:after="240" w:line="240" w:lineRule="auto"/>
        <w:rPr>
          <w:rFonts w:cstheme="minorHAnsi"/>
        </w:rPr>
      </w:pPr>
      <w:r>
        <w:rPr>
          <w:rFonts w:cstheme="minorHAnsi"/>
        </w:rPr>
        <w:t xml:space="preserve">However, other data suggest that </w:t>
      </w:r>
      <w:r w:rsidRPr="00DA3DBB">
        <w:rPr>
          <w:rFonts w:cstheme="minorHAnsi"/>
        </w:rPr>
        <w:t>a greater proportion of young people are leavin</w:t>
      </w:r>
      <w:r w:rsidR="001E3DA5">
        <w:rPr>
          <w:rFonts w:cstheme="minorHAnsi"/>
        </w:rPr>
        <w:t>g Tasmania compared with other s</w:t>
      </w:r>
      <w:r w:rsidRPr="00DA3DBB">
        <w:rPr>
          <w:rFonts w:cstheme="minorHAnsi"/>
        </w:rPr>
        <w:t>tates</w:t>
      </w:r>
      <w:r>
        <w:rPr>
          <w:rFonts w:cstheme="minorHAnsi"/>
        </w:rPr>
        <w:t xml:space="preserve">, with </w:t>
      </w:r>
      <w:r w:rsidR="00DA3DBB" w:rsidRPr="00DA3DBB">
        <w:rPr>
          <w:rFonts w:cstheme="minorHAnsi"/>
        </w:rPr>
        <w:t>around 12 per cent of people aged 15-34 who lived in Tasmania at the time of the 2006 Census liv</w:t>
      </w:r>
      <w:r>
        <w:rPr>
          <w:rFonts w:cstheme="minorHAnsi"/>
        </w:rPr>
        <w:t xml:space="preserve">ing </w:t>
      </w:r>
      <w:r w:rsidR="001E3DA5">
        <w:rPr>
          <w:rFonts w:cstheme="minorHAnsi"/>
        </w:rPr>
        <w:t>in another s</w:t>
      </w:r>
      <w:r w:rsidR="00DA3DBB" w:rsidRPr="00DA3DBB">
        <w:rPr>
          <w:rFonts w:cstheme="minorHAnsi"/>
        </w:rPr>
        <w:t>tate as at August 2011, well above the 7 per cent recorded for Australia.</w:t>
      </w:r>
      <w:r>
        <w:rPr>
          <w:rFonts w:cstheme="minorHAnsi"/>
        </w:rPr>
        <w:t xml:space="preserve"> </w:t>
      </w:r>
      <w:r w:rsidR="00DA3DBB" w:rsidRPr="00DA3DBB">
        <w:rPr>
          <w:rFonts w:cstheme="minorHAnsi"/>
        </w:rPr>
        <w:t>Further, the educational attainment level of those people aged 15-34</w:t>
      </w:r>
      <w:r w:rsidR="001E3DA5">
        <w:rPr>
          <w:rFonts w:cstheme="minorHAnsi"/>
        </w:rPr>
        <w:t xml:space="preserve"> who left Tasmania for another s</w:t>
      </w:r>
      <w:r w:rsidR="00DA3DBB" w:rsidRPr="00DA3DBB">
        <w:rPr>
          <w:rFonts w:cstheme="minorHAnsi"/>
        </w:rPr>
        <w:t xml:space="preserve">tate in the five years between the 2006 and 2011 Census (71 per cent having completed Year 12) is well above the educational attainment level of those aged 15-34 who remained in Tasmania (only 53 per cent have completed Year 12). This suggests that </w:t>
      </w:r>
      <w:r w:rsidR="00087C5A">
        <w:rPr>
          <w:rFonts w:cstheme="minorHAnsi"/>
        </w:rPr>
        <w:t xml:space="preserve">many higher </w:t>
      </w:r>
      <w:r w:rsidR="00087C5A">
        <w:rPr>
          <w:rFonts w:cstheme="minorHAnsi"/>
        </w:rPr>
        <w:lastRenderedPageBreak/>
        <w:t xml:space="preserve">skilled young people are migrating from </w:t>
      </w:r>
      <w:r w:rsidR="00DA3DBB" w:rsidRPr="00DA3DBB">
        <w:rPr>
          <w:rFonts w:cstheme="minorHAnsi"/>
        </w:rPr>
        <w:t xml:space="preserve">Tasmania to </w:t>
      </w:r>
      <w:r w:rsidR="001E3DA5">
        <w:rPr>
          <w:rFonts w:cstheme="minorHAnsi"/>
        </w:rPr>
        <w:t>other s</w:t>
      </w:r>
      <w:r w:rsidR="00087C5A">
        <w:rPr>
          <w:rFonts w:cstheme="minorHAnsi"/>
        </w:rPr>
        <w:t xml:space="preserve">tates as they search for </w:t>
      </w:r>
      <w:r w:rsidR="00DA3DBB" w:rsidRPr="00DA3DBB">
        <w:rPr>
          <w:rFonts w:cstheme="minorHAnsi"/>
        </w:rPr>
        <w:t>employment</w:t>
      </w:r>
      <w:r w:rsidR="00087C5A">
        <w:rPr>
          <w:rFonts w:cstheme="minorHAnsi"/>
        </w:rPr>
        <w:t xml:space="preserve"> opportunities</w:t>
      </w:r>
      <w:r w:rsidR="00DA3DBB" w:rsidRPr="00DA3DBB">
        <w:rPr>
          <w:rFonts w:cstheme="minorHAnsi"/>
        </w:rPr>
        <w:t xml:space="preserve">. </w:t>
      </w:r>
    </w:p>
    <w:p w:rsidR="00511AC2" w:rsidRPr="00661594" w:rsidRDefault="00511AC2" w:rsidP="00E3010D">
      <w:pPr>
        <w:pStyle w:val="Heading2"/>
        <w:rPr>
          <w:b w:val="0"/>
        </w:rPr>
      </w:pPr>
      <w:bookmarkStart w:id="8" w:name="_Toc384202080"/>
      <w:r w:rsidRPr="00661594">
        <w:t>Fly-in</w:t>
      </w:r>
      <w:r w:rsidR="0059457C">
        <w:t>, f</w:t>
      </w:r>
      <w:r w:rsidRPr="00661594">
        <w:t xml:space="preserve">ly-out </w:t>
      </w:r>
      <w:r w:rsidR="0059457C">
        <w:t xml:space="preserve">(FIFO) </w:t>
      </w:r>
      <w:r w:rsidRPr="00661594">
        <w:t>workers</w:t>
      </w:r>
      <w:bookmarkEnd w:id="8"/>
    </w:p>
    <w:p w:rsidR="00043AD9" w:rsidRDefault="00043AD9" w:rsidP="00A22777">
      <w:pPr>
        <w:spacing w:after="240" w:line="240" w:lineRule="auto"/>
      </w:pPr>
      <w:r>
        <w:t xml:space="preserve">As noted in the </w:t>
      </w:r>
      <w:r w:rsidR="0059457C">
        <w:t>Commission’s</w:t>
      </w:r>
      <w:r w:rsidR="00BB3A25">
        <w:t xml:space="preserve"> </w:t>
      </w:r>
      <w:r>
        <w:t>draft report, there is limited information about the characteristics of long</w:t>
      </w:r>
      <w:r>
        <w:noBreakHyphen/>
        <w:t xml:space="preserve">distance commuters. </w:t>
      </w:r>
    </w:p>
    <w:p w:rsidR="00511AC2" w:rsidRPr="00661594" w:rsidRDefault="00511AC2" w:rsidP="00A22777">
      <w:pPr>
        <w:spacing w:after="240" w:line="240" w:lineRule="auto"/>
        <w:rPr>
          <w:rFonts w:cstheme="minorHAnsi"/>
        </w:rPr>
      </w:pPr>
      <w:r w:rsidRPr="00661594">
        <w:t>FIFO arrangements are used to get workers to where the work is located without the need for a permanent move</w:t>
      </w:r>
      <w:r w:rsidR="0059457C">
        <w:t>,</w:t>
      </w:r>
      <w:r w:rsidRPr="00661594">
        <w:t xml:space="preserve"> and are largely associated with the Mining industry. While there is no official source of data on the number of FIFO workers in Australia, Census data can </w:t>
      </w:r>
      <w:r w:rsidR="0059457C">
        <w:t xml:space="preserve">indicate </w:t>
      </w:r>
      <w:r w:rsidRPr="00661594">
        <w:rPr>
          <w:rFonts w:cstheme="minorHAnsi"/>
        </w:rPr>
        <w:t xml:space="preserve">the regions most affected by FIFO work arrangements. </w:t>
      </w:r>
    </w:p>
    <w:p w:rsidR="00511AC2" w:rsidRPr="00661594" w:rsidRDefault="00511AC2" w:rsidP="00A22777">
      <w:pPr>
        <w:spacing w:after="240" w:line="240" w:lineRule="auto"/>
      </w:pPr>
      <w:r w:rsidRPr="00661594">
        <w:t>In the August 2011 Census, approximately 176,600 workers in Australia reported that they were employed in the Mining industry, accounting for 1.8 per cent of total employment. Of these, around 29,900 (or 17.0 per cent of employment in the industry) were counted in the Census at a location that was not their usual residence. Many of these workers are likely to be employed under a FIFO arrangement.</w:t>
      </w:r>
    </w:p>
    <w:p w:rsidR="00511AC2" w:rsidRPr="00661594" w:rsidRDefault="00511AC2" w:rsidP="00A22777">
      <w:pPr>
        <w:spacing w:after="240" w:line="240" w:lineRule="auto"/>
      </w:pPr>
      <w:r w:rsidRPr="00661594">
        <w:t xml:space="preserve">The labour market characteristics of these workers were similar to the Mining industry as a whole. They were most often males aged 25-44 years and employed as Machinery Operators and Drivers or Technicians and Trades </w:t>
      </w:r>
      <w:r w:rsidR="0059457C">
        <w:t>Workers. Most worked long, full-</w:t>
      </w:r>
      <w:r w:rsidRPr="00661594">
        <w:t>time hours for relatively high pay.</w:t>
      </w:r>
    </w:p>
    <w:p w:rsidR="00511AC2" w:rsidRPr="00661594" w:rsidRDefault="00511AC2" w:rsidP="00A22777">
      <w:pPr>
        <w:spacing w:after="240" w:line="240" w:lineRule="auto"/>
      </w:pPr>
      <w:r w:rsidRPr="00661594">
        <w:t>In 2011, the five regions</w:t>
      </w:r>
      <w:r w:rsidRPr="00661594">
        <w:rPr>
          <w:rStyle w:val="FootnoteReference"/>
        </w:rPr>
        <w:footnoteReference w:id="2"/>
      </w:r>
      <w:r w:rsidRPr="00661594">
        <w:t xml:space="preserve"> with the largest number of Mining workers, based on place of work, were </w:t>
      </w:r>
      <w:r w:rsidR="0059457C">
        <w:t xml:space="preserve">the </w:t>
      </w:r>
      <w:r w:rsidRPr="00661594">
        <w:t>Pilbara (</w:t>
      </w:r>
      <w:r w:rsidR="002A2B46">
        <w:t xml:space="preserve">WA, </w:t>
      </w:r>
      <w:r w:rsidRPr="00661594">
        <w:t>18,900 or 10.8 per cent of total Mining employment), Bowen Basin-North (</w:t>
      </w:r>
      <w:r w:rsidR="002A2B46">
        <w:t xml:space="preserve">Qld, </w:t>
      </w:r>
      <w:r w:rsidRPr="00661594">
        <w:t>11,700 or 6.7</w:t>
      </w:r>
      <w:r w:rsidR="00043AD9">
        <w:t> </w:t>
      </w:r>
      <w:r w:rsidRPr="00661594">
        <w:t>per</w:t>
      </w:r>
      <w:r w:rsidR="00043AD9">
        <w:t> </w:t>
      </w:r>
      <w:r w:rsidRPr="00661594">
        <w:t>cent), Goldfields (WA, 7500 or 4.3 per cent), Lower Hunter (NSW, 5800 or 3.3</w:t>
      </w:r>
      <w:r w:rsidR="00C14343">
        <w:t> </w:t>
      </w:r>
      <w:r w:rsidRPr="00661594">
        <w:t>per</w:t>
      </w:r>
      <w:r w:rsidR="00C14343">
        <w:t> </w:t>
      </w:r>
      <w:r w:rsidRPr="00661594">
        <w:t>cent) and Central Highlands (Qld, 5700 or 3.3 per cent).</w:t>
      </w:r>
      <w:r w:rsidRPr="00661594">
        <w:rPr>
          <w:rStyle w:val="FootnoteReference"/>
        </w:rPr>
        <w:footnoteReference w:id="3"/>
      </w:r>
      <w:r w:rsidRPr="00661594">
        <w:t xml:space="preserve"> </w:t>
      </w:r>
    </w:p>
    <w:p w:rsidR="00511AC2" w:rsidRPr="00661594" w:rsidRDefault="00511AC2" w:rsidP="00A22777">
      <w:pPr>
        <w:spacing w:after="240" w:line="240" w:lineRule="auto"/>
      </w:pPr>
      <w:r w:rsidRPr="00661594">
        <w:t>The vast majority of workers in the Mining indu</w:t>
      </w:r>
      <w:r w:rsidR="00D61609">
        <w:t>stry work and live in the same s</w:t>
      </w:r>
      <w:r w:rsidRPr="00661594">
        <w:t>tate, with most living in the same region as they work. By comparing the place of work and the place of usual residence for people employed in the Mining industry, areas where Mining workers outnumber Mining usual residents can be identified to give an indication of the number of FIFO workers.</w:t>
      </w:r>
    </w:p>
    <w:p w:rsidR="00511AC2" w:rsidRPr="00DC5179" w:rsidRDefault="00E25B3D" w:rsidP="00A22777">
      <w:pPr>
        <w:spacing w:after="240" w:line="240" w:lineRule="auto"/>
        <w:rPr>
          <w:rFonts w:cstheme="minorHAnsi"/>
        </w:rPr>
      </w:pPr>
      <w:r w:rsidRPr="00DC5179">
        <w:rPr>
          <w:rFonts w:cstheme="minorHAnsi"/>
        </w:rPr>
        <w:t>Table 3</w:t>
      </w:r>
      <w:r w:rsidR="00511AC2" w:rsidRPr="00DC5179">
        <w:rPr>
          <w:rFonts w:cstheme="minorHAnsi"/>
        </w:rPr>
        <w:t xml:space="preserve"> presents the regions where the number who worked in the region (place of work) was greater than the number who lived in the region (place of usual residence) for Mining workers. The figures suggest that Pilbara and Bowen Basin are the two largest FIFO work destinations.</w:t>
      </w:r>
    </w:p>
    <w:p w:rsidR="00511AC2" w:rsidRPr="00661594" w:rsidRDefault="00E25B3D" w:rsidP="004E55F9">
      <w:pPr>
        <w:pStyle w:val="CABNETParagraphAtt"/>
        <w:keepNext/>
        <w:spacing w:before="0" w:after="0"/>
        <w:rPr>
          <w:rFonts w:asciiTheme="minorHAnsi" w:hAnsiTheme="minorHAnsi" w:cstheme="minorHAnsi"/>
          <w:b/>
        </w:rPr>
      </w:pPr>
      <w:r w:rsidRPr="00661594">
        <w:rPr>
          <w:rFonts w:asciiTheme="minorHAnsi" w:hAnsiTheme="minorHAnsi" w:cstheme="minorHAnsi"/>
          <w:b/>
        </w:rPr>
        <w:lastRenderedPageBreak/>
        <w:t>Table 3</w:t>
      </w:r>
      <w:r w:rsidR="00511AC2" w:rsidRPr="00661594">
        <w:rPr>
          <w:rFonts w:asciiTheme="minorHAnsi" w:hAnsiTheme="minorHAnsi" w:cstheme="minorHAnsi"/>
          <w:b/>
        </w:rPr>
        <w:t>: FIFO destinations - place of work populations greater than place of usual resident populations</w:t>
      </w:r>
    </w:p>
    <w:tbl>
      <w:tblPr>
        <w:tblW w:w="88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2416"/>
        <w:gridCol w:w="1780"/>
        <w:gridCol w:w="1420"/>
      </w:tblGrid>
      <w:tr w:rsidR="00511AC2" w:rsidRPr="00661594" w:rsidTr="00E849EF">
        <w:trPr>
          <w:trHeight w:val="315"/>
        </w:trPr>
        <w:tc>
          <w:tcPr>
            <w:tcW w:w="3220" w:type="dxa"/>
            <w:shd w:val="clear" w:color="auto" w:fill="auto"/>
            <w:noWrap/>
            <w:vAlign w:val="bottom"/>
            <w:hideMark/>
          </w:tcPr>
          <w:p w:rsidR="00511AC2" w:rsidRPr="00661594" w:rsidRDefault="00511AC2" w:rsidP="004E55F9">
            <w:pPr>
              <w:keepNext/>
              <w:spacing w:after="0" w:line="240" w:lineRule="auto"/>
              <w:rPr>
                <w:rFonts w:ascii="Calibri" w:eastAsia="Times New Roman" w:hAnsi="Calibri" w:cs="Calibri"/>
                <w:b/>
                <w:bCs/>
                <w:lang w:eastAsia="en-AU"/>
              </w:rPr>
            </w:pPr>
            <w:r w:rsidRPr="00661594">
              <w:rPr>
                <w:rFonts w:ascii="Calibri" w:eastAsia="Times New Roman" w:hAnsi="Calibri" w:cs="Calibri"/>
                <w:b/>
                <w:bCs/>
                <w:lang w:eastAsia="en-AU"/>
              </w:rPr>
              <w:t>Location (SA3)</w:t>
            </w:r>
          </w:p>
        </w:tc>
        <w:tc>
          <w:tcPr>
            <w:tcW w:w="2416" w:type="dxa"/>
            <w:shd w:val="clear" w:color="auto" w:fill="auto"/>
            <w:noWrap/>
            <w:vAlign w:val="bottom"/>
            <w:hideMark/>
          </w:tcPr>
          <w:p w:rsidR="00511AC2" w:rsidRPr="00661594" w:rsidRDefault="00511AC2" w:rsidP="00E849EF">
            <w:pPr>
              <w:keepNext/>
              <w:spacing w:after="0" w:line="240" w:lineRule="auto"/>
              <w:jc w:val="center"/>
              <w:rPr>
                <w:rFonts w:ascii="Calibri" w:eastAsia="Times New Roman" w:hAnsi="Calibri" w:cs="Calibri"/>
                <w:b/>
                <w:bCs/>
                <w:lang w:eastAsia="en-AU"/>
              </w:rPr>
            </w:pPr>
            <w:r w:rsidRPr="00661594">
              <w:rPr>
                <w:rFonts w:ascii="Calibri" w:eastAsia="Times New Roman" w:hAnsi="Calibri" w:cs="Calibri"/>
                <w:b/>
                <w:bCs/>
                <w:lang w:eastAsia="en-AU"/>
              </w:rPr>
              <w:t>Place of usual residence</w:t>
            </w:r>
          </w:p>
        </w:tc>
        <w:tc>
          <w:tcPr>
            <w:tcW w:w="1780" w:type="dxa"/>
            <w:shd w:val="clear" w:color="auto" w:fill="auto"/>
            <w:noWrap/>
            <w:vAlign w:val="bottom"/>
            <w:hideMark/>
          </w:tcPr>
          <w:p w:rsidR="00511AC2" w:rsidRPr="00661594" w:rsidRDefault="00511AC2" w:rsidP="00E849EF">
            <w:pPr>
              <w:keepNext/>
              <w:spacing w:after="0" w:line="240" w:lineRule="auto"/>
              <w:jc w:val="center"/>
              <w:rPr>
                <w:rFonts w:ascii="Calibri" w:eastAsia="Times New Roman" w:hAnsi="Calibri" w:cs="Calibri"/>
                <w:b/>
                <w:bCs/>
                <w:lang w:eastAsia="en-AU"/>
              </w:rPr>
            </w:pPr>
            <w:r w:rsidRPr="00661594">
              <w:rPr>
                <w:rFonts w:ascii="Calibri" w:eastAsia="Times New Roman" w:hAnsi="Calibri" w:cs="Calibri"/>
                <w:b/>
                <w:bCs/>
                <w:lang w:eastAsia="en-AU"/>
              </w:rPr>
              <w:t>Place of Work</w:t>
            </w:r>
          </w:p>
        </w:tc>
        <w:tc>
          <w:tcPr>
            <w:tcW w:w="1420" w:type="dxa"/>
            <w:shd w:val="clear" w:color="auto" w:fill="auto"/>
            <w:noWrap/>
            <w:vAlign w:val="bottom"/>
            <w:hideMark/>
          </w:tcPr>
          <w:p w:rsidR="00511AC2" w:rsidRPr="00661594" w:rsidRDefault="00511AC2" w:rsidP="00E849EF">
            <w:pPr>
              <w:keepNext/>
              <w:spacing w:after="0" w:line="240" w:lineRule="auto"/>
              <w:jc w:val="center"/>
              <w:rPr>
                <w:rFonts w:ascii="Calibri" w:eastAsia="Times New Roman" w:hAnsi="Calibri" w:cs="Calibri"/>
                <w:b/>
                <w:bCs/>
                <w:lang w:eastAsia="en-AU"/>
              </w:rPr>
            </w:pPr>
            <w:r w:rsidRPr="00661594">
              <w:rPr>
                <w:rFonts w:ascii="Calibri" w:eastAsia="Times New Roman" w:hAnsi="Calibri" w:cs="Calibri"/>
                <w:b/>
                <w:bCs/>
                <w:lang w:eastAsia="en-AU"/>
              </w:rPr>
              <w:t>Difference</w:t>
            </w:r>
          </w:p>
        </w:tc>
      </w:tr>
      <w:tr w:rsidR="00511AC2" w:rsidRPr="00661594" w:rsidTr="00E849EF">
        <w:trPr>
          <w:trHeight w:val="315"/>
        </w:trPr>
        <w:tc>
          <w:tcPr>
            <w:tcW w:w="3220" w:type="dxa"/>
            <w:shd w:val="clear" w:color="auto" w:fill="auto"/>
            <w:noWrap/>
            <w:vAlign w:val="center"/>
            <w:hideMark/>
          </w:tcPr>
          <w:p w:rsidR="00511AC2" w:rsidRPr="00661594" w:rsidRDefault="00511AC2" w:rsidP="004E55F9">
            <w:pPr>
              <w:keepNext/>
              <w:spacing w:after="0" w:line="240" w:lineRule="auto"/>
              <w:rPr>
                <w:rFonts w:ascii="Calibri" w:eastAsia="Times New Roman" w:hAnsi="Calibri" w:cs="Calibri"/>
                <w:lang w:eastAsia="en-AU"/>
              </w:rPr>
            </w:pPr>
            <w:r w:rsidRPr="00661594">
              <w:rPr>
                <w:rFonts w:ascii="Calibri" w:eastAsia="Times New Roman" w:hAnsi="Calibri" w:cs="Calibri"/>
                <w:lang w:eastAsia="en-AU"/>
              </w:rPr>
              <w:t>Pilbara (WA Outback)</w:t>
            </w:r>
          </w:p>
        </w:tc>
        <w:tc>
          <w:tcPr>
            <w:tcW w:w="2416"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11,430</w:t>
            </w:r>
          </w:p>
        </w:tc>
        <w:tc>
          <w:tcPr>
            <w:tcW w:w="178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18,890</w:t>
            </w:r>
          </w:p>
        </w:tc>
        <w:tc>
          <w:tcPr>
            <w:tcW w:w="142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-7460</w:t>
            </w:r>
          </w:p>
        </w:tc>
      </w:tr>
      <w:tr w:rsidR="00511AC2" w:rsidRPr="00661594" w:rsidTr="00E849EF">
        <w:trPr>
          <w:trHeight w:val="315"/>
        </w:trPr>
        <w:tc>
          <w:tcPr>
            <w:tcW w:w="3220" w:type="dxa"/>
            <w:shd w:val="clear" w:color="auto" w:fill="auto"/>
            <w:noWrap/>
            <w:vAlign w:val="center"/>
            <w:hideMark/>
          </w:tcPr>
          <w:p w:rsidR="00511AC2" w:rsidRPr="00661594" w:rsidRDefault="00511AC2" w:rsidP="004E55F9">
            <w:pPr>
              <w:keepNext/>
              <w:spacing w:after="0" w:line="240" w:lineRule="auto"/>
              <w:rPr>
                <w:rFonts w:ascii="Calibri" w:eastAsia="Times New Roman" w:hAnsi="Calibri" w:cs="Calibri"/>
                <w:lang w:eastAsia="en-AU"/>
              </w:rPr>
            </w:pPr>
            <w:r w:rsidRPr="00661594">
              <w:rPr>
                <w:rFonts w:ascii="Calibri" w:eastAsia="Times New Roman" w:hAnsi="Calibri" w:cs="Calibri"/>
                <w:lang w:eastAsia="en-AU"/>
              </w:rPr>
              <w:t>Bowen Basin - North (Qld)</w:t>
            </w:r>
          </w:p>
        </w:tc>
        <w:tc>
          <w:tcPr>
            <w:tcW w:w="2416"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5330</w:t>
            </w:r>
          </w:p>
        </w:tc>
        <w:tc>
          <w:tcPr>
            <w:tcW w:w="178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11,680</w:t>
            </w:r>
          </w:p>
        </w:tc>
        <w:tc>
          <w:tcPr>
            <w:tcW w:w="142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-6350</w:t>
            </w:r>
          </w:p>
        </w:tc>
      </w:tr>
      <w:tr w:rsidR="00511AC2" w:rsidRPr="00661594" w:rsidTr="00E849EF">
        <w:trPr>
          <w:trHeight w:val="315"/>
        </w:trPr>
        <w:tc>
          <w:tcPr>
            <w:tcW w:w="3220" w:type="dxa"/>
            <w:shd w:val="clear" w:color="auto" w:fill="auto"/>
            <w:noWrap/>
            <w:vAlign w:val="center"/>
            <w:hideMark/>
          </w:tcPr>
          <w:p w:rsidR="00511AC2" w:rsidRPr="00661594" w:rsidRDefault="00511AC2" w:rsidP="004E55F9">
            <w:pPr>
              <w:keepNext/>
              <w:spacing w:after="0" w:line="240" w:lineRule="auto"/>
              <w:rPr>
                <w:rFonts w:ascii="Calibri" w:eastAsia="Times New Roman" w:hAnsi="Calibri" w:cs="Calibri"/>
                <w:lang w:eastAsia="en-AU"/>
              </w:rPr>
            </w:pPr>
            <w:r w:rsidRPr="00661594">
              <w:rPr>
                <w:rFonts w:ascii="Calibri" w:eastAsia="Times New Roman" w:hAnsi="Calibri" w:cs="Calibri"/>
                <w:lang w:eastAsia="en-AU"/>
              </w:rPr>
              <w:t>Goldfields (WA)</w:t>
            </w:r>
          </w:p>
        </w:tc>
        <w:tc>
          <w:tcPr>
            <w:tcW w:w="2416"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5380</w:t>
            </w:r>
          </w:p>
        </w:tc>
        <w:tc>
          <w:tcPr>
            <w:tcW w:w="178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7550</w:t>
            </w:r>
          </w:p>
        </w:tc>
        <w:tc>
          <w:tcPr>
            <w:tcW w:w="142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-2170</w:t>
            </w:r>
          </w:p>
        </w:tc>
      </w:tr>
      <w:tr w:rsidR="00511AC2" w:rsidRPr="00661594" w:rsidTr="00E849EF">
        <w:trPr>
          <w:trHeight w:val="315"/>
        </w:trPr>
        <w:tc>
          <w:tcPr>
            <w:tcW w:w="3220" w:type="dxa"/>
            <w:shd w:val="clear" w:color="auto" w:fill="auto"/>
            <w:noWrap/>
            <w:vAlign w:val="center"/>
            <w:hideMark/>
          </w:tcPr>
          <w:p w:rsidR="00511AC2" w:rsidRPr="00661594" w:rsidRDefault="00511AC2" w:rsidP="004E55F9">
            <w:pPr>
              <w:keepNext/>
              <w:spacing w:after="0" w:line="240" w:lineRule="auto"/>
              <w:rPr>
                <w:rFonts w:ascii="Calibri" w:eastAsia="Times New Roman" w:hAnsi="Calibri" w:cs="Calibri"/>
                <w:lang w:eastAsia="en-AU"/>
              </w:rPr>
            </w:pPr>
            <w:r w:rsidRPr="00661594">
              <w:rPr>
                <w:rFonts w:ascii="Calibri" w:eastAsia="Times New Roman" w:hAnsi="Calibri" w:cs="Calibri"/>
                <w:lang w:eastAsia="en-AU"/>
              </w:rPr>
              <w:t>Outback - North and East (SA)</w:t>
            </w:r>
          </w:p>
        </w:tc>
        <w:tc>
          <w:tcPr>
            <w:tcW w:w="2416"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2270</w:t>
            </w:r>
          </w:p>
        </w:tc>
        <w:tc>
          <w:tcPr>
            <w:tcW w:w="178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4160</w:t>
            </w:r>
          </w:p>
        </w:tc>
        <w:tc>
          <w:tcPr>
            <w:tcW w:w="142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-1890</w:t>
            </w:r>
          </w:p>
        </w:tc>
      </w:tr>
      <w:tr w:rsidR="00511AC2" w:rsidRPr="00661594" w:rsidTr="00E849EF">
        <w:trPr>
          <w:trHeight w:val="315"/>
        </w:trPr>
        <w:tc>
          <w:tcPr>
            <w:tcW w:w="3220" w:type="dxa"/>
            <w:shd w:val="clear" w:color="auto" w:fill="auto"/>
            <w:noWrap/>
            <w:vAlign w:val="center"/>
            <w:hideMark/>
          </w:tcPr>
          <w:p w:rsidR="00511AC2" w:rsidRPr="00661594" w:rsidRDefault="00511AC2" w:rsidP="004E55F9">
            <w:pPr>
              <w:keepNext/>
              <w:spacing w:after="0" w:line="240" w:lineRule="auto"/>
              <w:rPr>
                <w:rFonts w:ascii="Calibri" w:eastAsia="Times New Roman" w:hAnsi="Calibri" w:cs="Calibri"/>
                <w:lang w:eastAsia="en-AU"/>
              </w:rPr>
            </w:pPr>
            <w:r w:rsidRPr="00661594">
              <w:rPr>
                <w:rFonts w:ascii="Calibri" w:eastAsia="Times New Roman" w:hAnsi="Calibri" w:cs="Calibri"/>
                <w:lang w:eastAsia="en-AU"/>
              </w:rPr>
              <w:t>Central Highlands (Qld)</w:t>
            </w:r>
          </w:p>
        </w:tc>
        <w:tc>
          <w:tcPr>
            <w:tcW w:w="2416"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3980</w:t>
            </w:r>
          </w:p>
        </w:tc>
        <w:tc>
          <w:tcPr>
            <w:tcW w:w="178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5690</w:t>
            </w:r>
          </w:p>
        </w:tc>
        <w:tc>
          <w:tcPr>
            <w:tcW w:w="142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-1720</w:t>
            </w:r>
          </w:p>
        </w:tc>
      </w:tr>
      <w:tr w:rsidR="00511AC2" w:rsidRPr="00661594" w:rsidTr="00E849EF">
        <w:trPr>
          <w:trHeight w:val="315"/>
        </w:trPr>
        <w:tc>
          <w:tcPr>
            <w:tcW w:w="3220" w:type="dxa"/>
            <w:shd w:val="clear" w:color="auto" w:fill="auto"/>
            <w:noWrap/>
            <w:vAlign w:val="center"/>
            <w:hideMark/>
          </w:tcPr>
          <w:p w:rsidR="00511AC2" w:rsidRPr="00661594" w:rsidRDefault="00511AC2" w:rsidP="004E55F9">
            <w:pPr>
              <w:keepNext/>
              <w:spacing w:after="0" w:line="240" w:lineRule="auto"/>
              <w:rPr>
                <w:rFonts w:ascii="Calibri" w:eastAsia="Times New Roman" w:hAnsi="Calibri" w:cs="Calibri"/>
                <w:lang w:eastAsia="en-AU"/>
              </w:rPr>
            </w:pPr>
            <w:r w:rsidRPr="00661594">
              <w:rPr>
                <w:rFonts w:ascii="Calibri" w:eastAsia="Times New Roman" w:hAnsi="Calibri" w:cs="Calibri"/>
                <w:lang w:eastAsia="en-AU"/>
              </w:rPr>
              <w:t>Outback - North (Qld)</w:t>
            </w:r>
          </w:p>
        </w:tc>
        <w:tc>
          <w:tcPr>
            <w:tcW w:w="2416"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3860</w:t>
            </w:r>
          </w:p>
        </w:tc>
        <w:tc>
          <w:tcPr>
            <w:tcW w:w="178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5080</w:t>
            </w:r>
          </w:p>
        </w:tc>
        <w:tc>
          <w:tcPr>
            <w:tcW w:w="142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-1220</w:t>
            </w:r>
          </w:p>
        </w:tc>
      </w:tr>
      <w:tr w:rsidR="00511AC2" w:rsidRPr="00661594" w:rsidTr="00E849EF">
        <w:trPr>
          <w:trHeight w:val="330"/>
        </w:trPr>
        <w:tc>
          <w:tcPr>
            <w:tcW w:w="3220" w:type="dxa"/>
            <w:shd w:val="clear" w:color="auto" w:fill="auto"/>
            <w:noWrap/>
            <w:vAlign w:val="center"/>
            <w:hideMark/>
          </w:tcPr>
          <w:p w:rsidR="00511AC2" w:rsidRPr="00661594" w:rsidRDefault="00511AC2" w:rsidP="004E55F9">
            <w:pPr>
              <w:keepNext/>
              <w:spacing w:after="0" w:line="240" w:lineRule="auto"/>
              <w:rPr>
                <w:rFonts w:ascii="Calibri" w:eastAsia="Times New Roman" w:hAnsi="Calibri" w:cs="Calibri"/>
                <w:lang w:eastAsia="en-AU"/>
              </w:rPr>
            </w:pPr>
            <w:r w:rsidRPr="00661594">
              <w:rPr>
                <w:rFonts w:ascii="Calibri" w:eastAsia="Times New Roman" w:hAnsi="Calibri" w:cs="Calibri"/>
                <w:lang w:eastAsia="en-AU"/>
              </w:rPr>
              <w:t>Wheat Belt - South (WA)</w:t>
            </w:r>
          </w:p>
        </w:tc>
        <w:tc>
          <w:tcPr>
            <w:tcW w:w="2416"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800</w:t>
            </w:r>
          </w:p>
        </w:tc>
        <w:tc>
          <w:tcPr>
            <w:tcW w:w="178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1770</w:t>
            </w:r>
          </w:p>
        </w:tc>
        <w:tc>
          <w:tcPr>
            <w:tcW w:w="1420" w:type="dxa"/>
            <w:shd w:val="clear" w:color="auto" w:fill="auto"/>
            <w:noWrap/>
            <w:vAlign w:val="center"/>
            <w:hideMark/>
          </w:tcPr>
          <w:p w:rsidR="00511AC2" w:rsidRPr="00661594" w:rsidRDefault="00511AC2" w:rsidP="004E55F9">
            <w:pPr>
              <w:keepNext/>
              <w:spacing w:after="0" w:line="240" w:lineRule="auto"/>
              <w:jc w:val="center"/>
              <w:rPr>
                <w:rFonts w:ascii="Calibri" w:eastAsia="Times New Roman" w:hAnsi="Calibri" w:cs="Calibri"/>
                <w:lang w:eastAsia="en-AU"/>
              </w:rPr>
            </w:pPr>
            <w:r w:rsidRPr="00661594">
              <w:rPr>
                <w:rFonts w:ascii="Calibri" w:eastAsia="Times New Roman" w:hAnsi="Calibri" w:cs="Calibri"/>
                <w:lang w:eastAsia="en-AU"/>
              </w:rPr>
              <w:t>-970</w:t>
            </w:r>
          </w:p>
        </w:tc>
      </w:tr>
    </w:tbl>
    <w:p w:rsidR="00511AC2" w:rsidRPr="00DC5179" w:rsidRDefault="00511AC2" w:rsidP="00DC5179">
      <w:pPr>
        <w:spacing w:after="240" w:line="240" w:lineRule="auto"/>
        <w:rPr>
          <w:rFonts w:cstheme="minorHAnsi"/>
          <w:sz w:val="18"/>
          <w:szCs w:val="18"/>
        </w:rPr>
      </w:pPr>
      <w:r w:rsidRPr="00DC5179">
        <w:rPr>
          <w:rFonts w:cstheme="minorHAnsi"/>
          <w:sz w:val="18"/>
          <w:szCs w:val="18"/>
        </w:rPr>
        <w:t>Source: ABS 2011 Census of Population and Housing.</w:t>
      </w:r>
    </w:p>
    <w:p w:rsidR="00511AC2" w:rsidRPr="00DC5179" w:rsidRDefault="00511AC2" w:rsidP="00DC5179">
      <w:pPr>
        <w:spacing w:after="240" w:line="240" w:lineRule="auto"/>
        <w:rPr>
          <w:rFonts w:cstheme="minorHAnsi"/>
        </w:rPr>
      </w:pPr>
      <w:r w:rsidRPr="00DC5179">
        <w:rPr>
          <w:rFonts w:cstheme="minorHAnsi"/>
        </w:rPr>
        <w:t xml:space="preserve">Table </w:t>
      </w:r>
      <w:r w:rsidR="00D57D02" w:rsidRPr="00DC5179">
        <w:rPr>
          <w:rFonts w:cstheme="minorHAnsi"/>
        </w:rPr>
        <w:t>4</w:t>
      </w:r>
      <w:r w:rsidRPr="00DC5179">
        <w:rPr>
          <w:rFonts w:cstheme="minorHAnsi"/>
        </w:rPr>
        <w:t xml:space="preserve"> presents the regions where the place of usual residence was highest compared to place of work for Mining workers. These figures suggest that Perth and its suburbs are home to the largest numbers of FIFO workers, followed by Mackay and Townsville in Queensland.</w:t>
      </w:r>
    </w:p>
    <w:p w:rsidR="00511AC2" w:rsidRPr="00661594" w:rsidRDefault="00D57D02" w:rsidP="0059457C">
      <w:pPr>
        <w:pStyle w:val="CABNETParagraphAtt"/>
        <w:keepNext/>
        <w:spacing w:before="0" w:after="0"/>
        <w:rPr>
          <w:rFonts w:asciiTheme="minorHAnsi" w:hAnsiTheme="minorHAnsi" w:cstheme="minorHAnsi"/>
          <w:b/>
        </w:rPr>
      </w:pPr>
      <w:r w:rsidRPr="00661594">
        <w:rPr>
          <w:rFonts w:asciiTheme="minorHAnsi" w:hAnsiTheme="minorHAnsi" w:cstheme="minorHAnsi"/>
          <w:b/>
        </w:rPr>
        <w:t>Table 4</w:t>
      </w:r>
      <w:r w:rsidR="00511AC2" w:rsidRPr="00661594">
        <w:rPr>
          <w:rFonts w:asciiTheme="minorHAnsi" w:hAnsiTheme="minorHAnsi" w:cstheme="minorHAnsi"/>
          <w:b/>
        </w:rPr>
        <w:t>: FIFO ‘home’ locations - place of usual residence populations greater than place of work populations</w:t>
      </w:r>
    </w:p>
    <w:tbl>
      <w:tblPr>
        <w:tblW w:w="87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083"/>
        <w:gridCol w:w="1780"/>
        <w:gridCol w:w="1420"/>
      </w:tblGrid>
      <w:tr w:rsidR="00511AC2" w:rsidRPr="00E849EF" w:rsidTr="00E849EF">
        <w:trPr>
          <w:trHeight w:val="579"/>
        </w:trPr>
        <w:tc>
          <w:tcPr>
            <w:tcW w:w="3417" w:type="dxa"/>
            <w:shd w:val="clear" w:color="auto" w:fill="auto"/>
            <w:noWrap/>
            <w:vAlign w:val="center"/>
            <w:hideMark/>
          </w:tcPr>
          <w:p w:rsidR="00511AC2" w:rsidRPr="00E849EF" w:rsidRDefault="00511AC2" w:rsidP="00E849EF">
            <w:pPr>
              <w:keepNext/>
              <w:spacing w:after="0" w:line="240" w:lineRule="auto"/>
              <w:rPr>
                <w:rFonts w:ascii="Calibri" w:eastAsia="Times New Roman" w:hAnsi="Calibri" w:cs="Calibri"/>
                <w:b/>
                <w:bCs/>
                <w:lang w:eastAsia="en-AU"/>
              </w:rPr>
            </w:pPr>
            <w:r w:rsidRPr="00E849EF">
              <w:rPr>
                <w:rFonts w:ascii="Calibri" w:eastAsia="Times New Roman" w:hAnsi="Calibri" w:cs="Calibri"/>
                <w:b/>
                <w:bCs/>
                <w:lang w:eastAsia="en-AU"/>
              </w:rPr>
              <w:t>Location (SA3)</w:t>
            </w:r>
          </w:p>
        </w:tc>
        <w:tc>
          <w:tcPr>
            <w:tcW w:w="2083" w:type="dxa"/>
            <w:shd w:val="clear" w:color="auto" w:fill="auto"/>
            <w:noWrap/>
            <w:vAlign w:val="center"/>
            <w:hideMark/>
          </w:tcPr>
          <w:p w:rsidR="00511AC2" w:rsidRPr="00E849EF" w:rsidRDefault="00511AC2" w:rsidP="00E849EF">
            <w:pPr>
              <w:keepNext/>
              <w:spacing w:after="0" w:line="240" w:lineRule="auto"/>
              <w:jc w:val="center"/>
              <w:rPr>
                <w:rFonts w:ascii="Calibri" w:eastAsia="Times New Roman" w:hAnsi="Calibri" w:cs="Calibri"/>
                <w:b/>
                <w:bCs/>
                <w:lang w:eastAsia="en-AU"/>
              </w:rPr>
            </w:pPr>
            <w:r w:rsidRPr="00E849EF">
              <w:rPr>
                <w:rFonts w:ascii="Calibri" w:eastAsia="Times New Roman" w:hAnsi="Calibri" w:cs="Calibri"/>
                <w:b/>
                <w:bCs/>
                <w:lang w:eastAsia="en-AU"/>
              </w:rPr>
              <w:t>Place of usual residence</w:t>
            </w:r>
          </w:p>
        </w:tc>
        <w:tc>
          <w:tcPr>
            <w:tcW w:w="1780" w:type="dxa"/>
            <w:shd w:val="clear" w:color="auto" w:fill="auto"/>
            <w:noWrap/>
            <w:vAlign w:val="center"/>
            <w:hideMark/>
          </w:tcPr>
          <w:p w:rsidR="00511AC2" w:rsidRPr="00E849EF" w:rsidRDefault="00511AC2" w:rsidP="00E849EF">
            <w:pPr>
              <w:keepNext/>
              <w:spacing w:after="0" w:line="240" w:lineRule="auto"/>
              <w:jc w:val="center"/>
              <w:rPr>
                <w:rFonts w:ascii="Calibri" w:eastAsia="Times New Roman" w:hAnsi="Calibri" w:cs="Calibri"/>
                <w:b/>
                <w:bCs/>
                <w:lang w:eastAsia="en-AU"/>
              </w:rPr>
            </w:pPr>
            <w:r w:rsidRPr="00E849EF">
              <w:rPr>
                <w:rFonts w:ascii="Calibri" w:eastAsia="Times New Roman" w:hAnsi="Calibri" w:cs="Calibri"/>
                <w:b/>
                <w:bCs/>
                <w:lang w:eastAsia="en-AU"/>
              </w:rPr>
              <w:t>Place of Work</w:t>
            </w:r>
          </w:p>
        </w:tc>
        <w:tc>
          <w:tcPr>
            <w:tcW w:w="1420" w:type="dxa"/>
            <w:shd w:val="clear" w:color="auto" w:fill="auto"/>
            <w:noWrap/>
            <w:vAlign w:val="center"/>
            <w:hideMark/>
          </w:tcPr>
          <w:p w:rsidR="00511AC2" w:rsidRPr="00E849EF" w:rsidRDefault="00511AC2" w:rsidP="00E849EF">
            <w:pPr>
              <w:keepNext/>
              <w:spacing w:after="0" w:line="240" w:lineRule="auto"/>
              <w:jc w:val="center"/>
              <w:rPr>
                <w:rFonts w:ascii="Calibri" w:eastAsia="Times New Roman" w:hAnsi="Calibri" w:cs="Calibri"/>
                <w:b/>
                <w:bCs/>
                <w:lang w:eastAsia="en-AU"/>
              </w:rPr>
            </w:pPr>
            <w:r w:rsidRPr="00E849EF">
              <w:rPr>
                <w:rFonts w:ascii="Calibri" w:eastAsia="Times New Roman" w:hAnsi="Calibri" w:cs="Calibri"/>
                <w:b/>
                <w:bCs/>
                <w:lang w:eastAsia="en-AU"/>
              </w:rPr>
              <w:t>Difference</w:t>
            </w:r>
          </w:p>
        </w:tc>
      </w:tr>
      <w:tr w:rsidR="00511AC2" w:rsidRPr="00661594" w:rsidTr="00E849EF">
        <w:trPr>
          <w:trHeight w:val="315"/>
        </w:trPr>
        <w:tc>
          <w:tcPr>
            <w:tcW w:w="3417" w:type="dxa"/>
            <w:shd w:val="clear" w:color="auto" w:fill="auto"/>
            <w:noWrap/>
            <w:vAlign w:val="center"/>
            <w:hideMark/>
          </w:tcPr>
          <w:p w:rsidR="00511AC2" w:rsidRPr="00661594" w:rsidRDefault="00511AC2" w:rsidP="0059457C">
            <w:pPr>
              <w:keepNext/>
              <w:spacing w:after="0" w:line="240" w:lineRule="auto"/>
              <w:rPr>
                <w:rFonts w:eastAsia="Times New Roman" w:cstheme="minorHAnsi"/>
                <w:lang w:eastAsia="en-AU"/>
              </w:rPr>
            </w:pPr>
            <w:r w:rsidRPr="00661594">
              <w:rPr>
                <w:rFonts w:eastAsia="Times New Roman" w:cstheme="minorHAnsi"/>
                <w:lang w:eastAsia="en-AU"/>
              </w:rPr>
              <w:t>Mackay (Qld)</w:t>
            </w:r>
          </w:p>
        </w:tc>
        <w:tc>
          <w:tcPr>
            <w:tcW w:w="2083"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6370</w:t>
            </w:r>
          </w:p>
        </w:tc>
        <w:tc>
          <w:tcPr>
            <w:tcW w:w="178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1690</w:t>
            </w:r>
          </w:p>
        </w:tc>
        <w:tc>
          <w:tcPr>
            <w:tcW w:w="142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4680</w:t>
            </w:r>
          </w:p>
        </w:tc>
      </w:tr>
      <w:tr w:rsidR="00511AC2" w:rsidRPr="00661594" w:rsidTr="00E849EF">
        <w:trPr>
          <w:trHeight w:val="315"/>
        </w:trPr>
        <w:tc>
          <w:tcPr>
            <w:tcW w:w="3417" w:type="dxa"/>
            <w:shd w:val="clear" w:color="auto" w:fill="auto"/>
            <w:noWrap/>
            <w:vAlign w:val="center"/>
            <w:hideMark/>
          </w:tcPr>
          <w:p w:rsidR="00511AC2" w:rsidRPr="00661594" w:rsidRDefault="00511AC2" w:rsidP="0059457C">
            <w:pPr>
              <w:keepNext/>
              <w:spacing w:after="0" w:line="240" w:lineRule="auto"/>
              <w:rPr>
                <w:rFonts w:eastAsia="Times New Roman" w:cstheme="minorHAnsi"/>
                <w:lang w:eastAsia="en-AU"/>
              </w:rPr>
            </w:pPr>
            <w:r w:rsidRPr="00661594">
              <w:rPr>
                <w:rFonts w:eastAsia="Times New Roman" w:cstheme="minorHAnsi"/>
                <w:lang w:eastAsia="en-AU"/>
              </w:rPr>
              <w:t>Joondalup (North West Perth)</w:t>
            </w:r>
          </w:p>
        </w:tc>
        <w:tc>
          <w:tcPr>
            <w:tcW w:w="2083"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3520</w:t>
            </w:r>
          </w:p>
        </w:tc>
        <w:tc>
          <w:tcPr>
            <w:tcW w:w="178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100</w:t>
            </w:r>
          </w:p>
        </w:tc>
        <w:tc>
          <w:tcPr>
            <w:tcW w:w="142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3410</w:t>
            </w:r>
          </w:p>
        </w:tc>
      </w:tr>
      <w:tr w:rsidR="00511AC2" w:rsidRPr="00661594" w:rsidTr="00E849EF">
        <w:trPr>
          <w:trHeight w:val="315"/>
        </w:trPr>
        <w:tc>
          <w:tcPr>
            <w:tcW w:w="3417" w:type="dxa"/>
            <w:shd w:val="clear" w:color="auto" w:fill="auto"/>
            <w:noWrap/>
            <w:vAlign w:val="center"/>
            <w:hideMark/>
          </w:tcPr>
          <w:p w:rsidR="00511AC2" w:rsidRPr="00661594" w:rsidRDefault="00511AC2" w:rsidP="0059457C">
            <w:pPr>
              <w:keepNext/>
              <w:spacing w:after="0" w:line="240" w:lineRule="auto"/>
              <w:rPr>
                <w:rFonts w:eastAsia="Times New Roman" w:cstheme="minorHAnsi"/>
                <w:lang w:eastAsia="en-AU"/>
              </w:rPr>
            </w:pPr>
            <w:r w:rsidRPr="00661594">
              <w:rPr>
                <w:rFonts w:eastAsia="Times New Roman" w:cstheme="minorHAnsi"/>
                <w:lang w:eastAsia="en-AU"/>
              </w:rPr>
              <w:t>Stirling (North West Perth)</w:t>
            </w:r>
          </w:p>
        </w:tc>
        <w:tc>
          <w:tcPr>
            <w:tcW w:w="2083"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3770</w:t>
            </w:r>
          </w:p>
        </w:tc>
        <w:tc>
          <w:tcPr>
            <w:tcW w:w="178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600</w:t>
            </w:r>
          </w:p>
        </w:tc>
        <w:tc>
          <w:tcPr>
            <w:tcW w:w="142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3170</w:t>
            </w:r>
          </w:p>
        </w:tc>
      </w:tr>
      <w:tr w:rsidR="00511AC2" w:rsidRPr="00661594" w:rsidTr="00E849EF">
        <w:trPr>
          <w:trHeight w:val="315"/>
        </w:trPr>
        <w:tc>
          <w:tcPr>
            <w:tcW w:w="3417" w:type="dxa"/>
            <w:shd w:val="clear" w:color="auto" w:fill="auto"/>
            <w:noWrap/>
            <w:vAlign w:val="center"/>
            <w:hideMark/>
          </w:tcPr>
          <w:p w:rsidR="00511AC2" w:rsidRPr="00661594" w:rsidRDefault="00511AC2" w:rsidP="0059457C">
            <w:pPr>
              <w:keepNext/>
              <w:spacing w:after="0" w:line="240" w:lineRule="auto"/>
              <w:rPr>
                <w:rFonts w:eastAsia="Times New Roman" w:cstheme="minorHAnsi"/>
                <w:lang w:eastAsia="en-AU"/>
              </w:rPr>
            </w:pPr>
            <w:r w:rsidRPr="00661594">
              <w:rPr>
                <w:rFonts w:eastAsia="Times New Roman" w:cstheme="minorHAnsi"/>
                <w:lang w:eastAsia="en-AU"/>
              </w:rPr>
              <w:t>Wanneroo (North West Perth)</w:t>
            </w:r>
          </w:p>
        </w:tc>
        <w:tc>
          <w:tcPr>
            <w:tcW w:w="2083"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3170</w:t>
            </w:r>
          </w:p>
        </w:tc>
        <w:tc>
          <w:tcPr>
            <w:tcW w:w="178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400</w:t>
            </w:r>
          </w:p>
        </w:tc>
        <w:tc>
          <w:tcPr>
            <w:tcW w:w="142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2770</w:t>
            </w:r>
          </w:p>
        </w:tc>
      </w:tr>
      <w:tr w:rsidR="00511AC2" w:rsidRPr="00661594" w:rsidTr="00E849EF">
        <w:trPr>
          <w:trHeight w:val="315"/>
        </w:trPr>
        <w:tc>
          <w:tcPr>
            <w:tcW w:w="3417" w:type="dxa"/>
            <w:shd w:val="clear" w:color="auto" w:fill="auto"/>
            <w:noWrap/>
            <w:vAlign w:val="center"/>
            <w:hideMark/>
          </w:tcPr>
          <w:p w:rsidR="00511AC2" w:rsidRPr="00661594" w:rsidRDefault="00511AC2" w:rsidP="0059457C">
            <w:pPr>
              <w:keepNext/>
              <w:spacing w:after="0" w:line="240" w:lineRule="auto"/>
              <w:rPr>
                <w:rFonts w:eastAsia="Times New Roman" w:cstheme="minorHAnsi"/>
                <w:lang w:eastAsia="en-AU"/>
              </w:rPr>
            </w:pPr>
            <w:r w:rsidRPr="00661594">
              <w:rPr>
                <w:rFonts w:eastAsia="Times New Roman" w:cstheme="minorHAnsi"/>
                <w:lang w:eastAsia="en-AU"/>
              </w:rPr>
              <w:t>Rockingham (South West Perth)</w:t>
            </w:r>
          </w:p>
        </w:tc>
        <w:tc>
          <w:tcPr>
            <w:tcW w:w="2083"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2600</w:t>
            </w:r>
          </w:p>
        </w:tc>
        <w:tc>
          <w:tcPr>
            <w:tcW w:w="178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120</w:t>
            </w:r>
          </w:p>
        </w:tc>
        <w:tc>
          <w:tcPr>
            <w:tcW w:w="142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2490</w:t>
            </w:r>
          </w:p>
        </w:tc>
      </w:tr>
      <w:tr w:rsidR="00511AC2" w:rsidRPr="00661594" w:rsidTr="00E849EF">
        <w:trPr>
          <w:trHeight w:val="315"/>
        </w:trPr>
        <w:tc>
          <w:tcPr>
            <w:tcW w:w="3417" w:type="dxa"/>
            <w:shd w:val="clear" w:color="auto" w:fill="auto"/>
            <w:noWrap/>
            <w:vAlign w:val="center"/>
            <w:hideMark/>
          </w:tcPr>
          <w:p w:rsidR="00511AC2" w:rsidRPr="00661594" w:rsidRDefault="00511AC2" w:rsidP="0059457C">
            <w:pPr>
              <w:keepNext/>
              <w:spacing w:after="0" w:line="240" w:lineRule="auto"/>
              <w:rPr>
                <w:rFonts w:eastAsia="Times New Roman" w:cstheme="minorHAnsi"/>
                <w:lang w:eastAsia="en-AU"/>
              </w:rPr>
            </w:pPr>
            <w:r w:rsidRPr="00661594">
              <w:rPr>
                <w:rFonts w:eastAsia="Times New Roman" w:cstheme="minorHAnsi"/>
                <w:lang w:eastAsia="en-AU"/>
              </w:rPr>
              <w:t>Mandurah (WA)</w:t>
            </w:r>
          </w:p>
        </w:tc>
        <w:tc>
          <w:tcPr>
            <w:tcW w:w="2083"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2410</w:t>
            </w:r>
          </w:p>
        </w:tc>
        <w:tc>
          <w:tcPr>
            <w:tcW w:w="178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130</w:t>
            </w:r>
          </w:p>
        </w:tc>
        <w:tc>
          <w:tcPr>
            <w:tcW w:w="142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2280</w:t>
            </w:r>
          </w:p>
        </w:tc>
      </w:tr>
      <w:tr w:rsidR="00511AC2" w:rsidRPr="00661594" w:rsidTr="00E849EF">
        <w:trPr>
          <w:trHeight w:val="315"/>
        </w:trPr>
        <w:tc>
          <w:tcPr>
            <w:tcW w:w="3417" w:type="dxa"/>
            <w:shd w:val="clear" w:color="auto" w:fill="auto"/>
            <w:noWrap/>
            <w:vAlign w:val="center"/>
            <w:hideMark/>
          </w:tcPr>
          <w:p w:rsidR="00511AC2" w:rsidRPr="00661594" w:rsidRDefault="00511AC2" w:rsidP="0059457C">
            <w:pPr>
              <w:keepNext/>
              <w:spacing w:after="0" w:line="240" w:lineRule="auto"/>
              <w:rPr>
                <w:rFonts w:eastAsia="Times New Roman" w:cstheme="minorHAnsi"/>
                <w:lang w:eastAsia="en-AU"/>
              </w:rPr>
            </w:pPr>
            <w:r w:rsidRPr="00661594">
              <w:rPr>
                <w:rFonts w:eastAsia="Times New Roman" w:cstheme="minorHAnsi"/>
                <w:lang w:eastAsia="en-AU"/>
              </w:rPr>
              <w:t>Rockhampton (Qld)</w:t>
            </w:r>
          </w:p>
        </w:tc>
        <w:tc>
          <w:tcPr>
            <w:tcW w:w="2083"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2660</w:t>
            </w:r>
          </w:p>
        </w:tc>
        <w:tc>
          <w:tcPr>
            <w:tcW w:w="178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480</w:t>
            </w:r>
          </w:p>
        </w:tc>
        <w:tc>
          <w:tcPr>
            <w:tcW w:w="142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2180</w:t>
            </w:r>
          </w:p>
        </w:tc>
      </w:tr>
      <w:tr w:rsidR="00511AC2" w:rsidRPr="00661594" w:rsidTr="00E849EF">
        <w:trPr>
          <w:trHeight w:val="315"/>
        </w:trPr>
        <w:tc>
          <w:tcPr>
            <w:tcW w:w="3417" w:type="dxa"/>
            <w:shd w:val="clear" w:color="auto" w:fill="auto"/>
            <w:noWrap/>
            <w:vAlign w:val="center"/>
            <w:hideMark/>
          </w:tcPr>
          <w:p w:rsidR="00511AC2" w:rsidRPr="00661594" w:rsidRDefault="00511AC2" w:rsidP="0059457C">
            <w:pPr>
              <w:keepNext/>
              <w:spacing w:after="0" w:line="240" w:lineRule="auto"/>
              <w:rPr>
                <w:rFonts w:eastAsia="Times New Roman" w:cstheme="minorHAnsi"/>
                <w:lang w:eastAsia="en-AU"/>
              </w:rPr>
            </w:pPr>
            <w:r w:rsidRPr="00661594">
              <w:rPr>
                <w:rFonts w:eastAsia="Times New Roman" w:cstheme="minorHAnsi"/>
                <w:lang w:eastAsia="en-AU"/>
              </w:rPr>
              <w:t>Melville (South West Perth)</w:t>
            </w:r>
          </w:p>
        </w:tc>
        <w:tc>
          <w:tcPr>
            <w:tcW w:w="2083"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2360</w:t>
            </w:r>
          </w:p>
        </w:tc>
        <w:tc>
          <w:tcPr>
            <w:tcW w:w="178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310</w:t>
            </w:r>
          </w:p>
        </w:tc>
        <w:tc>
          <w:tcPr>
            <w:tcW w:w="142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2050</w:t>
            </w:r>
          </w:p>
        </w:tc>
      </w:tr>
      <w:tr w:rsidR="00511AC2" w:rsidRPr="00661594" w:rsidTr="00E849EF">
        <w:trPr>
          <w:trHeight w:val="315"/>
        </w:trPr>
        <w:tc>
          <w:tcPr>
            <w:tcW w:w="3417" w:type="dxa"/>
            <w:shd w:val="clear" w:color="auto" w:fill="auto"/>
            <w:noWrap/>
            <w:vAlign w:val="center"/>
            <w:hideMark/>
          </w:tcPr>
          <w:p w:rsidR="00511AC2" w:rsidRPr="00661594" w:rsidRDefault="00511AC2" w:rsidP="0059457C">
            <w:pPr>
              <w:keepNext/>
              <w:spacing w:after="0" w:line="240" w:lineRule="auto"/>
              <w:rPr>
                <w:rFonts w:eastAsia="Times New Roman" w:cstheme="minorHAnsi"/>
                <w:lang w:eastAsia="en-AU"/>
              </w:rPr>
            </w:pPr>
            <w:r w:rsidRPr="00661594">
              <w:rPr>
                <w:rFonts w:eastAsia="Times New Roman" w:cstheme="minorHAnsi"/>
                <w:lang w:eastAsia="en-AU"/>
              </w:rPr>
              <w:t>Townsville (Qld)</w:t>
            </w:r>
          </w:p>
        </w:tc>
        <w:tc>
          <w:tcPr>
            <w:tcW w:w="2083"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2550</w:t>
            </w:r>
          </w:p>
        </w:tc>
        <w:tc>
          <w:tcPr>
            <w:tcW w:w="178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530</w:t>
            </w:r>
          </w:p>
        </w:tc>
        <w:tc>
          <w:tcPr>
            <w:tcW w:w="142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2010</w:t>
            </w:r>
          </w:p>
        </w:tc>
      </w:tr>
      <w:tr w:rsidR="00511AC2" w:rsidRPr="00661594" w:rsidTr="00E849EF">
        <w:trPr>
          <w:trHeight w:val="330"/>
        </w:trPr>
        <w:tc>
          <w:tcPr>
            <w:tcW w:w="3417" w:type="dxa"/>
            <w:shd w:val="clear" w:color="auto" w:fill="auto"/>
            <w:noWrap/>
            <w:vAlign w:val="center"/>
            <w:hideMark/>
          </w:tcPr>
          <w:p w:rsidR="00511AC2" w:rsidRPr="00661594" w:rsidRDefault="00511AC2" w:rsidP="0059457C">
            <w:pPr>
              <w:keepNext/>
              <w:spacing w:after="0" w:line="240" w:lineRule="auto"/>
              <w:rPr>
                <w:rFonts w:eastAsia="Times New Roman" w:cstheme="minorHAnsi"/>
                <w:lang w:eastAsia="en-AU"/>
              </w:rPr>
            </w:pPr>
            <w:r w:rsidRPr="00661594">
              <w:rPr>
                <w:rFonts w:eastAsia="Times New Roman" w:cstheme="minorHAnsi"/>
                <w:lang w:eastAsia="en-AU"/>
              </w:rPr>
              <w:t>Gosnells (South East Perth)</w:t>
            </w:r>
          </w:p>
        </w:tc>
        <w:tc>
          <w:tcPr>
            <w:tcW w:w="2083"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1930</w:t>
            </w:r>
          </w:p>
        </w:tc>
        <w:tc>
          <w:tcPr>
            <w:tcW w:w="178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190</w:t>
            </w:r>
          </w:p>
        </w:tc>
        <w:tc>
          <w:tcPr>
            <w:tcW w:w="1420" w:type="dxa"/>
            <w:shd w:val="clear" w:color="auto" w:fill="auto"/>
            <w:noWrap/>
            <w:vAlign w:val="center"/>
            <w:hideMark/>
          </w:tcPr>
          <w:p w:rsidR="00511AC2" w:rsidRPr="00661594" w:rsidRDefault="00511AC2" w:rsidP="0059457C">
            <w:pPr>
              <w:keepNext/>
              <w:spacing w:after="0" w:line="240" w:lineRule="auto"/>
              <w:jc w:val="center"/>
              <w:rPr>
                <w:rFonts w:eastAsia="Times New Roman" w:cstheme="minorHAnsi"/>
                <w:lang w:eastAsia="en-AU"/>
              </w:rPr>
            </w:pPr>
            <w:r w:rsidRPr="00661594">
              <w:rPr>
                <w:rFonts w:eastAsia="Times New Roman" w:cstheme="minorHAnsi"/>
                <w:lang w:eastAsia="en-AU"/>
              </w:rPr>
              <w:t>1740</w:t>
            </w:r>
          </w:p>
        </w:tc>
      </w:tr>
    </w:tbl>
    <w:p w:rsidR="00511AC2" w:rsidRPr="00280E87" w:rsidRDefault="00511AC2" w:rsidP="00280E87">
      <w:pPr>
        <w:spacing w:after="240" w:line="240" w:lineRule="auto"/>
        <w:rPr>
          <w:rFonts w:cstheme="minorHAnsi"/>
          <w:sz w:val="18"/>
          <w:szCs w:val="18"/>
        </w:rPr>
      </w:pPr>
      <w:r w:rsidRPr="00280E87">
        <w:rPr>
          <w:rFonts w:cstheme="minorHAnsi"/>
          <w:sz w:val="18"/>
          <w:szCs w:val="18"/>
        </w:rPr>
        <w:t>Source: ABS 2011 Census of Population and Housing.</w:t>
      </w:r>
    </w:p>
    <w:p w:rsidR="006A42C9" w:rsidRPr="000C3E77" w:rsidRDefault="006A42C9" w:rsidP="00AE089B">
      <w:pPr>
        <w:pStyle w:val="Heading2"/>
        <w:rPr>
          <w:b w:val="0"/>
        </w:rPr>
      </w:pPr>
      <w:bookmarkStart w:id="9" w:name="_Toc384202081"/>
      <w:r w:rsidRPr="000C3E77">
        <w:t>Geographic patterns in skill shortages</w:t>
      </w:r>
      <w:bookmarkEnd w:id="9"/>
    </w:p>
    <w:p w:rsidR="00A3784D" w:rsidRDefault="00DA3DBB" w:rsidP="002E5631">
      <w:pPr>
        <w:spacing w:after="240" w:line="240" w:lineRule="auto"/>
      </w:pPr>
      <w:r w:rsidRPr="00DA3DBB">
        <w:t xml:space="preserve">The Department </w:t>
      </w:r>
      <w:r w:rsidR="004E55F9">
        <w:t>also research</w:t>
      </w:r>
      <w:r w:rsidR="00261409">
        <w:t>es</w:t>
      </w:r>
      <w:r w:rsidR="004E55F9">
        <w:t xml:space="preserve"> </w:t>
      </w:r>
      <w:r w:rsidR="00A3784D">
        <w:t>employer</w:t>
      </w:r>
      <w:r w:rsidRPr="00DA3DBB">
        <w:t xml:space="preserve"> recru</w:t>
      </w:r>
      <w:r w:rsidR="00A3784D">
        <w:t>itment experiences</w:t>
      </w:r>
      <w:r w:rsidRPr="00DA3DBB">
        <w:t>. There are two complementary streams to this research</w:t>
      </w:r>
      <w:r w:rsidR="00A3784D">
        <w:t xml:space="preserve">: </w:t>
      </w:r>
      <w:r w:rsidRPr="00DA3DBB">
        <w:t xml:space="preserve">the Skill Shortage Research programme, which analyses the labour markets for highly skilled workers to identify where shortages </w:t>
      </w:r>
      <w:r w:rsidR="00D61609">
        <w:t>are evident or emerging at the state and t</w:t>
      </w:r>
      <w:r w:rsidRPr="00DA3DBB">
        <w:t>erritory and</w:t>
      </w:r>
      <w:r w:rsidR="00A3784D">
        <w:t>/or national level;</w:t>
      </w:r>
      <w:r w:rsidRPr="00DA3DBB">
        <w:t xml:space="preserve"> and Surveys of Employers’ Recruitment Experiences, which provide information about the recruitment experiences of employers in se</w:t>
      </w:r>
      <w:r w:rsidR="00A3784D">
        <w:t>lected regional labour markets.</w:t>
      </w:r>
    </w:p>
    <w:p w:rsidR="00DA3DBB" w:rsidRPr="00DA3DBB" w:rsidRDefault="00DA3DBB" w:rsidP="002E5631">
      <w:pPr>
        <w:spacing w:after="240" w:line="240" w:lineRule="auto"/>
      </w:pPr>
      <w:r w:rsidRPr="00DA3DBB">
        <w:t>The Department</w:t>
      </w:r>
      <w:r w:rsidR="004E55F9">
        <w:t xml:space="preserve">’s </w:t>
      </w:r>
      <w:r w:rsidRPr="00DA3DBB">
        <w:t>Skill Shortage Research in 2013 included discussions with more than 5500</w:t>
      </w:r>
      <w:r w:rsidR="004E55F9">
        <w:t> </w:t>
      </w:r>
      <w:r w:rsidRPr="00DA3DBB">
        <w:t xml:space="preserve">employers, as well as consultations with a number of key industry associations. It </w:t>
      </w:r>
      <w:r w:rsidR="00A3784D">
        <w:t xml:space="preserve">found </w:t>
      </w:r>
      <w:r w:rsidRPr="00DA3DBB">
        <w:t>that skill shortages var</w:t>
      </w:r>
      <w:r w:rsidR="00A3784D">
        <w:t>ied</w:t>
      </w:r>
      <w:r w:rsidRPr="00DA3DBB">
        <w:t xml:space="preserve"> markedly across occupations, sectors, </w:t>
      </w:r>
      <w:r w:rsidR="00D61609">
        <w:t>and states and t</w:t>
      </w:r>
      <w:r w:rsidRPr="00DA3DBB">
        <w:t>erritories. In 2013, employers generally recruited skilled workers without significant difficulty and skill shortages are no</w:t>
      </w:r>
      <w:r w:rsidR="00A3784D">
        <w:t>w less pronounced than they had</w:t>
      </w:r>
      <w:r w:rsidRPr="00DA3DBB">
        <w:t xml:space="preserve"> been at any time over the past six years. </w:t>
      </w:r>
      <w:r w:rsidR="00A3784D">
        <w:t>However, l</w:t>
      </w:r>
      <w:r w:rsidRPr="00DA3DBB">
        <w:t>abour markets</w:t>
      </w:r>
      <w:r w:rsidR="00A3784D">
        <w:t xml:space="preserve"> </w:t>
      </w:r>
      <w:r w:rsidRPr="00DA3DBB">
        <w:t>can change quickly</w:t>
      </w:r>
      <w:r w:rsidR="00A3784D">
        <w:t xml:space="preserve">, with recent </w:t>
      </w:r>
      <w:r w:rsidRPr="00DA3DBB">
        <w:t>changes of note includ</w:t>
      </w:r>
      <w:r w:rsidR="00A3784D">
        <w:t>ing</w:t>
      </w:r>
      <w:r w:rsidR="002E5631">
        <w:t>:</w:t>
      </w:r>
    </w:p>
    <w:p w:rsidR="00DA3DBB" w:rsidRPr="00DA3DBB" w:rsidRDefault="00DA3DBB" w:rsidP="00DA3DBB">
      <w:pPr>
        <w:pStyle w:val="ListParagraph"/>
        <w:numPr>
          <w:ilvl w:val="0"/>
          <w:numId w:val="31"/>
        </w:numPr>
        <w:spacing w:after="240"/>
        <w:rPr>
          <w:rFonts w:asciiTheme="minorHAnsi" w:eastAsiaTheme="minorHAnsi" w:hAnsiTheme="minorHAnsi" w:cstheme="minorBidi"/>
          <w:sz w:val="22"/>
          <w:szCs w:val="22"/>
          <w:lang w:eastAsia="en-US"/>
        </w:rPr>
      </w:pPr>
      <w:r w:rsidRPr="00DA3DBB">
        <w:rPr>
          <w:rFonts w:asciiTheme="minorHAnsi" w:eastAsiaTheme="minorHAnsi" w:hAnsiTheme="minorHAnsi" w:cstheme="minorBidi"/>
          <w:sz w:val="22"/>
          <w:szCs w:val="22"/>
          <w:lang w:eastAsia="en-US"/>
        </w:rPr>
        <w:t>employers nationally commenting that they attract applicants who have returned from the resources sector</w:t>
      </w:r>
      <w:r w:rsidR="00A3784D">
        <w:rPr>
          <w:rFonts w:asciiTheme="minorHAnsi" w:eastAsiaTheme="minorHAnsi" w:hAnsiTheme="minorHAnsi" w:cstheme="minorBidi"/>
          <w:sz w:val="22"/>
          <w:szCs w:val="22"/>
          <w:lang w:eastAsia="en-US"/>
        </w:rPr>
        <w:t>; and</w:t>
      </w:r>
    </w:p>
    <w:p w:rsidR="00DA3DBB" w:rsidRPr="00DA3DBB" w:rsidRDefault="00DA3DBB" w:rsidP="00DA3DBB">
      <w:pPr>
        <w:pStyle w:val="ListParagraph"/>
        <w:numPr>
          <w:ilvl w:val="0"/>
          <w:numId w:val="31"/>
        </w:numPr>
        <w:spacing w:after="240"/>
        <w:rPr>
          <w:rFonts w:asciiTheme="minorHAnsi" w:eastAsiaTheme="minorHAnsi" w:hAnsiTheme="minorHAnsi" w:cstheme="minorBidi"/>
          <w:sz w:val="22"/>
          <w:szCs w:val="22"/>
          <w:lang w:eastAsia="en-US"/>
        </w:rPr>
      </w:pPr>
      <w:r w:rsidRPr="00DA3DBB">
        <w:rPr>
          <w:rFonts w:asciiTheme="minorHAnsi" w:eastAsiaTheme="minorHAnsi" w:hAnsiTheme="minorHAnsi" w:cstheme="minorBidi"/>
          <w:sz w:val="22"/>
          <w:szCs w:val="22"/>
          <w:lang w:eastAsia="en-US"/>
        </w:rPr>
        <w:lastRenderedPageBreak/>
        <w:t xml:space="preserve">signs of a </w:t>
      </w:r>
      <w:r w:rsidR="00A3784D">
        <w:rPr>
          <w:rFonts w:asciiTheme="minorHAnsi" w:eastAsiaTheme="minorHAnsi" w:hAnsiTheme="minorHAnsi" w:cstheme="minorBidi"/>
          <w:sz w:val="22"/>
          <w:szCs w:val="22"/>
          <w:lang w:eastAsia="en-US"/>
        </w:rPr>
        <w:t>tightening in the labour market</w:t>
      </w:r>
      <w:r w:rsidRPr="00DA3DBB">
        <w:rPr>
          <w:rFonts w:asciiTheme="minorHAnsi" w:eastAsiaTheme="minorHAnsi" w:hAnsiTheme="minorHAnsi" w:cstheme="minorBidi"/>
          <w:sz w:val="22"/>
          <w:szCs w:val="22"/>
          <w:lang w:eastAsia="en-US"/>
        </w:rPr>
        <w:t xml:space="preserve"> for some construction trades.</w:t>
      </w:r>
    </w:p>
    <w:p w:rsidR="00DA3DBB" w:rsidRPr="00DA3DBB" w:rsidRDefault="00DA3DBB" w:rsidP="002E5631">
      <w:pPr>
        <w:spacing w:after="240" w:line="240" w:lineRule="auto"/>
      </w:pPr>
      <w:r w:rsidRPr="00DA3DBB">
        <w:t>For some occupations, shortages are national and evident in every state. Examples include panelbeater</w:t>
      </w:r>
      <w:r w:rsidR="00A3784D">
        <w:t>s</w:t>
      </w:r>
      <w:r w:rsidRPr="00DA3DBB">
        <w:t xml:space="preserve"> and sonographer</w:t>
      </w:r>
      <w:r w:rsidR="00A3784D">
        <w:t>s</w:t>
      </w:r>
      <w:r w:rsidRPr="00DA3DBB">
        <w:t>. People with relevant qualifications and experience in such occupations are likely to be employed</w:t>
      </w:r>
      <w:r w:rsidR="00A3784D">
        <w:t>,</w:t>
      </w:r>
      <w:r w:rsidRPr="00DA3DBB">
        <w:t xml:space="preserve"> and therefore encouraging greater movement across </w:t>
      </w:r>
      <w:r w:rsidR="00D61609">
        <w:t>s</w:t>
      </w:r>
      <w:r w:rsidRPr="00DA3DBB">
        <w:t xml:space="preserve">tates and </w:t>
      </w:r>
      <w:r w:rsidR="00D61609">
        <w:t>t</w:t>
      </w:r>
      <w:r w:rsidRPr="00DA3DBB">
        <w:t xml:space="preserve">erritories would have limited </w:t>
      </w:r>
      <w:r w:rsidR="000E34C4">
        <w:t>effect</w:t>
      </w:r>
      <w:r w:rsidRPr="00DA3DBB">
        <w:t>. The same may be said for occupations where sh</w:t>
      </w:r>
      <w:r w:rsidR="00D61609">
        <w:t>ortages are not evident in any state or t</w:t>
      </w:r>
      <w:r w:rsidRPr="00DA3DBB">
        <w:t>erritory, such as primary school teacher</w:t>
      </w:r>
      <w:r w:rsidR="00A3784D">
        <w:t>s</w:t>
      </w:r>
      <w:r w:rsidRPr="00DA3DBB">
        <w:t xml:space="preserve"> and architect</w:t>
      </w:r>
      <w:r w:rsidR="00A3784D">
        <w:t>s</w:t>
      </w:r>
      <w:r w:rsidRPr="00DA3DBB">
        <w:t>.</w:t>
      </w:r>
    </w:p>
    <w:p w:rsidR="00DA3DBB" w:rsidRPr="00DA3DBB" w:rsidRDefault="00DA3DBB" w:rsidP="002E5631">
      <w:pPr>
        <w:spacing w:after="240" w:line="240" w:lineRule="auto"/>
        <w:rPr>
          <w:sz w:val="18"/>
          <w:szCs w:val="18"/>
        </w:rPr>
      </w:pPr>
      <w:r w:rsidRPr="00DA3DBB">
        <w:t xml:space="preserve">For most occupations, shortages are limited to particular locations. The labour market is complex, with shortages often restricted to regional areas and for many occupations shortages are only for workers with specialist skills (for example, for midwives the recruitment difficulties in regional areas are for those who hold a dual registration in midwifery and registered nursing). </w:t>
      </w:r>
    </w:p>
    <w:p w:rsidR="006A42C9" w:rsidRPr="000C3E77" w:rsidRDefault="00DA3DBB" w:rsidP="002E5631">
      <w:pPr>
        <w:spacing w:after="240" w:line="240" w:lineRule="auto"/>
      </w:pPr>
      <w:r w:rsidRPr="00DA3DBB">
        <w:t>There are significant differences in the recruitme</w:t>
      </w:r>
      <w:r w:rsidR="00D61609">
        <w:t>nt experiences of employers by state and t</w:t>
      </w:r>
      <w:r w:rsidRPr="00DA3DBB">
        <w:t>erritory. Employers in N</w:t>
      </w:r>
      <w:r w:rsidR="00A3784D">
        <w:t xml:space="preserve">ew South Wales (NSW) </w:t>
      </w:r>
      <w:r w:rsidRPr="00DA3DBB">
        <w:t>had the most difficulty recruiting in 2013, filling the lowest proportion of vacancies. It should be noted, though, that this was due to a marked softening in the other states’ labour markets, rather than a tightening in NSW. Shortages in NSW are more prevalent for trades than professions, and are often restricted to particular regional locations</w:t>
      </w:r>
      <w:r w:rsidR="006A42C9" w:rsidRPr="00DA3DBB">
        <w:t>.</w:t>
      </w:r>
    </w:p>
    <w:p w:rsidR="006A42C9" w:rsidRPr="00613CB5" w:rsidRDefault="000C3E77" w:rsidP="00613CB5">
      <w:pPr>
        <w:pStyle w:val="CABNETParagraphAtt"/>
        <w:keepNext/>
        <w:spacing w:before="0" w:after="0"/>
        <w:rPr>
          <w:rFonts w:asciiTheme="minorHAnsi" w:hAnsiTheme="minorHAnsi" w:cstheme="minorHAnsi"/>
          <w:b/>
        </w:rPr>
      </w:pPr>
      <w:r w:rsidRPr="00613CB5">
        <w:rPr>
          <w:rFonts w:asciiTheme="minorHAnsi" w:hAnsiTheme="minorHAnsi" w:cstheme="minorHAnsi"/>
          <w:b/>
        </w:rPr>
        <w:t>Table 5</w:t>
      </w:r>
      <w:r w:rsidR="006A42C9" w:rsidRPr="00613CB5">
        <w:rPr>
          <w:rFonts w:asciiTheme="minorHAnsi" w:hAnsiTheme="minorHAnsi" w:cstheme="minorHAnsi"/>
          <w:b/>
        </w:rPr>
        <w:t>: Proportion of vacancies filled (%) and average number of applicants, and suit</w:t>
      </w:r>
      <w:r w:rsidR="00F1166E">
        <w:rPr>
          <w:rFonts w:asciiTheme="minorHAnsi" w:hAnsiTheme="minorHAnsi" w:cstheme="minorHAnsi"/>
          <w:b/>
        </w:rPr>
        <w:t>able applicants per vacancy by s</w:t>
      </w:r>
      <w:r w:rsidR="006A42C9" w:rsidRPr="00613CB5">
        <w:rPr>
          <w:rFonts w:asciiTheme="minorHAnsi" w:hAnsiTheme="minorHAnsi" w:cstheme="minorHAnsi"/>
          <w:b/>
        </w:rPr>
        <w:t>tate an</w:t>
      </w:r>
      <w:r w:rsidR="00F1166E">
        <w:rPr>
          <w:rFonts w:asciiTheme="minorHAnsi" w:hAnsiTheme="minorHAnsi" w:cstheme="minorHAnsi"/>
          <w:b/>
        </w:rPr>
        <w:t>d t</w:t>
      </w:r>
      <w:r w:rsidR="00DA3DBB" w:rsidRPr="00613CB5">
        <w:rPr>
          <w:rFonts w:asciiTheme="minorHAnsi" w:hAnsiTheme="minorHAnsi" w:cstheme="minorHAnsi"/>
          <w:b/>
        </w:rPr>
        <w:t>erritory and Australia, 20</w:t>
      </w:r>
      <w:r w:rsidR="006A42C9" w:rsidRPr="00613CB5">
        <w:rPr>
          <w:rFonts w:asciiTheme="minorHAnsi" w:hAnsiTheme="minorHAnsi" w:cstheme="minorHAnsi"/>
          <w:b/>
        </w:rPr>
        <w:t>13</w:t>
      </w:r>
    </w:p>
    <w:tbl>
      <w:tblPr>
        <w:tblStyle w:val="TableGrid"/>
        <w:tblW w:w="9570" w:type="dxa"/>
        <w:tblLayout w:type="fixed"/>
        <w:tblCellMar>
          <w:left w:w="28" w:type="dxa"/>
          <w:right w:w="28" w:type="dxa"/>
        </w:tblCellMar>
        <w:tblLook w:val="04A0" w:firstRow="1" w:lastRow="0" w:firstColumn="1" w:lastColumn="0" w:noHBand="0" w:noVBand="1"/>
      </w:tblPr>
      <w:tblGrid>
        <w:gridCol w:w="3005"/>
        <w:gridCol w:w="709"/>
        <w:gridCol w:w="709"/>
        <w:gridCol w:w="708"/>
        <w:gridCol w:w="718"/>
        <w:gridCol w:w="656"/>
        <w:gridCol w:w="655"/>
        <w:gridCol w:w="656"/>
        <w:gridCol w:w="656"/>
        <w:gridCol w:w="1098"/>
      </w:tblGrid>
      <w:tr w:rsidR="00613CB5" w:rsidRPr="00DA3DBB" w:rsidTr="00D62242">
        <w:tc>
          <w:tcPr>
            <w:tcW w:w="3005" w:type="dxa"/>
            <w:tcBorders>
              <w:top w:val="nil"/>
              <w:left w:val="nil"/>
              <w:bottom w:val="single" w:sz="4" w:space="0" w:color="auto"/>
              <w:right w:val="single" w:sz="4" w:space="0" w:color="auto"/>
            </w:tcBorders>
          </w:tcPr>
          <w:p w:rsidR="00613CB5" w:rsidRPr="00280E87" w:rsidRDefault="00613CB5" w:rsidP="00C862A3">
            <w:pPr>
              <w:keepNext/>
              <w:jc w:val="center"/>
              <w:rPr>
                <w:rFonts w:asciiTheme="minorHAnsi" w:hAnsiTheme="minorHAnsi" w:cstheme="minorHAnsi"/>
                <w:b/>
                <w:bCs/>
                <w:sz w:val="22"/>
                <w:szCs w:val="22"/>
              </w:rPr>
            </w:pPr>
          </w:p>
        </w:tc>
        <w:tc>
          <w:tcPr>
            <w:tcW w:w="709" w:type="dxa"/>
            <w:tcBorders>
              <w:left w:val="single" w:sz="4" w:space="0" w:color="auto"/>
              <w:bottom w:val="single" w:sz="4" w:space="0" w:color="auto"/>
            </w:tcBorders>
          </w:tcPr>
          <w:p w:rsidR="00613CB5" w:rsidRPr="00280E87" w:rsidRDefault="00613CB5" w:rsidP="00C862A3">
            <w:pPr>
              <w:keepNext/>
              <w:jc w:val="center"/>
              <w:rPr>
                <w:rFonts w:asciiTheme="minorHAnsi" w:hAnsiTheme="minorHAnsi" w:cstheme="minorHAnsi"/>
                <w:b/>
                <w:bCs/>
                <w:sz w:val="22"/>
                <w:szCs w:val="22"/>
              </w:rPr>
            </w:pPr>
            <w:r w:rsidRPr="00280E87">
              <w:rPr>
                <w:rFonts w:asciiTheme="minorHAnsi" w:hAnsiTheme="minorHAnsi" w:cstheme="minorHAnsi"/>
                <w:b/>
                <w:bCs/>
                <w:sz w:val="22"/>
                <w:szCs w:val="22"/>
              </w:rPr>
              <w:t>NSW</w:t>
            </w:r>
          </w:p>
        </w:tc>
        <w:tc>
          <w:tcPr>
            <w:tcW w:w="709" w:type="dxa"/>
            <w:tcBorders>
              <w:bottom w:val="single" w:sz="4" w:space="0" w:color="auto"/>
            </w:tcBorders>
          </w:tcPr>
          <w:p w:rsidR="00613CB5" w:rsidRPr="00280E87" w:rsidRDefault="00613CB5" w:rsidP="00C862A3">
            <w:pPr>
              <w:keepNext/>
              <w:jc w:val="center"/>
              <w:rPr>
                <w:rFonts w:asciiTheme="minorHAnsi" w:hAnsiTheme="minorHAnsi" w:cstheme="minorHAnsi"/>
                <w:b/>
                <w:bCs/>
                <w:sz w:val="22"/>
                <w:szCs w:val="22"/>
              </w:rPr>
            </w:pPr>
            <w:r w:rsidRPr="00280E87">
              <w:rPr>
                <w:rFonts w:asciiTheme="minorHAnsi" w:hAnsiTheme="minorHAnsi" w:cstheme="minorHAnsi"/>
                <w:b/>
                <w:bCs/>
                <w:sz w:val="22"/>
                <w:szCs w:val="22"/>
              </w:rPr>
              <w:t>VIC</w:t>
            </w:r>
          </w:p>
        </w:tc>
        <w:tc>
          <w:tcPr>
            <w:tcW w:w="708" w:type="dxa"/>
            <w:tcBorders>
              <w:bottom w:val="single" w:sz="4" w:space="0" w:color="auto"/>
            </w:tcBorders>
          </w:tcPr>
          <w:p w:rsidR="00613CB5" w:rsidRPr="00280E87" w:rsidRDefault="00613CB5" w:rsidP="00C862A3">
            <w:pPr>
              <w:keepNext/>
              <w:jc w:val="center"/>
              <w:rPr>
                <w:rFonts w:asciiTheme="minorHAnsi" w:hAnsiTheme="minorHAnsi" w:cstheme="minorHAnsi"/>
                <w:b/>
                <w:bCs/>
                <w:sz w:val="22"/>
                <w:szCs w:val="22"/>
              </w:rPr>
            </w:pPr>
            <w:r w:rsidRPr="00280E87">
              <w:rPr>
                <w:rFonts w:asciiTheme="minorHAnsi" w:hAnsiTheme="minorHAnsi" w:cstheme="minorHAnsi"/>
                <w:b/>
                <w:bCs/>
                <w:sz w:val="22"/>
                <w:szCs w:val="22"/>
              </w:rPr>
              <w:t>QLD</w:t>
            </w:r>
          </w:p>
        </w:tc>
        <w:tc>
          <w:tcPr>
            <w:tcW w:w="718" w:type="dxa"/>
            <w:tcBorders>
              <w:bottom w:val="single" w:sz="4" w:space="0" w:color="auto"/>
            </w:tcBorders>
          </w:tcPr>
          <w:p w:rsidR="00613CB5" w:rsidRPr="00280E87" w:rsidRDefault="00613CB5" w:rsidP="00C862A3">
            <w:pPr>
              <w:keepNext/>
              <w:jc w:val="center"/>
              <w:rPr>
                <w:rFonts w:asciiTheme="minorHAnsi" w:hAnsiTheme="minorHAnsi" w:cstheme="minorHAnsi"/>
                <w:b/>
                <w:bCs/>
                <w:sz w:val="22"/>
                <w:szCs w:val="22"/>
              </w:rPr>
            </w:pPr>
            <w:r w:rsidRPr="00280E87">
              <w:rPr>
                <w:rFonts w:asciiTheme="minorHAnsi" w:hAnsiTheme="minorHAnsi" w:cstheme="minorHAnsi"/>
                <w:b/>
                <w:bCs/>
                <w:sz w:val="22"/>
                <w:szCs w:val="22"/>
              </w:rPr>
              <w:t>SA</w:t>
            </w:r>
          </w:p>
        </w:tc>
        <w:tc>
          <w:tcPr>
            <w:tcW w:w="656" w:type="dxa"/>
            <w:tcBorders>
              <w:bottom w:val="single" w:sz="4" w:space="0" w:color="auto"/>
            </w:tcBorders>
          </w:tcPr>
          <w:p w:rsidR="00613CB5" w:rsidRPr="00280E87" w:rsidRDefault="00613CB5" w:rsidP="00C862A3">
            <w:pPr>
              <w:keepNext/>
              <w:jc w:val="center"/>
              <w:rPr>
                <w:rFonts w:asciiTheme="minorHAnsi" w:hAnsiTheme="minorHAnsi" w:cstheme="minorHAnsi"/>
                <w:b/>
                <w:bCs/>
                <w:sz w:val="22"/>
                <w:szCs w:val="22"/>
              </w:rPr>
            </w:pPr>
            <w:r w:rsidRPr="00280E87">
              <w:rPr>
                <w:rFonts w:asciiTheme="minorHAnsi" w:hAnsiTheme="minorHAnsi" w:cstheme="minorHAnsi"/>
                <w:b/>
                <w:bCs/>
                <w:sz w:val="22"/>
                <w:szCs w:val="22"/>
              </w:rPr>
              <w:t>WA</w:t>
            </w:r>
          </w:p>
        </w:tc>
        <w:tc>
          <w:tcPr>
            <w:tcW w:w="655" w:type="dxa"/>
            <w:tcBorders>
              <w:bottom w:val="single" w:sz="4" w:space="0" w:color="auto"/>
            </w:tcBorders>
          </w:tcPr>
          <w:p w:rsidR="00613CB5" w:rsidRPr="00280E87" w:rsidRDefault="00613CB5" w:rsidP="00C862A3">
            <w:pPr>
              <w:keepNext/>
              <w:jc w:val="center"/>
              <w:rPr>
                <w:rFonts w:asciiTheme="minorHAnsi" w:hAnsiTheme="minorHAnsi" w:cstheme="minorHAnsi"/>
                <w:b/>
                <w:bCs/>
                <w:sz w:val="22"/>
                <w:szCs w:val="22"/>
              </w:rPr>
            </w:pPr>
            <w:r w:rsidRPr="00280E87">
              <w:rPr>
                <w:rFonts w:asciiTheme="minorHAnsi" w:hAnsiTheme="minorHAnsi" w:cstheme="minorHAnsi"/>
                <w:b/>
                <w:bCs/>
                <w:sz w:val="22"/>
                <w:szCs w:val="22"/>
              </w:rPr>
              <w:t>TAS</w:t>
            </w:r>
          </w:p>
        </w:tc>
        <w:tc>
          <w:tcPr>
            <w:tcW w:w="656" w:type="dxa"/>
            <w:tcBorders>
              <w:bottom w:val="single" w:sz="4" w:space="0" w:color="auto"/>
            </w:tcBorders>
          </w:tcPr>
          <w:p w:rsidR="00613CB5" w:rsidRPr="00280E87" w:rsidRDefault="00613CB5" w:rsidP="00C862A3">
            <w:pPr>
              <w:keepNext/>
              <w:jc w:val="center"/>
              <w:rPr>
                <w:rFonts w:asciiTheme="minorHAnsi" w:hAnsiTheme="minorHAnsi" w:cstheme="minorHAnsi"/>
                <w:b/>
                <w:bCs/>
                <w:sz w:val="22"/>
                <w:szCs w:val="22"/>
              </w:rPr>
            </w:pPr>
            <w:r w:rsidRPr="00280E87">
              <w:rPr>
                <w:rFonts w:asciiTheme="minorHAnsi" w:hAnsiTheme="minorHAnsi" w:cstheme="minorHAnsi"/>
                <w:b/>
                <w:bCs/>
                <w:sz w:val="22"/>
                <w:szCs w:val="22"/>
              </w:rPr>
              <w:t>NT</w:t>
            </w:r>
          </w:p>
        </w:tc>
        <w:tc>
          <w:tcPr>
            <w:tcW w:w="656" w:type="dxa"/>
            <w:tcBorders>
              <w:bottom w:val="single" w:sz="4" w:space="0" w:color="auto"/>
            </w:tcBorders>
          </w:tcPr>
          <w:p w:rsidR="00613CB5" w:rsidRPr="00280E87" w:rsidRDefault="00613CB5" w:rsidP="00C862A3">
            <w:pPr>
              <w:keepNext/>
              <w:jc w:val="center"/>
              <w:rPr>
                <w:rFonts w:asciiTheme="minorHAnsi" w:hAnsiTheme="minorHAnsi" w:cstheme="minorHAnsi"/>
                <w:b/>
                <w:bCs/>
                <w:sz w:val="22"/>
                <w:szCs w:val="22"/>
              </w:rPr>
            </w:pPr>
            <w:r w:rsidRPr="00280E87">
              <w:rPr>
                <w:rFonts w:asciiTheme="minorHAnsi" w:hAnsiTheme="minorHAnsi" w:cstheme="minorHAnsi"/>
                <w:b/>
                <w:bCs/>
                <w:sz w:val="22"/>
                <w:szCs w:val="22"/>
              </w:rPr>
              <w:t>ACT</w:t>
            </w:r>
          </w:p>
        </w:tc>
        <w:tc>
          <w:tcPr>
            <w:tcW w:w="1098" w:type="dxa"/>
            <w:tcBorders>
              <w:bottom w:val="single" w:sz="4" w:space="0" w:color="auto"/>
            </w:tcBorders>
          </w:tcPr>
          <w:p w:rsidR="00613CB5" w:rsidRPr="00280E87" w:rsidRDefault="00613CB5" w:rsidP="00C862A3">
            <w:pPr>
              <w:keepNext/>
              <w:jc w:val="center"/>
              <w:rPr>
                <w:rFonts w:asciiTheme="minorHAnsi" w:hAnsiTheme="minorHAnsi" w:cstheme="minorHAnsi"/>
                <w:b/>
                <w:bCs/>
                <w:sz w:val="22"/>
                <w:szCs w:val="22"/>
              </w:rPr>
            </w:pPr>
            <w:r w:rsidRPr="00280E87">
              <w:rPr>
                <w:rFonts w:asciiTheme="minorHAnsi" w:hAnsiTheme="minorHAnsi" w:cstheme="minorHAnsi"/>
                <w:b/>
                <w:bCs/>
                <w:sz w:val="22"/>
                <w:szCs w:val="22"/>
              </w:rPr>
              <w:t>Australia</w:t>
            </w:r>
          </w:p>
        </w:tc>
      </w:tr>
      <w:tr w:rsidR="00613CB5" w:rsidRPr="001672E8" w:rsidTr="00D62242">
        <w:trPr>
          <w:trHeight w:val="269"/>
        </w:trPr>
        <w:tc>
          <w:tcPr>
            <w:tcW w:w="3005" w:type="dxa"/>
            <w:tcBorders>
              <w:top w:val="single" w:sz="4" w:space="0" w:color="auto"/>
              <w:bottom w:val="single" w:sz="4" w:space="0" w:color="auto"/>
            </w:tcBorders>
          </w:tcPr>
          <w:p w:rsidR="00613CB5" w:rsidRPr="00280E87" w:rsidRDefault="00613CB5" w:rsidP="00C862A3">
            <w:pPr>
              <w:keepNext/>
              <w:rPr>
                <w:rFonts w:asciiTheme="minorHAnsi" w:hAnsiTheme="minorHAnsi" w:cstheme="minorHAnsi"/>
                <w:sz w:val="22"/>
                <w:szCs w:val="22"/>
              </w:rPr>
            </w:pPr>
            <w:r w:rsidRPr="00280E87">
              <w:rPr>
                <w:rFonts w:asciiTheme="minorHAnsi" w:hAnsiTheme="minorHAnsi" w:cstheme="minorHAnsi"/>
                <w:sz w:val="22"/>
                <w:szCs w:val="22"/>
              </w:rPr>
              <w:t>Proportion of vacancies filled</w:t>
            </w:r>
          </w:p>
        </w:tc>
        <w:tc>
          <w:tcPr>
            <w:tcW w:w="709" w:type="dxa"/>
            <w:tcBorders>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66%</w:t>
            </w:r>
          </w:p>
        </w:tc>
        <w:tc>
          <w:tcPr>
            <w:tcW w:w="709" w:type="dxa"/>
            <w:tcBorders>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76%</w:t>
            </w:r>
          </w:p>
        </w:tc>
        <w:tc>
          <w:tcPr>
            <w:tcW w:w="708" w:type="dxa"/>
            <w:tcBorders>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68%</w:t>
            </w:r>
          </w:p>
        </w:tc>
        <w:tc>
          <w:tcPr>
            <w:tcW w:w="718" w:type="dxa"/>
            <w:tcBorders>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81%</w:t>
            </w:r>
          </w:p>
        </w:tc>
        <w:tc>
          <w:tcPr>
            <w:tcW w:w="656" w:type="dxa"/>
            <w:tcBorders>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73%</w:t>
            </w:r>
          </w:p>
        </w:tc>
        <w:tc>
          <w:tcPr>
            <w:tcW w:w="655" w:type="dxa"/>
            <w:tcBorders>
              <w:bottom w:val="single" w:sz="4" w:space="0" w:color="auto"/>
            </w:tcBorders>
            <w:shd w:val="clear" w:color="auto" w:fill="auto"/>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74%</w:t>
            </w:r>
          </w:p>
        </w:tc>
        <w:tc>
          <w:tcPr>
            <w:tcW w:w="656" w:type="dxa"/>
            <w:tcBorders>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72%</w:t>
            </w:r>
          </w:p>
        </w:tc>
        <w:tc>
          <w:tcPr>
            <w:tcW w:w="656" w:type="dxa"/>
            <w:tcBorders>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71%</w:t>
            </w:r>
          </w:p>
        </w:tc>
        <w:tc>
          <w:tcPr>
            <w:tcW w:w="1098" w:type="dxa"/>
            <w:tcBorders>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72%</w:t>
            </w:r>
          </w:p>
        </w:tc>
      </w:tr>
      <w:tr w:rsidR="00613CB5" w:rsidRPr="001672E8" w:rsidTr="00987781">
        <w:trPr>
          <w:trHeight w:val="269"/>
        </w:trPr>
        <w:tc>
          <w:tcPr>
            <w:tcW w:w="3005" w:type="dxa"/>
            <w:tcBorders>
              <w:top w:val="single" w:sz="4" w:space="0" w:color="auto"/>
              <w:bottom w:val="single" w:sz="4" w:space="0" w:color="auto"/>
            </w:tcBorders>
          </w:tcPr>
          <w:p w:rsidR="00613CB5" w:rsidRPr="00280E87" w:rsidRDefault="00613CB5" w:rsidP="00C862A3">
            <w:pPr>
              <w:keepNext/>
              <w:rPr>
                <w:rFonts w:asciiTheme="minorHAnsi" w:hAnsiTheme="minorHAnsi" w:cstheme="minorHAnsi"/>
                <w:sz w:val="22"/>
                <w:szCs w:val="22"/>
              </w:rPr>
            </w:pPr>
            <w:r w:rsidRPr="00280E87">
              <w:rPr>
                <w:rFonts w:asciiTheme="minorHAnsi" w:hAnsiTheme="minorHAnsi" w:cstheme="minorHAnsi"/>
                <w:sz w:val="22"/>
                <w:szCs w:val="22"/>
              </w:rPr>
              <w:t>Applicants per vacancy</w:t>
            </w:r>
          </w:p>
        </w:tc>
        <w:tc>
          <w:tcPr>
            <w:tcW w:w="709" w:type="dxa"/>
            <w:tcBorders>
              <w:top w:val="single" w:sz="4" w:space="0" w:color="auto"/>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13.2</w:t>
            </w:r>
          </w:p>
        </w:tc>
        <w:tc>
          <w:tcPr>
            <w:tcW w:w="709" w:type="dxa"/>
            <w:tcBorders>
              <w:top w:val="single" w:sz="4" w:space="0" w:color="auto"/>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21.8</w:t>
            </w:r>
          </w:p>
        </w:tc>
        <w:tc>
          <w:tcPr>
            <w:tcW w:w="708" w:type="dxa"/>
            <w:tcBorders>
              <w:top w:val="single" w:sz="4" w:space="0" w:color="auto"/>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14.6</w:t>
            </w:r>
          </w:p>
        </w:tc>
        <w:tc>
          <w:tcPr>
            <w:tcW w:w="718" w:type="dxa"/>
            <w:tcBorders>
              <w:top w:val="single" w:sz="4" w:space="0" w:color="auto"/>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11.7</w:t>
            </w:r>
          </w:p>
        </w:tc>
        <w:tc>
          <w:tcPr>
            <w:tcW w:w="656" w:type="dxa"/>
            <w:tcBorders>
              <w:top w:val="single" w:sz="4" w:space="0" w:color="auto"/>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14.5</w:t>
            </w:r>
          </w:p>
        </w:tc>
        <w:tc>
          <w:tcPr>
            <w:tcW w:w="655" w:type="dxa"/>
            <w:tcBorders>
              <w:top w:val="single" w:sz="4" w:space="0" w:color="auto"/>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7.8</w:t>
            </w:r>
          </w:p>
        </w:tc>
        <w:tc>
          <w:tcPr>
            <w:tcW w:w="656" w:type="dxa"/>
            <w:tcBorders>
              <w:top w:val="single" w:sz="4" w:space="0" w:color="auto"/>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6.9</w:t>
            </w:r>
          </w:p>
        </w:tc>
        <w:tc>
          <w:tcPr>
            <w:tcW w:w="656" w:type="dxa"/>
            <w:tcBorders>
              <w:top w:val="single" w:sz="4" w:space="0" w:color="auto"/>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6.7</w:t>
            </w:r>
          </w:p>
        </w:tc>
        <w:tc>
          <w:tcPr>
            <w:tcW w:w="1098" w:type="dxa"/>
            <w:tcBorders>
              <w:top w:val="single" w:sz="4" w:space="0" w:color="auto"/>
              <w:bottom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13.9</w:t>
            </w:r>
          </w:p>
        </w:tc>
      </w:tr>
      <w:tr w:rsidR="00613CB5" w:rsidRPr="001672E8" w:rsidTr="00987781">
        <w:trPr>
          <w:trHeight w:val="269"/>
        </w:trPr>
        <w:tc>
          <w:tcPr>
            <w:tcW w:w="3005" w:type="dxa"/>
            <w:tcBorders>
              <w:top w:val="single" w:sz="4" w:space="0" w:color="auto"/>
            </w:tcBorders>
          </w:tcPr>
          <w:p w:rsidR="00613CB5" w:rsidRPr="00280E87" w:rsidRDefault="00613CB5" w:rsidP="00C862A3">
            <w:pPr>
              <w:keepNext/>
              <w:rPr>
                <w:rFonts w:asciiTheme="minorHAnsi" w:hAnsiTheme="minorHAnsi" w:cstheme="minorHAnsi"/>
                <w:sz w:val="22"/>
                <w:szCs w:val="22"/>
              </w:rPr>
            </w:pPr>
            <w:r w:rsidRPr="00280E87">
              <w:rPr>
                <w:rFonts w:asciiTheme="minorHAnsi" w:hAnsiTheme="minorHAnsi" w:cstheme="minorHAnsi"/>
                <w:sz w:val="22"/>
                <w:szCs w:val="22"/>
              </w:rPr>
              <w:t>Suitable applicants per vacancy</w:t>
            </w:r>
          </w:p>
        </w:tc>
        <w:tc>
          <w:tcPr>
            <w:tcW w:w="709" w:type="dxa"/>
            <w:tcBorders>
              <w:top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1.7</w:t>
            </w:r>
          </w:p>
        </w:tc>
        <w:tc>
          <w:tcPr>
            <w:tcW w:w="709" w:type="dxa"/>
            <w:tcBorders>
              <w:top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2.5</w:t>
            </w:r>
          </w:p>
        </w:tc>
        <w:tc>
          <w:tcPr>
            <w:tcW w:w="708" w:type="dxa"/>
            <w:tcBorders>
              <w:top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2.5</w:t>
            </w:r>
          </w:p>
        </w:tc>
        <w:tc>
          <w:tcPr>
            <w:tcW w:w="718" w:type="dxa"/>
            <w:tcBorders>
              <w:top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2.4</w:t>
            </w:r>
          </w:p>
        </w:tc>
        <w:tc>
          <w:tcPr>
            <w:tcW w:w="656" w:type="dxa"/>
            <w:tcBorders>
              <w:top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2.6</w:t>
            </w:r>
          </w:p>
        </w:tc>
        <w:tc>
          <w:tcPr>
            <w:tcW w:w="655" w:type="dxa"/>
            <w:tcBorders>
              <w:top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1.7</w:t>
            </w:r>
          </w:p>
        </w:tc>
        <w:tc>
          <w:tcPr>
            <w:tcW w:w="656" w:type="dxa"/>
            <w:tcBorders>
              <w:top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2.0</w:t>
            </w:r>
          </w:p>
        </w:tc>
        <w:tc>
          <w:tcPr>
            <w:tcW w:w="656" w:type="dxa"/>
            <w:tcBorders>
              <w:top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1.9</w:t>
            </w:r>
          </w:p>
        </w:tc>
        <w:tc>
          <w:tcPr>
            <w:tcW w:w="1098" w:type="dxa"/>
            <w:tcBorders>
              <w:top w:val="single" w:sz="4" w:space="0" w:color="auto"/>
            </w:tcBorders>
          </w:tcPr>
          <w:p w:rsidR="00613CB5" w:rsidRPr="00280E87" w:rsidRDefault="00613CB5" w:rsidP="00C862A3">
            <w:pPr>
              <w:keepNext/>
              <w:jc w:val="center"/>
              <w:rPr>
                <w:rFonts w:asciiTheme="minorHAnsi" w:hAnsiTheme="minorHAnsi" w:cstheme="minorHAnsi"/>
                <w:sz w:val="22"/>
                <w:szCs w:val="22"/>
              </w:rPr>
            </w:pPr>
            <w:r w:rsidRPr="00280E87">
              <w:rPr>
                <w:rFonts w:asciiTheme="minorHAnsi" w:hAnsiTheme="minorHAnsi" w:cstheme="minorHAnsi"/>
                <w:sz w:val="22"/>
                <w:szCs w:val="22"/>
              </w:rPr>
              <w:t>2.2</w:t>
            </w:r>
          </w:p>
        </w:tc>
      </w:tr>
    </w:tbl>
    <w:p w:rsidR="006A42C9" w:rsidRPr="000C3E77" w:rsidRDefault="006A42C9" w:rsidP="006A42C9">
      <w:pPr>
        <w:spacing w:after="240" w:line="240" w:lineRule="auto"/>
        <w:rPr>
          <w:sz w:val="18"/>
          <w:szCs w:val="18"/>
        </w:rPr>
      </w:pPr>
      <w:r w:rsidRPr="000C3E77">
        <w:rPr>
          <w:sz w:val="18"/>
          <w:szCs w:val="18"/>
        </w:rPr>
        <w:t xml:space="preserve">Source: </w:t>
      </w:r>
      <w:r w:rsidR="00F34536" w:rsidRPr="00F34536">
        <w:rPr>
          <w:sz w:val="18"/>
          <w:szCs w:val="18"/>
        </w:rPr>
        <w:t>Department of Employment</w:t>
      </w:r>
      <w:r w:rsidRPr="000C3E77">
        <w:rPr>
          <w:sz w:val="18"/>
          <w:szCs w:val="18"/>
        </w:rPr>
        <w:t xml:space="preserve"> Skill Shortage Research: Survey of Employers who have Recently Adv</w:t>
      </w:r>
      <w:r w:rsidR="00DC179A">
        <w:rPr>
          <w:sz w:val="18"/>
          <w:szCs w:val="18"/>
        </w:rPr>
        <w:t>ertised</w:t>
      </w:r>
    </w:p>
    <w:p w:rsidR="00DA3DBB" w:rsidRPr="00DA3DBB" w:rsidRDefault="00DA3DBB" w:rsidP="002E5631">
      <w:pPr>
        <w:spacing w:after="240" w:line="240" w:lineRule="auto"/>
      </w:pPr>
      <w:r w:rsidRPr="00DA3DBB">
        <w:t xml:space="preserve">Recruitment of skilled workers is generally harder in regional locations than in metropolitan areas, with significantly fewer candidates for vacancies in regional areas. The most notable occupations for which recruitment is more difficult for employers in regional areas are health professions and nurses, particularly for experienced or senior roles. </w:t>
      </w:r>
      <w:r w:rsidR="00A3784D">
        <w:t xml:space="preserve">A </w:t>
      </w:r>
      <w:r w:rsidRPr="00DA3DBB">
        <w:t>key issue for these labour markets is the difficulty graduates face securing employment, with many employers unable to provide the support or supervision to those who are newly qualified.</w:t>
      </w:r>
    </w:p>
    <w:p w:rsidR="00DA3DBB" w:rsidRPr="00DA3DBB" w:rsidRDefault="00DA3DBB" w:rsidP="002E5631">
      <w:pPr>
        <w:spacing w:after="240" w:line="240" w:lineRule="auto"/>
      </w:pPr>
      <w:r w:rsidRPr="00DA3DBB">
        <w:t>Employers’ comments suggest that a number of regional vacancies remain unfilled as preferred applicants are unwilling to relocate or cannot agree on employment terms and conditions with the employer. A number of empl</w:t>
      </w:r>
      <w:r w:rsidR="00A3784D">
        <w:t>oyers contacted as part of the D</w:t>
      </w:r>
      <w:r w:rsidRPr="00DA3DBB">
        <w:t>epartment’s research in 2013 also indicated that they were reluctant to hire someone who is not local.</w:t>
      </w:r>
    </w:p>
    <w:p w:rsidR="00DA3DBB" w:rsidRPr="00613CB5" w:rsidRDefault="00DA3DBB" w:rsidP="00613CB5">
      <w:pPr>
        <w:pStyle w:val="CABNETParagraphAtt"/>
        <w:keepNext/>
        <w:spacing w:before="0" w:after="0"/>
        <w:rPr>
          <w:rFonts w:asciiTheme="minorHAnsi" w:hAnsiTheme="minorHAnsi" w:cstheme="minorHAnsi"/>
          <w:b/>
        </w:rPr>
      </w:pPr>
      <w:r w:rsidRPr="00613CB5">
        <w:rPr>
          <w:rFonts w:asciiTheme="minorHAnsi" w:hAnsiTheme="minorHAnsi" w:cstheme="minorHAnsi"/>
          <w:b/>
        </w:rPr>
        <w:t>Table 6: Proportion of vacancies filled (%) and average number of applicants, and suitable applicants per vacancy (no.) by metropolitan and regional and Australia, 2013</w:t>
      </w:r>
    </w:p>
    <w:tbl>
      <w:tblPr>
        <w:tblStyle w:val="TableGrid"/>
        <w:tblW w:w="0" w:type="auto"/>
        <w:tblInd w:w="108" w:type="dxa"/>
        <w:tblLook w:val="04A0" w:firstRow="1" w:lastRow="0" w:firstColumn="1" w:lastColumn="0" w:noHBand="0" w:noVBand="1"/>
      </w:tblPr>
      <w:tblGrid>
        <w:gridCol w:w="3119"/>
        <w:gridCol w:w="1417"/>
        <w:gridCol w:w="1560"/>
        <w:gridCol w:w="1417"/>
      </w:tblGrid>
      <w:tr w:rsidR="000E6CE4" w:rsidRPr="000E6CE4" w:rsidTr="00D62242">
        <w:tc>
          <w:tcPr>
            <w:tcW w:w="3119" w:type="dxa"/>
            <w:tcBorders>
              <w:top w:val="nil"/>
              <w:left w:val="nil"/>
              <w:bottom w:val="single" w:sz="4" w:space="0" w:color="auto"/>
              <w:right w:val="single" w:sz="4" w:space="0" w:color="auto"/>
            </w:tcBorders>
          </w:tcPr>
          <w:p w:rsidR="000E6CE4" w:rsidRPr="000E6CE4" w:rsidRDefault="000E6CE4" w:rsidP="00BC0658">
            <w:pPr>
              <w:rPr>
                <w:rFonts w:asciiTheme="minorHAnsi" w:hAnsiTheme="minorHAnsi" w:cstheme="minorHAnsi"/>
                <w:sz w:val="22"/>
                <w:szCs w:val="22"/>
              </w:rPr>
            </w:pPr>
          </w:p>
        </w:tc>
        <w:tc>
          <w:tcPr>
            <w:tcW w:w="1417" w:type="dxa"/>
            <w:tcBorders>
              <w:left w:val="single" w:sz="4" w:space="0" w:color="auto"/>
            </w:tcBorders>
          </w:tcPr>
          <w:p w:rsidR="000E6CE4" w:rsidRPr="000E6CE4" w:rsidRDefault="000E6CE4" w:rsidP="000E6CE4">
            <w:pPr>
              <w:jc w:val="center"/>
              <w:rPr>
                <w:rFonts w:asciiTheme="minorHAnsi" w:hAnsiTheme="minorHAnsi" w:cstheme="minorHAnsi"/>
                <w:b/>
                <w:sz w:val="22"/>
                <w:szCs w:val="22"/>
              </w:rPr>
            </w:pPr>
            <w:r w:rsidRPr="000E6CE4">
              <w:rPr>
                <w:rFonts w:asciiTheme="minorHAnsi" w:hAnsiTheme="minorHAnsi" w:cstheme="minorHAnsi"/>
                <w:b/>
                <w:sz w:val="22"/>
                <w:szCs w:val="22"/>
              </w:rPr>
              <w:t>Metro</w:t>
            </w:r>
          </w:p>
        </w:tc>
        <w:tc>
          <w:tcPr>
            <w:tcW w:w="1560" w:type="dxa"/>
          </w:tcPr>
          <w:p w:rsidR="000E6CE4" w:rsidRPr="000E6CE4" w:rsidRDefault="000E6CE4" w:rsidP="000E6CE4">
            <w:pPr>
              <w:jc w:val="center"/>
              <w:rPr>
                <w:rFonts w:asciiTheme="minorHAnsi" w:hAnsiTheme="minorHAnsi" w:cstheme="minorHAnsi"/>
                <w:b/>
                <w:sz w:val="22"/>
                <w:szCs w:val="22"/>
              </w:rPr>
            </w:pPr>
            <w:r w:rsidRPr="000E6CE4">
              <w:rPr>
                <w:rFonts w:asciiTheme="minorHAnsi" w:hAnsiTheme="minorHAnsi" w:cstheme="minorHAnsi"/>
                <w:b/>
                <w:sz w:val="22"/>
                <w:szCs w:val="22"/>
              </w:rPr>
              <w:t>Regional</w:t>
            </w:r>
          </w:p>
        </w:tc>
        <w:tc>
          <w:tcPr>
            <w:tcW w:w="1417" w:type="dxa"/>
          </w:tcPr>
          <w:p w:rsidR="000E6CE4" w:rsidRPr="000E6CE4" w:rsidRDefault="000E6CE4" w:rsidP="000E6CE4">
            <w:pPr>
              <w:jc w:val="center"/>
              <w:rPr>
                <w:rFonts w:asciiTheme="minorHAnsi" w:hAnsiTheme="minorHAnsi" w:cstheme="minorHAnsi"/>
                <w:b/>
                <w:sz w:val="22"/>
                <w:szCs w:val="22"/>
              </w:rPr>
            </w:pPr>
            <w:r w:rsidRPr="000E6CE4">
              <w:rPr>
                <w:rFonts w:asciiTheme="minorHAnsi" w:hAnsiTheme="minorHAnsi" w:cstheme="minorHAnsi"/>
                <w:b/>
                <w:sz w:val="22"/>
                <w:szCs w:val="22"/>
              </w:rPr>
              <w:t>Australia</w:t>
            </w:r>
          </w:p>
        </w:tc>
      </w:tr>
      <w:tr w:rsidR="000E6CE4" w:rsidRPr="000E6CE4" w:rsidTr="00D62242">
        <w:tc>
          <w:tcPr>
            <w:tcW w:w="3119" w:type="dxa"/>
            <w:tcBorders>
              <w:top w:val="single" w:sz="4" w:space="0" w:color="auto"/>
              <w:bottom w:val="single" w:sz="4" w:space="0" w:color="auto"/>
            </w:tcBorders>
          </w:tcPr>
          <w:p w:rsidR="000E6CE4" w:rsidRPr="000E6CE4" w:rsidRDefault="000E6CE4" w:rsidP="00BC0658">
            <w:pPr>
              <w:rPr>
                <w:rFonts w:asciiTheme="minorHAnsi" w:hAnsiTheme="minorHAnsi" w:cstheme="minorHAnsi"/>
                <w:sz w:val="22"/>
                <w:szCs w:val="22"/>
              </w:rPr>
            </w:pPr>
            <w:r w:rsidRPr="000E6CE4">
              <w:rPr>
                <w:rFonts w:asciiTheme="minorHAnsi" w:hAnsiTheme="minorHAnsi" w:cstheme="minorHAnsi"/>
                <w:sz w:val="22"/>
                <w:szCs w:val="22"/>
              </w:rPr>
              <w:t>Proportion of vacancies filled</w:t>
            </w:r>
          </w:p>
        </w:tc>
        <w:tc>
          <w:tcPr>
            <w:tcW w:w="1417" w:type="dxa"/>
          </w:tcPr>
          <w:p w:rsidR="000E6CE4" w:rsidRPr="000E6CE4" w:rsidRDefault="000E6CE4" w:rsidP="000E6CE4">
            <w:pPr>
              <w:jc w:val="center"/>
              <w:rPr>
                <w:rFonts w:asciiTheme="minorHAnsi" w:hAnsiTheme="minorHAnsi" w:cstheme="minorHAnsi"/>
                <w:sz w:val="22"/>
                <w:szCs w:val="22"/>
              </w:rPr>
            </w:pPr>
            <w:r w:rsidRPr="000E6CE4">
              <w:rPr>
                <w:rFonts w:asciiTheme="minorHAnsi" w:hAnsiTheme="minorHAnsi" w:cstheme="minorHAnsi"/>
                <w:sz w:val="22"/>
                <w:szCs w:val="22"/>
              </w:rPr>
              <w:t>74%</w:t>
            </w:r>
          </w:p>
        </w:tc>
        <w:tc>
          <w:tcPr>
            <w:tcW w:w="1560" w:type="dxa"/>
          </w:tcPr>
          <w:p w:rsidR="000E6CE4" w:rsidRPr="000E6CE4" w:rsidRDefault="000E6CE4" w:rsidP="000E6CE4">
            <w:pPr>
              <w:jc w:val="center"/>
              <w:rPr>
                <w:rFonts w:asciiTheme="minorHAnsi" w:hAnsiTheme="minorHAnsi" w:cstheme="minorHAnsi"/>
                <w:sz w:val="22"/>
                <w:szCs w:val="22"/>
              </w:rPr>
            </w:pPr>
            <w:r w:rsidRPr="000E6CE4">
              <w:rPr>
                <w:rFonts w:asciiTheme="minorHAnsi" w:hAnsiTheme="minorHAnsi" w:cstheme="minorHAnsi"/>
                <w:sz w:val="22"/>
                <w:szCs w:val="22"/>
              </w:rPr>
              <w:t>67%</w:t>
            </w:r>
          </w:p>
        </w:tc>
        <w:tc>
          <w:tcPr>
            <w:tcW w:w="1417" w:type="dxa"/>
          </w:tcPr>
          <w:p w:rsidR="000E6CE4" w:rsidRPr="000E6CE4" w:rsidRDefault="000E6CE4" w:rsidP="000E6CE4">
            <w:pPr>
              <w:jc w:val="center"/>
              <w:rPr>
                <w:rFonts w:asciiTheme="minorHAnsi" w:hAnsiTheme="minorHAnsi" w:cstheme="minorHAnsi"/>
                <w:sz w:val="22"/>
                <w:szCs w:val="22"/>
              </w:rPr>
            </w:pPr>
            <w:r w:rsidRPr="000E6CE4">
              <w:rPr>
                <w:rFonts w:asciiTheme="minorHAnsi" w:hAnsiTheme="minorHAnsi" w:cstheme="minorHAnsi"/>
                <w:sz w:val="22"/>
                <w:szCs w:val="22"/>
              </w:rPr>
              <w:t>72%</w:t>
            </w:r>
          </w:p>
        </w:tc>
      </w:tr>
      <w:tr w:rsidR="000E6CE4" w:rsidRPr="000E6CE4" w:rsidTr="00D62242">
        <w:tc>
          <w:tcPr>
            <w:tcW w:w="3119" w:type="dxa"/>
            <w:tcBorders>
              <w:top w:val="single" w:sz="4" w:space="0" w:color="auto"/>
            </w:tcBorders>
          </w:tcPr>
          <w:p w:rsidR="000E6CE4" w:rsidRPr="000E6CE4" w:rsidRDefault="000E6CE4" w:rsidP="00BC0658">
            <w:pPr>
              <w:rPr>
                <w:rFonts w:asciiTheme="minorHAnsi" w:hAnsiTheme="minorHAnsi" w:cstheme="minorHAnsi"/>
                <w:sz w:val="22"/>
                <w:szCs w:val="22"/>
              </w:rPr>
            </w:pPr>
            <w:r w:rsidRPr="000E6CE4">
              <w:rPr>
                <w:rFonts w:asciiTheme="minorHAnsi" w:hAnsiTheme="minorHAnsi" w:cstheme="minorHAnsi"/>
                <w:sz w:val="22"/>
                <w:szCs w:val="22"/>
              </w:rPr>
              <w:t>Applicants per vacancy</w:t>
            </w:r>
          </w:p>
        </w:tc>
        <w:tc>
          <w:tcPr>
            <w:tcW w:w="1417" w:type="dxa"/>
          </w:tcPr>
          <w:p w:rsidR="000E6CE4" w:rsidRPr="000E6CE4" w:rsidRDefault="000E6CE4" w:rsidP="000E6CE4">
            <w:pPr>
              <w:jc w:val="center"/>
              <w:rPr>
                <w:rFonts w:asciiTheme="minorHAnsi" w:hAnsiTheme="minorHAnsi" w:cstheme="minorHAnsi"/>
                <w:sz w:val="22"/>
                <w:szCs w:val="22"/>
              </w:rPr>
            </w:pPr>
            <w:r w:rsidRPr="000E6CE4">
              <w:rPr>
                <w:rFonts w:asciiTheme="minorHAnsi" w:hAnsiTheme="minorHAnsi" w:cstheme="minorHAnsi"/>
                <w:sz w:val="22"/>
                <w:szCs w:val="22"/>
              </w:rPr>
              <w:t>15.7</w:t>
            </w:r>
          </w:p>
        </w:tc>
        <w:tc>
          <w:tcPr>
            <w:tcW w:w="1560" w:type="dxa"/>
          </w:tcPr>
          <w:p w:rsidR="000E6CE4" w:rsidRPr="000E6CE4" w:rsidRDefault="000E6CE4" w:rsidP="000E6CE4">
            <w:pPr>
              <w:jc w:val="center"/>
              <w:rPr>
                <w:rFonts w:asciiTheme="minorHAnsi" w:hAnsiTheme="minorHAnsi" w:cstheme="minorHAnsi"/>
                <w:sz w:val="22"/>
                <w:szCs w:val="22"/>
              </w:rPr>
            </w:pPr>
            <w:r w:rsidRPr="000E6CE4">
              <w:rPr>
                <w:rFonts w:asciiTheme="minorHAnsi" w:hAnsiTheme="minorHAnsi" w:cstheme="minorHAnsi"/>
                <w:sz w:val="22"/>
                <w:szCs w:val="22"/>
              </w:rPr>
              <w:t>9.6</w:t>
            </w:r>
          </w:p>
        </w:tc>
        <w:tc>
          <w:tcPr>
            <w:tcW w:w="1417" w:type="dxa"/>
          </w:tcPr>
          <w:p w:rsidR="000E6CE4" w:rsidRPr="000E6CE4" w:rsidRDefault="000E6CE4" w:rsidP="000E6CE4">
            <w:pPr>
              <w:jc w:val="center"/>
              <w:rPr>
                <w:rFonts w:asciiTheme="minorHAnsi" w:hAnsiTheme="minorHAnsi" w:cstheme="minorHAnsi"/>
                <w:sz w:val="22"/>
                <w:szCs w:val="22"/>
              </w:rPr>
            </w:pPr>
            <w:r w:rsidRPr="000E6CE4">
              <w:rPr>
                <w:rFonts w:asciiTheme="minorHAnsi" w:hAnsiTheme="minorHAnsi" w:cstheme="minorHAnsi"/>
                <w:sz w:val="22"/>
                <w:szCs w:val="22"/>
              </w:rPr>
              <w:t>13.9</w:t>
            </w:r>
          </w:p>
        </w:tc>
      </w:tr>
      <w:tr w:rsidR="000E6CE4" w:rsidRPr="000E6CE4" w:rsidTr="000E6CE4">
        <w:tc>
          <w:tcPr>
            <w:tcW w:w="3119" w:type="dxa"/>
          </w:tcPr>
          <w:p w:rsidR="000E6CE4" w:rsidRPr="000E6CE4" w:rsidRDefault="000E6CE4" w:rsidP="00BC0658">
            <w:pPr>
              <w:rPr>
                <w:rFonts w:asciiTheme="minorHAnsi" w:hAnsiTheme="minorHAnsi" w:cstheme="minorHAnsi"/>
                <w:sz w:val="22"/>
                <w:szCs w:val="22"/>
              </w:rPr>
            </w:pPr>
            <w:r w:rsidRPr="000E6CE4">
              <w:rPr>
                <w:rFonts w:asciiTheme="minorHAnsi" w:hAnsiTheme="minorHAnsi" w:cstheme="minorHAnsi"/>
                <w:sz w:val="22"/>
                <w:szCs w:val="22"/>
              </w:rPr>
              <w:t>Suitable applicants per vacancy</w:t>
            </w:r>
          </w:p>
        </w:tc>
        <w:tc>
          <w:tcPr>
            <w:tcW w:w="1417" w:type="dxa"/>
          </w:tcPr>
          <w:p w:rsidR="000E6CE4" w:rsidRPr="000E6CE4" w:rsidRDefault="000E6CE4" w:rsidP="000E6CE4">
            <w:pPr>
              <w:jc w:val="center"/>
              <w:rPr>
                <w:rFonts w:asciiTheme="minorHAnsi" w:hAnsiTheme="minorHAnsi" w:cstheme="minorHAnsi"/>
                <w:sz w:val="22"/>
                <w:szCs w:val="22"/>
              </w:rPr>
            </w:pPr>
            <w:r w:rsidRPr="000E6CE4">
              <w:rPr>
                <w:rFonts w:asciiTheme="minorHAnsi" w:hAnsiTheme="minorHAnsi" w:cstheme="minorHAnsi"/>
                <w:sz w:val="22"/>
                <w:szCs w:val="22"/>
              </w:rPr>
              <w:t>2.4</w:t>
            </w:r>
          </w:p>
        </w:tc>
        <w:tc>
          <w:tcPr>
            <w:tcW w:w="1560" w:type="dxa"/>
          </w:tcPr>
          <w:p w:rsidR="000E6CE4" w:rsidRPr="000E6CE4" w:rsidRDefault="000E6CE4" w:rsidP="000E6CE4">
            <w:pPr>
              <w:jc w:val="center"/>
              <w:rPr>
                <w:rFonts w:asciiTheme="minorHAnsi" w:hAnsiTheme="minorHAnsi" w:cstheme="minorHAnsi"/>
                <w:sz w:val="22"/>
                <w:szCs w:val="22"/>
              </w:rPr>
            </w:pPr>
            <w:r w:rsidRPr="000E6CE4">
              <w:rPr>
                <w:rFonts w:asciiTheme="minorHAnsi" w:hAnsiTheme="minorHAnsi" w:cstheme="minorHAnsi"/>
                <w:sz w:val="22"/>
                <w:szCs w:val="22"/>
              </w:rPr>
              <w:t>1.9</w:t>
            </w:r>
          </w:p>
        </w:tc>
        <w:tc>
          <w:tcPr>
            <w:tcW w:w="1417" w:type="dxa"/>
          </w:tcPr>
          <w:p w:rsidR="000E6CE4" w:rsidRPr="000E6CE4" w:rsidRDefault="000E6CE4" w:rsidP="000E6CE4">
            <w:pPr>
              <w:jc w:val="center"/>
              <w:rPr>
                <w:rFonts w:asciiTheme="minorHAnsi" w:hAnsiTheme="minorHAnsi" w:cstheme="minorHAnsi"/>
                <w:sz w:val="22"/>
                <w:szCs w:val="22"/>
              </w:rPr>
            </w:pPr>
            <w:r w:rsidRPr="000E6CE4">
              <w:rPr>
                <w:rFonts w:asciiTheme="minorHAnsi" w:hAnsiTheme="minorHAnsi" w:cstheme="minorHAnsi"/>
                <w:sz w:val="22"/>
                <w:szCs w:val="22"/>
              </w:rPr>
              <w:t>2.2</w:t>
            </w:r>
          </w:p>
        </w:tc>
      </w:tr>
    </w:tbl>
    <w:p w:rsidR="00DA3DBB" w:rsidRPr="00DA3DBB" w:rsidRDefault="00DA3DBB" w:rsidP="00DA3DBB">
      <w:pPr>
        <w:spacing w:after="240"/>
        <w:contextualSpacing/>
        <w:rPr>
          <w:sz w:val="18"/>
          <w:szCs w:val="18"/>
        </w:rPr>
      </w:pPr>
      <w:r w:rsidRPr="00DA3DBB">
        <w:rPr>
          <w:sz w:val="18"/>
          <w:szCs w:val="18"/>
        </w:rPr>
        <w:t xml:space="preserve">Source: Department of Employment Skill Shortage Research: Survey of Employers who have Recently </w:t>
      </w:r>
      <w:r w:rsidR="00DC179A">
        <w:rPr>
          <w:sz w:val="18"/>
          <w:szCs w:val="18"/>
        </w:rPr>
        <w:t>Advertised</w:t>
      </w:r>
    </w:p>
    <w:p w:rsidR="00DA3DBB" w:rsidRPr="00DA3DBB" w:rsidRDefault="00DA3DBB" w:rsidP="00DA3DBB">
      <w:pPr>
        <w:spacing w:after="240"/>
      </w:pPr>
      <w:r w:rsidRPr="00DA3DBB">
        <w:rPr>
          <w:sz w:val="18"/>
          <w:szCs w:val="18"/>
        </w:rPr>
        <w:t>Note: Metropolitan includes state and territory capital cities, regional covers all other locations.</w:t>
      </w:r>
    </w:p>
    <w:p w:rsidR="00DA3DBB" w:rsidRPr="00DA3DBB" w:rsidRDefault="00DA3DBB" w:rsidP="002E5631">
      <w:pPr>
        <w:spacing w:after="240" w:line="240" w:lineRule="auto"/>
      </w:pPr>
      <w:r w:rsidRPr="00DA3DBB">
        <w:t>The research undertaken through the Survey of Employers’ Recruitment Experiences focusses on collecting local information on employer demand for labour and skills requirements in capital cities and selected regions across Australia.</w:t>
      </w:r>
      <w:r w:rsidR="00BB3A25">
        <w:t xml:space="preserve"> </w:t>
      </w:r>
      <w:r w:rsidRPr="00DA3DBB">
        <w:t>Each year around 10,000 employers participate in the survey and areas are surveyed regularly to identify changes in recruitment conditions over time.</w:t>
      </w:r>
      <w:r w:rsidR="00BB3A25">
        <w:t xml:space="preserve"> </w:t>
      </w:r>
      <w:r w:rsidRPr="00DA3DBB">
        <w:t xml:space="preserve"> </w:t>
      </w:r>
    </w:p>
    <w:p w:rsidR="00DA3DBB" w:rsidRPr="00DA3DBB" w:rsidRDefault="00DA3DBB" w:rsidP="002E5631">
      <w:pPr>
        <w:spacing w:after="240" w:line="240" w:lineRule="auto"/>
      </w:pPr>
      <w:r w:rsidRPr="00DA3DBB">
        <w:lastRenderedPageBreak/>
        <w:t>Survey results for 2013 identified a continuation of declining trends in employers’ recruitment activity, unfilled vacancies, and business growth expectations in the majority of regions surveyed.</w:t>
      </w:r>
      <w:r w:rsidR="00BB3A25">
        <w:t xml:space="preserve"> </w:t>
      </w:r>
      <w:r w:rsidRPr="00DA3DBB">
        <w:t>These results reflect more difficult labour market conditions for job seekers across the much of the country.</w:t>
      </w:r>
      <w:r w:rsidR="00BB3A25">
        <w:t xml:space="preserve"> </w:t>
      </w:r>
    </w:p>
    <w:p w:rsidR="00DA3DBB" w:rsidRPr="00DA3DBB" w:rsidRDefault="00DA3DBB" w:rsidP="002E5631">
      <w:pPr>
        <w:spacing w:after="240" w:line="240" w:lineRule="auto"/>
      </w:pPr>
      <w:r w:rsidRPr="00DA3DBB">
        <w:t>Research in Priority Employment Areas (PEAs), which include some of the most disadvantaged regions in Australia, identified that while labour market conditions have eased in most areas</w:t>
      </w:r>
      <w:r w:rsidR="00A3784D">
        <w:t>,</w:t>
      </w:r>
      <w:r w:rsidRPr="00DA3DBB">
        <w:t xml:space="preserve"> employers continue to recruit at a steady rate and about half of employers report that it was difficult to recruit appropriate staff for their business in the year prior to the survey.</w:t>
      </w:r>
    </w:p>
    <w:p w:rsidR="00DA3DBB" w:rsidRDefault="00DA3DBB" w:rsidP="002E5631">
      <w:pPr>
        <w:spacing w:after="240" w:line="240" w:lineRule="auto"/>
      </w:pPr>
      <w:r w:rsidRPr="00DA3DBB">
        <w:t xml:space="preserve">November 2013 survey results of more than 250 employers in </w:t>
      </w:r>
      <w:r w:rsidR="00A3784D">
        <w:t xml:space="preserve">the </w:t>
      </w:r>
      <w:r w:rsidRPr="00DA3DBB">
        <w:t>Pilbara suggest that the strong demand pulling workers to some regions with a prominent r</w:t>
      </w:r>
      <w:r w:rsidR="00A3784D">
        <w:t>esources sector may be easing. </w:t>
      </w:r>
      <w:r w:rsidRPr="00DA3DBB">
        <w:t xml:space="preserve">While overall labour market conditions in </w:t>
      </w:r>
      <w:r w:rsidR="00A3784D">
        <w:t xml:space="preserve">the </w:t>
      </w:r>
      <w:r w:rsidRPr="00DA3DBB">
        <w:t>Pilbara remain stronger than in most other parts of the country, levels of recruitment activity are less than half those recorded in 2010 and almost one third of employers reported reducing staff numbers in the previous 12</w:t>
      </w:r>
      <w:r w:rsidR="008B06E6">
        <w:t xml:space="preserve"> months. </w:t>
      </w:r>
      <w:r w:rsidR="00A3784D">
        <w:t xml:space="preserve">The </w:t>
      </w:r>
      <w:r w:rsidRPr="00DA3DBB">
        <w:t xml:space="preserve">Pilbara’s remoteness and low population continues to be a primary cause of recruitment difficulty in the </w:t>
      </w:r>
      <w:r w:rsidR="00A3784D">
        <w:t xml:space="preserve">region. </w:t>
      </w:r>
      <w:r w:rsidRPr="00DA3DBB">
        <w:t xml:space="preserve">Nevertheless, many employers reported a preference to recruit locally with one quarter </w:t>
      </w:r>
      <w:r w:rsidR="00A3784D">
        <w:t xml:space="preserve">of </w:t>
      </w:r>
      <w:r w:rsidRPr="00DA3DBB">
        <w:t>employers saying they did not interview applicants in their most recent recruitment round because they were not from the local area.</w:t>
      </w:r>
      <w:r>
        <w:t xml:space="preserve"> </w:t>
      </w:r>
    </w:p>
    <w:p w:rsidR="00DA3DBB" w:rsidRPr="000C3E77" w:rsidRDefault="004E55F9" w:rsidP="00DA3DBB">
      <w:pPr>
        <w:keepNext/>
        <w:spacing w:after="240" w:line="240" w:lineRule="auto"/>
      </w:pPr>
      <w:r>
        <w:t xml:space="preserve">The </w:t>
      </w:r>
      <w:r w:rsidR="00DA3DBB">
        <w:t>Department</w:t>
      </w:r>
      <w:r>
        <w:t xml:space="preserve">’s </w:t>
      </w:r>
      <w:r w:rsidR="00DA3DBB" w:rsidRPr="000C3E77">
        <w:t>research indicates that, regardless of occupation or industry, a range of factors influence employers’ recruitment from interstate and affect applicants’ success in finding emp</w:t>
      </w:r>
      <w:r w:rsidR="00031EC4">
        <w:t>loyment when migrating between states and t</w:t>
      </w:r>
      <w:r w:rsidR="00DA3DBB" w:rsidRPr="000C3E77">
        <w:t>erritories.</w:t>
      </w:r>
    </w:p>
    <w:p w:rsidR="00DA3DBB" w:rsidRPr="000C3E77" w:rsidRDefault="00DA3DBB" w:rsidP="00DA3DBB">
      <w:pPr>
        <w:pStyle w:val="ListParagraph"/>
        <w:numPr>
          <w:ilvl w:val="0"/>
          <w:numId w:val="24"/>
        </w:numPr>
        <w:rPr>
          <w:rFonts w:ascii="Calibri" w:hAnsi="Calibri" w:cs="Calibri"/>
          <w:sz w:val="22"/>
          <w:szCs w:val="22"/>
        </w:rPr>
      </w:pPr>
      <w:r w:rsidRPr="000C3E77">
        <w:rPr>
          <w:rFonts w:ascii="Calibri" w:hAnsi="Calibri" w:cs="Calibri"/>
          <w:sz w:val="22"/>
          <w:szCs w:val="22"/>
        </w:rPr>
        <w:t>Skilled workers, regardless of their qualifications, may experience difficulty finding employment if they lack experience and employability skills. Shortages are mainly for experienced and specialist workers.</w:t>
      </w:r>
    </w:p>
    <w:p w:rsidR="00DA3DBB" w:rsidRPr="000C3E77" w:rsidRDefault="00DA3DBB" w:rsidP="00DA3DBB">
      <w:pPr>
        <w:pStyle w:val="ListParagraph"/>
        <w:numPr>
          <w:ilvl w:val="0"/>
          <w:numId w:val="24"/>
        </w:numPr>
        <w:rPr>
          <w:rFonts w:ascii="Calibri" w:hAnsi="Calibri" w:cs="Calibri"/>
          <w:sz w:val="22"/>
          <w:szCs w:val="22"/>
        </w:rPr>
      </w:pPr>
      <w:r w:rsidRPr="000C3E77">
        <w:rPr>
          <w:rFonts w:ascii="Calibri" w:hAnsi="Calibri" w:cs="Calibri"/>
          <w:sz w:val="22"/>
          <w:szCs w:val="22"/>
        </w:rPr>
        <w:t>Some graduates experience difficulty gaining initial employment in their intended field, with vacancies at the entry-level attracting large numbers of qualified applicants if advertised formally (</w:t>
      </w:r>
      <w:r w:rsidR="00A3784D">
        <w:rPr>
          <w:rFonts w:ascii="Calibri" w:hAnsi="Calibri" w:cs="Calibri"/>
          <w:sz w:val="22"/>
          <w:szCs w:val="22"/>
        </w:rPr>
        <w:t xml:space="preserve">for example, </w:t>
      </w:r>
      <w:r w:rsidRPr="000C3E77">
        <w:rPr>
          <w:rFonts w:ascii="Calibri" w:hAnsi="Calibri" w:cs="Calibri"/>
          <w:sz w:val="22"/>
          <w:szCs w:val="22"/>
        </w:rPr>
        <w:t xml:space="preserve">internet). While there is variation across regions and occupations, job seekers aiming to secure entry-level opportunities face significantly less competition if they apply for positions that are advertised informally, such as through word of mouth or a sign in the window. </w:t>
      </w:r>
    </w:p>
    <w:p w:rsidR="00DA3DBB" w:rsidRPr="000C3E77" w:rsidRDefault="00DA3DBB" w:rsidP="00DA3DBB">
      <w:pPr>
        <w:pStyle w:val="ListParagraph"/>
        <w:numPr>
          <w:ilvl w:val="0"/>
          <w:numId w:val="24"/>
        </w:numPr>
        <w:rPr>
          <w:rFonts w:ascii="Calibri" w:hAnsi="Calibri" w:cs="Calibri"/>
          <w:sz w:val="22"/>
          <w:szCs w:val="22"/>
        </w:rPr>
      </w:pPr>
      <w:r w:rsidRPr="000C3E77">
        <w:rPr>
          <w:rFonts w:ascii="Calibri" w:hAnsi="Calibri" w:cs="Calibri"/>
          <w:sz w:val="22"/>
          <w:szCs w:val="22"/>
        </w:rPr>
        <w:t>Employers often demand local or sector specific experience or knowledge, including local or industry regulations and standards. It is very common for employers to reject otherwise qualified and suitable applicants if they do not meet these specific requirements.</w:t>
      </w:r>
    </w:p>
    <w:p w:rsidR="00DA3DBB" w:rsidRPr="000C3E77" w:rsidRDefault="00DA3DBB" w:rsidP="00DA3DBB">
      <w:pPr>
        <w:pStyle w:val="ListParagraph"/>
        <w:numPr>
          <w:ilvl w:val="0"/>
          <w:numId w:val="24"/>
        </w:numPr>
        <w:spacing w:after="240"/>
        <w:rPr>
          <w:rFonts w:ascii="Calibri" w:hAnsi="Calibri" w:cs="Calibri"/>
          <w:sz w:val="22"/>
          <w:szCs w:val="22"/>
        </w:rPr>
      </w:pPr>
      <w:r w:rsidRPr="000C3E77">
        <w:rPr>
          <w:rFonts w:ascii="Calibri" w:hAnsi="Calibri" w:cs="Calibri"/>
          <w:sz w:val="22"/>
          <w:szCs w:val="22"/>
        </w:rPr>
        <w:t xml:space="preserve">In a limited number of occupations, employers note that it is difficult to recruit from interstate as registration is state based, formal qualification requirements differ, or the licences and/or tickets are not mutually recognised. While </w:t>
      </w:r>
      <w:r w:rsidR="00A3784D">
        <w:rPr>
          <w:rFonts w:ascii="Calibri" w:hAnsi="Calibri" w:cs="Calibri"/>
          <w:sz w:val="22"/>
          <w:szCs w:val="22"/>
        </w:rPr>
        <w:t xml:space="preserve">the Council of Australian Governments </w:t>
      </w:r>
      <w:r w:rsidRPr="000C3E77">
        <w:rPr>
          <w:rFonts w:ascii="Calibri" w:hAnsi="Calibri" w:cs="Calibri"/>
          <w:sz w:val="22"/>
          <w:szCs w:val="22"/>
        </w:rPr>
        <w:t>is working to address this issue for some occupations under the National Occupational Licensing System (to be implemented in 2014), workers interested in relocating may need assistance to gain the relevant registration, qualifications or tickets to fill vacancies.</w:t>
      </w:r>
    </w:p>
    <w:p w:rsidR="00DA3DBB" w:rsidRPr="000C3E77" w:rsidRDefault="00DA3DBB" w:rsidP="00DA3DBB">
      <w:pPr>
        <w:pStyle w:val="ListParagraph"/>
        <w:numPr>
          <w:ilvl w:val="0"/>
          <w:numId w:val="24"/>
        </w:numPr>
        <w:spacing w:before="120" w:after="120"/>
        <w:rPr>
          <w:rFonts w:ascii="Calibri" w:hAnsi="Calibri" w:cs="Calibri"/>
          <w:sz w:val="22"/>
          <w:szCs w:val="22"/>
        </w:rPr>
      </w:pPr>
      <w:r w:rsidRPr="000C3E77">
        <w:rPr>
          <w:rFonts w:ascii="Calibri" w:hAnsi="Calibri" w:cs="Calibri"/>
          <w:sz w:val="22"/>
          <w:szCs w:val="22"/>
        </w:rPr>
        <w:t>There are a number of occupations for which training is available in a limited number of locations. Employers in locations where training is not available rely on movement of workers and graduates after training.</w:t>
      </w:r>
    </w:p>
    <w:p w:rsidR="00276C8D" w:rsidRDefault="00276C8D">
      <w:pPr>
        <w:rPr>
          <w:rFonts w:asciiTheme="majorHAnsi" w:eastAsiaTheme="majorEastAsia" w:hAnsiTheme="majorHAnsi" w:cstheme="majorBidi"/>
          <w:b/>
          <w:bCs/>
          <w:color w:val="4F81BD" w:themeColor="accent1"/>
          <w:sz w:val="26"/>
          <w:szCs w:val="26"/>
        </w:rPr>
      </w:pPr>
      <w:r>
        <w:br w:type="page"/>
      </w:r>
    </w:p>
    <w:p w:rsidR="00ED1BB7" w:rsidRPr="00C44594" w:rsidRDefault="00ED1BB7" w:rsidP="00E3010D">
      <w:pPr>
        <w:pStyle w:val="Heading2"/>
      </w:pPr>
      <w:bookmarkStart w:id="10" w:name="_Toc384202082"/>
      <w:r w:rsidRPr="00103D5A">
        <w:lastRenderedPageBreak/>
        <w:t xml:space="preserve">Labour mobility </w:t>
      </w:r>
      <w:r w:rsidR="00C33BFC" w:rsidRPr="00103D5A">
        <w:t>data</w:t>
      </w:r>
      <w:r w:rsidR="00532ACD" w:rsidRPr="00103D5A">
        <w:t xml:space="preserve"> and research</w:t>
      </w:r>
      <w:bookmarkEnd w:id="10"/>
    </w:p>
    <w:p w:rsidR="00E51A72" w:rsidRPr="00C44594" w:rsidRDefault="00E51A72" w:rsidP="00C44594">
      <w:pPr>
        <w:pStyle w:val="Heading3"/>
        <w:rPr>
          <w:rFonts w:cstheme="minorHAnsi"/>
        </w:rPr>
      </w:pPr>
      <w:bookmarkStart w:id="11" w:name="_Toc384202083"/>
      <w:r w:rsidRPr="002A2B46">
        <w:rPr>
          <w:rFonts w:cstheme="minorHAnsi"/>
        </w:rPr>
        <w:t>E</w:t>
      </w:r>
      <w:r w:rsidR="002653E2" w:rsidRPr="002A2B46">
        <w:rPr>
          <w:rFonts w:cstheme="minorHAnsi"/>
        </w:rPr>
        <w:t>xtent of labour mobility</w:t>
      </w:r>
      <w:bookmarkEnd w:id="11"/>
    </w:p>
    <w:p w:rsidR="00E51A72" w:rsidRPr="00E51A72" w:rsidRDefault="00E51A72" w:rsidP="00A432F0">
      <w:pPr>
        <w:spacing w:after="240" w:line="240" w:lineRule="auto"/>
      </w:pPr>
      <w:r w:rsidRPr="00E51A72">
        <w:t xml:space="preserve">Australia’s labour market has a high degree of turnover, with around </w:t>
      </w:r>
      <w:r w:rsidR="002A2B46">
        <w:t>10</w:t>
      </w:r>
      <w:r w:rsidR="002A2B46" w:rsidRPr="00E51A72">
        <w:t xml:space="preserve"> </w:t>
      </w:r>
      <w:r w:rsidRPr="00E51A72">
        <w:t>per cent of workers changing jobs in a typical year. Many people can remain employed in the same occupation but change industries (including many Manufacturing workers) while others are able to apply their skills in different occupations and industries, with or without formal re-skilling.</w:t>
      </w:r>
    </w:p>
    <w:p w:rsidR="000E2EBA" w:rsidRDefault="003E0340" w:rsidP="000E2EBA">
      <w:pPr>
        <w:spacing w:after="240" w:line="240" w:lineRule="auto"/>
      </w:pPr>
      <w:r>
        <w:t xml:space="preserve">The Australian labour market exhibits both a significant amount of job mobility, as well as some geographic or regional mobility. </w:t>
      </w:r>
      <w:r w:rsidR="00E51A72" w:rsidRPr="00E51A72">
        <w:t>Some people will demonstrate a particularly strong regional attachment,</w:t>
      </w:r>
      <w:r>
        <w:t xml:space="preserve"> whereas</w:t>
      </w:r>
      <w:r w:rsidR="00E51A72" w:rsidRPr="00E51A72">
        <w:t xml:space="preserve"> others will be prepared to commute long distances (through fly-in fly-out arrangements, for example), </w:t>
      </w:r>
      <w:r>
        <w:t>and</w:t>
      </w:r>
      <w:r w:rsidR="00E51A72" w:rsidRPr="00E51A72">
        <w:t xml:space="preserve"> others will relo</w:t>
      </w:r>
      <w:r w:rsidR="000E2EBA">
        <w:t xml:space="preserve">cate occasionally or regularly. </w:t>
      </w:r>
    </w:p>
    <w:p w:rsidR="000E2EBA" w:rsidRDefault="005751F3" w:rsidP="00A432F0">
      <w:pPr>
        <w:spacing w:after="240" w:line="240" w:lineRule="auto"/>
      </w:pPr>
      <w:r w:rsidRPr="00E51A72">
        <w:t>At present, most geographic mobility in Australia occurs within regions and between the metropolitan areas of the mainland states on the east coast</w:t>
      </w:r>
      <w:r w:rsidR="000E2EBA">
        <w:t xml:space="preserve">. </w:t>
      </w:r>
      <w:r w:rsidR="00E51A72" w:rsidRPr="00E51A72">
        <w:t>Research by Professor William Mitchell</w:t>
      </w:r>
      <w:r w:rsidR="00393693">
        <w:rPr>
          <w:rStyle w:val="FootnoteReference"/>
        </w:rPr>
        <w:footnoteReference w:id="4"/>
      </w:r>
      <w:r w:rsidR="00E51A72" w:rsidRPr="00E51A72">
        <w:t xml:space="preserve"> of the University of Newcastle for the Australia</w:t>
      </w:r>
      <w:r w:rsidR="00642484">
        <w:t>n Fair Pay Commission</w:t>
      </w:r>
      <w:r w:rsidR="00E51A72" w:rsidRPr="00E51A72">
        <w:t xml:space="preserve"> has found that within Australia, a significant proportion of labour mobility is local, with people mo</w:t>
      </w:r>
      <w:r w:rsidR="000E2EBA">
        <w:t>ving within metropolitan areas.</w:t>
      </w:r>
    </w:p>
    <w:p w:rsidR="00E51A72" w:rsidRPr="00E51A72" w:rsidRDefault="00E51A72" w:rsidP="00A432F0">
      <w:pPr>
        <w:spacing w:after="240" w:line="240" w:lineRule="auto"/>
      </w:pPr>
      <w:r w:rsidRPr="00E51A72">
        <w:t>Research by Debelle and Vickery</w:t>
      </w:r>
      <w:r w:rsidR="00642484">
        <w:rPr>
          <w:rStyle w:val="FootnoteReference"/>
        </w:rPr>
        <w:footnoteReference w:id="5"/>
      </w:r>
      <w:r w:rsidRPr="00E51A72">
        <w:t xml:space="preserve"> for the Reserve Bank of Australia found that Australians do move from high unemployment to low unemployment states over time, and that interstate migration is a channel for adjustment in response to economic shocks. </w:t>
      </w:r>
    </w:p>
    <w:p w:rsidR="00E51A72" w:rsidRPr="00C44594" w:rsidRDefault="00E51A72" w:rsidP="00C44594">
      <w:pPr>
        <w:pStyle w:val="Heading3"/>
        <w:rPr>
          <w:rFonts w:cstheme="minorHAnsi"/>
        </w:rPr>
      </w:pPr>
      <w:bookmarkStart w:id="12" w:name="_Toc384202084"/>
      <w:r w:rsidRPr="002A2B46">
        <w:rPr>
          <w:rFonts w:cstheme="minorHAnsi"/>
        </w:rPr>
        <w:t>Interstate migration</w:t>
      </w:r>
      <w:bookmarkEnd w:id="12"/>
    </w:p>
    <w:p w:rsidR="00E51A72" w:rsidRPr="00E423E3" w:rsidRDefault="00E51A72" w:rsidP="00A432F0">
      <w:pPr>
        <w:spacing w:after="240" w:line="240" w:lineRule="auto"/>
      </w:pPr>
      <w:r w:rsidRPr="00E423E3">
        <w:t>Australian Bureau of Statistics data indicate that interstate migration is low relative to the populations concerned, and narrowly focused among NSW, Queensland and Victoria, and between metro areas; with little east-west mobility.</w:t>
      </w:r>
    </w:p>
    <w:p w:rsidR="00E51A72" w:rsidRPr="00E423E3" w:rsidRDefault="00E51A72" w:rsidP="00A432F0">
      <w:pPr>
        <w:spacing w:after="240" w:line="240" w:lineRule="auto"/>
      </w:pPr>
      <w:r w:rsidRPr="00E423E3">
        <w:t>In total, there were 3</w:t>
      </w:r>
      <w:r w:rsidR="002236C6" w:rsidRPr="00E423E3">
        <w:t>27</w:t>
      </w:r>
      <w:r w:rsidRPr="00E423E3">
        <w:t>,</w:t>
      </w:r>
      <w:r w:rsidR="002236C6" w:rsidRPr="00E423E3">
        <w:t>523</w:t>
      </w:r>
      <w:r w:rsidRPr="00E423E3">
        <w:t xml:space="preserve"> people who moved from one state to another in 2011, down from a pre-Global Fina</w:t>
      </w:r>
      <w:r w:rsidR="00AC2BD2" w:rsidRPr="00E423E3">
        <w:t>n</w:t>
      </w:r>
      <w:r w:rsidRPr="00E423E3">
        <w:t>cial Crisis (pre-GFC) decade average of 371,000 but broadly in line with the post-GFC average of 34</w:t>
      </w:r>
      <w:r w:rsidR="00437763" w:rsidRPr="00E423E3">
        <w:t>2</w:t>
      </w:r>
      <w:r w:rsidRPr="00E423E3">
        <w:t>,</w:t>
      </w:r>
      <w:r w:rsidR="00437763" w:rsidRPr="00E423E3">
        <w:t>154</w:t>
      </w:r>
      <w:r w:rsidRPr="00E423E3">
        <w:t xml:space="preserve"> (2008</w:t>
      </w:r>
      <w:r w:rsidR="00437763" w:rsidRPr="00E423E3">
        <w:t xml:space="preserve"> to</w:t>
      </w:r>
      <w:r w:rsidRPr="00E423E3">
        <w:t xml:space="preserve"> 201</w:t>
      </w:r>
      <w:r w:rsidR="00437763" w:rsidRPr="00E423E3">
        <w:t>2</w:t>
      </w:r>
      <w:r w:rsidRPr="00E423E3">
        <w:t>).</w:t>
      </w:r>
    </w:p>
    <w:p w:rsidR="00E51A72" w:rsidRPr="00E51A72" w:rsidRDefault="00E51A72" w:rsidP="00A432F0">
      <w:pPr>
        <w:spacing w:after="240" w:line="240" w:lineRule="auto"/>
      </w:pPr>
      <w:r w:rsidRPr="00E423E3">
        <w:t>While interstate migration peaked in 2002 in level terms (400,000), there is no such peak when the data are considered in proportional terms. When measured as a proportion of the population, interstate mobility was steady through the late 1980s through to the early 2000s at around 2</w:t>
      </w:r>
      <w:r w:rsidR="00026045" w:rsidRPr="00E423E3">
        <w:t> </w:t>
      </w:r>
      <w:r w:rsidRPr="00E423E3">
        <w:t>per</w:t>
      </w:r>
      <w:r w:rsidR="00026045" w:rsidRPr="00E423E3">
        <w:t> </w:t>
      </w:r>
      <w:r w:rsidRPr="00E423E3">
        <w:t xml:space="preserve">cent. </w:t>
      </w:r>
      <w:r w:rsidR="00AC2BD2" w:rsidRPr="00E423E3">
        <w:t>However, s</w:t>
      </w:r>
      <w:r w:rsidRPr="00E423E3">
        <w:t>ince 2002, interstate mobility as a proportion of the population has declined to 1.</w:t>
      </w:r>
      <w:r w:rsidR="005A7AAF" w:rsidRPr="00E423E3">
        <w:t>4</w:t>
      </w:r>
      <w:r w:rsidR="00660185" w:rsidRPr="00E423E3">
        <w:t> </w:t>
      </w:r>
      <w:r w:rsidRPr="00E423E3">
        <w:t>per cent in 201</w:t>
      </w:r>
      <w:r w:rsidR="005A7AAF" w:rsidRPr="00E423E3">
        <w:t>2</w:t>
      </w:r>
      <w:r w:rsidRPr="00E423E3">
        <w:t>, driven by both a decline in the total number of interstate movements and population growth of 1</w:t>
      </w:r>
      <w:r w:rsidR="005A7AAF" w:rsidRPr="00E423E3">
        <w:t>6</w:t>
      </w:r>
      <w:r w:rsidRPr="00E423E3">
        <w:t>.</w:t>
      </w:r>
      <w:r w:rsidR="005A7AAF" w:rsidRPr="00E423E3">
        <w:t>6</w:t>
      </w:r>
      <w:r w:rsidRPr="00E51A72">
        <w:t xml:space="preserve"> per cent over the period. </w:t>
      </w:r>
    </w:p>
    <w:p w:rsidR="00276C8D" w:rsidRDefault="00276C8D">
      <w:pPr>
        <w:rPr>
          <w:rFonts w:eastAsia="Times New Roman" w:cstheme="minorHAnsi"/>
          <w:b/>
          <w:szCs w:val="24"/>
          <w:lang w:eastAsia="en-AU"/>
        </w:rPr>
      </w:pPr>
      <w:r>
        <w:rPr>
          <w:rFonts w:cstheme="minorHAnsi"/>
          <w:b/>
        </w:rPr>
        <w:br w:type="page"/>
      </w:r>
    </w:p>
    <w:p w:rsidR="00E51A72" w:rsidRDefault="00915815" w:rsidP="00613CB5">
      <w:pPr>
        <w:pStyle w:val="CABNETParagraphAtt"/>
        <w:keepNext/>
        <w:spacing w:before="0" w:after="0"/>
        <w:rPr>
          <w:rFonts w:asciiTheme="minorHAnsi" w:hAnsiTheme="minorHAnsi" w:cstheme="minorHAnsi"/>
          <w:b/>
        </w:rPr>
      </w:pPr>
      <w:r w:rsidRPr="00613CB5">
        <w:rPr>
          <w:rFonts w:asciiTheme="minorHAnsi" w:hAnsiTheme="minorHAnsi" w:cstheme="minorHAnsi"/>
          <w:b/>
        </w:rPr>
        <w:lastRenderedPageBreak/>
        <w:t>T</w:t>
      </w:r>
      <w:r w:rsidR="00035CB0" w:rsidRPr="00613CB5">
        <w:rPr>
          <w:rFonts w:asciiTheme="minorHAnsi" w:hAnsiTheme="minorHAnsi" w:cstheme="minorHAnsi"/>
          <w:b/>
        </w:rPr>
        <w:t xml:space="preserve">able </w:t>
      </w:r>
      <w:r w:rsidR="00A80534" w:rsidRPr="00613CB5">
        <w:rPr>
          <w:rFonts w:asciiTheme="minorHAnsi" w:hAnsiTheme="minorHAnsi" w:cstheme="minorHAnsi"/>
          <w:b/>
        </w:rPr>
        <w:t>7</w:t>
      </w:r>
      <w:r w:rsidR="00E51A72" w:rsidRPr="00613CB5">
        <w:rPr>
          <w:rFonts w:asciiTheme="minorHAnsi" w:hAnsiTheme="minorHAnsi" w:cstheme="minorHAnsi"/>
          <w:b/>
        </w:rPr>
        <w:t>: Net Interstate Migration by state, number of people</w:t>
      </w:r>
    </w:p>
    <w:tbl>
      <w:tblPr>
        <w:tblStyle w:val="TableGrid"/>
        <w:tblW w:w="0" w:type="auto"/>
        <w:tblLook w:val="04A0" w:firstRow="1" w:lastRow="0" w:firstColumn="1" w:lastColumn="0" w:noHBand="0" w:noVBand="1"/>
      </w:tblPr>
      <w:tblGrid>
        <w:gridCol w:w="1026"/>
        <w:gridCol w:w="1027"/>
        <w:gridCol w:w="1027"/>
        <w:gridCol w:w="1027"/>
        <w:gridCol w:w="1027"/>
        <w:gridCol w:w="1027"/>
        <w:gridCol w:w="1027"/>
        <w:gridCol w:w="1027"/>
        <w:gridCol w:w="1027"/>
      </w:tblGrid>
      <w:tr w:rsidR="00B3410D" w:rsidTr="00276C8D">
        <w:tc>
          <w:tcPr>
            <w:tcW w:w="1026" w:type="dxa"/>
            <w:tcBorders>
              <w:top w:val="nil"/>
              <w:left w:val="nil"/>
              <w:bottom w:val="single" w:sz="4" w:space="0" w:color="auto"/>
              <w:right w:val="single" w:sz="4" w:space="0" w:color="auto"/>
            </w:tcBorders>
            <w:vAlign w:val="center"/>
          </w:tcPr>
          <w:p w:rsidR="00B3410D" w:rsidRPr="00B3410D" w:rsidRDefault="00B3410D" w:rsidP="00C862A3">
            <w:pPr>
              <w:rPr>
                <w:rFonts w:asciiTheme="minorHAnsi" w:hAnsiTheme="minorHAnsi" w:cstheme="minorHAnsi"/>
                <w:sz w:val="22"/>
                <w:szCs w:val="22"/>
              </w:rPr>
            </w:pPr>
            <w:r w:rsidRPr="00B3410D">
              <w:rPr>
                <w:rFonts w:asciiTheme="minorHAnsi" w:hAnsiTheme="minorHAnsi" w:cstheme="minorHAnsi"/>
                <w:sz w:val="22"/>
                <w:szCs w:val="22"/>
              </w:rPr>
              <w:t> </w:t>
            </w:r>
          </w:p>
        </w:tc>
        <w:tc>
          <w:tcPr>
            <w:tcW w:w="1027" w:type="dxa"/>
            <w:tcBorders>
              <w:left w:val="single" w:sz="4" w:space="0" w:color="auto"/>
            </w:tcBorders>
            <w:vAlign w:val="center"/>
          </w:tcPr>
          <w:p w:rsidR="00B3410D" w:rsidRPr="00B3410D" w:rsidRDefault="00B3410D" w:rsidP="00C862A3">
            <w:pPr>
              <w:jc w:val="center"/>
              <w:rPr>
                <w:rFonts w:asciiTheme="minorHAnsi" w:hAnsiTheme="minorHAnsi" w:cstheme="minorHAnsi"/>
                <w:b/>
                <w:bCs/>
                <w:sz w:val="22"/>
                <w:szCs w:val="22"/>
              </w:rPr>
            </w:pPr>
            <w:r w:rsidRPr="00B3410D">
              <w:rPr>
                <w:rFonts w:asciiTheme="minorHAnsi" w:hAnsiTheme="minorHAnsi" w:cstheme="minorHAnsi"/>
                <w:b/>
                <w:bCs/>
                <w:sz w:val="22"/>
                <w:szCs w:val="22"/>
              </w:rPr>
              <w:t>NSW</w:t>
            </w:r>
          </w:p>
        </w:tc>
        <w:tc>
          <w:tcPr>
            <w:tcW w:w="1027" w:type="dxa"/>
            <w:vAlign w:val="center"/>
          </w:tcPr>
          <w:p w:rsidR="00B3410D" w:rsidRPr="00B3410D" w:rsidRDefault="00B3410D" w:rsidP="00C862A3">
            <w:pPr>
              <w:jc w:val="center"/>
              <w:rPr>
                <w:rFonts w:asciiTheme="minorHAnsi" w:hAnsiTheme="minorHAnsi" w:cstheme="minorHAnsi"/>
                <w:b/>
                <w:bCs/>
                <w:sz w:val="22"/>
                <w:szCs w:val="22"/>
              </w:rPr>
            </w:pPr>
            <w:r w:rsidRPr="00B3410D">
              <w:rPr>
                <w:rFonts w:asciiTheme="minorHAnsi" w:hAnsiTheme="minorHAnsi" w:cstheme="minorHAnsi"/>
                <w:b/>
                <w:bCs/>
                <w:sz w:val="22"/>
                <w:szCs w:val="22"/>
              </w:rPr>
              <w:t>VIC</w:t>
            </w:r>
          </w:p>
        </w:tc>
        <w:tc>
          <w:tcPr>
            <w:tcW w:w="1027" w:type="dxa"/>
            <w:vAlign w:val="center"/>
          </w:tcPr>
          <w:p w:rsidR="00B3410D" w:rsidRPr="00B3410D" w:rsidRDefault="00B3410D" w:rsidP="00C862A3">
            <w:pPr>
              <w:jc w:val="center"/>
              <w:rPr>
                <w:rFonts w:asciiTheme="minorHAnsi" w:hAnsiTheme="minorHAnsi" w:cstheme="minorHAnsi"/>
                <w:b/>
                <w:bCs/>
                <w:sz w:val="22"/>
                <w:szCs w:val="22"/>
              </w:rPr>
            </w:pPr>
            <w:r w:rsidRPr="00B3410D">
              <w:rPr>
                <w:rFonts w:asciiTheme="minorHAnsi" w:hAnsiTheme="minorHAnsi" w:cstheme="minorHAnsi"/>
                <w:b/>
                <w:bCs/>
                <w:sz w:val="22"/>
                <w:szCs w:val="22"/>
              </w:rPr>
              <w:t>QLD</w:t>
            </w:r>
          </w:p>
        </w:tc>
        <w:tc>
          <w:tcPr>
            <w:tcW w:w="1027" w:type="dxa"/>
            <w:vAlign w:val="center"/>
          </w:tcPr>
          <w:p w:rsidR="00B3410D" w:rsidRPr="00B3410D" w:rsidRDefault="00B3410D" w:rsidP="00C862A3">
            <w:pPr>
              <w:jc w:val="center"/>
              <w:rPr>
                <w:rFonts w:asciiTheme="minorHAnsi" w:hAnsiTheme="minorHAnsi" w:cstheme="minorHAnsi"/>
                <w:b/>
                <w:bCs/>
                <w:sz w:val="22"/>
                <w:szCs w:val="22"/>
              </w:rPr>
            </w:pPr>
            <w:r w:rsidRPr="00B3410D">
              <w:rPr>
                <w:rFonts w:asciiTheme="minorHAnsi" w:hAnsiTheme="minorHAnsi" w:cstheme="minorHAnsi"/>
                <w:b/>
                <w:bCs/>
                <w:sz w:val="22"/>
                <w:szCs w:val="22"/>
              </w:rPr>
              <w:t>SA</w:t>
            </w:r>
          </w:p>
        </w:tc>
        <w:tc>
          <w:tcPr>
            <w:tcW w:w="1027" w:type="dxa"/>
            <w:vAlign w:val="center"/>
          </w:tcPr>
          <w:p w:rsidR="00B3410D" w:rsidRPr="00B3410D" w:rsidRDefault="00B3410D" w:rsidP="00C862A3">
            <w:pPr>
              <w:jc w:val="center"/>
              <w:rPr>
                <w:rFonts w:asciiTheme="minorHAnsi" w:hAnsiTheme="minorHAnsi" w:cstheme="minorHAnsi"/>
                <w:b/>
                <w:bCs/>
                <w:sz w:val="22"/>
                <w:szCs w:val="22"/>
              </w:rPr>
            </w:pPr>
            <w:r w:rsidRPr="00B3410D">
              <w:rPr>
                <w:rFonts w:asciiTheme="minorHAnsi" w:hAnsiTheme="minorHAnsi" w:cstheme="minorHAnsi"/>
                <w:b/>
                <w:bCs/>
                <w:sz w:val="22"/>
                <w:szCs w:val="22"/>
              </w:rPr>
              <w:t>WA</w:t>
            </w:r>
          </w:p>
        </w:tc>
        <w:tc>
          <w:tcPr>
            <w:tcW w:w="1027" w:type="dxa"/>
            <w:vAlign w:val="center"/>
          </w:tcPr>
          <w:p w:rsidR="00B3410D" w:rsidRPr="00B3410D" w:rsidRDefault="00B3410D" w:rsidP="00C862A3">
            <w:pPr>
              <w:jc w:val="center"/>
              <w:rPr>
                <w:rFonts w:asciiTheme="minorHAnsi" w:hAnsiTheme="minorHAnsi" w:cstheme="minorHAnsi"/>
                <w:b/>
                <w:bCs/>
                <w:sz w:val="22"/>
                <w:szCs w:val="22"/>
              </w:rPr>
            </w:pPr>
            <w:r w:rsidRPr="00B3410D">
              <w:rPr>
                <w:rFonts w:asciiTheme="minorHAnsi" w:hAnsiTheme="minorHAnsi" w:cstheme="minorHAnsi"/>
                <w:b/>
                <w:bCs/>
                <w:sz w:val="22"/>
                <w:szCs w:val="22"/>
              </w:rPr>
              <w:t>TAS</w:t>
            </w:r>
          </w:p>
        </w:tc>
        <w:tc>
          <w:tcPr>
            <w:tcW w:w="1027" w:type="dxa"/>
            <w:vAlign w:val="center"/>
          </w:tcPr>
          <w:p w:rsidR="00B3410D" w:rsidRPr="00B3410D" w:rsidRDefault="00B3410D" w:rsidP="00C862A3">
            <w:pPr>
              <w:jc w:val="center"/>
              <w:rPr>
                <w:rFonts w:asciiTheme="minorHAnsi" w:hAnsiTheme="minorHAnsi" w:cstheme="minorHAnsi"/>
                <w:b/>
                <w:bCs/>
                <w:sz w:val="22"/>
                <w:szCs w:val="22"/>
              </w:rPr>
            </w:pPr>
            <w:r w:rsidRPr="00B3410D">
              <w:rPr>
                <w:rFonts w:asciiTheme="minorHAnsi" w:hAnsiTheme="minorHAnsi" w:cstheme="minorHAnsi"/>
                <w:b/>
                <w:bCs/>
                <w:sz w:val="22"/>
                <w:szCs w:val="22"/>
              </w:rPr>
              <w:t>NT</w:t>
            </w:r>
          </w:p>
        </w:tc>
        <w:tc>
          <w:tcPr>
            <w:tcW w:w="1027" w:type="dxa"/>
            <w:vAlign w:val="center"/>
          </w:tcPr>
          <w:p w:rsidR="00B3410D" w:rsidRPr="00B3410D" w:rsidRDefault="00B3410D" w:rsidP="00C862A3">
            <w:pPr>
              <w:jc w:val="center"/>
              <w:rPr>
                <w:rFonts w:asciiTheme="minorHAnsi" w:hAnsiTheme="minorHAnsi" w:cstheme="minorHAnsi"/>
                <w:b/>
                <w:bCs/>
                <w:sz w:val="22"/>
                <w:szCs w:val="22"/>
              </w:rPr>
            </w:pPr>
            <w:r w:rsidRPr="00B3410D">
              <w:rPr>
                <w:rFonts w:asciiTheme="minorHAnsi" w:hAnsiTheme="minorHAnsi" w:cstheme="minorHAnsi"/>
                <w:b/>
                <w:bCs/>
                <w:sz w:val="22"/>
                <w:szCs w:val="22"/>
              </w:rPr>
              <w:t>ACT</w:t>
            </w:r>
          </w:p>
        </w:tc>
      </w:tr>
      <w:tr w:rsidR="00B3410D" w:rsidTr="00276C8D">
        <w:tc>
          <w:tcPr>
            <w:tcW w:w="1026" w:type="dxa"/>
            <w:tcBorders>
              <w:top w:val="single" w:sz="4" w:space="0" w:color="auto"/>
            </w:tcBorders>
            <w:vAlign w:val="bottom"/>
          </w:tcPr>
          <w:p w:rsidR="00B3410D" w:rsidRPr="00B3410D" w:rsidRDefault="00B3410D" w:rsidP="00C862A3">
            <w:pPr>
              <w:jc w:val="right"/>
              <w:rPr>
                <w:rFonts w:asciiTheme="minorHAnsi" w:hAnsiTheme="minorHAnsi" w:cstheme="minorHAnsi"/>
                <w:sz w:val="22"/>
                <w:szCs w:val="22"/>
              </w:rPr>
            </w:pPr>
            <w:r w:rsidRPr="00B3410D">
              <w:rPr>
                <w:rFonts w:asciiTheme="minorHAnsi" w:hAnsiTheme="minorHAnsi" w:cstheme="minorHAnsi"/>
                <w:sz w:val="22"/>
                <w:szCs w:val="22"/>
              </w:rPr>
              <w:t>2007</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-24,070</w:t>
            </w:r>
          </w:p>
        </w:tc>
        <w:tc>
          <w:tcPr>
            <w:tcW w:w="1027" w:type="dxa"/>
            <w:vAlign w:val="bottom"/>
          </w:tcPr>
          <w:p w:rsidR="00B3410D" w:rsidRPr="00B3410D" w:rsidRDefault="00F1166E" w:rsidP="003539E4">
            <w:pPr>
              <w:jc w:val="center"/>
              <w:rPr>
                <w:rFonts w:asciiTheme="minorHAnsi" w:hAnsiTheme="minorHAnsi" w:cstheme="minorHAnsi"/>
                <w:sz w:val="22"/>
                <w:szCs w:val="22"/>
              </w:rPr>
            </w:pPr>
            <w:r>
              <w:rPr>
                <w:rFonts w:asciiTheme="minorHAnsi" w:hAnsiTheme="minorHAnsi" w:cstheme="minorHAnsi"/>
                <w:sz w:val="22"/>
                <w:szCs w:val="22"/>
              </w:rPr>
              <w:t>-3</w:t>
            </w:r>
            <w:r w:rsidR="00B3410D" w:rsidRPr="00B3410D">
              <w:rPr>
                <w:rFonts w:asciiTheme="minorHAnsi" w:hAnsiTheme="minorHAnsi" w:cstheme="minorHAnsi"/>
                <w:sz w:val="22"/>
                <w:szCs w:val="22"/>
              </w:rPr>
              <w:t>373</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25,659</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-3951</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4674</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-176</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885</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352</w:t>
            </w:r>
          </w:p>
        </w:tc>
      </w:tr>
      <w:tr w:rsidR="00B3410D" w:rsidTr="00C862A3">
        <w:tc>
          <w:tcPr>
            <w:tcW w:w="1026" w:type="dxa"/>
            <w:vAlign w:val="bottom"/>
          </w:tcPr>
          <w:p w:rsidR="00B3410D" w:rsidRPr="00B3410D" w:rsidRDefault="00B3410D" w:rsidP="00C862A3">
            <w:pPr>
              <w:jc w:val="right"/>
              <w:rPr>
                <w:rFonts w:asciiTheme="minorHAnsi" w:hAnsiTheme="minorHAnsi" w:cstheme="minorHAnsi"/>
                <w:sz w:val="22"/>
                <w:szCs w:val="22"/>
              </w:rPr>
            </w:pPr>
            <w:r w:rsidRPr="00B3410D">
              <w:rPr>
                <w:rFonts w:asciiTheme="minorHAnsi" w:hAnsiTheme="minorHAnsi" w:cstheme="minorHAnsi"/>
                <w:sz w:val="22"/>
                <w:szCs w:val="22"/>
              </w:rPr>
              <w:t>2008</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-22,690</w:t>
            </w:r>
          </w:p>
        </w:tc>
        <w:tc>
          <w:tcPr>
            <w:tcW w:w="1027" w:type="dxa"/>
            <w:vAlign w:val="bottom"/>
          </w:tcPr>
          <w:p w:rsidR="00B3410D" w:rsidRPr="00B3410D" w:rsidRDefault="00F1166E" w:rsidP="003539E4">
            <w:pPr>
              <w:jc w:val="center"/>
              <w:rPr>
                <w:rFonts w:asciiTheme="minorHAnsi" w:hAnsiTheme="minorHAnsi" w:cstheme="minorHAnsi"/>
                <w:sz w:val="22"/>
                <w:szCs w:val="22"/>
              </w:rPr>
            </w:pPr>
            <w:r>
              <w:rPr>
                <w:rFonts w:asciiTheme="minorHAnsi" w:hAnsiTheme="minorHAnsi" w:cstheme="minorHAnsi"/>
                <w:sz w:val="22"/>
                <w:szCs w:val="22"/>
              </w:rPr>
              <w:t>-1</w:t>
            </w:r>
            <w:r w:rsidR="00B3410D" w:rsidRPr="00B3410D">
              <w:rPr>
                <w:rFonts w:asciiTheme="minorHAnsi" w:hAnsiTheme="minorHAnsi" w:cstheme="minorHAnsi"/>
                <w:sz w:val="22"/>
                <w:szCs w:val="22"/>
              </w:rPr>
              <w:t>043</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21,228</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-5195</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6265</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733</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691</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11</w:t>
            </w:r>
          </w:p>
        </w:tc>
      </w:tr>
      <w:tr w:rsidR="00B3410D" w:rsidTr="00C862A3">
        <w:tc>
          <w:tcPr>
            <w:tcW w:w="1026" w:type="dxa"/>
            <w:vAlign w:val="bottom"/>
          </w:tcPr>
          <w:p w:rsidR="00B3410D" w:rsidRPr="00B3410D" w:rsidRDefault="00B3410D" w:rsidP="00C862A3">
            <w:pPr>
              <w:jc w:val="right"/>
              <w:rPr>
                <w:rFonts w:asciiTheme="minorHAnsi" w:hAnsiTheme="minorHAnsi" w:cstheme="minorHAnsi"/>
                <w:sz w:val="22"/>
                <w:szCs w:val="22"/>
              </w:rPr>
            </w:pPr>
            <w:r w:rsidRPr="00B3410D">
              <w:rPr>
                <w:rFonts w:asciiTheme="minorHAnsi" w:hAnsiTheme="minorHAnsi" w:cstheme="minorHAnsi"/>
                <w:sz w:val="22"/>
                <w:szCs w:val="22"/>
              </w:rPr>
              <w:t>2009</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-13,814</w:t>
            </w:r>
          </w:p>
        </w:tc>
        <w:tc>
          <w:tcPr>
            <w:tcW w:w="1027" w:type="dxa"/>
            <w:vAlign w:val="bottom"/>
          </w:tcPr>
          <w:p w:rsidR="00B3410D" w:rsidRPr="00B3410D" w:rsidRDefault="00F1166E" w:rsidP="003539E4">
            <w:pPr>
              <w:jc w:val="center"/>
              <w:rPr>
                <w:rFonts w:asciiTheme="minorHAnsi" w:hAnsiTheme="minorHAnsi" w:cstheme="minorHAnsi"/>
                <w:sz w:val="22"/>
                <w:szCs w:val="22"/>
              </w:rPr>
            </w:pPr>
            <w:r>
              <w:rPr>
                <w:rFonts w:asciiTheme="minorHAnsi" w:hAnsiTheme="minorHAnsi" w:cstheme="minorHAnsi"/>
                <w:sz w:val="22"/>
                <w:szCs w:val="22"/>
              </w:rPr>
              <w:t>1</w:t>
            </w:r>
            <w:r w:rsidR="00B3410D" w:rsidRPr="00B3410D">
              <w:rPr>
                <w:rFonts w:asciiTheme="minorHAnsi" w:hAnsiTheme="minorHAnsi" w:cstheme="minorHAnsi"/>
                <w:sz w:val="22"/>
                <w:szCs w:val="22"/>
              </w:rPr>
              <w:t>801</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13,519</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-3317</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2274</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-50</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186</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-599</w:t>
            </w:r>
          </w:p>
        </w:tc>
      </w:tr>
      <w:tr w:rsidR="00B3410D" w:rsidTr="00C862A3">
        <w:tc>
          <w:tcPr>
            <w:tcW w:w="1026" w:type="dxa"/>
            <w:vAlign w:val="bottom"/>
          </w:tcPr>
          <w:p w:rsidR="00B3410D" w:rsidRPr="00B3410D" w:rsidRDefault="00B3410D" w:rsidP="00C862A3">
            <w:pPr>
              <w:jc w:val="right"/>
              <w:rPr>
                <w:rFonts w:asciiTheme="minorHAnsi" w:hAnsiTheme="minorHAnsi" w:cstheme="minorHAnsi"/>
                <w:sz w:val="22"/>
                <w:szCs w:val="22"/>
              </w:rPr>
            </w:pPr>
            <w:r w:rsidRPr="00B3410D">
              <w:rPr>
                <w:rFonts w:asciiTheme="minorHAnsi" w:hAnsiTheme="minorHAnsi" w:cstheme="minorHAnsi"/>
                <w:sz w:val="22"/>
                <w:szCs w:val="22"/>
              </w:rPr>
              <w:t>2010</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-11,243</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2870</w:t>
            </w:r>
          </w:p>
        </w:tc>
        <w:tc>
          <w:tcPr>
            <w:tcW w:w="1027" w:type="dxa"/>
            <w:vAlign w:val="bottom"/>
          </w:tcPr>
          <w:p w:rsidR="00B3410D" w:rsidRPr="00B3410D" w:rsidRDefault="00F1166E" w:rsidP="003539E4">
            <w:pPr>
              <w:jc w:val="center"/>
              <w:rPr>
                <w:rFonts w:asciiTheme="minorHAnsi" w:hAnsiTheme="minorHAnsi" w:cstheme="minorHAnsi"/>
                <w:sz w:val="22"/>
                <w:szCs w:val="22"/>
              </w:rPr>
            </w:pPr>
            <w:r>
              <w:rPr>
                <w:rFonts w:asciiTheme="minorHAnsi" w:hAnsiTheme="minorHAnsi" w:cstheme="minorHAnsi"/>
                <w:sz w:val="22"/>
                <w:szCs w:val="22"/>
              </w:rPr>
              <w:t>7</w:t>
            </w:r>
            <w:r w:rsidR="00B3410D" w:rsidRPr="00B3410D">
              <w:rPr>
                <w:rFonts w:asciiTheme="minorHAnsi" w:hAnsiTheme="minorHAnsi" w:cstheme="minorHAnsi"/>
                <w:sz w:val="22"/>
                <w:szCs w:val="22"/>
              </w:rPr>
              <w:t>243</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-3163</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3944</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544</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-1690</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1495</w:t>
            </w:r>
          </w:p>
        </w:tc>
      </w:tr>
      <w:tr w:rsidR="00B3410D" w:rsidTr="00C862A3">
        <w:tc>
          <w:tcPr>
            <w:tcW w:w="1026" w:type="dxa"/>
            <w:vAlign w:val="bottom"/>
          </w:tcPr>
          <w:p w:rsidR="00B3410D" w:rsidRPr="00B3410D" w:rsidRDefault="00B3410D" w:rsidP="00C862A3">
            <w:pPr>
              <w:jc w:val="right"/>
              <w:rPr>
                <w:rFonts w:asciiTheme="minorHAnsi" w:hAnsiTheme="minorHAnsi" w:cstheme="minorHAnsi"/>
                <w:sz w:val="22"/>
                <w:szCs w:val="22"/>
              </w:rPr>
            </w:pPr>
            <w:r w:rsidRPr="00B3410D">
              <w:rPr>
                <w:rFonts w:asciiTheme="minorHAnsi" w:hAnsiTheme="minorHAnsi" w:cstheme="minorHAnsi"/>
                <w:sz w:val="22"/>
                <w:szCs w:val="22"/>
              </w:rPr>
              <w:t>2011</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-16,104</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3329</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9608</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-2325</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8460</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-1390</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-2171</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593</w:t>
            </w:r>
          </w:p>
        </w:tc>
      </w:tr>
      <w:tr w:rsidR="00B3410D" w:rsidTr="00C862A3">
        <w:tc>
          <w:tcPr>
            <w:tcW w:w="1026" w:type="dxa"/>
            <w:vAlign w:val="bottom"/>
          </w:tcPr>
          <w:p w:rsidR="00B3410D" w:rsidRPr="00B3410D" w:rsidRDefault="00B3410D" w:rsidP="00C862A3">
            <w:pPr>
              <w:jc w:val="right"/>
              <w:rPr>
                <w:rFonts w:asciiTheme="minorHAnsi" w:hAnsiTheme="minorHAnsi" w:cstheme="minorHAnsi"/>
                <w:sz w:val="22"/>
                <w:szCs w:val="22"/>
              </w:rPr>
            </w:pPr>
            <w:r w:rsidRPr="00B3410D">
              <w:rPr>
                <w:rFonts w:asciiTheme="minorHAnsi" w:hAnsiTheme="minorHAnsi" w:cstheme="minorHAnsi"/>
                <w:sz w:val="22"/>
                <w:szCs w:val="22"/>
              </w:rPr>
              <w:t>2012</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-17</w:t>
            </w:r>
            <w:r w:rsidR="002A2B46">
              <w:rPr>
                <w:rFonts w:asciiTheme="minorHAnsi" w:hAnsiTheme="minorHAnsi" w:cstheme="minorHAnsi"/>
                <w:sz w:val="22"/>
                <w:szCs w:val="22"/>
              </w:rPr>
              <w:t>,</w:t>
            </w:r>
            <w:r w:rsidRPr="00B3410D">
              <w:rPr>
                <w:rFonts w:asciiTheme="minorHAnsi" w:hAnsiTheme="minorHAnsi" w:cstheme="minorHAnsi"/>
                <w:sz w:val="22"/>
                <w:szCs w:val="22"/>
              </w:rPr>
              <w:t>761</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1733</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11</w:t>
            </w:r>
            <w:r w:rsidR="002A2B46">
              <w:rPr>
                <w:rFonts w:asciiTheme="minorHAnsi" w:hAnsiTheme="minorHAnsi" w:cstheme="minorHAnsi"/>
                <w:sz w:val="22"/>
                <w:szCs w:val="22"/>
              </w:rPr>
              <w:t>,</w:t>
            </w:r>
            <w:r w:rsidRPr="00B3410D">
              <w:rPr>
                <w:rFonts w:asciiTheme="minorHAnsi" w:hAnsiTheme="minorHAnsi" w:cstheme="minorHAnsi"/>
                <w:sz w:val="22"/>
                <w:szCs w:val="22"/>
              </w:rPr>
              <w:t>354</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-3345</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10417</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-2650</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-1677</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1929</w:t>
            </w:r>
          </w:p>
        </w:tc>
      </w:tr>
      <w:tr w:rsidR="00B3410D" w:rsidTr="00C862A3">
        <w:tc>
          <w:tcPr>
            <w:tcW w:w="1026" w:type="dxa"/>
            <w:vAlign w:val="bottom"/>
          </w:tcPr>
          <w:p w:rsidR="00B3410D" w:rsidRPr="00B3410D" w:rsidRDefault="00B3410D" w:rsidP="00C862A3">
            <w:pPr>
              <w:rPr>
                <w:rFonts w:asciiTheme="minorHAnsi" w:hAnsiTheme="minorHAnsi" w:cstheme="minorHAnsi"/>
                <w:sz w:val="22"/>
                <w:szCs w:val="22"/>
              </w:rPr>
            </w:pPr>
            <w:r w:rsidRPr="00B3410D">
              <w:rPr>
                <w:rFonts w:asciiTheme="minorHAnsi" w:hAnsiTheme="minorHAnsi" w:cstheme="minorHAnsi"/>
                <w:sz w:val="22"/>
                <w:szCs w:val="22"/>
              </w:rPr>
              <w:t>10 year average to 2008</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-23,843</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125</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26,821</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-2907</w:t>
            </w:r>
          </w:p>
        </w:tc>
        <w:tc>
          <w:tcPr>
            <w:tcW w:w="1027" w:type="dxa"/>
            <w:vAlign w:val="bottom"/>
          </w:tcPr>
          <w:p w:rsidR="00B3410D" w:rsidRPr="00B3410D" w:rsidRDefault="00B3410D" w:rsidP="00F1166E">
            <w:pPr>
              <w:jc w:val="center"/>
              <w:rPr>
                <w:rFonts w:asciiTheme="minorHAnsi" w:hAnsiTheme="minorHAnsi" w:cstheme="minorHAnsi"/>
                <w:sz w:val="22"/>
                <w:szCs w:val="22"/>
              </w:rPr>
            </w:pPr>
            <w:r w:rsidRPr="00B3410D">
              <w:rPr>
                <w:rFonts w:asciiTheme="minorHAnsi" w:hAnsiTheme="minorHAnsi" w:cstheme="minorHAnsi"/>
                <w:sz w:val="22"/>
                <w:szCs w:val="22"/>
              </w:rPr>
              <w:t>1024</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-291</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-752</w:t>
            </w:r>
          </w:p>
        </w:tc>
        <w:tc>
          <w:tcPr>
            <w:tcW w:w="1027" w:type="dxa"/>
            <w:vAlign w:val="bottom"/>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-148</w:t>
            </w:r>
          </w:p>
        </w:tc>
      </w:tr>
      <w:tr w:rsidR="00B3410D" w:rsidTr="00C862A3">
        <w:tc>
          <w:tcPr>
            <w:tcW w:w="1026" w:type="dxa"/>
            <w:vAlign w:val="bottom"/>
          </w:tcPr>
          <w:p w:rsidR="00B3410D" w:rsidRPr="00B3410D" w:rsidRDefault="00B3410D" w:rsidP="00C862A3">
            <w:pPr>
              <w:rPr>
                <w:rFonts w:asciiTheme="minorHAnsi" w:hAnsiTheme="minorHAnsi" w:cstheme="minorHAnsi"/>
                <w:sz w:val="22"/>
                <w:szCs w:val="22"/>
              </w:rPr>
            </w:pPr>
            <w:r w:rsidRPr="00B3410D">
              <w:rPr>
                <w:rFonts w:asciiTheme="minorHAnsi" w:hAnsiTheme="minorHAnsi" w:cstheme="minorHAnsi"/>
                <w:sz w:val="22"/>
                <w:szCs w:val="22"/>
              </w:rPr>
              <w:t>Average 2008 to 2012</w:t>
            </w:r>
          </w:p>
        </w:tc>
        <w:tc>
          <w:tcPr>
            <w:tcW w:w="1027" w:type="dxa"/>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-16</w:t>
            </w:r>
            <w:r w:rsidR="002A2B46">
              <w:rPr>
                <w:rFonts w:asciiTheme="minorHAnsi" w:hAnsiTheme="minorHAnsi" w:cstheme="minorHAnsi"/>
                <w:sz w:val="22"/>
                <w:szCs w:val="22"/>
              </w:rPr>
              <w:t>,</w:t>
            </w:r>
            <w:r w:rsidRPr="00B3410D">
              <w:rPr>
                <w:rFonts w:asciiTheme="minorHAnsi" w:hAnsiTheme="minorHAnsi" w:cstheme="minorHAnsi"/>
                <w:sz w:val="22"/>
                <w:szCs w:val="22"/>
              </w:rPr>
              <w:t>322</w:t>
            </w:r>
          </w:p>
        </w:tc>
        <w:tc>
          <w:tcPr>
            <w:tcW w:w="1027" w:type="dxa"/>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1738</w:t>
            </w:r>
          </w:p>
        </w:tc>
        <w:tc>
          <w:tcPr>
            <w:tcW w:w="1027" w:type="dxa"/>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12</w:t>
            </w:r>
            <w:r w:rsidR="002A2B46">
              <w:rPr>
                <w:rFonts w:asciiTheme="minorHAnsi" w:hAnsiTheme="minorHAnsi" w:cstheme="minorHAnsi"/>
                <w:sz w:val="22"/>
                <w:szCs w:val="22"/>
              </w:rPr>
              <w:t>,</w:t>
            </w:r>
            <w:r w:rsidRPr="00B3410D">
              <w:rPr>
                <w:rFonts w:asciiTheme="minorHAnsi" w:hAnsiTheme="minorHAnsi" w:cstheme="minorHAnsi"/>
                <w:sz w:val="22"/>
                <w:szCs w:val="22"/>
              </w:rPr>
              <w:t>590</w:t>
            </w:r>
          </w:p>
        </w:tc>
        <w:tc>
          <w:tcPr>
            <w:tcW w:w="1027" w:type="dxa"/>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-3469</w:t>
            </w:r>
          </w:p>
        </w:tc>
        <w:tc>
          <w:tcPr>
            <w:tcW w:w="1027" w:type="dxa"/>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6272</w:t>
            </w:r>
          </w:p>
        </w:tc>
        <w:tc>
          <w:tcPr>
            <w:tcW w:w="1027" w:type="dxa"/>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-563</w:t>
            </w:r>
          </w:p>
        </w:tc>
        <w:tc>
          <w:tcPr>
            <w:tcW w:w="1027" w:type="dxa"/>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-932</w:t>
            </w:r>
          </w:p>
        </w:tc>
        <w:tc>
          <w:tcPr>
            <w:tcW w:w="1027" w:type="dxa"/>
          </w:tcPr>
          <w:p w:rsidR="00B3410D" w:rsidRPr="00B3410D" w:rsidRDefault="00B3410D" w:rsidP="003539E4">
            <w:pPr>
              <w:jc w:val="center"/>
              <w:rPr>
                <w:rFonts w:asciiTheme="minorHAnsi" w:hAnsiTheme="minorHAnsi" w:cstheme="minorHAnsi"/>
                <w:sz w:val="22"/>
                <w:szCs w:val="22"/>
              </w:rPr>
            </w:pPr>
            <w:r w:rsidRPr="00B3410D">
              <w:rPr>
                <w:rFonts w:asciiTheme="minorHAnsi" w:hAnsiTheme="minorHAnsi" w:cstheme="minorHAnsi"/>
                <w:sz w:val="22"/>
                <w:szCs w:val="22"/>
              </w:rPr>
              <w:t>686</w:t>
            </w:r>
          </w:p>
        </w:tc>
      </w:tr>
    </w:tbl>
    <w:p w:rsidR="00E51A72" w:rsidRDefault="00E51A72" w:rsidP="005D476F">
      <w:pPr>
        <w:pStyle w:val="CABNETParagraphAtt"/>
        <w:spacing w:before="0" w:after="0"/>
        <w:rPr>
          <w:rFonts w:asciiTheme="minorHAnsi" w:hAnsiTheme="minorHAnsi"/>
          <w:sz w:val="18"/>
          <w:szCs w:val="18"/>
        </w:rPr>
      </w:pPr>
      <w:r w:rsidRPr="00A432F0">
        <w:rPr>
          <w:rFonts w:asciiTheme="minorHAnsi" w:hAnsiTheme="minorHAnsi"/>
          <w:sz w:val="18"/>
          <w:szCs w:val="18"/>
        </w:rPr>
        <w:t xml:space="preserve">Source: ABS Australian Demographics Statistics </w:t>
      </w:r>
      <w:r w:rsidR="00035CB0">
        <w:rPr>
          <w:rFonts w:asciiTheme="minorHAnsi" w:hAnsiTheme="minorHAnsi"/>
          <w:sz w:val="18"/>
          <w:szCs w:val="18"/>
        </w:rPr>
        <w:t>(Cat. No. 3101.0), December 2012</w:t>
      </w:r>
      <w:r w:rsidRPr="00A432F0">
        <w:rPr>
          <w:rFonts w:asciiTheme="minorHAnsi" w:hAnsiTheme="minorHAnsi"/>
          <w:sz w:val="18"/>
          <w:szCs w:val="18"/>
        </w:rPr>
        <w:t>, Quarterly Interstate Migration by States and Territories of Arrival and Departure by Sex datacube.</w:t>
      </w:r>
      <w:r w:rsidR="007F76D9">
        <w:rPr>
          <w:rFonts w:asciiTheme="minorHAnsi" w:hAnsiTheme="minorHAnsi"/>
          <w:sz w:val="18"/>
          <w:szCs w:val="18"/>
        </w:rPr>
        <w:t xml:space="preserve"> Data presented in the table are the latest available by calendar year.</w:t>
      </w:r>
      <w:r w:rsidR="005D476F">
        <w:rPr>
          <w:rFonts w:asciiTheme="minorHAnsi" w:hAnsiTheme="minorHAnsi"/>
          <w:sz w:val="18"/>
          <w:szCs w:val="18"/>
        </w:rPr>
        <w:t xml:space="preserve"> </w:t>
      </w:r>
      <w:r w:rsidRPr="00A432F0">
        <w:rPr>
          <w:rFonts w:asciiTheme="minorHAnsi" w:hAnsiTheme="minorHAnsi"/>
          <w:sz w:val="18"/>
          <w:szCs w:val="18"/>
        </w:rPr>
        <w:t>Note: Negative figures indicate a net loss, that is, more people departed from the state than arrived.</w:t>
      </w:r>
    </w:p>
    <w:p w:rsidR="005D476F" w:rsidRPr="00A432F0" w:rsidRDefault="005D476F" w:rsidP="005D476F">
      <w:pPr>
        <w:pStyle w:val="CABNETParagraphAtt"/>
        <w:spacing w:before="0" w:after="0"/>
        <w:rPr>
          <w:rFonts w:asciiTheme="minorHAnsi" w:hAnsiTheme="minorHAnsi"/>
          <w:sz w:val="18"/>
          <w:szCs w:val="18"/>
        </w:rPr>
      </w:pPr>
    </w:p>
    <w:p w:rsidR="00915815" w:rsidRPr="00E51A72" w:rsidRDefault="00915815" w:rsidP="002E5631">
      <w:pPr>
        <w:spacing w:after="240" w:line="240" w:lineRule="auto"/>
      </w:pPr>
      <w:r w:rsidRPr="00E51A72">
        <w:t xml:space="preserve">Net interstate migration (NIM) is the difference between the number of people who have changed their place of usual residence by moving into a given state or territory and the number who have changed their place of usual residence by moving out of that state or territory during a specified time period. </w:t>
      </w:r>
    </w:p>
    <w:p w:rsidR="00915815" w:rsidRPr="00E51A72" w:rsidRDefault="00915815" w:rsidP="002E5631">
      <w:pPr>
        <w:spacing w:after="240" w:line="240" w:lineRule="auto"/>
      </w:pPr>
      <w:r w:rsidRPr="00E51A72">
        <w:t>NIM is not a major component of population growth in any state or territory. While Queensland and Western Australia (WA) had the highest NIM in 201</w:t>
      </w:r>
      <w:r w:rsidR="005A7AAF">
        <w:t>2</w:t>
      </w:r>
      <w:r w:rsidRPr="00E51A72">
        <w:t xml:space="preserve"> (</w:t>
      </w:r>
      <w:r w:rsidR="005A7AAF">
        <w:t>11,354</w:t>
      </w:r>
      <w:r w:rsidRPr="00E51A72">
        <w:t xml:space="preserve"> and </w:t>
      </w:r>
      <w:r w:rsidR="005A7AAF">
        <w:t>10</w:t>
      </w:r>
      <w:r w:rsidRPr="00E51A72">
        <w:t>,4</w:t>
      </w:r>
      <w:r w:rsidR="005A7AAF">
        <w:t>17</w:t>
      </w:r>
      <w:r w:rsidRPr="00E51A72">
        <w:t xml:space="preserve"> people respectively), these figures are low when compared with net overseas migration (NOM) and state population estimates.</w:t>
      </w:r>
    </w:p>
    <w:p w:rsidR="00915815" w:rsidRDefault="00915815" w:rsidP="002E5631">
      <w:pPr>
        <w:spacing w:after="240" w:line="240" w:lineRule="auto"/>
      </w:pPr>
      <w:r w:rsidRPr="00E51A72">
        <w:t>On a calendar year bas</w:t>
      </w:r>
      <w:r w:rsidR="00B93475">
        <w:t>is, NIM to Western Australia</w:t>
      </w:r>
      <w:r w:rsidRPr="00E51A72">
        <w:t xml:space="preserve"> </w:t>
      </w:r>
      <w:r w:rsidR="005A7AAF">
        <w:t>reached a historic high of 10,417</w:t>
      </w:r>
      <w:r w:rsidRPr="00E51A72">
        <w:t xml:space="preserve"> people in 201</w:t>
      </w:r>
      <w:r w:rsidR="005A7AAF">
        <w:t>2</w:t>
      </w:r>
      <w:r w:rsidRPr="00E51A72">
        <w:t>, well above the pre-GFC d</w:t>
      </w:r>
      <w:r w:rsidR="00035CB0">
        <w:t>ecade average of 1,024 and post-</w:t>
      </w:r>
      <w:r w:rsidRPr="00E51A72">
        <w:t xml:space="preserve">GFC average of </w:t>
      </w:r>
      <w:r w:rsidR="005A7AAF">
        <w:t>6</w:t>
      </w:r>
      <w:r w:rsidRPr="00E51A72">
        <w:t>2</w:t>
      </w:r>
      <w:r w:rsidR="005A7AAF">
        <w:t>72</w:t>
      </w:r>
      <w:r w:rsidRPr="00E51A72">
        <w:t>. By comparison, NIM to Tasmania was -</w:t>
      </w:r>
      <w:r w:rsidR="005A7AAF">
        <w:t>2</w:t>
      </w:r>
      <w:r w:rsidRPr="00E51A72">
        <w:t>,</w:t>
      </w:r>
      <w:r w:rsidR="005A7AAF">
        <w:t>650</w:t>
      </w:r>
      <w:r w:rsidRPr="00E51A72">
        <w:t xml:space="preserve"> in 201</w:t>
      </w:r>
      <w:r w:rsidR="005A7AAF">
        <w:t>2</w:t>
      </w:r>
      <w:r w:rsidRPr="00E51A72">
        <w:t>, well below its recent period averages, reflecting weak state labour market condi</w:t>
      </w:r>
      <w:r w:rsidR="00035CB0">
        <w:t xml:space="preserve">tions in that state (see Table </w:t>
      </w:r>
      <w:r w:rsidR="00A80534">
        <w:t>7</w:t>
      </w:r>
      <w:r w:rsidRPr="00E51A72">
        <w:t>).</w:t>
      </w:r>
    </w:p>
    <w:p w:rsidR="00915815" w:rsidRPr="00E51A72" w:rsidRDefault="00915815" w:rsidP="002E5631">
      <w:pPr>
        <w:spacing w:after="240" w:line="240" w:lineRule="auto"/>
      </w:pPr>
      <w:r w:rsidRPr="00E51A72">
        <w:t>NIM figures do not portray the often significant two-way movements of people between state</w:t>
      </w:r>
      <w:r w:rsidR="00283164">
        <w:t>s</w:t>
      </w:r>
      <w:r w:rsidRPr="00E51A72">
        <w:t xml:space="preserve"> and territories. For example, while the resource-rich states of Queensland and Western Australia both had significant numbers of people moving into those locations (</w:t>
      </w:r>
      <w:r w:rsidR="005A7AAF">
        <w:t>85,593</w:t>
      </w:r>
      <w:r w:rsidRPr="00E51A72">
        <w:t xml:space="preserve"> and 39,</w:t>
      </w:r>
      <w:r w:rsidR="005A7AAF">
        <w:t>670</w:t>
      </w:r>
      <w:r w:rsidRPr="00E51A72">
        <w:t xml:space="preserve"> in 2011 respectively), there were also large numbers of people who moved out of these locations (</w:t>
      </w:r>
      <w:r w:rsidR="005A7AAF">
        <w:t>74,239</w:t>
      </w:r>
      <w:r w:rsidRPr="00E51A72">
        <w:t xml:space="preserve"> and </w:t>
      </w:r>
      <w:r w:rsidR="005A7AAF">
        <w:t>29,253</w:t>
      </w:r>
      <w:r w:rsidRPr="00E51A72">
        <w:t xml:space="preserve"> respectively).</w:t>
      </w:r>
      <w:r w:rsidR="00283164">
        <w:t xml:space="preserve"> The available data does not allow us to determine the net effect on the workforce, as we do not know the age or work intentions of those moving in either direction.</w:t>
      </w:r>
    </w:p>
    <w:p w:rsidR="00915815" w:rsidRPr="00E51A72" w:rsidRDefault="00915815" w:rsidP="002E5631">
      <w:pPr>
        <w:spacing w:after="240" w:line="240" w:lineRule="auto"/>
      </w:pPr>
      <w:r w:rsidRPr="00E51A72">
        <w:t xml:space="preserve">In terms of interstate migration destinations, people are more likely to move between adjacent states and territories than non-adjacent ones. For example, of the </w:t>
      </w:r>
      <w:r w:rsidR="00BC1C2F">
        <w:t xml:space="preserve">94,311 </w:t>
      </w:r>
      <w:r w:rsidRPr="00E51A72">
        <w:t>p</w:t>
      </w:r>
      <w:r w:rsidR="00BC1C2F">
        <w:t>eople who moved from NSW in 2012</w:t>
      </w:r>
      <w:r w:rsidRPr="00E51A72">
        <w:t xml:space="preserve"> (read</w:t>
      </w:r>
      <w:r w:rsidR="009C2FFD">
        <w:t>ing down the first column of</w:t>
      </w:r>
      <w:r w:rsidRPr="00E51A72">
        <w:t xml:space="preserve"> </w:t>
      </w:r>
      <w:r w:rsidR="009C2FFD">
        <w:t>T</w:t>
      </w:r>
      <w:r w:rsidRPr="00E51A72">
        <w:t>able</w:t>
      </w:r>
      <w:r w:rsidR="00C50E1E">
        <w:t xml:space="preserve"> 8</w:t>
      </w:r>
      <w:r w:rsidRPr="00E51A72">
        <w:t>), the majority went to Queensland and Victoria, while only 10,</w:t>
      </w:r>
      <w:r w:rsidR="00BC1C2F">
        <w:t>457</w:t>
      </w:r>
      <w:r w:rsidRPr="00E51A72">
        <w:t xml:space="preserve"> (1</w:t>
      </w:r>
      <w:r w:rsidR="00BC1C2F">
        <w:t>1</w:t>
      </w:r>
      <w:r w:rsidRPr="00E51A72">
        <w:t>.</w:t>
      </w:r>
      <w:r w:rsidR="00BC1C2F">
        <w:t>1</w:t>
      </w:r>
      <w:r w:rsidRPr="00E51A72">
        <w:t xml:space="preserve"> per c</w:t>
      </w:r>
      <w:r>
        <w:t>ent) moved to Western Australia</w:t>
      </w:r>
      <w:r w:rsidRPr="00E51A72">
        <w:t>.</w:t>
      </w:r>
    </w:p>
    <w:p w:rsidR="00276C8D" w:rsidRDefault="00276C8D">
      <w:pPr>
        <w:rPr>
          <w:rFonts w:eastAsia="Times New Roman" w:cstheme="minorHAnsi"/>
          <w:b/>
          <w:szCs w:val="24"/>
          <w:lang w:eastAsia="en-AU"/>
        </w:rPr>
      </w:pPr>
      <w:r>
        <w:rPr>
          <w:rFonts w:cstheme="minorHAnsi"/>
          <w:b/>
        </w:rPr>
        <w:br w:type="page"/>
      </w:r>
    </w:p>
    <w:p w:rsidR="00E51A72" w:rsidRDefault="00C50E1E" w:rsidP="002E5631">
      <w:pPr>
        <w:pStyle w:val="CABNETParagraphAtt"/>
        <w:keepNext/>
        <w:spacing w:before="0" w:after="0"/>
        <w:rPr>
          <w:rFonts w:asciiTheme="minorHAnsi" w:hAnsiTheme="minorHAnsi" w:cstheme="minorHAnsi"/>
          <w:b/>
        </w:rPr>
      </w:pPr>
      <w:r>
        <w:rPr>
          <w:rFonts w:asciiTheme="minorHAnsi" w:hAnsiTheme="minorHAnsi" w:cstheme="minorHAnsi"/>
          <w:b/>
        </w:rPr>
        <w:lastRenderedPageBreak/>
        <w:t>Table 8</w:t>
      </w:r>
      <w:r w:rsidR="00E51A72" w:rsidRPr="00812E40">
        <w:rPr>
          <w:rFonts w:asciiTheme="minorHAnsi" w:hAnsiTheme="minorHAnsi" w:cstheme="minorHAnsi"/>
          <w:b/>
        </w:rPr>
        <w:t>: Gross interstate migration between states, 201</w:t>
      </w:r>
      <w:r w:rsidR="00B82381" w:rsidRPr="00812E40">
        <w:rPr>
          <w:rFonts w:asciiTheme="minorHAnsi" w:hAnsiTheme="minorHAnsi" w:cstheme="minorHAnsi"/>
          <w:b/>
        </w:rPr>
        <w:t>2</w:t>
      </w:r>
    </w:p>
    <w:tbl>
      <w:tblPr>
        <w:tblStyle w:val="TableGrid"/>
        <w:tblW w:w="0" w:type="auto"/>
        <w:tblLook w:val="04A0" w:firstRow="1" w:lastRow="0" w:firstColumn="1" w:lastColumn="0" w:noHBand="0" w:noVBand="1"/>
      </w:tblPr>
      <w:tblGrid>
        <w:gridCol w:w="1243"/>
        <w:gridCol w:w="883"/>
        <w:gridCol w:w="882"/>
        <w:gridCol w:w="882"/>
        <w:gridCol w:w="882"/>
        <w:gridCol w:w="882"/>
        <w:gridCol w:w="882"/>
        <w:gridCol w:w="882"/>
        <w:gridCol w:w="882"/>
        <w:gridCol w:w="942"/>
      </w:tblGrid>
      <w:tr w:rsidR="0012144C" w:rsidTr="00394EAE">
        <w:tc>
          <w:tcPr>
            <w:tcW w:w="1243" w:type="dxa"/>
            <w:tcBorders>
              <w:top w:val="nil"/>
              <w:left w:val="nil"/>
              <w:bottom w:val="single" w:sz="4" w:space="0" w:color="auto"/>
              <w:right w:val="single" w:sz="4" w:space="0" w:color="auto"/>
            </w:tcBorders>
          </w:tcPr>
          <w:p w:rsidR="0012144C" w:rsidRPr="0012144C" w:rsidRDefault="0012144C" w:rsidP="002E5631">
            <w:pPr>
              <w:pStyle w:val="CABNETParagraphAtt"/>
              <w:keepNext/>
              <w:spacing w:before="0" w:after="0"/>
              <w:rPr>
                <w:rFonts w:asciiTheme="minorHAnsi" w:hAnsiTheme="minorHAnsi" w:cstheme="minorHAnsi"/>
                <w:sz w:val="22"/>
                <w:szCs w:val="22"/>
              </w:rPr>
            </w:pPr>
          </w:p>
        </w:tc>
        <w:tc>
          <w:tcPr>
            <w:tcW w:w="7057" w:type="dxa"/>
            <w:gridSpan w:val="8"/>
            <w:tcBorders>
              <w:left w:val="single" w:sz="4" w:space="0" w:color="auto"/>
              <w:right w:val="single" w:sz="4" w:space="0" w:color="auto"/>
            </w:tcBorders>
          </w:tcPr>
          <w:p w:rsidR="0012144C" w:rsidRPr="0012144C" w:rsidRDefault="0012144C" w:rsidP="0012144C">
            <w:pPr>
              <w:pStyle w:val="CABNETParagraphAtt"/>
              <w:keepNext/>
              <w:spacing w:before="0" w:after="0"/>
              <w:jc w:val="center"/>
              <w:rPr>
                <w:rFonts w:asciiTheme="minorHAnsi" w:hAnsiTheme="minorHAnsi" w:cstheme="minorHAnsi"/>
                <w:sz w:val="22"/>
                <w:szCs w:val="22"/>
              </w:rPr>
            </w:pPr>
            <w:r w:rsidRPr="0012144C">
              <w:rPr>
                <w:rFonts w:asciiTheme="minorHAnsi" w:hAnsiTheme="minorHAnsi" w:cstheme="minorHAnsi"/>
                <w:b/>
                <w:bCs/>
                <w:sz w:val="22"/>
                <w:szCs w:val="22"/>
              </w:rPr>
              <w:t>Departures from (people)</w:t>
            </w:r>
          </w:p>
        </w:tc>
        <w:tc>
          <w:tcPr>
            <w:tcW w:w="942" w:type="dxa"/>
            <w:tcBorders>
              <w:top w:val="nil"/>
              <w:left w:val="single" w:sz="4" w:space="0" w:color="auto"/>
              <w:bottom w:val="single" w:sz="4" w:space="0" w:color="auto"/>
              <w:right w:val="nil"/>
            </w:tcBorders>
          </w:tcPr>
          <w:p w:rsidR="0012144C" w:rsidRPr="0012144C" w:rsidRDefault="0012144C" w:rsidP="002E5631">
            <w:pPr>
              <w:pStyle w:val="CABNETParagraphAtt"/>
              <w:keepNext/>
              <w:spacing w:before="0" w:after="0"/>
              <w:rPr>
                <w:rFonts w:asciiTheme="minorHAnsi" w:hAnsiTheme="minorHAnsi" w:cstheme="minorHAnsi"/>
                <w:sz w:val="22"/>
                <w:szCs w:val="22"/>
              </w:rPr>
            </w:pPr>
          </w:p>
        </w:tc>
      </w:tr>
      <w:tr w:rsidR="0012144C" w:rsidTr="00394EAE">
        <w:tc>
          <w:tcPr>
            <w:tcW w:w="1243" w:type="dxa"/>
            <w:tcBorders>
              <w:top w:val="single" w:sz="4" w:space="0" w:color="auto"/>
            </w:tcBorders>
            <w:vAlign w:val="center"/>
          </w:tcPr>
          <w:p w:rsidR="0012144C" w:rsidRPr="0012144C" w:rsidRDefault="0012144C" w:rsidP="00C862A3">
            <w:pPr>
              <w:rPr>
                <w:rFonts w:asciiTheme="minorHAnsi" w:hAnsiTheme="minorHAnsi" w:cstheme="minorHAnsi"/>
                <w:b/>
                <w:bCs/>
                <w:sz w:val="22"/>
                <w:szCs w:val="22"/>
              </w:rPr>
            </w:pPr>
            <w:r w:rsidRPr="0012144C">
              <w:rPr>
                <w:rFonts w:asciiTheme="minorHAnsi" w:hAnsiTheme="minorHAnsi" w:cstheme="minorHAnsi"/>
                <w:b/>
                <w:bCs/>
                <w:sz w:val="22"/>
                <w:szCs w:val="22"/>
              </w:rPr>
              <w:t>Arrivals to</w:t>
            </w:r>
          </w:p>
        </w:tc>
        <w:tc>
          <w:tcPr>
            <w:tcW w:w="883" w:type="dxa"/>
            <w:vAlign w:val="center"/>
          </w:tcPr>
          <w:p w:rsidR="0012144C" w:rsidRPr="0012144C" w:rsidRDefault="0012144C" w:rsidP="00C862A3">
            <w:pPr>
              <w:jc w:val="center"/>
              <w:rPr>
                <w:rFonts w:asciiTheme="minorHAnsi" w:hAnsiTheme="minorHAnsi" w:cstheme="minorHAnsi"/>
                <w:b/>
                <w:bCs/>
                <w:sz w:val="22"/>
                <w:szCs w:val="22"/>
              </w:rPr>
            </w:pPr>
            <w:r w:rsidRPr="0012144C">
              <w:rPr>
                <w:rFonts w:asciiTheme="minorHAnsi" w:hAnsiTheme="minorHAnsi" w:cstheme="minorHAnsi"/>
                <w:b/>
                <w:bCs/>
                <w:sz w:val="22"/>
                <w:szCs w:val="22"/>
              </w:rPr>
              <w:t>NSW</w:t>
            </w:r>
          </w:p>
        </w:tc>
        <w:tc>
          <w:tcPr>
            <w:tcW w:w="882" w:type="dxa"/>
            <w:vAlign w:val="center"/>
          </w:tcPr>
          <w:p w:rsidR="0012144C" w:rsidRPr="0012144C" w:rsidRDefault="0012144C" w:rsidP="00C862A3">
            <w:pPr>
              <w:jc w:val="center"/>
              <w:rPr>
                <w:rFonts w:asciiTheme="minorHAnsi" w:hAnsiTheme="minorHAnsi" w:cstheme="minorHAnsi"/>
                <w:b/>
                <w:bCs/>
                <w:sz w:val="22"/>
                <w:szCs w:val="22"/>
              </w:rPr>
            </w:pPr>
            <w:r w:rsidRPr="0012144C">
              <w:rPr>
                <w:rFonts w:asciiTheme="minorHAnsi" w:hAnsiTheme="minorHAnsi" w:cstheme="minorHAnsi"/>
                <w:b/>
                <w:bCs/>
                <w:sz w:val="22"/>
                <w:szCs w:val="22"/>
              </w:rPr>
              <w:t>VIC</w:t>
            </w:r>
          </w:p>
        </w:tc>
        <w:tc>
          <w:tcPr>
            <w:tcW w:w="882" w:type="dxa"/>
            <w:vAlign w:val="center"/>
          </w:tcPr>
          <w:p w:rsidR="0012144C" w:rsidRPr="0012144C" w:rsidRDefault="0012144C" w:rsidP="00C862A3">
            <w:pPr>
              <w:jc w:val="center"/>
              <w:rPr>
                <w:rFonts w:asciiTheme="minorHAnsi" w:hAnsiTheme="minorHAnsi" w:cstheme="minorHAnsi"/>
                <w:b/>
                <w:bCs/>
                <w:sz w:val="22"/>
                <w:szCs w:val="22"/>
              </w:rPr>
            </w:pPr>
            <w:r w:rsidRPr="0012144C">
              <w:rPr>
                <w:rFonts w:asciiTheme="minorHAnsi" w:hAnsiTheme="minorHAnsi" w:cstheme="minorHAnsi"/>
                <w:b/>
                <w:bCs/>
                <w:sz w:val="22"/>
                <w:szCs w:val="22"/>
              </w:rPr>
              <w:t>QLD</w:t>
            </w:r>
          </w:p>
        </w:tc>
        <w:tc>
          <w:tcPr>
            <w:tcW w:w="882" w:type="dxa"/>
            <w:vAlign w:val="center"/>
          </w:tcPr>
          <w:p w:rsidR="0012144C" w:rsidRPr="0012144C" w:rsidRDefault="0012144C" w:rsidP="00C862A3">
            <w:pPr>
              <w:jc w:val="center"/>
              <w:rPr>
                <w:rFonts w:asciiTheme="minorHAnsi" w:hAnsiTheme="minorHAnsi" w:cstheme="minorHAnsi"/>
                <w:b/>
                <w:bCs/>
                <w:sz w:val="22"/>
                <w:szCs w:val="22"/>
              </w:rPr>
            </w:pPr>
            <w:r w:rsidRPr="0012144C">
              <w:rPr>
                <w:rFonts w:asciiTheme="minorHAnsi" w:hAnsiTheme="minorHAnsi" w:cstheme="minorHAnsi"/>
                <w:b/>
                <w:bCs/>
                <w:sz w:val="22"/>
                <w:szCs w:val="22"/>
              </w:rPr>
              <w:t>SA</w:t>
            </w:r>
          </w:p>
        </w:tc>
        <w:tc>
          <w:tcPr>
            <w:tcW w:w="882" w:type="dxa"/>
            <w:vAlign w:val="center"/>
          </w:tcPr>
          <w:p w:rsidR="0012144C" w:rsidRPr="0012144C" w:rsidRDefault="0012144C" w:rsidP="00C862A3">
            <w:pPr>
              <w:jc w:val="center"/>
              <w:rPr>
                <w:rFonts w:asciiTheme="minorHAnsi" w:hAnsiTheme="minorHAnsi" w:cstheme="minorHAnsi"/>
                <w:b/>
                <w:bCs/>
                <w:sz w:val="22"/>
                <w:szCs w:val="22"/>
              </w:rPr>
            </w:pPr>
            <w:r w:rsidRPr="0012144C">
              <w:rPr>
                <w:rFonts w:asciiTheme="minorHAnsi" w:hAnsiTheme="minorHAnsi" w:cstheme="minorHAnsi"/>
                <w:b/>
                <w:bCs/>
                <w:sz w:val="22"/>
                <w:szCs w:val="22"/>
              </w:rPr>
              <w:t>WA</w:t>
            </w:r>
          </w:p>
        </w:tc>
        <w:tc>
          <w:tcPr>
            <w:tcW w:w="882" w:type="dxa"/>
            <w:vAlign w:val="center"/>
          </w:tcPr>
          <w:p w:rsidR="0012144C" w:rsidRPr="0012144C" w:rsidRDefault="0012144C" w:rsidP="00C862A3">
            <w:pPr>
              <w:jc w:val="center"/>
              <w:rPr>
                <w:rFonts w:asciiTheme="minorHAnsi" w:hAnsiTheme="minorHAnsi" w:cstheme="minorHAnsi"/>
                <w:b/>
                <w:bCs/>
                <w:sz w:val="22"/>
                <w:szCs w:val="22"/>
              </w:rPr>
            </w:pPr>
            <w:r w:rsidRPr="0012144C">
              <w:rPr>
                <w:rFonts w:asciiTheme="minorHAnsi" w:hAnsiTheme="minorHAnsi" w:cstheme="minorHAnsi"/>
                <w:b/>
                <w:bCs/>
                <w:sz w:val="22"/>
                <w:szCs w:val="22"/>
              </w:rPr>
              <w:t>TAS</w:t>
            </w:r>
          </w:p>
        </w:tc>
        <w:tc>
          <w:tcPr>
            <w:tcW w:w="882" w:type="dxa"/>
            <w:vAlign w:val="center"/>
          </w:tcPr>
          <w:p w:rsidR="0012144C" w:rsidRPr="0012144C" w:rsidRDefault="0012144C" w:rsidP="00C862A3">
            <w:pPr>
              <w:jc w:val="center"/>
              <w:rPr>
                <w:rFonts w:asciiTheme="minorHAnsi" w:hAnsiTheme="minorHAnsi" w:cstheme="minorHAnsi"/>
                <w:b/>
                <w:bCs/>
                <w:sz w:val="22"/>
                <w:szCs w:val="22"/>
              </w:rPr>
            </w:pPr>
            <w:r w:rsidRPr="0012144C">
              <w:rPr>
                <w:rFonts w:asciiTheme="minorHAnsi" w:hAnsiTheme="minorHAnsi" w:cstheme="minorHAnsi"/>
                <w:b/>
                <w:bCs/>
                <w:sz w:val="22"/>
                <w:szCs w:val="22"/>
              </w:rPr>
              <w:t>NT</w:t>
            </w:r>
          </w:p>
        </w:tc>
        <w:tc>
          <w:tcPr>
            <w:tcW w:w="882" w:type="dxa"/>
            <w:vAlign w:val="center"/>
          </w:tcPr>
          <w:p w:rsidR="0012144C" w:rsidRPr="0012144C" w:rsidRDefault="0012144C" w:rsidP="00C862A3">
            <w:pPr>
              <w:jc w:val="center"/>
              <w:rPr>
                <w:rFonts w:asciiTheme="minorHAnsi" w:hAnsiTheme="minorHAnsi" w:cstheme="minorHAnsi"/>
                <w:b/>
                <w:bCs/>
                <w:sz w:val="22"/>
                <w:szCs w:val="22"/>
              </w:rPr>
            </w:pPr>
            <w:r w:rsidRPr="0012144C">
              <w:rPr>
                <w:rFonts w:asciiTheme="minorHAnsi" w:hAnsiTheme="minorHAnsi" w:cstheme="minorHAnsi"/>
                <w:b/>
                <w:bCs/>
                <w:sz w:val="22"/>
                <w:szCs w:val="22"/>
              </w:rPr>
              <w:t>ACT</w:t>
            </w:r>
          </w:p>
        </w:tc>
        <w:tc>
          <w:tcPr>
            <w:tcW w:w="942" w:type="dxa"/>
            <w:tcBorders>
              <w:top w:val="single" w:sz="4" w:space="0" w:color="auto"/>
            </w:tcBorders>
            <w:vAlign w:val="center"/>
          </w:tcPr>
          <w:p w:rsidR="0012144C" w:rsidRPr="0012144C" w:rsidRDefault="0012144C" w:rsidP="00C862A3">
            <w:pPr>
              <w:jc w:val="center"/>
              <w:rPr>
                <w:rFonts w:asciiTheme="minorHAnsi" w:hAnsiTheme="minorHAnsi" w:cstheme="minorHAnsi"/>
                <w:b/>
                <w:bCs/>
                <w:sz w:val="22"/>
                <w:szCs w:val="22"/>
              </w:rPr>
            </w:pPr>
            <w:r w:rsidRPr="0012144C">
              <w:rPr>
                <w:rFonts w:asciiTheme="minorHAnsi" w:hAnsiTheme="minorHAnsi" w:cstheme="minorHAnsi"/>
                <w:b/>
                <w:bCs/>
                <w:sz w:val="22"/>
                <w:szCs w:val="22"/>
              </w:rPr>
              <w:t>Total Arrivals</w:t>
            </w:r>
          </w:p>
        </w:tc>
      </w:tr>
      <w:tr w:rsidR="0012144C" w:rsidTr="00394EAE">
        <w:tc>
          <w:tcPr>
            <w:tcW w:w="1243" w:type="dxa"/>
            <w:vAlign w:val="center"/>
          </w:tcPr>
          <w:p w:rsidR="0012144C" w:rsidRPr="0012144C" w:rsidRDefault="0012144C" w:rsidP="00C862A3">
            <w:pPr>
              <w:rPr>
                <w:rFonts w:asciiTheme="minorHAnsi" w:hAnsiTheme="minorHAnsi" w:cstheme="minorHAnsi"/>
                <w:sz w:val="22"/>
                <w:szCs w:val="22"/>
              </w:rPr>
            </w:pPr>
            <w:r w:rsidRPr="0012144C">
              <w:rPr>
                <w:rFonts w:asciiTheme="minorHAnsi" w:hAnsiTheme="minorHAnsi" w:cstheme="minorHAnsi"/>
                <w:sz w:val="22"/>
                <w:szCs w:val="22"/>
              </w:rPr>
              <w:t>NSW</w:t>
            </w:r>
          </w:p>
        </w:tc>
        <w:tc>
          <w:tcPr>
            <w:tcW w:w="883"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18</w:t>
            </w:r>
            <w:r w:rsidR="0062235A">
              <w:rPr>
                <w:rFonts w:asciiTheme="minorHAnsi" w:hAnsiTheme="minorHAnsi" w:cstheme="minorHAnsi"/>
                <w:sz w:val="22"/>
                <w:szCs w:val="22"/>
              </w:rPr>
              <w:t>,</w:t>
            </w:r>
            <w:r w:rsidRPr="0012144C">
              <w:rPr>
                <w:rFonts w:asciiTheme="minorHAnsi" w:hAnsiTheme="minorHAnsi" w:cstheme="minorHAnsi"/>
                <w:sz w:val="22"/>
                <w:szCs w:val="22"/>
              </w:rPr>
              <w:t>754</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32</w:t>
            </w:r>
            <w:r w:rsidR="0062235A">
              <w:rPr>
                <w:rFonts w:asciiTheme="minorHAnsi" w:hAnsiTheme="minorHAnsi" w:cstheme="minorHAnsi"/>
                <w:sz w:val="22"/>
                <w:szCs w:val="22"/>
              </w:rPr>
              <w:t>,</w:t>
            </w:r>
            <w:r w:rsidRPr="0012144C">
              <w:rPr>
                <w:rFonts w:asciiTheme="minorHAnsi" w:hAnsiTheme="minorHAnsi" w:cstheme="minorHAnsi"/>
                <w:sz w:val="22"/>
                <w:szCs w:val="22"/>
              </w:rPr>
              <w:t>187</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4802</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6846</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2088</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2627</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9246</w:t>
            </w:r>
          </w:p>
        </w:tc>
        <w:tc>
          <w:tcPr>
            <w:tcW w:w="94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76</w:t>
            </w:r>
            <w:r w:rsidR="0062235A">
              <w:rPr>
                <w:rFonts w:asciiTheme="minorHAnsi" w:hAnsiTheme="minorHAnsi" w:cstheme="minorHAnsi"/>
                <w:b/>
                <w:sz w:val="22"/>
                <w:szCs w:val="22"/>
              </w:rPr>
              <w:t>,</w:t>
            </w:r>
            <w:r w:rsidRPr="0012144C">
              <w:rPr>
                <w:rFonts w:asciiTheme="minorHAnsi" w:hAnsiTheme="minorHAnsi" w:cstheme="minorHAnsi"/>
                <w:b/>
                <w:sz w:val="22"/>
                <w:szCs w:val="22"/>
              </w:rPr>
              <w:t>550</w:t>
            </w:r>
          </w:p>
        </w:tc>
      </w:tr>
      <w:tr w:rsidR="0012144C" w:rsidTr="00394EAE">
        <w:tc>
          <w:tcPr>
            <w:tcW w:w="1243" w:type="dxa"/>
            <w:vAlign w:val="center"/>
          </w:tcPr>
          <w:p w:rsidR="0012144C" w:rsidRPr="0012144C" w:rsidRDefault="0012144C" w:rsidP="00C862A3">
            <w:pPr>
              <w:rPr>
                <w:rFonts w:asciiTheme="minorHAnsi" w:hAnsiTheme="minorHAnsi" w:cstheme="minorHAnsi"/>
                <w:sz w:val="22"/>
                <w:szCs w:val="22"/>
              </w:rPr>
            </w:pPr>
            <w:r w:rsidRPr="0012144C">
              <w:rPr>
                <w:rFonts w:asciiTheme="minorHAnsi" w:hAnsiTheme="minorHAnsi" w:cstheme="minorHAnsi"/>
                <w:sz w:val="22"/>
                <w:szCs w:val="22"/>
              </w:rPr>
              <w:t>VIC</w:t>
            </w:r>
          </w:p>
        </w:tc>
        <w:tc>
          <w:tcPr>
            <w:tcW w:w="883"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21</w:t>
            </w:r>
            <w:r w:rsidR="00766CBE">
              <w:rPr>
                <w:rFonts w:asciiTheme="minorHAnsi" w:hAnsiTheme="minorHAnsi" w:cstheme="minorHAnsi"/>
                <w:sz w:val="22"/>
                <w:szCs w:val="22"/>
              </w:rPr>
              <w:t>,</w:t>
            </w:r>
            <w:r w:rsidRPr="0012144C">
              <w:rPr>
                <w:rFonts w:asciiTheme="minorHAnsi" w:hAnsiTheme="minorHAnsi" w:cstheme="minorHAnsi"/>
                <w:sz w:val="22"/>
                <w:szCs w:val="22"/>
              </w:rPr>
              <w:t>964</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17</w:t>
            </w:r>
            <w:r w:rsidR="0062235A">
              <w:rPr>
                <w:rFonts w:asciiTheme="minorHAnsi" w:hAnsiTheme="minorHAnsi" w:cstheme="minorHAnsi"/>
                <w:sz w:val="22"/>
                <w:szCs w:val="22"/>
              </w:rPr>
              <w:t>,</w:t>
            </w:r>
            <w:r w:rsidRPr="0012144C">
              <w:rPr>
                <w:rFonts w:asciiTheme="minorHAnsi" w:hAnsiTheme="minorHAnsi" w:cstheme="minorHAnsi"/>
                <w:sz w:val="22"/>
                <w:szCs w:val="22"/>
              </w:rPr>
              <w:t>385</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6744</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7819</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3539</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2378</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2417</w:t>
            </w:r>
          </w:p>
        </w:tc>
        <w:tc>
          <w:tcPr>
            <w:tcW w:w="94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62</w:t>
            </w:r>
            <w:r w:rsidR="0062235A">
              <w:rPr>
                <w:rFonts w:asciiTheme="minorHAnsi" w:hAnsiTheme="minorHAnsi" w:cstheme="minorHAnsi"/>
                <w:b/>
                <w:sz w:val="22"/>
                <w:szCs w:val="22"/>
              </w:rPr>
              <w:t>,</w:t>
            </w:r>
            <w:r w:rsidRPr="0012144C">
              <w:rPr>
                <w:rFonts w:asciiTheme="minorHAnsi" w:hAnsiTheme="minorHAnsi" w:cstheme="minorHAnsi"/>
                <w:b/>
                <w:sz w:val="22"/>
                <w:szCs w:val="22"/>
              </w:rPr>
              <w:t>246</w:t>
            </w:r>
          </w:p>
        </w:tc>
      </w:tr>
      <w:tr w:rsidR="0012144C" w:rsidTr="00394EAE">
        <w:tc>
          <w:tcPr>
            <w:tcW w:w="1243" w:type="dxa"/>
            <w:vAlign w:val="center"/>
          </w:tcPr>
          <w:p w:rsidR="0012144C" w:rsidRPr="0012144C" w:rsidRDefault="0012144C" w:rsidP="00C862A3">
            <w:pPr>
              <w:rPr>
                <w:rFonts w:asciiTheme="minorHAnsi" w:hAnsiTheme="minorHAnsi" w:cstheme="minorHAnsi"/>
                <w:sz w:val="22"/>
                <w:szCs w:val="22"/>
              </w:rPr>
            </w:pPr>
            <w:r w:rsidRPr="0012144C">
              <w:rPr>
                <w:rFonts w:asciiTheme="minorHAnsi" w:hAnsiTheme="minorHAnsi" w:cstheme="minorHAnsi"/>
                <w:sz w:val="22"/>
                <w:szCs w:val="22"/>
              </w:rPr>
              <w:t>QLD</w:t>
            </w:r>
          </w:p>
        </w:tc>
        <w:tc>
          <w:tcPr>
            <w:tcW w:w="883"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41</w:t>
            </w:r>
            <w:r w:rsidR="00766CBE">
              <w:rPr>
                <w:rFonts w:asciiTheme="minorHAnsi" w:hAnsiTheme="minorHAnsi" w:cstheme="minorHAnsi"/>
                <w:sz w:val="22"/>
                <w:szCs w:val="22"/>
              </w:rPr>
              <w:t>,</w:t>
            </w:r>
            <w:r w:rsidRPr="0012144C">
              <w:rPr>
                <w:rFonts w:asciiTheme="minorHAnsi" w:hAnsiTheme="minorHAnsi" w:cstheme="minorHAnsi"/>
                <w:sz w:val="22"/>
                <w:szCs w:val="22"/>
              </w:rPr>
              <w:t>064</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18</w:t>
            </w:r>
            <w:r w:rsidR="0062235A">
              <w:rPr>
                <w:rFonts w:asciiTheme="minorHAnsi" w:hAnsiTheme="minorHAnsi" w:cstheme="minorHAnsi"/>
                <w:sz w:val="22"/>
                <w:szCs w:val="22"/>
              </w:rPr>
              <w:t>,</w:t>
            </w:r>
            <w:r w:rsidRPr="0012144C">
              <w:rPr>
                <w:rFonts w:asciiTheme="minorHAnsi" w:hAnsiTheme="minorHAnsi" w:cstheme="minorHAnsi"/>
                <w:sz w:val="22"/>
                <w:szCs w:val="22"/>
              </w:rPr>
              <w:t>635</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5894</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8220</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3406</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5247</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3127</w:t>
            </w:r>
          </w:p>
        </w:tc>
        <w:tc>
          <w:tcPr>
            <w:tcW w:w="94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85</w:t>
            </w:r>
            <w:r w:rsidR="0062235A">
              <w:rPr>
                <w:rFonts w:asciiTheme="minorHAnsi" w:hAnsiTheme="minorHAnsi" w:cstheme="minorHAnsi"/>
                <w:b/>
                <w:sz w:val="22"/>
                <w:szCs w:val="22"/>
              </w:rPr>
              <w:t>,</w:t>
            </w:r>
            <w:r w:rsidRPr="0012144C">
              <w:rPr>
                <w:rFonts w:asciiTheme="minorHAnsi" w:hAnsiTheme="minorHAnsi" w:cstheme="minorHAnsi"/>
                <w:b/>
                <w:sz w:val="22"/>
                <w:szCs w:val="22"/>
              </w:rPr>
              <w:t>593</w:t>
            </w:r>
          </w:p>
        </w:tc>
      </w:tr>
      <w:tr w:rsidR="0012144C" w:rsidTr="00394EAE">
        <w:tc>
          <w:tcPr>
            <w:tcW w:w="1243" w:type="dxa"/>
            <w:vAlign w:val="center"/>
          </w:tcPr>
          <w:p w:rsidR="0012144C" w:rsidRPr="0012144C" w:rsidRDefault="0012144C" w:rsidP="00C862A3">
            <w:pPr>
              <w:rPr>
                <w:rFonts w:asciiTheme="minorHAnsi" w:hAnsiTheme="minorHAnsi" w:cstheme="minorHAnsi"/>
                <w:sz w:val="22"/>
                <w:szCs w:val="22"/>
              </w:rPr>
            </w:pPr>
            <w:r w:rsidRPr="0012144C">
              <w:rPr>
                <w:rFonts w:asciiTheme="minorHAnsi" w:hAnsiTheme="minorHAnsi" w:cstheme="minorHAnsi"/>
                <w:sz w:val="22"/>
                <w:szCs w:val="22"/>
              </w:rPr>
              <w:t>SA</w:t>
            </w:r>
          </w:p>
        </w:tc>
        <w:tc>
          <w:tcPr>
            <w:tcW w:w="883"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4853</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5452</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4385</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2403</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645</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2145</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691</w:t>
            </w:r>
          </w:p>
        </w:tc>
        <w:tc>
          <w:tcPr>
            <w:tcW w:w="94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20</w:t>
            </w:r>
            <w:r w:rsidR="0062235A">
              <w:rPr>
                <w:rFonts w:asciiTheme="minorHAnsi" w:hAnsiTheme="minorHAnsi" w:cstheme="minorHAnsi"/>
                <w:b/>
                <w:sz w:val="22"/>
                <w:szCs w:val="22"/>
              </w:rPr>
              <w:t>,</w:t>
            </w:r>
            <w:r w:rsidRPr="0012144C">
              <w:rPr>
                <w:rFonts w:asciiTheme="minorHAnsi" w:hAnsiTheme="minorHAnsi" w:cstheme="minorHAnsi"/>
                <w:b/>
                <w:sz w:val="22"/>
                <w:szCs w:val="22"/>
              </w:rPr>
              <w:t>574</w:t>
            </w:r>
          </w:p>
        </w:tc>
      </w:tr>
      <w:tr w:rsidR="0012144C" w:rsidTr="00394EAE">
        <w:tc>
          <w:tcPr>
            <w:tcW w:w="1243" w:type="dxa"/>
            <w:vAlign w:val="center"/>
          </w:tcPr>
          <w:p w:rsidR="0012144C" w:rsidRPr="0012144C" w:rsidRDefault="0012144C" w:rsidP="00C862A3">
            <w:pPr>
              <w:rPr>
                <w:rFonts w:asciiTheme="minorHAnsi" w:hAnsiTheme="minorHAnsi" w:cstheme="minorHAnsi"/>
                <w:sz w:val="22"/>
                <w:szCs w:val="22"/>
              </w:rPr>
            </w:pPr>
            <w:r w:rsidRPr="0012144C">
              <w:rPr>
                <w:rFonts w:asciiTheme="minorHAnsi" w:hAnsiTheme="minorHAnsi" w:cstheme="minorHAnsi"/>
                <w:sz w:val="22"/>
                <w:szCs w:val="22"/>
              </w:rPr>
              <w:t>WA</w:t>
            </w:r>
          </w:p>
        </w:tc>
        <w:tc>
          <w:tcPr>
            <w:tcW w:w="883"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10</w:t>
            </w:r>
            <w:r w:rsidR="00766CBE">
              <w:rPr>
                <w:rFonts w:asciiTheme="minorHAnsi" w:hAnsiTheme="minorHAnsi" w:cstheme="minorHAnsi"/>
                <w:sz w:val="22"/>
                <w:szCs w:val="22"/>
              </w:rPr>
              <w:t>,</w:t>
            </w:r>
            <w:r w:rsidRPr="0012144C">
              <w:rPr>
                <w:rFonts w:asciiTheme="minorHAnsi" w:hAnsiTheme="minorHAnsi" w:cstheme="minorHAnsi"/>
                <w:sz w:val="22"/>
                <w:szCs w:val="22"/>
              </w:rPr>
              <w:t>457</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9980</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10</w:t>
            </w:r>
            <w:r w:rsidR="0062235A">
              <w:rPr>
                <w:rFonts w:asciiTheme="minorHAnsi" w:hAnsiTheme="minorHAnsi" w:cstheme="minorHAnsi"/>
                <w:sz w:val="22"/>
                <w:szCs w:val="22"/>
              </w:rPr>
              <w:t>,</w:t>
            </w:r>
            <w:r w:rsidRPr="0012144C">
              <w:rPr>
                <w:rFonts w:asciiTheme="minorHAnsi" w:hAnsiTheme="minorHAnsi" w:cstheme="minorHAnsi"/>
                <w:sz w:val="22"/>
                <w:szCs w:val="22"/>
              </w:rPr>
              <w:t>388</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3393</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1906</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2616</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930</w:t>
            </w:r>
          </w:p>
        </w:tc>
        <w:tc>
          <w:tcPr>
            <w:tcW w:w="94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39</w:t>
            </w:r>
            <w:r w:rsidR="0062235A">
              <w:rPr>
                <w:rFonts w:asciiTheme="minorHAnsi" w:hAnsiTheme="minorHAnsi" w:cstheme="minorHAnsi"/>
                <w:b/>
                <w:sz w:val="22"/>
                <w:szCs w:val="22"/>
              </w:rPr>
              <w:t>,</w:t>
            </w:r>
            <w:r w:rsidRPr="0012144C">
              <w:rPr>
                <w:rFonts w:asciiTheme="minorHAnsi" w:hAnsiTheme="minorHAnsi" w:cstheme="minorHAnsi"/>
                <w:b/>
                <w:sz w:val="22"/>
                <w:szCs w:val="22"/>
              </w:rPr>
              <w:t>670</w:t>
            </w:r>
          </w:p>
        </w:tc>
      </w:tr>
      <w:tr w:rsidR="0012144C" w:rsidTr="00394EAE">
        <w:tc>
          <w:tcPr>
            <w:tcW w:w="1243" w:type="dxa"/>
            <w:vAlign w:val="center"/>
          </w:tcPr>
          <w:p w:rsidR="0012144C" w:rsidRPr="0012144C" w:rsidRDefault="0012144C" w:rsidP="00C862A3">
            <w:pPr>
              <w:rPr>
                <w:rFonts w:asciiTheme="minorHAnsi" w:hAnsiTheme="minorHAnsi" w:cstheme="minorHAnsi"/>
                <w:sz w:val="22"/>
                <w:szCs w:val="22"/>
              </w:rPr>
            </w:pPr>
            <w:r w:rsidRPr="0012144C">
              <w:rPr>
                <w:rFonts w:asciiTheme="minorHAnsi" w:hAnsiTheme="minorHAnsi" w:cstheme="minorHAnsi"/>
                <w:sz w:val="22"/>
                <w:szCs w:val="22"/>
              </w:rPr>
              <w:t>TAS</w:t>
            </w:r>
          </w:p>
        </w:tc>
        <w:tc>
          <w:tcPr>
            <w:tcW w:w="883"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2000</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2403</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2634</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638</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1372</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374</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237</w:t>
            </w:r>
          </w:p>
        </w:tc>
        <w:tc>
          <w:tcPr>
            <w:tcW w:w="94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9658</w:t>
            </w:r>
          </w:p>
        </w:tc>
      </w:tr>
      <w:tr w:rsidR="0012144C" w:rsidTr="00394EAE">
        <w:tc>
          <w:tcPr>
            <w:tcW w:w="1243" w:type="dxa"/>
            <w:vAlign w:val="center"/>
          </w:tcPr>
          <w:p w:rsidR="0012144C" w:rsidRPr="0012144C" w:rsidRDefault="0012144C" w:rsidP="00C862A3">
            <w:pPr>
              <w:rPr>
                <w:rFonts w:asciiTheme="minorHAnsi" w:hAnsiTheme="minorHAnsi" w:cstheme="minorHAnsi"/>
                <w:sz w:val="22"/>
                <w:szCs w:val="22"/>
              </w:rPr>
            </w:pPr>
            <w:r w:rsidRPr="0012144C">
              <w:rPr>
                <w:rFonts w:asciiTheme="minorHAnsi" w:hAnsiTheme="minorHAnsi" w:cstheme="minorHAnsi"/>
                <w:sz w:val="22"/>
                <w:szCs w:val="22"/>
              </w:rPr>
              <w:t>NT</w:t>
            </w:r>
          </w:p>
        </w:tc>
        <w:tc>
          <w:tcPr>
            <w:tcW w:w="883"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2998</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2773</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4296</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1623</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1803</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368</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397</w:t>
            </w:r>
          </w:p>
        </w:tc>
        <w:tc>
          <w:tcPr>
            <w:tcW w:w="94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14</w:t>
            </w:r>
            <w:r w:rsidR="0062235A">
              <w:rPr>
                <w:rFonts w:asciiTheme="minorHAnsi" w:hAnsiTheme="minorHAnsi" w:cstheme="minorHAnsi"/>
                <w:b/>
                <w:sz w:val="22"/>
                <w:szCs w:val="22"/>
              </w:rPr>
              <w:t>,</w:t>
            </w:r>
            <w:r w:rsidRPr="0012144C">
              <w:rPr>
                <w:rFonts w:asciiTheme="minorHAnsi" w:hAnsiTheme="minorHAnsi" w:cstheme="minorHAnsi"/>
                <w:b/>
                <w:sz w:val="22"/>
                <w:szCs w:val="22"/>
              </w:rPr>
              <w:t>258</w:t>
            </w:r>
          </w:p>
        </w:tc>
      </w:tr>
      <w:tr w:rsidR="0012144C" w:rsidTr="00394EAE">
        <w:tc>
          <w:tcPr>
            <w:tcW w:w="1243" w:type="dxa"/>
            <w:vAlign w:val="center"/>
          </w:tcPr>
          <w:p w:rsidR="0012144C" w:rsidRPr="0012144C" w:rsidRDefault="0012144C" w:rsidP="00C862A3">
            <w:pPr>
              <w:rPr>
                <w:rFonts w:asciiTheme="minorHAnsi" w:hAnsiTheme="minorHAnsi" w:cstheme="minorHAnsi"/>
                <w:sz w:val="22"/>
                <w:szCs w:val="22"/>
              </w:rPr>
            </w:pPr>
            <w:r w:rsidRPr="0012144C">
              <w:rPr>
                <w:rFonts w:asciiTheme="minorHAnsi" w:hAnsiTheme="minorHAnsi" w:cstheme="minorHAnsi"/>
                <w:sz w:val="22"/>
                <w:szCs w:val="22"/>
              </w:rPr>
              <w:t>ACT</w:t>
            </w:r>
          </w:p>
        </w:tc>
        <w:tc>
          <w:tcPr>
            <w:tcW w:w="883"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10</w:t>
            </w:r>
            <w:r w:rsidR="00766CBE">
              <w:rPr>
                <w:rFonts w:asciiTheme="minorHAnsi" w:hAnsiTheme="minorHAnsi" w:cstheme="minorHAnsi"/>
                <w:sz w:val="22"/>
                <w:szCs w:val="22"/>
              </w:rPr>
              <w:t>,</w:t>
            </w:r>
            <w:r w:rsidRPr="0012144C">
              <w:rPr>
                <w:rFonts w:asciiTheme="minorHAnsi" w:hAnsiTheme="minorHAnsi" w:cstheme="minorHAnsi"/>
                <w:sz w:val="22"/>
                <w:szCs w:val="22"/>
              </w:rPr>
              <w:t>975</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2516</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2964</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825</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790</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356</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548</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w:t>
            </w:r>
          </w:p>
        </w:tc>
        <w:tc>
          <w:tcPr>
            <w:tcW w:w="94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18</w:t>
            </w:r>
            <w:r w:rsidR="0062235A">
              <w:rPr>
                <w:rFonts w:asciiTheme="minorHAnsi" w:hAnsiTheme="minorHAnsi" w:cstheme="minorHAnsi"/>
                <w:b/>
                <w:sz w:val="22"/>
                <w:szCs w:val="22"/>
              </w:rPr>
              <w:t>,</w:t>
            </w:r>
            <w:r w:rsidRPr="0012144C">
              <w:rPr>
                <w:rFonts w:asciiTheme="minorHAnsi" w:hAnsiTheme="minorHAnsi" w:cstheme="minorHAnsi"/>
                <w:b/>
                <w:sz w:val="22"/>
                <w:szCs w:val="22"/>
              </w:rPr>
              <w:t>974</w:t>
            </w:r>
          </w:p>
        </w:tc>
      </w:tr>
      <w:tr w:rsidR="0012144C" w:rsidTr="00394EAE">
        <w:tc>
          <w:tcPr>
            <w:tcW w:w="1243" w:type="dxa"/>
            <w:vAlign w:val="center"/>
          </w:tcPr>
          <w:p w:rsidR="0012144C" w:rsidRPr="0012144C" w:rsidRDefault="0012144C" w:rsidP="00C862A3">
            <w:pPr>
              <w:rPr>
                <w:rFonts w:asciiTheme="minorHAnsi" w:hAnsiTheme="minorHAnsi" w:cstheme="minorHAnsi"/>
                <w:b/>
                <w:sz w:val="22"/>
                <w:szCs w:val="22"/>
              </w:rPr>
            </w:pPr>
            <w:r w:rsidRPr="0012144C">
              <w:rPr>
                <w:rFonts w:asciiTheme="minorHAnsi" w:hAnsiTheme="minorHAnsi" w:cstheme="minorHAnsi"/>
                <w:b/>
                <w:sz w:val="22"/>
                <w:szCs w:val="22"/>
              </w:rPr>
              <w:t>Total Departures</w:t>
            </w:r>
          </w:p>
        </w:tc>
        <w:tc>
          <w:tcPr>
            <w:tcW w:w="883"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94</w:t>
            </w:r>
            <w:r w:rsidR="00766CBE">
              <w:rPr>
                <w:rFonts w:asciiTheme="minorHAnsi" w:hAnsiTheme="minorHAnsi" w:cstheme="minorHAnsi"/>
                <w:sz w:val="22"/>
                <w:szCs w:val="22"/>
              </w:rPr>
              <w:t>,</w:t>
            </w:r>
            <w:r w:rsidRPr="0012144C">
              <w:rPr>
                <w:rFonts w:asciiTheme="minorHAnsi" w:hAnsiTheme="minorHAnsi" w:cstheme="minorHAnsi"/>
                <w:sz w:val="22"/>
                <w:szCs w:val="22"/>
              </w:rPr>
              <w:t>311</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60</w:t>
            </w:r>
            <w:r w:rsidR="0062235A">
              <w:rPr>
                <w:rFonts w:asciiTheme="minorHAnsi" w:hAnsiTheme="minorHAnsi" w:cstheme="minorHAnsi"/>
                <w:sz w:val="22"/>
                <w:szCs w:val="22"/>
              </w:rPr>
              <w:t>,</w:t>
            </w:r>
            <w:r w:rsidRPr="0012144C">
              <w:rPr>
                <w:rFonts w:asciiTheme="minorHAnsi" w:hAnsiTheme="minorHAnsi" w:cstheme="minorHAnsi"/>
                <w:sz w:val="22"/>
                <w:szCs w:val="22"/>
              </w:rPr>
              <w:t>513</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74</w:t>
            </w:r>
            <w:r w:rsidR="0062235A">
              <w:rPr>
                <w:rFonts w:asciiTheme="minorHAnsi" w:hAnsiTheme="minorHAnsi" w:cstheme="minorHAnsi"/>
                <w:sz w:val="22"/>
                <w:szCs w:val="22"/>
              </w:rPr>
              <w:t>,</w:t>
            </w:r>
            <w:r w:rsidRPr="0012144C">
              <w:rPr>
                <w:rFonts w:asciiTheme="minorHAnsi" w:hAnsiTheme="minorHAnsi" w:cstheme="minorHAnsi"/>
                <w:sz w:val="22"/>
                <w:szCs w:val="22"/>
              </w:rPr>
              <w:t>239</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23</w:t>
            </w:r>
            <w:r w:rsidR="0062235A">
              <w:rPr>
                <w:rFonts w:asciiTheme="minorHAnsi" w:hAnsiTheme="minorHAnsi" w:cstheme="minorHAnsi"/>
                <w:sz w:val="22"/>
                <w:szCs w:val="22"/>
              </w:rPr>
              <w:t>,</w:t>
            </w:r>
            <w:r w:rsidRPr="0012144C">
              <w:rPr>
                <w:rFonts w:asciiTheme="minorHAnsi" w:hAnsiTheme="minorHAnsi" w:cstheme="minorHAnsi"/>
                <w:sz w:val="22"/>
                <w:szCs w:val="22"/>
              </w:rPr>
              <w:t>919</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29</w:t>
            </w:r>
            <w:r w:rsidR="0062235A">
              <w:rPr>
                <w:rFonts w:asciiTheme="minorHAnsi" w:hAnsiTheme="minorHAnsi" w:cstheme="minorHAnsi"/>
                <w:sz w:val="22"/>
                <w:szCs w:val="22"/>
              </w:rPr>
              <w:t>,</w:t>
            </w:r>
            <w:r w:rsidRPr="0012144C">
              <w:rPr>
                <w:rFonts w:asciiTheme="minorHAnsi" w:hAnsiTheme="minorHAnsi" w:cstheme="minorHAnsi"/>
                <w:sz w:val="22"/>
                <w:szCs w:val="22"/>
              </w:rPr>
              <w:t>253</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12</w:t>
            </w:r>
            <w:r w:rsidR="0062235A">
              <w:rPr>
                <w:rFonts w:asciiTheme="minorHAnsi" w:hAnsiTheme="minorHAnsi" w:cstheme="minorHAnsi"/>
                <w:sz w:val="22"/>
                <w:szCs w:val="22"/>
              </w:rPr>
              <w:t>,</w:t>
            </w:r>
            <w:r w:rsidRPr="0012144C">
              <w:rPr>
                <w:rFonts w:asciiTheme="minorHAnsi" w:hAnsiTheme="minorHAnsi" w:cstheme="minorHAnsi"/>
                <w:sz w:val="22"/>
                <w:szCs w:val="22"/>
              </w:rPr>
              <w:t>308</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15</w:t>
            </w:r>
            <w:r w:rsidR="0062235A">
              <w:rPr>
                <w:rFonts w:asciiTheme="minorHAnsi" w:hAnsiTheme="minorHAnsi" w:cstheme="minorHAnsi"/>
                <w:sz w:val="22"/>
                <w:szCs w:val="22"/>
              </w:rPr>
              <w:t>,</w:t>
            </w:r>
            <w:r w:rsidRPr="0012144C">
              <w:rPr>
                <w:rFonts w:asciiTheme="minorHAnsi" w:hAnsiTheme="minorHAnsi" w:cstheme="minorHAnsi"/>
                <w:sz w:val="22"/>
                <w:szCs w:val="22"/>
              </w:rPr>
              <w:t>935</w:t>
            </w:r>
          </w:p>
        </w:tc>
        <w:tc>
          <w:tcPr>
            <w:tcW w:w="882" w:type="dxa"/>
            <w:vAlign w:val="bottom"/>
          </w:tcPr>
          <w:p w:rsidR="0012144C" w:rsidRPr="0012144C" w:rsidRDefault="0012144C" w:rsidP="003539E4">
            <w:pPr>
              <w:jc w:val="center"/>
              <w:rPr>
                <w:rFonts w:asciiTheme="minorHAnsi" w:hAnsiTheme="minorHAnsi" w:cstheme="minorHAnsi"/>
                <w:sz w:val="22"/>
                <w:szCs w:val="22"/>
              </w:rPr>
            </w:pPr>
            <w:r w:rsidRPr="0012144C">
              <w:rPr>
                <w:rFonts w:asciiTheme="minorHAnsi" w:hAnsiTheme="minorHAnsi" w:cstheme="minorHAnsi"/>
                <w:sz w:val="22"/>
                <w:szCs w:val="22"/>
              </w:rPr>
              <w:t>17</w:t>
            </w:r>
            <w:r w:rsidR="0062235A">
              <w:rPr>
                <w:rFonts w:asciiTheme="minorHAnsi" w:hAnsiTheme="minorHAnsi" w:cstheme="minorHAnsi"/>
                <w:sz w:val="22"/>
                <w:szCs w:val="22"/>
              </w:rPr>
              <w:t>,</w:t>
            </w:r>
            <w:r w:rsidRPr="0012144C">
              <w:rPr>
                <w:rFonts w:asciiTheme="minorHAnsi" w:hAnsiTheme="minorHAnsi" w:cstheme="minorHAnsi"/>
                <w:sz w:val="22"/>
                <w:szCs w:val="22"/>
              </w:rPr>
              <w:t>045</w:t>
            </w:r>
          </w:p>
        </w:tc>
        <w:tc>
          <w:tcPr>
            <w:tcW w:w="94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327</w:t>
            </w:r>
            <w:r w:rsidR="0062235A">
              <w:rPr>
                <w:rFonts w:asciiTheme="minorHAnsi" w:hAnsiTheme="minorHAnsi" w:cstheme="minorHAnsi"/>
                <w:b/>
                <w:sz w:val="22"/>
                <w:szCs w:val="22"/>
              </w:rPr>
              <w:t>,</w:t>
            </w:r>
            <w:r w:rsidRPr="0012144C">
              <w:rPr>
                <w:rFonts w:asciiTheme="minorHAnsi" w:hAnsiTheme="minorHAnsi" w:cstheme="minorHAnsi"/>
                <w:b/>
                <w:sz w:val="22"/>
                <w:szCs w:val="22"/>
              </w:rPr>
              <w:t>523</w:t>
            </w:r>
          </w:p>
        </w:tc>
      </w:tr>
      <w:tr w:rsidR="0012144C" w:rsidTr="00394EAE">
        <w:tc>
          <w:tcPr>
            <w:tcW w:w="1243" w:type="dxa"/>
            <w:vAlign w:val="center"/>
          </w:tcPr>
          <w:p w:rsidR="0012144C" w:rsidRPr="0012144C" w:rsidRDefault="0012144C" w:rsidP="00C862A3">
            <w:pPr>
              <w:rPr>
                <w:rFonts w:asciiTheme="minorHAnsi" w:hAnsiTheme="minorHAnsi" w:cstheme="minorHAnsi"/>
                <w:b/>
                <w:bCs/>
                <w:sz w:val="22"/>
                <w:szCs w:val="22"/>
              </w:rPr>
            </w:pPr>
            <w:r w:rsidRPr="0012144C">
              <w:rPr>
                <w:rFonts w:asciiTheme="minorHAnsi" w:hAnsiTheme="minorHAnsi" w:cstheme="minorHAnsi"/>
                <w:b/>
                <w:bCs/>
                <w:sz w:val="22"/>
                <w:szCs w:val="22"/>
              </w:rPr>
              <w:t>Net gain/loss</w:t>
            </w:r>
          </w:p>
        </w:tc>
        <w:tc>
          <w:tcPr>
            <w:tcW w:w="883"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-17</w:t>
            </w:r>
            <w:r w:rsidR="00766CBE">
              <w:rPr>
                <w:rFonts w:asciiTheme="minorHAnsi" w:hAnsiTheme="minorHAnsi" w:cstheme="minorHAnsi"/>
                <w:b/>
                <w:sz w:val="22"/>
                <w:szCs w:val="22"/>
              </w:rPr>
              <w:t>,</w:t>
            </w:r>
            <w:r w:rsidRPr="0012144C">
              <w:rPr>
                <w:rFonts w:asciiTheme="minorHAnsi" w:hAnsiTheme="minorHAnsi" w:cstheme="minorHAnsi"/>
                <w:b/>
                <w:sz w:val="22"/>
                <w:szCs w:val="22"/>
              </w:rPr>
              <w:t>761</w:t>
            </w:r>
          </w:p>
        </w:tc>
        <w:tc>
          <w:tcPr>
            <w:tcW w:w="88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1733</w:t>
            </w:r>
          </w:p>
        </w:tc>
        <w:tc>
          <w:tcPr>
            <w:tcW w:w="88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11</w:t>
            </w:r>
            <w:r w:rsidR="0062235A">
              <w:rPr>
                <w:rFonts w:asciiTheme="minorHAnsi" w:hAnsiTheme="minorHAnsi" w:cstheme="minorHAnsi"/>
                <w:b/>
                <w:sz w:val="22"/>
                <w:szCs w:val="22"/>
              </w:rPr>
              <w:t>,</w:t>
            </w:r>
            <w:r w:rsidRPr="0012144C">
              <w:rPr>
                <w:rFonts w:asciiTheme="minorHAnsi" w:hAnsiTheme="minorHAnsi" w:cstheme="minorHAnsi"/>
                <w:b/>
                <w:sz w:val="22"/>
                <w:szCs w:val="22"/>
              </w:rPr>
              <w:t>354</w:t>
            </w:r>
          </w:p>
        </w:tc>
        <w:tc>
          <w:tcPr>
            <w:tcW w:w="88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-3345</w:t>
            </w:r>
          </w:p>
        </w:tc>
        <w:tc>
          <w:tcPr>
            <w:tcW w:w="88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10</w:t>
            </w:r>
            <w:r w:rsidR="0062235A">
              <w:rPr>
                <w:rFonts w:asciiTheme="minorHAnsi" w:hAnsiTheme="minorHAnsi" w:cstheme="minorHAnsi"/>
                <w:b/>
                <w:sz w:val="22"/>
                <w:szCs w:val="22"/>
              </w:rPr>
              <w:t>,</w:t>
            </w:r>
            <w:r w:rsidRPr="0012144C">
              <w:rPr>
                <w:rFonts w:asciiTheme="minorHAnsi" w:hAnsiTheme="minorHAnsi" w:cstheme="minorHAnsi"/>
                <w:b/>
                <w:sz w:val="22"/>
                <w:szCs w:val="22"/>
              </w:rPr>
              <w:t>417</w:t>
            </w:r>
          </w:p>
        </w:tc>
        <w:tc>
          <w:tcPr>
            <w:tcW w:w="88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-2650</w:t>
            </w:r>
          </w:p>
        </w:tc>
        <w:tc>
          <w:tcPr>
            <w:tcW w:w="88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-1677</w:t>
            </w:r>
          </w:p>
        </w:tc>
        <w:tc>
          <w:tcPr>
            <w:tcW w:w="88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1929</w:t>
            </w:r>
          </w:p>
        </w:tc>
        <w:tc>
          <w:tcPr>
            <w:tcW w:w="942" w:type="dxa"/>
            <w:vAlign w:val="bottom"/>
          </w:tcPr>
          <w:p w:rsidR="0012144C" w:rsidRPr="0012144C" w:rsidRDefault="0012144C" w:rsidP="003539E4">
            <w:pPr>
              <w:jc w:val="center"/>
              <w:rPr>
                <w:rFonts w:asciiTheme="minorHAnsi" w:hAnsiTheme="minorHAnsi" w:cstheme="minorHAnsi"/>
                <w:b/>
                <w:sz w:val="22"/>
                <w:szCs w:val="22"/>
              </w:rPr>
            </w:pPr>
            <w:r w:rsidRPr="0012144C">
              <w:rPr>
                <w:rFonts w:asciiTheme="minorHAnsi" w:hAnsiTheme="minorHAnsi" w:cstheme="minorHAnsi"/>
                <w:b/>
                <w:sz w:val="22"/>
                <w:szCs w:val="22"/>
              </w:rPr>
              <w:t>-</w:t>
            </w:r>
          </w:p>
        </w:tc>
      </w:tr>
    </w:tbl>
    <w:p w:rsidR="00E51A72" w:rsidRPr="00AC3C79" w:rsidRDefault="00E51A72" w:rsidP="00AC3C79">
      <w:pPr>
        <w:spacing w:after="0" w:line="240" w:lineRule="auto"/>
        <w:rPr>
          <w:rFonts w:ascii="Calibri" w:hAnsi="Calibri" w:cs="Calibri"/>
          <w:sz w:val="18"/>
          <w:szCs w:val="18"/>
        </w:rPr>
      </w:pPr>
      <w:r w:rsidRPr="00AC3C79">
        <w:rPr>
          <w:rFonts w:ascii="Calibri" w:hAnsi="Calibri" w:cs="Calibri"/>
          <w:sz w:val="18"/>
          <w:szCs w:val="18"/>
        </w:rPr>
        <w:t xml:space="preserve">Source: ABS Australian Demographics Statistics </w:t>
      </w:r>
      <w:r w:rsidR="00035CB0" w:rsidRPr="00AC3C79">
        <w:rPr>
          <w:rFonts w:ascii="Calibri" w:hAnsi="Calibri" w:cs="Calibri"/>
          <w:sz w:val="18"/>
          <w:szCs w:val="18"/>
        </w:rPr>
        <w:t>(Cat. No. 3101.0), December 2012</w:t>
      </w:r>
      <w:r w:rsidRPr="00AC3C79">
        <w:rPr>
          <w:rFonts w:ascii="Calibri" w:hAnsi="Calibri" w:cs="Calibri"/>
          <w:sz w:val="18"/>
          <w:szCs w:val="18"/>
        </w:rPr>
        <w:t>, Quarterly Interstate Migration by States and Territories of Arrival and Departure by Sex datacube.</w:t>
      </w:r>
      <w:r w:rsidR="007F76D9" w:rsidRPr="00AC3C79">
        <w:rPr>
          <w:rFonts w:ascii="Calibri" w:hAnsi="Calibri" w:cs="Calibri"/>
          <w:sz w:val="18"/>
          <w:szCs w:val="18"/>
        </w:rPr>
        <w:t xml:space="preserve"> Data presented in the table are the latest available by calendar year.</w:t>
      </w:r>
      <w:r w:rsidR="005D476F" w:rsidRPr="00AC3C79">
        <w:rPr>
          <w:rFonts w:ascii="Calibri" w:hAnsi="Calibri" w:cs="Calibri"/>
          <w:sz w:val="18"/>
          <w:szCs w:val="18"/>
        </w:rPr>
        <w:t xml:space="preserve"> </w:t>
      </w:r>
      <w:r w:rsidRPr="00AC3C79">
        <w:rPr>
          <w:rFonts w:ascii="Calibri" w:hAnsi="Calibri" w:cs="Calibri"/>
          <w:sz w:val="18"/>
          <w:szCs w:val="18"/>
        </w:rPr>
        <w:t>Note: Negative figures indicate a net loss, that is, more people departed from the state than arrived.</w:t>
      </w:r>
    </w:p>
    <w:p w:rsidR="005D476F" w:rsidRPr="00A432F0" w:rsidRDefault="005D476F" w:rsidP="005D476F">
      <w:pPr>
        <w:pStyle w:val="CABNETParagraphAtt"/>
        <w:spacing w:before="0" w:after="0"/>
        <w:rPr>
          <w:rFonts w:asciiTheme="minorHAnsi" w:hAnsiTheme="minorHAnsi"/>
          <w:sz w:val="18"/>
          <w:szCs w:val="18"/>
        </w:rPr>
      </w:pPr>
    </w:p>
    <w:p w:rsidR="00E51A72" w:rsidRPr="00E51A72" w:rsidRDefault="00E51A72" w:rsidP="002E5631">
      <w:pPr>
        <w:spacing w:after="240" w:line="240" w:lineRule="auto"/>
      </w:pPr>
      <w:r w:rsidRPr="00E51A72">
        <w:t xml:space="preserve">Western Australia’s share of total interstate migration prior to 2007 was relatively stable ranging from 7.6 per cent to 9.7 per cent in the period from 1987 to 2006. However, in recent years it has increased, albeit slightly, </w:t>
      </w:r>
      <w:r w:rsidRPr="00E423E3">
        <w:t>from 10.3 per cent in 2007 to 1</w:t>
      </w:r>
      <w:r w:rsidR="00BC1C2F" w:rsidRPr="00E423E3">
        <w:t>2</w:t>
      </w:r>
      <w:r w:rsidRPr="00E423E3">
        <w:t>.</w:t>
      </w:r>
      <w:r w:rsidR="00BC1C2F" w:rsidRPr="00E423E3">
        <w:t>1</w:t>
      </w:r>
      <w:r w:rsidRPr="00E423E3">
        <w:t xml:space="preserve"> per cent in 201</w:t>
      </w:r>
      <w:r w:rsidR="00BC1C2F" w:rsidRPr="00E423E3">
        <w:t>2</w:t>
      </w:r>
      <w:r w:rsidR="00660185" w:rsidRPr="00E423E3">
        <w:t xml:space="preserve">. </w:t>
      </w:r>
      <w:r w:rsidRPr="00E423E3">
        <w:t>Australian</w:t>
      </w:r>
      <w:r w:rsidRPr="00E51A72">
        <w:t xml:space="preserve"> Bureau of Statistics data also shows that NIM to Western Australia broadly follows the state’s economic growth rate. This relationship is less evident among the other states and territories.</w:t>
      </w:r>
    </w:p>
    <w:p w:rsidR="00E51A72" w:rsidRPr="00E51A72" w:rsidRDefault="00E51A72" w:rsidP="002E5631">
      <w:pPr>
        <w:spacing w:after="240" w:line="240" w:lineRule="auto"/>
      </w:pPr>
      <w:r w:rsidRPr="00E51A72">
        <w:t xml:space="preserve">There is some fly-in fly-out occurring from other states that is not measured in migration data, but even taking this into account, the net number of workers and people coming into Western Australia from other states is small compared with overseas migration. </w:t>
      </w:r>
      <w:r w:rsidR="009829FA">
        <w:t>For example, over the five years to December 2012, average annual net overseas migration (NOM) to Western Australia was 41,449 – more than six times greater than NIM. Over the same period, NOM to Queensland was 45,651 per annum – more than four times greater than NIM.</w:t>
      </w:r>
    </w:p>
    <w:p w:rsidR="00037FDC" w:rsidRPr="00E51A72" w:rsidRDefault="00E51A72" w:rsidP="002E5631">
      <w:pPr>
        <w:spacing w:after="240" w:line="240" w:lineRule="auto"/>
      </w:pPr>
      <w:r w:rsidRPr="00E51A72">
        <w:t xml:space="preserve">The Australian Bureau of Statistics migration data presented in this section relate to the movement of all individuals, and therefore overstate the flows by those who are of working age and those who are active in the labour force. </w:t>
      </w:r>
    </w:p>
    <w:p w:rsidR="00E51A72" w:rsidRPr="002653E2" w:rsidRDefault="00E51A72" w:rsidP="00E3010D">
      <w:pPr>
        <w:pStyle w:val="Heading2"/>
        <w:rPr>
          <w:b w:val="0"/>
        </w:rPr>
      </w:pPr>
      <w:bookmarkStart w:id="13" w:name="_Toc384202085"/>
      <w:r w:rsidRPr="002653E2">
        <w:t>Job, occupational and industrial mobility</w:t>
      </w:r>
      <w:bookmarkEnd w:id="13"/>
    </w:p>
    <w:p w:rsidR="00E51A72" w:rsidRDefault="00E51A72" w:rsidP="00B63C1C">
      <w:pPr>
        <w:spacing w:after="240" w:line="240" w:lineRule="auto"/>
      </w:pPr>
      <w:r w:rsidRPr="00E51A72">
        <w:t>In addition to geographic mobility, there are other forms of labour mobility including job, occupational and industry mobility. As with geographic mobility, the aforementioned forms of mobility are important in allocating labour to its optimal use</w:t>
      </w:r>
      <w:r w:rsidR="00EC4EE7">
        <w:t>. They are also</w:t>
      </w:r>
      <w:r w:rsidR="00B63C1C">
        <w:t xml:space="preserve"> interrelated, both with each other and with geographic mobility. An individual who changes occupations may also change industries and geographic regions; or they may only change occupation; or they may change geographic region and industry but remain in the same occupation (for example, an engineer could move from construction work in New South Wales to the Mining sector in Western Australia without changing occupation).</w:t>
      </w:r>
      <w:r w:rsidR="00EC4EE7">
        <w:t xml:space="preserve"> A recent paper from the RBA</w:t>
      </w:r>
      <w:r w:rsidR="00793FDB">
        <w:rPr>
          <w:rStyle w:val="FootnoteReference"/>
        </w:rPr>
        <w:footnoteReference w:id="6"/>
      </w:r>
      <w:r w:rsidR="00EC4EE7">
        <w:t xml:space="preserve"> showed that there is a strong correlation between changing occupation and changing industry. While around 50 per cent of job movements involve workers changing industry, the likelihood of a change of occupation is much higher where the industry of employment also changes.</w:t>
      </w:r>
    </w:p>
    <w:p w:rsidR="00B63C1C" w:rsidRDefault="00B63C1C" w:rsidP="00B63C1C">
      <w:pPr>
        <w:spacing w:after="240" w:line="240" w:lineRule="auto"/>
      </w:pPr>
      <w:r>
        <w:lastRenderedPageBreak/>
        <w:t xml:space="preserve">We do not propose to provide detailed information on these other types of mobility in our submission, as this material is readily available to the </w:t>
      </w:r>
      <w:r w:rsidR="00793FDB">
        <w:t>Commission</w:t>
      </w:r>
      <w:r>
        <w:t xml:space="preserve"> and is somewhat tangential to the main focus of the submission. However, we do note that to the degree that there are constraints on geographic mobility, they can limit</w:t>
      </w:r>
      <w:r w:rsidR="00651205">
        <w:t xml:space="preserve"> the capacity for people </w:t>
      </w:r>
      <w:r>
        <w:t xml:space="preserve">to change occupations and industries in response to </w:t>
      </w:r>
      <w:r w:rsidR="00651205">
        <w:t xml:space="preserve">structural change. Similarly, barriers to changing occupation and industry (such as a lack of </w:t>
      </w:r>
      <w:r w:rsidR="00EC4EE7">
        <w:t>basic</w:t>
      </w:r>
      <w:r w:rsidR="00651205">
        <w:t xml:space="preserve"> skills</w:t>
      </w:r>
      <w:r w:rsidR="00EC4EE7">
        <w:t xml:space="preserve"> and education</w:t>
      </w:r>
      <w:r w:rsidR="00651205">
        <w:t>) can restrict geographic mobility as well.</w:t>
      </w:r>
    </w:p>
    <w:p w:rsidR="00B62DA8" w:rsidRPr="00A432F0" w:rsidRDefault="00B62DA8" w:rsidP="00B63C1C">
      <w:pPr>
        <w:spacing w:after="240" w:line="240" w:lineRule="auto"/>
        <w:rPr>
          <w:rFonts w:cstheme="minorHAnsi"/>
          <w:sz w:val="18"/>
          <w:szCs w:val="18"/>
        </w:rPr>
      </w:pPr>
      <w:r>
        <w:t>With respect to the effectiveness of structural adjustment program</w:t>
      </w:r>
      <w:r w:rsidR="00E303F9">
        <w:t>me</w:t>
      </w:r>
      <w:r w:rsidR="00DF1EF0">
        <w:t>s</w:t>
      </w:r>
      <w:r>
        <w:t>, the Depart</w:t>
      </w:r>
      <w:r w:rsidR="00793FDB">
        <w:t>ment of Employment notes the Commission’</w:t>
      </w:r>
      <w:r>
        <w:t xml:space="preserve">s draft recommendation that calls for </w:t>
      </w:r>
      <w:r w:rsidRPr="00227F73">
        <w:rPr>
          <w:i/>
        </w:rPr>
        <w:t>“all governments, when developing structural adjustment programs, should ensure they are properly evaluated including how they promote or hinder geographic</w:t>
      </w:r>
      <w:r w:rsidR="00FF655A">
        <w:rPr>
          <w:i/>
        </w:rPr>
        <w:t xml:space="preserve"> labour</w:t>
      </w:r>
      <w:r w:rsidRPr="00227F73">
        <w:rPr>
          <w:i/>
        </w:rPr>
        <w:t xml:space="preserve"> mobility. For example, this should apply to the programs announced by the Australian and Victoria</w:t>
      </w:r>
      <w:r w:rsidR="00FF655A">
        <w:rPr>
          <w:i/>
        </w:rPr>
        <w:t>n</w:t>
      </w:r>
      <w:r w:rsidRPr="00227F73">
        <w:rPr>
          <w:i/>
        </w:rPr>
        <w:t xml:space="preserve"> Governments in response to the Ford closure in Victoria. A longitudinal study of the retrenched Ford workers would be particularly beneficial in understanding the long-term impacts of structural adjustment and its implications for geographic labour mobility”</w:t>
      </w:r>
      <w:r>
        <w:t xml:space="preserve"> (Recommendation 10.1). The Department of Employment </w:t>
      </w:r>
      <w:r w:rsidR="00AC1B6A">
        <w:t>is supportive</w:t>
      </w:r>
      <w:r>
        <w:t xml:space="preserve"> of this recommendation as it would help build the evidence base on where retrenched </w:t>
      </w:r>
      <w:r w:rsidR="00B91614">
        <w:t xml:space="preserve">workers are moving from/to as well as shed further light on </w:t>
      </w:r>
      <w:r w:rsidR="008E71B3">
        <w:t xml:space="preserve">other forms of labour </w:t>
      </w:r>
      <w:r w:rsidR="00B91614">
        <w:t>mobility</w:t>
      </w:r>
      <w:r>
        <w:t>.</w:t>
      </w:r>
    </w:p>
    <w:p w:rsidR="002653E2" w:rsidRPr="00974BC0" w:rsidRDefault="00974BC0" w:rsidP="00E3010D">
      <w:pPr>
        <w:pStyle w:val="Heading1"/>
        <w:rPr>
          <w:rFonts w:cstheme="minorHAnsi"/>
          <w:b w:val="0"/>
        </w:rPr>
      </w:pPr>
      <w:bookmarkStart w:id="14" w:name="_Toc384202086"/>
      <w:r w:rsidRPr="00C3047A">
        <w:rPr>
          <w:rFonts w:cstheme="minorHAnsi"/>
        </w:rPr>
        <w:t>3.</w:t>
      </w:r>
      <w:r w:rsidRPr="00C3047A">
        <w:rPr>
          <w:rFonts w:cstheme="minorHAnsi"/>
        </w:rPr>
        <w:tab/>
      </w:r>
      <w:r w:rsidR="002653E2" w:rsidRPr="00C3047A">
        <w:rPr>
          <w:rFonts w:cstheme="minorHAnsi"/>
        </w:rPr>
        <w:t>POLICIES AND PROGRAM</w:t>
      </w:r>
      <w:r w:rsidR="00E303F9">
        <w:rPr>
          <w:rFonts w:cstheme="minorHAnsi"/>
        </w:rPr>
        <w:t>ME</w:t>
      </w:r>
      <w:r w:rsidR="002653E2" w:rsidRPr="00C3047A">
        <w:rPr>
          <w:rFonts w:cstheme="minorHAnsi"/>
        </w:rPr>
        <w:t>S</w:t>
      </w:r>
      <w:bookmarkEnd w:id="14"/>
    </w:p>
    <w:p w:rsidR="00D45701" w:rsidRDefault="00216D61" w:rsidP="002E5631">
      <w:pPr>
        <w:spacing w:after="240" w:line="240" w:lineRule="auto"/>
        <w:rPr>
          <w:highlight w:val="green"/>
        </w:rPr>
      </w:pPr>
      <w:r w:rsidRPr="00E51A72">
        <w:t xml:space="preserve">The </w:t>
      </w:r>
      <w:r w:rsidR="00614613">
        <w:t xml:space="preserve">Australian </w:t>
      </w:r>
      <w:r w:rsidRPr="00E51A72">
        <w:t xml:space="preserve">Government has a </w:t>
      </w:r>
      <w:r w:rsidR="004B3927">
        <w:t xml:space="preserve">wide </w:t>
      </w:r>
      <w:r w:rsidRPr="00E51A72">
        <w:t xml:space="preserve">range of </w:t>
      </w:r>
      <w:r w:rsidR="00614613">
        <w:t xml:space="preserve">policies </w:t>
      </w:r>
      <w:r w:rsidR="00C710DC">
        <w:t>and program</w:t>
      </w:r>
      <w:r w:rsidR="00E303F9">
        <w:t>me</w:t>
      </w:r>
      <w:r w:rsidR="00C710DC">
        <w:t>s which influence</w:t>
      </w:r>
      <w:r w:rsidR="00614613">
        <w:t xml:space="preserve"> geographic labour mobility</w:t>
      </w:r>
      <w:r w:rsidR="004B3927">
        <w:t xml:space="preserve">, directly or indirectly. </w:t>
      </w:r>
      <w:r w:rsidR="00FD5D6C">
        <w:t xml:space="preserve">Within the </w:t>
      </w:r>
      <w:r w:rsidR="000C5AC0">
        <w:t>Employment</w:t>
      </w:r>
      <w:r w:rsidR="00DD4202">
        <w:t xml:space="preserve"> </w:t>
      </w:r>
      <w:r w:rsidR="00FD5D6C">
        <w:t xml:space="preserve">portfolio, </w:t>
      </w:r>
      <w:r w:rsidR="004B3927">
        <w:t xml:space="preserve">there is </w:t>
      </w:r>
      <w:r w:rsidR="00EC4EE7">
        <w:t xml:space="preserve">job search assistance through employment services, </w:t>
      </w:r>
      <w:r w:rsidR="004B3927">
        <w:t xml:space="preserve">labour </w:t>
      </w:r>
      <w:r w:rsidR="00EC4EE7">
        <w:t>activation strategies</w:t>
      </w:r>
      <w:r w:rsidR="004B3927">
        <w:t>,</w:t>
      </w:r>
      <w:r w:rsidR="00EC4EE7">
        <w:t xml:space="preserve"> and pilot program</w:t>
      </w:r>
      <w:r w:rsidR="00E303F9">
        <w:t>me</w:t>
      </w:r>
      <w:r w:rsidR="00EC4EE7">
        <w:t xml:space="preserve">s to </w:t>
      </w:r>
      <w:r w:rsidR="00787FBF">
        <w:t xml:space="preserve">support </w:t>
      </w:r>
      <w:r w:rsidR="00EC4EE7">
        <w:t>labour mobility.</w:t>
      </w:r>
      <w:r w:rsidR="00DD4202">
        <w:t xml:space="preserve"> </w:t>
      </w:r>
      <w:r w:rsidR="0083094C">
        <w:t xml:space="preserve">More broadly, the workplace relations system can also </w:t>
      </w:r>
      <w:r w:rsidR="004B3927">
        <w:t>affect p</w:t>
      </w:r>
      <w:r w:rsidR="0083094C">
        <w:t xml:space="preserve">eople’s </w:t>
      </w:r>
      <w:r w:rsidR="004B3927">
        <w:t>mobility decisions</w:t>
      </w:r>
      <w:r w:rsidR="0083094C">
        <w:t xml:space="preserve">. </w:t>
      </w:r>
      <w:r w:rsidR="00C61E59">
        <w:t>This section discusses some of these policies and program</w:t>
      </w:r>
      <w:r w:rsidR="00E303F9">
        <w:t>me</w:t>
      </w:r>
      <w:r w:rsidR="00C61E59">
        <w:t xml:space="preserve">s. </w:t>
      </w:r>
    </w:p>
    <w:p w:rsidR="00D45701" w:rsidRPr="00D45701" w:rsidRDefault="00D45701" w:rsidP="00E3010D">
      <w:pPr>
        <w:pStyle w:val="Heading2"/>
        <w:rPr>
          <w:b w:val="0"/>
        </w:rPr>
      </w:pPr>
      <w:bookmarkStart w:id="15" w:name="_Toc384202087"/>
      <w:r w:rsidRPr="003204E6">
        <w:t>Employment services and labour activation strategies</w:t>
      </w:r>
      <w:bookmarkEnd w:id="15"/>
      <w:r w:rsidRPr="003204E6">
        <w:t xml:space="preserve"> </w:t>
      </w:r>
    </w:p>
    <w:p w:rsidR="00524C84" w:rsidRPr="00974BC0" w:rsidRDefault="00D37EF3" w:rsidP="00A432F0">
      <w:pPr>
        <w:spacing w:after="240" w:line="240" w:lineRule="auto"/>
      </w:pPr>
      <w:r>
        <w:t xml:space="preserve">The Australian </w:t>
      </w:r>
      <w:r w:rsidR="00390884">
        <w:t>G</w:t>
      </w:r>
      <w:r>
        <w:t>overnment’s employment serv</w:t>
      </w:r>
      <w:r w:rsidR="00C61E59">
        <w:t>ice</w:t>
      </w:r>
      <w:r>
        <w:t xml:space="preserve"> systems, including Job Services Australia (JSA), Disability Employment Services (DES) and the Remote Jobs and Communities Program (RJCP) can support labour mobility by helping job seekers to access job opportunities in other regions and by encouraging them to think more broadly about employment opportunities. Activation policies, such as the participation requirements attached to working age payments </w:t>
      </w:r>
      <w:r w:rsidR="00C61E59">
        <w:t xml:space="preserve">like </w:t>
      </w:r>
      <w:r>
        <w:t xml:space="preserve">Newstart Allowance (NSA), Parenting Payment and Youth Allowance can also </w:t>
      </w:r>
      <w:r w:rsidR="00C61E59">
        <w:t xml:space="preserve">affect </w:t>
      </w:r>
      <w:r>
        <w:t xml:space="preserve">labour mobility, by encouraging people to seek employment with greater urgency, and giving people stronger incentives to find jobs. </w:t>
      </w:r>
    </w:p>
    <w:p w:rsidR="00AF6919" w:rsidRPr="00974BC0" w:rsidRDefault="00390884" w:rsidP="00390884">
      <w:pPr>
        <w:spacing w:after="120" w:line="240" w:lineRule="auto"/>
        <w:contextualSpacing/>
        <w:rPr>
          <w:rFonts w:cstheme="minorHAnsi"/>
        </w:rPr>
      </w:pPr>
      <w:r>
        <w:rPr>
          <w:rFonts w:cstheme="minorHAnsi"/>
        </w:rPr>
        <w:t xml:space="preserve">Within the Employment portfolio, </w:t>
      </w:r>
      <w:r w:rsidR="00AF6919" w:rsidRPr="00974BC0">
        <w:rPr>
          <w:rFonts w:cstheme="minorHAnsi"/>
        </w:rPr>
        <w:t>JSA provid</w:t>
      </w:r>
      <w:r>
        <w:rPr>
          <w:rFonts w:cstheme="minorHAnsi"/>
        </w:rPr>
        <w:t xml:space="preserve">es </w:t>
      </w:r>
      <w:r w:rsidR="00AF6919" w:rsidRPr="00974BC0">
        <w:rPr>
          <w:rFonts w:cstheme="minorHAnsi"/>
        </w:rPr>
        <w:t>flexible and tailored support to job seekers to help them find a job locally or elsewhere. Key JSA services include matching people with jobs to optimise the use of their skills or develop new skills which are in demand, supporting job seekers</w:t>
      </w:r>
      <w:r w:rsidR="00C61E59">
        <w:rPr>
          <w:rFonts w:cstheme="minorHAnsi"/>
        </w:rPr>
        <w:t xml:space="preserve"> (</w:t>
      </w:r>
      <w:r w:rsidR="00AF6919" w:rsidRPr="00974BC0">
        <w:rPr>
          <w:rFonts w:cstheme="minorHAnsi"/>
        </w:rPr>
        <w:t>especially those who are job ready</w:t>
      </w:r>
      <w:r w:rsidR="00C61E59">
        <w:rPr>
          <w:rFonts w:cstheme="minorHAnsi"/>
        </w:rPr>
        <w:t>)</w:t>
      </w:r>
      <w:r w:rsidR="00AF6919" w:rsidRPr="00974BC0">
        <w:rPr>
          <w:rFonts w:cstheme="minorHAnsi"/>
        </w:rPr>
        <w:t xml:space="preserve"> to move to areas of high labour demand and assisting employers to find staff to meet their recruitment needs. </w:t>
      </w:r>
    </w:p>
    <w:p w:rsidR="00AF6919" w:rsidRPr="00C52F12" w:rsidRDefault="00C61E59" w:rsidP="00E3010D">
      <w:pPr>
        <w:pStyle w:val="Heading3"/>
        <w:rPr>
          <w:rFonts w:cstheme="minorHAnsi"/>
        </w:rPr>
      </w:pPr>
      <w:bookmarkStart w:id="16" w:name="_Toc384202088"/>
      <w:r w:rsidRPr="00C52F12">
        <w:rPr>
          <w:rFonts w:cstheme="minorHAnsi"/>
        </w:rPr>
        <w:t>JSA a</w:t>
      </w:r>
      <w:r w:rsidR="00AF6919" w:rsidRPr="00C52F12">
        <w:rPr>
          <w:rFonts w:cstheme="minorHAnsi"/>
        </w:rPr>
        <w:t>ssistance</w:t>
      </w:r>
      <w:bookmarkEnd w:id="16"/>
    </w:p>
    <w:p w:rsidR="00AF6919" w:rsidRPr="003204E6" w:rsidRDefault="00AF6919" w:rsidP="003204E6">
      <w:pPr>
        <w:spacing w:after="240" w:line="240" w:lineRule="auto"/>
      </w:pPr>
      <w:r w:rsidRPr="003204E6">
        <w:t xml:space="preserve">A key feature of JSA is its emphasis on the needs of the most disadvantaged job seekers. </w:t>
      </w:r>
      <w:r w:rsidR="00DD4202">
        <w:t xml:space="preserve">The </w:t>
      </w:r>
      <w:r w:rsidRPr="003204E6">
        <w:t>JSA streaming process captures the extra disadvantages job seekers may face, and the level of servicing and funding increase from Stream 1 for the more job ready job seekers up to Stream 4 for the most highly disadvantaged job seekers (</w:t>
      </w:r>
      <w:r w:rsidR="00C61E59">
        <w:t xml:space="preserve">for example, </w:t>
      </w:r>
      <w:r w:rsidRPr="003204E6">
        <w:t>long</w:t>
      </w:r>
      <w:r w:rsidR="00C61E59">
        <w:t>-</w:t>
      </w:r>
      <w:r w:rsidRPr="003204E6">
        <w:t xml:space="preserve">term unemployed job seekers with multiple vocational and non-vocational barriers). </w:t>
      </w:r>
    </w:p>
    <w:p w:rsidR="00AF6919" w:rsidRPr="003204E6" w:rsidRDefault="00C61E59" w:rsidP="003204E6">
      <w:pPr>
        <w:spacing w:after="240" w:line="240" w:lineRule="auto"/>
      </w:pPr>
      <w:r>
        <w:t xml:space="preserve">For example, </w:t>
      </w:r>
      <w:r w:rsidR="00AF6919" w:rsidRPr="003204E6">
        <w:t>Stream 1 Limited services under JSA</w:t>
      </w:r>
      <w:r>
        <w:t xml:space="preserve"> </w:t>
      </w:r>
      <w:r w:rsidR="00AF6919" w:rsidRPr="003204E6">
        <w:t>provide assistance in the preparation of a resume, and information on job opportunities, including the types of industries that need more workers, and access to job search facilities.</w:t>
      </w:r>
    </w:p>
    <w:p w:rsidR="00AF6919" w:rsidRPr="00974BC0" w:rsidRDefault="00AF6919" w:rsidP="003204E6">
      <w:pPr>
        <w:spacing w:after="240" w:line="240" w:lineRule="auto"/>
      </w:pPr>
      <w:r w:rsidRPr="00974BC0">
        <w:lastRenderedPageBreak/>
        <w:t xml:space="preserve">All job seekers receive a minimum service from JSA involving job search advice and labour market information. For example, newly arrived migrants with a right to work in Australia are generally eligible for limited JSA services. JSA providers are rewarded through outcome payments and performance ratings (known as star ratings) when they place people into sustainable jobs. </w:t>
      </w:r>
    </w:p>
    <w:p w:rsidR="00AF6919" w:rsidRPr="00974BC0" w:rsidRDefault="00AF6919" w:rsidP="003204E6">
      <w:pPr>
        <w:spacing w:after="240" w:line="240" w:lineRule="auto"/>
      </w:pPr>
      <w:r w:rsidRPr="00974BC0">
        <w:t xml:space="preserve">JSA providers are expected to have expertise on employment conditions within their local Employment Service Areas (ESA), particularly in relation to job opportunities for disadvantaged job seekers on their caseload. Providers liaise with local employers, training providers and community organisations and can draw on research published by </w:t>
      </w:r>
      <w:r w:rsidR="00F34536">
        <w:t xml:space="preserve">the Department </w:t>
      </w:r>
      <w:r w:rsidRPr="00974BC0">
        <w:t>and other organisations on regional labour market conditions.</w:t>
      </w:r>
    </w:p>
    <w:p w:rsidR="00AF6919" w:rsidRPr="00974BC0" w:rsidRDefault="00AF6919" w:rsidP="003204E6">
      <w:pPr>
        <w:spacing w:after="240" w:line="240" w:lineRule="auto"/>
      </w:pPr>
      <w:r w:rsidRPr="00974BC0">
        <w:t>Providers are able to use the Employment Pathway Fund (EPF) to purchase assistance which helps eligible job seekers gain employment. The EPF can be used to cover some or all of the costs eligible job seekers incur travelling to attend job interviews, as well as relocation expenses to take up positions located outside their local region. The fund can also be used to purchase relevant training courses, work-related clothing and equipment</w:t>
      </w:r>
      <w:r w:rsidR="00C61E59">
        <w:t>,</w:t>
      </w:r>
      <w:r w:rsidRPr="00974BC0">
        <w:t xml:space="preserve"> as well as personal support services.</w:t>
      </w:r>
    </w:p>
    <w:p w:rsidR="00AF6919" w:rsidRPr="00974BC0" w:rsidRDefault="00AF6919" w:rsidP="003204E6">
      <w:pPr>
        <w:spacing w:after="240" w:line="240" w:lineRule="auto"/>
      </w:pPr>
      <w:r w:rsidRPr="00974BC0">
        <w:t>Centrelink delivers Job Seeker Workshops for those with activity test requirements who live in one of 40 selected areas, are in their first 13 weeks of unemployment and have been assessed as job ready. The workshops help to guide job seekers in their job search by giving them the opportunity to discuss such topics as local labour market opportunities, job search techniques, out-of-area employment opportunities and skills that are in demand.</w:t>
      </w:r>
    </w:p>
    <w:p w:rsidR="00AF6919" w:rsidRPr="00C52F12" w:rsidRDefault="00C61E59" w:rsidP="00E3010D">
      <w:pPr>
        <w:pStyle w:val="Heading3"/>
        <w:rPr>
          <w:rFonts w:cstheme="minorHAnsi"/>
        </w:rPr>
      </w:pPr>
      <w:bookmarkStart w:id="17" w:name="_Toc384202089"/>
      <w:r w:rsidRPr="00C52F12">
        <w:rPr>
          <w:rFonts w:cstheme="minorHAnsi"/>
        </w:rPr>
        <w:t>Activation s</w:t>
      </w:r>
      <w:r w:rsidR="00AF6919" w:rsidRPr="00C52F12">
        <w:rPr>
          <w:rFonts w:cstheme="minorHAnsi"/>
        </w:rPr>
        <w:t>trategy</w:t>
      </w:r>
      <w:bookmarkEnd w:id="17"/>
    </w:p>
    <w:p w:rsidR="00AF6919" w:rsidRPr="003204E6" w:rsidRDefault="00AF6919" w:rsidP="003204E6">
      <w:pPr>
        <w:spacing w:after="240" w:line="240" w:lineRule="auto"/>
      </w:pPr>
      <w:r w:rsidRPr="003204E6">
        <w:t xml:space="preserve">Government assistance for job seekers is underpinned by an activation strategy </w:t>
      </w:r>
      <w:r w:rsidR="00DF6DC2">
        <w:t xml:space="preserve">which has </w:t>
      </w:r>
      <w:r w:rsidRPr="003204E6">
        <w:t>three key elements:</w:t>
      </w:r>
    </w:p>
    <w:p w:rsidR="00AF6919" w:rsidRPr="00974BC0" w:rsidRDefault="00AF6919" w:rsidP="00AF6919">
      <w:pPr>
        <w:pStyle w:val="ListParagraph"/>
        <w:numPr>
          <w:ilvl w:val="0"/>
          <w:numId w:val="21"/>
        </w:numPr>
        <w:spacing w:after="120"/>
        <w:rPr>
          <w:rFonts w:asciiTheme="minorHAnsi" w:hAnsiTheme="minorHAnsi" w:cstheme="minorHAnsi"/>
          <w:sz w:val="22"/>
          <w:szCs w:val="22"/>
        </w:rPr>
      </w:pPr>
      <w:r w:rsidRPr="00974BC0">
        <w:rPr>
          <w:rFonts w:asciiTheme="minorHAnsi" w:hAnsiTheme="minorHAnsi" w:cstheme="minorHAnsi"/>
          <w:sz w:val="22"/>
          <w:szCs w:val="22"/>
        </w:rPr>
        <w:t xml:space="preserve">incentives to work - working age income support which </w:t>
      </w:r>
      <w:r w:rsidR="00DD4202">
        <w:rPr>
          <w:rFonts w:asciiTheme="minorHAnsi" w:hAnsiTheme="minorHAnsi" w:cstheme="minorHAnsi"/>
          <w:sz w:val="22"/>
          <w:szCs w:val="22"/>
        </w:rPr>
        <w:t>covers</w:t>
      </w:r>
      <w:r w:rsidR="00DD4202" w:rsidRPr="00974BC0">
        <w:rPr>
          <w:rFonts w:asciiTheme="minorHAnsi" w:hAnsiTheme="minorHAnsi" w:cstheme="minorHAnsi"/>
          <w:sz w:val="22"/>
          <w:szCs w:val="22"/>
        </w:rPr>
        <w:t xml:space="preserve"> </w:t>
      </w:r>
      <w:r w:rsidRPr="00974BC0">
        <w:rPr>
          <w:rFonts w:asciiTheme="minorHAnsi" w:hAnsiTheme="minorHAnsi" w:cstheme="minorHAnsi"/>
          <w:sz w:val="22"/>
          <w:szCs w:val="22"/>
        </w:rPr>
        <w:t>basic living expenses</w:t>
      </w:r>
      <w:r w:rsidR="00DD4202">
        <w:rPr>
          <w:rFonts w:asciiTheme="minorHAnsi" w:hAnsiTheme="minorHAnsi" w:cstheme="minorHAnsi"/>
          <w:sz w:val="22"/>
          <w:szCs w:val="22"/>
        </w:rPr>
        <w:t xml:space="preserve"> and is appropriately means-tested to contain costs,</w:t>
      </w:r>
      <w:r w:rsidRPr="00974BC0">
        <w:rPr>
          <w:rFonts w:asciiTheme="minorHAnsi" w:hAnsiTheme="minorHAnsi" w:cstheme="minorHAnsi"/>
          <w:sz w:val="22"/>
          <w:szCs w:val="22"/>
        </w:rPr>
        <w:t xml:space="preserve"> </w:t>
      </w:r>
      <w:r w:rsidR="00DD4202">
        <w:rPr>
          <w:rFonts w:asciiTheme="minorHAnsi" w:hAnsiTheme="minorHAnsi" w:cstheme="minorHAnsi"/>
          <w:sz w:val="22"/>
          <w:szCs w:val="22"/>
        </w:rPr>
        <w:t>but ensures individuals have</w:t>
      </w:r>
      <w:r w:rsidR="00DD4202" w:rsidRPr="00974BC0">
        <w:rPr>
          <w:rFonts w:asciiTheme="minorHAnsi" w:hAnsiTheme="minorHAnsi" w:cstheme="minorHAnsi"/>
          <w:sz w:val="22"/>
          <w:szCs w:val="22"/>
        </w:rPr>
        <w:t xml:space="preserve"> </w:t>
      </w:r>
      <w:r w:rsidR="00DD4202">
        <w:rPr>
          <w:rFonts w:asciiTheme="minorHAnsi" w:hAnsiTheme="minorHAnsi" w:cstheme="minorHAnsi"/>
          <w:sz w:val="22"/>
          <w:szCs w:val="22"/>
        </w:rPr>
        <w:t>a financial incentive</w:t>
      </w:r>
      <w:r w:rsidRPr="00974BC0">
        <w:rPr>
          <w:rFonts w:asciiTheme="minorHAnsi" w:hAnsiTheme="minorHAnsi" w:cstheme="minorHAnsi"/>
          <w:sz w:val="22"/>
          <w:szCs w:val="22"/>
        </w:rPr>
        <w:t xml:space="preserve"> to take-up paid work;</w:t>
      </w:r>
    </w:p>
    <w:p w:rsidR="00AF6919" w:rsidRPr="00974BC0" w:rsidRDefault="00AF6919" w:rsidP="00AF6919">
      <w:pPr>
        <w:pStyle w:val="ListParagraph"/>
        <w:numPr>
          <w:ilvl w:val="0"/>
          <w:numId w:val="21"/>
        </w:numPr>
        <w:spacing w:after="120"/>
        <w:rPr>
          <w:rFonts w:asciiTheme="minorHAnsi" w:hAnsiTheme="minorHAnsi" w:cstheme="minorHAnsi"/>
          <w:sz w:val="22"/>
          <w:szCs w:val="22"/>
        </w:rPr>
      </w:pPr>
      <w:r w:rsidRPr="00974BC0">
        <w:rPr>
          <w:rFonts w:asciiTheme="minorHAnsi" w:hAnsiTheme="minorHAnsi" w:cstheme="minorHAnsi"/>
          <w:sz w:val="22"/>
          <w:szCs w:val="22"/>
        </w:rPr>
        <w:t>obligations to look for work</w:t>
      </w:r>
      <w:r w:rsidR="00BB3A25">
        <w:rPr>
          <w:rFonts w:asciiTheme="minorHAnsi" w:hAnsiTheme="minorHAnsi" w:cstheme="minorHAnsi"/>
          <w:sz w:val="22"/>
          <w:szCs w:val="22"/>
        </w:rPr>
        <w:t xml:space="preserve"> </w:t>
      </w:r>
      <w:r w:rsidRPr="00974BC0">
        <w:rPr>
          <w:rFonts w:asciiTheme="minorHAnsi" w:hAnsiTheme="minorHAnsi" w:cstheme="minorHAnsi"/>
          <w:sz w:val="22"/>
          <w:szCs w:val="22"/>
        </w:rPr>
        <w:t xml:space="preserve">- in return for receiving unemployment benefits, job seekers are required to </w:t>
      </w:r>
      <w:r w:rsidR="00DD4202">
        <w:rPr>
          <w:rFonts w:asciiTheme="minorHAnsi" w:hAnsiTheme="minorHAnsi" w:cstheme="minorHAnsi"/>
          <w:sz w:val="22"/>
          <w:szCs w:val="22"/>
        </w:rPr>
        <w:t>seek employment</w:t>
      </w:r>
      <w:r w:rsidRPr="00974BC0">
        <w:rPr>
          <w:rFonts w:asciiTheme="minorHAnsi" w:hAnsiTheme="minorHAnsi" w:cstheme="minorHAnsi"/>
          <w:sz w:val="22"/>
          <w:szCs w:val="22"/>
        </w:rPr>
        <w:t xml:space="preserve"> and participate in employment program</w:t>
      </w:r>
      <w:r w:rsidR="00E303F9">
        <w:rPr>
          <w:rFonts w:asciiTheme="minorHAnsi" w:hAnsiTheme="minorHAnsi" w:cstheme="minorHAnsi"/>
          <w:sz w:val="22"/>
          <w:szCs w:val="22"/>
        </w:rPr>
        <w:t>me</w:t>
      </w:r>
      <w:r w:rsidRPr="00974BC0">
        <w:rPr>
          <w:rFonts w:asciiTheme="minorHAnsi" w:hAnsiTheme="minorHAnsi" w:cstheme="minorHAnsi"/>
          <w:sz w:val="22"/>
          <w:szCs w:val="22"/>
        </w:rPr>
        <w:t xml:space="preserve">s; and </w:t>
      </w:r>
    </w:p>
    <w:p w:rsidR="00AF6919" w:rsidRPr="00974BC0" w:rsidRDefault="00AF6919" w:rsidP="00AF6919">
      <w:pPr>
        <w:pStyle w:val="ListParagraph"/>
        <w:numPr>
          <w:ilvl w:val="0"/>
          <w:numId w:val="21"/>
        </w:numPr>
        <w:spacing w:after="120"/>
        <w:rPr>
          <w:rFonts w:asciiTheme="minorHAnsi" w:hAnsiTheme="minorHAnsi" w:cstheme="minorHAnsi"/>
          <w:sz w:val="22"/>
          <w:szCs w:val="22"/>
        </w:rPr>
      </w:pPr>
      <w:r w:rsidRPr="00974BC0">
        <w:rPr>
          <w:rFonts w:asciiTheme="minorHAnsi" w:hAnsiTheme="minorHAnsi" w:cstheme="minorHAnsi"/>
          <w:sz w:val="22"/>
          <w:szCs w:val="22"/>
        </w:rPr>
        <w:t>assistance to find work</w:t>
      </w:r>
      <w:r w:rsidR="00BB3A25">
        <w:rPr>
          <w:rFonts w:asciiTheme="minorHAnsi" w:hAnsiTheme="minorHAnsi" w:cstheme="minorHAnsi"/>
          <w:sz w:val="22"/>
          <w:szCs w:val="22"/>
        </w:rPr>
        <w:t xml:space="preserve"> </w:t>
      </w:r>
      <w:r w:rsidRPr="00974BC0">
        <w:rPr>
          <w:rFonts w:asciiTheme="minorHAnsi" w:hAnsiTheme="minorHAnsi" w:cstheme="minorHAnsi"/>
          <w:sz w:val="22"/>
          <w:szCs w:val="22"/>
        </w:rPr>
        <w:t xml:space="preserve">- individually tailored and flexible employment assistance to help improve skills and experience to find work. </w:t>
      </w:r>
    </w:p>
    <w:p w:rsidR="00AF6919" w:rsidRPr="003204E6" w:rsidRDefault="00AF6919" w:rsidP="003204E6">
      <w:pPr>
        <w:spacing w:after="240" w:line="240" w:lineRule="auto"/>
      </w:pPr>
      <w:r w:rsidRPr="003204E6">
        <w:t xml:space="preserve">Working </w:t>
      </w:r>
      <w:r w:rsidR="00C74829">
        <w:t>together,</w:t>
      </w:r>
      <w:r w:rsidRPr="003204E6">
        <w:t xml:space="preserve"> these three elements ensure that unemployment is only a temporary and not a permanent destination. For example, job seekers receiving income support are quickly connected to a JSA</w:t>
      </w:r>
      <w:r w:rsidR="00DD4202">
        <w:t xml:space="preserve"> provider</w:t>
      </w:r>
      <w:r w:rsidRPr="003204E6">
        <w:t xml:space="preserve"> and are required to attend an interview with their provider before any income support is payable. Once in JSA, job seekers are expected to remain continuously connected with a JSA provider until they find suitable employment. The receipt of benefits is conditional upon availability for work, active job search requirements and participation in employment services. Providers and Centrelink both monitor job seeker</w:t>
      </w:r>
      <w:r w:rsidR="00347DDC">
        <w:t>s’</w:t>
      </w:r>
      <w:r w:rsidRPr="003204E6">
        <w:t xml:space="preserve"> job search activities and there is an accompanying compliance framework, which emphasises participation and engagement. This involves penalties for connection and reconnection failures and eight-week non-payment periods for serious failures such as refusing a suitable job offer without a reasonable excuse.</w:t>
      </w:r>
    </w:p>
    <w:p w:rsidR="00E07A59" w:rsidRPr="00C52F12" w:rsidRDefault="00E07A59" w:rsidP="00E07A59">
      <w:pPr>
        <w:pStyle w:val="Heading3"/>
      </w:pPr>
      <w:bookmarkStart w:id="18" w:name="_Toc364327103"/>
      <w:bookmarkStart w:id="19" w:name="_Toc384202090"/>
      <w:r w:rsidRPr="00C52F12">
        <w:t>Mobility and employment service areas</w:t>
      </w:r>
      <w:bookmarkEnd w:id="18"/>
      <w:bookmarkEnd w:id="19"/>
    </w:p>
    <w:p w:rsidR="00E07A59" w:rsidRPr="00BE6A8E" w:rsidRDefault="00C74829" w:rsidP="00E07A59">
      <w:pPr>
        <w:spacing w:after="240" w:line="240" w:lineRule="auto"/>
      </w:pPr>
      <w:r>
        <w:t xml:space="preserve">The </w:t>
      </w:r>
      <w:r w:rsidR="00E07A59" w:rsidRPr="00BE6A8E">
        <w:t>employment services contract offers financial incentives for placing job seekers into lasting employment</w:t>
      </w:r>
      <w:r>
        <w:t>. Associated p</w:t>
      </w:r>
      <w:r w:rsidR="00E07A59" w:rsidRPr="00BE6A8E">
        <w:t xml:space="preserve">erformance measures for employment service providers were modified in January 2013 to ensure that job seekers who have relocated for work are accounted for in the calculation of star ratings. Star ratings affect the business share of JSA providers and therefore </w:t>
      </w:r>
      <w:r w:rsidR="00E07A59" w:rsidRPr="00BE6A8E">
        <w:lastRenderedPageBreak/>
        <w:t>influence their behaviour. It will further encourage JSA providers to also look outside their local labour markets for job opportunities.</w:t>
      </w:r>
    </w:p>
    <w:p w:rsidR="00E07A59" w:rsidRPr="00BE6A8E" w:rsidRDefault="00E07A59" w:rsidP="00E07A59">
      <w:pPr>
        <w:spacing w:after="240" w:line="240" w:lineRule="auto"/>
      </w:pPr>
      <w:r w:rsidRPr="00BE6A8E">
        <w:t>While contracts are designed around 116 Employment Service Areas (ESAs), there is no barrier in the JSA model to placing people in jobs in other areas. However, out-of-area placements do not attract higher outcome payments than comparable</w:t>
      </w:r>
      <w:r w:rsidR="004A7E09">
        <w:t xml:space="preserve"> in-area placements. There are 8</w:t>
      </w:r>
      <w:r w:rsidRPr="00BE6A8E">
        <w:t xml:space="preserve">8 JSA provider organisations, with 26 operating in only one ESA. </w:t>
      </w:r>
    </w:p>
    <w:p w:rsidR="00E07A59" w:rsidRPr="00C74829" w:rsidRDefault="00E07A59" w:rsidP="00C74829">
      <w:pPr>
        <w:spacing w:after="240" w:line="240" w:lineRule="auto"/>
      </w:pPr>
      <w:r w:rsidRPr="00BE6A8E">
        <w:t>In the period between the introduction of JSA on 1 July 2009 and 30 Ju</w:t>
      </w:r>
      <w:r w:rsidR="00C74829">
        <w:t>ne 2013, JSA providers made 1.6</w:t>
      </w:r>
      <w:r w:rsidRPr="00BE6A8E">
        <w:t xml:space="preserve"> m</w:t>
      </w:r>
      <w:r w:rsidR="00C74829">
        <w:t>illion job placements. Only 5.3</w:t>
      </w:r>
      <w:r w:rsidRPr="00BE6A8E">
        <w:t xml:space="preserve"> per cent of these placements were made outside of the relevant Labour Market Region (LMR). Approximately half of these out-of-L</w:t>
      </w:r>
      <w:r w:rsidR="00C74829">
        <w:t>MR placements (representing 2.3 </w:t>
      </w:r>
      <w:r w:rsidRPr="00BE6A8E">
        <w:t>per cent of the total number of placements) involved th</w:t>
      </w:r>
      <w:r w:rsidR="00C74829">
        <w:t>e job seeker moving interstate.</w:t>
      </w:r>
    </w:p>
    <w:p w:rsidR="00E07A59" w:rsidRPr="00C52F12" w:rsidRDefault="00E07A59" w:rsidP="00E07A59">
      <w:pPr>
        <w:pStyle w:val="Heading3"/>
      </w:pPr>
      <w:bookmarkStart w:id="20" w:name="_Toc364327104"/>
      <w:bookmarkStart w:id="21" w:name="_Toc384202091"/>
      <w:r w:rsidRPr="00C52F12">
        <w:t>Use of the Employment Pathway Fund to support geographic mobility</w:t>
      </w:r>
      <w:bookmarkEnd w:id="20"/>
      <w:bookmarkEnd w:id="21"/>
    </w:p>
    <w:p w:rsidR="00E07A59" w:rsidRPr="00BE6A8E" w:rsidRDefault="00E07A59" w:rsidP="00E07A59">
      <w:pPr>
        <w:spacing w:after="240" w:line="240" w:lineRule="auto"/>
      </w:pPr>
      <w:r w:rsidRPr="00BE6A8E">
        <w:t xml:space="preserve">From 1 July 2009 to 30 June 2013, JSA providers spent more than $3.2 million from the EPF on items and services classified under the category of Relocation Assistance. This represents 0.2 per cent of the total EPF expenditure over this period. </w:t>
      </w:r>
    </w:p>
    <w:p w:rsidR="00E07A59" w:rsidRPr="00BE6A8E" w:rsidRDefault="002C3FF1" w:rsidP="00E07A59">
      <w:pPr>
        <w:spacing w:after="240" w:line="240" w:lineRule="auto"/>
      </w:pPr>
      <w:r w:rsidRPr="002C3FF1">
        <w:t>The EPF expenditure on Relocation Assistance has helped at least 5645 job seekers to relocate in order to take up an employment opportunity. In addition, there are also several other EPF categories which potentially could have also been used by providers to assist job seekers with relocation expenses (such as Tools and Equipment, Transport, Licensing Assistance and Wage Subsidies).</w:t>
      </w:r>
    </w:p>
    <w:p w:rsidR="009E4729" w:rsidRPr="00E07A59" w:rsidRDefault="00E07A59" w:rsidP="00E07A59">
      <w:pPr>
        <w:spacing w:after="240" w:line="240" w:lineRule="auto"/>
        <w:rPr>
          <w:highlight w:val="cyan"/>
        </w:rPr>
      </w:pPr>
      <w:r w:rsidRPr="00BE6A8E">
        <w:t>JSA providers tend not to use the Employment Pathway Fund to offer significant relocation assistance to job seekers, due to competing demands on the Fund</w:t>
      </w:r>
      <w:r w:rsidR="002C3FF1">
        <w:t xml:space="preserve"> </w:t>
      </w:r>
      <w:r w:rsidR="002C3FF1" w:rsidRPr="002C3FF1">
        <w:t>and a greater priority to assist more disadvantaged job seekers in need of assistance to address their barriers to finding and keeping a job</w:t>
      </w:r>
      <w:r w:rsidRPr="00BE6A8E">
        <w:t>.</w:t>
      </w:r>
      <w:r w:rsidR="00BB3A25">
        <w:t xml:space="preserve"> </w:t>
      </w:r>
    </w:p>
    <w:p w:rsidR="00CD753F" w:rsidRPr="00C52F12" w:rsidRDefault="00CD753F" w:rsidP="00E3010D">
      <w:pPr>
        <w:pStyle w:val="Heading3"/>
      </w:pPr>
      <w:bookmarkStart w:id="22" w:name="_Toc384202092"/>
      <w:r w:rsidRPr="00C52F12">
        <w:t>The mobility of income support recipients</w:t>
      </w:r>
      <w:bookmarkEnd w:id="22"/>
      <w:r w:rsidRPr="00C52F12">
        <w:t xml:space="preserve"> </w:t>
      </w:r>
    </w:p>
    <w:p w:rsidR="00CD753F" w:rsidRPr="00011AA5" w:rsidRDefault="00011AA5" w:rsidP="00CD753F">
      <w:pPr>
        <w:spacing w:after="240" w:line="240" w:lineRule="auto"/>
      </w:pPr>
      <w:r>
        <w:t xml:space="preserve">As discussed, income support recipients are typically subject to activation requirements. These vary from requirements to seek full-time work for able-bodied, single job seekers, to part-time participation requirements for those with barriers to employment or caring responsibilities. Job seekers who fail to comply with their participation requirements are subject to sanctions through the income support system. This includes those who refuse to take up jobs when they are available. Data on the annual number of income support recipients subject to ‘serious failures’ for refusing or failing to commence suitable work is in Table </w:t>
      </w:r>
      <w:r w:rsidR="00C74829">
        <w:t>9</w:t>
      </w:r>
      <w:r>
        <w:t xml:space="preserve">. </w:t>
      </w:r>
    </w:p>
    <w:p w:rsidR="00CB7285" w:rsidRDefault="00CB7285">
      <w:pPr>
        <w:rPr>
          <w:rFonts w:eastAsia="Times New Roman" w:cstheme="minorHAnsi"/>
          <w:b/>
          <w:szCs w:val="24"/>
          <w:lang w:eastAsia="en-AU"/>
        </w:rPr>
      </w:pPr>
      <w:r>
        <w:rPr>
          <w:rFonts w:cstheme="minorHAnsi"/>
          <w:b/>
        </w:rPr>
        <w:br w:type="page"/>
      </w:r>
    </w:p>
    <w:p w:rsidR="00011AA5" w:rsidRPr="001D0425" w:rsidRDefault="00011AA5" w:rsidP="001D0425">
      <w:pPr>
        <w:pStyle w:val="CABNETParagraphAtt"/>
        <w:keepNext/>
        <w:spacing w:before="0" w:after="0"/>
        <w:rPr>
          <w:rFonts w:asciiTheme="minorHAnsi" w:hAnsiTheme="minorHAnsi" w:cstheme="minorHAnsi"/>
          <w:b/>
        </w:rPr>
      </w:pPr>
      <w:r w:rsidRPr="001D0425">
        <w:rPr>
          <w:rFonts w:asciiTheme="minorHAnsi" w:hAnsiTheme="minorHAnsi" w:cstheme="minorHAnsi"/>
          <w:b/>
        </w:rPr>
        <w:lastRenderedPageBreak/>
        <w:t xml:space="preserve">Table </w:t>
      </w:r>
      <w:r w:rsidR="00C74829" w:rsidRPr="001D0425">
        <w:rPr>
          <w:rFonts w:asciiTheme="minorHAnsi" w:hAnsiTheme="minorHAnsi" w:cstheme="minorHAnsi"/>
          <w:b/>
        </w:rPr>
        <w:t>9</w:t>
      </w:r>
      <w:r w:rsidRPr="001D0425">
        <w:rPr>
          <w:rFonts w:asciiTheme="minorHAnsi" w:hAnsiTheme="minorHAnsi" w:cstheme="minorHAnsi"/>
          <w:b/>
        </w:rPr>
        <w:t>: Applied serious failures for refusing or failing to commence suitable work 2009-2013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9"/>
        <w:gridCol w:w="882"/>
        <w:gridCol w:w="1071"/>
        <w:gridCol w:w="835"/>
        <w:gridCol w:w="1071"/>
        <w:gridCol w:w="883"/>
        <w:gridCol w:w="1071"/>
        <w:gridCol w:w="883"/>
        <w:gridCol w:w="1071"/>
      </w:tblGrid>
      <w:tr w:rsidR="00011AA5" w:rsidRPr="00011AA5" w:rsidTr="00BB22A8">
        <w:trPr>
          <w:trHeight w:val="305"/>
        </w:trPr>
        <w:tc>
          <w:tcPr>
            <w:tcW w:w="1319" w:type="dxa"/>
            <w:tcBorders>
              <w:top w:val="nil"/>
              <w:left w:val="nil"/>
              <w:bottom w:val="single" w:sz="4" w:space="0" w:color="auto"/>
              <w:right w:val="single" w:sz="4" w:space="0" w:color="auto"/>
            </w:tcBorders>
            <w:tcMar>
              <w:top w:w="0" w:type="dxa"/>
              <w:left w:w="30" w:type="dxa"/>
              <w:bottom w:w="0" w:type="dxa"/>
              <w:right w:w="30" w:type="dxa"/>
            </w:tcMar>
          </w:tcPr>
          <w:p w:rsidR="00011AA5" w:rsidRPr="00385CDE" w:rsidRDefault="00011AA5" w:rsidP="00385CDE">
            <w:pPr>
              <w:spacing w:after="0" w:line="240" w:lineRule="auto"/>
              <w:rPr>
                <w:rFonts w:cstheme="minorHAnsi"/>
              </w:rPr>
            </w:pPr>
          </w:p>
        </w:tc>
        <w:tc>
          <w:tcPr>
            <w:tcW w:w="1953" w:type="dxa"/>
            <w:gridSpan w:val="2"/>
            <w:tcBorders>
              <w:left w:val="single" w:sz="4" w:space="0" w:color="auto"/>
            </w:tcBorders>
            <w:tcMar>
              <w:top w:w="0" w:type="dxa"/>
              <w:left w:w="30" w:type="dxa"/>
              <w:bottom w:w="0" w:type="dxa"/>
              <w:right w:w="30" w:type="dxa"/>
            </w:tcMar>
            <w:hideMark/>
          </w:tcPr>
          <w:p w:rsidR="00011AA5" w:rsidRPr="00385CDE" w:rsidRDefault="00011AA5" w:rsidP="00385CDE">
            <w:pPr>
              <w:spacing w:after="0" w:line="240" w:lineRule="auto"/>
              <w:jc w:val="center"/>
              <w:rPr>
                <w:rFonts w:cstheme="minorHAnsi"/>
                <w:b/>
              </w:rPr>
            </w:pPr>
            <w:r w:rsidRPr="00385CDE">
              <w:rPr>
                <w:rFonts w:cstheme="minorHAnsi"/>
                <w:b/>
              </w:rPr>
              <w:t>2009-10 FY</w:t>
            </w:r>
          </w:p>
        </w:tc>
        <w:tc>
          <w:tcPr>
            <w:tcW w:w="1906" w:type="dxa"/>
            <w:gridSpan w:val="2"/>
            <w:tcMar>
              <w:top w:w="0" w:type="dxa"/>
              <w:left w:w="30" w:type="dxa"/>
              <w:bottom w:w="0" w:type="dxa"/>
              <w:right w:w="30" w:type="dxa"/>
            </w:tcMar>
            <w:hideMark/>
          </w:tcPr>
          <w:p w:rsidR="00011AA5" w:rsidRPr="00385CDE" w:rsidRDefault="00011AA5" w:rsidP="00385CDE">
            <w:pPr>
              <w:spacing w:after="0" w:line="240" w:lineRule="auto"/>
              <w:jc w:val="center"/>
              <w:rPr>
                <w:rFonts w:cstheme="minorHAnsi"/>
                <w:b/>
              </w:rPr>
            </w:pPr>
            <w:r w:rsidRPr="00385CDE">
              <w:rPr>
                <w:rFonts w:cstheme="minorHAnsi"/>
                <w:b/>
              </w:rPr>
              <w:t>2010-11 FY</w:t>
            </w:r>
          </w:p>
        </w:tc>
        <w:tc>
          <w:tcPr>
            <w:tcW w:w="1954" w:type="dxa"/>
            <w:gridSpan w:val="2"/>
            <w:tcMar>
              <w:top w:w="0" w:type="dxa"/>
              <w:left w:w="30" w:type="dxa"/>
              <w:bottom w:w="0" w:type="dxa"/>
              <w:right w:w="30" w:type="dxa"/>
            </w:tcMar>
            <w:hideMark/>
          </w:tcPr>
          <w:p w:rsidR="00011AA5" w:rsidRPr="00385CDE" w:rsidRDefault="00011AA5" w:rsidP="00385CDE">
            <w:pPr>
              <w:spacing w:after="0" w:line="240" w:lineRule="auto"/>
              <w:jc w:val="center"/>
              <w:rPr>
                <w:rFonts w:cstheme="minorHAnsi"/>
                <w:b/>
              </w:rPr>
            </w:pPr>
            <w:r w:rsidRPr="00385CDE">
              <w:rPr>
                <w:rFonts w:cstheme="minorHAnsi"/>
                <w:b/>
              </w:rPr>
              <w:t>2011-12 FY</w:t>
            </w:r>
          </w:p>
        </w:tc>
        <w:tc>
          <w:tcPr>
            <w:tcW w:w="1954" w:type="dxa"/>
            <w:gridSpan w:val="2"/>
            <w:tcMar>
              <w:top w:w="0" w:type="dxa"/>
              <w:left w:w="30" w:type="dxa"/>
              <w:bottom w:w="0" w:type="dxa"/>
              <w:right w:w="30" w:type="dxa"/>
            </w:tcMar>
            <w:hideMark/>
          </w:tcPr>
          <w:p w:rsidR="00011AA5" w:rsidRPr="00385CDE" w:rsidRDefault="00011AA5" w:rsidP="00385CDE">
            <w:pPr>
              <w:spacing w:after="0" w:line="240" w:lineRule="auto"/>
              <w:jc w:val="center"/>
              <w:rPr>
                <w:rFonts w:cstheme="minorHAnsi"/>
                <w:b/>
              </w:rPr>
            </w:pPr>
            <w:r w:rsidRPr="00385CDE">
              <w:rPr>
                <w:rFonts w:cstheme="minorHAnsi"/>
                <w:b/>
              </w:rPr>
              <w:t>2012-13 FY*</w:t>
            </w:r>
          </w:p>
        </w:tc>
      </w:tr>
      <w:tr w:rsidR="00011AA5" w:rsidRPr="00011AA5" w:rsidTr="00BB22A8">
        <w:trPr>
          <w:trHeight w:val="305"/>
        </w:trPr>
        <w:tc>
          <w:tcPr>
            <w:tcW w:w="1319" w:type="dxa"/>
            <w:tcBorders>
              <w:top w:val="single" w:sz="4" w:space="0" w:color="auto"/>
            </w:tcBorders>
            <w:tcMar>
              <w:top w:w="0" w:type="dxa"/>
              <w:left w:w="30" w:type="dxa"/>
              <w:bottom w:w="0" w:type="dxa"/>
              <w:right w:w="30" w:type="dxa"/>
            </w:tcMar>
            <w:hideMark/>
          </w:tcPr>
          <w:p w:rsidR="00011AA5" w:rsidRPr="00DC179A" w:rsidRDefault="00011AA5" w:rsidP="00385CDE">
            <w:pPr>
              <w:spacing w:after="0" w:line="240" w:lineRule="auto"/>
              <w:rPr>
                <w:rFonts w:cstheme="minorHAnsi"/>
                <w:b/>
              </w:rPr>
            </w:pPr>
            <w:r w:rsidRPr="00DC179A">
              <w:rPr>
                <w:rFonts w:cstheme="minorHAnsi"/>
                <w:b/>
              </w:rPr>
              <w:t>Allowance Type</w:t>
            </w:r>
          </w:p>
        </w:tc>
        <w:tc>
          <w:tcPr>
            <w:tcW w:w="882" w:type="dxa"/>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Failures</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Jobseekers</w:t>
            </w:r>
          </w:p>
        </w:tc>
        <w:tc>
          <w:tcPr>
            <w:tcW w:w="835"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Failures</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Jobseekers</w:t>
            </w:r>
          </w:p>
        </w:tc>
        <w:tc>
          <w:tcPr>
            <w:tcW w:w="883"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Failures</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Jobseekers</w:t>
            </w:r>
          </w:p>
        </w:tc>
        <w:tc>
          <w:tcPr>
            <w:tcW w:w="883"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Failures</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Jobseekers</w:t>
            </w:r>
          </w:p>
        </w:tc>
      </w:tr>
      <w:tr w:rsidR="00011AA5" w:rsidRPr="00011AA5" w:rsidTr="001D0425">
        <w:trPr>
          <w:trHeight w:val="305"/>
        </w:trPr>
        <w:tc>
          <w:tcPr>
            <w:tcW w:w="1319" w:type="dxa"/>
            <w:tcMar>
              <w:top w:w="0" w:type="dxa"/>
              <w:left w:w="30" w:type="dxa"/>
              <w:bottom w:w="0" w:type="dxa"/>
              <w:right w:w="30" w:type="dxa"/>
            </w:tcMar>
            <w:hideMark/>
          </w:tcPr>
          <w:p w:rsidR="00011AA5" w:rsidRPr="00385CDE" w:rsidRDefault="00011AA5" w:rsidP="00385CDE">
            <w:pPr>
              <w:spacing w:after="0" w:line="240" w:lineRule="auto"/>
              <w:rPr>
                <w:rFonts w:cstheme="minorHAnsi"/>
              </w:rPr>
            </w:pPr>
            <w:r w:rsidRPr="00385CDE">
              <w:rPr>
                <w:rFonts w:cstheme="minorHAnsi"/>
              </w:rPr>
              <w:t>Newstart Allowance</w:t>
            </w:r>
          </w:p>
        </w:tc>
        <w:tc>
          <w:tcPr>
            <w:tcW w:w="882" w:type="dxa"/>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362</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342</w:t>
            </w:r>
          </w:p>
        </w:tc>
        <w:tc>
          <w:tcPr>
            <w:tcW w:w="835" w:type="dxa"/>
            <w:shd w:val="clear" w:color="auto" w:fill="FFFFFF" w:themeFill="background1"/>
            <w:tcMar>
              <w:top w:w="0" w:type="dxa"/>
              <w:left w:w="30" w:type="dxa"/>
              <w:bottom w:w="0" w:type="dxa"/>
              <w:right w:w="30" w:type="dxa"/>
            </w:tcMar>
            <w:hideMark/>
          </w:tcPr>
          <w:p w:rsidR="00011AA5" w:rsidRPr="00385CDE" w:rsidRDefault="00011AA5" w:rsidP="00394EAE">
            <w:pPr>
              <w:spacing w:after="0" w:line="240" w:lineRule="auto"/>
              <w:jc w:val="center"/>
              <w:rPr>
                <w:rFonts w:cstheme="minorHAnsi"/>
              </w:rPr>
            </w:pPr>
            <w:r w:rsidRPr="00385CDE">
              <w:rPr>
                <w:rFonts w:cstheme="minorHAnsi"/>
              </w:rPr>
              <w:t>1007</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926</w:t>
            </w:r>
          </w:p>
        </w:tc>
        <w:tc>
          <w:tcPr>
            <w:tcW w:w="883" w:type="dxa"/>
            <w:shd w:val="clear" w:color="auto" w:fill="FFFFFF" w:themeFill="background1"/>
            <w:tcMar>
              <w:top w:w="0" w:type="dxa"/>
              <w:left w:w="30" w:type="dxa"/>
              <w:bottom w:w="0" w:type="dxa"/>
              <w:right w:w="30" w:type="dxa"/>
            </w:tcMar>
            <w:hideMark/>
          </w:tcPr>
          <w:p w:rsidR="00011AA5" w:rsidRPr="00385CDE" w:rsidRDefault="00011AA5" w:rsidP="00394EAE">
            <w:pPr>
              <w:spacing w:after="0" w:line="240" w:lineRule="auto"/>
              <w:jc w:val="center"/>
              <w:rPr>
                <w:rFonts w:cstheme="minorHAnsi"/>
              </w:rPr>
            </w:pPr>
            <w:r w:rsidRPr="00385CDE">
              <w:rPr>
                <w:rFonts w:cstheme="minorHAnsi"/>
              </w:rPr>
              <w:t>1637</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94EAE">
            <w:pPr>
              <w:spacing w:after="0" w:line="240" w:lineRule="auto"/>
              <w:jc w:val="center"/>
              <w:rPr>
                <w:rFonts w:cstheme="minorHAnsi"/>
              </w:rPr>
            </w:pPr>
            <w:r w:rsidRPr="00385CDE">
              <w:rPr>
                <w:rFonts w:cstheme="minorHAnsi"/>
              </w:rPr>
              <w:t>1480</w:t>
            </w:r>
          </w:p>
        </w:tc>
        <w:tc>
          <w:tcPr>
            <w:tcW w:w="883" w:type="dxa"/>
            <w:shd w:val="clear" w:color="auto" w:fill="FFFFFF" w:themeFill="background1"/>
            <w:tcMar>
              <w:top w:w="0" w:type="dxa"/>
              <w:left w:w="30" w:type="dxa"/>
              <w:bottom w:w="0" w:type="dxa"/>
              <w:right w:w="30" w:type="dxa"/>
            </w:tcMar>
            <w:hideMark/>
          </w:tcPr>
          <w:p w:rsidR="00011AA5" w:rsidRPr="00385CDE" w:rsidRDefault="00011AA5" w:rsidP="00394EAE">
            <w:pPr>
              <w:spacing w:after="0" w:line="240" w:lineRule="auto"/>
              <w:jc w:val="center"/>
              <w:rPr>
                <w:rFonts w:cstheme="minorHAnsi"/>
              </w:rPr>
            </w:pPr>
            <w:r w:rsidRPr="00385CDE">
              <w:rPr>
                <w:rFonts w:cstheme="minorHAnsi"/>
              </w:rPr>
              <w:t>1365</w:t>
            </w:r>
          </w:p>
        </w:tc>
        <w:tc>
          <w:tcPr>
            <w:tcW w:w="1071" w:type="dxa"/>
            <w:shd w:val="clear" w:color="auto" w:fill="FFFFFF" w:themeFill="background1"/>
            <w:tcMar>
              <w:top w:w="0" w:type="dxa"/>
              <w:left w:w="30" w:type="dxa"/>
              <w:bottom w:w="0" w:type="dxa"/>
              <w:right w:w="30" w:type="dxa"/>
            </w:tcMar>
            <w:hideMark/>
          </w:tcPr>
          <w:p w:rsidR="00011AA5" w:rsidRPr="00385CDE" w:rsidRDefault="00394EAE" w:rsidP="003539E4">
            <w:pPr>
              <w:spacing w:after="0" w:line="240" w:lineRule="auto"/>
              <w:jc w:val="center"/>
              <w:rPr>
                <w:rFonts w:cstheme="minorHAnsi"/>
              </w:rPr>
            </w:pPr>
            <w:r>
              <w:rPr>
                <w:rFonts w:cstheme="minorHAnsi"/>
              </w:rPr>
              <w:t>1</w:t>
            </w:r>
            <w:r w:rsidR="00011AA5" w:rsidRPr="00385CDE">
              <w:rPr>
                <w:rFonts w:cstheme="minorHAnsi"/>
              </w:rPr>
              <w:t>198</w:t>
            </w:r>
          </w:p>
        </w:tc>
      </w:tr>
      <w:tr w:rsidR="00011AA5" w:rsidRPr="00011AA5" w:rsidTr="001D0425">
        <w:trPr>
          <w:trHeight w:val="305"/>
        </w:trPr>
        <w:tc>
          <w:tcPr>
            <w:tcW w:w="1319" w:type="dxa"/>
            <w:tcMar>
              <w:top w:w="0" w:type="dxa"/>
              <w:left w:w="30" w:type="dxa"/>
              <w:bottom w:w="0" w:type="dxa"/>
              <w:right w:w="30" w:type="dxa"/>
            </w:tcMar>
            <w:hideMark/>
          </w:tcPr>
          <w:p w:rsidR="00011AA5" w:rsidRPr="00385CDE" w:rsidRDefault="00011AA5" w:rsidP="00385CDE">
            <w:pPr>
              <w:spacing w:after="0" w:line="240" w:lineRule="auto"/>
              <w:rPr>
                <w:rFonts w:cstheme="minorHAnsi"/>
              </w:rPr>
            </w:pPr>
            <w:r w:rsidRPr="00385CDE">
              <w:rPr>
                <w:rFonts w:cstheme="minorHAnsi"/>
              </w:rPr>
              <w:t>Youth Allowance</w:t>
            </w:r>
          </w:p>
        </w:tc>
        <w:tc>
          <w:tcPr>
            <w:tcW w:w="882" w:type="dxa"/>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63</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59</w:t>
            </w:r>
          </w:p>
        </w:tc>
        <w:tc>
          <w:tcPr>
            <w:tcW w:w="835"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183</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167</w:t>
            </w:r>
          </w:p>
        </w:tc>
        <w:tc>
          <w:tcPr>
            <w:tcW w:w="883"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341</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312</w:t>
            </w:r>
          </w:p>
        </w:tc>
        <w:tc>
          <w:tcPr>
            <w:tcW w:w="883"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321</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289</w:t>
            </w:r>
          </w:p>
        </w:tc>
      </w:tr>
      <w:tr w:rsidR="00011AA5" w:rsidRPr="00011AA5" w:rsidTr="001D0425">
        <w:trPr>
          <w:trHeight w:val="305"/>
        </w:trPr>
        <w:tc>
          <w:tcPr>
            <w:tcW w:w="1319" w:type="dxa"/>
            <w:tcMar>
              <w:top w:w="0" w:type="dxa"/>
              <w:left w:w="30" w:type="dxa"/>
              <w:bottom w:w="0" w:type="dxa"/>
              <w:right w:w="30" w:type="dxa"/>
            </w:tcMar>
            <w:hideMark/>
          </w:tcPr>
          <w:p w:rsidR="00011AA5" w:rsidRPr="00385CDE" w:rsidRDefault="00011AA5" w:rsidP="00385CDE">
            <w:pPr>
              <w:spacing w:after="0" w:line="240" w:lineRule="auto"/>
              <w:rPr>
                <w:rFonts w:cstheme="minorHAnsi"/>
              </w:rPr>
            </w:pPr>
            <w:r w:rsidRPr="00385CDE">
              <w:rPr>
                <w:rFonts w:cstheme="minorHAnsi"/>
              </w:rPr>
              <w:t>Parenting Payment</w:t>
            </w:r>
          </w:p>
        </w:tc>
        <w:tc>
          <w:tcPr>
            <w:tcW w:w="882" w:type="dxa"/>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&lt;20#</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&lt;20#</w:t>
            </w:r>
          </w:p>
        </w:tc>
        <w:tc>
          <w:tcPr>
            <w:tcW w:w="835"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29</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27</w:t>
            </w:r>
          </w:p>
        </w:tc>
        <w:tc>
          <w:tcPr>
            <w:tcW w:w="883"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33</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30</w:t>
            </w:r>
          </w:p>
        </w:tc>
        <w:tc>
          <w:tcPr>
            <w:tcW w:w="883"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40</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37</w:t>
            </w:r>
          </w:p>
        </w:tc>
      </w:tr>
      <w:tr w:rsidR="00011AA5" w:rsidRPr="00011AA5" w:rsidTr="001D0425">
        <w:trPr>
          <w:trHeight w:val="305"/>
        </w:trPr>
        <w:tc>
          <w:tcPr>
            <w:tcW w:w="1319" w:type="dxa"/>
            <w:tcMar>
              <w:top w:w="0" w:type="dxa"/>
              <w:left w:w="30" w:type="dxa"/>
              <w:bottom w:w="0" w:type="dxa"/>
              <w:right w:w="30" w:type="dxa"/>
            </w:tcMar>
            <w:hideMark/>
          </w:tcPr>
          <w:p w:rsidR="00011AA5" w:rsidRPr="00385CDE" w:rsidRDefault="00011AA5" w:rsidP="00385CDE">
            <w:pPr>
              <w:spacing w:after="0" w:line="240" w:lineRule="auto"/>
              <w:rPr>
                <w:rFonts w:cstheme="minorHAnsi"/>
              </w:rPr>
            </w:pPr>
            <w:r w:rsidRPr="00385CDE">
              <w:rPr>
                <w:rFonts w:cstheme="minorHAnsi"/>
              </w:rPr>
              <w:t>Total</w:t>
            </w:r>
          </w:p>
        </w:tc>
        <w:tc>
          <w:tcPr>
            <w:tcW w:w="882" w:type="dxa"/>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&gt;425#</w:t>
            </w:r>
          </w:p>
        </w:tc>
        <w:tc>
          <w:tcPr>
            <w:tcW w:w="1071" w:type="dxa"/>
            <w:shd w:val="clear" w:color="auto" w:fill="FFFFFF" w:themeFill="background1"/>
            <w:tcMar>
              <w:top w:w="0" w:type="dxa"/>
              <w:left w:w="30" w:type="dxa"/>
              <w:bottom w:w="0" w:type="dxa"/>
              <w:right w:w="30" w:type="dxa"/>
            </w:tcMar>
            <w:hideMark/>
          </w:tcPr>
          <w:p w:rsidR="00011AA5" w:rsidRPr="00385CDE" w:rsidRDefault="00011AA5" w:rsidP="003539E4">
            <w:pPr>
              <w:spacing w:after="0" w:line="240" w:lineRule="auto"/>
              <w:jc w:val="center"/>
              <w:rPr>
                <w:rFonts w:cstheme="minorHAnsi"/>
              </w:rPr>
            </w:pPr>
            <w:r w:rsidRPr="00385CDE">
              <w:rPr>
                <w:rFonts w:cstheme="minorHAnsi"/>
              </w:rPr>
              <w:t>&gt;401#</w:t>
            </w:r>
          </w:p>
        </w:tc>
        <w:tc>
          <w:tcPr>
            <w:tcW w:w="835" w:type="dxa"/>
            <w:shd w:val="clear" w:color="auto" w:fill="FFFFFF" w:themeFill="background1"/>
            <w:tcMar>
              <w:top w:w="0" w:type="dxa"/>
              <w:left w:w="30" w:type="dxa"/>
              <w:bottom w:w="0" w:type="dxa"/>
              <w:right w:w="30" w:type="dxa"/>
            </w:tcMar>
            <w:hideMark/>
          </w:tcPr>
          <w:p w:rsidR="00011AA5" w:rsidRPr="00385CDE" w:rsidRDefault="00394EAE" w:rsidP="003539E4">
            <w:pPr>
              <w:spacing w:after="0" w:line="240" w:lineRule="auto"/>
              <w:jc w:val="center"/>
              <w:rPr>
                <w:rFonts w:cstheme="minorHAnsi"/>
              </w:rPr>
            </w:pPr>
            <w:r>
              <w:rPr>
                <w:rFonts w:cstheme="minorHAnsi"/>
              </w:rPr>
              <w:t>1</w:t>
            </w:r>
            <w:r w:rsidR="00011AA5" w:rsidRPr="00385CDE">
              <w:rPr>
                <w:rFonts w:cstheme="minorHAnsi"/>
              </w:rPr>
              <w:t>219</w:t>
            </w:r>
          </w:p>
        </w:tc>
        <w:tc>
          <w:tcPr>
            <w:tcW w:w="1071" w:type="dxa"/>
            <w:shd w:val="clear" w:color="auto" w:fill="FFFFFF" w:themeFill="background1"/>
            <w:tcMar>
              <w:top w:w="0" w:type="dxa"/>
              <w:left w:w="30" w:type="dxa"/>
              <w:bottom w:w="0" w:type="dxa"/>
              <w:right w:w="30" w:type="dxa"/>
            </w:tcMar>
            <w:hideMark/>
          </w:tcPr>
          <w:p w:rsidR="00011AA5" w:rsidRPr="00385CDE" w:rsidRDefault="00394EAE" w:rsidP="003539E4">
            <w:pPr>
              <w:spacing w:after="0" w:line="240" w:lineRule="auto"/>
              <w:jc w:val="center"/>
              <w:rPr>
                <w:rFonts w:cstheme="minorHAnsi"/>
              </w:rPr>
            </w:pPr>
            <w:r>
              <w:rPr>
                <w:rFonts w:cstheme="minorHAnsi"/>
              </w:rPr>
              <w:t>1</w:t>
            </w:r>
            <w:r w:rsidR="00011AA5" w:rsidRPr="00385CDE">
              <w:rPr>
                <w:rFonts w:cstheme="minorHAnsi"/>
              </w:rPr>
              <w:t>120</w:t>
            </w:r>
          </w:p>
        </w:tc>
        <w:tc>
          <w:tcPr>
            <w:tcW w:w="883" w:type="dxa"/>
            <w:shd w:val="clear" w:color="auto" w:fill="FFFFFF" w:themeFill="background1"/>
            <w:tcMar>
              <w:top w:w="0" w:type="dxa"/>
              <w:left w:w="30" w:type="dxa"/>
              <w:bottom w:w="0" w:type="dxa"/>
              <w:right w:w="30" w:type="dxa"/>
            </w:tcMar>
            <w:hideMark/>
          </w:tcPr>
          <w:p w:rsidR="00011AA5" w:rsidRPr="00385CDE" w:rsidRDefault="00394EAE" w:rsidP="003539E4">
            <w:pPr>
              <w:spacing w:after="0" w:line="240" w:lineRule="auto"/>
              <w:jc w:val="center"/>
              <w:rPr>
                <w:rFonts w:cstheme="minorHAnsi"/>
              </w:rPr>
            </w:pPr>
            <w:r>
              <w:rPr>
                <w:rFonts w:cstheme="minorHAnsi"/>
              </w:rPr>
              <w:t>2</w:t>
            </w:r>
            <w:r w:rsidR="00011AA5" w:rsidRPr="00385CDE">
              <w:rPr>
                <w:rFonts w:cstheme="minorHAnsi"/>
              </w:rPr>
              <w:t>011</w:t>
            </w:r>
          </w:p>
        </w:tc>
        <w:tc>
          <w:tcPr>
            <w:tcW w:w="1071" w:type="dxa"/>
            <w:shd w:val="clear" w:color="auto" w:fill="FFFFFF" w:themeFill="background1"/>
            <w:tcMar>
              <w:top w:w="0" w:type="dxa"/>
              <w:left w:w="30" w:type="dxa"/>
              <w:bottom w:w="0" w:type="dxa"/>
              <w:right w:w="30" w:type="dxa"/>
            </w:tcMar>
            <w:hideMark/>
          </w:tcPr>
          <w:p w:rsidR="00011AA5" w:rsidRPr="00385CDE" w:rsidRDefault="00394EAE" w:rsidP="003539E4">
            <w:pPr>
              <w:spacing w:after="0" w:line="240" w:lineRule="auto"/>
              <w:jc w:val="center"/>
              <w:rPr>
                <w:rFonts w:cstheme="minorHAnsi"/>
              </w:rPr>
            </w:pPr>
            <w:r>
              <w:rPr>
                <w:rFonts w:cstheme="minorHAnsi"/>
              </w:rPr>
              <w:t>1</w:t>
            </w:r>
            <w:r w:rsidR="00011AA5" w:rsidRPr="00385CDE">
              <w:rPr>
                <w:rFonts w:cstheme="minorHAnsi"/>
              </w:rPr>
              <w:t>822</w:t>
            </w:r>
          </w:p>
        </w:tc>
        <w:tc>
          <w:tcPr>
            <w:tcW w:w="883" w:type="dxa"/>
            <w:shd w:val="clear" w:color="auto" w:fill="FFFFFF" w:themeFill="background1"/>
            <w:tcMar>
              <w:top w:w="0" w:type="dxa"/>
              <w:left w:w="30" w:type="dxa"/>
              <w:bottom w:w="0" w:type="dxa"/>
              <w:right w:w="30" w:type="dxa"/>
            </w:tcMar>
            <w:hideMark/>
          </w:tcPr>
          <w:p w:rsidR="00011AA5" w:rsidRPr="00385CDE" w:rsidRDefault="00394EAE" w:rsidP="003539E4">
            <w:pPr>
              <w:spacing w:after="0" w:line="240" w:lineRule="auto"/>
              <w:jc w:val="center"/>
              <w:rPr>
                <w:rFonts w:cstheme="minorHAnsi"/>
              </w:rPr>
            </w:pPr>
            <w:r>
              <w:rPr>
                <w:rFonts w:cstheme="minorHAnsi"/>
              </w:rPr>
              <w:t>1</w:t>
            </w:r>
            <w:r w:rsidR="00011AA5" w:rsidRPr="00385CDE">
              <w:rPr>
                <w:rFonts w:cstheme="minorHAnsi"/>
              </w:rPr>
              <w:t>726</w:t>
            </w:r>
          </w:p>
        </w:tc>
        <w:tc>
          <w:tcPr>
            <w:tcW w:w="1071" w:type="dxa"/>
            <w:shd w:val="clear" w:color="auto" w:fill="FFFFFF" w:themeFill="background1"/>
            <w:tcMar>
              <w:top w:w="0" w:type="dxa"/>
              <w:left w:w="30" w:type="dxa"/>
              <w:bottom w:w="0" w:type="dxa"/>
              <w:right w:w="30" w:type="dxa"/>
            </w:tcMar>
            <w:hideMark/>
          </w:tcPr>
          <w:p w:rsidR="00011AA5" w:rsidRPr="00385CDE" w:rsidRDefault="00394EAE" w:rsidP="003539E4">
            <w:pPr>
              <w:spacing w:after="0" w:line="240" w:lineRule="auto"/>
              <w:jc w:val="center"/>
              <w:rPr>
                <w:rFonts w:cstheme="minorHAnsi"/>
              </w:rPr>
            </w:pPr>
            <w:r>
              <w:rPr>
                <w:rFonts w:cstheme="minorHAnsi"/>
              </w:rPr>
              <w:t>1</w:t>
            </w:r>
            <w:r w:rsidR="00011AA5" w:rsidRPr="00385CDE">
              <w:rPr>
                <w:rFonts w:cstheme="minorHAnsi"/>
              </w:rPr>
              <w:t>524</w:t>
            </w:r>
          </w:p>
        </w:tc>
      </w:tr>
    </w:tbl>
    <w:p w:rsidR="00785DA9" w:rsidRDefault="00785DA9" w:rsidP="00785DA9">
      <w:pPr>
        <w:spacing w:after="0" w:line="240" w:lineRule="auto"/>
        <w:rPr>
          <w:rFonts w:ascii="Calibri" w:hAnsi="Calibri" w:cs="Calibri"/>
          <w:sz w:val="18"/>
          <w:szCs w:val="18"/>
        </w:rPr>
      </w:pPr>
      <w:r w:rsidRPr="00704B8E">
        <w:rPr>
          <w:rFonts w:ascii="Calibri" w:hAnsi="Calibri" w:cs="Calibri"/>
          <w:sz w:val="18"/>
          <w:szCs w:val="18"/>
        </w:rPr>
        <w:t xml:space="preserve">Source: </w:t>
      </w:r>
      <w:r w:rsidR="00704B8E" w:rsidRPr="00704B8E">
        <w:rPr>
          <w:rFonts w:ascii="Calibri" w:hAnsi="Calibri" w:cs="Calibri"/>
          <w:sz w:val="18"/>
          <w:szCs w:val="18"/>
        </w:rPr>
        <w:t>Department of Employment</w:t>
      </w:r>
      <w:r w:rsidR="00F302D1">
        <w:rPr>
          <w:rFonts w:ascii="Calibri" w:hAnsi="Calibri" w:cs="Calibri"/>
          <w:sz w:val="18"/>
          <w:szCs w:val="18"/>
        </w:rPr>
        <w:t xml:space="preserve"> administrative data</w:t>
      </w:r>
    </w:p>
    <w:p w:rsidR="00011AA5" w:rsidRDefault="00011AA5" w:rsidP="00785DA9">
      <w:pPr>
        <w:spacing w:after="0" w:line="240" w:lineRule="auto"/>
        <w:rPr>
          <w:rFonts w:ascii="Calibri" w:hAnsi="Calibri" w:cs="Calibri"/>
          <w:sz w:val="18"/>
          <w:szCs w:val="18"/>
        </w:rPr>
      </w:pPr>
      <w:r w:rsidRPr="00011AA5">
        <w:rPr>
          <w:rFonts w:ascii="Calibri" w:hAnsi="Calibri" w:cs="Calibri"/>
          <w:sz w:val="18"/>
          <w:szCs w:val="18"/>
        </w:rPr>
        <w:t>Note that some job seekers incurred more than one failure.</w:t>
      </w:r>
    </w:p>
    <w:p w:rsidR="00D26A41" w:rsidRPr="0018188C" w:rsidRDefault="00D26A41" w:rsidP="00785DA9">
      <w:pPr>
        <w:spacing w:after="0" w:line="240" w:lineRule="auto"/>
        <w:rPr>
          <w:rFonts w:ascii="Calibri" w:hAnsi="Calibri" w:cs="Calibri"/>
          <w:sz w:val="18"/>
          <w:szCs w:val="18"/>
        </w:rPr>
      </w:pPr>
      <w:r w:rsidRPr="00011AA5">
        <w:rPr>
          <w:rFonts w:ascii="Calibri" w:hAnsi="Calibri" w:cs="Calibri"/>
          <w:sz w:val="18"/>
          <w:szCs w:val="18"/>
        </w:rPr>
        <w:t>*Job seeker compliance data is not usually extracted until at least six weeks after the end of the period the data relates to. This is to allow for decisions being changed as a result of review processes.</w:t>
      </w:r>
      <w:r w:rsidR="00BB3A25">
        <w:rPr>
          <w:rFonts w:ascii="Calibri" w:hAnsi="Calibri" w:cs="Calibri"/>
          <w:sz w:val="18"/>
          <w:szCs w:val="18"/>
        </w:rPr>
        <w:t xml:space="preserve"> </w:t>
      </w:r>
      <w:r w:rsidRPr="00011AA5">
        <w:rPr>
          <w:rFonts w:ascii="Calibri" w:hAnsi="Calibri" w:cs="Calibri"/>
          <w:sz w:val="18"/>
          <w:szCs w:val="18"/>
        </w:rPr>
        <w:t>At the tim</w:t>
      </w:r>
      <w:r w:rsidRPr="0018188C">
        <w:rPr>
          <w:rFonts w:ascii="Calibri" w:hAnsi="Calibri" w:cs="Calibri"/>
          <w:sz w:val="18"/>
          <w:szCs w:val="18"/>
        </w:rPr>
        <w:t>e of extraction this lag period had not finished for data for June 2013. The 2012-13 data may therefore differ from subsequently published data.</w:t>
      </w:r>
    </w:p>
    <w:p w:rsidR="00D26A41" w:rsidRPr="00011AA5" w:rsidRDefault="00D26A41" w:rsidP="00011AA5">
      <w:pPr>
        <w:rPr>
          <w:rFonts w:ascii="Calibri" w:hAnsi="Calibri" w:cs="Calibri"/>
          <w:sz w:val="18"/>
          <w:szCs w:val="18"/>
        </w:rPr>
      </w:pPr>
      <w:r w:rsidRPr="0018188C">
        <w:rPr>
          <w:rFonts w:ascii="Calibri" w:hAnsi="Calibri" w:cs="Calibri"/>
          <w:sz w:val="18"/>
          <w:szCs w:val="18"/>
        </w:rPr>
        <w:t>#</w:t>
      </w:r>
      <w:r w:rsidRPr="0018188C">
        <w:rPr>
          <w:sz w:val="18"/>
          <w:szCs w:val="18"/>
        </w:rPr>
        <w:t xml:space="preserve"> </w:t>
      </w:r>
      <w:r w:rsidRPr="0018188C">
        <w:rPr>
          <w:rFonts w:ascii="Calibri" w:hAnsi="Calibri" w:cs="Calibri"/>
          <w:sz w:val="18"/>
          <w:szCs w:val="18"/>
        </w:rPr>
        <w:t>In order to protect the privacy of individuals, populations less than twenty are reported as "&lt;20"</w:t>
      </w:r>
    </w:p>
    <w:p w:rsidR="00011AA5" w:rsidRDefault="00011AA5" w:rsidP="00011AA5">
      <w:pPr>
        <w:spacing w:after="240" w:line="240" w:lineRule="auto"/>
      </w:pPr>
      <w:r>
        <w:t>When it comes to mobility, participation requirements encourage people to seek suitable employment. But u</w:t>
      </w:r>
      <w:r w:rsidRPr="00011AA5">
        <w:t xml:space="preserve">nder social security legislation, most job seekers are not required to seek jobs more than 90 minutes from their home. However, if they apply for such a position they must accept </w:t>
      </w:r>
      <w:r w:rsidR="00333B30">
        <w:t>offers of full-</w:t>
      </w:r>
      <w:r w:rsidRPr="00011AA5">
        <w:t>time permanent work. Job seekers with caring responsibilities or a reduced capacity are generally not required to accept jobs located more than 60 minutes from their home.</w:t>
      </w:r>
      <w:r>
        <w:t xml:space="preserve"> </w:t>
      </w:r>
      <w:r w:rsidR="008B717F">
        <w:t>Furthermore, job seekers who voluntarily move to a geographic area with weaker employment prospects than their previous residential location can be subject to sanctions, including loss of payment. The number of N</w:t>
      </w:r>
      <w:r w:rsidR="00333B30">
        <w:t xml:space="preserve">ewstart Allowance </w:t>
      </w:r>
      <w:r w:rsidR="008B717F">
        <w:t>and Youth Allowance recipients who are subject to thi</w:t>
      </w:r>
      <w:r w:rsidR="00C74829">
        <w:t>s is small, as shown in Table 10</w:t>
      </w:r>
      <w:r w:rsidR="008B717F">
        <w:t>.</w:t>
      </w:r>
    </w:p>
    <w:p w:rsidR="0018188C" w:rsidRPr="001D0425" w:rsidRDefault="0018188C" w:rsidP="001D0425">
      <w:pPr>
        <w:pStyle w:val="CABNETParagraphAtt"/>
        <w:keepNext/>
        <w:spacing w:before="0" w:after="0"/>
        <w:rPr>
          <w:rFonts w:asciiTheme="minorHAnsi" w:hAnsiTheme="minorHAnsi" w:cstheme="minorHAnsi"/>
          <w:b/>
        </w:rPr>
      </w:pPr>
      <w:r w:rsidRPr="001D0425">
        <w:rPr>
          <w:rFonts w:asciiTheme="minorHAnsi" w:hAnsiTheme="minorHAnsi" w:cstheme="minorHAnsi"/>
          <w:b/>
        </w:rPr>
        <w:t>Table 1</w:t>
      </w:r>
      <w:r w:rsidR="00C74829" w:rsidRPr="001D0425">
        <w:rPr>
          <w:rFonts w:asciiTheme="minorHAnsi" w:hAnsiTheme="minorHAnsi" w:cstheme="minorHAnsi"/>
          <w:b/>
        </w:rPr>
        <w:t>0</w:t>
      </w:r>
      <w:r w:rsidRPr="001D0425">
        <w:rPr>
          <w:rFonts w:asciiTheme="minorHAnsi" w:hAnsiTheme="minorHAnsi" w:cstheme="minorHAnsi"/>
          <w:b/>
        </w:rPr>
        <w:t>: Number of preclusions for moving to an area of lower employment prospects</w:t>
      </w:r>
    </w:p>
    <w:tbl>
      <w:tblPr>
        <w:tblStyle w:val="TableGrid"/>
        <w:tblW w:w="0" w:type="auto"/>
        <w:tblLook w:val="04A0" w:firstRow="1" w:lastRow="0" w:firstColumn="1" w:lastColumn="0" w:noHBand="0" w:noVBand="1"/>
      </w:tblPr>
      <w:tblGrid>
        <w:gridCol w:w="3773"/>
        <w:gridCol w:w="1367"/>
        <w:gridCol w:w="1367"/>
        <w:gridCol w:w="1367"/>
        <w:gridCol w:w="1368"/>
      </w:tblGrid>
      <w:tr w:rsidR="0018188C" w:rsidTr="0018188C">
        <w:tc>
          <w:tcPr>
            <w:tcW w:w="3773" w:type="dxa"/>
          </w:tcPr>
          <w:p w:rsidR="0018188C" w:rsidRPr="00D14AE8" w:rsidRDefault="0018188C" w:rsidP="00846855">
            <w:pPr>
              <w:rPr>
                <w:rFonts w:asciiTheme="minorHAnsi" w:hAnsiTheme="minorHAnsi" w:cstheme="minorHAnsi"/>
                <w:b/>
                <w:sz w:val="22"/>
                <w:szCs w:val="22"/>
              </w:rPr>
            </w:pPr>
            <w:r w:rsidRPr="00D14AE8">
              <w:rPr>
                <w:rFonts w:asciiTheme="minorHAnsi" w:hAnsiTheme="minorHAnsi" w:cstheme="minorHAnsi"/>
                <w:b/>
                <w:sz w:val="22"/>
                <w:szCs w:val="22"/>
              </w:rPr>
              <w:t>Year</w:t>
            </w:r>
          </w:p>
        </w:tc>
        <w:tc>
          <w:tcPr>
            <w:tcW w:w="1367" w:type="dxa"/>
          </w:tcPr>
          <w:p w:rsidR="0018188C" w:rsidRPr="00846855" w:rsidRDefault="0018188C" w:rsidP="00846855">
            <w:pPr>
              <w:jc w:val="center"/>
              <w:rPr>
                <w:rFonts w:asciiTheme="minorHAnsi" w:hAnsiTheme="minorHAnsi" w:cstheme="minorHAnsi"/>
                <w:b/>
                <w:sz w:val="22"/>
                <w:szCs w:val="22"/>
              </w:rPr>
            </w:pPr>
            <w:r w:rsidRPr="00846855">
              <w:rPr>
                <w:rFonts w:asciiTheme="minorHAnsi" w:hAnsiTheme="minorHAnsi" w:cstheme="minorHAnsi"/>
                <w:b/>
                <w:sz w:val="22"/>
                <w:szCs w:val="22"/>
              </w:rPr>
              <w:t>2009-10</w:t>
            </w:r>
          </w:p>
        </w:tc>
        <w:tc>
          <w:tcPr>
            <w:tcW w:w="1367" w:type="dxa"/>
          </w:tcPr>
          <w:p w:rsidR="0018188C" w:rsidRPr="00846855" w:rsidRDefault="0018188C" w:rsidP="00846855">
            <w:pPr>
              <w:jc w:val="center"/>
              <w:rPr>
                <w:rFonts w:asciiTheme="minorHAnsi" w:hAnsiTheme="minorHAnsi" w:cstheme="minorHAnsi"/>
                <w:b/>
                <w:sz w:val="22"/>
                <w:szCs w:val="22"/>
              </w:rPr>
            </w:pPr>
            <w:r w:rsidRPr="00846855">
              <w:rPr>
                <w:rFonts w:asciiTheme="minorHAnsi" w:hAnsiTheme="minorHAnsi" w:cstheme="minorHAnsi"/>
                <w:b/>
                <w:sz w:val="22"/>
                <w:szCs w:val="22"/>
              </w:rPr>
              <w:t>2010-11</w:t>
            </w:r>
          </w:p>
        </w:tc>
        <w:tc>
          <w:tcPr>
            <w:tcW w:w="1367" w:type="dxa"/>
          </w:tcPr>
          <w:p w:rsidR="0018188C" w:rsidRPr="00846855" w:rsidRDefault="0018188C" w:rsidP="00846855">
            <w:pPr>
              <w:jc w:val="center"/>
              <w:rPr>
                <w:rFonts w:asciiTheme="minorHAnsi" w:hAnsiTheme="minorHAnsi" w:cstheme="minorHAnsi"/>
                <w:b/>
                <w:sz w:val="22"/>
                <w:szCs w:val="22"/>
              </w:rPr>
            </w:pPr>
            <w:r w:rsidRPr="00846855">
              <w:rPr>
                <w:rFonts w:asciiTheme="minorHAnsi" w:hAnsiTheme="minorHAnsi" w:cstheme="minorHAnsi"/>
                <w:b/>
                <w:sz w:val="22"/>
                <w:szCs w:val="22"/>
              </w:rPr>
              <w:t>2011-12</w:t>
            </w:r>
          </w:p>
        </w:tc>
        <w:tc>
          <w:tcPr>
            <w:tcW w:w="1368" w:type="dxa"/>
          </w:tcPr>
          <w:p w:rsidR="0018188C" w:rsidRPr="00846855" w:rsidRDefault="0018188C" w:rsidP="00846855">
            <w:pPr>
              <w:jc w:val="center"/>
              <w:rPr>
                <w:rFonts w:asciiTheme="minorHAnsi" w:hAnsiTheme="minorHAnsi" w:cstheme="minorHAnsi"/>
                <w:b/>
                <w:sz w:val="22"/>
                <w:szCs w:val="22"/>
              </w:rPr>
            </w:pPr>
            <w:r w:rsidRPr="00846855">
              <w:rPr>
                <w:rFonts w:asciiTheme="minorHAnsi" w:hAnsiTheme="minorHAnsi" w:cstheme="minorHAnsi"/>
                <w:b/>
                <w:sz w:val="22"/>
                <w:szCs w:val="22"/>
              </w:rPr>
              <w:t>2012-13</w:t>
            </w:r>
          </w:p>
        </w:tc>
      </w:tr>
      <w:tr w:rsidR="0018188C" w:rsidTr="0018188C">
        <w:tc>
          <w:tcPr>
            <w:tcW w:w="3773" w:type="dxa"/>
          </w:tcPr>
          <w:p w:rsidR="0018188C" w:rsidRPr="0018188C" w:rsidRDefault="0018188C" w:rsidP="00846855">
            <w:pPr>
              <w:rPr>
                <w:rFonts w:asciiTheme="minorHAnsi" w:hAnsiTheme="minorHAnsi" w:cstheme="minorHAnsi"/>
                <w:sz w:val="22"/>
                <w:szCs w:val="22"/>
              </w:rPr>
            </w:pPr>
            <w:r w:rsidRPr="0018188C">
              <w:rPr>
                <w:rFonts w:asciiTheme="minorHAnsi" w:hAnsiTheme="minorHAnsi" w:cstheme="minorHAnsi"/>
                <w:sz w:val="22"/>
                <w:szCs w:val="22"/>
              </w:rPr>
              <w:t>Number of preclusion periods applied</w:t>
            </w:r>
          </w:p>
        </w:tc>
        <w:tc>
          <w:tcPr>
            <w:tcW w:w="1367" w:type="dxa"/>
          </w:tcPr>
          <w:p w:rsidR="0018188C" w:rsidRPr="0018188C" w:rsidRDefault="0018188C" w:rsidP="00846855">
            <w:pPr>
              <w:jc w:val="center"/>
              <w:rPr>
                <w:rFonts w:asciiTheme="minorHAnsi" w:hAnsiTheme="minorHAnsi" w:cstheme="minorHAnsi"/>
                <w:sz w:val="22"/>
                <w:szCs w:val="22"/>
              </w:rPr>
            </w:pPr>
            <w:r>
              <w:rPr>
                <w:rFonts w:asciiTheme="minorHAnsi" w:hAnsiTheme="minorHAnsi" w:cstheme="minorHAnsi"/>
                <w:sz w:val="22"/>
                <w:szCs w:val="22"/>
              </w:rPr>
              <w:t>74</w:t>
            </w:r>
          </w:p>
        </w:tc>
        <w:tc>
          <w:tcPr>
            <w:tcW w:w="1367" w:type="dxa"/>
          </w:tcPr>
          <w:p w:rsidR="0018188C" w:rsidRPr="0018188C" w:rsidRDefault="0018188C" w:rsidP="00846855">
            <w:pPr>
              <w:jc w:val="center"/>
              <w:rPr>
                <w:rFonts w:asciiTheme="minorHAnsi" w:hAnsiTheme="minorHAnsi" w:cstheme="minorHAnsi"/>
                <w:sz w:val="22"/>
                <w:szCs w:val="22"/>
              </w:rPr>
            </w:pPr>
            <w:r>
              <w:rPr>
                <w:rFonts w:asciiTheme="minorHAnsi" w:hAnsiTheme="minorHAnsi" w:cstheme="minorHAnsi"/>
                <w:sz w:val="22"/>
                <w:szCs w:val="22"/>
              </w:rPr>
              <w:t>57</w:t>
            </w:r>
          </w:p>
        </w:tc>
        <w:tc>
          <w:tcPr>
            <w:tcW w:w="1367" w:type="dxa"/>
          </w:tcPr>
          <w:p w:rsidR="0018188C" w:rsidRPr="0018188C" w:rsidRDefault="0018188C" w:rsidP="00846855">
            <w:pPr>
              <w:jc w:val="center"/>
              <w:rPr>
                <w:rFonts w:asciiTheme="minorHAnsi" w:hAnsiTheme="minorHAnsi" w:cstheme="minorHAnsi"/>
                <w:sz w:val="22"/>
                <w:szCs w:val="22"/>
              </w:rPr>
            </w:pPr>
            <w:r>
              <w:rPr>
                <w:rFonts w:asciiTheme="minorHAnsi" w:hAnsiTheme="minorHAnsi" w:cstheme="minorHAnsi"/>
                <w:sz w:val="22"/>
                <w:szCs w:val="22"/>
              </w:rPr>
              <w:t>84</w:t>
            </w:r>
          </w:p>
        </w:tc>
        <w:tc>
          <w:tcPr>
            <w:tcW w:w="1368" w:type="dxa"/>
          </w:tcPr>
          <w:p w:rsidR="0018188C" w:rsidRPr="0018188C" w:rsidRDefault="0018188C" w:rsidP="00846855">
            <w:pPr>
              <w:jc w:val="center"/>
              <w:rPr>
                <w:rFonts w:asciiTheme="minorHAnsi" w:hAnsiTheme="minorHAnsi" w:cstheme="minorHAnsi"/>
                <w:sz w:val="22"/>
                <w:szCs w:val="22"/>
              </w:rPr>
            </w:pPr>
            <w:r>
              <w:rPr>
                <w:rFonts w:asciiTheme="minorHAnsi" w:hAnsiTheme="minorHAnsi" w:cstheme="minorHAnsi"/>
                <w:sz w:val="22"/>
                <w:szCs w:val="22"/>
              </w:rPr>
              <w:t>33</w:t>
            </w:r>
          </w:p>
        </w:tc>
      </w:tr>
    </w:tbl>
    <w:p w:rsidR="00011AA5" w:rsidRPr="00785DA9" w:rsidRDefault="00785DA9" w:rsidP="00011AA5">
      <w:pPr>
        <w:spacing w:after="240" w:line="240" w:lineRule="auto"/>
        <w:rPr>
          <w:sz w:val="18"/>
          <w:szCs w:val="18"/>
        </w:rPr>
      </w:pPr>
      <w:r w:rsidRPr="00000027">
        <w:rPr>
          <w:sz w:val="18"/>
          <w:szCs w:val="18"/>
        </w:rPr>
        <w:t>Source:</w:t>
      </w:r>
      <w:r w:rsidR="00000027" w:rsidRPr="00000027">
        <w:rPr>
          <w:sz w:val="18"/>
          <w:szCs w:val="18"/>
        </w:rPr>
        <w:t xml:space="preserve"> Department of Employment</w:t>
      </w:r>
      <w:r w:rsidR="00F302D1">
        <w:rPr>
          <w:sz w:val="18"/>
          <w:szCs w:val="18"/>
        </w:rPr>
        <w:t xml:space="preserve"> administrative data</w:t>
      </w:r>
    </w:p>
    <w:p w:rsidR="0063018A" w:rsidRDefault="00011AA5" w:rsidP="00CD753F">
      <w:pPr>
        <w:spacing w:after="240" w:line="240" w:lineRule="auto"/>
      </w:pPr>
      <w:r>
        <w:t>It is important to note that r</w:t>
      </w:r>
      <w:r w:rsidR="00CD753F" w:rsidRPr="00011AA5">
        <w:t xml:space="preserve">elocation and long-distance commuting </w:t>
      </w:r>
      <w:r w:rsidR="00347DDC">
        <w:t>will not</w:t>
      </w:r>
      <w:r w:rsidR="00347DDC" w:rsidRPr="00011AA5">
        <w:t xml:space="preserve"> </w:t>
      </w:r>
      <w:r w:rsidR="00CD753F" w:rsidRPr="00011AA5">
        <w:t xml:space="preserve">be suitable for all job seekers; </w:t>
      </w:r>
      <w:r>
        <w:t>for those who are</w:t>
      </w:r>
      <w:r w:rsidR="00CD753F" w:rsidRPr="00011AA5">
        <w:t xml:space="preserve"> facing multiple barriers to employment (such as disability) and relying on good local support, including access to public housing, social services and their extended family</w:t>
      </w:r>
      <w:r>
        <w:t>, long-distance commuting or relocation may not be a realistic option</w:t>
      </w:r>
      <w:r w:rsidR="00CD753F" w:rsidRPr="00011AA5">
        <w:t>.</w:t>
      </w:r>
      <w:r>
        <w:t xml:space="preserve"> It may also present challenges for those with caring responsibilities</w:t>
      </w:r>
      <w:r w:rsidR="0063018A">
        <w:t>.</w:t>
      </w:r>
    </w:p>
    <w:p w:rsidR="0063018A" w:rsidRPr="00C52F12" w:rsidRDefault="00FC1E78" w:rsidP="0063018A">
      <w:pPr>
        <w:pStyle w:val="Heading3"/>
      </w:pPr>
      <w:bookmarkStart w:id="23" w:name="_Toc384202093"/>
      <w:r>
        <w:t>Preparations for new programme settings</w:t>
      </w:r>
      <w:bookmarkEnd w:id="23"/>
    </w:p>
    <w:p w:rsidR="0063018A" w:rsidRDefault="0063018A" w:rsidP="0063018A">
      <w:pPr>
        <w:spacing w:after="240" w:line="240" w:lineRule="auto"/>
      </w:pPr>
      <w:r w:rsidRPr="00974BC0">
        <w:t>The current contracts for JSA</w:t>
      </w:r>
      <w:r w:rsidR="00137990">
        <w:t xml:space="preserve"> are due to</w:t>
      </w:r>
      <w:r w:rsidRPr="00974BC0">
        <w:t xml:space="preserve"> end in June 2015 and the Government</w:t>
      </w:r>
      <w:r w:rsidR="002D5EC6">
        <w:t xml:space="preserve"> is currently considering options to</w:t>
      </w:r>
      <w:r w:rsidRPr="00974BC0">
        <w:t xml:space="preserve"> improve service arrangements beyond 2015.</w:t>
      </w:r>
      <w:r w:rsidR="002D5EC6">
        <w:t xml:space="preserve"> </w:t>
      </w:r>
      <w:r>
        <w:t xml:space="preserve">The Department notes that the </w:t>
      </w:r>
      <w:r w:rsidR="00333B30">
        <w:t xml:space="preserve">Commission </w:t>
      </w:r>
      <w:r>
        <w:t xml:space="preserve">has recommended that </w:t>
      </w:r>
      <w:r w:rsidRPr="00227F73">
        <w:rPr>
          <w:i/>
        </w:rPr>
        <w:t>“</w:t>
      </w:r>
      <w:r w:rsidR="00347DDC">
        <w:rPr>
          <w:i/>
        </w:rPr>
        <w:t>t</w:t>
      </w:r>
      <w:r w:rsidRPr="00227F73">
        <w:rPr>
          <w:i/>
        </w:rPr>
        <w:t xml:space="preserve">he Australian Government’s review of employment services should examine barriers within the job services system to </w:t>
      </w:r>
      <w:r w:rsidR="00347DDC">
        <w:rPr>
          <w:i/>
        </w:rPr>
        <w:t xml:space="preserve">the </w:t>
      </w:r>
      <w:r w:rsidRPr="00227F73">
        <w:rPr>
          <w:i/>
        </w:rPr>
        <w:t>geographic mobility of unemployed people.</w:t>
      </w:r>
      <w:r w:rsidR="00BB3A25">
        <w:rPr>
          <w:i/>
        </w:rPr>
        <w:t xml:space="preserve"> </w:t>
      </w:r>
      <w:r w:rsidRPr="00227F73">
        <w:rPr>
          <w:i/>
        </w:rPr>
        <w:t>Providers should be encouraged to work directly with employers to identify new opportunities for job seekers, including opportunities outside their immediate labour market region where relevant”</w:t>
      </w:r>
      <w:r>
        <w:t xml:space="preserve"> (Recommendation 12.4)</w:t>
      </w:r>
      <w:r w:rsidRPr="002A4916">
        <w:t>.</w:t>
      </w:r>
    </w:p>
    <w:p w:rsidR="00BC0658" w:rsidRDefault="00BC0658" w:rsidP="0063018A">
      <w:pPr>
        <w:spacing w:after="240" w:line="240" w:lineRule="auto"/>
      </w:pPr>
      <w:r>
        <w:t xml:space="preserve">With respect to Recommendation 12.4, the Department suggests the following wording to include </w:t>
      </w:r>
      <w:r w:rsidRPr="00BC0658">
        <w:t>reference to Job Services Australia, Disability Employment Services, and the Remote Jobs and Communities Programme</w:t>
      </w:r>
      <w:r w:rsidR="00FC1E78">
        <w:t xml:space="preserve">: </w:t>
      </w:r>
      <w:r w:rsidR="00FC1E78" w:rsidRPr="00DC4F16">
        <w:rPr>
          <w:i/>
        </w:rPr>
        <w:t>“the Australian Government’s preparations for new programme settings including for Job Services Australia, Disability Employment Services and the Remote Jobs and Communities P</w:t>
      </w:r>
      <w:r w:rsidR="00C862A3">
        <w:rPr>
          <w:i/>
        </w:rPr>
        <w:t>rogram</w:t>
      </w:r>
      <w:r w:rsidR="00FC1E78" w:rsidRPr="00DC4F16">
        <w:rPr>
          <w:i/>
        </w:rPr>
        <w:t xml:space="preserve"> should examine barriers within employment services to the geographic </w:t>
      </w:r>
      <w:r w:rsidR="00FC1E78" w:rsidRPr="00DC4F16">
        <w:rPr>
          <w:i/>
        </w:rPr>
        <w:lastRenderedPageBreak/>
        <w:t>mobility of unemployed people. Providers should be encouraged to work collaboratively with employers to identify new opportunities for job seekers, including opportunities within and outside their immediate labour market region w</w:t>
      </w:r>
      <w:r w:rsidR="00DC4F16" w:rsidRPr="00DC4F16">
        <w:rPr>
          <w:i/>
        </w:rPr>
        <w:t>here relevant</w:t>
      </w:r>
      <w:r w:rsidR="00FC1E78" w:rsidRPr="00DC4F16">
        <w:rPr>
          <w:i/>
        </w:rPr>
        <w:t>”</w:t>
      </w:r>
      <w:r w:rsidR="00DC4F16" w:rsidRPr="00DC4F16">
        <w:rPr>
          <w:i/>
        </w:rPr>
        <w:t>.</w:t>
      </w:r>
    </w:p>
    <w:p w:rsidR="0063018A" w:rsidRPr="00974BC0" w:rsidRDefault="0063018A" w:rsidP="0063018A">
      <w:pPr>
        <w:spacing w:after="240" w:line="240" w:lineRule="auto"/>
      </w:pPr>
      <w:r>
        <w:t>While t</w:t>
      </w:r>
      <w:r w:rsidRPr="002A4916">
        <w:t>he specific details of employment services from 2015 are still being worked out, the overarching aim of the improvements that are made to the employment services system will be to boost workforce participation and productivity and make our communities stronger by providing more people with greater engagement in productive work.</w:t>
      </w:r>
      <w:r>
        <w:t xml:space="preserve"> </w:t>
      </w:r>
      <w:r w:rsidR="00355CDA">
        <w:t>Consistent with t</w:t>
      </w:r>
      <w:r w:rsidR="00807B4E">
        <w:t>he Government</w:t>
      </w:r>
      <w:r w:rsidR="00355CDA">
        <w:t>’s commitments, it will</w:t>
      </w:r>
      <w:r w:rsidR="00807B4E" w:rsidRPr="00807B4E">
        <w:t xml:space="preserve"> improv</w:t>
      </w:r>
      <w:r w:rsidR="00355CDA">
        <w:t>e</w:t>
      </w:r>
      <w:r w:rsidR="00807B4E" w:rsidRPr="00807B4E">
        <w:t xml:space="preserve"> services for job seekers, employers, employment service providers and other stakeholders through increased employer engagement, better services for job seekers and reductions in red tape</w:t>
      </w:r>
      <w:r w:rsidR="00DF371C">
        <w:t>.</w:t>
      </w:r>
      <w:r w:rsidR="006E7F44" w:rsidRPr="006E7F44">
        <w:t xml:space="preserve"> </w:t>
      </w:r>
      <w:r w:rsidR="00333B30">
        <w:t>However, t</w:t>
      </w:r>
      <w:r w:rsidRPr="00974BC0">
        <w:t>he nature of any reforms to employment services</w:t>
      </w:r>
      <w:r>
        <w:t xml:space="preserve"> </w:t>
      </w:r>
      <w:r w:rsidRPr="00974BC0">
        <w:t xml:space="preserve">will be a matter for </w:t>
      </w:r>
      <w:r>
        <w:t>the</w:t>
      </w:r>
      <w:r w:rsidRPr="00974BC0">
        <w:t xml:space="preserve"> Government</w:t>
      </w:r>
      <w:r>
        <w:t xml:space="preserve"> to consider</w:t>
      </w:r>
      <w:r w:rsidRPr="00974BC0">
        <w:t>.</w:t>
      </w:r>
    </w:p>
    <w:p w:rsidR="00CF19E4" w:rsidRPr="00CF19E4" w:rsidRDefault="00D45701" w:rsidP="00CF19E4">
      <w:pPr>
        <w:pStyle w:val="Heading2"/>
        <w:rPr>
          <w:b w:val="0"/>
        </w:rPr>
      </w:pPr>
      <w:bookmarkStart w:id="24" w:name="_Toc384202094"/>
      <w:r w:rsidRPr="00CF19E4">
        <w:t>Targeted program</w:t>
      </w:r>
      <w:r w:rsidR="00E303F9">
        <w:t>me</w:t>
      </w:r>
      <w:r w:rsidRPr="00CF19E4">
        <w:t>s</w:t>
      </w:r>
      <w:bookmarkEnd w:id="24"/>
    </w:p>
    <w:p w:rsidR="000C481D" w:rsidRPr="00E51A72" w:rsidRDefault="00C52F12" w:rsidP="00A432F0">
      <w:pPr>
        <w:spacing w:after="240" w:line="240" w:lineRule="auto"/>
      </w:pPr>
      <w:r>
        <w:t>T</w:t>
      </w:r>
      <w:r w:rsidR="000C481D" w:rsidRPr="00E51A72">
        <w:t xml:space="preserve">here have been a number of </w:t>
      </w:r>
      <w:r>
        <w:t xml:space="preserve">Australian </w:t>
      </w:r>
      <w:r w:rsidR="000C481D" w:rsidRPr="00E51A72">
        <w:t>Government</w:t>
      </w:r>
      <w:r>
        <w:t xml:space="preserve"> i</w:t>
      </w:r>
      <w:r w:rsidR="000C481D" w:rsidRPr="00E51A72">
        <w:t>nitiatives to support labour mobility</w:t>
      </w:r>
      <w:r w:rsidRPr="00C52F12">
        <w:t xml:space="preserve"> </w:t>
      </w:r>
      <w:r>
        <w:t>i</w:t>
      </w:r>
      <w:r w:rsidRPr="00E51A72">
        <w:t>n recent years</w:t>
      </w:r>
      <w:r w:rsidR="000C481D" w:rsidRPr="00E51A72">
        <w:t>. These</w:t>
      </w:r>
      <w:r w:rsidR="00EC4EE7">
        <w:t xml:space="preserve"> </w:t>
      </w:r>
      <w:r>
        <w:t xml:space="preserve">initiatives </w:t>
      </w:r>
      <w:r w:rsidR="00EC4EE7">
        <w:t>have included pilot program</w:t>
      </w:r>
      <w:r w:rsidR="00E303F9">
        <w:t>me</w:t>
      </w:r>
      <w:r w:rsidR="00EC4EE7">
        <w:t xml:space="preserve">s designed to test the capacity of government to support </w:t>
      </w:r>
      <w:r>
        <w:t xml:space="preserve">the mobility of </w:t>
      </w:r>
      <w:r w:rsidR="00EC4EE7">
        <w:t xml:space="preserve">job seekers, and </w:t>
      </w:r>
      <w:r w:rsidR="000C481D" w:rsidRPr="00E51A72">
        <w:t>are outlined below.</w:t>
      </w:r>
    </w:p>
    <w:p w:rsidR="000C481D" w:rsidRPr="00F66AC8" w:rsidRDefault="000C481D" w:rsidP="00E3010D">
      <w:pPr>
        <w:pStyle w:val="Heading3"/>
        <w:rPr>
          <w:b w:val="0"/>
        </w:rPr>
      </w:pPr>
      <w:bookmarkStart w:id="25" w:name="_Toc384202095"/>
      <w:r w:rsidRPr="00F66AC8">
        <w:t>Relocation Pilots 2006-2008</w:t>
      </w:r>
      <w:bookmarkEnd w:id="25"/>
      <w:r w:rsidRPr="00F66AC8">
        <w:t xml:space="preserve"> </w:t>
      </w:r>
    </w:p>
    <w:p w:rsidR="000C481D" w:rsidRPr="00E51A72" w:rsidRDefault="000C481D" w:rsidP="00A432F0">
      <w:pPr>
        <w:spacing w:after="240" w:line="240" w:lineRule="auto"/>
      </w:pPr>
      <w:r w:rsidRPr="00E51A72">
        <w:t>In 2005</w:t>
      </w:r>
      <w:r w:rsidR="00C52F12">
        <w:t>,</w:t>
      </w:r>
      <w:r w:rsidRPr="00E51A72">
        <w:t xml:space="preserve"> </w:t>
      </w:r>
      <w:r w:rsidR="00BF3781">
        <w:t xml:space="preserve">the </w:t>
      </w:r>
      <w:r w:rsidRPr="00E51A72">
        <w:t xml:space="preserve">unemployment </w:t>
      </w:r>
      <w:r w:rsidR="00BF3781">
        <w:t xml:space="preserve">rate </w:t>
      </w:r>
      <w:r w:rsidRPr="00E51A72">
        <w:t xml:space="preserve">in Western Australia was low and the industries driving the state’s economy, such as </w:t>
      </w:r>
      <w:r w:rsidR="00DF371C">
        <w:t>M</w:t>
      </w:r>
      <w:r w:rsidRPr="00E51A72">
        <w:t xml:space="preserve">ining and </w:t>
      </w:r>
      <w:r w:rsidR="00DF371C">
        <w:t>C</w:t>
      </w:r>
      <w:r w:rsidRPr="00E51A72">
        <w:t>onstruction, were experiencing labour shortages. Concurrently, there was high unemployment in parts of Australia, especia</w:t>
      </w:r>
      <w:r w:rsidR="00C52F12">
        <w:t xml:space="preserve">lly along the eastern seaboard. </w:t>
      </w:r>
      <w:r w:rsidRPr="00E51A72">
        <w:t xml:space="preserve">The relocation pilots were designed to enable job seekers who had limited employment prospects in their local area to find and keep gainful employment in a region with demand for labour. </w:t>
      </w:r>
    </w:p>
    <w:p w:rsidR="000C481D" w:rsidRPr="00E51A72" w:rsidRDefault="000C481D" w:rsidP="00A432F0">
      <w:pPr>
        <w:spacing w:after="240" w:line="240" w:lineRule="auto"/>
      </w:pPr>
      <w:r w:rsidRPr="00E51A72">
        <w:t xml:space="preserve">The </w:t>
      </w:r>
      <w:r w:rsidR="00C52F12">
        <w:t>ESAs</w:t>
      </w:r>
      <w:r w:rsidRPr="00E51A72">
        <w:t xml:space="preserve"> that the relocation took place between were selected based on unemployment and labour demand statistics at the time. Coffs Harbour and Shoalhaven in New South Wales were chosen as the source ESAs for the </w:t>
      </w:r>
      <w:r w:rsidR="00DF371C">
        <w:t>P</w:t>
      </w:r>
      <w:r w:rsidRPr="00E51A72">
        <w:t>ilot</w:t>
      </w:r>
      <w:r w:rsidR="00C52F12">
        <w:t>,</w:t>
      </w:r>
      <w:r w:rsidRPr="00E51A72">
        <w:t xml:space="preserve"> as the unemployment rate at the time for these areas was 12.5</w:t>
      </w:r>
      <w:r w:rsidR="00C52F12">
        <w:t> </w:t>
      </w:r>
      <w:r w:rsidRPr="00E51A72">
        <w:t>per</w:t>
      </w:r>
      <w:r w:rsidR="00C52F12">
        <w:t> </w:t>
      </w:r>
      <w:r w:rsidRPr="00E51A72">
        <w:t xml:space="preserve">cent and 8.1 per cent respectively. For the second </w:t>
      </w:r>
      <w:r w:rsidR="00DF371C">
        <w:t>P</w:t>
      </w:r>
      <w:r w:rsidRPr="00E51A72">
        <w:t>ilot (Relocate 2)</w:t>
      </w:r>
      <w:r w:rsidR="00C52F12">
        <w:t>,</w:t>
      </w:r>
      <w:r w:rsidRPr="00E51A72">
        <w:t xml:space="preserve"> Shoalhaven and Northern Adelaide (which was experiencing an </w:t>
      </w:r>
      <w:r w:rsidR="00C52F12">
        <w:t>8.8 per cent unemployment rate)</w:t>
      </w:r>
      <w:r w:rsidRPr="00E51A72">
        <w:t xml:space="preserve"> were the source ESAs.</w:t>
      </w:r>
      <w:r w:rsidR="00BB3A25">
        <w:t xml:space="preserve"> </w:t>
      </w:r>
    </w:p>
    <w:p w:rsidR="000C481D" w:rsidRPr="00E51A72" w:rsidRDefault="000C481D" w:rsidP="00A432F0">
      <w:pPr>
        <w:spacing w:after="240" w:line="240" w:lineRule="auto"/>
      </w:pPr>
      <w:r w:rsidRPr="00E51A72">
        <w:t xml:space="preserve">The initial </w:t>
      </w:r>
      <w:r w:rsidR="00DF371C">
        <w:t>P</w:t>
      </w:r>
      <w:r w:rsidRPr="00E51A72">
        <w:t xml:space="preserve">ilot ran from November 2006 to June 2007 and allowed for the relocation of up to 50 job seekers from a high unemployment area, to an area with low unemployment. An extension of the </w:t>
      </w:r>
      <w:r w:rsidR="00DF371C">
        <w:t>P</w:t>
      </w:r>
      <w:r w:rsidRPr="00E51A72">
        <w:t xml:space="preserve">ilot (Relocate 2) was announced in the Budget in May 2007 which would fund up to 80 additional places. This </w:t>
      </w:r>
      <w:r w:rsidR="00DF371C">
        <w:t>P</w:t>
      </w:r>
      <w:r w:rsidRPr="00E51A72">
        <w:t>ilot concluded in June 2008. A total commitment of $728,000 was made for a maximum of 130 places in the two relocation trials.</w:t>
      </w:r>
    </w:p>
    <w:p w:rsidR="000C481D" w:rsidRPr="00E51A72" w:rsidRDefault="000C481D" w:rsidP="00A432F0">
      <w:pPr>
        <w:spacing w:after="240" w:line="240" w:lineRule="auto"/>
      </w:pPr>
      <w:r w:rsidRPr="00E51A72">
        <w:t>An assessment of the effectiveness of the initial pilot was undertaken; however</w:t>
      </w:r>
      <w:r w:rsidR="00C52F12">
        <w:t>,</w:t>
      </w:r>
      <w:r w:rsidRPr="00E51A72">
        <w:t xml:space="preserve"> no formal assessment was undertaken for the second pilot.</w:t>
      </w:r>
    </w:p>
    <w:p w:rsidR="000C481D" w:rsidRPr="00E51A72" w:rsidRDefault="000C481D" w:rsidP="00A432F0">
      <w:pPr>
        <w:spacing w:after="240" w:line="240" w:lineRule="auto"/>
      </w:pPr>
      <w:r w:rsidRPr="00E51A72">
        <w:t>The screening of job seekers to participate in the pilot, a process designed to meet the needs of prospective employers, tended to select the more employable and motivated job seekers from the available pool; that is, it resulted in selection bias. Largely due to this bias, the pilot produced little evidence that relocation itself significantly improved job seeker employability or provided job seekers with employment opportunities they would not have otherwise attained. In addition, the source regions for the pilot, Shoalhaven and Coffs Harbour ESAs, were experiencing their own shortage of workers in similar occupations such as kitchen hands, general labourers</w:t>
      </w:r>
      <w:r w:rsidR="00C52F12">
        <w:t>,</w:t>
      </w:r>
      <w:r w:rsidRPr="00E51A72">
        <w:t xml:space="preserve"> and apprenticeship and traineeship positions. Given the pilot participants’ previous labour market experience</w:t>
      </w:r>
      <w:r w:rsidR="00217F9A">
        <w:t>,</w:t>
      </w:r>
      <w:r w:rsidRPr="00E51A72">
        <w:t xml:space="preserve"> the assessment concluded that they could have filled these vacancies. </w:t>
      </w:r>
    </w:p>
    <w:p w:rsidR="000C481D" w:rsidRPr="00E51A72" w:rsidRDefault="000C481D" w:rsidP="00BE6849">
      <w:pPr>
        <w:keepNext/>
        <w:spacing w:after="240" w:line="240" w:lineRule="auto"/>
      </w:pPr>
      <w:r w:rsidRPr="00E51A72">
        <w:lastRenderedPageBreak/>
        <w:t>Employment outcomes fell short of the bench</w:t>
      </w:r>
      <w:r w:rsidR="00217F9A">
        <w:t>mark set for the Pilot, but off-</w:t>
      </w:r>
      <w:r w:rsidRPr="00E51A72">
        <w:t xml:space="preserve">benefit outcomes were demonstrated: </w:t>
      </w:r>
    </w:p>
    <w:p w:rsidR="000C481D" w:rsidRPr="00BE6849" w:rsidRDefault="00BC40D7" w:rsidP="00BE6849">
      <w:pPr>
        <w:pStyle w:val="ListParagraph"/>
        <w:numPr>
          <w:ilvl w:val="0"/>
          <w:numId w:val="14"/>
        </w:numPr>
        <w:spacing w:after="240"/>
        <w:rPr>
          <w:rFonts w:asciiTheme="minorHAnsi" w:hAnsiTheme="minorHAnsi" w:cstheme="minorHAnsi"/>
          <w:sz w:val="22"/>
          <w:szCs w:val="22"/>
        </w:rPr>
      </w:pPr>
      <w:r>
        <w:rPr>
          <w:rFonts w:asciiTheme="minorHAnsi" w:hAnsiTheme="minorHAnsi" w:cstheme="minorHAnsi"/>
          <w:sz w:val="22"/>
          <w:szCs w:val="22"/>
        </w:rPr>
        <w:t>Thirty-three</w:t>
      </w:r>
      <w:r w:rsidR="000C481D" w:rsidRPr="00BE6849">
        <w:rPr>
          <w:rFonts w:asciiTheme="minorHAnsi" w:hAnsiTheme="minorHAnsi" w:cstheme="minorHAnsi"/>
          <w:sz w:val="22"/>
          <w:szCs w:val="22"/>
        </w:rPr>
        <w:t xml:space="preserve"> per cent of participants remained in employment for 26 weeks. While this was lower than the benchmark of 65 per cent, it exceeded averages for active job seekers in the sending and receiving ESAs, 13 and 20 per cent respectively (partly due to selection bias)</w:t>
      </w:r>
      <w:r w:rsidR="00217F9A">
        <w:rPr>
          <w:rFonts w:asciiTheme="minorHAnsi" w:hAnsiTheme="minorHAnsi" w:cstheme="minorHAnsi"/>
          <w:sz w:val="22"/>
          <w:szCs w:val="22"/>
        </w:rPr>
        <w:t>.</w:t>
      </w:r>
    </w:p>
    <w:p w:rsidR="000C481D" w:rsidRPr="00BE6849" w:rsidRDefault="00BC40D7" w:rsidP="00BE6849">
      <w:pPr>
        <w:pStyle w:val="ListParagraph"/>
        <w:numPr>
          <w:ilvl w:val="0"/>
          <w:numId w:val="14"/>
        </w:numPr>
        <w:spacing w:after="240"/>
        <w:rPr>
          <w:rFonts w:asciiTheme="minorHAnsi" w:hAnsiTheme="minorHAnsi" w:cstheme="minorHAnsi"/>
          <w:sz w:val="22"/>
          <w:szCs w:val="22"/>
        </w:rPr>
      </w:pPr>
      <w:r>
        <w:rPr>
          <w:rFonts w:asciiTheme="minorHAnsi" w:hAnsiTheme="minorHAnsi" w:cstheme="minorHAnsi"/>
          <w:sz w:val="22"/>
          <w:szCs w:val="22"/>
        </w:rPr>
        <w:t>R</w:t>
      </w:r>
      <w:r w:rsidR="000C481D" w:rsidRPr="00BE6849">
        <w:rPr>
          <w:rFonts w:asciiTheme="minorHAnsi" w:hAnsiTheme="minorHAnsi" w:cstheme="minorHAnsi"/>
          <w:sz w:val="22"/>
          <w:szCs w:val="22"/>
        </w:rPr>
        <w:t>egardless of whether participants maintained their initial employment placement, of the 27</w:t>
      </w:r>
      <w:r w:rsidR="00217F9A">
        <w:rPr>
          <w:rFonts w:asciiTheme="minorHAnsi" w:hAnsiTheme="minorHAnsi" w:cstheme="minorHAnsi"/>
          <w:sz w:val="22"/>
          <w:szCs w:val="22"/>
        </w:rPr>
        <w:t xml:space="preserve"> people </w:t>
      </w:r>
      <w:r w:rsidR="000C481D" w:rsidRPr="00BE6849">
        <w:rPr>
          <w:rFonts w:asciiTheme="minorHAnsi" w:hAnsiTheme="minorHAnsi" w:cstheme="minorHAnsi"/>
          <w:sz w:val="22"/>
          <w:szCs w:val="22"/>
        </w:rPr>
        <w:t>who were on benefits prior to relocation, 22 were off benefits six months after job placement.</w:t>
      </w:r>
    </w:p>
    <w:p w:rsidR="000C481D" w:rsidRPr="00E51A72" w:rsidRDefault="000C481D" w:rsidP="00A432F0">
      <w:pPr>
        <w:spacing w:after="240" w:line="240" w:lineRule="auto"/>
      </w:pPr>
      <w:r w:rsidRPr="00E51A72">
        <w:t xml:space="preserve">In terms of sustainability of employment, Pilot participants were considered more likely to achieve a longer-term job match compared </w:t>
      </w:r>
      <w:r w:rsidR="00217F9A">
        <w:t xml:space="preserve">with </w:t>
      </w:r>
      <w:r w:rsidRPr="00E51A72">
        <w:t>the average of the regions that they left. This difference could be explained by the intensive assistance provided to participants in terms of job matching, pre</w:t>
      </w:r>
      <w:r w:rsidR="00217F9A">
        <w:noBreakHyphen/>
      </w:r>
      <w:r w:rsidRPr="00E51A72">
        <w:t xml:space="preserve">employment screening and training; and post-placement support. </w:t>
      </w:r>
    </w:p>
    <w:p w:rsidR="000C481D" w:rsidRPr="00E51A72" w:rsidRDefault="000C481D" w:rsidP="00A432F0">
      <w:pPr>
        <w:spacing w:after="240" w:line="240" w:lineRule="auto"/>
      </w:pPr>
      <w:r w:rsidRPr="00E51A72">
        <w:t xml:space="preserve">The assessment made by participating employers was mixed. Only </w:t>
      </w:r>
      <w:r w:rsidR="00DF371C">
        <w:t xml:space="preserve">10 </w:t>
      </w:r>
      <w:r w:rsidRPr="00E51A72">
        <w:t>of the original 27 on-benefit job seekers remained with their relocation employer. This was considered to be a low return given the investment made (employers found the recruitment and supervision costs for pilot participants were considerably hi</w:t>
      </w:r>
      <w:r w:rsidR="00F51303">
        <w:t>gher than for other new employee</w:t>
      </w:r>
      <w:r w:rsidRPr="00E51A72">
        <w:t>s). One employer declined to be involved in Relocate 2; the continuing involvement of the other employer was premised on an expectation of higher quality future participants.</w:t>
      </w:r>
    </w:p>
    <w:p w:rsidR="000C481D" w:rsidRPr="00E51A72" w:rsidRDefault="000C481D" w:rsidP="00A432F0">
      <w:pPr>
        <w:spacing w:after="240" w:line="240" w:lineRule="auto"/>
      </w:pPr>
      <w:r w:rsidRPr="00E51A72">
        <w:t>It was not clear that the Pilot delivered a cost effective alternative to relocation assistance that could already be provided by Job Network Members using the Job Seeker Account. Th</w:t>
      </w:r>
      <w:r w:rsidR="004344DA">
        <w:t>e unit cost of the Pilot was $5</w:t>
      </w:r>
      <w:r w:rsidRPr="00E51A72">
        <w:t>164 per person relocated. This figure compared with the average per person relocation expenditure at the time of $551, when using the Job Seeker Account (available under the Job Network model). Similar individuals who utilised the Job Seeker Account for relocation expenses were just as likely to gain sustainable employment in other regions, as those who relocated in the pilots.</w:t>
      </w:r>
    </w:p>
    <w:p w:rsidR="000C481D" w:rsidRPr="00E51A72" w:rsidRDefault="000C481D" w:rsidP="00A432F0">
      <w:pPr>
        <w:spacing w:after="240" w:line="240" w:lineRule="auto"/>
      </w:pPr>
      <w:r w:rsidRPr="00E51A72">
        <w:t xml:space="preserve">It should be noted that particular care needs to be taken when interpreting the results of the relocation pilot. Participants were assisted in a number of ways in addition to being helped with the cost of moving to Perth: through pre-employment training, formal training after taking a job and, in some cases, post-relocation pastoral care. </w:t>
      </w:r>
    </w:p>
    <w:p w:rsidR="000C481D" w:rsidRPr="00F66AC8" w:rsidRDefault="000C481D" w:rsidP="00E3010D">
      <w:pPr>
        <w:pStyle w:val="Heading3"/>
        <w:rPr>
          <w:b w:val="0"/>
        </w:rPr>
      </w:pPr>
      <w:bookmarkStart w:id="26" w:name="_Toc384202096"/>
      <w:r w:rsidRPr="00F66AC8">
        <w:t>Connecting People with Jobs</w:t>
      </w:r>
      <w:bookmarkEnd w:id="26"/>
    </w:p>
    <w:p w:rsidR="00BE506D" w:rsidRDefault="00BE506D" w:rsidP="00BE506D">
      <w:pPr>
        <w:spacing w:after="240" w:line="240" w:lineRule="auto"/>
      </w:pPr>
      <w:r w:rsidRPr="00E51A72">
        <w:t>The Connecting People with Jobs (CP</w:t>
      </w:r>
      <w:r>
        <w:t>w</w:t>
      </w:r>
      <w:r w:rsidRPr="00E51A72">
        <w:t xml:space="preserve">J) </w:t>
      </w:r>
      <w:r>
        <w:t>initiative</w:t>
      </w:r>
      <w:r w:rsidRPr="00E51A72">
        <w:t xml:space="preserve"> began on 1 January 2011</w:t>
      </w:r>
      <w:r>
        <w:t xml:space="preserve"> and closed to new participants on 30 June 2013</w:t>
      </w:r>
      <w:r w:rsidRPr="00E51A72">
        <w:t xml:space="preserve">. The aim of the initiative </w:t>
      </w:r>
      <w:r>
        <w:t>was</w:t>
      </w:r>
      <w:r w:rsidRPr="00E51A72">
        <w:t xml:space="preserve"> to improve labour mobility and </w:t>
      </w:r>
      <w:r>
        <w:t>reduce unemployment</w:t>
      </w:r>
      <w:r w:rsidRPr="00E51A72">
        <w:t xml:space="preserve"> by providing practical assistance to eligible job seekers in </w:t>
      </w:r>
      <w:r w:rsidR="006F0B58">
        <w:t xml:space="preserve">JSA </w:t>
      </w:r>
      <w:r w:rsidRPr="00E51A72">
        <w:t>and D</w:t>
      </w:r>
      <w:r w:rsidR="006F0B58">
        <w:t xml:space="preserve">ES </w:t>
      </w:r>
      <w:r w:rsidRPr="00E51A72">
        <w:t xml:space="preserve">to relocate for work or </w:t>
      </w:r>
      <w:r>
        <w:t xml:space="preserve">an </w:t>
      </w:r>
      <w:r w:rsidRPr="00E51A72">
        <w:t>apprenticeship</w:t>
      </w:r>
      <w:r>
        <w:t xml:space="preserve"> by taking advantage of areas with greater employment opportunities</w:t>
      </w:r>
      <w:r w:rsidRPr="00E51A72">
        <w:t xml:space="preserve">. </w:t>
      </w:r>
    </w:p>
    <w:p w:rsidR="00BE506D" w:rsidRDefault="00BE506D" w:rsidP="00BE506D">
      <w:pPr>
        <w:spacing w:after="240" w:line="240" w:lineRule="auto"/>
      </w:pPr>
      <w:r>
        <w:t>The initiative had low</w:t>
      </w:r>
      <w:r w:rsidR="00ED7D4F">
        <w:t>er than expected</w:t>
      </w:r>
      <w:r>
        <w:t xml:space="preserve"> take up over the life of the program</w:t>
      </w:r>
      <w:r w:rsidR="00686363">
        <w:t>me</w:t>
      </w:r>
      <w:r>
        <w:t xml:space="preserve"> primarily because disadvantaged job seekers find it difficult to </w:t>
      </w:r>
      <w:r w:rsidR="00AA701D">
        <w:t>overcome social barriers to relocation as already noted in this submission</w:t>
      </w:r>
      <w:r>
        <w:t xml:space="preserve">. </w:t>
      </w:r>
      <w:r w:rsidR="006F0B58">
        <w:t xml:space="preserve">However, </w:t>
      </w:r>
      <w:r>
        <w:t>CPwJ has shown that ther</w:t>
      </w:r>
      <w:r w:rsidR="006F0B58">
        <w:t>e remains an incentive for g</w:t>
      </w:r>
      <w:r>
        <w:t>overnment to provide labour mobility program</w:t>
      </w:r>
      <w:r w:rsidR="00686363">
        <w:t>me</w:t>
      </w:r>
      <w:r>
        <w:t xml:space="preserve">s because </w:t>
      </w:r>
      <w:r w:rsidR="0062208B">
        <w:t xml:space="preserve">there is a need to provide relocation assistance to individuals. </w:t>
      </w:r>
    </w:p>
    <w:p w:rsidR="00BE506D" w:rsidRDefault="00BE506D" w:rsidP="00BE506D">
      <w:pPr>
        <w:spacing w:after="240" w:line="240" w:lineRule="auto"/>
      </w:pPr>
      <w:r w:rsidRPr="00E51A72">
        <w:t xml:space="preserve">The amount of funding available to support relocation through this </w:t>
      </w:r>
      <w:r>
        <w:t>initiative</w:t>
      </w:r>
      <w:r w:rsidRPr="00E51A72">
        <w:t xml:space="preserve"> </w:t>
      </w:r>
      <w:r>
        <w:t>was:</w:t>
      </w:r>
    </w:p>
    <w:p w:rsidR="00BE506D" w:rsidRPr="00BE506D" w:rsidRDefault="004344DA" w:rsidP="00BE506D">
      <w:pPr>
        <w:pStyle w:val="ListParagraph"/>
        <w:numPr>
          <w:ilvl w:val="0"/>
          <w:numId w:val="30"/>
        </w:numPr>
        <w:rPr>
          <w:rFonts w:cstheme="minorHAnsi"/>
          <w:sz w:val="22"/>
          <w:szCs w:val="22"/>
        </w:rPr>
      </w:pPr>
      <w:r>
        <w:rPr>
          <w:rFonts w:asciiTheme="minorHAnsi" w:hAnsiTheme="minorHAnsi" w:cstheme="minorHAnsi"/>
          <w:sz w:val="22"/>
          <w:szCs w:val="22"/>
        </w:rPr>
        <w:t>Up to $3</w:t>
      </w:r>
      <w:r w:rsidR="00BE506D" w:rsidRPr="00BE506D">
        <w:rPr>
          <w:rFonts w:asciiTheme="minorHAnsi" w:hAnsiTheme="minorHAnsi" w:cstheme="minorHAnsi"/>
          <w:sz w:val="22"/>
          <w:szCs w:val="22"/>
        </w:rPr>
        <w:t xml:space="preserve">000 for a job seeker to </w:t>
      </w:r>
      <w:r w:rsidR="006F0B58">
        <w:rPr>
          <w:rFonts w:asciiTheme="minorHAnsi" w:hAnsiTheme="minorHAnsi" w:cstheme="minorHAnsi"/>
          <w:sz w:val="22"/>
          <w:szCs w:val="22"/>
        </w:rPr>
        <w:t>relocate to a metropolitan area;</w:t>
      </w:r>
      <w:r w:rsidR="00BE506D" w:rsidRPr="00BE506D">
        <w:rPr>
          <w:rFonts w:asciiTheme="minorHAnsi" w:hAnsiTheme="minorHAnsi" w:cstheme="minorHAnsi"/>
          <w:sz w:val="22"/>
          <w:szCs w:val="22"/>
        </w:rPr>
        <w:t xml:space="preserve"> </w:t>
      </w:r>
    </w:p>
    <w:p w:rsidR="00BE506D" w:rsidRPr="00BE506D" w:rsidRDefault="004344DA" w:rsidP="00BE506D">
      <w:pPr>
        <w:pStyle w:val="ListParagraph"/>
        <w:numPr>
          <w:ilvl w:val="0"/>
          <w:numId w:val="30"/>
        </w:numPr>
        <w:rPr>
          <w:rFonts w:cstheme="minorHAnsi"/>
          <w:sz w:val="22"/>
          <w:szCs w:val="22"/>
        </w:rPr>
      </w:pPr>
      <w:r>
        <w:rPr>
          <w:rFonts w:asciiTheme="minorHAnsi" w:hAnsiTheme="minorHAnsi" w:cstheme="minorHAnsi"/>
          <w:sz w:val="22"/>
          <w:szCs w:val="22"/>
        </w:rPr>
        <w:t>Up to $6</w:t>
      </w:r>
      <w:r w:rsidR="00BE506D" w:rsidRPr="00BE506D">
        <w:rPr>
          <w:rFonts w:asciiTheme="minorHAnsi" w:hAnsiTheme="minorHAnsi" w:cstheme="minorHAnsi"/>
          <w:sz w:val="22"/>
          <w:szCs w:val="22"/>
        </w:rPr>
        <w:t xml:space="preserve">000 for a job seeker to relocate to a regional area; and </w:t>
      </w:r>
    </w:p>
    <w:p w:rsidR="00BE506D" w:rsidRPr="00BE506D" w:rsidRDefault="00BE506D" w:rsidP="00BE506D">
      <w:pPr>
        <w:pStyle w:val="ListParagraph"/>
        <w:numPr>
          <w:ilvl w:val="0"/>
          <w:numId w:val="30"/>
        </w:numPr>
        <w:rPr>
          <w:rFonts w:cstheme="minorHAnsi"/>
          <w:sz w:val="22"/>
          <w:szCs w:val="22"/>
        </w:rPr>
      </w:pPr>
      <w:r w:rsidRPr="00BE506D">
        <w:rPr>
          <w:rFonts w:asciiTheme="minorHAnsi" w:hAnsiTheme="minorHAnsi" w:cstheme="minorHAnsi"/>
          <w:sz w:val="22"/>
          <w:szCs w:val="22"/>
        </w:rPr>
        <w:t>Up to a</w:t>
      </w:r>
      <w:r>
        <w:rPr>
          <w:rFonts w:asciiTheme="minorHAnsi" w:hAnsiTheme="minorHAnsi" w:cstheme="minorHAnsi"/>
          <w:sz w:val="22"/>
          <w:szCs w:val="22"/>
        </w:rPr>
        <w:t>n</w:t>
      </w:r>
      <w:r w:rsidR="004344DA">
        <w:rPr>
          <w:rFonts w:asciiTheme="minorHAnsi" w:hAnsiTheme="minorHAnsi" w:cstheme="minorHAnsi"/>
          <w:sz w:val="22"/>
          <w:szCs w:val="22"/>
        </w:rPr>
        <w:t xml:space="preserve"> additional $3</w:t>
      </w:r>
      <w:r w:rsidRPr="00BE506D">
        <w:rPr>
          <w:rFonts w:asciiTheme="minorHAnsi" w:hAnsiTheme="minorHAnsi" w:cstheme="minorHAnsi"/>
          <w:sz w:val="22"/>
          <w:szCs w:val="22"/>
        </w:rPr>
        <w:t>000 for a job seeker with depend</w:t>
      </w:r>
      <w:r w:rsidR="000E36D5">
        <w:rPr>
          <w:rFonts w:asciiTheme="minorHAnsi" w:hAnsiTheme="minorHAnsi" w:cstheme="minorHAnsi"/>
          <w:sz w:val="22"/>
          <w:szCs w:val="22"/>
        </w:rPr>
        <w:t>a</w:t>
      </w:r>
      <w:r w:rsidRPr="00BE506D">
        <w:rPr>
          <w:rFonts w:asciiTheme="minorHAnsi" w:hAnsiTheme="minorHAnsi" w:cstheme="minorHAnsi"/>
          <w:sz w:val="22"/>
          <w:szCs w:val="22"/>
        </w:rPr>
        <w:t xml:space="preserve">nts. </w:t>
      </w:r>
    </w:p>
    <w:p w:rsidR="00BE506D" w:rsidRDefault="00BE506D" w:rsidP="00BE506D">
      <w:pPr>
        <w:pStyle w:val="ListParagraph"/>
        <w:rPr>
          <w:rFonts w:cstheme="minorHAnsi"/>
        </w:rPr>
      </w:pPr>
    </w:p>
    <w:p w:rsidR="00BE506D" w:rsidRDefault="00BE506D" w:rsidP="00BE506D">
      <w:pPr>
        <w:spacing w:after="240" w:line="240" w:lineRule="auto"/>
        <w:rPr>
          <w:rStyle w:val="CharAttribute2"/>
        </w:rPr>
      </w:pPr>
      <w:r w:rsidRPr="00E51A72">
        <w:t xml:space="preserve">Very few participants </w:t>
      </w:r>
      <w:r>
        <w:t>were reimbursed for the full funding amount available to them. Over the life of the initiative t</w:t>
      </w:r>
      <w:r w:rsidRPr="00E51A72">
        <w:t xml:space="preserve">he average cost of a relocation </w:t>
      </w:r>
      <w:r>
        <w:t xml:space="preserve">was </w:t>
      </w:r>
      <w:r w:rsidRPr="00E51A72">
        <w:t>$2</w:t>
      </w:r>
      <w:r>
        <w:t>,</w:t>
      </w:r>
      <w:r w:rsidRPr="00E51A72">
        <w:t>6</w:t>
      </w:r>
      <w:r w:rsidR="00AC0863">
        <w:t>01</w:t>
      </w:r>
      <w:r>
        <w:t>.</w:t>
      </w:r>
      <w:r w:rsidRPr="00E51A72">
        <w:t xml:space="preserve"> </w:t>
      </w:r>
      <w:r>
        <w:rPr>
          <w:rStyle w:val="CharAttribute2"/>
        </w:rPr>
        <w:t>The main items that job seekers claimed were for flights, petrol and rent and not what might otherwise be considered standard moving costs</w:t>
      </w:r>
      <w:r w:rsidR="006F0B58">
        <w:rPr>
          <w:rStyle w:val="CharAttribute2"/>
        </w:rPr>
        <w:t xml:space="preserve">; for example, </w:t>
      </w:r>
      <w:r>
        <w:rPr>
          <w:rStyle w:val="CharAttribute2"/>
        </w:rPr>
        <w:t xml:space="preserve">removalists costs. </w:t>
      </w:r>
      <w:r w:rsidR="006F0B58">
        <w:rPr>
          <w:rStyle w:val="CharAttribute2"/>
        </w:rPr>
        <w:t>Employment-</w:t>
      </w:r>
      <w:r w:rsidR="0062208B">
        <w:rPr>
          <w:rStyle w:val="CharAttribute2"/>
        </w:rPr>
        <w:t xml:space="preserve">related costs and </w:t>
      </w:r>
      <w:r w:rsidR="006F0B58">
        <w:rPr>
          <w:rStyle w:val="CharAttribute2"/>
        </w:rPr>
        <w:t>set-</w:t>
      </w:r>
      <w:r w:rsidR="005D2D2B">
        <w:rPr>
          <w:rStyle w:val="CharAttribute2"/>
        </w:rPr>
        <w:t xml:space="preserve">up </w:t>
      </w:r>
      <w:r w:rsidR="0062208B">
        <w:rPr>
          <w:rStyle w:val="CharAttribute2"/>
        </w:rPr>
        <w:t>costs</w:t>
      </w:r>
      <w:r w:rsidR="006F0B58">
        <w:rPr>
          <w:rStyle w:val="CharAttribute2"/>
        </w:rPr>
        <w:t>,</w:t>
      </w:r>
      <w:r w:rsidR="0062208B">
        <w:rPr>
          <w:rStyle w:val="CharAttribute2"/>
        </w:rPr>
        <w:t xml:space="preserve"> </w:t>
      </w:r>
      <w:r w:rsidR="005D2D2B">
        <w:rPr>
          <w:rStyle w:val="CharAttribute2"/>
        </w:rPr>
        <w:t>such as utility connection fees</w:t>
      </w:r>
      <w:r w:rsidR="006F0B58">
        <w:rPr>
          <w:rStyle w:val="CharAttribute2"/>
        </w:rPr>
        <w:t>,</w:t>
      </w:r>
      <w:r w:rsidR="005D2D2B">
        <w:rPr>
          <w:rStyle w:val="CharAttribute2"/>
        </w:rPr>
        <w:t xml:space="preserve"> </w:t>
      </w:r>
      <w:r w:rsidR="0062208B">
        <w:rPr>
          <w:rStyle w:val="CharAttribute2"/>
        </w:rPr>
        <w:t xml:space="preserve">were also funded to establish job seekers into their new employment and community. </w:t>
      </w:r>
      <w:r>
        <w:rPr>
          <w:rStyle w:val="CharAttribute2"/>
        </w:rPr>
        <w:t xml:space="preserve">Participants who relocated with dependants spent about twice as much as participants who relocated with no dependants. </w:t>
      </w:r>
    </w:p>
    <w:p w:rsidR="00BE506D" w:rsidRPr="00E51A72" w:rsidRDefault="00BE506D" w:rsidP="00BE506D">
      <w:pPr>
        <w:spacing w:after="240" w:line="240" w:lineRule="auto"/>
      </w:pPr>
      <w:r w:rsidRPr="00E51A72">
        <w:t>CP</w:t>
      </w:r>
      <w:r>
        <w:t>w</w:t>
      </w:r>
      <w:r w:rsidRPr="00E51A72">
        <w:t>J also include</w:t>
      </w:r>
      <w:r>
        <w:t>d</w:t>
      </w:r>
      <w:r w:rsidR="004344DA">
        <w:t xml:space="preserve"> a $2</w:t>
      </w:r>
      <w:r w:rsidRPr="00E51A72">
        <w:t>500 wage subsidy to support participants’ employment</w:t>
      </w:r>
      <w:r>
        <w:t xml:space="preserve"> in their new location. </w:t>
      </w:r>
      <w:r w:rsidRPr="00E51A72">
        <w:t xml:space="preserve">Take up of the wage subsidy </w:t>
      </w:r>
      <w:r>
        <w:t xml:space="preserve">was also </w:t>
      </w:r>
      <w:r w:rsidRPr="00E51A72">
        <w:t>particularly low</w:t>
      </w:r>
      <w:r w:rsidR="006F0B58">
        <w:t>,</w:t>
      </w:r>
      <w:r>
        <w:t xml:space="preserve"> with only </w:t>
      </w:r>
      <w:r w:rsidR="002239E0">
        <w:t>138</w:t>
      </w:r>
      <w:r>
        <w:t xml:space="preserve"> relocations supported by a wage subsidy at an average cost of $</w:t>
      </w:r>
      <w:r w:rsidR="004344DA">
        <w:t>1</w:t>
      </w:r>
      <w:r w:rsidR="002239E0">
        <w:t>736</w:t>
      </w:r>
      <w:r>
        <w:t xml:space="preserve"> per wage subsidy. This indicates that wage subsidies may not be a key factor when an employer decides to employ a person outside of their local area.</w:t>
      </w:r>
      <w:r w:rsidR="00BB3A25">
        <w:t xml:space="preserve"> </w:t>
      </w:r>
    </w:p>
    <w:p w:rsidR="00BE506D" w:rsidRDefault="00BE506D" w:rsidP="00BE506D">
      <w:pPr>
        <w:pStyle w:val="ParaAttribute13"/>
        <w:rPr>
          <w:sz w:val="22"/>
          <w:szCs w:val="22"/>
        </w:rPr>
      </w:pPr>
      <w:r>
        <w:rPr>
          <w:rStyle w:val="CharAttribute63"/>
          <w:szCs w:val="22"/>
        </w:rPr>
        <w:t xml:space="preserve">The criteria to be eligible for relocation assistance through CPwJ </w:t>
      </w:r>
      <w:r w:rsidR="006F0B58">
        <w:rPr>
          <w:rStyle w:val="CharAttribute63"/>
          <w:szCs w:val="22"/>
        </w:rPr>
        <w:t xml:space="preserve">were </w:t>
      </w:r>
      <w:r>
        <w:rPr>
          <w:rStyle w:val="CharAttribute63"/>
          <w:szCs w:val="22"/>
        </w:rPr>
        <w:t>targeted at assisting disadvantaged job seekers and regions. The eligibility criteria and other program</w:t>
      </w:r>
      <w:r w:rsidR="00686363">
        <w:rPr>
          <w:rStyle w:val="CharAttribute63"/>
          <w:szCs w:val="22"/>
        </w:rPr>
        <w:t>me</w:t>
      </w:r>
      <w:r>
        <w:rPr>
          <w:rStyle w:val="CharAttribute63"/>
          <w:szCs w:val="22"/>
        </w:rPr>
        <w:t xml:space="preserve"> </w:t>
      </w:r>
      <w:r w:rsidR="004021A7">
        <w:rPr>
          <w:rStyle w:val="CharAttribute63"/>
          <w:szCs w:val="22"/>
        </w:rPr>
        <w:t xml:space="preserve">requirements </w:t>
      </w:r>
      <w:r>
        <w:rPr>
          <w:rStyle w:val="CharAttribute63"/>
          <w:szCs w:val="22"/>
        </w:rPr>
        <w:t>me</w:t>
      </w:r>
      <w:r w:rsidR="004021A7">
        <w:rPr>
          <w:rStyle w:val="CharAttribute63"/>
          <w:szCs w:val="22"/>
        </w:rPr>
        <w:t>an</w:t>
      </w:r>
      <w:r>
        <w:rPr>
          <w:rStyle w:val="CharAttribute63"/>
          <w:szCs w:val="22"/>
        </w:rPr>
        <w:t>t</w:t>
      </w:r>
      <w:r w:rsidR="004021A7">
        <w:rPr>
          <w:rStyle w:val="CharAttribute63"/>
          <w:szCs w:val="22"/>
        </w:rPr>
        <w:t xml:space="preserve"> that</w:t>
      </w:r>
      <w:r>
        <w:rPr>
          <w:rStyle w:val="CharAttribute63"/>
          <w:szCs w:val="22"/>
        </w:rPr>
        <w:t xml:space="preserve"> this measure was complex to administer and access. The major elements of the criteria were that job seekers had to be unemployed for a minimum of 12 months, must reside in a high unemployment region</w:t>
      </w:r>
      <w:r>
        <w:rPr>
          <w:rStyle w:val="CharAttribute2"/>
          <w:szCs w:val="22"/>
        </w:rPr>
        <w:t>,</w:t>
      </w:r>
      <w:r>
        <w:rPr>
          <w:rStyle w:val="CharAttribute63"/>
          <w:szCs w:val="22"/>
        </w:rPr>
        <w:t xml:space="preserve"> could not relocate between or within capital cities</w:t>
      </w:r>
      <w:r>
        <w:rPr>
          <w:rStyle w:val="CharAttribute2"/>
          <w:szCs w:val="22"/>
        </w:rPr>
        <w:t>, and must have a confirmed job offer prior to relocating</w:t>
      </w:r>
      <w:r>
        <w:rPr>
          <w:rStyle w:val="CharAttribute63"/>
          <w:szCs w:val="22"/>
        </w:rPr>
        <w:t xml:space="preserve">. </w:t>
      </w:r>
    </w:p>
    <w:p w:rsidR="00BE506D" w:rsidRDefault="006F0B58" w:rsidP="00BE506D">
      <w:pPr>
        <w:spacing w:after="240" w:line="240" w:lineRule="auto"/>
        <w:rPr>
          <w:rStyle w:val="CharAttribute68"/>
        </w:rPr>
      </w:pPr>
      <w:r>
        <w:t>Take-</w:t>
      </w:r>
      <w:r w:rsidR="00BE506D">
        <w:t xml:space="preserve">up was initially very low and in response the eligibility </w:t>
      </w:r>
      <w:r w:rsidR="00BE506D" w:rsidRPr="00E51A72">
        <w:t xml:space="preserve">was changed in August 2011, with the length of time a job seeker needed to be unemployed reduced to </w:t>
      </w:r>
      <w:r>
        <w:t xml:space="preserve">three </w:t>
      </w:r>
      <w:r w:rsidR="00BE506D" w:rsidRPr="00E51A72">
        <w:t xml:space="preserve">months and </w:t>
      </w:r>
      <w:r w:rsidR="00BE506D">
        <w:t xml:space="preserve">also expanding eligibility to those </w:t>
      </w:r>
      <w:r w:rsidR="00BE506D" w:rsidRPr="00E51A72">
        <w:t>in D</w:t>
      </w:r>
      <w:r>
        <w:t>ES</w:t>
      </w:r>
      <w:r w:rsidR="00BE506D" w:rsidRPr="00E51A72">
        <w:t>.</w:t>
      </w:r>
      <w:r w:rsidR="00BE506D">
        <w:t xml:space="preserve"> Other changes to </w:t>
      </w:r>
      <w:r w:rsidR="00BE506D">
        <w:rPr>
          <w:rStyle w:val="CharAttribute67"/>
        </w:rPr>
        <w:t>the eligibility criteria w</w:t>
      </w:r>
      <w:r>
        <w:rPr>
          <w:rStyle w:val="CharAttribute67"/>
        </w:rPr>
        <w:t xml:space="preserve">ere </w:t>
      </w:r>
      <w:r w:rsidR="008C2EF7">
        <w:rPr>
          <w:rStyle w:val="CharAttribute67"/>
        </w:rPr>
        <w:t>made in January 201</w:t>
      </w:r>
      <w:r w:rsidR="00691959">
        <w:rPr>
          <w:rStyle w:val="CharAttribute67"/>
        </w:rPr>
        <w:t>1</w:t>
      </w:r>
      <w:r w:rsidR="00BE506D">
        <w:rPr>
          <w:rStyle w:val="CharAttribute67"/>
        </w:rPr>
        <w:t xml:space="preserve"> </w:t>
      </w:r>
      <w:r w:rsidR="00BE506D">
        <w:rPr>
          <w:rStyle w:val="CharAttribute68"/>
        </w:rPr>
        <w:t xml:space="preserve">to assist the Queensland flood recovery efforts by removing the requirement to relocate from a high unemployment area and the restriction to move between and within capital cities for those </w:t>
      </w:r>
      <w:r w:rsidR="00BE506D">
        <w:rPr>
          <w:rStyle w:val="CharAttribute2"/>
        </w:rPr>
        <w:t xml:space="preserve">relocating </w:t>
      </w:r>
      <w:r w:rsidR="00BE506D">
        <w:rPr>
          <w:rStyle w:val="CharAttribute68"/>
        </w:rPr>
        <w:t>to Q</w:t>
      </w:r>
      <w:r>
        <w:rPr>
          <w:rStyle w:val="CharAttribute68"/>
        </w:rPr>
        <w:t>ueensland flood-</w:t>
      </w:r>
      <w:r w:rsidR="00BE506D">
        <w:rPr>
          <w:rStyle w:val="CharAttribute68"/>
        </w:rPr>
        <w:t>affected regions.</w:t>
      </w:r>
    </w:p>
    <w:p w:rsidR="00BE506D" w:rsidRDefault="00BE506D" w:rsidP="00BE506D">
      <w:pPr>
        <w:pStyle w:val="ParaAttribute13"/>
        <w:rPr>
          <w:sz w:val="22"/>
          <w:szCs w:val="22"/>
        </w:rPr>
      </w:pPr>
      <w:r>
        <w:rPr>
          <w:rStyle w:val="CharAttribute2"/>
          <w:szCs w:val="22"/>
        </w:rPr>
        <w:t>CPwJ has also been used as a tool to address economic shocks</w:t>
      </w:r>
      <w:r w:rsidR="006F0B58">
        <w:rPr>
          <w:rStyle w:val="CharAttribute2"/>
          <w:szCs w:val="22"/>
        </w:rPr>
        <w:t>,</w:t>
      </w:r>
      <w:r>
        <w:rPr>
          <w:rStyle w:val="CharAttribute2"/>
          <w:szCs w:val="22"/>
        </w:rPr>
        <w:t xml:space="preserve"> including the mass redundancies of Bluescope Steel workers and Tasmanian Forestry workers. Of the Bluescope wo</w:t>
      </w:r>
      <w:r w:rsidR="00E54E58">
        <w:rPr>
          <w:rStyle w:val="CharAttribute2"/>
          <w:szCs w:val="22"/>
        </w:rPr>
        <w:t>rkers who registered with JSA, eight</w:t>
      </w:r>
      <w:r>
        <w:rPr>
          <w:rStyle w:val="CharAttribute2"/>
          <w:szCs w:val="22"/>
        </w:rPr>
        <w:t> </w:t>
      </w:r>
      <w:r>
        <w:rPr>
          <w:rStyle w:val="CharAttribute2"/>
          <w:szCs w:val="22"/>
        </w:rPr>
        <w:t xml:space="preserve">per cent relocated using CPwJ. </w:t>
      </w:r>
    </w:p>
    <w:p w:rsidR="00BE506D" w:rsidRDefault="00BE506D" w:rsidP="00BE506D">
      <w:pPr>
        <w:spacing w:after="240" w:line="240" w:lineRule="auto"/>
      </w:pPr>
      <w:r>
        <w:t>O</w:t>
      </w:r>
      <w:r w:rsidRPr="005506A8">
        <w:t xml:space="preserve">pening eligibility up to DES participants significantly increased the pool of potential </w:t>
      </w:r>
      <w:r>
        <w:t>participant</w:t>
      </w:r>
      <w:r w:rsidRPr="005506A8">
        <w:t>s</w:t>
      </w:r>
      <w:r w:rsidR="006F0B58">
        <w:t xml:space="preserve">. However, take-up </w:t>
      </w:r>
      <w:r w:rsidRPr="005506A8">
        <w:t>by DES job seekers was very low</w:t>
      </w:r>
      <w:r w:rsidR="006F0B58">
        <w:t>,</w:t>
      </w:r>
      <w:r w:rsidRPr="005506A8">
        <w:t xml:space="preserve"> at </w:t>
      </w:r>
      <w:r w:rsidR="00B3776B">
        <w:t>nine</w:t>
      </w:r>
      <w:r w:rsidRPr="005506A8">
        <w:t xml:space="preserve"> per cent of the overall relocations. </w:t>
      </w:r>
      <w:r>
        <w:t xml:space="preserve">This appears to be due to </w:t>
      </w:r>
      <w:r w:rsidRPr="005506A8">
        <w:t xml:space="preserve">the </w:t>
      </w:r>
      <w:r w:rsidR="00313B22">
        <w:t xml:space="preserve">potential </w:t>
      </w:r>
      <w:r w:rsidRPr="005506A8">
        <w:t xml:space="preserve">loss of support networks such as family, social and community support, and the difficulties </w:t>
      </w:r>
      <w:r>
        <w:t xml:space="preserve">in </w:t>
      </w:r>
      <w:r w:rsidRPr="005506A8">
        <w:t>establishing links in a new community</w:t>
      </w:r>
      <w:r>
        <w:t xml:space="preserve">. All of these have proved to be </w:t>
      </w:r>
      <w:r w:rsidRPr="005506A8">
        <w:t>major barriers for al</w:t>
      </w:r>
      <w:r>
        <w:t>l</w:t>
      </w:r>
      <w:r w:rsidRPr="005506A8">
        <w:t xml:space="preserve"> job seekers</w:t>
      </w:r>
      <w:r>
        <w:t xml:space="preserve"> in receipt of income support to relocate</w:t>
      </w:r>
      <w:r w:rsidRPr="005506A8">
        <w:t xml:space="preserve">, and particularly problematic for job seekers with a disability. </w:t>
      </w:r>
    </w:p>
    <w:p w:rsidR="00BE506D" w:rsidRDefault="00BE506D" w:rsidP="00BE506D">
      <w:pPr>
        <w:pStyle w:val="ParaAttribute13"/>
        <w:rPr>
          <w:rStyle w:val="CharAttribute2"/>
          <w:szCs w:val="22"/>
        </w:rPr>
      </w:pPr>
      <w:r>
        <w:rPr>
          <w:rStyle w:val="CharAttribute2"/>
        </w:rPr>
        <w:t xml:space="preserve">Labour mobility for disadvantaged job seekers is a difficult step. The risks and expenses in relocating for employment extend beyond just financing the actual relocation. </w:t>
      </w:r>
      <w:r>
        <w:rPr>
          <w:rStyle w:val="CharAttribute2"/>
          <w:szCs w:val="22"/>
        </w:rPr>
        <w:t>These can include social risks of losing community engagement and support, and financial risks in signing long-term contracts that limit the job seeker's flexibility once in their new location.</w:t>
      </w:r>
    </w:p>
    <w:p w:rsidR="00BB1035" w:rsidRPr="005506A8" w:rsidRDefault="00BB1035" w:rsidP="00BB1035">
      <w:pPr>
        <w:pStyle w:val="ParaAttribute13"/>
        <w:ind w:left="709" w:right="1655"/>
        <w:rPr>
          <w:rFonts w:ascii="Calibri" w:eastAsia="Calibri"/>
          <w:sz w:val="22"/>
          <w:szCs w:val="22"/>
        </w:rPr>
      </w:pPr>
      <w:r w:rsidRPr="005506A8">
        <w:rPr>
          <w:rStyle w:val="CharAttribute2"/>
          <w:b/>
          <w:szCs w:val="22"/>
          <w:u w:val="single"/>
        </w:rPr>
        <w:t>Case Study:</w:t>
      </w:r>
      <w:r>
        <w:rPr>
          <w:rStyle w:val="CharAttribute2"/>
          <w:szCs w:val="22"/>
        </w:rPr>
        <w:t xml:space="preserve"> </w:t>
      </w:r>
      <w:r w:rsidR="00C47D9D">
        <w:rPr>
          <w:rStyle w:val="CharAttribute2"/>
          <w:szCs w:val="22"/>
        </w:rPr>
        <w:t>Elizabeth</w:t>
      </w:r>
      <w:r>
        <w:rPr>
          <w:rStyle w:val="CharAttribute2"/>
          <w:szCs w:val="22"/>
        </w:rPr>
        <w:t xml:space="preserve"> (not </w:t>
      </w:r>
      <w:r w:rsidR="00384E1F">
        <w:rPr>
          <w:rStyle w:val="CharAttribute2"/>
          <w:szCs w:val="22"/>
        </w:rPr>
        <w:t>h</w:t>
      </w:r>
      <w:r w:rsidR="00C47D9D">
        <w:rPr>
          <w:rStyle w:val="CharAttribute2"/>
          <w:szCs w:val="22"/>
        </w:rPr>
        <w:t>er</w:t>
      </w:r>
      <w:r>
        <w:rPr>
          <w:rStyle w:val="CharAttribute2"/>
          <w:szCs w:val="22"/>
        </w:rPr>
        <w:t xml:space="preserve"> real name) was a 22 year old job seeker who had been unemployed for more than 12 months. </w:t>
      </w:r>
      <w:r w:rsidR="00C47D9D">
        <w:rPr>
          <w:rStyle w:val="CharAttribute2"/>
          <w:szCs w:val="22"/>
        </w:rPr>
        <w:t>Sh</w:t>
      </w:r>
      <w:r>
        <w:rPr>
          <w:rStyle w:val="CharAttribute2"/>
          <w:szCs w:val="22"/>
        </w:rPr>
        <w:t>e relocated to regional Q</w:t>
      </w:r>
      <w:r w:rsidR="006F0B58">
        <w:rPr>
          <w:rStyle w:val="CharAttribute2"/>
          <w:szCs w:val="22"/>
        </w:rPr>
        <w:t xml:space="preserve">ueensland </w:t>
      </w:r>
      <w:r>
        <w:rPr>
          <w:rStyle w:val="CharAttribute2"/>
          <w:szCs w:val="22"/>
        </w:rPr>
        <w:t xml:space="preserve">to work as a traffic controller. </w:t>
      </w:r>
      <w:r w:rsidR="00C47D9D">
        <w:rPr>
          <w:rStyle w:val="CharAttribute2"/>
          <w:szCs w:val="22"/>
        </w:rPr>
        <w:t>Elizabeth</w:t>
      </w:r>
      <w:r>
        <w:rPr>
          <w:rStyle w:val="CharAttribute2"/>
          <w:szCs w:val="22"/>
        </w:rPr>
        <w:t xml:space="preserve"> accessed removalists, personal travel costs and rent. Upon relocating </w:t>
      </w:r>
      <w:r w:rsidR="00C47D9D">
        <w:rPr>
          <w:rStyle w:val="CharAttribute2"/>
          <w:szCs w:val="22"/>
        </w:rPr>
        <w:t>Elizabeth</w:t>
      </w:r>
      <w:r>
        <w:rPr>
          <w:rStyle w:val="CharAttribute2"/>
          <w:szCs w:val="22"/>
        </w:rPr>
        <w:t>’</w:t>
      </w:r>
      <w:r>
        <w:rPr>
          <w:rStyle w:val="CharAttribute2"/>
          <w:szCs w:val="22"/>
        </w:rPr>
        <w:t>s job was delayed</w:t>
      </w:r>
      <w:r w:rsidR="00636C97">
        <w:rPr>
          <w:rStyle w:val="CharAttribute2"/>
          <w:szCs w:val="22"/>
        </w:rPr>
        <w:t>,</w:t>
      </w:r>
      <w:r>
        <w:rPr>
          <w:rStyle w:val="CharAttribute2"/>
          <w:szCs w:val="22"/>
        </w:rPr>
        <w:t xml:space="preserve"> h</w:t>
      </w:r>
      <w:r w:rsidR="00C47D9D">
        <w:rPr>
          <w:rStyle w:val="CharAttribute2"/>
          <w:szCs w:val="22"/>
        </w:rPr>
        <w:t>er</w:t>
      </w:r>
      <w:r>
        <w:rPr>
          <w:rStyle w:val="CharAttribute2"/>
          <w:szCs w:val="22"/>
        </w:rPr>
        <w:t xml:space="preserve"> working hours were significantly reduced</w:t>
      </w:r>
      <w:r w:rsidR="00636C97">
        <w:rPr>
          <w:rStyle w:val="CharAttribute2"/>
          <w:szCs w:val="22"/>
        </w:rPr>
        <w:t xml:space="preserve"> and she ultimately lost her job</w:t>
      </w:r>
      <w:r>
        <w:rPr>
          <w:rStyle w:val="CharAttribute2"/>
          <w:szCs w:val="22"/>
        </w:rPr>
        <w:t xml:space="preserve">. </w:t>
      </w:r>
      <w:r w:rsidR="00C47D9D">
        <w:rPr>
          <w:rStyle w:val="CharAttribute2"/>
          <w:szCs w:val="22"/>
        </w:rPr>
        <w:t>Sh</w:t>
      </w:r>
      <w:r>
        <w:rPr>
          <w:rStyle w:val="CharAttribute2"/>
          <w:szCs w:val="22"/>
        </w:rPr>
        <w:t xml:space="preserve">e no longer had the financial capacity to relocate again </w:t>
      </w:r>
      <w:r w:rsidR="00636C97">
        <w:rPr>
          <w:rStyle w:val="CharAttribute2"/>
          <w:szCs w:val="22"/>
        </w:rPr>
        <w:t xml:space="preserve">and was unable to </w:t>
      </w:r>
      <w:r>
        <w:rPr>
          <w:rStyle w:val="CharAttribute2"/>
          <w:szCs w:val="22"/>
        </w:rPr>
        <w:t>break a long-term lease</w:t>
      </w:r>
      <w:r w:rsidR="00636C97">
        <w:rPr>
          <w:rStyle w:val="CharAttribute2"/>
          <w:szCs w:val="22"/>
        </w:rPr>
        <w:t>.</w:t>
      </w:r>
      <w:r>
        <w:rPr>
          <w:rStyle w:val="CharAttribute2"/>
          <w:szCs w:val="22"/>
        </w:rPr>
        <w:t xml:space="preserve"> </w:t>
      </w:r>
      <w:r w:rsidR="00636C97">
        <w:rPr>
          <w:rStyle w:val="CharAttribute2"/>
          <w:szCs w:val="22"/>
        </w:rPr>
        <w:t>J</w:t>
      </w:r>
      <w:r>
        <w:rPr>
          <w:rStyle w:val="CharAttribute2"/>
          <w:szCs w:val="22"/>
        </w:rPr>
        <w:t>ob opportunities in h</w:t>
      </w:r>
      <w:r w:rsidR="00C47D9D">
        <w:rPr>
          <w:rStyle w:val="CharAttribute2"/>
          <w:szCs w:val="22"/>
        </w:rPr>
        <w:t>er</w:t>
      </w:r>
      <w:r>
        <w:rPr>
          <w:rStyle w:val="CharAttribute2"/>
          <w:szCs w:val="22"/>
        </w:rPr>
        <w:t xml:space="preserve"> new local area were limited. </w:t>
      </w:r>
      <w:r w:rsidR="00636C97">
        <w:rPr>
          <w:rStyle w:val="CharAttribute2"/>
          <w:szCs w:val="22"/>
        </w:rPr>
        <w:t xml:space="preserve">After a period of being unemployed and </w:t>
      </w:r>
      <w:r w:rsidR="00636C97">
        <w:rPr>
          <w:rStyle w:val="CharAttribute2"/>
          <w:szCs w:val="22"/>
        </w:rPr>
        <w:lastRenderedPageBreak/>
        <w:t>stranded in a poor labour market she was able to access relocation assistance which assisted her to move to an area where she was able to gain stable employment</w:t>
      </w:r>
      <w:r w:rsidR="00DF371C">
        <w:rPr>
          <w:rStyle w:val="CharAttribute2"/>
          <w:szCs w:val="22"/>
        </w:rPr>
        <w:t>.</w:t>
      </w:r>
      <w:r w:rsidR="00BB3A25">
        <w:rPr>
          <w:rStyle w:val="CharAttribute2"/>
          <w:szCs w:val="22"/>
        </w:rPr>
        <w:t xml:space="preserve"> </w:t>
      </w:r>
    </w:p>
    <w:p w:rsidR="00E54E58" w:rsidRDefault="00BE506D" w:rsidP="00E54E58">
      <w:pPr>
        <w:pStyle w:val="ParaAttribute13"/>
        <w:rPr>
          <w:rStyle w:val="CharAttribute72"/>
        </w:rPr>
      </w:pPr>
      <w:r>
        <w:rPr>
          <w:rStyle w:val="CharAttribute64"/>
        </w:rPr>
        <w:t xml:space="preserve">The </w:t>
      </w:r>
      <w:r w:rsidRPr="00E54E58">
        <w:rPr>
          <w:rStyle w:val="CharAttribute2"/>
        </w:rPr>
        <w:t>initiative</w:t>
      </w:r>
      <w:r>
        <w:rPr>
          <w:rStyle w:val="CharAttribute64"/>
        </w:rPr>
        <w:t xml:space="preserve"> achieved 13</w:t>
      </w:r>
      <w:r w:rsidR="00B3776B">
        <w:rPr>
          <w:rStyle w:val="CharAttribute64"/>
        </w:rPr>
        <w:t>83</w:t>
      </w:r>
      <w:r>
        <w:rPr>
          <w:rStyle w:val="CharAttribute64"/>
        </w:rPr>
        <w:t xml:space="preserve"> of the </w:t>
      </w:r>
      <w:r w:rsidR="00C55456">
        <w:rPr>
          <w:rStyle w:val="CharAttribute64"/>
        </w:rPr>
        <w:t xml:space="preserve">expected </w:t>
      </w:r>
      <w:r>
        <w:rPr>
          <w:rStyle w:val="CharAttribute64"/>
        </w:rPr>
        <w:t xml:space="preserve">4000 relocations by the time it </w:t>
      </w:r>
      <w:r w:rsidR="0033591B">
        <w:rPr>
          <w:rStyle w:val="CharAttribute64"/>
        </w:rPr>
        <w:t>ceased</w:t>
      </w:r>
      <w:r w:rsidR="006F0B58">
        <w:rPr>
          <w:rStyle w:val="CharAttribute64"/>
        </w:rPr>
        <w:t>. Take-</w:t>
      </w:r>
      <w:r>
        <w:rPr>
          <w:rStyle w:val="CharAttribute64"/>
        </w:rPr>
        <w:t>up increased notably following the major changes to eligibility</w:t>
      </w:r>
      <w:r w:rsidR="0033591B">
        <w:rPr>
          <w:rStyle w:val="CharAttribute64"/>
        </w:rPr>
        <w:t xml:space="preserve"> and increased promotion of the initiative</w:t>
      </w:r>
      <w:r>
        <w:rPr>
          <w:rStyle w:val="CharAttribute64"/>
        </w:rPr>
        <w:t>.</w:t>
      </w:r>
      <w:r>
        <w:rPr>
          <w:rStyle w:val="CharAttribute2"/>
        </w:rPr>
        <w:t xml:space="preserve"> T</w:t>
      </w:r>
      <w:r>
        <w:rPr>
          <w:rStyle w:val="CharAttribute71"/>
        </w:rPr>
        <w:t xml:space="preserve">he relaxed eligibility for job seekers relocating to </w:t>
      </w:r>
      <w:r>
        <w:rPr>
          <w:rStyle w:val="CharAttribute72"/>
        </w:rPr>
        <w:t>Q</w:t>
      </w:r>
      <w:r w:rsidR="006F0B58">
        <w:rPr>
          <w:rStyle w:val="CharAttribute72"/>
        </w:rPr>
        <w:t xml:space="preserve">ueensland </w:t>
      </w:r>
      <w:r>
        <w:rPr>
          <w:rStyle w:val="CharAttribute2"/>
        </w:rPr>
        <w:t>also</w:t>
      </w:r>
      <w:r>
        <w:rPr>
          <w:rStyle w:val="CharAttribute72"/>
        </w:rPr>
        <w:t xml:space="preserve"> had </w:t>
      </w:r>
      <w:r w:rsidR="00BB1035">
        <w:rPr>
          <w:rStyle w:val="CharAttribute72"/>
        </w:rPr>
        <w:t xml:space="preserve">some </w:t>
      </w:r>
      <w:r>
        <w:rPr>
          <w:rStyle w:val="CharAttribute72"/>
        </w:rPr>
        <w:t>effect</w:t>
      </w:r>
      <w:r w:rsidR="006F0B58">
        <w:rPr>
          <w:rStyle w:val="CharAttribute72"/>
        </w:rPr>
        <w:t>,</w:t>
      </w:r>
      <w:r>
        <w:rPr>
          <w:rStyle w:val="CharAttribute72"/>
        </w:rPr>
        <w:t xml:space="preserve"> with 4</w:t>
      </w:r>
      <w:r w:rsidR="00B3776B">
        <w:rPr>
          <w:rStyle w:val="CharAttribute72"/>
        </w:rPr>
        <w:t>0</w:t>
      </w:r>
      <w:r>
        <w:rPr>
          <w:rStyle w:val="CharAttribute72"/>
        </w:rPr>
        <w:t xml:space="preserve"> per cent of partic</w:t>
      </w:r>
      <w:r>
        <w:rPr>
          <w:rStyle w:val="CharAttribute2"/>
        </w:rPr>
        <w:t>i</w:t>
      </w:r>
      <w:r>
        <w:rPr>
          <w:rStyle w:val="CharAttribute72"/>
        </w:rPr>
        <w:t>pants moving to Q</w:t>
      </w:r>
      <w:r w:rsidR="006F0B58">
        <w:rPr>
          <w:rStyle w:val="CharAttribute72"/>
        </w:rPr>
        <w:t xml:space="preserve">ueensland </w:t>
      </w:r>
      <w:r>
        <w:rPr>
          <w:rStyle w:val="CharAttribute72"/>
        </w:rPr>
        <w:t>flo</w:t>
      </w:r>
      <w:r w:rsidR="006F0B58">
        <w:rPr>
          <w:rStyle w:val="CharAttribute72"/>
        </w:rPr>
        <w:t>od-</w:t>
      </w:r>
      <w:r w:rsidR="00E54E58">
        <w:rPr>
          <w:rStyle w:val="CharAttribute72"/>
        </w:rPr>
        <w:t xml:space="preserve">affected regions. </w:t>
      </w:r>
      <w:r w:rsidR="00BB1035">
        <w:rPr>
          <w:rStyle w:val="CharAttribute72"/>
        </w:rPr>
        <w:t>However, o</w:t>
      </w:r>
      <w:r w:rsidR="00E54E58">
        <w:rPr>
          <w:rStyle w:val="CharAttribute72"/>
        </w:rPr>
        <w:t xml:space="preserve">f </w:t>
      </w:r>
      <w:r w:rsidR="006F0B58">
        <w:rPr>
          <w:rStyle w:val="CharAttribute72"/>
        </w:rPr>
        <w:t>relocations to flood-</w:t>
      </w:r>
      <w:r w:rsidR="00AC327A">
        <w:rPr>
          <w:rStyle w:val="CharAttribute72"/>
        </w:rPr>
        <w:t>affected areas of Q</w:t>
      </w:r>
      <w:r w:rsidR="006F0B58">
        <w:rPr>
          <w:rStyle w:val="CharAttribute72"/>
        </w:rPr>
        <w:t>ueensland</w:t>
      </w:r>
      <w:r w:rsidR="00E54E58">
        <w:rPr>
          <w:rStyle w:val="CharAttribute72"/>
        </w:rPr>
        <w:t xml:space="preserve">, </w:t>
      </w:r>
      <w:r w:rsidR="00C55456">
        <w:rPr>
          <w:rStyle w:val="CharAttribute72"/>
        </w:rPr>
        <w:t>seven</w:t>
      </w:r>
      <w:r w:rsidR="001065AA">
        <w:rPr>
          <w:rStyle w:val="CharAttribute72"/>
        </w:rPr>
        <w:t xml:space="preserve"> </w:t>
      </w:r>
      <w:r>
        <w:rPr>
          <w:rStyle w:val="CharAttribute72"/>
        </w:rPr>
        <w:t xml:space="preserve">per cent relocated between or within capital cities and about </w:t>
      </w:r>
      <w:r w:rsidR="00C55456">
        <w:rPr>
          <w:rStyle w:val="CharAttribute72"/>
        </w:rPr>
        <w:t>88</w:t>
      </w:r>
      <w:r>
        <w:rPr>
          <w:rStyle w:val="CharAttribute72"/>
        </w:rPr>
        <w:t xml:space="preserve"> per cent relocated from areas of </w:t>
      </w:r>
      <w:r w:rsidR="00C55456">
        <w:rPr>
          <w:rStyle w:val="CharAttribute72"/>
        </w:rPr>
        <w:t xml:space="preserve">higher </w:t>
      </w:r>
      <w:r>
        <w:rPr>
          <w:rStyle w:val="CharAttribute72"/>
        </w:rPr>
        <w:t>unemployment.</w:t>
      </w:r>
      <w:r w:rsidR="00BB3A25">
        <w:rPr>
          <w:rStyle w:val="CharAttribute72"/>
        </w:rPr>
        <w:t xml:space="preserve"> </w:t>
      </w:r>
      <w:r w:rsidR="00BB1035">
        <w:rPr>
          <w:rStyle w:val="CharAttribute72"/>
        </w:rPr>
        <w:t xml:space="preserve"> </w:t>
      </w:r>
    </w:p>
    <w:p w:rsidR="00BB1035" w:rsidRDefault="00BB1035" w:rsidP="00E54E58">
      <w:pPr>
        <w:pStyle w:val="ParaAttribute13"/>
        <w:rPr>
          <w:rStyle w:val="CharAttribute72"/>
        </w:rPr>
      </w:pPr>
      <w:r>
        <w:rPr>
          <w:rStyle w:val="CharAttribute72"/>
        </w:rPr>
        <w:t xml:space="preserve">The relocation to </w:t>
      </w:r>
      <w:r w:rsidR="00E177A0">
        <w:rPr>
          <w:rStyle w:val="CharAttribute72"/>
        </w:rPr>
        <w:t xml:space="preserve">specific </w:t>
      </w:r>
      <w:r>
        <w:rPr>
          <w:rStyle w:val="CharAttribute72"/>
        </w:rPr>
        <w:t xml:space="preserve">geographic areas can reduce social barriers to </w:t>
      </w:r>
      <w:r w:rsidR="00516D27">
        <w:rPr>
          <w:rStyle w:val="CharAttribute72"/>
        </w:rPr>
        <w:t>labour mobility</w:t>
      </w:r>
      <w:r>
        <w:rPr>
          <w:rStyle w:val="CharAttribute72"/>
        </w:rPr>
        <w:t xml:space="preserve">. There is anecdotal evidence that </w:t>
      </w:r>
      <w:r w:rsidR="001D1C31">
        <w:rPr>
          <w:rStyle w:val="CharAttribute72"/>
        </w:rPr>
        <w:t xml:space="preserve">members of </w:t>
      </w:r>
      <w:r>
        <w:rPr>
          <w:rStyle w:val="CharAttribute72"/>
        </w:rPr>
        <w:t xml:space="preserve">cultural </w:t>
      </w:r>
      <w:r w:rsidR="001D1C31">
        <w:rPr>
          <w:rStyle w:val="CharAttribute72"/>
        </w:rPr>
        <w:t xml:space="preserve">groups will migrate along similar patterns </w:t>
      </w:r>
      <w:r w:rsidR="002870F4">
        <w:rPr>
          <w:rStyle w:val="CharAttribute72"/>
        </w:rPr>
        <w:t>of their peers</w:t>
      </w:r>
      <w:r w:rsidR="0016608C">
        <w:rPr>
          <w:rStyle w:val="CharAttribute72"/>
        </w:rPr>
        <w:t>,</w:t>
      </w:r>
      <w:r w:rsidR="004D2277">
        <w:rPr>
          <w:rStyle w:val="CharAttribute72"/>
        </w:rPr>
        <w:t xml:space="preserve"> </w:t>
      </w:r>
      <w:r w:rsidR="0016608C">
        <w:rPr>
          <w:rStyle w:val="CharAttribute72"/>
        </w:rPr>
        <w:t>thus</w:t>
      </w:r>
      <w:r w:rsidR="002870F4">
        <w:rPr>
          <w:rStyle w:val="CharAttribute72"/>
        </w:rPr>
        <w:t xml:space="preserve"> creating new </w:t>
      </w:r>
      <w:r w:rsidR="001D1C31">
        <w:rPr>
          <w:rStyle w:val="CharAttribute72"/>
        </w:rPr>
        <w:t xml:space="preserve">cultural communities. </w:t>
      </w:r>
      <w:r w:rsidR="00384E1F">
        <w:rPr>
          <w:rStyle w:val="CharAttribute72"/>
        </w:rPr>
        <w:t xml:space="preserve">Moves </w:t>
      </w:r>
      <w:r w:rsidR="00C55456">
        <w:rPr>
          <w:rStyle w:val="CharAttribute72"/>
        </w:rPr>
        <w:t xml:space="preserve">may </w:t>
      </w:r>
      <w:r w:rsidR="004D2277">
        <w:rPr>
          <w:rStyle w:val="CharAttribute72"/>
        </w:rPr>
        <w:t xml:space="preserve">include the relocation of community and social support structures that are </w:t>
      </w:r>
      <w:r w:rsidR="00384E1F">
        <w:rPr>
          <w:rStyle w:val="CharAttribute72"/>
        </w:rPr>
        <w:t xml:space="preserve">usually </w:t>
      </w:r>
      <w:r w:rsidR="004D2277">
        <w:rPr>
          <w:rStyle w:val="CharAttribute72"/>
        </w:rPr>
        <w:t xml:space="preserve">barriers to labour mobility. </w:t>
      </w:r>
    </w:p>
    <w:p w:rsidR="001D1C31" w:rsidRPr="001065AA" w:rsidRDefault="001D1C31" w:rsidP="00BE506D">
      <w:pPr>
        <w:pStyle w:val="ParaAttribute13"/>
        <w:ind w:left="709" w:right="1655"/>
        <w:rPr>
          <w:rStyle w:val="CharAttribute2"/>
          <w:szCs w:val="22"/>
        </w:rPr>
      </w:pPr>
      <w:r w:rsidRPr="005506A8">
        <w:rPr>
          <w:rStyle w:val="CharAttribute2"/>
          <w:b/>
          <w:szCs w:val="22"/>
          <w:u w:val="single"/>
        </w:rPr>
        <w:t>Case Study:</w:t>
      </w:r>
      <w:r>
        <w:rPr>
          <w:rStyle w:val="CharAttribute2"/>
          <w:szCs w:val="22"/>
        </w:rPr>
        <w:t xml:space="preserve"> </w:t>
      </w:r>
      <w:r w:rsidR="002870F4">
        <w:rPr>
          <w:rStyle w:val="CharAttribute2"/>
          <w:szCs w:val="22"/>
        </w:rPr>
        <w:t xml:space="preserve">A </w:t>
      </w:r>
      <w:r w:rsidR="00C47D9D">
        <w:rPr>
          <w:rStyle w:val="CharAttribute2"/>
          <w:szCs w:val="22"/>
        </w:rPr>
        <w:t>regional employment</w:t>
      </w:r>
      <w:r w:rsidR="00B32D3D">
        <w:rPr>
          <w:rStyle w:val="CharAttribute2"/>
          <w:szCs w:val="22"/>
        </w:rPr>
        <w:t xml:space="preserve"> services provider</w:t>
      </w:r>
      <w:r w:rsidR="00B32D3D">
        <w:rPr>
          <w:rStyle w:val="CharAttribute2"/>
          <w:szCs w:val="22"/>
        </w:rPr>
        <w:t>’</w:t>
      </w:r>
      <w:r w:rsidR="00B32D3D">
        <w:rPr>
          <w:rStyle w:val="CharAttribute2"/>
          <w:szCs w:val="22"/>
        </w:rPr>
        <w:t xml:space="preserve">s caseload of Afghani refugee migrants increased </w:t>
      </w:r>
      <w:r w:rsidR="006963EC">
        <w:rPr>
          <w:rStyle w:val="CharAttribute2"/>
          <w:szCs w:val="22"/>
        </w:rPr>
        <w:t>by five times in three months, from which a majority of the job seekers had relocated from similar areas in Victoria to seek employment.</w:t>
      </w:r>
      <w:r w:rsidR="00B32D3D">
        <w:rPr>
          <w:rStyle w:val="CharAttribute2"/>
          <w:szCs w:val="22"/>
        </w:rPr>
        <w:t xml:space="preserve"> </w:t>
      </w:r>
      <w:r w:rsidR="00865BB7">
        <w:rPr>
          <w:rStyle w:val="CharAttribute2"/>
          <w:szCs w:val="22"/>
        </w:rPr>
        <w:t xml:space="preserve">The provider noted that a small number of Afghani refugees had </w:t>
      </w:r>
      <w:r w:rsidR="00E177A0">
        <w:rPr>
          <w:rStyle w:val="CharAttribute2"/>
          <w:szCs w:val="22"/>
        </w:rPr>
        <w:t xml:space="preserve">originally </w:t>
      </w:r>
      <w:r w:rsidR="00865BB7">
        <w:rPr>
          <w:rStyle w:val="CharAttribute2"/>
          <w:szCs w:val="22"/>
        </w:rPr>
        <w:t xml:space="preserve">relocated and gained employment in the local area, and </w:t>
      </w:r>
      <w:r w:rsidR="00384E1F">
        <w:rPr>
          <w:rStyle w:val="CharAttribute2"/>
          <w:szCs w:val="22"/>
        </w:rPr>
        <w:t xml:space="preserve">were followed by </w:t>
      </w:r>
      <w:r w:rsidR="00865BB7">
        <w:rPr>
          <w:rStyle w:val="CharAttribute2"/>
          <w:szCs w:val="22"/>
        </w:rPr>
        <w:t xml:space="preserve">a large number of </w:t>
      </w:r>
      <w:r w:rsidR="00E177A0">
        <w:rPr>
          <w:rStyle w:val="CharAttribute2"/>
          <w:szCs w:val="22"/>
        </w:rPr>
        <w:t xml:space="preserve">Afghani </w:t>
      </w:r>
      <w:r w:rsidR="00865BB7">
        <w:rPr>
          <w:rStyle w:val="CharAttribute2"/>
          <w:szCs w:val="22"/>
        </w:rPr>
        <w:t xml:space="preserve">job seekers </w:t>
      </w:r>
      <w:r w:rsidR="00384E1F">
        <w:rPr>
          <w:rStyle w:val="CharAttribute2"/>
          <w:szCs w:val="22"/>
        </w:rPr>
        <w:t xml:space="preserve">who </w:t>
      </w:r>
      <w:r w:rsidR="00865BB7">
        <w:rPr>
          <w:rStyle w:val="CharAttribute2"/>
          <w:szCs w:val="22"/>
        </w:rPr>
        <w:t>relocated to the same</w:t>
      </w:r>
      <w:r w:rsidR="00384E1F">
        <w:rPr>
          <w:rStyle w:val="CharAttribute2"/>
          <w:szCs w:val="22"/>
        </w:rPr>
        <w:t xml:space="preserve"> location</w:t>
      </w:r>
      <w:r w:rsidR="00865BB7">
        <w:rPr>
          <w:rStyle w:val="CharAttribute2"/>
          <w:szCs w:val="22"/>
        </w:rPr>
        <w:t xml:space="preserve">. </w:t>
      </w:r>
      <w:r w:rsidR="00A969EB">
        <w:rPr>
          <w:rStyle w:val="CharAttribute2"/>
          <w:szCs w:val="22"/>
        </w:rPr>
        <w:t xml:space="preserve">The job seekers appeared to have been more willing to relocate due to </w:t>
      </w:r>
      <w:r w:rsidR="00E177A0">
        <w:rPr>
          <w:rStyle w:val="CharAttribute2"/>
          <w:szCs w:val="22"/>
        </w:rPr>
        <w:t>the keenness to relocate with their compatriots</w:t>
      </w:r>
      <w:r w:rsidR="00384E1F">
        <w:rPr>
          <w:rStyle w:val="CharAttribute2"/>
          <w:szCs w:val="22"/>
        </w:rPr>
        <w:t xml:space="preserve"> and their reported good experiences</w:t>
      </w:r>
      <w:r w:rsidR="00A969EB">
        <w:rPr>
          <w:rStyle w:val="CharAttribute2"/>
          <w:szCs w:val="22"/>
        </w:rPr>
        <w:t xml:space="preserve">. </w:t>
      </w:r>
    </w:p>
    <w:p w:rsidR="00BE506D" w:rsidRPr="00711CD3" w:rsidRDefault="00BE506D" w:rsidP="001065AA">
      <w:pPr>
        <w:pStyle w:val="CABNETParagraphAtt"/>
        <w:keepNext/>
        <w:spacing w:before="0" w:after="0"/>
        <w:rPr>
          <w:rFonts w:asciiTheme="minorHAnsi" w:hAnsiTheme="minorHAnsi" w:cstheme="minorHAnsi"/>
          <w:b/>
          <w:szCs w:val="22"/>
        </w:rPr>
      </w:pPr>
      <w:r w:rsidRPr="00711CD3">
        <w:rPr>
          <w:rFonts w:asciiTheme="minorHAnsi" w:hAnsiTheme="minorHAnsi" w:cstheme="minorHAnsi"/>
          <w:b/>
        </w:rPr>
        <w:t xml:space="preserve">Chart </w:t>
      </w:r>
      <w:r w:rsidR="00691959">
        <w:rPr>
          <w:rFonts w:asciiTheme="minorHAnsi" w:hAnsiTheme="minorHAnsi" w:cstheme="minorHAnsi"/>
          <w:b/>
        </w:rPr>
        <w:t>3</w:t>
      </w:r>
      <w:r w:rsidRPr="00711CD3">
        <w:rPr>
          <w:rFonts w:asciiTheme="minorHAnsi" w:hAnsiTheme="minorHAnsi" w:cstheme="minorHAnsi"/>
          <w:b/>
        </w:rPr>
        <w:t>: Connecting People with Jobs relocations</w:t>
      </w:r>
    </w:p>
    <w:p w:rsidR="00BE506D" w:rsidRPr="00E51A72" w:rsidRDefault="001B2EE1" w:rsidP="009B46AA">
      <w:pPr>
        <w:pStyle w:val="ParaAttribute13"/>
        <w:spacing w:after="0"/>
      </w:pPr>
      <w:r w:rsidRPr="001B2EE1">
        <w:rPr>
          <w:noProof/>
        </w:rPr>
        <w:drawing>
          <wp:inline distT="0" distB="0" distL="0" distR="0" wp14:anchorId="201E2450" wp14:editId="3F63DDB7">
            <wp:extent cx="4566141" cy="297378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65042" cy="2973072"/>
                    </a:xfrm>
                    <a:prstGeom prst="rect">
                      <a:avLst/>
                    </a:prstGeom>
                    <a:noFill/>
                    <a:ln>
                      <a:noFill/>
                    </a:ln>
                  </pic:spPr>
                </pic:pic>
              </a:graphicData>
            </a:graphic>
          </wp:inline>
        </w:drawing>
      </w:r>
    </w:p>
    <w:p w:rsidR="00947FAF" w:rsidRPr="00957B97" w:rsidRDefault="00947FAF" w:rsidP="00BE506D">
      <w:pPr>
        <w:spacing w:after="240" w:line="240" w:lineRule="auto"/>
        <w:rPr>
          <w:sz w:val="18"/>
          <w:szCs w:val="18"/>
        </w:rPr>
      </w:pPr>
      <w:r w:rsidRPr="00957B97">
        <w:rPr>
          <w:sz w:val="18"/>
          <w:szCs w:val="18"/>
        </w:rPr>
        <w:t>Source:</w:t>
      </w:r>
      <w:r w:rsidR="00957B97" w:rsidRPr="00957B97">
        <w:rPr>
          <w:rStyle w:val="CharAttribute66"/>
          <w:sz w:val="18"/>
          <w:szCs w:val="18"/>
        </w:rPr>
        <w:t xml:space="preserve"> Department of Employment administrative data</w:t>
      </w:r>
    </w:p>
    <w:p w:rsidR="00BE506D" w:rsidRDefault="00BE506D" w:rsidP="00BE506D">
      <w:pPr>
        <w:spacing w:after="240" w:line="240" w:lineRule="auto"/>
        <w:rPr>
          <w:rStyle w:val="CharAttribute73"/>
        </w:rPr>
      </w:pPr>
      <w:r w:rsidRPr="00E51A72">
        <w:t xml:space="preserve">In terms of job seeker characteristics, </w:t>
      </w:r>
      <w:r>
        <w:t xml:space="preserve">the majority of </w:t>
      </w:r>
      <w:r w:rsidRPr="00E51A72">
        <w:t xml:space="preserve">participants </w:t>
      </w:r>
      <w:r>
        <w:t>who accessed CPwJ were</w:t>
      </w:r>
      <w:r w:rsidRPr="00E51A72">
        <w:t xml:space="preserve"> male</w:t>
      </w:r>
      <w:r>
        <w:t xml:space="preserve"> (74 per cent), </w:t>
      </w:r>
      <w:r w:rsidRPr="00E51A72">
        <w:t>ha</w:t>
      </w:r>
      <w:r>
        <w:t>d</w:t>
      </w:r>
      <w:r w:rsidRPr="00E51A72">
        <w:t xml:space="preserve"> an average age of 3</w:t>
      </w:r>
      <w:r>
        <w:t>7 and no dependants (78 per cent)</w:t>
      </w:r>
      <w:r w:rsidRPr="00E51A72">
        <w:t>; this contrasts with the initial pilot</w:t>
      </w:r>
      <w:r>
        <w:t>s</w:t>
      </w:r>
      <w:r w:rsidRPr="00E51A72">
        <w:t xml:space="preserve"> where the majority of job seekers were under the age of 30.</w:t>
      </w:r>
      <w:r w:rsidR="00BB3A25">
        <w:t xml:space="preserve"> </w:t>
      </w:r>
      <w:r>
        <w:rPr>
          <w:rStyle w:val="CharAttribute73"/>
        </w:rPr>
        <w:t>About 2</w:t>
      </w:r>
      <w:r w:rsidR="00C65625">
        <w:rPr>
          <w:rStyle w:val="CharAttribute73"/>
        </w:rPr>
        <w:t>1</w:t>
      </w:r>
      <w:r w:rsidR="00876DE6">
        <w:rPr>
          <w:rStyle w:val="CharAttribute73"/>
        </w:rPr>
        <w:t xml:space="preserve"> </w:t>
      </w:r>
      <w:r>
        <w:rPr>
          <w:rStyle w:val="CharAttribute73"/>
        </w:rPr>
        <w:t xml:space="preserve">per cent of participants were, or were at risk of being, homeless, </w:t>
      </w:r>
      <w:r w:rsidR="00952C3C">
        <w:rPr>
          <w:rStyle w:val="CharAttribute73"/>
        </w:rPr>
        <w:t>52</w:t>
      </w:r>
      <w:r w:rsidR="00876DE6">
        <w:rPr>
          <w:rStyle w:val="CharAttribute73"/>
        </w:rPr>
        <w:t xml:space="preserve"> </w:t>
      </w:r>
      <w:r>
        <w:rPr>
          <w:rStyle w:val="CharAttribute73"/>
        </w:rPr>
        <w:t>per cent did not finish year 12, and</w:t>
      </w:r>
      <w:r>
        <w:rPr>
          <w:rStyle w:val="CharAttribute2"/>
        </w:rPr>
        <w:t xml:space="preserve"> </w:t>
      </w:r>
      <w:r w:rsidR="00952C3C">
        <w:rPr>
          <w:rStyle w:val="CharAttribute73"/>
        </w:rPr>
        <w:t>14</w:t>
      </w:r>
      <w:r w:rsidR="0016608C">
        <w:rPr>
          <w:rStyle w:val="CharAttribute73"/>
        </w:rPr>
        <w:t> </w:t>
      </w:r>
      <w:r>
        <w:rPr>
          <w:rStyle w:val="CharAttribute73"/>
        </w:rPr>
        <w:t>per</w:t>
      </w:r>
      <w:r w:rsidR="0016608C">
        <w:rPr>
          <w:rStyle w:val="CharAttribute73"/>
        </w:rPr>
        <w:t> </w:t>
      </w:r>
      <w:r>
        <w:rPr>
          <w:rStyle w:val="CharAttribute73"/>
        </w:rPr>
        <w:t xml:space="preserve">cent were culturally and linguistically diverse. Overall, CPwJ participants were considered to </w:t>
      </w:r>
      <w:r>
        <w:rPr>
          <w:rStyle w:val="CharAttribute73"/>
        </w:rPr>
        <w:lastRenderedPageBreak/>
        <w:t>have higher barriers to employment than the general population</w:t>
      </w:r>
      <w:r w:rsidR="0016608C">
        <w:rPr>
          <w:rStyle w:val="CharAttribute73"/>
        </w:rPr>
        <w:t>,</w:t>
      </w:r>
      <w:r>
        <w:rPr>
          <w:rStyle w:val="CharAttribute73"/>
        </w:rPr>
        <w:t xml:space="preserve"> </w:t>
      </w:r>
      <w:r>
        <w:rPr>
          <w:rStyle w:val="CharAttribute2"/>
        </w:rPr>
        <w:t>with</w:t>
      </w:r>
      <w:r>
        <w:rPr>
          <w:rStyle w:val="CharAttribute73"/>
        </w:rPr>
        <w:t xml:space="preserve"> </w:t>
      </w:r>
      <w:r w:rsidR="003509C9">
        <w:rPr>
          <w:rStyle w:val="CharAttribute73"/>
        </w:rPr>
        <w:t>89</w:t>
      </w:r>
      <w:r>
        <w:rPr>
          <w:rStyle w:val="CharAttribute73"/>
        </w:rPr>
        <w:t xml:space="preserve"> per cent of participants receiving Stream 2 servicing or higher in JSA, or being DES participants. </w:t>
      </w:r>
    </w:p>
    <w:p w:rsidR="00BE506D" w:rsidRDefault="0016608C" w:rsidP="00BE506D">
      <w:pPr>
        <w:pStyle w:val="ParaAttribute13"/>
        <w:rPr>
          <w:sz w:val="22"/>
          <w:szCs w:val="22"/>
        </w:rPr>
      </w:pPr>
      <w:r>
        <w:rPr>
          <w:rStyle w:val="CharAttribute74"/>
          <w:szCs w:val="22"/>
        </w:rPr>
        <w:t>Most of the jobs which</w:t>
      </w:r>
      <w:r w:rsidR="00BE506D">
        <w:rPr>
          <w:rStyle w:val="CharAttribute2"/>
          <w:szCs w:val="22"/>
        </w:rPr>
        <w:t xml:space="preserve"> participants were relocating for</w:t>
      </w:r>
      <w:r w:rsidR="00BE506D">
        <w:rPr>
          <w:rStyle w:val="CharAttribute74"/>
          <w:szCs w:val="22"/>
        </w:rPr>
        <w:t xml:space="preserve"> were unskilled jobs </w:t>
      </w:r>
      <w:r w:rsidR="00BE506D">
        <w:rPr>
          <w:rStyle w:val="CharAttribute2"/>
          <w:szCs w:val="22"/>
        </w:rPr>
        <w:t>such as</w:t>
      </w:r>
      <w:r w:rsidR="00BE506D">
        <w:rPr>
          <w:rStyle w:val="CharAttribute74"/>
          <w:szCs w:val="22"/>
        </w:rPr>
        <w:t xml:space="preserve"> meat, p</w:t>
      </w:r>
      <w:r w:rsidR="00BE506D">
        <w:rPr>
          <w:rStyle w:val="CharAttribute2"/>
          <w:szCs w:val="22"/>
        </w:rPr>
        <w:t>o</w:t>
      </w:r>
      <w:r w:rsidR="00BE506D">
        <w:rPr>
          <w:rStyle w:val="CharAttribute74"/>
          <w:szCs w:val="22"/>
        </w:rPr>
        <w:t xml:space="preserve">ultry and seafood process workers, </w:t>
      </w:r>
      <w:r w:rsidR="00BE506D">
        <w:rPr>
          <w:rStyle w:val="CharAttribute2"/>
          <w:szCs w:val="22"/>
        </w:rPr>
        <w:t>general</w:t>
      </w:r>
      <w:r w:rsidR="00BE506D">
        <w:rPr>
          <w:rStyle w:val="CharAttribute74"/>
          <w:szCs w:val="22"/>
        </w:rPr>
        <w:t xml:space="preserve"> labourers, other construction and mining labourers, and farm workers. The industri</w:t>
      </w:r>
      <w:r w:rsidR="00BE506D">
        <w:rPr>
          <w:rStyle w:val="CharAttribute2"/>
          <w:szCs w:val="22"/>
        </w:rPr>
        <w:t>es involved</w:t>
      </w:r>
      <w:r w:rsidR="00BE506D">
        <w:rPr>
          <w:rStyle w:val="CharAttribute74"/>
          <w:szCs w:val="22"/>
        </w:rPr>
        <w:t xml:space="preserve"> were spread quite </w:t>
      </w:r>
      <w:r w:rsidR="00BE506D">
        <w:rPr>
          <w:rStyle w:val="CharAttribute2"/>
          <w:szCs w:val="22"/>
        </w:rPr>
        <w:t>evenly</w:t>
      </w:r>
      <w:r w:rsidR="00BE506D">
        <w:rPr>
          <w:rStyle w:val="CharAttribute74"/>
          <w:szCs w:val="22"/>
        </w:rPr>
        <w:t xml:space="preserve">, </w:t>
      </w:r>
      <w:r w:rsidR="00BE506D">
        <w:rPr>
          <w:rStyle w:val="CharAttribute2"/>
          <w:szCs w:val="22"/>
        </w:rPr>
        <w:t xml:space="preserve">though some industries were represented a little more highly; these were </w:t>
      </w:r>
      <w:r w:rsidR="00BE506D">
        <w:rPr>
          <w:rStyle w:val="CharAttribute74"/>
          <w:szCs w:val="22"/>
        </w:rPr>
        <w:t xml:space="preserve">Accommodation and Food Services, Construction, Manufacturing, and Agriculture, Forestry and Fishing. </w:t>
      </w:r>
    </w:p>
    <w:p w:rsidR="00BE506D" w:rsidRDefault="00BE506D" w:rsidP="00BE506D">
      <w:pPr>
        <w:spacing w:after="240" w:line="240" w:lineRule="auto"/>
      </w:pPr>
      <w:r w:rsidRPr="00E51A72">
        <w:t>About half (4</w:t>
      </w:r>
      <w:r>
        <w:t>6</w:t>
      </w:r>
      <w:r w:rsidRPr="00E51A72">
        <w:t xml:space="preserve"> per cent) of the relocations </w:t>
      </w:r>
      <w:r w:rsidR="0016608C">
        <w:t xml:space="preserve">were </w:t>
      </w:r>
      <w:r w:rsidRPr="00E51A72">
        <w:t>intra-state moves.</w:t>
      </w:r>
      <w:r>
        <w:t xml:space="preserve"> Of these</w:t>
      </w:r>
      <w:r w:rsidR="0016608C">
        <w:t>,</w:t>
      </w:r>
      <w:r>
        <w:t xml:space="preserve"> 5</w:t>
      </w:r>
      <w:r w:rsidR="00266681">
        <w:t>2</w:t>
      </w:r>
      <w:r>
        <w:t xml:space="preserve"> per cent remained within ACT/NSW. </w:t>
      </w:r>
      <w:r w:rsidRPr="00E51A72">
        <w:t>Of the inter-state relocations, Queensland was the most popular destination (</w:t>
      </w:r>
      <w:r w:rsidR="004D2277">
        <w:t>34</w:t>
      </w:r>
      <w:r w:rsidR="00876DE6">
        <w:t> </w:t>
      </w:r>
      <w:r w:rsidRPr="00E51A72">
        <w:t>per cent</w:t>
      </w:r>
      <w:r>
        <w:t>).</w:t>
      </w:r>
      <w:r w:rsidR="00BB3A25">
        <w:t xml:space="preserve"> </w:t>
      </w:r>
    </w:p>
    <w:p w:rsidR="00BE506D" w:rsidRPr="00812E40" w:rsidRDefault="00BE506D" w:rsidP="00BE506D">
      <w:pPr>
        <w:pStyle w:val="CABNETParagraphAtt"/>
        <w:spacing w:before="0" w:after="0"/>
        <w:rPr>
          <w:rFonts w:asciiTheme="minorHAnsi" w:hAnsiTheme="minorHAnsi" w:cstheme="minorHAnsi"/>
          <w:b/>
          <w:szCs w:val="22"/>
        </w:rPr>
      </w:pPr>
      <w:r w:rsidRPr="00812E40">
        <w:rPr>
          <w:rFonts w:asciiTheme="minorHAnsi" w:hAnsiTheme="minorHAnsi" w:cstheme="minorHAnsi"/>
          <w:b/>
          <w:szCs w:val="22"/>
        </w:rPr>
        <w:t>Table 1</w:t>
      </w:r>
      <w:r w:rsidR="00C74829">
        <w:rPr>
          <w:rFonts w:asciiTheme="minorHAnsi" w:hAnsiTheme="minorHAnsi" w:cstheme="minorHAnsi"/>
          <w:b/>
          <w:szCs w:val="22"/>
        </w:rPr>
        <w:t>1</w:t>
      </w:r>
      <w:r w:rsidRPr="00812E40">
        <w:rPr>
          <w:rFonts w:asciiTheme="minorHAnsi" w:hAnsiTheme="minorHAnsi" w:cstheme="minorHAnsi"/>
          <w:b/>
          <w:szCs w:val="22"/>
        </w:rPr>
        <w:t xml:space="preserve">: Connecting People with Jobs </w:t>
      </w:r>
      <w:r w:rsidR="00B347AB">
        <w:rPr>
          <w:rFonts w:asciiTheme="minorHAnsi" w:hAnsiTheme="minorHAnsi" w:cstheme="minorHAnsi"/>
          <w:b/>
          <w:szCs w:val="22"/>
        </w:rPr>
        <w:t xml:space="preserve">- </w:t>
      </w:r>
      <w:r w:rsidR="00D01BAE">
        <w:rPr>
          <w:rFonts w:asciiTheme="minorHAnsi" w:hAnsiTheme="minorHAnsi" w:cstheme="minorHAnsi"/>
          <w:b/>
          <w:szCs w:val="22"/>
        </w:rPr>
        <w:t>s</w:t>
      </w:r>
      <w:r w:rsidRPr="00812E40">
        <w:rPr>
          <w:rFonts w:asciiTheme="minorHAnsi" w:hAnsiTheme="minorHAnsi" w:cstheme="minorHAnsi"/>
          <w:b/>
          <w:szCs w:val="22"/>
        </w:rPr>
        <w:t>tate relocations</w:t>
      </w:r>
    </w:p>
    <w:tbl>
      <w:tblPr>
        <w:tblW w:w="5000" w:type="pct"/>
        <w:tblLayout w:type="fixed"/>
        <w:tblLook w:val="04A0" w:firstRow="1" w:lastRow="0" w:firstColumn="1" w:lastColumn="0" w:noHBand="0" w:noVBand="1"/>
      </w:tblPr>
      <w:tblGrid>
        <w:gridCol w:w="1392"/>
        <w:gridCol w:w="982"/>
        <w:gridCol w:w="982"/>
        <w:gridCol w:w="981"/>
        <w:gridCol w:w="981"/>
        <w:gridCol w:w="981"/>
        <w:gridCol w:w="981"/>
        <w:gridCol w:w="981"/>
        <w:gridCol w:w="981"/>
      </w:tblGrid>
      <w:tr w:rsidR="00BE506D" w:rsidRPr="00B63DFE" w:rsidTr="003A677A">
        <w:trPr>
          <w:trHeight w:val="300"/>
        </w:trPr>
        <w:tc>
          <w:tcPr>
            <w:tcW w:w="1392" w:type="dxa"/>
            <w:tcBorders>
              <w:bottom w:val="single" w:sz="4" w:space="0" w:color="auto"/>
              <w:right w:val="single" w:sz="4" w:space="0" w:color="auto"/>
            </w:tcBorders>
            <w:shd w:val="clear" w:color="auto" w:fill="auto"/>
            <w:noWrap/>
            <w:vAlign w:val="bottom"/>
            <w:hideMark/>
          </w:tcPr>
          <w:p w:rsidR="00BE506D" w:rsidRPr="00B63DFE" w:rsidRDefault="00BE506D" w:rsidP="007055F3">
            <w:pPr>
              <w:spacing w:after="0" w:line="240" w:lineRule="auto"/>
              <w:rPr>
                <w:rFonts w:ascii="Calibri" w:eastAsia="Times New Roman" w:hAnsi="Calibri" w:cs="Calibri"/>
                <w:color w:val="000000"/>
                <w:lang w:eastAsia="en-AU"/>
              </w:rPr>
            </w:pPr>
            <w:r w:rsidRPr="00B63DFE">
              <w:rPr>
                <w:rFonts w:ascii="Calibri" w:eastAsia="Times New Roman" w:hAnsi="Calibri" w:cs="Calibri"/>
                <w:color w:val="000000"/>
                <w:lang w:eastAsia="en-AU"/>
              </w:rPr>
              <w:t> </w:t>
            </w:r>
          </w:p>
        </w:tc>
        <w:tc>
          <w:tcPr>
            <w:tcW w:w="785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06D" w:rsidRPr="00B63DFE" w:rsidRDefault="00BE506D" w:rsidP="007055F3">
            <w:pPr>
              <w:spacing w:after="0" w:line="240" w:lineRule="auto"/>
              <w:jc w:val="center"/>
              <w:rPr>
                <w:rFonts w:ascii="Calibri" w:eastAsia="Times New Roman" w:hAnsi="Calibri" w:cs="Calibri"/>
                <w:b/>
                <w:bCs/>
                <w:color w:val="000000"/>
                <w:lang w:eastAsia="en-AU"/>
              </w:rPr>
            </w:pPr>
            <w:r w:rsidRPr="00B63DFE">
              <w:rPr>
                <w:rFonts w:ascii="Calibri" w:eastAsia="Times New Roman" w:hAnsi="Calibri" w:cs="Calibri"/>
                <w:b/>
                <w:bCs/>
                <w:color w:val="000000"/>
                <w:lang w:eastAsia="en-AU"/>
              </w:rPr>
              <w:t>Arrivals</w:t>
            </w:r>
          </w:p>
        </w:tc>
      </w:tr>
      <w:tr w:rsidR="00BE506D" w:rsidRPr="00B63DFE" w:rsidTr="003A677A">
        <w:trPr>
          <w:trHeight w:val="300"/>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06D" w:rsidRPr="00B63DFE" w:rsidRDefault="00BE506D" w:rsidP="007055F3">
            <w:pPr>
              <w:spacing w:after="0" w:line="240" w:lineRule="auto"/>
              <w:rPr>
                <w:rFonts w:ascii="Calibri" w:eastAsia="Times New Roman" w:hAnsi="Calibri" w:cs="Calibri"/>
                <w:b/>
                <w:bCs/>
                <w:color w:val="000000"/>
                <w:lang w:eastAsia="en-AU"/>
              </w:rPr>
            </w:pPr>
            <w:r w:rsidRPr="00B63DFE">
              <w:rPr>
                <w:rFonts w:ascii="Calibri" w:eastAsia="Times New Roman" w:hAnsi="Calibri" w:cs="Calibri"/>
                <w:b/>
                <w:bCs/>
                <w:color w:val="000000"/>
                <w:lang w:eastAsia="en-AU"/>
              </w:rPr>
              <w:t>Departures</w:t>
            </w:r>
          </w:p>
        </w:tc>
        <w:tc>
          <w:tcPr>
            <w:tcW w:w="982" w:type="dxa"/>
            <w:tcBorders>
              <w:top w:val="nil"/>
              <w:left w:val="nil"/>
              <w:bottom w:val="single" w:sz="4" w:space="0" w:color="auto"/>
              <w:right w:val="single" w:sz="4" w:space="0" w:color="auto"/>
            </w:tcBorders>
            <w:shd w:val="clear" w:color="auto" w:fill="auto"/>
            <w:noWrap/>
            <w:vAlign w:val="bottom"/>
            <w:hideMark/>
          </w:tcPr>
          <w:p w:rsidR="00BE506D" w:rsidRPr="00957B97" w:rsidRDefault="00BE506D" w:rsidP="003539E4">
            <w:pPr>
              <w:spacing w:after="0" w:line="240" w:lineRule="auto"/>
              <w:jc w:val="center"/>
              <w:rPr>
                <w:rFonts w:ascii="Calibri" w:eastAsia="Times New Roman" w:hAnsi="Calibri" w:cs="Calibri"/>
                <w:b/>
                <w:bCs/>
                <w:color w:val="000000"/>
                <w:lang w:eastAsia="en-AU"/>
              </w:rPr>
            </w:pPr>
            <w:r w:rsidRPr="00957B97">
              <w:rPr>
                <w:rFonts w:ascii="Calibri" w:eastAsia="Times New Roman" w:hAnsi="Calibri" w:cs="Calibri"/>
                <w:b/>
                <w:bCs/>
                <w:color w:val="000000"/>
                <w:lang w:eastAsia="en-AU"/>
              </w:rPr>
              <w:t>ACT/</w:t>
            </w:r>
          </w:p>
          <w:p w:rsidR="00BE506D" w:rsidRPr="00957B97" w:rsidRDefault="00BE506D" w:rsidP="003539E4">
            <w:pPr>
              <w:spacing w:after="0" w:line="240" w:lineRule="auto"/>
              <w:jc w:val="center"/>
              <w:rPr>
                <w:rFonts w:ascii="Calibri" w:eastAsia="Times New Roman" w:hAnsi="Calibri" w:cs="Calibri"/>
                <w:b/>
                <w:bCs/>
                <w:color w:val="000000"/>
                <w:lang w:eastAsia="en-AU"/>
              </w:rPr>
            </w:pPr>
            <w:r w:rsidRPr="00957B97">
              <w:rPr>
                <w:rFonts w:ascii="Calibri" w:eastAsia="Times New Roman" w:hAnsi="Calibri" w:cs="Calibri"/>
                <w:b/>
                <w:bCs/>
                <w:color w:val="000000"/>
                <w:lang w:eastAsia="en-AU"/>
              </w:rPr>
              <w:t>NSW</w:t>
            </w:r>
          </w:p>
        </w:tc>
        <w:tc>
          <w:tcPr>
            <w:tcW w:w="982" w:type="dxa"/>
            <w:tcBorders>
              <w:top w:val="nil"/>
              <w:left w:val="nil"/>
              <w:bottom w:val="single" w:sz="4" w:space="0" w:color="auto"/>
              <w:right w:val="single" w:sz="4" w:space="0" w:color="auto"/>
            </w:tcBorders>
            <w:shd w:val="clear" w:color="auto" w:fill="auto"/>
            <w:noWrap/>
            <w:vAlign w:val="bottom"/>
            <w:hideMark/>
          </w:tcPr>
          <w:p w:rsidR="00BE506D" w:rsidRPr="00957B97" w:rsidRDefault="00BE506D" w:rsidP="003539E4">
            <w:pPr>
              <w:spacing w:after="0" w:line="240" w:lineRule="auto"/>
              <w:jc w:val="center"/>
              <w:rPr>
                <w:rFonts w:ascii="Calibri" w:eastAsia="Times New Roman" w:hAnsi="Calibri" w:cs="Calibri"/>
                <w:b/>
                <w:bCs/>
                <w:color w:val="000000"/>
                <w:lang w:eastAsia="en-AU"/>
              </w:rPr>
            </w:pPr>
            <w:r w:rsidRPr="00957B97">
              <w:rPr>
                <w:rFonts w:ascii="Calibri" w:eastAsia="Times New Roman" w:hAnsi="Calibri" w:cs="Calibri"/>
                <w:b/>
                <w:bCs/>
                <w:color w:val="000000"/>
                <w:lang w:eastAsia="en-AU"/>
              </w:rPr>
              <w:t>NT</w:t>
            </w:r>
          </w:p>
        </w:tc>
        <w:tc>
          <w:tcPr>
            <w:tcW w:w="981" w:type="dxa"/>
            <w:tcBorders>
              <w:top w:val="nil"/>
              <w:left w:val="nil"/>
              <w:bottom w:val="single" w:sz="4" w:space="0" w:color="auto"/>
              <w:right w:val="single" w:sz="4" w:space="0" w:color="auto"/>
            </w:tcBorders>
            <w:shd w:val="clear" w:color="auto" w:fill="auto"/>
            <w:noWrap/>
            <w:vAlign w:val="bottom"/>
            <w:hideMark/>
          </w:tcPr>
          <w:p w:rsidR="00BE506D" w:rsidRPr="00957B97" w:rsidRDefault="00BE506D" w:rsidP="003539E4">
            <w:pPr>
              <w:spacing w:after="0" w:line="240" w:lineRule="auto"/>
              <w:jc w:val="center"/>
              <w:rPr>
                <w:rFonts w:ascii="Calibri" w:eastAsia="Times New Roman" w:hAnsi="Calibri" w:cs="Calibri"/>
                <w:b/>
                <w:bCs/>
                <w:color w:val="000000"/>
                <w:lang w:eastAsia="en-AU"/>
              </w:rPr>
            </w:pPr>
            <w:r w:rsidRPr="00957B97">
              <w:rPr>
                <w:rFonts w:ascii="Calibri" w:eastAsia="Times New Roman" w:hAnsi="Calibri" w:cs="Calibri"/>
                <w:b/>
                <w:bCs/>
                <w:color w:val="000000"/>
                <w:lang w:eastAsia="en-AU"/>
              </w:rPr>
              <w:t>QLD</w:t>
            </w:r>
          </w:p>
        </w:tc>
        <w:tc>
          <w:tcPr>
            <w:tcW w:w="981" w:type="dxa"/>
            <w:tcBorders>
              <w:top w:val="nil"/>
              <w:left w:val="nil"/>
              <w:bottom w:val="single" w:sz="4" w:space="0" w:color="auto"/>
              <w:right w:val="single" w:sz="4" w:space="0" w:color="auto"/>
            </w:tcBorders>
            <w:shd w:val="clear" w:color="auto" w:fill="auto"/>
            <w:noWrap/>
            <w:vAlign w:val="bottom"/>
            <w:hideMark/>
          </w:tcPr>
          <w:p w:rsidR="00BE506D" w:rsidRPr="00957B97" w:rsidRDefault="00BE506D" w:rsidP="003539E4">
            <w:pPr>
              <w:spacing w:after="0" w:line="240" w:lineRule="auto"/>
              <w:jc w:val="center"/>
              <w:rPr>
                <w:rFonts w:ascii="Calibri" w:eastAsia="Times New Roman" w:hAnsi="Calibri" w:cs="Calibri"/>
                <w:b/>
                <w:bCs/>
                <w:color w:val="000000"/>
                <w:lang w:eastAsia="en-AU"/>
              </w:rPr>
            </w:pPr>
            <w:r w:rsidRPr="00957B97">
              <w:rPr>
                <w:rFonts w:ascii="Calibri" w:eastAsia="Times New Roman" w:hAnsi="Calibri" w:cs="Calibri"/>
                <w:b/>
                <w:bCs/>
                <w:color w:val="000000"/>
                <w:lang w:eastAsia="en-AU"/>
              </w:rPr>
              <w:t>SA</w:t>
            </w:r>
          </w:p>
        </w:tc>
        <w:tc>
          <w:tcPr>
            <w:tcW w:w="981" w:type="dxa"/>
            <w:tcBorders>
              <w:top w:val="nil"/>
              <w:left w:val="nil"/>
              <w:bottom w:val="single" w:sz="4" w:space="0" w:color="auto"/>
              <w:right w:val="single" w:sz="4" w:space="0" w:color="auto"/>
            </w:tcBorders>
            <w:shd w:val="clear" w:color="auto" w:fill="auto"/>
            <w:noWrap/>
            <w:vAlign w:val="bottom"/>
            <w:hideMark/>
          </w:tcPr>
          <w:p w:rsidR="00BE506D" w:rsidRPr="00957B97" w:rsidRDefault="00BE506D" w:rsidP="003539E4">
            <w:pPr>
              <w:spacing w:after="0" w:line="240" w:lineRule="auto"/>
              <w:jc w:val="center"/>
              <w:rPr>
                <w:rFonts w:ascii="Calibri" w:eastAsia="Times New Roman" w:hAnsi="Calibri" w:cs="Calibri"/>
                <w:b/>
                <w:bCs/>
                <w:color w:val="000000"/>
                <w:lang w:eastAsia="en-AU"/>
              </w:rPr>
            </w:pPr>
            <w:r w:rsidRPr="00957B97">
              <w:rPr>
                <w:rFonts w:ascii="Calibri" w:eastAsia="Times New Roman" w:hAnsi="Calibri" w:cs="Calibri"/>
                <w:b/>
                <w:bCs/>
                <w:color w:val="000000"/>
                <w:lang w:eastAsia="en-AU"/>
              </w:rPr>
              <w:t>TAS</w:t>
            </w:r>
          </w:p>
        </w:tc>
        <w:tc>
          <w:tcPr>
            <w:tcW w:w="981" w:type="dxa"/>
            <w:tcBorders>
              <w:top w:val="nil"/>
              <w:left w:val="nil"/>
              <w:bottom w:val="single" w:sz="4" w:space="0" w:color="auto"/>
              <w:right w:val="single" w:sz="4" w:space="0" w:color="auto"/>
            </w:tcBorders>
            <w:shd w:val="clear" w:color="auto" w:fill="auto"/>
            <w:noWrap/>
            <w:vAlign w:val="bottom"/>
            <w:hideMark/>
          </w:tcPr>
          <w:p w:rsidR="00BE506D" w:rsidRPr="00957B97" w:rsidRDefault="00BE506D" w:rsidP="003539E4">
            <w:pPr>
              <w:spacing w:after="0" w:line="240" w:lineRule="auto"/>
              <w:jc w:val="center"/>
              <w:rPr>
                <w:rFonts w:ascii="Calibri" w:eastAsia="Times New Roman" w:hAnsi="Calibri" w:cs="Calibri"/>
                <w:b/>
                <w:bCs/>
                <w:color w:val="000000"/>
                <w:lang w:eastAsia="en-AU"/>
              </w:rPr>
            </w:pPr>
            <w:r w:rsidRPr="00957B97">
              <w:rPr>
                <w:rFonts w:ascii="Calibri" w:eastAsia="Times New Roman" w:hAnsi="Calibri" w:cs="Calibri"/>
                <w:b/>
                <w:bCs/>
                <w:color w:val="000000"/>
                <w:lang w:eastAsia="en-AU"/>
              </w:rPr>
              <w:t>VIC</w:t>
            </w:r>
          </w:p>
        </w:tc>
        <w:tc>
          <w:tcPr>
            <w:tcW w:w="981" w:type="dxa"/>
            <w:tcBorders>
              <w:top w:val="nil"/>
              <w:left w:val="nil"/>
              <w:bottom w:val="single" w:sz="4" w:space="0" w:color="auto"/>
              <w:right w:val="single" w:sz="4" w:space="0" w:color="auto"/>
            </w:tcBorders>
            <w:shd w:val="clear" w:color="auto" w:fill="auto"/>
            <w:noWrap/>
            <w:vAlign w:val="bottom"/>
            <w:hideMark/>
          </w:tcPr>
          <w:p w:rsidR="00BE506D" w:rsidRPr="00957B97" w:rsidRDefault="00BE506D" w:rsidP="003539E4">
            <w:pPr>
              <w:spacing w:after="0" w:line="240" w:lineRule="auto"/>
              <w:jc w:val="center"/>
              <w:rPr>
                <w:rFonts w:ascii="Calibri" w:eastAsia="Times New Roman" w:hAnsi="Calibri" w:cs="Calibri"/>
                <w:b/>
                <w:bCs/>
                <w:color w:val="000000"/>
                <w:lang w:eastAsia="en-AU"/>
              </w:rPr>
            </w:pPr>
            <w:r w:rsidRPr="00957B97">
              <w:rPr>
                <w:rFonts w:ascii="Calibri" w:eastAsia="Times New Roman" w:hAnsi="Calibri" w:cs="Calibri"/>
                <w:b/>
                <w:bCs/>
                <w:color w:val="000000"/>
                <w:lang w:eastAsia="en-AU"/>
              </w:rPr>
              <w:t>WA</w:t>
            </w:r>
          </w:p>
        </w:tc>
        <w:tc>
          <w:tcPr>
            <w:tcW w:w="981" w:type="dxa"/>
            <w:tcBorders>
              <w:top w:val="nil"/>
              <w:left w:val="nil"/>
              <w:bottom w:val="single" w:sz="4" w:space="0" w:color="auto"/>
              <w:right w:val="single" w:sz="4" w:space="0" w:color="auto"/>
            </w:tcBorders>
            <w:shd w:val="clear" w:color="auto" w:fill="auto"/>
            <w:noWrap/>
            <w:vAlign w:val="bottom"/>
            <w:hideMark/>
          </w:tcPr>
          <w:p w:rsidR="00BE506D" w:rsidRPr="00957B97" w:rsidRDefault="00BE506D" w:rsidP="003539E4">
            <w:pPr>
              <w:spacing w:after="0" w:line="240" w:lineRule="auto"/>
              <w:jc w:val="center"/>
              <w:rPr>
                <w:rFonts w:ascii="Calibri" w:eastAsia="Times New Roman" w:hAnsi="Calibri" w:cs="Calibri"/>
                <w:b/>
                <w:bCs/>
                <w:color w:val="000000"/>
                <w:lang w:eastAsia="en-AU"/>
              </w:rPr>
            </w:pPr>
            <w:r w:rsidRPr="00957B97">
              <w:rPr>
                <w:rFonts w:ascii="Calibri" w:eastAsia="Times New Roman" w:hAnsi="Calibri" w:cs="Calibri"/>
                <w:b/>
                <w:bCs/>
                <w:color w:val="000000"/>
                <w:lang w:eastAsia="en-AU"/>
              </w:rPr>
              <w:t>Total</w:t>
            </w:r>
          </w:p>
        </w:tc>
      </w:tr>
      <w:tr w:rsidR="007D70B0" w:rsidRPr="007D70B0" w:rsidTr="00C334E1">
        <w:trPr>
          <w:trHeight w:val="300"/>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rsidR="007D70B0" w:rsidRPr="007D70B0" w:rsidRDefault="007D70B0" w:rsidP="007D70B0">
            <w:pPr>
              <w:spacing w:after="0" w:line="240" w:lineRule="auto"/>
              <w:jc w:val="center"/>
              <w:rPr>
                <w:rFonts w:cstheme="minorHAnsi"/>
              </w:rPr>
            </w:pPr>
            <w:r w:rsidRPr="007D70B0">
              <w:rPr>
                <w:rFonts w:cstheme="minorHAnsi"/>
              </w:rPr>
              <w:t>ACT/NSW</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335</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53</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240</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33</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61</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&gt;722</w:t>
            </w:r>
            <w:r>
              <w:rPr>
                <w:rFonts w:cstheme="minorHAnsi"/>
              </w:rPr>
              <w:t>#</w:t>
            </w:r>
          </w:p>
        </w:tc>
      </w:tr>
      <w:tr w:rsidR="007D70B0" w:rsidRPr="007D70B0" w:rsidTr="00C334E1">
        <w:trPr>
          <w:trHeight w:val="300"/>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rsidR="007D70B0" w:rsidRPr="007D70B0" w:rsidRDefault="007D70B0" w:rsidP="007D70B0">
            <w:pPr>
              <w:spacing w:after="0" w:line="240" w:lineRule="auto"/>
              <w:jc w:val="center"/>
              <w:rPr>
                <w:rFonts w:cstheme="minorHAnsi"/>
              </w:rPr>
            </w:pPr>
            <w:r w:rsidRPr="007D70B0">
              <w:rPr>
                <w:rFonts w:cstheme="minorHAnsi"/>
              </w:rPr>
              <w:t>QLD</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51</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58</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250</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22</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29</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&gt;410</w:t>
            </w:r>
            <w:r>
              <w:rPr>
                <w:rFonts w:cstheme="minorHAnsi"/>
              </w:rPr>
              <w:t>#</w:t>
            </w:r>
          </w:p>
        </w:tc>
      </w:tr>
      <w:tr w:rsidR="007D70B0" w:rsidRPr="007D70B0" w:rsidTr="00C334E1">
        <w:trPr>
          <w:trHeight w:val="300"/>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rsidR="007D70B0" w:rsidRPr="007D70B0" w:rsidRDefault="007D70B0" w:rsidP="007D70B0">
            <w:pPr>
              <w:spacing w:after="0" w:line="240" w:lineRule="auto"/>
              <w:jc w:val="center"/>
              <w:rPr>
                <w:rFonts w:cstheme="minorHAnsi"/>
              </w:rPr>
            </w:pPr>
            <w:r w:rsidRPr="007D70B0">
              <w:rPr>
                <w:rFonts w:cstheme="minorHAnsi"/>
              </w:rPr>
              <w:t>SA</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31</w:t>
            </w:r>
          </w:p>
        </w:tc>
      </w:tr>
      <w:tr w:rsidR="007D70B0" w:rsidRPr="007D70B0" w:rsidTr="00C334E1">
        <w:trPr>
          <w:trHeight w:val="300"/>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rsidR="007D70B0" w:rsidRPr="007D70B0" w:rsidRDefault="007D70B0" w:rsidP="007D70B0">
            <w:pPr>
              <w:spacing w:after="0" w:line="240" w:lineRule="auto"/>
              <w:jc w:val="center"/>
              <w:rPr>
                <w:rFonts w:cstheme="minorHAnsi"/>
              </w:rPr>
            </w:pPr>
            <w:r w:rsidRPr="007D70B0">
              <w:rPr>
                <w:rFonts w:cstheme="minorHAnsi"/>
              </w:rPr>
              <w:t>TAS</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73</w:t>
            </w:r>
          </w:p>
        </w:tc>
      </w:tr>
      <w:tr w:rsidR="007D70B0" w:rsidRPr="007D70B0" w:rsidTr="00C334E1">
        <w:trPr>
          <w:trHeight w:val="300"/>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rsidR="007D70B0" w:rsidRPr="007D70B0" w:rsidRDefault="007D70B0" w:rsidP="007D70B0">
            <w:pPr>
              <w:spacing w:after="0" w:line="240" w:lineRule="auto"/>
              <w:jc w:val="center"/>
              <w:rPr>
                <w:rFonts w:cstheme="minorHAnsi"/>
              </w:rPr>
            </w:pPr>
            <w:r w:rsidRPr="007D70B0">
              <w:rPr>
                <w:rFonts w:cstheme="minorHAnsi"/>
              </w:rPr>
              <w:t>VIC</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21</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35</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31</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&gt;87</w:t>
            </w:r>
            <w:r>
              <w:rPr>
                <w:rFonts w:cstheme="minorHAnsi"/>
              </w:rPr>
              <w:t>#</w:t>
            </w:r>
          </w:p>
        </w:tc>
      </w:tr>
      <w:tr w:rsidR="007D70B0" w:rsidRPr="007D70B0" w:rsidTr="00C334E1">
        <w:trPr>
          <w:trHeight w:val="300"/>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rsidR="007D70B0" w:rsidRPr="007D70B0" w:rsidRDefault="007D70B0" w:rsidP="007D70B0">
            <w:pPr>
              <w:spacing w:after="0" w:line="240" w:lineRule="auto"/>
              <w:jc w:val="center"/>
              <w:rPr>
                <w:rFonts w:cstheme="minorHAnsi"/>
              </w:rPr>
            </w:pPr>
            <w:r w:rsidRPr="007D70B0">
              <w:rPr>
                <w:rFonts w:cstheme="minorHAnsi"/>
              </w:rPr>
              <w:t>WA</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&lt;20</w:t>
            </w:r>
            <w:r>
              <w:rPr>
                <w:rFonts w:cstheme="minorHAnsi"/>
              </w:rPr>
              <w:t>#</w:t>
            </w:r>
          </w:p>
        </w:tc>
      </w:tr>
      <w:tr w:rsidR="007D70B0" w:rsidRPr="007D70B0" w:rsidTr="00C334E1">
        <w:trPr>
          <w:trHeight w:val="300"/>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rsidR="007D70B0" w:rsidRPr="007D70B0" w:rsidRDefault="007D70B0" w:rsidP="007D70B0">
            <w:pPr>
              <w:spacing w:after="0" w:line="240" w:lineRule="auto"/>
              <w:jc w:val="center"/>
              <w:rPr>
                <w:rFonts w:cstheme="minorHAnsi"/>
              </w:rPr>
            </w:pPr>
            <w:r w:rsidRPr="007D70B0">
              <w:rPr>
                <w:rFonts w:cstheme="minorHAnsi"/>
              </w:rPr>
              <w:t>Total</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&gt;407</w:t>
            </w:r>
            <w:r>
              <w:rPr>
                <w:rFonts w:cstheme="minorHAnsi"/>
              </w:rPr>
              <w:t>#</w:t>
            </w:r>
          </w:p>
        </w:tc>
        <w:tc>
          <w:tcPr>
            <w:tcW w:w="982"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&gt;111</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&gt;525</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33</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25</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&gt;86</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&gt;90</w:t>
            </w:r>
            <w:r>
              <w:rPr>
                <w:rFonts w:cstheme="minorHAnsi"/>
              </w:rPr>
              <w:t>#</w:t>
            </w:r>
          </w:p>
        </w:tc>
        <w:tc>
          <w:tcPr>
            <w:tcW w:w="981" w:type="dxa"/>
            <w:tcBorders>
              <w:top w:val="nil"/>
              <w:left w:val="nil"/>
              <w:bottom w:val="single" w:sz="4" w:space="0" w:color="auto"/>
              <w:right w:val="single" w:sz="4" w:space="0" w:color="auto"/>
            </w:tcBorders>
            <w:shd w:val="clear" w:color="auto" w:fill="auto"/>
            <w:noWrap/>
            <w:hideMark/>
          </w:tcPr>
          <w:p w:rsidR="007D70B0" w:rsidRPr="007D70B0" w:rsidRDefault="007D70B0" w:rsidP="007D70B0">
            <w:pPr>
              <w:spacing w:after="0" w:line="240" w:lineRule="auto"/>
              <w:jc w:val="center"/>
              <w:rPr>
                <w:rFonts w:cstheme="minorHAnsi"/>
              </w:rPr>
            </w:pPr>
            <w:r w:rsidRPr="007D70B0">
              <w:rPr>
                <w:rFonts w:cstheme="minorHAnsi"/>
              </w:rPr>
              <w:t>1383</w:t>
            </w:r>
          </w:p>
        </w:tc>
      </w:tr>
    </w:tbl>
    <w:p w:rsidR="00E54E58" w:rsidRDefault="003367E3" w:rsidP="009D38B1">
      <w:pPr>
        <w:spacing w:after="0" w:line="240" w:lineRule="auto"/>
        <w:rPr>
          <w:rFonts w:ascii="Calibri" w:hAnsi="Calibri" w:cs="Calibri"/>
          <w:sz w:val="18"/>
          <w:szCs w:val="18"/>
        </w:rPr>
      </w:pPr>
      <w:r w:rsidRPr="009D38B1">
        <w:rPr>
          <w:rFonts w:ascii="Calibri" w:hAnsi="Calibri" w:cs="Calibri"/>
          <w:sz w:val="18"/>
          <w:szCs w:val="18"/>
        </w:rPr>
        <w:t>Source:</w:t>
      </w:r>
      <w:r w:rsidR="00957B97" w:rsidRPr="009D38B1">
        <w:rPr>
          <w:rFonts w:ascii="Calibri" w:hAnsi="Calibri" w:cs="Calibri"/>
          <w:sz w:val="18"/>
          <w:szCs w:val="18"/>
        </w:rPr>
        <w:t xml:space="preserve"> Department of Employment administrative data</w:t>
      </w:r>
    </w:p>
    <w:p w:rsidR="009D38B1" w:rsidRDefault="009D38B1" w:rsidP="009D38B1">
      <w:pPr>
        <w:spacing w:after="0" w:line="240" w:lineRule="auto"/>
        <w:rPr>
          <w:rFonts w:ascii="Calibri" w:hAnsi="Calibri" w:cs="Calibri"/>
          <w:sz w:val="18"/>
          <w:szCs w:val="18"/>
        </w:rPr>
      </w:pPr>
      <w:r w:rsidRPr="0018188C">
        <w:rPr>
          <w:rFonts w:ascii="Calibri" w:hAnsi="Calibri" w:cs="Calibri"/>
          <w:sz w:val="18"/>
          <w:szCs w:val="18"/>
        </w:rPr>
        <w:t>#</w:t>
      </w:r>
      <w:r w:rsidRPr="0018188C">
        <w:rPr>
          <w:sz w:val="18"/>
          <w:szCs w:val="18"/>
        </w:rPr>
        <w:t xml:space="preserve"> </w:t>
      </w:r>
      <w:r w:rsidRPr="0018188C">
        <w:rPr>
          <w:rFonts w:ascii="Calibri" w:hAnsi="Calibri" w:cs="Calibri"/>
          <w:sz w:val="18"/>
          <w:szCs w:val="18"/>
        </w:rPr>
        <w:t>In order to protect the privacy of individuals, populations less than twenty are reported as "&lt;20"</w:t>
      </w:r>
    </w:p>
    <w:p w:rsidR="007D70B0" w:rsidRPr="009D38B1" w:rsidRDefault="007D70B0" w:rsidP="009D38B1">
      <w:pPr>
        <w:spacing w:after="0" w:line="240" w:lineRule="auto"/>
        <w:rPr>
          <w:rFonts w:ascii="Calibri" w:hAnsi="Calibri" w:cs="Calibri"/>
          <w:sz w:val="18"/>
          <w:szCs w:val="18"/>
        </w:rPr>
      </w:pPr>
    </w:p>
    <w:p w:rsidR="00BE506D" w:rsidRDefault="00BE506D" w:rsidP="00BE506D">
      <w:pPr>
        <w:pStyle w:val="ParaAttribute13"/>
        <w:rPr>
          <w:sz w:val="22"/>
          <w:szCs w:val="22"/>
        </w:rPr>
      </w:pPr>
      <w:r>
        <w:rPr>
          <w:rStyle w:val="CharAttribute66"/>
          <w:szCs w:val="22"/>
        </w:rPr>
        <w:t>Research that is available on relocation program</w:t>
      </w:r>
      <w:r w:rsidR="00686363">
        <w:rPr>
          <w:rStyle w:val="CharAttribute66"/>
          <w:szCs w:val="22"/>
        </w:rPr>
        <w:t>me</w:t>
      </w:r>
      <w:r>
        <w:rPr>
          <w:rStyle w:val="CharAttribute66"/>
          <w:szCs w:val="22"/>
        </w:rPr>
        <w:t xml:space="preserve">s, both in Australia and overseas, indicates relocation </w:t>
      </w:r>
      <w:r>
        <w:rPr>
          <w:rStyle w:val="CharAttribute67"/>
          <w:szCs w:val="22"/>
        </w:rPr>
        <w:t>program</w:t>
      </w:r>
      <w:r w:rsidR="00686363">
        <w:rPr>
          <w:rStyle w:val="CharAttribute67"/>
          <w:szCs w:val="22"/>
        </w:rPr>
        <w:t>me</w:t>
      </w:r>
      <w:r>
        <w:rPr>
          <w:rStyle w:val="CharAttribute67"/>
          <w:szCs w:val="22"/>
        </w:rPr>
        <w:t>s have little effect on either the overall unemployment rate or on the employment prospects of the unemployed. However, it can be seen to strongly benefit the individual participants involved.</w:t>
      </w:r>
      <w:r>
        <w:rPr>
          <w:rStyle w:val="CharAttribute2"/>
          <w:szCs w:val="22"/>
        </w:rPr>
        <w:t xml:space="preserve"> For CPwJ, </w:t>
      </w:r>
      <w:r w:rsidR="00266681">
        <w:rPr>
          <w:rStyle w:val="CharAttribute2"/>
          <w:szCs w:val="22"/>
        </w:rPr>
        <w:t>6</w:t>
      </w:r>
      <w:r w:rsidR="00C65625">
        <w:rPr>
          <w:rStyle w:val="CharAttribute2"/>
          <w:szCs w:val="22"/>
        </w:rPr>
        <w:t>1</w:t>
      </w:r>
      <w:r>
        <w:rPr>
          <w:rStyle w:val="CharAttribute2"/>
          <w:szCs w:val="22"/>
        </w:rPr>
        <w:t xml:space="preserve"> per cent of participants as at 30 June 2013 </w:t>
      </w:r>
      <w:r w:rsidR="00653A5D">
        <w:rPr>
          <w:rStyle w:val="CharAttribute2"/>
          <w:szCs w:val="22"/>
        </w:rPr>
        <w:t xml:space="preserve">were </w:t>
      </w:r>
      <w:r>
        <w:rPr>
          <w:rStyle w:val="CharAttribute2"/>
          <w:szCs w:val="22"/>
        </w:rPr>
        <w:t xml:space="preserve">no longer receiving income support, which is a significant saving over the long term as the average costs to the government for funding the relocation is equivalent to receiving approximately eight to ten weeks </w:t>
      </w:r>
      <w:r w:rsidR="00CF7AD0">
        <w:rPr>
          <w:rStyle w:val="CharAttribute2"/>
          <w:szCs w:val="22"/>
        </w:rPr>
        <w:t xml:space="preserve">receipt </w:t>
      </w:r>
      <w:r>
        <w:rPr>
          <w:rStyle w:val="CharAttribute2"/>
          <w:szCs w:val="22"/>
        </w:rPr>
        <w:t xml:space="preserve">of Newstart Allowance. </w:t>
      </w:r>
    </w:p>
    <w:p w:rsidR="00BE506D" w:rsidRDefault="00BE506D" w:rsidP="00BE506D">
      <w:pPr>
        <w:pStyle w:val="ParaAttribute13"/>
        <w:rPr>
          <w:sz w:val="22"/>
          <w:szCs w:val="22"/>
        </w:rPr>
      </w:pPr>
      <w:r>
        <w:rPr>
          <w:rStyle w:val="CharAttribute2"/>
          <w:szCs w:val="22"/>
        </w:rPr>
        <w:t>In addition to the benefits to the individual</w:t>
      </w:r>
      <w:r w:rsidR="002839A9">
        <w:rPr>
          <w:rStyle w:val="CharAttribute2"/>
          <w:szCs w:val="22"/>
        </w:rPr>
        <w:t>,</w:t>
      </w:r>
      <w:r>
        <w:rPr>
          <w:rStyle w:val="CharAttribute2"/>
          <w:szCs w:val="22"/>
        </w:rPr>
        <w:t xml:space="preserve"> another benefit of relocation program</w:t>
      </w:r>
      <w:r w:rsidR="00686363">
        <w:rPr>
          <w:rStyle w:val="CharAttribute2"/>
          <w:szCs w:val="22"/>
        </w:rPr>
        <w:t>me</w:t>
      </w:r>
      <w:r>
        <w:rPr>
          <w:rStyle w:val="CharAttribute2"/>
          <w:szCs w:val="22"/>
        </w:rPr>
        <w:t xml:space="preserve">s is </w:t>
      </w:r>
      <w:r w:rsidR="00E00E1D">
        <w:rPr>
          <w:rStyle w:val="CharAttribute2"/>
          <w:szCs w:val="22"/>
        </w:rPr>
        <w:t xml:space="preserve">to </w:t>
      </w:r>
      <w:r>
        <w:rPr>
          <w:rStyle w:val="CharAttribute2"/>
          <w:szCs w:val="22"/>
        </w:rPr>
        <w:t>assist employers by reducing the number of unfilled vacancies. Approximately half of the relocations under CPwJ were to areas with low</w:t>
      </w:r>
      <w:r w:rsidR="00CF7AD0">
        <w:rPr>
          <w:rStyle w:val="CharAttribute2"/>
          <w:szCs w:val="22"/>
        </w:rPr>
        <w:t>er</w:t>
      </w:r>
      <w:r>
        <w:rPr>
          <w:rStyle w:val="CharAttribute2"/>
          <w:szCs w:val="22"/>
        </w:rPr>
        <w:t xml:space="preserve"> unemployment. This suggests that the relocations are assisting to supply difficult to fill vacancies. </w:t>
      </w:r>
    </w:p>
    <w:p w:rsidR="00BE506D" w:rsidRPr="00E51A72" w:rsidRDefault="004649DA" w:rsidP="00BE506D">
      <w:pPr>
        <w:spacing w:after="240" w:line="240" w:lineRule="auto"/>
        <w:ind w:left="851" w:right="946"/>
      </w:pPr>
      <w:r w:rsidRPr="00CB5C42">
        <w:rPr>
          <w:b/>
          <w:u w:val="single"/>
        </w:rPr>
        <w:t>Case study:</w:t>
      </w:r>
      <w:r>
        <w:t xml:space="preserve"> </w:t>
      </w:r>
      <w:r w:rsidR="00BE506D" w:rsidRPr="00E51A72">
        <w:t>As an example of how CP</w:t>
      </w:r>
      <w:r w:rsidR="00BE506D">
        <w:t>w</w:t>
      </w:r>
      <w:r w:rsidR="00BE506D" w:rsidRPr="00E51A72">
        <w:t>J has been used, the program</w:t>
      </w:r>
      <w:r w:rsidR="00686363">
        <w:t>me</w:t>
      </w:r>
      <w:r w:rsidR="00BE506D" w:rsidRPr="00E51A72">
        <w:t xml:space="preserve"> assisted “Tom” (not his real name) to relocate from Victoria to Western Australia after he was made redundant from a steel worker position with BlueScope Steel. Tom was unemployed for three months before he used CP</w:t>
      </w:r>
      <w:r w:rsidR="00BE506D">
        <w:t>w</w:t>
      </w:r>
      <w:r w:rsidR="00BE506D" w:rsidRPr="00E51A72">
        <w:t>J to move to Western Australia to take up a position with BHP Billiton as a full-time refinery worker. Tom received around $8,500 in assistance to relocate which covered the cost of travel to the new location, short term accommodation assistance and pre</w:t>
      </w:r>
      <w:r w:rsidR="002839A9">
        <w:noBreakHyphen/>
      </w:r>
      <w:r w:rsidR="00BE506D" w:rsidRPr="00E51A72">
        <w:t>employment checks.</w:t>
      </w:r>
    </w:p>
    <w:p w:rsidR="00BE506D" w:rsidRDefault="004649DA" w:rsidP="00BE506D">
      <w:pPr>
        <w:spacing w:after="240" w:line="240" w:lineRule="auto"/>
        <w:ind w:left="851" w:right="946"/>
      </w:pPr>
      <w:r w:rsidRPr="00CB5C42">
        <w:rPr>
          <w:b/>
          <w:u w:val="single"/>
        </w:rPr>
        <w:t>Case study:</w:t>
      </w:r>
      <w:r>
        <w:t xml:space="preserve"> </w:t>
      </w:r>
      <w:r w:rsidR="00BE506D" w:rsidRPr="00E51A72">
        <w:t xml:space="preserve">A further example is given by “Brett”, a mature-aged qualified fitter and turner in western Sydney, who faced multiple barriers to employment, </w:t>
      </w:r>
      <w:r w:rsidR="00BE506D" w:rsidRPr="00E51A72">
        <w:lastRenderedPageBreak/>
        <w:t>usually related to disabilities. Brett’s case manager and employer broker prepared him through job search training sessions and arranged a full-time job some distance away from his home, liaising with the new employer to arrange new accommodation, travel assistance, work clothing and wage subsidy. Brett was able to return home fortnightly to help care for his children; and has maintained the position for almost two years now.</w:t>
      </w:r>
    </w:p>
    <w:p w:rsidR="00C20A38" w:rsidRDefault="00C20A38" w:rsidP="00E3010D">
      <w:pPr>
        <w:pStyle w:val="Heading3"/>
        <w:rPr>
          <w:b w:val="0"/>
        </w:rPr>
      </w:pPr>
      <w:bookmarkStart w:id="27" w:name="_Toc384202097"/>
      <w:r>
        <w:t>Move 2 Work</w:t>
      </w:r>
      <w:bookmarkEnd w:id="27"/>
    </w:p>
    <w:p w:rsidR="00C20A38" w:rsidRPr="00F15505" w:rsidRDefault="00C20A38" w:rsidP="00C20A38">
      <w:pPr>
        <w:spacing w:after="240" w:line="240" w:lineRule="auto"/>
      </w:pPr>
      <w:r w:rsidRPr="005506A8">
        <w:t>Move 2 Work is a labour mobility and relocation assistance initiative that commenced on 1 July 2013</w:t>
      </w:r>
      <w:r w:rsidR="00C46DD9">
        <w:t>,</w:t>
      </w:r>
      <w:r w:rsidRPr="005506A8">
        <w:t xml:space="preserve"> to assist job seekers to relocate to take up ongoing jobs or an apprenticeship and to support employers to find workers from outside their local areas.</w:t>
      </w:r>
      <w:r w:rsidR="00BB3A25">
        <w:t xml:space="preserve"> </w:t>
      </w:r>
      <w:r w:rsidR="00753A1C">
        <w:t>Move 2 Work</w:t>
      </w:r>
      <w:r w:rsidR="00C46DD9">
        <w:t xml:space="preserve"> </w:t>
      </w:r>
      <w:r>
        <w:t>replace</w:t>
      </w:r>
      <w:r w:rsidR="00F503FE">
        <w:t>d</w:t>
      </w:r>
      <w:r>
        <w:t xml:space="preserve"> Connecting People with Jobs (CPwJ)</w:t>
      </w:r>
      <w:r w:rsidR="00CF7AD0">
        <w:t xml:space="preserve"> </w:t>
      </w:r>
      <w:r w:rsidR="00E00E1D">
        <w:t>which</w:t>
      </w:r>
      <w:r w:rsidR="00CF7AD0">
        <w:t xml:space="preserve"> cease</w:t>
      </w:r>
      <w:r w:rsidR="00F503FE">
        <w:t>d</w:t>
      </w:r>
      <w:r w:rsidR="00CF7AD0">
        <w:t xml:space="preserve"> on 30 June 201</w:t>
      </w:r>
      <w:r w:rsidR="00F503FE">
        <w:t>3</w:t>
      </w:r>
      <w:r w:rsidR="00885D58">
        <w:t>.</w:t>
      </w:r>
      <w:r>
        <w:t xml:space="preserve"> Particip</w:t>
      </w:r>
      <w:r w:rsidR="004344DA">
        <w:t>ants can be reimbursed up to $6</w:t>
      </w:r>
      <w:r>
        <w:t>500 to</w:t>
      </w:r>
      <w:r w:rsidR="004344DA">
        <w:t xml:space="preserve"> relocate with dependants or $4</w:t>
      </w:r>
      <w:r>
        <w:t>500 with no dependants. The initiative has a total commitment of $3.5 million to assist 600 job seekers in the 2013-14 financial year. There is no wage subsidy component of Move 2 Work</w:t>
      </w:r>
      <w:r w:rsidR="00C46DD9">
        <w:t>;</w:t>
      </w:r>
      <w:r>
        <w:t xml:space="preserve"> however</w:t>
      </w:r>
      <w:r w:rsidR="00C46DD9">
        <w:t>,</w:t>
      </w:r>
      <w:r>
        <w:t xml:space="preserve"> a wage subsidy</w:t>
      </w:r>
      <w:r w:rsidR="00C46DD9">
        <w:t xml:space="preserve"> (if the participant is eligible)</w:t>
      </w:r>
      <w:r>
        <w:t xml:space="preserve"> may be used concurrently with Move 2 Work. </w:t>
      </w:r>
    </w:p>
    <w:p w:rsidR="00266681" w:rsidRDefault="00C20A38" w:rsidP="00C20A38">
      <w:pPr>
        <w:spacing w:after="240" w:line="240" w:lineRule="auto"/>
      </w:pPr>
      <w:r>
        <w:t>The</w:t>
      </w:r>
      <w:r w:rsidR="00CF7AD0">
        <w:t xml:space="preserve"> administration of</w:t>
      </w:r>
      <w:r>
        <w:t xml:space="preserve"> Move 2 Work </w:t>
      </w:r>
      <w:r w:rsidRPr="005506A8">
        <w:t xml:space="preserve">has been streamlined, based on lessons learned from the </w:t>
      </w:r>
      <w:r>
        <w:t>CPwJ initiative</w:t>
      </w:r>
      <w:r w:rsidRPr="005506A8">
        <w:t xml:space="preserve">, to allow it to better meet the needs of job seekers, providers and employers. </w:t>
      </w:r>
      <w:r w:rsidR="00266681">
        <w:t xml:space="preserve">From commencement to </w:t>
      </w:r>
      <w:r w:rsidR="008A189C">
        <w:t>16 February</w:t>
      </w:r>
      <w:r w:rsidR="00266681">
        <w:t xml:space="preserve"> 2014</w:t>
      </w:r>
      <w:r w:rsidR="00C46DD9">
        <w:t>,</w:t>
      </w:r>
      <w:r w:rsidR="00266681">
        <w:t xml:space="preserve"> </w:t>
      </w:r>
      <w:r w:rsidR="00753A1C">
        <w:t xml:space="preserve">there </w:t>
      </w:r>
      <w:r w:rsidR="00266681">
        <w:t xml:space="preserve">have </w:t>
      </w:r>
      <w:r w:rsidR="00753A1C">
        <w:t>b</w:t>
      </w:r>
      <w:r w:rsidR="00266681">
        <w:t xml:space="preserve">een around </w:t>
      </w:r>
      <w:r w:rsidR="008A189C">
        <w:t>330</w:t>
      </w:r>
      <w:r w:rsidR="00266681">
        <w:t xml:space="preserve"> job seekers u</w:t>
      </w:r>
      <w:r w:rsidR="00C46DD9">
        <w:t xml:space="preserve">sing </w:t>
      </w:r>
      <w:r w:rsidR="00266681">
        <w:t>Move 2 Work funding. In addition, another 4</w:t>
      </w:r>
      <w:r w:rsidR="00753A1C">
        <w:t>5</w:t>
      </w:r>
      <w:r w:rsidR="008A189C">
        <w:t>0</w:t>
      </w:r>
      <w:r w:rsidR="00266681">
        <w:t xml:space="preserve"> job seekers have indicated that they will use this initiative to assist them to relocate</w:t>
      </w:r>
      <w:r>
        <w:t xml:space="preserve">. </w:t>
      </w:r>
      <w:r w:rsidR="000B20A5">
        <w:t>The initiative is currently on track to achieve the expected number of placements.</w:t>
      </w:r>
    </w:p>
    <w:p w:rsidR="00266681" w:rsidRDefault="00266681" w:rsidP="00266681">
      <w:pPr>
        <w:spacing w:after="240" w:line="240" w:lineRule="auto"/>
      </w:pPr>
      <w:r>
        <w:t>Like CPwJ, under Move 2 Work very few participants have been reimbursed for the full funding amount available to them. From commencement to</w:t>
      </w:r>
      <w:r w:rsidR="00A90C21">
        <w:t xml:space="preserve"> </w:t>
      </w:r>
      <w:r w:rsidR="008A189C">
        <w:t>16</w:t>
      </w:r>
      <w:r w:rsidR="00A90C21">
        <w:t xml:space="preserve"> </w:t>
      </w:r>
      <w:r w:rsidR="008A189C">
        <w:t>February 2014</w:t>
      </w:r>
      <w:r>
        <w:t>, the average reimbursement under Move 2 Work has been $19</w:t>
      </w:r>
      <w:r w:rsidR="008A189C">
        <w:t>87</w:t>
      </w:r>
      <w:r>
        <w:t xml:space="preserve">. The main items that job seekers claimed were for Removalist and Accommodation costs. Participants who relocated with dependants spent </w:t>
      </w:r>
      <w:r w:rsidR="008A189C">
        <w:t xml:space="preserve">over </w:t>
      </w:r>
      <w:r>
        <w:t>twice ($3</w:t>
      </w:r>
      <w:r w:rsidR="008A189C">
        <w:t>641</w:t>
      </w:r>
      <w:r>
        <w:t>) as much as participants who relocated with no dependants</w:t>
      </w:r>
      <w:r w:rsidR="008A189C">
        <w:t xml:space="preserve"> ($1570)</w:t>
      </w:r>
      <w:r>
        <w:t xml:space="preserve">. </w:t>
      </w:r>
    </w:p>
    <w:p w:rsidR="00266681" w:rsidRDefault="00266681" w:rsidP="00266681">
      <w:pPr>
        <w:spacing w:after="240" w:line="240" w:lineRule="auto"/>
      </w:pPr>
      <w:r>
        <w:t>In terms of job seeker characteristics and like CPwJ, the majority of participants who accessed Move 2 Work were male (6</w:t>
      </w:r>
      <w:r w:rsidR="00A54D8C">
        <w:t>6</w:t>
      </w:r>
      <w:r w:rsidR="00EB5E3D">
        <w:t xml:space="preserve"> </w:t>
      </w:r>
      <w:r>
        <w:t>per cent), had an average age of 3</w:t>
      </w:r>
      <w:r w:rsidR="00101C8C">
        <w:t>7</w:t>
      </w:r>
      <w:r>
        <w:t xml:space="preserve"> and had no depend</w:t>
      </w:r>
      <w:r w:rsidR="000E36D5">
        <w:t>a</w:t>
      </w:r>
      <w:r>
        <w:t>nts (</w:t>
      </w:r>
      <w:r w:rsidR="003509C9">
        <w:t>79</w:t>
      </w:r>
      <w:r>
        <w:t xml:space="preserve"> per cent). About </w:t>
      </w:r>
      <w:r w:rsidR="003509C9">
        <w:t>20</w:t>
      </w:r>
      <w:r>
        <w:t xml:space="preserve"> per cent of partic</w:t>
      </w:r>
      <w:r w:rsidR="00C46DD9">
        <w:t>ipants were, or were at risk of,</w:t>
      </w:r>
      <w:r>
        <w:t xml:space="preserve"> being homeless and </w:t>
      </w:r>
      <w:r w:rsidR="00C44594">
        <w:t xml:space="preserve">nine </w:t>
      </w:r>
      <w:r>
        <w:t>per cent were culturally and linguistically diverse. Overall, Move 2 Work participants were considered to have medium to high barriers to employment than the general population with</w:t>
      </w:r>
      <w:r w:rsidR="00A90C21">
        <w:t xml:space="preserve"> </w:t>
      </w:r>
      <w:r w:rsidR="003509C9">
        <w:t>77</w:t>
      </w:r>
      <w:r>
        <w:t xml:space="preserve"> per cent of participants receiving Stream 2 servicing or higher in JSA, or being DES participants.</w:t>
      </w:r>
    </w:p>
    <w:p w:rsidR="00266681" w:rsidRDefault="00266681" w:rsidP="00266681">
      <w:pPr>
        <w:spacing w:after="240" w:line="240" w:lineRule="auto"/>
      </w:pPr>
      <w:r>
        <w:t>Most of the jobs participants were relocating for under Move 2 Work were unskilled jobs such as process workers, labourers, traffic controllers and retail assistants. Accommodation and Food Services, Other Services and Transport, Postal and Warehousing were among the most popular industries.</w:t>
      </w:r>
    </w:p>
    <w:p w:rsidR="00C20A38" w:rsidRPr="005506A8" w:rsidRDefault="00266681" w:rsidP="00266681">
      <w:pPr>
        <w:spacing w:after="240" w:line="240" w:lineRule="auto"/>
      </w:pPr>
      <w:r>
        <w:t>Almost half (</w:t>
      </w:r>
      <w:r w:rsidR="003509C9">
        <w:t>45</w:t>
      </w:r>
      <w:r w:rsidR="00C46DD9">
        <w:t xml:space="preserve"> </w:t>
      </w:r>
      <w:r>
        <w:t>per cent) of the relocations are intra-state moves. Like CPwJ, Queensland was the most popular destination (35 per cent)</w:t>
      </w:r>
      <w:r w:rsidR="00C36BDD">
        <w:t xml:space="preserve"> for all relocations</w:t>
      </w:r>
      <w:r>
        <w:t>.</w:t>
      </w:r>
      <w:r w:rsidR="00C20A38">
        <w:t xml:space="preserve"> </w:t>
      </w:r>
      <w:r w:rsidR="00101C8C">
        <w:t>This suggests that there has been a general trend for job seekers serviced by Government employment services to relocate to Q</w:t>
      </w:r>
      <w:r w:rsidR="00C46DD9">
        <w:t xml:space="preserve">ueensland </w:t>
      </w:r>
      <w:r w:rsidR="00101C8C">
        <w:t xml:space="preserve">for employment. </w:t>
      </w:r>
    </w:p>
    <w:p w:rsidR="00B613D5" w:rsidRDefault="00C20A38" w:rsidP="00C20A38">
      <w:pPr>
        <w:spacing w:after="240" w:line="240" w:lineRule="auto"/>
      </w:pPr>
      <w:r>
        <w:t>Both CPwJ and Move 2 Work have experienced difficulty in tracking movement of a job seeker</w:t>
      </w:r>
      <w:r w:rsidR="00730553">
        <w:t xml:space="preserve"> once they have commenced employment</w:t>
      </w:r>
      <w:r>
        <w:t xml:space="preserve">. The nature of job seekers and current IT functionality is that a job seeker may move for a job and if they are successful move off income-support without </w:t>
      </w:r>
      <w:r w:rsidR="00730553">
        <w:t>further correspondence with the Department of Employment or the Department of Human Services</w:t>
      </w:r>
      <w:r>
        <w:t xml:space="preserve">. Many job seekers are keen to leave behind their “unemployed experience” and therefore </w:t>
      </w:r>
      <w:r w:rsidR="00730553">
        <w:t xml:space="preserve">cease </w:t>
      </w:r>
      <w:r w:rsidR="00730553">
        <w:lastRenderedPageBreak/>
        <w:t>correspondence with these agencies</w:t>
      </w:r>
      <w:r>
        <w:t>. Without this updated data it is challenging to know that they have moved, gather data on where they have moved to and track them into the future.</w:t>
      </w:r>
    </w:p>
    <w:p w:rsidR="001A029D" w:rsidRDefault="001A029D" w:rsidP="001A029D">
      <w:pPr>
        <w:pStyle w:val="Heading3"/>
      </w:pPr>
      <w:bookmarkStart w:id="28" w:name="_Toc384202098"/>
      <w:r w:rsidRPr="00254D5D">
        <w:t>Relocation Assistance to Take Up a Job</w:t>
      </w:r>
      <w:bookmarkEnd w:id="28"/>
    </w:p>
    <w:p w:rsidR="001A029D" w:rsidRDefault="00607C98" w:rsidP="001A029D">
      <w:pPr>
        <w:spacing w:after="0" w:line="240" w:lineRule="auto"/>
      </w:pPr>
      <w:r>
        <w:t xml:space="preserve">The </w:t>
      </w:r>
      <w:r w:rsidR="001A029D">
        <w:t>Relocation Assistance to Take Up a Job programme is part of the Government’s broader election commitment to “Increase Employment Participation”. This programme will provi</w:t>
      </w:r>
      <w:r w:rsidR="00C46DD9">
        <w:t>de financial assistance to long-</w:t>
      </w:r>
      <w:r w:rsidR="001A029D">
        <w:t>term unemployed j</w:t>
      </w:r>
      <w:r w:rsidR="00C46DD9">
        <w:t xml:space="preserve">ob seekers who relocate to take </w:t>
      </w:r>
      <w:r w:rsidR="001A029D">
        <w:t>up ongoing employment. The programme will commence on 1 July 2014 and will provide relocation payments of up to $6000 if participants move to a regional area or up to $3000 if they move to a metropolitan area. Families with depend</w:t>
      </w:r>
      <w:r w:rsidR="000E36D5">
        <w:t>a</w:t>
      </w:r>
      <w:r w:rsidR="001A029D">
        <w:t>nt children will be prov</w:t>
      </w:r>
      <w:r w:rsidR="00876DE6">
        <w:t>ided with up to an extra $3000.</w:t>
      </w:r>
    </w:p>
    <w:p w:rsidR="001A029D" w:rsidRDefault="001A029D" w:rsidP="001A029D">
      <w:pPr>
        <w:spacing w:after="0" w:line="240" w:lineRule="auto"/>
      </w:pPr>
    </w:p>
    <w:p w:rsidR="001A029D" w:rsidRDefault="001A029D" w:rsidP="001A029D">
      <w:pPr>
        <w:spacing w:after="240" w:line="240" w:lineRule="auto"/>
      </w:pPr>
      <w:r w:rsidRPr="008B321A">
        <w:t>The programme will be available to long-term unemployed job seekers who are receiving Newstart Allowance, Youth Allowance (other) or Parenting Payments for at least the preceding 12 months</w:t>
      </w:r>
      <w:r w:rsidR="00C46DD9">
        <w:t>,</w:t>
      </w:r>
      <w:r w:rsidRPr="008B321A">
        <w:t xml:space="preserve"> and are registered with a J</w:t>
      </w:r>
      <w:r w:rsidR="00C46DD9">
        <w:t xml:space="preserve">SA </w:t>
      </w:r>
      <w:r w:rsidRPr="008B321A">
        <w:t>provider or participating in D</w:t>
      </w:r>
      <w:r w:rsidR="00C46DD9">
        <w:t>ES</w:t>
      </w:r>
      <w:r w:rsidRPr="008B321A">
        <w:t>.</w:t>
      </w:r>
      <w:r w:rsidR="0020671B" w:rsidRPr="0020671B">
        <w:t xml:space="preserve"> </w:t>
      </w:r>
    </w:p>
    <w:p w:rsidR="00CA0DAB" w:rsidRDefault="00CA0DAB" w:rsidP="00CA0DAB">
      <w:pPr>
        <w:pStyle w:val="Heading3"/>
      </w:pPr>
      <w:bookmarkStart w:id="29" w:name="_Toc384202099"/>
      <w:r>
        <w:t>Harvest Labour Service</w:t>
      </w:r>
      <w:bookmarkEnd w:id="29"/>
    </w:p>
    <w:p w:rsidR="00C20A38" w:rsidRPr="00830481" w:rsidRDefault="00CA0DAB" w:rsidP="00C20A38">
      <w:pPr>
        <w:spacing w:after="240" w:line="240" w:lineRule="auto"/>
      </w:pPr>
      <w:r>
        <w:t>The Harvest Labour Service (</w:t>
      </w:r>
      <w:r w:rsidR="00C20A38" w:rsidRPr="00830481">
        <w:t>HLS</w:t>
      </w:r>
      <w:r>
        <w:t>)</w:t>
      </w:r>
      <w:r w:rsidR="00C20A38" w:rsidRPr="00830481">
        <w:t xml:space="preserve"> helps growers to supplement local labour with out-of-area workers. Services delivered by HLS providers (who are also JSA providers) include: </w:t>
      </w:r>
    </w:p>
    <w:p w:rsidR="00C20A38" w:rsidRPr="00830481" w:rsidRDefault="00C20A38" w:rsidP="00C20A38">
      <w:pPr>
        <w:pStyle w:val="ListParagraph"/>
        <w:numPr>
          <w:ilvl w:val="0"/>
          <w:numId w:val="19"/>
        </w:numPr>
        <w:ind w:left="1134" w:hanging="708"/>
        <w:rPr>
          <w:rFonts w:asciiTheme="minorHAnsi" w:hAnsiTheme="minorHAnsi" w:cstheme="minorHAnsi"/>
          <w:sz w:val="22"/>
          <w:szCs w:val="22"/>
        </w:rPr>
      </w:pPr>
      <w:r w:rsidRPr="00830481">
        <w:rPr>
          <w:rFonts w:asciiTheme="minorHAnsi" w:hAnsiTheme="minorHAnsi" w:cstheme="minorHAnsi"/>
          <w:sz w:val="22"/>
          <w:szCs w:val="22"/>
        </w:rPr>
        <w:t>mobilising job seekers from locations outside the harvest areas and placing them into harvest jobs</w:t>
      </w:r>
      <w:r w:rsidR="00C46DD9">
        <w:rPr>
          <w:rFonts w:asciiTheme="minorHAnsi" w:hAnsiTheme="minorHAnsi" w:cstheme="minorHAnsi"/>
          <w:sz w:val="22"/>
          <w:szCs w:val="22"/>
        </w:rPr>
        <w:t>;</w:t>
      </w:r>
    </w:p>
    <w:p w:rsidR="00C20A38" w:rsidRPr="00830481" w:rsidRDefault="00C20A38" w:rsidP="00C20A38">
      <w:pPr>
        <w:pStyle w:val="ListParagraph"/>
        <w:numPr>
          <w:ilvl w:val="0"/>
          <w:numId w:val="19"/>
        </w:numPr>
        <w:ind w:left="1134" w:hanging="708"/>
        <w:rPr>
          <w:rFonts w:asciiTheme="minorHAnsi" w:hAnsiTheme="minorHAnsi" w:cstheme="minorHAnsi"/>
          <w:sz w:val="22"/>
          <w:szCs w:val="22"/>
        </w:rPr>
      </w:pPr>
      <w:r w:rsidRPr="00830481">
        <w:rPr>
          <w:rFonts w:asciiTheme="minorHAnsi" w:hAnsiTheme="minorHAnsi" w:cstheme="minorHAnsi"/>
          <w:sz w:val="22"/>
          <w:szCs w:val="22"/>
        </w:rPr>
        <w:t>liaising with growers and supporting their labour needs</w:t>
      </w:r>
      <w:r w:rsidR="00C46DD9">
        <w:rPr>
          <w:rFonts w:asciiTheme="minorHAnsi" w:hAnsiTheme="minorHAnsi" w:cstheme="minorHAnsi"/>
          <w:sz w:val="22"/>
          <w:szCs w:val="22"/>
        </w:rPr>
        <w:t>; and</w:t>
      </w:r>
    </w:p>
    <w:p w:rsidR="00C20A38" w:rsidRPr="00830481" w:rsidRDefault="00C20A38" w:rsidP="00C20A38">
      <w:pPr>
        <w:pStyle w:val="ListParagraph"/>
        <w:numPr>
          <w:ilvl w:val="0"/>
          <w:numId w:val="19"/>
        </w:numPr>
        <w:ind w:left="1134" w:hanging="708"/>
        <w:rPr>
          <w:rFonts w:asciiTheme="minorHAnsi" w:hAnsiTheme="minorHAnsi" w:cstheme="minorHAnsi"/>
          <w:sz w:val="22"/>
          <w:szCs w:val="22"/>
        </w:rPr>
      </w:pPr>
      <w:r w:rsidRPr="00830481">
        <w:rPr>
          <w:rFonts w:asciiTheme="minorHAnsi" w:hAnsiTheme="minorHAnsi" w:cstheme="minorHAnsi"/>
          <w:sz w:val="22"/>
          <w:szCs w:val="22"/>
        </w:rPr>
        <w:t xml:space="preserve">marketing harvest work opportunities. </w:t>
      </w:r>
      <w:r>
        <w:rPr>
          <w:rFonts w:asciiTheme="minorHAnsi" w:hAnsiTheme="minorHAnsi" w:cstheme="minorHAnsi"/>
          <w:sz w:val="22"/>
          <w:szCs w:val="22"/>
        </w:rPr>
        <w:br/>
      </w:r>
    </w:p>
    <w:p w:rsidR="00C20A38" w:rsidRPr="00830481" w:rsidRDefault="00C20A38" w:rsidP="00C20A38">
      <w:pPr>
        <w:spacing w:after="240" w:line="240" w:lineRule="auto"/>
      </w:pPr>
      <w:r w:rsidRPr="00830481">
        <w:t xml:space="preserve">HLS providers can refer to </w:t>
      </w:r>
      <w:r w:rsidR="002A397E">
        <w:t>h</w:t>
      </w:r>
      <w:r w:rsidRPr="00830481">
        <w:t xml:space="preserve">arvest positions anyone legally able to work in Australia. </w:t>
      </w:r>
      <w:r>
        <w:t xml:space="preserve">There are approximately 26,000 placements per year. </w:t>
      </w:r>
      <w:r w:rsidRPr="00830481">
        <w:t>Backpackers on working h</w:t>
      </w:r>
      <w:r w:rsidR="00C46DD9">
        <w:t>oliday visas make up around 96</w:t>
      </w:r>
      <w:r w:rsidRPr="00830481">
        <w:t xml:space="preserve"> per cent of these </w:t>
      </w:r>
      <w:r>
        <w:t>placements</w:t>
      </w:r>
      <w:r w:rsidRPr="00830481">
        <w:t>, with the rest being job seekers on income support and itinerant workers such as ‘grey nomads’.</w:t>
      </w:r>
      <w:r w:rsidR="00BB3A25">
        <w:t xml:space="preserve"> </w:t>
      </w:r>
      <w:r>
        <w:t>Many of the backpackers take on harvest work to help them secure a second working visa period.</w:t>
      </w:r>
    </w:p>
    <w:p w:rsidR="00CA0DAB" w:rsidRDefault="00CA0DAB" w:rsidP="00CA0DAB">
      <w:pPr>
        <w:pStyle w:val="Heading3"/>
      </w:pPr>
      <w:bookmarkStart w:id="30" w:name="_Toc384202100"/>
      <w:r>
        <w:t>National Harvest Labour Information Service</w:t>
      </w:r>
      <w:bookmarkEnd w:id="30"/>
    </w:p>
    <w:p w:rsidR="00C20A38" w:rsidRPr="00830481" w:rsidRDefault="00C20A38" w:rsidP="00C20A38">
      <w:pPr>
        <w:spacing w:after="240" w:line="240" w:lineRule="auto"/>
      </w:pPr>
      <w:r w:rsidRPr="00830481">
        <w:t>The</w:t>
      </w:r>
      <w:r w:rsidR="00CA0DAB">
        <w:t xml:space="preserve"> </w:t>
      </w:r>
      <w:r w:rsidR="00CA0DAB" w:rsidRPr="00CA0DAB">
        <w:t>National Harvest Labour Information Service</w:t>
      </w:r>
      <w:r w:rsidRPr="00830481">
        <w:t xml:space="preserve"> </w:t>
      </w:r>
      <w:r w:rsidR="00CA0DAB">
        <w:t>(</w:t>
      </w:r>
      <w:r w:rsidRPr="00830481">
        <w:t>NHLIS</w:t>
      </w:r>
      <w:r w:rsidR="00CA0DAB">
        <w:t>)</w:t>
      </w:r>
      <w:r w:rsidRPr="00830481">
        <w:t xml:space="preserve"> provides national coordination and dissemination of information regarding harvest-related work opportunities across Australia, including those areas not serviced by HLS. NHLIS services include:</w:t>
      </w:r>
    </w:p>
    <w:p w:rsidR="003F4B98" w:rsidRDefault="00C20A38" w:rsidP="00C20A38">
      <w:pPr>
        <w:pStyle w:val="ListParagraph"/>
        <w:numPr>
          <w:ilvl w:val="0"/>
          <w:numId w:val="19"/>
        </w:numPr>
        <w:ind w:left="1134" w:hanging="708"/>
        <w:rPr>
          <w:rFonts w:asciiTheme="minorHAnsi" w:hAnsiTheme="minorHAnsi" w:cstheme="minorHAnsi"/>
          <w:sz w:val="22"/>
          <w:szCs w:val="22"/>
        </w:rPr>
      </w:pPr>
      <w:r w:rsidRPr="003F4B98">
        <w:rPr>
          <w:rFonts w:asciiTheme="minorHAnsi" w:hAnsiTheme="minorHAnsi" w:cstheme="minorHAnsi"/>
          <w:sz w:val="22"/>
          <w:szCs w:val="22"/>
        </w:rPr>
        <w:t>producing and distributing the National Harvest Guide—a comprehensive Harvest Trail information booklet</w:t>
      </w:r>
      <w:r w:rsidR="00B30F71">
        <w:rPr>
          <w:rFonts w:asciiTheme="minorHAnsi" w:hAnsiTheme="minorHAnsi" w:cstheme="minorHAnsi"/>
          <w:sz w:val="22"/>
          <w:szCs w:val="22"/>
        </w:rPr>
        <w:t>;</w:t>
      </w:r>
    </w:p>
    <w:p w:rsidR="003F4B98" w:rsidRDefault="00C20A38" w:rsidP="00C20A38">
      <w:pPr>
        <w:pStyle w:val="ListParagraph"/>
        <w:numPr>
          <w:ilvl w:val="0"/>
          <w:numId w:val="19"/>
        </w:numPr>
        <w:spacing w:after="240"/>
        <w:ind w:left="1134" w:hanging="708"/>
        <w:rPr>
          <w:rFonts w:asciiTheme="minorHAnsi" w:hAnsiTheme="minorHAnsi" w:cstheme="minorHAnsi"/>
          <w:sz w:val="22"/>
          <w:szCs w:val="22"/>
        </w:rPr>
      </w:pPr>
      <w:r w:rsidRPr="003F4B98">
        <w:rPr>
          <w:rFonts w:asciiTheme="minorHAnsi" w:hAnsiTheme="minorHAnsi" w:cstheme="minorHAnsi"/>
          <w:sz w:val="22"/>
          <w:szCs w:val="22"/>
        </w:rPr>
        <w:t xml:space="preserve">maintaining information on job opportunities on the </w:t>
      </w:r>
      <w:r w:rsidRPr="003F4B98">
        <w:rPr>
          <w:rFonts w:asciiTheme="minorHAnsi" w:hAnsiTheme="minorHAnsi" w:cstheme="minorHAnsi"/>
          <w:sz w:val="22"/>
          <w:szCs w:val="22"/>
          <w:u w:val="single"/>
        </w:rPr>
        <w:t>www.harvesttrail.gov.au</w:t>
      </w:r>
      <w:r w:rsidRPr="003F4B98">
        <w:rPr>
          <w:rFonts w:asciiTheme="minorHAnsi" w:hAnsiTheme="minorHAnsi" w:cstheme="minorHAnsi"/>
          <w:sz w:val="22"/>
          <w:szCs w:val="22"/>
        </w:rPr>
        <w:t xml:space="preserve"> website</w:t>
      </w:r>
      <w:r w:rsidR="00B30F71">
        <w:rPr>
          <w:rFonts w:asciiTheme="minorHAnsi" w:hAnsiTheme="minorHAnsi" w:cstheme="minorHAnsi"/>
          <w:sz w:val="22"/>
          <w:szCs w:val="22"/>
        </w:rPr>
        <w:t>; and</w:t>
      </w:r>
    </w:p>
    <w:p w:rsidR="00DD170E" w:rsidRPr="003F4B98" w:rsidRDefault="00C20A38" w:rsidP="00C20A38">
      <w:pPr>
        <w:pStyle w:val="ListParagraph"/>
        <w:numPr>
          <w:ilvl w:val="0"/>
          <w:numId w:val="19"/>
        </w:numPr>
        <w:spacing w:after="240"/>
        <w:ind w:left="1134" w:hanging="708"/>
        <w:rPr>
          <w:rFonts w:asciiTheme="minorHAnsi" w:hAnsiTheme="minorHAnsi" w:cstheme="minorHAnsi"/>
          <w:sz w:val="22"/>
          <w:szCs w:val="22"/>
        </w:rPr>
      </w:pPr>
      <w:r w:rsidRPr="003F4B98">
        <w:rPr>
          <w:rFonts w:asciiTheme="minorHAnsi" w:hAnsiTheme="minorHAnsi" w:cstheme="minorHAnsi"/>
          <w:sz w:val="22"/>
          <w:szCs w:val="22"/>
        </w:rPr>
        <w:t>providing a national free-call telephone information service.</w:t>
      </w:r>
    </w:p>
    <w:p w:rsidR="00CA0DAB" w:rsidRDefault="00CA0DAB" w:rsidP="00CA0DAB">
      <w:pPr>
        <w:pStyle w:val="Heading3"/>
      </w:pPr>
      <w:bookmarkStart w:id="31" w:name="_Toc384202101"/>
      <w:r>
        <w:t>The Pacific Seasonal Worker Pilot Scheme</w:t>
      </w:r>
      <w:bookmarkEnd w:id="31"/>
    </w:p>
    <w:p w:rsidR="00CE3D5F" w:rsidRDefault="00DD170E" w:rsidP="00C20A38">
      <w:pPr>
        <w:spacing w:after="240" w:line="240" w:lineRule="auto"/>
        <w:rPr>
          <w:b/>
          <w:highlight w:val="green"/>
        </w:rPr>
      </w:pPr>
      <w:r w:rsidRPr="00AD4A08">
        <w:t>The Pacific Seasonal Worker Pilot Scheme (PSWPS) was introduced to contribute to Australia’s economic</w:t>
      </w:r>
      <w:r w:rsidRPr="00E51A72">
        <w:t xml:space="preserve"> development objectives </w:t>
      </w:r>
      <w:r>
        <w:t xml:space="preserve">in the Pacific region and East Timor, </w:t>
      </w:r>
      <w:r w:rsidRPr="00E51A72">
        <w:t xml:space="preserve">and to assist </w:t>
      </w:r>
      <w:r>
        <w:t xml:space="preserve">regional </w:t>
      </w:r>
      <w:r w:rsidRPr="00E51A72">
        <w:t xml:space="preserve">Australian </w:t>
      </w:r>
      <w:r>
        <w:t xml:space="preserve">horticultural </w:t>
      </w:r>
      <w:r w:rsidRPr="00E51A72">
        <w:t>employers with seasonal worker shortages</w:t>
      </w:r>
      <w:r>
        <w:t xml:space="preserve"> which could not be met from the Australian labour market. The Pilot was successful</w:t>
      </w:r>
      <w:r w:rsidR="00B30F71">
        <w:t xml:space="preserve"> and the four-</w:t>
      </w:r>
      <w:r w:rsidRPr="00E51A72">
        <w:t xml:space="preserve">year Seasonal Worker Program is now </w:t>
      </w:r>
      <w:r>
        <w:t xml:space="preserve">operational </w:t>
      </w:r>
      <w:r w:rsidRPr="00E51A72">
        <w:t xml:space="preserve">with up to 12,000 places </w:t>
      </w:r>
      <w:r>
        <w:t>for approved employers (with 10,450 places available for the horticulture sector to 30 June 2016, and up to 1,550 places for trial sectors of accommodation, aquaculture, cane and cotton over three years to 30 June 2015).</w:t>
      </w:r>
    </w:p>
    <w:p w:rsidR="00D45701" w:rsidRPr="00B613D5" w:rsidRDefault="00D45701" w:rsidP="00E3010D">
      <w:pPr>
        <w:pStyle w:val="Heading2"/>
        <w:rPr>
          <w:b w:val="0"/>
        </w:rPr>
      </w:pPr>
      <w:bookmarkStart w:id="32" w:name="_Toc384202102"/>
      <w:r w:rsidRPr="00B613D5">
        <w:lastRenderedPageBreak/>
        <w:t>Regional strategies</w:t>
      </w:r>
      <w:bookmarkEnd w:id="32"/>
    </w:p>
    <w:p w:rsidR="00BE4946" w:rsidRDefault="00B30F71" w:rsidP="00BE4946">
      <w:pPr>
        <w:spacing w:after="240" w:line="240" w:lineRule="auto"/>
      </w:pPr>
      <w:r>
        <w:t>Australian g</w:t>
      </w:r>
      <w:r w:rsidR="007620F1">
        <w:t>overnment</w:t>
      </w:r>
      <w:r>
        <w:t>s</w:t>
      </w:r>
      <w:r w:rsidR="007620F1">
        <w:t xml:space="preserve"> ha</w:t>
      </w:r>
      <w:r>
        <w:t>ve</w:t>
      </w:r>
      <w:r w:rsidR="007620F1">
        <w:t xml:space="preserve"> implemented</w:t>
      </w:r>
      <w:r w:rsidR="007878DC">
        <w:t xml:space="preserve"> a range of measures to address regional labour market issues and support employment at the regional level. Some of the projects</w:t>
      </w:r>
      <w:r w:rsidR="00BE4946">
        <w:t xml:space="preserve"> under these initiatives </w:t>
      </w:r>
      <w:r w:rsidR="007878DC">
        <w:t>incorporate efforts to enhance</w:t>
      </w:r>
      <w:r w:rsidR="00D82C74">
        <w:t xml:space="preserve"> geographic mobility and are outlined below.</w:t>
      </w:r>
    </w:p>
    <w:p w:rsidR="00BE4946" w:rsidRPr="00BE4946" w:rsidRDefault="00BE4946" w:rsidP="00E3010D">
      <w:pPr>
        <w:pStyle w:val="Heading3"/>
        <w:rPr>
          <w:b w:val="0"/>
        </w:rPr>
      </w:pPr>
      <w:bookmarkStart w:id="33" w:name="_Toc384202103"/>
      <w:r w:rsidRPr="00BE4946">
        <w:t>The Priority Employment Area initiative</w:t>
      </w:r>
      <w:bookmarkEnd w:id="33"/>
    </w:p>
    <w:p w:rsidR="007620F1" w:rsidRPr="00E51A72" w:rsidRDefault="007620F1" w:rsidP="007620F1">
      <w:pPr>
        <w:spacing w:after="240" w:line="240" w:lineRule="auto"/>
      </w:pPr>
      <w:r w:rsidRPr="00E51A72">
        <w:t>Local Employment Coordinators (LECs) are located in 2</w:t>
      </w:r>
      <w:r>
        <w:t>1</w:t>
      </w:r>
      <w:r w:rsidRPr="00E51A72">
        <w:t xml:space="preserve"> </w:t>
      </w:r>
      <w:r>
        <w:t>p</w:t>
      </w:r>
      <w:r w:rsidRPr="00E51A72">
        <w:t xml:space="preserve">riority </w:t>
      </w:r>
      <w:r>
        <w:t>e</w:t>
      </w:r>
      <w:r w:rsidRPr="00E51A72">
        <w:t xml:space="preserve">mployment </w:t>
      </w:r>
      <w:r>
        <w:t>a</w:t>
      </w:r>
      <w:r w:rsidRPr="00E51A72">
        <w:t>reas (</w:t>
      </w:r>
      <w:r>
        <w:t>areas identified against a range of indicators as vulnerable to labour market disadvantage and requiring extra assistance</w:t>
      </w:r>
      <w:r w:rsidRPr="00E51A72">
        <w:t xml:space="preserve">) and work with employers, employment service and training providers, all levels of government and other stakeholders to develop local solutions to the region’s labour market needs. A </w:t>
      </w:r>
      <w:r>
        <w:t>R</w:t>
      </w:r>
      <w:r w:rsidRPr="00E51A72">
        <w:t xml:space="preserve">egional </w:t>
      </w:r>
      <w:r>
        <w:t>E</w:t>
      </w:r>
      <w:r w:rsidRPr="00E51A72">
        <w:t xml:space="preserve">mployment </w:t>
      </w:r>
      <w:r>
        <w:t>P</w:t>
      </w:r>
      <w:r w:rsidRPr="00E51A72">
        <w:t xml:space="preserve">lan has been developed for each priority employment area which identifies the LEC’s key priorities, taking into account options to address future challenges, including business needs and barriers to employment, skills development and job creation. A Flexible Funding Pool is available to support projects and activities with direct links to regional employment plans. </w:t>
      </w:r>
    </w:p>
    <w:p w:rsidR="007620F1" w:rsidRPr="00E51A72" w:rsidRDefault="007620F1" w:rsidP="007620F1">
      <w:pPr>
        <w:spacing w:after="240" w:line="240" w:lineRule="auto"/>
      </w:pPr>
      <w:r>
        <w:t>As part of the Priority Employment Area initiative, J</w:t>
      </w:r>
      <w:r w:rsidRPr="00E51A72">
        <w:t xml:space="preserve">obs and </w:t>
      </w:r>
      <w:r>
        <w:t>S</w:t>
      </w:r>
      <w:r w:rsidRPr="00E51A72">
        <w:t xml:space="preserve">kills </w:t>
      </w:r>
      <w:r>
        <w:t>E</w:t>
      </w:r>
      <w:r w:rsidRPr="00E51A72">
        <w:t>xpos</w:t>
      </w:r>
      <w:r>
        <w:t xml:space="preserve"> have been held regularly across Australia. </w:t>
      </w:r>
      <w:r w:rsidRPr="00671FDD">
        <w:t>Jobs and Skill Expos function like a ‘jobs market place’</w:t>
      </w:r>
      <w:r>
        <w:rPr>
          <w:sz w:val="24"/>
          <w:szCs w:val="24"/>
        </w:rPr>
        <w:t xml:space="preserve"> </w:t>
      </w:r>
      <w:r>
        <w:t>and</w:t>
      </w:r>
      <w:r w:rsidRPr="00E51A72">
        <w:t xml:space="preserve"> bring together job seekers, employers, education and training providers, government agencies and community groups. </w:t>
      </w:r>
      <w:r w:rsidRPr="00895ECD">
        <w:t>Expos provide information about local jobs and pathways, employment and training service providers and other relevant government and community services.</w:t>
      </w:r>
      <w:r w:rsidR="00BB3A25">
        <w:rPr>
          <w:color w:val="1F497D"/>
        </w:rPr>
        <w:t xml:space="preserve"> </w:t>
      </w:r>
    </w:p>
    <w:p w:rsidR="00B30F71" w:rsidRDefault="007620F1" w:rsidP="00AB3A40">
      <w:pPr>
        <w:spacing w:after="240" w:line="240" w:lineRule="auto"/>
      </w:pPr>
      <w:r w:rsidRPr="00E51A72">
        <w:t xml:space="preserve">The LECs are a part of the Commonwealth’s on-the-ground response to structural adjustment pressures </w:t>
      </w:r>
      <w:r>
        <w:t xml:space="preserve">in priority employment areas </w:t>
      </w:r>
      <w:r w:rsidRPr="00E51A72">
        <w:t xml:space="preserve">and have been helping to connect people with </w:t>
      </w:r>
      <w:r w:rsidR="00FA32C6">
        <w:t>relevant program</w:t>
      </w:r>
      <w:r w:rsidR="00E303F9">
        <w:t>me</w:t>
      </w:r>
      <w:r w:rsidR="00FA32C6">
        <w:t xml:space="preserve">s that support </w:t>
      </w:r>
      <w:r w:rsidRPr="00E51A72">
        <w:t>local, as well as more distant, job opportunities.</w:t>
      </w:r>
      <w:r w:rsidR="00B30F71">
        <w:t xml:space="preserve"> </w:t>
      </w:r>
    </w:p>
    <w:p w:rsidR="00AB3A40" w:rsidRPr="00AB3A40" w:rsidRDefault="007620F1" w:rsidP="00AB3A40">
      <w:pPr>
        <w:spacing w:after="240" w:line="240" w:lineRule="auto"/>
      </w:pPr>
      <w:r w:rsidRPr="00AB3A40">
        <w:t>A number of the L</w:t>
      </w:r>
      <w:r w:rsidR="00B30F71">
        <w:t xml:space="preserve">ECs </w:t>
      </w:r>
      <w:r w:rsidRPr="00AB3A40">
        <w:t xml:space="preserve">have </w:t>
      </w:r>
      <w:r>
        <w:t>developed</w:t>
      </w:r>
      <w:r w:rsidRPr="00AB3A40">
        <w:t xml:space="preserve"> projects that involve connecting local job seekers with distant opportunities through fly-in fly-out </w:t>
      </w:r>
      <w:r>
        <w:t xml:space="preserve">(FIFO) </w:t>
      </w:r>
      <w:r w:rsidRPr="00AB3A40">
        <w:t>arrangements.</w:t>
      </w:r>
    </w:p>
    <w:p w:rsidR="007620F1" w:rsidRDefault="007620F1" w:rsidP="00056363">
      <w:pPr>
        <w:pStyle w:val="Heading4"/>
      </w:pPr>
      <w:r w:rsidRPr="00CD753F">
        <w:t>Case study:</w:t>
      </w:r>
      <w:r>
        <w:t xml:space="preserve"> Illawarra</w:t>
      </w:r>
      <w:r w:rsidRPr="00CD753F">
        <w:t xml:space="preserve"> Blue</w:t>
      </w:r>
      <w:r>
        <w:t>S</w:t>
      </w:r>
      <w:r w:rsidRPr="00CD753F">
        <w:t>cope worker project</w:t>
      </w:r>
    </w:p>
    <w:p w:rsidR="007620F1" w:rsidRDefault="007620F1" w:rsidP="007620F1">
      <w:pPr>
        <w:spacing w:after="240" w:line="240" w:lineRule="auto"/>
      </w:pPr>
      <w:r>
        <w:t xml:space="preserve">The </w:t>
      </w:r>
      <w:r w:rsidRPr="00E51A72">
        <w:t>L</w:t>
      </w:r>
      <w:r w:rsidR="00B30F71">
        <w:t xml:space="preserve">EC </w:t>
      </w:r>
      <w:r>
        <w:t>in the Illawarra priority emp</w:t>
      </w:r>
      <w:r w:rsidR="00365CA8">
        <w:t xml:space="preserve">loyment area worked to address </w:t>
      </w:r>
      <w:r>
        <w:t>the need to transition redundant workers onto other employment following the scaling down of BlueScope operations and associated redundancies. Working collaboratively with local employment service providers</w:t>
      </w:r>
      <w:r w:rsidRPr="00E51A72">
        <w:t>, BlueScope Steel, Skilled Group and the Australian Workers Union</w:t>
      </w:r>
      <w:r>
        <w:t xml:space="preserve">, </w:t>
      </w:r>
      <w:r w:rsidRPr="00E51A72">
        <w:t>a pilot project</w:t>
      </w:r>
      <w:r>
        <w:t xml:space="preserve"> was developed. Participants in the project </w:t>
      </w:r>
      <w:r w:rsidRPr="00E51A72">
        <w:t>were provided with information on FIFO work and the Mining industry</w:t>
      </w:r>
      <w:r>
        <w:t>. T</w:t>
      </w:r>
      <w:r w:rsidRPr="00E51A72">
        <w:t>raining</w:t>
      </w:r>
      <w:r>
        <w:t xml:space="preserve"> and </w:t>
      </w:r>
      <w:r w:rsidRPr="00E51A72">
        <w:t xml:space="preserve">medical checks </w:t>
      </w:r>
      <w:r>
        <w:t>were</w:t>
      </w:r>
      <w:r w:rsidRPr="00E51A72">
        <w:t xml:space="preserve"> funded through the E</w:t>
      </w:r>
      <w:r>
        <w:t xml:space="preserve">mployment </w:t>
      </w:r>
      <w:r w:rsidRPr="00E51A72">
        <w:t>P</w:t>
      </w:r>
      <w:r>
        <w:t xml:space="preserve">athway </w:t>
      </w:r>
      <w:r w:rsidRPr="00E51A72">
        <w:t>F</w:t>
      </w:r>
      <w:r>
        <w:t>und</w:t>
      </w:r>
      <w:r w:rsidR="00BC2DFE">
        <w:t xml:space="preserve"> under the BlueScope Steel Labour Adjustment Program</w:t>
      </w:r>
      <w:r>
        <w:t>.</w:t>
      </w:r>
      <w:r w:rsidR="00BB3A25">
        <w:t xml:space="preserve"> </w:t>
      </w:r>
      <w:r>
        <w:t xml:space="preserve">Participants also benefited from additional </w:t>
      </w:r>
      <w:r w:rsidRPr="00E51A72">
        <w:t>support to prepare them for job interviews.</w:t>
      </w:r>
      <w:r w:rsidR="00BB3A25">
        <w:t xml:space="preserve"> </w:t>
      </w:r>
      <w:r w:rsidRPr="00E51A72">
        <w:t xml:space="preserve">The </w:t>
      </w:r>
      <w:r>
        <w:t>employment service</w:t>
      </w:r>
      <w:r w:rsidRPr="00E51A72">
        <w:t xml:space="preserve"> provider</w:t>
      </w:r>
      <w:r>
        <w:t>s</w:t>
      </w:r>
      <w:r w:rsidRPr="00E51A72">
        <w:t xml:space="preserve"> </w:t>
      </w:r>
      <w:r w:rsidR="00B30F71">
        <w:t xml:space="preserve">drew on </w:t>
      </w:r>
      <w:r>
        <w:t>C</w:t>
      </w:r>
      <w:r w:rsidR="00B30F71">
        <w:t xml:space="preserve">PwJ </w:t>
      </w:r>
      <w:r w:rsidRPr="00E51A72">
        <w:t xml:space="preserve">to help </w:t>
      </w:r>
      <w:r>
        <w:t>participants</w:t>
      </w:r>
      <w:r w:rsidRPr="00E51A72">
        <w:t xml:space="preserve"> relocate to take up the</w:t>
      </w:r>
      <w:r>
        <w:t xml:space="preserve">ir </w:t>
      </w:r>
      <w:r w:rsidRPr="00E51A72">
        <w:t>new</w:t>
      </w:r>
      <w:r>
        <w:t xml:space="preserve"> </w:t>
      </w:r>
      <w:r w:rsidRPr="00E51A72">
        <w:t>positions.</w:t>
      </w:r>
      <w:r w:rsidRPr="00BB22F9">
        <w:t xml:space="preserve"> </w:t>
      </w:r>
      <w:r>
        <w:t>The project was completed in November 2012 and successfully placed 27 participants into employment.</w:t>
      </w:r>
    </w:p>
    <w:p w:rsidR="007620F1" w:rsidRPr="00F66AC8" w:rsidRDefault="007620F1" w:rsidP="00056363">
      <w:pPr>
        <w:pStyle w:val="Heading4"/>
        <w:rPr>
          <w:b w:val="0"/>
        </w:rPr>
      </w:pPr>
      <w:r w:rsidRPr="00F66AC8">
        <w:t xml:space="preserve">Case study: </w:t>
      </w:r>
      <w:r>
        <w:t>Ipswich-Logan</w:t>
      </w:r>
      <w:r w:rsidRPr="00F66AC8">
        <w:t xml:space="preserve"> Mining Employment Link</w:t>
      </w:r>
      <w:r>
        <w:t>a</w:t>
      </w:r>
      <w:r w:rsidRPr="00F66AC8">
        <w:t>ges</w:t>
      </w:r>
      <w:r>
        <w:t xml:space="preserve"> project</w:t>
      </w:r>
    </w:p>
    <w:p w:rsidR="007620F1" w:rsidRDefault="007620F1" w:rsidP="007620F1">
      <w:pPr>
        <w:spacing w:after="240" w:line="240" w:lineRule="auto"/>
      </w:pPr>
      <w:r>
        <w:t xml:space="preserve">In 2010, </w:t>
      </w:r>
      <w:r>
        <w:rPr>
          <w:rFonts w:ascii="Calibri" w:hAnsi="Calibri" w:cs="Calibri"/>
        </w:rPr>
        <w:t>the Ipswich-Logan L</w:t>
      </w:r>
      <w:r w:rsidR="00B30F71">
        <w:rPr>
          <w:rFonts w:ascii="Calibri" w:hAnsi="Calibri" w:cs="Calibri"/>
        </w:rPr>
        <w:t xml:space="preserve">EC </w:t>
      </w:r>
      <w:r>
        <w:rPr>
          <w:rFonts w:ascii="Calibri" w:hAnsi="Calibri" w:cs="Calibri"/>
        </w:rPr>
        <w:t xml:space="preserve">collaborated with Energy Skills Queensland, a local industry body, and BoysTown, a local Indigenous Employment Program provider to </w:t>
      </w:r>
      <w:r>
        <w:t xml:space="preserve">develop a pilot project </w:t>
      </w:r>
      <w:r w:rsidRPr="00E51A72">
        <w:t xml:space="preserve">to </w:t>
      </w:r>
      <w:r>
        <w:t>help transition</w:t>
      </w:r>
      <w:r w:rsidRPr="00E51A72">
        <w:t xml:space="preserve"> unemployed job seekers into </w:t>
      </w:r>
      <w:r w:rsidR="00B30F71">
        <w:t xml:space="preserve">FIFO </w:t>
      </w:r>
      <w:r w:rsidRPr="00E51A72">
        <w:t>and drive-in drive-out (DIDO) jobs</w:t>
      </w:r>
      <w:r>
        <w:t xml:space="preserve"> in the resource sectors in the Surat Basin area</w:t>
      </w:r>
      <w:r w:rsidRPr="00E51A72">
        <w:t>.</w:t>
      </w:r>
      <w:r w:rsidR="00BB3A25">
        <w:t xml:space="preserve"> </w:t>
      </w:r>
      <w:r>
        <w:t>The L</w:t>
      </w:r>
      <w:r w:rsidR="00B30F71">
        <w:t xml:space="preserve">EC </w:t>
      </w:r>
      <w:r>
        <w:t xml:space="preserve">for the Ipswich-Logan priority employment area identified funding through </w:t>
      </w:r>
      <w:r w:rsidR="008C2DF9">
        <w:t>the</w:t>
      </w:r>
      <w:r>
        <w:t xml:space="preserve"> Indigenous Employment Program; Energy Skills Queensland provided industry funding and the State Government provided funds for pre-employment training.</w:t>
      </w:r>
      <w:r w:rsidR="00BB3A25">
        <w:t xml:space="preserve"> </w:t>
      </w:r>
      <w:r w:rsidRPr="00BD0332">
        <w:t>The L</w:t>
      </w:r>
      <w:r w:rsidR="00B30F71">
        <w:t xml:space="preserve">ECs </w:t>
      </w:r>
      <w:r w:rsidRPr="00BD0332">
        <w:t>from Bundaberg</w:t>
      </w:r>
      <w:r>
        <w:t>-</w:t>
      </w:r>
      <w:r w:rsidRPr="00895ECD">
        <w:t xml:space="preserve"> </w:t>
      </w:r>
      <w:r w:rsidR="00B30F71">
        <w:t>Hervey Bay</w:t>
      </w:r>
      <w:r w:rsidRPr="00BD0332">
        <w:t xml:space="preserve"> and Southern </w:t>
      </w:r>
      <w:r>
        <w:t>Wide Bay-</w:t>
      </w:r>
      <w:r w:rsidRPr="00BD0332">
        <w:t xml:space="preserve">Burnett </w:t>
      </w:r>
      <w:r>
        <w:t xml:space="preserve">also collaborated on </w:t>
      </w:r>
      <w:r w:rsidRPr="00BD0332">
        <w:t>the project</w:t>
      </w:r>
      <w:r>
        <w:t xml:space="preserve"> and enabled the project to source intakes from across these </w:t>
      </w:r>
      <w:r w:rsidRPr="00BD0332">
        <w:t>priority</w:t>
      </w:r>
      <w:r>
        <w:t xml:space="preserve"> employment</w:t>
      </w:r>
      <w:r w:rsidRPr="00BD0332">
        <w:t xml:space="preserve"> areas.</w:t>
      </w:r>
    </w:p>
    <w:p w:rsidR="007620F1" w:rsidRDefault="007620F1" w:rsidP="007620F1">
      <w:pPr>
        <w:spacing w:after="240" w:line="240" w:lineRule="auto"/>
      </w:pPr>
      <w:r>
        <w:t xml:space="preserve">This project </w:t>
      </w:r>
      <w:r w:rsidRPr="00E51A72">
        <w:t xml:space="preserve">included a </w:t>
      </w:r>
      <w:r>
        <w:t>four</w:t>
      </w:r>
      <w:r w:rsidR="00B30F71">
        <w:t>-</w:t>
      </w:r>
      <w:r w:rsidRPr="00E51A72">
        <w:t xml:space="preserve">week pre-employment component followed by a </w:t>
      </w:r>
      <w:r>
        <w:t>six</w:t>
      </w:r>
      <w:r w:rsidR="00B30F71">
        <w:t>-</w:t>
      </w:r>
      <w:r w:rsidRPr="00E51A72">
        <w:t>week vocational training program</w:t>
      </w:r>
      <w:r w:rsidR="00E303F9">
        <w:t>me</w:t>
      </w:r>
      <w:r w:rsidRPr="00E51A72">
        <w:t xml:space="preserve"> to provide job seekers with the necessary skills for entry level jobs on drilling </w:t>
      </w:r>
      <w:r w:rsidRPr="00E51A72">
        <w:lastRenderedPageBreak/>
        <w:t>rigs. It also included a week-long living away from home component early in the program</w:t>
      </w:r>
      <w:r w:rsidR="00E303F9">
        <w:t>me</w:t>
      </w:r>
      <w:r w:rsidRPr="00E51A72">
        <w:t xml:space="preserve"> to test the participant</w:t>
      </w:r>
      <w:r w:rsidR="002A397E">
        <w:t>’</w:t>
      </w:r>
      <w:r w:rsidRPr="00E51A72">
        <w:t xml:space="preserve">s suitability with </w:t>
      </w:r>
      <w:r>
        <w:t xml:space="preserve">the working </w:t>
      </w:r>
      <w:r w:rsidRPr="00E51A72">
        <w:t>arrangement</w:t>
      </w:r>
      <w:r>
        <w:t>s in this industry, including management strategies and information on support services and networks</w:t>
      </w:r>
      <w:r w:rsidRPr="00E51A72">
        <w:t>. Once placed into employment, workers continue to receive further training to qualify for a Certificate II in Drilling (Onshore).</w:t>
      </w:r>
    </w:p>
    <w:p w:rsidR="007620F1" w:rsidRDefault="007620F1" w:rsidP="007620F1">
      <w:pPr>
        <w:spacing w:after="240" w:line="240" w:lineRule="auto"/>
      </w:pPr>
      <w:r w:rsidRPr="00E51A72">
        <w:t xml:space="preserve">The success of the pilot resulted in </w:t>
      </w:r>
      <w:r>
        <w:t xml:space="preserve">other projects being developed with Energy Skills Queensland to expand the projects more broadly whilst being more specific to the labour market issues in each priority employment area. </w:t>
      </w:r>
    </w:p>
    <w:p w:rsidR="007620F1" w:rsidRDefault="007620F1" w:rsidP="007620F1">
      <w:pPr>
        <w:spacing w:after="240" w:line="240" w:lineRule="auto"/>
      </w:pPr>
      <w:r>
        <w:t xml:space="preserve">In the Ipswich-Logan priority employment area, </w:t>
      </w:r>
      <w:r w:rsidRPr="00E51A72">
        <w:t>the</w:t>
      </w:r>
      <w:r>
        <w:t xml:space="preserve"> L</w:t>
      </w:r>
      <w:r w:rsidR="00B30F71">
        <w:t xml:space="preserve">EC </w:t>
      </w:r>
      <w:r>
        <w:t xml:space="preserve">secured funding </w:t>
      </w:r>
      <w:r w:rsidRPr="00E51A72">
        <w:t xml:space="preserve">to assist another </w:t>
      </w:r>
      <w:r>
        <w:t>90</w:t>
      </w:r>
      <w:r w:rsidRPr="00E51A72">
        <w:t xml:space="preserve"> job seekers</w:t>
      </w:r>
      <w:r>
        <w:t xml:space="preserve"> </w:t>
      </w:r>
      <w:r w:rsidRPr="00E51A72">
        <w:t xml:space="preserve">into entry level </w:t>
      </w:r>
      <w:r>
        <w:t xml:space="preserve">drilling and hospitality </w:t>
      </w:r>
      <w:r w:rsidRPr="00E51A72">
        <w:t>jobs in the resources industries.</w:t>
      </w:r>
      <w:r w:rsidR="00BB3A25">
        <w:t xml:space="preserve"> </w:t>
      </w:r>
      <w:r>
        <w:t xml:space="preserve">This project </w:t>
      </w:r>
      <w:r w:rsidR="00B30F71">
        <w:t xml:space="preserve">had </w:t>
      </w:r>
      <w:r>
        <w:t xml:space="preserve">three parts; Life Skills and Jobs Readiness Skills, Accredited Training and Vocational Work Experience, and Employment. </w:t>
      </w:r>
    </w:p>
    <w:p w:rsidR="00E22D26" w:rsidRDefault="007620F1" w:rsidP="007620F1">
      <w:pPr>
        <w:spacing w:after="240" w:line="240" w:lineRule="auto"/>
        <w:rPr>
          <w:b/>
        </w:rPr>
      </w:pPr>
      <w:r w:rsidRPr="00F43A00">
        <w:t xml:space="preserve">The project ran over a period of approximately twelve months, with six intakes of participants. </w:t>
      </w:r>
      <w:r>
        <w:t>Of the 92 participants, 83</w:t>
      </w:r>
      <w:r w:rsidRPr="00F43A00">
        <w:t xml:space="preserve"> successfully completed the program, with </w:t>
      </w:r>
      <w:r>
        <w:t xml:space="preserve">55 </w:t>
      </w:r>
      <w:r w:rsidRPr="00F43A00">
        <w:t>gaining employment by June 2013.</w:t>
      </w:r>
    </w:p>
    <w:p w:rsidR="00D45701" w:rsidRDefault="00216D61" w:rsidP="00E3010D">
      <w:pPr>
        <w:pStyle w:val="Heading2"/>
        <w:rPr>
          <w:b w:val="0"/>
        </w:rPr>
      </w:pPr>
      <w:bookmarkStart w:id="34" w:name="_Toc384202104"/>
      <w:r w:rsidRPr="003E3A1E">
        <w:t>Jobs boards</w:t>
      </w:r>
      <w:bookmarkEnd w:id="34"/>
    </w:p>
    <w:p w:rsidR="00F901EC" w:rsidRDefault="007878DC" w:rsidP="00985AE0">
      <w:pPr>
        <w:spacing w:after="240" w:line="240" w:lineRule="auto"/>
      </w:pPr>
      <w:r>
        <w:t xml:space="preserve">Information (or the lack of it) is a key issue for geographic labour mobility. </w:t>
      </w:r>
      <w:r w:rsidR="00F901EC">
        <w:t>Labour market information systems are important for enabling job seekers to be aware of the vacancies</w:t>
      </w:r>
      <w:r>
        <w:t xml:space="preserve"> which may be available</w:t>
      </w:r>
      <w:r w:rsidR="00F901EC">
        <w:t xml:space="preserve"> in distant locations. </w:t>
      </w:r>
      <w:r w:rsidR="00C16B55">
        <w:t xml:space="preserve">In this regard, job vacancy websites help to improve the functioning of labour markets by informing jobseekers about where vacancies are. </w:t>
      </w:r>
      <w:r>
        <w:t>The Australian Government supports online jobs boards in order to help job seekers access relevant labour market information, including job opportunities which their local networks would not give them access to</w:t>
      </w:r>
      <w:r w:rsidR="008D3E1D">
        <w:t>.</w:t>
      </w:r>
      <w:r w:rsidR="00C16B55">
        <w:t xml:space="preserve"> </w:t>
      </w:r>
      <w:r w:rsidR="008D3E1D">
        <w:t>This is particularly important</w:t>
      </w:r>
      <w:r w:rsidR="00C16B55">
        <w:t xml:space="preserve"> where there may not be sufficient incentive</w:t>
      </w:r>
      <w:r w:rsidR="008D3E1D">
        <w:t>s</w:t>
      </w:r>
      <w:r w:rsidR="00C16B55">
        <w:t xml:space="preserve"> for private providers to fill the gap</w:t>
      </w:r>
      <w:r>
        <w:t>.</w:t>
      </w:r>
    </w:p>
    <w:p w:rsidR="00C16B55" w:rsidRPr="00985AE0" w:rsidRDefault="00C16B55" w:rsidP="00985AE0">
      <w:pPr>
        <w:spacing w:after="240" w:line="240" w:lineRule="auto"/>
      </w:pPr>
      <w:r>
        <w:t>Australian JobSearch and the Resources Sector Jobs Board are two Australian Government initiatives that have been established to help make the connection between job seekers looking for job opportunities with employers who are seeking workers across Australia.</w:t>
      </w:r>
    </w:p>
    <w:p w:rsidR="00C16B55" w:rsidRDefault="00C16B55" w:rsidP="00E3010D">
      <w:pPr>
        <w:pStyle w:val="Heading3"/>
        <w:rPr>
          <w:b w:val="0"/>
          <w:bCs w:val="0"/>
        </w:rPr>
      </w:pPr>
      <w:bookmarkStart w:id="35" w:name="_Toc384202105"/>
      <w:r>
        <w:t>Australian JobSearch</w:t>
      </w:r>
      <w:bookmarkEnd w:id="35"/>
    </w:p>
    <w:p w:rsidR="00C16B55" w:rsidRDefault="00C16B55" w:rsidP="00985AE0">
      <w:pPr>
        <w:spacing w:after="240" w:line="240" w:lineRule="auto"/>
        <w:rPr>
          <w:color w:val="000000"/>
        </w:rPr>
      </w:pPr>
      <w:r>
        <w:t>Australian JobSearch (</w:t>
      </w:r>
      <w:hyperlink r:id="rId14" w:history="1">
        <w:r>
          <w:rPr>
            <w:rStyle w:val="Hyperlink"/>
          </w:rPr>
          <w:t>www.jobsearch.gov.au</w:t>
        </w:r>
      </w:hyperlink>
      <w:r>
        <w:t xml:space="preserve">) was established in 1998 and is a free online job board. Since April 2012, JobSearch has been available through mobile devices and in April 2013 a new app was released that </w:t>
      </w:r>
      <w:r>
        <w:rPr>
          <w:color w:val="000000"/>
        </w:rPr>
        <w:t>u</w:t>
      </w:r>
      <w:r w:rsidR="00B30F71">
        <w:rPr>
          <w:color w:val="000000"/>
        </w:rPr>
        <w:t xml:space="preserve">ses </w:t>
      </w:r>
      <w:r>
        <w:rPr>
          <w:color w:val="000000"/>
        </w:rPr>
        <w:t>mobile device GPS functionality to provide additional services.</w:t>
      </w:r>
    </w:p>
    <w:p w:rsidR="00C16B55" w:rsidRDefault="00C16B55" w:rsidP="00985AE0">
      <w:pPr>
        <w:spacing w:after="240" w:line="240" w:lineRule="auto"/>
      </w:pPr>
      <w:r w:rsidRPr="00985AE0">
        <w:t>JobSearch</w:t>
      </w:r>
      <w:r>
        <w:t xml:space="preserve"> provides extensive services for employers and job seekers, including advertising and applying for jobs as well as information on labour market conditions, career pathways and relevant government services. </w:t>
      </w:r>
      <w:r w:rsidR="00B30F71">
        <w:t xml:space="preserve">It </w:t>
      </w:r>
      <w:r>
        <w:t>is supported by a Job Seeker Hotline, an Employer Hotline and email support.</w:t>
      </w:r>
    </w:p>
    <w:p w:rsidR="00C16B55" w:rsidRDefault="00C16B55" w:rsidP="00985AE0">
      <w:pPr>
        <w:spacing w:after="240" w:line="240" w:lineRule="auto"/>
      </w:pPr>
      <w:r>
        <w:t xml:space="preserve">JobSearch can help job seekers find work locally or anywhere in Australia. </w:t>
      </w:r>
      <w:r w:rsidR="00B30F71">
        <w:t xml:space="preserve">It </w:t>
      </w:r>
      <w:r>
        <w:t>has information on job prospects and skills needed in a range of industries. It also provides information on Apprenticeships, training and career prospects and employment services providers.</w:t>
      </w:r>
    </w:p>
    <w:p w:rsidR="00C16B55" w:rsidRDefault="00C16B55" w:rsidP="00985AE0">
      <w:pPr>
        <w:spacing w:after="240" w:line="240" w:lineRule="auto"/>
      </w:pPr>
      <w:r>
        <w:t>Job seekers can register on JobSearch and record their skills, qualifications and work experience to enable employers to find them. Employers can then contact the job seeker (without knowing any of their personal details) to make arrangements for further discussion about potential jobs.</w:t>
      </w:r>
    </w:p>
    <w:p w:rsidR="00C16B55" w:rsidRDefault="00C16B55" w:rsidP="00985AE0">
      <w:pPr>
        <w:spacing w:after="240" w:line="240" w:lineRule="auto"/>
      </w:pPr>
      <w:r>
        <w:t xml:space="preserve">Employers can advertise jobs for free or look for staff using the Find Staff option. Employers can also find information on government initiatives, upload vacancies directly from their own recruitment </w:t>
      </w:r>
      <w:r>
        <w:lastRenderedPageBreak/>
        <w:t>system and find details of local employment events and support including employment services providers.</w:t>
      </w:r>
    </w:p>
    <w:p w:rsidR="00C16B55" w:rsidRDefault="00C16B55" w:rsidP="00985AE0">
      <w:pPr>
        <w:spacing w:after="240" w:line="240" w:lineRule="auto"/>
      </w:pPr>
      <w:r>
        <w:t>In addition to vacancies posted directly by employment service providers and employers, several private jobs boards feed their own vacancies over to JobSearch to increase exposure.</w:t>
      </w:r>
      <w:r w:rsidR="00BB3A25">
        <w:t xml:space="preserve"> </w:t>
      </w:r>
      <w:r>
        <w:t xml:space="preserve">JobSearch is consistently rated as Australia’s fourth most accessed jobs board according to Neilsen ratings. </w:t>
      </w:r>
    </w:p>
    <w:p w:rsidR="00C16B55" w:rsidRDefault="00C16B55" w:rsidP="00E3010D">
      <w:pPr>
        <w:pStyle w:val="Heading3"/>
        <w:rPr>
          <w:b w:val="0"/>
          <w:bCs w:val="0"/>
        </w:rPr>
      </w:pPr>
      <w:bookmarkStart w:id="36" w:name="_Toc384202106"/>
      <w:r>
        <w:t>The Resources Sector Jobs Board</w:t>
      </w:r>
      <w:bookmarkEnd w:id="36"/>
    </w:p>
    <w:p w:rsidR="00C16B55" w:rsidRDefault="00C16B55" w:rsidP="00985AE0">
      <w:pPr>
        <w:spacing w:after="240" w:line="240" w:lineRule="auto"/>
      </w:pPr>
      <w:r>
        <w:t>The Resources Sector Jobs Board was developed to better connect Australian job seekers with employers and job vacancies in the resources sector, with the aim of assisting more Australian workers take up opportunities in the industry. The Jobs Board (</w:t>
      </w:r>
      <w:hyperlink r:id="rId15" w:history="1">
        <w:r>
          <w:rPr>
            <w:rStyle w:val="Hyperlink"/>
          </w:rPr>
          <w:t>www.jobsboard.gov.au</w:t>
        </w:r>
      </w:hyperlink>
      <w:r>
        <w:t>) went live on 10 June 2012. The Resources Sector Jobs Board:</w:t>
      </w:r>
    </w:p>
    <w:p w:rsidR="00C16B55" w:rsidRPr="00CF7090" w:rsidRDefault="00C16B55" w:rsidP="00C16B55">
      <w:pPr>
        <w:pStyle w:val="ListParagraph"/>
        <w:numPr>
          <w:ilvl w:val="0"/>
          <w:numId w:val="20"/>
        </w:numPr>
        <w:spacing w:after="240"/>
        <w:rPr>
          <w:rFonts w:asciiTheme="minorHAnsi" w:hAnsiTheme="minorHAnsi" w:cstheme="minorHAnsi"/>
          <w:sz w:val="22"/>
          <w:szCs w:val="22"/>
        </w:rPr>
      </w:pPr>
      <w:r w:rsidRPr="00CF7090">
        <w:rPr>
          <w:rFonts w:asciiTheme="minorHAnsi" w:hAnsiTheme="minorHAnsi" w:cstheme="minorHAnsi"/>
          <w:sz w:val="22"/>
          <w:szCs w:val="22"/>
        </w:rPr>
        <w:t>provides a dedicated internet page for jobs in the resources sector;</w:t>
      </w:r>
    </w:p>
    <w:p w:rsidR="00C16B55" w:rsidRPr="00CF7090" w:rsidRDefault="00C16B55" w:rsidP="00C16B55">
      <w:pPr>
        <w:pStyle w:val="ListParagraph"/>
        <w:numPr>
          <w:ilvl w:val="0"/>
          <w:numId w:val="20"/>
        </w:numPr>
        <w:spacing w:after="240"/>
        <w:rPr>
          <w:rFonts w:asciiTheme="minorHAnsi" w:hAnsiTheme="minorHAnsi" w:cstheme="minorHAnsi"/>
          <w:sz w:val="22"/>
          <w:szCs w:val="22"/>
        </w:rPr>
      </w:pPr>
      <w:r w:rsidRPr="00CF7090">
        <w:rPr>
          <w:rFonts w:asciiTheme="minorHAnsi" w:hAnsiTheme="minorHAnsi" w:cstheme="minorHAnsi"/>
          <w:sz w:val="22"/>
          <w:szCs w:val="22"/>
        </w:rPr>
        <w:t>provides Australians with the opportunity to view vacancies and apply for resource sector jobs;</w:t>
      </w:r>
    </w:p>
    <w:p w:rsidR="00C16B55" w:rsidRPr="00CF7090" w:rsidRDefault="00C16B55" w:rsidP="00C16B55">
      <w:pPr>
        <w:pStyle w:val="ListParagraph"/>
        <w:numPr>
          <w:ilvl w:val="0"/>
          <w:numId w:val="20"/>
        </w:numPr>
        <w:spacing w:after="240"/>
        <w:rPr>
          <w:rFonts w:asciiTheme="minorHAnsi" w:hAnsiTheme="minorHAnsi" w:cstheme="minorHAnsi"/>
          <w:sz w:val="22"/>
          <w:szCs w:val="22"/>
        </w:rPr>
      </w:pPr>
      <w:r w:rsidRPr="00CF7090">
        <w:rPr>
          <w:rFonts w:asciiTheme="minorHAnsi" w:hAnsiTheme="minorHAnsi" w:cstheme="minorHAnsi"/>
          <w:sz w:val="22"/>
          <w:szCs w:val="22"/>
        </w:rPr>
        <w:t>will allow projects and companies covered by Enterprise Migration Agreements (EMAs) to demonstrate they have provided opportunities to Australians who are ready, able and willing to work on EMA projects; and</w:t>
      </w:r>
    </w:p>
    <w:p w:rsidR="00C16B55" w:rsidRPr="00CF7090" w:rsidRDefault="00C16B55" w:rsidP="00C16B55">
      <w:pPr>
        <w:pStyle w:val="ListParagraph"/>
        <w:numPr>
          <w:ilvl w:val="0"/>
          <w:numId w:val="20"/>
        </w:numPr>
        <w:spacing w:after="240"/>
        <w:rPr>
          <w:rFonts w:asciiTheme="minorHAnsi" w:hAnsiTheme="minorHAnsi" w:cstheme="minorHAnsi"/>
          <w:sz w:val="22"/>
          <w:szCs w:val="22"/>
        </w:rPr>
      </w:pPr>
      <w:r w:rsidRPr="00CF7090">
        <w:rPr>
          <w:rFonts w:asciiTheme="minorHAnsi" w:hAnsiTheme="minorHAnsi" w:cstheme="minorHAnsi"/>
          <w:sz w:val="22"/>
          <w:szCs w:val="22"/>
        </w:rPr>
        <w:t>complements other services (including relocation assistance) already available through Job Services Australia to help Australian job seekers into work.</w:t>
      </w:r>
    </w:p>
    <w:p w:rsidR="00C16B55" w:rsidRDefault="00C16B55" w:rsidP="00985AE0">
      <w:pPr>
        <w:spacing w:after="240" w:line="240" w:lineRule="auto"/>
      </w:pPr>
      <w:r>
        <w:t>Job seekers can search thousands of available opportunities and advertise their skills and interest by lodging a resume on the Resources Sector Jobs Board, while employers looking for workers can advertise vacancies, find suitable staff by searching the resumes of people who have registered on the site.</w:t>
      </w:r>
    </w:p>
    <w:p w:rsidR="00C16B55" w:rsidRDefault="00C16B55" w:rsidP="00985AE0">
      <w:pPr>
        <w:spacing w:after="240" w:line="240" w:lineRule="auto"/>
      </w:pPr>
      <w:r>
        <w:t xml:space="preserve">Since its launch, more than 100,000 resource sector jobs have been advertised on the Jobs Board. </w:t>
      </w:r>
    </w:p>
    <w:p w:rsidR="00C16B55" w:rsidRDefault="00C16B55" w:rsidP="00985AE0">
      <w:pPr>
        <w:spacing w:after="240" w:line="240" w:lineRule="auto"/>
      </w:pPr>
      <w:r>
        <w:t xml:space="preserve">On 21 February 2013, the Resources Sector Jobs Board teamed up with Australia’s biggest job site SEEK to maximise work opportunities for Australians in the resources sector. The partnership has made it easier for job seekers to find work in the resources sector and given employers access to a larger pool of skilled workers to meet their recruitment needs. </w:t>
      </w:r>
    </w:p>
    <w:p w:rsidR="00037FDC" w:rsidRPr="0006434E" w:rsidRDefault="0006434E" w:rsidP="00E3010D">
      <w:pPr>
        <w:pStyle w:val="Heading2"/>
        <w:rPr>
          <w:b w:val="0"/>
        </w:rPr>
      </w:pPr>
      <w:bookmarkStart w:id="37" w:name="_Toc384202107"/>
      <w:r w:rsidRPr="0006434E">
        <w:t>Workplace relations</w:t>
      </w:r>
      <w:bookmarkEnd w:id="37"/>
    </w:p>
    <w:p w:rsidR="00CB1614" w:rsidRPr="00CE152F" w:rsidRDefault="00CB1614" w:rsidP="00CB1614">
      <w:pPr>
        <w:spacing w:after="240" w:line="240" w:lineRule="auto"/>
      </w:pPr>
      <w:r w:rsidRPr="00CE152F">
        <w:t>The national workplace relations system covers the majority of businesses in Australia. Employers and employees in the system have the same rights and obligations, regardless of the state they work in. This helps reduce any inconsistencies and compliance burdens that may exist from state to state. It also helps ensure that all relevant businesses are operating on ‘a level playing field’ when competing in an open market.</w:t>
      </w:r>
    </w:p>
    <w:p w:rsidR="00CB1614" w:rsidRPr="00CE152F" w:rsidRDefault="00CB1614" w:rsidP="00CB1614">
      <w:pPr>
        <w:spacing w:after="240" w:line="240" w:lineRule="auto"/>
      </w:pPr>
      <w:r w:rsidRPr="00CE152F">
        <w:t>Wage flexibility is</w:t>
      </w:r>
      <w:r>
        <w:t xml:space="preserve"> an important feature of a well-</w:t>
      </w:r>
      <w:r w:rsidRPr="00CE152F">
        <w:t>functioning labour market, with</w:t>
      </w:r>
      <w:r>
        <w:t xml:space="preserve"> changes in</w:t>
      </w:r>
      <w:r w:rsidRPr="00CE152F">
        <w:t xml:space="preserve"> relative wages helping to guide labour mobility.</w:t>
      </w:r>
      <w:r w:rsidR="00BB3A25">
        <w:t xml:space="preserve"> </w:t>
      </w:r>
      <w:r w:rsidRPr="00CE152F">
        <w:t>This is underpinned by a safety net of minimum standards, consisting of ten legislated National Employment Standards and a modern award system.</w:t>
      </w:r>
      <w:r w:rsidR="00BB3A25">
        <w:t xml:space="preserve"> </w:t>
      </w:r>
      <w:r w:rsidRPr="00CE152F">
        <w:t>Modern awards, which have been drafted along industry and occupation lines, provide a safety net of minimum wages and conditions.</w:t>
      </w:r>
      <w:r w:rsidR="00BB3A25">
        <w:t xml:space="preserve"> </w:t>
      </w:r>
      <w:r w:rsidRPr="00CE152F">
        <w:t xml:space="preserve">However, employers are able to provide more generous wages and conditions in order to attract and retain suitably qualified and experienced staff. </w:t>
      </w:r>
    </w:p>
    <w:p w:rsidR="00CB1614" w:rsidRPr="00CE152F" w:rsidRDefault="00CB1614" w:rsidP="00CB1614">
      <w:pPr>
        <w:spacing w:after="240" w:line="240" w:lineRule="auto"/>
      </w:pPr>
      <w:r w:rsidRPr="00CE152F">
        <w:t xml:space="preserve">Workplace relations laws foster bargaining at the level of individual enterprises. A significant feature of enterprise bargaining is that it provides for a mechanism for employers and their employees to bargain for wage levels and other conditions of employment that best suit the needs of the employees and the particular enterprise. </w:t>
      </w:r>
    </w:p>
    <w:p w:rsidR="00CB1614" w:rsidRPr="00CE152F" w:rsidRDefault="00CB1614" w:rsidP="00CB1614">
      <w:pPr>
        <w:spacing w:after="240" w:line="240" w:lineRule="auto"/>
      </w:pPr>
      <w:r w:rsidRPr="00CE152F">
        <w:lastRenderedPageBreak/>
        <w:t>The differences in earnings noted below can largely be attributed to agreements that have been negotiated and agreed between employees and employers in response to market requirements and conditions.</w:t>
      </w:r>
    </w:p>
    <w:p w:rsidR="00CB1614" w:rsidRPr="00CE152F" w:rsidRDefault="00CB1614" w:rsidP="00CB1614">
      <w:pPr>
        <w:spacing w:after="240" w:line="240" w:lineRule="auto"/>
      </w:pPr>
      <w:r w:rsidRPr="00CE152F">
        <w:t xml:space="preserve">There are substantial differences in hourly cash earnings across states. </w:t>
      </w:r>
      <w:r>
        <w:t>In 2012, the ACT</w:t>
      </w:r>
      <w:r w:rsidRPr="00CE152F">
        <w:t xml:space="preserve"> had the highest hourly cash earnings ($</w:t>
      </w:r>
      <w:r>
        <w:t>38.90</w:t>
      </w:r>
      <w:r w:rsidRPr="00CE152F">
        <w:t xml:space="preserve"> per hour), </w:t>
      </w:r>
      <w:r>
        <w:t>14</w:t>
      </w:r>
      <w:r w:rsidRPr="00CE152F">
        <w:t xml:space="preserve"> per cent higher than the national average ($</w:t>
      </w:r>
      <w:r>
        <w:t>34.20</w:t>
      </w:r>
      <w:r w:rsidRPr="00CE152F">
        <w:t xml:space="preserve"> per hour). This was followed by </w:t>
      </w:r>
      <w:r>
        <w:t xml:space="preserve">WA </w:t>
      </w:r>
      <w:r w:rsidRPr="00CE152F">
        <w:t>($</w:t>
      </w:r>
      <w:r>
        <w:t xml:space="preserve">38.40 </w:t>
      </w:r>
      <w:r w:rsidRPr="00CE152F">
        <w:t xml:space="preserve">per hour or </w:t>
      </w:r>
      <w:r>
        <w:t>12</w:t>
      </w:r>
      <w:r w:rsidRPr="00CE152F">
        <w:t xml:space="preserve"> per cent above the national average). Tasmania had the lowest hourly cash earning level ($</w:t>
      </w:r>
      <w:r>
        <w:t>30.50</w:t>
      </w:r>
      <w:r w:rsidRPr="00CE152F">
        <w:t xml:space="preserve"> per hour or 1</w:t>
      </w:r>
      <w:r>
        <w:t>1</w:t>
      </w:r>
      <w:r w:rsidRPr="00CE152F">
        <w:t xml:space="preserve"> per cent below national average) followed by SA ($</w:t>
      </w:r>
      <w:r>
        <w:t>30.90</w:t>
      </w:r>
      <w:r w:rsidRPr="00CE152F">
        <w:t xml:space="preserve"> per hour or </w:t>
      </w:r>
      <w:r>
        <w:t>10</w:t>
      </w:r>
      <w:r w:rsidRPr="00CE152F">
        <w:t xml:space="preserve"> per cent below average). </w:t>
      </w:r>
    </w:p>
    <w:p w:rsidR="0092749E" w:rsidRDefault="00CB1614" w:rsidP="0092749E">
      <w:pPr>
        <w:spacing w:after="240" w:line="240" w:lineRule="auto"/>
      </w:pPr>
      <w:r w:rsidRPr="00E51A72">
        <w:t>Looking at specific occupations, we find even larger earning gaps. Engineering professionals in WA on average receive $</w:t>
      </w:r>
      <w:r>
        <w:t>59.40</w:t>
      </w:r>
      <w:r w:rsidRPr="00E51A72">
        <w:t xml:space="preserve"> per hour, </w:t>
      </w:r>
      <w:r>
        <w:t>17</w:t>
      </w:r>
      <w:r w:rsidRPr="00E51A72">
        <w:t xml:space="preserve"> per cent higher ordinary hourly cash earnings than the national average for engineering professionals across Australia ($</w:t>
      </w:r>
      <w:r>
        <w:t>50.90</w:t>
      </w:r>
      <w:r w:rsidRPr="00E51A72">
        <w:t xml:space="preserve"> per hour). Further, an engineer in WA gets paid </w:t>
      </w:r>
      <w:r>
        <w:t>25</w:t>
      </w:r>
      <w:r w:rsidRPr="00E51A72">
        <w:t xml:space="preserve"> per cent more than those in </w:t>
      </w:r>
      <w:r>
        <w:t>Queensland</w:t>
      </w:r>
      <w:r w:rsidRPr="00E51A72">
        <w:t xml:space="preserve"> ($</w:t>
      </w:r>
      <w:r>
        <w:t>47.70</w:t>
      </w:r>
      <w:r w:rsidRPr="00E51A72">
        <w:t xml:space="preserve"> per hour). By contrast, checkout operators and office cashiers get paid very similar wages in every state (between $</w:t>
      </w:r>
      <w:r>
        <w:t>19.40</w:t>
      </w:r>
      <w:r w:rsidRPr="00E51A72">
        <w:t xml:space="preserve"> per hour in </w:t>
      </w:r>
      <w:r>
        <w:t>Tasmania</w:t>
      </w:r>
      <w:r w:rsidRPr="00E51A72">
        <w:t xml:space="preserve"> and $21.</w:t>
      </w:r>
      <w:r>
        <w:t>80</w:t>
      </w:r>
      <w:r w:rsidRPr="00E51A72">
        <w:t xml:space="preserve"> per hour in </w:t>
      </w:r>
      <w:r>
        <w:t>NT</w:t>
      </w:r>
      <w:r w:rsidRPr="00E51A72">
        <w:t>) so are likely to have litt</w:t>
      </w:r>
      <w:r>
        <w:t>le financial incentive to move.</w:t>
      </w:r>
    </w:p>
    <w:p w:rsidR="0092749E" w:rsidRPr="00974BC0" w:rsidRDefault="0092749E" w:rsidP="0092749E">
      <w:pPr>
        <w:pStyle w:val="Heading1"/>
        <w:rPr>
          <w:rFonts w:cstheme="minorHAnsi"/>
          <w:b w:val="0"/>
        </w:rPr>
      </w:pPr>
      <w:bookmarkStart w:id="38" w:name="_Toc384202108"/>
      <w:r>
        <w:rPr>
          <w:rFonts w:cstheme="minorHAnsi"/>
        </w:rPr>
        <w:t>4</w:t>
      </w:r>
      <w:r w:rsidRPr="00C3047A">
        <w:rPr>
          <w:rFonts w:cstheme="minorHAnsi"/>
        </w:rPr>
        <w:t>.</w:t>
      </w:r>
      <w:r w:rsidRPr="00C3047A">
        <w:rPr>
          <w:rFonts w:cstheme="minorHAnsi"/>
        </w:rPr>
        <w:tab/>
      </w:r>
      <w:r>
        <w:rPr>
          <w:rFonts w:cstheme="minorHAnsi"/>
        </w:rPr>
        <w:t>CONCLUSION</w:t>
      </w:r>
      <w:bookmarkEnd w:id="38"/>
    </w:p>
    <w:p w:rsidR="00AA1005" w:rsidRDefault="008C2DF9" w:rsidP="00A432F0">
      <w:pPr>
        <w:spacing w:after="240" w:line="240" w:lineRule="auto"/>
      </w:pPr>
      <w:r>
        <w:t>Th</w:t>
      </w:r>
      <w:r w:rsidR="00AF7DD3">
        <w:t xml:space="preserve">is </w:t>
      </w:r>
      <w:r w:rsidR="00313FCB">
        <w:t xml:space="preserve">submission </w:t>
      </w:r>
      <w:r w:rsidR="00AF7DD3">
        <w:t xml:space="preserve">has </w:t>
      </w:r>
      <w:r w:rsidR="00313FCB">
        <w:t>provide</w:t>
      </w:r>
      <w:r w:rsidR="00AF7DD3">
        <w:t>d</w:t>
      </w:r>
      <w:r w:rsidR="00313FCB">
        <w:t xml:space="preserve"> a range of data and</w:t>
      </w:r>
      <w:r w:rsidR="009D2E8C">
        <w:t xml:space="preserve"> portfolio</w:t>
      </w:r>
      <w:r>
        <w:noBreakHyphen/>
      </w:r>
      <w:r w:rsidR="009D2E8C">
        <w:t xml:space="preserve">specific </w:t>
      </w:r>
      <w:r w:rsidR="00313FCB">
        <w:t>information to support the</w:t>
      </w:r>
      <w:r w:rsidR="00AA1005">
        <w:t xml:space="preserve"> </w:t>
      </w:r>
      <w:r w:rsidR="00AF7DD3">
        <w:t xml:space="preserve">Commission </w:t>
      </w:r>
      <w:r w:rsidR="002F4E46">
        <w:t>i</w:t>
      </w:r>
      <w:r w:rsidR="00AA1005">
        <w:t xml:space="preserve">n undertaking its </w:t>
      </w:r>
      <w:r w:rsidR="00AF7DD3">
        <w:t>study</w:t>
      </w:r>
      <w:r w:rsidR="00AA1005">
        <w:t xml:space="preserve">. </w:t>
      </w:r>
      <w:r w:rsidR="00AF7DD3">
        <w:t xml:space="preserve">The </w:t>
      </w:r>
      <w:r w:rsidR="009D2E8C">
        <w:t>capacity of individuals in the labour market to respond to structural change, including through geographic</w:t>
      </w:r>
      <w:r w:rsidR="00AA1005">
        <w:t xml:space="preserve"> labour mobility</w:t>
      </w:r>
      <w:r w:rsidR="009D2E8C">
        <w:t>,</w:t>
      </w:r>
      <w:r w:rsidR="00AA1005">
        <w:t xml:space="preserve"> is of particular importance to the economy</w:t>
      </w:r>
      <w:r w:rsidR="009D2E8C">
        <w:t>.</w:t>
      </w:r>
      <w:r w:rsidR="00AA1005">
        <w:t xml:space="preserve"> </w:t>
      </w:r>
      <w:r w:rsidR="009D2E8C">
        <w:t>A</w:t>
      </w:r>
      <w:r w:rsidR="00AA1005">
        <w:t xml:space="preserve"> flexible and responsive labour market </w:t>
      </w:r>
      <w:r w:rsidR="00801DD3">
        <w:t>helps to ensure that workers ar</w:t>
      </w:r>
      <w:r w:rsidR="00404359">
        <w:t xml:space="preserve">e better matched with jobs, helps ensure </w:t>
      </w:r>
      <w:r w:rsidR="00801DD3">
        <w:t>resources are more efficiently allocated with</w:t>
      </w:r>
      <w:r w:rsidR="00404359">
        <w:t>in the economy, a</w:t>
      </w:r>
      <w:r w:rsidR="009D2E8C">
        <w:t>nd</w:t>
      </w:r>
      <w:r>
        <w:t xml:space="preserve"> </w:t>
      </w:r>
      <w:r w:rsidR="00404359">
        <w:t>support</w:t>
      </w:r>
      <w:r w:rsidR="009D2E8C">
        <w:t>s</w:t>
      </w:r>
      <w:r w:rsidR="00404359">
        <w:t xml:space="preserve"> the process of structural change. </w:t>
      </w:r>
      <w:r w:rsidR="00801DD3">
        <w:t>This helps to promote productivity and employment growth over the medium to long term.</w:t>
      </w:r>
      <w:r w:rsidR="00C16EE8">
        <w:t xml:space="preserve"> That said, there are range of factors that influence people’s decisions to move</w:t>
      </w:r>
      <w:r w:rsidR="009D2E8C">
        <w:t xml:space="preserve"> for work, many of which are difficult to address through policy</w:t>
      </w:r>
      <w:r w:rsidR="00C16EE8">
        <w:t>.</w:t>
      </w:r>
    </w:p>
    <w:p w:rsidR="00190B06" w:rsidRDefault="00AA1005" w:rsidP="00A432F0">
      <w:pPr>
        <w:spacing w:after="240" w:line="240" w:lineRule="auto"/>
      </w:pPr>
      <w:r>
        <w:t>The data we have provided in Section 2 shows that</w:t>
      </w:r>
      <w:r w:rsidR="00AF7DD3">
        <w:t>,</w:t>
      </w:r>
      <w:r>
        <w:t xml:space="preserve"> while labour markets do </w:t>
      </w:r>
      <w:r w:rsidR="00342A96">
        <w:t xml:space="preserve">eventually </w:t>
      </w:r>
      <w:r>
        <w:t>adjust, regional disparities in labour market performance and unemployment outcomes are substantial, and remain in place for long periods of time. While there is significant interstate migration and intrastate mobility in Australia, this movement does have limits. The bulk of movement is between the large eastern states, with movement to and from Western Australia being substantially lower on a per capita basis.</w:t>
      </w:r>
      <w:r w:rsidR="00313FCB">
        <w:t xml:space="preserve"> </w:t>
      </w:r>
      <w:r>
        <w:t>Furthermore, future projections indicate that employment growth will be strongest in the</w:t>
      </w:r>
      <w:r w:rsidR="00EC4EE7">
        <w:t xml:space="preserve"> relatively</w:t>
      </w:r>
      <w:r>
        <w:t xml:space="preserve"> remote states of Queensland and Western Australia over the next few years, emphasising the need to improve labour mobility (as well as ongoing external migration) to support economic growth and adjustment.</w:t>
      </w:r>
      <w:r w:rsidR="00BB3A25">
        <w:t xml:space="preserve"> </w:t>
      </w:r>
    </w:p>
    <w:p w:rsidR="00AA1005" w:rsidRDefault="00AA1005" w:rsidP="00A432F0">
      <w:pPr>
        <w:spacing w:after="240" w:line="240" w:lineRule="auto"/>
      </w:pPr>
      <w:r>
        <w:t>Government</w:t>
      </w:r>
      <w:r w:rsidR="00AF7DD3">
        <w:t>s</w:t>
      </w:r>
      <w:r>
        <w:t xml:space="preserve"> </w:t>
      </w:r>
      <w:r w:rsidR="00AF7DD3">
        <w:t xml:space="preserve">are </w:t>
      </w:r>
      <w:r>
        <w:t xml:space="preserve">already working on a range of measures to improve labour mobility in Australia, some of which (such as the introduction of a National Occupational Licensing Scheme) are outside the </w:t>
      </w:r>
      <w:r w:rsidR="008C2DF9">
        <w:t>Department of Employment</w:t>
      </w:r>
      <w:r>
        <w:t xml:space="preserve"> portfolio. However,</w:t>
      </w:r>
      <w:r w:rsidR="009D2E8C">
        <w:t xml:space="preserve"> within the portfolio,</w:t>
      </w:r>
      <w:r>
        <w:t xml:space="preserve"> a range of</w:t>
      </w:r>
      <w:r w:rsidR="009D2E8C">
        <w:t xml:space="preserve"> program</w:t>
      </w:r>
      <w:r w:rsidR="00E303F9">
        <w:t>me</w:t>
      </w:r>
      <w:r w:rsidR="009D2E8C">
        <w:t>s and policies are in place</w:t>
      </w:r>
      <w:r>
        <w:t xml:space="preserve"> which promote labour mobility</w:t>
      </w:r>
      <w:r w:rsidR="009D2E8C">
        <w:t>.</w:t>
      </w:r>
      <w:r>
        <w:t xml:space="preserve"> </w:t>
      </w:r>
      <w:r w:rsidR="009D2E8C">
        <w:t xml:space="preserve">These </w:t>
      </w:r>
      <w:r>
        <w:t>includ</w:t>
      </w:r>
      <w:r w:rsidR="009D2E8C">
        <w:t>e</w:t>
      </w:r>
      <w:r w:rsidR="001E16AE">
        <w:t xml:space="preserve"> the</w:t>
      </w:r>
      <w:r w:rsidR="00711CD3">
        <w:t xml:space="preserve"> </w:t>
      </w:r>
      <w:r w:rsidR="00AF7DD3" w:rsidRPr="00AF7DD3">
        <w:rPr>
          <w:i/>
        </w:rPr>
        <w:t>M</w:t>
      </w:r>
      <w:r w:rsidR="001E16AE" w:rsidRPr="00C16EE8">
        <w:rPr>
          <w:i/>
        </w:rPr>
        <w:t>ove 2 Work</w:t>
      </w:r>
      <w:r w:rsidR="001E16AE">
        <w:t xml:space="preserve"> initiative</w:t>
      </w:r>
      <w:r w:rsidR="008C2DF9">
        <w:t>.</w:t>
      </w:r>
      <w:r>
        <w:t xml:space="preserve"> The Department has also overseen a range of place-based interventions and other measures to improve matching and coordination in the labour market</w:t>
      </w:r>
      <w:r w:rsidR="009D2E8C">
        <w:t xml:space="preserve"> at a local level</w:t>
      </w:r>
      <w:r>
        <w:t xml:space="preserve">. </w:t>
      </w:r>
    </w:p>
    <w:p w:rsidR="00A60248" w:rsidRDefault="00AA1005" w:rsidP="00A432F0">
      <w:pPr>
        <w:spacing w:after="240" w:line="240" w:lineRule="auto"/>
      </w:pPr>
      <w:r>
        <w:t xml:space="preserve">The data and policy information we have provided on these policy issues should help to inform the </w:t>
      </w:r>
      <w:r w:rsidR="00195AA3">
        <w:t xml:space="preserve">Commission’s </w:t>
      </w:r>
      <w:r>
        <w:t>consi</w:t>
      </w:r>
      <w:r w:rsidR="00801DD3">
        <w:t xml:space="preserve">deration of the extent of labour mobility in the Australian economy, the most significant barriers individuals and businesses face, the measures </w:t>
      </w:r>
      <w:r w:rsidR="00195AA3">
        <w:t xml:space="preserve">government </w:t>
      </w:r>
      <w:r w:rsidR="00801DD3">
        <w:t>is taking to improve outcomes in this area</w:t>
      </w:r>
      <w:r w:rsidR="009D2E8C">
        <w:t>, and the existing evidence base on the effectiveness of interventions to address labour mobility</w:t>
      </w:r>
      <w:r w:rsidR="00801DD3">
        <w:t>.</w:t>
      </w:r>
      <w:r w:rsidR="00A60248">
        <w:t xml:space="preserve"> </w:t>
      </w:r>
    </w:p>
    <w:sectPr w:rsidR="00A60248" w:rsidSect="00634CE4">
      <w:footerReference w:type="default" r:id="rId16"/>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23E" w:rsidRDefault="00F3423E">
      <w:pPr>
        <w:spacing w:after="0" w:line="240" w:lineRule="auto"/>
      </w:pPr>
      <w:r>
        <w:separator/>
      </w:r>
    </w:p>
  </w:endnote>
  <w:endnote w:type="continuationSeparator" w:id="0">
    <w:p w:rsidR="00F3423E" w:rsidRDefault="00F3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23E" w:rsidRDefault="00F3423E">
    <w:pPr>
      <w:pStyle w:val="Footer"/>
      <w:jc w:val="right"/>
    </w:pPr>
  </w:p>
  <w:p w:rsidR="00F3423E" w:rsidRDefault="00F34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948750"/>
      <w:docPartObj>
        <w:docPartGallery w:val="Page Numbers (Bottom of Page)"/>
        <w:docPartUnique/>
      </w:docPartObj>
    </w:sdtPr>
    <w:sdtEndPr>
      <w:rPr>
        <w:noProof/>
      </w:rPr>
    </w:sdtEndPr>
    <w:sdtContent>
      <w:p w:rsidR="00634CE4" w:rsidRDefault="00634CE4">
        <w:pPr>
          <w:pStyle w:val="Footer"/>
          <w:jc w:val="right"/>
        </w:pPr>
        <w:r>
          <w:fldChar w:fldCharType="begin"/>
        </w:r>
        <w:r>
          <w:instrText xml:space="preserve"> PAGE   \* MERGEFORMAT </w:instrText>
        </w:r>
        <w:r>
          <w:fldChar w:fldCharType="separate"/>
        </w:r>
        <w:r w:rsidR="00356124">
          <w:rPr>
            <w:noProof/>
          </w:rPr>
          <w:t>5</w:t>
        </w:r>
        <w:r>
          <w:rPr>
            <w:noProof/>
          </w:rPr>
          <w:fldChar w:fldCharType="end"/>
        </w:r>
      </w:p>
    </w:sdtContent>
  </w:sdt>
  <w:p w:rsidR="00634CE4" w:rsidRDefault="00634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23E" w:rsidRDefault="00F3423E">
      <w:pPr>
        <w:spacing w:after="0" w:line="240" w:lineRule="auto"/>
      </w:pPr>
      <w:r>
        <w:separator/>
      </w:r>
    </w:p>
  </w:footnote>
  <w:footnote w:type="continuationSeparator" w:id="0">
    <w:p w:rsidR="00F3423E" w:rsidRDefault="00F3423E">
      <w:pPr>
        <w:spacing w:after="0" w:line="240" w:lineRule="auto"/>
      </w:pPr>
      <w:r>
        <w:continuationSeparator/>
      </w:r>
    </w:p>
  </w:footnote>
  <w:footnote w:id="1">
    <w:p w:rsidR="00F3423E" w:rsidRPr="00394C84" w:rsidRDefault="00F3423E">
      <w:pPr>
        <w:pStyle w:val="FootnoteText"/>
        <w:rPr>
          <w:lang w:val="en-US"/>
        </w:rPr>
      </w:pPr>
      <w:r w:rsidRPr="000078E9">
        <w:rPr>
          <w:rStyle w:val="FootnoteReference"/>
        </w:rPr>
        <w:footnoteRef/>
      </w:r>
      <w:r w:rsidRPr="000078E9">
        <w:t xml:space="preserve"> </w:t>
      </w:r>
      <w:r w:rsidRPr="000078E9">
        <w:rPr>
          <w:lang w:val="en-US"/>
        </w:rPr>
        <w:t xml:space="preserve">Australian Government, </w:t>
      </w:r>
      <w:r w:rsidRPr="000078E9">
        <w:rPr>
          <w:i/>
          <w:lang w:val="en-US"/>
        </w:rPr>
        <w:t>2013-14 Mid-Year Economic and Fiscal Outlook</w:t>
      </w:r>
      <w:r w:rsidRPr="000078E9">
        <w:rPr>
          <w:lang w:val="en-US"/>
        </w:rPr>
        <w:t xml:space="preserve">, </w:t>
      </w:r>
      <w:r>
        <w:rPr>
          <w:lang w:val="en-US"/>
        </w:rPr>
        <w:t xml:space="preserve">December 2013, </w:t>
      </w:r>
      <w:r w:rsidRPr="000078E9">
        <w:rPr>
          <w:lang w:val="en-US"/>
        </w:rPr>
        <w:t xml:space="preserve">available at </w:t>
      </w:r>
      <w:hyperlink r:id="rId1" w:history="1">
        <w:r w:rsidRPr="000078E9">
          <w:rPr>
            <w:rStyle w:val="Hyperlink"/>
            <w:lang w:val="en-US"/>
          </w:rPr>
          <w:t>www.budget.gov.au</w:t>
        </w:r>
      </w:hyperlink>
      <w:r>
        <w:rPr>
          <w:lang w:val="en-US"/>
        </w:rPr>
        <w:t xml:space="preserve"> </w:t>
      </w:r>
    </w:p>
  </w:footnote>
  <w:footnote w:id="2">
    <w:p w:rsidR="00F3423E" w:rsidRDefault="00F3423E" w:rsidP="00511AC2">
      <w:pPr>
        <w:pStyle w:val="FootnoteText"/>
      </w:pPr>
      <w:r>
        <w:rPr>
          <w:rStyle w:val="FootnoteReference"/>
        </w:rPr>
        <w:footnoteRef/>
      </w:r>
      <w:r>
        <w:t xml:space="preserve"> The regions used here are SA3s in the Australian Statistical Geography Standard (ASGS), which represent regions of between approximately 30,000 people and 130,000 people.</w:t>
      </w:r>
    </w:p>
  </w:footnote>
  <w:footnote w:id="3">
    <w:p w:rsidR="00F3423E" w:rsidRDefault="00F3423E" w:rsidP="00511AC2">
      <w:pPr>
        <w:pStyle w:val="FootnoteText"/>
      </w:pPr>
      <w:r>
        <w:rPr>
          <w:rStyle w:val="FootnoteReference"/>
        </w:rPr>
        <w:footnoteRef/>
      </w:r>
      <w:r>
        <w:t xml:space="preserve"> Western Australia and Queensland account for another 5900 Mining workers each (for a total 6.8 per cent of Mining employment) where the location of work was undefined below the state level.</w:t>
      </w:r>
    </w:p>
  </w:footnote>
  <w:footnote w:id="4">
    <w:p w:rsidR="00F3423E" w:rsidRDefault="00F3423E">
      <w:pPr>
        <w:pStyle w:val="FootnoteText"/>
      </w:pPr>
      <w:r>
        <w:rPr>
          <w:rStyle w:val="FootnoteReference"/>
        </w:rPr>
        <w:footnoteRef/>
      </w:r>
      <w:r>
        <w:t xml:space="preserve"> Mitchell, W., (2008) ‘Labour Mobility and Low-paid Workers’, Research Report No. 5/09, Report commissioned by the Australian Fair Pay Commission.</w:t>
      </w:r>
    </w:p>
  </w:footnote>
  <w:footnote w:id="5">
    <w:p w:rsidR="00F3423E" w:rsidRDefault="00F3423E">
      <w:pPr>
        <w:pStyle w:val="FootnoteText"/>
      </w:pPr>
      <w:r>
        <w:rPr>
          <w:rStyle w:val="FootnoteReference"/>
        </w:rPr>
        <w:footnoteRef/>
      </w:r>
      <w:r>
        <w:t xml:space="preserve"> Debelle, G. and Vickery J., (1998) ‘Labour Market Adjustment: Evidence on Interstate Labour Mobility’, Research Discussion Paper 9801, Reserve Bank of Australia.</w:t>
      </w:r>
    </w:p>
  </w:footnote>
  <w:footnote w:id="6">
    <w:p w:rsidR="00F3423E" w:rsidRDefault="00F3423E">
      <w:pPr>
        <w:pStyle w:val="FootnoteText"/>
      </w:pPr>
      <w:r>
        <w:rPr>
          <w:rStyle w:val="FootnoteReference"/>
        </w:rPr>
        <w:footnoteRef/>
      </w:r>
      <w:r>
        <w:t xml:space="preserve"> D’Arcy P., Gustafsson L., Lewis C., and Wiltshire T., (2012), ‘Labour Market Turnover and Mobility’, RBA Bulletin December quarter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0DF"/>
    <w:multiLevelType w:val="multilevel"/>
    <w:tmpl w:val="ADE0F5D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A5E34"/>
    <w:multiLevelType w:val="hybridMultilevel"/>
    <w:tmpl w:val="6CF09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38669D"/>
    <w:multiLevelType w:val="hybridMultilevel"/>
    <w:tmpl w:val="D79E8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073E94"/>
    <w:multiLevelType w:val="hybridMultilevel"/>
    <w:tmpl w:val="1108C6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nsid w:val="0F4D3856"/>
    <w:multiLevelType w:val="hybridMultilevel"/>
    <w:tmpl w:val="0D9C75E6"/>
    <w:lvl w:ilvl="0" w:tplc="8E085D6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430293A"/>
    <w:multiLevelType w:val="hybridMultilevel"/>
    <w:tmpl w:val="83829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C1140D3"/>
    <w:multiLevelType w:val="hybridMultilevel"/>
    <w:tmpl w:val="331C10E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7">
    <w:nsid w:val="33DE099F"/>
    <w:multiLevelType w:val="multilevel"/>
    <w:tmpl w:val="ADE0F5D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479428D"/>
    <w:multiLevelType w:val="hybridMultilevel"/>
    <w:tmpl w:val="4CF6EEBA"/>
    <w:lvl w:ilvl="0" w:tplc="5D620E98">
      <w:numFmt w:val="bullet"/>
      <w:lvlText w:val="-"/>
      <w:lvlJc w:val="left"/>
      <w:pPr>
        <w:ind w:left="1800" w:hanging="360"/>
      </w:pPr>
      <w:rPr>
        <w:rFonts w:ascii="Calibri" w:eastAsia="Times New Roman"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nsid w:val="40041F07"/>
    <w:multiLevelType w:val="hybridMultilevel"/>
    <w:tmpl w:val="48426888"/>
    <w:lvl w:ilvl="0" w:tplc="8E085D6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4287354"/>
    <w:multiLevelType w:val="hybridMultilevel"/>
    <w:tmpl w:val="6B9E0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C192F94"/>
    <w:multiLevelType w:val="hybridMultilevel"/>
    <w:tmpl w:val="3AA090DA"/>
    <w:lvl w:ilvl="0" w:tplc="88324B8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nsid w:val="4CB15F34"/>
    <w:multiLevelType w:val="hybridMultilevel"/>
    <w:tmpl w:val="3524F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B4651E"/>
    <w:multiLevelType w:val="hybridMultilevel"/>
    <w:tmpl w:val="1618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0133326"/>
    <w:multiLevelType w:val="multilevel"/>
    <w:tmpl w:val="BDA2A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3C4502D"/>
    <w:multiLevelType w:val="hybridMultilevel"/>
    <w:tmpl w:val="1728C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226E8F"/>
    <w:multiLevelType w:val="hybridMultilevel"/>
    <w:tmpl w:val="833AD2B2"/>
    <w:lvl w:ilvl="0" w:tplc="0C090001">
      <w:start w:val="1"/>
      <w:numFmt w:val="bullet"/>
      <w:lvlText w:val=""/>
      <w:lvlJc w:val="left"/>
      <w:pPr>
        <w:ind w:left="720" w:hanging="360"/>
      </w:pPr>
      <w:rPr>
        <w:rFonts w:ascii="Symbol" w:hAnsi="Symbol" w:hint="default"/>
      </w:rPr>
    </w:lvl>
    <w:lvl w:ilvl="1" w:tplc="88A47E9A">
      <w:start w:val="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B75BF8"/>
    <w:multiLevelType w:val="hybridMultilevel"/>
    <w:tmpl w:val="2BBAF77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8">
    <w:nsid w:val="58770C5D"/>
    <w:multiLevelType w:val="hybridMultilevel"/>
    <w:tmpl w:val="F222CA1E"/>
    <w:lvl w:ilvl="0" w:tplc="5F9697F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D3B4E"/>
    <w:multiLevelType w:val="hybridMultilevel"/>
    <w:tmpl w:val="B2D2C6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05C6AC1"/>
    <w:multiLevelType w:val="hybridMultilevel"/>
    <w:tmpl w:val="60587D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1FB3410"/>
    <w:multiLevelType w:val="hybridMultilevel"/>
    <w:tmpl w:val="1A28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9B0422C"/>
    <w:multiLevelType w:val="hybridMultilevel"/>
    <w:tmpl w:val="96E0A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A657F32"/>
    <w:multiLevelType w:val="hybridMultilevel"/>
    <w:tmpl w:val="4C82AE46"/>
    <w:lvl w:ilvl="0" w:tplc="5F9697F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FC02B4"/>
    <w:multiLevelType w:val="multilevel"/>
    <w:tmpl w:val="A432A11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E80638D"/>
    <w:multiLevelType w:val="hybridMultilevel"/>
    <w:tmpl w:val="F680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737C05"/>
    <w:multiLevelType w:val="hybridMultilevel"/>
    <w:tmpl w:val="130E691C"/>
    <w:lvl w:ilvl="0" w:tplc="8E085D6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626597B"/>
    <w:multiLevelType w:val="hybridMultilevel"/>
    <w:tmpl w:val="F690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B91357"/>
    <w:multiLevelType w:val="hybridMultilevel"/>
    <w:tmpl w:val="BDA2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CB1DE4"/>
    <w:multiLevelType w:val="hybridMultilevel"/>
    <w:tmpl w:val="E40C5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4"/>
  </w:num>
  <w:num w:numId="4">
    <w:abstractNumId w:val="25"/>
  </w:num>
  <w:num w:numId="5">
    <w:abstractNumId w:val="7"/>
  </w:num>
  <w:num w:numId="6">
    <w:abstractNumId w:val="18"/>
  </w:num>
  <w:num w:numId="7">
    <w:abstractNumId w:val="0"/>
  </w:num>
  <w:num w:numId="8">
    <w:abstractNumId w:val="27"/>
  </w:num>
  <w:num w:numId="9">
    <w:abstractNumId w:val="13"/>
  </w:num>
  <w:num w:numId="10">
    <w:abstractNumId w:val="16"/>
  </w:num>
  <w:num w:numId="11">
    <w:abstractNumId w:val="6"/>
  </w:num>
  <w:num w:numId="12">
    <w:abstractNumId w:val="1"/>
  </w:num>
  <w:num w:numId="13">
    <w:abstractNumId w:val="15"/>
  </w:num>
  <w:num w:numId="14">
    <w:abstractNumId w:val="19"/>
  </w:num>
  <w:num w:numId="15">
    <w:abstractNumId w:val="9"/>
  </w:num>
  <w:num w:numId="16">
    <w:abstractNumId w:val="4"/>
  </w:num>
  <w:num w:numId="17">
    <w:abstractNumId w:val="26"/>
  </w:num>
  <w:num w:numId="18">
    <w:abstractNumId w:val="17"/>
  </w:num>
  <w:num w:numId="19">
    <w:abstractNumId w:val="21"/>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
  </w:num>
  <w:num w:numId="23">
    <w:abstractNumId w:val="29"/>
  </w:num>
  <w:num w:numId="24">
    <w:abstractNumId w:val="20"/>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
  </w:num>
  <w:num w:numId="28">
    <w:abstractNumId w:val="5"/>
  </w:num>
  <w:num w:numId="29">
    <w:abstractNumId w:val="10"/>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72"/>
    <w:rsid w:val="00000027"/>
    <w:rsid w:val="000078E9"/>
    <w:rsid w:val="00011AA5"/>
    <w:rsid w:val="00014F92"/>
    <w:rsid w:val="00026045"/>
    <w:rsid w:val="00026049"/>
    <w:rsid w:val="00031DCE"/>
    <w:rsid w:val="00031EC4"/>
    <w:rsid w:val="00035CB0"/>
    <w:rsid w:val="00037FDC"/>
    <w:rsid w:val="000400AE"/>
    <w:rsid w:val="00040204"/>
    <w:rsid w:val="00043AD9"/>
    <w:rsid w:val="00043B8F"/>
    <w:rsid w:val="00046CCE"/>
    <w:rsid w:val="00047A2F"/>
    <w:rsid w:val="00051B31"/>
    <w:rsid w:val="00051DC5"/>
    <w:rsid w:val="00056363"/>
    <w:rsid w:val="000567BE"/>
    <w:rsid w:val="00056BBA"/>
    <w:rsid w:val="0006434E"/>
    <w:rsid w:val="00064673"/>
    <w:rsid w:val="000672CB"/>
    <w:rsid w:val="00067AEB"/>
    <w:rsid w:val="00071BEE"/>
    <w:rsid w:val="000823FE"/>
    <w:rsid w:val="000849CA"/>
    <w:rsid w:val="000859B2"/>
    <w:rsid w:val="00087C5A"/>
    <w:rsid w:val="000923FC"/>
    <w:rsid w:val="0009455E"/>
    <w:rsid w:val="000A6496"/>
    <w:rsid w:val="000B20A5"/>
    <w:rsid w:val="000B5BC3"/>
    <w:rsid w:val="000C07A8"/>
    <w:rsid w:val="000C112F"/>
    <w:rsid w:val="000C3E77"/>
    <w:rsid w:val="000C481D"/>
    <w:rsid w:val="000C5AC0"/>
    <w:rsid w:val="000D26AC"/>
    <w:rsid w:val="000D37D5"/>
    <w:rsid w:val="000E2A58"/>
    <w:rsid w:val="000E2EBA"/>
    <w:rsid w:val="000E34C4"/>
    <w:rsid w:val="000E36D5"/>
    <w:rsid w:val="000E39C3"/>
    <w:rsid w:val="000E6674"/>
    <w:rsid w:val="000E6CE4"/>
    <w:rsid w:val="000F3586"/>
    <w:rsid w:val="000F3D3C"/>
    <w:rsid w:val="000F7481"/>
    <w:rsid w:val="00101C8C"/>
    <w:rsid w:val="00103D5A"/>
    <w:rsid w:val="001065AA"/>
    <w:rsid w:val="00106B8D"/>
    <w:rsid w:val="00107976"/>
    <w:rsid w:val="00110449"/>
    <w:rsid w:val="00111F1E"/>
    <w:rsid w:val="0012144C"/>
    <w:rsid w:val="00122F55"/>
    <w:rsid w:val="001306E5"/>
    <w:rsid w:val="00137990"/>
    <w:rsid w:val="00137CA2"/>
    <w:rsid w:val="001426C7"/>
    <w:rsid w:val="001444CE"/>
    <w:rsid w:val="00150E67"/>
    <w:rsid w:val="0015523E"/>
    <w:rsid w:val="0016099F"/>
    <w:rsid w:val="0016608C"/>
    <w:rsid w:val="001672E8"/>
    <w:rsid w:val="00171475"/>
    <w:rsid w:val="00171CAB"/>
    <w:rsid w:val="00172EEE"/>
    <w:rsid w:val="00175200"/>
    <w:rsid w:val="0018188C"/>
    <w:rsid w:val="00184C3C"/>
    <w:rsid w:val="0018515A"/>
    <w:rsid w:val="00190B06"/>
    <w:rsid w:val="00191905"/>
    <w:rsid w:val="00195AA3"/>
    <w:rsid w:val="001A001D"/>
    <w:rsid w:val="001A029D"/>
    <w:rsid w:val="001A37A3"/>
    <w:rsid w:val="001B11BC"/>
    <w:rsid w:val="001B221D"/>
    <w:rsid w:val="001B2EE1"/>
    <w:rsid w:val="001B4D8D"/>
    <w:rsid w:val="001B58D9"/>
    <w:rsid w:val="001B5B41"/>
    <w:rsid w:val="001D0425"/>
    <w:rsid w:val="001D1302"/>
    <w:rsid w:val="001D1C31"/>
    <w:rsid w:val="001D22BB"/>
    <w:rsid w:val="001D32AE"/>
    <w:rsid w:val="001E0570"/>
    <w:rsid w:val="001E16AE"/>
    <w:rsid w:val="001E3DA5"/>
    <w:rsid w:val="001E68E3"/>
    <w:rsid w:val="001F549C"/>
    <w:rsid w:val="001F54FA"/>
    <w:rsid w:val="0020262C"/>
    <w:rsid w:val="00205482"/>
    <w:rsid w:val="0020671B"/>
    <w:rsid w:val="002131B5"/>
    <w:rsid w:val="00213443"/>
    <w:rsid w:val="00213B49"/>
    <w:rsid w:val="00213B64"/>
    <w:rsid w:val="00216D61"/>
    <w:rsid w:val="00217F9A"/>
    <w:rsid w:val="002236C6"/>
    <w:rsid w:val="002239E0"/>
    <w:rsid w:val="00227F73"/>
    <w:rsid w:val="00231F38"/>
    <w:rsid w:val="002327B8"/>
    <w:rsid w:val="002369CA"/>
    <w:rsid w:val="0023758C"/>
    <w:rsid w:val="00250277"/>
    <w:rsid w:val="002540E7"/>
    <w:rsid w:val="00261409"/>
    <w:rsid w:val="0026383B"/>
    <w:rsid w:val="002653E2"/>
    <w:rsid w:val="00266681"/>
    <w:rsid w:val="002720AA"/>
    <w:rsid w:val="00276179"/>
    <w:rsid w:val="00276C8D"/>
    <w:rsid w:val="00276DF6"/>
    <w:rsid w:val="00280E87"/>
    <w:rsid w:val="002822EA"/>
    <w:rsid w:val="00283164"/>
    <w:rsid w:val="002839A9"/>
    <w:rsid w:val="0028407C"/>
    <w:rsid w:val="00284E11"/>
    <w:rsid w:val="002870F4"/>
    <w:rsid w:val="0029130A"/>
    <w:rsid w:val="00292276"/>
    <w:rsid w:val="002939D4"/>
    <w:rsid w:val="002941CB"/>
    <w:rsid w:val="00297406"/>
    <w:rsid w:val="002A1AF0"/>
    <w:rsid w:val="002A2B46"/>
    <w:rsid w:val="002A397E"/>
    <w:rsid w:val="002A4164"/>
    <w:rsid w:val="002A4916"/>
    <w:rsid w:val="002A49B1"/>
    <w:rsid w:val="002B0ED1"/>
    <w:rsid w:val="002B4963"/>
    <w:rsid w:val="002B505C"/>
    <w:rsid w:val="002B50EB"/>
    <w:rsid w:val="002B641E"/>
    <w:rsid w:val="002B7AB3"/>
    <w:rsid w:val="002C3FF1"/>
    <w:rsid w:val="002C672C"/>
    <w:rsid w:val="002C71EA"/>
    <w:rsid w:val="002D0920"/>
    <w:rsid w:val="002D171A"/>
    <w:rsid w:val="002D302C"/>
    <w:rsid w:val="002D5EC6"/>
    <w:rsid w:val="002E3B49"/>
    <w:rsid w:val="002E4515"/>
    <w:rsid w:val="002E5631"/>
    <w:rsid w:val="002F0D2A"/>
    <w:rsid w:val="002F4CF2"/>
    <w:rsid w:val="002F4E46"/>
    <w:rsid w:val="002F5B1E"/>
    <w:rsid w:val="00304D79"/>
    <w:rsid w:val="003114AF"/>
    <w:rsid w:val="00313B22"/>
    <w:rsid w:val="00313FCB"/>
    <w:rsid w:val="00317BA1"/>
    <w:rsid w:val="003204E6"/>
    <w:rsid w:val="003241A0"/>
    <w:rsid w:val="0032474D"/>
    <w:rsid w:val="00326D33"/>
    <w:rsid w:val="00331060"/>
    <w:rsid w:val="00333B30"/>
    <w:rsid w:val="0033591B"/>
    <w:rsid w:val="003367E3"/>
    <w:rsid w:val="00341E31"/>
    <w:rsid w:val="00342A96"/>
    <w:rsid w:val="00347DDC"/>
    <w:rsid w:val="003503D7"/>
    <w:rsid w:val="003509C9"/>
    <w:rsid w:val="00351AB5"/>
    <w:rsid w:val="00351B91"/>
    <w:rsid w:val="003539E4"/>
    <w:rsid w:val="00355CDA"/>
    <w:rsid w:val="00356124"/>
    <w:rsid w:val="00360400"/>
    <w:rsid w:val="00360E37"/>
    <w:rsid w:val="00361CF3"/>
    <w:rsid w:val="00365CA8"/>
    <w:rsid w:val="00372486"/>
    <w:rsid w:val="00375367"/>
    <w:rsid w:val="003774BD"/>
    <w:rsid w:val="00377C54"/>
    <w:rsid w:val="00382D64"/>
    <w:rsid w:val="00384E1F"/>
    <w:rsid w:val="00385CDE"/>
    <w:rsid w:val="0038783D"/>
    <w:rsid w:val="00390884"/>
    <w:rsid w:val="00393693"/>
    <w:rsid w:val="003949CB"/>
    <w:rsid w:val="00394C84"/>
    <w:rsid w:val="00394EAE"/>
    <w:rsid w:val="003A1FC0"/>
    <w:rsid w:val="003A4366"/>
    <w:rsid w:val="003A677A"/>
    <w:rsid w:val="003B1FEB"/>
    <w:rsid w:val="003B2A50"/>
    <w:rsid w:val="003C46C3"/>
    <w:rsid w:val="003D565A"/>
    <w:rsid w:val="003E0340"/>
    <w:rsid w:val="003E3A1E"/>
    <w:rsid w:val="003E4B56"/>
    <w:rsid w:val="003F4077"/>
    <w:rsid w:val="003F4B98"/>
    <w:rsid w:val="003F77FC"/>
    <w:rsid w:val="0040064D"/>
    <w:rsid w:val="00400B81"/>
    <w:rsid w:val="004021A7"/>
    <w:rsid w:val="00402375"/>
    <w:rsid w:val="00404359"/>
    <w:rsid w:val="00410E58"/>
    <w:rsid w:val="00411F6B"/>
    <w:rsid w:val="00414E73"/>
    <w:rsid w:val="00422A55"/>
    <w:rsid w:val="00424157"/>
    <w:rsid w:val="004344DA"/>
    <w:rsid w:val="004353E6"/>
    <w:rsid w:val="00437763"/>
    <w:rsid w:val="00440B44"/>
    <w:rsid w:val="00442161"/>
    <w:rsid w:val="0044439D"/>
    <w:rsid w:val="0045370D"/>
    <w:rsid w:val="00455F99"/>
    <w:rsid w:val="004575C6"/>
    <w:rsid w:val="00462B79"/>
    <w:rsid w:val="004649DA"/>
    <w:rsid w:val="00481C66"/>
    <w:rsid w:val="00487AEF"/>
    <w:rsid w:val="00490434"/>
    <w:rsid w:val="00491093"/>
    <w:rsid w:val="00492A21"/>
    <w:rsid w:val="004939E0"/>
    <w:rsid w:val="00493C1E"/>
    <w:rsid w:val="0049613C"/>
    <w:rsid w:val="00496DA7"/>
    <w:rsid w:val="0049781D"/>
    <w:rsid w:val="004A06B4"/>
    <w:rsid w:val="004A3804"/>
    <w:rsid w:val="004A652C"/>
    <w:rsid w:val="004A7E09"/>
    <w:rsid w:val="004B2AAC"/>
    <w:rsid w:val="004B2C0B"/>
    <w:rsid w:val="004B3927"/>
    <w:rsid w:val="004C366D"/>
    <w:rsid w:val="004C7746"/>
    <w:rsid w:val="004D2277"/>
    <w:rsid w:val="004D3570"/>
    <w:rsid w:val="004D6CD2"/>
    <w:rsid w:val="004E1333"/>
    <w:rsid w:val="004E1562"/>
    <w:rsid w:val="004E4E93"/>
    <w:rsid w:val="004E55F9"/>
    <w:rsid w:val="004F0CD0"/>
    <w:rsid w:val="004F2C68"/>
    <w:rsid w:val="004F7E82"/>
    <w:rsid w:val="0050066D"/>
    <w:rsid w:val="005028C8"/>
    <w:rsid w:val="00507EF3"/>
    <w:rsid w:val="00510BB1"/>
    <w:rsid w:val="00511AC2"/>
    <w:rsid w:val="00516656"/>
    <w:rsid w:val="00516D27"/>
    <w:rsid w:val="00517171"/>
    <w:rsid w:val="00517431"/>
    <w:rsid w:val="00517CA1"/>
    <w:rsid w:val="00524C84"/>
    <w:rsid w:val="00526214"/>
    <w:rsid w:val="005325EB"/>
    <w:rsid w:val="00532677"/>
    <w:rsid w:val="00532ACD"/>
    <w:rsid w:val="00555678"/>
    <w:rsid w:val="00560D16"/>
    <w:rsid w:val="0056131B"/>
    <w:rsid w:val="00567A93"/>
    <w:rsid w:val="005718B5"/>
    <w:rsid w:val="0057215B"/>
    <w:rsid w:val="00573BD5"/>
    <w:rsid w:val="005751F3"/>
    <w:rsid w:val="00576375"/>
    <w:rsid w:val="00580178"/>
    <w:rsid w:val="00587374"/>
    <w:rsid w:val="00587A5F"/>
    <w:rsid w:val="0059392D"/>
    <w:rsid w:val="0059457C"/>
    <w:rsid w:val="005A625E"/>
    <w:rsid w:val="005A6A11"/>
    <w:rsid w:val="005A7AAF"/>
    <w:rsid w:val="005B0613"/>
    <w:rsid w:val="005B3E7C"/>
    <w:rsid w:val="005C6CBF"/>
    <w:rsid w:val="005D2D2B"/>
    <w:rsid w:val="005D2FB6"/>
    <w:rsid w:val="005D476F"/>
    <w:rsid w:val="005D5476"/>
    <w:rsid w:val="005D7078"/>
    <w:rsid w:val="005D7425"/>
    <w:rsid w:val="005D7A32"/>
    <w:rsid w:val="005D7C9F"/>
    <w:rsid w:val="005E02CE"/>
    <w:rsid w:val="005E5972"/>
    <w:rsid w:val="005F04D8"/>
    <w:rsid w:val="005F6519"/>
    <w:rsid w:val="005F7AC0"/>
    <w:rsid w:val="00601215"/>
    <w:rsid w:val="00602C45"/>
    <w:rsid w:val="00607C98"/>
    <w:rsid w:val="00610F94"/>
    <w:rsid w:val="00610FDE"/>
    <w:rsid w:val="00613CB5"/>
    <w:rsid w:val="00614613"/>
    <w:rsid w:val="0062208B"/>
    <w:rsid w:val="0062235A"/>
    <w:rsid w:val="00622382"/>
    <w:rsid w:val="0062435B"/>
    <w:rsid w:val="00627AE7"/>
    <w:rsid w:val="0063018A"/>
    <w:rsid w:val="00634CE4"/>
    <w:rsid w:val="00635826"/>
    <w:rsid w:val="00636C97"/>
    <w:rsid w:val="00641F39"/>
    <w:rsid w:val="00642484"/>
    <w:rsid w:val="006431C9"/>
    <w:rsid w:val="006435C2"/>
    <w:rsid w:val="00650179"/>
    <w:rsid w:val="00651205"/>
    <w:rsid w:val="00651A99"/>
    <w:rsid w:val="00651ECD"/>
    <w:rsid w:val="00652E08"/>
    <w:rsid w:val="00653A5D"/>
    <w:rsid w:val="00660185"/>
    <w:rsid w:val="00661594"/>
    <w:rsid w:val="00662F85"/>
    <w:rsid w:val="0066366B"/>
    <w:rsid w:val="0066794A"/>
    <w:rsid w:val="006758E3"/>
    <w:rsid w:val="00680AE8"/>
    <w:rsid w:val="00683C8F"/>
    <w:rsid w:val="006851E3"/>
    <w:rsid w:val="00686363"/>
    <w:rsid w:val="00691959"/>
    <w:rsid w:val="00691BA2"/>
    <w:rsid w:val="00694973"/>
    <w:rsid w:val="006963EC"/>
    <w:rsid w:val="006A42C9"/>
    <w:rsid w:val="006A57DD"/>
    <w:rsid w:val="006B31B4"/>
    <w:rsid w:val="006B3ABF"/>
    <w:rsid w:val="006B48D8"/>
    <w:rsid w:val="006B501C"/>
    <w:rsid w:val="006B7649"/>
    <w:rsid w:val="006C0F9C"/>
    <w:rsid w:val="006C46C7"/>
    <w:rsid w:val="006C7E13"/>
    <w:rsid w:val="006D45C0"/>
    <w:rsid w:val="006D48C2"/>
    <w:rsid w:val="006D4C6E"/>
    <w:rsid w:val="006E0DF2"/>
    <w:rsid w:val="006E1E2C"/>
    <w:rsid w:val="006E4BD4"/>
    <w:rsid w:val="006E7F44"/>
    <w:rsid w:val="006F0163"/>
    <w:rsid w:val="006F0B58"/>
    <w:rsid w:val="006F7B84"/>
    <w:rsid w:val="007038A9"/>
    <w:rsid w:val="007048BB"/>
    <w:rsid w:val="00704B8E"/>
    <w:rsid w:val="007055F3"/>
    <w:rsid w:val="007107D5"/>
    <w:rsid w:val="00711CD3"/>
    <w:rsid w:val="007124C6"/>
    <w:rsid w:val="0071251E"/>
    <w:rsid w:val="00713F1A"/>
    <w:rsid w:val="00723D3F"/>
    <w:rsid w:val="00725146"/>
    <w:rsid w:val="00730553"/>
    <w:rsid w:val="00736C5B"/>
    <w:rsid w:val="00740850"/>
    <w:rsid w:val="0074190E"/>
    <w:rsid w:val="00751932"/>
    <w:rsid w:val="00752A48"/>
    <w:rsid w:val="00753127"/>
    <w:rsid w:val="00753A1C"/>
    <w:rsid w:val="007542D3"/>
    <w:rsid w:val="007620F1"/>
    <w:rsid w:val="00766C7F"/>
    <w:rsid w:val="00766CBE"/>
    <w:rsid w:val="0077236D"/>
    <w:rsid w:val="0078194C"/>
    <w:rsid w:val="007843DE"/>
    <w:rsid w:val="00785DA9"/>
    <w:rsid w:val="00785E23"/>
    <w:rsid w:val="007878DC"/>
    <w:rsid w:val="00787FBF"/>
    <w:rsid w:val="00790186"/>
    <w:rsid w:val="00793FDB"/>
    <w:rsid w:val="00794A36"/>
    <w:rsid w:val="00797B46"/>
    <w:rsid w:val="007A2218"/>
    <w:rsid w:val="007A7271"/>
    <w:rsid w:val="007B0147"/>
    <w:rsid w:val="007B0734"/>
    <w:rsid w:val="007B0A3B"/>
    <w:rsid w:val="007B4F41"/>
    <w:rsid w:val="007B7105"/>
    <w:rsid w:val="007C01C8"/>
    <w:rsid w:val="007C6422"/>
    <w:rsid w:val="007D4474"/>
    <w:rsid w:val="007D586B"/>
    <w:rsid w:val="007D5DBF"/>
    <w:rsid w:val="007D70B0"/>
    <w:rsid w:val="007E0565"/>
    <w:rsid w:val="007E1756"/>
    <w:rsid w:val="007E46A7"/>
    <w:rsid w:val="007E7D6C"/>
    <w:rsid w:val="007F01FD"/>
    <w:rsid w:val="007F023F"/>
    <w:rsid w:val="007F2DF5"/>
    <w:rsid w:val="007F4B06"/>
    <w:rsid w:val="007F5BC8"/>
    <w:rsid w:val="007F7135"/>
    <w:rsid w:val="007F76D9"/>
    <w:rsid w:val="00801DD3"/>
    <w:rsid w:val="00802269"/>
    <w:rsid w:val="008050D5"/>
    <w:rsid w:val="008066D0"/>
    <w:rsid w:val="0080735A"/>
    <w:rsid w:val="00807B4E"/>
    <w:rsid w:val="00812E40"/>
    <w:rsid w:val="00812F1F"/>
    <w:rsid w:val="00815DCE"/>
    <w:rsid w:val="00816968"/>
    <w:rsid w:val="00822B8B"/>
    <w:rsid w:val="0083094C"/>
    <w:rsid w:val="00833608"/>
    <w:rsid w:val="00834F55"/>
    <w:rsid w:val="0083593E"/>
    <w:rsid w:val="00845023"/>
    <w:rsid w:val="00846855"/>
    <w:rsid w:val="00847D73"/>
    <w:rsid w:val="0085250F"/>
    <w:rsid w:val="00856289"/>
    <w:rsid w:val="00856C74"/>
    <w:rsid w:val="00865BB7"/>
    <w:rsid w:val="00865E95"/>
    <w:rsid w:val="00874F89"/>
    <w:rsid w:val="008766CC"/>
    <w:rsid w:val="00876AF1"/>
    <w:rsid w:val="00876DE6"/>
    <w:rsid w:val="008859D6"/>
    <w:rsid w:val="00885D58"/>
    <w:rsid w:val="00892BF7"/>
    <w:rsid w:val="008A0C2E"/>
    <w:rsid w:val="008A189C"/>
    <w:rsid w:val="008A4C2A"/>
    <w:rsid w:val="008B006F"/>
    <w:rsid w:val="008B06E6"/>
    <w:rsid w:val="008B717F"/>
    <w:rsid w:val="008C2463"/>
    <w:rsid w:val="008C2DF9"/>
    <w:rsid w:val="008C2EF7"/>
    <w:rsid w:val="008C481E"/>
    <w:rsid w:val="008C6389"/>
    <w:rsid w:val="008C6FDB"/>
    <w:rsid w:val="008D1E63"/>
    <w:rsid w:val="008D3E1D"/>
    <w:rsid w:val="008D471D"/>
    <w:rsid w:val="008D7AC1"/>
    <w:rsid w:val="008E4C73"/>
    <w:rsid w:val="008E71B3"/>
    <w:rsid w:val="008F160F"/>
    <w:rsid w:val="008F5A70"/>
    <w:rsid w:val="009011B2"/>
    <w:rsid w:val="00915815"/>
    <w:rsid w:val="00917CB1"/>
    <w:rsid w:val="00917FBF"/>
    <w:rsid w:val="0092059E"/>
    <w:rsid w:val="00922ABD"/>
    <w:rsid w:val="00922BBD"/>
    <w:rsid w:val="009259F0"/>
    <w:rsid w:val="00926AE2"/>
    <w:rsid w:val="00926E45"/>
    <w:rsid w:val="0092749E"/>
    <w:rsid w:val="00930F37"/>
    <w:rsid w:val="009314A4"/>
    <w:rsid w:val="009361D2"/>
    <w:rsid w:val="00940516"/>
    <w:rsid w:val="009455B5"/>
    <w:rsid w:val="00945F15"/>
    <w:rsid w:val="00946849"/>
    <w:rsid w:val="00947FAF"/>
    <w:rsid w:val="00952C3C"/>
    <w:rsid w:val="00957B97"/>
    <w:rsid w:val="00966229"/>
    <w:rsid w:val="009673E9"/>
    <w:rsid w:val="0097303C"/>
    <w:rsid w:val="00973FFF"/>
    <w:rsid w:val="00974BC0"/>
    <w:rsid w:val="00975D20"/>
    <w:rsid w:val="00977B6C"/>
    <w:rsid w:val="00981A5D"/>
    <w:rsid w:val="009829FA"/>
    <w:rsid w:val="00985AE0"/>
    <w:rsid w:val="009875C3"/>
    <w:rsid w:val="00987781"/>
    <w:rsid w:val="00987C0B"/>
    <w:rsid w:val="00992E1B"/>
    <w:rsid w:val="00992E62"/>
    <w:rsid w:val="0099452F"/>
    <w:rsid w:val="009B46AA"/>
    <w:rsid w:val="009C0D4A"/>
    <w:rsid w:val="009C2FFD"/>
    <w:rsid w:val="009D0115"/>
    <w:rsid w:val="009D1438"/>
    <w:rsid w:val="009D2E8C"/>
    <w:rsid w:val="009D38B1"/>
    <w:rsid w:val="009D5DCC"/>
    <w:rsid w:val="009D67BF"/>
    <w:rsid w:val="009D736D"/>
    <w:rsid w:val="009D7B10"/>
    <w:rsid w:val="009E23CC"/>
    <w:rsid w:val="009E436B"/>
    <w:rsid w:val="009E4729"/>
    <w:rsid w:val="009F0186"/>
    <w:rsid w:val="009F1301"/>
    <w:rsid w:val="009F141A"/>
    <w:rsid w:val="009F3FD0"/>
    <w:rsid w:val="009F4D89"/>
    <w:rsid w:val="009F66E3"/>
    <w:rsid w:val="00A02399"/>
    <w:rsid w:val="00A040B9"/>
    <w:rsid w:val="00A07D58"/>
    <w:rsid w:val="00A12B60"/>
    <w:rsid w:val="00A13716"/>
    <w:rsid w:val="00A20EBF"/>
    <w:rsid w:val="00A22777"/>
    <w:rsid w:val="00A251E2"/>
    <w:rsid w:val="00A266FE"/>
    <w:rsid w:val="00A328F5"/>
    <w:rsid w:val="00A34837"/>
    <w:rsid w:val="00A3784D"/>
    <w:rsid w:val="00A40292"/>
    <w:rsid w:val="00A432F0"/>
    <w:rsid w:val="00A54D8C"/>
    <w:rsid w:val="00A560D7"/>
    <w:rsid w:val="00A60248"/>
    <w:rsid w:val="00A60CDF"/>
    <w:rsid w:val="00A62D69"/>
    <w:rsid w:val="00A63587"/>
    <w:rsid w:val="00A718A9"/>
    <w:rsid w:val="00A77362"/>
    <w:rsid w:val="00A80534"/>
    <w:rsid w:val="00A806C3"/>
    <w:rsid w:val="00A8143B"/>
    <w:rsid w:val="00A82754"/>
    <w:rsid w:val="00A86052"/>
    <w:rsid w:val="00A90C21"/>
    <w:rsid w:val="00A91E3E"/>
    <w:rsid w:val="00A95B6F"/>
    <w:rsid w:val="00A969EB"/>
    <w:rsid w:val="00A97AE0"/>
    <w:rsid w:val="00AA1005"/>
    <w:rsid w:val="00AA1457"/>
    <w:rsid w:val="00AA6FC3"/>
    <w:rsid w:val="00AA701D"/>
    <w:rsid w:val="00AB33D7"/>
    <w:rsid w:val="00AB3A40"/>
    <w:rsid w:val="00AB4581"/>
    <w:rsid w:val="00AC0863"/>
    <w:rsid w:val="00AC1B6A"/>
    <w:rsid w:val="00AC2BD2"/>
    <w:rsid w:val="00AC327A"/>
    <w:rsid w:val="00AC3C79"/>
    <w:rsid w:val="00AD16D6"/>
    <w:rsid w:val="00AD1B16"/>
    <w:rsid w:val="00AD1F5A"/>
    <w:rsid w:val="00AE089B"/>
    <w:rsid w:val="00AF19DD"/>
    <w:rsid w:val="00AF26C4"/>
    <w:rsid w:val="00AF35C6"/>
    <w:rsid w:val="00AF5141"/>
    <w:rsid w:val="00AF6919"/>
    <w:rsid w:val="00AF77EE"/>
    <w:rsid w:val="00AF7DD3"/>
    <w:rsid w:val="00B12B57"/>
    <w:rsid w:val="00B2035C"/>
    <w:rsid w:val="00B21F48"/>
    <w:rsid w:val="00B25B2B"/>
    <w:rsid w:val="00B26DC7"/>
    <w:rsid w:val="00B270E8"/>
    <w:rsid w:val="00B30F71"/>
    <w:rsid w:val="00B32D3D"/>
    <w:rsid w:val="00B3410D"/>
    <w:rsid w:val="00B347AB"/>
    <w:rsid w:val="00B3776B"/>
    <w:rsid w:val="00B4560C"/>
    <w:rsid w:val="00B56E3E"/>
    <w:rsid w:val="00B613D5"/>
    <w:rsid w:val="00B61B23"/>
    <w:rsid w:val="00B62944"/>
    <w:rsid w:val="00B62DA8"/>
    <w:rsid w:val="00B638C8"/>
    <w:rsid w:val="00B63C1C"/>
    <w:rsid w:val="00B656B2"/>
    <w:rsid w:val="00B656BB"/>
    <w:rsid w:val="00B73FE6"/>
    <w:rsid w:val="00B743B9"/>
    <w:rsid w:val="00B754B6"/>
    <w:rsid w:val="00B82381"/>
    <w:rsid w:val="00B85D9D"/>
    <w:rsid w:val="00B90157"/>
    <w:rsid w:val="00B91614"/>
    <w:rsid w:val="00B92C75"/>
    <w:rsid w:val="00B93475"/>
    <w:rsid w:val="00B93F4F"/>
    <w:rsid w:val="00B972D9"/>
    <w:rsid w:val="00BA10DE"/>
    <w:rsid w:val="00BB1035"/>
    <w:rsid w:val="00BB22A8"/>
    <w:rsid w:val="00BB3A25"/>
    <w:rsid w:val="00BB6EF3"/>
    <w:rsid w:val="00BC0658"/>
    <w:rsid w:val="00BC1C2F"/>
    <w:rsid w:val="00BC2DFE"/>
    <w:rsid w:val="00BC3801"/>
    <w:rsid w:val="00BC40D7"/>
    <w:rsid w:val="00BC46FC"/>
    <w:rsid w:val="00BC5715"/>
    <w:rsid w:val="00BC6185"/>
    <w:rsid w:val="00BE12B2"/>
    <w:rsid w:val="00BE4946"/>
    <w:rsid w:val="00BE506D"/>
    <w:rsid w:val="00BE6849"/>
    <w:rsid w:val="00BE77E6"/>
    <w:rsid w:val="00BF0CE7"/>
    <w:rsid w:val="00BF3781"/>
    <w:rsid w:val="00BF6B7D"/>
    <w:rsid w:val="00C039E4"/>
    <w:rsid w:val="00C04B66"/>
    <w:rsid w:val="00C07345"/>
    <w:rsid w:val="00C07A58"/>
    <w:rsid w:val="00C11E8D"/>
    <w:rsid w:val="00C13F39"/>
    <w:rsid w:val="00C14343"/>
    <w:rsid w:val="00C164F5"/>
    <w:rsid w:val="00C16B55"/>
    <w:rsid w:val="00C16EE8"/>
    <w:rsid w:val="00C173CD"/>
    <w:rsid w:val="00C20A38"/>
    <w:rsid w:val="00C236E3"/>
    <w:rsid w:val="00C25EDA"/>
    <w:rsid w:val="00C26891"/>
    <w:rsid w:val="00C26949"/>
    <w:rsid w:val="00C3047A"/>
    <w:rsid w:val="00C3073F"/>
    <w:rsid w:val="00C323A3"/>
    <w:rsid w:val="00C334E1"/>
    <w:rsid w:val="00C33BFC"/>
    <w:rsid w:val="00C362FC"/>
    <w:rsid w:val="00C36BDD"/>
    <w:rsid w:val="00C40270"/>
    <w:rsid w:val="00C43858"/>
    <w:rsid w:val="00C44142"/>
    <w:rsid w:val="00C44594"/>
    <w:rsid w:val="00C44DF7"/>
    <w:rsid w:val="00C45B5B"/>
    <w:rsid w:val="00C46693"/>
    <w:rsid w:val="00C46DD9"/>
    <w:rsid w:val="00C47D9D"/>
    <w:rsid w:val="00C50CD9"/>
    <w:rsid w:val="00C50E1E"/>
    <w:rsid w:val="00C52F12"/>
    <w:rsid w:val="00C55456"/>
    <w:rsid w:val="00C61E59"/>
    <w:rsid w:val="00C65625"/>
    <w:rsid w:val="00C7078F"/>
    <w:rsid w:val="00C710DC"/>
    <w:rsid w:val="00C71E25"/>
    <w:rsid w:val="00C74447"/>
    <w:rsid w:val="00C74829"/>
    <w:rsid w:val="00C769DC"/>
    <w:rsid w:val="00C862A3"/>
    <w:rsid w:val="00C94452"/>
    <w:rsid w:val="00CA0DAB"/>
    <w:rsid w:val="00CA35F3"/>
    <w:rsid w:val="00CA7EAB"/>
    <w:rsid w:val="00CB1614"/>
    <w:rsid w:val="00CB4D00"/>
    <w:rsid w:val="00CB5041"/>
    <w:rsid w:val="00CB5C42"/>
    <w:rsid w:val="00CB7285"/>
    <w:rsid w:val="00CC01BB"/>
    <w:rsid w:val="00CC1829"/>
    <w:rsid w:val="00CC34FB"/>
    <w:rsid w:val="00CC4618"/>
    <w:rsid w:val="00CD002A"/>
    <w:rsid w:val="00CD753F"/>
    <w:rsid w:val="00CE0434"/>
    <w:rsid w:val="00CE152F"/>
    <w:rsid w:val="00CE3D5F"/>
    <w:rsid w:val="00CE6A80"/>
    <w:rsid w:val="00CF19E4"/>
    <w:rsid w:val="00CF2937"/>
    <w:rsid w:val="00CF6C0F"/>
    <w:rsid w:val="00CF7090"/>
    <w:rsid w:val="00CF7545"/>
    <w:rsid w:val="00CF7AD0"/>
    <w:rsid w:val="00D01BAE"/>
    <w:rsid w:val="00D0244B"/>
    <w:rsid w:val="00D030E0"/>
    <w:rsid w:val="00D07054"/>
    <w:rsid w:val="00D14AE8"/>
    <w:rsid w:val="00D2177D"/>
    <w:rsid w:val="00D21BB0"/>
    <w:rsid w:val="00D26A41"/>
    <w:rsid w:val="00D31CB5"/>
    <w:rsid w:val="00D36C54"/>
    <w:rsid w:val="00D37EF3"/>
    <w:rsid w:val="00D40A11"/>
    <w:rsid w:val="00D414E6"/>
    <w:rsid w:val="00D41C45"/>
    <w:rsid w:val="00D44397"/>
    <w:rsid w:val="00D44795"/>
    <w:rsid w:val="00D44CF3"/>
    <w:rsid w:val="00D45701"/>
    <w:rsid w:val="00D47CE0"/>
    <w:rsid w:val="00D569FF"/>
    <w:rsid w:val="00D57D02"/>
    <w:rsid w:val="00D61609"/>
    <w:rsid w:val="00D62242"/>
    <w:rsid w:val="00D71C4A"/>
    <w:rsid w:val="00D76989"/>
    <w:rsid w:val="00D82C74"/>
    <w:rsid w:val="00D85A94"/>
    <w:rsid w:val="00DA3250"/>
    <w:rsid w:val="00DA3DBB"/>
    <w:rsid w:val="00DA6154"/>
    <w:rsid w:val="00DA65F1"/>
    <w:rsid w:val="00DA786E"/>
    <w:rsid w:val="00DC179A"/>
    <w:rsid w:val="00DC17C4"/>
    <w:rsid w:val="00DC4F16"/>
    <w:rsid w:val="00DC5179"/>
    <w:rsid w:val="00DC77BC"/>
    <w:rsid w:val="00DD170E"/>
    <w:rsid w:val="00DD4202"/>
    <w:rsid w:val="00DD6755"/>
    <w:rsid w:val="00DD7DBF"/>
    <w:rsid w:val="00DF1158"/>
    <w:rsid w:val="00DF1DF8"/>
    <w:rsid w:val="00DF1EF0"/>
    <w:rsid w:val="00DF371C"/>
    <w:rsid w:val="00DF3A1F"/>
    <w:rsid w:val="00DF6DC2"/>
    <w:rsid w:val="00E00E1D"/>
    <w:rsid w:val="00E020BB"/>
    <w:rsid w:val="00E053D0"/>
    <w:rsid w:val="00E05EA2"/>
    <w:rsid w:val="00E07A59"/>
    <w:rsid w:val="00E11EEB"/>
    <w:rsid w:val="00E16994"/>
    <w:rsid w:val="00E177A0"/>
    <w:rsid w:val="00E21B28"/>
    <w:rsid w:val="00E22D26"/>
    <w:rsid w:val="00E25B3D"/>
    <w:rsid w:val="00E3010D"/>
    <w:rsid w:val="00E303F9"/>
    <w:rsid w:val="00E323F6"/>
    <w:rsid w:val="00E408A2"/>
    <w:rsid w:val="00E41184"/>
    <w:rsid w:val="00E423E3"/>
    <w:rsid w:val="00E4363D"/>
    <w:rsid w:val="00E43C56"/>
    <w:rsid w:val="00E45ECB"/>
    <w:rsid w:val="00E467FE"/>
    <w:rsid w:val="00E47AB2"/>
    <w:rsid w:val="00E50B54"/>
    <w:rsid w:val="00E51A72"/>
    <w:rsid w:val="00E51A9C"/>
    <w:rsid w:val="00E53755"/>
    <w:rsid w:val="00E54E58"/>
    <w:rsid w:val="00E55678"/>
    <w:rsid w:val="00E55FC5"/>
    <w:rsid w:val="00E70F76"/>
    <w:rsid w:val="00E81572"/>
    <w:rsid w:val="00E849EF"/>
    <w:rsid w:val="00E91EF3"/>
    <w:rsid w:val="00E92C71"/>
    <w:rsid w:val="00E95D24"/>
    <w:rsid w:val="00EB45F7"/>
    <w:rsid w:val="00EB5562"/>
    <w:rsid w:val="00EB5A4D"/>
    <w:rsid w:val="00EB5E3D"/>
    <w:rsid w:val="00EB6824"/>
    <w:rsid w:val="00EC36D3"/>
    <w:rsid w:val="00EC4EE7"/>
    <w:rsid w:val="00ED1BB7"/>
    <w:rsid w:val="00ED7D4F"/>
    <w:rsid w:val="00EE50AD"/>
    <w:rsid w:val="00EE5DC6"/>
    <w:rsid w:val="00EE5FF5"/>
    <w:rsid w:val="00EF276F"/>
    <w:rsid w:val="00EF4184"/>
    <w:rsid w:val="00EF4674"/>
    <w:rsid w:val="00EF5B27"/>
    <w:rsid w:val="00EF614D"/>
    <w:rsid w:val="00EF7F98"/>
    <w:rsid w:val="00F03613"/>
    <w:rsid w:val="00F03868"/>
    <w:rsid w:val="00F0480C"/>
    <w:rsid w:val="00F04CAB"/>
    <w:rsid w:val="00F115F6"/>
    <w:rsid w:val="00F1166E"/>
    <w:rsid w:val="00F14482"/>
    <w:rsid w:val="00F16F46"/>
    <w:rsid w:val="00F22EAF"/>
    <w:rsid w:val="00F24664"/>
    <w:rsid w:val="00F302D1"/>
    <w:rsid w:val="00F3423E"/>
    <w:rsid w:val="00F34536"/>
    <w:rsid w:val="00F34FCA"/>
    <w:rsid w:val="00F3633E"/>
    <w:rsid w:val="00F379DA"/>
    <w:rsid w:val="00F406CC"/>
    <w:rsid w:val="00F503FE"/>
    <w:rsid w:val="00F51303"/>
    <w:rsid w:val="00F55B91"/>
    <w:rsid w:val="00F60ADB"/>
    <w:rsid w:val="00F66AC8"/>
    <w:rsid w:val="00F670A3"/>
    <w:rsid w:val="00F67960"/>
    <w:rsid w:val="00F726D0"/>
    <w:rsid w:val="00F72E9D"/>
    <w:rsid w:val="00F72F87"/>
    <w:rsid w:val="00F86327"/>
    <w:rsid w:val="00F901EC"/>
    <w:rsid w:val="00F9033E"/>
    <w:rsid w:val="00F9037D"/>
    <w:rsid w:val="00F91604"/>
    <w:rsid w:val="00F9420D"/>
    <w:rsid w:val="00F94EAA"/>
    <w:rsid w:val="00F95E39"/>
    <w:rsid w:val="00FA046E"/>
    <w:rsid w:val="00FA32C6"/>
    <w:rsid w:val="00FA47A9"/>
    <w:rsid w:val="00FA6322"/>
    <w:rsid w:val="00FB18B6"/>
    <w:rsid w:val="00FB6049"/>
    <w:rsid w:val="00FC1E78"/>
    <w:rsid w:val="00FC2250"/>
    <w:rsid w:val="00FC657C"/>
    <w:rsid w:val="00FC78EA"/>
    <w:rsid w:val="00FD5D6C"/>
    <w:rsid w:val="00FD6C39"/>
    <w:rsid w:val="00FF20F8"/>
    <w:rsid w:val="00FF655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1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01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010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63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NETParagraphAtt">
    <w:name w:val="CABNET Paragraph Att"/>
    <w:basedOn w:val="Normal"/>
    <w:link w:val="CABNETParagraphAttChar"/>
    <w:qFormat/>
    <w:rsid w:val="00E51A72"/>
    <w:pPr>
      <w:spacing w:before="120" w:after="120" w:line="240" w:lineRule="auto"/>
    </w:pPr>
    <w:rPr>
      <w:rFonts w:ascii="Verdana" w:eastAsia="Times New Roman" w:hAnsi="Verdana" w:cs="Times New Roman"/>
      <w:szCs w:val="24"/>
      <w:lang w:eastAsia="en-AU"/>
    </w:rPr>
  </w:style>
  <w:style w:type="character" w:customStyle="1" w:styleId="CABNETParagraphAttChar">
    <w:name w:val="CABNET Paragraph Att Char"/>
    <w:basedOn w:val="DefaultParagraphFont"/>
    <w:link w:val="CABNETParagraphAtt"/>
    <w:rsid w:val="00E51A72"/>
    <w:rPr>
      <w:rFonts w:ascii="Verdana" w:eastAsia="Times New Roman" w:hAnsi="Verdana" w:cs="Times New Roman"/>
      <w:szCs w:val="24"/>
      <w:lang w:eastAsia="en-AU"/>
    </w:rPr>
  </w:style>
  <w:style w:type="paragraph" w:styleId="BalloonText">
    <w:name w:val="Balloon Text"/>
    <w:basedOn w:val="Normal"/>
    <w:link w:val="BalloonTextChar"/>
    <w:uiPriority w:val="99"/>
    <w:semiHidden/>
    <w:unhideWhenUsed/>
    <w:rsid w:val="00E51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A72"/>
    <w:rPr>
      <w:rFonts w:ascii="Tahoma" w:hAnsi="Tahoma" w:cs="Tahoma"/>
      <w:sz w:val="16"/>
      <w:szCs w:val="16"/>
    </w:rPr>
  </w:style>
  <w:style w:type="table" w:styleId="TableGrid">
    <w:name w:val="Table Grid"/>
    <w:basedOn w:val="TableNormal"/>
    <w:rsid w:val="00E51A72"/>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FP GP Bulleted List,List Paragraph1,Recommendation,List Paragraph11,FooterText,numbered,Paragraphe de liste1,Bulletr List Paragraph,列出段落,列出段落1,List Paragraph2,List Paragraph21,Listeafsnit1,Parágrafo da Lista1,Párrafo de lista1,リスト段落1,L"/>
    <w:basedOn w:val="Normal"/>
    <w:link w:val="ListParagraphChar"/>
    <w:uiPriority w:val="34"/>
    <w:qFormat/>
    <w:rsid w:val="0085250F"/>
    <w:pPr>
      <w:spacing w:after="0" w:line="240" w:lineRule="auto"/>
      <w:ind w:left="720"/>
      <w:contextualSpacing/>
    </w:pPr>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19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8194C"/>
  </w:style>
  <w:style w:type="paragraph" w:styleId="Footer">
    <w:name w:val="footer"/>
    <w:basedOn w:val="Normal"/>
    <w:link w:val="FooterChar"/>
    <w:uiPriority w:val="99"/>
    <w:unhideWhenUsed/>
    <w:rsid w:val="007819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8194C"/>
  </w:style>
  <w:style w:type="paragraph" w:styleId="Index1">
    <w:name w:val="index 1"/>
    <w:basedOn w:val="Normal"/>
    <w:next w:val="Normal"/>
    <w:autoRedefine/>
    <w:uiPriority w:val="99"/>
    <w:semiHidden/>
    <w:unhideWhenUsed/>
    <w:rsid w:val="0078194C"/>
    <w:pPr>
      <w:ind w:left="220" w:hanging="220"/>
    </w:pPr>
  </w:style>
  <w:style w:type="paragraph" w:styleId="Index2">
    <w:name w:val="index 2"/>
    <w:basedOn w:val="Normal"/>
    <w:next w:val="Normal"/>
    <w:autoRedefine/>
    <w:uiPriority w:val="99"/>
    <w:semiHidden/>
    <w:unhideWhenUsed/>
    <w:rsid w:val="0078194C"/>
    <w:pPr>
      <w:ind w:left="440" w:hanging="220"/>
    </w:pPr>
  </w:style>
  <w:style w:type="paragraph" w:styleId="Index3">
    <w:name w:val="index 3"/>
    <w:basedOn w:val="Normal"/>
    <w:next w:val="Normal"/>
    <w:autoRedefine/>
    <w:uiPriority w:val="99"/>
    <w:semiHidden/>
    <w:unhideWhenUsed/>
    <w:rsid w:val="0078194C"/>
    <w:pPr>
      <w:ind w:left="660" w:hanging="220"/>
    </w:pPr>
  </w:style>
  <w:style w:type="paragraph" w:styleId="Index4">
    <w:name w:val="index 4"/>
    <w:basedOn w:val="Normal"/>
    <w:next w:val="Normal"/>
    <w:autoRedefine/>
    <w:uiPriority w:val="99"/>
    <w:semiHidden/>
    <w:unhideWhenUsed/>
    <w:rsid w:val="0078194C"/>
    <w:pPr>
      <w:ind w:left="880" w:hanging="220"/>
    </w:pPr>
  </w:style>
  <w:style w:type="paragraph" w:styleId="Index5">
    <w:name w:val="index 5"/>
    <w:basedOn w:val="Normal"/>
    <w:next w:val="Normal"/>
    <w:autoRedefine/>
    <w:uiPriority w:val="99"/>
    <w:semiHidden/>
    <w:unhideWhenUsed/>
    <w:rsid w:val="0078194C"/>
    <w:pPr>
      <w:ind w:left="1100" w:hanging="220"/>
    </w:pPr>
  </w:style>
  <w:style w:type="paragraph" w:styleId="Index6">
    <w:name w:val="index 6"/>
    <w:basedOn w:val="Normal"/>
    <w:next w:val="Normal"/>
    <w:autoRedefine/>
    <w:uiPriority w:val="99"/>
    <w:semiHidden/>
    <w:unhideWhenUsed/>
    <w:rsid w:val="0078194C"/>
    <w:pPr>
      <w:ind w:left="1320" w:hanging="220"/>
    </w:pPr>
  </w:style>
  <w:style w:type="paragraph" w:styleId="Index7">
    <w:name w:val="index 7"/>
    <w:basedOn w:val="Normal"/>
    <w:next w:val="Normal"/>
    <w:autoRedefine/>
    <w:uiPriority w:val="99"/>
    <w:semiHidden/>
    <w:unhideWhenUsed/>
    <w:rsid w:val="0078194C"/>
    <w:pPr>
      <w:ind w:left="1540" w:hanging="220"/>
    </w:pPr>
  </w:style>
  <w:style w:type="paragraph" w:styleId="Index8">
    <w:name w:val="index 8"/>
    <w:basedOn w:val="Normal"/>
    <w:next w:val="Normal"/>
    <w:autoRedefine/>
    <w:uiPriority w:val="99"/>
    <w:semiHidden/>
    <w:unhideWhenUsed/>
    <w:rsid w:val="0078194C"/>
    <w:pPr>
      <w:ind w:left="1760" w:hanging="220"/>
    </w:pPr>
  </w:style>
  <w:style w:type="paragraph" w:styleId="Index9">
    <w:name w:val="index 9"/>
    <w:basedOn w:val="Normal"/>
    <w:next w:val="Normal"/>
    <w:autoRedefine/>
    <w:uiPriority w:val="99"/>
    <w:semiHidden/>
    <w:unhideWhenUsed/>
    <w:rsid w:val="0078194C"/>
    <w:pPr>
      <w:ind w:left="1980" w:hanging="220"/>
    </w:pPr>
  </w:style>
  <w:style w:type="paragraph" w:styleId="IndexHeading">
    <w:name w:val="index heading"/>
    <w:basedOn w:val="Normal"/>
    <w:next w:val="Index1"/>
    <w:uiPriority w:val="99"/>
    <w:semiHidden/>
    <w:unhideWhenUsed/>
    <w:rsid w:val="0078194C"/>
  </w:style>
  <w:style w:type="character" w:styleId="CommentReference">
    <w:name w:val="annotation reference"/>
    <w:basedOn w:val="DefaultParagraphFont"/>
    <w:uiPriority w:val="99"/>
    <w:semiHidden/>
    <w:unhideWhenUsed/>
    <w:rsid w:val="00040204"/>
    <w:rPr>
      <w:sz w:val="16"/>
      <w:szCs w:val="16"/>
    </w:rPr>
  </w:style>
  <w:style w:type="paragraph" w:styleId="CommentText">
    <w:name w:val="annotation text"/>
    <w:basedOn w:val="Normal"/>
    <w:link w:val="CommentTextChar"/>
    <w:uiPriority w:val="99"/>
    <w:unhideWhenUsed/>
    <w:rsid w:val="00040204"/>
    <w:pPr>
      <w:spacing w:line="240" w:lineRule="auto"/>
    </w:pPr>
    <w:rPr>
      <w:sz w:val="20"/>
      <w:szCs w:val="20"/>
    </w:rPr>
  </w:style>
  <w:style w:type="character" w:customStyle="1" w:styleId="CommentTextChar">
    <w:name w:val="Comment Text Char"/>
    <w:basedOn w:val="DefaultParagraphFont"/>
    <w:link w:val="CommentText"/>
    <w:uiPriority w:val="99"/>
    <w:rsid w:val="00040204"/>
    <w:rPr>
      <w:sz w:val="20"/>
      <w:szCs w:val="20"/>
    </w:rPr>
  </w:style>
  <w:style w:type="paragraph" w:styleId="CommentSubject">
    <w:name w:val="annotation subject"/>
    <w:basedOn w:val="CommentText"/>
    <w:next w:val="CommentText"/>
    <w:link w:val="CommentSubjectChar"/>
    <w:uiPriority w:val="99"/>
    <w:semiHidden/>
    <w:unhideWhenUsed/>
    <w:rsid w:val="00040204"/>
    <w:rPr>
      <w:b/>
      <w:bCs/>
    </w:rPr>
  </w:style>
  <w:style w:type="character" w:customStyle="1" w:styleId="CommentSubjectChar">
    <w:name w:val="Comment Subject Char"/>
    <w:basedOn w:val="CommentTextChar"/>
    <w:link w:val="CommentSubject"/>
    <w:uiPriority w:val="99"/>
    <w:semiHidden/>
    <w:rsid w:val="00040204"/>
    <w:rPr>
      <w:b/>
      <w:bCs/>
      <w:sz w:val="20"/>
      <w:szCs w:val="20"/>
    </w:rPr>
  </w:style>
  <w:style w:type="character" w:styleId="Hyperlink">
    <w:name w:val="Hyperlink"/>
    <w:basedOn w:val="DefaultParagraphFont"/>
    <w:uiPriority w:val="99"/>
    <w:unhideWhenUsed/>
    <w:rsid w:val="00C16B55"/>
    <w:rPr>
      <w:color w:val="0000FF"/>
      <w:u w:val="single"/>
    </w:rPr>
  </w:style>
  <w:style w:type="paragraph" w:styleId="FootnoteText">
    <w:name w:val="footnote text"/>
    <w:basedOn w:val="Normal"/>
    <w:link w:val="FootnoteTextChar"/>
    <w:uiPriority w:val="99"/>
    <w:semiHidden/>
    <w:unhideWhenUsed/>
    <w:rsid w:val="00511A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AC2"/>
    <w:rPr>
      <w:sz w:val="20"/>
      <w:szCs w:val="20"/>
    </w:rPr>
  </w:style>
  <w:style w:type="character" w:styleId="FootnoteReference">
    <w:name w:val="footnote reference"/>
    <w:basedOn w:val="DefaultParagraphFont"/>
    <w:uiPriority w:val="99"/>
    <w:semiHidden/>
    <w:unhideWhenUsed/>
    <w:rsid w:val="00511AC2"/>
    <w:rPr>
      <w:vertAlign w:val="superscript"/>
    </w:rPr>
  </w:style>
  <w:style w:type="character" w:customStyle="1" w:styleId="ListParagraphChar">
    <w:name w:val="List Paragraph Char"/>
    <w:aliases w:val="NFP GP Bulleted List Char,List Paragraph1 Char,Recommendation Char,List Paragraph11 Char,FooterText Char,numbered Char,Paragraphe de liste1 Char,Bulletr List Paragraph Char,列出段落 Char,列出段落1 Char,List Paragraph2 Char,Listeafsnit1 Char"/>
    <w:basedOn w:val="DefaultParagraphFont"/>
    <w:link w:val="ListParagraph"/>
    <w:uiPriority w:val="34"/>
    <w:locked/>
    <w:rsid w:val="002C71EA"/>
    <w:rPr>
      <w:rFonts w:ascii="Times New Roman" w:eastAsia="Times New Roman" w:hAnsi="Times New Roman" w:cs="Times New Roman"/>
      <w:sz w:val="24"/>
      <w:szCs w:val="20"/>
      <w:lang w:eastAsia="en-AU"/>
    </w:rPr>
  </w:style>
  <w:style w:type="paragraph" w:customStyle="1" w:styleId="ParaAttribute13">
    <w:name w:val="ParaAttribute13"/>
    <w:rsid w:val="00C20A38"/>
    <w:pPr>
      <w:spacing w:after="240" w:line="240" w:lineRule="auto"/>
    </w:pPr>
    <w:rPr>
      <w:rFonts w:ascii="Times New Roman" w:eastAsia="Batang" w:hAnsi="Times New Roman" w:cs="Times New Roman"/>
      <w:sz w:val="20"/>
      <w:szCs w:val="20"/>
      <w:lang w:eastAsia="en-AU"/>
    </w:rPr>
  </w:style>
  <w:style w:type="character" w:customStyle="1" w:styleId="CharAttribute2">
    <w:name w:val="CharAttribute2"/>
    <w:rsid w:val="00C20A38"/>
    <w:rPr>
      <w:rFonts w:ascii="Calibri" w:eastAsia="Calibri"/>
      <w:sz w:val="22"/>
    </w:rPr>
  </w:style>
  <w:style w:type="character" w:customStyle="1" w:styleId="CharAttribute64">
    <w:name w:val="CharAttribute64"/>
    <w:rsid w:val="00C20A38"/>
    <w:rPr>
      <w:rFonts w:ascii="Calibri" w:eastAsia="Calibri"/>
      <w:sz w:val="22"/>
    </w:rPr>
  </w:style>
  <w:style w:type="character" w:customStyle="1" w:styleId="CharAttribute66">
    <w:name w:val="CharAttribute66"/>
    <w:rsid w:val="00C20A38"/>
    <w:rPr>
      <w:rFonts w:ascii="Calibri" w:eastAsia="Calibri"/>
      <w:sz w:val="22"/>
    </w:rPr>
  </w:style>
  <w:style w:type="character" w:customStyle="1" w:styleId="CharAttribute67">
    <w:name w:val="CharAttribute67"/>
    <w:rsid w:val="00C20A38"/>
    <w:rPr>
      <w:rFonts w:ascii="Calibri" w:eastAsia="Calibri"/>
      <w:sz w:val="22"/>
    </w:rPr>
  </w:style>
  <w:style w:type="character" w:customStyle="1" w:styleId="CharAttribute63">
    <w:name w:val="CharAttribute63"/>
    <w:rsid w:val="00C20A38"/>
    <w:rPr>
      <w:rFonts w:ascii="Calibri" w:eastAsia="Calibri"/>
      <w:sz w:val="22"/>
    </w:rPr>
  </w:style>
  <w:style w:type="character" w:customStyle="1" w:styleId="CharAttribute68">
    <w:name w:val="CharAttribute68"/>
    <w:rsid w:val="00C20A38"/>
    <w:rPr>
      <w:rFonts w:ascii="Calibri" w:eastAsia="Calibri"/>
      <w:sz w:val="22"/>
    </w:rPr>
  </w:style>
  <w:style w:type="character" w:customStyle="1" w:styleId="CharAttribute71">
    <w:name w:val="CharAttribute71"/>
    <w:rsid w:val="00C20A38"/>
    <w:rPr>
      <w:rFonts w:ascii="Calibri" w:eastAsia="Calibri"/>
      <w:sz w:val="22"/>
    </w:rPr>
  </w:style>
  <w:style w:type="character" w:customStyle="1" w:styleId="CharAttribute72">
    <w:name w:val="CharAttribute72"/>
    <w:rsid w:val="00C20A38"/>
    <w:rPr>
      <w:rFonts w:ascii="Calibri" w:eastAsia="Calibri"/>
      <w:sz w:val="22"/>
    </w:rPr>
  </w:style>
  <w:style w:type="character" w:customStyle="1" w:styleId="CharAttribute73">
    <w:name w:val="CharAttribute73"/>
    <w:rsid w:val="00C20A38"/>
    <w:rPr>
      <w:rFonts w:ascii="Calibri" w:eastAsia="Calibri"/>
      <w:sz w:val="22"/>
    </w:rPr>
  </w:style>
  <w:style w:type="character" w:customStyle="1" w:styleId="CharAttribute74">
    <w:name w:val="CharAttribute74"/>
    <w:rsid w:val="00C20A38"/>
    <w:rPr>
      <w:rFonts w:ascii="Calibri" w:eastAsia="Calibri"/>
      <w:sz w:val="22"/>
    </w:rPr>
  </w:style>
  <w:style w:type="character" w:customStyle="1" w:styleId="Heading1Char">
    <w:name w:val="Heading 1 Char"/>
    <w:basedOn w:val="DefaultParagraphFont"/>
    <w:link w:val="Heading1"/>
    <w:uiPriority w:val="9"/>
    <w:rsid w:val="00E301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01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3010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C13F39"/>
    <w:pPr>
      <w:outlineLvl w:val="9"/>
    </w:pPr>
    <w:rPr>
      <w:lang w:val="en-US" w:eastAsia="ja-JP"/>
    </w:rPr>
  </w:style>
  <w:style w:type="paragraph" w:styleId="TOC1">
    <w:name w:val="toc 1"/>
    <w:basedOn w:val="Normal"/>
    <w:next w:val="Normal"/>
    <w:autoRedefine/>
    <w:uiPriority w:val="39"/>
    <w:unhideWhenUsed/>
    <w:rsid w:val="00FA046E"/>
    <w:pPr>
      <w:tabs>
        <w:tab w:val="left" w:pos="440"/>
        <w:tab w:val="right" w:leader="dot" w:pos="9016"/>
      </w:tabs>
      <w:spacing w:after="100"/>
    </w:pPr>
  </w:style>
  <w:style w:type="paragraph" w:styleId="TOC2">
    <w:name w:val="toc 2"/>
    <w:basedOn w:val="Normal"/>
    <w:next w:val="Normal"/>
    <w:autoRedefine/>
    <w:uiPriority w:val="39"/>
    <w:unhideWhenUsed/>
    <w:rsid w:val="00C13F39"/>
    <w:pPr>
      <w:spacing w:after="100"/>
      <w:ind w:left="220"/>
    </w:pPr>
  </w:style>
  <w:style w:type="paragraph" w:styleId="TOC3">
    <w:name w:val="toc 3"/>
    <w:basedOn w:val="Normal"/>
    <w:next w:val="Normal"/>
    <w:autoRedefine/>
    <w:uiPriority w:val="39"/>
    <w:unhideWhenUsed/>
    <w:rsid w:val="00C13F39"/>
    <w:pPr>
      <w:spacing w:after="100"/>
      <w:ind w:left="440"/>
    </w:pPr>
  </w:style>
  <w:style w:type="character" w:customStyle="1" w:styleId="Heading4Char">
    <w:name w:val="Heading 4 Char"/>
    <w:basedOn w:val="DefaultParagraphFont"/>
    <w:link w:val="Heading4"/>
    <w:uiPriority w:val="9"/>
    <w:semiHidden/>
    <w:rsid w:val="00056363"/>
    <w:rPr>
      <w:rFonts w:asciiTheme="majorHAnsi" w:eastAsiaTheme="majorEastAsia" w:hAnsiTheme="majorHAnsi" w:cstheme="majorBidi"/>
      <w:b/>
      <w:bCs/>
      <w:i/>
      <w:iCs/>
      <w:color w:val="4F81BD" w:themeColor="accent1"/>
    </w:rPr>
  </w:style>
  <w:style w:type="paragraph" w:styleId="Revision">
    <w:name w:val="Revision"/>
    <w:hidden/>
    <w:uiPriority w:val="99"/>
    <w:semiHidden/>
    <w:rsid w:val="00BB10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1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01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010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63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NETParagraphAtt">
    <w:name w:val="CABNET Paragraph Att"/>
    <w:basedOn w:val="Normal"/>
    <w:link w:val="CABNETParagraphAttChar"/>
    <w:qFormat/>
    <w:rsid w:val="00E51A72"/>
    <w:pPr>
      <w:spacing w:before="120" w:after="120" w:line="240" w:lineRule="auto"/>
    </w:pPr>
    <w:rPr>
      <w:rFonts w:ascii="Verdana" w:eastAsia="Times New Roman" w:hAnsi="Verdana" w:cs="Times New Roman"/>
      <w:szCs w:val="24"/>
      <w:lang w:eastAsia="en-AU"/>
    </w:rPr>
  </w:style>
  <w:style w:type="character" w:customStyle="1" w:styleId="CABNETParagraphAttChar">
    <w:name w:val="CABNET Paragraph Att Char"/>
    <w:basedOn w:val="DefaultParagraphFont"/>
    <w:link w:val="CABNETParagraphAtt"/>
    <w:rsid w:val="00E51A72"/>
    <w:rPr>
      <w:rFonts w:ascii="Verdana" w:eastAsia="Times New Roman" w:hAnsi="Verdana" w:cs="Times New Roman"/>
      <w:szCs w:val="24"/>
      <w:lang w:eastAsia="en-AU"/>
    </w:rPr>
  </w:style>
  <w:style w:type="paragraph" w:styleId="BalloonText">
    <w:name w:val="Balloon Text"/>
    <w:basedOn w:val="Normal"/>
    <w:link w:val="BalloonTextChar"/>
    <w:uiPriority w:val="99"/>
    <w:semiHidden/>
    <w:unhideWhenUsed/>
    <w:rsid w:val="00E51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A72"/>
    <w:rPr>
      <w:rFonts w:ascii="Tahoma" w:hAnsi="Tahoma" w:cs="Tahoma"/>
      <w:sz w:val="16"/>
      <w:szCs w:val="16"/>
    </w:rPr>
  </w:style>
  <w:style w:type="table" w:styleId="TableGrid">
    <w:name w:val="Table Grid"/>
    <w:basedOn w:val="TableNormal"/>
    <w:rsid w:val="00E51A72"/>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FP GP Bulleted List,List Paragraph1,Recommendation,List Paragraph11,FooterText,numbered,Paragraphe de liste1,Bulletr List Paragraph,列出段落,列出段落1,List Paragraph2,List Paragraph21,Listeafsnit1,Parágrafo da Lista1,Párrafo de lista1,リスト段落1,L"/>
    <w:basedOn w:val="Normal"/>
    <w:link w:val="ListParagraphChar"/>
    <w:uiPriority w:val="34"/>
    <w:qFormat/>
    <w:rsid w:val="0085250F"/>
    <w:pPr>
      <w:spacing w:after="0" w:line="240" w:lineRule="auto"/>
      <w:ind w:left="720"/>
      <w:contextualSpacing/>
    </w:pPr>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19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8194C"/>
  </w:style>
  <w:style w:type="paragraph" w:styleId="Footer">
    <w:name w:val="footer"/>
    <w:basedOn w:val="Normal"/>
    <w:link w:val="FooterChar"/>
    <w:uiPriority w:val="99"/>
    <w:unhideWhenUsed/>
    <w:rsid w:val="007819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8194C"/>
  </w:style>
  <w:style w:type="paragraph" w:styleId="Index1">
    <w:name w:val="index 1"/>
    <w:basedOn w:val="Normal"/>
    <w:next w:val="Normal"/>
    <w:autoRedefine/>
    <w:uiPriority w:val="99"/>
    <w:semiHidden/>
    <w:unhideWhenUsed/>
    <w:rsid w:val="0078194C"/>
    <w:pPr>
      <w:ind w:left="220" w:hanging="220"/>
    </w:pPr>
  </w:style>
  <w:style w:type="paragraph" w:styleId="Index2">
    <w:name w:val="index 2"/>
    <w:basedOn w:val="Normal"/>
    <w:next w:val="Normal"/>
    <w:autoRedefine/>
    <w:uiPriority w:val="99"/>
    <w:semiHidden/>
    <w:unhideWhenUsed/>
    <w:rsid w:val="0078194C"/>
    <w:pPr>
      <w:ind w:left="440" w:hanging="220"/>
    </w:pPr>
  </w:style>
  <w:style w:type="paragraph" w:styleId="Index3">
    <w:name w:val="index 3"/>
    <w:basedOn w:val="Normal"/>
    <w:next w:val="Normal"/>
    <w:autoRedefine/>
    <w:uiPriority w:val="99"/>
    <w:semiHidden/>
    <w:unhideWhenUsed/>
    <w:rsid w:val="0078194C"/>
    <w:pPr>
      <w:ind w:left="660" w:hanging="220"/>
    </w:pPr>
  </w:style>
  <w:style w:type="paragraph" w:styleId="Index4">
    <w:name w:val="index 4"/>
    <w:basedOn w:val="Normal"/>
    <w:next w:val="Normal"/>
    <w:autoRedefine/>
    <w:uiPriority w:val="99"/>
    <w:semiHidden/>
    <w:unhideWhenUsed/>
    <w:rsid w:val="0078194C"/>
    <w:pPr>
      <w:ind w:left="880" w:hanging="220"/>
    </w:pPr>
  </w:style>
  <w:style w:type="paragraph" w:styleId="Index5">
    <w:name w:val="index 5"/>
    <w:basedOn w:val="Normal"/>
    <w:next w:val="Normal"/>
    <w:autoRedefine/>
    <w:uiPriority w:val="99"/>
    <w:semiHidden/>
    <w:unhideWhenUsed/>
    <w:rsid w:val="0078194C"/>
    <w:pPr>
      <w:ind w:left="1100" w:hanging="220"/>
    </w:pPr>
  </w:style>
  <w:style w:type="paragraph" w:styleId="Index6">
    <w:name w:val="index 6"/>
    <w:basedOn w:val="Normal"/>
    <w:next w:val="Normal"/>
    <w:autoRedefine/>
    <w:uiPriority w:val="99"/>
    <w:semiHidden/>
    <w:unhideWhenUsed/>
    <w:rsid w:val="0078194C"/>
    <w:pPr>
      <w:ind w:left="1320" w:hanging="220"/>
    </w:pPr>
  </w:style>
  <w:style w:type="paragraph" w:styleId="Index7">
    <w:name w:val="index 7"/>
    <w:basedOn w:val="Normal"/>
    <w:next w:val="Normal"/>
    <w:autoRedefine/>
    <w:uiPriority w:val="99"/>
    <w:semiHidden/>
    <w:unhideWhenUsed/>
    <w:rsid w:val="0078194C"/>
    <w:pPr>
      <w:ind w:left="1540" w:hanging="220"/>
    </w:pPr>
  </w:style>
  <w:style w:type="paragraph" w:styleId="Index8">
    <w:name w:val="index 8"/>
    <w:basedOn w:val="Normal"/>
    <w:next w:val="Normal"/>
    <w:autoRedefine/>
    <w:uiPriority w:val="99"/>
    <w:semiHidden/>
    <w:unhideWhenUsed/>
    <w:rsid w:val="0078194C"/>
    <w:pPr>
      <w:ind w:left="1760" w:hanging="220"/>
    </w:pPr>
  </w:style>
  <w:style w:type="paragraph" w:styleId="Index9">
    <w:name w:val="index 9"/>
    <w:basedOn w:val="Normal"/>
    <w:next w:val="Normal"/>
    <w:autoRedefine/>
    <w:uiPriority w:val="99"/>
    <w:semiHidden/>
    <w:unhideWhenUsed/>
    <w:rsid w:val="0078194C"/>
    <w:pPr>
      <w:ind w:left="1980" w:hanging="220"/>
    </w:pPr>
  </w:style>
  <w:style w:type="paragraph" w:styleId="IndexHeading">
    <w:name w:val="index heading"/>
    <w:basedOn w:val="Normal"/>
    <w:next w:val="Index1"/>
    <w:uiPriority w:val="99"/>
    <w:semiHidden/>
    <w:unhideWhenUsed/>
    <w:rsid w:val="0078194C"/>
  </w:style>
  <w:style w:type="character" w:styleId="CommentReference">
    <w:name w:val="annotation reference"/>
    <w:basedOn w:val="DefaultParagraphFont"/>
    <w:uiPriority w:val="99"/>
    <w:semiHidden/>
    <w:unhideWhenUsed/>
    <w:rsid w:val="00040204"/>
    <w:rPr>
      <w:sz w:val="16"/>
      <w:szCs w:val="16"/>
    </w:rPr>
  </w:style>
  <w:style w:type="paragraph" w:styleId="CommentText">
    <w:name w:val="annotation text"/>
    <w:basedOn w:val="Normal"/>
    <w:link w:val="CommentTextChar"/>
    <w:uiPriority w:val="99"/>
    <w:unhideWhenUsed/>
    <w:rsid w:val="00040204"/>
    <w:pPr>
      <w:spacing w:line="240" w:lineRule="auto"/>
    </w:pPr>
    <w:rPr>
      <w:sz w:val="20"/>
      <w:szCs w:val="20"/>
    </w:rPr>
  </w:style>
  <w:style w:type="character" w:customStyle="1" w:styleId="CommentTextChar">
    <w:name w:val="Comment Text Char"/>
    <w:basedOn w:val="DefaultParagraphFont"/>
    <w:link w:val="CommentText"/>
    <w:uiPriority w:val="99"/>
    <w:rsid w:val="00040204"/>
    <w:rPr>
      <w:sz w:val="20"/>
      <w:szCs w:val="20"/>
    </w:rPr>
  </w:style>
  <w:style w:type="paragraph" w:styleId="CommentSubject">
    <w:name w:val="annotation subject"/>
    <w:basedOn w:val="CommentText"/>
    <w:next w:val="CommentText"/>
    <w:link w:val="CommentSubjectChar"/>
    <w:uiPriority w:val="99"/>
    <w:semiHidden/>
    <w:unhideWhenUsed/>
    <w:rsid w:val="00040204"/>
    <w:rPr>
      <w:b/>
      <w:bCs/>
    </w:rPr>
  </w:style>
  <w:style w:type="character" w:customStyle="1" w:styleId="CommentSubjectChar">
    <w:name w:val="Comment Subject Char"/>
    <w:basedOn w:val="CommentTextChar"/>
    <w:link w:val="CommentSubject"/>
    <w:uiPriority w:val="99"/>
    <w:semiHidden/>
    <w:rsid w:val="00040204"/>
    <w:rPr>
      <w:b/>
      <w:bCs/>
      <w:sz w:val="20"/>
      <w:szCs w:val="20"/>
    </w:rPr>
  </w:style>
  <w:style w:type="character" w:styleId="Hyperlink">
    <w:name w:val="Hyperlink"/>
    <w:basedOn w:val="DefaultParagraphFont"/>
    <w:uiPriority w:val="99"/>
    <w:unhideWhenUsed/>
    <w:rsid w:val="00C16B55"/>
    <w:rPr>
      <w:color w:val="0000FF"/>
      <w:u w:val="single"/>
    </w:rPr>
  </w:style>
  <w:style w:type="paragraph" w:styleId="FootnoteText">
    <w:name w:val="footnote text"/>
    <w:basedOn w:val="Normal"/>
    <w:link w:val="FootnoteTextChar"/>
    <w:uiPriority w:val="99"/>
    <w:semiHidden/>
    <w:unhideWhenUsed/>
    <w:rsid w:val="00511A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AC2"/>
    <w:rPr>
      <w:sz w:val="20"/>
      <w:szCs w:val="20"/>
    </w:rPr>
  </w:style>
  <w:style w:type="character" w:styleId="FootnoteReference">
    <w:name w:val="footnote reference"/>
    <w:basedOn w:val="DefaultParagraphFont"/>
    <w:uiPriority w:val="99"/>
    <w:semiHidden/>
    <w:unhideWhenUsed/>
    <w:rsid w:val="00511AC2"/>
    <w:rPr>
      <w:vertAlign w:val="superscript"/>
    </w:rPr>
  </w:style>
  <w:style w:type="character" w:customStyle="1" w:styleId="ListParagraphChar">
    <w:name w:val="List Paragraph Char"/>
    <w:aliases w:val="NFP GP Bulleted List Char,List Paragraph1 Char,Recommendation Char,List Paragraph11 Char,FooterText Char,numbered Char,Paragraphe de liste1 Char,Bulletr List Paragraph Char,列出段落 Char,列出段落1 Char,List Paragraph2 Char,Listeafsnit1 Char"/>
    <w:basedOn w:val="DefaultParagraphFont"/>
    <w:link w:val="ListParagraph"/>
    <w:uiPriority w:val="34"/>
    <w:locked/>
    <w:rsid w:val="002C71EA"/>
    <w:rPr>
      <w:rFonts w:ascii="Times New Roman" w:eastAsia="Times New Roman" w:hAnsi="Times New Roman" w:cs="Times New Roman"/>
      <w:sz w:val="24"/>
      <w:szCs w:val="20"/>
      <w:lang w:eastAsia="en-AU"/>
    </w:rPr>
  </w:style>
  <w:style w:type="paragraph" w:customStyle="1" w:styleId="ParaAttribute13">
    <w:name w:val="ParaAttribute13"/>
    <w:rsid w:val="00C20A38"/>
    <w:pPr>
      <w:spacing w:after="240" w:line="240" w:lineRule="auto"/>
    </w:pPr>
    <w:rPr>
      <w:rFonts w:ascii="Times New Roman" w:eastAsia="Batang" w:hAnsi="Times New Roman" w:cs="Times New Roman"/>
      <w:sz w:val="20"/>
      <w:szCs w:val="20"/>
      <w:lang w:eastAsia="en-AU"/>
    </w:rPr>
  </w:style>
  <w:style w:type="character" w:customStyle="1" w:styleId="CharAttribute2">
    <w:name w:val="CharAttribute2"/>
    <w:rsid w:val="00C20A38"/>
    <w:rPr>
      <w:rFonts w:ascii="Calibri" w:eastAsia="Calibri"/>
      <w:sz w:val="22"/>
    </w:rPr>
  </w:style>
  <w:style w:type="character" w:customStyle="1" w:styleId="CharAttribute64">
    <w:name w:val="CharAttribute64"/>
    <w:rsid w:val="00C20A38"/>
    <w:rPr>
      <w:rFonts w:ascii="Calibri" w:eastAsia="Calibri"/>
      <w:sz w:val="22"/>
    </w:rPr>
  </w:style>
  <w:style w:type="character" w:customStyle="1" w:styleId="CharAttribute66">
    <w:name w:val="CharAttribute66"/>
    <w:rsid w:val="00C20A38"/>
    <w:rPr>
      <w:rFonts w:ascii="Calibri" w:eastAsia="Calibri"/>
      <w:sz w:val="22"/>
    </w:rPr>
  </w:style>
  <w:style w:type="character" w:customStyle="1" w:styleId="CharAttribute67">
    <w:name w:val="CharAttribute67"/>
    <w:rsid w:val="00C20A38"/>
    <w:rPr>
      <w:rFonts w:ascii="Calibri" w:eastAsia="Calibri"/>
      <w:sz w:val="22"/>
    </w:rPr>
  </w:style>
  <w:style w:type="character" w:customStyle="1" w:styleId="CharAttribute63">
    <w:name w:val="CharAttribute63"/>
    <w:rsid w:val="00C20A38"/>
    <w:rPr>
      <w:rFonts w:ascii="Calibri" w:eastAsia="Calibri"/>
      <w:sz w:val="22"/>
    </w:rPr>
  </w:style>
  <w:style w:type="character" w:customStyle="1" w:styleId="CharAttribute68">
    <w:name w:val="CharAttribute68"/>
    <w:rsid w:val="00C20A38"/>
    <w:rPr>
      <w:rFonts w:ascii="Calibri" w:eastAsia="Calibri"/>
      <w:sz w:val="22"/>
    </w:rPr>
  </w:style>
  <w:style w:type="character" w:customStyle="1" w:styleId="CharAttribute71">
    <w:name w:val="CharAttribute71"/>
    <w:rsid w:val="00C20A38"/>
    <w:rPr>
      <w:rFonts w:ascii="Calibri" w:eastAsia="Calibri"/>
      <w:sz w:val="22"/>
    </w:rPr>
  </w:style>
  <w:style w:type="character" w:customStyle="1" w:styleId="CharAttribute72">
    <w:name w:val="CharAttribute72"/>
    <w:rsid w:val="00C20A38"/>
    <w:rPr>
      <w:rFonts w:ascii="Calibri" w:eastAsia="Calibri"/>
      <w:sz w:val="22"/>
    </w:rPr>
  </w:style>
  <w:style w:type="character" w:customStyle="1" w:styleId="CharAttribute73">
    <w:name w:val="CharAttribute73"/>
    <w:rsid w:val="00C20A38"/>
    <w:rPr>
      <w:rFonts w:ascii="Calibri" w:eastAsia="Calibri"/>
      <w:sz w:val="22"/>
    </w:rPr>
  </w:style>
  <w:style w:type="character" w:customStyle="1" w:styleId="CharAttribute74">
    <w:name w:val="CharAttribute74"/>
    <w:rsid w:val="00C20A38"/>
    <w:rPr>
      <w:rFonts w:ascii="Calibri" w:eastAsia="Calibri"/>
      <w:sz w:val="22"/>
    </w:rPr>
  </w:style>
  <w:style w:type="character" w:customStyle="1" w:styleId="Heading1Char">
    <w:name w:val="Heading 1 Char"/>
    <w:basedOn w:val="DefaultParagraphFont"/>
    <w:link w:val="Heading1"/>
    <w:uiPriority w:val="9"/>
    <w:rsid w:val="00E301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01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3010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C13F39"/>
    <w:pPr>
      <w:outlineLvl w:val="9"/>
    </w:pPr>
    <w:rPr>
      <w:lang w:val="en-US" w:eastAsia="ja-JP"/>
    </w:rPr>
  </w:style>
  <w:style w:type="paragraph" w:styleId="TOC1">
    <w:name w:val="toc 1"/>
    <w:basedOn w:val="Normal"/>
    <w:next w:val="Normal"/>
    <w:autoRedefine/>
    <w:uiPriority w:val="39"/>
    <w:unhideWhenUsed/>
    <w:rsid w:val="00FA046E"/>
    <w:pPr>
      <w:tabs>
        <w:tab w:val="left" w:pos="440"/>
        <w:tab w:val="right" w:leader="dot" w:pos="9016"/>
      </w:tabs>
      <w:spacing w:after="100"/>
    </w:pPr>
  </w:style>
  <w:style w:type="paragraph" w:styleId="TOC2">
    <w:name w:val="toc 2"/>
    <w:basedOn w:val="Normal"/>
    <w:next w:val="Normal"/>
    <w:autoRedefine/>
    <w:uiPriority w:val="39"/>
    <w:unhideWhenUsed/>
    <w:rsid w:val="00C13F39"/>
    <w:pPr>
      <w:spacing w:after="100"/>
      <w:ind w:left="220"/>
    </w:pPr>
  </w:style>
  <w:style w:type="paragraph" w:styleId="TOC3">
    <w:name w:val="toc 3"/>
    <w:basedOn w:val="Normal"/>
    <w:next w:val="Normal"/>
    <w:autoRedefine/>
    <w:uiPriority w:val="39"/>
    <w:unhideWhenUsed/>
    <w:rsid w:val="00C13F39"/>
    <w:pPr>
      <w:spacing w:after="100"/>
      <w:ind w:left="440"/>
    </w:pPr>
  </w:style>
  <w:style w:type="character" w:customStyle="1" w:styleId="Heading4Char">
    <w:name w:val="Heading 4 Char"/>
    <w:basedOn w:val="DefaultParagraphFont"/>
    <w:link w:val="Heading4"/>
    <w:uiPriority w:val="9"/>
    <w:semiHidden/>
    <w:rsid w:val="00056363"/>
    <w:rPr>
      <w:rFonts w:asciiTheme="majorHAnsi" w:eastAsiaTheme="majorEastAsia" w:hAnsiTheme="majorHAnsi" w:cstheme="majorBidi"/>
      <w:b/>
      <w:bCs/>
      <w:i/>
      <w:iCs/>
      <w:color w:val="4F81BD" w:themeColor="accent1"/>
    </w:rPr>
  </w:style>
  <w:style w:type="paragraph" w:styleId="Revision">
    <w:name w:val="Revision"/>
    <w:hidden/>
    <w:uiPriority w:val="99"/>
    <w:semiHidden/>
    <w:rsid w:val="00BB10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091">
      <w:bodyDiv w:val="1"/>
      <w:marLeft w:val="0"/>
      <w:marRight w:val="0"/>
      <w:marTop w:val="0"/>
      <w:marBottom w:val="0"/>
      <w:divBdr>
        <w:top w:val="none" w:sz="0" w:space="0" w:color="auto"/>
        <w:left w:val="none" w:sz="0" w:space="0" w:color="auto"/>
        <w:bottom w:val="none" w:sz="0" w:space="0" w:color="auto"/>
        <w:right w:val="none" w:sz="0" w:space="0" w:color="auto"/>
      </w:divBdr>
    </w:div>
    <w:div w:id="109321424">
      <w:bodyDiv w:val="1"/>
      <w:marLeft w:val="0"/>
      <w:marRight w:val="0"/>
      <w:marTop w:val="0"/>
      <w:marBottom w:val="0"/>
      <w:divBdr>
        <w:top w:val="none" w:sz="0" w:space="0" w:color="auto"/>
        <w:left w:val="none" w:sz="0" w:space="0" w:color="auto"/>
        <w:bottom w:val="none" w:sz="0" w:space="0" w:color="auto"/>
        <w:right w:val="none" w:sz="0" w:space="0" w:color="auto"/>
      </w:divBdr>
    </w:div>
    <w:div w:id="271518031">
      <w:bodyDiv w:val="1"/>
      <w:marLeft w:val="0"/>
      <w:marRight w:val="0"/>
      <w:marTop w:val="0"/>
      <w:marBottom w:val="0"/>
      <w:divBdr>
        <w:top w:val="none" w:sz="0" w:space="0" w:color="auto"/>
        <w:left w:val="none" w:sz="0" w:space="0" w:color="auto"/>
        <w:bottom w:val="none" w:sz="0" w:space="0" w:color="auto"/>
        <w:right w:val="none" w:sz="0" w:space="0" w:color="auto"/>
      </w:divBdr>
    </w:div>
    <w:div w:id="303706247">
      <w:bodyDiv w:val="1"/>
      <w:marLeft w:val="0"/>
      <w:marRight w:val="0"/>
      <w:marTop w:val="0"/>
      <w:marBottom w:val="0"/>
      <w:divBdr>
        <w:top w:val="none" w:sz="0" w:space="0" w:color="auto"/>
        <w:left w:val="none" w:sz="0" w:space="0" w:color="auto"/>
        <w:bottom w:val="none" w:sz="0" w:space="0" w:color="auto"/>
        <w:right w:val="none" w:sz="0" w:space="0" w:color="auto"/>
      </w:divBdr>
    </w:div>
    <w:div w:id="367070031">
      <w:bodyDiv w:val="1"/>
      <w:marLeft w:val="0"/>
      <w:marRight w:val="0"/>
      <w:marTop w:val="0"/>
      <w:marBottom w:val="0"/>
      <w:divBdr>
        <w:top w:val="none" w:sz="0" w:space="0" w:color="auto"/>
        <w:left w:val="none" w:sz="0" w:space="0" w:color="auto"/>
        <w:bottom w:val="none" w:sz="0" w:space="0" w:color="auto"/>
        <w:right w:val="none" w:sz="0" w:space="0" w:color="auto"/>
      </w:divBdr>
    </w:div>
    <w:div w:id="432749497">
      <w:bodyDiv w:val="1"/>
      <w:marLeft w:val="0"/>
      <w:marRight w:val="0"/>
      <w:marTop w:val="0"/>
      <w:marBottom w:val="0"/>
      <w:divBdr>
        <w:top w:val="none" w:sz="0" w:space="0" w:color="auto"/>
        <w:left w:val="none" w:sz="0" w:space="0" w:color="auto"/>
        <w:bottom w:val="none" w:sz="0" w:space="0" w:color="auto"/>
        <w:right w:val="none" w:sz="0" w:space="0" w:color="auto"/>
      </w:divBdr>
    </w:div>
    <w:div w:id="432823213">
      <w:bodyDiv w:val="1"/>
      <w:marLeft w:val="0"/>
      <w:marRight w:val="0"/>
      <w:marTop w:val="0"/>
      <w:marBottom w:val="0"/>
      <w:divBdr>
        <w:top w:val="none" w:sz="0" w:space="0" w:color="auto"/>
        <w:left w:val="none" w:sz="0" w:space="0" w:color="auto"/>
        <w:bottom w:val="none" w:sz="0" w:space="0" w:color="auto"/>
        <w:right w:val="none" w:sz="0" w:space="0" w:color="auto"/>
      </w:divBdr>
    </w:div>
    <w:div w:id="486216423">
      <w:bodyDiv w:val="1"/>
      <w:marLeft w:val="0"/>
      <w:marRight w:val="0"/>
      <w:marTop w:val="0"/>
      <w:marBottom w:val="0"/>
      <w:divBdr>
        <w:top w:val="none" w:sz="0" w:space="0" w:color="auto"/>
        <w:left w:val="none" w:sz="0" w:space="0" w:color="auto"/>
        <w:bottom w:val="none" w:sz="0" w:space="0" w:color="auto"/>
        <w:right w:val="none" w:sz="0" w:space="0" w:color="auto"/>
      </w:divBdr>
    </w:div>
    <w:div w:id="771510512">
      <w:bodyDiv w:val="1"/>
      <w:marLeft w:val="0"/>
      <w:marRight w:val="0"/>
      <w:marTop w:val="0"/>
      <w:marBottom w:val="0"/>
      <w:divBdr>
        <w:top w:val="none" w:sz="0" w:space="0" w:color="auto"/>
        <w:left w:val="none" w:sz="0" w:space="0" w:color="auto"/>
        <w:bottom w:val="none" w:sz="0" w:space="0" w:color="auto"/>
        <w:right w:val="none" w:sz="0" w:space="0" w:color="auto"/>
      </w:divBdr>
    </w:div>
    <w:div w:id="926115932">
      <w:bodyDiv w:val="1"/>
      <w:marLeft w:val="0"/>
      <w:marRight w:val="0"/>
      <w:marTop w:val="0"/>
      <w:marBottom w:val="0"/>
      <w:divBdr>
        <w:top w:val="none" w:sz="0" w:space="0" w:color="auto"/>
        <w:left w:val="none" w:sz="0" w:space="0" w:color="auto"/>
        <w:bottom w:val="none" w:sz="0" w:space="0" w:color="auto"/>
        <w:right w:val="none" w:sz="0" w:space="0" w:color="auto"/>
      </w:divBdr>
    </w:div>
    <w:div w:id="1013187232">
      <w:bodyDiv w:val="1"/>
      <w:marLeft w:val="0"/>
      <w:marRight w:val="0"/>
      <w:marTop w:val="0"/>
      <w:marBottom w:val="0"/>
      <w:divBdr>
        <w:top w:val="none" w:sz="0" w:space="0" w:color="auto"/>
        <w:left w:val="none" w:sz="0" w:space="0" w:color="auto"/>
        <w:bottom w:val="none" w:sz="0" w:space="0" w:color="auto"/>
        <w:right w:val="none" w:sz="0" w:space="0" w:color="auto"/>
      </w:divBdr>
    </w:div>
    <w:div w:id="1301156170">
      <w:bodyDiv w:val="1"/>
      <w:marLeft w:val="0"/>
      <w:marRight w:val="0"/>
      <w:marTop w:val="0"/>
      <w:marBottom w:val="0"/>
      <w:divBdr>
        <w:top w:val="none" w:sz="0" w:space="0" w:color="auto"/>
        <w:left w:val="none" w:sz="0" w:space="0" w:color="auto"/>
        <w:bottom w:val="none" w:sz="0" w:space="0" w:color="auto"/>
        <w:right w:val="none" w:sz="0" w:space="0" w:color="auto"/>
      </w:divBdr>
    </w:div>
    <w:div w:id="1397046217">
      <w:bodyDiv w:val="1"/>
      <w:marLeft w:val="0"/>
      <w:marRight w:val="0"/>
      <w:marTop w:val="0"/>
      <w:marBottom w:val="0"/>
      <w:divBdr>
        <w:top w:val="none" w:sz="0" w:space="0" w:color="auto"/>
        <w:left w:val="none" w:sz="0" w:space="0" w:color="auto"/>
        <w:bottom w:val="none" w:sz="0" w:space="0" w:color="auto"/>
        <w:right w:val="none" w:sz="0" w:space="0" w:color="auto"/>
      </w:divBdr>
      <w:divsChild>
        <w:div w:id="141579976">
          <w:marLeft w:val="0"/>
          <w:marRight w:val="0"/>
          <w:marTop w:val="0"/>
          <w:marBottom w:val="0"/>
          <w:divBdr>
            <w:top w:val="none" w:sz="0" w:space="0" w:color="auto"/>
            <w:left w:val="none" w:sz="0" w:space="0" w:color="auto"/>
            <w:bottom w:val="none" w:sz="0" w:space="0" w:color="auto"/>
            <w:right w:val="none" w:sz="0" w:space="0" w:color="auto"/>
          </w:divBdr>
          <w:divsChild>
            <w:div w:id="1473668293">
              <w:marLeft w:val="0"/>
              <w:marRight w:val="0"/>
              <w:marTop w:val="0"/>
              <w:marBottom w:val="0"/>
              <w:divBdr>
                <w:top w:val="none" w:sz="0" w:space="0" w:color="auto"/>
                <w:left w:val="none" w:sz="0" w:space="0" w:color="auto"/>
                <w:bottom w:val="none" w:sz="0" w:space="0" w:color="auto"/>
                <w:right w:val="none" w:sz="0" w:space="0" w:color="auto"/>
              </w:divBdr>
              <w:divsChild>
                <w:div w:id="832070255">
                  <w:marLeft w:val="0"/>
                  <w:marRight w:val="0"/>
                  <w:marTop w:val="0"/>
                  <w:marBottom w:val="0"/>
                  <w:divBdr>
                    <w:top w:val="none" w:sz="0" w:space="0" w:color="auto"/>
                    <w:left w:val="none" w:sz="0" w:space="0" w:color="auto"/>
                    <w:bottom w:val="none" w:sz="0" w:space="0" w:color="auto"/>
                    <w:right w:val="none" w:sz="0" w:space="0" w:color="auto"/>
                  </w:divBdr>
                  <w:divsChild>
                    <w:div w:id="2027978368">
                      <w:marLeft w:val="2565"/>
                      <w:marRight w:val="0"/>
                      <w:marTop w:val="0"/>
                      <w:marBottom w:val="0"/>
                      <w:divBdr>
                        <w:top w:val="none" w:sz="0" w:space="0" w:color="auto"/>
                        <w:left w:val="none" w:sz="0" w:space="0" w:color="auto"/>
                        <w:bottom w:val="none" w:sz="0" w:space="0" w:color="auto"/>
                        <w:right w:val="none" w:sz="0" w:space="0" w:color="auto"/>
                      </w:divBdr>
                      <w:divsChild>
                        <w:div w:id="2122795336">
                          <w:marLeft w:val="0"/>
                          <w:marRight w:val="0"/>
                          <w:marTop w:val="0"/>
                          <w:marBottom w:val="0"/>
                          <w:divBdr>
                            <w:top w:val="none" w:sz="0" w:space="0" w:color="auto"/>
                            <w:left w:val="none" w:sz="0" w:space="0" w:color="auto"/>
                            <w:bottom w:val="none" w:sz="0" w:space="0" w:color="auto"/>
                            <w:right w:val="none" w:sz="0" w:space="0" w:color="auto"/>
                          </w:divBdr>
                          <w:divsChild>
                            <w:div w:id="97526636">
                              <w:marLeft w:val="0"/>
                              <w:marRight w:val="0"/>
                              <w:marTop w:val="0"/>
                              <w:marBottom w:val="0"/>
                              <w:divBdr>
                                <w:top w:val="none" w:sz="0" w:space="0" w:color="auto"/>
                                <w:left w:val="none" w:sz="0" w:space="0" w:color="auto"/>
                                <w:bottom w:val="none" w:sz="0" w:space="0" w:color="auto"/>
                                <w:right w:val="none" w:sz="0" w:space="0" w:color="auto"/>
                              </w:divBdr>
                              <w:divsChild>
                                <w:div w:id="968437947">
                                  <w:marLeft w:val="0"/>
                                  <w:marRight w:val="0"/>
                                  <w:marTop w:val="0"/>
                                  <w:marBottom w:val="0"/>
                                  <w:divBdr>
                                    <w:top w:val="none" w:sz="0" w:space="0" w:color="auto"/>
                                    <w:left w:val="none" w:sz="0" w:space="0" w:color="auto"/>
                                    <w:bottom w:val="none" w:sz="0" w:space="0" w:color="auto"/>
                                    <w:right w:val="none" w:sz="0" w:space="0" w:color="auto"/>
                                  </w:divBdr>
                                  <w:divsChild>
                                    <w:div w:id="1133714472">
                                      <w:marLeft w:val="0"/>
                                      <w:marRight w:val="0"/>
                                      <w:marTop w:val="0"/>
                                      <w:marBottom w:val="0"/>
                                      <w:divBdr>
                                        <w:top w:val="none" w:sz="0" w:space="0" w:color="auto"/>
                                        <w:left w:val="none" w:sz="0" w:space="0" w:color="auto"/>
                                        <w:bottom w:val="none" w:sz="0" w:space="0" w:color="auto"/>
                                        <w:right w:val="none" w:sz="0" w:space="0" w:color="auto"/>
                                      </w:divBdr>
                                      <w:divsChild>
                                        <w:div w:id="1266032787">
                                          <w:marLeft w:val="0"/>
                                          <w:marRight w:val="0"/>
                                          <w:marTop w:val="0"/>
                                          <w:marBottom w:val="0"/>
                                          <w:divBdr>
                                            <w:top w:val="none" w:sz="0" w:space="0" w:color="auto"/>
                                            <w:left w:val="none" w:sz="0" w:space="0" w:color="auto"/>
                                            <w:bottom w:val="none" w:sz="0" w:space="0" w:color="auto"/>
                                            <w:right w:val="none" w:sz="0" w:space="0" w:color="auto"/>
                                          </w:divBdr>
                                          <w:divsChild>
                                            <w:div w:id="1657487056">
                                              <w:marLeft w:val="0"/>
                                              <w:marRight w:val="0"/>
                                              <w:marTop w:val="0"/>
                                              <w:marBottom w:val="0"/>
                                              <w:divBdr>
                                                <w:top w:val="none" w:sz="0" w:space="0" w:color="auto"/>
                                                <w:left w:val="none" w:sz="0" w:space="0" w:color="auto"/>
                                                <w:bottom w:val="none" w:sz="0" w:space="0" w:color="auto"/>
                                                <w:right w:val="none" w:sz="0" w:space="0" w:color="auto"/>
                                              </w:divBdr>
                                              <w:divsChild>
                                                <w:div w:id="1132405034">
                                                  <w:marLeft w:val="0"/>
                                                  <w:marRight w:val="0"/>
                                                  <w:marTop w:val="0"/>
                                                  <w:marBottom w:val="0"/>
                                                  <w:divBdr>
                                                    <w:top w:val="none" w:sz="0" w:space="0" w:color="auto"/>
                                                    <w:left w:val="none" w:sz="0" w:space="0" w:color="auto"/>
                                                    <w:bottom w:val="none" w:sz="0" w:space="0" w:color="auto"/>
                                                    <w:right w:val="none" w:sz="0" w:space="0" w:color="auto"/>
                                                  </w:divBdr>
                                                  <w:divsChild>
                                                    <w:div w:id="920719099">
                                                      <w:marLeft w:val="0"/>
                                                      <w:marRight w:val="0"/>
                                                      <w:marTop w:val="0"/>
                                                      <w:marBottom w:val="0"/>
                                                      <w:divBdr>
                                                        <w:top w:val="none" w:sz="0" w:space="0" w:color="auto"/>
                                                        <w:left w:val="none" w:sz="0" w:space="0" w:color="auto"/>
                                                        <w:bottom w:val="none" w:sz="0" w:space="0" w:color="auto"/>
                                                        <w:right w:val="none" w:sz="0" w:space="0" w:color="auto"/>
                                                      </w:divBdr>
                                                      <w:divsChild>
                                                        <w:div w:id="72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164648">
      <w:bodyDiv w:val="1"/>
      <w:marLeft w:val="0"/>
      <w:marRight w:val="0"/>
      <w:marTop w:val="0"/>
      <w:marBottom w:val="0"/>
      <w:divBdr>
        <w:top w:val="none" w:sz="0" w:space="0" w:color="auto"/>
        <w:left w:val="none" w:sz="0" w:space="0" w:color="auto"/>
        <w:bottom w:val="none" w:sz="0" w:space="0" w:color="auto"/>
        <w:right w:val="none" w:sz="0" w:space="0" w:color="auto"/>
      </w:divBdr>
    </w:div>
    <w:div w:id="1447893080">
      <w:bodyDiv w:val="1"/>
      <w:marLeft w:val="0"/>
      <w:marRight w:val="0"/>
      <w:marTop w:val="0"/>
      <w:marBottom w:val="0"/>
      <w:divBdr>
        <w:top w:val="none" w:sz="0" w:space="0" w:color="auto"/>
        <w:left w:val="none" w:sz="0" w:space="0" w:color="auto"/>
        <w:bottom w:val="none" w:sz="0" w:space="0" w:color="auto"/>
        <w:right w:val="none" w:sz="0" w:space="0" w:color="auto"/>
      </w:divBdr>
    </w:div>
    <w:div w:id="15091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jobsboard.gov.au" TargetMode="Externa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jobsearch.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udge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8AF9-8C1A-4774-AC48-126E38B7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13845</Words>
  <Characters>75738</Characters>
  <Application>Microsoft Office Word</Application>
  <DocSecurity>0</DocSecurity>
  <Lines>1721</Lines>
  <Paragraphs>1079</Paragraphs>
  <ScaleCrop>false</ScaleCrop>
  <HeadingPairs>
    <vt:vector size="2" baseType="variant">
      <vt:variant>
        <vt:lpstr>Title</vt:lpstr>
      </vt:variant>
      <vt:variant>
        <vt:i4>1</vt:i4>
      </vt:variant>
    </vt:vector>
  </HeadingPairs>
  <TitlesOfParts>
    <vt:vector size="1" baseType="lpstr">
      <vt:lpstr>Submission DR60 - Department of Employment - Geographic Labour Mobility - Commissioned study</vt:lpstr>
    </vt:vector>
  </TitlesOfParts>
  <Company>Department of Employment</Company>
  <LinksUpToDate>false</LinksUpToDate>
  <CharactersWithSpaces>88504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DR60 - Department of Employment - Geographic Labour Mobility - Commissioned study</dc:title>
  <dc:creator>Department of Employment</dc:creator>
  <cp:lastModifiedBy>Productivity Commission</cp:lastModifiedBy>
  <cp:revision>2</cp:revision>
  <cp:lastPrinted>2014-04-02T00:42:00Z</cp:lastPrinted>
  <dcterms:created xsi:type="dcterms:W3CDTF">2014-04-02T03:53:00Z</dcterms:created>
  <dcterms:modified xsi:type="dcterms:W3CDTF">2014-04-02T03:53:00Z</dcterms:modified>
</cp:coreProperties>
</file>