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D21CD" w14:textId="77777777" w:rsidR="00EE6E07" w:rsidRDefault="00EE6E07" w:rsidP="00EE6E07">
      <w:pPr>
        <w:pStyle w:val="Title"/>
        <w:rPr>
          <w:sz w:val="44"/>
          <w:szCs w:val="44"/>
          <w:lang w:val="en-AU"/>
        </w:rPr>
      </w:pPr>
      <w:bookmarkStart w:id="0" w:name="_GoBack"/>
      <w:bookmarkEnd w:id="0"/>
    </w:p>
    <w:p w14:paraId="790676A8" w14:textId="77777777" w:rsidR="00EE6E07" w:rsidRDefault="00EE6E07" w:rsidP="00EE6E07">
      <w:pPr>
        <w:pStyle w:val="Title"/>
        <w:rPr>
          <w:sz w:val="44"/>
          <w:szCs w:val="44"/>
          <w:lang w:val="en-AU"/>
        </w:rPr>
      </w:pPr>
    </w:p>
    <w:p w14:paraId="08030C49" w14:textId="77777777" w:rsidR="00EE6E07" w:rsidRDefault="00EE6E07" w:rsidP="00EE6E07">
      <w:pPr>
        <w:pStyle w:val="Title"/>
        <w:rPr>
          <w:sz w:val="44"/>
          <w:szCs w:val="44"/>
          <w:lang w:val="en-AU"/>
        </w:rPr>
      </w:pPr>
    </w:p>
    <w:p w14:paraId="77FB0CBB" w14:textId="77777777" w:rsidR="00EE6E07" w:rsidRDefault="00EE6E07" w:rsidP="00EE6E07">
      <w:pPr>
        <w:pStyle w:val="Title"/>
        <w:rPr>
          <w:sz w:val="44"/>
          <w:szCs w:val="44"/>
          <w:lang w:val="en-AU"/>
        </w:rPr>
      </w:pPr>
    </w:p>
    <w:p w14:paraId="75245552" w14:textId="77777777" w:rsidR="00EE6E07" w:rsidRDefault="00EE6E07" w:rsidP="00EE6E07">
      <w:pPr>
        <w:pStyle w:val="Title"/>
        <w:rPr>
          <w:sz w:val="44"/>
          <w:szCs w:val="44"/>
          <w:lang w:val="en-AU"/>
        </w:rPr>
      </w:pPr>
    </w:p>
    <w:p w14:paraId="0DEA2081" w14:textId="77777777" w:rsidR="00EE6E07" w:rsidRDefault="00EE6E07" w:rsidP="00EE6E07">
      <w:pPr>
        <w:pStyle w:val="Title"/>
        <w:rPr>
          <w:sz w:val="44"/>
          <w:szCs w:val="44"/>
          <w:lang w:val="en-AU"/>
        </w:rPr>
      </w:pPr>
    </w:p>
    <w:p w14:paraId="69EDB620" w14:textId="77777777" w:rsidR="00EE6E07" w:rsidRDefault="00EE6E07" w:rsidP="00EE6E07">
      <w:pPr>
        <w:pStyle w:val="Title"/>
        <w:rPr>
          <w:sz w:val="44"/>
          <w:szCs w:val="44"/>
          <w:lang w:val="en-AU"/>
        </w:rPr>
      </w:pPr>
    </w:p>
    <w:p w14:paraId="5F70CB7B" w14:textId="342C9B94" w:rsidR="00EE6E07" w:rsidRDefault="00EE6E07" w:rsidP="00EE6E07">
      <w:pPr>
        <w:pStyle w:val="Title"/>
        <w:pBdr>
          <w:bottom w:val="none" w:sz="0" w:space="0" w:color="auto"/>
        </w:pBdr>
        <w:jc w:val="center"/>
        <w:rPr>
          <w:b/>
          <w:color w:val="00B050"/>
          <w:sz w:val="44"/>
          <w:szCs w:val="44"/>
          <w:lang w:val="en-AU"/>
        </w:rPr>
      </w:pPr>
      <w:r>
        <w:rPr>
          <w:b/>
          <w:color w:val="00B050"/>
          <w:sz w:val="44"/>
          <w:szCs w:val="44"/>
          <w:lang w:val="en-AU"/>
        </w:rPr>
        <w:t>Public Safety</w:t>
      </w:r>
      <w:r w:rsidRPr="00566A34">
        <w:rPr>
          <w:b/>
          <w:color w:val="00B050"/>
          <w:sz w:val="44"/>
          <w:szCs w:val="44"/>
          <w:lang w:val="en-AU"/>
        </w:rPr>
        <w:t xml:space="preserve"> </w:t>
      </w:r>
      <w:r>
        <w:rPr>
          <w:b/>
          <w:color w:val="00B050"/>
          <w:sz w:val="44"/>
          <w:szCs w:val="44"/>
          <w:lang w:val="en-AU"/>
        </w:rPr>
        <w:t>Mobile Broadband</w:t>
      </w:r>
    </w:p>
    <w:p w14:paraId="053B1011" w14:textId="77777777" w:rsidR="00EE6E07" w:rsidRPr="004A0CE4" w:rsidRDefault="00EE6E07" w:rsidP="00EE6E07"/>
    <w:p w14:paraId="45E4229C" w14:textId="58EC8AB8" w:rsidR="00EE6E07" w:rsidRPr="00566A34" w:rsidRDefault="00EE6E07" w:rsidP="00EE6E07">
      <w:pPr>
        <w:pStyle w:val="Title"/>
        <w:jc w:val="center"/>
        <w:rPr>
          <w:b/>
          <w:color w:val="00B050"/>
          <w:sz w:val="44"/>
          <w:szCs w:val="44"/>
          <w:lang w:val="en-AU"/>
        </w:rPr>
      </w:pPr>
      <w:r>
        <w:rPr>
          <w:b/>
          <w:color w:val="00B050"/>
          <w:sz w:val="44"/>
          <w:szCs w:val="44"/>
          <w:lang w:val="en-AU"/>
        </w:rPr>
        <w:t>Productivity Commission</w:t>
      </w:r>
    </w:p>
    <w:p w14:paraId="5C108A9E" w14:textId="77777777" w:rsidR="00EE6E07" w:rsidRDefault="00EE6E07" w:rsidP="00EE6E07">
      <w:pPr>
        <w:pStyle w:val="Heading1"/>
        <w:jc w:val="center"/>
        <w:rPr>
          <w:color w:val="00B050"/>
        </w:rPr>
      </w:pPr>
      <w:r>
        <w:rPr>
          <w:color w:val="00B050"/>
        </w:rPr>
        <w:t>Submission from</w:t>
      </w:r>
    </w:p>
    <w:p w14:paraId="01A2C856" w14:textId="77777777" w:rsidR="00EE6E07" w:rsidRDefault="00EE6E07" w:rsidP="00EE6E07">
      <w:pPr>
        <w:pStyle w:val="Heading1"/>
        <w:jc w:val="center"/>
        <w:rPr>
          <w:color w:val="00B050"/>
        </w:rPr>
      </w:pPr>
      <w:r>
        <w:rPr>
          <w:color w:val="00B050"/>
        </w:rPr>
        <w:t>The Council of Ambulance Authorities</w:t>
      </w:r>
    </w:p>
    <w:p w14:paraId="5CEC4529" w14:textId="77777777" w:rsidR="00EE6E07" w:rsidRDefault="00EE6E07" w:rsidP="00EE6E07">
      <w:pPr>
        <w:jc w:val="center"/>
        <w:rPr>
          <w:color w:val="00B050"/>
        </w:rPr>
      </w:pPr>
    </w:p>
    <w:p w14:paraId="6F261F64" w14:textId="5DF9F928" w:rsidR="00EE6E07" w:rsidRDefault="00EE6E07" w:rsidP="00EE6E07">
      <w:pPr>
        <w:pStyle w:val="Heading1"/>
        <w:jc w:val="center"/>
        <w:rPr>
          <w:color w:val="00B050"/>
        </w:rPr>
      </w:pPr>
      <w:r>
        <w:rPr>
          <w:color w:val="00B050"/>
        </w:rPr>
        <w:t>October 2015</w:t>
      </w:r>
    </w:p>
    <w:p w14:paraId="248F4168" w14:textId="77777777" w:rsidR="00EE6E07" w:rsidRDefault="00EE6E07" w:rsidP="00EE6E07">
      <w:pPr>
        <w:rPr>
          <w:color w:val="00B050"/>
        </w:rPr>
      </w:pPr>
    </w:p>
    <w:p w14:paraId="26CCF2D9" w14:textId="77777777" w:rsidR="00EE6E07" w:rsidRDefault="00EE6E07" w:rsidP="00EE6E07"/>
    <w:p w14:paraId="1F8D2DED" w14:textId="77777777" w:rsidR="00EE6E07" w:rsidRDefault="00EE6E07" w:rsidP="00EE6E07">
      <w:pPr>
        <w:jc w:val="center"/>
        <w:rPr>
          <w:rFonts w:eastAsia="Calibri" w:cstheme="minorHAnsi"/>
          <w:b/>
          <w:color w:val="000000" w:themeColor="text1"/>
          <w:sz w:val="28"/>
          <w:szCs w:val="28"/>
        </w:rPr>
      </w:pPr>
      <w:r w:rsidRPr="00C52303">
        <w:rPr>
          <w:rFonts w:cstheme="minorHAnsi"/>
          <w:b/>
          <w:noProof/>
          <w:color w:val="000000" w:themeColor="text1"/>
          <w:sz w:val="28"/>
          <w:szCs w:val="28"/>
        </w:rPr>
        <w:drawing>
          <wp:inline distT="0" distB="0" distL="0" distR="0" wp14:anchorId="44338F99" wp14:editId="0918BCF9">
            <wp:extent cx="2486488" cy="1973580"/>
            <wp:effectExtent l="0" t="0" r="952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621" cy="1984004"/>
                    </a:xfrm>
                    <a:prstGeom prst="rect">
                      <a:avLst/>
                    </a:prstGeom>
                    <a:noFill/>
                    <a:ln>
                      <a:noFill/>
                    </a:ln>
                  </pic:spPr>
                </pic:pic>
              </a:graphicData>
            </a:graphic>
          </wp:inline>
        </w:drawing>
      </w:r>
      <w:r>
        <w:rPr>
          <w:rFonts w:cstheme="minorHAnsi"/>
          <w:b/>
          <w:color w:val="000000" w:themeColor="text1"/>
          <w:sz w:val="28"/>
          <w:szCs w:val="28"/>
        </w:rPr>
        <w:br w:type="page"/>
      </w:r>
    </w:p>
    <w:p w14:paraId="06278E54" w14:textId="77777777" w:rsidR="00EE6E07" w:rsidRPr="00EE6E07" w:rsidRDefault="00EE6E07" w:rsidP="00EE6E07">
      <w:pPr>
        <w:pStyle w:val="NoSpacing"/>
        <w:rPr>
          <w:rFonts w:asciiTheme="minorHAnsi" w:hAnsiTheme="minorHAnsi" w:cstheme="minorHAnsi"/>
          <w:b/>
          <w:color w:val="000000" w:themeColor="text1"/>
          <w:sz w:val="36"/>
          <w:szCs w:val="28"/>
          <w:lang w:val="en-AU"/>
        </w:rPr>
      </w:pPr>
      <w:r w:rsidRPr="00EE6E07">
        <w:rPr>
          <w:rFonts w:asciiTheme="minorHAnsi" w:hAnsiTheme="minorHAnsi" w:cstheme="minorHAnsi"/>
          <w:b/>
          <w:color w:val="000000" w:themeColor="text1"/>
          <w:sz w:val="36"/>
          <w:szCs w:val="28"/>
          <w:lang w:val="en-AU"/>
        </w:rPr>
        <w:lastRenderedPageBreak/>
        <w:t xml:space="preserve">The Council of Ambulance Authorities </w:t>
      </w:r>
    </w:p>
    <w:p w14:paraId="368BECF4" w14:textId="77777777" w:rsidR="00EE6E07" w:rsidRPr="00EE6E07" w:rsidRDefault="00EE6E07" w:rsidP="00EE6E07">
      <w:pPr>
        <w:pStyle w:val="NoSpacing"/>
        <w:rPr>
          <w:rFonts w:asciiTheme="minorHAnsi" w:hAnsiTheme="minorHAnsi" w:cstheme="minorHAnsi"/>
          <w:b/>
          <w:i/>
          <w:color w:val="000000" w:themeColor="text1"/>
          <w:sz w:val="28"/>
          <w:lang w:val="en-AU"/>
        </w:rPr>
      </w:pPr>
      <w:r w:rsidRPr="00EE6E07">
        <w:rPr>
          <w:rFonts w:asciiTheme="minorHAnsi" w:hAnsiTheme="minorHAnsi" w:cstheme="minorHAnsi"/>
          <w:b/>
          <w:i/>
          <w:color w:val="000000" w:themeColor="text1"/>
          <w:sz w:val="28"/>
          <w:lang w:val="en-AU"/>
        </w:rPr>
        <w:t>Providing leadership for the provision of ambulance services</w:t>
      </w:r>
    </w:p>
    <w:p w14:paraId="310E2E93" w14:textId="77777777" w:rsidR="00EE6E07" w:rsidRPr="00EE6E07" w:rsidRDefault="00EE6E07" w:rsidP="00EE6E07">
      <w:pPr>
        <w:pStyle w:val="NoSpacing"/>
        <w:jc w:val="both"/>
        <w:rPr>
          <w:rFonts w:ascii="Arial" w:hAnsi="Arial" w:cs="Arial"/>
          <w:color w:val="000000" w:themeColor="text1"/>
          <w:sz w:val="28"/>
          <w:lang w:val="en-AU"/>
        </w:rPr>
      </w:pPr>
    </w:p>
    <w:p w14:paraId="081D8064" w14:textId="3684C448" w:rsidR="00EE6E07" w:rsidRPr="00EE6E07" w:rsidRDefault="00EE6E07" w:rsidP="00EE6E07">
      <w:pPr>
        <w:jc w:val="both"/>
        <w:rPr>
          <w:sz w:val="24"/>
        </w:rPr>
      </w:pPr>
      <w:r w:rsidRPr="00EE6E07">
        <w:rPr>
          <w:sz w:val="24"/>
        </w:rPr>
        <w:t>The Council of Ambulance Authorities (</w:t>
      </w:r>
      <w:proofErr w:type="spellStart"/>
      <w:r w:rsidRPr="00EE6E07">
        <w:rPr>
          <w:sz w:val="24"/>
        </w:rPr>
        <w:t>CAA</w:t>
      </w:r>
      <w:proofErr w:type="spellEnd"/>
      <w:r w:rsidRPr="00EE6E07">
        <w:rPr>
          <w:sz w:val="24"/>
        </w:rPr>
        <w:t xml:space="preserve">) is the peak body established by its members to collaborate on ambulance matters of national, regional and international importance. The </w:t>
      </w:r>
      <w:proofErr w:type="spellStart"/>
      <w:r w:rsidRPr="00EE6E07">
        <w:rPr>
          <w:sz w:val="24"/>
        </w:rPr>
        <w:t>CAA’s</w:t>
      </w:r>
      <w:proofErr w:type="spellEnd"/>
      <w:r w:rsidRPr="00EE6E07">
        <w:rPr>
          <w:sz w:val="24"/>
        </w:rPr>
        <w:t xml:space="preserve"> members comprise the ten public ambulance services of Australia and New Zealand. These are listed below.</w:t>
      </w:r>
    </w:p>
    <w:p w14:paraId="1E6AD3A7" w14:textId="77777777" w:rsidR="00EE6E07" w:rsidRPr="00EE6E07" w:rsidRDefault="00EE6E07" w:rsidP="00EE6E07">
      <w:pPr>
        <w:jc w:val="both"/>
        <w:rPr>
          <w:sz w:val="24"/>
        </w:rPr>
      </w:pPr>
    </w:p>
    <w:p w14:paraId="6ED33EA3" w14:textId="03467647" w:rsidR="00EE6E07" w:rsidRPr="00EE6E07" w:rsidRDefault="00EE6E07" w:rsidP="00EE6E07">
      <w:pPr>
        <w:jc w:val="both"/>
        <w:rPr>
          <w:sz w:val="24"/>
        </w:rPr>
      </w:pPr>
      <w:r w:rsidRPr="00EE6E07">
        <w:rPr>
          <w:sz w:val="24"/>
        </w:rPr>
        <w:t xml:space="preserve">The </w:t>
      </w:r>
      <w:proofErr w:type="spellStart"/>
      <w:r w:rsidRPr="00EE6E07">
        <w:rPr>
          <w:sz w:val="24"/>
        </w:rPr>
        <w:t>CAA</w:t>
      </w:r>
      <w:proofErr w:type="spellEnd"/>
      <w:r w:rsidRPr="00EE6E07">
        <w:rPr>
          <w:sz w:val="24"/>
        </w:rPr>
        <w:t xml:space="preserve"> is governed by a Board, consisting of the Chief Executives of each member service, and supported by a Secretariat, headed by the </w:t>
      </w:r>
      <w:proofErr w:type="spellStart"/>
      <w:r w:rsidRPr="00EE6E07">
        <w:rPr>
          <w:sz w:val="24"/>
        </w:rPr>
        <w:t>CAA</w:t>
      </w:r>
      <w:proofErr w:type="spellEnd"/>
      <w:r w:rsidRPr="00EE6E07">
        <w:rPr>
          <w:sz w:val="24"/>
        </w:rPr>
        <w:t xml:space="preserve"> Chief Executive Officer.  The collective knowledge and expertise of </w:t>
      </w:r>
      <w:proofErr w:type="spellStart"/>
      <w:r w:rsidRPr="00EE6E07">
        <w:rPr>
          <w:sz w:val="24"/>
        </w:rPr>
        <w:t>CAA’s</w:t>
      </w:r>
      <w:proofErr w:type="spellEnd"/>
      <w:r w:rsidRPr="00EE6E07">
        <w:rPr>
          <w:sz w:val="24"/>
        </w:rPr>
        <w:t xml:space="preserve"> members combines to provide advice; explore opportunities for continuous improvement and innovation; and advocate on behalf of the sector to governments and key stakeholders.  </w:t>
      </w:r>
    </w:p>
    <w:p w14:paraId="413435A5" w14:textId="77777777" w:rsidR="00EE6E07" w:rsidRPr="00EE6E07" w:rsidRDefault="00EE6E07" w:rsidP="00EE6E07">
      <w:pPr>
        <w:jc w:val="both"/>
        <w:rPr>
          <w:sz w:val="24"/>
        </w:rPr>
      </w:pPr>
    </w:p>
    <w:p w14:paraId="3916E9E7" w14:textId="0AFAC919" w:rsidR="00EE6E07" w:rsidRPr="00EE6E07" w:rsidRDefault="00EE6E07" w:rsidP="00EE6E07">
      <w:pPr>
        <w:jc w:val="both"/>
        <w:rPr>
          <w:sz w:val="24"/>
        </w:rPr>
      </w:pPr>
      <w:r w:rsidRPr="00EE6E07">
        <w:rPr>
          <w:sz w:val="24"/>
        </w:rPr>
        <w:t xml:space="preserve">The </w:t>
      </w:r>
      <w:proofErr w:type="spellStart"/>
      <w:r w:rsidRPr="00EE6E07">
        <w:rPr>
          <w:sz w:val="24"/>
        </w:rPr>
        <w:t>CAA</w:t>
      </w:r>
      <w:proofErr w:type="spellEnd"/>
      <w:r w:rsidRPr="00EE6E07">
        <w:rPr>
          <w:sz w:val="24"/>
        </w:rPr>
        <w:t xml:space="preserve"> exists to help advance ambulance services so that they are able to further develop superior pre-hospital care and ambulance services to communities across Australasia.  </w:t>
      </w:r>
    </w:p>
    <w:p w14:paraId="52017981" w14:textId="77777777" w:rsidR="00EE6E07" w:rsidRPr="00EE6E07" w:rsidRDefault="00EE6E07" w:rsidP="00EE6E07">
      <w:pPr>
        <w:jc w:val="both"/>
        <w:rPr>
          <w:sz w:val="24"/>
        </w:rPr>
      </w:pPr>
    </w:p>
    <w:p w14:paraId="3F1811F8" w14:textId="59D85E4E" w:rsidR="00EE6E07" w:rsidRPr="00EE6E07" w:rsidRDefault="00EE6E07" w:rsidP="00EE6E07">
      <w:pPr>
        <w:jc w:val="both"/>
        <w:rPr>
          <w:rFonts w:cstheme="minorHAnsi"/>
          <w:sz w:val="24"/>
        </w:rPr>
      </w:pPr>
      <w:proofErr w:type="spellStart"/>
      <w:r w:rsidRPr="00EE6E07">
        <w:rPr>
          <w:rFonts w:cstheme="minorHAnsi"/>
          <w:sz w:val="24"/>
        </w:rPr>
        <w:t>CAA</w:t>
      </w:r>
      <w:proofErr w:type="spellEnd"/>
      <w:r w:rsidRPr="00EE6E07">
        <w:rPr>
          <w:rFonts w:cstheme="minorHAnsi"/>
          <w:sz w:val="24"/>
        </w:rPr>
        <w:t xml:space="preserve"> supports the concept of national registration of paramedics under the Australian Health Practitioner Registration Authority (</w:t>
      </w:r>
      <w:proofErr w:type="spellStart"/>
      <w:r w:rsidRPr="00EE6E07">
        <w:rPr>
          <w:rFonts w:cstheme="minorHAnsi"/>
          <w:sz w:val="24"/>
        </w:rPr>
        <w:t>AHPRA</w:t>
      </w:r>
      <w:proofErr w:type="spellEnd"/>
      <w:r w:rsidRPr="00EE6E07">
        <w:rPr>
          <w:rFonts w:cstheme="minorHAnsi"/>
          <w:sz w:val="24"/>
        </w:rPr>
        <w:t xml:space="preserve">) arrangements. </w:t>
      </w:r>
    </w:p>
    <w:p w14:paraId="5CA6A9F4" w14:textId="77777777" w:rsidR="00EE6E07" w:rsidRPr="00EE6E07" w:rsidRDefault="00EE6E07" w:rsidP="00EE6E07">
      <w:pPr>
        <w:jc w:val="both"/>
        <w:rPr>
          <w:rFonts w:cstheme="minorHAnsi"/>
          <w:sz w:val="24"/>
        </w:rPr>
      </w:pPr>
    </w:p>
    <w:p w14:paraId="197622C6" w14:textId="00D2EAC2" w:rsidR="00EE6E07" w:rsidRPr="00EE6E07" w:rsidRDefault="00EE6E07" w:rsidP="00EE6E07">
      <w:pPr>
        <w:ind w:left="2160" w:right="-327" w:hanging="2160"/>
        <w:rPr>
          <w:rFonts w:cstheme="minorHAnsi"/>
          <w:sz w:val="24"/>
        </w:rPr>
      </w:pPr>
      <w:r w:rsidRPr="00EE6E07">
        <w:rPr>
          <w:rFonts w:eastAsia="Calibri" w:cstheme="minorHAnsi"/>
          <w:b/>
          <w:color w:val="000000" w:themeColor="text1"/>
          <w:sz w:val="32"/>
          <w:szCs w:val="24"/>
        </w:rPr>
        <w:t xml:space="preserve">Members of the </w:t>
      </w:r>
      <w:proofErr w:type="spellStart"/>
      <w:r w:rsidRPr="00EE6E07">
        <w:rPr>
          <w:rFonts w:eastAsia="Calibri" w:cstheme="minorHAnsi"/>
          <w:b/>
          <w:color w:val="000000" w:themeColor="text1"/>
          <w:sz w:val="32"/>
          <w:szCs w:val="24"/>
        </w:rPr>
        <w:t>CAA</w:t>
      </w:r>
      <w:proofErr w:type="spellEnd"/>
      <w:r w:rsidRPr="00EE6E07">
        <w:rPr>
          <w:rFonts w:eastAsia="Calibri" w:cstheme="minorHAnsi"/>
          <w:b/>
          <w:color w:val="000000" w:themeColor="text1"/>
          <w:sz w:val="32"/>
          <w:szCs w:val="24"/>
        </w:rPr>
        <w:t>:</w:t>
      </w:r>
      <w:r w:rsidRPr="00EE6E07">
        <w:rPr>
          <w:rFonts w:cstheme="minorHAnsi"/>
          <w:sz w:val="24"/>
        </w:rPr>
        <w:tab/>
        <w:t>Ambulance Service of New South Wales</w:t>
      </w:r>
    </w:p>
    <w:p w14:paraId="6420CAF0" w14:textId="77777777" w:rsidR="00EE6E07" w:rsidRPr="00EE6E07" w:rsidRDefault="00EE6E07" w:rsidP="00EE6E07">
      <w:pPr>
        <w:ind w:left="2160" w:right="-327" w:firstLine="720"/>
        <w:rPr>
          <w:rFonts w:cstheme="minorHAnsi"/>
          <w:sz w:val="24"/>
        </w:rPr>
      </w:pPr>
      <w:r w:rsidRPr="00EE6E07">
        <w:rPr>
          <w:rFonts w:cstheme="minorHAnsi"/>
          <w:sz w:val="24"/>
        </w:rPr>
        <w:t>Ambulance Tasmania</w:t>
      </w:r>
    </w:p>
    <w:p w14:paraId="59163E31" w14:textId="77777777" w:rsidR="00EE6E07" w:rsidRPr="00EE6E07" w:rsidRDefault="00EE6E07" w:rsidP="00EE6E07">
      <w:pPr>
        <w:ind w:left="2160" w:right="-327" w:firstLine="720"/>
        <w:rPr>
          <w:rFonts w:cstheme="minorHAnsi"/>
          <w:sz w:val="24"/>
        </w:rPr>
      </w:pPr>
      <w:r w:rsidRPr="00EE6E07">
        <w:rPr>
          <w:rFonts w:cstheme="minorHAnsi"/>
          <w:sz w:val="24"/>
        </w:rPr>
        <w:t xml:space="preserve">Ambulance </w:t>
      </w:r>
      <w:smartTag w:uri="urn:schemas-microsoft-com:office:smarttags" w:element="place">
        <w:smartTag w:uri="urn:schemas-microsoft-com:office:smarttags" w:element="State">
          <w:r w:rsidRPr="00EE6E07">
            <w:rPr>
              <w:rFonts w:cstheme="minorHAnsi"/>
              <w:sz w:val="24"/>
            </w:rPr>
            <w:t>Victoria</w:t>
          </w:r>
        </w:smartTag>
      </w:smartTag>
    </w:p>
    <w:p w14:paraId="455CB1F2" w14:textId="77777777" w:rsidR="00EE6E07" w:rsidRPr="00EE6E07" w:rsidRDefault="00EE6E07" w:rsidP="00EE6E07">
      <w:pPr>
        <w:ind w:left="2160" w:right="-327" w:firstLine="720"/>
        <w:rPr>
          <w:rFonts w:cstheme="minorHAnsi"/>
          <w:sz w:val="24"/>
        </w:rPr>
      </w:pPr>
      <w:r w:rsidRPr="00EE6E07">
        <w:rPr>
          <w:rFonts w:cstheme="minorHAnsi"/>
          <w:sz w:val="24"/>
        </w:rPr>
        <w:t>Australian Capital Territory Ambulance Service</w:t>
      </w:r>
    </w:p>
    <w:p w14:paraId="10236A15" w14:textId="77777777" w:rsidR="00EE6E07" w:rsidRPr="00EE6E07" w:rsidRDefault="00EE6E07" w:rsidP="00EE6E07">
      <w:pPr>
        <w:ind w:left="2160" w:right="-327" w:firstLine="720"/>
        <w:rPr>
          <w:rFonts w:cstheme="minorHAnsi"/>
          <w:sz w:val="24"/>
        </w:rPr>
      </w:pPr>
      <w:r w:rsidRPr="00EE6E07">
        <w:rPr>
          <w:rFonts w:cstheme="minorHAnsi"/>
          <w:sz w:val="24"/>
        </w:rPr>
        <w:t>Queensland Ambulance Service</w:t>
      </w:r>
    </w:p>
    <w:p w14:paraId="39A960F3" w14:textId="77777777" w:rsidR="00EE6E07" w:rsidRPr="00EE6E07" w:rsidRDefault="00EE6E07" w:rsidP="00EE6E07">
      <w:pPr>
        <w:ind w:left="2160" w:right="-327" w:firstLine="720"/>
        <w:rPr>
          <w:rFonts w:cstheme="minorHAnsi"/>
          <w:sz w:val="24"/>
        </w:rPr>
      </w:pPr>
      <w:r w:rsidRPr="00EE6E07">
        <w:rPr>
          <w:rFonts w:cstheme="minorHAnsi"/>
          <w:sz w:val="24"/>
        </w:rPr>
        <w:t>SA Ambulance Service</w:t>
      </w:r>
    </w:p>
    <w:p w14:paraId="31F92265" w14:textId="77777777" w:rsidR="00EE6E07" w:rsidRPr="00EE6E07" w:rsidRDefault="00EE6E07" w:rsidP="00EE6E07">
      <w:pPr>
        <w:ind w:left="2880" w:right="-327"/>
        <w:rPr>
          <w:rFonts w:cstheme="minorHAnsi"/>
          <w:sz w:val="24"/>
        </w:rPr>
      </w:pPr>
      <w:r w:rsidRPr="00EE6E07">
        <w:rPr>
          <w:rFonts w:cstheme="minorHAnsi"/>
          <w:sz w:val="24"/>
        </w:rPr>
        <w:t>St John Ambulance Australia NT Ambulance Service</w:t>
      </w:r>
    </w:p>
    <w:p w14:paraId="3DA9478C" w14:textId="77777777" w:rsidR="00EE6E07" w:rsidRPr="00EE6E07" w:rsidRDefault="00EE6E07" w:rsidP="00EE6E07">
      <w:pPr>
        <w:ind w:left="2160" w:right="-327" w:firstLine="720"/>
        <w:rPr>
          <w:rFonts w:cstheme="minorHAnsi"/>
          <w:sz w:val="24"/>
        </w:rPr>
      </w:pPr>
      <w:r w:rsidRPr="00EE6E07">
        <w:rPr>
          <w:rFonts w:cstheme="minorHAnsi"/>
          <w:sz w:val="24"/>
        </w:rPr>
        <w:t>St John Ambulance Australia WA Ambulance Service</w:t>
      </w:r>
    </w:p>
    <w:p w14:paraId="222A8AF2" w14:textId="77777777" w:rsidR="00EE6E07" w:rsidRPr="00EE6E07" w:rsidRDefault="00EE6E07" w:rsidP="00EE6E07">
      <w:pPr>
        <w:ind w:left="2160" w:right="-327" w:firstLine="720"/>
        <w:rPr>
          <w:rFonts w:cstheme="minorHAnsi"/>
          <w:sz w:val="24"/>
        </w:rPr>
      </w:pPr>
      <w:r w:rsidRPr="00EE6E07">
        <w:rPr>
          <w:rFonts w:cstheme="minorHAnsi"/>
          <w:sz w:val="24"/>
        </w:rPr>
        <w:t xml:space="preserve">St John New Zealand </w:t>
      </w:r>
    </w:p>
    <w:p w14:paraId="55212B85" w14:textId="77777777" w:rsidR="00EE6E07" w:rsidRPr="00EE6E07" w:rsidRDefault="00EE6E07" w:rsidP="00EE6E07">
      <w:pPr>
        <w:ind w:left="2160" w:right="-327" w:firstLine="720"/>
        <w:rPr>
          <w:rFonts w:cstheme="minorHAnsi"/>
          <w:sz w:val="24"/>
        </w:rPr>
      </w:pPr>
      <w:r w:rsidRPr="00EE6E07">
        <w:rPr>
          <w:rFonts w:cstheme="minorHAnsi"/>
          <w:sz w:val="24"/>
        </w:rPr>
        <w:t>Wellington Free Ambulance</w:t>
      </w:r>
    </w:p>
    <w:p w14:paraId="748F83B3" w14:textId="77777777" w:rsidR="00EE6E07" w:rsidRPr="00EE6E07" w:rsidRDefault="00EE6E07" w:rsidP="00EE6E07">
      <w:pPr>
        <w:ind w:left="2160" w:right="-327" w:firstLine="720"/>
        <w:rPr>
          <w:rFonts w:cstheme="minorHAnsi"/>
          <w:b/>
          <w:sz w:val="24"/>
        </w:rPr>
      </w:pPr>
    </w:p>
    <w:p w14:paraId="40BC69EE" w14:textId="77777777" w:rsidR="00EE6E07" w:rsidRPr="00EE6E07" w:rsidRDefault="00EE6E07" w:rsidP="00EE6E07">
      <w:pPr>
        <w:ind w:right="-327"/>
        <w:rPr>
          <w:rFonts w:cstheme="minorHAnsi"/>
          <w:sz w:val="24"/>
        </w:rPr>
      </w:pPr>
      <w:r w:rsidRPr="00EE6E07">
        <w:rPr>
          <w:rFonts w:eastAsia="Calibri" w:cstheme="minorHAnsi"/>
          <w:b/>
          <w:color w:val="000000" w:themeColor="text1"/>
          <w:sz w:val="32"/>
          <w:szCs w:val="24"/>
        </w:rPr>
        <w:t>Associate Members:</w:t>
      </w:r>
      <w:r w:rsidRPr="00EE6E07">
        <w:rPr>
          <w:rFonts w:eastAsia="Calibri" w:cstheme="minorHAnsi"/>
          <w:b/>
          <w:color w:val="000000" w:themeColor="text1"/>
          <w:sz w:val="32"/>
          <w:szCs w:val="24"/>
        </w:rPr>
        <w:tab/>
      </w:r>
      <w:r w:rsidRPr="00EE6E07">
        <w:rPr>
          <w:rFonts w:cstheme="minorHAnsi"/>
          <w:sz w:val="24"/>
        </w:rPr>
        <w:tab/>
        <w:t xml:space="preserve">Ambulance New </w:t>
      </w:r>
      <w:smartTag w:uri="urn:schemas-microsoft-com:office:smarttags" w:element="place">
        <w:r w:rsidRPr="00EE6E07">
          <w:rPr>
            <w:rFonts w:cstheme="minorHAnsi"/>
            <w:sz w:val="24"/>
          </w:rPr>
          <w:t>Zealand</w:t>
        </w:r>
      </w:smartTag>
    </w:p>
    <w:p w14:paraId="1738ABB3" w14:textId="77777777" w:rsidR="00EE6E07" w:rsidRPr="00EE6E07" w:rsidRDefault="00EE6E07" w:rsidP="00EE6E07">
      <w:pPr>
        <w:ind w:left="2160" w:right="-327" w:firstLine="720"/>
        <w:rPr>
          <w:rFonts w:cstheme="minorHAnsi"/>
          <w:sz w:val="24"/>
        </w:rPr>
      </w:pPr>
      <w:r w:rsidRPr="00EE6E07">
        <w:rPr>
          <w:rFonts w:cstheme="minorHAnsi"/>
          <w:sz w:val="24"/>
        </w:rPr>
        <w:t>St John Ambulance Papua New Guinea</w:t>
      </w:r>
    </w:p>
    <w:p w14:paraId="741FBC81" w14:textId="77777777" w:rsidR="00EE6E07" w:rsidRPr="00EE6E07" w:rsidRDefault="00EE6E07" w:rsidP="00EE6E07">
      <w:pPr>
        <w:ind w:left="2160" w:right="-327" w:firstLine="720"/>
        <w:rPr>
          <w:rFonts w:ascii="Arial" w:hAnsi="Arial" w:cs="Arial"/>
          <w:sz w:val="24"/>
        </w:rPr>
      </w:pPr>
    </w:p>
    <w:p w14:paraId="008F8FD6" w14:textId="77777777" w:rsidR="00EE6E07" w:rsidRPr="00EE6E07" w:rsidRDefault="00EE6E07" w:rsidP="00EE6E07">
      <w:pPr>
        <w:ind w:right="-327"/>
        <w:rPr>
          <w:rFonts w:ascii="Arial" w:hAnsi="Arial" w:cs="Arial"/>
          <w:b/>
          <w:bCs/>
          <w:color w:val="000000"/>
          <w:sz w:val="24"/>
        </w:rPr>
      </w:pPr>
    </w:p>
    <w:p w14:paraId="1E8DB8AB" w14:textId="77777777" w:rsidR="00EE6E07" w:rsidRPr="00EE6E07" w:rsidRDefault="00EE6E07" w:rsidP="00EE6E07">
      <w:pPr>
        <w:ind w:right="-327"/>
        <w:rPr>
          <w:rFonts w:eastAsia="Calibri" w:cstheme="minorHAnsi"/>
          <w:b/>
          <w:color w:val="000000" w:themeColor="text1"/>
          <w:sz w:val="32"/>
          <w:szCs w:val="24"/>
        </w:rPr>
      </w:pPr>
      <w:r w:rsidRPr="00EE6E07">
        <w:rPr>
          <w:rFonts w:eastAsia="Calibri" w:cstheme="minorHAnsi"/>
          <w:b/>
          <w:color w:val="000000" w:themeColor="text1"/>
          <w:sz w:val="32"/>
          <w:szCs w:val="24"/>
        </w:rPr>
        <w:t>Contact for Further Information:</w:t>
      </w:r>
    </w:p>
    <w:p w14:paraId="3DF24D3E" w14:textId="77777777" w:rsidR="00EE6E07" w:rsidRPr="00EE6E07" w:rsidRDefault="00EE6E07" w:rsidP="00EE6E07">
      <w:pPr>
        <w:autoSpaceDE w:val="0"/>
        <w:autoSpaceDN w:val="0"/>
        <w:adjustRightInd w:val="0"/>
        <w:rPr>
          <w:rFonts w:cstheme="minorHAnsi"/>
          <w:b/>
          <w:bCs/>
          <w:color w:val="000000"/>
          <w:sz w:val="24"/>
        </w:rPr>
      </w:pPr>
    </w:p>
    <w:p w14:paraId="138A0FB1" w14:textId="77777777" w:rsidR="00EE6E07" w:rsidRPr="00EE6E07" w:rsidRDefault="00EE6E07" w:rsidP="00EE6E07">
      <w:pPr>
        <w:autoSpaceDE w:val="0"/>
        <w:autoSpaceDN w:val="0"/>
        <w:adjustRightInd w:val="0"/>
        <w:rPr>
          <w:rFonts w:cstheme="minorHAnsi"/>
          <w:b/>
          <w:color w:val="000000"/>
          <w:sz w:val="24"/>
        </w:rPr>
      </w:pPr>
      <w:r w:rsidRPr="00EE6E07">
        <w:rPr>
          <w:rFonts w:cstheme="minorHAnsi"/>
          <w:b/>
          <w:color w:val="000000"/>
          <w:sz w:val="24"/>
        </w:rPr>
        <w:t>David Waters</w:t>
      </w:r>
    </w:p>
    <w:p w14:paraId="3288B219" w14:textId="77777777" w:rsidR="00EE6E07" w:rsidRPr="00EE6E07" w:rsidRDefault="00EE6E07" w:rsidP="00EE6E07">
      <w:pPr>
        <w:autoSpaceDE w:val="0"/>
        <w:autoSpaceDN w:val="0"/>
        <w:adjustRightInd w:val="0"/>
        <w:rPr>
          <w:rFonts w:cstheme="minorHAnsi"/>
          <w:color w:val="000000"/>
          <w:sz w:val="24"/>
        </w:rPr>
      </w:pPr>
      <w:r w:rsidRPr="00EE6E07">
        <w:rPr>
          <w:rFonts w:cstheme="minorHAnsi"/>
          <w:color w:val="000000"/>
          <w:sz w:val="24"/>
        </w:rPr>
        <w:t>Acting Chief Executive Officer</w:t>
      </w:r>
    </w:p>
    <w:p w14:paraId="412536C8" w14:textId="77777777" w:rsidR="00EE6E07" w:rsidRDefault="00EE6E07" w:rsidP="00EE6E07">
      <w:pPr>
        <w:autoSpaceDE w:val="0"/>
        <w:autoSpaceDN w:val="0"/>
        <w:adjustRightInd w:val="0"/>
        <w:rPr>
          <w:rFonts w:cstheme="minorHAnsi"/>
          <w:color w:val="000000"/>
          <w:sz w:val="24"/>
        </w:rPr>
      </w:pPr>
      <w:r w:rsidRPr="00EE6E07">
        <w:rPr>
          <w:rFonts w:cstheme="minorHAnsi"/>
          <w:color w:val="000000"/>
          <w:sz w:val="24"/>
        </w:rPr>
        <w:t>The Council of Ambulance Authorities</w:t>
      </w:r>
    </w:p>
    <w:p w14:paraId="7D20D4D5" w14:textId="77777777" w:rsidR="004B6628" w:rsidRDefault="004B6628" w:rsidP="00EE6E07">
      <w:pPr>
        <w:autoSpaceDE w:val="0"/>
        <w:autoSpaceDN w:val="0"/>
        <w:adjustRightInd w:val="0"/>
        <w:rPr>
          <w:rFonts w:cstheme="minorHAnsi"/>
          <w:color w:val="000000"/>
          <w:sz w:val="24"/>
        </w:rPr>
      </w:pPr>
    </w:p>
    <w:p w14:paraId="400351E2" w14:textId="43610C47" w:rsidR="00EE6E07" w:rsidRPr="00EE6E07" w:rsidRDefault="004B6628" w:rsidP="00EE6E07">
      <w:pPr>
        <w:autoSpaceDE w:val="0"/>
        <w:autoSpaceDN w:val="0"/>
        <w:adjustRightInd w:val="0"/>
        <w:rPr>
          <w:rFonts w:cstheme="minorHAnsi"/>
          <w:color w:val="000000"/>
          <w:sz w:val="24"/>
        </w:rPr>
      </w:pPr>
      <w:r>
        <w:rPr>
          <w:rFonts w:cstheme="minorHAnsi"/>
          <w:color w:val="000000"/>
          <w:sz w:val="24"/>
        </w:rPr>
        <w:t xml:space="preserve">Postcode: </w:t>
      </w:r>
      <w:r w:rsidR="00EE6E07" w:rsidRPr="00EE6E07">
        <w:rPr>
          <w:rFonts w:cstheme="minorHAnsi"/>
          <w:color w:val="000000"/>
          <w:sz w:val="24"/>
        </w:rPr>
        <w:t>8004</w:t>
      </w:r>
    </w:p>
    <w:p w14:paraId="5A69295C" w14:textId="77777777" w:rsidR="00EE6E07" w:rsidRPr="00EE6E07" w:rsidRDefault="00EE6E07" w:rsidP="00EE6E07">
      <w:pPr>
        <w:autoSpaceDE w:val="0"/>
        <w:autoSpaceDN w:val="0"/>
        <w:adjustRightInd w:val="0"/>
        <w:rPr>
          <w:rFonts w:ascii="Arial" w:hAnsi="Arial" w:cs="Arial"/>
          <w:color w:val="000000"/>
          <w:sz w:val="24"/>
        </w:rPr>
      </w:pPr>
    </w:p>
    <w:p w14:paraId="73BA1138" w14:textId="77777777" w:rsidR="00EE6E07" w:rsidRPr="00EE6E07" w:rsidRDefault="00EE6E07" w:rsidP="00EE6E07">
      <w:pPr>
        <w:rPr>
          <w:rFonts w:cstheme="minorHAnsi"/>
          <w:b/>
          <w:sz w:val="24"/>
        </w:rPr>
      </w:pPr>
      <w:r w:rsidRPr="00EE6E07">
        <w:rPr>
          <w:rFonts w:cstheme="minorHAnsi"/>
          <w:b/>
          <w:sz w:val="24"/>
        </w:rPr>
        <w:br w:type="page"/>
      </w:r>
    </w:p>
    <w:p w14:paraId="16ACFEBF" w14:textId="77777777" w:rsidR="00247993" w:rsidRDefault="00247993" w:rsidP="003A32B0">
      <w:pPr>
        <w:tabs>
          <w:tab w:val="left" w:pos="426"/>
          <w:tab w:val="left" w:pos="4537"/>
          <w:tab w:val="left" w:pos="4962"/>
        </w:tabs>
        <w:spacing w:before="360" w:after="120"/>
        <w:ind w:right="34"/>
        <w:jc w:val="center"/>
        <w:rPr>
          <w:b/>
          <w:i/>
          <w:sz w:val="24"/>
          <w:szCs w:val="24"/>
        </w:rPr>
      </w:pPr>
    </w:p>
    <w:p w14:paraId="05B591E6" w14:textId="77777777" w:rsidR="00986759" w:rsidRPr="00C772E2" w:rsidRDefault="00986759" w:rsidP="00986759">
      <w:pPr>
        <w:jc w:val="center"/>
        <w:rPr>
          <w:rFonts w:ascii="Arial" w:hAnsi="Arial" w:cs="Arial"/>
          <w:b/>
          <w:sz w:val="22"/>
          <w:szCs w:val="22"/>
        </w:rPr>
      </w:pPr>
      <w:r w:rsidRPr="00C772E2">
        <w:rPr>
          <w:rFonts w:ascii="Arial" w:hAnsi="Arial" w:cs="Arial"/>
          <w:b/>
          <w:sz w:val="22"/>
          <w:szCs w:val="22"/>
        </w:rPr>
        <w:t>SUBMISSION</w:t>
      </w:r>
    </w:p>
    <w:p w14:paraId="21AAD3FD" w14:textId="77777777" w:rsidR="00986759" w:rsidRPr="003D1AA2" w:rsidRDefault="00986759" w:rsidP="00986759">
      <w:pPr>
        <w:rPr>
          <w:sz w:val="22"/>
          <w:szCs w:val="22"/>
          <w:lang w:val="en-US"/>
        </w:rPr>
      </w:pPr>
      <w:r w:rsidRPr="00873307">
        <w:rPr>
          <w:sz w:val="22"/>
          <w:szCs w:val="22"/>
        </w:rPr>
        <w:tab/>
      </w:r>
    </w:p>
    <w:p w14:paraId="31934390" w14:textId="77777777" w:rsidR="00986759" w:rsidRPr="004C6EB9" w:rsidRDefault="00986759" w:rsidP="00986759">
      <w:pPr>
        <w:rPr>
          <w:rFonts w:ascii="Arial" w:hAnsi="Arial" w:cs="Arial"/>
          <w:sz w:val="22"/>
          <w:szCs w:val="22"/>
        </w:rPr>
      </w:pPr>
      <w:r w:rsidRPr="004C6EB9">
        <w:rPr>
          <w:rFonts w:ascii="Arial" w:hAnsi="Arial" w:cs="Arial"/>
          <w:sz w:val="22"/>
          <w:szCs w:val="22"/>
        </w:rPr>
        <w:t>The Council of Australian Ambulance authorities supports the premise of Public Safety Mobile Broadband within the context of achieving a service that meets the needs of emergency services in all</w:t>
      </w:r>
      <w:r>
        <w:rPr>
          <w:rFonts w:ascii="Arial" w:hAnsi="Arial" w:cs="Arial"/>
          <w:sz w:val="22"/>
          <w:szCs w:val="22"/>
        </w:rPr>
        <w:t xml:space="preserve"> of the operational contexts which</w:t>
      </w:r>
      <w:r w:rsidRPr="004C6EB9">
        <w:rPr>
          <w:rFonts w:ascii="Arial" w:hAnsi="Arial" w:cs="Arial"/>
          <w:sz w:val="22"/>
          <w:szCs w:val="22"/>
        </w:rPr>
        <w:t xml:space="preserve"> can be delivered in an economic and cost effective manner.</w:t>
      </w:r>
    </w:p>
    <w:p w14:paraId="7993BD0E" w14:textId="77777777" w:rsidR="00986759" w:rsidRPr="004C6EB9" w:rsidRDefault="00986759" w:rsidP="00986759">
      <w:pPr>
        <w:rPr>
          <w:rFonts w:ascii="Arial" w:hAnsi="Arial" w:cs="Arial"/>
          <w:caps/>
          <w:sz w:val="22"/>
          <w:szCs w:val="22"/>
        </w:rPr>
      </w:pPr>
    </w:p>
    <w:p w14:paraId="33C8C8CF" w14:textId="77777777" w:rsidR="00986759" w:rsidRPr="004C6EB9" w:rsidRDefault="00986759" w:rsidP="00986759">
      <w:pPr>
        <w:rPr>
          <w:rFonts w:ascii="Arial" w:hAnsi="Arial" w:cs="Arial"/>
          <w:sz w:val="22"/>
          <w:szCs w:val="22"/>
        </w:rPr>
      </w:pPr>
      <w:r w:rsidRPr="004C6EB9">
        <w:rPr>
          <w:rFonts w:ascii="Arial" w:hAnsi="Arial" w:cs="Arial"/>
          <w:sz w:val="22"/>
          <w:szCs w:val="22"/>
        </w:rPr>
        <w:t>Ambulance services, like all emergency services across Australia, whilst having varying degrees of activity, complexity and functionality all require a robust and efficient communications system and network. The proposal outlined within the study would of course be generally endorsed, as any measure that will improve the reliability, security and operability of communication networks into the future is supported.</w:t>
      </w:r>
      <w:r>
        <w:rPr>
          <w:rFonts w:ascii="Arial" w:hAnsi="Arial" w:cs="Arial"/>
          <w:sz w:val="22"/>
          <w:szCs w:val="22"/>
        </w:rPr>
        <w:t xml:space="preserve"> This is particularly relevant in respect for ambulance services to enable and ensure dedicated voice channels in a command and control situation, the ability to transmit lifesaving data such as </w:t>
      </w:r>
      <w:proofErr w:type="spellStart"/>
      <w:r>
        <w:rPr>
          <w:rFonts w:ascii="Arial" w:hAnsi="Arial" w:cs="Arial"/>
          <w:sz w:val="22"/>
          <w:szCs w:val="22"/>
        </w:rPr>
        <w:t>ECG</w:t>
      </w:r>
      <w:proofErr w:type="spellEnd"/>
      <w:r>
        <w:rPr>
          <w:rFonts w:ascii="Arial" w:hAnsi="Arial" w:cs="Arial"/>
          <w:sz w:val="22"/>
          <w:szCs w:val="22"/>
        </w:rPr>
        <w:t xml:space="preserve"> reading and the future use of video and still photography material to enable remote diagnostics. The usage of Smart devices and body worn video will all require robust and reliable communications networks.</w:t>
      </w:r>
    </w:p>
    <w:p w14:paraId="38CC7774" w14:textId="77777777" w:rsidR="00986759" w:rsidRPr="004C6EB9" w:rsidRDefault="00986759" w:rsidP="00986759">
      <w:pPr>
        <w:rPr>
          <w:rFonts w:ascii="Arial" w:hAnsi="Arial" w:cs="Arial"/>
          <w:sz w:val="22"/>
          <w:szCs w:val="22"/>
        </w:rPr>
      </w:pPr>
    </w:p>
    <w:p w14:paraId="170F7735" w14:textId="77777777" w:rsidR="00986759" w:rsidRPr="004C6EB9" w:rsidRDefault="00986759" w:rsidP="00986759">
      <w:pPr>
        <w:rPr>
          <w:rFonts w:ascii="Arial" w:hAnsi="Arial" w:cs="Arial"/>
          <w:sz w:val="22"/>
          <w:szCs w:val="22"/>
        </w:rPr>
      </w:pPr>
      <w:r>
        <w:rPr>
          <w:rFonts w:ascii="Arial" w:hAnsi="Arial" w:cs="Arial"/>
          <w:sz w:val="22"/>
          <w:szCs w:val="22"/>
        </w:rPr>
        <w:t>Any</w:t>
      </w:r>
      <w:r w:rsidRPr="004C6EB9">
        <w:rPr>
          <w:rFonts w:ascii="Arial" w:hAnsi="Arial" w:cs="Arial"/>
          <w:sz w:val="22"/>
          <w:szCs w:val="22"/>
        </w:rPr>
        <w:t xml:space="preserve"> proposed network should be separate from commercially available public networks so at times of peak activity or during a security event it is made exclusively available to emergency services. We should not support any network that is shared with other commercial or public entities for this reason. The potential for hardware or programming issues to occur on a shared network; thus not allowing emergency s</w:t>
      </w:r>
      <w:r>
        <w:rPr>
          <w:rFonts w:ascii="Arial" w:hAnsi="Arial" w:cs="Arial"/>
          <w:sz w:val="22"/>
          <w:szCs w:val="22"/>
        </w:rPr>
        <w:t>ervices capability could be higher.</w:t>
      </w:r>
    </w:p>
    <w:p w14:paraId="475CEC78" w14:textId="77777777" w:rsidR="00986759" w:rsidRPr="004C6EB9" w:rsidRDefault="00986759" w:rsidP="00986759">
      <w:pPr>
        <w:rPr>
          <w:rFonts w:ascii="Arial" w:hAnsi="Arial" w:cs="Arial"/>
          <w:sz w:val="22"/>
          <w:szCs w:val="22"/>
        </w:rPr>
      </w:pPr>
    </w:p>
    <w:p w14:paraId="52E8849F" w14:textId="77777777" w:rsidR="00986759" w:rsidRPr="004C6EB9" w:rsidRDefault="00986759" w:rsidP="00986759">
      <w:pPr>
        <w:rPr>
          <w:rFonts w:ascii="Arial" w:hAnsi="Arial" w:cs="Arial"/>
          <w:sz w:val="22"/>
          <w:szCs w:val="22"/>
        </w:rPr>
      </w:pPr>
      <w:r w:rsidRPr="004C6EB9">
        <w:rPr>
          <w:rFonts w:ascii="Arial" w:hAnsi="Arial" w:cs="Arial"/>
          <w:sz w:val="22"/>
          <w:szCs w:val="22"/>
        </w:rPr>
        <w:t xml:space="preserve">The broad assessment of the Productivity Commission that the better value for money approach is to acquire priority access to bandwidth in the </w:t>
      </w:r>
      <w:proofErr w:type="spellStart"/>
      <w:r w:rsidRPr="004C6EB9">
        <w:rPr>
          <w:rFonts w:ascii="Arial" w:hAnsi="Arial" w:cs="Arial"/>
          <w:sz w:val="22"/>
          <w:szCs w:val="22"/>
        </w:rPr>
        <w:t>4G</w:t>
      </w:r>
      <w:proofErr w:type="spellEnd"/>
      <w:r w:rsidRPr="004C6EB9">
        <w:rPr>
          <w:rFonts w:ascii="Arial" w:hAnsi="Arial" w:cs="Arial"/>
          <w:sz w:val="22"/>
          <w:szCs w:val="22"/>
        </w:rPr>
        <w:t xml:space="preserve"> / </w:t>
      </w:r>
      <w:proofErr w:type="spellStart"/>
      <w:r w:rsidRPr="004C6EB9">
        <w:rPr>
          <w:rFonts w:ascii="Arial" w:hAnsi="Arial" w:cs="Arial"/>
          <w:sz w:val="22"/>
          <w:szCs w:val="22"/>
        </w:rPr>
        <w:t>5G</w:t>
      </w:r>
      <w:proofErr w:type="spellEnd"/>
      <w:r w:rsidRPr="004C6EB9">
        <w:rPr>
          <w:rFonts w:ascii="Arial" w:hAnsi="Arial" w:cs="Arial"/>
          <w:sz w:val="22"/>
          <w:szCs w:val="22"/>
        </w:rPr>
        <w:t xml:space="preserve"> spectrum has merits.</w:t>
      </w:r>
    </w:p>
    <w:p w14:paraId="3D34971C" w14:textId="77777777" w:rsidR="00986759" w:rsidRPr="004C6EB9" w:rsidRDefault="00986759" w:rsidP="00986759">
      <w:pPr>
        <w:rPr>
          <w:rFonts w:ascii="Arial" w:hAnsi="Arial" w:cs="Arial"/>
          <w:sz w:val="22"/>
          <w:szCs w:val="22"/>
        </w:rPr>
      </w:pPr>
    </w:p>
    <w:p w14:paraId="2595F4BA" w14:textId="77777777" w:rsidR="00986759" w:rsidRPr="004C6EB9" w:rsidRDefault="00986759" w:rsidP="00986759">
      <w:pPr>
        <w:rPr>
          <w:rFonts w:ascii="Arial" w:hAnsi="Arial" w:cs="Arial"/>
          <w:sz w:val="22"/>
          <w:szCs w:val="22"/>
        </w:rPr>
      </w:pPr>
      <w:r w:rsidRPr="004C6EB9">
        <w:rPr>
          <w:rFonts w:ascii="Arial" w:hAnsi="Arial" w:cs="Arial"/>
          <w:sz w:val="22"/>
          <w:szCs w:val="22"/>
        </w:rPr>
        <w:t>However, the authority has been made aware tha</w:t>
      </w:r>
      <w:r>
        <w:rPr>
          <w:rFonts w:ascii="Arial" w:hAnsi="Arial" w:cs="Arial"/>
          <w:sz w:val="22"/>
          <w:szCs w:val="22"/>
        </w:rPr>
        <w:t xml:space="preserve">t there are </w:t>
      </w:r>
      <w:r w:rsidRPr="004C6EB9">
        <w:rPr>
          <w:rFonts w:ascii="Arial" w:hAnsi="Arial" w:cs="Arial"/>
          <w:sz w:val="22"/>
          <w:szCs w:val="22"/>
        </w:rPr>
        <w:t xml:space="preserve">limitations within the </w:t>
      </w:r>
      <w:proofErr w:type="spellStart"/>
      <w:r w:rsidRPr="004C6EB9">
        <w:rPr>
          <w:rFonts w:ascii="Arial" w:hAnsi="Arial" w:cs="Arial"/>
          <w:sz w:val="22"/>
          <w:szCs w:val="22"/>
        </w:rPr>
        <w:t>4G</w:t>
      </w:r>
      <w:proofErr w:type="spellEnd"/>
      <w:r w:rsidRPr="004C6EB9">
        <w:rPr>
          <w:rFonts w:ascii="Arial" w:hAnsi="Arial" w:cs="Arial"/>
          <w:sz w:val="22"/>
          <w:szCs w:val="22"/>
        </w:rPr>
        <w:t xml:space="preserve"> architecture that would result in client devices, even priority devices, being “shut-out” of the network at times of peak capacity or reduced infrastructure as a result of a major incident.  These limitations are best solved through the use of dedicated spectrum.</w:t>
      </w:r>
    </w:p>
    <w:p w14:paraId="04DA3819" w14:textId="77777777" w:rsidR="00986759" w:rsidRPr="004C6EB9" w:rsidRDefault="00986759" w:rsidP="00986759">
      <w:pPr>
        <w:rPr>
          <w:rFonts w:ascii="Arial" w:hAnsi="Arial" w:cs="Arial"/>
          <w:sz w:val="22"/>
          <w:szCs w:val="22"/>
        </w:rPr>
      </w:pPr>
    </w:p>
    <w:p w14:paraId="42A6D739" w14:textId="77777777" w:rsidR="00986759" w:rsidRPr="004C6EB9" w:rsidRDefault="00986759" w:rsidP="00986759">
      <w:pPr>
        <w:rPr>
          <w:rFonts w:ascii="Arial" w:hAnsi="Arial" w:cs="Arial"/>
          <w:sz w:val="22"/>
          <w:szCs w:val="22"/>
        </w:rPr>
      </w:pPr>
      <w:r w:rsidRPr="004C6EB9">
        <w:rPr>
          <w:rFonts w:ascii="Arial" w:hAnsi="Arial" w:cs="Arial"/>
          <w:sz w:val="22"/>
          <w:szCs w:val="22"/>
        </w:rPr>
        <w:t>The specific circumstances are as follows:</w:t>
      </w:r>
    </w:p>
    <w:p w14:paraId="159B6BC5" w14:textId="77777777" w:rsidR="00986759" w:rsidRPr="004C6EB9" w:rsidRDefault="00986759" w:rsidP="00986759">
      <w:pPr>
        <w:pStyle w:val="ListParagraph"/>
        <w:numPr>
          <w:ilvl w:val="0"/>
          <w:numId w:val="24"/>
        </w:numPr>
        <w:rPr>
          <w:rFonts w:ascii="Arial" w:hAnsi="Arial" w:cs="Arial"/>
          <w:sz w:val="22"/>
          <w:szCs w:val="22"/>
        </w:rPr>
      </w:pPr>
      <w:r w:rsidRPr="004C6EB9">
        <w:rPr>
          <w:rFonts w:ascii="Arial" w:hAnsi="Arial" w:cs="Arial"/>
          <w:sz w:val="22"/>
          <w:szCs w:val="22"/>
        </w:rPr>
        <w:t>Priority mobile client devices are able to asse</w:t>
      </w:r>
      <w:r>
        <w:rPr>
          <w:rFonts w:ascii="Arial" w:hAnsi="Arial" w:cs="Arial"/>
          <w:sz w:val="22"/>
          <w:szCs w:val="22"/>
        </w:rPr>
        <w:t>n</w:t>
      </w:r>
      <w:r w:rsidRPr="004C6EB9">
        <w:rPr>
          <w:rFonts w:ascii="Arial" w:hAnsi="Arial" w:cs="Arial"/>
          <w:sz w:val="22"/>
          <w:szCs w:val="22"/>
        </w:rPr>
        <w:t>t their priority after connection into the mobile network.  The advice is that any priority device will compete with equal chance of success or failure until it has been able to establish a connection.  This means that priority devices will have the same difficulty as non-priority devices in establishing a connection during periods of peak capacity, regardless of the cause.</w:t>
      </w:r>
    </w:p>
    <w:p w14:paraId="068211AD" w14:textId="77777777" w:rsidR="00986759" w:rsidRPr="004C6EB9" w:rsidRDefault="00986759" w:rsidP="00986759">
      <w:pPr>
        <w:pStyle w:val="ListParagraph"/>
        <w:numPr>
          <w:ilvl w:val="0"/>
          <w:numId w:val="24"/>
        </w:numPr>
        <w:rPr>
          <w:rFonts w:ascii="Arial" w:hAnsi="Arial" w:cs="Arial"/>
          <w:sz w:val="22"/>
          <w:szCs w:val="22"/>
        </w:rPr>
      </w:pPr>
      <w:r w:rsidRPr="004C6EB9">
        <w:rPr>
          <w:rFonts w:ascii="Arial" w:hAnsi="Arial" w:cs="Arial"/>
          <w:sz w:val="22"/>
          <w:szCs w:val="22"/>
        </w:rPr>
        <w:t>Although a priority mobile device is able to maintain its priority status as it transverse from cell to cell, this can be impacted if the infrastructure is damaged and the transition from one cell to the next is not achieved within specific timeframes.  In this instance the mobile device would have to compete with every other device to gain a connection back into the network.</w:t>
      </w:r>
    </w:p>
    <w:p w14:paraId="46ECDAA9" w14:textId="77777777" w:rsidR="00986759" w:rsidRPr="004C6EB9" w:rsidRDefault="00986759" w:rsidP="00986759">
      <w:pPr>
        <w:rPr>
          <w:rFonts w:ascii="Arial" w:hAnsi="Arial" w:cs="Arial"/>
          <w:sz w:val="22"/>
          <w:szCs w:val="22"/>
        </w:rPr>
      </w:pPr>
    </w:p>
    <w:p w14:paraId="078D63CF" w14:textId="77777777" w:rsidR="00986759" w:rsidRPr="004C6EB9" w:rsidRDefault="00986759" w:rsidP="00986759">
      <w:pPr>
        <w:rPr>
          <w:rFonts w:ascii="Arial" w:hAnsi="Arial" w:cs="Arial"/>
          <w:sz w:val="22"/>
          <w:szCs w:val="22"/>
        </w:rPr>
      </w:pPr>
      <w:r w:rsidRPr="004C6EB9">
        <w:rPr>
          <w:rFonts w:ascii="Arial" w:hAnsi="Arial" w:cs="Arial"/>
          <w:sz w:val="22"/>
          <w:szCs w:val="22"/>
        </w:rPr>
        <w:t xml:space="preserve">The advice is that the better approach to safeguarding against these two types of circumstance is with the provision of dedicated spectrum. </w:t>
      </w:r>
    </w:p>
    <w:p w14:paraId="563AAA94" w14:textId="77777777" w:rsidR="00986759" w:rsidRPr="004C6EB9" w:rsidRDefault="00986759" w:rsidP="00986759">
      <w:pPr>
        <w:rPr>
          <w:rFonts w:ascii="Arial" w:hAnsi="Arial" w:cs="Arial"/>
          <w:sz w:val="22"/>
          <w:szCs w:val="22"/>
        </w:rPr>
      </w:pPr>
    </w:p>
    <w:p w14:paraId="23AEDA51" w14:textId="77777777" w:rsidR="00986759" w:rsidRPr="004C6EB9" w:rsidRDefault="00986759" w:rsidP="00986759">
      <w:pPr>
        <w:rPr>
          <w:rFonts w:ascii="Arial" w:hAnsi="Arial" w:cs="Arial"/>
          <w:sz w:val="22"/>
          <w:szCs w:val="22"/>
        </w:rPr>
      </w:pPr>
      <w:r w:rsidRPr="004C6EB9">
        <w:rPr>
          <w:rFonts w:ascii="Arial" w:hAnsi="Arial" w:cs="Arial"/>
          <w:sz w:val="22"/>
          <w:szCs w:val="22"/>
        </w:rPr>
        <w:t>If it is the position of the Australian Government that all emergency service communication is to transition to broadband data services, it is critically important that the services are able to provide clear, consistent, accurate and timely communications, (almost) regardless of the circumstances of the emergency service response.  Therefore, a combination of both bandwidth and dedicated spectrum from commercial providers is the better option.</w:t>
      </w:r>
    </w:p>
    <w:p w14:paraId="05FA1425" w14:textId="77777777" w:rsidR="00986759" w:rsidRPr="004C6EB9" w:rsidRDefault="00986759" w:rsidP="00986759">
      <w:pPr>
        <w:rPr>
          <w:rFonts w:ascii="Arial" w:hAnsi="Arial" w:cs="Arial"/>
          <w:sz w:val="22"/>
          <w:szCs w:val="22"/>
        </w:rPr>
      </w:pPr>
    </w:p>
    <w:p w14:paraId="65E38430" w14:textId="77777777" w:rsidR="00986759" w:rsidRPr="004C6EB9" w:rsidRDefault="00986759" w:rsidP="00986759">
      <w:pPr>
        <w:rPr>
          <w:rFonts w:ascii="Arial" w:hAnsi="Arial" w:cs="Arial"/>
          <w:sz w:val="22"/>
          <w:szCs w:val="22"/>
        </w:rPr>
      </w:pPr>
      <w:r w:rsidRPr="004C6EB9">
        <w:rPr>
          <w:rFonts w:ascii="Arial" w:hAnsi="Arial" w:cs="Arial"/>
          <w:sz w:val="22"/>
          <w:szCs w:val="22"/>
        </w:rPr>
        <w:t xml:space="preserve">The </w:t>
      </w:r>
      <w:proofErr w:type="spellStart"/>
      <w:r w:rsidRPr="004C6EB9">
        <w:rPr>
          <w:rFonts w:ascii="Arial" w:hAnsi="Arial" w:cs="Arial"/>
          <w:sz w:val="22"/>
          <w:szCs w:val="22"/>
        </w:rPr>
        <w:t>CAA</w:t>
      </w:r>
      <w:proofErr w:type="spellEnd"/>
      <w:r w:rsidRPr="004C6EB9">
        <w:rPr>
          <w:rFonts w:ascii="Arial" w:hAnsi="Arial" w:cs="Arial"/>
          <w:sz w:val="22"/>
          <w:szCs w:val="22"/>
        </w:rPr>
        <w:t xml:space="preserve"> would also assert that the Australian Federal Government has the following roles in the decisions about and the implementation of Public Safety Mobile Broadband:</w:t>
      </w:r>
    </w:p>
    <w:p w14:paraId="645320D8" w14:textId="77777777" w:rsidR="00986759" w:rsidRPr="004C6EB9" w:rsidRDefault="00986759" w:rsidP="00986759">
      <w:pPr>
        <w:pStyle w:val="ListParagraph"/>
        <w:numPr>
          <w:ilvl w:val="0"/>
          <w:numId w:val="25"/>
        </w:numPr>
        <w:rPr>
          <w:rFonts w:ascii="Arial" w:hAnsi="Arial" w:cs="Arial"/>
          <w:sz w:val="22"/>
          <w:szCs w:val="22"/>
        </w:rPr>
      </w:pPr>
      <w:r w:rsidRPr="004C6EB9">
        <w:rPr>
          <w:rFonts w:ascii="Arial" w:hAnsi="Arial" w:cs="Arial"/>
          <w:sz w:val="22"/>
          <w:szCs w:val="22"/>
        </w:rPr>
        <w:t>Set standards for the carriers and the individual Emergency Service Agencies (standards for performance, security, architecture and the like)</w:t>
      </w:r>
    </w:p>
    <w:p w14:paraId="641FDE86" w14:textId="77777777" w:rsidR="00986759" w:rsidRPr="004C6EB9" w:rsidRDefault="00986759" w:rsidP="00986759">
      <w:pPr>
        <w:pStyle w:val="ListParagraph"/>
        <w:numPr>
          <w:ilvl w:val="0"/>
          <w:numId w:val="25"/>
        </w:numPr>
        <w:rPr>
          <w:rFonts w:ascii="Arial" w:hAnsi="Arial" w:cs="Arial"/>
          <w:sz w:val="22"/>
          <w:szCs w:val="22"/>
        </w:rPr>
      </w:pPr>
      <w:r w:rsidRPr="004C6EB9">
        <w:rPr>
          <w:rFonts w:ascii="Arial" w:hAnsi="Arial" w:cs="Arial"/>
          <w:sz w:val="22"/>
          <w:szCs w:val="22"/>
        </w:rPr>
        <w:t>Co-ordinate the implementation of PSMB through-out all states in a co-ordinated and operationally risk adverse manner.</w:t>
      </w:r>
    </w:p>
    <w:p w14:paraId="35A8B5A3" w14:textId="77777777" w:rsidR="00986759" w:rsidRPr="004C6EB9" w:rsidRDefault="00986759" w:rsidP="00986759">
      <w:pPr>
        <w:pStyle w:val="ListParagraph"/>
        <w:numPr>
          <w:ilvl w:val="0"/>
          <w:numId w:val="25"/>
        </w:numPr>
        <w:rPr>
          <w:rFonts w:ascii="Arial" w:hAnsi="Arial" w:cs="Arial"/>
          <w:sz w:val="22"/>
          <w:szCs w:val="22"/>
        </w:rPr>
      </w:pPr>
      <w:r w:rsidRPr="004C6EB9">
        <w:rPr>
          <w:rFonts w:ascii="Arial" w:hAnsi="Arial" w:cs="Arial"/>
          <w:sz w:val="22"/>
          <w:szCs w:val="22"/>
        </w:rPr>
        <w:lastRenderedPageBreak/>
        <w:t xml:space="preserve">Support the continuation of Government Radio Networks until the full extent of rich data services have been implemented, the current </w:t>
      </w:r>
      <w:proofErr w:type="spellStart"/>
      <w:r w:rsidRPr="004C6EB9">
        <w:rPr>
          <w:rFonts w:ascii="Arial" w:hAnsi="Arial" w:cs="Arial"/>
          <w:sz w:val="22"/>
          <w:szCs w:val="22"/>
        </w:rPr>
        <w:t>GRN</w:t>
      </w:r>
      <w:proofErr w:type="spellEnd"/>
      <w:r w:rsidRPr="004C6EB9">
        <w:rPr>
          <w:rFonts w:ascii="Arial" w:hAnsi="Arial" w:cs="Arial"/>
          <w:sz w:val="22"/>
          <w:szCs w:val="22"/>
        </w:rPr>
        <w:t xml:space="preserve"> networks are reaching end of life and </w:t>
      </w:r>
      <w:proofErr w:type="spellStart"/>
      <w:r w:rsidRPr="004C6EB9">
        <w:rPr>
          <w:rFonts w:ascii="Arial" w:hAnsi="Arial" w:cs="Arial"/>
          <w:sz w:val="22"/>
          <w:szCs w:val="22"/>
        </w:rPr>
        <w:t>4G</w:t>
      </w:r>
      <w:proofErr w:type="spellEnd"/>
      <w:r w:rsidRPr="004C6EB9">
        <w:rPr>
          <w:rFonts w:ascii="Arial" w:hAnsi="Arial" w:cs="Arial"/>
          <w:sz w:val="22"/>
          <w:szCs w:val="22"/>
        </w:rPr>
        <w:t xml:space="preserve"> / </w:t>
      </w:r>
      <w:proofErr w:type="spellStart"/>
      <w:r w:rsidRPr="004C6EB9">
        <w:rPr>
          <w:rFonts w:ascii="Arial" w:hAnsi="Arial" w:cs="Arial"/>
          <w:sz w:val="22"/>
          <w:szCs w:val="22"/>
        </w:rPr>
        <w:t>5G</w:t>
      </w:r>
      <w:proofErr w:type="spellEnd"/>
      <w:r w:rsidRPr="004C6EB9">
        <w:rPr>
          <w:rFonts w:ascii="Arial" w:hAnsi="Arial" w:cs="Arial"/>
          <w:sz w:val="22"/>
          <w:szCs w:val="22"/>
        </w:rPr>
        <w:t xml:space="preserve"> Push to Talk technology is mainstream and reliable.</w:t>
      </w:r>
    </w:p>
    <w:p w14:paraId="244D0AD4" w14:textId="77777777" w:rsidR="00986759" w:rsidRPr="004C6EB9" w:rsidRDefault="00986759" w:rsidP="00986759">
      <w:pPr>
        <w:rPr>
          <w:rFonts w:ascii="Arial" w:hAnsi="Arial" w:cs="Arial"/>
          <w:sz w:val="22"/>
          <w:szCs w:val="22"/>
        </w:rPr>
      </w:pPr>
    </w:p>
    <w:p w14:paraId="3AA52DF9" w14:textId="77777777" w:rsidR="00986759" w:rsidRPr="004C6EB9" w:rsidRDefault="00986759" w:rsidP="00986759">
      <w:pPr>
        <w:rPr>
          <w:rFonts w:ascii="Arial" w:hAnsi="Arial" w:cs="Arial"/>
          <w:sz w:val="22"/>
          <w:szCs w:val="22"/>
        </w:rPr>
      </w:pPr>
      <w:r>
        <w:rPr>
          <w:rFonts w:ascii="Arial" w:hAnsi="Arial" w:cs="Arial"/>
          <w:sz w:val="22"/>
          <w:szCs w:val="22"/>
        </w:rPr>
        <w:t>Ends</w:t>
      </w:r>
    </w:p>
    <w:p w14:paraId="6DE183D1" w14:textId="77777777" w:rsidR="00986759" w:rsidRPr="00247993" w:rsidRDefault="00986759" w:rsidP="003A32B0">
      <w:pPr>
        <w:tabs>
          <w:tab w:val="left" w:pos="426"/>
          <w:tab w:val="left" w:pos="4537"/>
          <w:tab w:val="left" w:pos="4962"/>
        </w:tabs>
        <w:spacing w:before="360" w:after="120"/>
        <w:ind w:right="34"/>
        <w:jc w:val="center"/>
        <w:rPr>
          <w:b/>
          <w:i/>
          <w:sz w:val="24"/>
          <w:szCs w:val="24"/>
        </w:rPr>
      </w:pPr>
    </w:p>
    <w:sectPr w:rsidR="00986759" w:rsidRPr="00247993">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D4EA5" w14:textId="77777777" w:rsidR="00D32BC5" w:rsidRDefault="00D32BC5">
      <w:r>
        <w:separator/>
      </w:r>
    </w:p>
  </w:endnote>
  <w:endnote w:type="continuationSeparator" w:id="0">
    <w:p w14:paraId="73038828" w14:textId="77777777" w:rsidR="00D32BC5" w:rsidRDefault="00D3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6820C" w14:textId="77777777" w:rsidR="00D32BC5" w:rsidRDefault="00D32BC5">
      <w:r>
        <w:separator/>
      </w:r>
    </w:p>
  </w:footnote>
  <w:footnote w:type="continuationSeparator" w:id="0">
    <w:p w14:paraId="4C303290" w14:textId="77777777" w:rsidR="00D32BC5" w:rsidRDefault="00D32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A67E03"/>
    <w:multiLevelType w:val="hybridMultilevel"/>
    <w:tmpl w:val="ACD2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F563B7C"/>
    <w:multiLevelType w:val="hybridMultilevel"/>
    <w:tmpl w:val="22100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6"/>
  </w:num>
  <w:num w:numId="4">
    <w:abstractNumId w:val="10"/>
  </w:num>
  <w:num w:numId="5">
    <w:abstractNumId w:val="12"/>
  </w:num>
  <w:num w:numId="6">
    <w:abstractNumId w:val="3"/>
  </w:num>
  <w:num w:numId="7">
    <w:abstractNumId w:val="20"/>
  </w:num>
  <w:num w:numId="8">
    <w:abstractNumId w:val="1"/>
  </w:num>
  <w:num w:numId="9">
    <w:abstractNumId w:val="15"/>
  </w:num>
  <w:num w:numId="10">
    <w:abstractNumId w:val="2"/>
  </w:num>
  <w:num w:numId="11">
    <w:abstractNumId w:val="7"/>
  </w:num>
  <w:num w:numId="12">
    <w:abstractNumId w:val="19"/>
  </w:num>
  <w:num w:numId="13">
    <w:abstractNumId w:val="9"/>
  </w:num>
  <w:num w:numId="14">
    <w:abstractNumId w:val="18"/>
  </w:num>
  <w:num w:numId="15">
    <w:abstractNumId w:val="0"/>
  </w:num>
  <w:num w:numId="16">
    <w:abstractNumId w:val="14"/>
  </w:num>
  <w:num w:numId="17">
    <w:abstractNumId w:val="23"/>
  </w:num>
  <w:num w:numId="18">
    <w:abstractNumId w:val="8"/>
  </w:num>
  <w:num w:numId="19">
    <w:abstractNumId w:val="16"/>
  </w:num>
  <w:num w:numId="20">
    <w:abstractNumId w:val="5"/>
  </w:num>
  <w:num w:numId="21">
    <w:abstractNumId w:val="4"/>
  </w:num>
  <w:num w:numId="22">
    <w:abstractNumId w:val="22"/>
  </w:num>
  <w:num w:numId="23">
    <w:abstractNumId w:val="13"/>
  </w:num>
  <w:num w:numId="24">
    <w:abstractNumId w:val="1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F2"/>
    <w:rsid w:val="00056210"/>
    <w:rsid w:val="0019530F"/>
    <w:rsid w:val="001C5C7C"/>
    <w:rsid w:val="00221C86"/>
    <w:rsid w:val="002345E3"/>
    <w:rsid w:val="00236826"/>
    <w:rsid w:val="00247993"/>
    <w:rsid w:val="002D6079"/>
    <w:rsid w:val="003A0A7E"/>
    <w:rsid w:val="003A32B0"/>
    <w:rsid w:val="003C5524"/>
    <w:rsid w:val="00423861"/>
    <w:rsid w:val="00423BFB"/>
    <w:rsid w:val="00480079"/>
    <w:rsid w:val="0048038E"/>
    <w:rsid w:val="004B21E0"/>
    <w:rsid w:val="004B6628"/>
    <w:rsid w:val="004B6E74"/>
    <w:rsid w:val="00534A5B"/>
    <w:rsid w:val="0056145A"/>
    <w:rsid w:val="005F63CA"/>
    <w:rsid w:val="00626C39"/>
    <w:rsid w:val="006349CF"/>
    <w:rsid w:val="006E1B51"/>
    <w:rsid w:val="007C2C23"/>
    <w:rsid w:val="007C3E81"/>
    <w:rsid w:val="00820633"/>
    <w:rsid w:val="00843256"/>
    <w:rsid w:val="00851A33"/>
    <w:rsid w:val="0085565D"/>
    <w:rsid w:val="008904A5"/>
    <w:rsid w:val="008B62A2"/>
    <w:rsid w:val="008F737F"/>
    <w:rsid w:val="00986759"/>
    <w:rsid w:val="00A17B13"/>
    <w:rsid w:val="00A34EE0"/>
    <w:rsid w:val="00B848C7"/>
    <w:rsid w:val="00BC20AA"/>
    <w:rsid w:val="00C144F2"/>
    <w:rsid w:val="00D32BC5"/>
    <w:rsid w:val="00D528F3"/>
    <w:rsid w:val="00D973EB"/>
    <w:rsid w:val="00DC03C7"/>
    <w:rsid w:val="00E0213B"/>
    <w:rsid w:val="00E33CD7"/>
    <w:rsid w:val="00E56E21"/>
    <w:rsid w:val="00E65E54"/>
    <w:rsid w:val="00E7598B"/>
    <w:rsid w:val="00EC4447"/>
    <w:rsid w:val="00EC75E2"/>
    <w:rsid w:val="00EE6E07"/>
    <w:rsid w:val="00F51EC1"/>
    <w:rsid w:val="00FA2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2C5D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6759"/>
    <w:pPr>
      <w:ind w:left="720"/>
      <w:contextualSpacing/>
    </w:pPr>
    <w:rPr>
      <w:rFonts w:asciiTheme="minorHAnsi" w:eastAsiaTheme="minorEastAsia" w:hAnsiTheme="minorHAnsi" w:cstheme="minorBidi"/>
      <w:sz w:val="24"/>
      <w:szCs w:val="24"/>
      <w:lang w:eastAsia="en-US"/>
    </w:rPr>
  </w:style>
  <w:style w:type="paragraph" w:styleId="Title">
    <w:name w:val="Title"/>
    <w:basedOn w:val="Normal"/>
    <w:next w:val="Normal"/>
    <w:link w:val="TitleChar"/>
    <w:uiPriority w:val="10"/>
    <w:qFormat/>
    <w:rsid w:val="00EE6E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NZ" w:eastAsia="en-US"/>
    </w:rPr>
  </w:style>
  <w:style w:type="character" w:customStyle="1" w:styleId="TitleChar">
    <w:name w:val="Title Char"/>
    <w:basedOn w:val="DefaultParagraphFont"/>
    <w:link w:val="Title"/>
    <w:uiPriority w:val="10"/>
    <w:rsid w:val="00EE6E07"/>
    <w:rPr>
      <w:rFonts w:asciiTheme="majorHAnsi" w:eastAsiaTheme="majorEastAsia" w:hAnsiTheme="majorHAnsi" w:cstheme="majorBidi"/>
      <w:color w:val="17365D" w:themeColor="text2" w:themeShade="BF"/>
      <w:spacing w:val="5"/>
      <w:kern w:val="28"/>
      <w:sz w:val="52"/>
      <w:szCs w:val="52"/>
      <w:lang w:val="en-NZ" w:eastAsia="en-US"/>
    </w:rPr>
  </w:style>
  <w:style w:type="paragraph" w:styleId="NoSpacing">
    <w:name w:val="No Spacing"/>
    <w:uiPriority w:val="1"/>
    <w:qFormat/>
    <w:rsid w:val="00EE6E07"/>
    <w:rPr>
      <w:rFonts w:ascii="Calibri" w:eastAsia="Calibri" w:hAnsi="Calibri"/>
      <w:sz w:val="22"/>
      <w:szCs w:val="22"/>
      <w:lang w:val="en-N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6759"/>
    <w:pPr>
      <w:ind w:left="720"/>
      <w:contextualSpacing/>
    </w:pPr>
    <w:rPr>
      <w:rFonts w:asciiTheme="minorHAnsi" w:eastAsiaTheme="minorEastAsia" w:hAnsiTheme="minorHAnsi" w:cstheme="minorBidi"/>
      <w:sz w:val="24"/>
      <w:szCs w:val="24"/>
      <w:lang w:eastAsia="en-US"/>
    </w:rPr>
  </w:style>
  <w:style w:type="paragraph" w:styleId="Title">
    <w:name w:val="Title"/>
    <w:basedOn w:val="Normal"/>
    <w:next w:val="Normal"/>
    <w:link w:val="TitleChar"/>
    <w:uiPriority w:val="10"/>
    <w:qFormat/>
    <w:rsid w:val="00EE6E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NZ" w:eastAsia="en-US"/>
    </w:rPr>
  </w:style>
  <w:style w:type="character" w:customStyle="1" w:styleId="TitleChar">
    <w:name w:val="Title Char"/>
    <w:basedOn w:val="DefaultParagraphFont"/>
    <w:link w:val="Title"/>
    <w:uiPriority w:val="10"/>
    <w:rsid w:val="00EE6E07"/>
    <w:rPr>
      <w:rFonts w:asciiTheme="majorHAnsi" w:eastAsiaTheme="majorEastAsia" w:hAnsiTheme="majorHAnsi" w:cstheme="majorBidi"/>
      <w:color w:val="17365D" w:themeColor="text2" w:themeShade="BF"/>
      <w:spacing w:val="5"/>
      <w:kern w:val="28"/>
      <w:sz w:val="52"/>
      <w:szCs w:val="52"/>
      <w:lang w:val="en-NZ" w:eastAsia="en-US"/>
    </w:rPr>
  </w:style>
  <w:style w:type="paragraph" w:styleId="NoSpacing">
    <w:name w:val="No Spacing"/>
    <w:uiPriority w:val="1"/>
    <w:qFormat/>
    <w:rsid w:val="00EE6E07"/>
    <w:rPr>
      <w:rFonts w:ascii="Calibri" w:eastAsia="Calibri" w:hAnsi="Calibri"/>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Template>
  <TotalTime>3</TotalTime>
  <Pages>4</Pages>
  <Words>899</Words>
  <Characters>5109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Submission DR36 - Council of Ambulance Authorities - Public Safety Mobile Broadband - Commissioned study</vt:lpstr>
    </vt:vector>
  </TitlesOfParts>
  <Company>Council of Ambulance Authorities</Company>
  <LinksUpToDate>false</LinksUpToDate>
  <CharactersWithSpaces>5982</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DR36 - Council of Ambulance Authorities - Public Safety Mobile Broadband - Commissioned study</dc:title>
  <dc:creator>Council of Ambulance Authorities</dc:creator>
  <cp:lastModifiedBy>Olding, Marianna</cp:lastModifiedBy>
  <cp:revision>4</cp:revision>
  <cp:lastPrinted>2004-07-01T12:55:00Z</cp:lastPrinted>
  <dcterms:created xsi:type="dcterms:W3CDTF">2015-10-28T00:19:00Z</dcterms:created>
  <dcterms:modified xsi:type="dcterms:W3CDTF">2015-10-28T03:06:00Z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