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609C9" w14:textId="77777777" w:rsidR="00F11573" w:rsidRPr="001C0320" w:rsidRDefault="00F11573" w:rsidP="001C0320">
      <w:pPr>
        <w:spacing w:before="100" w:beforeAutospacing="1" w:after="100" w:afterAutospacing="1"/>
        <w:jc w:val="center"/>
        <w:outlineLvl w:val="0"/>
        <w:rPr>
          <w:rFonts w:eastAsia="Times New Roman" w:cs="Times New Roman"/>
          <w:b/>
          <w:bCs/>
          <w:kern w:val="36"/>
          <w:sz w:val="36"/>
          <w:szCs w:val="36"/>
          <w:lang w:val="en-AU"/>
        </w:rPr>
      </w:pPr>
      <w:bookmarkStart w:id="0" w:name="_GoBack"/>
      <w:bookmarkEnd w:id="0"/>
      <w:r w:rsidRPr="001C0320">
        <w:rPr>
          <w:rFonts w:eastAsia="Times New Roman" w:cs="Times New Roman"/>
          <w:b/>
          <w:bCs/>
          <w:kern w:val="36"/>
          <w:sz w:val="36"/>
          <w:szCs w:val="36"/>
          <w:lang w:val="en-AU"/>
        </w:rPr>
        <w:t>Superannuation Competitiveness and Efficiency</w:t>
      </w:r>
    </w:p>
    <w:p w14:paraId="6C922D39" w14:textId="2B6AE75A" w:rsidR="00F11573" w:rsidRPr="001C0320" w:rsidRDefault="00F11573" w:rsidP="001C0320">
      <w:pPr>
        <w:jc w:val="center"/>
        <w:rPr>
          <w:b/>
        </w:rPr>
      </w:pPr>
      <w:r w:rsidRPr="001C0320">
        <w:rPr>
          <w:b/>
        </w:rPr>
        <w:t>Individual Submission to Australian Government Productivity Commission</w:t>
      </w:r>
    </w:p>
    <w:p w14:paraId="3EDDCF4E" w14:textId="77777777" w:rsidR="00F11573" w:rsidRPr="00CA572D" w:rsidRDefault="00F11573"/>
    <w:p w14:paraId="0DDD764E" w14:textId="77777777" w:rsidR="00B26E20" w:rsidRDefault="00CA572D">
      <w:r w:rsidRPr="00CA572D">
        <w:t xml:space="preserve">I note the Terms of Reference and congratulate the Productivity Commission on the Issues Paper.  </w:t>
      </w:r>
    </w:p>
    <w:p w14:paraId="7F7D1170" w14:textId="77777777" w:rsidR="00B26E20" w:rsidRDefault="00B26E20"/>
    <w:p w14:paraId="24A18F64" w14:textId="169E559E" w:rsidR="00F11573" w:rsidRPr="00CA572D" w:rsidRDefault="00B26E20">
      <w:r>
        <w:t>The Treasurer identified</w:t>
      </w:r>
      <w:r w:rsidRPr="00B26E20">
        <w:t xml:space="preserve"> </w:t>
      </w:r>
      <w:r>
        <w:t>two areas of central importance for superannuation:</w:t>
      </w:r>
      <w:r w:rsidRPr="00B26E20">
        <w:t xml:space="preserve"> </w:t>
      </w:r>
      <w:r w:rsidRPr="00CA572D">
        <w:t xml:space="preserve">funding the economy </w:t>
      </w:r>
      <w:r>
        <w:t>and</w:t>
      </w:r>
      <w:r w:rsidRPr="00CA572D">
        <w:t xml:space="preserve"> delivering retirement outcomes</w:t>
      </w:r>
      <w:r>
        <w:t xml:space="preserve">.  </w:t>
      </w:r>
      <w:r w:rsidR="00CA572D" w:rsidRPr="00CA572D">
        <w:t xml:space="preserve">There are several </w:t>
      </w:r>
      <w:r w:rsidR="00CB2D30">
        <w:t>ways</w:t>
      </w:r>
      <w:r w:rsidR="00CA572D" w:rsidRPr="00CA572D">
        <w:t xml:space="preserve"> in which the current system for superannuation does not</w:t>
      </w:r>
      <w:r w:rsidR="00E02F8D">
        <w:t>,</w:t>
      </w:r>
      <w:r w:rsidR="00CA572D" w:rsidRPr="00CA572D">
        <w:t xml:space="preserve"> and is not likely to</w:t>
      </w:r>
      <w:r w:rsidR="00E02F8D">
        <w:t>,</w:t>
      </w:r>
      <w:r w:rsidR="00CA572D" w:rsidRPr="00CA572D">
        <w:t xml:space="preserve"> result in optimal results </w:t>
      </w:r>
      <w:r>
        <w:t>in either of these areas</w:t>
      </w:r>
      <w:r w:rsidR="00CA572D" w:rsidRPr="00CA572D">
        <w:t xml:space="preserve">.  </w:t>
      </w:r>
      <w:r w:rsidR="00801349">
        <w:t>The following steps should improve the ability of the superannuation system to fund the economy and deliver retirement outcomes</w:t>
      </w:r>
      <w:r w:rsidR="00CA572D" w:rsidRPr="00CA572D">
        <w:t>:</w:t>
      </w:r>
    </w:p>
    <w:p w14:paraId="6506C472" w14:textId="77777777" w:rsidR="00CA572D" w:rsidRDefault="00CA572D" w:rsidP="00CA572D">
      <w:pPr>
        <w:widowControl w:val="0"/>
        <w:autoSpaceDE w:val="0"/>
        <w:autoSpaceDN w:val="0"/>
        <w:adjustRightInd w:val="0"/>
        <w:rPr>
          <w:rFonts w:cs="Helvetica"/>
        </w:rPr>
      </w:pPr>
    </w:p>
    <w:p w14:paraId="3FD95C32" w14:textId="343F2A12" w:rsidR="00297AEF" w:rsidRPr="00297AEF" w:rsidRDefault="00297AEF" w:rsidP="002339B2">
      <w:pPr>
        <w:pStyle w:val="ListParagraph"/>
        <w:widowControl w:val="0"/>
        <w:numPr>
          <w:ilvl w:val="0"/>
          <w:numId w:val="12"/>
        </w:numPr>
        <w:autoSpaceDE w:val="0"/>
        <w:autoSpaceDN w:val="0"/>
        <w:adjustRightInd w:val="0"/>
        <w:spacing w:after="100"/>
        <w:rPr>
          <w:rFonts w:cs="Helvetica"/>
        </w:rPr>
      </w:pPr>
      <w:r w:rsidRPr="00297AEF">
        <w:rPr>
          <w:rFonts w:cs="Helvetica"/>
        </w:rPr>
        <w:t xml:space="preserve">Require </w:t>
      </w:r>
      <w:proofErr w:type="spellStart"/>
      <w:r w:rsidRPr="00297AEF">
        <w:rPr>
          <w:rFonts w:cs="Helvetica"/>
        </w:rPr>
        <w:t>RSEs</w:t>
      </w:r>
      <w:proofErr w:type="spellEnd"/>
      <w:r w:rsidRPr="00297AEF">
        <w:rPr>
          <w:rFonts w:cs="Helvetica"/>
        </w:rPr>
        <w:t xml:space="preserve"> to disclose fees at three different levels: fees that the </w:t>
      </w:r>
      <w:proofErr w:type="spellStart"/>
      <w:r w:rsidRPr="00297AEF">
        <w:rPr>
          <w:rFonts w:cs="Helvetica"/>
        </w:rPr>
        <w:t>RSE</w:t>
      </w:r>
      <w:proofErr w:type="spellEnd"/>
      <w:r w:rsidRPr="00297AEF">
        <w:rPr>
          <w:rFonts w:cs="Helvetica"/>
        </w:rPr>
        <w:t xml:space="preserve"> charges to act as a fiduciary agent, fees that are paid to related third parties and fees that are paid to unrelated third parties.  Such fees should be readily identifiable as part of the preparation of Business Activity Statements for </w:t>
      </w:r>
      <w:proofErr w:type="spellStart"/>
      <w:r w:rsidRPr="00297AEF">
        <w:rPr>
          <w:rFonts w:cs="Helvetica"/>
        </w:rPr>
        <w:t>GST</w:t>
      </w:r>
      <w:proofErr w:type="spellEnd"/>
      <w:r w:rsidRPr="00297AEF">
        <w:rPr>
          <w:rFonts w:cs="Helvetica"/>
        </w:rPr>
        <w:t xml:space="preserve"> calculations.</w:t>
      </w:r>
      <w:r w:rsidR="002339B2">
        <w:rPr>
          <w:rFonts w:cs="Helvetica"/>
        </w:rPr>
        <w:br/>
      </w:r>
    </w:p>
    <w:p w14:paraId="4C300D75" w14:textId="763DCD40" w:rsidR="00605BAB" w:rsidRPr="00AA682C" w:rsidRDefault="00605BAB" w:rsidP="002339B2">
      <w:pPr>
        <w:pStyle w:val="ListParagraph"/>
        <w:widowControl w:val="0"/>
        <w:numPr>
          <w:ilvl w:val="0"/>
          <w:numId w:val="12"/>
        </w:numPr>
        <w:autoSpaceDE w:val="0"/>
        <w:autoSpaceDN w:val="0"/>
        <w:adjustRightInd w:val="0"/>
        <w:spacing w:after="100"/>
        <w:rPr>
          <w:rFonts w:cs="Helvetica"/>
        </w:rPr>
      </w:pPr>
      <w:r w:rsidRPr="00297AEF">
        <w:rPr>
          <w:rFonts w:cs="Helvetica"/>
        </w:rPr>
        <w:t xml:space="preserve">Commission APRA to </w:t>
      </w:r>
      <w:r w:rsidR="00E02F8D">
        <w:rPr>
          <w:rFonts w:cs="Helvetica"/>
        </w:rPr>
        <w:t>survey</w:t>
      </w:r>
      <w:r w:rsidRPr="00297AEF">
        <w:rPr>
          <w:rFonts w:cs="Helvetica"/>
        </w:rPr>
        <w:t xml:space="preserve"> fees paid by </w:t>
      </w:r>
      <w:proofErr w:type="spellStart"/>
      <w:r w:rsidRPr="00297AEF">
        <w:rPr>
          <w:rFonts w:cs="Helvetica"/>
        </w:rPr>
        <w:t>RSEs</w:t>
      </w:r>
      <w:proofErr w:type="spellEnd"/>
      <w:r w:rsidRPr="00297AEF">
        <w:rPr>
          <w:rFonts w:cs="Helvetica"/>
        </w:rPr>
        <w:t xml:space="preserve"> to external parties for material functions and to provide the aggregated survey information to </w:t>
      </w:r>
      <w:proofErr w:type="spellStart"/>
      <w:r w:rsidRPr="00297AEF">
        <w:rPr>
          <w:rFonts w:cs="Helvetica"/>
        </w:rPr>
        <w:t>RSEs</w:t>
      </w:r>
      <w:proofErr w:type="spellEnd"/>
      <w:r w:rsidRPr="00297AEF">
        <w:rPr>
          <w:rFonts w:cs="Helvetica"/>
        </w:rPr>
        <w:t xml:space="preserve"> so that they can judge their </w:t>
      </w:r>
      <w:r w:rsidR="00E02F8D">
        <w:rPr>
          <w:rFonts w:cs="Helvetica"/>
        </w:rPr>
        <w:t xml:space="preserve">own </w:t>
      </w:r>
      <w:r w:rsidRPr="00297AEF">
        <w:rPr>
          <w:rFonts w:cs="Helvetica"/>
        </w:rPr>
        <w:t>effectiveness and obtain a benchmark for fees paid to related parties.</w:t>
      </w:r>
      <w:r w:rsidR="002339B2">
        <w:rPr>
          <w:rFonts w:cs="Helvetica"/>
        </w:rPr>
        <w:br/>
      </w:r>
    </w:p>
    <w:p w14:paraId="35229D93" w14:textId="3BF812DA" w:rsidR="00DC2214" w:rsidRPr="00297AEF" w:rsidRDefault="00DC2214" w:rsidP="002339B2">
      <w:pPr>
        <w:pStyle w:val="ListParagraph"/>
        <w:widowControl w:val="0"/>
        <w:numPr>
          <w:ilvl w:val="0"/>
          <w:numId w:val="12"/>
        </w:numPr>
        <w:autoSpaceDE w:val="0"/>
        <w:autoSpaceDN w:val="0"/>
        <w:adjustRightInd w:val="0"/>
        <w:spacing w:after="100"/>
        <w:rPr>
          <w:rFonts w:cs="Helvetica"/>
        </w:rPr>
      </w:pPr>
      <w:r w:rsidRPr="00297AEF">
        <w:rPr>
          <w:rFonts w:cs="Helvetica"/>
        </w:rPr>
        <w:t xml:space="preserve">Require </w:t>
      </w:r>
      <w:proofErr w:type="spellStart"/>
      <w:r w:rsidRPr="00297AEF">
        <w:rPr>
          <w:rFonts w:cs="Helvetica"/>
        </w:rPr>
        <w:t>RSEs</w:t>
      </w:r>
      <w:proofErr w:type="spellEnd"/>
      <w:r w:rsidRPr="00297AEF">
        <w:rPr>
          <w:rFonts w:cs="Helvetica"/>
        </w:rPr>
        <w:t xml:space="preserve"> to outsource material functions to external entities</w:t>
      </w:r>
      <w:r w:rsidR="00297AEF" w:rsidRPr="00297AEF">
        <w:rPr>
          <w:rFonts w:cs="Helvetica"/>
        </w:rPr>
        <w:t xml:space="preserve">.  These external entities may be related or unrelated to the </w:t>
      </w:r>
      <w:proofErr w:type="spellStart"/>
      <w:r w:rsidR="00297AEF" w:rsidRPr="00297AEF">
        <w:rPr>
          <w:rFonts w:cs="Helvetica"/>
        </w:rPr>
        <w:t>RSE</w:t>
      </w:r>
      <w:proofErr w:type="spellEnd"/>
      <w:r w:rsidR="00297AEF" w:rsidRPr="00297AEF">
        <w:rPr>
          <w:rFonts w:cs="Helvetica"/>
        </w:rPr>
        <w:t>.</w:t>
      </w:r>
      <w:r w:rsidR="002339B2">
        <w:rPr>
          <w:rFonts w:cs="Helvetica"/>
        </w:rPr>
        <w:br/>
      </w:r>
    </w:p>
    <w:p w14:paraId="36175D14" w14:textId="631B3852" w:rsidR="00AA682C" w:rsidRDefault="00AA682C" w:rsidP="002339B2">
      <w:pPr>
        <w:pStyle w:val="ListParagraph"/>
        <w:widowControl w:val="0"/>
        <w:numPr>
          <w:ilvl w:val="0"/>
          <w:numId w:val="12"/>
        </w:numPr>
        <w:autoSpaceDE w:val="0"/>
        <w:autoSpaceDN w:val="0"/>
        <w:adjustRightInd w:val="0"/>
        <w:spacing w:after="100"/>
        <w:rPr>
          <w:rFonts w:cs="Helvetica"/>
        </w:rPr>
      </w:pPr>
      <w:r>
        <w:rPr>
          <w:rFonts w:cs="Helvetica"/>
        </w:rPr>
        <w:t xml:space="preserve">Encourage the development of distinctive products and approaches to meet the </w:t>
      </w:r>
      <w:r w:rsidRPr="008D39DE">
        <w:rPr>
          <w:rFonts w:cs="Helvetica"/>
        </w:rPr>
        <w:t xml:space="preserve">three distinct </w:t>
      </w:r>
      <w:r>
        <w:rPr>
          <w:rFonts w:cs="Helvetica"/>
        </w:rPr>
        <w:t xml:space="preserve">purposes of </w:t>
      </w:r>
      <w:r w:rsidRPr="008D39DE">
        <w:rPr>
          <w:rFonts w:cs="Helvetica"/>
        </w:rPr>
        <w:t xml:space="preserve">accumulation, transition and </w:t>
      </w:r>
      <w:r>
        <w:rPr>
          <w:rFonts w:cs="Helvetica"/>
        </w:rPr>
        <w:t>decumulation.</w:t>
      </w:r>
      <w:r w:rsidR="002339B2">
        <w:rPr>
          <w:rFonts w:cs="Helvetica"/>
        </w:rPr>
        <w:br/>
      </w:r>
    </w:p>
    <w:p w14:paraId="5A9B8BD1" w14:textId="36F7FFC0" w:rsidR="00511C37" w:rsidRDefault="00511C37" w:rsidP="002339B2">
      <w:pPr>
        <w:pStyle w:val="ListParagraph"/>
        <w:widowControl w:val="0"/>
        <w:numPr>
          <w:ilvl w:val="0"/>
          <w:numId w:val="12"/>
        </w:numPr>
        <w:autoSpaceDE w:val="0"/>
        <w:autoSpaceDN w:val="0"/>
        <w:adjustRightInd w:val="0"/>
        <w:spacing w:after="100"/>
        <w:rPr>
          <w:rFonts w:cs="Helvetica"/>
        </w:rPr>
      </w:pPr>
      <w:r>
        <w:rPr>
          <w:rFonts w:cs="Helvetica"/>
        </w:rPr>
        <w:t>Discourage the use of risk profiling as a primary tool for providing financial advice to members.</w:t>
      </w:r>
      <w:r w:rsidR="002339B2">
        <w:rPr>
          <w:rFonts w:cs="Helvetica"/>
        </w:rPr>
        <w:br/>
      </w:r>
    </w:p>
    <w:p w14:paraId="1A5DA225" w14:textId="264C9E3F" w:rsidR="00AA682C" w:rsidRDefault="00AA682C" w:rsidP="002339B2">
      <w:pPr>
        <w:pStyle w:val="ListParagraph"/>
        <w:widowControl w:val="0"/>
        <w:numPr>
          <w:ilvl w:val="0"/>
          <w:numId w:val="12"/>
        </w:numPr>
        <w:autoSpaceDE w:val="0"/>
        <w:autoSpaceDN w:val="0"/>
        <w:adjustRightInd w:val="0"/>
        <w:spacing w:after="100"/>
        <w:rPr>
          <w:rFonts w:cs="Helvetica"/>
        </w:rPr>
      </w:pPr>
      <w:r>
        <w:rPr>
          <w:rFonts w:cs="Helvetica"/>
        </w:rPr>
        <w:t xml:space="preserve">Require </w:t>
      </w:r>
      <w:proofErr w:type="spellStart"/>
      <w:r>
        <w:rPr>
          <w:rFonts w:cs="Helvetica"/>
        </w:rPr>
        <w:t>RSEs</w:t>
      </w:r>
      <w:proofErr w:type="spellEnd"/>
      <w:r>
        <w:rPr>
          <w:rFonts w:cs="Helvetica"/>
        </w:rPr>
        <w:t xml:space="preserve"> to provide income projections as part of reporting to members</w:t>
      </w:r>
      <w:r w:rsidR="00801349">
        <w:rPr>
          <w:rFonts w:cs="Helvetica"/>
        </w:rPr>
        <w:t>.</w:t>
      </w:r>
      <w:r w:rsidR="002339B2">
        <w:rPr>
          <w:rFonts w:cs="Helvetica"/>
        </w:rPr>
        <w:br/>
      </w:r>
    </w:p>
    <w:p w14:paraId="32CE9249" w14:textId="645FA569" w:rsidR="00820B2E" w:rsidRDefault="00820B2E" w:rsidP="002339B2">
      <w:pPr>
        <w:pStyle w:val="ListParagraph"/>
        <w:widowControl w:val="0"/>
        <w:numPr>
          <w:ilvl w:val="0"/>
          <w:numId w:val="12"/>
        </w:numPr>
        <w:autoSpaceDE w:val="0"/>
        <w:autoSpaceDN w:val="0"/>
        <w:adjustRightInd w:val="0"/>
        <w:spacing w:after="100"/>
        <w:rPr>
          <w:rFonts w:cs="Helvetica"/>
        </w:rPr>
      </w:pPr>
      <w:r>
        <w:rPr>
          <w:rFonts w:cs="Helvetica"/>
        </w:rPr>
        <w:t>Encourage</w:t>
      </w:r>
      <w:r w:rsidR="007A259F">
        <w:rPr>
          <w:rFonts w:cs="Helvetica"/>
        </w:rPr>
        <w:t xml:space="preserve"> those who provide surveys of fund returns to </w:t>
      </w:r>
      <w:r>
        <w:rPr>
          <w:rFonts w:cs="Helvetica"/>
        </w:rPr>
        <w:t xml:space="preserve">develop surveys that </w:t>
      </w:r>
      <w:r w:rsidR="00801349">
        <w:rPr>
          <w:rFonts w:cs="Helvetica"/>
        </w:rPr>
        <w:t>focus</w:t>
      </w:r>
      <w:r>
        <w:rPr>
          <w:rFonts w:cs="Helvetica"/>
        </w:rPr>
        <w:t xml:space="preserve"> on money-weighted returns</w:t>
      </w:r>
      <w:r w:rsidR="00801349">
        <w:rPr>
          <w:rFonts w:cs="Helvetica"/>
        </w:rPr>
        <w:t xml:space="preserve"> and income in retirement.</w:t>
      </w:r>
      <w:r w:rsidR="002339B2">
        <w:rPr>
          <w:rFonts w:cs="Helvetica"/>
        </w:rPr>
        <w:br/>
      </w:r>
    </w:p>
    <w:p w14:paraId="0DBD9C6D" w14:textId="445994C5" w:rsidR="00AA682C" w:rsidRDefault="00AA682C" w:rsidP="002339B2">
      <w:pPr>
        <w:pStyle w:val="ListParagraph"/>
        <w:widowControl w:val="0"/>
        <w:numPr>
          <w:ilvl w:val="0"/>
          <w:numId w:val="12"/>
        </w:numPr>
        <w:autoSpaceDE w:val="0"/>
        <w:autoSpaceDN w:val="0"/>
        <w:adjustRightInd w:val="0"/>
        <w:spacing w:after="100"/>
        <w:rPr>
          <w:rFonts w:cs="Helvetica"/>
        </w:rPr>
      </w:pPr>
      <w:r>
        <w:rPr>
          <w:rFonts w:cs="Helvetica"/>
        </w:rPr>
        <w:t xml:space="preserve">Acknowledge that lack of engagement is not necessarily bad for superannuation members providing that the </w:t>
      </w:r>
      <w:proofErr w:type="spellStart"/>
      <w:r>
        <w:rPr>
          <w:rFonts w:cs="Helvetica"/>
        </w:rPr>
        <w:t>RSE</w:t>
      </w:r>
      <w:proofErr w:type="spellEnd"/>
      <w:r>
        <w:rPr>
          <w:rFonts w:cs="Helvetica"/>
        </w:rPr>
        <w:t xml:space="preserve"> has the right motivation</w:t>
      </w:r>
      <w:r w:rsidR="00801349">
        <w:rPr>
          <w:rFonts w:cs="Helvetica"/>
        </w:rPr>
        <w:t>.</w:t>
      </w:r>
      <w:r w:rsidR="002339B2">
        <w:rPr>
          <w:rFonts w:cs="Helvetica"/>
        </w:rPr>
        <w:br/>
      </w:r>
    </w:p>
    <w:p w14:paraId="395AA720" w14:textId="7AEFA5D7" w:rsidR="00AA682C" w:rsidRPr="00297AEF" w:rsidRDefault="00AA682C" w:rsidP="002339B2">
      <w:pPr>
        <w:pStyle w:val="ListParagraph"/>
        <w:widowControl w:val="0"/>
        <w:numPr>
          <w:ilvl w:val="0"/>
          <w:numId w:val="12"/>
        </w:numPr>
        <w:autoSpaceDE w:val="0"/>
        <w:autoSpaceDN w:val="0"/>
        <w:adjustRightInd w:val="0"/>
        <w:spacing w:after="100"/>
        <w:rPr>
          <w:rFonts w:cs="Helvetica"/>
        </w:rPr>
      </w:pPr>
      <w:r>
        <w:rPr>
          <w:rFonts w:cs="Helvetica"/>
        </w:rPr>
        <w:t xml:space="preserve">Consider the extent to which the economy can benefit from the closure of the </w:t>
      </w:r>
      <w:proofErr w:type="spellStart"/>
      <w:r>
        <w:rPr>
          <w:rFonts w:cs="Helvetica"/>
        </w:rPr>
        <w:t>CGT</w:t>
      </w:r>
      <w:proofErr w:type="spellEnd"/>
      <w:r>
        <w:rPr>
          <w:rFonts w:cs="Helvetica"/>
        </w:rPr>
        <w:t xml:space="preserve"> leakage at the point a</w:t>
      </w:r>
      <w:r w:rsidR="00E02F8D">
        <w:rPr>
          <w:rFonts w:cs="Helvetica"/>
        </w:rPr>
        <w:t xml:space="preserve"> superannuation account</w:t>
      </w:r>
      <w:r>
        <w:rPr>
          <w:rFonts w:cs="Helvetica"/>
        </w:rPr>
        <w:t xml:space="preserve"> transfers from accumulation to decumulation</w:t>
      </w:r>
      <w:r w:rsidR="00801349">
        <w:rPr>
          <w:rFonts w:cs="Helvetica"/>
        </w:rPr>
        <w:t>.</w:t>
      </w:r>
    </w:p>
    <w:p w14:paraId="0C03E48D" w14:textId="77777777" w:rsidR="00DC2214" w:rsidRDefault="00DC2214" w:rsidP="00CA572D">
      <w:pPr>
        <w:widowControl w:val="0"/>
        <w:autoSpaceDE w:val="0"/>
        <w:autoSpaceDN w:val="0"/>
        <w:adjustRightInd w:val="0"/>
        <w:rPr>
          <w:rFonts w:cs="Helvetica"/>
        </w:rPr>
      </w:pPr>
    </w:p>
    <w:p w14:paraId="5184C3DB" w14:textId="47151486" w:rsidR="00801349" w:rsidRDefault="00801349" w:rsidP="00CA572D">
      <w:pPr>
        <w:widowControl w:val="0"/>
        <w:autoSpaceDE w:val="0"/>
        <w:autoSpaceDN w:val="0"/>
        <w:adjustRightInd w:val="0"/>
        <w:rPr>
          <w:rFonts w:cs="Helvetica"/>
        </w:rPr>
      </w:pPr>
      <w:r>
        <w:rPr>
          <w:rFonts w:cs="Helvetica"/>
        </w:rPr>
        <w:t>Further explanation of these suggestions follows.</w:t>
      </w:r>
    </w:p>
    <w:p w14:paraId="0EC13BD0" w14:textId="1BA3E7F1" w:rsidR="00605BAB" w:rsidRDefault="00605BAB">
      <w:pPr>
        <w:rPr>
          <w:rFonts w:cs="Helvetica"/>
        </w:rPr>
      </w:pPr>
      <w:r>
        <w:rPr>
          <w:rFonts w:cs="Helvetica"/>
        </w:rPr>
        <w:br w:type="page"/>
      </w:r>
    </w:p>
    <w:p w14:paraId="7A05BA73" w14:textId="77777777" w:rsidR="00801349" w:rsidRDefault="00801349" w:rsidP="00CA572D">
      <w:pPr>
        <w:widowControl w:val="0"/>
        <w:autoSpaceDE w:val="0"/>
        <w:autoSpaceDN w:val="0"/>
        <w:adjustRightInd w:val="0"/>
        <w:rPr>
          <w:rFonts w:cs="Helvetica"/>
        </w:rPr>
      </w:pPr>
    </w:p>
    <w:p w14:paraId="262059F4" w14:textId="34B6EA0D" w:rsidR="00801349" w:rsidRPr="00314FB6" w:rsidRDefault="00605BAB" w:rsidP="00CA572D">
      <w:pPr>
        <w:widowControl w:val="0"/>
        <w:autoSpaceDE w:val="0"/>
        <w:autoSpaceDN w:val="0"/>
        <w:adjustRightInd w:val="0"/>
        <w:rPr>
          <w:rFonts w:cs="Helvetica"/>
          <w:b/>
        </w:rPr>
      </w:pPr>
      <w:r w:rsidRPr="00314FB6">
        <w:rPr>
          <w:rFonts w:cs="Helvetica"/>
          <w:b/>
        </w:rPr>
        <w:t xml:space="preserve">1. </w:t>
      </w:r>
      <w:r w:rsidR="00801349" w:rsidRPr="00314FB6">
        <w:rPr>
          <w:rFonts w:cs="Helvetica"/>
          <w:b/>
        </w:rPr>
        <w:t>Fee Disclosure</w:t>
      </w:r>
    </w:p>
    <w:p w14:paraId="4227B2BE" w14:textId="77777777" w:rsidR="00801349" w:rsidRDefault="00801349" w:rsidP="00CA572D">
      <w:pPr>
        <w:widowControl w:val="0"/>
        <w:autoSpaceDE w:val="0"/>
        <w:autoSpaceDN w:val="0"/>
        <w:adjustRightInd w:val="0"/>
        <w:rPr>
          <w:rFonts w:cs="Helvetica"/>
        </w:rPr>
      </w:pPr>
    </w:p>
    <w:p w14:paraId="7527FD76" w14:textId="273E2BA0" w:rsidR="00F47F50" w:rsidRDefault="00F47F50" w:rsidP="00CA572D">
      <w:pPr>
        <w:widowControl w:val="0"/>
        <w:autoSpaceDE w:val="0"/>
        <w:autoSpaceDN w:val="0"/>
        <w:adjustRightInd w:val="0"/>
        <w:rPr>
          <w:rFonts w:cs="Helvetica"/>
        </w:rPr>
      </w:pPr>
      <w:r>
        <w:rPr>
          <w:rFonts w:cs="Helvetica"/>
        </w:rPr>
        <w:t xml:space="preserve">Current fee disclosure in the Australian superannuation industry is not transparent.  It is also encouraging investment strategies that will become </w:t>
      </w:r>
      <w:r w:rsidR="00E02F8D">
        <w:rPr>
          <w:rFonts w:cs="Helvetica"/>
        </w:rPr>
        <w:t>increasingly</w:t>
      </w:r>
      <w:r>
        <w:rPr>
          <w:rFonts w:cs="Helvetica"/>
        </w:rPr>
        <w:t xml:space="preserve"> concentrated in a narrow range of strategies, such as passive investment in a narrow range of publicly traded securities.  The concentration of strategies introduces systemic risks to the economy.  At the same </w:t>
      </w:r>
      <w:r w:rsidR="00E02F8D">
        <w:rPr>
          <w:rFonts w:cs="Helvetica"/>
        </w:rPr>
        <w:t>time,</w:t>
      </w:r>
      <w:r>
        <w:rPr>
          <w:rFonts w:cs="Helvetica"/>
        </w:rPr>
        <w:t xml:space="preserve"> other investment opportunities that could enhance the broader economy will remain starved of capital</w:t>
      </w:r>
    </w:p>
    <w:p w14:paraId="1A3390E1" w14:textId="77777777" w:rsidR="00F47F50" w:rsidRDefault="00F47F50" w:rsidP="00CA572D">
      <w:pPr>
        <w:widowControl w:val="0"/>
        <w:autoSpaceDE w:val="0"/>
        <w:autoSpaceDN w:val="0"/>
        <w:adjustRightInd w:val="0"/>
        <w:rPr>
          <w:rFonts w:cs="Helvetica"/>
        </w:rPr>
      </w:pPr>
    </w:p>
    <w:p w14:paraId="50C8293B" w14:textId="033BA346" w:rsidR="0072281C" w:rsidRDefault="006D44E9" w:rsidP="00CA572D">
      <w:pPr>
        <w:widowControl w:val="0"/>
        <w:autoSpaceDE w:val="0"/>
        <w:autoSpaceDN w:val="0"/>
        <w:adjustRightInd w:val="0"/>
        <w:rPr>
          <w:rFonts w:cs="Helvetica"/>
        </w:rPr>
      </w:pPr>
      <w:r>
        <w:rPr>
          <w:rFonts w:cs="Helvetica"/>
        </w:rPr>
        <w:t xml:space="preserve">As part of its fiduciary </w:t>
      </w:r>
      <w:r w:rsidR="00E02F8D">
        <w:rPr>
          <w:rFonts w:cs="Helvetica"/>
        </w:rPr>
        <w:t>role,</w:t>
      </w:r>
      <w:r>
        <w:rPr>
          <w:rFonts w:cs="Helvetica"/>
        </w:rPr>
        <w:t xml:space="preserve"> an </w:t>
      </w:r>
      <w:proofErr w:type="spellStart"/>
      <w:r>
        <w:rPr>
          <w:rFonts w:cs="Helvetica"/>
        </w:rPr>
        <w:t>RSE</w:t>
      </w:r>
      <w:proofErr w:type="spellEnd"/>
      <w:r>
        <w:rPr>
          <w:rFonts w:cs="Helvetica"/>
        </w:rPr>
        <w:t xml:space="preserve"> is responsible for a number of tasks.  In return for taking on this fiduciary role, the </w:t>
      </w:r>
      <w:proofErr w:type="spellStart"/>
      <w:r>
        <w:rPr>
          <w:rFonts w:cs="Helvetica"/>
        </w:rPr>
        <w:t>RSE</w:t>
      </w:r>
      <w:proofErr w:type="spellEnd"/>
      <w:r>
        <w:rPr>
          <w:rFonts w:cs="Helvetica"/>
        </w:rPr>
        <w:t xml:space="preserve"> is entitled to extract payment for its services.  </w:t>
      </w:r>
      <w:r w:rsidR="00E02F8D">
        <w:rPr>
          <w:rFonts w:cs="Helvetica"/>
        </w:rPr>
        <w:t>However,</w:t>
      </w:r>
      <w:r>
        <w:rPr>
          <w:rFonts w:cs="Helvetica"/>
        </w:rPr>
        <w:t xml:space="preserve"> the current fee disclosure rules mean that </w:t>
      </w:r>
      <w:r w:rsidR="0072281C">
        <w:rPr>
          <w:rFonts w:cs="Helvetica"/>
        </w:rPr>
        <w:t>clients</w:t>
      </w:r>
      <w:r>
        <w:rPr>
          <w:rFonts w:cs="Helvetica"/>
        </w:rPr>
        <w:t xml:space="preserve"> are not told the fee that is being extracted by the </w:t>
      </w:r>
      <w:proofErr w:type="spellStart"/>
      <w:r>
        <w:rPr>
          <w:rFonts w:cs="Helvetica"/>
        </w:rPr>
        <w:t>RSE</w:t>
      </w:r>
      <w:proofErr w:type="spellEnd"/>
      <w:r>
        <w:rPr>
          <w:rFonts w:cs="Helvetica"/>
        </w:rPr>
        <w:t xml:space="preserve"> to act in this fiduciary capacity.  As a </w:t>
      </w:r>
      <w:r w:rsidR="00E02F8D">
        <w:rPr>
          <w:rFonts w:cs="Helvetica"/>
        </w:rPr>
        <w:t>result,</w:t>
      </w:r>
      <w:r>
        <w:rPr>
          <w:rFonts w:cs="Helvetica"/>
        </w:rPr>
        <w:t xml:space="preserve"> there is </w:t>
      </w:r>
      <w:r w:rsidR="00F47F50">
        <w:rPr>
          <w:rFonts w:cs="Helvetica"/>
        </w:rPr>
        <w:t xml:space="preserve">a lack of transparency at this fundamental fiduciary level and </w:t>
      </w:r>
      <w:r>
        <w:rPr>
          <w:rFonts w:cs="Helvetica"/>
        </w:rPr>
        <w:t xml:space="preserve">no clear pressure for </w:t>
      </w:r>
      <w:proofErr w:type="spellStart"/>
      <w:r>
        <w:rPr>
          <w:rFonts w:cs="Helvetica"/>
        </w:rPr>
        <w:t>RSEs</w:t>
      </w:r>
      <w:proofErr w:type="spellEnd"/>
      <w:r>
        <w:rPr>
          <w:rFonts w:cs="Helvetica"/>
        </w:rPr>
        <w:t xml:space="preserve"> to become more efficient.</w:t>
      </w:r>
      <w:r w:rsidR="0072281C">
        <w:rPr>
          <w:rFonts w:cs="Helvetica"/>
        </w:rPr>
        <w:t xml:space="preserve">  </w:t>
      </w:r>
    </w:p>
    <w:p w14:paraId="7563C4D2" w14:textId="77777777" w:rsidR="0072281C" w:rsidRDefault="0072281C" w:rsidP="00CA572D">
      <w:pPr>
        <w:widowControl w:val="0"/>
        <w:autoSpaceDE w:val="0"/>
        <w:autoSpaceDN w:val="0"/>
        <w:adjustRightInd w:val="0"/>
        <w:rPr>
          <w:rFonts w:cs="Helvetica"/>
        </w:rPr>
      </w:pPr>
    </w:p>
    <w:p w14:paraId="32F6D19D" w14:textId="4C0FBACA" w:rsidR="006D44E9" w:rsidRDefault="0072281C" w:rsidP="00CA572D">
      <w:pPr>
        <w:widowControl w:val="0"/>
        <w:autoSpaceDE w:val="0"/>
        <w:autoSpaceDN w:val="0"/>
        <w:adjustRightInd w:val="0"/>
        <w:rPr>
          <w:rFonts w:cs="Helvetica"/>
        </w:rPr>
      </w:pPr>
      <w:r>
        <w:rPr>
          <w:rFonts w:cs="Helvetica"/>
        </w:rPr>
        <w:t>Furthermore, current fee disclosure mean</w:t>
      </w:r>
      <w:r w:rsidR="001D1AA8">
        <w:rPr>
          <w:rFonts w:cs="Helvetica"/>
        </w:rPr>
        <w:t>s</w:t>
      </w:r>
      <w:r>
        <w:rPr>
          <w:rFonts w:cs="Helvetica"/>
        </w:rPr>
        <w:t xml:space="preserve"> that </w:t>
      </w:r>
      <w:proofErr w:type="spellStart"/>
      <w:r>
        <w:rPr>
          <w:rFonts w:cs="Helvetica"/>
        </w:rPr>
        <w:t>RSEs</w:t>
      </w:r>
      <w:proofErr w:type="spellEnd"/>
      <w:r>
        <w:rPr>
          <w:rFonts w:cs="Helvetica"/>
        </w:rPr>
        <w:t xml:space="preserve"> face a number of potential issues that can compromise their ability to act in the best interest of their clients. </w:t>
      </w:r>
    </w:p>
    <w:p w14:paraId="0999B218" w14:textId="77777777" w:rsidR="006D44E9" w:rsidRDefault="006D44E9" w:rsidP="00CA572D">
      <w:pPr>
        <w:widowControl w:val="0"/>
        <w:autoSpaceDE w:val="0"/>
        <w:autoSpaceDN w:val="0"/>
        <w:adjustRightInd w:val="0"/>
        <w:rPr>
          <w:rFonts w:cs="Helvetica"/>
        </w:rPr>
      </w:pPr>
    </w:p>
    <w:p w14:paraId="0931D07A" w14:textId="77777777" w:rsidR="00F01F20" w:rsidRDefault="0072281C" w:rsidP="00CA572D">
      <w:pPr>
        <w:widowControl w:val="0"/>
        <w:autoSpaceDE w:val="0"/>
        <w:autoSpaceDN w:val="0"/>
        <w:adjustRightInd w:val="0"/>
        <w:rPr>
          <w:rFonts w:cs="Helvetica"/>
        </w:rPr>
      </w:pPr>
      <w:r>
        <w:rPr>
          <w:rFonts w:cs="Helvetica"/>
        </w:rPr>
        <w:t xml:space="preserve">As an example, an important role of an </w:t>
      </w:r>
      <w:proofErr w:type="spellStart"/>
      <w:r>
        <w:rPr>
          <w:rFonts w:cs="Helvetica"/>
        </w:rPr>
        <w:t>RSE</w:t>
      </w:r>
      <w:proofErr w:type="spellEnd"/>
      <w:r>
        <w:rPr>
          <w:rFonts w:cs="Helvetica"/>
        </w:rPr>
        <w:t xml:space="preserve"> is to identify and exploit </w:t>
      </w:r>
      <w:r w:rsidR="006D44E9">
        <w:rPr>
          <w:rFonts w:cs="Helvetica"/>
        </w:rPr>
        <w:t>investment opportunities</w:t>
      </w:r>
      <w:r>
        <w:rPr>
          <w:rFonts w:cs="Helvetica"/>
        </w:rPr>
        <w:t xml:space="preserve">.  An </w:t>
      </w:r>
      <w:proofErr w:type="spellStart"/>
      <w:r>
        <w:rPr>
          <w:rFonts w:cs="Helvetica"/>
        </w:rPr>
        <w:t>RSE</w:t>
      </w:r>
      <w:proofErr w:type="spellEnd"/>
      <w:r>
        <w:rPr>
          <w:rFonts w:cs="Helvetica"/>
        </w:rPr>
        <w:t xml:space="preserve"> may take a view that there is an opportunity to extract returns by lending money to ho</w:t>
      </w:r>
      <w:r w:rsidR="00F01F20">
        <w:rPr>
          <w:rFonts w:cs="Helvetica"/>
        </w:rPr>
        <w:t>useholds or businesses</w:t>
      </w:r>
      <w:r>
        <w:rPr>
          <w:rFonts w:cs="Helvetica"/>
        </w:rPr>
        <w:t xml:space="preserve">.  This could be implemented in a number of ways, </w:t>
      </w:r>
      <w:r w:rsidR="00F01F20">
        <w:rPr>
          <w:rFonts w:cs="Helvetica"/>
        </w:rPr>
        <w:t xml:space="preserve">some of </w:t>
      </w:r>
      <w:r>
        <w:rPr>
          <w:rFonts w:cs="Helvetica"/>
        </w:rPr>
        <w:t xml:space="preserve">which </w:t>
      </w:r>
      <w:r w:rsidR="00F01F20">
        <w:rPr>
          <w:rFonts w:cs="Helvetica"/>
        </w:rPr>
        <w:t xml:space="preserve">may </w:t>
      </w:r>
      <w:r>
        <w:rPr>
          <w:rFonts w:cs="Helvetica"/>
        </w:rPr>
        <w:t>include</w:t>
      </w:r>
      <w:r w:rsidR="00F01F20">
        <w:rPr>
          <w:rFonts w:cs="Helvetica"/>
        </w:rPr>
        <w:t xml:space="preserve"> investment management costs and some others that may involve a third party guarantee by a bank or other highly rated </w:t>
      </w:r>
      <w:proofErr w:type="spellStart"/>
      <w:r w:rsidR="00F01F20">
        <w:rPr>
          <w:rFonts w:cs="Helvetica"/>
        </w:rPr>
        <w:t>organisation</w:t>
      </w:r>
      <w:proofErr w:type="spellEnd"/>
      <w:r w:rsidR="00F01F20">
        <w:rPr>
          <w:rFonts w:cs="Helvetica"/>
        </w:rPr>
        <w:t xml:space="preserve">.  </w:t>
      </w:r>
    </w:p>
    <w:p w14:paraId="3B163CE8" w14:textId="77777777" w:rsidR="00F01F20" w:rsidRDefault="00F01F20" w:rsidP="00CA572D">
      <w:pPr>
        <w:widowControl w:val="0"/>
        <w:autoSpaceDE w:val="0"/>
        <w:autoSpaceDN w:val="0"/>
        <w:adjustRightInd w:val="0"/>
        <w:rPr>
          <w:rFonts w:cs="Helvetica"/>
        </w:rPr>
      </w:pPr>
    </w:p>
    <w:p w14:paraId="786293B4" w14:textId="48146BCB" w:rsidR="00F01F20" w:rsidRDefault="00F01F20" w:rsidP="00CA572D">
      <w:pPr>
        <w:widowControl w:val="0"/>
        <w:autoSpaceDE w:val="0"/>
        <w:autoSpaceDN w:val="0"/>
        <w:adjustRightInd w:val="0"/>
        <w:rPr>
          <w:rFonts w:cs="Helvetica"/>
        </w:rPr>
      </w:pPr>
      <w:r>
        <w:rPr>
          <w:rFonts w:cs="Helvetica"/>
        </w:rPr>
        <w:t xml:space="preserve">As another alternative, the </w:t>
      </w:r>
      <w:proofErr w:type="spellStart"/>
      <w:r>
        <w:rPr>
          <w:rFonts w:cs="Helvetica"/>
        </w:rPr>
        <w:t>RSE</w:t>
      </w:r>
      <w:proofErr w:type="spellEnd"/>
      <w:r>
        <w:rPr>
          <w:rFonts w:cs="Helvetica"/>
        </w:rPr>
        <w:t xml:space="preserve"> might simply lend money to the bank</w:t>
      </w:r>
      <w:r w:rsidR="00E02F8D">
        <w:rPr>
          <w:rFonts w:cs="Helvetica"/>
        </w:rPr>
        <w:t xml:space="preserve">.  It would then receive </w:t>
      </w:r>
      <w:r>
        <w:rPr>
          <w:rFonts w:cs="Helvetica"/>
        </w:rPr>
        <w:t xml:space="preserve">an interest rate after the bank on-lends the money and extracts an interest margin.   </w:t>
      </w:r>
    </w:p>
    <w:p w14:paraId="6151CFF7" w14:textId="77777777" w:rsidR="00F01F20" w:rsidRDefault="00F01F20" w:rsidP="00CA572D">
      <w:pPr>
        <w:widowControl w:val="0"/>
        <w:autoSpaceDE w:val="0"/>
        <w:autoSpaceDN w:val="0"/>
        <w:adjustRightInd w:val="0"/>
        <w:rPr>
          <w:rFonts w:cs="Helvetica"/>
        </w:rPr>
      </w:pPr>
    </w:p>
    <w:p w14:paraId="2D86BFB3" w14:textId="76152D50" w:rsidR="001C0320" w:rsidRDefault="00F01F20" w:rsidP="00CA572D">
      <w:pPr>
        <w:widowControl w:val="0"/>
        <w:autoSpaceDE w:val="0"/>
        <w:autoSpaceDN w:val="0"/>
        <w:adjustRightInd w:val="0"/>
        <w:rPr>
          <w:rFonts w:cs="Helvetica"/>
        </w:rPr>
      </w:pPr>
      <w:r>
        <w:rPr>
          <w:rFonts w:cs="Helvetica"/>
        </w:rPr>
        <w:t xml:space="preserve">Now suppose that the </w:t>
      </w:r>
      <w:proofErr w:type="spellStart"/>
      <w:r>
        <w:rPr>
          <w:rFonts w:cs="Helvetica"/>
        </w:rPr>
        <w:t>RSE</w:t>
      </w:r>
      <w:proofErr w:type="spellEnd"/>
      <w:r>
        <w:rPr>
          <w:rFonts w:cs="Helvetica"/>
        </w:rPr>
        <w:t xml:space="preserve"> determines that the direct len</w:t>
      </w:r>
      <w:r w:rsidR="00FB0DB7">
        <w:rPr>
          <w:rFonts w:cs="Helvetica"/>
        </w:rPr>
        <w:t>ding program can be implemented, with appropriate guarantees, at an average interest rate of 6%</w:t>
      </w:r>
      <w:r w:rsidR="001C0320">
        <w:rPr>
          <w:rFonts w:cs="Helvetica"/>
        </w:rPr>
        <w:t xml:space="preserve"> </w:t>
      </w:r>
      <w:r w:rsidR="00FB0DB7">
        <w:rPr>
          <w:rFonts w:cs="Helvetica"/>
        </w:rPr>
        <w:t xml:space="preserve">pa before costs and 5% pa after deducting costs.  At the same time, the </w:t>
      </w:r>
      <w:proofErr w:type="spellStart"/>
      <w:r w:rsidR="00FB0DB7">
        <w:rPr>
          <w:rFonts w:cs="Helvetica"/>
        </w:rPr>
        <w:t>RSE</w:t>
      </w:r>
      <w:proofErr w:type="spellEnd"/>
      <w:r w:rsidR="00FB0DB7">
        <w:rPr>
          <w:rFonts w:cs="Helvetica"/>
        </w:rPr>
        <w:t xml:space="preserve"> sees that the interest rate being offered by </w:t>
      </w:r>
      <w:r w:rsidR="001C0320">
        <w:rPr>
          <w:rFonts w:cs="Helvetica"/>
        </w:rPr>
        <w:t>a</w:t>
      </w:r>
      <w:r w:rsidR="00FB0DB7">
        <w:rPr>
          <w:rFonts w:cs="Helvetica"/>
        </w:rPr>
        <w:t xml:space="preserve"> bank is 3%</w:t>
      </w:r>
      <w:r w:rsidR="001C0320">
        <w:rPr>
          <w:rFonts w:cs="Helvetica"/>
        </w:rPr>
        <w:t xml:space="preserve"> </w:t>
      </w:r>
      <w:r w:rsidR="00E02F8D">
        <w:rPr>
          <w:rFonts w:cs="Helvetica"/>
        </w:rPr>
        <w:t>pa;</w:t>
      </w:r>
      <w:r w:rsidR="001C0320">
        <w:rPr>
          <w:rFonts w:cs="Helvetica"/>
        </w:rPr>
        <w:t xml:space="preserve"> with the “fee” that is represented by the bank’s interest rate margin being unknown</w:t>
      </w:r>
      <w:r w:rsidR="00FB0DB7">
        <w:rPr>
          <w:rFonts w:cs="Helvetica"/>
        </w:rPr>
        <w:t xml:space="preserve">.  </w:t>
      </w:r>
    </w:p>
    <w:p w14:paraId="132B94A6" w14:textId="77777777" w:rsidR="001C0320" w:rsidRDefault="001C0320" w:rsidP="00CA572D">
      <w:pPr>
        <w:widowControl w:val="0"/>
        <w:autoSpaceDE w:val="0"/>
        <w:autoSpaceDN w:val="0"/>
        <w:adjustRightInd w:val="0"/>
        <w:rPr>
          <w:rFonts w:cs="Helvetica"/>
        </w:rPr>
      </w:pPr>
    </w:p>
    <w:p w14:paraId="353379A6" w14:textId="141F45A0" w:rsidR="007F48C0" w:rsidRDefault="00FB0DB7" w:rsidP="00CA572D">
      <w:pPr>
        <w:widowControl w:val="0"/>
        <w:autoSpaceDE w:val="0"/>
        <w:autoSpaceDN w:val="0"/>
        <w:adjustRightInd w:val="0"/>
        <w:rPr>
          <w:rFonts w:cs="Helvetica"/>
        </w:rPr>
      </w:pPr>
      <w:r>
        <w:rPr>
          <w:rFonts w:cs="Helvetica"/>
        </w:rPr>
        <w:t xml:space="preserve">The direct lending program has an expected net return of 5% </w:t>
      </w:r>
      <w:r w:rsidR="00E02F8D">
        <w:rPr>
          <w:rFonts w:cs="Helvetica"/>
        </w:rPr>
        <w:t>pa;</w:t>
      </w:r>
      <w:r>
        <w:rPr>
          <w:rFonts w:cs="Helvetica"/>
        </w:rPr>
        <w:t xml:space="preserve"> the lending to the bank has an expected net return of 3% pa.  </w:t>
      </w:r>
      <w:r w:rsidR="007F48C0">
        <w:rPr>
          <w:rFonts w:cs="Helvetica"/>
        </w:rPr>
        <w:t xml:space="preserve">However by pursuing the higher net return, the </w:t>
      </w:r>
      <w:proofErr w:type="spellStart"/>
      <w:r w:rsidR="007F48C0">
        <w:rPr>
          <w:rFonts w:cs="Helvetica"/>
        </w:rPr>
        <w:t>RSE</w:t>
      </w:r>
      <w:proofErr w:type="spellEnd"/>
      <w:r w:rsidR="007F48C0">
        <w:rPr>
          <w:rFonts w:cs="Helvetica"/>
        </w:rPr>
        <w:t xml:space="preserve"> risks being seen as uncompetitive in terms of fees</w:t>
      </w:r>
      <w:r w:rsidR="00F47F50">
        <w:rPr>
          <w:rFonts w:cs="Helvetica"/>
        </w:rPr>
        <w:t xml:space="preserve"> even though the </w:t>
      </w:r>
      <w:proofErr w:type="spellStart"/>
      <w:r w:rsidR="00F47F50">
        <w:rPr>
          <w:rFonts w:cs="Helvetica"/>
        </w:rPr>
        <w:t>RSE</w:t>
      </w:r>
      <w:proofErr w:type="spellEnd"/>
      <w:r w:rsidR="00F47F50">
        <w:rPr>
          <w:rFonts w:cs="Helvetica"/>
        </w:rPr>
        <w:t xml:space="preserve"> itself may not be receiving any additional fee for its own account</w:t>
      </w:r>
      <w:r w:rsidR="007F48C0">
        <w:rPr>
          <w:rFonts w:cs="Helvetica"/>
        </w:rPr>
        <w:t xml:space="preserve">.  </w:t>
      </w:r>
      <w:r w:rsidR="00F47F50">
        <w:rPr>
          <w:rFonts w:cs="Helvetica"/>
        </w:rPr>
        <w:t>T</w:t>
      </w:r>
      <w:r w:rsidR="001D66E0">
        <w:rPr>
          <w:rFonts w:cs="Helvetica"/>
        </w:rPr>
        <w:t xml:space="preserve">he </w:t>
      </w:r>
      <w:proofErr w:type="spellStart"/>
      <w:r w:rsidR="001D66E0">
        <w:rPr>
          <w:rFonts w:cs="Helvetica"/>
        </w:rPr>
        <w:t>RSE</w:t>
      </w:r>
      <w:proofErr w:type="spellEnd"/>
      <w:r w:rsidR="001D66E0">
        <w:rPr>
          <w:rFonts w:cs="Helvetica"/>
        </w:rPr>
        <w:t xml:space="preserve"> is discouraged from even considering such disintermediation.</w:t>
      </w:r>
      <w:r w:rsidR="00F47F50">
        <w:rPr>
          <w:rFonts w:cs="Helvetica"/>
        </w:rPr>
        <w:t xml:space="preserve">  </w:t>
      </w:r>
    </w:p>
    <w:p w14:paraId="1DB4B508" w14:textId="77777777" w:rsidR="007F48C0" w:rsidRDefault="007F48C0" w:rsidP="00CA572D">
      <w:pPr>
        <w:widowControl w:val="0"/>
        <w:autoSpaceDE w:val="0"/>
        <w:autoSpaceDN w:val="0"/>
        <w:adjustRightInd w:val="0"/>
        <w:rPr>
          <w:rFonts w:cs="Helvetica"/>
        </w:rPr>
      </w:pPr>
    </w:p>
    <w:p w14:paraId="16C936E3" w14:textId="4951ECB5" w:rsidR="007F48C0" w:rsidRDefault="007F48C0" w:rsidP="00CA572D">
      <w:pPr>
        <w:widowControl w:val="0"/>
        <w:autoSpaceDE w:val="0"/>
        <w:autoSpaceDN w:val="0"/>
        <w:adjustRightInd w:val="0"/>
        <w:rPr>
          <w:rFonts w:cs="Helvetica"/>
        </w:rPr>
      </w:pPr>
      <w:r>
        <w:rPr>
          <w:rFonts w:cs="Helvetica"/>
        </w:rPr>
        <w:t xml:space="preserve">There are many more examples in which fee </w:t>
      </w:r>
      <w:r w:rsidR="00E02F8D">
        <w:rPr>
          <w:rFonts w:cs="Helvetica"/>
        </w:rPr>
        <w:t>disclosure</w:t>
      </w:r>
      <w:r>
        <w:rPr>
          <w:rFonts w:cs="Helvetica"/>
        </w:rPr>
        <w:t xml:space="preserve"> can discourage activity that would both improve retirement outcomes and make the economy more efficient.  </w:t>
      </w:r>
    </w:p>
    <w:p w14:paraId="2574ACFE" w14:textId="77777777" w:rsidR="007F48C0" w:rsidRDefault="007F48C0" w:rsidP="00CA572D">
      <w:pPr>
        <w:widowControl w:val="0"/>
        <w:autoSpaceDE w:val="0"/>
        <w:autoSpaceDN w:val="0"/>
        <w:adjustRightInd w:val="0"/>
        <w:rPr>
          <w:rFonts w:cs="Helvetica"/>
        </w:rPr>
      </w:pPr>
    </w:p>
    <w:p w14:paraId="2DCBE453" w14:textId="6DF16050" w:rsidR="0072281C" w:rsidRDefault="00E02F8D" w:rsidP="00CA572D">
      <w:pPr>
        <w:widowControl w:val="0"/>
        <w:autoSpaceDE w:val="0"/>
        <w:autoSpaceDN w:val="0"/>
        <w:adjustRightInd w:val="0"/>
        <w:rPr>
          <w:rFonts w:cs="Helvetica"/>
        </w:rPr>
      </w:pPr>
      <w:r>
        <w:rPr>
          <w:rFonts w:cs="Helvetica"/>
        </w:rPr>
        <w:t>The following diagram illustrates the</w:t>
      </w:r>
      <w:r w:rsidR="001D66E0">
        <w:rPr>
          <w:rFonts w:cs="Helvetica"/>
        </w:rPr>
        <w:t xml:space="preserve"> </w:t>
      </w:r>
      <w:r>
        <w:rPr>
          <w:rFonts w:cs="Helvetica"/>
        </w:rPr>
        <w:t xml:space="preserve">sources of the </w:t>
      </w:r>
      <w:r w:rsidR="001D66E0">
        <w:rPr>
          <w:rFonts w:cs="Helvetica"/>
        </w:rPr>
        <w:t>compromised fiduciary duty</w:t>
      </w:r>
      <w:r>
        <w:rPr>
          <w:rFonts w:cs="Helvetica"/>
        </w:rPr>
        <w:t>.</w:t>
      </w:r>
      <w:r w:rsidR="001D66E0">
        <w:rPr>
          <w:rFonts w:cs="Helvetica"/>
        </w:rPr>
        <w:t xml:space="preserve"> </w:t>
      </w:r>
    </w:p>
    <w:p w14:paraId="6038FED6" w14:textId="77777777" w:rsidR="001D66E0" w:rsidRDefault="001D66E0" w:rsidP="00CA572D">
      <w:pPr>
        <w:widowControl w:val="0"/>
        <w:autoSpaceDE w:val="0"/>
        <w:autoSpaceDN w:val="0"/>
        <w:adjustRightInd w:val="0"/>
        <w:rPr>
          <w:rFonts w:cs="Helvetica"/>
        </w:rPr>
      </w:pPr>
    </w:p>
    <w:p w14:paraId="577D47AA" w14:textId="3F3A27C2" w:rsidR="001C0320" w:rsidRPr="001C0320" w:rsidRDefault="001C0320" w:rsidP="001C0320">
      <w:pPr>
        <w:keepNext/>
        <w:keepLines/>
        <w:widowControl w:val="0"/>
        <w:autoSpaceDE w:val="0"/>
        <w:autoSpaceDN w:val="0"/>
        <w:adjustRightInd w:val="0"/>
        <w:jc w:val="center"/>
        <w:rPr>
          <w:rFonts w:cs="Helvetica"/>
          <w:b/>
        </w:rPr>
      </w:pPr>
      <w:r w:rsidRPr="001C0320">
        <w:rPr>
          <w:rFonts w:cs="Helvetica"/>
          <w:b/>
        </w:rPr>
        <w:lastRenderedPageBreak/>
        <w:t>Figure 1: Compromised Fiduciary Duty</w:t>
      </w:r>
    </w:p>
    <w:p w14:paraId="4A3C948A" w14:textId="5F6BB7F9" w:rsidR="001D66E0" w:rsidRDefault="001D66E0" w:rsidP="00532177">
      <w:pPr>
        <w:keepNext/>
        <w:keepLines/>
        <w:widowControl w:val="0"/>
        <w:autoSpaceDE w:val="0"/>
        <w:autoSpaceDN w:val="0"/>
        <w:adjustRightInd w:val="0"/>
        <w:jc w:val="center"/>
        <w:rPr>
          <w:rFonts w:cs="Helvetica"/>
        </w:rPr>
      </w:pPr>
      <w:r w:rsidRPr="001D66E0">
        <w:rPr>
          <w:rFonts w:cs="Helvetica"/>
          <w:noProof/>
          <w:lang w:val="en-AU" w:eastAsia="en-AU"/>
        </w:rPr>
        <w:drawing>
          <wp:inline distT="0" distB="0" distL="0" distR="0" wp14:anchorId="427DA96B" wp14:editId="64B22C37">
            <wp:extent cx="5270500" cy="231194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5270500" cy="2311944"/>
                    </a:xfrm>
                    <a:prstGeom prst="rect">
                      <a:avLst/>
                    </a:prstGeom>
                  </pic:spPr>
                </pic:pic>
              </a:graphicData>
            </a:graphic>
          </wp:inline>
        </w:drawing>
      </w:r>
    </w:p>
    <w:p w14:paraId="351422EE" w14:textId="77777777" w:rsidR="001C0320" w:rsidRDefault="001C0320" w:rsidP="001D66E0">
      <w:pPr>
        <w:widowControl w:val="0"/>
        <w:autoSpaceDE w:val="0"/>
        <w:autoSpaceDN w:val="0"/>
        <w:adjustRightInd w:val="0"/>
        <w:rPr>
          <w:rFonts w:cs="Helvetica"/>
          <w:lang w:val="en-AU"/>
        </w:rPr>
      </w:pPr>
    </w:p>
    <w:p w14:paraId="604DD0F8" w14:textId="77777777" w:rsidR="001D66E0" w:rsidRDefault="001D66E0" w:rsidP="001D66E0">
      <w:pPr>
        <w:widowControl w:val="0"/>
        <w:autoSpaceDE w:val="0"/>
        <w:autoSpaceDN w:val="0"/>
        <w:adjustRightInd w:val="0"/>
        <w:rPr>
          <w:rFonts w:cs="Helvetica"/>
          <w:lang w:val="en-AU"/>
        </w:rPr>
      </w:pPr>
      <w:r>
        <w:rPr>
          <w:rFonts w:cs="Helvetica"/>
          <w:lang w:val="en-AU"/>
        </w:rPr>
        <w:t>Specifically:</w:t>
      </w:r>
    </w:p>
    <w:p w14:paraId="13BC4CF1" w14:textId="2456ABFD" w:rsidR="001D66E0" w:rsidRPr="001D66E0" w:rsidRDefault="001D66E0" w:rsidP="001D66E0">
      <w:pPr>
        <w:pStyle w:val="ListParagraph"/>
        <w:widowControl w:val="0"/>
        <w:numPr>
          <w:ilvl w:val="0"/>
          <w:numId w:val="7"/>
        </w:numPr>
        <w:autoSpaceDE w:val="0"/>
        <w:autoSpaceDN w:val="0"/>
        <w:adjustRightInd w:val="0"/>
        <w:rPr>
          <w:rFonts w:cs="Helvetica"/>
          <w:lang w:val="en-AU"/>
        </w:rPr>
      </w:pPr>
      <w:r w:rsidRPr="001D66E0">
        <w:rPr>
          <w:rFonts w:cs="Helvetica"/>
          <w:lang w:val="en-AU"/>
        </w:rPr>
        <w:t>Vertical integration may bring undue pressure to use related party service providers.</w:t>
      </w:r>
    </w:p>
    <w:p w14:paraId="39E073D8" w14:textId="77777777" w:rsidR="001D66E0" w:rsidRPr="001D66E0" w:rsidRDefault="001D66E0" w:rsidP="001D66E0">
      <w:pPr>
        <w:pStyle w:val="ListParagraph"/>
        <w:widowControl w:val="0"/>
        <w:numPr>
          <w:ilvl w:val="0"/>
          <w:numId w:val="7"/>
        </w:numPr>
        <w:autoSpaceDE w:val="0"/>
        <w:autoSpaceDN w:val="0"/>
        <w:adjustRightInd w:val="0"/>
        <w:rPr>
          <w:rFonts w:cs="Helvetica"/>
          <w:lang w:val="en-AU"/>
        </w:rPr>
      </w:pPr>
      <w:r w:rsidRPr="001D66E0">
        <w:rPr>
          <w:rFonts w:cs="Helvetica"/>
        </w:rPr>
        <w:t>Choice of investment implementation can be compromised by different disclosure treatments of costs.</w:t>
      </w:r>
    </w:p>
    <w:p w14:paraId="72C90B72" w14:textId="77777777" w:rsidR="001D66E0" w:rsidRPr="001D66E0" w:rsidRDefault="001D66E0" w:rsidP="001D66E0">
      <w:pPr>
        <w:pStyle w:val="ListParagraph"/>
        <w:widowControl w:val="0"/>
        <w:numPr>
          <w:ilvl w:val="0"/>
          <w:numId w:val="7"/>
        </w:numPr>
        <w:autoSpaceDE w:val="0"/>
        <w:autoSpaceDN w:val="0"/>
        <w:adjustRightInd w:val="0"/>
        <w:rPr>
          <w:rFonts w:cs="Helvetica"/>
          <w:lang w:val="en-AU"/>
        </w:rPr>
      </w:pPr>
      <w:r w:rsidRPr="001D66E0">
        <w:rPr>
          <w:rFonts w:cs="Helvetica"/>
        </w:rPr>
        <w:t>Superannuation fund members have fiduciary agents but are not informed of what their agents are charging to provide the fiduciary services.</w:t>
      </w:r>
    </w:p>
    <w:p w14:paraId="731A18EE" w14:textId="77777777" w:rsidR="001D66E0" w:rsidRDefault="001D66E0" w:rsidP="00CA572D">
      <w:pPr>
        <w:widowControl w:val="0"/>
        <w:autoSpaceDE w:val="0"/>
        <w:autoSpaceDN w:val="0"/>
        <w:adjustRightInd w:val="0"/>
        <w:rPr>
          <w:rFonts w:cs="Helvetica"/>
        </w:rPr>
      </w:pPr>
    </w:p>
    <w:p w14:paraId="30337BD5" w14:textId="77777777" w:rsidR="00545702" w:rsidRDefault="001D66E0" w:rsidP="00545702">
      <w:pPr>
        <w:widowControl w:val="0"/>
        <w:autoSpaceDE w:val="0"/>
        <w:autoSpaceDN w:val="0"/>
        <w:adjustRightInd w:val="0"/>
        <w:rPr>
          <w:rFonts w:cs="Helvetica"/>
        </w:rPr>
      </w:pPr>
      <w:r>
        <w:rPr>
          <w:rFonts w:cs="Helvetica"/>
        </w:rPr>
        <w:t xml:space="preserve">One potential response to this is to “look through all costs”.  </w:t>
      </w:r>
    </w:p>
    <w:p w14:paraId="3D810926" w14:textId="77777777" w:rsidR="00545702" w:rsidRDefault="00545702" w:rsidP="00545702">
      <w:pPr>
        <w:widowControl w:val="0"/>
        <w:autoSpaceDE w:val="0"/>
        <w:autoSpaceDN w:val="0"/>
        <w:adjustRightInd w:val="0"/>
        <w:rPr>
          <w:rFonts w:cs="Helvetica"/>
        </w:rPr>
      </w:pPr>
    </w:p>
    <w:p w14:paraId="4BDA9B5A" w14:textId="42226B74" w:rsidR="00545702" w:rsidRPr="00545702" w:rsidRDefault="001D66E0" w:rsidP="00545702">
      <w:pPr>
        <w:widowControl w:val="0"/>
        <w:autoSpaceDE w:val="0"/>
        <w:autoSpaceDN w:val="0"/>
        <w:adjustRightInd w:val="0"/>
        <w:rPr>
          <w:rFonts w:cs="Helvetica"/>
        </w:rPr>
      </w:pPr>
      <w:r>
        <w:rPr>
          <w:rFonts w:cs="Helvetica"/>
        </w:rPr>
        <w:t>However, whenever money flows in the economy there is a potential for a proportion of that flow to be extracted</w:t>
      </w:r>
      <w:r w:rsidRPr="006D44E9">
        <w:rPr>
          <w:rFonts w:cs="Helvetica"/>
        </w:rPr>
        <w:t xml:space="preserve"> </w:t>
      </w:r>
      <w:r>
        <w:rPr>
          <w:rFonts w:cs="Helvetica"/>
        </w:rPr>
        <w:t xml:space="preserve">as a payment.  Such payments can take a variety of names including profit share, margin, brokerage, surcharge, bonus, wage, salary, </w:t>
      </w:r>
      <w:r w:rsidR="00545702">
        <w:rPr>
          <w:rFonts w:cs="Helvetica"/>
        </w:rPr>
        <w:t xml:space="preserve">tax, </w:t>
      </w:r>
      <w:r>
        <w:rPr>
          <w:rFonts w:cs="Helvetica"/>
        </w:rPr>
        <w:t xml:space="preserve">commission, rent, interest, carry, rebate, loading, disbursement, duty, royalty, rates and probably many more.  They all are effectively some type of fee but trying to identify every single one is impossible.  </w:t>
      </w:r>
      <w:r w:rsidR="00545702" w:rsidRPr="00545702">
        <w:rPr>
          <w:rFonts w:cs="Helvetica"/>
          <w:iCs/>
          <w:lang w:val="en-AU"/>
        </w:rPr>
        <w:t>With apologies to Augustus de Morgan,</w:t>
      </w:r>
      <w:r w:rsidR="00545702">
        <w:rPr>
          <w:rFonts w:cs="Helvetica"/>
          <w:i/>
          <w:iCs/>
          <w:lang w:val="en-AU"/>
        </w:rPr>
        <w:t xml:space="preserve"> </w:t>
      </w:r>
      <w:r w:rsidR="00545702" w:rsidRPr="00605BAB">
        <w:rPr>
          <w:rFonts w:cs="Helvetica"/>
          <w:i/>
          <w:iCs/>
          <w:lang w:val="en-AU"/>
        </w:rPr>
        <w:t>“</w:t>
      </w:r>
      <w:r w:rsidR="00545702" w:rsidRPr="00605BAB">
        <w:rPr>
          <w:rFonts w:cs="Helvetica"/>
          <w:i/>
          <w:iCs/>
          <w:lang w:val="en-GB"/>
        </w:rPr>
        <w:t>Investment flows have little fees upon their backs to bite ‘</w:t>
      </w:r>
      <w:proofErr w:type="spellStart"/>
      <w:r w:rsidR="00545702" w:rsidRPr="00605BAB">
        <w:rPr>
          <w:rFonts w:cs="Helvetica"/>
          <w:i/>
          <w:iCs/>
          <w:lang w:val="en-GB"/>
        </w:rPr>
        <w:t>em</w:t>
      </w:r>
      <w:proofErr w:type="spellEnd"/>
      <w:r w:rsidR="00545702">
        <w:rPr>
          <w:rFonts w:cs="Helvetica"/>
          <w:i/>
          <w:iCs/>
          <w:lang w:val="en-GB"/>
        </w:rPr>
        <w:t xml:space="preserve">.  </w:t>
      </w:r>
      <w:r w:rsidR="00545702" w:rsidRPr="00605BAB">
        <w:rPr>
          <w:rFonts w:cs="Helvetica"/>
          <w:i/>
          <w:iCs/>
          <w:lang w:val="en-GB"/>
        </w:rPr>
        <w:t>And little fees have lesser fees and so ad infinitum”</w:t>
      </w:r>
      <w:r w:rsidR="00545702">
        <w:rPr>
          <w:rFonts w:cs="Helvetica"/>
          <w:i/>
          <w:iCs/>
          <w:lang w:val="en-GB"/>
        </w:rPr>
        <w:t>.</w:t>
      </w:r>
    </w:p>
    <w:p w14:paraId="203DC1DB" w14:textId="77777777" w:rsidR="00545702" w:rsidRDefault="00545702" w:rsidP="00CA572D">
      <w:pPr>
        <w:widowControl w:val="0"/>
        <w:autoSpaceDE w:val="0"/>
        <w:autoSpaceDN w:val="0"/>
        <w:adjustRightInd w:val="0"/>
        <w:rPr>
          <w:rFonts w:cs="Helvetica"/>
        </w:rPr>
      </w:pPr>
    </w:p>
    <w:p w14:paraId="3F371A67" w14:textId="55F03904" w:rsidR="001D66E0" w:rsidRDefault="00E02F8D" w:rsidP="00CA572D">
      <w:pPr>
        <w:widowControl w:val="0"/>
        <w:autoSpaceDE w:val="0"/>
        <w:autoSpaceDN w:val="0"/>
        <w:adjustRightInd w:val="0"/>
        <w:rPr>
          <w:rFonts w:cs="Helvetica"/>
        </w:rPr>
      </w:pPr>
      <w:r>
        <w:rPr>
          <w:rFonts w:cs="Helvetica"/>
        </w:rPr>
        <w:t>Fortunately,</w:t>
      </w:r>
      <w:r w:rsidR="001D66E0">
        <w:rPr>
          <w:rFonts w:cs="Helvetica"/>
        </w:rPr>
        <w:t xml:space="preserve"> </w:t>
      </w:r>
      <w:r w:rsidR="00545702">
        <w:rPr>
          <w:rFonts w:cs="Helvetica"/>
        </w:rPr>
        <w:t xml:space="preserve">such an extreme approach </w:t>
      </w:r>
      <w:r w:rsidR="001D66E0">
        <w:rPr>
          <w:rFonts w:cs="Helvetica"/>
        </w:rPr>
        <w:t xml:space="preserve">is also irrelevant if fee disclosure is </w:t>
      </w:r>
      <w:r w:rsidR="00545702">
        <w:rPr>
          <w:rFonts w:cs="Helvetica"/>
        </w:rPr>
        <w:t xml:space="preserve">modified in a way so that it </w:t>
      </w:r>
      <w:proofErr w:type="spellStart"/>
      <w:r w:rsidR="00545702">
        <w:rPr>
          <w:rFonts w:cs="Helvetica"/>
        </w:rPr>
        <w:t>emphasises</w:t>
      </w:r>
      <w:proofErr w:type="spellEnd"/>
      <w:r w:rsidR="00545702">
        <w:rPr>
          <w:rFonts w:cs="Helvetica"/>
        </w:rPr>
        <w:t xml:space="preserve"> the fiduciary relationship that the </w:t>
      </w:r>
      <w:proofErr w:type="spellStart"/>
      <w:r w:rsidR="00545702">
        <w:rPr>
          <w:rFonts w:cs="Helvetica"/>
        </w:rPr>
        <w:t>RSE</w:t>
      </w:r>
      <w:proofErr w:type="spellEnd"/>
      <w:r w:rsidR="00545702">
        <w:rPr>
          <w:rFonts w:cs="Helvetica"/>
        </w:rPr>
        <w:t xml:space="preserve"> has with its clients.</w:t>
      </w:r>
      <w:r w:rsidR="001D66E0">
        <w:rPr>
          <w:rFonts w:cs="Helvetica"/>
        </w:rPr>
        <w:t xml:space="preserve"> </w:t>
      </w:r>
    </w:p>
    <w:p w14:paraId="3491CB21" w14:textId="77777777" w:rsidR="00F01F20" w:rsidRDefault="00F01F20" w:rsidP="00CA572D">
      <w:pPr>
        <w:widowControl w:val="0"/>
        <w:autoSpaceDE w:val="0"/>
        <w:autoSpaceDN w:val="0"/>
        <w:adjustRightInd w:val="0"/>
        <w:rPr>
          <w:rFonts w:cs="Helvetica"/>
        </w:rPr>
      </w:pPr>
    </w:p>
    <w:p w14:paraId="4F6EDAC6" w14:textId="11F76324" w:rsidR="00545702" w:rsidRDefault="00545702" w:rsidP="00545702">
      <w:pPr>
        <w:widowControl w:val="0"/>
        <w:autoSpaceDE w:val="0"/>
        <w:autoSpaceDN w:val="0"/>
        <w:adjustRightInd w:val="0"/>
        <w:rPr>
          <w:rFonts w:cs="Helvetica"/>
        </w:rPr>
      </w:pPr>
      <w:r w:rsidRPr="00545702">
        <w:rPr>
          <w:rFonts w:cs="Helvetica"/>
        </w:rPr>
        <w:t xml:space="preserve">In order to make the industry more competitive and to allow </w:t>
      </w:r>
      <w:proofErr w:type="spellStart"/>
      <w:r w:rsidRPr="00545702">
        <w:rPr>
          <w:rFonts w:cs="Helvetica"/>
        </w:rPr>
        <w:t>RSEs</w:t>
      </w:r>
      <w:proofErr w:type="spellEnd"/>
      <w:r w:rsidRPr="00545702">
        <w:rPr>
          <w:rFonts w:cs="Helvetica"/>
        </w:rPr>
        <w:t xml:space="preserve"> to concentrate on net returns</w:t>
      </w:r>
      <w:r>
        <w:rPr>
          <w:rFonts w:cs="Helvetica"/>
        </w:rPr>
        <w:t>, fee disclosure should take the following form</w:t>
      </w:r>
      <w:r w:rsidR="00EB7C57">
        <w:rPr>
          <w:rFonts w:cs="Helvetica"/>
        </w:rPr>
        <w:t>.  T</w:t>
      </w:r>
      <w:r w:rsidR="00F4290D">
        <w:rPr>
          <w:rFonts w:cs="Helvetica"/>
        </w:rPr>
        <w:t xml:space="preserve">hese costs should be </w:t>
      </w:r>
      <w:r w:rsidR="00F4290D" w:rsidRPr="00297AEF">
        <w:rPr>
          <w:rFonts w:cs="Helvetica"/>
        </w:rPr>
        <w:t xml:space="preserve">readily identifiable as part of the preparation of Business Activity Statements for </w:t>
      </w:r>
      <w:proofErr w:type="spellStart"/>
      <w:r w:rsidR="00F4290D" w:rsidRPr="00297AEF">
        <w:rPr>
          <w:rFonts w:cs="Helvetica"/>
        </w:rPr>
        <w:t>GST</w:t>
      </w:r>
      <w:proofErr w:type="spellEnd"/>
      <w:r w:rsidR="00F4290D" w:rsidRPr="00297AEF">
        <w:rPr>
          <w:rFonts w:cs="Helvetica"/>
        </w:rPr>
        <w:t xml:space="preserve"> calculations</w:t>
      </w:r>
      <w:r>
        <w:rPr>
          <w:rFonts w:cs="Helvetica"/>
        </w:rPr>
        <w:t>:</w:t>
      </w:r>
    </w:p>
    <w:p w14:paraId="5EF5183E" w14:textId="4373387F" w:rsidR="00545702" w:rsidRPr="00F4290D" w:rsidRDefault="00545702" w:rsidP="00F4290D">
      <w:pPr>
        <w:pStyle w:val="ListParagraph"/>
        <w:widowControl w:val="0"/>
        <w:numPr>
          <w:ilvl w:val="0"/>
          <w:numId w:val="8"/>
        </w:numPr>
        <w:autoSpaceDE w:val="0"/>
        <w:autoSpaceDN w:val="0"/>
        <w:adjustRightInd w:val="0"/>
        <w:rPr>
          <w:rFonts w:cs="Helvetica"/>
        </w:rPr>
      </w:pPr>
      <w:r w:rsidRPr="00F4290D">
        <w:rPr>
          <w:rFonts w:cs="Helvetica"/>
        </w:rPr>
        <w:t xml:space="preserve">Identify the costs being added and charged by the </w:t>
      </w:r>
      <w:proofErr w:type="spellStart"/>
      <w:r w:rsidRPr="00F4290D">
        <w:rPr>
          <w:rFonts w:cs="Helvetica"/>
        </w:rPr>
        <w:t>RSE</w:t>
      </w:r>
      <w:proofErr w:type="spellEnd"/>
      <w:r w:rsidRPr="00F4290D">
        <w:rPr>
          <w:rFonts w:cs="Helvetica"/>
        </w:rPr>
        <w:t xml:space="preserve"> to undertake its role as a fiduciary agent</w:t>
      </w:r>
    </w:p>
    <w:p w14:paraId="27C4C982" w14:textId="075C0EED" w:rsidR="00545702" w:rsidRPr="00F4290D" w:rsidRDefault="00E02F8D" w:rsidP="00F4290D">
      <w:pPr>
        <w:pStyle w:val="ListParagraph"/>
        <w:widowControl w:val="0"/>
        <w:numPr>
          <w:ilvl w:val="0"/>
          <w:numId w:val="8"/>
        </w:numPr>
        <w:autoSpaceDE w:val="0"/>
        <w:autoSpaceDN w:val="0"/>
        <w:adjustRightInd w:val="0"/>
        <w:rPr>
          <w:rFonts w:cs="Helvetica"/>
        </w:rPr>
      </w:pPr>
      <w:r w:rsidRPr="00F4290D">
        <w:rPr>
          <w:rFonts w:cs="Helvetica"/>
        </w:rPr>
        <w:t xml:space="preserve">Identify </w:t>
      </w:r>
      <w:r>
        <w:rPr>
          <w:rFonts w:cs="Helvetica"/>
        </w:rPr>
        <w:t>fees</w:t>
      </w:r>
      <w:r w:rsidRPr="00F4290D">
        <w:rPr>
          <w:rFonts w:cs="Helvetica"/>
        </w:rPr>
        <w:t xml:space="preserve"> </w:t>
      </w:r>
      <w:r>
        <w:rPr>
          <w:rFonts w:cs="Helvetica"/>
        </w:rPr>
        <w:t xml:space="preserve">and other payments from </w:t>
      </w:r>
      <w:r w:rsidRPr="00F4290D">
        <w:rPr>
          <w:rFonts w:cs="Helvetica"/>
        </w:rPr>
        <w:t xml:space="preserve">the </w:t>
      </w:r>
      <w:proofErr w:type="spellStart"/>
      <w:r w:rsidRPr="00F4290D">
        <w:rPr>
          <w:rFonts w:cs="Helvetica"/>
        </w:rPr>
        <w:t>RSE</w:t>
      </w:r>
      <w:proofErr w:type="spellEnd"/>
      <w:r w:rsidRPr="00F4290D">
        <w:rPr>
          <w:rFonts w:cs="Helvetica"/>
        </w:rPr>
        <w:t xml:space="preserve"> to related third parties and require the </w:t>
      </w:r>
      <w:proofErr w:type="spellStart"/>
      <w:r w:rsidRPr="00F4290D">
        <w:rPr>
          <w:rFonts w:cs="Helvetica"/>
        </w:rPr>
        <w:t>RSE</w:t>
      </w:r>
      <w:proofErr w:type="spellEnd"/>
      <w:r w:rsidRPr="00F4290D">
        <w:rPr>
          <w:rFonts w:cs="Helvetica"/>
        </w:rPr>
        <w:t xml:space="preserve"> to ensure that these are fair and reasonable</w:t>
      </w:r>
      <w:r>
        <w:rPr>
          <w:rFonts w:cs="Helvetica"/>
        </w:rPr>
        <w:t>, with assistance of the survey to which reference is made in the following Point 2.</w:t>
      </w:r>
    </w:p>
    <w:p w14:paraId="007A4089" w14:textId="2B5A4CAA" w:rsidR="00545702" w:rsidRPr="00F4290D" w:rsidRDefault="00545702" w:rsidP="00F4290D">
      <w:pPr>
        <w:pStyle w:val="ListParagraph"/>
        <w:widowControl w:val="0"/>
        <w:numPr>
          <w:ilvl w:val="0"/>
          <w:numId w:val="8"/>
        </w:numPr>
        <w:autoSpaceDE w:val="0"/>
        <w:autoSpaceDN w:val="0"/>
        <w:adjustRightInd w:val="0"/>
        <w:rPr>
          <w:rFonts w:cs="Helvetica"/>
          <w:lang w:val="en-AU"/>
        </w:rPr>
      </w:pPr>
      <w:r w:rsidRPr="00F4290D">
        <w:rPr>
          <w:rFonts w:cs="Helvetica"/>
        </w:rPr>
        <w:t xml:space="preserve">Payments to unrelated third parties should be competitive but should </w:t>
      </w:r>
      <w:r w:rsidR="00F4290D">
        <w:rPr>
          <w:rFonts w:cs="Helvetica"/>
        </w:rPr>
        <w:t>NOT</w:t>
      </w:r>
      <w:r w:rsidR="00F4290D" w:rsidRPr="00F4290D">
        <w:rPr>
          <w:rFonts w:cs="Helvetica"/>
        </w:rPr>
        <w:t xml:space="preserve"> be the </w:t>
      </w:r>
      <w:r w:rsidR="00E02F8D" w:rsidRPr="00F4290D">
        <w:rPr>
          <w:rFonts w:cs="Helvetica"/>
        </w:rPr>
        <w:t>focus</w:t>
      </w:r>
      <w:r w:rsidR="00F4290D" w:rsidRPr="00F4290D">
        <w:rPr>
          <w:rFonts w:cs="Helvetica"/>
        </w:rPr>
        <w:t xml:space="preserve"> for fee disclosure, as the only reason for an </w:t>
      </w:r>
      <w:proofErr w:type="spellStart"/>
      <w:r w:rsidR="00F4290D" w:rsidRPr="00F4290D">
        <w:rPr>
          <w:rFonts w:cs="Helvetica"/>
        </w:rPr>
        <w:t>RSE</w:t>
      </w:r>
      <w:proofErr w:type="spellEnd"/>
      <w:r w:rsidR="00F4290D" w:rsidRPr="00F4290D">
        <w:rPr>
          <w:rFonts w:cs="Helvetica"/>
        </w:rPr>
        <w:t xml:space="preserve"> to employ such third parties should be to pursue higher net returns for </w:t>
      </w:r>
      <w:r w:rsidR="00F4290D" w:rsidRPr="00F4290D">
        <w:rPr>
          <w:rFonts w:cs="Helvetica"/>
        </w:rPr>
        <w:lastRenderedPageBreak/>
        <w:t>clients</w:t>
      </w:r>
      <w:r w:rsidR="001C0320">
        <w:rPr>
          <w:rFonts w:cs="Helvetica"/>
        </w:rPr>
        <w:t>.  Such “fees” may</w:t>
      </w:r>
      <w:r w:rsidR="00F4290D">
        <w:rPr>
          <w:rFonts w:cs="Helvetica"/>
        </w:rPr>
        <w:t xml:space="preserve"> represent the replacement of an implicit fee with a lower explicit fee</w:t>
      </w:r>
      <w:r w:rsidR="001C0320">
        <w:rPr>
          <w:rFonts w:cs="Helvetica"/>
        </w:rPr>
        <w:t xml:space="preserve"> and, in the interests of efficiency, </w:t>
      </w:r>
      <w:proofErr w:type="spellStart"/>
      <w:r w:rsidR="001C0320">
        <w:rPr>
          <w:rFonts w:cs="Helvetica"/>
        </w:rPr>
        <w:t>RSEs</w:t>
      </w:r>
      <w:proofErr w:type="spellEnd"/>
      <w:r w:rsidR="001C0320">
        <w:rPr>
          <w:rFonts w:cs="Helvetica"/>
        </w:rPr>
        <w:t xml:space="preserve"> should be encouraged to seek such opportunities</w:t>
      </w:r>
      <w:r w:rsidR="00F4290D" w:rsidRPr="00F4290D">
        <w:rPr>
          <w:rFonts w:cs="Helvetica"/>
        </w:rPr>
        <w:t>.</w:t>
      </w:r>
    </w:p>
    <w:p w14:paraId="248B178F" w14:textId="77777777" w:rsidR="00F4290D" w:rsidRDefault="00F4290D" w:rsidP="00CA572D">
      <w:pPr>
        <w:widowControl w:val="0"/>
        <w:autoSpaceDE w:val="0"/>
        <w:autoSpaceDN w:val="0"/>
        <w:adjustRightInd w:val="0"/>
        <w:rPr>
          <w:rFonts w:cs="Helvetica"/>
        </w:rPr>
      </w:pPr>
    </w:p>
    <w:p w14:paraId="6717AE32" w14:textId="66FF8D43" w:rsidR="001C0320" w:rsidRDefault="00F4290D" w:rsidP="00CA572D">
      <w:pPr>
        <w:widowControl w:val="0"/>
        <w:autoSpaceDE w:val="0"/>
        <w:autoSpaceDN w:val="0"/>
        <w:adjustRightInd w:val="0"/>
        <w:rPr>
          <w:rFonts w:cs="Helvetica"/>
        </w:rPr>
      </w:pPr>
      <w:r>
        <w:rPr>
          <w:rFonts w:cs="Helvetica"/>
        </w:rPr>
        <w:t xml:space="preserve">Under this </w:t>
      </w:r>
      <w:r w:rsidR="00E02F8D">
        <w:rPr>
          <w:rFonts w:cs="Helvetica"/>
        </w:rPr>
        <w:t>approach,</w:t>
      </w:r>
      <w:r>
        <w:rPr>
          <w:rFonts w:cs="Helvetica"/>
        </w:rPr>
        <w:t xml:space="preserve"> </w:t>
      </w:r>
      <w:proofErr w:type="spellStart"/>
      <w:r>
        <w:rPr>
          <w:rFonts w:cs="Helvetica"/>
        </w:rPr>
        <w:t>RSEs</w:t>
      </w:r>
      <w:proofErr w:type="spellEnd"/>
      <w:r>
        <w:rPr>
          <w:rFonts w:cs="Helvetica"/>
        </w:rPr>
        <w:t xml:space="preserve"> will be </w:t>
      </w:r>
      <w:r w:rsidR="00EB7C57">
        <w:rPr>
          <w:rFonts w:cs="Helvetica"/>
        </w:rPr>
        <w:t>encouraged</w:t>
      </w:r>
      <w:r>
        <w:rPr>
          <w:rFonts w:cs="Helvetica"/>
        </w:rPr>
        <w:t xml:space="preserve"> to </w:t>
      </w:r>
      <w:r w:rsidR="00EB7C57">
        <w:rPr>
          <w:rFonts w:cs="Helvetica"/>
        </w:rPr>
        <w:t xml:space="preserve">identify a greater range of potential investment opportunities and will be free to </w:t>
      </w:r>
      <w:r>
        <w:rPr>
          <w:rFonts w:cs="Helvetica"/>
        </w:rPr>
        <w:t xml:space="preserve">pursue the most efficient method of exploiting </w:t>
      </w:r>
      <w:r w:rsidR="00EB7C57">
        <w:rPr>
          <w:rFonts w:cs="Helvetica"/>
        </w:rPr>
        <w:t>each of those opportunities</w:t>
      </w:r>
      <w:r>
        <w:rPr>
          <w:rFonts w:cs="Helvetica"/>
        </w:rPr>
        <w:t xml:space="preserve">.  </w:t>
      </w:r>
      <w:r w:rsidR="00224D18">
        <w:rPr>
          <w:rFonts w:cs="Helvetica"/>
        </w:rPr>
        <w:t xml:space="preserve">This will both improve retirement outcomes and make the economy more efficient.  </w:t>
      </w:r>
    </w:p>
    <w:p w14:paraId="360468BC" w14:textId="77777777" w:rsidR="001C0320" w:rsidRDefault="001C0320" w:rsidP="00CA572D">
      <w:pPr>
        <w:widowControl w:val="0"/>
        <w:autoSpaceDE w:val="0"/>
        <w:autoSpaceDN w:val="0"/>
        <w:adjustRightInd w:val="0"/>
        <w:rPr>
          <w:rFonts w:cs="Helvetica"/>
        </w:rPr>
      </w:pPr>
    </w:p>
    <w:p w14:paraId="2DE2D2C5" w14:textId="12829114" w:rsidR="00224D18" w:rsidRDefault="00224D18" w:rsidP="00CA572D">
      <w:pPr>
        <w:widowControl w:val="0"/>
        <w:autoSpaceDE w:val="0"/>
        <w:autoSpaceDN w:val="0"/>
        <w:adjustRightInd w:val="0"/>
        <w:rPr>
          <w:rFonts w:cs="Helvetica"/>
        </w:rPr>
      </w:pPr>
      <w:r>
        <w:rPr>
          <w:rFonts w:cs="Helvetica"/>
        </w:rPr>
        <w:t xml:space="preserve">At the same time, clients will be able to see exactly what they are being charged by their fiduciary agent and this will allow competition to be more effective at this level </w:t>
      </w:r>
    </w:p>
    <w:p w14:paraId="6B7166D5" w14:textId="77777777" w:rsidR="00224D18" w:rsidRDefault="00224D18" w:rsidP="00CA572D">
      <w:pPr>
        <w:widowControl w:val="0"/>
        <w:autoSpaceDE w:val="0"/>
        <w:autoSpaceDN w:val="0"/>
        <w:adjustRightInd w:val="0"/>
        <w:rPr>
          <w:rFonts w:cs="Helvetica"/>
        </w:rPr>
      </w:pPr>
    </w:p>
    <w:p w14:paraId="6FB63D7C" w14:textId="71F16920" w:rsidR="00224D18" w:rsidRDefault="00224D18" w:rsidP="00CA572D">
      <w:pPr>
        <w:widowControl w:val="0"/>
        <w:autoSpaceDE w:val="0"/>
        <w:autoSpaceDN w:val="0"/>
        <w:adjustRightInd w:val="0"/>
        <w:rPr>
          <w:rFonts w:cs="Helvetica"/>
        </w:rPr>
      </w:pPr>
      <w:r>
        <w:rPr>
          <w:rFonts w:cs="Helvetica"/>
        </w:rPr>
        <w:t>If this approach is not implemented then the most likely outcome is that investment programs will increasingly become mor</w:t>
      </w:r>
      <w:r w:rsidR="000373D4">
        <w:rPr>
          <w:rFonts w:cs="Helvetica"/>
        </w:rPr>
        <w:t xml:space="preserve">e and more concentrated in </w:t>
      </w:r>
      <w:r>
        <w:rPr>
          <w:rFonts w:cs="Helvetica"/>
        </w:rPr>
        <w:t xml:space="preserve">a narrow range of strategies, such as passive investment in a narrow range of listed shares and loans.  Other investment opportunities that could </w:t>
      </w:r>
      <w:r w:rsidR="000373D4">
        <w:rPr>
          <w:rFonts w:cs="Helvetica"/>
        </w:rPr>
        <w:t>enhance the broader economy will remain starved of capital.</w:t>
      </w:r>
    </w:p>
    <w:p w14:paraId="03EE18F3" w14:textId="77777777" w:rsidR="00545702" w:rsidRDefault="00545702" w:rsidP="00CA572D">
      <w:pPr>
        <w:widowControl w:val="0"/>
        <w:autoSpaceDE w:val="0"/>
        <w:autoSpaceDN w:val="0"/>
        <w:adjustRightInd w:val="0"/>
        <w:rPr>
          <w:rFonts w:cs="Helvetica"/>
        </w:rPr>
      </w:pPr>
    </w:p>
    <w:p w14:paraId="6EE31A62" w14:textId="683DCD49" w:rsidR="00801349" w:rsidRPr="00314FB6" w:rsidRDefault="00605BAB" w:rsidP="00CA572D">
      <w:pPr>
        <w:widowControl w:val="0"/>
        <w:autoSpaceDE w:val="0"/>
        <w:autoSpaceDN w:val="0"/>
        <w:adjustRightInd w:val="0"/>
        <w:rPr>
          <w:rFonts w:cs="Helvetica"/>
          <w:b/>
        </w:rPr>
      </w:pPr>
      <w:r w:rsidRPr="00314FB6">
        <w:rPr>
          <w:rFonts w:cs="Helvetica"/>
          <w:b/>
        </w:rPr>
        <w:t xml:space="preserve">2. </w:t>
      </w:r>
      <w:r w:rsidR="00801349" w:rsidRPr="00314FB6">
        <w:rPr>
          <w:rFonts w:cs="Helvetica"/>
          <w:b/>
        </w:rPr>
        <w:t>Survey of Fees Paid</w:t>
      </w:r>
    </w:p>
    <w:p w14:paraId="2C6F22A5" w14:textId="77777777" w:rsidR="00314FB6" w:rsidRDefault="00314FB6" w:rsidP="00CA572D">
      <w:pPr>
        <w:widowControl w:val="0"/>
        <w:autoSpaceDE w:val="0"/>
        <w:autoSpaceDN w:val="0"/>
        <w:adjustRightInd w:val="0"/>
        <w:rPr>
          <w:rFonts w:cs="Helvetica"/>
        </w:rPr>
      </w:pPr>
    </w:p>
    <w:p w14:paraId="2ACD8D74" w14:textId="0E8E0BA8" w:rsidR="00532177" w:rsidRDefault="00314FB6" w:rsidP="00CA572D">
      <w:pPr>
        <w:widowControl w:val="0"/>
        <w:autoSpaceDE w:val="0"/>
        <w:autoSpaceDN w:val="0"/>
        <w:adjustRightInd w:val="0"/>
        <w:rPr>
          <w:rFonts w:cs="Helvetica"/>
        </w:rPr>
      </w:pPr>
      <w:r>
        <w:rPr>
          <w:rFonts w:cs="Helvetica"/>
        </w:rPr>
        <w:t xml:space="preserve">A potential problem with the fee disclosure </w:t>
      </w:r>
      <w:r w:rsidR="00532177">
        <w:rPr>
          <w:rFonts w:cs="Helvetica"/>
        </w:rPr>
        <w:t>approach</w:t>
      </w:r>
      <w:r>
        <w:rPr>
          <w:rFonts w:cs="Helvetica"/>
        </w:rPr>
        <w:t xml:space="preserve"> described in Point 1 is that </w:t>
      </w:r>
      <w:proofErr w:type="spellStart"/>
      <w:r>
        <w:rPr>
          <w:rFonts w:cs="Helvetica"/>
        </w:rPr>
        <w:t>RSEs</w:t>
      </w:r>
      <w:proofErr w:type="spellEnd"/>
      <w:r>
        <w:rPr>
          <w:rFonts w:cs="Helvetica"/>
        </w:rPr>
        <w:t xml:space="preserve"> may lose focus on the payments that are made to unrelated third parties</w:t>
      </w:r>
      <w:r w:rsidR="001D1AA8">
        <w:rPr>
          <w:rFonts w:cs="Helvetica"/>
        </w:rPr>
        <w:t>. They may also lack</w:t>
      </w:r>
      <w:r w:rsidR="00532177">
        <w:rPr>
          <w:rFonts w:cs="Helvetica"/>
        </w:rPr>
        <w:t xml:space="preserve"> a solid foundation against which payments to related parties can be benchmarked</w:t>
      </w:r>
      <w:r>
        <w:rPr>
          <w:rFonts w:cs="Helvetica"/>
        </w:rPr>
        <w:t xml:space="preserve">. </w:t>
      </w:r>
      <w:r w:rsidR="00532177">
        <w:rPr>
          <w:rFonts w:cs="Helvetica"/>
        </w:rPr>
        <w:t xml:space="preserve">  </w:t>
      </w:r>
    </w:p>
    <w:p w14:paraId="7FF403CB" w14:textId="77777777" w:rsidR="00532177" w:rsidRDefault="00532177" w:rsidP="00CA572D">
      <w:pPr>
        <w:widowControl w:val="0"/>
        <w:autoSpaceDE w:val="0"/>
        <w:autoSpaceDN w:val="0"/>
        <w:adjustRightInd w:val="0"/>
        <w:rPr>
          <w:rFonts w:cs="Helvetica"/>
        </w:rPr>
      </w:pPr>
    </w:p>
    <w:p w14:paraId="1DB8BD51" w14:textId="03C0A92F" w:rsidR="00532177" w:rsidRDefault="00532177" w:rsidP="00CA572D">
      <w:pPr>
        <w:widowControl w:val="0"/>
        <w:autoSpaceDE w:val="0"/>
        <w:autoSpaceDN w:val="0"/>
        <w:adjustRightInd w:val="0"/>
        <w:rPr>
          <w:rFonts w:cs="Helvetica"/>
        </w:rPr>
      </w:pPr>
      <w:r>
        <w:rPr>
          <w:rFonts w:cs="Helvetica"/>
        </w:rPr>
        <w:t>APRA is well placed to survey fee arrangements for material outsourcing arrangements</w:t>
      </w:r>
      <w:r w:rsidR="00467569">
        <w:rPr>
          <w:rFonts w:cs="Helvetica"/>
        </w:rPr>
        <w:t xml:space="preserve"> such as administration, custody and investment management.  As the regulator, APRA</w:t>
      </w:r>
      <w:r>
        <w:rPr>
          <w:rFonts w:cs="Helvetica"/>
        </w:rPr>
        <w:t xml:space="preserve"> can do </w:t>
      </w:r>
      <w:r w:rsidR="00467569">
        <w:rPr>
          <w:rFonts w:cs="Helvetica"/>
        </w:rPr>
        <w:t>this</w:t>
      </w:r>
      <w:r>
        <w:rPr>
          <w:rFonts w:cs="Helvetica"/>
        </w:rPr>
        <w:t xml:space="preserve"> in a way that does not compromise confidentiality agreements to which </w:t>
      </w:r>
      <w:proofErr w:type="spellStart"/>
      <w:r>
        <w:rPr>
          <w:rFonts w:cs="Helvetica"/>
        </w:rPr>
        <w:t>RSEs</w:t>
      </w:r>
      <w:proofErr w:type="spellEnd"/>
      <w:r>
        <w:rPr>
          <w:rFonts w:cs="Helvetica"/>
        </w:rPr>
        <w:t xml:space="preserve"> may be committed.</w:t>
      </w:r>
    </w:p>
    <w:p w14:paraId="44DF1F8E" w14:textId="77777777" w:rsidR="00532177" w:rsidRDefault="00532177" w:rsidP="00CA572D">
      <w:pPr>
        <w:widowControl w:val="0"/>
        <w:autoSpaceDE w:val="0"/>
        <w:autoSpaceDN w:val="0"/>
        <w:adjustRightInd w:val="0"/>
        <w:rPr>
          <w:rFonts w:cs="Helvetica"/>
        </w:rPr>
      </w:pPr>
    </w:p>
    <w:p w14:paraId="3ECA60E7" w14:textId="4C3BFE51" w:rsidR="00532177" w:rsidRDefault="00532177" w:rsidP="00CA572D">
      <w:pPr>
        <w:widowControl w:val="0"/>
        <w:autoSpaceDE w:val="0"/>
        <w:autoSpaceDN w:val="0"/>
        <w:adjustRightInd w:val="0"/>
        <w:rPr>
          <w:rFonts w:cs="Helvetica"/>
        </w:rPr>
      </w:pPr>
      <w:r>
        <w:rPr>
          <w:rFonts w:cs="Helvetica"/>
        </w:rPr>
        <w:t xml:space="preserve">Summary information can be provided to </w:t>
      </w:r>
      <w:proofErr w:type="spellStart"/>
      <w:r>
        <w:rPr>
          <w:rFonts w:cs="Helvetica"/>
        </w:rPr>
        <w:t>RSEs</w:t>
      </w:r>
      <w:proofErr w:type="spellEnd"/>
      <w:r>
        <w:rPr>
          <w:rFonts w:cs="Helvetica"/>
        </w:rPr>
        <w:t xml:space="preserve"> who can </w:t>
      </w:r>
      <w:r w:rsidR="00467569">
        <w:rPr>
          <w:rFonts w:cs="Helvetica"/>
        </w:rPr>
        <w:t>then compare the fees that they have negotiated with those in the market</w:t>
      </w:r>
      <w:r w:rsidR="001D1AA8">
        <w:rPr>
          <w:rFonts w:cs="Helvetica"/>
        </w:rPr>
        <w:t>.  This will also provide a</w:t>
      </w:r>
      <w:r w:rsidR="00467569">
        <w:rPr>
          <w:rFonts w:cs="Helvetica"/>
        </w:rPr>
        <w:t xml:space="preserve"> basis for benchmarking relationships with related parties.</w:t>
      </w:r>
      <w:r>
        <w:rPr>
          <w:rFonts w:cs="Helvetica"/>
        </w:rPr>
        <w:t xml:space="preserve"> </w:t>
      </w:r>
    </w:p>
    <w:p w14:paraId="30F8AE85" w14:textId="77777777" w:rsidR="00532177" w:rsidRDefault="00532177" w:rsidP="00CA572D">
      <w:pPr>
        <w:widowControl w:val="0"/>
        <w:autoSpaceDE w:val="0"/>
        <w:autoSpaceDN w:val="0"/>
        <w:adjustRightInd w:val="0"/>
        <w:rPr>
          <w:rFonts w:cs="Helvetica"/>
        </w:rPr>
      </w:pPr>
    </w:p>
    <w:p w14:paraId="11272414" w14:textId="17DEBEA6" w:rsidR="00467569" w:rsidRDefault="00467569" w:rsidP="00CA572D">
      <w:pPr>
        <w:widowControl w:val="0"/>
        <w:autoSpaceDE w:val="0"/>
        <w:autoSpaceDN w:val="0"/>
        <w:adjustRightInd w:val="0"/>
        <w:rPr>
          <w:rFonts w:cs="Helvetica"/>
        </w:rPr>
      </w:pPr>
      <w:r>
        <w:rPr>
          <w:rFonts w:cs="Helvetica"/>
        </w:rPr>
        <w:t>To illustrate, data for a specific type of investment mandate</w:t>
      </w:r>
      <w:r w:rsidRPr="00467569">
        <w:rPr>
          <w:rFonts w:cs="Helvetica"/>
        </w:rPr>
        <w:t xml:space="preserve"> </w:t>
      </w:r>
      <w:r>
        <w:rPr>
          <w:rFonts w:cs="Helvetica"/>
        </w:rPr>
        <w:t xml:space="preserve">might be reflected in the following chart.  </w:t>
      </w:r>
    </w:p>
    <w:p w14:paraId="507CE70B" w14:textId="77777777" w:rsidR="001D1AA8" w:rsidRDefault="001D1AA8" w:rsidP="00CA572D">
      <w:pPr>
        <w:widowControl w:val="0"/>
        <w:autoSpaceDE w:val="0"/>
        <w:autoSpaceDN w:val="0"/>
        <w:adjustRightInd w:val="0"/>
        <w:rPr>
          <w:rFonts w:cs="Helvetica"/>
        </w:rPr>
      </w:pPr>
    </w:p>
    <w:p w14:paraId="6290EFEE" w14:textId="42F5D07B" w:rsidR="00532177" w:rsidRPr="00532177" w:rsidRDefault="00532177" w:rsidP="00532177">
      <w:pPr>
        <w:keepNext/>
        <w:keepLines/>
        <w:widowControl w:val="0"/>
        <w:autoSpaceDE w:val="0"/>
        <w:autoSpaceDN w:val="0"/>
        <w:adjustRightInd w:val="0"/>
        <w:jc w:val="center"/>
        <w:rPr>
          <w:rFonts w:cs="Helvetica"/>
          <w:b/>
        </w:rPr>
      </w:pPr>
      <w:r w:rsidRPr="00532177">
        <w:rPr>
          <w:rFonts w:cs="Helvetica"/>
          <w:b/>
        </w:rPr>
        <w:t>Figure 2: Illustration of a Fee Survey</w:t>
      </w:r>
      <w:r w:rsidR="00467569">
        <w:rPr>
          <w:rFonts w:cs="Helvetica"/>
          <w:b/>
        </w:rPr>
        <w:t xml:space="preserve"> Data</w:t>
      </w:r>
    </w:p>
    <w:p w14:paraId="06125F34" w14:textId="22143ED8" w:rsidR="00532177" w:rsidRDefault="00532177" w:rsidP="00532177">
      <w:pPr>
        <w:keepNext/>
        <w:keepLines/>
        <w:widowControl w:val="0"/>
        <w:autoSpaceDE w:val="0"/>
        <w:autoSpaceDN w:val="0"/>
        <w:adjustRightInd w:val="0"/>
        <w:jc w:val="center"/>
        <w:rPr>
          <w:rFonts w:cs="Helvetica"/>
        </w:rPr>
      </w:pPr>
      <w:r w:rsidRPr="00532177">
        <w:rPr>
          <w:rFonts w:cs="Helvetica"/>
          <w:noProof/>
          <w:lang w:val="en-AU" w:eastAsia="en-AU"/>
        </w:rPr>
        <w:drawing>
          <wp:inline distT="0" distB="0" distL="0" distR="0" wp14:anchorId="7DBBB9E2" wp14:editId="23B777D5">
            <wp:extent cx="3579025" cy="2149402"/>
            <wp:effectExtent l="0" t="0" r="2540" b="10160"/>
            <wp:docPr id="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0326" cy="2150183"/>
                    </a:xfrm>
                    <a:prstGeom prst="rect">
                      <a:avLst/>
                    </a:prstGeom>
                    <a:noFill/>
                    <a:extLst/>
                  </pic:spPr>
                </pic:pic>
              </a:graphicData>
            </a:graphic>
          </wp:inline>
        </w:drawing>
      </w:r>
    </w:p>
    <w:p w14:paraId="09DAFBC0" w14:textId="77777777" w:rsidR="00532177" w:rsidRDefault="00532177" w:rsidP="00CA572D">
      <w:pPr>
        <w:widowControl w:val="0"/>
        <w:autoSpaceDE w:val="0"/>
        <w:autoSpaceDN w:val="0"/>
        <w:adjustRightInd w:val="0"/>
        <w:rPr>
          <w:rFonts w:cs="Helvetica"/>
        </w:rPr>
      </w:pPr>
    </w:p>
    <w:p w14:paraId="57449D14" w14:textId="69462574" w:rsidR="00467569" w:rsidRDefault="00467569" w:rsidP="00CA572D">
      <w:pPr>
        <w:widowControl w:val="0"/>
        <w:autoSpaceDE w:val="0"/>
        <w:autoSpaceDN w:val="0"/>
        <w:adjustRightInd w:val="0"/>
        <w:rPr>
          <w:rFonts w:cs="Helvetica"/>
        </w:rPr>
      </w:pPr>
      <w:r>
        <w:rPr>
          <w:rFonts w:cs="Helvetica"/>
        </w:rPr>
        <w:lastRenderedPageBreak/>
        <w:t xml:space="preserve">An </w:t>
      </w:r>
      <w:proofErr w:type="spellStart"/>
      <w:r>
        <w:rPr>
          <w:rFonts w:cs="Helvetica"/>
        </w:rPr>
        <w:t>RSE</w:t>
      </w:r>
      <w:proofErr w:type="spellEnd"/>
      <w:r>
        <w:rPr>
          <w:rFonts w:cs="Helvetica"/>
        </w:rPr>
        <w:t xml:space="preserve"> faced with this data may identify that the fee being paid by them on a $4.2 billion mandate is high.  This outlier might be justified – for </w:t>
      </w:r>
      <w:r w:rsidR="00E02F8D">
        <w:rPr>
          <w:rFonts w:cs="Helvetica"/>
        </w:rPr>
        <w:t>example,</w:t>
      </w:r>
      <w:r>
        <w:rPr>
          <w:rFonts w:cs="Helvetica"/>
        </w:rPr>
        <w:t xml:space="preserve"> it may relate to a mandate with a zero base fee and the total fee reflects a share of exceptional outperformance.  </w:t>
      </w:r>
      <w:r w:rsidR="00E02F8D">
        <w:rPr>
          <w:rFonts w:cs="Helvetica"/>
        </w:rPr>
        <w:t>However,</w:t>
      </w:r>
      <w:r>
        <w:rPr>
          <w:rFonts w:cs="Helvetica"/>
        </w:rPr>
        <w:t xml:space="preserve"> it is also possible that </w:t>
      </w:r>
      <w:r w:rsidR="00025E19">
        <w:rPr>
          <w:rFonts w:cs="Helvetica"/>
        </w:rPr>
        <w:t xml:space="preserve">the fee had not been renegotiated for some time and had become uncompetitive.  The </w:t>
      </w:r>
      <w:proofErr w:type="spellStart"/>
      <w:r w:rsidR="00025E19">
        <w:rPr>
          <w:rFonts w:cs="Helvetica"/>
        </w:rPr>
        <w:t>RSE</w:t>
      </w:r>
      <w:proofErr w:type="spellEnd"/>
      <w:r w:rsidR="00025E19">
        <w:rPr>
          <w:rFonts w:cs="Helvetica"/>
        </w:rPr>
        <w:t xml:space="preserve"> would have to make a decision as to whether or not that particular manager warranted a premium fee.</w:t>
      </w:r>
    </w:p>
    <w:p w14:paraId="188C2619" w14:textId="77777777" w:rsidR="00467569" w:rsidRDefault="00467569" w:rsidP="00CA572D">
      <w:pPr>
        <w:widowControl w:val="0"/>
        <w:autoSpaceDE w:val="0"/>
        <w:autoSpaceDN w:val="0"/>
        <w:adjustRightInd w:val="0"/>
        <w:rPr>
          <w:rFonts w:cs="Helvetica"/>
        </w:rPr>
      </w:pPr>
    </w:p>
    <w:p w14:paraId="23AFA95C" w14:textId="2EFF7F6E" w:rsidR="00025E19" w:rsidRDefault="00025E19" w:rsidP="00CA572D">
      <w:pPr>
        <w:widowControl w:val="0"/>
        <w:autoSpaceDE w:val="0"/>
        <w:autoSpaceDN w:val="0"/>
        <w:adjustRightInd w:val="0"/>
        <w:rPr>
          <w:rFonts w:cs="Helvetica"/>
        </w:rPr>
      </w:pPr>
      <w:r>
        <w:rPr>
          <w:rFonts w:cs="Helvetica"/>
        </w:rPr>
        <w:t>Similar like-for-like comparisons could be completed for administration, custody, brokerage and other material activities.</w:t>
      </w:r>
    </w:p>
    <w:p w14:paraId="174DC7F8" w14:textId="77777777" w:rsidR="00025E19" w:rsidRDefault="00025E19" w:rsidP="00CA572D">
      <w:pPr>
        <w:widowControl w:val="0"/>
        <w:autoSpaceDE w:val="0"/>
        <w:autoSpaceDN w:val="0"/>
        <w:adjustRightInd w:val="0"/>
        <w:rPr>
          <w:rFonts w:cs="Helvetica"/>
        </w:rPr>
      </w:pPr>
    </w:p>
    <w:p w14:paraId="69ACBECE" w14:textId="1EF0A8EC" w:rsidR="00D46334" w:rsidRDefault="00025E19" w:rsidP="00CA572D">
      <w:pPr>
        <w:widowControl w:val="0"/>
        <w:autoSpaceDE w:val="0"/>
        <w:autoSpaceDN w:val="0"/>
        <w:adjustRightInd w:val="0"/>
        <w:rPr>
          <w:rFonts w:cs="Helvetica"/>
        </w:rPr>
      </w:pPr>
      <w:r>
        <w:rPr>
          <w:rFonts w:cs="Helvetica"/>
        </w:rPr>
        <w:t xml:space="preserve">By making fees more transparent as described in Point 1, there will be downward competitive pressure on the fees that </w:t>
      </w:r>
      <w:proofErr w:type="spellStart"/>
      <w:r>
        <w:rPr>
          <w:rFonts w:cs="Helvetica"/>
        </w:rPr>
        <w:t>RSEs</w:t>
      </w:r>
      <w:proofErr w:type="spellEnd"/>
      <w:r>
        <w:rPr>
          <w:rFonts w:cs="Helvetica"/>
        </w:rPr>
        <w:t xml:space="preserve"> charge for acting in their fiduciary roles.  Providing information such as described in this Point 2 will provide competitive pressure on the fees being paid to unrelated third parties</w:t>
      </w:r>
      <w:r w:rsidR="00D46334">
        <w:rPr>
          <w:rFonts w:cs="Helvetica"/>
        </w:rPr>
        <w:t xml:space="preserve"> and</w:t>
      </w:r>
      <w:r>
        <w:rPr>
          <w:rFonts w:cs="Helvetica"/>
        </w:rPr>
        <w:t xml:space="preserve"> </w:t>
      </w:r>
      <w:r w:rsidR="00D46334">
        <w:rPr>
          <w:rFonts w:cs="Helvetica"/>
        </w:rPr>
        <w:t xml:space="preserve">provide a solid benchmark for </w:t>
      </w:r>
      <w:proofErr w:type="spellStart"/>
      <w:r w:rsidR="00D46334">
        <w:rPr>
          <w:rFonts w:cs="Helvetica"/>
        </w:rPr>
        <w:t>RSEs</w:t>
      </w:r>
      <w:proofErr w:type="spellEnd"/>
      <w:r w:rsidR="00D46334">
        <w:rPr>
          <w:rFonts w:cs="Helvetica"/>
        </w:rPr>
        <w:t xml:space="preserve"> to </w:t>
      </w:r>
      <w:r w:rsidR="00181641">
        <w:rPr>
          <w:rFonts w:cs="Helvetica"/>
        </w:rPr>
        <w:t>assess</w:t>
      </w:r>
      <w:r w:rsidR="00D46334">
        <w:rPr>
          <w:rFonts w:cs="Helvetica"/>
        </w:rPr>
        <w:t xml:space="preserve"> the arrangements with related third parties.  </w:t>
      </w:r>
    </w:p>
    <w:p w14:paraId="3B50D83C" w14:textId="77777777" w:rsidR="00D46334" w:rsidRDefault="00D46334" w:rsidP="00CA572D">
      <w:pPr>
        <w:widowControl w:val="0"/>
        <w:autoSpaceDE w:val="0"/>
        <w:autoSpaceDN w:val="0"/>
        <w:adjustRightInd w:val="0"/>
        <w:rPr>
          <w:rFonts w:cs="Helvetica"/>
        </w:rPr>
      </w:pPr>
    </w:p>
    <w:p w14:paraId="72C5F3E6" w14:textId="118D3337" w:rsidR="00D46334" w:rsidRDefault="00D46334" w:rsidP="00CA572D">
      <w:pPr>
        <w:widowControl w:val="0"/>
        <w:autoSpaceDE w:val="0"/>
        <w:autoSpaceDN w:val="0"/>
        <w:adjustRightInd w:val="0"/>
        <w:rPr>
          <w:rFonts w:cs="Helvetica"/>
        </w:rPr>
      </w:pPr>
      <w:r>
        <w:rPr>
          <w:rFonts w:cs="Helvetica"/>
        </w:rPr>
        <w:t xml:space="preserve">In combination, there will be downward pressure on all fees. </w:t>
      </w:r>
      <w:proofErr w:type="spellStart"/>
      <w:r>
        <w:rPr>
          <w:rFonts w:cs="Helvetica"/>
        </w:rPr>
        <w:t>RSEs</w:t>
      </w:r>
      <w:proofErr w:type="spellEnd"/>
      <w:r>
        <w:rPr>
          <w:rFonts w:cs="Helvetica"/>
        </w:rPr>
        <w:t xml:space="preserve"> will also have the incentive to identify and exploit investment opportunities in ways that disintermediate </w:t>
      </w:r>
      <w:r w:rsidR="00181641">
        <w:rPr>
          <w:rFonts w:cs="Helvetica"/>
        </w:rPr>
        <w:t xml:space="preserve">those </w:t>
      </w:r>
      <w:r>
        <w:rPr>
          <w:rFonts w:cs="Helvetica"/>
        </w:rPr>
        <w:t>established players</w:t>
      </w:r>
      <w:r w:rsidR="00181641">
        <w:rPr>
          <w:rFonts w:cs="Helvetica"/>
        </w:rPr>
        <w:t xml:space="preserve"> who are charging too much</w:t>
      </w:r>
      <w:r>
        <w:rPr>
          <w:rFonts w:cs="Helvetica"/>
        </w:rPr>
        <w:t>.  This will make the economy more efficient and improve retirement outcomes.</w:t>
      </w:r>
    </w:p>
    <w:p w14:paraId="1307EB21" w14:textId="77777777" w:rsidR="00D46334" w:rsidRDefault="00D46334" w:rsidP="00CA572D">
      <w:pPr>
        <w:widowControl w:val="0"/>
        <w:autoSpaceDE w:val="0"/>
        <w:autoSpaceDN w:val="0"/>
        <w:adjustRightInd w:val="0"/>
        <w:rPr>
          <w:rFonts w:cs="Helvetica"/>
        </w:rPr>
      </w:pPr>
    </w:p>
    <w:p w14:paraId="14F6B105" w14:textId="53392069" w:rsidR="00314FB6" w:rsidRDefault="00677003" w:rsidP="00CA572D">
      <w:pPr>
        <w:widowControl w:val="0"/>
        <w:autoSpaceDE w:val="0"/>
        <w:autoSpaceDN w:val="0"/>
        <w:adjustRightInd w:val="0"/>
        <w:rPr>
          <w:rFonts w:cs="Helvetica"/>
        </w:rPr>
      </w:pPr>
      <w:r>
        <w:rPr>
          <w:rFonts w:cs="Helvetica"/>
        </w:rPr>
        <w:t>O</w:t>
      </w:r>
      <w:r w:rsidR="00D46334">
        <w:rPr>
          <w:rFonts w:cs="Helvetica"/>
        </w:rPr>
        <w:t xml:space="preserve">ne extension that would tilt the competitive playing field </w:t>
      </w:r>
      <w:r w:rsidR="00181641">
        <w:rPr>
          <w:rFonts w:cs="Helvetica"/>
        </w:rPr>
        <w:t xml:space="preserve">heavily </w:t>
      </w:r>
      <w:r w:rsidR="00D46334">
        <w:rPr>
          <w:rFonts w:cs="Helvetica"/>
        </w:rPr>
        <w:t xml:space="preserve">in </w:t>
      </w:r>
      <w:proofErr w:type="spellStart"/>
      <w:r w:rsidR="00D46334">
        <w:rPr>
          <w:rFonts w:cs="Helvetica"/>
        </w:rPr>
        <w:t>favour</w:t>
      </w:r>
      <w:proofErr w:type="spellEnd"/>
      <w:r w:rsidR="00D46334">
        <w:rPr>
          <w:rFonts w:cs="Helvetica"/>
        </w:rPr>
        <w:t xml:space="preserve"> of the Australian superannuation funds would be to only provide the data to the funds or, perhaps, provide information </w:t>
      </w:r>
      <w:r>
        <w:rPr>
          <w:rFonts w:cs="Helvetica"/>
        </w:rPr>
        <w:t xml:space="preserve">to </w:t>
      </w:r>
      <w:proofErr w:type="spellStart"/>
      <w:r>
        <w:rPr>
          <w:rFonts w:cs="Helvetica"/>
        </w:rPr>
        <w:t>RSEs</w:t>
      </w:r>
      <w:proofErr w:type="spellEnd"/>
      <w:r>
        <w:rPr>
          <w:rFonts w:cs="Helvetica"/>
        </w:rPr>
        <w:t xml:space="preserve"> </w:t>
      </w:r>
      <w:r w:rsidR="00D46334">
        <w:rPr>
          <w:rFonts w:cs="Helvetica"/>
        </w:rPr>
        <w:t xml:space="preserve">only on those arrangements that are above the line-of-best-fit.  </w:t>
      </w:r>
    </w:p>
    <w:p w14:paraId="577AD456" w14:textId="77777777" w:rsidR="00314FB6" w:rsidRDefault="00314FB6" w:rsidP="00CA572D">
      <w:pPr>
        <w:widowControl w:val="0"/>
        <w:autoSpaceDE w:val="0"/>
        <w:autoSpaceDN w:val="0"/>
        <w:adjustRightInd w:val="0"/>
        <w:rPr>
          <w:rFonts w:cs="Helvetica"/>
        </w:rPr>
      </w:pPr>
    </w:p>
    <w:p w14:paraId="286A6209" w14:textId="25F95E2F" w:rsidR="00801349" w:rsidRPr="00677003" w:rsidRDefault="00605BAB" w:rsidP="00CA572D">
      <w:pPr>
        <w:widowControl w:val="0"/>
        <w:autoSpaceDE w:val="0"/>
        <w:autoSpaceDN w:val="0"/>
        <w:adjustRightInd w:val="0"/>
        <w:rPr>
          <w:rFonts w:cs="Helvetica"/>
          <w:b/>
        </w:rPr>
      </w:pPr>
      <w:r w:rsidRPr="00677003">
        <w:rPr>
          <w:rFonts w:cs="Helvetica"/>
          <w:b/>
        </w:rPr>
        <w:t xml:space="preserve">3. </w:t>
      </w:r>
      <w:r w:rsidR="00801349" w:rsidRPr="00677003">
        <w:rPr>
          <w:rFonts w:cs="Helvetica"/>
          <w:b/>
        </w:rPr>
        <w:t>Material Functions</w:t>
      </w:r>
    </w:p>
    <w:p w14:paraId="7ECB12E9" w14:textId="77777777" w:rsidR="00605BAB" w:rsidRDefault="00605BAB" w:rsidP="00CA572D">
      <w:pPr>
        <w:widowControl w:val="0"/>
        <w:autoSpaceDE w:val="0"/>
        <w:autoSpaceDN w:val="0"/>
        <w:adjustRightInd w:val="0"/>
        <w:rPr>
          <w:rFonts w:cs="Helvetica"/>
        </w:rPr>
      </w:pPr>
    </w:p>
    <w:p w14:paraId="519D4797" w14:textId="514BAF3B" w:rsidR="00677003" w:rsidRDefault="00677003" w:rsidP="00CA572D">
      <w:pPr>
        <w:widowControl w:val="0"/>
        <w:autoSpaceDE w:val="0"/>
        <w:autoSpaceDN w:val="0"/>
        <w:adjustRightInd w:val="0"/>
        <w:rPr>
          <w:rFonts w:cs="Helvetica"/>
        </w:rPr>
      </w:pPr>
      <w:proofErr w:type="spellStart"/>
      <w:r>
        <w:rPr>
          <w:rFonts w:cs="Helvetica"/>
        </w:rPr>
        <w:t>RSEs</w:t>
      </w:r>
      <w:proofErr w:type="spellEnd"/>
      <w:r>
        <w:rPr>
          <w:rFonts w:cs="Helvetica"/>
        </w:rPr>
        <w:t xml:space="preserve"> have a fiduciary responsibility to their clients.  If the </w:t>
      </w:r>
      <w:proofErr w:type="spellStart"/>
      <w:r>
        <w:rPr>
          <w:rFonts w:cs="Helvetica"/>
        </w:rPr>
        <w:t>RSE</w:t>
      </w:r>
      <w:proofErr w:type="spellEnd"/>
      <w:r>
        <w:rPr>
          <w:rFonts w:cs="Helvetica"/>
        </w:rPr>
        <w:t xml:space="preserve"> also undertakes a material function such as investment management or administration, a situation will inevitably emerge that will compromise the objectivity of the </w:t>
      </w:r>
      <w:proofErr w:type="spellStart"/>
      <w:r>
        <w:rPr>
          <w:rFonts w:cs="Helvetica"/>
        </w:rPr>
        <w:t>RSE</w:t>
      </w:r>
      <w:proofErr w:type="spellEnd"/>
      <w:r>
        <w:rPr>
          <w:rFonts w:cs="Helvetica"/>
        </w:rPr>
        <w:t xml:space="preserve"> to assess its own performance in this material function.  </w:t>
      </w:r>
      <w:r w:rsidR="000E5662">
        <w:rPr>
          <w:rFonts w:cs="Helvetica"/>
        </w:rPr>
        <w:t xml:space="preserve">The </w:t>
      </w:r>
      <w:proofErr w:type="spellStart"/>
      <w:r w:rsidR="000E5662">
        <w:rPr>
          <w:rFonts w:cs="Helvetica"/>
        </w:rPr>
        <w:t>RSE</w:t>
      </w:r>
      <w:proofErr w:type="spellEnd"/>
      <w:r w:rsidR="000E5662">
        <w:rPr>
          <w:rFonts w:cs="Helvetica"/>
        </w:rPr>
        <w:t xml:space="preserve"> may apply standards that are either too high or too low relative to other providers in the market.</w:t>
      </w:r>
    </w:p>
    <w:p w14:paraId="29839D7F" w14:textId="77777777" w:rsidR="00677003" w:rsidRDefault="00677003" w:rsidP="00CA572D">
      <w:pPr>
        <w:widowControl w:val="0"/>
        <w:autoSpaceDE w:val="0"/>
        <w:autoSpaceDN w:val="0"/>
        <w:adjustRightInd w:val="0"/>
        <w:rPr>
          <w:rFonts w:cs="Helvetica"/>
        </w:rPr>
      </w:pPr>
    </w:p>
    <w:p w14:paraId="393DCD01" w14:textId="5C2D6F55" w:rsidR="00677003" w:rsidRDefault="000E5662" w:rsidP="00CA572D">
      <w:pPr>
        <w:widowControl w:val="0"/>
        <w:autoSpaceDE w:val="0"/>
        <w:autoSpaceDN w:val="0"/>
        <w:adjustRightInd w:val="0"/>
        <w:rPr>
          <w:rFonts w:cs="Helvetica"/>
        </w:rPr>
      </w:pPr>
      <w:r>
        <w:rPr>
          <w:rFonts w:cs="Helvetica"/>
        </w:rPr>
        <w:t xml:space="preserve">Although there are mechanisms by which </w:t>
      </w:r>
      <w:proofErr w:type="spellStart"/>
      <w:r>
        <w:rPr>
          <w:rFonts w:cs="Helvetica"/>
        </w:rPr>
        <w:t>RSEs</w:t>
      </w:r>
      <w:proofErr w:type="spellEnd"/>
      <w:r>
        <w:rPr>
          <w:rFonts w:cs="Helvetica"/>
        </w:rPr>
        <w:t xml:space="preserve"> may be able to overcome this lack of objectivity, a</w:t>
      </w:r>
      <w:r w:rsidR="00677003">
        <w:rPr>
          <w:rFonts w:cs="Helvetica"/>
        </w:rPr>
        <w:t xml:space="preserve"> much clearer demarcation of responsibilities would be achieved if </w:t>
      </w:r>
      <w:proofErr w:type="spellStart"/>
      <w:r w:rsidR="00677003">
        <w:rPr>
          <w:rFonts w:cs="Helvetica"/>
        </w:rPr>
        <w:t>RSEs</w:t>
      </w:r>
      <w:proofErr w:type="spellEnd"/>
      <w:r w:rsidR="00677003">
        <w:rPr>
          <w:rFonts w:cs="Helvetica"/>
        </w:rPr>
        <w:t xml:space="preserve"> were required to outsource material functions.  This outsourcing could be to related third parties</w:t>
      </w:r>
      <w:r>
        <w:rPr>
          <w:rFonts w:cs="Helvetica"/>
        </w:rPr>
        <w:t xml:space="preserve"> that have their own governance structure</w:t>
      </w:r>
      <w:r w:rsidRPr="000E5662">
        <w:rPr>
          <w:rFonts w:cs="Helvetica"/>
        </w:rPr>
        <w:t xml:space="preserve"> </w:t>
      </w:r>
      <w:r>
        <w:rPr>
          <w:rFonts w:cs="Helvetica"/>
        </w:rPr>
        <w:t xml:space="preserve">or unrelated third parties.  The </w:t>
      </w:r>
      <w:proofErr w:type="spellStart"/>
      <w:r>
        <w:rPr>
          <w:rFonts w:cs="Helvetica"/>
        </w:rPr>
        <w:t>RSE</w:t>
      </w:r>
      <w:proofErr w:type="spellEnd"/>
      <w:r>
        <w:rPr>
          <w:rFonts w:cs="Helvetica"/>
        </w:rPr>
        <w:t xml:space="preserve"> would then be able to assess the ongoing suitability of the arrangements through a more objective lens.</w:t>
      </w:r>
    </w:p>
    <w:p w14:paraId="19D057D4" w14:textId="77777777" w:rsidR="00677003" w:rsidRDefault="00677003" w:rsidP="00CA572D">
      <w:pPr>
        <w:widowControl w:val="0"/>
        <w:autoSpaceDE w:val="0"/>
        <w:autoSpaceDN w:val="0"/>
        <w:adjustRightInd w:val="0"/>
        <w:rPr>
          <w:rFonts w:cs="Helvetica"/>
        </w:rPr>
      </w:pPr>
    </w:p>
    <w:p w14:paraId="4FA17A3E" w14:textId="6A9F03CB" w:rsidR="00605BAB" w:rsidRPr="000E5662" w:rsidRDefault="00605BAB" w:rsidP="00CA572D">
      <w:pPr>
        <w:widowControl w:val="0"/>
        <w:autoSpaceDE w:val="0"/>
        <w:autoSpaceDN w:val="0"/>
        <w:adjustRightInd w:val="0"/>
        <w:rPr>
          <w:rFonts w:cs="Helvetica"/>
          <w:b/>
        </w:rPr>
      </w:pPr>
      <w:r w:rsidRPr="000E5662">
        <w:rPr>
          <w:rFonts w:cs="Helvetica"/>
          <w:b/>
        </w:rPr>
        <w:t>4. Product Suite</w:t>
      </w:r>
    </w:p>
    <w:p w14:paraId="6A81253B" w14:textId="77777777" w:rsidR="00605BAB" w:rsidRDefault="00605BAB" w:rsidP="00CA572D">
      <w:pPr>
        <w:widowControl w:val="0"/>
        <w:autoSpaceDE w:val="0"/>
        <w:autoSpaceDN w:val="0"/>
        <w:adjustRightInd w:val="0"/>
        <w:rPr>
          <w:rFonts w:cs="Helvetica"/>
        </w:rPr>
      </w:pPr>
    </w:p>
    <w:p w14:paraId="343699D4" w14:textId="77777777" w:rsidR="009573BF" w:rsidRDefault="009573BF" w:rsidP="000E5662">
      <w:pPr>
        <w:widowControl w:val="0"/>
        <w:autoSpaceDE w:val="0"/>
        <w:autoSpaceDN w:val="0"/>
        <w:adjustRightInd w:val="0"/>
        <w:rPr>
          <w:rFonts w:cs="Helvetica"/>
        </w:rPr>
      </w:pPr>
      <w:r>
        <w:rPr>
          <w:rFonts w:cs="Helvetica"/>
        </w:rPr>
        <w:t>The Productivity Commission Issues Paper identifies</w:t>
      </w:r>
      <w:r w:rsidR="000E5662" w:rsidRPr="00CA572D">
        <w:rPr>
          <w:rFonts w:cs="Helvetica"/>
        </w:rPr>
        <w:t xml:space="preserve"> a distinction between accumulation and decumulation.  However there is an important third stage, which is the transition between the two.  </w:t>
      </w:r>
    </w:p>
    <w:p w14:paraId="0B968DAB" w14:textId="77777777" w:rsidR="009573BF" w:rsidRDefault="009573BF" w:rsidP="000E5662">
      <w:pPr>
        <w:widowControl w:val="0"/>
        <w:autoSpaceDE w:val="0"/>
        <w:autoSpaceDN w:val="0"/>
        <w:adjustRightInd w:val="0"/>
        <w:rPr>
          <w:rFonts w:cs="Helvetica"/>
        </w:rPr>
      </w:pPr>
    </w:p>
    <w:p w14:paraId="2AFD71AC" w14:textId="2C9B3D36" w:rsidR="009573BF" w:rsidRDefault="000E5662" w:rsidP="000E5662">
      <w:pPr>
        <w:widowControl w:val="0"/>
        <w:autoSpaceDE w:val="0"/>
        <w:autoSpaceDN w:val="0"/>
        <w:adjustRightInd w:val="0"/>
        <w:rPr>
          <w:rFonts w:cs="Helvetica"/>
        </w:rPr>
      </w:pPr>
      <w:r w:rsidRPr="00CA572D">
        <w:rPr>
          <w:rFonts w:cs="Helvetica"/>
        </w:rPr>
        <w:t xml:space="preserve">Market volatility is largely irrelevant for those who are early in the accumulation phase.  In </w:t>
      </w:r>
      <w:r w:rsidR="00E02F8D" w:rsidRPr="00CA572D">
        <w:rPr>
          <w:rFonts w:cs="Helvetica"/>
        </w:rPr>
        <w:t>fact,</w:t>
      </w:r>
      <w:r w:rsidRPr="00CA572D">
        <w:rPr>
          <w:rFonts w:cs="Helvetica"/>
        </w:rPr>
        <w:t xml:space="preserve"> these people are advantaged when the market falls as their contribution buys more assets in a dollar-cost-averaging effect.  As a </w:t>
      </w:r>
      <w:r w:rsidR="00E02F8D" w:rsidRPr="00CA572D">
        <w:rPr>
          <w:rFonts w:cs="Helvetica"/>
        </w:rPr>
        <w:lastRenderedPageBreak/>
        <w:t>result,</w:t>
      </w:r>
      <w:r w:rsidRPr="00CA572D">
        <w:rPr>
          <w:rFonts w:cs="Helvetica"/>
        </w:rPr>
        <w:t xml:space="preserve"> risk-adjusted returns are of limited relevance in the early accumulation phase. </w:t>
      </w:r>
      <w:r w:rsidR="001C694C">
        <w:rPr>
          <w:rFonts w:cs="Helvetica"/>
        </w:rPr>
        <w:t xml:space="preserve"> The primary risk of concern in this stage is that money-weighted investment returns will not exceed inflation</w:t>
      </w:r>
      <w:r w:rsidR="00085B02">
        <w:rPr>
          <w:rFonts w:cs="Helvetica"/>
        </w:rPr>
        <w:t xml:space="preserve"> over the long term</w:t>
      </w:r>
      <w:r w:rsidR="001C694C">
        <w:rPr>
          <w:rFonts w:cs="Helvetica"/>
        </w:rPr>
        <w:t>.</w:t>
      </w:r>
    </w:p>
    <w:p w14:paraId="5CA0251D" w14:textId="77777777" w:rsidR="009573BF" w:rsidRDefault="009573BF" w:rsidP="000E5662">
      <w:pPr>
        <w:widowControl w:val="0"/>
        <w:autoSpaceDE w:val="0"/>
        <w:autoSpaceDN w:val="0"/>
        <w:adjustRightInd w:val="0"/>
        <w:rPr>
          <w:rFonts w:cs="Helvetica"/>
        </w:rPr>
      </w:pPr>
    </w:p>
    <w:p w14:paraId="2667397D" w14:textId="515D586F" w:rsidR="009573BF" w:rsidRDefault="000E5662" w:rsidP="000E5662">
      <w:pPr>
        <w:widowControl w:val="0"/>
        <w:autoSpaceDE w:val="0"/>
        <w:autoSpaceDN w:val="0"/>
        <w:adjustRightInd w:val="0"/>
        <w:rPr>
          <w:rFonts w:cs="Helvetica"/>
        </w:rPr>
      </w:pPr>
      <w:r w:rsidRPr="00CA572D">
        <w:rPr>
          <w:rFonts w:cs="Helvetica"/>
        </w:rPr>
        <w:t>It is in the final 7 to 10 years of the accumulation phase that risk associated with market price movements becomes more important for most (but not all) participants as they get ready to draw down on their accounts</w:t>
      </w:r>
      <w:r w:rsidR="009573BF">
        <w:rPr>
          <w:rFonts w:cs="Helvetica"/>
        </w:rPr>
        <w:t xml:space="preserve">.  Sequencing risk becomes significant as the accumulation account is adjusted so that it is more suitable for the </w:t>
      </w:r>
      <w:r w:rsidR="00B7567F">
        <w:rPr>
          <w:rFonts w:cs="Helvetica"/>
        </w:rPr>
        <w:t>decumulation</w:t>
      </w:r>
      <w:r w:rsidR="009573BF">
        <w:rPr>
          <w:rFonts w:cs="Helvetica"/>
        </w:rPr>
        <w:t xml:space="preserve"> phase</w:t>
      </w:r>
      <w:r w:rsidRPr="00CA572D">
        <w:rPr>
          <w:rFonts w:cs="Helvetica"/>
        </w:rPr>
        <w:t xml:space="preserve">. </w:t>
      </w:r>
    </w:p>
    <w:p w14:paraId="03D20459" w14:textId="77777777" w:rsidR="009573BF" w:rsidRDefault="009573BF" w:rsidP="000E5662">
      <w:pPr>
        <w:widowControl w:val="0"/>
        <w:autoSpaceDE w:val="0"/>
        <w:autoSpaceDN w:val="0"/>
        <w:adjustRightInd w:val="0"/>
        <w:rPr>
          <w:rFonts w:cs="Helvetica"/>
        </w:rPr>
      </w:pPr>
    </w:p>
    <w:p w14:paraId="3A658FF5" w14:textId="25D4ACF2" w:rsidR="000E5662" w:rsidRPr="00CA572D" w:rsidRDefault="009573BF" w:rsidP="000E5662">
      <w:pPr>
        <w:widowControl w:val="0"/>
        <w:autoSpaceDE w:val="0"/>
        <w:autoSpaceDN w:val="0"/>
        <w:adjustRightInd w:val="0"/>
        <w:rPr>
          <w:rFonts w:cs="Helvetica"/>
        </w:rPr>
      </w:pPr>
      <w:r>
        <w:rPr>
          <w:rFonts w:cs="Helvetica"/>
        </w:rPr>
        <w:t>In</w:t>
      </w:r>
      <w:r w:rsidR="000E5662" w:rsidRPr="00CA572D">
        <w:rPr>
          <w:rFonts w:cs="Helvetica"/>
        </w:rPr>
        <w:t xml:space="preserve"> the decumulation phase there is a distinction between those who will be drawing down over a relatively long </w:t>
      </w:r>
      <w:r w:rsidR="00E02F8D" w:rsidRPr="00CA572D">
        <w:rPr>
          <w:rFonts w:cs="Helvetica"/>
        </w:rPr>
        <w:t>period</w:t>
      </w:r>
      <w:r w:rsidR="000E5662" w:rsidRPr="00CA572D">
        <w:rPr>
          <w:rFonts w:cs="Helvetica"/>
        </w:rPr>
        <w:t xml:space="preserve"> and those who have a shorter time horizon. </w:t>
      </w:r>
      <w:r w:rsidR="001C694C">
        <w:rPr>
          <w:rFonts w:cs="Helvetica"/>
        </w:rPr>
        <w:t xml:space="preserve"> For those with a longer term hor</w:t>
      </w:r>
      <w:r w:rsidR="00F05EDA">
        <w:rPr>
          <w:rFonts w:cs="Helvetica"/>
        </w:rPr>
        <w:t>izon the main risk relates to sustainability of income, assessed in combination with the operation of the aged-pension. Risk of capital devaluation is more significant for those with a shorter horizon.</w:t>
      </w:r>
    </w:p>
    <w:p w14:paraId="70AE4817" w14:textId="77777777" w:rsidR="000E5662" w:rsidRDefault="000E5662" w:rsidP="00CA572D">
      <w:pPr>
        <w:widowControl w:val="0"/>
        <w:autoSpaceDE w:val="0"/>
        <w:autoSpaceDN w:val="0"/>
        <w:adjustRightInd w:val="0"/>
        <w:rPr>
          <w:rFonts w:cs="Helvetica"/>
        </w:rPr>
      </w:pPr>
    </w:p>
    <w:p w14:paraId="1359348E" w14:textId="6691CD54" w:rsidR="001C694C" w:rsidRDefault="001C694C" w:rsidP="00CA572D">
      <w:pPr>
        <w:widowControl w:val="0"/>
        <w:autoSpaceDE w:val="0"/>
        <w:autoSpaceDN w:val="0"/>
        <w:adjustRightInd w:val="0"/>
        <w:rPr>
          <w:rFonts w:cs="Helvetica"/>
        </w:rPr>
      </w:pPr>
      <w:r>
        <w:rPr>
          <w:rFonts w:cs="Helvetica"/>
        </w:rPr>
        <w:t xml:space="preserve">Income in retirement is the ultimate purpose for superannuation.  Within </w:t>
      </w:r>
      <w:r w:rsidR="00E02F8D">
        <w:rPr>
          <w:rFonts w:cs="Helvetica"/>
        </w:rPr>
        <w:t>that,</w:t>
      </w:r>
      <w:r>
        <w:rPr>
          <w:rFonts w:cs="Helvetica"/>
        </w:rPr>
        <w:t xml:space="preserve"> there are three distinct phases.  </w:t>
      </w:r>
      <w:proofErr w:type="spellStart"/>
      <w:r>
        <w:rPr>
          <w:rFonts w:cs="Helvetica"/>
        </w:rPr>
        <w:t>RSEs</w:t>
      </w:r>
      <w:proofErr w:type="spellEnd"/>
      <w:r>
        <w:rPr>
          <w:rFonts w:cs="Helvetica"/>
        </w:rPr>
        <w:t xml:space="preserve"> should be encouraged to develop of distinctive products and approaches to meet the </w:t>
      </w:r>
      <w:r w:rsidRPr="008D39DE">
        <w:rPr>
          <w:rFonts w:cs="Helvetica"/>
        </w:rPr>
        <w:t xml:space="preserve">three distinct </w:t>
      </w:r>
      <w:r>
        <w:rPr>
          <w:rFonts w:cs="Helvetica"/>
        </w:rPr>
        <w:t xml:space="preserve">purposes of </w:t>
      </w:r>
      <w:r w:rsidRPr="008D39DE">
        <w:rPr>
          <w:rFonts w:cs="Helvetica"/>
        </w:rPr>
        <w:t xml:space="preserve">accumulation, transition and </w:t>
      </w:r>
      <w:r>
        <w:rPr>
          <w:rFonts w:cs="Helvetica"/>
        </w:rPr>
        <w:t>decumulation</w:t>
      </w:r>
      <w:r w:rsidR="00F05EDA">
        <w:rPr>
          <w:rFonts w:cs="Helvetica"/>
        </w:rPr>
        <w:t xml:space="preserve">.  Good </w:t>
      </w:r>
      <w:r w:rsidR="00085B02">
        <w:rPr>
          <w:rFonts w:cs="Helvetica"/>
        </w:rPr>
        <w:t xml:space="preserve">independent </w:t>
      </w:r>
      <w:r w:rsidR="00F05EDA">
        <w:rPr>
          <w:rFonts w:cs="Helvetica"/>
        </w:rPr>
        <w:t>advice can make a material contribution and c</w:t>
      </w:r>
      <w:r w:rsidR="00085B02">
        <w:rPr>
          <w:rFonts w:cs="Helvetica"/>
        </w:rPr>
        <w:t>ould</w:t>
      </w:r>
      <w:r w:rsidR="00F05EDA">
        <w:rPr>
          <w:rFonts w:cs="Helvetica"/>
        </w:rPr>
        <w:t xml:space="preserve"> be considered </w:t>
      </w:r>
      <w:r w:rsidR="00E02F8D">
        <w:rPr>
          <w:rFonts w:cs="Helvetica"/>
        </w:rPr>
        <w:t>to be a</w:t>
      </w:r>
      <w:r w:rsidR="00F05EDA">
        <w:rPr>
          <w:rFonts w:cs="Helvetica"/>
        </w:rPr>
        <w:t xml:space="preserve"> valid part of the product. </w:t>
      </w:r>
    </w:p>
    <w:p w14:paraId="69108906" w14:textId="77777777" w:rsidR="000E5662" w:rsidRDefault="000E5662" w:rsidP="00CA572D">
      <w:pPr>
        <w:widowControl w:val="0"/>
        <w:autoSpaceDE w:val="0"/>
        <w:autoSpaceDN w:val="0"/>
        <w:adjustRightInd w:val="0"/>
        <w:rPr>
          <w:rFonts w:cs="Helvetica"/>
        </w:rPr>
      </w:pPr>
    </w:p>
    <w:p w14:paraId="18B48849" w14:textId="1B334689" w:rsidR="00605BAB" w:rsidRPr="00F05EDA" w:rsidRDefault="00605BAB" w:rsidP="00605BAB">
      <w:pPr>
        <w:widowControl w:val="0"/>
        <w:autoSpaceDE w:val="0"/>
        <w:autoSpaceDN w:val="0"/>
        <w:adjustRightInd w:val="0"/>
        <w:rPr>
          <w:rFonts w:cs="Helvetica"/>
          <w:b/>
        </w:rPr>
      </w:pPr>
      <w:r w:rsidRPr="00F05EDA">
        <w:rPr>
          <w:rFonts w:cs="Helvetica"/>
          <w:b/>
        </w:rPr>
        <w:t>5. Advice</w:t>
      </w:r>
    </w:p>
    <w:p w14:paraId="60DD0C71" w14:textId="77777777" w:rsidR="00605BAB" w:rsidRDefault="00605BAB" w:rsidP="00605BAB">
      <w:pPr>
        <w:widowControl w:val="0"/>
        <w:autoSpaceDE w:val="0"/>
        <w:autoSpaceDN w:val="0"/>
        <w:adjustRightInd w:val="0"/>
        <w:rPr>
          <w:rFonts w:cs="Helvetica"/>
        </w:rPr>
      </w:pPr>
    </w:p>
    <w:p w14:paraId="7E94F651" w14:textId="4E317AA0" w:rsidR="00F05EDA" w:rsidRDefault="00F05EDA" w:rsidP="00605BAB">
      <w:pPr>
        <w:widowControl w:val="0"/>
        <w:autoSpaceDE w:val="0"/>
        <w:autoSpaceDN w:val="0"/>
        <w:adjustRightInd w:val="0"/>
        <w:rPr>
          <w:rFonts w:cs="Helvetica"/>
        </w:rPr>
      </w:pPr>
      <w:r>
        <w:rPr>
          <w:rFonts w:cs="Helvetica"/>
        </w:rPr>
        <w:t xml:space="preserve">A common tool used in providing financial advice is designed to determine risk tolerance.  It can be useful.  </w:t>
      </w:r>
      <w:r w:rsidR="00E02F8D">
        <w:rPr>
          <w:rFonts w:cs="Helvetica"/>
        </w:rPr>
        <w:t>However,</w:t>
      </w:r>
      <w:r>
        <w:rPr>
          <w:rFonts w:cs="Helvetica"/>
        </w:rPr>
        <w:t xml:space="preserve"> it </w:t>
      </w:r>
      <w:r w:rsidR="00511C37">
        <w:rPr>
          <w:rFonts w:cs="Helvetica"/>
        </w:rPr>
        <w:t xml:space="preserve">is flawed and </w:t>
      </w:r>
      <w:r>
        <w:rPr>
          <w:rFonts w:cs="Helvetica"/>
        </w:rPr>
        <w:t xml:space="preserve">can be dangerous if used in the wrong way.  </w:t>
      </w:r>
    </w:p>
    <w:p w14:paraId="14099164" w14:textId="77777777" w:rsidR="00F05EDA" w:rsidRDefault="00F05EDA" w:rsidP="00605BAB">
      <w:pPr>
        <w:widowControl w:val="0"/>
        <w:autoSpaceDE w:val="0"/>
        <w:autoSpaceDN w:val="0"/>
        <w:adjustRightInd w:val="0"/>
        <w:rPr>
          <w:rFonts w:cs="Helvetica"/>
        </w:rPr>
      </w:pPr>
    </w:p>
    <w:p w14:paraId="0AF7DA2F" w14:textId="35C8EE2E" w:rsidR="00F05EDA" w:rsidRDefault="00F05EDA" w:rsidP="00605BAB">
      <w:pPr>
        <w:widowControl w:val="0"/>
        <w:autoSpaceDE w:val="0"/>
        <w:autoSpaceDN w:val="0"/>
        <w:adjustRightInd w:val="0"/>
        <w:rPr>
          <w:rFonts w:cs="Helvetica"/>
        </w:rPr>
      </w:pPr>
      <w:r>
        <w:rPr>
          <w:rFonts w:cs="Helvetica"/>
        </w:rPr>
        <w:t xml:space="preserve">Specifically, risk tolerance is subjective.  It changes in response to market events.  We should not be surprised if </w:t>
      </w:r>
      <w:r w:rsidR="00E02F8D">
        <w:rPr>
          <w:rFonts w:cs="Helvetica"/>
        </w:rPr>
        <w:t>many</w:t>
      </w:r>
      <w:r>
        <w:rPr>
          <w:rFonts w:cs="Helvetica"/>
        </w:rPr>
        <w:t xml:space="preserve"> investors sell after the market has fallen.  </w:t>
      </w:r>
      <w:r w:rsidR="00511C37">
        <w:rPr>
          <w:rFonts w:cs="Helvetica"/>
        </w:rPr>
        <w:t xml:space="preserve">Implicitly, </w:t>
      </w:r>
      <w:r w:rsidR="00E02F8D">
        <w:rPr>
          <w:rFonts w:cs="Helvetica"/>
        </w:rPr>
        <w:t>they</w:t>
      </w:r>
      <w:r w:rsidR="00511C37">
        <w:rPr>
          <w:rFonts w:cs="Helvetica"/>
        </w:rPr>
        <w:t xml:space="preserve"> are instructed to do so as their risk tolerance decreases as a response to the market falls.  </w:t>
      </w:r>
    </w:p>
    <w:p w14:paraId="4FCBBA0A" w14:textId="77777777" w:rsidR="00511C37" w:rsidRDefault="00511C37" w:rsidP="00605BAB">
      <w:pPr>
        <w:widowControl w:val="0"/>
        <w:autoSpaceDE w:val="0"/>
        <w:autoSpaceDN w:val="0"/>
        <w:adjustRightInd w:val="0"/>
        <w:rPr>
          <w:rFonts w:cs="Helvetica"/>
        </w:rPr>
      </w:pPr>
    </w:p>
    <w:p w14:paraId="55ACE673" w14:textId="51FA9AC6" w:rsidR="00511C37" w:rsidRDefault="00511C37" w:rsidP="00605BAB">
      <w:pPr>
        <w:widowControl w:val="0"/>
        <w:autoSpaceDE w:val="0"/>
        <w:autoSpaceDN w:val="0"/>
        <w:adjustRightInd w:val="0"/>
        <w:rPr>
          <w:rFonts w:cs="Helvetica"/>
        </w:rPr>
      </w:pPr>
      <w:r>
        <w:rPr>
          <w:rFonts w:cs="Helvetica"/>
        </w:rPr>
        <w:t xml:space="preserve">Good financial planners are adept at identifying the purpose for which different amounts of money are being invested and tailoring strategies to meet return and risk objectives that are relevant those purposes.  Naïve use of risk profiling should be discouraged as it fails to take proper account of </w:t>
      </w:r>
      <w:proofErr w:type="spellStart"/>
      <w:r>
        <w:rPr>
          <w:rFonts w:cs="Helvetica"/>
        </w:rPr>
        <w:t>behavioural</w:t>
      </w:r>
      <w:proofErr w:type="spellEnd"/>
      <w:r>
        <w:rPr>
          <w:rFonts w:cs="Helvetica"/>
        </w:rPr>
        <w:t xml:space="preserve"> factors.</w:t>
      </w:r>
    </w:p>
    <w:p w14:paraId="33BA7112" w14:textId="77777777" w:rsidR="00F05EDA" w:rsidRDefault="00F05EDA" w:rsidP="00605BAB">
      <w:pPr>
        <w:widowControl w:val="0"/>
        <w:autoSpaceDE w:val="0"/>
        <w:autoSpaceDN w:val="0"/>
        <w:adjustRightInd w:val="0"/>
        <w:rPr>
          <w:rFonts w:cs="Helvetica"/>
        </w:rPr>
      </w:pPr>
    </w:p>
    <w:p w14:paraId="41599689" w14:textId="1925B66F" w:rsidR="00605BAB" w:rsidRPr="00511C37" w:rsidRDefault="00605BAB" w:rsidP="00CA572D">
      <w:pPr>
        <w:widowControl w:val="0"/>
        <w:autoSpaceDE w:val="0"/>
        <w:autoSpaceDN w:val="0"/>
        <w:adjustRightInd w:val="0"/>
        <w:rPr>
          <w:rFonts w:cs="Helvetica"/>
          <w:b/>
        </w:rPr>
      </w:pPr>
      <w:r w:rsidRPr="00511C37">
        <w:rPr>
          <w:rFonts w:cs="Helvetica"/>
          <w:b/>
        </w:rPr>
        <w:t xml:space="preserve">6. Reporting </w:t>
      </w:r>
    </w:p>
    <w:p w14:paraId="24F0DF29" w14:textId="77777777" w:rsidR="00605BAB" w:rsidRDefault="00605BAB" w:rsidP="00CA572D">
      <w:pPr>
        <w:widowControl w:val="0"/>
        <w:autoSpaceDE w:val="0"/>
        <w:autoSpaceDN w:val="0"/>
        <w:adjustRightInd w:val="0"/>
        <w:rPr>
          <w:rFonts w:cs="Helvetica"/>
        </w:rPr>
      </w:pPr>
    </w:p>
    <w:p w14:paraId="4204EA43" w14:textId="77777777" w:rsidR="001122A4" w:rsidRDefault="00511C37" w:rsidP="00CA572D">
      <w:pPr>
        <w:widowControl w:val="0"/>
        <w:autoSpaceDE w:val="0"/>
        <w:autoSpaceDN w:val="0"/>
        <w:adjustRightInd w:val="0"/>
        <w:rPr>
          <w:rFonts w:cs="Helvetica"/>
        </w:rPr>
      </w:pPr>
      <w:r>
        <w:rPr>
          <w:rFonts w:cs="Helvetica"/>
        </w:rPr>
        <w:t xml:space="preserve">Income in retirement, to replace or supplement the aged pension, is the purpose for superannuation.  In contrast, reporting often </w:t>
      </w:r>
      <w:proofErr w:type="spellStart"/>
      <w:r>
        <w:rPr>
          <w:rFonts w:cs="Helvetica"/>
        </w:rPr>
        <w:t>centres</w:t>
      </w:r>
      <w:proofErr w:type="spellEnd"/>
      <w:r>
        <w:rPr>
          <w:rFonts w:cs="Helvetica"/>
        </w:rPr>
        <w:t xml:space="preserve"> on </w:t>
      </w:r>
      <w:r w:rsidR="001122A4">
        <w:rPr>
          <w:rFonts w:cs="Helvetica"/>
        </w:rPr>
        <w:t xml:space="preserve">account balances that can fluctuate quite sharply without any significant impact on future income generation.  </w:t>
      </w:r>
    </w:p>
    <w:p w14:paraId="674168B4" w14:textId="77777777" w:rsidR="001122A4" w:rsidRDefault="001122A4" w:rsidP="00CA572D">
      <w:pPr>
        <w:widowControl w:val="0"/>
        <w:autoSpaceDE w:val="0"/>
        <w:autoSpaceDN w:val="0"/>
        <w:adjustRightInd w:val="0"/>
        <w:rPr>
          <w:rFonts w:cs="Helvetica"/>
        </w:rPr>
      </w:pPr>
    </w:p>
    <w:p w14:paraId="2681BC4D" w14:textId="0490502C" w:rsidR="001122A4" w:rsidRDefault="001122A4" w:rsidP="00CA572D">
      <w:pPr>
        <w:widowControl w:val="0"/>
        <w:autoSpaceDE w:val="0"/>
        <w:autoSpaceDN w:val="0"/>
        <w:adjustRightInd w:val="0"/>
        <w:rPr>
          <w:rFonts w:cs="Helvetica"/>
        </w:rPr>
      </w:pPr>
      <w:r>
        <w:rPr>
          <w:rFonts w:cs="Helvetica"/>
        </w:rPr>
        <w:t xml:space="preserve">In fact, for those who are young and for whom the main asset is future contributions and future investment returns, falls in asset prices in the early years should not be of any major concern.  They allow those </w:t>
      </w:r>
      <w:r w:rsidR="00E02F8D">
        <w:rPr>
          <w:rFonts w:cs="Helvetica"/>
        </w:rPr>
        <w:t>contributors</w:t>
      </w:r>
      <w:r>
        <w:rPr>
          <w:rFonts w:cs="Helvetica"/>
        </w:rPr>
        <w:t xml:space="preserve"> to buy assets that are “on sale”.</w:t>
      </w:r>
    </w:p>
    <w:p w14:paraId="585A1C22" w14:textId="77777777" w:rsidR="001122A4" w:rsidRDefault="001122A4" w:rsidP="00CA572D">
      <w:pPr>
        <w:widowControl w:val="0"/>
        <w:autoSpaceDE w:val="0"/>
        <w:autoSpaceDN w:val="0"/>
        <w:adjustRightInd w:val="0"/>
        <w:rPr>
          <w:rFonts w:cs="Helvetica"/>
        </w:rPr>
      </w:pPr>
    </w:p>
    <w:p w14:paraId="16107320" w14:textId="45DE6891" w:rsidR="00511C37" w:rsidRDefault="001122A4" w:rsidP="00CA572D">
      <w:pPr>
        <w:widowControl w:val="0"/>
        <w:autoSpaceDE w:val="0"/>
        <w:autoSpaceDN w:val="0"/>
        <w:adjustRightInd w:val="0"/>
        <w:rPr>
          <w:rFonts w:cs="Helvetica"/>
        </w:rPr>
      </w:pPr>
      <w:r>
        <w:rPr>
          <w:rFonts w:cs="Helvetica"/>
        </w:rPr>
        <w:t xml:space="preserve">Changing the focus for reporting from account balance to current income in the </w:t>
      </w:r>
      <w:r>
        <w:rPr>
          <w:rFonts w:cs="Helvetica"/>
        </w:rPr>
        <w:lastRenderedPageBreak/>
        <w:t>portfolio, along with projected income at retirement, will provide greater appreciation of the purpose for which the superannuation account will be used.  It will also lead to less concern over short term fluctuations in valuations of assets.</w:t>
      </w:r>
    </w:p>
    <w:p w14:paraId="101D5A42" w14:textId="77777777" w:rsidR="00511C37" w:rsidRDefault="00511C37" w:rsidP="00CA572D">
      <w:pPr>
        <w:widowControl w:val="0"/>
        <w:autoSpaceDE w:val="0"/>
        <w:autoSpaceDN w:val="0"/>
        <w:adjustRightInd w:val="0"/>
        <w:rPr>
          <w:rFonts w:cs="Helvetica"/>
        </w:rPr>
      </w:pPr>
    </w:p>
    <w:p w14:paraId="5A39B6BA" w14:textId="56D490CC" w:rsidR="00605BAB" w:rsidRPr="00871EE6" w:rsidRDefault="00605BAB" w:rsidP="00CA572D">
      <w:pPr>
        <w:widowControl w:val="0"/>
        <w:autoSpaceDE w:val="0"/>
        <w:autoSpaceDN w:val="0"/>
        <w:adjustRightInd w:val="0"/>
        <w:rPr>
          <w:rFonts w:cs="Helvetica"/>
          <w:b/>
        </w:rPr>
      </w:pPr>
      <w:r w:rsidRPr="00871EE6">
        <w:rPr>
          <w:rFonts w:cs="Helvetica"/>
          <w:b/>
        </w:rPr>
        <w:t>7. Surveys</w:t>
      </w:r>
    </w:p>
    <w:p w14:paraId="7323F17B" w14:textId="77777777" w:rsidR="00605BAB" w:rsidRDefault="00605BAB" w:rsidP="00CA572D">
      <w:pPr>
        <w:widowControl w:val="0"/>
        <w:autoSpaceDE w:val="0"/>
        <w:autoSpaceDN w:val="0"/>
        <w:adjustRightInd w:val="0"/>
        <w:rPr>
          <w:rFonts w:cs="Helvetica"/>
        </w:rPr>
      </w:pPr>
    </w:p>
    <w:p w14:paraId="09853AD6" w14:textId="643938C7" w:rsidR="00871EE6" w:rsidRDefault="00871EE6" w:rsidP="00CA572D">
      <w:pPr>
        <w:widowControl w:val="0"/>
        <w:autoSpaceDE w:val="0"/>
        <w:autoSpaceDN w:val="0"/>
        <w:adjustRightInd w:val="0"/>
        <w:rPr>
          <w:rFonts w:cs="Helvetica"/>
        </w:rPr>
      </w:pPr>
      <w:r>
        <w:rPr>
          <w:rFonts w:cs="Helvetica"/>
        </w:rPr>
        <w:t>Performance surveys focus on time-weighted rates of return – a return that no participant in the superannuation system actually receives.  Money-weighted returns and income in retirement are most relevant for those who are in the superannuation system.  Those who provide surveys of fund returns should be encouraged to develop surveys that focus on money-weighted returns and income in retirement.</w:t>
      </w:r>
    </w:p>
    <w:p w14:paraId="572EE813" w14:textId="77777777" w:rsidR="00871EE6" w:rsidRDefault="00871EE6" w:rsidP="00CA572D">
      <w:pPr>
        <w:widowControl w:val="0"/>
        <w:autoSpaceDE w:val="0"/>
        <w:autoSpaceDN w:val="0"/>
        <w:adjustRightInd w:val="0"/>
        <w:rPr>
          <w:rFonts w:cs="Helvetica"/>
        </w:rPr>
      </w:pPr>
    </w:p>
    <w:p w14:paraId="5F10256A" w14:textId="33C3BF19" w:rsidR="00605BAB" w:rsidRPr="00871EE6" w:rsidRDefault="00605BAB" w:rsidP="00CA572D">
      <w:pPr>
        <w:widowControl w:val="0"/>
        <w:autoSpaceDE w:val="0"/>
        <w:autoSpaceDN w:val="0"/>
        <w:adjustRightInd w:val="0"/>
        <w:rPr>
          <w:rFonts w:cs="Helvetica"/>
          <w:b/>
        </w:rPr>
      </w:pPr>
      <w:r w:rsidRPr="00871EE6">
        <w:rPr>
          <w:rFonts w:cs="Helvetica"/>
          <w:b/>
        </w:rPr>
        <w:t>8. Engagement</w:t>
      </w:r>
    </w:p>
    <w:p w14:paraId="6514029C" w14:textId="77777777" w:rsidR="00605BAB" w:rsidRDefault="00605BAB" w:rsidP="00CA572D">
      <w:pPr>
        <w:widowControl w:val="0"/>
        <w:autoSpaceDE w:val="0"/>
        <w:autoSpaceDN w:val="0"/>
        <w:adjustRightInd w:val="0"/>
        <w:rPr>
          <w:rFonts w:cs="Helvetica"/>
        </w:rPr>
      </w:pPr>
    </w:p>
    <w:p w14:paraId="2A625992" w14:textId="5CFC6157" w:rsidR="00871EE6" w:rsidRDefault="00871EE6" w:rsidP="00871EE6">
      <w:pPr>
        <w:widowControl w:val="0"/>
        <w:autoSpaceDE w:val="0"/>
        <w:autoSpaceDN w:val="0"/>
        <w:adjustRightInd w:val="0"/>
        <w:rPr>
          <w:rFonts w:cs="Helvetica"/>
        </w:rPr>
      </w:pPr>
      <w:r w:rsidRPr="00CA572D">
        <w:rPr>
          <w:rFonts w:cs="Helvetica"/>
        </w:rPr>
        <w:t xml:space="preserve">There is a presumption in the </w:t>
      </w:r>
      <w:r>
        <w:rPr>
          <w:rFonts w:cs="Helvetica"/>
        </w:rPr>
        <w:t>Issues Paper</w:t>
      </w:r>
      <w:r w:rsidRPr="00CA572D">
        <w:rPr>
          <w:rFonts w:cs="Helvetica"/>
        </w:rPr>
        <w:t xml:space="preserve"> that lack of engagement is bad and engagement is good.  This is mostly true when dealing with certainties but </w:t>
      </w:r>
      <w:r>
        <w:rPr>
          <w:rFonts w:cs="Helvetica"/>
        </w:rPr>
        <w:t>many</w:t>
      </w:r>
      <w:r w:rsidRPr="00CA572D">
        <w:rPr>
          <w:rFonts w:cs="Helvetica"/>
        </w:rPr>
        <w:t xml:space="preserve"> people </w:t>
      </w:r>
      <w:r>
        <w:rPr>
          <w:rFonts w:cs="Helvetica"/>
        </w:rPr>
        <w:t xml:space="preserve">do not </w:t>
      </w:r>
      <w:r w:rsidRPr="00CA572D">
        <w:rPr>
          <w:rFonts w:cs="Helvetica"/>
        </w:rPr>
        <w:t>have a good understanding of probability</w:t>
      </w:r>
      <w:r>
        <w:rPr>
          <w:rFonts w:cs="Helvetica"/>
        </w:rPr>
        <w:t xml:space="preserve"> and the variability inherent in investment markets</w:t>
      </w:r>
      <w:r w:rsidRPr="00CA572D">
        <w:rPr>
          <w:rFonts w:cs="Helvetica"/>
        </w:rPr>
        <w:t>.  </w:t>
      </w:r>
    </w:p>
    <w:p w14:paraId="689159B1" w14:textId="77777777" w:rsidR="00871EE6" w:rsidRDefault="00871EE6" w:rsidP="00871EE6">
      <w:pPr>
        <w:widowControl w:val="0"/>
        <w:autoSpaceDE w:val="0"/>
        <w:autoSpaceDN w:val="0"/>
        <w:adjustRightInd w:val="0"/>
        <w:rPr>
          <w:rFonts w:cs="Helvetica"/>
        </w:rPr>
      </w:pPr>
    </w:p>
    <w:p w14:paraId="2D4572AF" w14:textId="504283C8" w:rsidR="00871EE6" w:rsidRDefault="00871EE6" w:rsidP="00871EE6">
      <w:pPr>
        <w:widowControl w:val="0"/>
        <w:autoSpaceDE w:val="0"/>
        <w:autoSpaceDN w:val="0"/>
        <w:adjustRightInd w:val="0"/>
        <w:rPr>
          <w:rFonts w:cs="Helvetica"/>
        </w:rPr>
      </w:pPr>
      <w:r>
        <w:rPr>
          <w:rFonts w:cs="Helvetica"/>
        </w:rPr>
        <w:t>Many</w:t>
      </w:r>
      <w:r w:rsidRPr="00CA572D">
        <w:rPr>
          <w:rFonts w:cs="Helvetica"/>
        </w:rPr>
        <w:t xml:space="preserve"> who engaged at the time of the </w:t>
      </w:r>
      <w:proofErr w:type="spellStart"/>
      <w:r w:rsidRPr="00CA572D">
        <w:rPr>
          <w:rFonts w:cs="Helvetica"/>
        </w:rPr>
        <w:t>GFC</w:t>
      </w:r>
      <w:proofErr w:type="spellEnd"/>
      <w:r w:rsidRPr="00CA572D">
        <w:rPr>
          <w:rFonts w:cs="Helvetica"/>
        </w:rPr>
        <w:t xml:space="preserve"> did themselves a lot of irreversible harm by </w:t>
      </w:r>
      <w:r w:rsidR="00253EC8">
        <w:rPr>
          <w:rFonts w:cs="Helvetica"/>
        </w:rPr>
        <w:t>selling after the market fell</w:t>
      </w:r>
      <w:r w:rsidRPr="00CA572D">
        <w:rPr>
          <w:rFonts w:cs="Helvetica"/>
        </w:rPr>
        <w:t>.  </w:t>
      </w:r>
    </w:p>
    <w:p w14:paraId="2255B9C1" w14:textId="77777777" w:rsidR="00871EE6" w:rsidRDefault="00871EE6" w:rsidP="00871EE6">
      <w:pPr>
        <w:widowControl w:val="0"/>
        <w:autoSpaceDE w:val="0"/>
        <w:autoSpaceDN w:val="0"/>
        <w:adjustRightInd w:val="0"/>
        <w:rPr>
          <w:rFonts w:cs="Helvetica"/>
        </w:rPr>
      </w:pPr>
    </w:p>
    <w:p w14:paraId="5F0B1ED4" w14:textId="7005A5C9" w:rsidR="00253EC8" w:rsidRDefault="00871EE6" w:rsidP="00871EE6">
      <w:pPr>
        <w:widowControl w:val="0"/>
        <w:autoSpaceDE w:val="0"/>
        <w:autoSpaceDN w:val="0"/>
        <w:adjustRightInd w:val="0"/>
        <w:rPr>
          <w:rFonts w:cs="Helvetica"/>
        </w:rPr>
      </w:pPr>
      <w:r w:rsidRPr="00CA572D">
        <w:rPr>
          <w:rFonts w:cs="Helvetica"/>
        </w:rPr>
        <w:t xml:space="preserve">Recent research </w:t>
      </w:r>
      <w:r w:rsidR="00253EC8">
        <w:rPr>
          <w:rFonts w:cs="Helvetica"/>
        </w:rPr>
        <w:t>presented by</w:t>
      </w:r>
      <w:r w:rsidRPr="00CA572D">
        <w:rPr>
          <w:rFonts w:cs="Helvetica"/>
        </w:rPr>
        <w:t xml:space="preserve"> Susan Thorp</w:t>
      </w:r>
      <w:r>
        <w:rPr>
          <w:rStyle w:val="FootnoteReference"/>
          <w:rFonts w:cs="Helvetica"/>
        </w:rPr>
        <w:footnoteReference w:id="1"/>
      </w:r>
      <w:r w:rsidRPr="00CA572D">
        <w:rPr>
          <w:rFonts w:cs="Helvetica"/>
        </w:rPr>
        <w:t xml:space="preserve"> identified that those who are in an </w:t>
      </w:r>
      <w:proofErr w:type="spellStart"/>
      <w:r w:rsidRPr="00CA572D">
        <w:rPr>
          <w:rFonts w:cs="Helvetica"/>
        </w:rPr>
        <w:t>SMSF</w:t>
      </w:r>
      <w:proofErr w:type="spellEnd"/>
      <w:r w:rsidRPr="00CA572D">
        <w:rPr>
          <w:rFonts w:cs="Helvetica"/>
        </w:rPr>
        <w:t xml:space="preserve"> </w:t>
      </w:r>
      <w:r w:rsidR="00253EC8">
        <w:rPr>
          <w:rFonts w:cs="Helvetica"/>
        </w:rPr>
        <w:t xml:space="preserve">are more likely to have </w:t>
      </w:r>
      <w:r>
        <w:rPr>
          <w:rFonts w:cs="Helvetica"/>
        </w:rPr>
        <w:t xml:space="preserve">higher engagement, higher knowledge of </w:t>
      </w:r>
      <w:proofErr w:type="spellStart"/>
      <w:r>
        <w:rPr>
          <w:rFonts w:cs="Helvetica"/>
        </w:rPr>
        <w:t>SMSF</w:t>
      </w:r>
      <w:proofErr w:type="spellEnd"/>
      <w:r>
        <w:rPr>
          <w:rFonts w:cs="Helvetica"/>
        </w:rPr>
        <w:t xml:space="preserve"> rules </w:t>
      </w:r>
      <w:r w:rsidR="00E02F8D">
        <w:rPr>
          <w:rFonts w:cs="Helvetica"/>
        </w:rPr>
        <w:t>and</w:t>
      </w:r>
      <w:r>
        <w:rPr>
          <w:rFonts w:cs="Helvetica"/>
        </w:rPr>
        <w:t xml:space="preserve"> </w:t>
      </w:r>
      <w:r w:rsidR="00253EC8">
        <w:rPr>
          <w:rFonts w:cs="Helvetica"/>
        </w:rPr>
        <w:t>are more likely to assess</w:t>
      </w:r>
      <w:r>
        <w:rPr>
          <w:rFonts w:cs="Helvetica"/>
        </w:rPr>
        <w:t xml:space="preserve"> themselves as </w:t>
      </w:r>
      <w:r w:rsidR="00253EC8">
        <w:rPr>
          <w:rFonts w:cs="Helvetica"/>
        </w:rPr>
        <w:t>having a high understanding of finance</w:t>
      </w:r>
      <w:r>
        <w:rPr>
          <w:rFonts w:cs="Helvetica"/>
        </w:rPr>
        <w:t>.  I</w:t>
      </w:r>
      <w:r w:rsidR="00253EC8">
        <w:rPr>
          <w:rFonts w:cs="Helvetica"/>
        </w:rPr>
        <w:t>n</w:t>
      </w:r>
      <w:r>
        <w:rPr>
          <w:rFonts w:cs="Helvetica"/>
        </w:rPr>
        <w:t xml:space="preserve"> contrast, her research showed that </w:t>
      </w:r>
      <w:r w:rsidR="00253EC8">
        <w:rPr>
          <w:rFonts w:cs="Helvetica"/>
        </w:rPr>
        <w:t xml:space="preserve">they are more likely to have </w:t>
      </w:r>
      <w:r w:rsidRPr="00CA572D">
        <w:rPr>
          <w:rFonts w:cs="Helvetica"/>
        </w:rPr>
        <w:t xml:space="preserve">lower numeracy and </w:t>
      </w:r>
      <w:r w:rsidR="00253EC8">
        <w:rPr>
          <w:rFonts w:cs="Helvetica"/>
        </w:rPr>
        <w:t xml:space="preserve">lower </w:t>
      </w:r>
      <w:r w:rsidRPr="00CA572D">
        <w:rPr>
          <w:rFonts w:cs="Helvetica"/>
        </w:rPr>
        <w:t>financial literacy than other participants</w:t>
      </w:r>
      <w:r w:rsidR="00253EC8">
        <w:rPr>
          <w:rFonts w:cs="Helvetica"/>
        </w:rPr>
        <w:t xml:space="preserve">.  </w:t>
      </w:r>
    </w:p>
    <w:p w14:paraId="54694CAE" w14:textId="77777777" w:rsidR="00253EC8" w:rsidRDefault="00253EC8" w:rsidP="00871EE6">
      <w:pPr>
        <w:widowControl w:val="0"/>
        <w:autoSpaceDE w:val="0"/>
        <w:autoSpaceDN w:val="0"/>
        <w:adjustRightInd w:val="0"/>
        <w:rPr>
          <w:rFonts w:cs="Helvetica"/>
        </w:rPr>
      </w:pPr>
    </w:p>
    <w:p w14:paraId="46F20CDD" w14:textId="7BE0DF7B" w:rsidR="00871EE6" w:rsidRPr="00CA572D" w:rsidRDefault="00253EC8" w:rsidP="00871EE6">
      <w:pPr>
        <w:widowControl w:val="0"/>
        <w:autoSpaceDE w:val="0"/>
        <w:autoSpaceDN w:val="0"/>
        <w:adjustRightInd w:val="0"/>
        <w:rPr>
          <w:rFonts w:cs="Helvetica"/>
        </w:rPr>
      </w:pPr>
      <w:r>
        <w:rPr>
          <w:rFonts w:cs="Helvetica"/>
        </w:rPr>
        <w:t>A</w:t>
      </w:r>
      <w:r w:rsidR="00871EE6" w:rsidRPr="00CA572D">
        <w:rPr>
          <w:rFonts w:cs="Helvetica"/>
        </w:rPr>
        <w:t xml:space="preserve">s a result at least a subset of </w:t>
      </w:r>
      <w:proofErr w:type="spellStart"/>
      <w:r w:rsidR="00871EE6" w:rsidRPr="00CA572D">
        <w:rPr>
          <w:rFonts w:cs="Helvetica"/>
        </w:rPr>
        <w:t>SMSF</w:t>
      </w:r>
      <w:proofErr w:type="spellEnd"/>
      <w:r w:rsidR="00871EE6" w:rsidRPr="00CA572D">
        <w:rPr>
          <w:rFonts w:cs="Helvetica"/>
        </w:rPr>
        <w:t xml:space="preserve"> members</w:t>
      </w:r>
      <w:r>
        <w:rPr>
          <w:rFonts w:cs="Helvetica"/>
        </w:rPr>
        <w:t>,</w:t>
      </w:r>
      <w:r w:rsidR="00871EE6" w:rsidRPr="00CA572D">
        <w:rPr>
          <w:rFonts w:cs="Helvetica"/>
        </w:rPr>
        <w:t xml:space="preserve"> who are presumed to be engaged</w:t>
      </w:r>
      <w:r>
        <w:rPr>
          <w:rFonts w:cs="Helvetica"/>
        </w:rPr>
        <w:t>,</w:t>
      </w:r>
      <w:r w:rsidR="00871EE6" w:rsidRPr="00CA572D">
        <w:rPr>
          <w:rFonts w:cs="Helvetica"/>
        </w:rPr>
        <w:t xml:space="preserve"> are likely to do themselves harm.</w:t>
      </w:r>
    </w:p>
    <w:p w14:paraId="024425DB" w14:textId="77777777" w:rsidR="00871EE6" w:rsidRDefault="00871EE6" w:rsidP="00CA572D">
      <w:pPr>
        <w:widowControl w:val="0"/>
        <w:autoSpaceDE w:val="0"/>
        <w:autoSpaceDN w:val="0"/>
        <w:adjustRightInd w:val="0"/>
        <w:rPr>
          <w:rFonts w:cs="Helvetica"/>
        </w:rPr>
      </w:pPr>
    </w:p>
    <w:p w14:paraId="66AFA1D9" w14:textId="548A708B" w:rsidR="00253EC8" w:rsidRDefault="00253EC8" w:rsidP="00CA572D">
      <w:pPr>
        <w:widowControl w:val="0"/>
        <w:autoSpaceDE w:val="0"/>
        <w:autoSpaceDN w:val="0"/>
        <w:adjustRightInd w:val="0"/>
        <w:rPr>
          <w:rFonts w:cs="Helvetica"/>
        </w:rPr>
      </w:pPr>
      <w:r>
        <w:rPr>
          <w:rFonts w:cs="Helvetica"/>
        </w:rPr>
        <w:t xml:space="preserve">For some in the superannuation system, relying on a properly motivated </w:t>
      </w:r>
      <w:proofErr w:type="spellStart"/>
      <w:r>
        <w:rPr>
          <w:rFonts w:cs="Helvetica"/>
        </w:rPr>
        <w:t>RSE</w:t>
      </w:r>
      <w:proofErr w:type="spellEnd"/>
      <w:r>
        <w:rPr>
          <w:rFonts w:cs="Helvetica"/>
        </w:rPr>
        <w:t xml:space="preserve"> may be more beneficial than trying to be more engaged.  </w:t>
      </w:r>
      <w:r w:rsidR="00E02F8D">
        <w:rPr>
          <w:rFonts w:cs="Helvetica"/>
        </w:rPr>
        <w:t>It makes sense to acknowledge this.</w:t>
      </w:r>
      <w:r>
        <w:rPr>
          <w:rFonts w:cs="Helvetica"/>
        </w:rPr>
        <w:t xml:space="preserve"> </w:t>
      </w:r>
    </w:p>
    <w:p w14:paraId="0B6CE3D5" w14:textId="77777777" w:rsidR="00871EE6" w:rsidRDefault="00871EE6" w:rsidP="00CA572D">
      <w:pPr>
        <w:widowControl w:val="0"/>
        <w:autoSpaceDE w:val="0"/>
        <w:autoSpaceDN w:val="0"/>
        <w:adjustRightInd w:val="0"/>
        <w:rPr>
          <w:rFonts w:cs="Helvetica"/>
        </w:rPr>
      </w:pPr>
    </w:p>
    <w:p w14:paraId="4BB5110F" w14:textId="7786E584" w:rsidR="00605BAB" w:rsidRPr="00253EC8" w:rsidRDefault="00605BAB" w:rsidP="00CA572D">
      <w:pPr>
        <w:widowControl w:val="0"/>
        <w:autoSpaceDE w:val="0"/>
        <w:autoSpaceDN w:val="0"/>
        <w:adjustRightInd w:val="0"/>
        <w:rPr>
          <w:rFonts w:cs="Helvetica"/>
          <w:b/>
        </w:rPr>
      </w:pPr>
      <w:r w:rsidRPr="00253EC8">
        <w:rPr>
          <w:rFonts w:cs="Helvetica"/>
          <w:b/>
        </w:rPr>
        <w:t xml:space="preserve">9. </w:t>
      </w:r>
      <w:proofErr w:type="spellStart"/>
      <w:r w:rsidRPr="00253EC8">
        <w:rPr>
          <w:rFonts w:cs="Helvetica"/>
          <w:b/>
        </w:rPr>
        <w:t>CGT</w:t>
      </w:r>
      <w:proofErr w:type="spellEnd"/>
      <w:r w:rsidRPr="00253EC8">
        <w:rPr>
          <w:rFonts w:cs="Helvetica"/>
          <w:b/>
        </w:rPr>
        <w:t xml:space="preserve"> Leakage</w:t>
      </w:r>
    </w:p>
    <w:p w14:paraId="7C5C45FC" w14:textId="77777777" w:rsidR="00605BAB" w:rsidRDefault="00605BAB" w:rsidP="00CA572D">
      <w:pPr>
        <w:widowControl w:val="0"/>
        <w:autoSpaceDE w:val="0"/>
        <w:autoSpaceDN w:val="0"/>
        <w:adjustRightInd w:val="0"/>
        <w:rPr>
          <w:rFonts w:cs="Helvetica"/>
        </w:rPr>
      </w:pPr>
    </w:p>
    <w:p w14:paraId="198AB426" w14:textId="4A1159D1" w:rsidR="00B57144" w:rsidRDefault="00253EC8" w:rsidP="00CA572D">
      <w:pPr>
        <w:widowControl w:val="0"/>
        <w:autoSpaceDE w:val="0"/>
        <w:autoSpaceDN w:val="0"/>
        <w:adjustRightInd w:val="0"/>
        <w:rPr>
          <w:rFonts w:cs="Helvetica"/>
        </w:rPr>
      </w:pPr>
      <w:r>
        <w:rPr>
          <w:rFonts w:cs="Helvetica"/>
        </w:rPr>
        <w:t xml:space="preserve">Superannuation earnings are taxed in the accumulation phase and untaxed in the </w:t>
      </w:r>
      <w:r w:rsidR="00B7567F">
        <w:rPr>
          <w:rFonts w:cs="Helvetica"/>
        </w:rPr>
        <w:t>decumulation</w:t>
      </w:r>
      <w:r>
        <w:rPr>
          <w:rFonts w:cs="Helvetica"/>
        </w:rPr>
        <w:t xml:space="preserve"> phase.  </w:t>
      </w:r>
      <w:r w:rsidR="00E02F8D">
        <w:rPr>
          <w:rFonts w:cs="Helvetica"/>
        </w:rPr>
        <w:t>However,</w:t>
      </w:r>
      <w:r>
        <w:rPr>
          <w:rFonts w:cs="Helvetica"/>
        </w:rPr>
        <w:t xml:space="preserve"> a number of superannuation funds do not segregate assets.  </w:t>
      </w:r>
    </w:p>
    <w:p w14:paraId="6D89B593" w14:textId="77777777" w:rsidR="00B57144" w:rsidRDefault="00B57144" w:rsidP="00CA572D">
      <w:pPr>
        <w:widowControl w:val="0"/>
        <w:autoSpaceDE w:val="0"/>
        <w:autoSpaceDN w:val="0"/>
        <w:adjustRightInd w:val="0"/>
        <w:rPr>
          <w:rFonts w:cs="Helvetica"/>
        </w:rPr>
      </w:pPr>
    </w:p>
    <w:p w14:paraId="645D5654" w14:textId="77777777" w:rsidR="00501C25" w:rsidRDefault="00253EC8" w:rsidP="00CA572D">
      <w:pPr>
        <w:widowControl w:val="0"/>
        <w:autoSpaceDE w:val="0"/>
        <w:autoSpaceDN w:val="0"/>
        <w:adjustRightInd w:val="0"/>
        <w:rPr>
          <w:rFonts w:cs="Helvetica"/>
        </w:rPr>
      </w:pPr>
      <w:r>
        <w:rPr>
          <w:rFonts w:cs="Helvetica"/>
        </w:rPr>
        <w:t>A</w:t>
      </w:r>
      <w:r w:rsidR="00B57144">
        <w:rPr>
          <w:rFonts w:cs="Helvetica"/>
        </w:rPr>
        <w:t>s a</w:t>
      </w:r>
      <w:r>
        <w:rPr>
          <w:rFonts w:cs="Helvetica"/>
        </w:rPr>
        <w:t xml:space="preserve"> </w:t>
      </w:r>
      <w:r w:rsidR="00E02F8D">
        <w:rPr>
          <w:rFonts w:cs="Helvetica"/>
        </w:rPr>
        <w:t>result,</w:t>
      </w:r>
      <w:r>
        <w:rPr>
          <w:rFonts w:cs="Helvetica"/>
        </w:rPr>
        <w:t xml:space="preserve"> </w:t>
      </w:r>
      <w:r w:rsidR="00B57144">
        <w:rPr>
          <w:rFonts w:cs="Helvetica"/>
        </w:rPr>
        <w:t>earnings through capital gains may remain untaxed</w:t>
      </w:r>
      <w:r w:rsidR="00E02F8D">
        <w:rPr>
          <w:rFonts w:cs="Helvetica"/>
        </w:rPr>
        <w:t xml:space="preserve"> in the superannuation system</w:t>
      </w:r>
      <w:r w:rsidR="00B57144">
        <w:rPr>
          <w:rFonts w:cs="Helvetica"/>
        </w:rPr>
        <w:t xml:space="preserve">.  This represents a tax leakage and </w:t>
      </w:r>
      <w:r w:rsidR="00E02F8D">
        <w:rPr>
          <w:rFonts w:cs="Helvetica"/>
        </w:rPr>
        <w:t>could</w:t>
      </w:r>
      <w:r w:rsidR="00B57144">
        <w:rPr>
          <w:rFonts w:cs="Helvetica"/>
        </w:rPr>
        <w:t xml:space="preserve"> distort investment </w:t>
      </w:r>
      <w:proofErr w:type="spellStart"/>
      <w:r w:rsidR="00B57144">
        <w:rPr>
          <w:rFonts w:cs="Helvetica"/>
        </w:rPr>
        <w:t>behavio</w:t>
      </w:r>
      <w:r w:rsidR="00E02F8D">
        <w:rPr>
          <w:rFonts w:cs="Helvetica"/>
        </w:rPr>
        <w:t>u</w:t>
      </w:r>
      <w:r w:rsidR="00B57144">
        <w:rPr>
          <w:rFonts w:cs="Helvetica"/>
        </w:rPr>
        <w:t>r</w:t>
      </w:r>
      <w:proofErr w:type="spellEnd"/>
      <w:r w:rsidR="00B57144">
        <w:rPr>
          <w:rFonts w:cs="Helvetica"/>
        </w:rPr>
        <w:t>.</w:t>
      </w:r>
      <w:r w:rsidR="00B7567F">
        <w:rPr>
          <w:rFonts w:cs="Helvetica"/>
        </w:rPr>
        <w:t xml:space="preserve">  </w:t>
      </w:r>
    </w:p>
    <w:p w14:paraId="1AD57E30" w14:textId="77777777" w:rsidR="00501C25" w:rsidRDefault="00501C25" w:rsidP="00CA572D">
      <w:pPr>
        <w:widowControl w:val="0"/>
        <w:autoSpaceDE w:val="0"/>
        <w:autoSpaceDN w:val="0"/>
        <w:adjustRightInd w:val="0"/>
        <w:rPr>
          <w:rFonts w:cs="Helvetica"/>
        </w:rPr>
      </w:pPr>
    </w:p>
    <w:p w14:paraId="63B94136" w14:textId="20BEF09C" w:rsidR="00B57144" w:rsidRDefault="00B7567F" w:rsidP="00CA572D">
      <w:pPr>
        <w:widowControl w:val="0"/>
        <w:autoSpaceDE w:val="0"/>
        <w:autoSpaceDN w:val="0"/>
        <w:adjustRightInd w:val="0"/>
        <w:rPr>
          <w:rFonts w:cs="Helvetica"/>
        </w:rPr>
      </w:pPr>
      <w:r>
        <w:rPr>
          <w:rFonts w:cs="Helvetica"/>
        </w:rPr>
        <w:t xml:space="preserve">The </w:t>
      </w:r>
      <w:r w:rsidR="00501C25">
        <w:rPr>
          <w:rFonts w:cs="Helvetica"/>
        </w:rPr>
        <w:t xml:space="preserve">potential </w:t>
      </w:r>
      <w:r>
        <w:rPr>
          <w:rFonts w:cs="Helvetica"/>
        </w:rPr>
        <w:t xml:space="preserve">overall leakage is extreme when leverage in the accumulation phase </w:t>
      </w:r>
      <w:r w:rsidR="00501C25">
        <w:rPr>
          <w:rFonts w:cs="Helvetica"/>
        </w:rPr>
        <w:t>attracts</w:t>
      </w:r>
      <w:r>
        <w:rPr>
          <w:rFonts w:cs="Helvetica"/>
        </w:rPr>
        <w:t xml:space="preserve"> a tax deduction on interest payments used to purchase assets on </w:t>
      </w:r>
      <w:r>
        <w:rPr>
          <w:rFonts w:cs="Helvetica"/>
        </w:rPr>
        <w:lastRenderedPageBreak/>
        <w:t xml:space="preserve">which capital gains tax </w:t>
      </w:r>
      <w:r w:rsidR="00501C25">
        <w:rPr>
          <w:rFonts w:cs="Helvetica"/>
        </w:rPr>
        <w:t>is never</w:t>
      </w:r>
      <w:r>
        <w:rPr>
          <w:rFonts w:cs="Helvetica"/>
        </w:rPr>
        <w:t xml:space="preserve"> paid.</w:t>
      </w:r>
    </w:p>
    <w:p w14:paraId="1E164E7F" w14:textId="77777777" w:rsidR="00B57144" w:rsidRDefault="00B57144" w:rsidP="00CA572D">
      <w:pPr>
        <w:widowControl w:val="0"/>
        <w:autoSpaceDE w:val="0"/>
        <w:autoSpaceDN w:val="0"/>
        <w:adjustRightInd w:val="0"/>
        <w:rPr>
          <w:rFonts w:cs="Helvetica"/>
        </w:rPr>
      </w:pPr>
    </w:p>
    <w:p w14:paraId="7CEA7D59" w14:textId="66618B92" w:rsidR="00253EC8" w:rsidRDefault="00B57144" w:rsidP="00CA572D">
      <w:pPr>
        <w:widowControl w:val="0"/>
        <w:autoSpaceDE w:val="0"/>
        <w:autoSpaceDN w:val="0"/>
        <w:adjustRightInd w:val="0"/>
        <w:rPr>
          <w:rFonts w:cs="Helvetica"/>
        </w:rPr>
      </w:pPr>
      <w:r>
        <w:rPr>
          <w:rFonts w:cs="Helvetica"/>
        </w:rPr>
        <w:t xml:space="preserve">This leakage could be closed by deeming capital gains to be </w:t>
      </w:r>
      <w:proofErr w:type="spellStart"/>
      <w:r>
        <w:rPr>
          <w:rFonts w:cs="Helvetica"/>
        </w:rPr>
        <w:t>realised</w:t>
      </w:r>
      <w:proofErr w:type="spellEnd"/>
      <w:r>
        <w:rPr>
          <w:rFonts w:cs="Helvetica"/>
        </w:rPr>
        <w:t xml:space="preserve"> at the time a superannuation account transitions from the accumulation phase to the </w:t>
      </w:r>
      <w:r w:rsidR="00B7567F">
        <w:rPr>
          <w:rFonts w:cs="Helvetica"/>
        </w:rPr>
        <w:t>decumulation</w:t>
      </w:r>
      <w:r>
        <w:rPr>
          <w:rFonts w:cs="Helvetica"/>
        </w:rPr>
        <w:t xml:space="preserve"> phase.  It is possible that the potential revenue from closing this leakage could be better directed to other parts of the economy.</w:t>
      </w:r>
    </w:p>
    <w:p w14:paraId="64F1D649" w14:textId="4E9CA3AC" w:rsidR="00B26E20" w:rsidRPr="00B57144" w:rsidRDefault="00B26E20" w:rsidP="00B57144">
      <w:pPr>
        <w:widowControl w:val="0"/>
        <w:autoSpaceDE w:val="0"/>
        <w:autoSpaceDN w:val="0"/>
        <w:adjustRightInd w:val="0"/>
        <w:rPr>
          <w:rFonts w:cs="Helvetica"/>
        </w:rPr>
      </w:pPr>
    </w:p>
    <w:sectPr w:rsidR="00B26E20" w:rsidRPr="00B57144" w:rsidSect="001D1AA8">
      <w:footerReference w:type="even" r:id="rId16"/>
      <w:footerReference w:type="default" r:id="rId17"/>
      <w:pgSz w:w="11900" w:h="16840"/>
      <w:pgMar w:top="851" w:right="180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D55E2" w14:textId="77777777" w:rsidR="00501C25" w:rsidRDefault="00501C25" w:rsidP="00F11573">
      <w:r>
        <w:separator/>
      </w:r>
    </w:p>
  </w:endnote>
  <w:endnote w:type="continuationSeparator" w:id="0">
    <w:p w14:paraId="14FD9636" w14:textId="77777777" w:rsidR="00501C25" w:rsidRDefault="00501C25" w:rsidP="00F1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E3D28" w14:textId="77777777" w:rsidR="00085B02" w:rsidRDefault="00085B02" w:rsidP="00F11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ECFB4D" w14:textId="77777777" w:rsidR="00085B02" w:rsidRDefault="00085B02" w:rsidP="00F115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4253" w14:textId="77777777" w:rsidR="00085B02" w:rsidRDefault="00085B02" w:rsidP="00F11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44D5">
      <w:rPr>
        <w:rStyle w:val="PageNumber"/>
        <w:noProof/>
      </w:rPr>
      <w:t>8</w:t>
    </w:r>
    <w:r>
      <w:rPr>
        <w:rStyle w:val="PageNumber"/>
      </w:rPr>
      <w:fldChar w:fldCharType="end"/>
    </w:r>
  </w:p>
  <w:p w14:paraId="3C081A08" w14:textId="3DAD1959" w:rsidR="00085B02" w:rsidRDefault="00501C25" w:rsidP="00CA572D">
    <w:pPr>
      <w:tabs>
        <w:tab w:val="left" w:pos="7230"/>
      </w:tabs>
    </w:pPr>
    <w:r>
      <w:t xml:space="preserve">Individual Submission by </w:t>
    </w:r>
    <w:r w:rsidR="00085B02">
      <w:t xml:space="preserve">David Hartley </w:t>
    </w:r>
    <w:r w:rsidR="00085B02">
      <w:tab/>
      <w:t>Page</w:t>
    </w:r>
  </w:p>
  <w:p w14:paraId="1DDB815F" w14:textId="77777777" w:rsidR="00085B02" w:rsidRDefault="00085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AE66F" w14:textId="77777777" w:rsidR="00501C25" w:rsidRDefault="00501C25" w:rsidP="00F11573">
      <w:r>
        <w:separator/>
      </w:r>
    </w:p>
  </w:footnote>
  <w:footnote w:type="continuationSeparator" w:id="0">
    <w:p w14:paraId="6831EE93" w14:textId="77777777" w:rsidR="00501C25" w:rsidRDefault="00501C25" w:rsidP="00F11573">
      <w:r>
        <w:continuationSeparator/>
      </w:r>
    </w:p>
  </w:footnote>
  <w:footnote w:id="1">
    <w:p w14:paraId="5634ED4A" w14:textId="00242EBE" w:rsidR="00085B02" w:rsidRDefault="00085B02">
      <w:pPr>
        <w:pStyle w:val="FootnoteText"/>
      </w:pPr>
      <w:r>
        <w:rPr>
          <w:rStyle w:val="FootnoteReference"/>
        </w:rPr>
        <w:footnoteRef/>
      </w:r>
      <w:r>
        <w:t xml:space="preserve"> </w:t>
      </w:r>
      <w:proofErr w:type="spellStart"/>
      <w:r w:rsidRPr="00B045AD">
        <w:rPr>
          <w:rStyle w:val="Strong"/>
          <w:rFonts w:eastAsia="Times New Roman" w:cs="Times New Roman"/>
          <w:sz w:val="16"/>
          <w:szCs w:val="16"/>
        </w:rPr>
        <w:t>SMSF</w:t>
      </w:r>
      <w:proofErr w:type="spellEnd"/>
      <w:r w:rsidRPr="00B045AD">
        <w:rPr>
          <w:rStyle w:val="Strong"/>
          <w:rFonts w:eastAsia="Times New Roman" w:cs="Times New Roman"/>
          <w:sz w:val="16"/>
          <w:szCs w:val="16"/>
        </w:rPr>
        <w:t xml:space="preserve"> members: Their attitudes, motivations and experiences </w:t>
      </w:r>
      <w:hyperlink r:id="rId1" w:history="1">
        <w:r w:rsidRPr="00B045AD">
          <w:rPr>
            <w:rStyle w:val="Hyperlink"/>
            <w:rFonts w:eastAsia="Times New Roman" w:cs="Times New Roman"/>
            <w:sz w:val="16"/>
            <w:szCs w:val="16"/>
          </w:rPr>
          <w:t>http://www.cifr.edu.au/site/Latest_news/Research_Showcase_Superannuation.aspx</w:t>
        </w:r>
      </w:hyperlink>
      <w:r>
        <w:rPr>
          <w:rStyle w:val="Strong"/>
          <w:rFonts w:eastAsia="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8F43EF"/>
    <w:multiLevelType w:val="hybridMultilevel"/>
    <w:tmpl w:val="D84450CE"/>
    <w:lvl w:ilvl="0" w:tplc="81D2DBF0">
      <w:start w:val="1"/>
      <w:numFmt w:val="bullet"/>
      <w:lvlText w:val="–"/>
      <w:lvlJc w:val="left"/>
      <w:pPr>
        <w:tabs>
          <w:tab w:val="num" w:pos="720"/>
        </w:tabs>
        <w:ind w:left="720" w:hanging="360"/>
      </w:pPr>
      <w:rPr>
        <w:rFonts w:ascii="Arial" w:hAnsi="Arial" w:hint="default"/>
      </w:rPr>
    </w:lvl>
    <w:lvl w:ilvl="1" w:tplc="17C68376">
      <w:start w:val="1"/>
      <w:numFmt w:val="bullet"/>
      <w:lvlText w:val="–"/>
      <w:lvlJc w:val="left"/>
      <w:pPr>
        <w:tabs>
          <w:tab w:val="num" w:pos="1440"/>
        </w:tabs>
        <w:ind w:left="1440" w:hanging="360"/>
      </w:pPr>
      <w:rPr>
        <w:rFonts w:ascii="Arial" w:hAnsi="Arial" w:hint="default"/>
      </w:rPr>
    </w:lvl>
    <w:lvl w:ilvl="2" w:tplc="D22A0ABA" w:tentative="1">
      <w:start w:val="1"/>
      <w:numFmt w:val="bullet"/>
      <w:lvlText w:val="–"/>
      <w:lvlJc w:val="left"/>
      <w:pPr>
        <w:tabs>
          <w:tab w:val="num" w:pos="2160"/>
        </w:tabs>
        <w:ind w:left="2160" w:hanging="360"/>
      </w:pPr>
      <w:rPr>
        <w:rFonts w:ascii="Arial" w:hAnsi="Arial" w:hint="default"/>
      </w:rPr>
    </w:lvl>
    <w:lvl w:ilvl="3" w:tplc="FD2C1716" w:tentative="1">
      <w:start w:val="1"/>
      <w:numFmt w:val="bullet"/>
      <w:lvlText w:val="–"/>
      <w:lvlJc w:val="left"/>
      <w:pPr>
        <w:tabs>
          <w:tab w:val="num" w:pos="2880"/>
        </w:tabs>
        <w:ind w:left="2880" w:hanging="360"/>
      </w:pPr>
      <w:rPr>
        <w:rFonts w:ascii="Arial" w:hAnsi="Arial" w:hint="default"/>
      </w:rPr>
    </w:lvl>
    <w:lvl w:ilvl="4" w:tplc="F9C6C54E" w:tentative="1">
      <w:start w:val="1"/>
      <w:numFmt w:val="bullet"/>
      <w:lvlText w:val="–"/>
      <w:lvlJc w:val="left"/>
      <w:pPr>
        <w:tabs>
          <w:tab w:val="num" w:pos="3600"/>
        </w:tabs>
        <w:ind w:left="3600" w:hanging="360"/>
      </w:pPr>
      <w:rPr>
        <w:rFonts w:ascii="Arial" w:hAnsi="Arial" w:hint="default"/>
      </w:rPr>
    </w:lvl>
    <w:lvl w:ilvl="5" w:tplc="C46852F8" w:tentative="1">
      <w:start w:val="1"/>
      <w:numFmt w:val="bullet"/>
      <w:lvlText w:val="–"/>
      <w:lvlJc w:val="left"/>
      <w:pPr>
        <w:tabs>
          <w:tab w:val="num" w:pos="4320"/>
        </w:tabs>
        <w:ind w:left="4320" w:hanging="360"/>
      </w:pPr>
      <w:rPr>
        <w:rFonts w:ascii="Arial" w:hAnsi="Arial" w:hint="default"/>
      </w:rPr>
    </w:lvl>
    <w:lvl w:ilvl="6" w:tplc="62CED59C" w:tentative="1">
      <w:start w:val="1"/>
      <w:numFmt w:val="bullet"/>
      <w:lvlText w:val="–"/>
      <w:lvlJc w:val="left"/>
      <w:pPr>
        <w:tabs>
          <w:tab w:val="num" w:pos="5040"/>
        </w:tabs>
        <w:ind w:left="5040" w:hanging="360"/>
      </w:pPr>
      <w:rPr>
        <w:rFonts w:ascii="Arial" w:hAnsi="Arial" w:hint="default"/>
      </w:rPr>
    </w:lvl>
    <w:lvl w:ilvl="7" w:tplc="6588AF74" w:tentative="1">
      <w:start w:val="1"/>
      <w:numFmt w:val="bullet"/>
      <w:lvlText w:val="–"/>
      <w:lvlJc w:val="left"/>
      <w:pPr>
        <w:tabs>
          <w:tab w:val="num" w:pos="5760"/>
        </w:tabs>
        <w:ind w:left="5760" w:hanging="360"/>
      </w:pPr>
      <w:rPr>
        <w:rFonts w:ascii="Arial" w:hAnsi="Arial" w:hint="default"/>
      </w:rPr>
    </w:lvl>
    <w:lvl w:ilvl="8" w:tplc="67C6B196" w:tentative="1">
      <w:start w:val="1"/>
      <w:numFmt w:val="bullet"/>
      <w:lvlText w:val="–"/>
      <w:lvlJc w:val="left"/>
      <w:pPr>
        <w:tabs>
          <w:tab w:val="num" w:pos="6480"/>
        </w:tabs>
        <w:ind w:left="6480" w:hanging="360"/>
      </w:pPr>
      <w:rPr>
        <w:rFonts w:ascii="Arial" w:hAnsi="Arial" w:hint="default"/>
      </w:rPr>
    </w:lvl>
  </w:abstractNum>
  <w:abstractNum w:abstractNumId="2">
    <w:nsid w:val="13F84C71"/>
    <w:multiLevelType w:val="hybridMultilevel"/>
    <w:tmpl w:val="C2EC7A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E13BF"/>
    <w:multiLevelType w:val="hybridMultilevel"/>
    <w:tmpl w:val="7314561C"/>
    <w:lvl w:ilvl="0" w:tplc="4392AE08">
      <w:start w:val="1"/>
      <w:numFmt w:val="decimal"/>
      <w:lvlText w:val="%1."/>
      <w:lvlJc w:val="left"/>
      <w:pPr>
        <w:ind w:left="720" w:hanging="360"/>
      </w:pPr>
      <w:rPr>
        <w:rFonts w:hint="default"/>
        <w:b/>
        <w:bCs/>
        <w:i w:val="0"/>
        <w:iCs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019A1"/>
    <w:multiLevelType w:val="hybridMultilevel"/>
    <w:tmpl w:val="E83A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B415F"/>
    <w:multiLevelType w:val="hybridMultilevel"/>
    <w:tmpl w:val="1B46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AC7D66"/>
    <w:multiLevelType w:val="hybridMultilevel"/>
    <w:tmpl w:val="1BDE67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141C96"/>
    <w:multiLevelType w:val="hybridMultilevel"/>
    <w:tmpl w:val="CF6A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074DC5"/>
    <w:multiLevelType w:val="hybridMultilevel"/>
    <w:tmpl w:val="92925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F6DF3"/>
    <w:multiLevelType w:val="hybridMultilevel"/>
    <w:tmpl w:val="A1CC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7705D6"/>
    <w:multiLevelType w:val="multilevel"/>
    <w:tmpl w:val="1BDE67A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70AD5D63"/>
    <w:multiLevelType w:val="hybridMultilevel"/>
    <w:tmpl w:val="B418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8"/>
  </w:num>
  <w:num w:numId="5">
    <w:abstractNumId w:val="2"/>
  </w:num>
  <w:num w:numId="6">
    <w:abstractNumId w:val="5"/>
  </w:num>
  <w:num w:numId="7">
    <w:abstractNumId w:val="4"/>
  </w:num>
  <w:num w:numId="8">
    <w:abstractNumId w:val="11"/>
  </w:num>
  <w:num w:numId="9">
    <w:abstractNumId w:val="1"/>
  </w:num>
  <w:num w:numId="10">
    <w:abstractNumId w:val="6"/>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activeWritingStyle w:appName="MSWord" w:lang="en-US" w:vendorID="64" w:dllVersion="131078" w:nlCheck="1" w:checkStyle="1"/>
  <w:activeWritingStyle w:appName="MSWord" w:lang="en-AU" w:vendorID="64" w:dllVersion="131078" w:nlCheck="1" w:checkStyle="1"/>
  <w:activeWritingStyle w:appName="MSWord" w:lang="en-GB" w:vendorID="64" w:dllVersion="131078" w:nlCheck="1" w:checkStyle="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573"/>
    <w:rsid w:val="00025E19"/>
    <w:rsid w:val="000373D4"/>
    <w:rsid w:val="000561A3"/>
    <w:rsid w:val="00085B02"/>
    <w:rsid w:val="000E5662"/>
    <w:rsid w:val="001122A4"/>
    <w:rsid w:val="00181641"/>
    <w:rsid w:val="001C0320"/>
    <w:rsid w:val="001C694C"/>
    <w:rsid w:val="001D1AA8"/>
    <w:rsid w:val="001D66E0"/>
    <w:rsid w:val="00224D18"/>
    <w:rsid w:val="002339B2"/>
    <w:rsid w:val="00253EC8"/>
    <w:rsid w:val="00297AEF"/>
    <w:rsid w:val="00314FB6"/>
    <w:rsid w:val="003659A7"/>
    <w:rsid w:val="003E522E"/>
    <w:rsid w:val="00467569"/>
    <w:rsid w:val="00501C25"/>
    <w:rsid w:val="00511C37"/>
    <w:rsid w:val="00532177"/>
    <w:rsid w:val="00545702"/>
    <w:rsid w:val="00605BAB"/>
    <w:rsid w:val="00677003"/>
    <w:rsid w:val="006A44D5"/>
    <w:rsid w:val="006D44E9"/>
    <w:rsid w:val="0072281C"/>
    <w:rsid w:val="007A259F"/>
    <w:rsid w:val="007F48C0"/>
    <w:rsid w:val="00801349"/>
    <w:rsid w:val="00820B2E"/>
    <w:rsid w:val="00871EE6"/>
    <w:rsid w:val="008D39DE"/>
    <w:rsid w:val="009573BF"/>
    <w:rsid w:val="00AA682C"/>
    <w:rsid w:val="00B045AD"/>
    <w:rsid w:val="00B2656F"/>
    <w:rsid w:val="00B26E20"/>
    <w:rsid w:val="00B57144"/>
    <w:rsid w:val="00B7567F"/>
    <w:rsid w:val="00B763E5"/>
    <w:rsid w:val="00C23F97"/>
    <w:rsid w:val="00C81D99"/>
    <w:rsid w:val="00C85E31"/>
    <w:rsid w:val="00CA04FE"/>
    <w:rsid w:val="00CA572D"/>
    <w:rsid w:val="00CB2D30"/>
    <w:rsid w:val="00CD6BD8"/>
    <w:rsid w:val="00D46334"/>
    <w:rsid w:val="00DC2214"/>
    <w:rsid w:val="00E02F8D"/>
    <w:rsid w:val="00EB7C57"/>
    <w:rsid w:val="00F01F20"/>
    <w:rsid w:val="00F05EDA"/>
    <w:rsid w:val="00F11573"/>
    <w:rsid w:val="00F4290D"/>
    <w:rsid w:val="00F47F50"/>
    <w:rsid w:val="00FB0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E313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1573"/>
    <w:pPr>
      <w:spacing w:before="100" w:beforeAutospacing="1" w:after="100" w:afterAutospacing="1"/>
      <w:outlineLvl w:val="0"/>
    </w:pPr>
    <w:rPr>
      <w:rFonts w:ascii="Times" w:hAnsi="Times"/>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3"/>
    <w:rPr>
      <w:rFonts w:ascii="Times" w:hAnsi="Times"/>
      <w:b/>
      <w:bCs/>
      <w:kern w:val="36"/>
      <w:sz w:val="48"/>
      <w:szCs w:val="48"/>
      <w:lang w:val="en-AU"/>
    </w:rPr>
  </w:style>
  <w:style w:type="paragraph" w:styleId="Header">
    <w:name w:val="header"/>
    <w:basedOn w:val="Normal"/>
    <w:link w:val="HeaderChar"/>
    <w:uiPriority w:val="99"/>
    <w:unhideWhenUsed/>
    <w:rsid w:val="00F11573"/>
    <w:pPr>
      <w:tabs>
        <w:tab w:val="center" w:pos="4320"/>
        <w:tab w:val="right" w:pos="8640"/>
      </w:tabs>
    </w:pPr>
  </w:style>
  <w:style w:type="character" w:customStyle="1" w:styleId="HeaderChar">
    <w:name w:val="Header Char"/>
    <w:basedOn w:val="DefaultParagraphFont"/>
    <w:link w:val="Header"/>
    <w:uiPriority w:val="99"/>
    <w:rsid w:val="00F11573"/>
  </w:style>
  <w:style w:type="paragraph" w:styleId="Footer">
    <w:name w:val="footer"/>
    <w:basedOn w:val="Normal"/>
    <w:link w:val="FooterChar"/>
    <w:uiPriority w:val="99"/>
    <w:unhideWhenUsed/>
    <w:rsid w:val="00F11573"/>
    <w:pPr>
      <w:tabs>
        <w:tab w:val="center" w:pos="4320"/>
        <w:tab w:val="right" w:pos="8640"/>
      </w:tabs>
    </w:pPr>
  </w:style>
  <w:style w:type="character" w:customStyle="1" w:styleId="FooterChar">
    <w:name w:val="Footer Char"/>
    <w:basedOn w:val="DefaultParagraphFont"/>
    <w:link w:val="Footer"/>
    <w:uiPriority w:val="99"/>
    <w:rsid w:val="00F11573"/>
  </w:style>
  <w:style w:type="character" w:styleId="PageNumber">
    <w:name w:val="page number"/>
    <w:basedOn w:val="DefaultParagraphFont"/>
    <w:uiPriority w:val="99"/>
    <w:semiHidden/>
    <w:unhideWhenUsed/>
    <w:rsid w:val="00F11573"/>
  </w:style>
  <w:style w:type="paragraph" w:styleId="ListParagraph">
    <w:name w:val="List Paragraph"/>
    <w:basedOn w:val="Normal"/>
    <w:uiPriority w:val="34"/>
    <w:qFormat/>
    <w:rsid w:val="008D39DE"/>
    <w:pPr>
      <w:ind w:left="720"/>
      <w:contextualSpacing/>
    </w:pPr>
  </w:style>
  <w:style w:type="paragraph" w:styleId="FootnoteText">
    <w:name w:val="footnote text"/>
    <w:basedOn w:val="Normal"/>
    <w:link w:val="FootnoteTextChar"/>
    <w:uiPriority w:val="99"/>
    <w:unhideWhenUsed/>
    <w:rsid w:val="00871EE6"/>
  </w:style>
  <w:style w:type="character" w:customStyle="1" w:styleId="FootnoteTextChar">
    <w:name w:val="Footnote Text Char"/>
    <w:basedOn w:val="DefaultParagraphFont"/>
    <w:link w:val="FootnoteText"/>
    <w:uiPriority w:val="99"/>
    <w:rsid w:val="00871EE6"/>
  </w:style>
  <w:style w:type="character" w:styleId="FootnoteReference">
    <w:name w:val="footnote reference"/>
    <w:basedOn w:val="DefaultParagraphFont"/>
    <w:uiPriority w:val="99"/>
    <w:unhideWhenUsed/>
    <w:rsid w:val="00871EE6"/>
    <w:rPr>
      <w:vertAlign w:val="superscript"/>
    </w:rPr>
  </w:style>
  <w:style w:type="character" w:styleId="Strong">
    <w:name w:val="Strong"/>
    <w:basedOn w:val="DefaultParagraphFont"/>
    <w:uiPriority w:val="22"/>
    <w:qFormat/>
    <w:rsid w:val="00871EE6"/>
    <w:rPr>
      <w:b/>
      <w:bCs/>
    </w:rPr>
  </w:style>
  <w:style w:type="character" w:styleId="Hyperlink">
    <w:name w:val="Hyperlink"/>
    <w:basedOn w:val="DefaultParagraphFont"/>
    <w:uiPriority w:val="99"/>
    <w:unhideWhenUsed/>
    <w:rsid w:val="00871EE6"/>
    <w:rPr>
      <w:color w:val="0000FF" w:themeColor="hyperlink"/>
      <w:u w:val="single"/>
    </w:rPr>
  </w:style>
  <w:style w:type="paragraph" w:styleId="BalloonText">
    <w:name w:val="Balloon Text"/>
    <w:basedOn w:val="Normal"/>
    <w:link w:val="BalloonTextChar"/>
    <w:uiPriority w:val="99"/>
    <w:semiHidden/>
    <w:unhideWhenUsed/>
    <w:rsid w:val="000561A3"/>
    <w:rPr>
      <w:rFonts w:ascii="Tahoma" w:hAnsi="Tahoma" w:cs="Tahoma"/>
      <w:sz w:val="16"/>
      <w:szCs w:val="16"/>
    </w:rPr>
  </w:style>
  <w:style w:type="character" w:customStyle="1" w:styleId="BalloonTextChar">
    <w:name w:val="Balloon Text Char"/>
    <w:basedOn w:val="DefaultParagraphFont"/>
    <w:link w:val="BalloonText"/>
    <w:uiPriority w:val="99"/>
    <w:semiHidden/>
    <w:rsid w:val="000561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11573"/>
    <w:pPr>
      <w:spacing w:before="100" w:beforeAutospacing="1" w:after="100" w:afterAutospacing="1"/>
      <w:outlineLvl w:val="0"/>
    </w:pPr>
    <w:rPr>
      <w:rFonts w:ascii="Times" w:hAnsi="Times"/>
      <w:b/>
      <w:bCs/>
      <w:kern w:val="36"/>
      <w:sz w:val="48"/>
      <w:szCs w:val="4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573"/>
    <w:rPr>
      <w:rFonts w:ascii="Times" w:hAnsi="Times"/>
      <w:b/>
      <w:bCs/>
      <w:kern w:val="36"/>
      <w:sz w:val="48"/>
      <w:szCs w:val="48"/>
      <w:lang w:val="en-AU"/>
    </w:rPr>
  </w:style>
  <w:style w:type="paragraph" w:styleId="Header">
    <w:name w:val="header"/>
    <w:basedOn w:val="Normal"/>
    <w:link w:val="HeaderChar"/>
    <w:uiPriority w:val="99"/>
    <w:unhideWhenUsed/>
    <w:rsid w:val="00F11573"/>
    <w:pPr>
      <w:tabs>
        <w:tab w:val="center" w:pos="4320"/>
        <w:tab w:val="right" w:pos="8640"/>
      </w:tabs>
    </w:pPr>
  </w:style>
  <w:style w:type="character" w:customStyle="1" w:styleId="HeaderChar">
    <w:name w:val="Header Char"/>
    <w:basedOn w:val="DefaultParagraphFont"/>
    <w:link w:val="Header"/>
    <w:uiPriority w:val="99"/>
    <w:rsid w:val="00F11573"/>
  </w:style>
  <w:style w:type="paragraph" w:styleId="Footer">
    <w:name w:val="footer"/>
    <w:basedOn w:val="Normal"/>
    <w:link w:val="FooterChar"/>
    <w:uiPriority w:val="99"/>
    <w:unhideWhenUsed/>
    <w:rsid w:val="00F11573"/>
    <w:pPr>
      <w:tabs>
        <w:tab w:val="center" w:pos="4320"/>
        <w:tab w:val="right" w:pos="8640"/>
      </w:tabs>
    </w:pPr>
  </w:style>
  <w:style w:type="character" w:customStyle="1" w:styleId="FooterChar">
    <w:name w:val="Footer Char"/>
    <w:basedOn w:val="DefaultParagraphFont"/>
    <w:link w:val="Footer"/>
    <w:uiPriority w:val="99"/>
    <w:rsid w:val="00F11573"/>
  </w:style>
  <w:style w:type="character" w:styleId="PageNumber">
    <w:name w:val="page number"/>
    <w:basedOn w:val="DefaultParagraphFont"/>
    <w:uiPriority w:val="99"/>
    <w:semiHidden/>
    <w:unhideWhenUsed/>
    <w:rsid w:val="00F11573"/>
  </w:style>
  <w:style w:type="paragraph" w:styleId="ListParagraph">
    <w:name w:val="List Paragraph"/>
    <w:basedOn w:val="Normal"/>
    <w:uiPriority w:val="34"/>
    <w:qFormat/>
    <w:rsid w:val="008D39DE"/>
    <w:pPr>
      <w:ind w:left="720"/>
      <w:contextualSpacing/>
    </w:pPr>
  </w:style>
  <w:style w:type="paragraph" w:styleId="FootnoteText">
    <w:name w:val="footnote text"/>
    <w:basedOn w:val="Normal"/>
    <w:link w:val="FootnoteTextChar"/>
    <w:uiPriority w:val="99"/>
    <w:unhideWhenUsed/>
    <w:rsid w:val="00871EE6"/>
  </w:style>
  <w:style w:type="character" w:customStyle="1" w:styleId="FootnoteTextChar">
    <w:name w:val="Footnote Text Char"/>
    <w:basedOn w:val="DefaultParagraphFont"/>
    <w:link w:val="FootnoteText"/>
    <w:uiPriority w:val="99"/>
    <w:rsid w:val="00871EE6"/>
  </w:style>
  <w:style w:type="character" w:styleId="FootnoteReference">
    <w:name w:val="footnote reference"/>
    <w:basedOn w:val="DefaultParagraphFont"/>
    <w:uiPriority w:val="99"/>
    <w:unhideWhenUsed/>
    <w:rsid w:val="00871EE6"/>
    <w:rPr>
      <w:vertAlign w:val="superscript"/>
    </w:rPr>
  </w:style>
  <w:style w:type="character" w:styleId="Strong">
    <w:name w:val="Strong"/>
    <w:basedOn w:val="DefaultParagraphFont"/>
    <w:uiPriority w:val="22"/>
    <w:qFormat/>
    <w:rsid w:val="00871EE6"/>
    <w:rPr>
      <w:b/>
      <w:bCs/>
    </w:rPr>
  </w:style>
  <w:style w:type="character" w:styleId="Hyperlink">
    <w:name w:val="Hyperlink"/>
    <w:basedOn w:val="DefaultParagraphFont"/>
    <w:uiPriority w:val="99"/>
    <w:unhideWhenUsed/>
    <w:rsid w:val="00871EE6"/>
    <w:rPr>
      <w:color w:val="0000FF" w:themeColor="hyperlink"/>
      <w:u w:val="single"/>
    </w:rPr>
  </w:style>
  <w:style w:type="paragraph" w:styleId="BalloonText">
    <w:name w:val="Balloon Text"/>
    <w:basedOn w:val="Normal"/>
    <w:link w:val="BalloonTextChar"/>
    <w:uiPriority w:val="99"/>
    <w:semiHidden/>
    <w:unhideWhenUsed/>
    <w:rsid w:val="000561A3"/>
    <w:rPr>
      <w:rFonts w:ascii="Tahoma" w:hAnsi="Tahoma" w:cs="Tahoma"/>
      <w:sz w:val="16"/>
      <w:szCs w:val="16"/>
    </w:rPr>
  </w:style>
  <w:style w:type="character" w:customStyle="1" w:styleId="BalloonTextChar">
    <w:name w:val="Balloon Text Char"/>
    <w:basedOn w:val="DefaultParagraphFont"/>
    <w:link w:val="BalloonText"/>
    <w:uiPriority w:val="99"/>
    <w:semiHidden/>
    <w:rsid w:val="000561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99051">
      <w:bodyDiv w:val="1"/>
      <w:marLeft w:val="0"/>
      <w:marRight w:val="0"/>
      <w:marTop w:val="0"/>
      <w:marBottom w:val="0"/>
      <w:divBdr>
        <w:top w:val="none" w:sz="0" w:space="0" w:color="auto"/>
        <w:left w:val="none" w:sz="0" w:space="0" w:color="auto"/>
        <w:bottom w:val="none" w:sz="0" w:space="0" w:color="auto"/>
        <w:right w:val="none" w:sz="0" w:space="0" w:color="auto"/>
      </w:divBdr>
    </w:div>
    <w:div w:id="727726120">
      <w:bodyDiv w:val="1"/>
      <w:marLeft w:val="0"/>
      <w:marRight w:val="0"/>
      <w:marTop w:val="0"/>
      <w:marBottom w:val="0"/>
      <w:divBdr>
        <w:top w:val="none" w:sz="0" w:space="0" w:color="auto"/>
        <w:left w:val="none" w:sz="0" w:space="0" w:color="auto"/>
        <w:bottom w:val="none" w:sz="0" w:space="0" w:color="auto"/>
        <w:right w:val="none" w:sz="0" w:space="0" w:color="auto"/>
      </w:divBdr>
    </w:div>
    <w:div w:id="927428123">
      <w:bodyDiv w:val="1"/>
      <w:marLeft w:val="0"/>
      <w:marRight w:val="0"/>
      <w:marTop w:val="0"/>
      <w:marBottom w:val="0"/>
      <w:divBdr>
        <w:top w:val="none" w:sz="0" w:space="0" w:color="auto"/>
        <w:left w:val="none" w:sz="0" w:space="0" w:color="auto"/>
        <w:bottom w:val="none" w:sz="0" w:space="0" w:color="auto"/>
        <w:right w:val="none" w:sz="0" w:space="0" w:color="auto"/>
      </w:divBdr>
    </w:div>
    <w:div w:id="1497452403">
      <w:bodyDiv w:val="1"/>
      <w:marLeft w:val="0"/>
      <w:marRight w:val="0"/>
      <w:marTop w:val="0"/>
      <w:marBottom w:val="0"/>
      <w:divBdr>
        <w:top w:val="none" w:sz="0" w:space="0" w:color="auto"/>
        <w:left w:val="none" w:sz="0" w:space="0" w:color="auto"/>
        <w:bottom w:val="none" w:sz="0" w:space="0" w:color="auto"/>
        <w:right w:val="none" w:sz="0" w:space="0" w:color="auto"/>
      </w:divBdr>
      <w:divsChild>
        <w:div w:id="131677861">
          <w:marLeft w:val="0"/>
          <w:marRight w:val="0"/>
          <w:marTop w:val="120"/>
          <w:marBottom w:val="0"/>
          <w:divBdr>
            <w:top w:val="none" w:sz="0" w:space="0" w:color="auto"/>
            <w:left w:val="none" w:sz="0" w:space="0" w:color="auto"/>
            <w:bottom w:val="none" w:sz="0" w:space="0" w:color="auto"/>
            <w:right w:val="none" w:sz="0" w:space="0" w:color="auto"/>
          </w:divBdr>
        </w:div>
      </w:divsChild>
    </w:div>
    <w:div w:id="18910668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cifr.edu.au/site/Latest_news/Research_Showcase_Superannu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3586</Value>
    </TaxCatchAll>
  </documentManagement>
</p:properti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C1199EF-CCE1-4970-922C-BF9F5752EEBE}">
  <ds:schemaRefs>
    <ds:schemaRef ds:uri="http://schemas.microsoft.com/office/2006/metadata/customXsn"/>
  </ds:schemaRefs>
</ds:datastoreItem>
</file>

<file path=customXml/itemProps2.xml><?xml version="1.0" encoding="utf-8"?>
<ds:datastoreItem xmlns:ds="http://schemas.openxmlformats.org/officeDocument/2006/customXml" ds:itemID="{8CC36023-C881-4BBA-B585-0D0D90C5A3FA}">
  <ds:schemaRefs>
    <ds:schemaRef ds:uri="Microsoft.SharePoint.Taxonomy.ContentTypeSync"/>
  </ds:schemaRefs>
</ds:datastoreItem>
</file>

<file path=customXml/itemProps3.xml><?xml version="1.0" encoding="utf-8"?>
<ds:datastoreItem xmlns:ds="http://schemas.openxmlformats.org/officeDocument/2006/customXml" ds:itemID="{ADD1DC17-F9C4-4F32-8FE0-D402335D7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2FC54-87E5-42EA-B083-74869CB248AE}">
  <ds:schemaRefs>
    <ds:schemaRef ds:uri="http://schemas.microsoft.com/sharepoint/v3/contenttype/forms"/>
  </ds:schemaRefs>
</ds:datastoreItem>
</file>

<file path=customXml/itemProps5.xml><?xml version="1.0" encoding="utf-8"?>
<ds:datastoreItem xmlns:ds="http://schemas.openxmlformats.org/officeDocument/2006/customXml" ds:itemID="{24ADDE11-8BA4-4135-9A6E-F7D6F37DFD74}">
  <ds:schemaRefs>
    <ds:schemaRef ds:uri="3f4bcce7-ac1a-4c9d-aa3e-7e77695652db"/>
    <ds:schemaRef ds:uri="8044c801-d84b-4ee1-a77e-678f8dcdee17"/>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6.xml><?xml version="1.0" encoding="utf-8"?>
<ds:datastoreItem xmlns:ds="http://schemas.openxmlformats.org/officeDocument/2006/customXml" ds:itemID="{CE3B03E6-AF2F-4216-B316-7EBA1F2C55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2756</Words>
  <Characters>14388</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Submission 12 - David Hartley - Superannuation Competitiveness and Efficiency - Commissioned study</vt:lpstr>
    </vt:vector>
  </TitlesOfParts>
  <Company>David Hartley</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12 - David Hartley - Superannuation Competitiveness and Efficiency - Commissioned study</dc:title>
  <dc:subject/>
  <dc:creator>David Hartley</dc:creator>
  <cp:keywords/>
  <dc:description/>
  <cp:lastModifiedBy>Productivity Commission</cp:lastModifiedBy>
  <cp:revision>4</cp:revision>
  <cp:lastPrinted>2016-04-20T02:37:00Z</cp:lastPrinted>
  <dcterms:created xsi:type="dcterms:W3CDTF">2016-04-20T05:33:00Z</dcterms:created>
  <dcterms:modified xsi:type="dcterms:W3CDTF">2016-04-20T23:33:00Z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1500</vt:r8>
  </property>
  <property fmtid="{D5CDD505-2E9C-101B-9397-08002B2CF9AE}" pid="5" name="TaxKeyword">
    <vt:lpwstr>3586;#David Hartley|9e3a71d9-73f1-43a3-9d04-1db5ffd0dc22</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vt:lpwstr>
  </property>
</Properties>
</file>