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3D" w:rsidRPr="0046770E" w:rsidRDefault="00CC473D" w:rsidP="00456740">
      <w:pPr>
        <w:pStyle w:val="IPAHeading"/>
        <w:rPr>
          <w:rFonts w:asciiTheme="minorHAnsi" w:hAnsiTheme="minorHAnsi"/>
        </w:rPr>
      </w:pPr>
      <w:bookmarkStart w:id="0" w:name="_Toc314836483"/>
      <w:bookmarkStart w:id="1" w:name="_Toc314836663"/>
      <w:bookmarkStart w:id="2" w:name="_Toc448790807"/>
      <w:bookmarkStart w:id="3" w:name="_GoBack"/>
      <w:bookmarkEnd w:id="3"/>
      <w:r w:rsidRPr="0046770E">
        <w:rPr>
          <w:rFonts w:asciiTheme="minorHAnsi" w:hAnsiTheme="minorHAnsi"/>
        </w:rPr>
        <w:t>Table of Contents</w:t>
      </w:r>
      <w:bookmarkEnd w:id="0"/>
      <w:bookmarkEnd w:id="1"/>
      <w:bookmarkEnd w:id="2"/>
    </w:p>
    <w:p w:rsidR="00CC473D" w:rsidRPr="0046770E" w:rsidRDefault="00CC473D" w:rsidP="00CC473D">
      <w:pPr>
        <w:rPr>
          <w:rFonts w:asciiTheme="minorHAnsi" w:hAnsiTheme="minorHAnsi"/>
          <w:b/>
          <w:color w:val="696969"/>
          <w:sz w:val="22"/>
        </w:rPr>
      </w:pPr>
    </w:p>
    <w:bookmarkStart w:id="4" w:name="_Toc314836484"/>
    <w:p w:rsidR="00D47476" w:rsidRDefault="00CC473D">
      <w:pPr>
        <w:pStyle w:val="TOC1"/>
        <w:rPr>
          <w:rFonts w:asciiTheme="minorHAnsi" w:eastAsiaTheme="minorEastAsia" w:hAnsiTheme="minorHAnsi" w:cstheme="minorBidi"/>
          <w:color w:val="auto"/>
          <w:sz w:val="22"/>
          <w:szCs w:val="22"/>
          <w:lang w:val="en-AU" w:eastAsia="en-AU" w:bidi="ar-SA"/>
        </w:rPr>
      </w:pPr>
      <w:r w:rsidRPr="0046770E">
        <w:rPr>
          <w:rFonts w:asciiTheme="minorHAnsi" w:hAnsiTheme="minorHAnsi"/>
          <w:sz w:val="18"/>
          <w:szCs w:val="18"/>
        </w:rPr>
        <w:fldChar w:fldCharType="begin"/>
      </w:r>
      <w:r w:rsidRPr="0046770E">
        <w:rPr>
          <w:rFonts w:asciiTheme="minorHAnsi" w:hAnsiTheme="minorHAnsi"/>
          <w:sz w:val="18"/>
          <w:szCs w:val="18"/>
        </w:rPr>
        <w:instrText xml:space="preserve"> TOC \f \h \z \t "IPA Heading,1,IPA Sub Heading,2" </w:instrText>
      </w:r>
      <w:r w:rsidRPr="0046770E">
        <w:rPr>
          <w:rFonts w:asciiTheme="minorHAnsi" w:hAnsiTheme="minorHAnsi"/>
          <w:sz w:val="18"/>
          <w:szCs w:val="18"/>
        </w:rPr>
        <w:fldChar w:fldCharType="separate"/>
      </w:r>
      <w:hyperlink w:anchor="_Toc448790807" w:history="1">
        <w:r w:rsidR="00D47476" w:rsidRPr="00C034BF">
          <w:rPr>
            <w:rStyle w:val="Hyperlink"/>
          </w:rPr>
          <w:t>Table of Contents</w:t>
        </w:r>
        <w:r w:rsidR="00D47476">
          <w:rPr>
            <w:webHidden/>
          </w:rPr>
          <w:tab/>
        </w:r>
        <w:r w:rsidR="00D47476">
          <w:rPr>
            <w:webHidden/>
          </w:rPr>
          <w:fldChar w:fldCharType="begin"/>
        </w:r>
        <w:r w:rsidR="00D47476">
          <w:rPr>
            <w:webHidden/>
          </w:rPr>
          <w:instrText xml:space="preserve"> PAGEREF _Toc448790807 \h </w:instrText>
        </w:r>
        <w:r w:rsidR="00D47476">
          <w:rPr>
            <w:webHidden/>
          </w:rPr>
        </w:r>
        <w:r w:rsidR="00D47476">
          <w:rPr>
            <w:webHidden/>
          </w:rPr>
          <w:fldChar w:fldCharType="separate"/>
        </w:r>
        <w:r w:rsidR="00D47476">
          <w:rPr>
            <w:webHidden/>
          </w:rPr>
          <w:t>1</w:t>
        </w:r>
        <w:r w:rsidR="00D47476">
          <w:rPr>
            <w:webHidden/>
          </w:rPr>
          <w:fldChar w:fldCharType="end"/>
        </w:r>
      </w:hyperlink>
    </w:p>
    <w:p w:rsidR="00D47476" w:rsidRDefault="001941B1">
      <w:pPr>
        <w:pStyle w:val="TOC1"/>
        <w:tabs>
          <w:tab w:val="left" w:pos="660"/>
        </w:tabs>
        <w:rPr>
          <w:rFonts w:asciiTheme="minorHAnsi" w:eastAsiaTheme="minorEastAsia" w:hAnsiTheme="minorHAnsi" w:cstheme="minorBidi"/>
          <w:color w:val="auto"/>
          <w:sz w:val="22"/>
          <w:szCs w:val="22"/>
          <w:lang w:val="en-AU" w:eastAsia="en-AU" w:bidi="ar-SA"/>
        </w:rPr>
      </w:pPr>
      <w:hyperlink w:anchor="_Toc448790808" w:history="1">
        <w:r w:rsidR="00D47476" w:rsidRPr="00C034BF">
          <w:rPr>
            <w:rStyle w:val="Hyperlink"/>
          </w:rPr>
          <w:t>1.0</w:t>
        </w:r>
        <w:r w:rsidR="00D47476">
          <w:rPr>
            <w:rFonts w:asciiTheme="minorHAnsi" w:eastAsiaTheme="minorEastAsia" w:hAnsiTheme="minorHAnsi" w:cstheme="minorBidi"/>
            <w:color w:val="auto"/>
            <w:sz w:val="22"/>
            <w:szCs w:val="22"/>
            <w:lang w:val="en-AU" w:eastAsia="en-AU" w:bidi="ar-SA"/>
          </w:rPr>
          <w:tab/>
        </w:r>
        <w:r w:rsidR="00D47476" w:rsidRPr="00C034BF">
          <w:rPr>
            <w:rStyle w:val="Hyperlink"/>
          </w:rPr>
          <w:t>Superannuation in Australia</w:t>
        </w:r>
        <w:r w:rsidR="00D47476">
          <w:rPr>
            <w:webHidden/>
          </w:rPr>
          <w:tab/>
        </w:r>
        <w:r w:rsidR="00D47476">
          <w:rPr>
            <w:webHidden/>
          </w:rPr>
          <w:fldChar w:fldCharType="begin"/>
        </w:r>
        <w:r w:rsidR="00D47476">
          <w:rPr>
            <w:webHidden/>
          </w:rPr>
          <w:instrText xml:space="preserve"> PAGEREF _Toc448790808 \h </w:instrText>
        </w:r>
        <w:r w:rsidR="00D47476">
          <w:rPr>
            <w:webHidden/>
          </w:rPr>
        </w:r>
        <w:r w:rsidR="00D47476">
          <w:rPr>
            <w:webHidden/>
          </w:rPr>
          <w:fldChar w:fldCharType="separate"/>
        </w:r>
        <w:r w:rsidR="00D47476">
          <w:rPr>
            <w:webHidden/>
          </w:rPr>
          <w:t>2</w:t>
        </w:r>
        <w:r w:rsidR="00D47476">
          <w:rPr>
            <w:webHidden/>
          </w:rPr>
          <w:fldChar w:fldCharType="end"/>
        </w:r>
      </w:hyperlink>
    </w:p>
    <w:p w:rsidR="00D47476" w:rsidRDefault="001941B1">
      <w:pPr>
        <w:pStyle w:val="TOC1"/>
        <w:tabs>
          <w:tab w:val="left" w:pos="660"/>
        </w:tabs>
        <w:rPr>
          <w:rFonts w:asciiTheme="minorHAnsi" w:eastAsiaTheme="minorEastAsia" w:hAnsiTheme="minorHAnsi" w:cstheme="minorBidi"/>
          <w:color w:val="auto"/>
          <w:sz w:val="22"/>
          <w:szCs w:val="22"/>
          <w:lang w:val="en-AU" w:eastAsia="en-AU" w:bidi="ar-SA"/>
        </w:rPr>
      </w:pPr>
      <w:hyperlink w:anchor="_Toc448790809" w:history="1">
        <w:r w:rsidR="00D47476" w:rsidRPr="00C034BF">
          <w:rPr>
            <w:rStyle w:val="Hyperlink"/>
          </w:rPr>
          <w:t>2.0</w:t>
        </w:r>
        <w:r w:rsidR="00D47476">
          <w:rPr>
            <w:rFonts w:asciiTheme="minorHAnsi" w:eastAsiaTheme="minorEastAsia" w:hAnsiTheme="minorHAnsi" w:cstheme="minorBidi"/>
            <w:color w:val="auto"/>
            <w:sz w:val="22"/>
            <w:szCs w:val="22"/>
            <w:lang w:val="en-AU" w:eastAsia="en-AU" w:bidi="ar-SA"/>
          </w:rPr>
          <w:tab/>
        </w:r>
        <w:r w:rsidR="00D47476" w:rsidRPr="00C034BF">
          <w:rPr>
            <w:rStyle w:val="Hyperlink"/>
          </w:rPr>
          <w:t>What is the Commission’s approach to assessment?</w:t>
        </w:r>
        <w:r w:rsidR="00D47476">
          <w:rPr>
            <w:webHidden/>
          </w:rPr>
          <w:tab/>
        </w:r>
        <w:r w:rsidR="00D47476">
          <w:rPr>
            <w:webHidden/>
          </w:rPr>
          <w:fldChar w:fldCharType="begin"/>
        </w:r>
        <w:r w:rsidR="00D47476">
          <w:rPr>
            <w:webHidden/>
          </w:rPr>
          <w:instrText xml:space="preserve"> PAGEREF _Toc448790809 \h </w:instrText>
        </w:r>
        <w:r w:rsidR="00D47476">
          <w:rPr>
            <w:webHidden/>
          </w:rPr>
        </w:r>
        <w:r w:rsidR="00D47476">
          <w:rPr>
            <w:webHidden/>
          </w:rPr>
          <w:fldChar w:fldCharType="separate"/>
        </w:r>
        <w:r w:rsidR="00D47476">
          <w:rPr>
            <w:webHidden/>
          </w:rPr>
          <w:t>3</w:t>
        </w:r>
        <w:r w:rsidR="00D47476">
          <w:rPr>
            <w:webHidden/>
          </w:rPr>
          <w:fldChar w:fldCharType="end"/>
        </w:r>
      </w:hyperlink>
    </w:p>
    <w:p w:rsidR="00D47476" w:rsidRDefault="001941B1">
      <w:pPr>
        <w:pStyle w:val="TOC1"/>
        <w:tabs>
          <w:tab w:val="left" w:pos="660"/>
        </w:tabs>
        <w:rPr>
          <w:rFonts w:asciiTheme="minorHAnsi" w:eastAsiaTheme="minorEastAsia" w:hAnsiTheme="minorHAnsi" w:cstheme="minorBidi"/>
          <w:color w:val="auto"/>
          <w:sz w:val="22"/>
          <w:szCs w:val="22"/>
          <w:lang w:val="en-AU" w:eastAsia="en-AU" w:bidi="ar-SA"/>
        </w:rPr>
      </w:pPr>
      <w:hyperlink w:anchor="_Toc448790810" w:history="1">
        <w:r w:rsidR="00D47476" w:rsidRPr="00C034BF">
          <w:rPr>
            <w:rStyle w:val="Hyperlink"/>
          </w:rPr>
          <w:t>3.0</w:t>
        </w:r>
        <w:r w:rsidR="00D47476">
          <w:rPr>
            <w:rFonts w:asciiTheme="minorHAnsi" w:eastAsiaTheme="minorEastAsia" w:hAnsiTheme="minorHAnsi" w:cstheme="minorBidi"/>
            <w:color w:val="auto"/>
            <w:sz w:val="22"/>
            <w:szCs w:val="22"/>
            <w:lang w:val="en-AU" w:eastAsia="en-AU" w:bidi="ar-SA"/>
          </w:rPr>
          <w:tab/>
        </w:r>
        <w:r w:rsidR="00D47476" w:rsidRPr="00C034BF">
          <w:rPr>
            <w:rStyle w:val="Hyperlink"/>
          </w:rPr>
          <w:t>Assessing competitiveness</w:t>
        </w:r>
        <w:r w:rsidR="00D47476">
          <w:rPr>
            <w:webHidden/>
          </w:rPr>
          <w:tab/>
        </w:r>
        <w:r w:rsidR="00D47476">
          <w:rPr>
            <w:webHidden/>
          </w:rPr>
          <w:fldChar w:fldCharType="begin"/>
        </w:r>
        <w:r w:rsidR="00D47476">
          <w:rPr>
            <w:webHidden/>
          </w:rPr>
          <w:instrText xml:space="preserve"> PAGEREF _Toc448790810 \h </w:instrText>
        </w:r>
        <w:r w:rsidR="00D47476">
          <w:rPr>
            <w:webHidden/>
          </w:rPr>
        </w:r>
        <w:r w:rsidR="00D47476">
          <w:rPr>
            <w:webHidden/>
          </w:rPr>
          <w:fldChar w:fldCharType="separate"/>
        </w:r>
        <w:r w:rsidR="00D47476">
          <w:rPr>
            <w:webHidden/>
          </w:rPr>
          <w:t>5</w:t>
        </w:r>
        <w:r w:rsidR="00D47476">
          <w:rPr>
            <w:webHidden/>
          </w:rPr>
          <w:fldChar w:fldCharType="end"/>
        </w:r>
      </w:hyperlink>
    </w:p>
    <w:p w:rsidR="00D47476" w:rsidRDefault="001941B1">
      <w:pPr>
        <w:pStyle w:val="TOC1"/>
        <w:rPr>
          <w:rFonts w:asciiTheme="minorHAnsi" w:eastAsiaTheme="minorEastAsia" w:hAnsiTheme="minorHAnsi" w:cstheme="minorBidi"/>
          <w:color w:val="auto"/>
          <w:sz w:val="22"/>
          <w:szCs w:val="22"/>
          <w:lang w:val="en-AU" w:eastAsia="en-AU" w:bidi="ar-SA"/>
        </w:rPr>
      </w:pPr>
      <w:hyperlink w:anchor="_Toc448790811" w:history="1">
        <w:r w:rsidR="00D47476" w:rsidRPr="00C034BF">
          <w:rPr>
            <w:rStyle w:val="Hyperlink"/>
          </w:rPr>
          <w:t>Contact</w:t>
        </w:r>
        <w:r w:rsidR="00D47476">
          <w:rPr>
            <w:webHidden/>
          </w:rPr>
          <w:tab/>
        </w:r>
        <w:r w:rsidR="00D47476">
          <w:rPr>
            <w:webHidden/>
          </w:rPr>
          <w:fldChar w:fldCharType="begin"/>
        </w:r>
        <w:r w:rsidR="00D47476">
          <w:rPr>
            <w:webHidden/>
          </w:rPr>
          <w:instrText xml:space="preserve"> PAGEREF _Toc448790811 \h </w:instrText>
        </w:r>
        <w:r w:rsidR="00D47476">
          <w:rPr>
            <w:webHidden/>
          </w:rPr>
        </w:r>
        <w:r w:rsidR="00D47476">
          <w:rPr>
            <w:webHidden/>
          </w:rPr>
          <w:fldChar w:fldCharType="separate"/>
        </w:r>
        <w:r w:rsidR="00D47476">
          <w:rPr>
            <w:webHidden/>
          </w:rPr>
          <w:t>8</w:t>
        </w:r>
        <w:r w:rsidR="00D47476">
          <w:rPr>
            <w:webHidden/>
          </w:rPr>
          <w:fldChar w:fldCharType="end"/>
        </w:r>
      </w:hyperlink>
    </w:p>
    <w:p w:rsidR="00CC473D" w:rsidRPr="0046770E" w:rsidRDefault="00CC473D" w:rsidP="00456740">
      <w:pPr>
        <w:pStyle w:val="IPAHeading"/>
        <w:rPr>
          <w:rFonts w:asciiTheme="minorHAnsi" w:hAnsiTheme="minorHAnsi"/>
        </w:rPr>
      </w:pPr>
      <w:r w:rsidRPr="0046770E">
        <w:rPr>
          <w:rFonts w:asciiTheme="minorHAnsi" w:hAnsiTheme="minorHAnsi"/>
        </w:rPr>
        <w:fldChar w:fldCharType="end"/>
      </w:r>
      <w:bookmarkEnd w:id="4"/>
    </w:p>
    <w:p w:rsidR="00CC473D" w:rsidRPr="0046770E" w:rsidRDefault="00CC473D" w:rsidP="00456740">
      <w:pPr>
        <w:pStyle w:val="IPAHeading"/>
        <w:rPr>
          <w:rFonts w:asciiTheme="minorHAnsi" w:hAnsiTheme="minorHAnsi"/>
        </w:rPr>
      </w:pPr>
    </w:p>
    <w:p w:rsidR="00CC473D" w:rsidRPr="0046770E" w:rsidRDefault="00CC473D" w:rsidP="00CC473D">
      <w:pPr>
        <w:rPr>
          <w:rFonts w:asciiTheme="minorHAnsi" w:hAnsiTheme="minorHAnsi"/>
          <w:lang w:val="en-GB" w:bidi="ar-SA"/>
        </w:rPr>
      </w:pPr>
    </w:p>
    <w:p w:rsidR="00CC473D" w:rsidRPr="0046770E" w:rsidRDefault="00CC473D" w:rsidP="00CC473D">
      <w:pPr>
        <w:rPr>
          <w:rFonts w:asciiTheme="minorHAnsi" w:hAnsiTheme="minorHAnsi"/>
          <w:lang w:val="en-GB" w:bidi="ar-SA"/>
        </w:rPr>
      </w:pPr>
    </w:p>
    <w:p w:rsidR="00CC473D" w:rsidRPr="0046770E" w:rsidRDefault="00CC473D" w:rsidP="00CC473D">
      <w:pPr>
        <w:rPr>
          <w:rFonts w:asciiTheme="minorHAnsi" w:hAnsiTheme="minorHAnsi"/>
          <w:lang w:val="en-GB" w:bidi="ar-SA"/>
        </w:rPr>
      </w:pPr>
    </w:p>
    <w:p w:rsidR="00CC473D" w:rsidRPr="0046770E" w:rsidRDefault="00CC473D" w:rsidP="00456740">
      <w:pPr>
        <w:pStyle w:val="IPAHeading"/>
        <w:rPr>
          <w:rFonts w:asciiTheme="minorHAnsi" w:hAnsiTheme="minorHAnsi"/>
        </w:rPr>
      </w:pPr>
    </w:p>
    <w:p w:rsidR="00CC473D" w:rsidRPr="0046770E" w:rsidRDefault="00CC473D" w:rsidP="00456740">
      <w:pPr>
        <w:pStyle w:val="IPAHeading"/>
        <w:rPr>
          <w:rFonts w:asciiTheme="minorHAnsi" w:hAnsiTheme="minorHAnsi"/>
        </w:rPr>
      </w:pPr>
      <w:r w:rsidRPr="0046770E">
        <w:rPr>
          <w:rFonts w:asciiTheme="minorHAnsi" w:hAnsiTheme="minorHAnsi"/>
        </w:rPr>
        <w:tab/>
      </w:r>
    </w:p>
    <w:p w:rsidR="00CC473D" w:rsidRPr="0046770E" w:rsidRDefault="00CC473D" w:rsidP="00456740">
      <w:pPr>
        <w:pStyle w:val="IPAHeading"/>
        <w:rPr>
          <w:rFonts w:asciiTheme="minorHAnsi" w:hAnsiTheme="minorHAnsi"/>
          <w:sz w:val="20"/>
          <w:szCs w:val="20"/>
        </w:rPr>
      </w:pPr>
      <w:r w:rsidRPr="0046770E">
        <w:rPr>
          <w:rFonts w:asciiTheme="minorHAnsi" w:hAnsiTheme="minorHAnsi"/>
        </w:rPr>
        <w:br w:type="page"/>
      </w:r>
    </w:p>
    <w:p w:rsidR="00CC473D" w:rsidRPr="0046770E" w:rsidRDefault="00CC473D" w:rsidP="00456740">
      <w:pPr>
        <w:pStyle w:val="IPAHeading"/>
        <w:numPr>
          <w:ilvl w:val="0"/>
          <w:numId w:val="1"/>
        </w:numPr>
        <w:rPr>
          <w:rFonts w:asciiTheme="minorHAnsi" w:hAnsiTheme="minorHAnsi"/>
        </w:rPr>
      </w:pPr>
      <w:bookmarkStart w:id="5" w:name="_Toc448790808"/>
      <w:bookmarkStart w:id="6" w:name="_Toc314836486"/>
      <w:bookmarkStart w:id="7" w:name="_Toc314836666"/>
      <w:r w:rsidRPr="0046770E">
        <w:rPr>
          <w:rFonts w:asciiTheme="minorHAnsi" w:hAnsiTheme="minorHAnsi"/>
        </w:rPr>
        <w:lastRenderedPageBreak/>
        <w:t>Superannuation in Australia</w:t>
      </w:r>
      <w:bookmarkEnd w:id="5"/>
    </w:p>
    <w:p w:rsidR="00CC473D" w:rsidRPr="0046770E" w:rsidRDefault="00CC473D" w:rsidP="00456740">
      <w:pPr>
        <w:pStyle w:val="IPAHeading"/>
        <w:rPr>
          <w:rFonts w:asciiTheme="minorHAnsi" w:hAnsiTheme="minorHAnsi"/>
        </w:rPr>
      </w:pPr>
    </w:p>
    <w:p w:rsidR="00CC473D" w:rsidRPr="005B553F" w:rsidRDefault="00CC473D" w:rsidP="00CC473D">
      <w:pPr>
        <w:rPr>
          <w:rFonts w:asciiTheme="minorHAnsi" w:hAnsiTheme="minorHAnsi"/>
          <w:i/>
        </w:rPr>
      </w:pPr>
      <w:r w:rsidRPr="005B553F">
        <w:rPr>
          <w:rFonts w:asciiTheme="minorHAnsi" w:hAnsiTheme="minorHAnsi"/>
          <w:b/>
          <w:i/>
        </w:rPr>
        <w:t>Question 1:</w:t>
      </w:r>
      <w:r w:rsidRPr="005B553F">
        <w:rPr>
          <w:rFonts w:asciiTheme="minorHAnsi" w:hAnsiTheme="minorHAnsi"/>
          <w:i/>
        </w:rPr>
        <w:t xml:space="preserve"> Within the current policy settings, what are the objectives against which the efficiency and competitiveness of the superannuation system should be assessed? How prescriptively should the objectives be expressed?</w:t>
      </w:r>
    </w:p>
    <w:p w:rsidR="00CC473D" w:rsidRPr="0046770E" w:rsidRDefault="00CC473D" w:rsidP="00CC473D">
      <w:pPr>
        <w:rPr>
          <w:rFonts w:asciiTheme="minorHAnsi" w:hAnsiTheme="minorHAnsi"/>
        </w:rPr>
      </w:pPr>
    </w:p>
    <w:p w:rsidR="00361B0A" w:rsidRPr="00D47476" w:rsidRDefault="00CC473D" w:rsidP="00CC473D">
      <w:pPr>
        <w:rPr>
          <w:rFonts w:asciiTheme="minorHAnsi" w:hAnsiTheme="minorHAnsi"/>
          <w:sz w:val="22"/>
          <w:szCs w:val="22"/>
        </w:rPr>
      </w:pPr>
      <w:r w:rsidRPr="00D47476">
        <w:rPr>
          <w:rFonts w:asciiTheme="minorHAnsi" w:hAnsiTheme="minorHAnsi"/>
          <w:sz w:val="22"/>
          <w:szCs w:val="22"/>
        </w:rPr>
        <w:t xml:space="preserve">To be efficient and effective, Australia’s superannuation system must have clear and defined objectives. </w:t>
      </w:r>
      <w:r w:rsidR="00361B0A" w:rsidRPr="00D47476">
        <w:rPr>
          <w:rFonts w:asciiTheme="minorHAnsi" w:hAnsiTheme="minorHAnsi"/>
          <w:sz w:val="22"/>
          <w:szCs w:val="22"/>
        </w:rPr>
        <w:t>To date t</w:t>
      </w:r>
      <w:r w:rsidRPr="00D47476">
        <w:rPr>
          <w:rFonts w:asciiTheme="minorHAnsi" w:hAnsiTheme="minorHAnsi"/>
          <w:sz w:val="22"/>
          <w:szCs w:val="22"/>
        </w:rPr>
        <w:t xml:space="preserve">here has been a lack of clarity around </w:t>
      </w:r>
      <w:r w:rsidR="00361B0A" w:rsidRPr="00D47476">
        <w:rPr>
          <w:rFonts w:asciiTheme="minorHAnsi" w:hAnsiTheme="minorHAnsi"/>
          <w:sz w:val="22"/>
          <w:szCs w:val="22"/>
        </w:rPr>
        <w:t>three main issues:</w:t>
      </w:r>
    </w:p>
    <w:p w:rsidR="00361B0A" w:rsidRPr="00D47476" w:rsidRDefault="003831B5" w:rsidP="003831B5">
      <w:pPr>
        <w:pStyle w:val="ListParagraph"/>
        <w:numPr>
          <w:ilvl w:val="0"/>
          <w:numId w:val="2"/>
        </w:numPr>
        <w:rPr>
          <w:rFonts w:asciiTheme="minorHAnsi" w:hAnsiTheme="minorHAnsi"/>
          <w:sz w:val="22"/>
          <w:szCs w:val="22"/>
        </w:rPr>
      </w:pPr>
      <w:r w:rsidRPr="00D47476">
        <w:rPr>
          <w:rFonts w:asciiTheme="minorHAnsi" w:hAnsiTheme="minorHAnsi"/>
          <w:sz w:val="22"/>
          <w:szCs w:val="22"/>
        </w:rPr>
        <w:t>f</w:t>
      </w:r>
      <w:r w:rsidR="00361B0A" w:rsidRPr="00D47476">
        <w:rPr>
          <w:rFonts w:asciiTheme="minorHAnsi" w:hAnsiTheme="minorHAnsi"/>
          <w:sz w:val="22"/>
          <w:szCs w:val="22"/>
        </w:rPr>
        <w:t>irstly</w:t>
      </w:r>
      <w:r w:rsidR="00851A24" w:rsidRPr="00D47476">
        <w:rPr>
          <w:rFonts w:asciiTheme="minorHAnsi" w:hAnsiTheme="minorHAnsi"/>
          <w:sz w:val="22"/>
          <w:szCs w:val="22"/>
        </w:rPr>
        <w:t>,</w:t>
      </w:r>
      <w:r w:rsidR="00361B0A" w:rsidRPr="00D47476">
        <w:rPr>
          <w:rFonts w:asciiTheme="minorHAnsi" w:hAnsiTheme="minorHAnsi"/>
          <w:sz w:val="22"/>
          <w:szCs w:val="22"/>
        </w:rPr>
        <w:t xml:space="preserve"> establishing and mapping clear strategic objectives of the system</w:t>
      </w:r>
    </w:p>
    <w:p w:rsidR="00361B0A" w:rsidRPr="00D47476" w:rsidRDefault="003831B5" w:rsidP="003831B5">
      <w:pPr>
        <w:pStyle w:val="ListParagraph"/>
        <w:numPr>
          <w:ilvl w:val="0"/>
          <w:numId w:val="2"/>
        </w:numPr>
        <w:rPr>
          <w:rFonts w:asciiTheme="minorHAnsi" w:hAnsiTheme="minorHAnsi"/>
          <w:sz w:val="22"/>
          <w:szCs w:val="22"/>
        </w:rPr>
      </w:pPr>
      <w:r w:rsidRPr="00D47476">
        <w:rPr>
          <w:rFonts w:asciiTheme="minorHAnsi" w:hAnsiTheme="minorHAnsi"/>
          <w:sz w:val="22"/>
          <w:szCs w:val="22"/>
        </w:rPr>
        <w:t>s</w:t>
      </w:r>
      <w:r w:rsidR="00361B0A" w:rsidRPr="00D47476">
        <w:rPr>
          <w:rFonts w:asciiTheme="minorHAnsi" w:hAnsiTheme="minorHAnsi"/>
          <w:sz w:val="22"/>
          <w:szCs w:val="22"/>
        </w:rPr>
        <w:t xml:space="preserve">econdly, designing appropriate performance indicators to measure </w:t>
      </w:r>
      <w:r w:rsidR="00851A24" w:rsidRPr="00D47476">
        <w:rPr>
          <w:rFonts w:asciiTheme="minorHAnsi" w:hAnsiTheme="minorHAnsi"/>
          <w:sz w:val="22"/>
          <w:szCs w:val="22"/>
        </w:rPr>
        <w:t xml:space="preserve">the </w:t>
      </w:r>
      <w:r w:rsidR="00361B0A" w:rsidRPr="00D47476">
        <w:rPr>
          <w:rFonts w:asciiTheme="minorHAnsi" w:hAnsiTheme="minorHAnsi"/>
          <w:sz w:val="22"/>
          <w:szCs w:val="22"/>
        </w:rPr>
        <w:t>efficiency and effectiveness</w:t>
      </w:r>
      <w:r w:rsidR="00851A24" w:rsidRPr="00D47476">
        <w:rPr>
          <w:rFonts w:asciiTheme="minorHAnsi" w:hAnsiTheme="minorHAnsi"/>
          <w:sz w:val="22"/>
          <w:szCs w:val="22"/>
        </w:rPr>
        <w:t xml:space="preserve"> of the system</w:t>
      </w:r>
    </w:p>
    <w:p w:rsidR="00851A24" w:rsidRPr="00D47476" w:rsidRDefault="003831B5" w:rsidP="003831B5">
      <w:pPr>
        <w:pStyle w:val="ListParagraph"/>
        <w:numPr>
          <w:ilvl w:val="0"/>
          <w:numId w:val="2"/>
        </w:numPr>
        <w:rPr>
          <w:rFonts w:asciiTheme="minorHAnsi" w:hAnsiTheme="minorHAnsi"/>
          <w:sz w:val="22"/>
          <w:szCs w:val="22"/>
        </w:rPr>
      </w:pPr>
      <w:r w:rsidRPr="00D47476">
        <w:rPr>
          <w:rFonts w:asciiTheme="minorHAnsi" w:hAnsiTheme="minorHAnsi"/>
          <w:sz w:val="22"/>
          <w:szCs w:val="22"/>
        </w:rPr>
        <w:t>t</w:t>
      </w:r>
      <w:r w:rsidR="00361B0A" w:rsidRPr="00D47476">
        <w:rPr>
          <w:rFonts w:asciiTheme="minorHAnsi" w:hAnsiTheme="minorHAnsi"/>
          <w:sz w:val="22"/>
          <w:szCs w:val="22"/>
        </w:rPr>
        <w:t xml:space="preserve">hirdly, the </w:t>
      </w:r>
      <w:r w:rsidR="00851A24" w:rsidRPr="00D47476">
        <w:rPr>
          <w:rFonts w:asciiTheme="minorHAnsi" w:hAnsiTheme="minorHAnsi"/>
          <w:sz w:val="22"/>
          <w:szCs w:val="22"/>
        </w:rPr>
        <w:t xml:space="preserve">application </w:t>
      </w:r>
      <w:r w:rsidR="00361B0A" w:rsidRPr="00D47476">
        <w:rPr>
          <w:rFonts w:asciiTheme="minorHAnsi" w:hAnsiTheme="minorHAnsi"/>
          <w:sz w:val="22"/>
          <w:szCs w:val="22"/>
        </w:rPr>
        <w:t>of performance indicators</w:t>
      </w:r>
      <w:r w:rsidR="00851A24" w:rsidRPr="00D47476">
        <w:rPr>
          <w:rFonts w:asciiTheme="minorHAnsi" w:hAnsiTheme="minorHAnsi"/>
          <w:sz w:val="22"/>
          <w:szCs w:val="22"/>
        </w:rPr>
        <w:t xml:space="preserve"> </w:t>
      </w:r>
      <w:r w:rsidR="00361B0A" w:rsidRPr="00D47476">
        <w:rPr>
          <w:rFonts w:asciiTheme="minorHAnsi" w:hAnsiTheme="minorHAnsi"/>
          <w:sz w:val="22"/>
          <w:szCs w:val="22"/>
        </w:rPr>
        <w:t xml:space="preserve">to </w:t>
      </w:r>
      <w:r w:rsidR="00851A24" w:rsidRPr="00D47476">
        <w:rPr>
          <w:rFonts w:asciiTheme="minorHAnsi" w:hAnsiTheme="minorHAnsi"/>
          <w:sz w:val="22"/>
          <w:szCs w:val="22"/>
        </w:rPr>
        <w:t>ensure the system continues to satisfy objectives and community expectations</w:t>
      </w:r>
    </w:p>
    <w:p w:rsidR="003831B5" w:rsidRPr="00D47476" w:rsidRDefault="003831B5" w:rsidP="003831B5">
      <w:pPr>
        <w:rPr>
          <w:rFonts w:asciiTheme="minorHAnsi" w:hAnsiTheme="minorHAnsi"/>
          <w:sz w:val="22"/>
          <w:szCs w:val="22"/>
        </w:rPr>
      </w:pPr>
    </w:p>
    <w:p w:rsidR="00851A24" w:rsidRPr="00D47476" w:rsidRDefault="003831B5" w:rsidP="00CC473D">
      <w:pPr>
        <w:rPr>
          <w:rFonts w:asciiTheme="minorHAnsi" w:hAnsiTheme="minorHAnsi"/>
          <w:sz w:val="22"/>
          <w:szCs w:val="22"/>
        </w:rPr>
      </w:pPr>
      <w:r w:rsidRPr="00D47476">
        <w:rPr>
          <w:rFonts w:asciiTheme="minorHAnsi" w:hAnsiTheme="minorHAnsi"/>
          <w:sz w:val="22"/>
          <w:szCs w:val="22"/>
        </w:rPr>
        <w:t xml:space="preserve">Without clarity of purpose and the lack of being able to measure achievement of purpose, the system cannot deliver outcomes that are appropriate and delivered in an efficient manner.  This leads to policy setting that is </w:t>
      </w:r>
      <w:r w:rsidR="00851A24" w:rsidRPr="00D47476">
        <w:rPr>
          <w:rFonts w:asciiTheme="minorHAnsi" w:hAnsiTheme="minorHAnsi"/>
          <w:sz w:val="22"/>
          <w:szCs w:val="22"/>
        </w:rPr>
        <w:t>often inconsistent, complex, costly, inefficient, not based on sound public policy and based around budgetary considerations.</w:t>
      </w:r>
    </w:p>
    <w:p w:rsidR="00851A24" w:rsidRPr="00D47476" w:rsidRDefault="00851A24" w:rsidP="00CC473D">
      <w:pPr>
        <w:rPr>
          <w:rFonts w:asciiTheme="minorHAnsi" w:hAnsiTheme="minorHAnsi"/>
          <w:sz w:val="22"/>
          <w:szCs w:val="22"/>
        </w:rPr>
      </w:pPr>
    </w:p>
    <w:p w:rsidR="00CC473D" w:rsidRPr="00D47476" w:rsidRDefault="00851A24" w:rsidP="00CC473D">
      <w:pPr>
        <w:rPr>
          <w:rFonts w:asciiTheme="minorHAnsi" w:hAnsiTheme="minorHAnsi"/>
          <w:sz w:val="22"/>
          <w:szCs w:val="22"/>
        </w:rPr>
      </w:pPr>
      <w:r w:rsidRPr="00D47476">
        <w:rPr>
          <w:rFonts w:asciiTheme="minorHAnsi" w:hAnsiTheme="minorHAnsi"/>
          <w:sz w:val="22"/>
          <w:szCs w:val="22"/>
        </w:rPr>
        <w:t xml:space="preserve">The </w:t>
      </w:r>
      <w:r w:rsidRPr="00D47476">
        <w:rPr>
          <w:rFonts w:asciiTheme="minorHAnsi" w:hAnsiTheme="minorHAnsi" w:cs="Arial"/>
          <w:sz w:val="22"/>
          <w:szCs w:val="22"/>
        </w:rPr>
        <w:t xml:space="preserve">Institute of Public Accountants believes that the objectives of Australia’s superannuation system should be based around three </w:t>
      </w:r>
      <w:r w:rsidR="003831B5" w:rsidRPr="00D47476">
        <w:rPr>
          <w:rFonts w:asciiTheme="minorHAnsi" w:hAnsiTheme="minorHAnsi" w:cs="Arial"/>
          <w:sz w:val="22"/>
          <w:szCs w:val="22"/>
        </w:rPr>
        <w:t xml:space="preserve">main </w:t>
      </w:r>
      <w:r w:rsidR="00456740" w:rsidRPr="00D47476">
        <w:rPr>
          <w:rFonts w:asciiTheme="minorHAnsi" w:hAnsiTheme="minorHAnsi" w:cs="Arial"/>
          <w:sz w:val="22"/>
          <w:szCs w:val="22"/>
        </w:rPr>
        <w:t>themes</w:t>
      </w:r>
      <w:r w:rsidRPr="00D47476">
        <w:rPr>
          <w:rFonts w:asciiTheme="minorHAnsi" w:hAnsiTheme="minorHAnsi" w:cs="Arial"/>
          <w:sz w:val="22"/>
          <w:szCs w:val="22"/>
        </w:rPr>
        <w:t xml:space="preserve"> which </w:t>
      </w:r>
      <w:r w:rsidR="003831B5" w:rsidRPr="00D47476">
        <w:rPr>
          <w:rFonts w:asciiTheme="minorHAnsi" w:hAnsiTheme="minorHAnsi" w:cs="Arial"/>
          <w:sz w:val="22"/>
          <w:szCs w:val="22"/>
        </w:rPr>
        <w:t xml:space="preserve">take account </w:t>
      </w:r>
      <w:r w:rsidR="00AF31B0">
        <w:rPr>
          <w:rFonts w:asciiTheme="minorHAnsi" w:hAnsiTheme="minorHAnsi" w:cs="Arial"/>
          <w:sz w:val="22"/>
          <w:szCs w:val="22"/>
        </w:rPr>
        <w:t xml:space="preserve">of </w:t>
      </w:r>
      <w:r w:rsidR="003831B5" w:rsidRPr="00D47476">
        <w:rPr>
          <w:rFonts w:asciiTheme="minorHAnsi" w:hAnsiTheme="minorHAnsi" w:cs="Arial"/>
          <w:sz w:val="22"/>
          <w:szCs w:val="22"/>
        </w:rPr>
        <w:t>both social and fiscal considerations.</w:t>
      </w:r>
      <w:r w:rsidRPr="00D47476">
        <w:rPr>
          <w:rFonts w:asciiTheme="minorHAnsi" w:hAnsiTheme="minorHAnsi"/>
          <w:sz w:val="22"/>
          <w:szCs w:val="22"/>
        </w:rPr>
        <w:t xml:space="preserve">  </w:t>
      </w:r>
      <w:r w:rsidR="00CC473D" w:rsidRPr="00D47476">
        <w:rPr>
          <w:rFonts w:asciiTheme="minorHAnsi" w:hAnsiTheme="minorHAnsi"/>
          <w:sz w:val="22"/>
          <w:szCs w:val="22"/>
        </w:rPr>
        <w:t xml:space="preserve"> </w:t>
      </w:r>
      <w:r w:rsidR="003831B5" w:rsidRPr="00D47476">
        <w:rPr>
          <w:rFonts w:asciiTheme="minorHAnsi" w:hAnsiTheme="minorHAnsi"/>
          <w:sz w:val="22"/>
          <w:szCs w:val="22"/>
        </w:rPr>
        <w:t>Objectives need to consider</w:t>
      </w:r>
      <w:r w:rsidR="0011541C" w:rsidRPr="00D47476">
        <w:rPr>
          <w:rFonts w:asciiTheme="minorHAnsi" w:hAnsiTheme="minorHAnsi"/>
          <w:sz w:val="22"/>
          <w:szCs w:val="22"/>
        </w:rPr>
        <w:t>:</w:t>
      </w:r>
      <w:r w:rsidR="003831B5" w:rsidRPr="00D47476">
        <w:rPr>
          <w:rFonts w:asciiTheme="minorHAnsi" w:hAnsiTheme="minorHAnsi"/>
          <w:sz w:val="22"/>
          <w:szCs w:val="22"/>
        </w:rPr>
        <w:t xml:space="preserve"> </w:t>
      </w:r>
    </w:p>
    <w:p w:rsidR="003831B5" w:rsidRPr="00D47476" w:rsidRDefault="003831B5" w:rsidP="00CC473D">
      <w:pPr>
        <w:rPr>
          <w:rFonts w:asciiTheme="minorHAnsi" w:hAnsiTheme="minorHAnsi"/>
          <w:sz w:val="22"/>
          <w:szCs w:val="22"/>
        </w:rPr>
      </w:pPr>
    </w:p>
    <w:p w:rsidR="007E79BB" w:rsidRPr="00D47476" w:rsidRDefault="00361B0A" w:rsidP="0011541C">
      <w:pPr>
        <w:pStyle w:val="ListParagraph"/>
        <w:numPr>
          <w:ilvl w:val="0"/>
          <w:numId w:val="3"/>
        </w:numPr>
        <w:rPr>
          <w:rFonts w:asciiTheme="minorHAnsi" w:hAnsiTheme="minorHAnsi"/>
          <w:sz w:val="22"/>
          <w:szCs w:val="22"/>
        </w:rPr>
      </w:pPr>
      <w:proofErr w:type="gramStart"/>
      <w:r w:rsidRPr="00D47476">
        <w:rPr>
          <w:rFonts w:asciiTheme="minorHAnsi" w:hAnsiTheme="minorHAnsi"/>
          <w:sz w:val="22"/>
          <w:szCs w:val="22"/>
        </w:rPr>
        <w:t>adequacy</w:t>
      </w:r>
      <w:proofErr w:type="gramEnd"/>
      <w:r w:rsidRPr="00D47476">
        <w:rPr>
          <w:rFonts w:asciiTheme="minorHAnsi" w:hAnsiTheme="minorHAnsi"/>
          <w:sz w:val="22"/>
          <w:szCs w:val="22"/>
        </w:rPr>
        <w:t xml:space="preserve"> – </w:t>
      </w:r>
      <w:r w:rsidR="00695479" w:rsidRPr="00D47476">
        <w:rPr>
          <w:rFonts w:asciiTheme="minorHAnsi" w:hAnsiTheme="minorHAnsi"/>
          <w:sz w:val="22"/>
          <w:szCs w:val="22"/>
        </w:rPr>
        <w:t xml:space="preserve">the ability of the system to provide </w:t>
      </w:r>
      <w:r w:rsidR="002768D4" w:rsidRPr="00D47476">
        <w:rPr>
          <w:rFonts w:asciiTheme="minorHAnsi" w:hAnsiTheme="minorHAnsi"/>
          <w:sz w:val="22"/>
          <w:szCs w:val="22"/>
        </w:rPr>
        <w:t xml:space="preserve">all </w:t>
      </w:r>
      <w:r w:rsidR="00695479" w:rsidRPr="00D47476">
        <w:rPr>
          <w:rFonts w:asciiTheme="minorHAnsi" w:hAnsiTheme="minorHAnsi"/>
          <w:sz w:val="22"/>
          <w:szCs w:val="22"/>
        </w:rPr>
        <w:t>retirees with a</w:t>
      </w:r>
      <w:r w:rsidR="0011541C" w:rsidRPr="00D47476">
        <w:rPr>
          <w:rFonts w:asciiTheme="minorHAnsi" w:hAnsiTheme="minorHAnsi"/>
          <w:sz w:val="22"/>
          <w:szCs w:val="22"/>
        </w:rPr>
        <w:t xml:space="preserve"> replacement income that provides for their needs in retirement.  </w:t>
      </w:r>
      <w:r w:rsidR="007E79BB" w:rsidRPr="00D47476">
        <w:rPr>
          <w:rFonts w:asciiTheme="minorHAnsi" w:hAnsiTheme="minorHAnsi"/>
          <w:sz w:val="22"/>
          <w:szCs w:val="22"/>
        </w:rPr>
        <w:t xml:space="preserve">The objective may take the form of </w:t>
      </w:r>
      <w:r w:rsidR="0011541C" w:rsidRPr="00D47476">
        <w:rPr>
          <w:rFonts w:asciiTheme="minorHAnsi" w:hAnsiTheme="minorHAnsi"/>
          <w:sz w:val="22"/>
          <w:szCs w:val="22"/>
        </w:rPr>
        <w:t>ensuring</w:t>
      </w:r>
      <w:r w:rsidR="007E79BB" w:rsidRPr="00D47476">
        <w:rPr>
          <w:rFonts w:asciiTheme="minorHAnsi" w:hAnsiTheme="minorHAnsi"/>
          <w:sz w:val="22"/>
          <w:szCs w:val="22"/>
        </w:rPr>
        <w:t>:</w:t>
      </w:r>
    </w:p>
    <w:p w:rsidR="007E79BB" w:rsidRPr="00D47476" w:rsidRDefault="0011541C" w:rsidP="007E79BB">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 </w:t>
      </w:r>
      <w:proofErr w:type="gramStart"/>
      <w:r w:rsidR="007E79BB" w:rsidRPr="00D47476">
        <w:rPr>
          <w:rFonts w:asciiTheme="minorHAnsi" w:hAnsiTheme="minorHAnsi"/>
          <w:sz w:val="22"/>
          <w:szCs w:val="22"/>
        </w:rPr>
        <w:t>that</w:t>
      </w:r>
      <w:proofErr w:type="gramEnd"/>
      <w:r w:rsidR="007E79BB" w:rsidRPr="00D47476">
        <w:rPr>
          <w:rFonts w:asciiTheme="minorHAnsi" w:hAnsiTheme="minorHAnsi"/>
          <w:sz w:val="22"/>
          <w:szCs w:val="22"/>
        </w:rPr>
        <w:t xml:space="preserve"> </w:t>
      </w:r>
      <w:r w:rsidR="00AF6557" w:rsidRPr="00D47476">
        <w:rPr>
          <w:rFonts w:asciiTheme="minorHAnsi" w:hAnsiTheme="minorHAnsi"/>
          <w:sz w:val="22"/>
          <w:szCs w:val="22"/>
        </w:rPr>
        <w:t xml:space="preserve">the system provides </w:t>
      </w:r>
      <w:r w:rsidR="00732D5E" w:rsidRPr="00D47476">
        <w:rPr>
          <w:rFonts w:asciiTheme="minorHAnsi" w:hAnsiTheme="minorHAnsi"/>
          <w:sz w:val="22"/>
          <w:szCs w:val="22"/>
        </w:rPr>
        <w:t xml:space="preserve">all </w:t>
      </w:r>
      <w:r w:rsidR="00AF6557" w:rsidRPr="00D47476">
        <w:rPr>
          <w:rFonts w:asciiTheme="minorHAnsi" w:hAnsiTheme="minorHAnsi"/>
          <w:sz w:val="22"/>
          <w:szCs w:val="22"/>
        </w:rPr>
        <w:t xml:space="preserve">members with </w:t>
      </w:r>
      <w:r w:rsidR="007E79BB" w:rsidRPr="00D47476">
        <w:rPr>
          <w:rFonts w:asciiTheme="minorHAnsi" w:hAnsiTheme="minorHAnsi"/>
          <w:sz w:val="22"/>
          <w:szCs w:val="22"/>
        </w:rPr>
        <w:t>a</w:t>
      </w:r>
      <w:r w:rsidR="003D463A" w:rsidRPr="00D47476">
        <w:rPr>
          <w:rFonts w:asciiTheme="minorHAnsi" w:hAnsiTheme="minorHAnsi"/>
          <w:sz w:val="22"/>
          <w:szCs w:val="22"/>
        </w:rPr>
        <w:t xml:space="preserve"> minimum </w:t>
      </w:r>
      <w:r w:rsidR="00732D5E" w:rsidRPr="00D47476">
        <w:rPr>
          <w:rFonts w:asciiTheme="minorHAnsi" w:hAnsiTheme="minorHAnsi"/>
          <w:sz w:val="22"/>
          <w:szCs w:val="22"/>
        </w:rPr>
        <w:t>income</w:t>
      </w:r>
      <w:r w:rsidR="003D463A" w:rsidRPr="00D47476">
        <w:rPr>
          <w:rFonts w:asciiTheme="minorHAnsi" w:hAnsiTheme="minorHAnsi"/>
          <w:sz w:val="22"/>
          <w:szCs w:val="22"/>
        </w:rPr>
        <w:t xml:space="preserve"> based </w:t>
      </w:r>
      <w:r w:rsidR="00732D5E" w:rsidRPr="00D47476">
        <w:rPr>
          <w:rFonts w:asciiTheme="minorHAnsi" w:hAnsiTheme="minorHAnsi"/>
          <w:sz w:val="22"/>
          <w:szCs w:val="22"/>
        </w:rPr>
        <w:t>on</w:t>
      </w:r>
      <w:r w:rsidR="003D463A" w:rsidRPr="00D47476">
        <w:rPr>
          <w:rFonts w:asciiTheme="minorHAnsi" w:hAnsiTheme="minorHAnsi"/>
          <w:sz w:val="22"/>
          <w:szCs w:val="22"/>
        </w:rPr>
        <w:t xml:space="preserve"> ensuring a </w:t>
      </w:r>
      <w:r w:rsidR="00AF6557" w:rsidRPr="00D47476">
        <w:rPr>
          <w:rFonts w:asciiTheme="minorHAnsi" w:hAnsiTheme="minorHAnsi"/>
          <w:sz w:val="22"/>
          <w:szCs w:val="22"/>
        </w:rPr>
        <w:t>minimum  “standard of living”.</w:t>
      </w:r>
    </w:p>
    <w:p w:rsidR="0011541C" w:rsidRPr="00D47476" w:rsidRDefault="003D463A" w:rsidP="007E79BB">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that members receive an income based </w:t>
      </w:r>
      <w:r w:rsidR="00AF6557" w:rsidRPr="00D47476">
        <w:rPr>
          <w:rFonts w:asciiTheme="minorHAnsi" w:hAnsiTheme="minorHAnsi"/>
          <w:sz w:val="22"/>
          <w:szCs w:val="22"/>
        </w:rPr>
        <w:t xml:space="preserve">on </w:t>
      </w:r>
      <w:r w:rsidR="00456740" w:rsidRPr="00D47476">
        <w:rPr>
          <w:rFonts w:asciiTheme="minorHAnsi" w:hAnsiTheme="minorHAnsi"/>
          <w:sz w:val="22"/>
          <w:szCs w:val="22"/>
        </w:rPr>
        <w:t xml:space="preserve">a </w:t>
      </w:r>
      <w:r w:rsidR="00AF6557" w:rsidRPr="00D47476">
        <w:rPr>
          <w:rFonts w:asciiTheme="minorHAnsi" w:hAnsiTheme="minorHAnsi"/>
          <w:sz w:val="22"/>
          <w:szCs w:val="22"/>
        </w:rPr>
        <w:t xml:space="preserve">proportion of </w:t>
      </w:r>
      <w:r w:rsidRPr="00D47476">
        <w:rPr>
          <w:rFonts w:asciiTheme="minorHAnsi" w:hAnsiTheme="minorHAnsi"/>
          <w:sz w:val="22"/>
          <w:szCs w:val="22"/>
        </w:rPr>
        <w:t xml:space="preserve">their pre-retirement income </w:t>
      </w:r>
    </w:p>
    <w:p w:rsidR="00AF6557" w:rsidRPr="00D47476" w:rsidRDefault="00AF6557" w:rsidP="00AF6557">
      <w:pPr>
        <w:ind w:left="1140"/>
        <w:rPr>
          <w:rFonts w:asciiTheme="minorHAnsi" w:hAnsiTheme="minorHAnsi"/>
          <w:sz w:val="22"/>
          <w:szCs w:val="22"/>
        </w:rPr>
      </w:pPr>
    </w:p>
    <w:p w:rsidR="00AF6557" w:rsidRPr="00D47476" w:rsidRDefault="003831B5" w:rsidP="0011541C">
      <w:pPr>
        <w:pStyle w:val="ListParagraph"/>
        <w:numPr>
          <w:ilvl w:val="0"/>
          <w:numId w:val="3"/>
        </w:numPr>
        <w:rPr>
          <w:rFonts w:asciiTheme="minorHAnsi" w:hAnsiTheme="minorHAnsi"/>
          <w:sz w:val="22"/>
          <w:szCs w:val="22"/>
        </w:rPr>
      </w:pPr>
      <w:proofErr w:type="gramStart"/>
      <w:r w:rsidRPr="00D47476">
        <w:rPr>
          <w:rFonts w:asciiTheme="minorHAnsi" w:hAnsiTheme="minorHAnsi"/>
          <w:sz w:val="22"/>
          <w:szCs w:val="22"/>
        </w:rPr>
        <w:t>sustainability</w:t>
      </w:r>
      <w:proofErr w:type="gramEnd"/>
      <w:r w:rsidRPr="00D47476">
        <w:rPr>
          <w:rFonts w:asciiTheme="minorHAnsi" w:hAnsiTheme="minorHAnsi"/>
          <w:sz w:val="22"/>
          <w:szCs w:val="22"/>
        </w:rPr>
        <w:t xml:space="preserve"> – the </w:t>
      </w:r>
      <w:r w:rsidR="00D9332E" w:rsidRPr="00D47476">
        <w:rPr>
          <w:rFonts w:asciiTheme="minorHAnsi" w:hAnsiTheme="minorHAnsi"/>
          <w:sz w:val="22"/>
          <w:szCs w:val="22"/>
        </w:rPr>
        <w:t xml:space="preserve">robustness </w:t>
      </w:r>
      <w:r w:rsidRPr="00D47476">
        <w:rPr>
          <w:rFonts w:asciiTheme="minorHAnsi" w:hAnsiTheme="minorHAnsi"/>
          <w:sz w:val="22"/>
          <w:szCs w:val="22"/>
        </w:rPr>
        <w:t xml:space="preserve"> of the </w:t>
      </w:r>
      <w:r w:rsidR="00D9332E" w:rsidRPr="00D47476">
        <w:rPr>
          <w:rFonts w:asciiTheme="minorHAnsi" w:hAnsiTheme="minorHAnsi"/>
          <w:sz w:val="22"/>
          <w:szCs w:val="22"/>
        </w:rPr>
        <w:t xml:space="preserve">retirement </w:t>
      </w:r>
      <w:r w:rsidRPr="00D47476">
        <w:rPr>
          <w:rFonts w:asciiTheme="minorHAnsi" w:hAnsiTheme="minorHAnsi"/>
          <w:sz w:val="22"/>
          <w:szCs w:val="22"/>
        </w:rPr>
        <w:t xml:space="preserve">system to </w:t>
      </w:r>
      <w:r w:rsidR="00D9332E" w:rsidRPr="00D47476">
        <w:rPr>
          <w:rFonts w:asciiTheme="minorHAnsi" w:hAnsiTheme="minorHAnsi"/>
          <w:sz w:val="22"/>
          <w:szCs w:val="22"/>
        </w:rPr>
        <w:t xml:space="preserve">be able to </w:t>
      </w:r>
      <w:r w:rsidRPr="00D47476">
        <w:rPr>
          <w:rFonts w:asciiTheme="minorHAnsi" w:hAnsiTheme="minorHAnsi"/>
          <w:sz w:val="22"/>
          <w:szCs w:val="22"/>
        </w:rPr>
        <w:t>support itself financially</w:t>
      </w:r>
      <w:r w:rsidR="00D9332E" w:rsidRPr="00D47476">
        <w:rPr>
          <w:rFonts w:asciiTheme="minorHAnsi" w:hAnsiTheme="minorHAnsi"/>
          <w:sz w:val="22"/>
          <w:szCs w:val="22"/>
        </w:rPr>
        <w:t xml:space="preserve"> and be capable of delivering retirement benefits into the future</w:t>
      </w:r>
      <w:r w:rsidR="0056220C" w:rsidRPr="00D47476">
        <w:rPr>
          <w:rFonts w:asciiTheme="minorHAnsi" w:hAnsiTheme="minorHAnsi"/>
          <w:sz w:val="22"/>
          <w:szCs w:val="22"/>
        </w:rPr>
        <w:t>.  Objectives should consider</w:t>
      </w:r>
      <w:r w:rsidR="00732D5E" w:rsidRPr="00D47476">
        <w:rPr>
          <w:rFonts w:asciiTheme="minorHAnsi" w:hAnsiTheme="minorHAnsi"/>
          <w:sz w:val="22"/>
          <w:szCs w:val="22"/>
        </w:rPr>
        <w:t>:</w:t>
      </w:r>
      <w:r w:rsidRPr="00D47476">
        <w:rPr>
          <w:rFonts w:asciiTheme="minorHAnsi" w:hAnsiTheme="minorHAnsi"/>
          <w:sz w:val="22"/>
          <w:szCs w:val="22"/>
        </w:rPr>
        <w:t xml:space="preserve"> </w:t>
      </w:r>
    </w:p>
    <w:p w:rsidR="00AF6557" w:rsidRPr="00D47476" w:rsidRDefault="0056220C" w:rsidP="00AF6557">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the ability of </w:t>
      </w:r>
      <w:r w:rsidR="00732D5E" w:rsidRPr="00D47476">
        <w:rPr>
          <w:rFonts w:asciiTheme="minorHAnsi" w:hAnsiTheme="minorHAnsi"/>
          <w:sz w:val="22"/>
          <w:szCs w:val="22"/>
        </w:rPr>
        <w:t xml:space="preserve">the </w:t>
      </w:r>
      <w:r w:rsidRPr="00D47476">
        <w:rPr>
          <w:rFonts w:asciiTheme="minorHAnsi" w:hAnsiTheme="minorHAnsi"/>
          <w:sz w:val="22"/>
          <w:szCs w:val="22"/>
        </w:rPr>
        <w:t xml:space="preserve">fund to support </w:t>
      </w:r>
      <w:r w:rsidR="0053678E" w:rsidRPr="00D47476">
        <w:rPr>
          <w:rFonts w:asciiTheme="minorHAnsi" w:hAnsiTheme="minorHAnsi"/>
          <w:sz w:val="22"/>
          <w:szCs w:val="22"/>
        </w:rPr>
        <w:t>their</w:t>
      </w:r>
      <w:r w:rsidRPr="00D47476">
        <w:rPr>
          <w:rFonts w:asciiTheme="minorHAnsi" w:hAnsiTheme="minorHAnsi"/>
          <w:sz w:val="22"/>
          <w:szCs w:val="22"/>
        </w:rPr>
        <w:t xml:space="preserve"> future liabilities</w:t>
      </w:r>
    </w:p>
    <w:p w:rsidR="0056220C" w:rsidRPr="00D47476" w:rsidRDefault="0056220C" w:rsidP="00AF6557">
      <w:pPr>
        <w:pStyle w:val="ListParagraph"/>
        <w:numPr>
          <w:ilvl w:val="1"/>
          <w:numId w:val="3"/>
        </w:numPr>
        <w:rPr>
          <w:rFonts w:asciiTheme="minorHAnsi" w:hAnsiTheme="minorHAnsi"/>
          <w:sz w:val="22"/>
          <w:szCs w:val="22"/>
        </w:rPr>
      </w:pPr>
      <w:r w:rsidRPr="00D47476">
        <w:rPr>
          <w:rFonts w:asciiTheme="minorHAnsi" w:hAnsiTheme="minorHAnsi"/>
          <w:sz w:val="22"/>
          <w:szCs w:val="22"/>
        </w:rPr>
        <w:t>the extent to which the rate of contributions by employers and/or employees is sufficient to fund the system</w:t>
      </w:r>
    </w:p>
    <w:p w:rsidR="0056220C" w:rsidRPr="00D47476" w:rsidRDefault="0056220C" w:rsidP="00AF6557">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barriers to entry which may be impacting upon the </w:t>
      </w:r>
      <w:r w:rsidR="00456740" w:rsidRPr="00D47476">
        <w:rPr>
          <w:rFonts w:asciiTheme="minorHAnsi" w:hAnsiTheme="minorHAnsi"/>
          <w:sz w:val="22"/>
          <w:szCs w:val="22"/>
        </w:rPr>
        <w:t xml:space="preserve">efficiency of the system </w:t>
      </w:r>
      <w:r w:rsidR="00AF31B0">
        <w:rPr>
          <w:rFonts w:asciiTheme="minorHAnsi" w:hAnsiTheme="minorHAnsi"/>
          <w:sz w:val="22"/>
          <w:szCs w:val="22"/>
        </w:rPr>
        <w:t>and member benefits</w:t>
      </w:r>
    </w:p>
    <w:p w:rsidR="0056220C" w:rsidRPr="00D47476" w:rsidRDefault="0056220C" w:rsidP="0053678E">
      <w:pPr>
        <w:ind w:left="1140"/>
        <w:rPr>
          <w:rFonts w:asciiTheme="minorHAnsi" w:hAnsiTheme="minorHAnsi"/>
          <w:sz w:val="22"/>
          <w:szCs w:val="22"/>
        </w:rPr>
      </w:pPr>
    </w:p>
    <w:p w:rsidR="003D463A" w:rsidRPr="00D47476" w:rsidRDefault="00D9332E" w:rsidP="002768D4">
      <w:pPr>
        <w:pStyle w:val="ListParagraph"/>
        <w:numPr>
          <w:ilvl w:val="0"/>
          <w:numId w:val="3"/>
        </w:numPr>
        <w:rPr>
          <w:rFonts w:asciiTheme="minorHAnsi" w:hAnsiTheme="minorHAnsi"/>
          <w:sz w:val="22"/>
          <w:szCs w:val="22"/>
        </w:rPr>
      </w:pPr>
      <w:proofErr w:type="gramStart"/>
      <w:r w:rsidRPr="00D47476">
        <w:rPr>
          <w:rFonts w:asciiTheme="minorHAnsi" w:hAnsiTheme="minorHAnsi"/>
          <w:sz w:val="22"/>
          <w:szCs w:val="22"/>
        </w:rPr>
        <w:t>integrity</w:t>
      </w:r>
      <w:proofErr w:type="gramEnd"/>
      <w:r w:rsidRPr="00D47476">
        <w:rPr>
          <w:rFonts w:asciiTheme="minorHAnsi" w:hAnsiTheme="minorHAnsi"/>
          <w:sz w:val="22"/>
          <w:szCs w:val="22"/>
        </w:rPr>
        <w:t xml:space="preserve"> </w:t>
      </w:r>
      <w:r w:rsidR="00361B0A" w:rsidRPr="00D47476">
        <w:rPr>
          <w:rFonts w:asciiTheme="minorHAnsi" w:hAnsiTheme="minorHAnsi"/>
          <w:sz w:val="22"/>
          <w:szCs w:val="22"/>
        </w:rPr>
        <w:t xml:space="preserve">– </w:t>
      </w:r>
      <w:r w:rsidR="002768D4" w:rsidRPr="00D47476">
        <w:rPr>
          <w:rFonts w:asciiTheme="minorHAnsi" w:hAnsiTheme="minorHAnsi"/>
          <w:sz w:val="22"/>
          <w:szCs w:val="22"/>
        </w:rPr>
        <w:t xml:space="preserve">the </w:t>
      </w:r>
      <w:r w:rsidR="003C025B" w:rsidRPr="00D47476">
        <w:rPr>
          <w:rFonts w:asciiTheme="minorHAnsi" w:hAnsiTheme="minorHAnsi"/>
          <w:sz w:val="22"/>
          <w:szCs w:val="22"/>
        </w:rPr>
        <w:t xml:space="preserve">transparency of the system and the </w:t>
      </w:r>
      <w:r w:rsidR="002768D4" w:rsidRPr="00D47476">
        <w:rPr>
          <w:rFonts w:asciiTheme="minorHAnsi" w:hAnsiTheme="minorHAnsi"/>
          <w:sz w:val="22"/>
          <w:szCs w:val="22"/>
        </w:rPr>
        <w:t xml:space="preserve">means by which the system is governed and regulated to ensure the continued confidence of the community. </w:t>
      </w:r>
      <w:r w:rsidR="003D463A" w:rsidRPr="00D47476">
        <w:rPr>
          <w:rFonts w:asciiTheme="minorHAnsi" w:hAnsiTheme="minorHAnsi"/>
          <w:sz w:val="22"/>
          <w:szCs w:val="22"/>
        </w:rPr>
        <w:t xml:space="preserve"> The objective should be designed around ensuring such issues as:</w:t>
      </w:r>
    </w:p>
    <w:p w:rsidR="003D463A" w:rsidRPr="00D47476" w:rsidRDefault="00AF6557" w:rsidP="003D463A">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whether </w:t>
      </w:r>
      <w:r w:rsidR="003D463A" w:rsidRPr="00D47476">
        <w:rPr>
          <w:rFonts w:asciiTheme="minorHAnsi" w:hAnsiTheme="minorHAnsi"/>
          <w:sz w:val="22"/>
          <w:szCs w:val="22"/>
        </w:rPr>
        <w:t xml:space="preserve">consumers have confidence </w:t>
      </w:r>
      <w:r w:rsidR="00456740" w:rsidRPr="00D47476">
        <w:rPr>
          <w:rFonts w:asciiTheme="minorHAnsi" w:hAnsiTheme="minorHAnsi"/>
          <w:sz w:val="22"/>
          <w:szCs w:val="22"/>
        </w:rPr>
        <w:t>in</w:t>
      </w:r>
      <w:r w:rsidR="0053678E" w:rsidRPr="00D47476">
        <w:rPr>
          <w:rFonts w:asciiTheme="minorHAnsi" w:hAnsiTheme="minorHAnsi"/>
          <w:sz w:val="22"/>
          <w:szCs w:val="22"/>
        </w:rPr>
        <w:t xml:space="preserve"> </w:t>
      </w:r>
      <w:r w:rsidR="003D463A" w:rsidRPr="00D47476">
        <w:rPr>
          <w:rFonts w:asciiTheme="minorHAnsi" w:hAnsiTheme="minorHAnsi"/>
          <w:sz w:val="22"/>
          <w:szCs w:val="22"/>
        </w:rPr>
        <w:t>the system</w:t>
      </w:r>
    </w:p>
    <w:p w:rsidR="003D463A" w:rsidRPr="00D47476" w:rsidRDefault="00AF6557" w:rsidP="003D463A">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the disclosure of information such that members are </w:t>
      </w:r>
      <w:r w:rsidR="003D463A" w:rsidRPr="00D47476">
        <w:rPr>
          <w:rFonts w:asciiTheme="minorHAnsi" w:hAnsiTheme="minorHAnsi"/>
          <w:sz w:val="22"/>
          <w:szCs w:val="22"/>
        </w:rPr>
        <w:t xml:space="preserve">able to adequately compare fees and returns </w:t>
      </w:r>
      <w:r w:rsidRPr="00D47476">
        <w:rPr>
          <w:rFonts w:asciiTheme="minorHAnsi" w:hAnsiTheme="minorHAnsi"/>
          <w:sz w:val="22"/>
          <w:szCs w:val="22"/>
        </w:rPr>
        <w:t xml:space="preserve">with other </w:t>
      </w:r>
      <w:r w:rsidR="00732D5E" w:rsidRPr="00D47476">
        <w:rPr>
          <w:rFonts w:asciiTheme="minorHAnsi" w:hAnsiTheme="minorHAnsi"/>
          <w:sz w:val="22"/>
          <w:szCs w:val="22"/>
        </w:rPr>
        <w:t xml:space="preserve">similar </w:t>
      </w:r>
      <w:r w:rsidRPr="00D47476">
        <w:rPr>
          <w:rFonts w:asciiTheme="minorHAnsi" w:hAnsiTheme="minorHAnsi"/>
          <w:sz w:val="22"/>
          <w:szCs w:val="22"/>
        </w:rPr>
        <w:t>funds on a like-for-like basis</w:t>
      </w:r>
    </w:p>
    <w:p w:rsidR="00CC473D" w:rsidRPr="00D47476" w:rsidRDefault="00AF6557" w:rsidP="003D463A">
      <w:pPr>
        <w:pStyle w:val="ListParagraph"/>
        <w:numPr>
          <w:ilvl w:val="1"/>
          <w:numId w:val="3"/>
        </w:numPr>
        <w:rPr>
          <w:rFonts w:asciiTheme="minorHAnsi" w:hAnsiTheme="minorHAnsi"/>
          <w:sz w:val="22"/>
          <w:szCs w:val="22"/>
        </w:rPr>
      </w:pPr>
      <w:r w:rsidRPr="00D47476">
        <w:rPr>
          <w:rFonts w:asciiTheme="minorHAnsi" w:hAnsiTheme="minorHAnsi"/>
          <w:sz w:val="22"/>
          <w:szCs w:val="22"/>
        </w:rPr>
        <w:t xml:space="preserve">the extent to which </w:t>
      </w:r>
      <w:r w:rsidR="0056220C" w:rsidRPr="00D47476">
        <w:rPr>
          <w:rFonts w:asciiTheme="minorHAnsi" w:hAnsiTheme="minorHAnsi"/>
          <w:sz w:val="22"/>
          <w:szCs w:val="22"/>
        </w:rPr>
        <w:t xml:space="preserve">members are </w:t>
      </w:r>
      <w:r w:rsidRPr="00D47476">
        <w:rPr>
          <w:rFonts w:asciiTheme="minorHAnsi" w:hAnsiTheme="minorHAnsi"/>
          <w:sz w:val="22"/>
          <w:szCs w:val="22"/>
        </w:rPr>
        <w:t xml:space="preserve">provided with sufficient information to be able to determine and understand their </w:t>
      </w:r>
      <w:r w:rsidR="0053678E" w:rsidRPr="00D47476">
        <w:rPr>
          <w:rFonts w:asciiTheme="minorHAnsi" w:hAnsiTheme="minorHAnsi"/>
          <w:sz w:val="22"/>
          <w:szCs w:val="22"/>
        </w:rPr>
        <w:t xml:space="preserve">future retirement </w:t>
      </w:r>
      <w:r w:rsidR="00732D5E" w:rsidRPr="00D47476">
        <w:rPr>
          <w:rFonts w:asciiTheme="minorHAnsi" w:hAnsiTheme="minorHAnsi"/>
          <w:sz w:val="22"/>
          <w:szCs w:val="22"/>
        </w:rPr>
        <w:t xml:space="preserve">entitlement </w:t>
      </w:r>
      <w:r w:rsidRPr="00D47476">
        <w:rPr>
          <w:rFonts w:asciiTheme="minorHAnsi" w:hAnsiTheme="minorHAnsi"/>
          <w:sz w:val="22"/>
          <w:szCs w:val="22"/>
        </w:rPr>
        <w:t xml:space="preserve">based on </w:t>
      </w:r>
      <w:r w:rsidR="0053678E" w:rsidRPr="00D47476">
        <w:rPr>
          <w:rFonts w:asciiTheme="minorHAnsi" w:hAnsiTheme="minorHAnsi"/>
          <w:sz w:val="22"/>
          <w:szCs w:val="22"/>
        </w:rPr>
        <w:t>existing inputs and outpu</w:t>
      </w:r>
      <w:r w:rsidR="00732D5E" w:rsidRPr="00D47476">
        <w:rPr>
          <w:rFonts w:asciiTheme="minorHAnsi" w:hAnsiTheme="minorHAnsi"/>
          <w:sz w:val="22"/>
          <w:szCs w:val="22"/>
        </w:rPr>
        <w:t>t</w:t>
      </w:r>
      <w:r w:rsidR="0053678E" w:rsidRPr="00D47476">
        <w:rPr>
          <w:rFonts w:asciiTheme="minorHAnsi" w:hAnsiTheme="minorHAnsi"/>
          <w:sz w:val="22"/>
          <w:szCs w:val="22"/>
        </w:rPr>
        <w:t>s</w:t>
      </w:r>
    </w:p>
    <w:p w:rsidR="00AF6557" w:rsidRPr="00D47476" w:rsidRDefault="00AF6557" w:rsidP="003D463A">
      <w:pPr>
        <w:pStyle w:val="ListParagraph"/>
        <w:numPr>
          <w:ilvl w:val="1"/>
          <w:numId w:val="3"/>
        </w:numPr>
        <w:rPr>
          <w:rFonts w:asciiTheme="minorHAnsi" w:hAnsiTheme="minorHAnsi"/>
          <w:sz w:val="22"/>
          <w:szCs w:val="22"/>
        </w:rPr>
      </w:pPr>
      <w:r w:rsidRPr="00D47476">
        <w:rPr>
          <w:rFonts w:asciiTheme="minorHAnsi" w:hAnsiTheme="minorHAnsi"/>
          <w:sz w:val="22"/>
          <w:szCs w:val="22"/>
        </w:rPr>
        <w:t>enhancing the financial literacy of members</w:t>
      </w:r>
      <w:r w:rsidR="0056220C" w:rsidRPr="00D47476">
        <w:rPr>
          <w:rFonts w:asciiTheme="minorHAnsi" w:hAnsiTheme="minorHAnsi"/>
          <w:sz w:val="22"/>
          <w:szCs w:val="22"/>
        </w:rPr>
        <w:t xml:space="preserve"> and their engagement with their fund</w:t>
      </w:r>
    </w:p>
    <w:p w:rsidR="002768D4" w:rsidRPr="00D47476" w:rsidRDefault="002768D4" w:rsidP="002768D4">
      <w:pPr>
        <w:rPr>
          <w:rFonts w:asciiTheme="minorHAnsi" w:hAnsiTheme="minorHAnsi"/>
          <w:sz w:val="22"/>
          <w:szCs w:val="22"/>
        </w:rPr>
      </w:pPr>
    </w:p>
    <w:p w:rsidR="00CC473D" w:rsidRPr="00D47476" w:rsidRDefault="00D545C3" w:rsidP="009B0AA7">
      <w:pPr>
        <w:rPr>
          <w:rFonts w:asciiTheme="minorHAnsi" w:hAnsiTheme="minorHAnsi"/>
          <w:sz w:val="22"/>
          <w:szCs w:val="22"/>
        </w:rPr>
      </w:pPr>
      <w:r w:rsidRPr="00D47476">
        <w:rPr>
          <w:rFonts w:asciiTheme="minorHAnsi" w:hAnsiTheme="minorHAnsi"/>
          <w:sz w:val="22"/>
          <w:szCs w:val="22"/>
        </w:rPr>
        <w:lastRenderedPageBreak/>
        <w:t xml:space="preserve">The objectives will need to be expressed in such a manner that will allow </w:t>
      </w:r>
      <w:r w:rsidR="001B1BBD" w:rsidRPr="00D47476">
        <w:rPr>
          <w:rFonts w:asciiTheme="minorHAnsi" w:hAnsiTheme="minorHAnsi"/>
          <w:sz w:val="22"/>
          <w:szCs w:val="22"/>
        </w:rPr>
        <w:t xml:space="preserve">for the appropriate assessment of their achievement.  To ensure that the objective and assessment framework is both effective and achievable, the </w:t>
      </w:r>
      <w:r w:rsidR="009B0AA7" w:rsidRPr="00D47476">
        <w:rPr>
          <w:rFonts w:asciiTheme="minorHAnsi" w:hAnsiTheme="minorHAnsi"/>
          <w:sz w:val="22"/>
          <w:szCs w:val="22"/>
        </w:rPr>
        <w:t xml:space="preserve">balance between </w:t>
      </w:r>
      <w:r w:rsidR="001B1BBD" w:rsidRPr="00D47476">
        <w:rPr>
          <w:rFonts w:asciiTheme="minorHAnsi" w:hAnsiTheme="minorHAnsi"/>
          <w:sz w:val="22"/>
          <w:szCs w:val="22"/>
        </w:rPr>
        <w:t xml:space="preserve">prescriptiveness </w:t>
      </w:r>
      <w:r w:rsidR="009B0AA7" w:rsidRPr="00D47476">
        <w:rPr>
          <w:rFonts w:asciiTheme="minorHAnsi" w:hAnsiTheme="minorHAnsi"/>
          <w:sz w:val="22"/>
          <w:szCs w:val="22"/>
        </w:rPr>
        <w:t xml:space="preserve">and flexibility will be an important balancing act. </w:t>
      </w:r>
    </w:p>
    <w:bookmarkEnd w:id="6"/>
    <w:bookmarkEnd w:id="7"/>
    <w:p w:rsidR="00FF7D6D" w:rsidRPr="0046770E" w:rsidRDefault="001941B1">
      <w:pPr>
        <w:rPr>
          <w:rFonts w:asciiTheme="minorHAnsi" w:hAnsiTheme="minorHAnsi"/>
        </w:rPr>
      </w:pPr>
    </w:p>
    <w:p w:rsidR="00456740" w:rsidRPr="0046770E" w:rsidRDefault="00456740" w:rsidP="00456740">
      <w:pPr>
        <w:pStyle w:val="IPAHeading"/>
        <w:rPr>
          <w:rFonts w:asciiTheme="minorHAnsi" w:hAnsiTheme="minorHAnsi"/>
        </w:rPr>
      </w:pPr>
    </w:p>
    <w:p w:rsidR="00456740" w:rsidRPr="0046770E" w:rsidRDefault="00456740" w:rsidP="00456740">
      <w:pPr>
        <w:pStyle w:val="IPAHeading"/>
        <w:numPr>
          <w:ilvl w:val="0"/>
          <w:numId w:val="1"/>
        </w:numPr>
        <w:rPr>
          <w:rFonts w:asciiTheme="minorHAnsi" w:hAnsiTheme="minorHAnsi"/>
        </w:rPr>
      </w:pPr>
      <w:bookmarkStart w:id="8" w:name="_Toc448790809"/>
      <w:r w:rsidRPr="0046770E">
        <w:rPr>
          <w:rFonts w:asciiTheme="minorHAnsi" w:hAnsiTheme="minorHAnsi"/>
        </w:rPr>
        <w:t>What is the Commission’s approach to assessment?</w:t>
      </w:r>
      <w:bookmarkEnd w:id="8"/>
    </w:p>
    <w:p w:rsidR="00456740" w:rsidRPr="0046770E" w:rsidRDefault="00456740" w:rsidP="009B0AA7">
      <w:pPr>
        <w:pStyle w:val="InformationRequest"/>
        <w:rPr>
          <w:rFonts w:asciiTheme="minorHAnsi" w:hAnsiTheme="minorHAnsi"/>
          <w:sz w:val="24"/>
          <w:szCs w:val="24"/>
        </w:rPr>
      </w:pPr>
    </w:p>
    <w:p w:rsidR="009B0AA7" w:rsidRPr="0046770E" w:rsidRDefault="009B0AA7" w:rsidP="009B0AA7">
      <w:pPr>
        <w:pStyle w:val="InformationRequest"/>
        <w:rPr>
          <w:rFonts w:asciiTheme="minorHAnsi" w:hAnsiTheme="minorHAnsi"/>
          <w:sz w:val="24"/>
          <w:szCs w:val="24"/>
        </w:rPr>
      </w:pPr>
      <w:r w:rsidRPr="0046770E">
        <w:rPr>
          <w:rFonts w:asciiTheme="minorHAnsi" w:hAnsiTheme="minorHAnsi"/>
          <w:b/>
          <w:sz w:val="24"/>
          <w:szCs w:val="24"/>
        </w:rPr>
        <w:t>Question 2:</w:t>
      </w:r>
      <w:r w:rsidRPr="0046770E">
        <w:rPr>
          <w:rFonts w:asciiTheme="minorHAnsi" w:hAnsiTheme="minorHAnsi"/>
          <w:sz w:val="24"/>
          <w:szCs w:val="24"/>
        </w:rPr>
        <w:t xml:space="preserve"> Do you agree with the broad approach of combining performance benchmarks with a test of barriers to efficient or competitive outcomes in the superannuation system? </w:t>
      </w:r>
    </w:p>
    <w:p w:rsidR="009B0AA7" w:rsidRPr="0046770E" w:rsidRDefault="009B0AA7">
      <w:pPr>
        <w:rPr>
          <w:rFonts w:asciiTheme="minorHAnsi" w:hAnsiTheme="minorHAnsi"/>
        </w:rPr>
      </w:pPr>
    </w:p>
    <w:p w:rsidR="00340FAE" w:rsidRPr="005B553F" w:rsidRDefault="00A34CF4">
      <w:pPr>
        <w:rPr>
          <w:rFonts w:asciiTheme="minorHAnsi" w:hAnsiTheme="minorHAnsi"/>
          <w:sz w:val="22"/>
          <w:szCs w:val="22"/>
        </w:rPr>
      </w:pPr>
      <w:r w:rsidRPr="005B553F">
        <w:rPr>
          <w:rFonts w:asciiTheme="minorHAnsi" w:hAnsiTheme="minorHAnsi"/>
          <w:sz w:val="22"/>
          <w:szCs w:val="22"/>
        </w:rPr>
        <w:t xml:space="preserve">The size, maturity and increasing complexity of the superannuation system has highlighted the need to have a proper focus on the key </w:t>
      </w:r>
      <w:r w:rsidR="00D22CE1" w:rsidRPr="005B553F">
        <w:rPr>
          <w:rFonts w:asciiTheme="minorHAnsi" w:hAnsiTheme="minorHAnsi"/>
          <w:sz w:val="22"/>
          <w:szCs w:val="22"/>
        </w:rPr>
        <w:t xml:space="preserve">objectives of </w:t>
      </w:r>
      <w:r w:rsidRPr="005B553F">
        <w:rPr>
          <w:rFonts w:asciiTheme="minorHAnsi" w:hAnsiTheme="minorHAnsi"/>
          <w:sz w:val="22"/>
          <w:szCs w:val="22"/>
        </w:rPr>
        <w:t xml:space="preserve">adequacy, sustainability and </w:t>
      </w:r>
      <w:r w:rsidR="00D22CE1" w:rsidRPr="005B553F">
        <w:rPr>
          <w:rFonts w:asciiTheme="minorHAnsi" w:hAnsiTheme="minorHAnsi"/>
          <w:sz w:val="22"/>
          <w:szCs w:val="22"/>
        </w:rPr>
        <w:t>integrity</w:t>
      </w:r>
      <w:r w:rsidR="00732D5E" w:rsidRPr="005B553F">
        <w:rPr>
          <w:rFonts w:asciiTheme="minorHAnsi" w:hAnsiTheme="minorHAnsi"/>
          <w:sz w:val="22"/>
          <w:szCs w:val="22"/>
        </w:rPr>
        <w:t xml:space="preserve"> within the super system and to be able to measure the effectiveness of the system in achieving those objectives.</w:t>
      </w:r>
    </w:p>
    <w:p w:rsidR="00340FAE" w:rsidRPr="005B553F" w:rsidRDefault="00340FAE">
      <w:pPr>
        <w:rPr>
          <w:rFonts w:asciiTheme="minorHAnsi" w:hAnsiTheme="minorHAnsi"/>
          <w:color w:val="000000"/>
          <w:sz w:val="22"/>
          <w:szCs w:val="22"/>
          <w:shd w:val="clear" w:color="auto" w:fill="FFFFFF"/>
        </w:rPr>
      </w:pPr>
    </w:p>
    <w:p w:rsidR="00340FAE" w:rsidRPr="005B553F" w:rsidRDefault="00340FAE">
      <w:pPr>
        <w:rPr>
          <w:rFonts w:asciiTheme="minorHAnsi" w:hAnsiTheme="minorHAnsi"/>
          <w:color w:val="000000"/>
          <w:sz w:val="22"/>
          <w:szCs w:val="22"/>
          <w:shd w:val="clear" w:color="auto" w:fill="FFFFFF"/>
        </w:rPr>
      </w:pPr>
      <w:r w:rsidRPr="005B553F">
        <w:rPr>
          <w:rFonts w:asciiTheme="minorHAnsi" w:hAnsiTheme="minorHAnsi"/>
          <w:color w:val="000000"/>
          <w:sz w:val="22"/>
          <w:szCs w:val="22"/>
          <w:shd w:val="clear" w:color="auto" w:fill="FFFFFF"/>
        </w:rPr>
        <w:t xml:space="preserve">One of the accepted means of ensuring that best performance is being achieved is </w:t>
      </w:r>
      <w:r w:rsidR="00212F46" w:rsidRPr="005B553F">
        <w:rPr>
          <w:rFonts w:asciiTheme="minorHAnsi" w:hAnsiTheme="minorHAnsi"/>
          <w:color w:val="000000"/>
          <w:sz w:val="22"/>
          <w:szCs w:val="22"/>
          <w:shd w:val="clear" w:color="auto" w:fill="FFFFFF"/>
        </w:rPr>
        <w:t xml:space="preserve">through </w:t>
      </w:r>
      <w:r w:rsidRPr="005B553F">
        <w:rPr>
          <w:rFonts w:asciiTheme="minorHAnsi" w:hAnsiTheme="minorHAnsi"/>
          <w:color w:val="000000"/>
          <w:sz w:val="22"/>
          <w:szCs w:val="22"/>
          <w:shd w:val="clear" w:color="auto" w:fill="FFFFFF"/>
        </w:rPr>
        <w:t xml:space="preserve">the use of benchmarking.  Benchmarking provides a number of benefits to an organization </w:t>
      </w:r>
      <w:r w:rsidR="00212F46" w:rsidRPr="005B553F">
        <w:rPr>
          <w:rFonts w:asciiTheme="minorHAnsi" w:hAnsiTheme="minorHAnsi"/>
          <w:color w:val="000000"/>
          <w:sz w:val="22"/>
          <w:szCs w:val="22"/>
          <w:shd w:val="clear" w:color="auto" w:fill="FFFFFF"/>
        </w:rPr>
        <w:t xml:space="preserve">or system </w:t>
      </w:r>
      <w:r w:rsidRPr="005B553F">
        <w:rPr>
          <w:rFonts w:asciiTheme="minorHAnsi" w:hAnsiTheme="minorHAnsi"/>
          <w:color w:val="000000"/>
          <w:sz w:val="22"/>
          <w:szCs w:val="22"/>
          <w:shd w:val="clear" w:color="auto" w:fill="FFFFFF"/>
        </w:rPr>
        <w:t xml:space="preserve">including: focus on best practice, continuous improvement and identifying gaps in an organization’s processes </w:t>
      </w:r>
    </w:p>
    <w:p w:rsidR="00340FAE" w:rsidRPr="005B553F" w:rsidRDefault="00340FAE">
      <w:pPr>
        <w:rPr>
          <w:rFonts w:asciiTheme="minorHAnsi" w:hAnsiTheme="minorHAnsi"/>
          <w:sz w:val="22"/>
          <w:szCs w:val="22"/>
        </w:rPr>
      </w:pPr>
    </w:p>
    <w:p w:rsidR="00456740" w:rsidRPr="005B553F" w:rsidRDefault="00CA5AF3" w:rsidP="00D63172">
      <w:pPr>
        <w:rPr>
          <w:rFonts w:asciiTheme="minorHAnsi" w:hAnsiTheme="minorHAnsi"/>
          <w:sz w:val="22"/>
          <w:szCs w:val="22"/>
        </w:rPr>
      </w:pPr>
      <w:r>
        <w:rPr>
          <w:rFonts w:asciiTheme="minorHAnsi" w:hAnsiTheme="minorHAnsi"/>
          <w:sz w:val="22"/>
          <w:szCs w:val="22"/>
        </w:rPr>
        <w:t>D</w:t>
      </w:r>
      <w:r w:rsidR="00212F46" w:rsidRPr="005B553F">
        <w:rPr>
          <w:rFonts w:asciiTheme="minorHAnsi" w:hAnsiTheme="minorHAnsi"/>
          <w:sz w:val="22"/>
          <w:szCs w:val="22"/>
        </w:rPr>
        <w:t xml:space="preserve">ue to the often competing nature of the objectives of an efficient super system (social v fiscal), it is unlikely that </w:t>
      </w:r>
      <w:r>
        <w:rPr>
          <w:rFonts w:asciiTheme="minorHAnsi" w:hAnsiTheme="minorHAnsi"/>
          <w:sz w:val="22"/>
          <w:szCs w:val="22"/>
        </w:rPr>
        <w:t xml:space="preserve">development </w:t>
      </w:r>
      <w:r w:rsidR="00212F46" w:rsidRPr="005B553F">
        <w:rPr>
          <w:rFonts w:asciiTheme="minorHAnsi" w:hAnsiTheme="minorHAnsi"/>
          <w:sz w:val="22"/>
          <w:szCs w:val="22"/>
        </w:rPr>
        <w:t xml:space="preserve">of any one </w:t>
      </w:r>
      <w:r>
        <w:rPr>
          <w:rFonts w:asciiTheme="minorHAnsi" w:hAnsiTheme="minorHAnsi"/>
          <w:sz w:val="22"/>
          <w:szCs w:val="22"/>
        </w:rPr>
        <w:t xml:space="preserve">aggregate </w:t>
      </w:r>
      <w:r w:rsidR="00212F46" w:rsidRPr="005B553F">
        <w:rPr>
          <w:rFonts w:asciiTheme="minorHAnsi" w:hAnsiTheme="minorHAnsi"/>
          <w:sz w:val="22"/>
          <w:szCs w:val="22"/>
        </w:rPr>
        <w:t xml:space="preserve">benchmark </w:t>
      </w:r>
      <w:r>
        <w:rPr>
          <w:rFonts w:asciiTheme="minorHAnsi" w:hAnsiTheme="minorHAnsi"/>
          <w:sz w:val="22"/>
          <w:szCs w:val="22"/>
        </w:rPr>
        <w:t xml:space="preserve">on its own </w:t>
      </w:r>
      <w:r w:rsidR="00212F46" w:rsidRPr="005B553F">
        <w:rPr>
          <w:rFonts w:asciiTheme="minorHAnsi" w:hAnsiTheme="minorHAnsi"/>
          <w:sz w:val="22"/>
          <w:szCs w:val="22"/>
        </w:rPr>
        <w:t xml:space="preserve">would appropriately assess </w:t>
      </w:r>
      <w:r w:rsidR="00094A08">
        <w:rPr>
          <w:rFonts w:asciiTheme="minorHAnsi" w:hAnsiTheme="minorHAnsi"/>
          <w:sz w:val="22"/>
          <w:szCs w:val="22"/>
        </w:rPr>
        <w:t xml:space="preserve">the efficiency of achieving </w:t>
      </w:r>
      <w:r w:rsidR="00212F46" w:rsidRPr="005B553F">
        <w:rPr>
          <w:rFonts w:asciiTheme="minorHAnsi" w:hAnsiTheme="minorHAnsi"/>
          <w:sz w:val="22"/>
          <w:szCs w:val="22"/>
        </w:rPr>
        <w:t>all identified objectives</w:t>
      </w:r>
      <w:r w:rsidR="00AC06FF" w:rsidRPr="005B553F">
        <w:rPr>
          <w:rFonts w:asciiTheme="minorHAnsi" w:hAnsiTheme="minorHAnsi"/>
          <w:sz w:val="22"/>
          <w:szCs w:val="22"/>
        </w:rPr>
        <w:t>.</w:t>
      </w:r>
      <w:r>
        <w:rPr>
          <w:rFonts w:asciiTheme="minorHAnsi" w:hAnsiTheme="minorHAnsi"/>
          <w:sz w:val="22"/>
          <w:szCs w:val="22"/>
        </w:rPr>
        <w:t xml:space="preserve"> Further, the </w:t>
      </w:r>
      <w:r w:rsidR="00DE0571" w:rsidRPr="005B553F">
        <w:rPr>
          <w:rFonts w:asciiTheme="minorHAnsi" w:hAnsiTheme="minorHAnsi"/>
          <w:sz w:val="22"/>
          <w:szCs w:val="22"/>
        </w:rPr>
        <w:t xml:space="preserve">application of international composite </w:t>
      </w:r>
      <w:r>
        <w:rPr>
          <w:rFonts w:asciiTheme="minorHAnsi" w:hAnsiTheme="minorHAnsi"/>
          <w:sz w:val="22"/>
          <w:szCs w:val="22"/>
        </w:rPr>
        <w:t xml:space="preserve">benchmark </w:t>
      </w:r>
      <w:r w:rsidR="00DE0571" w:rsidRPr="005B553F">
        <w:rPr>
          <w:rFonts w:asciiTheme="minorHAnsi" w:hAnsiTheme="minorHAnsi"/>
          <w:sz w:val="22"/>
          <w:szCs w:val="22"/>
        </w:rPr>
        <w:t xml:space="preserve">indexes </w:t>
      </w:r>
      <w:r w:rsidR="00094A08">
        <w:rPr>
          <w:rFonts w:asciiTheme="minorHAnsi" w:hAnsiTheme="minorHAnsi"/>
          <w:sz w:val="22"/>
          <w:szCs w:val="22"/>
        </w:rPr>
        <w:t xml:space="preserve">to test efficiency in the system </w:t>
      </w:r>
      <w:r w:rsidR="00DE0571" w:rsidRPr="005B553F">
        <w:rPr>
          <w:rFonts w:asciiTheme="minorHAnsi" w:hAnsiTheme="minorHAnsi"/>
          <w:sz w:val="22"/>
          <w:szCs w:val="22"/>
        </w:rPr>
        <w:t>is</w:t>
      </w:r>
      <w:r w:rsidR="00AC06FF" w:rsidRPr="005B553F">
        <w:rPr>
          <w:rFonts w:asciiTheme="minorHAnsi" w:hAnsiTheme="minorHAnsi"/>
          <w:sz w:val="22"/>
          <w:szCs w:val="22"/>
        </w:rPr>
        <w:t xml:space="preserve"> limited </w:t>
      </w:r>
      <w:r w:rsidR="00732D5E" w:rsidRPr="005B553F">
        <w:rPr>
          <w:rFonts w:asciiTheme="minorHAnsi" w:hAnsiTheme="minorHAnsi"/>
          <w:sz w:val="22"/>
          <w:szCs w:val="22"/>
        </w:rPr>
        <w:t>given</w:t>
      </w:r>
      <w:r w:rsidR="004D4548" w:rsidRPr="005B553F">
        <w:rPr>
          <w:rFonts w:asciiTheme="minorHAnsi" w:hAnsiTheme="minorHAnsi"/>
          <w:sz w:val="22"/>
          <w:szCs w:val="22"/>
        </w:rPr>
        <w:t xml:space="preserve"> the different institutional settings </w:t>
      </w:r>
      <w:r w:rsidR="005E12E6" w:rsidRPr="005B553F">
        <w:rPr>
          <w:rFonts w:asciiTheme="minorHAnsi" w:hAnsiTheme="minorHAnsi"/>
          <w:sz w:val="22"/>
          <w:szCs w:val="22"/>
        </w:rPr>
        <w:t xml:space="preserve">and characteristics </w:t>
      </w:r>
      <w:r w:rsidR="004D4548" w:rsidRPr="005B553F">
        <w:rPr>
          <w:rFonts w:asciiTheme="minorHAnsi" w:hAnsiTheme="minorHAnsi"/>
          <w:sz w:val="22"/>
          <w:szCs w:val="22"/>
        </w:rPr>
        <w:t xml:space="preserve">of </w:t>
      </w:r>
      <w:r w:rsidR="005E12E6" w:rsidRPr="005B553F">
        <w:rPr>
          <w:rFonts w:asciiTheme="minorHAnsi" w:hAnsiTheme="minorHAnsi"/>
          <w:sz w:val="22"/>
          <w:szCs w:val="22"/>
        </w:rPr>
        <w:t>p</w:t>
      </w:r>
      <w:r w:rsidR="004D4548" w:rsidRPr="005B553F">
        <w:rPr>
          <w:rFonts w:asciiTheme="minorHAnsi" w:hAnsiTheme="minorHAnsi"/>
          <w:sz w:val="22"/>
          <w:szCs w:val="22"/>
        </w:rPr>
        <w:t>ension funds</w:t>
      </w:r>
      <w:r w:rsidR="005E12E6" w:rsidRPr="005B553F">
        <w:rPr>
          <w:rFonts w:asciiTheme="minorHAnsi" w:hAnsiTheme="minorHAnsi"/>
          <w:sz w:val="22"/>
          <w:szCs w:val="22"/>
        </w:rPr>
        <w:t xml:space="preserve"> </w:t>
      </w:r>
      <w:r w:rsidR="00732D5E" w:rsidRPr="005B553F">
        <w:rPr>
          <w:rFonts w:asciiTheme="minorHAnsi" w:hAnsiTheme="minorHAnsi"/>
          <w:sz w:val="22"/>
          <w:szCs w:val="22"/>
        </w:rPr>
        <w:t>that exist in different countries</w:t>
      </w:r>
      <w:r w:rsidR="00AC06FF" w:rsidRPr="005B553F">
        <w:rPr>
          <w:rFonts w:asciiTheme="minorHAnsi" w:hAnsiTheme="minorHAnsi"/>
          <w:sz w:val="22"/>
          <w:szCs w:val="22"/>
        </w:rPr>
        <w:t>.</w:t>
      </w:r>
      <w:r w:rsidR="009A4838" w:rsidRPr="005B553F">
        <w:rPr>
          <w:rFonts w:asciiTheme="minorHAnsi" w:hAnsiTheme="minorHAnsi"/>
          <w:sz w:val="22"/>
          <w:szCs w:val="22"/>
        </w:rPr>
        <w:t xml:space="preserve">  </w:t>
      </w:r>
      <w:r w:rsidR="00094A08">
        <w:rPr>
          <w:rFonts w:asciiTheme="minorHAnsi" w:hAnsiTheme="minorHAnsi"/>
          <w:sz w:val="22"/>
          <w:szCs w:val="22"/>
        </w:rPr>
        <w:t>E</w:t>
      </w:r>
      <w:r>
        <w:rPr>
          <w:rFonts w:asciiTheme="minorHAnsi" w:hAnsiTheme="minorHAnsi"/>
          <w:sz w:val="22"/>
          <w:szCs w:val="22"/>
        </w:rPr>
        <w:t xml:space="preserve">xisting </w:t>
      </w:r>
      <w:r w:rsidR="0001369C" w:rsidRPr="005B553F">
        <w:rPr>
          <w:rFonts w:asciiTheme="minorHAnsi" w:hAnsiTheme="minorHAnsi"/>
          <w:sz w:val="22"/>
          <w:szCs w:val="22"/>
        </w:rPr>
        <w:t xml:space="preserve">reported benchmarks, particularly international composite indexes, </w:t>
      </w:r>
      <w:r w:rsidR="00094A08">
        <w:rPr>
          <w:rFonts w:asciiTheme="minorHAnsi" w:hAnsiTheme="minorHAnsi"/>
          <w:sz w:val="22"/>
          <w:szCs w:val="22"/>
        </w:rPr>
        <w:t>do</w:t>
      </w:r>
      <w:r w:rsidR="0001369C" w:rsidRPr="005B553F">
        <w:rPr>
          <w:rFonts w:asciiTheme="minorHAnsi" w:hAnsiTheme="minorHAnsi"/>
          <w:sz w:val="22"/>
          <w:szCs w:val="22"/>
        </w:rPr>
        <w:t xml:space="preserve"> not </w:t>
      </w:r>
      <w:r w:rsidR="00094A08">
        <w:rPr>
          <w:rFonts w:asciiTheme="minorHAnsi" w:hAnsiTheme="minorHAnsi"/>
          <w:sz w:val="22"/>
          <w:szCs w:val="22"/>
        </w:rPr>
        <w:t xml:space="preserve">currently </w:t>
      </w:r>
      <w:r w:rsidR="00AF31B0">
        <w:rPr>
          <w:rFonts w:asciiTheme="minorHAnsi" w:hAnsiTheme="minorHAnsi"/>
          <w:sz w:val="22"/>
          <w:szCs w:val="22"/>
        </w:rPr>
        <w:t xml:space="preserve">provide the means to </w:t>
      </w:r>
      <w:r w:rsidR="00DE0571" w:rsidRPr="005B553F">
        <w:rPr>
          <w:rFonts w:asciiTheme="minorHAnsi" w:hAnsiTheme="minorHAnsi"/>
          <w:sz w:val="22"/>
          <w:szCs w:val="22"/>
        </w:rPr>
        <w:t>assess the efficiency of the system</w:t>
      </w:r>
      <w:r w:rsidR="0001369C" w:rsidRPr="005B553F">
        <w:rPr>
          <w:rFonts w:asciiTheme="minorHAnsi" w:hAnsiTheme="minorHAnsi"/>
          <w:sz w:val="22"/>
          <w:szCs w:val="22"/>
        </w:rPr>
        <w:t xml:space="preserve">. </w:t>
      </w:r>
      <w:r w:rsidR="00DE0571" w:rsidRPr="005B553F">
        <w:rPr>
          <w:rFonts w:asciiTheme="minorHAnsi" w:hAnsiTheme="minorHAnsi"/>
          <w:sz w:val="22"/>
          <w:szCs w:val="22"/>
        </w:rPr>
        <w:t xml:space="preserve"> </w:t>
      </w:r>
      <w:r w:rsidR="00AC06FF" w:rsidRPr="005B553F">
        <w:rPr>
          <w:rFonts w:asciiTheme="minorHAnsi" w:hAnsiTheme="minorHAnsi"/>
          <w:sz w:val="22"/>
          <w:szCs w:val="22"/>
        </w:rPr>
        <w:t xml:space="preserve">Accordingly, </w:t>
      </w:r>
      <w:r w:rsidR="00094A08">
        <w:rPr>
          <w:rFonts w:asciiTheme="minorHAnsi" w:hAnsiTheme="minorHAnsi"/>
          <w:sz w:val="22"/>
          <w:szCs w:val="22"/>
        </w:rPr>
        <w:t xml:space="preserve">the application of benchmarks on their own are likely to have limited application and will need to be complemented with </w:t>
      </w:r>
      <w:r w:rsidR="0001369C" w:rsidRPr="005B553F">
        <w:rPr>
          <w:rFonts w:asciiTheme="minorHAnsi" w:hAnsiTheme="minorHAnsi"/>
          <w:sz w:val="22"/>
          <w:szCs w:val="22"/>
        </w:rPr>
        <w:t xml:space="preserve">a series of individual performance indicators </w:t>
      </w:r>
      <w:r w:rsidR="00094A08">
        <w:rPr>
          <w:rFonts w:asciiTheme="minorHAnsi" w:hAnsiTheme="minorHAnsi"/>
          <w:sz w:val="22"/>
          <w:szCs w:val="22"/>
        </w:rPr>
        <w:t>tailored to the unique attributes of Australia’s superannuation system.</w:t>
      </w:r>
      <w:r w:rsidR="00AC06FF" w:rsidRPr="005B553F">
        <w:rPr>
          <w:rFonts w:asciiTheme="minorHAnsi" w:hAnsiTheme="minorHAnsi"/>
          <w:sz w:val="22"/>
          <w:szCs w:val="22"/>
        </w:rPr>
        <w:t xml:space="preserve">  </w:t>
      </w:r>
    </w:p>
    <w:p w:rsidR="0001369C" w:rsidRPr="005B553F" w:rsidRDefault="0001369C" w:rsidP="00D63172">
      <w:pPr>
        <w:rPr>
          <w:rFonts w:asciiTheme="minorHAnsi" w:hAnsiTheme="minorHAnsi"/>
          <w:sz w:val="22"/>
          <w:szCs w:val="22"/>
        </w:rPr>
      </w:pPr>
    </w:p>
    <w:p w:rsidR="0046770E" w:rsidRPr="005B553F" w:rsidRDefault="009F1AC9" w:rsidP="0046770E">
      <w:pPr>
        <w:suppressAutoHyphens w:val="0"/>
        <w:autoSpaceDE w:val="0"/>
        <w:autoSpaceDN w:val="0"/>
        <w:adjustRightInd w:val="0"/>
        <w:rPr>
          <w:rFonts w:asciiTheme="minorHAnsi" w:eastAsiaTheme="minorHAnsi" w:hAnsiTheme="minorHAnsi" w:cs="CMR12"/>
          <w:sz w:val="22"/>
          <w:szCs w:val="22"/>
          <w:lang w:val="en-AU" w:bidi="ar-SA"/>
        </w:rPr>
      </w:pPr>
      <w:r w:rsidRPr="005B553F">
        <w:rPr>
          <w:rFonts w:asciiTheme="minorHAnsi" w:hAnsiTheme="minorHAnsi"/>
          <w:sz w:val="22"/>
          <w:szCs w:val="22"/>
        </w:rPr>
        <w:t xml:space="preserve">Performance benchmarks </w:t>
      </w:r>
      <w:r w:rsidR="00094A08">
        <w:rPr>
          <w:rFonts w:asciiTheme="minorHAnsi" w:hAnsiTheme="minorHAnsi"/>
          <w:sz w:val="22"/>
          <w:szCs w:val="22"/>
        </w:rPr>
        <w:t xml:space="preserve">however, </w:t>
      </w:r>
      <w:r w:rsidRPr="005B553F">
        <w:rPr>
          <w:rFonts w:asciiTheme="minorHAnsi" w:hAnsiTheme="minorHAnsi"/>
          <w:sz w:val="22"/>
          <w:szCs w:val="22"/>
        </w:rPr>
        <w:t>will be significantly easier to establish</w:t>
      </w:r>
      <w:r w:rsidR="00AF31B0">
        <w:rPr>
          <w:rFonts w:asciiTheme="minorHAnsi" w:hAnsiTheme="minorHAnsi"/>
          <w:sz w:val="22"/>
          <w:szCs w:val="22"/>
        </w:rPr>
        <w:t>,</w:t>
      </w:r>
      <w:r w:rsidRPr="005B553F">
        <w:rPr>
          <w:rFonts w:asciiTheme="minorHAnsi" w:hAnsiTheme="minorHAnsi"/>
          <w:sz w:val="22"/>
          <w:szCs w:val="22"/>
        </w:rPr>
        <w:t xml:space="preserve"> assess </w:t>
      </w:r>
      <w:r w:rsidR="00AF31B0">
        <w:rPr>
          <w:rFonts w:asciiTheme="minorHAnsi" w:hAnsiTheme="minorHAnsi"/>
          <w:sz w:val="22"/>
          <w:szCs w:val="22"/>
        </w:rPr>
        <w:t xml:space="preserve">and report upon </w:t>
      </w:r>
      <w:r w:rsidRPr="005B553F">
        <w:rPr>
          <w:rFonts w:asciiTheme="minorHAnsi" w:hAnsiTheme="minorHAnsi"/>
          <w:sz w:val="22"/>
          <w:szCs w:val="22"/>
        </w:rPr>
        <w:t xml:space="preserve">at a </w:t>
      </w:r>
      <w:r w:rsidR="00583236" w:rsidRPr="005B553F">
        <w:rPr>
          <w:rFonts w:asciiTheme="minorHAnsi" w:hAnsiTheme="minorHAnsi"/>
          <w:sz w:val="22"/>
          <w:szCs w:val="22"/>
        </w:rPr>
        <w:t>micro (member</w:t>
      </w:r>
      <w:r w:rsidR="00CA5AF3">
        <w:rPr>
          <w:rFonts w:asciiTheme="minorHAnsi" w:hAnsiTheme="minorHAnsi"/>
          <w:sz w:val="22"/>
          <w:szCs w:val="22"/>
        </w:rPr>
        <w:t xml:space="preserve"> / individual fund</w:t>
      </w:r>
      <w:r w:rsidR="00583236" w:rsidRPr="005B553F">
        <w:rPr>
          <w:rFonts w:asciiTheme="minorHAnsi" w:hAnsiTheme="minorHAnsi"/>
          <w:sz w:val="22"/>
          <w:szCs w:val="22"/>
        </w:rPr>
        <w:t>) perspective</w:t>
      </w:r>
      <w:r w:rsidRPr="005B553F">
        <w:rPr>
          <w:rFonts w:asciiTheme="minorHAnsi" w:hAnsiTheme="minorHAnsi"/>
          <w:sz w:val="22"/>
          <w:szCs w:val="22"/>
        </w:rPr>
        <w:t xml:space="preserve">, with enhancements in demand-side competition likely to lead to significant </w:t>
      </w:r>
      <w:r w:rsidR="00094A08">
        <w:rPr>
          <w:rFonts w:asciiTheme="minorHAnsi" w:hAnsiTheme="minorHAnsi"/>
          <w:sz w:val="22"/>
          <w:szCs w:val="22"/>
        </w:rPr>
        <w:t xml:space="preserve">and measurable </w:t>
      </w:r>
      <w:r w:rsidRPr="005B553F">
        <w:rPr>
          <w:rFonts w:asciiTheme="minorHAnsi" w:hAnsiTheme="minorHAnsi"/>
          <w:sz w:val="22"/>
          <w:szCs w:val="22"/>
        </w:rPr>
        <w:t xml:space="preserve">efficiency gains.  </w:t>
      </w:r>
      <w:r w:rsidR="00CB0D26" w:rsidRPr="005B553F">
        <w:rPr>
          <w:rFonts w:asciiTheme="minorHAnsi" w:hAnsiTheme="minorHAnsi"/>
          <w:sz w:val="22"/>
          <w:szCs w:val="22"/>
        </w:rPr>
        <w:t>P</w:t>
      </w:r>
      <w:proofErr w:type="spellStart"/>
      <w:r w:rsidR="00CB0D26" w:rsidRPr="005B553F">
        <w:rPr>
          <w:rFonts w:asciiTheme="minorHAnsi" w:eastAsiaTheme="minorHAnsi" w:hAnsiTheme="minorHAnsi" w:cs="CMR12"/>
          <w:sz w:val="22"/>
          <w:szCs w:val="22"/>
          <w:lang w:val="en-AU" w:bidi="ar-SA"/>
        </w:rPr>
        <w:t>revious</w:t>
      </w:r>
      <w:proofErr w:type="spellEnd"/>
      <w:r w:rsidR="00CB0D26" w:rsidRPr="005B553F">
        <w:rPr>
          <w:rFonts w:asciiTheme="minorHAnsi" w:eastAsiaTheme="minorHAnsi" w:hAnsiTheme="minorHAnsi" w:cs="CMR12"/>
          <w:sz w:val="22"/>
          <w:szCs w:val="22"/>
          <w:lang w:val="en-AU" w:bidi="ar-SA"/>
        </w:rPr>
        <w:t xml:space="preserve"> industry studies have recognised the importance of </w:t>
      </w:r>
      <w:r w:rsidR="00AF31B0">
        <w:rPr>
          <w:rFonts w:asciiTheme="minorHAnsi" w:eastAsiaTheme="minorHAnsi" w:hAnsiTheme="minorHAnsi" w:cs="CMR12"/>
          <w:sz w:val="22"/>
          <w:szCs w:val="22"/>
          <w:lang w:val="en-AU" w:bidi="ar-SA"/>
        </w:rPr>
        <w:t>simple p</w:t>
      </w:r>
      <w:r w:rsidR="00CB0D26" w:rsidRPr="005B553F">
        <w:rPr>
          <w:rFonts w:asciiTheme="minorHAnsi" w:eastAsiaTheme="minorHAnsi" w:hAnsiTheme="minorHAnsi" w:cs="CMR12"/>
          <w:sz w:val="22"/>
          <w:szCs w:val="22"/>
          <w:lang w:val="en-AU" w:bidi="ar-SA"/>
        </w:rPr>
        <w:t>erformance measure</w:t>
      </w:r>
      <w:r w:rsidR="00AF31B0">
        <w:rPr>
          <w:rFonts w:asciiTheme="minorHAnsi" w:eastAsiaTheme="minorHAnsi" w:hAnsiTheme="minorHAnsi" w:cs="CMR12"/>
          <w:sz w:val="22"/>
          <w:szCs w:val="22"/>
          <w:lang w:val="en-AU" w:bidi="ar-SA"/>
        </w:rPr>
        <w:t>(s)</w:t>
      </w:r>
      <w:r w:rsidR="00CB0D26" w:rsidRPr="005B553F">
        <w:rPr>
          <w:rFonts w:asciiTheme="minorHAnsi" w:eastAsiaTheme="minorHAnsi" w:hAnsiTheme="minorHAnsi" w:cs="CMR12"/>
          <w:sz w:val="22"/>
          <w:szCs w:val="22"/>
          <w:lang w:val="en-AU" w:bidi="ar-SA"/>
        </w:rPr>
        <w:t xml:space="preserve"> in reducing the complexity of the information presented to consumers through its role in promoting consumer engagement and market competition (Coleman et al. 2003).</w:t>
      </w:r>
      <w:r w:rsidR="0046770E" w:rsidRPr="005B553F">
        <w:rPr>
          <w:rFonts w:asciiTheme="minorHAnsi" w:eastAsiaTheme="minorHAnsi" w:hAnsiTheme="minorHAnsi" w:cs="CMR12"/>
          <w:sz w:val="22"/>
          <w:szCs w:val="22"/>
          <w:lang w:val="en-AU" w:bidi="ar-SA"/>
        </w:rPr>
        <w:t xml:space="preserve">  </w:t>
      </w:r>
      <w:r w:rsidR="00D16D05">
        <w:rPr>
          <w:rFonts w:asciiTheme="minorHAnsi" w:eastAsiaTheme="minorHAnsi" w:hAnsiTheme="minorHAnsi" w:cs="CMR12"/>
          <w:sz w:val="22"/>
          <w:szCs w:val="22"/>
          <w:lang w:val="en-AU" w:bidi="ar-SA"/>
        </w:rPr>
        <w:t>T</w:t>
      </w:r>
      <w:r w:rsidR="00CA5AF3" w:rsidRPr="005B553F">
        <w:rPr>
          <w:rFonts w:asciiTheme="minorHAnsi" w:hAnsiTheme="minorHAnsi"/>
          <w:sz w:val="22"/>
          <w:szCs w:val="22"/>
        </w:rPr>
        <w:t xml:space="preserve">he establishment of </w:t>
      </w:r>
      <w:r w:rsidR="00094A08">
        <w:rPr>
          <w:rFonts w:asciiTheme="minorHAnsi" w:hAnsiTheme="minorHAnsi"/>
          <w:sz w:val="22"/>
          <w:szCs w:val="22"/>
        </w:rPr>
        <w:t xml:space="preserve">simple </w:t>
      </w:r>
      <w:r w:rsidR="00CA5AF3" w:rsidRPr="005B553F">
        <w:rPr>
          <w:rFonts w:asciiTheme="minorHAnsi" w:hAnsiTheme="minorHAnsi"/>
          <w:sz w:val="22"/>
          <w:szCs w:val="22"/>
        </w:rPr>
        <w:t xml:space="preserve">benchmarks around returns, fees, levels of service, projected income in retirement etc. </w:t>
      </w:r>
      <w:r w:rsidR="00094A08">
        <w:rPr>
          <w:rFonts w:asciiTheme="minorHAnsi" w:hAnsiTheme="minorHAnsi"/>
          <w:sz w:val="22"/>
          <w:szCs w:val="22"/>
        </w:rPr>
        <w:t>will be relatively easy to construct, measure and report upon</w:t>
      </w:r>
      <w:r w:rsidR="00D16D05">
        <w:rPr>
          <w:rFonts w:asciiTheme="minorHAnsi" w:hAnsiTheme="minorHAnsi"/>
          <w:sz w:val="22"/>
          <w:szCs w:val="22"/>
        </w:rPr>
        <w:t>, and likely to lead to more immediate gains in competition and efficiency than constructing broad ranging benchmarks at the macro level.</w:t>
      </w:r>
    </w:p>
    <w:p w:rsidR="0046770E" w:rsidRPr="005B553F" w:rsidRDefault="0046770E" w:rsidP="004D2477">
      <w:pPr>
        <w:suppressAutoHyphens w:val="0"/>
        <w:autoSpaceDE w:val="0"/>
        <w:autoSpaceDN w:val="0"/>
        <w:adjustRightInd w:val="0"/>
        <w:rPr>
          <w:rFonts w:asciiTheme="minorHAnsi" w:hAnsiTheme="minorHAnsi"/>
          <w:sz w:val="22"/>
          <w:szCs w:val="22"/>
        </w:rPr>
      </w:pPr>
    </w:p>
    <w:p w:rsidR="003C025B" w:rsidRPr="005B553F" w:rsidRDefault="00CB0D26" w:rsidP="004D2477">
      <w:pPr>
        <w:suppressAutoHyphens w:val="0"/>
        <w:autoSpaceDE w:val="0"/>
        <w:autoSpaceDN w:val="0"/>
        <w:adjustRightInd w:val="0"/>
        <w:rPr>
          <w:rFonts w:asciiTheme="minorHAnsi" w:hAnsiTheme="minorHAnsi"/>
          <w:sz w:val="22"/>
          <w:szCs w:val="22"/>
        </w:rPr>
      </w:pPr>
      <w:r w:rsidRPr="005B553F">
        <w:rPr>
          <w:rFonts w:asciiTheme="minorHAnsi" w:hAnsiTheme="minorHAnsi"/>
          <w:sz w:val="22"/>
          <w:szCs w:val="22"/>
        </w:rPr>
        <w:t>One of the main</w:t>
      </w:r>
      <w:r w:rsidR="00E8124E" w:rsidRPr="005B553F">
        <w:rPr>
          <w:rFonts w:asciiTheme="minorHAnsi" w:hAnsiTheme="minorHAnsi"/>
          <w:sz w:val="22"/>
          <w:szCs w:val="22"/>
        </w:rPr>
        <w:t xml:space="preserve"> issues that will need to be resolved </w:t>
      </w:r>
      <w:r w:rsidR="00D16D05">
        <w:rPr>
          <w:rFonts w:asciiTheme="minorHAnsi" w:hAnsiTheme="minorHAnsi"/>
          <w:sz w:val="22"/>
          <w:szCs w:val="22"/>
        </w:rPr>
        <w:t xml:space="preserve">at the fund level </w:t>
      </w:r>
      <w:r w:rsidR="00D16D05" w:rsidRPr="005B553F">
        <w:rPr>
          <w:rFonts w:asciiTheme="minorHAnsi" w:hAnsiTheme="minorHAnsi"/>
          <w:sz w:val="22"/>
          <w:szCs w:val="22"/>
        </w:rPr>
        <w:t>however</w:t>
      </w:r>
      <w:r w:rsidR="00E8124E" w:rsidRPr="005B553F">
        <w:rPr>
          <w:rFonts w:asciiTheme="minorHAnsi" w:hAnsiTheme="minorHAnsi"/>
          <w:sz w:val="22"/>
          <w:szCs w:val="22"/>
        </w:rPr>
        <w:t xml:space="preserve">, is the </w:t>
      </w:r>
      <w:r w:rsidRPr="005B553F">
        <w:rPr>
          <w:rFonts w:asciiTheme="minorHAnsi" w:hAnsiTheme="minorHAnsi"/>
          <w:sz w:val="22"/>
          <w:szCs w:val="22"/>
        </w:rPr>
        <w:t xml:space="preserve">wide </w:t>
      </w:r>
      <w:r w:rsidR="006B084D" w:rsidRPr="005B553F">
        <w:rPr>
          <w:rFonts w:asciiTheme="minorHAnsi" w:hAnsiTheme="minorHAnsi"/>
          <w:sz w:val="22"/>
          <w:szCs w:val="22"/>
        </w:rPr>
        <w:t xml:space="preserve">variety </w:t>
      </w:r>
      <w:r w:rsidR="005B553F">
        <w:rPr>
          <w:rFonts w:asciiTheme="minorHAnsi" w:hAnsiTheme="minorHAnsi"/>
          <w:sz w:val="22"/>
          <w:szCs w:val="22"/>
        </w:rPr>
        <w:t xml:space="preserve">and lack of standardization in </w:t>
      </w:r>
      <w:r w:rsidR="00A37443" w:rsidRPr="005B553F">
        <w:rPr>
          <w:rFonts w:asciiTheme="minorHAnsi" w:hAnsiTheme="minorHAnsi"/>
          <w:sz w:val="22"/>
          <w:szCs w:val="22"/>
        </w:rPr>
        <w:t>asset allocations even among similarly described diversified funds</w:t>
      </w:r>
      <w:r w:rsidR="00E8124E" w:rsidRPr="005B553F">
        <w:rPr>
          <w:rFonts w:asciiTheme="minorHAnsi" w:hAnsiTheme="minorHAnsi"/>
          <w:sz w:val="22"/>
          <w:szCs w:val="22"/>
        </w:rPr>
        <w:t>.</w:t>
      </w:r>
      <w:r w:rsidR="00A37443" w:rsidRPr="005B553F">
        <w:rPr>
          <w:rFonts w:asciiTheme="minorHAnsi" w:hAnsiTheme="minorHAnsi"/>
          <w:sz w:val="22"/>
          <w:szCs w:val="22"/>
        </w:rPr>
        <w:t xml:space="preserve"> </w:t>
      </w:r>
      <w:r w:rsidR="005B553F">
        <w:rPr>
          <w:rFonts w:asciiTheme="minorHAnsi" w:hAnsiTheme="minorHAnsi"/>
          <w:sz w:val="22"/>
          <w:szCs w:val="22"/>
        </w:rPr>
        <w:t xml:space="preserve">  The Institute of Public Accountants believes that g</w:t>
      </w:r>
      <w:r w:rsidR="006B084D" w:rsidRPr="005B553F">
        <w:rPr>
          <w:rFonts w:asciiTheme="minorHAnsi" w:hAnsiTheme="minorHAnsi"/>
          <w:sz w:val="22"/>
          <w:szCs w:val="22"/>
        </w:rPr>
        <w:t xml:space="preserve">reater standardization and uniformity of products, particularly within the default market, </w:t>
      </w:r>
      <w:r w:rsidR="005B553F">
        <w:rPr>
          <w:rFonts w:asciiTheme="minorHAnsi" w:hAnsiTheme="minorHAnsi"/>
          <w:sz w:val="22"/>
          <w:szCs w:val="22"/>
        </w:rPr>
        <w:t>is</w:t>
      </w:r>
      <w:r w:rsidR="0046770E" w:rsidRPr="005B553F">
        <w:rPr>
          <w:rFonts w:asciiTheme="minorHAnsi" w:hAnsiTheme="minorHAnsi"/>
          <w:sz w:val="22"/>
          <w:szCs w:val="22"/>
        </w:rPr>
        <w:t xml:space="preserve"> likely to </w:t>
      </w:r>
      <w:r w:rsidR="006B084D" w:rsidRPr="005B553F">
        <w:rPr>
          <w:rFonts w:asciiTheme="minorHAnsi" w:hAnsiTheme="minorHAnsi"/>
          <w:sz w:val="22"/>
          <w:szCs w:val="22"/>
        </w:rPr>
        <w:t xml:space="preserve">facilitate </w:t>
      </w:r>
      <w:r w:rsidR="005B553F">
        <w:rPr>
          <w:rFonts w:asciiTheme="minorHAnsi" w:hAnsiTheme="minorHAnsi"/>
          <w:sz w:val="22"/>
          <w:szCs w:val="22"/>
        </w:rPr>
        <w:t xml:space="preserve">greater </w:t>
      </w:r>
      <w:r w:rsidR="006B084D" w:rsidRPr="005B553F">
        <w:rPr>
          <w:rFonts w:asciiTheme="minorHAnsi" w:hAnsiTheme="minorHAnsi"/>
          <w:sz w:val="22"/>
          <w:szCs w:val="22"/>
        </w:rPr>
        <w:t>competiti</w:t>
      </w:r>
      <w:r w:rsidR="005B553F">
        <w:rPr>
          <w:rFonts w:asciiTheme="minorHAnsi" w:hAnsiTheme="minorHAnsi"/>
          <w:sz w:val="22"/>
          <w:szCs w:val="22"/>
        </w:rPr>
        <w:t>on</w:t>
      </w:r>
      <w:r w:rsidR="006B084D" w:rsidRPr="005B553F">
        <w:rPr>
          <w:rFonts w:asciiTheme="minorHAnsi" w:hAnsiTheme="minorHAnsi"/>
          <w:sz w:val="22"/>
          <w:szCs w:val="22"/>
        </w:rPr>
        <w:t xml:space="preserve"> and therefore efficiency.   </w:t>
      </w:r>
      <w:r w:rsidR="00583236" w:rsidRPr="005B553F">
        <w:rPr>
          <w:rFonts w:asciiTheme="minorHAnsi" w:hAnsiTheme="minorHAnsi"/>
          <w:sz w:val="22"/>
          <w:szCs w:val="22"/>
        </w:rPr>
        <w:t xml:space="preserve">This is discussed further in question 5. </w:t>
      </w:r>
      <w:r w:rsidR="0084508D" w:rsidRPr="005B553F">
        <w:rPr>
          <w:rFonts w:asciiTheme="minorHAnsi" w:hAnsiTheme="minorHAnsi"/>
          <w:sz w:val="22"/>
          <w:szCs w:val="22"/>
        </w:rPr>
        <w:t xml:space="preserve"> </w:t>
      </w:r>
      <w:r w:rsidR="004D2477" w:rsidRPr="005B553F">
        <w:rPr>
          <w:rFonts w:asciiTheme="minorHAnsi" w:hAnsiTheme="minorHAnsi"/>
          <w:sz w:val="22"/>
          <w:szCs w:val="22"/>
        </w:rPr>
        <w:t xml:space="preserve">  </w:t>
      </w:r>
    </w:p>
    <w:p w:rsidR="004D2477" w:rsidRPr="0046770E" w:rsidRDefault="004D2477" w:rsidP="00D63172">
      <w:pPr>
        <w:rPr>
          <w:rFonts w:asciiTheme="minorHAnsi" w:hAnsiTheme="minorHAnsi"/>
        </w:rPr>
      </w:pPr>
    </w:p>
    <w:p w:rsidR="00DE0571" w:rsidRPr="0046770E" w:rsidRDefault="00DE0571" w:rsidP="004D2477">
      <w:pPr>
        <w:rPr>
          <w:rFonts w:asciiTheme="minorHAnsi" w:eastAsiaTheme="minorHAnsi" w:hAnsiTheme="minorHAnsi" w:cs="CMR12"/>
          <w:lang w:val="en-AU" w:bidi="ar-SA"/>
        </w:rPr>
      </w:pPr>
    </w:p>
    <w:p w:rsidR="003C025B" w:rsidRPr="0046770E" w:rsidRDefault="004D4548" w:rsidP="00732D5E">
      <w:pPr>
        <w:pStyle w:val="InformationRequest"/>
        <w:spacing w:before="0" w:line="240" w:lineRule="auto"/>
        <w:rPr>
          <w:rFonts w:asciiTheme="minorHAnsi" w:hAnsiTheme="minorHAnsi"/>
          <w:color w:val="FF0000"/>
        </w:rPr>
      </w:pPr>
      <w:r w:rsidRPr="0046770E">
        <w:rPr>
          <w:rFonts w:asciiTheme="minorHAnsi" w:hAnsiTheme="minorHAnsi"/>
          <w:b/>
        </w:rPr>
        <w:lastRenderedPageBreak/>
        <w:t>Question 3</w:t>
      </w:r>
      <w:r w:rsidRPr="0046770E">
        <w:rPr>
          <w:rFonts w:asciiTheme="minorHAnsi" w:hAnsiTheme="minorHAnsi"/>
        </w:rPr>
        <w:t xml:space="preserve">: </w:t>
      </w:r>
      <w:r w:rsidR="003C025B" w:rsidRPr="0046770E">
        <w:rPr>
          <w:rFonts w:asciiTheme="minorHAnsi" w:hAnsiTheme="minorHAnsi"/>
          <w:sz w:val="24"/>
          <w:szCs w:val="24"/>
        </w:rPr>
        <w:t>To what extent do different data reporting formats make it difficult to compare SMSFs and APRA</w:t>
      </w:r>
      <w:r w:rsidR="003C025B" w:rsidRPr="0046770E">
        <w:rPr>
          <w:rFonts w:asciiTheme="minorHAnsi" w:hAnsiTheme="minorHAnsi"/>
          <w:sz w:val="24"/>
          <w:szCs w:val="24"/>
        </w:rPr>
        <w:noBreakHyphen/>
        <w:t xml:space="preserve">regulated funds, and hence to assess the performance of the superannuation system as a whole? </w:t>
      </w:r>
    </w:p>
    <w:p w:rsidR="00DF5DC0" w:rsidRPr="0046770E" w:rsidRDefault="00DF5DC0" w:rsidP="00732D5E">
      <w:pPr>
        <w:pStyle w:val="BodyText"/>
        <w:spacing w:after="0"/>
        <w:rPr>
          <w:rFonts w:asciiTheme="minorHAnsi" w:hAnsiTheme="minorHAnsi" w:cs="Arial"/>
          <w:i/>
          <w:color w:val="000000"/>
          <w:shd w:val="clear" w:color="auto" w:fill="FFFFFF"/>
        </w:rPr>
      </w:pPr>
    </w:p>
    <w:p w:rsidR="00DF5DC0" w:rsidRPr="005B553F" w:rsidRDefault="001270E4" w:rsidP="00732D5E">
      <w:pPr>
        <w:pStyle w:val="BodyText"/>
        <w:spacing w:after="0"/>
        <w:rPr>
          <w:rFonts w:asciiTheme="minorHAnsi" w:hAnsiTheme="minorHAnsi"/>
          <w:sz w:val="22"/>
          <w:szCs w:val="22"/>
        </w:rPr>
      </w:pPr>
      <w:r w:rsidRPr="005B553F">
        <w:rPr>
          <w:rFonts w:asciiTheme="minorHAnsi" w:hAnsiTheme="minorHAnsi" w:cs="Arial"/>
          <w:color w:val="000000"/>
          <w:sz w:val="22"/>
          <w:szCs w:val="22"/>
          <w:shd w:val="clear" w:color="auto" w:fill="FFFFFF"/>
        </w:rPr>
        <w:t xml:space="preserve">Consistency, transparency and standards of reporting in the disclosure of data </w:t>
      </w:r>
      <w:proofErr w:type="gramStart"/>
      <w:r w:rsidRPr="005B553F">
        <w:rPr>
          <w:rFonts w:asciiTheme="minorHAnsi" w:hAnsiTheme="minorHAnsi" w:cs="Arial"/>
          <w:color w:val="000000"/>
          <w:sz w:val="22"/>
          <w:szCs w:val="22"/>
          <w:shd w:val="clear" w:color="auto" w:fill="FFFFFF"/>
        </w:rPr>
        <w:t>is</w:t>
      </w:r>
      <w:proofErr w:type="gramEnd"/>
      <w:r w:rsidRPr="005B553F">
        <w:rPr>
          <w:rFonts w:asciiTheme="minorHAnsi" w:hAnsiTheme="minorHAnsi" w:cs="Arial"/>
          <w:color w:val="000000"/>
          <w:sz w:val="22"/>
          <w:szCs w:val="22"/>
          <w:shd w:val="clear" w:color="auto" w:fill="FFFFFF"/>
        </w:rPr>
        <w:t xml:space="preserve"> vital if a proper assessment of the efficiency and effectiveness of the various components of the super system are to be performed.  </w:t>
      </w:r>
      <w:r w:rsidR="00DF5DC0" w:rsidRPr="005B553F">
        <w:rPr>
          <w:rFonts w:asciiTheme="minorHAnsi" w:hAnsiTheme="minorHAnsi" w:cs="Arial"/>
          <w:color w:val="000000"/>
          <w:sz w:val="22"/>
          <w:szCs w:val="22"/>
          <w:shd w:val="clear" w:color="auto" w:fill="FFFFFF"/>
        </w:rPr>
        <w:t xml:space="preserve">The Cooper report found that there is </w:t>
      </w:r>
      <w:r w:rsidR="00DF5DC0" w:rsidRPr="005B553F">
        <w:rPr>
          <w:rFonts w:asciiTheme="minorHAnsi" w:hAnsiTheme="minorHAnsi"/>
          <w:sz w:val="22"/>
          <w:szCs w:val="22"/>
        </w:rPr>
        <w:t xml:space="preserve">currently a lack of “systematic transparency” in the superannuation funds industry; specifically, there is a lack of </w:t>
      </w:r>
      <w:proofErr w:type="spellStart"/>
      <w:r w:rsidR="00DF5DC0" w:rsidRPr="005B553F">
        <w:rPr>
          <w:rFonts w:asciiTheme="minorHAnsi" w:hAnsiTheme="minorHAnsi"/>
          <w:sz w:val="22"/>
          <w:szCs w:val="22"/>
        </w:rPr>
        <w:t>standardised</w:t>
      </w:r>
      <w:proofErr w:type="spellEnd"/>
      <w:r w:rsidR="00DF5DC0" w:rsidRPr="005B553F">
        <w:rPr>
          <w:rFonts w:asciiTheme="minorHAnsi" w:hAnsiTheme="minorHAnsi"/>
          <w:sz w:val="22"/>
          <w:szCs w:val="22"/>
        </w:rPr>
        <w:t xml:space="preserve"> methodology for the calculation and disclosure format of investment options, risk, return and costs of funds to provide quality information for any expert analysis (Cooper, 2010).</w:t>
      </w:r>
    </w:p>
    <w:p w:rsidR="00B21DEC" w:rsidRPr="005B553F" w:rsidRDefault="005B553F" w:rsidP="003C025B">
      <w:pPr>
        <w:pStyle w:val="InformationRequest"/>
        <w:rPr>
          <w:rFonts w:asciiTheme="minorHAnsi" w:hAnsiTheme="minorHAnsi"/>
          <w:i w:val="0"/>
          <w:szCs w:val="22"/>
        </w:rPr>
      </w:pPr>
      <w:r>
        <w:rPr>
          <w:rFonts w:asciiTheme="minorHAnsi" w:hAnsiTheme="minorHAnsi" w:cs="Arial"/>
          <w:i w:val="0"/>
          <w:color w:val="000000"/>
          <w:szCs w:val="22"/>
          <w:shd w:val="clear" w:color="auto" w:fill="FFFFFF"/>
        </w:rPr>
        <w:t>The Institute is of the opinion that a</w:t>
      </w:r>
      <w:r w:rsidR="00DF5DC0" w:rsidRPr="005B553F">
        <w:rPr>
          <w:rFonts w:asciiTheme="minorHAnsi" w:hAnsiTheme="minorHAnsi" w:cs="Arial"/>
          <w:i w:val="0"/>
          <w:color w:val="000000"/>
          <w:szCs w:val="22"/>
          <w:shd w:val="clear" w:color="auto" w:fill="FFFFFF"/>
        </w:rPr>
        <w:t xml:space="preserve"> standard methodology of reporting across all super funds </w:t>
      </w:r>
      <w:r w:rsidR="001270E4" w:rsidRPr="005B553F">
        <w:rPr>
          <w:rFonts w:asciiTheme="minorHAnsi" w:hAnsiTheme="minorHAnsi" w:cs="Arial"/>
          <w:i w:val="0"/>
          <w:color w:val="000000"/>
          <w:szCs w:val="22"/>
          <w:shd w:val="clear" w:color="auto" w:fill="FFFFFF"/>
        </w:rPr>
        <w:t>w</w:t>
      </w:r>
      <w:r w:rsidR="00583236" w:rsidRPr="005B553F">
        <w:rPr>
          <w:rFonts w:asciiTheme="minorHAnsi" w:hAnsiTheme="minorHAnsi" w:cs="Arial"/>
          <w:i w:val="0"/>
          <w:color w:val="000000"/>
          <w:szCs w:val="22"/>
          <w:shd w:val="clear" w:color="auto" w:fill="FFFFFF"/>
        </w:rPr>
        <w:t>ould</w:t>
      </w:r>
      <w:r w:rsidR="001270E4" w:rsidRPr="005B553F">
        <w:rPr>
          <w:rFonts w:asciiTheme="minorHAnsi" w:hAnsiTheme="minorHAnsi" w:cs="Arial"/>
          <w:i w:val="0"/>
          <w:color w:val="000000"/>
          <w:szCs w:val="22"/>
          <w:shd w:val="clear" w:color="auto" w:fill="FFFFFF"/>
        </w:rPr>
        <w:t xml:space="preserve"> enhance </w:t>
      </w:r>
      <w:r w:rsidR="00DF5DC0" w:rsidRPr="005B553F">
        <w:rPr>
          <w:rFonts w:asciiTheme="minorHAnsi" w:hAnsiTheme="minorHAnsi" w:cs="Arial"/>
          <w:i w:val="0"/>
          <w:color w:val="000000"/>
          <w:szCs w:val="22"/>
          <w:shd w:val="clear" w:color="auto" w:fill="FFFFFF"/>
        </w:rPr>
        <w:t>t</w:t>
      </w:r>
      <w:r w:rsidR="001270E4" w:rsidRPr="005B553F">
        <w:rPr>
          <w:rFonts w:asciiTheme="minorHAnsi" w:hAnsiTheme="minorHAnsi" w:cs="Arial"/>
          <w:i w:val="0"/>
          <w:color w:val="000000"/>
          <w:szCs w:val="22"/>
          <w:shd w:val="clear" w:color="auto" w:fill="FFFFFF"/>
        </w:rPr>
        <w:t xml:space="preserve">he ability of both the </w:t>
      </w:r>
      <w:r w:rsidR="001270E4" w:rsidRPr="005B553F">
        <w:rPr>
          <w:rFonts w:asciiTheme="minorHAnsi" w:hAnsiTheme="minorHAnsi"/>
          <w:i w:val="0"/>
          <w:szCs w:val="22"/>
        </w:rPr>
        <w:t xml:space="preserve">ATO and APRA to share and match data </w:t>
      </w:r>
      <w:r w:rsidR="00583236" w:rsidRPr="005B553F">
        <w:rPr>
          <w:rFonts w:asciiTheme="minorHAnsi" w:hAnsiTheme="minorHAnsi"/>
          <w:i w:val="0"/>
          <w:szCs w:val="22"/>
        </w:rPr>
        <w:t xml:space="preserve">which would likely lead to </w:t>
      </w:r>
      <w:r w:rsidR="001270E4" w:rsidRPr="005B553F">
        <w:rPr>
          <w:rFonts w:asciiTheme="minorHAnsi" w:hAnsiTheme="minorHAnsi"/>
          <w:i w:val="0"/>
          <w:szCs w:val="22"/>
        </w:rPr>
        <w:t>the reduction of the reporting burden of funds by reducing and streamlining reporting obligations.</w:t>
      </w:r>
    </w:p>
    <w:p w:rsidR="00DF5DC0" w:rsidRPr="0046770E" w:rsidRDefault="00DF5DC0" w:rsidP="00DF5DC0">
      <w:pPr>
        <w:pStyle w:val="BodyText"/>
        <w:rPr>
          <w:rFonts w:asciiTheme="minorHAnsi" w:hAnsiTheme="minorHAnsi"/>
          <w:lang w:val="en-AU" w:eastAsia="en-AU" w:bidi="ar-SA"/>
        </w:rPr>
      </w:pPr>
    </w:p>
    <w:p w:rsidR="00DF5DC0" w:rsidRPr="0046770E" w:rsidRDefault="00DF5DC0" w:rsidP="00DF5DC0">
      <w:pPr>
        <w:pStyle w:val="InformationRequest"/>
        <w:rPr>
          <w:rFonts w:asciiTheme="minorHAnsi" w:hAnsiTheme="minorHAnsi"/>
          <w:i w:val="0"/>
          <w:sz w:val="24"/>
          <w:szCs w:val="24"/>
        </w:rPr>
      </w:pPr>
      <w:r w:rsidRPr="0046770E">
        <w:rPr>
          <w:rFonts w:asciiTheme="minorHAnsi" w:hAnsiTheme="minorHAnsi"/>
          <w:b/>
        </w:rPr>
        <w:t>Question 4:</w:t>
      </w:r>
      <w:r w:rsidRPr="0046770E">
        <w:rPr>
          <w:rFonts w:asciiTheme="minorHAnsi" w:hAnsiTheme="minorHAnsi"/>
        </w:rPr>
        <w:t xml:space="preserve"> </w:t>
      </w:r>
      <w:r w:rsidRPr="0046770E">
        <w:rPr>
          <w:rFonts w:asciiTheme="minorHAnsi" w:hAnsiTheme="minorHAnsi"/>
          <w:sz w:val="24"/>
          <w:szCs w:val="24"/>
        </w:rPr>
        <w:t>Which of the existing cross</w:t>
      </w:r>
      <w:r w:rsidRPr="0046770E">
        <w:rPr>
          <w:rFonts w:asciiTheme="minorHAnsi" w:hAnsiTheme="minorHAnsi"/>
          <w:sz w:val="24"/>
          <w:szCs w:val="24"/>
        </w:rPr>
        <w:noBreakHyphen/>
        <w:t>country composite measures of pension system performance would be most relevant to this study and why? What are the challenges in using those measures to assess the efficiency and competitiveness of Australia’s superannuation system? What measures and criteria are comparable across different countries?</w:t>
      </w:r>
    </w:p>
    <w:p w:rsidR="00DF5DC0" w:rsidRPr="0046770E" w:rsidRDefault="00DF5DC0" w:rsidP="00DF5DC0">
      <w:pPr>
        <w:pStyle w:val="BodyText"/>
        <w:rPr>
          <w:rFonts w:asciiTheme="minorHAnsi" w:hAnsiTheme="minorHAnsi"/>
          <w:lang w:val="en-AU" w:eastAsia="en-AU" w:bidi="ar-SA"/>
        </w:rPr>
      </w:pPr>
    </w:p>
    <w:p w:rsidR="0084508D" w:rsidRPr="005B553F" w:rsidRDefault="00583236" w:rsidP="00DF5DC0">
      <w:pPr>
        <w:pStyle w:val="BodyText"/>
        <w:rPr>
          <w:rFonts w:asciiTheme="minorHAnsi" w:hAnsiTheme="minorHAnsi"/>
          <w:sz w:val="22"/>
          <w:szCs w:val="22"/>
          <w:lang w:val="en-AU" w:eastAsia="en-AU" w:bidi="ar-SA"/>
        </w:rPr>
      </w:pPr>
      <w:r w:rsidRPr="005B553F">
        <w:rPr>
          <w:rFonts w:asciiTheme="minorHAnsi" w:hAnsiTheme="minorHAnsi"/>
          <w:sz w:val="22"/>
          <w:szCs w:val="22"/>
          <w:lang w:val="en-AU" w:eastAsia="en-AU" w:bidi="ar-SA"/>
        </w:rPr>
        <w:t>As previously discussed, t</w:t>
      </w:r>
      <w:r w:rsidR="00441962" w:rsidRPr="005B553F">
        <w:rPr>
          <w:rFonts w:asciiTheme="minorHAnsi" w:hAnsiTheme="minorHAnsi"/>
          <w:sz w:val="22"/>
          <w:szCs w:val="22"/>
          <w:lang w:val="en-AU" w:eastAsia="en-AU" w:bidi="ar-SA"/>
        </w:rPr>
        <w:t xml:space="preserve">here is unlikely to be a single composite </w:t>
      </w:r>
      <w:r w:rsidR="00AA5487" w:rsidRPr="005B553F">
        <w:rPr>
          <w:rFonts w:asciiTheme="minorHAnsi" w:hAnsiTheme="minorHAnsi"/>
          <w:sz w:val="22"/>
          <w:szCs w:val="22"/>
          <w:lang w:val="en-AU" w:eastAsia="en-AU" w:bidi="ar-SA"/>
        </w:rPr>
        <w:t xml:space="preserve">measure able to </w:t>
      </w:r>
      <w:r w:rsidR="00441962" w:rsidRPr="005B553F">
        <w:rPr>
          <w:rFonts w:asciiTheme="minorHAnsi" w:hAnsiTheme="minorHAnsi"/>
          <w:sz w:val="22"/>
          <w:szCs w:val="22"/>
          <w:lang w:val="en-AU" w:eastAsia="en-AU" w:bidi="ar-SA"/>
        </w:rPr>
        <w:t xml:space="preserve">benchmark </w:t>
      </w:r>
      <w:r w:rsidR="00AA5487" w:rsidRPr="005B553F">
        <w:rPr>
          <w:rFonts w:asciiTheme="minorHAnsi" w:hAnsiTheme="minorHAnsi"/>
          <w:sz w:val="22"/>
          <w:szCs w:val="22"/>
          <w:lang w:val="en-AU" w:eastAsia="en-AU" w:bidi="ar-SA"/>
        </w:rPr>
        <w:t xml:space="preserve">a complete set of performance indicators </w:t>
      </w:r>
      <w:r w:rsidR="009D28CC" w:rsidRPr="005B553F">
        <w:rPr>
          <w:rFonts w:asciiTheme="minorHAnsi" w:hAnsiTheme="minorHAnsi"/>
          <w:sz w:val="22"/>
          <w:szCs w:val="22"/>
          <w:lang w:val="en-AU" w:eastAsia="en-AU" w:bidi="ar-SA"/>
        </w:rPr>
        <w:t>to appropriately assess the efficiency of the superannuation system</w:t>
      </w:r>
      <w:r w:rsidR="00441962" w:rsidRPr="005B553F">
        <w:rPr>
          <w:rFonts w:asciiTheme="minorHAnsi" w:hAnsiTheme="minorHAnsi"/>
          <w:sz w:val="22"/>
          <w:szCs w:val="22"/>
          <w:lang w:val="en-AU" w:eastAsia="en-AU" w:bidi="ar-SA"/>
        </w:rPr>
        <w:t xml:space="preserve">.  </w:t>
      </w:r>
      <w:r w:rsidRPr="005B553F">
        <w:rPr>
          <w:rFonts w:asciiTheme="minorHAnsi" w:hAnsiTheme="minorHAnsi"/>
          <w:sz w:val="22"/>
          <w:szCs w:val="22"/>
          <w:lang w:val="en-AU" w:eastAsia="en-AU" w:bidi="ar-SA"/>
        </w:rPr>
        <w:t>T</w:t>
      </w:r>
      <w:r w:rsidR="00441962" w:rsidRPr="005B553F">
        <w:rPr>
          <w:rFonts w:asciiTheme="minorHAnsi" w:hAnsiTheme="minorHAnsi"/>
          <w:sz w:val="22"/>
          <w:szCs w:val="22"/>
          <w:lang w:val="en-AU" w:eastAsia="en-AU" w:bidi="ar-SA"/>
        </w:rPr>
        <w:t xml:space="preserve">he different institutional settings of pension funds across countries will </w:t>
      </w:r>
      <w:r w:rsidRPr="005B553F">
        <w:rPr>
          <w:rFonts w:asciiTheme="minorHAnsi" w:hAnsiTheme="minorHAnsi"/>
          <w:sz w:val="22"/>
          <w:szCs w:val="22"/>
          <w:lang w:val="en-AU" w:eastAsia="en-AU" w:bidi="ar-SA"/>
        </w:rPr>
        <w:t xml:space="preserve">typically </w:t>
      </w:r>
      <w:r w:rsidR="00441962" w:rsidRPr="005B553F">
        <w:rPr>
          <w:rFonts w:asciiTheme="minorHAnsi" w:hAnsiTheme="minorHAnsi"/>
          <w:sz w:val="22"/>
          <w:szCs w:val="22"/>
          <w:lang w:val="en-AU" w:eastAsia="en-AU" w:bidi="ar-SA"/>
        </w:rPr>
        <w:t>make direct comparisons</w:t>
      </w:r>
      <w:r w:rsidR="00073A86" w:rsidRPr="005B553F">
        <w:rPr>
          <w:rFonts w:asciiTheme="minorHAnsi" w:hAnsiTheme="minorHAnsi"/>
          <w:sz w:val="22"/>
          <w:szCs w:val="22"/>
          <w:lang w:val="en-AU" w:eastAsia="en-AU" w:bidi="ar-SA"/>
        </w:rPr>
        <w:t xml:space="preserve"> </w:t>
      </w:r>
      <w:r w:rsidR="0084508D" w:rsidRPr="005B553F">
        <w:rPr>
          <w:rFonts w:asciiTheme="minorHAnsi" w:hAnsiTheme="minorHAnsi"/>
          <w:sz w:val="22"/>
          <w:szCs w:val="22"/>
          <w:lang w:val="en-AU" w:eastAsia="en-AU" w:bidi="ar-SA"/>
        </w:rPr>
        <w:t xml:space="preserve">meaningless, and the aggregate nature of the </w:t>
      </w:r>
      <w:r w:rsidR="0084508D" w:rsidRPr="005B553F">
        <w:rPr>
          <w:rFonts w:asciiTheme="minorHAnsi" w:hAnsiTheme="minorHAnsi"/>
          <w:sz w:val="22"/>
          <w:szCs w:val="22"/>
        </w:rPr>
        <w:t xml:space="preserve">data </w:t>
      </w:r>
      <w:r w:rsidR="00D16D05">
        <w:rPr>
          <w:rFonts w:asciiTheme="minorHAnsi" w:hAnsiTheme="minorHAnsi"/>
          <w:sz w:val="22"/>
          <w:szCs w:val="22"/>
        </w:rPr>
        <w:t xml:space="preserve">forming </w:t>
      </w:r>
      <w:r w:rsidR="0084508D" w:rsidRPr="005B553F">
        <w:rPr>
          <w:rFonts w:asciiTheme="minorHAnsi" w:hAnsiTheme="minorHAnsi"/>
          <w:sz w:val="22"/>
          <w:szCs w:val="22"/>
        </w:rPr>
        <w:t>the index will make the interpretation of sub-performance or changes against the benchmark performance difficult to isolate</w:t>
      </w:r>
      <w:r w:rsidR="00D779A5" w:rsidRPr="005B553F">
        <w:rPr>
          <w:rFonts w:asciiTheme="minorHAnsi" w:hAnsiTheme="minorHAnsi"/>
          <w:sz w:val="22"/>
          <w:szCs w:val="22"/>
          <w:lang w:val="en-AU" w:eastAsia="en-AU" w:bidi="ar-SA"/>
        </w:rPr>
        <w:t xml:space="preserve">. </w:t>
      </w:r>
    </w:p>
    <w:p w:rsidR="00DF5DC0" w:rsidRPr="005B553F" w:rsidRDefault="0084508D" w:rsidP="00272CBE">
      <w:pPr>
        <w:pStyle w:val="BodyText"/>
        <w:rPr>
          <w:rFonts w:asciiTheme="minorHAnsi" w:hAnsiTheme="minorHAnsi"/>
          <w:sz w:val="22"/>
          <w:szCs w:val="22"/>
          <w:lang w:val="en-AU" w:eastAsia="en-AU" w:bidi="ar-SA"/>
        </w:rPr>
      </w:pPr>
      <w:r w:rsidRPr="005B553F">
        <w:rPr>
          <w:rFonts w:asciiTheme="minorHAnsi" w:hAnsiTheme="minorHAnsi"/>
          <w:sz w:val="22"/>
          <w:szCs w:val="22"/>
          <w:lang w:val="en-AU" w:eastAsia="en-AU" w:bidi="ar-SA"/>
        </w:rPr>
        <w:t>However, g</w:t>
      </w:r>
      <w:r w:rsidR="00441962" w:rsidRPr="005B553F">
        <w:rPr>
          <w:rFonts w:asciiTheme="minorHAnsi" w:hAnsiTheme="minorHAnsi"/>
          <w:sz w:val="22"/>
          <w:szCs w:val="22"/>
          <w:lang w:val="en-AU" w:eastAsia="en-AU" w:bidi="ar-SA"/>
        </w:rPr>
        <w:t xml:space="preserve">iven the </w:t>
      </w:r>
      <w:r w:rsidRPr="005B553F">
        <w:rPr>
          <w:rFonts w:asciiTheme="minorHAnsi" w:hAnsiTheme="minorHAnsi"/>
          <w:sz w:val="22"/>
          <w:szCs w:val="22"/>
          <w:lang w:val="en-AU" w:eastAsia="en-AU" w:bidi="ar-SA"/>
        </w:rPr>
        <w:t xml:space="preserve">recommended </w:t>
      </w:r>
      <w:r w:rsidR="00441962" w:rsidRPr="005B553F">
        <w:rPr>
          <w:rFonts w:asciiTheme="minorHAnsi" w:hAnsiTheme="minorHAnsi"/>
          <w:sz w:val="22"/>
          <w:szCs w:val="22"/>
          <w:lang w:val="en-AU" w:eastAsia="en-AU" w:bidi="ar-SA"/>
        </w:rPr>
        <w:t xml:space="preserve">system objectives outlined in question 1, </w:t>
      </w:r>
      <w:r w:rsidR="00D779A5" w:rsidRPr="005B553F">
        <w:rPr>
          <w:rFonts w:asciiTheme="minorHAnsi" w:hAnsiTheme="minorHAnsi"/>
          <w:sz w:val="22"/>
          <w:szCs w:val="22"/>
          <w:lang w:val="en-AU" w:eastAsia="en-AU" w:bidi="ar-SA"/>
        </w:rPr>
        <w:t xml:space="preserve">the </w:t>
      </w:r>
      <w:r w:rsidR="00EF1C6B">
        <w:rPr>
          <w:rFonts w:asciiTheme="minorHAnsi" w:hAnsiTheme="minorHAnsi"/>
          <w:sz w:val="22"/>
          <w:szCs w:val="22"/>
          <w:lang w:val="en-AU" w:eastAsia="en-AU" w:bidi="ar-SA"/>
        </w:rPr>
        <w:t xml:space="preserve">Institute believes that the </w:t>
      </w:r>
      <w:r w:rsidR="00AA5487" w:rsidRPr="005B553F">
        <w:rPr>
          <w:rFonts w:asciiTheme="minorHAnsi" w:hAnsiTheme="minorHAnsi"/>
          <w:sz w:val="22"/>
          <w:szCs w:val="22"/>
          <w:lang w:val="en-AU" w:eastAsia="en-AU" w:bidi="ar-SA"/>
        </w:rPr>
        <w:t xml:space="preserve">three sub-indexes used within </w:t>
      </w:r>
      <w:r w:rsidR="00441962" w:rsidRPr="005B553F">
        <w:rPr>
          <w:rFonts w:asciiTheme="minorHAnsi" w:hAnsiTheme="minorHAnsi"/>
          <w:sz w:val="22"/>
          <w:szCs w:val="22"/>
        </w:rPr>
        <w:t xml:space="preserve">Melbourne Mercer Global Pension Index </w:t>
      </w:r>
      <w:r w:rsidR="00AA5487" w:rsidRPr="005B553F">
        <w:rPr>
          <w:rFonts w:asciiTheme="minorHAnsi" w:hAnsiTheme="minorHAnsi"/>
          <w:sz w:val="22"/>
          <w:szCs w:val="22"/>
        </w:rPr>
        <w:t>are likely to p</w:t>
      </w:r>
      <w:r w:rsidR="00441962" w:rsidRPr="005B553F">
        <w:rPr>
          <w:rFonts w:asciiTheme="minorHAnsi" w:hAnsiTheme="minorHAnsi"/>
          <w:sz w:val="22"/>
          <w:szCs w:val="22"/>
        </w:rPr>
        <w:t xml:space="preserve">rovide a reasonable </w:t>
      </w:r>
      <w:r w:rsidR="00AA5487" w:rsidRPr="005B553F">
        <w:rPr>
          <w:rFonts w:asciiTheme="minorHAnsi" w:hAnsiTheme="minorHAnsi"/>
          <w:sz w:val="22"/>
          <w:szCs w:val="22"/>
        </w:rPr>
        <w:t xml:space="preserve">basis for </w:t>
      </w:r>
      <w:r w:rsidR="009D28CC" w:rsidRPr="005B553F">
        <w:rPr>
          <w:rFonts w:asciiTheme="minorHAnsi" w:hAnsiTheme="minorHAnsi"/>
          <w:sz w:val="22"/>
          <w:szCs w:val="22"/>
        </w:rPr>
        <w:t>assess</w:t>
      </w:r>
      <w:r w:rsidR="00EF1C6B">
        <w:rPr>
          <w:rFonts w:asciiTheme="minorHAnsi" w:hAnsiTheme="minorHAnsi"/>
          <w:sz w:val="22"/>
          <w:szCs w:val="22"/>
        </w:rPr>
        <w:t>ing</w:t>
      </w:r>
      <w:r w:rsidR="009D28CC" w:rsidRPr="005B553F">
        <w:rPr>
          <w:rFonts w:asciiTheme="minorHAnsi" w:hAnsiTheme="minorHAnsi"/>
          <w:sz w:val="22"/>
          <w:szCs w:val="22"/>
        </w:rPr>
        <w:t xml:space="preserve"> </w:t>
      </w:r>
      <w:r w:rsidR="00EF1C6B">
        <w:rPr>
          <w:rFonts w:asciiTheme="minorHAnsi" w:hAnsiTheme="minorHAnsi"/>
          <w:sz w:val="22"/>
          <w:szCs w:val="22"/>
        </w:rPr>
        <w:t xml:space="preserve">the extent to which the outputs  / objectives of the super system  are being achieved - </w:t>
      </w:r>
      <w:r w:rsidR="009D28CC" w:rsidRPr="005B553F">
        <w:rPr>
          <w:rFonts w:asciiTheme="minorHAnsi" w:hAnsiTheme="minorHAnsi"/>
          <w:sz w:val="22"/>
          <w:szCs w:val="22"/>
        </w:rPr>
        <w:t xml:space="preserve">adequacy, sustainability and integrity. </w:t>
      </w:r>
      <w:r w:rsidR="00D779A5" w:rsidRPr="005B553F">
        <w:rPr>
          <w:rFonts w:asciiTheme="minorHAnsi" w:hAnsiTheme="minorHAnsi"/>
          <w:sz w:val="22"/>
          <w:szCs w:val="22"/>
        </w:rPr>
        <w:t xml:space="preserve"> </w:t>
      </w:r>
      <w:r w:rsidR="00EF1C6B">
        <w:rPr>
          <w:rFonts w:asciiTheme="minorHAnsi" w:hAnsiTheme="minorHAnsi"/>
          <w:sz w:val="22"/>
          <w:szCs w:val="22"/>
        </w:rPr>
        <w:t>However, such a benchmark is likely to be less informative in determining the overall efficiency and competitiveness of the system.</w:t>
      </w:r>
      <w:r w:rsidR="00272CBE">
        <w:rPr>
          <w:rFonts w:asciiTheme="minorHAnsi" w:hAnsiTheme="minorHAnsi"/>
          <w:sz w:val="22"/>
          <w:szCs w:val="22"/>
        </w:rPr>
        <w:t xml:space="preserve">  Appropriate individual performance indicators able to assess different parts of the system will need to be </w:t>
      </w:r>
      <w:proofErr w:type="spellStart"/>
      <w:r w:rsidR="00272CBE">
        <w:rPr>
          <w:rFonts w:asciiTheme="minorHAnsi" w:hAnsiTheme="minorHAnsi"/>
          <w:sz w:val="22"/>
          <w:szCs w:val="22"/>
        </w:rPr>
        <w:t>utilised</w:t>
      </w:r>
      <w:proofErr w:type="spellEnd"/>
      <w:r w:rsidR="00272CBE">
        <w:rPr>
          <w:rFonts w:asciiTheme="minorHAnsi" w:hAnsiTheme="minorHAnsi"/>
          <w:sz w:val="22"/>
          <w:szCs w:val="22"/>
        </w:rPr>
        <w:t>.</w:t>
      </w:r>
    </w:p>
    <w:p w:rsidR="00456740" w:rsidRPr="0046770E" w:rsidRDefault="00456740" w:rsidP="00456740">
      <w:pPr>
        <w:pStyle w:val="IPAHeading"/>
        <w:rPr>
          <w:rFonts w:asciiTheme="minorHAnsi" w:hAnsiTheme="minorHAnsi"/>
        </w:rPr>
      </w:pPr>
    </w:p>
    <w:p w:rsidR="006B084D" w:rsidRPr="0046770E" w:rsidRDefault="006B084D" w:rsidP="00456740">
      <w:pPr>
        <w:pStyle w:val="IPAHeading"/>
        <w:rPr>
          <w:rFonts w:asciiTheme="minorHAnsi" w:hAnsiTheme="minorHAnsi"/>
        </w:rPr>
      </w:pPr>
    </w:p>
    <w:p w:rsidR="00456740" w:rsidRPr="0046770E" w:rsidRDefault="00456740" w:rsidP="00456740">
      <w:pPr>
        <w:pStyle w:val="IPAHeading"/>
        <w:numPr>
          <w:ilvl w:val="0"/>
          <w:numId w:val="1"/>
        </w:numPr>
        <w:rPr>
          <w:rFonts w:asciiTheme="minorHAnsi" w:hAnsiTheme="minorHAnsi"/>
        </w:rPr>
      </w:pPr>
      <w:bookmarkStart w:id="9" w:name="_Toc448790810"/>
      <w:r w:rsidRPr="0046770E">
        <w:rPr>
          <w:rFonts w:asciiTheme="minorHAnsi" w:hAnsiTheme="minorHAnsi"/>
        </w:rPr>
        <w:t>Assessing competitiveness</w:t>
      </w:r>
      <w:bookmarkEnd w:id="9"/>
    </w:p>
    <w:p w:rsidR="00456740" w:rsidRPr="0046770E" w:rsidRDefault="00456740" w:rsidP="00DF5DC0">
      <w:pPr>
        <w:pStyle w:val="BodyText"/>
        <w:rPr>
          <w:rFonts w:asciiTheme="minorHAnsi" w:hAnsiTheme="minorHAnsi"/>
          <w:lang w:val="en-AU" w:eastAsia="en-AU" w:bidi="ar-SA"/>
        </w:rPr>
      </w:pPr>
    </w:p>
    <w:p w:rsidR="007C43B8" w:rsidRPr="00414135" w:rsidRDefault="007C43B8" w:rsidP="00DF5DC0">
      <w:pPr>
        <w:pStyle w:val="BodyText"/>
        <w:rPr>
          <w:rFonts w:asciiTheme="minorHAnsi" w:hAnsiTheme="minorHAnsi"/>
          <w:i/>
          <w:lang w:val="en-AU" w:eastAsia="en-AU" w:bidi="ar-SA"/>
        </w:rPr>
      </w:pPr>
      <w:r w:rsidRPr="0046770E">
        <w:rPr>
          <w:rFonts w:asciiTheme="minorHAnsi" w:hAnsiTheme="minorHAnsi"/>
          <w:b/>
          <w:lang w:val="en-AU" w:eastAsia="en-AU" w:bidi="ar-SA"/>
        </w:rPr>
        <w:t xml:space="preserve">Question 5: </w:t>
      </w:r>
      <w:r w:rsidRPr="00414135">
        <w:rPr>
          <w:rFonts w:asciiTheme="minorHAnsi" w:hAnsiTheme="minorHAnsi"/>
          <w:i/>
          <w:lang w:val="en-AU" w:eastAsia="en-AU" w:bidi="ar-SA"/>
        </w:rPr>
        <w:t>What are the key ways in which competition can improve efficiency in the superannuation system</w:t>
      </w:r>
      <w:r w:rsidR="00AC5A7E" w:rsidRPr="00414135">
        <w:rPr>
          <w:rFonts w:asciiTheme="minorHAnsi" w:hAnsiTheme="minorHAnsi"/>
          <w:i/>
          <w:lang w:val="en-AU" w:eastAsia="en-AU" w:bidi="ar-SA"/>
        </w:rPr>
        <w:t>?</w:t>
      </w:r>
    </w:p>
    <w:p w:rsidR="007C43B8" w:rsidRPr="00EF1C6B" w:rsidRDefault="007C43B8" w:rsidP="00DF5DC0">
      <w:pPr>
        <w:pStyle w:val="BodyText"/>
        <w:rPr>
          <w:rFonts w:asciiTheme="minorHAnsi" w:hAnsiTheme="minorHAnsi"/>
          <w:sz w:val="22"/>
          <w:szCs w:val="22"/>
          <w:lang w:val="en-AU" w:eastAsia="en-AU" w:bidi="ar-SA"/>
        </w:rPr>
      </w:pPr>
      <w:r w:rsidRPr="00EF1C6B">
        <w:rPr>
          <w:rFonts w:asciiTheme="minorHAnsi" w:hAnsiTheme="minorHAnsi"/>
          <w:sz w:val="22"/>
          <w:szCs w:val="22"/>
          <w:lang w:val="en-AU" w:eastAsia="en-AU" w:bidi="ar-SA"/>
        </w:rPr>
        <w:t>Competition is central to the operation of financial markets and fosters innovation, productivity</w:t>
      </w:r>
      <w:r w:rsidR="0068075A" w:rsidRPr="00EF1C6B">
        <w:rPr>
          <w:rFonts w:asciiTheme="minorHAnsi" w:hAnsiTheme="minorHAnsi"/>
          <w:sz w:val="22"/>
          <w:szCs w:val="22"/>
          <w:lang w:val="en-AU" w:eastAsia="en-AU" w:bidi="ar-SA"/>
        </w:rPr>
        <w:t xml:space="preserve">, growth and efficiency.   </w:t>
      </w:r>
      <w:r w:rsidR="005B553F" w:rsidRPr="00EF1C6B">
        <w:rPr>
          <w:rFonts w:asciiTheme="minorHAnsi" w:eastAsiaTheme="minorHAnsi" w:hAnsiTheme="minorHAnsi" w:cs="CMR12"/>
          <w:sz w:val="22"/>
          <w:szCs w:val="22"/>
          <w:lang w:val="en-AU" w:bidi="ar-SA"/>
        </w:rPr>
        <w:t xml:space="preserve">In an efficient market setting, more efficient super funds </w:t>
      </w:r>
      <w:r w:rsidR="00EF1C6B">
        <w:rPr>
          <w:rFonts w:asciiTheme="minorHAnsi" w:eastAsiaTheme="minorHAnsi" w:hAnsiTheme="minorHAnsi" w:cs="CMR12"/>
          <w:sz w:val="22"/>
          <w:szCs w:val="22"/>
          <w:lang w:val="en-AU" w:bidi="ar-SA"/>
        </w:rPr>
        <w:t xml:space="preserve">would be expected </w:t>
      </w:r>
      <w:r w:rsidR="005B553F" w:rsidRPr="00EF1C6B">
        <w:rPr>
          <w:rFonts w:asciiTheme="minorHAnsi" w:eastAsiaTheme="minorHAnsi" w:hAnsiTheme="minorHAnsi" w:cs="CMR12"/>
          <w:sz w:val="22"/>
          <w:szCs w:val="22"/>
          <w:lang w:val="en-AU" w:bidi="ar-SA"/>
        </w:rPr>
        <w:t xml:space="preserve">to generate higher output and increase their market share, thereby increasing industry concentration. </w:t>
      </w:r>
      <w:r w:rsidR="0068075A" w:rsidRPr="00EF1C6B">
        <w:rPr>
          <w:rFonts w:asciiTheme="minorHAnsi" w:hAnsiTheme="minorHAnsi"/>
          <w:sz w:val="22"/>
          <w:szCs w:val="22"/>
          <w:lang w:val="en-AU" w:eastAsia="en-AU" w:bidi="ar-SA"/>
        </w:rPr>
        <w:t xml:space="preserve"> </w:t>
      </w:r>
      <w:r w:rsidR="004B14C7" w:rsidRPr="00EF1C6B">
        <w:rPr>
          <w:rFonts w:asciiTheme="minorHAnsi" w:hAnsiTheme="minorHAnsi"/>
          <w:sz w:val="22"/>
          <w:szCs w:val="22"/>
          <w:lang w:val="en-AU" w:eastAsia="en-AU" w:bidi="ar-SA"/>
        </w:rPr>
        <w:t>Increased c</w:t>
      </w:r>
      <w:r w:rsidR="0068075A" w:rsidRPr="00EF1C6B">
        <w:rPr>
          <w:rFonts w:asciiTheme="minorHAnsi" w:hAnsiTheme="minorHAnsi"/>
          <w:sz w:val="22"/>
          <w:szCs w:val="22"/>
          <w:lang w:val="en-AU" w:eastAsia="en-AU" w:bidi="ar-SA"/>
        </w:rPr>
        <w:t xml:space="preserve">ompetition should result in </w:t>
      </w:r>
      <w:r w:rsidR="00DA214D" w:rsidRPr="00EF1C6B">
        <w:rPr>
          <w:rFonts w:asciiTheme="minorHAnsi" w:hAnsiTheme="minorHAnsi"/>
          <w:sz w:val="22"/>
          <w:szCs w:val="22"/>
          <w:lang w:val="en-AU" w:eastAsia="en-AU" w:bidi="ar-SA"/>
        </w:rPr>
        <w:t xml:space="preserve">the system whereby </w:t>
      </w:r>
      <w:r w:rsidR="004B14C7" w:rsidRPr="00EF1C6B">
        <w:rPr>
          <w:rFonts w:asciiTheme="minorHAnsi" w:hAnsiTheme="minorHAnsi"/>
          <w:sz w:val="22"/>
          <w:szCs w:val="22"/>
          <w:lang w:val="en-AU" w:eastAsia="en-AU" w:bidi="ar-SA"/>
        </w:rPr>
        <w:t>(</w:t>
      </w:r>
      <w:proofErr w:type="spellStart"/>
      <w:r w:rsidR="004B14C7" w:rsidRPr="00EF1C6B">
        <w:rPr>
          <w:rFonts w:asciiTheme="minorHAnsi" w:hAnsiTheme="minorHAnsi"/>
          <w:sz w:val="22"/>
          <w:szCs w:val="22"/>
          <w:lang w:val="en-AU" w:eastAsia="en-AU" w:bidi="ar-SA"/>
        </w:rPr>
        <w:t>i</w:t>
      </w:r>
      <w:proofErr w:type="spellEnd"/>
      <w:r w:rsidR="004B14C7" w:rsidRPr="00EF1C6B">
        <w:rPr>
          <w:rFonts w:asciiTheme="minorHAnsi" w:hAnsiTheme="minorHAnsi"/>
          <w:sz w:val="22"/>
          <w:szCs w:val="22"/>
          <w:lang w:val="en-AU" w:eastAsia="en-AU" w:bidi="ar-SA"/>
        </w:rPr>
        <w:t xml:space="preserve">) </w:t>
      </w:r>
      <w:r w:rsidR="00DA214D" w:rsidRPr="00EF1C6B">
        <w:rPr>
          <w:rFonts w:asciiTheme="minorHAnsi" w:hAnsiTheme="minorHAnsi"/>
          <w:sz w:val="22"/>
          <w:szCs w:val="22"/>
          <w:lang w:val="en-AU" w:eastAsia="en-AU" w:bidi="ar-SA"/>
        </w:rPr>
        <w:t xml:space="preserve">costs are minimised, </w:t>
      </w:r>
      <w:r w:rsidR="004B14C7" w:rsidRPr="00EF1C6B">
        <w:rPr>
          <w:rFonts w:asciiTheme="minorHAnsi" w:hAnsiTheme="minorHAnsi"/>
          <w:sz w:val="22"/>
          <w:szCs w:val="22"/>
          <w:lang w:val="en-AU" w:eastAsia="en-AU" w:bidi="ar-SA"/>
        </w:rPr>
        <w:t xml:space="preserve">(ii) </w:t>
      </w:r>
      <w:r w:rsidR="00DA214D" w:rsidRPr="00EF1C6B">
        <w:rPr>
          <w:rFonts w:asciiTheme="minorHAnsi" w:hAnsiTheme="minorHAnsi"/>
          <w:sz w:val="22"/>
          <w:szCs w:val="22"/>
          <w:lang w:val="en-AU" w:eastAsia="en-AU" w:bidi="ar-SA"/>
        </w:rPr>
        <w:t xml:space="preserve">returns on investments are maximised, </w:t>
      </w:r>
      <w:r w:rsidR="004B14C7" w:rsidRPr="00EF1C6B">
        <w:rPr>
          <w:rFonts w:asciiTheme="minorHAnsi" w:hAnsiTheme="minorHAnsi"/>
          <w:sz w:val="22"/>
          <w:szCs w:val="22"/>
          <w:lang w:val="en-AU" w:eastAsia="en-AU" w:bidi="ar-SA"/>
        </w:rPr>
        <w:t xml:space="preserve">(iii) </w:t>
      </w:r>
      <w:r w:rsidR="00DA214D" w:rsidRPr="00EF1C6B">
        <w:rPr>
          <w:rFonts w:asciiTheme="minorHAnsi" w:hAnsiTheme="minorHAnsi"/>
          <w:sz w:val="22"/>
          <w:szCs w:val="22"/>
          <w:lang w:val="en-AU" w:eastAsia="en-AU" w:bidi="ar-SA"/>
        </w:rPr>
        <w:t xml:space="preserve">funds have incentives to improve and innovate their product range to meet the needs of the market, </w:t>
      </w:r>
      <w:r w:rsidR="004B14C7" w:rsidRPr="00EF1C6B">
        <w:rPr>
          <w:rFonts w:asciiTheme="minorHAnsi" w:hAnsiTheme="minorHAnsi"/>
          <w:sz w:val="22"/>
          <w:szCs w:val="22"/>
          <w:lang w:val="en-AU" w:eastAsia="en-AU" w:bidi="ar-SA"/>
        </w:rPr>
        <w:t xml:space="preserve">(iv) </w:t>
      </w:r>
      <w:r w:rsidR="00DA214D" w:rsidRPr="00EF1C6B">
        <w:rPr>
          <w:rFonts w:asciiTheme="minorHAnsi" w:hAnsiTheme="minorHAnsi"/>
          <w:sz w:val="22"/>
          <w:szCs w:val="22"/>
          <w:lang w:val="en-AU" w:eastAsia="en-AU" w:bidi="ar-SA"/>
        </w:rPr>
        <w:t>there are improvements in the quality of service for members</w:t>
      </w:r>
      <w:r w:rsidR="00DD5AFF" w:rsidRPr="00EF1C6B">
        <w:rPr>
          <w:rFonts w:asciiTheme="minorHAnsi" w:hAnsiTheme="minorHAnsi"/>
          <w:sz w:val="22"/>
          <w:szCs w:val="22"/>
          <w:lang w:val="en-AU" w:eastAsia="en-AU" w:bidi="ar-SA"/>
        </w:rPr>
        <w:t>,</w:t>
      </w:r>
      <w:r w:rsidR="00DA214D" w:rsidRPr="00EF1C6B">
        <w:rPr>
          <w:rFonts w:asciiTheme="minorHAnsi" w:hAnsiTheme="minorHAnsi"/>
          <w:sz w:val="22"/>
          <w:szCs w:val="22"/>
          <w:lang w:val="en-AU" w:eastAsia="en-AU" w:bidi="ar-SA"/>
        </w:rPr>
        <w:t xml:space="preserve"> </w:t>
      </w:r>
      <w:r w:rsidR="004B14C7" w:rsidRPr="00EF1C6B">
        <w:rPr>
          <w:rFonts w:asciiTheme="minorHAnsi" w:hAnsiTheme="minorHAnsi"/>
          <w:sz w:val="22"/>
          <w:szCs w:val="22"/>
          <w:lang w:val="en-AU" w:eastAsia="en-AU" w:bidi="ar-SA"/>
        </w:rPr>
        <w:t xml:space="preserve">(v) </w:t>
      </w:r>
      <w:r w:rsidR="00DA214D" w:rsidRPr="00EF1C6B">
        <w:rPr>
          <w:rFonts w:asciiTheme="minorHAnsi" w:hAnsiTheme="minorHAnsi"/>
          <w:sz w:val="22"/>
          <w:szCs w:val="22"/>
          <w:lang w:val="en-AU" w:eastAsia="en-AU" w:bidi="ar-SA"/>
        </w:rPr>
        <w:t xml:space="preserve">there is </w:t>
      </w:r>
      <w:r w:rsidR="00DD5AFF" w:rsidRPr="00EF1C6B">
        <w:rPr>
          <w:rFonts w:asciiTheme="minorHAnsi" w:hAnsiTheme="minorHAnsi"/>
          <w:sz w:val="22"/>
          <w:szCs w:val="22"/>
          <w:lang w:val="en-AU" w:eastAsia="en-AU" w:bidi="ar-SA"/>
        </w:rPr>
        <w:t xml:space="preserve">continual improvements in technology and systems resulting in product </w:t>
      </w:r>
      <w:r w:rsidR="00DD5AFF" w:rsidRPr="00EF1C6B">
        <w:rPr>
          <w:rFonts w:asciiTheme="minorHAnsi" w:hAnsiTheme="minorHAnsi"/>
          <w:sz w:val="22"/>
          <w:szCs w:val="22"/>
          <w:lang w:val="en-AU" w:eastAsia="en-AU" w:bidi="ar-SA"/>
        </w:rPr>
        <w:lastRenderedPageBreak/>
        <w:t xml:space="preserve">enhancements and cost reductions and offerings and </w:t>
      </w:r>
      <w:r w:rsidR="004B14C7" w:rsidRPr="00EF1C6B">
        <w:rPr>
          <w:rFonts w:asciiTheme="minorHAnsi" w:hAnsiTheme="minorHAnsi"/>
          <w:sz w:val="22"/>
          <w:szCs w:val="22"/>
          <w:lang w:val="en-AU" w:eastAsia="en-AU" w:bidi="ar-SA"/>
        </w:rPr>
        <w:t xml:space="preserve">(vi) </w:t>
      </w:r>
      <w:r w:rsidR="00DD5AFF" w:rsidRPr="00EF1C6B">
        <w:rPr>
          <w:rFonts w:asciiTheme="minorHAnsi" w:hAnsiTheme="minorHAnsi"/>
          <w:sz w:val="22"/>
          <w:szCs w:val="22"/>
          <w:lang w:val="en-AU" w:eastAsia="en-AU" w:bidi="ar-SA"/>
        </w:rPr>
        <w:t>funds have an incentive to keep members better informed and educated allowing members to make more informed choices.</w:t>
      </w:r>
    </w:p>
    <w:p w:rsidR="005258F3" w:rsidRDefault="005258F3" w:rsidP="00DF5DC0">
      <w:pPr>
        <w:pStyle w:val="BodyText"/>
        <w:rPr>
          <w:rFonts w:asciiTheme="minorHAnsi" w:hAnsiTheme="minorHAnsi"/>
          <w:sz w:val="22"/>
          <w:szCs w:val="22"/>
          <w:lang w:val="en-AU" w:eastAsia="en-AU" w:bidi="ar-SA"/>
        </w:rPr>
      </w:pPr>
      <w:r>
        <w:rPr>
          <w:rFonts w:asciiTheme="minorHAnsi" w:hAnsiTheme="minorHAnsi"/>
          <w:sz w:val="22"/>
          <w:szCs w:val="22"/>
          <w:lang w:val="en-AU" w:eastAsia="en-AU" w:bidi="ar-SA"/>
        </w:rPr>
        <w:t>However, studies show that the Australia’s financial system is an imperfect market with a number of peculiarities</w:t>
      </w:r>
      <w:r w:rsidR="001D26FC">
        <w:rPr>
          <w:rFonts w:asciiTheme="minorHAnsi" w:hAnsiTheme="minorHAnsi"/>
          <w:sz w:val="22"/>
          <w:szCs w:val="22"/>
          <w:lang w:val="en-AU" w:eastAsia="en-AU" w:bidi="ar-SA"/>
        </w:rPr>
        <w:t xml:space="preserve"> (Qu, 2014)</w:t>
      </w:r>
      <w:r>
        <w:rPr>
          <w:rFonts w:asciiTheme="minorHAnsi" w:hAnsiTheme="minorHAnsi"/>
          <w:sz w:val="22"/>
          <w:szCs w:val="22"/>
          <w:lang w:val="en-AU" w:eastAsia="en-AU" w:bidi="ar-SA"/>
        </w:rPr>
        <w:t>:</w:t>
      </w:r>
    </w:p>
    <w:p w:rsidR="001D26FC" w:rsidRDefault="005258F3" w:rsidP="001D26FC">
      <w:pPr>
        <w:pStyle w:val="ListParagraph"/>
        <w:numPr>
          <w:ilvl w:val="0"/>
          <w:numId w:val="7"/>
        </w:numPr>
        <w:suppressAutoHyphens w:val="0"/>
        <w:autoSpaceDE w:val="0"/>
        <w:autoSpaceDN w:val="0"/>
        <w:adjustRightInd w:val="0"/>
        <w:rPr>
          <w:rFonts w:asciiTheme="minorHAnsi" w:eastAsiaTheme="minorHAnsi" w:hAnsiTheme="minorHAnsi" w:cs="CMR12"/>
          <w:sz w:val="22"/>
          <w:szCs w:val="22"/>
          <w:lang w:val="en-AU" w:bidi="ar-SA"/>
        </w:rPr>
      </w:pPr>
      <w:r w:rsidRPr="001D26FC">
        <w:rPr>
          <w:rFonts w:asciiTheme="minorHAnsi" w:eastAsiaTheme="minorHAnsi" w:hAnsiTheme="minorHAnsi" w:cs="CMR12"/>
          <w:sz w:val="22"/>
          <w:szCs w:val="22"/>
          <w:lang w:val="en-AU" w:bidi="ar-SA"/>
        </w:rPr>
        <w:t>Market Power is negatively related to the technical e</w:t>
      </w:r>
      <w:r w:rsidR="001D26FC">
        <w:rPr>
          <w:rFonts w:asciiTheme="minorHAnsi" w:eastAsiaTheme="minorHAnsi" w:hAnsiTheme="minorHAnsi" w:cs="CMR12"/>
          <w:sz w:val="22"/>
          <w:szCs w:val="22"/>
          <w:lang w:val="en-AU" w:bidi="ar-SA"/>
        </w:rPr>
        <w:t>ffi</w:t>
      </w:r>
      <w:r w:rsidRPr="001D26FC">
        <w:rPr>
          <w:rFonts w:asciiTheme="minorHAnsi" w:eastAsiaTheme="minorHAnsi" w:hAnsiTheme="minorHAnsi" w:cs="CMR12"/>
          <w:sz w:val="22"/>
          <w:szCs w:val="22"/>
          <w:lang w:val="en-AU" w:bidi="ar-SA"/>
        </w:rPr>
        <w:t>ciency of super funds.</w:t>
      </w:r>
    </w:p>
    <w:p w:rsidR="005258F3" w:rsidRPr="001D26FC" w:rsidRDefault="005258F3" w:rsidP="001D26FC">
      <w:pPr>
        <w:pStyle w:val="ListParagraph"/>
        <w:numPr>
          <w:ilvl w:val="0"/>
          <w:numId w:val="7"/>
        </w:numPr>
        <w:suppressAutoHyphens w:val="0"/>
        <w:autoSpaceDE w:val="0"/>
        <w:autoSpaceDN w:val="0"/>
        <w:adjustRightInd w:val="0"/>
        <w:rPr>
          <w:rFonts w:asciiTheme="minorHAnsi" w:eastAsiaTheme="minorHAnsi" w:hAnsiTheme="minorHAnsi" w:cs="CMR12"/>
          <w:sz w:val="22"/>
          <w:szCs w:val="22"/>
          <w:lang w:val="en-AU" w:bidi="ar-SA"/>
        </w:rPr>
      </w:pPr>
      <w:r w:rsidRPr="001D26FC">
        <w:rPr>
          <w:rFonts w:asciiTheme="minorHAnsi" w:eastAsiaTheme="minorHAnsi" w:hAnsiTheme="minorHAnsi" w:cs="CMR12"/>
          <w:sz w:val="22"/>
          <w:szCs w:val="22"/>
          <w:lang w:val="en-AU" w:bidi="ar-SA"/>
        </w:rPr>
        <w:t>The number of investment options decreases technical e</w:t>
      </w:r>
      <w:r w:rsidR="001D26FC">
        <w:rPr>
          <w:rFonts w:asciiTheme="minorHAnsi" w:eastAsiaTheme="minorHAnsi" w:hAnsiTheme="minorHAnsi" w:cs="CMR12"/>
          <w:sz w:val="22"/>
          <w:szCs w:val="22"/>
          <w:lang w:val="en-AU" w:bidi="ar-SA"/>
        </w:rPr>
        <w:t>ffi</w:t>
      </w:r>
      <w:r w:rsidRPr="001D26FC">
        <w:rPr>
          <w:rFonts w:asciiTheme="minorHAnsi" w:eastAsiaTheme="minorHAnsi" w:hAnsiTheme="minorHAnsi" w:cs="CMR12"/>
          <w:sz w:val="22"/>
          <w:szCs w:val="22"/>
          <w:lang w:val="en-AU" w:bidi="ar-SA"/>
        </w:rPr>
        <w:t>ciency of super funds.</w:t>
      </w:r>
    </w:p>
    <w:p w:rsidR="005258F3" w:rsidRPr="001D26FC" w:rsidRDefault="005258F3" w:rsidP="001D26FC">
      <w:pPr>
        <w:pStyle w:val="ListParagraph"/>
        <w:numPr>
          <w:ilvl w:val="0"/>
          <w:numId w:val="7"/>
        </w:numPr>
        <w:suppressAutoHyphens w:val="0"/>
        <w:autoSpaceDE w:val="0"/>
        <w:autoSpaceDN w:val="0"/>
        <w:adjustRightInd w:val="0"/>
        <w:rPr>
          <w:rFonts w:asciiTheme="minorHAnsi" w:eastAsiaTheme="minorHAnsi" w:hAnsiTheme="minorHAnsi" w:cs="CMR12"/>
          <w:sz w:val="22"/>
          <w:szCs w:val="22"/>
          <w:lang w:val="en-AU" w:bidi="ar-SA"/>
        </w:rPr>
      </w:pPr>
      <w:r w:rsidRPr="001D26FC">
        <w:rPr>
          <w:rFonts w:asciiTheme="minorHAnsi" w:eastAsiaTheme="minorHAnsi" w:hAnsiTheme="minorHAnsi" w:cs="CMR12"/>
          <w:sz w:val="22"/>
          <w:szCs w:val="22"/>
          <w:lang w:val="en-AU" w:bidi="ar-SA"/>
        </w:rPr>
        <w:t>Super funds that o</w:t>
      </w:r>
      <w:r w:rsidR="001D26FC" w:rsidRPr="001D26FC">
        <w:rPr>
          <w:rFonts w:asciiTheme="minorHAnsi" w:eastAsiaTheme="minorHAnsi" w:hAnsiTheme="minorHAnsi" w:cs="CMR12"/>
          <w:sz w:val="22"/>
          <w:szCs w:val="22"/>
          <w:lang w:val="en-AU" w:bidi="ar-SA"/>
        </w:rPr>
        <w:t>ffer</w:t>
      </w:r>
      <w:r w:rsidRPr="001D26FC">
        <w:rPr>
          <w:rFonts w:asciiTheme="minorHAnsi" w:eastAsiaTheme="minorHAnsi" w:hAnsiTheme="minorHAnsi" w:cs="CMR12"/>
          <w:sz w:val="22"/>
          <w:szCs w:val="22"/>
          <w:lang w:val="en-AU" w:bidi="ar-SA"/>
        </w:rPr>
        <w:t xml:space="preserve"> their membership to the general public are less e</w:t>
      </w:r>
      <w:r w:rsidR="001D26FC" w:rsidRPr="001D26FC">
        <w:rPr>
          <w:rFonts w:asciiTheme="minorHAnsi" w:eastAsiaTheme="minorHAnsi" w:hAnsiTheme="minorHAnsi" w:cs="CMR12"/>
          <w:sz w:val="22"/>
          <w:szCs w:val="22"/>
          <w:lang w:val="en-AU" w:bidi="ar-SA"/>
        </w:rPr>
        <w:t>ffic</w:t>
      </w:r>
      <w:r w:rsidRPr="001D26FC">
        <w:rPr>
          <w:rFonts w:asciiTheme="minorHAnsi" w:eastAsiaTheme="minorHAnsi" w:hAnsiTheme="minorHAnsi" w:cs="CMR12"/>
          <w:sz w:val="22"/>
          <w:szCs w:val="22"/>
          <w:lang w:val="en-AU" w:bidi="ar-SA"/>
        </w:rPr>
        <w:t>ient</w:t>
      </w:r>
    </w:p>
    <w:p w:rsidR="001D26FC" w:rsidRPr="001B5537" w:rsidRDefault="005258F3" w:rsidP="001B5537">
      <w:pPr>
        <w:suppressAutoHyphens w:val="0"/>
        <w:autoSpaceDE w:val="0"/>
        <w:autoSpaceDN w:val="0"/>
        <w:adjustRightInd w:val="0"/>
        <w:ind w:firstLine="720"/>
        <w:rPr>
          <w:rFonts w:asciiTheme="minorHAnsi" w:eastAsiaTheme="minorHAnsi" w:hAnsiTheme="minorHAnsi" w:cs="CMR12"/>
          <w:sz w:val="22"/>
          <w:szCs w:val="22"/>
          <w:lang w:val="en-AU" w:bidi="ar-SA"/>
        </w:rPr>
      </w:pPr>
      <w:proofErr w:type="gramStart"/>
      <w:r w:rsidRPr="001B5537">
        <w:rPr>
          <w:rFonts w:asciiTheme="minorHAnsi" w:eastAsiaTheme="minorHAnsi" w:hAnsiTheme="minorHAnsi" w:cs="CMR12"/>
          <w:sz w:val="22"/>
          <w:szCs w:val="22"/>
          <w:lang w:val="en-AU" w:bidi="ar-SA"/>
        </w:rPr>
        <w:t>than</w:t>
      </w:r>
      <w:proofErr w:type="gramEnd"/>
      <w:r w:rsidRPr="001B5537">
        <w:rPr>
          <w:rFonts w:asciiTheme="minorHAnsi" w:eastAsiaTheme="minorHAnsi" w:hAnsiTheme="minorHAnsi" w:cs="CMR12"/>
          <w:sz w:val="22"/>
          <w:szCs w:val="22"/>
          <w:lang w:val="en-AU" w:bidi="ar-SA"/>
        </w:rPr>
        <w:t xml:space="preserve"> closed funds. </w:t>
      </w:r>
    </w:p>
    <w:p w:rsidR="001D26FC" w:rsidRDefault="001D26FC" w:rsidP="001D26FC">
      <w:pPr>
        <w:suppressAutoHyphens w:val="0"/>
        <w:autoSpaceDE w:val="0"/>
        <w:autoSpaceDN w:val="0"/>
        <w:adjustRightInd w:val="0"/>
        <w:rPr>
          <w:rFonts w:asciiTheme="minorHAnsi" w:eastAsiaTheme="minorHAnsi" w:hAnsiTheme="minorHAnsi" w:cs="CMR12"/>
          <w:sz w:val="22"/>
          <w:szCs w:val="22"/>
          <w:lang w:val="en-AU" w:bidi="ar-SA"/>
        </w:rPr>
      </w:pPr>
    </w:p>
    <w:p w:rsidR="005258F3" w:rsidRPr="001D26FC" w:rsidRDefault="001D26FC" w:rsidP="001D26FC">
      <w:pPr>
        <w:suppressAutoHyphens w:val="0"/>
        <w:autoSpaceDE w:val="0"/>
        <w:autoSpaceDN w:val="0"/>
        <w:adjustRightInd w:val="0"/>
        <w:rPr>
          <w:rFonts w:asciiTheme="minorHAnsi" w:eastAsiaTheme="minorHAnsi" w:hAnsiTheme="minorHAnsi" w:cs="CMR12"/>
          <w:sz w:val="22"/>
          <w:szCs w:val="22"/>
          <w:lang w:val="en-AU" w:bidi="ar-SA"/>
        </w:rPr>
      </w:pPr>
      <w:r>
        <w:rPr>
          <w:rFonts w:asciiTheme="minorHAnsi" w:eastAsiaTheme="minorHAnsi" w:hAnsiTheme="minorHAnsi" w:cs="CMR12"/>
          <w:sz w:val="22"/>
          <w:szCs w:val="22"/>
          <w:lang w:val="en-AU" w:bidi="ar-SA"/>
        </w:rPr>
        <w:t xml:space="preserve">These latter two findings have important </w:t>
      </w:r>
      <w:r w:rsidR="005258F3" w:rsidRPr="001D26FC">
        <w:rPr>
          <w:rFonts w:asciiTheme="minorHAnsi" w:eastAsiaTheme="minorHAnsi" w:hAnsiTheme="minorHAnsi" w:cs="CMR12"/>
          <w:sz w:val="22"/>
          <w:szCs w:val="22"/>
          <w:lang w:val="en-AU" w:bidi="ar-SA"/>
        </w:rPr>
        <w:t xml:space="preserve">policy implications, as </w:t>
      </w:r>
      <w:r>
        <w:rPr>
          <w:rFonts w:asciiTheme="minorHAnsi" w:eastAsiaTheme="minorHAnsi" w:hAnsiTheme="minorHAnsi" w:cs="CMR12"/>
          <w:sz w:val="22"/>
          <w:szCs w:val="22"/>
          <w:lang w:val="en-AU" w:bidi="ar-SA"/>
        </w:rPr>
        <w:t>they seem</w:t>
      </w:r>
      <w:r w:rsidR="005258F3" w:rsidRPr="001D26FC">
        <w:rPr>
          <w:rFonts w:asciiTheme="minorHAnsi" w:eastAsiaTheme="minorHAnsi" w:hAnsiTheme="minorHAnsi" w:cs="CMR12"/>
          <w:sz w:val="22"/>
          <w:szCs w:val="22"/>
          <w:lang w:val="en-AU" w:bidi="ar-SA"/>
        </w:rPr>
        <w:t xml:space="preserve"> to </w:t>
      </w:r>
      <w:r>
        <w:rPr>
          <w:rFonts w:asciiTheme="minorHAnsi" w:eastAsiaTheme="minorHAnsi" w:hAnsiTheme="minorHAnsi" w:cs="CMR12"/>
          <w:sz w:val="22"/>
          <w:szCs w:val="22"/>
          <w:lang w:val="en-AU" w:bidi="ar-SA"/>
        </w:rPr>
        <w:t xml:space="preserve">argue against </w:t>
      </w:r>
      <w:r w:rsidR="00272CBE">
        <w:rPr>
          <w:rFonts w:asciiTheme="minorHAnsi" w:eastAsiaTheme="minorHAnsi" w:hAnsiTheme="minorHAnsi" w:cs="CMR12"/>
          <w:sz w:val="22"/>
          <w:szCs w:val="22"/>
          <w:lang w:val="en-AU" w:bidi="ar-SA"/>
        </w:rPr>
        <w:t xml:space="preserve">recent regulatory moves to </w:t>
      </w:r>
      <w:r>
        <w:rPr>
          <w:rFonts w:asciiTheme="minorHAnsi" w:eastAsiaTheme="minorHAnsi" w:hAnsiTheme="minorHAnsi" w:cs="CMR12"/>
          <w:sz w:val="22"/>
          <w:szCs w:val="22"/>
          <w:lang w:val="en-AU" w:bidi="ar-SA"/>
        </w:rPr>
        <w:t xml:space="preserve">open up of the market to </w:t>
      </w:r>
      <w:r w:rsidR="005258F3" w:rsidRPr="001D26FC">
        <w:rPr>
          <w:rFonts w:asciiTheme="minorHAnsi" w:eastAsiaTheme="minorHAnsi" w:hAnsiTheme="minorHAnsi" w:cs="CMR12"/>
          <w:sz w:val="22"/>
          <w:szCs w:val="22"/>
          <w:lang w:val="en-AU" w:bidi="ar-SA"/>
        </w:rPr>
        <w:t xml:space="preserve">greater consumer choice in the selection </w:t>
      </w:r>
      <w:r>
        <w:rPr>
          <w:rFonts w:asciiTheme="minorHAnsi" w:eastAsiaTheme="minorHAnsi" w:hAnsiTheme="minorHAnsi" w:cs="CMR12"/>
          <w:sz w:val="22"/>
          <w:szCs w:val="22"/>
          <w:lang w:val="en-AU" w:bidi="ar-SA"/>
        </w:rPr>
        <w:t xml:space="preserve">of </w:t>
      </w:r>
      <w:r w:rsidR="005258F3" w:rsidRPr="001D26FC">
        <w:rPr>
          <w:rFonts w:asciiTheme="minorHAnsi" w:eastAsiaTheme="minorHAnsi" w:hAnsiTheme="minorHAnsi" w:cs="CMR12"/>
          <w:sz w:val="22"/>
          <w:szCs w:val="22"/>
          <w:lang w:val="en-AU" w:bidi="ar-SA"/>
        </w:rPr>
        <w:t>super funds.</w:t>
      </w:r>
    </w:p>
    <w:p w:rsidR="005258F3" w:rsidRPr="00EF1C6B" w:rsidRDefault="005258F3" w:rsidP="00CF5C76">
      <w:pPr>
        <w:suppressAutoHyphens w:val="0"/>
        <w:autoSpaceDE w:val="0"/>
        <w:autoSpaceDN w:val="0"/>
        <w:adjustRightInd w:val="0"/>
        <w:rPr>
          <w:rFonts w:asciiTheme="minorHAnsi" w:eastAsiaTheme="minorHAnsi" w:hAnsiTheme="minorHAnsi" w:cs="CMR12"/>
          <w:sz w:val="22"/>
          <w:szCs w:val="22"/>
          <w:lang w:val="en-AU" w:bidi="ar-SA"/>
        </w:rPr>
      </w:pPr>
    </w:p>
    <w:p w:rsidR="001B5537" w:rsidRPr="00EF1C6B" w:rsidRDefault="001B5537" w:rsidP="001B5537">
      <w:pPr>
        <w:suppressAutoHyphens w:val="0"/>
        <w:autoSpaceDE w:val="0"/>
        <w:autoSpaceDN w:val="0"/>
        <w:adjustRightInd w:val="0"/>
        <w:rPr>
          <w:rFonts w:asciiTheme="minorHAnsi" w:hAnsiTheme="minorHAnsi"/>
          <w:sz w:val="22"/>
          <w:szCs w:val="22"/>
          <w:lang w:val="en-AU" w:eastAsia="en-AU" w:bidi="ar-SA"/>
        </w:rPr>
      </w:pPr>
      <w:r>
        <w:rPr>
          <w:rFonts w:asciiTheme="minorHAnsi" w:hAnsiTheme="minorHAnsi"/>
          <w:sz w:val="22"/>
          <w:szCs w:val="22"/>
          <w:lang w:val="en-AU" w:eastAsia="en-AU" w:bidi="ar-SA"/>
        </w:rPr>
        <w:t xml:space="preserve">Various reports have highlighted that fees and charges have not fallen </w:t>
      </w:r>
      <w:r w:rsidR="00DD5AFF" w:rsidRPr="00EF1C6B">
        <w:rPr>
          <w:rFonts w:asciiTheme="minorHAnsi" w:hAnsiTheme="minorHAnsi"/>
          <w:sz w:val="22"/>
          <w:szCs w:val="22"/>
          <w:lang w:val="en-AU" w:eastAsia="en-AU" w:bidi="ar-SA"/>
        </w:rPr>
        <w:t>by as much as would be expected given the growth and scale of the superannuation system</w:t>
      </w:r>
      <w:r w:rsidR="00A0703F" w:rsidRPr="00EF1C6B">
        <w:rPr>
          <w:rFonts w:asciiTheme="minorHAnsi" w:hAnsiTheme="minorHAnsi"/>
          <w:sz w:val="22"/>
          <w:szCs w:val="22"/>
          <w:lang w:val="en-AU" w:eastAsia="en-AU" w:bidi="ar-SA"/>
        </w:rPr>
        <w:t>, the spate of recent consolidation</w:t>
      </w:r>
      <w:r w:rsidR="00DD5AFF" w:rsidRPr="00EF1C6B">
        <w:rPr>
          <w:rFonts w:asciiTheme="minorHAnsi" w:hAnsiTheme="minorHAnsi"/>
          <w:sz w:val="22"/>
          <w:szCs w:val="22"/>
          <w:lang w:val="en-AU" w:eastAsia="en-AU" w:bidi="ar-SA"/>
        </w:rPr>
        <w:t xml:space="preserve"> and the </w:t>
      </w:r>
      <w:r w:rsidR="004B0C11" w:rsidRPr="00EF1C6B">
        <w:rPr>
          <w:rFonts w:asciiTheme="minorHAnsi" w:hAnsiTheme="minorHAnsi"/>
          <w:sz w:val="22"/>
          <w:szCs w:val="22"/>
          <w:lang w:val="en-AU" w:eastAsia="en-AU" w:bidi="ar-SA"/>
        </w:rPr>
        <w:t xml:space="preserve">recent </w:t>
      </w:r>
      <w:r w:rsidR="00DD5AFF" w:rsidRPr="00EF1C6B">
        <w:rPr>
          <w:rFonts w:asciiTheme="minorHAnsi" w:hAnsiTheme="minorHAnsi"/>
          <w:sz w:val="22"/>
          <w:szCs w:val="22"/>
          <w:lang w:val="en-AU" w:eastAsia="en-AU" w:bidi="ar-SA"/>
        </w:rPr>
        <w:t xml:space="preserve">introduction of the </w:t>
      </w:r>
      <w:proofErr w:type="spellStart"/>
      <w:r w:rsidR="00DD5AFF" w:rsidRPr="00EF1C6B">
        <w:rPr>
          <w:rFonts w:asciiTheme="minorHAnsi" w:hAnsiTheme="minorHAnsi"/>
          <w:sz w:val="22"/>
          <w:szCs w:val="22"/>
          <w:lang w:val="en-AU" w:eastAsia="en-AU" w:bidi="ar-SA"/>
        </w:rPr>
        <w:t>MySuper</w:t>
      </w:r>
      <w:proofErr w:type="spellEnd"/>
      <w:r w:rsidR="00DD5AFF" w:rsidRPr="00EF1C6B">
        <w:rPr>
          <w:rFonts w:asciiTheme="minorHAnsi" w:hAnsiTheme="minorHAnsi"/>
          <w:sz w:val="22"/>
          <w:szCs w:val="22"/>
          <w:lang w:val="en-AU" w:eastAsia="en-AU" w:bidi="ar-SA"/>
        </w:rPr>
        <w:t xml:space="preserve"> </w:t>
      </w:r>
      <w:r w:rsidR="00A0703F" w:rsidRPr="00EF1C6B">
        <w:rPr>
          <w:rFonts w:asciiTheme="minorHAnsi" w:hAnsiTheme="minorHAnsi"/>
          <w:sz w:val="22"/>
          <w:szCs w:val="22"/>
          <w:lang w:val="en-AU" w:eastAsia="en-AU" w:bidi="ar-SA"/>
        </w:rPr>
        <w:t xml:space="preserve">and </w:t>
      </w:r>
      <w:proofErr w:type="spellStart"/>
      <w:r w:rsidR="00A0703F" w:rsidRPr="00EF1C6B">
        <w:rPr>
          <w:rFonts w:asciiTheme="minorHAnsi" w:hAnsiTheme="minorHAnsi"/>
          <w:sz w:val="22"/>
          <w:szCs w:val="22"/>
          <w:lang w:val="en-AU" w:eastAsia="en-AU" w:bidi="ar-SA"/>
        </w:rPr>
        <w:t>SuperStream</w:t>
      </w:r>
      <w:proofErr w:type="spellEnd"/>
      <w:r w:rsidR="00A0703F" w:rsidRPr="00EF1C6B">
        <w:rPr>
          <w:rFonts w:asciiTheme="minorHAnsi" w:hAnsiTheme="minorHAnsi"/>
          <w:sz w:val="22"/>
          <w:szCs w:val="22"/>
          <w:lang w:val="en-AU" w:eastAsia="en-AU" w:bidi="ar-SA"/>
        </w:rPr>
        <w:t xml:space="preserve"> reforms</w:t>
      </w:r>
      <w:r>
        <w:rPr>
          <w:rFonts w:asciiTheme="minorHAnsi" w:hAnsiTheme="minorHAnsi"/>
          <w:sz w:val="22"/>
          <w:szCs w:val="22"/>
          <w:lang w:val="en-AU" w:eastAsia="en-AU" w:bidi="ar-SA"/>
        </w:rPr>
        <w:t>,</w:t>
      </w:r>
      <w:r w:rsidR="00A0703F" w:rsidRPr="00EF1C6B">
        <w:rPr>
          <w:rFonts w:asciiTheme="minorHAnsi" w:hAnsiTheme="minorHAnsi"/>
          <w:sz w:val="22"/>
          <w:szCs w:val="22"/>
          <w:lang w:val="en-AU" w:eastAsia="en-AU" w:bidi="ar-SA"/>
        </w:rPr>
        <w:t xml:space="preserve"> </w:t>
      </w:r>
      <w:r w:rsidR="00A3083C" w:rsidRPr="00EF1C6B">
        <w:rPr>
          <w:rFonts w:asciiTheme="minorHAnsi" w:hAnsiTheme="minorHAnsi"/>
          <w:sz w:val="22"/>
          <w:szCs w:val="22"/>
          <w:lang w:val="en-AU" w:eastAsia="en-AU" w:bidi="ar-SA"/>
        </w:rPr>
        <w:t xml:space="preserve">and </w:t>
      </w:r>
      <w:r w:rsidR="00272CBE">
        <w:rPr>
          <w:rFonts w:asciiTheme="minorHAnsi" w:hAnsiTheme="minorHAnsi"/>
          <w:sz w:val="22"/>
          <w:szCs w:val="22"/>
          <w:lang w:val="en-AU" w:eastAsia="en-AU" w:bidi="ar-SA"/>
        </w:rPr>
        <w:t xml:space="preserve">this has been </w:t>
      </w:r>
      <w:r w:rsidR="00A0703F" w:rsidRPr="00EF1C6B">
        <w:rPr>
          <w:rFonts w:asciiTheme="minorHAnsi" w:hAnsiTheme="minorHAnsi"/>
          <w:sz w:val="22"/>
          <w:szCs w:val="22"/>
          <w:lang w:val="en-AU" w:eastAsia="en-AU" w:bidi="ar-SA"/>
        </w:rPr>
        <w:t xml:space="preserve">raised </w:t>
      </w:r>
      <w:r w:rsidR="00DD5AFF" w:rsidRPr="00EF1C6B">
        <w:rPr>
          <w:rFonts w:asciiTheme="minorHAnsi" w:hAnsiTheme="minorHAnsi"/>
          <w:sz w:val="22"/>
          <w:szCs w:val="22"/>
          <w:lang w:val="en-AU" w:eastAsia="en-AU" w:bidi="ar-SA"/>
        </w:rPr>
        <w:t xml:space="preserve">as evidence </w:t>
      </w:r>
      <w:r w:rsidR="008F3928" w:rsidRPr="00EF1C6B">
        <w:rPr>
          <w:rFonts w:asciiTheme="minorHAnsi" w:hAnsiTheme="minorHAnsi"/>
          <w:sz w:val="22"/>
          <w:szCs w:val="22"/>
          <w:lang w:val="en-AU" w:eastAsia="en-AU" w:bidi="ar-SA"/>
        </w:rPr>
        <w:t xml:space="preserve">that competition is not providing the expected </w:t>
      </w:r>
      <w:r w:rsidR="00DD5AFF" w:rsidRPr="00EF1C6B">
        <w:rPr>
          <w:rFonts w:asciiTheme="minorHAnsi" w:hAnsiTheme="minorHAnsi"/>
          <w:sz w:val="22"/>
          <w:szCs w:val="22"/>
          <w:lang w:val="en-AU" w:eastAsia="en-AU" w:bidi="ar-SA"/>
        </w:rPr>
        <w:t>efficien</w:t>
      </w:r>
      <w:r w:rsidR="00AB2D6F" w:rsidRPr="00EF1C6B">
        <w:rPr>
          <w:rFonts w:asciiTheme="minorHAnsi" w:hAnsiTheme="minorHAnsi"/>
          <w:sz w:val="22"/>
          <w:szCs w:val="22"/>
          <w:lang w:val="en-AU" w:eastAsia="en-AU" w:bidi="ar-SA"/>
        </w:rPr>
        <w:t>cies</w:t>
      </w:r>
      <w:r w:rsidR="00DD5AFF" w:rsidRPr="00EF1C6B">
        <w:rPr>
          <w:rFonts w:asciiTheme="minorHAnsi" w:hAnsiTheme="minorHAnsi"/>
          <w:sz w:val="22"/>
          <w:szCs w:val="22"/>
          <w:lang w:val="en-AU" w:eastAsia="en-AU" w:bidi="ar-SA"/>
        </w:rPr>
        <w:t xml:space="preserve"> </w:t>
      </w:r>
      <w:r w:rsidR="00AB2D6F" w:rsidRPr="00EF1C6B">
        <w:rPr>
          <w:rFonts w:asciiTheme="minorHAnsi" w:hAnsiTheme="minorHAnsi"/>
          <w:sz w:val="22"/>
          <w:szCs w:val="22"/>
          <w:lang w:val="en-AU" w:eastAsia="en-AU" w:bidi="ar-SA"/>
        </w:rPr>
        <w:t xml:space="preserve">in the system. </w:t>
      </w:r>
      <w:r>
        <w:rPr>
          <w:rFonts w:asciiTheme="minorHAnsi" w:hAnsiTheme="minorHAnsi"/>
          <w:sz w:val="22"/>
          <w:szCs w:val="22"/>
          <w:lang w:val="en-AU" w:eastAsia="en-AU" w:bidi="ar-SA"/>
        </w:rPr>
        <w:t xml:space="preserve"> </w:t>
      </w:r>
      <w:r>
        <w:rPr>
          <w:rFonts w:asciiTheme="minorHAnsi" w:eastAsiaTheme="minorHAnsi" w:hAnsiTheme="minorHAnsi" w:cs="CMTI12"/>
          <w:sz w:val="22"/>
          <w:szCs w:val="22"/>
          <w:lang w:val="en-AU" w:bidi="ar-SA"/>
        </w:rPr>
        <w:t xml:space="preserve">The </w:t>
      </w:r>
      <w:r w:rsidRPr="00EF1C6B">
        <w:rPr>
          <w:rFonts w:asciiTheme="minorHAnsi" w:eastAsiaTheme="minorHAnsi" w:hAnsiTheme="minorHAnsi" w:cs="CMTI12"/>
          <w:sz w:val="22"/>
          <w:szCs w:val="22"/>
          <w:lang w:val="en-AU" w:bidi="ar-SA"/>
        </w:rPr>
        <w:t>Cooper Review</w:t>
      </w:r>
      <w:r w:rsidRPr="00EF1C6B">
        <w:rPr>
          <w:rFonts w:asciiTheme="minorHAnsi" w:eastAsiaTheme="minorHAnsi" w:hAnsiTheme="minorHAnsi" w:cs="CMR12"/>
          <w:sz w:val="22"/>
          <w:szCs w:val="22"/>
          <w:lang w:val="en-AU" w:bidi="ar-SA"/>
        </w:rPr>
        <w:t xml:space="preserve"> suggested </w:t>
      </w:r>
      <w:r>
        <w:rPr>
          <w:rFonts w:asciiTheme="minorHAnsi" w:eastAsiaTheme="minorHAnsi" w:hAnsiTheme="minorHAnsi" w:cs="CMR12"/>
          <w:sz w:val="22"/>
          <w:szCs w:val="22"/>
          <w:lang w:val="en-AU" w:bidi="ar-SA"/>
        </w:rPr>
        <w:t xml:space="preserve">that </w:t>
      </w:r>
      <w:r w:rsidRPr="00EF1C6B">
        <w:rPr>
          <w:rFonts w:asciiTheme="minorHAnsi" w:eastAsiaTheme="minorHAnsi" w:hAnsiTheme="minorHAnsi" w:cs="CMR12"/>
          <w:sz w:val="22"/>
          <w:szCs w:val="22"/>
          <w:lang w:val="en-AU" w:bidi="ar-SA"/>
        </w:rPr>
        <w:t xml:space="preserve">cost transparency </w:t>
      </w:r>
      <w:r>
        <w:rPr>
          <w:rFonts w:asciiTheme="minorHAnsi" w:eastAsiaTheme="minorHAnsi" w:hAnsiTheme="minorHAnsi" w:cs="CMR12"/>
          <w:sz w:val="22"/>
          <w:szCs w:val="22"/>
          <w:lang w:val="en-AU" w:bidi="ar-SA"/>
        </w:rPr>
        <w:t xml:space="preserve">is a major factor </w:t>
      </w:r>
      <w:r w:rsidRPr="00EF1C6B">
        <w:rPr>
          <w:rFonts w:asciiTheme="minorHAnsi" w:eastAsiaTheme="minorHAnsi" w:hAnsiTheme="minorHAnsi" w:cs="CMR12"/>
          <w:sz w:val="22"/>
          <w:szCs w:val="22"/>
          <w:lang w:val="en-AU" w:bidi="ar-SA"/>
        </w:rPr>
        <w:t>likely to hinder pricing</w:t>
      </w:r>
      <w:r>
        <w:rPr>
          <w:rFonts w:asciiTheme="minorHAnsi" w:eastAsiaTheme="minorHAnsi" w:hAnsiTheme="minorHAnsi" w:cs="CMR12"/>
          <w:sz w:val="22"/>
          <w:szCs w:val="22"/>
          <w:lang w:val="en-AU" w:bidi="ar-SA"/>
        </w:rPr>
        <w:t xml:space="preserve"> </w:t>
      </w:r>
      <w:r w:rsidRPr="00EF1C6B">
        <w:rPr>
          <w:rFonts w:asciiTheme="minorHAnsi" w:eastAsiaTheme="minorHAnsi" w:hAnsiTheme="minorHAnsi" w:cs="CMR12"/>
          <w:sz w:val="22"/>
          <w:szCs w:val="22"/>
          <w:lang w:val="en-AU" w:bidi="ar-SA"/>
        </w:rPr>
        <w:t xml:space="preserve">competition among competitors, </w:t>
      </w:r>
      <w:r>
        <w:rPr>
          <w:rFonts w:asciiTheme="minorHAnsi" w:eastAsiaTheme="minorHAnsi" w:hAnsiTheme="minorHAnsi" w:cs="CMR12"/>
          <w:sz w:val="22"/>
          <w:szCs w:val="22"/>
          <w:lang w:val="en-AU" w:bidi="ar-SA"/>
        </w:rPr>
        <w:t xml:space="preserve">thereby providing </w:t>
      </w:r>
      <w:r w:rsidRPr="00EF1C6B">
        <w:rPr>
          <w:rFonts w:asciiTheme="minorHAnsi" w:eastAsiaTheme="minorHAnsi" w:hAnsiTheme="minorHAnsi" w:cs="CMR12"/>
          <w:sz w:val="22"/>
          <w:szCs w:val="22"/>
          <w:lang w:val="en-AU" w:bidi="ar-SA"/>
        </w:rPr>
        <w:t>little incentive for super fund</w:t>
      </w:r>
      <w:r>
        <w:rPr>
          <w:rFonts w:asciiTheme="minorHAnsi" w:eastAsiaTheme="minorHAnsi" w:hAnsiTheme="minorHAnsi" w:cs="CMR12"/>
          <w:sz w:val="22"/>
          <w:szCs w:val="22"/>
          <w:lang w:val="en-AU" w:bidi="ar-SA"/>
        </w:rPr>
        <w:t>s</w:t>
      </w:r>
      <w:r w:rsidRPr="00EF1C6B">
        <w:rPr>
          <w:rFonts w:asciiTheme="minorHAnsi" w:eastAsiaTheme="minorHAnsi" w:hAnsiTheme="minorHAnsi" w:cs="CMR12"/>
          <w:sz w:val="22"/>
          <w:szCs w:val="22"/>
          <w:lang w:val="en-AU" w:bidi="ar-SA"/>
        </w:rPr>
        <w:t xml:space="preserve"> to</w:t>
      </w:r>
      <w:r>
        <w:rPr>
          <w:rFonts w:asciiTheme="minorHAnsi" w:eastAsiaTheme="minorHAnsi" w:hAnsiTheme="minorHAnsi" w:cs="CMR12"/>
          <w:sz w:val="22"/>
          <w:szCs w:val="22"/>
          <w:lang w:val="en-AU" w:bidi="ar-SA"/>
        </w:rPr>
        <w:t xml:space="preserve"> </w:t>
      </w:r>
      <w:r w:rsidRPr="00EF1C6B">
        <w:rPr>
          <w:rFonts w:asciiTheme="minorHAnsi" w:eastAsiaTheme="minorHAnsi" w:hAnsiTheme="minorHAnsi" w:cs="CMR12"/>
          <w:sz w:val="22"/>
          <w:szCs w:val="22"/>
          <w:lang w:val="en-AU" w:bidi="ar-SA"/>
        </w:rPr>
        <w:t>reduce the underlying cost to deliver services.</w:t>
      </w:r>
    </w:p>
    <w:p w:rsidR="001B5537" w:rsidRDefault="001B5537" w:rsidP="001B5537">
      <w:pPr>
        <w:pStyle w:val="BodyText"/>
        <w:spacing w:after="0"/>
        <w:rPr>
          <w:rFonts w:asciiTheme="minorHAnsi" w:hAnsiTheme="minorHAnsi"/>
          <w:sz w:val="22"/>
          <w:szCs w:val="22"/>
          <w:lang w:val="en-AU" w:eastAsia="en-AU" w:bidi="ar-SA"/>
        </w:rPr>
      </w:pPr>
    </w:p>
    <w:p w:rsidR="001B5537" w:rsidRDefault="001B5537" w:rsidP="001B5537">
      <w:pPr>
        <w:pStyle w:val="BodyText"/>
        <w:spacing w:after="0"/>
        <w:rPr>
          <w:rFonts w:asciiTheme="minorHAnsi" w:hAnsiTheme="minorHAnsi"/>
          <w:sz w:val="22"/>
          <w:szCs w:val="22"/>
          <w:lang w:val="en-AU" w:eastAsia="en-AU" w:bidi="ar-SA"/>
        </w:rPr>
      </w:pPr>
      <w:r>
        <w:rPr>
          <w:rFonts w:asciiTheme="minorHAnsi" w:hAnsiTheme="minorHAnsi"/>
          <w:sz w:val="22"/>
          <w:szCs w:val="22"/>
          <w:lang w:val="en-AU" w:eastAsia="en-AU" w:bidi="ar-SA"/>
        </w:rPr>
        <w:t xml:space="preserve"> </w:t>
      </w:r>
      <w:r w:rsidR="00A0703F" w:rsidRPr="00EF1C6B">
        <w:rPr>
          <w:rFonts w:asciiTheme="minorHAnsi" w:hAnsiTheme="minorHAnsi"/>
          <w:sz w:val="22"/>
          <w:szCs w:val="22"/>
          <w:lang w:val="en-AU" w:eastAsia="en-AU" w:bidi="ar-SA"/>
        </w:rPr>
        <w:t xml:space="preserve">However, </w:t>
      </w:r>
      <w:r w:rsidR="008F3928" w:rsidRPr="00EF1C6B">
        <w:rPr>
          <w:rFonts w:asciiTheme="minorHAnsi" w:hAnsiTheme="minorHAnsi"/>
          <w:sz w:val="22"/>
          <w:szCs w:val="22"/>
          <w:lang w:val="en-AU" w:eastAsia="en-AU" w:bidi="ar-SA"/>
        </w:rPr>
        <w:t xml:space="preserve">the extent to which this is evidence of lack of competition </w:t>
      </w:r>
      <w:r>
        <w:rPr>
          <w:rFonts w:asciiTheme="minorHAnsi" w:hAnsiTheme="minorHAnsi"/>
          <w:sz w:val="22"/>
          <w:szCs w:val="22"/>
          <w:lang w:val="en-AU" w:eastAsia="en-AU" w:bidi="ar-SA"/>
        </w:rPr>
        <w:t>rather than system issues such as</w:t>
      </w:r>
      <w:r w:rsidR="00976F04" w:rsidRPr="00EF1C6B">
        <w:rPr>
          <w:rFonts w:asciiTheme="minorHAnsi" w:hAnsiTheme="minorHAnsi"/>
          <w:sz w:val="22"/>
          <w:szCs w:val="22"/>
          <w:lang w:val="en-AU" w:eastAsia="en-AU" w:bidi="ar-SA"/>
        </w:rPr>
        <w:t xml:space="preserve"> </w:t>
      </w:r>
      <w:r w:rsidR="008F3928" w:rsidRPr="00EF1C6B">
        <w:rPr>
          <w:rFonts w:asciiTheme="minorHAnsi" w:hAnsiTheme="minorHAnsi"/>
          <w:sz w:val="22"/>
          <w:szCs w:val="22"/>
          <w:lang w:val="en-AU" w:eastAsia="en-AU" w:bidi="ar-SA"/>
        </w:rPr>
        <w:t xml:space="preserve">market fragmentation, investment allocation, </w:t>
      </w:r>
      <w:r w:rsidR="00976F04" w:rsidRPr="00EF1C6B">
        <w:rPr>
          <w:rFonts w:asciiTheme="minorHAnsi" w:hAnsiTheme="minorHAnsi"/>
          <w:sz w:val="22"/>
          <w:szCs w:val="22"/>
          <w:lang w:val="en-AU" w:eastAsia="en-AU" w:bidi="ar-SA"/>
        </w:rPr>
        <w:t xml:space="preserve">continual </w:t>
      </w:r>
      <w:r w:rsidR="008F3928" w:rsidRPr="00EF1C6B">
        <w:rPr>
          <w:rFonts w:asciiTheme="minorHAnsi" w:hAnsiTheme="minorHAnsi"/>
          <w:sz w:val="22"/>
          <w:szCs w:val="22"/>
          <w:lang w:val="en-AU" w:eastAsia="en-AU" w:bidi="ar-SA"/>
        </w:rPr>
        <w:t xml:space="preserve">policy changes, increased </w:t>
      </w:r>
      <w:r w:rsidR="00976F04" w:rsidRPr="00EF1C6B">
        <w:rPr>
          <w:rFonts w:asciiTheme="minorHAnsi" w:hAnsiTheme="minorHAnsi"/>
          <w:sz w:val="22"/>
          <w:szCs w:val="22"/>
          <w:lang w:val="en-AU" w:eastAsia="en-AU" w:bidi="ar-SA"/>
        </w:rPr>
        <w:t xml:space="preserve">government </w:t>
      </w:r>
      <w:r w:rsidR="008F3928" w:rsidRPr="00EF1C6B">
        <w:rPr>
          <w:rFonts w:asciiTheme="minorHAnsi" w:hAnsiTheme="minorHAnsi"/>
          <w:sz w:val="22"/>
          <w:szCs w:val="22"/>
          <w:lang w:val="en-AU" w:eastAsia="en-AU" w:bidi="ar-SA"/>
        </w:rPr>
        <w:t xml:space="preserve">regulation and the provision of ancillary benefits such as </w:t>
      </w:r>
      <w:proofErr w:type="gramStart"/>
      <w:r w:rsidR="008F3928" w:rsidRPr="00EF1C6B">
        <w:rPr>
          <w:rFonts w:asciiTheme="minorHAnsi" w:hAnsiTheme="minorHAnsi"/>
          <w:sz w:val="22"/>
          <w:szCs w:val="22"/>
          <w:lang w:val="en-AU" w:eastAsia="en-AU" w:bidi="ar-SA"/>
        </w:rPr>
        <w:t>insurance</w:t>
      </w:r>
      <w:r w:rsidR="00976F04" w:rsidRPr="00EF1C6B">
        <w:rPr>
          <w:rFonts w:asciiTheme="minorHAnsi" w:hAnsiTheme="minorHAnsi"/>
          <w:sz w:val="22"/>
          <w:szCs w:val="22"/>
          <w:lang w:val="en-AU" w:eastAsia="en-AU" w:bidi="ar-SA"/>
        </w:rPr>
        <w:t>,</w:t>
      </w:r>
      <w:proofErr w:type="gramEnd"/>
      <w:r w:rsidR="008F3928" w:rsidRPr="00EF1C6B">
        <w:rPr>
          <w:rFonts w:asciiTheme="minorHAnsi" w:hAnsiTheme="minorHAnsi"/>
          <w:sz w:val="22"/>
          <w:szCs w:val="22"/>
          <w:lang w:val="en-AU" w:eastAsia="en-AU" w:bidi="ar-SA"/>
        </w:rPr>
        <w:t xml:space="preserve"> requires greater research.  </w:t>
      </w:r>
    </w:p>
    <w:p w:rsidR="001B5537" w:rsidRDefault="001B5537" w:rsidP="001B5537">
      <w:pPr>
        <w:pStyle w:val="BodyText"/>
        <w:spacing w:after="0"/>
        <w:rPr>
          <w:rFonts w:asciiTheme="minorHAnsi" w:hAnsiTheme="minorHAnsi"/>
          <w:sz w:val="22"/>
          <w:szCs w:val="22"/>
          <w:lang w:val="en-AU" w:eastAsia="en-AU" w:bidi="ar-SA"/>
        </w:rPr>
      </w:pPr>
    </w:p>
    <w:p w:rsidR="009C1186" w:rsidRDefault="001B5537" w:rsidP="001B5537">
      <w:pPr>
        <w:suppressAutoHyphens w:val="0"/>
        <w:autoSpaceDE w:val="0"/>
        <w:autoSpaceDN w:val="0"/>
        <w:adjustRightInd w:val="0"/>
        <w:rPr>
          <w:rFonts w:asciiTheme="minorHAnsi" w:hAnsiTheme="minorHAnsi"/>
          <w:sz w:val="22"/>
          <w:szCs w:val="22"/>
          <w:lang w:val="en-AU" w:eastAsia="en-AU" w:bidi="ar-SA"/>
        </w:rPr>
      </w:pPr>
      <w:r w:rsidRPr="009C1186">
        <w:rPr>
          <w:rFonts w:asciiTheme="minorHAnsi" w:hAnsiTheme="minorHAnsi"/>
          <w:sz w:val="22"/>
          <w:szCs w:val="22"/>
          <w:lang w:val="en-AU" w:eastAsia="en-AU" w:bidi="ar-SA"/>
        </w:rPr>
        <w:t xml:space="preserve">Calls have been made to make the </w:t>
      </w:r>
      <w:proofErr w:type="spellStart"/>
      <w:r w:rsidRPr="009C1186">
        <w:rPr>
          <w:rFonts w:asciiTheme="minorHAnsi" w:hAnsiTheme="minorHAnsi"/>
          <w:sz w:val="22"/>
          <w:szCs w:val="22"/>
          <w:lang w:val="en-AU" w:eastAsia="en-AU" w:bidi="ar-SA"/>
        </w:rPr>
        <w:t>MySuper</w:t>
      </w:r>
      <w:proofErr w:type="spellEnd"/>
      <w:r w:rsidRPr="009C1186">
        <w:rPr>
          <w:rFonts w:asciiTheme="minorHAnsi" w:hAnsiTheme="minorHAnsi"/>
          <w:sz w:val="22"/>
          <w:szCs w:val="22"/>
          <w:lang w:val="en-AU" w:eastAsia="en-AU" w:bidi="ar-SA"/>
        </w:rPr>
        <w:t xml:space="preserve"> default system more competitive by having </w:t>
      </w:r>
      <w:r w:rsidR="009C1186" w:rsidRPr="009C1186">
        <w:rPr>
          <w:rFonts w:asciiTheme="minorHAnsi" w:hAnsiTheme="minorHAnsi"/>
          <w:sz w:val="22"/>
          <w:szCs w:val="22"/>
          <w:lang w:val="en-AU" w:eastAsia="en-AU" w:bidi="ar-SA"/>
        </w:rPr>
        <w:t xml:space="preserve">firms </w:t>
      </w:r>
      <w:r w:rsidR="009C1186" w:rsidRPr="009C1186">
        <w:rPr>
          <w:rFonts w:asciiTheme="minorHAnsi" w:eastAsiaTheme="minorHAnsi" w:hAnsiTheme="minorHAnsi" w:cs="CMR12"/>
          <w:sz w:val="22"/>
          <w:szCs w:val="22"/>
          <w:lang w:val="en-AU" w:bidi="ar-SA"/>
        </w:rPr>
        <w:t>periodically</w:t>
      </w:r>
      <w:r w:rsidRPr="009C1186">
        <w:rPr>
          <w:rFonts w:asciiTheme="minorHAnsi" w:eastAsiaTheme="minorHAnsi" w:hAnsiTheme="minorHAnsi" w:cs="CMR12"/>
          <w:sz w:val="22"/>
          <w:szCs w:val="22"/>
          <w:lang w:val="en-AU" w:bidi="ar-SA"/>
        </w:rPr>
        <w:t xml:space="preserve"> tender for licenses at auctions run by the government.</w:t>
      </w:r>
      <w:r w:rsidR="009C1186">
        <w:rPr>
          <w:rFonts w:asciiTheme="minorHAnsi" w:eastAsiaTheme="minorHAnsi" w:hAnsiTheme="minorHAnsi" w:cs="CMR12"/>
          <w:sz w:val="22"/>
          <w:szCs w:val="22"/>
          <w:lang w:val="en-AU" w:bidi="ar-SA"/>
        </w:rPr>
        <w:t xml:space="preserve">  G</w:t>
      </w:r>
      <w:r w:rsidR="00976F04" w:rsidRPr="009C1186">
        <w:rPr>
          <w:rFonts w:asciiTheme="minorHAnsi" w:hAnsiTheme="minorHAnsi"/>
          <w:sz w:val="22"/>
          <w:szCs w:val="22"/>
          <w:lang w:val="en-AU" w:eastAsia="en-AU" w:bidi="ar-SA"/>
        </w:rPr>
        <w:t xml:space="preserve">iven that the </w:t>
      </w:r>
      <w:proofErr w:type="spellStart"/>
      <w:r w:rsidR="00976F04" w:rsidRPr="009C1186">
        <w:rPr>
          <w:rFonts w:asciiTheme="minorHAnsi" w:hAnsiTheme="minorHAnsi"/>
          <w:sz w:val="22"/>
          <w:szCs w:val="22"/>
          <w:lang w:val="en-AU" w:eastAsia="en-AU" w:bidi="ar-SA"/>
        </w:rPr>
        <w:t>MySuper</w:t>
      </w:r>
      <w:proofErr w:type="spellEnd"/>
      <w:r w:rsidR="00976F04" w:rsidRPr="009C1186">
        <w:rPr>
          <w:rFonts w:asciiTheme="minorHAnsi" w:hAnsiTheme="minorHAnsi"/>
          <w:sz w:val="22"/>
          <w:szCs w:val="22"/>
          <w:lang w:val="en-AU" w:eastAsia="en-AU" w:bidi="ar-SA"/>
        </w:rPr>
        <w:t xml:space="preserve"> and </w:t>
      </w:r>
      <w:proofErr w:type="spellStart"/>
      <w:r w:rsidR="00976F04" w:rsidRPr="009C1186">
        <w:rPr>
          <w:rFonts w:asciiTheme="minorHAnsi" w:hAnsiTheme="minorHAnsi"/>
          <w:sz w:val="22"/>
          <w:szCs w:val="22"/>
          <w:lang w:val="en-AU" w:eastAsia="en-AU" w:bidi="ar-SA"/>
        </w:rPr>
        <w:t>SuperStream</w:t>
      </w:r>
      <w:proofErr w:type="spellEnd"/>
      <w:r w:rsidR="00976F04" w:rsidRPr="009C1186">
        <w:rPr>
          <w:rFonts w:asciiTheme="minorHAnsi" w:hAnsiTheme="minorHAnsi"/>
          <w:sz w:val="22"/>
          <w:szCs w:val="22"/>
          <w:lang w:val="en-AU" w:eastAsia="en-AU" w:bidi="ar-SA"/>
        </w:rPr>
        <w:t xml:space="preserve"> reforms have only </w:t>
      </w:r>
      <w:r w:rsidR="00A0703F" w:rsidRPr="009C1186">
        <w:rPr>
          <w:rFonts w:asciiTheme="minorHAnsi" w:hAnsiTheme="minorHAnsi"/>
          <w:sz w:val="22"/>
          <w:szCs w:val="22"/>
          <w:lang w:val="en-AU" w:eastAsia="en-AU" w:bidi="ar-SA"/>
        </w:rPr>
        <w:t xml:space="preserve">been in existence </w:t>
      </w:r>
      <w:r w:rsidR="004B0C11" w:rsidRPr="009C1186">
        <w:rPr>
          <w:rFonts w:asciiTheme="minorHAnsi" w:hAnsiTheme="minorHAnsi"/>
          <w:sz w:val="22"/>
          <w:szCs w:val="22"/>
          <w:lang w:val="en-AU" w:eastAsia="en-AU" w:bidi="ar-SA"/>
        </w:rPr>
        <w:t xml:space="preserve">for a </w:t>
      </w:r>
      <w:r w:rsidR="000C625B" w:rsidRPr="009C1186">
        <w:rPr>
          <w:rFonts w:asciiTheme="minorHAnsi" w:hAnsiTheme="minorHAnsi"/>
          <w:sz w:val="22"/>
          <w:szCs w:val="22"/>
          <w:lang w:val="en-AU" w:eastAsia="en-AU" w:bidi="ar-SA"/>
        </w:rPr>
        <w:t>relatively short period</w:t>
      </w:r>
      <w:r w:rsidR="004B0C11" w:rsidRPr="009C1186">
        <w:rPr>
          <w:rFonts w:asciiTheme="minorHAnsi" w:hAnsiTheme="minorHAnsi"/>
          <w:sz w:val="22"/>
          <w:szCs w:val="22"/>
          <w:lang w:val="en-AU" w:eastAsia="en-AU" w:bidi="ar-SA"/>
        </w:rPr>
        <w:t xml:space="preserve">, </w:t>
      </w:r>
      <w:r w:rsidR="00272CBE">
        <w:rPr>
          <w:rFonts w:asciiTheme="minorHAnsi" w:hAnsiTheme="minorHAnsi"/>
          <w:sz w:val="22"/>
          <w:szCs w:val="22"/>
          <w:lang w:val="en-AU" w:eastAsia="en-AU" w:bidi="ar-SA"/>
        </w:rPr>
        <w:t xml:space="preserve">it is recommended that </w:t>
      </w:r>
      <w:r w:rsidR="00976F04" w:rsidRPr="009C1186">
        <w:rPr>
          <w:rFonts w:asciiTheme="minorHAnsi" w:hAnsiTheme="minorHAnsi"/>
          <w:sz w:val="22"/>
          <w:szCs w:val="22"/>
          <w:lang w:val="en-AU" w:eastAsia="en-AU" w:bidi="ar-SA"/>
        </w:rPr>
        <w:t>more</w:t>
      </w:r>
      <w:r w:rsidR="00976F04" w:rsidRPr="00EF1C6B">
        <w:rPr>
          <w:rFonts w:asciiTheme="minorHAnsi" w:hAnsiTheme="minorHAnsi"/>
          <w:sz w:val="22"/>
          <w:szCs w:val="22"/>
          <w:lang w:val="en-AU" w:eastAsia="en-AU" w:bidi="ar-SA"/>
        </w:rPr>
        <w:t xml:space="preserve"> time needs to elapse to be able to </w:t>
      </w:r>
      <w:r w:rsidR="004B0C11" w:rsidRPr="00EF1C6B">
        <w:rPr>
          <w:rFonts w:asciiTheme="minorHAnsi" w:hAnsiTheme="minorHAnsi"/>
          <w:sz w:val="22"/>
          <w:szCs w:val="22"/>
          <w:lang w:val="en-AU" w:eastAsia="en-AU" w:bidi="ar-SA"/>
        </w:rPr>
        <w:t xml:space="preserve">fully evaluate the effectiveness of the reforms. </w:t>
      </w:r>
    </w:p>
    <w:p w:rsidR="009C1186" w:rsidRDefault="009C1186" w:rsidP="001B5537">
      <w:pPr>
        <w:suppressAutoHyphens w:val="0"/>
        <w:autoSpaceDE w:val="0"/>
        <w:autoSpaceDN w:val="0"/>
        <w:adjustRightInd w:val="0"/>
        <w:rPr>
          <w:rFonts w:asciiTheme="minorHAnsi" w:hAnsiTheme="minorHAnsi"/>
          <w:sz w:val="22"/>
          <w:szCs w:val="22"/>
          <w:lang w:val="en-AU" w:eastAsia="en-AU" w:bidi="ar-SA"/>
        </w:rPr>
      </w:pPr>
    </w:p>
    <w:p w:rsidR="008A0408" w:rsidRPr="00EF1C6B" w:rsidRDefault="009C1186" w:rsidP="00272CBE">
      <w:pPr>
        <w:suppressAutoHyphens w:val="0"/>
        <w:autoSpaceDE w:val="0"/>
        <w:autoSpaceDN w:val="0"/>
        <w:adjustRightInd w:val="0"/>
        <w:rPr>
          <w:rFonts w:asciiTheme="minorHAnsi" w:hAnsiTheme="minorHAnsi"/>
          <w:sz w:val="22"/>
          <w:szCs w:val="22"/>
          <w:lang w:val="en-AU" w:eastAsia="en-AU" w:bidi="ar-SA"/>
        </w:rPr>
      </w:pPr>
      <w:r>
        <w:rPr>
          <w:rFonts w:asciiTheme="minorHAnsi" w:hAnsiTheme="minorHAnsi"/>
          <w:sz w:val="22"/>
          <w:szCs w:val="22"/>
          <w:lang w:val="en-AU" w:eastAsia="en-AU" w:bidi="ar-SA"/>
        </w:rPr>
        <w:t>T</w:t>
      </w:r>
      <w:r w:rsidR="00976F04" w:rsidRPr="00EF1C6B">
        <w:rPr>
          <w:rFonts w:asciiTheme="minorHAnsi" w:hAnsiTheme="minorHAnsi"/>
          <w:sz w:val="22"/>
          <w:szCs w:val="22"/>
          <w:lang w:val="en-AU" w:eastAsia="en-AU" w:bidi="ar-SA"/>
        </w:rPr>
        <w:t xml:space="preserve">he Institute of Public Accountants believes that there is currently sufficient emphasis on competition in the regulation of super funds </w:t>
      </w:r>
      <w:r w:rsidR="000C625B" w:rsidRPr="00EF1C6B">
        <w:rPr>
          <w:rFonts w:asciiTheme="minorHAnsi" w:hAnsiTheme="minorHAnsi"/>
          <w:sz w:val="22"/>
          <w:szCs w:val="22"/>
          <w:lang w:val="en-AU" w:eastAsia="en-AU" w:bidi="ar-SA"/>
        </w:rPr>
        <w:t xml:space="preserve">but </w:t>
      </w:r>
      <w:r w:rsidR="00272CBE">
        <w:rPr>
          <w:rFonts w:asciiTheme="minorHAnsi" w:hAnsiTheme="minorHAnsi"/>
          <w:sz w:val="22"/>
          <w:szCs w:val="22"/>
          <w:lang w:val="en-AU" w:eastAsia="en-AU" w:bidi="ar-SA"/>
        </w:rPr>
        <w:t xml:space="preserve">analysis is required to determine </w:t>
      </w:r>
      <w:r w:rsidR="000C625B" w:rsidRPr="00EF1C6B">
        <w:rPr>
          <w:rFonts w:asciiTheme="minorHAnsi" w:hAnsiTheme="minorHAnsi"/>
          <w:sz w:val="22"/>
          <w:szCs w:val="22"/>
          <w:lang w:val="en-AU" w:eastAsia="en-AU" w:bidi="ar-SA"/>
        </w:rPr>
        <w:t xml:space="preserve">whether system inefficiencies are due to a lack of competition in the marketplace or structural problems associated with </w:t>
      </w:r>
      <w:r w:rsidR="00272CBE">
        <w:rPr>
          <w:rFonts w:asciiTheme="minorHAnsi" w:hAnsiTheme="minorHAnsi"/>
          <w:sz w:val="22"/>
          <w:szCs w:val="22"/>
          <w:lang w:val="en-AU" w:eastAsia="en-AU" w:bidi="ar-SA"/>
        </w:rPr>
        <w:t xml:space="preserve">the </w:t>
      </w:r>
      <w:r w:rsidR="000C625B" w:rsidRPr="00EF1C6B">
        <w:rPr>
          <w:rFonts w:asciiTheme="minorHAnsi" w:hAnsiTheme="minorHAnsi"/>
          <w:sz w:val="22"/>
          <w:szCs w:val="22"/>
          <w:lang w:val="en-AU" w:eastAsia="en-AU" w:bidi="ar-SA"/>
        </w:rPr>
        <w:t>super system.</w:t>
      </w:r>
      <w:r w:rsidR="00976F04" w:rsidRPr="00EF1C6B">
        <w:rPr>
          <w:rFonts w:asciiTheme="minorHAnsi" w:hAnsiTheme="minorHAnsi"/>
          <w:sz w:val="22"/>
          <w:szCs w:val="22"/>
          <w:lang w:val="en-AU" w:eastAsia="en-AU" w:bidi="ar-SA"/>
        </w:rPr>
        <w:t xml:space="preserve"> </w:t>
      </w:r>
    </w:p>
    <w:p w:rsidR="00272CBE" w:rsidRDefault="00272CBE" w:rsidP="00272CBE">
      <w:pPr>
        <w:pStyle w:val="BodyText"/>
        <w:spacing w:after="0"/>
        <w:rPr>
          <w:rFonts w:asciiTheme="minorHAnsi" w:hAnsiTheme="minorHAnsi"/>
          <w:sz w:val="22"/>
          <w:szCs w:val="22"/>
          <w:lang w:val="en-AU" w:eastAsia="en-AU" w:bidi="ar-SA"/>
        </w:rPr>
      </w:pPr>
    </w:p>
    <w:p w:rsidR="0067490F" w:rsidRDefault="009C1186" w:rsidP="00272CBE">
      <w:pPr>
        <w:pStyle w:val="BodyText"/>
        <w:spacing w:after="0"/>
        <w:rPr>
          <w:rFonts w:asciiTheme="minorHAnsi" w:hAnsiTheme="minorHAnsi"/>
          <w:sz w:val="22"/>
          <w:szCs w:val="22"/>
          <w:lang w:val="en-AU" w:eastAsia="en-AU" w:bidi="ar-SA"/>
        </w:rPr>
      </w:pPr>
      <w:r>
        <w:rPr>
          <w:rFonts w:asciiTheme="minorHAnsi" w:hAnsiTheme="minorHAnsi"/>
          <w:sz w:val="22"/>
          <w:szCs w:val="22"/>
          <w:lang w:val="en-AU" w:eastAsia="en-AU" w:bidi="ar-SA"/>
        </w:rPr>
        <w:t>The Institute believes that d</w:t>
      </w:r>
      <w:r w:rsidR="007E79BB" w:rsidRPr="00EF1C6B">
        <w:rPr>
          <w:rFonts w:asciiTheme="minorHAnsi" w:hAnsiTheme="minorHAnsi"/>
          <w:sz w:val="22"/>
          <w:szCs w:val="22"/>
          <w:lang w:val="en-AU" w:eastAsia="en-AU" w:bidi="ar-SA"/>
        </w:rPr>
        <w:t xml:space="preserve">emand side factors are considered to a key inhibitor of competition </w:t>
      </w:r>
      <w:r w:rsidR="00600E43" w:rsidRPr="00EF1C6B">
        <w:rPr>
          <w:rFonts w:asciiTheme="minorHAnsi" w:hAnsiTheme="minorHAnsi"/>
          <w:sz w:val="22"/>
          <w:szCs w:val="22"/>
          <w:lang w:val="en-AU" w:eastAsia="en-AU" w:bidi="ar-SA"/>
        </w:rPr>
        <w:t>with</w:t>
      </w:r>
      <w:r w:rsidR="007E79BB" w:rsidRPr="00EF1C6B">
        <w:rPr>
          <w:rFonts w:asciiTheme="minorHAnsi" w:hAnsiTheme="minorHAnsi"/>
          <w:sz w:val="22"/>
          <w:szCs w:val="22"/>
          <w:lang w:val="en-AU" w:eastAsia="en-AU" w:bidi="ar-SA"/>
        </w:rPr>
        <w:t xml:space="preserve">in the </w:t>
      </w:r>
      <w:r>
        <w:rPr>
          <w:rFonts w:asciiTheme="minorHAnsi" w:hAnsiTheme="minorHAnsi"/>
          <w:sz w:val="22"/>
          <w:szCs w:val="22"/>
          <w:lang w:val="en-AU" w:eastAsia="en-AU" w:bidi="ar-SA"/>
        </w:rPr>
        <w:t xml:space="preserve">Australian </w:t>
      </w:r>
      <w:r w:rsidR="007E79BB" w:rsidRPr="00EF1C6B">
        <w:rPr>
          <w:rFonts w:asciiTheme="minorHAnsi" w:hAnsiTheme="minorHAnsi"/>
          <w:sz w:val="22"/>
          <w:szCs w:val="22"/>
          <w:lang w:val="en-AU" w:eastAsia="en-AU" w:bidi="ar-SA"/>
        </w:rPr>
        <w:t xml:space="preserve">superannuation environment. </w:t>
      </w:r>
      <w:r w:rsidR="007B349A" w:rsidRPr="00EF1C6B">
        <w:rPr>
          <w:rFonts w:asciiTheme="minorHAnsi" w:hAnsiTheme="minorHAnsi"/>
          <w:sz w:val="22"/>
          <w:szCs w:val="22"/>
          <w:lang w:val="en-AU" w:eastAsia="en-AU" w:bidi="ar-SA"/>
        </w:rPr>
        <w:t>Lack of f</w:t>
      </w:r>
      <w:r w:rsidR="0056220C" w:rsidRPr="00EF1C6B">
        <w:rPr>
          <w:rFonts w:asciiTheme="minorHAnsi" w:hAnsiTheme="minorHAnsi"/>
          <w:sz w:val="22"/>
          <w:szCs w:val="22"/>
          <w:lang w:val="en-AU" w:eastAsia="en-AU" w:bidi="ar-SA"/>
        </w:rPr>
        <w:t xml:space="preserve">inancial literacy and engagement </w:t>
      </w:r>
      <w:r w:rsidR="007B349A" w:rsidRPr="00EF1C6B">
        <w:rPr>
          <w:rFonts w:asciiTheme="minorHAnsi" w:hAnsiTheme="minorHAnsi"/>
          <w:sz w:val="22"/>
          <w:szCs w:val="22"/>
          <w:lang w:val="en-AU" w:eastAsia="en-AU" w:bidi="ar-SA"/>
        </w:rPr>
        <w:t xml:space="preserve">by members </w:t>
      </w:r>
      <w:r w:rsidR="00600E43" w:rsidRPr="00EF1C6B">
        <w:rPr>
          <w:rFonts w:asciiTheme="minorHAnsi" w:hAnsiTheme="minorHAnsi"/>
          <w:sz w:val="22"/>
          <w:szCs w:val="22"/>
          <w:lang w:val="en-AU" w:eastAsia="en-AU" w:bidi="ar-SA"/>
        </w:rPr>
        <w:t xml:space="preserve">must be addressed </w:t>
      </w:r>
      <w:r w:rsidR="0067490F" w:rsidRPr="00EF1C6B">
        <w:rPr>
          <w:rFonts w:asciiTheme="minorHAnsi" w:hAnsiTheme="minorHAnsi"/>
          <w:sz w:val="22"/>
          <w:szCs w:val="22"/>
          <w:lang w:val="en-AU" w:eastAsia="en-AU" w:bidi="ar-SA"/>
        </w:rPr>
        <w:t xml:space="preserve">if </w:t>
      </w:r>
      <w:r>
        <w:rPr>
          <w:rFonts w:asciiTheme="minorHAnsi" w:hAnsiTheme="minorHAnsi"/>
          <w:sz w:val="22"/>
          <w:szCs w:val="22"/>
          <w:lang w:val="en-AU" w:eastAsia="en-AU" w:bidi="ar-SA"/>
        </w:rPr>
        <w:t xml:space="preserve">competition and </w:t>
      </w:r>
      <w:r w:rsidR="0067490F" w:rsidRPr="00EF1C6B">
        <w:rPr>
          <w:rFonts w:asciiTheme="minorHAnsi" w:hAnsiTheme="minorHAnsi"/>
          <w:sz w:val="22"/>
          <w:szCs w:val="22"/>
          <w:lang w:val="en-AU" w:eastAsia="en-AU" w:bidi="ar-SA"/>
        </w:rPr>
        <w:t xml:space="preserve">efficiency in the system is to be realised.  </w:t>
      </w:r>
      <w:r w:rsidR="00600E43" w:rsidRPr="00EF1C6B">
        <w:rPr>
          <w:rFonts w:asciiTheme="minorHAnsi" w:hAnsiTheme="minorHAnsi"/>
          <w:sz w:val="22"/>
          <w:szCs w:val="22"/>
          <w:lang w:val="en-AU" w:eastAsia="en-AU" w:bidi="ar-SA"/>
        </w:rPr>
        <w:t xml:space="preserve"> </w:t>
      </w:r>
      <w:r w:rsidR="0067490F" w:rsidRPr="00EF1C6B">
        <w:rPr>
          <w:rFonts w:asciiTheme="minorHAnsi" w:hAnsiTheme="minorHAnsi"/>
          <w:sz w:val="22"/>
          <w:szCs w:val="22"/>
          <w:lang w:val="en-AU" w:eastAsia="en-AU" w:bidi="ar-SA"/>
        </w:rPr>
        <w:t>Lack of engagement is due to a range of factors including:</w:t>
      </w:r>
    </w:p>
    <w:p w:rsidR="00272CBE" w:rsidRPr="00EF1C6B" w:rsidRDefault="00272CBE" w:rsidP="00272CBE">
      <w:pPr>
        <w:pStyle w:val="BodyText"/>
        <w:spacing w:after="0"/>
        <w:rPr>
          <w:rFonts w:asciiTheme="minorHAnsi" w:hAnsiTheme="minorHAnsi"/>
          <w:sz w:val="22"/>
          <w:szCs w:val="22"/>
          <w:lang w:val="en-AU" w:eastAsia="en-AU" w:bidi="ar-SA"/>
        </w:rPr>
      </w:pPr>
    </w:p>
    <w:p w:rsidR="0067490F" w:rsidRPr="00EF1C6B" w:rsidRDefault="0067490F" w:rsidP="00732D5E">
      <w:pPr>
        <w:pStyle w:val="BodyText"/>
        <w:numPr>
          <w:ilvl w:val="0"/>
          <w:numId w:val="5"/>
        </w:numPr>
        <w:rPr>
          <w:rFonts w:asciiTheme="minorHAnsi" w:hAnsiTheme="minorHAnsi"/>
          <w:sz w:val="22"/>
          <w:szCs w:val="22"/>
          <w:lang w:val="en-AU" w:eastAsia="en-AU" w:bidi="ar-SA"/>
        </w:rPr>
      </w:pPr>
      <w:r w:rsidRPr="00EF1C6B">
        <w:rPr>
          <w:rFonts w:asciiTheme="minorHAnsi" w:hAnsiTheme="minorHAnsi"/>
          <w:sz w:val="22"/>
          <w:szCs w:val="22"/>
          <w:lang w:val="en-AU" w:eastAsia="en-AU" w:bidi="ar-SA"/>
        </w:rPr>
        <w:t>the long-term nature of superannuation</w:t>
      </w:r>
    </w:p>
    <w:p w:rsidR="0067490F" w:rsidRPr="00EF1C6B" w:rsidRDefault="0067490F" w:rsidP="00732D5E">
      <w:pPr>
        <w:pStyle w:val="BodyText"/>
        <w:numPr>
          <w:ilvl w:val="0"/>
          <w:numId w:val="5"/>
        </w:numPr>
        <w:rPr>
          <w:rFonts w:asciiTheme="minorHAnsi" w:hAnsiTheme="minorHAnsi"/>
          <w:sz w:val="22"/>
          <w:szCs w:val="22"/>
          <w:lang w:val="en-AU" w:eastAsia="en-AU" w:bidi="ar-SA"/>
        </w:rPr>
      </w:pPr>
      <w:r w:rsidRPr="00EF1C6B">
        <w:rPr>
          <w:rFonts w:asciiTheme="minorHAnsi" w:hAnsiTheme="minorHAnsi"/>
          <w:sz w:val="22"/>
          <w:szCs w:val="22"/>
          <w:lang w:val="en-AU" w:eastAsia="en-AU" w:bidi="ar-SA"/>
        </w:rPr>
        <w:t xml:space="preserve">lack of knowledge and understanding </w:t>
      </w:r>
      <w:r w:rsidR="00E60B80" w:rsidRPr="00EF1C6B">
        <w:rPr>
          <w:rFonts w:asciiTheme="minorHAnsi" w:hAnsiTheme="minorHAnsi"/>
          <w:sz w:val="22"/>
          <w:szCs w:val="22"/>
          <w:lang w:val="en-AU" w:eastAsia="en-AU" w:bidi="ar-SA"/>
        </w:rPr>
        <w:t xml:space="preserve">of the system </w:t>
      </w:r>
      <w:r w:rsidRPr="00EF1C6B">
        <w:rPr>
          <w:rFonts w:asciiTheme="minorHAnsi" w:hAnsiTheme="minorHAnsi"/>
          <w:sz w:val="22"/>
          <w:szCs w:val="22"/>
          <w:lang w:val="en-AU" w:eastAsia="en-AU" w:bidi="ar-SA"/>
        </w:rPr>
        <w:t>by members</w:t>
      </w:r>
    </w:p>
    <w:p w:rsidR="007E79BB" w:rsidRPr="00EF1C6B" w:rsidRDefault="00D07707" w:rsidP="00732D5E">
      <w:pPr>
        <w:pStyle w:val="BodyText"/>
        <w:numPr>
          <w:ilvl w:val="0"/>
          <w:numId w:val="6"/>
        </w:numPr>
        <w:rPr>
          <w:rFonts w:asciiTheme="minorHAnsi" w:hAnsiTheme="minorHAnsi"/>
          <w:sz w:val="22"/>
          <w:szCs w:val="22"/>
          <w:lang w:val="en-AU" w:eastAsia="en-AU" w:bidi="ar-SA"/>
        </w:rPr>
      </w:pPr>
      <w:r w:rsidRPr="00EF1C6B">
        <w:rPr>
          <w:rFonts w:asciiTheme="minorHAnsi" w:hAnsiTheme="minorHAnsi"/>
          <w:sz w:val="22"/>
          <w:szCs w:val="22"/>
          <w:lang w:val="en-AU" w:eastAsia="en-AU" w:bidi="ar-SA"/>
        </w:rPr>
        <w:t>lack of information around what a member’s accumulated super balance is projected to be at retirement and whether the income generated is likely to meet their needs</w:t>
      </w:r>
      <w:r w:rsidR="0067490F" w:rsidRPr="00EF1C6B">
        <w:rPr>
          <w:rFonts w:asciiTheme="minorHAnsi" w:hAnsiTheme="minorHAnsi"/>
          <w:sz w:val="22"/>
          <w:szCs w:val="22"/>
          <w:lang w:val="en-AU" w:eastAsia="en-AU" w:bidi="ar-SA"/>
        </w:rPr>
        <w:t xml:space="preserve">-heterogeneity issues </w:t>
      </w:r>
      <w:r w:rsidR="00866EB7" w:rsidRPr="00EF1C6B">
        <w:rPr>
          <w:rFonts w:asciiTheme="minorHAnsi" w:hAnsiTheme="minorHAnsi"/>
          <w:sz w:val="22"/>
          <w:szCs w:val="22"/>
          <w:lang w:val="en-AU" w:eastAsia="en-AU" w:bidi="ar-SA"/>
        </w:rPr>
        <w:t>associated with product and investment offerings</w:t>
      </w:r>
    </w:p>
    <w:p w:rsidR="0067490F" w:rsidRPr="00EF1C6B" w:rsidRDefault="00866EB7" w:rsidP="00732D5E">
      <w:pPr>
        <w:pStyle w:val="BodyText"/>
        <w:numPr>
          <w:ilvl w:val="0"/>
          <w:numId w:val="5"/>
        </w:numPr>
        <w:rPr>
          <w:rFonts w:asciiTheme="minorHAnsi" w:hAnsiTheme="minorHAnsi"/>
          <w:sz w:val="22"/>
          <w:szCs w:val="22"/>
          <w:lang w:val="en-AU" w:eastAsia="en-AU" w:bidi="ar-SA"/>
        </w:rPr>
      </w:pPr>
      <w:proofErr w:type="gramStart"/>
      <w:r w:rsidRPr="00EF1C6B">
        <w:rPr>
          <w:rFonts w:asciiTheme="minorHAnsi" w:hAnsiTheme="minorHAnsi"/>
          <w:sz w:val="22"/>
          <w:szCs w:val="22"/>
          <w:lang w:val="en-AU" w:eastAsia="en-AU" w:bidi="ar-SA"/>
        </w:rPr>
        <w:t>lack</w:t>
      </w:r>
      <w:proofErr w:type="gramEnd"/>
      <w:r w:rsidRPr="00EF1C6B">
        <w:rPr>
          <w:rFonts w:asciiTheme="minorHAnsi" w:hAnsiTheme="minorHAnsi"/>
          <w:sz w:val="22"/>
          <w:szCs w:val="22"/>
          <w:lang w:val="en-AU" w:eastAsia="en-AU" w:bidi="ar-SA"/>
        </w:rPr>
        <w:t xml:space="preserve"> of transparency resulting in </w:t>
      </w:r>
      <w:r w:rsidR="0067490F" w:rsidRPr="00EF1C6B">
        <w:rPr>
          <w:rFonts w:asciiTheme="minorHAnsi" w:hAnsiTheme="minorHAnsi"/>
          <w:sz w:val="22"/>
          <w:szCs w:val="22"/>
          <w:lang w:val="en-AU" w:eastAsia="en-AU" w:bidi="ar-SA"/>
        </w:rPr>
        <w:t xml:space="preserve">the inability to  be able to compare funds on a like-by-like basis in terms of after-fee </w:t>
      </w:r>
      <w:r w:rsidRPr="00EF1C6B">
        <w:rPr>
          <w:rFonts w:asciiTheme="minorHAnsi" w:hAnsiTheme="minorHAnsi"/>
          <w:sz w:val="22"/>
          <w:szCs w:val="22"/>
          <w:lang w:val="en-AU" w:eastAsia="en-AU" w:bidi="ar-SA"/>
        </w:rPr>
        <w:t xml:space="preserve">(investment) </w:t>
      </w:r>
      <w:r w:rsidR="0067490F" w:rsidRPr="00EF1C6B">
        <w:rPr>
          <w:rFonts w:asciiTheme="minorHAnsi" w:hAnsiTheme="minorHAnsi"/>
          <w:sz w:val="22"/>
          <w:szCs w:val="22"/>
          <w:lang w:val="en-AU" w:eastAsia="en-AU" w:bidi="ar-SA"/>
        </w:rPr>
        <w:t xml:space="preserve">returns, </w:t>
      </w:r>
      <w:r w:rsidRPr="00EF1C6B">
        <w:rPr>
          <w:rFonts w:asciiTheme="minorHAnsi" w:hAnsiTheme="minorHAnsi"/>
          <w:sz w:val="22"/>
          <w:szCs w:val="22"/>
          <w:lang w:val="en-AU" w:eastAsia="en-AU" w:bidi="ar-SA"/>
        </w:rPr>
        <w:t>administration expenses</w:t>
      </w:r>
      <w:r w:rsidR="0067490F" w:rsidRPr="00EF1C6B">
        <w:rPr>
          <w:rFonts w:asciiTheme="minorHAnsi" w:hAnsiTheme="minorHAnsi"/>
          <w:sz w:val="22"/>
          <w:szCs w:val="22"/>
          <w:lang w:val="en-AU" w:eastAsia="en-AU" w:bidi="ar-SA"/>
        </w:rPr>
        <w:t>, service etc.</w:t>
      </w:r>
    </w:p>
    <w:p w:rsidR="00732D5E" w:rsidRPr="00EF1C6B" w:rsidRDefault="00866EB7" w:rsidP="00D07707">
      <w:pPr>
        <w:pStyle w:val="BodyText"/>
        <w:tabs>
          <w:tab w:val="left" w:pos="709"/>
        </w:tabs>
        <w:rPr>
          <w:rFonts w:asciiTheme="minorHAnsi" w:hAnsiTheme="minorHAnsi"/>
          <w:sz w:val="22"/>
          <w:szCs w:val="22"/>
          <w:lang w:val="en-AU" w:eastAsia="en-AU" w:bidi="ar-SA"/>
        </w:rPr>
      </w:pPr>
      <w:r w:rsidRPr="00EF1C6B">
        <w:rPr>
          <w:rFonts w:asciiTheme="minorHAnsi" w:hAnsiTheme="minorHAnsi"/>
          <w:sz w:val="22"/>
          <w:szCs w:val="22"/>
          <w:lang w:val="en-AU" w:eastAsia="en-AU" w:bidi="ar-SA"/>
        </w:rPr>
        <w:lastRenderedPageBreak/>
        <w:t xml:space="preserve">Whilst the first two issues are harder to address in the short-term, the introduction of a more homogeneous or standardised product and greater transparency </w:t>
      </w:r>
      <w:r w:rsidR="00732D5E" w:rsidRPr="00EF1C6B">
        <w:rPr>
          <w:rFonts w:asciiTheme="minorHAnsi" w:hAnsiTheme="minorHAnsi"/>
          <w:sz w:val="22"/>
          <w:szCs w:val="22"/>
          <w:lang w:val="en-AU" w:eastAsia="en-AU" w:bidi="ar-SA"/>
        </w:rPr>
        <w:t xml:space="preserve">of performance indicators </w:t>
      </w:r>
      <w:r w:rsidR="009C1186">
        <w:rPr>
          <w:rFonts w:asciiTheme="minorHAnsi" w:hAnsiTheme="minorHAnsi"/>
          <w:sz w:val="22"/>
          <w:szCs w:val="22"/>
          <w:lang w:val="en-AU" w:eastAsia="en-AU" w:bidi="ar-SA"/>
        </w:rPr>
        <w:t xml:space="preserve">are able to </w:t>
      </w:r>
      <w:r w:rsidR="00DE5919" w:rsidRPr="00EF1C6B">
        <w:rPr>
          <w:rFonts w:asciiTheme="minorHAnsi" w:hAnsiTheme="minorHAnsi"/>
          <w:sz w:val="22"/>
          <w:szCs w:val="22"/>
          <w:lang w:val="en-AU" w:eastAsia="en-AU" w:bidi="ar-SA"/>
        </w:rPr>
        <w:t xml:space="preserve">be addressed </w:t>
      </w:r>
      <w:r w:rsidR="009C1186">
        <w:rPr>
          <w:rFonts w:asciiTheme="minorHAnsi" w:hAnsiTheme="minorHAnsi"/>
          <w:sz w:val="22"/>
          <w:szCs w:val="22"/>
          <w:lang w:val="en-AU" w:eastAsia="en-AU" w:bidi="ar-SA"/>
        </w:rPr>
        <w:t>relatively e</w:t>
      </w:r>
      <w:r w:rsidR="00DE5919" w:rsidRPr="00EF1C6B">
        <w:rPr>
          <w:rFonts w:asciiTheme="minorHAnsi" w:hAnsiTheme="minorHAnsi"/>
          <w:sz w:val="22"/>
          <w:szCs w:val="22"/>
          <w:lang w:val="en-AU" w:eastAsia="en-AU" w:bidi="ar-SA"/>
        </w:rPr>
        <w:t xml:space="preserve">asily </w:t>
      </w:r>
      <w:r w:rsidR="009C1186">
        <w:rPr>
          <w:rFonts w:asciiTheme="minorHAnsi" w:hAnsiTheme="minorHAnsi"/>
          <w:sz w:val="22"/>
          <w:szCs w:val="22"/>
          <w:lang w:val="en-AU" w:eastAsia="en-AU" w:bidi="ar-SA"/>
        </w:rPr>
        <w:t xml:space="preserve">at the member level </w:t>
      </w:r>
      <w:r w:rsidR="00DE5919" w:rsidRPr="00EF1C6B">
        <w:rPr>
          <w:rFonts w:asciiTheme="minorHAnsi" w:hAnsiTheme="minorHAnsi"/>
          <w:sz w:val="22"/>
          <w:szCs w:val="22"/>
          <w:lang w:val="en-AU" w:eastAsia="en-AU" w:bidi="ar-SA"/>
        </w:rPr>
        <w:t>and enabl</w:t>
      </w:r>
      <w:r w:rsidR="009C1186">
        <w:rPr>
          <w:rFonts w:asciiTheme="minorHAnsi" w:hAnsiTheme="minorHAnsi"/>
          <w:sz w:val="22"/>
          <w:szCs w:val="22"/>
          <w:lang w:val="en-AU" w:eastAsia="en-AU" w:bidi="ar-SA"/>
        </w:rPr>
        <w:t>e</w:t>
      </w:r>
      <w:r w:rsidR="00DE5919" w:rsidRPr="00EF1C6B">
        <w:rPr>
          <w:rFonts w:asciiTheme="minorHAnsi" w:hAnsiTheme="minorHAnsi"/>
          <w:sz w:val="22"/>
          <w:szCs w:val="22"/>
          <w:lang w:val="en-AU" w:eastAsia="en-AU" w:bidi="ar-SA"/>
        </w:rPr>
        <w:t xml:space="preserve"> members to </w:t>
      </w:r>
      <w:r w:rsidR="009C1186">
        <w:rPr>
          <w:rFonts w:asciiTheme="minorHAnsi" w:hAnsiTheme="minorHAnsi"/>
          <w:sz w:val="22"/>
          <w:szCs w:val="22"/>
          <w:lang w:val="en-AU" w:eastAsia="en-AU" w:bidi="ar-SA"/>
        </w:rPr>
        <w:t xml:space="preserve">more effectively </w:t>
      </w:r>
      <w:r w:rsidRPr="00EF1C6B">
        <w:rPr>
          <w:rFonts w:asciiTheme="minorHAnsi" w:hAnsiTheme="minorHAnsi"/>
          <w:sz w:val="22"/>
          <w:szCs w:val="22"/>
          <w:lang w:val="en-AU" w:eastAsia="en-AU" w:bidi="ar-SA"/>
        </w:rPr>
        <w:t xml:space="preserve">compare funds and choose an offering that best suits their needs.  </w:t>
      </w:r>
      <w:r w:rsidR="009C1186">
        <w:rPr>
          <w:rFonts w:asciiTheme="minorHAnsi" w:hAnsiTheme="minorHAnsi"/>
          <w:sz w:val="22"/>
          <w:szCs w:val="22"/>
          <w:lang w:val="en-AU" w:eastAsia="en-AU" w:bidi="ar-SA"/>
        </w:rPr>
        <w:t xml:space="preserve">This should result in – a simpler and easier to understand super system, reduced fees, better risk adjusted returns, a better service offering and more innovative products particularly at the pension phase, </w:t>
      </w:r>
    </w:p>
    <w:p w:rsidR="00866EB7" w:rsidRPr="00EF1C6B" w:rsidRDefault="00EE1769" w:rsidP="00D07707">
      <w:pPr>
        <w:pStyle w:val="BodyText"/>
        <w:tabs>
          <w:tab w:val="left" w:pos="709"/>
        </w:tabs>
        <w:rPr>
          <w:rFonts w:asciiTheme="minorHAnsi" w:hAnsiTheme="minorHAnsi"/>
          <w:sz w:val="22"/>
          <w:szCs w:val="22"/>
          <w:lang w:val="en-AU" w:eastAsia="en-AU" w:bidi="ar-SA"/>
        </w:rPr>
      </w:pPr>
      <w:r w:rsidRPr="00EF1C6B">
        <w:rPr>
          <w:rFonts w:asciiTheme="minorHAnsi" w:hAnsiTheme="minorHAnsi"/>
          <w:sz w:val="22"/>
          <w:szCs w:val="22"/>
          <w:lang w:val="en-AU" w:eastAsia="en-AU" w:bidi="ar-SA"/>
        </w:rPr>
        <w:t xml:space="preserve">Whilst </w:t>
      </w:r>
      <w:proofErr w:type="spellStart"/>
      <w:r w:rsidRPr="00EF1C6B">
        <w:rPr>
          <w:rFonts w:asciiTheme="minorHAnsi" w:hAnsiTheme="minorHAnsi"/>
          <w:sz w:val="22"/>
          <w:szCs w:val="22"/>
          <w:lang w:val="en-AU" w:eastAsia="en-AU" w:bidi="ar-SA"/>
        </w:rPr>
        <w:t>MySuper</w:t>
      </w:r>
      <w:proofErr w:type="spellEnd"/>
      <w:r w:rsidRPr="00EF1C6B">
        <w:rPr>
          <w:rFonts w:asciiTheme="minorHAnsi" w:hAnsiTheme="minorHAnsi"/>
          <w:sz w:val="22"/>
          <w:szCs w:val="22"/>
          <w:lang w:val="en-AU" w:eastAsia="en-AU" w:bidi="ar-SA"/>
        </w:rPr>
        <w:t xml:space="preserve"> is a step in the right direction in terms of trying to encourage a more homogeneous product offering</w:t>
      </w:r>
      <w:r w:rsidR="00AC0B3B" w:rsidRPr="00EF1C6B">
        <w:rPr>
          <w:rFonts w:asciiTheme="minorHAnsi" w:hAnsiTheme="minorHAnsi"/>
          <w:sz w:val="22"/>
          <w:szCs w:val="22"/>
          <w:lang w:val="en-AU" w:eastAsia="en-AU" w:bidi="ar-SA"/>
        </w:rPr>
        <w:t xml:space="preserve"> in the default market</w:t>
      </w:r>
      <w:r w:rsidRPr="00EF1C6B">
        <w:rPr>
          <w:rFonts w:asciiTheme="minorHAnsi" w:hAnsiTheme="minorHAnsi"/>
          <w:sz w:val="22"/>
          <w:szCs w:val="22"/>
          <w:lang w:val="en-AU" w:eastAsia="en-AU" w:bidi="ar-SA"/>
        </w:rPr>
        <w:t xml:space="preserve">, the lack of regulation governing uniformity of </w:t>
      </w:r>
      <w:r w:rsidR="00D063AF" w:rsidRPr="00EF1C6B">
        <w:rPr>
          <w:rFonts w:asciiTheme="minorHAnsi" w:hAnsiTheme="minorHAnsi"/>
          <w:sz w:val="22"/>
          <w:szCs w:val="22"/>
          <w:lang w:val="en-AU" w:eastAsia="en-AU" w:bidi="ar-SA"/>
        </w:rPr>
        <w:t>asset allocation</w:t>
      </w:r>
      <w:r w:rsidRPr="00EF1C6B">
        <w:rPr>
          <w:rFonts w:asciiTheme="minorHAnsi" w:hAnsiTheme="minorHAnsi"/>
          <w:sz w:val="22"/>
          <w:szCs w:val="22"/>
          <w:lang w:val="en-AU" w:eastAsia="en-AU" w:bidi="ar-SA"/>
        </w:rPr>
        <w:t xml:space="preserve"> makes effective comparisons of risk-adjusted returns and </w:t>
      </w:r>
      <w:r w:rsidR="00D07707" w:rsidRPr="00EF1C6B">
        <w:rPr>
          <w:rFonts w:asciiTheme="minorHAnsi" w:hAnsiTheme="minorHAnsi"/>
          <w:sz w:val="22"/>
          <w:szCs w:val="22"/>
          <w:lang w:val="en-AU" w:eastAsia="en-AU" w:bidi="ar-SA"/>
        </w:rPr>
        <w:t xml:space="preserve">investment </w:t>
      </w:r>
      <w:r w:rsidR="00DE5919" w:rsidRPr="00EF1C6B">
        <w:rPr>
          <w:rFonts w:asciiTheme="minorHAnsi" w:hAnsiTheme="minorHAnsi"/>
          <w:sz w:val="22"/>
          <w:szCs w:val="22"/>
          <w:lang w:val="en-AU" w:eastAsia="en-AU" w:bidi="ar-SA"/>
        </w:rPr>
        <w:t xml:space="preserve">fees largely meaningless. This issue is even more pronounced in the choice market </w:t>
      </w:r>
      <w:r w:rsidR="00D063AF" w:rsidRPr="00EF1C6B">
        <w:rPr>
          <w:rFonts w:asciiTheme="minorHAnsi" w:hAnsiTheme="minorHAnsi"/>
          <w:sz w:val="22"/>
          <w:szCs w:val="22"/>
          <w:lang w:val="en-AU" w:eastAsia="en-AU" w:bidi="ar-SA"/>
        </w:rPr>
        <w:t xml:space="preserve">with the diversity of investment options available to members. </w:t>
      </w:r>
      <w:r w:rsidR="00DE5919" w:rsidRPr="00EF1C6B">
        <w:rPr>
          <w:rFonts w:asciiTheme="minorHAnsi" w:hAnsiTheme="minorHAnsi"/>
          <w:sz w:val="22"/>
          <w:szCs w:val="22"/>
          <w:lang w:val="en-AU" w:eastAsia="en-AU" w:bidi="ar-SA"/>
        </w:rPr>
        <w:t xml:space="preserve"> </w:t>
      </w:r>
      <w:r w:rsidR="00E60B80" w:rsidRPr="00EF1C6B">
        <w:rPr>
          <w:rFonts w:asciiTheme="minorHAnsi" w:hAnsiTheme="minorHAnsi"/>
          <w:sz w:val="22"/>
          <w:szCs w:val="22"/>
          <w:lang w:val="en-AU" w:eastAsia="en-AU" w:bidi="ar-SA"/>
        </w:rPr>
        <w:t xml:space="preserve">The lack of competitor or benchmark information </w:t>
      </w:r>
      <w:r w:rsidR="00D07707" w:rsidRPr="00EF1C6B">
        <w:rPr>
          <w:rFonts w:asciiTheme="minorHAnsi" w:hAnsiTheme="minorHAnsi"/>
          <w:sz w:val="22"/>
          <w:szCs w:val="22"/>
          <w:lang w:val="en-AU" w:eastAsia="en-AU" w:bidi="ar-SA"/>
        </w:rPr>
        <w:t xml:space="preserve">currently </w:t>
      </w:r>
      <w:r w:rsidR="00E60B80" w:rsidRPr="00EF1C6B">
        <w:rPr>
          <w:rFonts w:asciiTheme="minorHAnsi" w:hAnsiTheme="minorHAnsi"/>
          <w:sz w:val="22"/>
          <w:szCs w:val="22"/>
          <w:lang w:val="en-AU" w:eastAsia="en-AU" w:bidi="ar-SA"/>
        </w:rPr>
        <w:t xml:space="preserve">contained within </w:t>
      </w:r>
      <w:proofErr w:type="spellStart"/>
      <w:r w:rsidR="00E60B80" w:rsidRPr="00EF1C6B">
        <w:rPr>
          <w:rFonts w:asciiTheme="minorHAnsi" w:hAnsiTheme="minorHAnsi"/>
          <w:sz w:val="22"/>
          <w:szCs w:val="22"/>
          <w:lang w:val="en-AU" w:eastAsia="en-AU" w:bidi="ar-SA"/>
        </w:rPr>
        <w:t>MySuper</w:t>
      </w:r>
      <w:proofErr w:type="spellEnd"/>
      <w:r w:rsidR="00E60B80" w:rsidRPr="00EF1C6B">
        <w:rPr>
          <w:rFonts w:asciiTheme="minorHAnsi" w:hAnsiTheme="minorHAnsi"/>
          <w:sz w:val="22"/>
          <w:szCs w:val="22"/>
          <w:lang w:val="en-AU" w:eastAsia="en-AU" w:bidi="ar-SA"/>
        </w:rPr>
        <w:t xml:space="preserve"> dashboards means that members </w:t>
      </w:r>
      <w:r w:rsidR="00AC0B3B" w:rsidRPr="00EF1C6B">
        <w:rPr>
          <w:rFonts w:asciiTheme="minorHAnsi" w:hAnsiTheme="minorHAnsi"/>
          <w:sz w:val="22"/>
          <w:szCs w:val="22"/>
          <w:lang w:val="en-AU" w:eastAsia="en-AU" w:bidi="ar-SA"/>
        </w:rPr>
        <w:t xml:space="preserve">have no means </w:t>
      </w:r>
      <w:r w:rsidR="00DF3211">
        <w:rPr>
          <w:rFonts w:asciiTheme="minorHAnsi" w:hAnsiTheme="minorHAnsi"/>
          <w:sz w:val="22"/>
          <w:szCs w:val="22"/>
          <w:lang w:val="en-AU" w:eastAsia="en-AU" w:bidi="ar-SA"/>
        </w:rPr>
        <w:t xml:space="preserve">of </w:t>
      </w:r>
      <w:r w:rsidR="00AC0B3B" w:rsidRPr="00EF1C6B">
        <w:rPr>
          <w:rFonts w:asciiTheme="minorHAnsi" w:hAnsiTheme="minorHAnsi"/>
          <w:sz w:val="22"/>
          <w:szCs w:val="22"/>
          <w:lang w:val="en-AU" w:eastAsia="en-AU" w:bidi="ar-SA"/>
        </w:rPr>
        <w:t xml:space="preserve">comparing </w:t>
      </w:r>
      <w:r w:rsidR="00DE5919" w:rsidRPr="00EF1C6B">
        <w:rPr>
          <w:rFonts w:asciiTheme="minorHAnsi" w:hAnsiTheme="minorHAnsi"/>
          <w:sz w:val="22"/>
          <w:szCs w:val="22"/>
          <w:lang w:val="en-AU" w:eastAsia="en-AU" w:bidi="ar-SA"/>
        </w:rPr>
        <w:t>the</w:t>
      </w:r>
      <w:r w:rsidR="00AC0B3B" w:rsidRPr="00EF1C6B">
        <w:rPr>
          <w:rFonts w:asciiTheme="minorHAnsi" w:hAnsiTheme="minorHAnsi"/>
          <w:sz w:val="22"/>
          <w:szCs w:val="22"/>
          <w:lang w:val="en-AU" w:eastAsia="en-AU" w:bidi="ar-SA"/>
        </w:rPr>
        <w:t xml:space="preserve"> efficien</w:t>
      </w:r>
      <w:r w:rsidR="00DE5919" w:rsidRPr="00EF1C6B">
        <w:rPr>
          <w:rFonts w:asciiTheme="minorHAnsi" w:hAnsiTheme="minorHAnsi"/>
          <w:sz w:val="22"/>
          <w:szCs w:val="22"/>
          <w:lang w:val="en-AU" w:eastAsia="en-AU" w:bidi="ar-SA"/>
        </w:rPr>
        <w:t>cy of</w:t>
      </w:r>
      <w:r w:rsidR="00AC0B3B" w:rsidRPr="00EF1C6B">
        <w:rPr>
          <w:rFonts w:asciiTheme="minorHAnsi" w:hAnsiTheme="minorHAnsi"/>
          <w:sz w:val="22"/>
          <w:szCs w:val="22"/>
          <w:lang w:val="en-AU" w:eastAsia="en-AU" w:bidi="ar-SA"/>
        </w:rPr>
        <w:t xml:space="preserve"> </w:t>
      </w:r>
      <w:r w:rsidR="00E60B80" w:rsidRPr="00EF1C6B">
        <w:rPr>
          <w:rFonts w:asciiTheme="minorHAnsi" w:hAnsiTheme="minorHAnsi"/>
          <w:sz w:val="22"/>
          <w:szCs w:val="22"/>
          <w:lang w:val="en-AU" w:eastAsia="en-AU" w:bidi="ar-SA"/>
        </w:rPr>
        <w:t xml:space="preserve">their </w:t>
      </w:r>
      <w:proofErr w:type="gramStart"/>
      <w:r w:rsidR="00E60B80" w:rsidRPr="00EF1C6B">
        <w:rPr>
          <w:rFonts w:asciiTheme="minorHAnsi" w:hAnsiTheme="minorHAnsi"/>
          <w:sz w:val="22"/>
          <w:szCs w:val="22"/>
          <w:lang w:val="en-AU" w:eastAsia="en-AU" w:bidi="ar-SA"/>
        </w:rPr>
        <w:t xml:space="preserve">fund </w:t>
      </w:r>
      <w:r w:rsidR="00D07707" w:rsidRPr="00EF1C6B">
        <w:rPr>
          <w:rFonts w:asciiTheme="minorHAnsi" w:hAnsiTheme="minorHAnsi"/>
          <w:sz w:val="22"/>
          <w:szCs w:val="22"/>
          <w:lang w:val="en-AU" w:eastAsia="en-AU" w:bidi="ar-SA"/>
        </w:rPr>
        <w:t xml:space="preserve"> </w:t>
      </w:r>
      <w:r w:rsidR="009C1186">
        <w:rPr>
          <w:rFonts w:asciiTheme="minorHAnsi" w:hAnsiTheme="minorHAnsi"/>
          <w:sz w:val="22"/>
          <w:szCs w:val="22"/>
          <w:lang w:val="en-AU" w:eastAsia="en-AU" w:bidi="ar-SA"/>
        </w:rPr>
        <w:t>against</w:t>
      </w:r>
      <w:proofErr w:type="gramEnd"/>
      <w:r w:rsidR="009C1186">
        <w:rPr>
          <w:rFonts w:asciiTheme="minorHAnsi" w:hAnsiTheme="minorHAnsi"/>
          <w:sz w:val="22"/>
          <w:szCs w:val="22"/>
          <w:lang w:val="en-AU" w:eastAsia="en-AU" w:bidi="ar-SA"/>
        </w:rPr>
        <w:t xml:space="preserve"> the average, market leaders or </w:t>
      </w:r>
      <w:r w:rsidR="00634737">
        <w:rPr>
          <w:rFonts w:asciiTheme="minorHAnsi" w:hAnsiTheme="minorHAnsi"/>
          <w:sz w:val="22"/>
          <w:szCs w:val="22"/>
          <w:lang w:val="en-AU" w:eastAsia="en-AU" w:bidi="ar-SA"/>
        </w:rPr>
        <w:t>against their peers</w:t>
      </w:r>
      <w:r w:rsidR="00D07707" w:rsidRPr="00EF1C6B">
        <w:rPr>
          <w:rFonts w:asciiTheme="minorHAnsi" w:hAnsiTheme="minorHAnsi"/>
          <w:sz w:val="22"/>
          <w:szCs w:val="22"/>
          <w:lang w:val="en-AU" w:eastAsia="en-AU" w:bidi="ar-SA"/>
        </w:rPr>
        <w:t>.  The New Zealand KiwiSaver scheme provides a useful exemplar in this rega</w:t>
      </w:r>
      <w:r w:rsidR="00DE5919" w:rsidRPr="00EF1C6B">
        <w:rPr>
          <w:rFonts w:asciiTheme="minorHAnsi" w:hAnsiTheme="minorHAnsi"/>
          <w:sz w:val="22"/>
          <w:szCs w:val="22"/>
          <w:lang w:val="en-AU" w:eastAsia="en-AU" w:bidi="ar-SA"/>
        </w:rPr>
        <w:t xml:space="preserve">rd.  </w:t>
      </w:r>
    </w:p>
    <w:p w:rsidR="00AC0B3B" w:rsidRPr="00EF1C6B" w:rsidRDefault="00634737" w:rsidP="00DF5DC0">
      <w:pPr>
        <w:pStyle w:val="BodyText"/>
        <w:rPr>
          <w:rFonts w:asciiTheme="minorHAnsi" w:hAnsiTheme="minorHAnsi"/>
          <w:sz w:val="22"/>
          <w:szCs w:val="22"/>
          <w:lang w:val="en-AU" w:eastAsia="en-AU" w:bidi="ar-SA"/>
        </w:rPr>
      </w:pPr>
      <w:r>
        <w:rPr>
          <w:rFonts w:asciiTheme="minorHAnsi" w:hAnsiTheme="minorHAnsi"/>
          <w:sz w:val="22"/>
          <w:szCs w:val="22"/>
          <w:lang w:val="en-AU" w:eastAsia="en-AU" w:bidi="ar-SA"/>
        </w:rPr>
        <w:t>The Institute of Public Accountants believes that r</w:t>
      </w:r>
      <w:r w:rsidR="00D07707" w:rsidRPr="00EF1C6B">
        <w:rPr>
          <w:rFonts w:asciiTheme="minorHAnsi" w:hAnsiTheme="minorHAnsi"/>
          <w:sz w:val="22"/>
          <w:szCs w:val="22"/>
          <w:lang w:val="en-AU" w:eastAsia="en-AU" w:bidi="ar-SA"/>
        </w:rPr>
        <w:t xml:space="preserve">eforms on the demand side </w:t>
      </w:r>
      <w:r w:rsidR="00DE5919" w:rsidRPr="00EF1C6B">
        <w:rPr>
          <w:rFonts w:asciiTheme="minorHAnsi" w:hAnsiTheme="minorHAnsi"/>
          <w:sz w:val="22"/>
          <w:szCs w:val="22"/>
          <w:lang w:val="en-AU" w:eastAsia="en-AU" w:bidi="ar-SA"/>
        </w:rPr>
        <w:t xml:space="preserve">particularly </w:t>
      </w:r>
      <w:r w:rsidR="00AC0B3B" w:rsidRPr="00EF1C6B">
        <w:rPr>
          <w:rFonts w:asciiTheme="minorHAnsi" w:hAnsiTheme="minorHAnsi"/>
          <w:sz w:val="22"/>
          <w:szCs w:val="22"/>
          <w:lang w:val="en-AU" w:eastAsia="en-AU" w:bidi="ar-SA"/>
        </w:rPr>
        <w:t xml:space="preserve">around the introduction of standardised products and enhanced </w:t>
      </w:r>
      <w:r>
        <w:rPr>
          <w:rFonts w:asciiTheme="minorHAnsi" w:hAnsiTheme="minorHAnsi"/>
          <w:sz w:val="22"/>
          <w:szCs w:val="22"/>
          <w:lang w:val="en-AU" w:eastAsia="en-AU" w:bidi="ar-SA"/>
        </w:rPr>
        <w:t xml:space="preserve">transparency </w:t>
      </w:r>
      <w:r w:rsidRPr="00EF1C6B">
        <w:rPr>
          <w:rFonts w:asciiTheme="minorHAnsi" w:hAnsiTheme="minorHAnsi"/>
          <w:sz w:val="22"/>
          <w:szCs w:val="22"/>
          <w:lang w:val="en-AU" w:eastAsia="en-AU" w:bidi="ar-SA"/>
        </w:rPr>
        <w:t>of</w:t>
      </w:r>
      <w:r w:rsidR="00AC0B3B" w:rsidRPr="00EF1C6B">
        <w:rPr>
          <w:rFonts w:asciiTheme="minorHAnsi" w:hAnsiTheme="minorHAnsi"/>
          <w:sz w:val="22"/>
          <w:szCs w:val="22"/>
          <w:lang w:val="en-AU" w:eastAsia="en-AU" w:bidi="ar-SA"/>
        </w:rPr>
        <w:t xml:space="preserve"> information </w:t>
      </w:r>
      <w:r w:rsidR="00DE5919" w:rsidRPr="00EF1C6B">
        <w:rPr>
          <w:rFonts w:asciiTheme="minorHAnsi" w:hAnsiTheme="minorHAnsi"/>
          <w:sz w:val="22"/>
          <w:szCs w:val="22"/>
          <w:lang w:val="en-AU" w:eastAsia="en-AU" w:bidi="ar-SA"/>
        </w:rPr>
        <w:t xml:space="preserve">to members </w:t>
      </w:r>
      <w:r w:rsidR="00D063AF" w:rsidRPr="00EF1C6B">
        <w:rPr>
          <w:rFonts w:asciiTheme="minorHAnsi" w:hAnsiTheme="minorHAnsi"/>
          <w:sz w:val="22"/>
          <w:szCs w:val="22"/>
          <w:lang w:val="en-AU" w:eastAsia="en-AU" w:bidi="ar-SA"/>
        </w:rPr>
        <w:t xml:space="preserve">should focus </w:t>
      </w:r>
      <w:r w:rsidR="00170079" w:rsidRPr="00EF1C6B">
        <w:rPr>
          <w:rFonts w:asciiTheme="minorHAnsi" w:hAnsiTheme="minorHAnsi"/>
          <w:sz w:val="22"/>
          <w:szCs w:val="22"/>
          <w:lang w:val="en-AU" w:eastAsia="en-AU" w:bidi="ar-SA"/>
        </w:rPr>
        <w:t xml:space="preserve">the need </w:t>
      </w:r>
      <w:r>
        <w:rPr>
          <w:rFonts w:asciiTheme="minorHAnsi" w:hAnsiTheme="minorHAnsi"/>
          <w:sz w:val="22"/>
          <w:szCs w:val="22"/>
          <w:lang w:val="en-AU" w:eastAsia="en-AU" w:bidi="ar-SA"/>
        </w:rPr>
        <w:t xml:space="preserve">on fund </w:t>
      </w:r>
      <w:r w:rsidR="00170079" w:rsidRPr="00EF1C6B">
        <w:rPr>
          <w:rFonts w:asciiTheme="minorHAnsi" w:hAnsiTheme="minorHAnsi"/>
          <w:sz w:val="22"/>
          <w:szCs w:val="22"/>
          <w:lang w:val="en-AU" w:eastAsia="en-AU" w:bidi="ar-SA"/>
        </w:rPr>
        <w:t xml:space="preserve">providers </w:t>
      </w:r>
      <w:r w:rsidR="00AC0B3B" w:rsidRPr="00EF1C6B">
        <w:rPr>
          <w:rFonts w:asciiTheme="minorHAnsi" w:hAnsiTheme="minorHAnsi"/>
          <w:sz w:val="22"/>
          <w:szCs w:val="22"/>
          <w:lang w:val="en-AU" w:eastAsia="en-AU" w:bidi="ar-SA"/>
        </w:rPr>
        <w:t xml:space="preserve">to improve the efficiency </w:t>
      </w:r>
      <w:r>
        <w:rPr>
          <w:rFonts w:asciiTheme="minorHAnsi" w:hAnsiTheme="minorHAnsi"/>
          <w:sz w:val="22"/>
          <w:szCs w:val="22"/>
          <w:lang w:val="en-AU" w:eastAsia="en-AU" w:bidi="ar-SA"/>
        </w:rPr>
        <w:t>of their operations and offerings.</w:t>
      </w:r>
      <w:r w:rsidR="00DE5919" w:rsidRPr="00EF1C6B">
        <w:rPr>
          <w:rFonts w:asciiTheme="minorHAnsi" w:hAnsiTheme="minorHAnsi"/>
          <w:sz w:val="22"/>
          <w:szCs w:val="22"/>
          <w:lang w:val="en-AU" w:eastAsia="en-AU" w:bidi="ar-SA"/>
        </w:rPr>
        <w:t xml:space="preserve"> These pressures should also result in greater innovation and product development as providers </w:t>
      </w:r>
      <w:r w:rsidR="00170079" w:rsidRPr="00EF1C6B">
        <w:rPr>
          <w:rFonts w:asciiTheme="minorHAnsi" w:hAnsiTheme="minorHAnsi"/>
          <w:sz w:val="22"/>
          <w:szCs w:val="22"/>
          <w:lang w:val="en-AU" w:eastAsia="en-AU" w:bidi="ar-SA"/>
        </w:rPr>
        <w:t>continually strive to both maintain and grow their membership base.</w:t>
      </w:r>
      <w:r w:rsidR="00D063AF" w:rsidRPr="00EF1C6B">
        <w:rPr>
          <w:rFonts w:asciiTheme="minorHAnsi" w:hAnsiTheme="minorHAnsi"/>
          <w:sz w:val="22"/>
          <w:szCs w:val="22"/>
          <w:lang w:val="en-AU" w:eastAsia="en-AU" w:bidi="ar-SA"/>
        </w:rPr>
        <w:t xml:space="preserve"> </w:t>
      </w:r>
    </w:p>
    <w:p w:rsidR="000A1AEC" w:rsidRPr="00EF1C6B" w:rsidRDefault="00634737" w:rsidP="00DF5DC0">
      <w:pPr>
        <w:pStyle w:val="BodyText"/>
        <w:rPr>
          <w:rFonts w:asciiTheme="minorHAnsi" w:hAnsiTheme="minorHAnsi"/>
          <w:sz w:val="22"/>
          <w:szCs w:val="22"/>
        </w:rPr>
      </w:pPr>
      <w:r>
        <w:rPr>
          <w:rFonts w:asciiTheme="minorHAnsi" w:hAnsiTheme="minorHAnsi"/>
          <w:sz w:val="22"/>
          <w:szCs w:val="22"/>
          <w:lang w:val="en-AU" w:eastAsia="en-AU" w:bidi="ar-SA"/>
        </w:rPr>
        <w:t>It’s worth noting at this stage with this review into the competitiveness of the superannuation system, that w</w:t>
      </w:r>
      <w:r w:rsidR="000D5C02" w:rsidRPr="00EF1C6B">
        <w:rPr>
          <w:rFonts w:asciiTheme="minorHAnsi" w:hAnsiTheme="minorHAnsi"/>
          <w:sz w:val="22"/>
          <w:szCs w:val="22"/>
          <w:lang w:val="en-AU" w:eastAsia="en-AU" w:bidi="ar-SA"/>
        </w:rPr>
        <w:t xml:space="preserve">hilst competition is generally seen to be </w:t>
      </w:r>
      <w:r>
        <w:rPr>
          <w:rFonts w:asciiTheme="minorHAnsi" w:hAnsiTheme="minorHAnsi"/>
          <w:sz w:val="22"/>
          <w:szCs w:val="22"/>
          <w:lang w:val="en-AU" w:eastAsia="en-AU" w:bidi="ar-SA"/>
        </w:rPr>
        <w:t>important</w:t>
      </w:r>
      <w:r w:rsidR="000D5C02" w:rsidRPr="00EF1C6B">
        <w:rPr>
          <w:rFonts w:asciiTheme="minorHAnsi" w:hAnsiTheme="minorHAnsi"/>
          <w:sz w:val="22"/>
          <w:szCs w:val="22"/>
          <w:lang w:val="en-AU" w:eastAsia="en-AU" w:bidi="ar-SA"/>
        </w:rPr>
        <w:t xml:space="preserve"> in </w:t>
      </w:r>
      <w:r>
        <w:rPr>
          <w:rFonts w:asciiTheme="minorHAnsi" w:hAnsiTheme="minorHAnsi"/>
          <w:sz w:val="22"/>
          <w:szCs w:val="22"/>
          <w:lang w:val="en-AU" w:eastAsia="en-AU" w:bidi="ar-SA"/>
        </w:rPr>
        <w:t xml:space="preserve">promoting </w:t>
      </w:r>
      <w:r w:rsidR="005248E0" w:rsidRPr="00EF1C6B">
        <w:rPr>
          <w:rFonts w:asciiTheme="minorHAnsi" w:hAnsiTheme="minorHAnsi"/>
          <w:sz w:val="22"/>
          <w:szCs w:val="22"/>
        </w:rPr>
        <w:t xml:space="preserve">lower prices, higher returns and innovation, greater competition may not </w:t>
      </w:r>
      <w:r w:rsidR="00D11181" w:rsidRPr="00EF1C6B">
        <w:rPr>
          <w:rFonts w:asciiTheme="minorHAnsi" w:hAnsiTheme="minorHAnsi"/>
          <w:sz w:val="22"/>
          <w:szCs w:val="22"/>
        </w:rPr>
        <w:t xml:space="preserve">necessarily </w:t>
      </w:r>
      <w:r w:rsidR="005248E0" w:rsidRPr="00EF1C6B">
        <w:rPr>
          <w:rFonts w:asciiTheme="minorHAnsi" w:hAnsiTheme="minorHAnsi"/>
          <w:sz w:val="22"/>
          <w:szCs w:val="22"/>
        </w:rPr>
        <w:t xml:space="preserve">lead to intended welfare gains or </w:t>
      </w:r>
      <w:r w:rsidR="0050366C" w:rsidRPr="00EF1C6B">
        <w:rPr>
          <w:rFonts w:asciiTheme="minorHAnsi" w:hAnsiTheme="minorHAnsi"/>
          <w:sz w:val="22"/>
          <w:szCs w:val="22"/>
        </w:rPr>
        <w:t>desired</w:t>
      </w:r>
      <w:r w:rsidR="005248E0" w:rsidRPr="00EF1C6B">
        <w:rPr>
          <w:rFonts w:asciiTheme="minorHAnsi" w:hAnsiTheme="minorHAnsi"/>
          <w:sz w:val="22"/>
          <w:szCs w:val="22"/>
        </w:rPr>
        <w:t xml:space="preserve"> objectives. Competition which leads to a greater number of </w:t>
      </w:r>
      <w:r w:rsidR="0050366C" w:rsidRPr="00EF1C6B">
        <w:rPr>
          <w:rFonts w:asciiTheme="minorHAnsi" w:hAnsiTheme="minorHAnsi"/>
          <w:sz w:val="22"/>
          <w:szCs w:val="22"/>
        </w:rPr>
        <w:t xml:space="preserve">profit-making </w:t>
      </w:r>
      <w:r w:rsidR="005248E0" w:rsidRPr="00EF1C6B">
        <w:rPr>
          <w:rFonts w:asciiTheme="minorHAnsi" w:hAnsiTheme="minorHAnsi"/>
          <w:sz w:val="22"/>
          <w:szCs w:val="22"/>
        </w:rPr>
        <w:t xml:space="preserve">entrants to the marketplace </w:t>
      </w:r>
      <w:r w:rsidR="0050366C" w:rsidRPr="00EF1C6B">
        <w:rPr>
          <w:rFonts w:asciiTheme="minorHAnsi" w:hAnsiTheme="minorHAnsi"/>
          <w:sz w:val="22"/>
          <w:szCs w:val="22"/>
        </w:rPr>
        <w:t xml:space="preserve">seeking </w:t>
      </w:r>
      <w:r w:rsidR="005248E0" w:rsidRPr="00EF1C6B">
        <w:rPr>
          <w:rFonts w:asciiTheme="minorHAnsi" w:hAnsiTheme="minorHAnsi"/>
          <w:sz w:val="22"/>
          <w:szCs w:val="22"/>
        </w:rPr>
        <w:t xml:space="preserve">to differentiate themselves through </w:t>
      </w:r>
      <w:r w:rsidR="0050366C" w:rsidRPr="00EF1C6B">
        <w:rPr>
          <w:rFonts w:asciiTheme="minorHAnsi" w:hAnsiTheme="minorHAnsi"/>
          <w:sz w:val="22"/>
          <w:szCs w:val="22"/>
        </w:rPr>
        <w:t xml:space="preserve">a greater </w:t>
      </w:r>
      <w:r w:rsidR="005248E0" w:rsidRPr="00EF1C6B">
        <w:rPr>
          <w:rFonts w:asciiTheme="minorHAnsi" w:hAnsiTheme="minorHAnsi"/>
          <w:sz w:val="22"/>
          <w:szCs w:val="22"/>
        </w:rPr>
        <w:t xml:space="preserve">offering </w:t>
      </w:r>
      <w:r w:rsidR="0050366C" w:rsidRPr="00EF1C6B">
        <w:rPr>
          <w:rFonts w:asciiTheme="minorHAnsi" w:hAnsiTheme="minorHAnsi"/>
          <w:sz w:val="22"/>
          <w:szCs w:val="22"/>
        </w:rPr>
        <w:t xml:space="preserve">of </w:t>
      </w:r>
      <w:r w:rsidR="005248E0" w:rsidRPr="00EF1C6B">
        <w:rPr>
          <w:rFonts w:asciiTheme="minorHAnsi" w:hAnsiTheme="minorHAnsi"/>
          <w:sz w:val="22"/>
          <w:szCs w:val="22"/>
        </w:rPr>
        <w:t>non-</w:t>
      </w:r>
      <w:proofErr w:type="spellStart"/>
      <w:r w:rsidR="005248E0" w:rsidRPr="00EF1C6B">
        <w:rPr>
          <w:rFonts w:asciiTheme="minorHAnsi" w:hAnsiTheme="minorHAnsi"/>
          <w:sz w:val="22"/>
          <w:szCs w:val="22"/>
        </w:rPr>
        <w:t>standardised</w:t>
      </w:r>
      <w:proofErr w:type="spellEnd"/>
      <w:r w:rsidR="005248E0" w:rsidRPr="00EF1C6B">
        <w:rPr>
          <w:rFonts w:asciiTheme="minorHAnsi" w:hAnsiTheme="minorHAnsi"/>
          <w:sz w:val="22"/>
          <w:szCs w:val="22"/>
        </w:rPr>
        <w:t xml:space="preserve"> products and spending significant sums on advertisement and promotion </w:t>
      </w:r>
      <w:r w:rsidR="0050366C" w:rsidRPr="00EF1C6B">
        <w:rPr>
          <w:rFonts w:asciiTheme="minorHAnsi" w:hAnsiTheme="minorHAnsi"/>
          <w:sz w:val="22"/>
          <w:szCs w:val="22"/>
        </w:rPr>
        <w:t xml:space="preserve">in </w:t>
      </w:r>
      <w:r w:rsidR="00D11181" w:rsidRPr="00EF1C6B">
        <w:rPr>
          <w:rFonts w:asciiTheme="minorHAnsi" w:hAnsiTheme="minorHAnsi"/>
          <w:sz w:val="22"/>
          <w:szCs w:val="22"/>
        </w:rPr>
        <w:t xml:space="preserve">order to </w:t>
      </w:r>
      <w:r w:rsidR="0050366C" w:rsidRPr="00EF1C6B">
        <w:rPr>
          <w:rFonts w:asciiTheme="minorHAnsi" w:hAnsiTheme="minorHAnsi"/>
          <w:sz w:val="22"/>
          <w:szCs w:val="22"/>
        </w:rPr>
        <w:t xml:space="preserve">attract new members </w:t>
      </w:r>
      <w:r w:rsidR="005248E0" w:rsidRPr="00EF1C6B">
        <w:rPr>
          <w:rFonts w:asciiTheme="minorHAnsi" w:hAnsiTheme="minorHAnsi"/>
          <w:sz w:val="22"/>
          <w:szCs w:val="22"/>
        </w:rPr>
        <w:t xml:space="preserve">is unlikely to lead to </w:t>
      </w:r>
      <w:r w:rsidR="00D11181" w:rsidRPr="00EF1C6B">
        <w:rPr>
          <w:rFonts w:asciiTheme="minorHAnsi" w:hAnsiTheme="minorHAnsi"/>
          <w:sz w:val="22"/>
          <w:szCs w:val="22"/>
        </w:rPr>
        <w:t>a more efficient system.</w:t>
      </w:r>
      <w:r w:rsidR="0050366C" w:rsidRPr="00EF1C6B">
        <w:rPr>
          <w:rFonts w:asciiTheme="minorHAnsi" w:hAnsiTheme="minorHAnsi"/>
          <w:sz w:val="22"/>
          <w:szCs w:val="22"/>
        </w:rPr>
        <w:t xml:space="preserve">  </w:t>
      </w:r>
      <w:r w:rsidR="005248E0" w:rsidRPr="00EF1C6B">
        <w:rPr>
          <w:rFonts w:asciiTheme="minorHAnsi" w:hAnsiTheme="minorHAnsi"/>
          <w:sz w:val="22"/>
          <w:szCs w:val="22"/>
        </w:rPr>
        <w:t>Accordingly</w:t>
      </w:r>
      <w:r w:rsidR="000A1AEC" w:rsidRPr="00EF1C6B">
        <w:rPr>
          <w:rFonts w:asciiTheme="minorHAnsi" w:hAnsiTheme="minorHAnsi"/>
          <w:sz w:val="22"/>
          <w:szCs w:val="22"/>
        </w:rPr>
        <w:t xml:space="preserve"> the focus must on </w:t>
      </w:r>
      <w:r w:rsidR="00D11181" w:rsidRPr="00EF1C6B">
        <w:rPr>
          <w:rFonts w:asciiTheme="minorHAnsi" w:hAnsiTheme="minorHAnsi"/>
          <w:sz w:val="22"/>
          <w:szCs w:val="22"/>
        </w:rPr>
        <w:t>measures to improve efficiency and effectiveness</w:t>
      </w:r>
      <w:r w:rsidR="000A1AEC" w:rsidRPr="00EF1C6B">
        <w:rPr>
          <w:rFonts w:asciiTheme="minorHAnsi" w:hAnsiTheme="minorHAnsi"/>
          <w:sz w:val="22"/>
          <w:szCs w:val="22"/>
        </w:rPr>
        <w:t xml:space="preserve"> and appreciate that competition and efficiency within the superannuation system may not be synonymous.</w:t>
      </w:r>
    </w:p>
    <w:p w:rsidR="000D5C02" w:rsidRPr="0046770E" w:rsidRDefault="000A1AEC" w:rsidP="00DF5DC0">
      <w:pPr>
        <w:pStyle w:val="BodyText"/>
        <w:rPr>
          <w:rFonts w:asciiTheme="minorHAnsi" w:hAnsiTheme="minorHAnsi"/>
          <w:lang w:val="en-AU" w:eastAsia="en-AU" w:bidi="ar-SA"/>
        </w:rPr>
      </w:pPr>
      <w:r w:rsidRPr="0046770E">
        <w:rPr>
          <w:rFonts w:asciiTheme="minorHAnsi" w:hAnsiTheme="minorHAnsi"/>
          <w:lang w:val="en-AU" w:eastAsia="en-AU" w:bidi="ar-SA"/>
        </w:rPr>
        <w:t xml:space="preserve"> </w:t>
      </w:r>
    </w:p>
    <w:p w:rsidR="006F4A37" w:rsidRPr="0046770E" w:rsidRDefault="006F4A37" w:rsidP="00DF5DC0">
      <w:pPr>
        <w:pStyle w:val="BodyText"/>
        <w:rPr>
          <w:rFonts w:asciiTheme="minorHAnsi" w:hAnsiTheme="minorHAnsi"/>
          <w:lang w:val="en-AU" w:eastAsia="en-AU" w:bidi="ar-SA"/>
        </w:rPr>
      </w:pPr>
      <w:r w:rsidRPr="00634737">
        <w:rPr>
          <w:rFonts w:asciiTheme="minorHAnsi" w:hAnsiTheme="minorHAnsi"/>
          <w:b/>
          <w:lang w:val="en-AU" w:eastAsia="en-AU" w:bidi="ar-SA"/>
        </w:rPr>
        <w:t>Question 6</w:t>
      </w:r>
      <w:r w:rsidRPr="0046770E">
        <w:rPr>
          <w:rFonts w:asciiTheme="minorHAnsi" w:hAnsiTheme="minorHAnsi"/>
          <w:lang w:val="en-AU" w:eastAsia="en-AU" w:bidi="ar-SA"/>
        </w:rPr>
        <w:t>: Is there sufficient emphasis on competition in the regulation of superannuation?</w:t>
      </w:r>
    </w:p>
    <w:p w:rsidR="006A3347" w:rsidRPr="0046770E" w:rsidRDefault="00634737" w:rsidP="005866A1">
      <w:pPr>
        <w:suppressAutoHyphens w:val="0"/>
        <w:autoSpaceDE w:val="0"/>
        <w:autoSpaceDN w:val="0"/>
        <w:adjustRightInd w:val="0"/>
        <w:rPr>
          <w:rFonts w:asciiTheme="minorHAnsi" w:hAnsiTheme="minorHAnsi"/>
          <w:lang w:val="en-AU" w:eastAsia="en-AU" w:bidi="ar-SA"/>
        </w:rPr>
      </w:pPr>
      <w:r w:rsidRPr="00634737">
        <w:rPr>
          <w:rFonts w:asciiTheme="minorHAnsi" w:eastAsiaTheme="minorHAnsi" w:hAnsiTheme="minorHAnsi" w:cs="CMR12"/>
          <w:sz w:val="22"/>
          <w:szCs w:val="22"/>
          <w:lang w:val="en-AU" w:bidi="ar-SA"/>
        </w:rPr>
        <w:t xml:space="preserve">The amount of regulation in the system is a tight balancing act between the need to regulate and maintain the integrity of the system whilst not </w:t>
      </w:r>
      <w:r w:rsidR="00DE0571" w:rsidRPr="00634737">
        <w:rPr>
          <w:rFonts w:asciiTheme="minorHAnsi" w:eastAsiaTheme="minorHAnsi" w:hAnsiTheme="minorHAnsi" w:cs="CMR12"/>
          <w:sz w:val="22"/>
          <w:szCs w:val="22"/>
          <w:lang w:val="en-AU" w:bidi="ar-SA"/>
        </w:rPr>
        <w:t>impos</w:t>
      </w:r>
      <w:r w:rsidRPr="00634737">
        <w:rPr>
          <w:rFonts w:asciiTheme="minorHAnsi" w:eastAsiaTheme="minorHAnsi" w:hAnsiTheme="minorHAnsi" w:cs="CMR12"/>
          <w:sz w:val="22"/>
          <w:szCs w:val="22"/>
          <w:lang w:val="en-AU" w:bidi="ar-SA"/>
        </w:rPr>
        <w:t>ing</w:t>
      </w:r>
      <w:r w:rsidR="00DE0571" w:rsidRPr="00634737">
        <w:rPr>
          <w:rFonts w:asciiTheme="minorHAnsi" w:eastAsiaTheme="minorHAnsi" w:hAnsiTheme="minorHAnsi" w:cs="CMR12"/>
          <w:sz w:val="22"/>
          <w:szCs w:val="22"/>
          <w:lang w:val="en-AU" w:bidi="ar-SA"/>
        </w:rPr>
        <w:t xml:space="preserve"> excess compliance and</w:t>
      </w:r>
      <w:r w:rsidRPr="00634737">
        <w:rPr>
          <w:rFonts w:asciiTheme="minorHAnsi" w:eastAsiaTheme="minorHAnsi" w:hAnsiTheme="minorHAnsi" w:cs="CMR12"/>
          <w:sz w:val="22"/>
          <w:szCs w:val="22"/>
          <w:lang w:val="en-AU" w:bidi="ar-SA"/>
        </w:rPr>
        <w:t xml:space="preserve"> </w:t>
      </w:r>
      <w:r w:rsidR="00DE0571" w:rsidRPr="00634737">
        <w:rPr>
          <w:rFonts w:asciiTheme="minorHAnsi" w:eastAsiaTheme="minorHAnsi" w:hAnsiTheme="minorHAnsi" w:cs="CMR12"/>
          <w:sz w:val="22"/>
          <w:szCs w:val="22"/>
          <w:lang w:val="en-AU" w:bidi="ar-SA"/>
        </w:rPr>
        <w:t>reporting obligations on the industry</w:t>
      </w:r>
      <w:r>
        <w:rPr>
          <w:rFonts w:asciiTheme="minorHAnsi" w:eastAsiaTheme="minorHAnsi" w:hAnsiTheme="minorHAnsi" w:cs="CMR12"/>
          <w:sz w:val="22"/>
          <w:szCs w:val="22"/>
          <w:lang w:val="en-AU" w:bidi="ar-SA"/>
        </w:rPr>
        <w:t xml:space="preserve"> </w:t>
      </w:r>
      <w:r w:rsidR="005866A1">
        <w:rPr>
          <w:rFonts w:asciiTheme="minorHAnsi" w:eastAsiaTheme="minorHAnsi" w:hAnsiTheme="minorHAnsi" w:cs="CMR12"/>
          <w:sz w:val="22"/>
          <w:szCs w:val="22"/>
          <w:lang w:val="en-AU" w:bidi="ar-SA"/>
        </w:rPr>
        <w:t>hampering the ability to achieve efficiency gains and delivering better outcomes to members.</w:t>
      </w:r>
    </w:p>
    <w:p w:rsidR="006F4A37" w:rsidRPr="0046770E" w:rsidRDefault="006F4A37" w:rsidP="006F4A37">
      <w:pPr>
        <w:suppressAutoHyphens w:val="0"/>
        <w:autoSpaceDE w:val="0"/>
        <w:autoSpaceDN w:val="0"/>
        <w:adjustRightInd w:val="0"/>
        <w:rPr>
          <w:rFonts w:asciiTheme="minorHAnsi" w:eastAsiaTheme="minorHAnsi" w:hAnsiTheme="minorHAnsi" w:cs="CMR12"/>
          <w:lang w:val="en-AU" w:bidi="ar-SA"/>
        </w:rPr>
      </w:pPr>
    </w:p>
    <w:p w:rsidR="006F4A37" w:rsidRPr="00D47476" w:rsidRDefault="005866A1" w:rsidP="005866A1">
      <w:pPr>
        <w:suppressAutoHyphens w:val="0"/>
        <w:autoSpaceDE w:val="0"/>
        <w:autoSpaceDN w:val="0"/>
        <w:adjustRightInd w:val="0"/>
        <w:rPr>
          <w:rFonts w:asciiTheme="minorHAnsi" w:eastAsiaTheme="minorHAnsi" w:hAnsiTheme="minorHAnsi" w:cs="CMR12"/>
          <w:sz w:val="22"/>
          <w:szCs w:val="22"/>
          <w:lang w:val="en-AU" w:bidi="ar-SA"/>
        </w:rPr>
      </w:pPr>
      <w:r w:rsidRPr="00D47476">
        <w:rPr>
          <w:rFonts w:asciiTheme="minorHAnsi" w:eastAsiaTheme="minorHAnsi" w:hAnsiTheme="minorHAnsi" w:cs="CMR12"/>
          <w:sz w:val="22"/>
          <w:szCs w:val="22"/>
          <w:lang w:val="en-AU" w:bidi="ar-SA"/>
        </w:rPr>
        <w:t xml:space="preserve">Research has found that </w:t>
      </w:r>
      <w:r w:rsidR="006F4A37" w:rsidRPr="00D47476">
        <w:rPr>
          <w:rFonts w:asciiTheme="minorHAnsi" w:eastAsiaTheme="minorHAnsi" w:hAnsiTheme="minorHAnsi" w:cs="CMR12"/>
          <w:sz w:val="22"/>
          <w:szCs w:val="22"/>
          <w:lang w:val="en-AU" w:bidi="ar-SA"/>
        </w:rPr>
        <w:t>the current regulatory framework is inadequate in promoting e</w:t>
      </w:r>
      <w:r w:rsidRPr="00D47476">
        <w:rPr>
          <w:rFonts w:asciiTheme="minorHAnsi" w:eastAsiaTheme="minorHAnsi" w:hAnsiTheme="minorHAnsi" w:cs="CMR12"/>
          <w:sz w:val="22"/>
          <w:szCs w:val="22"/>
          <w:lang w:val="en-AU" w:bidi="ar-SA"/>
        </w:rPr>
        <w:t>ffic</w:t>
      </w:r>
      <w:r w:rsidR="006F4A37" w:rsidRPr="00D47476">
        <w:rPr>
          <w:rFonts w:asciiTheme="minorHAnsi" w:eastAsiaTheme="minorHAnsi" w:hAnsiTheme="minorHAnsi" w:cs="CMR12"/>
          <w:sz w:val="22"/>
          <w:szCs w:val="22"/>
          <w:lang w:val="en-AU" w:bidi="ar-SA"/>
        </w:rPr>
        <w:t>iencies within</w:t>
      </w:r>
      <w:r w:rsidRPr="00D47476">
        <w:rPr>
          <w:rFonts w:asciiTheme="minorHAnsi" w:eastAsiaTheme="minorHAnsi" w:hAnsiTheme="minorHAnsi" w:cs="CMR12"/>
          <w:sz w:val="22"/>
          <w:szCs w:val="22"/>
          <w:lang w:val="en-AU" w:bidi="ar-SA"/>
        </w:rPr>
        <w:t xml:space="preserve"> the superannuation system</w:t>
      </w:r>
      <w:r w:rsidR="006F4A37" w:rsidRPr="00D47476">
        <w:rPr>
          <w:rFonts w:asciiTheme="minorHAnsi" w:eastAsiaTheme="minorHAnsi" w:hAnsiTheme="minorHAnsi" w:cs="CMR12"/>
          <w:sz w:val="22"/>
          <w:szCs w:val="22"/>
          <w:lang w:val="en-AU" w:bidi="ar-SA"/>
        </w:rPr>
        <w:t xml:space="preserve">. </w:t>
      </w:r>
      <w:r w:rsidRPr="00D47476">
        <w:rPr>
          <w:rFonts w:asciiTheme="minorHAnsi" w:eastAsiaTheme="minorHAnsi" w:hAnsiTheme="minorHAnsi" w:cs="CMR12"/>
          <w:sz w:val="22"/>
          <w:szCs w:val="22"/>
          <w:lang w:val="en-AU" w:bidi="ar-SA"/>
        </w:rPr>
        <w:t>They found that increased re</w:t>
      </w:r>
      <w:r w:rsidR="006F4A37" w:rsidRPr="00D47476">
        <w:rPr>
          <w:rFonts w:asciiTheme="minorHAnsi" w:eastAsiaTheme="minorHAnsi" w:hAnsiTheme="minorHAnsi" w:cs="CMR12"/>
          <w:sz w:val="22"/>
          <w:szCs w:val="22"/>
          <w:lang w:val="en-AU" w:bidi="ar-SA"/>
        </w:rPr>
        <w:t>gulatory expenditures such as licensing costs and</w:t>
      </w:r>
      <w:r w:rsidRPr="00D47476">
        <w:rPr>
          <w:rFonts w:asciiTheme="minorHAnsi" w:eastAsiaTheme="minorHAnsi" w:hAnsiTheme="minorHAnsi" w:cs="CMR12"/>
          <w:sz w:val="22"/>
          <w:szCs w:val="22"/>
          <w:lang w:val="en-AU" w:bidi="ar-SA"/>
        </w:rPr>
        <w:t xml:space="preserve"> </w:t>
      </w:r>
      <w:r w:rsidR="006F4A37" w:rsidRPr="00D47476">
        <w:rPr>
          <w:rFonts w:asciiTheme="minorHAnsi" w:eastAsiaTheme="minorHAnsi" w:hAnsiTheme="minorHAnsi" w:cs="CMR12"/>
          <w:sz w:val="22"/>
          <w:szCs w:val="22"/>
          <w:lang w:val="en-AU" w:bidi="ar-SA"/>
        </w:rPr>
        <w:t xml:space="preserve">the recent </w:t>
      </w:r>
      <w:proofErr w:type="spellStart"/>
      <w:r w:rsidR="006F4A37" w:rsidRPr="00D47476">
        <w:rPr>
          <w:rFonts w:asciiTheme="minorHAnsi" w:eastAsiaTheme="minorHAnsi" w:hAnsiTheme="minorHAnsi" w:cs="CMR12"/>
          <w:sz w:val="22"/>
          <w:szCs w:val="22"/>
          <w:lang w:val="en-AU" w:bidi="ar-SA"/>
        </w:rPr>
        <w:t>MySuper</w:t>
      </w:r>
      <w:proofErr w:type="spellEnd"/>
      <w:r w:rsidR="006F4A37" w:rsidRPr="00D47476">
        <w:rPr>
          <w:rFonts w:asciiTheme="minorHAnsi" w:eastAsiaTheme="minorHAnsi" w:hAnsiTheme="minorHAnsi" w:cs="CMR12"/>
          <w:sz w:val="22"/>
          <w:szCs w:val="22"/>
          <w:lang w:val="en-AU" w:bidi="ar-SA"/>
        </w:rPr>
        <w:t xml:space="preserve"> reforms serve</w:t>
      </w:r>
      <w:r w:rsidRPr="00D47476">
        <w:rPr>
          <w:rFonts w:asciiTheme="minorHAnsi" w:eastAsiaTheme="minorHAnsi" w:hAnsiTheme="minorHAnsi" w:cs="CMR12"/>
          <w:sz w:val="22"/>
          <w:szCs w:val="22"/>
          <w:lang w:val="en-AU" w:bidi="ar-SA"/>
        </w:rPr>
        <w:t>d</w:t>
      </w:r>
      <w:r w:rsidR="006F4A37" w:rsidRPr="00D47476">
        <w:rPr>
          <w:rFonts w:asciiTheme="minorHAnsi" w:eastAsiaTheme="minorHAnsi" w:hAnsiTheme="minorHAnsi" w:cs="CMR12"/>
          <w:sz w:val="22"/>
          <w:szCs w:val="22"/>
          <w:lang w:val="en-AU" w:bidi="ar-SA"/>
        </w:rPr>
        <w:t xml:space="preserve"> to discourage small and highly e</w:t>
      </w:r>
      <w:r w:rsidRPr="00D47476">
        <w:rPr>
          <w:rFonts w:asciiTheme="minorHAnsi" w:eastAsiaTheme="minorHAnsi" w:hAnsiTheme="minorHAnsi" w:cs="CMR12"/>
          <w:sz w:val="22"/>
          <w:szCs w:val="22"/>
          <w:lang w:val="en-AU" w:bidi="ar-SA"/>
        </w:rPr>
        <w:t>ffic</w:t>
      </w:r>
      <w:r w:rsidR="006F4A37" w:rsidRPr="00D47476">
        <w:rPr>
          <w:rFonts w:asciiTheme="minorHAnsi" w:eastAsiaTheme="minorHAnsi" w:hAnsiTheme="minorHAnsi" w:cs="CMR12"/>
          <w:sz w:val="22"/>
          <w:szCs w:val="22"/>
          <w:lang w:val="en-AU" w:bidi="ar-SA"/>
        </w:rPr>
        <w:t>ient corporate</w:t>
      </w:r>
      <w:r w:rsidRPr="00D47476">
        <w:rPr>
          <w:rFonts w:asciiTheme="minorHAnsi" w:eastAsiaTheme="minorHAnsi" w:hAnsiTheme="minorHAnsi" w:cs="CMR12"/>
          <w:sz w:val="22"/>
          <w:szCs w:val="22"/>
          <w:lang w:val="en-AU" w:bidi="ar-SA"/>
        </w:rPr>
        <w:t xml:space="preserve"> </w:t>
      </w:r>
      <w:r w:rsidR="006F4A37" w:rsidRPr="00D47476">
        <w:rPr>
          <w:rFonts w:asciiTheme="minorHAnsi" w:eastAsiaTheme="minorHAnsi" w:hAnsiTheme="minorHAnsi" w:cs="CMR12"/>
          <w:sz w:val="22"/>
          <w:szCs w:val="22"/>
          <w:lang w:val="en-AU" w:bidi="ar-SA"/>
        </w:rPr>
        <w:t>funds from participating in the market.</w:t>
      </w:r>
      <w:r w:rsidR="006A3347" w:rsidRPr="00D47476">
        <w:rPr>
          <w:rFonts w:asciiTheme="minorHAnsi" w:eastAsiaTheme="minorHAnsi" w:hAnsiTheme="minorHAnsi" w:cs="CMR12"/>
          <w:sz w:val="22"/>
          <w:szCs w:val="22"/>
          <w:lang w:val="en-AU" w:bidi="ar-SA"/>
        </w:rPr>
        <w:t xml:space="preserve"> </w:t>
      </w:r>
      <w:proofErr w:type="gramStart"/>
      <w:r w:rsidR="006A3347" w:rsidRPr="00D47476">
        <w:rPr>
          <w:rFonts w:asciiTheme="minorHAnsi" w:eastAsiaTheme="minorHAnsi" w:hAnsiTheme="minorHAnsi" w:cs="CMR12"/>
          <w:sz w:val="22"/>
          <w:szCs w:val="22"/>
          <w:lang w:val="en-AU" w:bidi="ar-SA"/>
        </w:rPr>
        <w:t>(QU, 2014).</w:t>
      </w:r>
      <w:proofErr w:type="gramEnd"/>
    </w:p>
    <w:p w:rsidR="00D47476" w:rsidRPr="00D47476" w:rsidRDefault="00D47476" w:rsidP="00D47476">
      <w:pPr>
        <w:suppressAutoHyphens w:val="0"/>
        <w:autoSpaceDE w:val="0"/>
        <w:autoSpaceDN w:val="0"/>
        <w:adjustRightInd w:val="0"/>
        <w:rPr>
          <w:rFonts w:asciiTheme="minorHAnsi" w:eastAsiaTheme="minorHAnsi" w:hAnsiTheme="minorHAnsi" w:cs="Times New Roman"/>
          <w:sz w:val="22"/>
          <w:szCs w:val="22"/>
          <w:lang w:val="en-AU" w:bidi="ar-SA"/>
        </w:rPr>
      </w:pPr>
    </w:p>
    <w:p w:rsidR="00D47476" w:rsidRPr="00D47476" w:rsidRDefault="00D47476" w:rsidP="00D47476">
      <w:pPr>
        <w:suppressAutoHyphens w:val="0"/>
        <w:autoSpaceDE w:val="0"/>
        <w:autoSpaceDN w:val="0"/>
        <w:adjustRightInd w:val="0"/>
        <w:rPr>
          <w:rFonts w:asciiTheme="minorHAnsi" w:eastAsiaTheme="minorHAnsi" w:hAnsiTheme="minorHAnsi" w:cs="Times New Roman"/>
          <w:sz w:val="22"/>
          <w:szCs w:val="22"/>
          <w:lang w:val="en-AU" w:bidi="ar-SA"/>
        </w:rPr>
      </w:pPr>
      <w:r w:rsidRPr="00D47476">
        <w:rPr>
          <w:rFonts w:asciiTheme="minorHAnsi" w:eastAsiaTheme="minorHAnsi" w:hAnsiTheme="minorHAnsi" w:cs="Times New Roman"/>
          <w:sz w:val="22"/>
          <w:szCs w:val="22"/>
          <w:lang w:val="en-AU" w:bidi="ar-SA"/>
        </w:rPr>
        <w:t>The Cooper Review also found that a reduction in redundant regulatory requirements could promote better resource allocation and greater competition in the industry resulting in a reduction in fees and an improvement in customer service.</w:t>
      </w:r>
      <w:r w:rsidR="00DF3211">
        <w:rPr>
          <w:rFonts w:asciiTheme="minorHAnsi" w:eastAsiaTheme="minorHAnsi" w:hAnsiTheme="minorHAnsi" w:cs="Times New Roman"/>
          <w:sz w:val="22"/>
          <w:szCs w:val="22"/>
          <w:lang w:val="en-AU" w:bidi="ar-SA"/>
        </w:rPr>
        <w:t xml:space="preserve">  Again, the focus should be on improving efficiency gains rather than on competition per se.  </w:t>
      </w:r>
    </w:p>
    <w:p w:rsidR="00D47476" w:rsidRDefault="00D47476" w:rsidP="005866A1">
      <w:pPr>
        <w:suppressAutoHyphens w:val="0"/>
        <w:autoSpaceDE w:val="0"/>
        <w:autoSpaceDN w:val="0"/>
        <w:adjustRightInd w:val="0"/>
        <w:rPr>
          <w:rFonts w:asciiTheme="minorHAnsi" w:eastAsiaTheme="minorHAnsi" w:hAnsiTheme="minorHAnsi" w:cs="CMR12"/>
          <w:lang w:val="en-AU" w:bidi="ar-SA"/>
        </w:rPr>
      </w:pPr>
    </w:p>
    <w:p w:rsidR="005866A1" w:rsidRPr="0046770E" w:rsidRDefault="005866A1" w:rsidP="005866A1">
      <w:pPr>
        <w:suppressAutoHyphens w:val="0"/>
        <w:autoSpaceDE w:val="0"/>
        <w:autoSpaceDN w:val="0"/>
        <w:adjustRightInd w:val="0"/>
        <w:rPr>
          <w:rFonts w:asciiTheme="minorHAnsi" w:hAnsiTheme="minorHAnsi"/>
          <w:lang w:val="en-AU" w:eastAsia="en-AU" w:bidi="ar-SA"/>
        </w:rPr>
      </w:pPr>
    </w:p>
    <w:p w:rsidR="00FE6849" w:rsidRPr="0046770E" w:rsidRDefault="00FE6849" w:rsidP="00A0703F">
      <w:pPr>
        <w:pStyle w:val="BodyText"/>
        <w:rPr>
          <w:rFonts w:asciiTheme="minorHAnsi" w:hAnsiTheme="minorHAnsi"/>
        </w:rPr>
      </w:pPr>
      <w:r w:rsidRPr="005866A1">
        <w:rPr>
          <w:rFonts w:asciiTheme="minorHAnsi" w:hAnsiTheme="minorHAnsi"/>
          <w:b/>
        </w:rPr>
        <w:t xml:space="preserve">Question </w:t>
      </w:r>
      <w:r w:rsidR="00D47476">
        <w:rPr>
          <w:rFonts w:asciiTheme="minorHAnsi" w:hAnsiTheme="minorHAnsi"/>
          <w:b/>
        </w:rPr>
        <w:t>7</w:t>
      </w:r>
      <w:r w:rsidRPr="0046770E">
        <w:rPr>
          <w:rFonts w:asciiTheme="minorHAnsi" w:hAnsiTheme="minorHAnsi"/>
        </w:rPr>
        <w:t>: What are the ways of realizing economies of scale, in addition to fund mergers?</w:t>
      </w:r>
    </w:p>
    <w:p w:rsidR="005866A1" w:rsidRDefault="005866A1" w:rsidP="00A10FCE">
      <w:pPr>
        <w:pStyle w:val="BodyText"/>
        <w:spacing w:after="0"/>
        <w:rPr>
          <w:rFonts w:asciiTheme="minorHAnsi" w:hAnsiTheme="minorHAnsi"/>
          <w:sz w:val="22"/>
          <w:szCs w:val="22"/>
        </w:rPr>
      </w:pPr>
    </w:p>
    <w:p w:rsidR="00B21DEC" w:rsidRPr="005866A1" w:rsidRDefault="005248E0" w:rsidP="00A10FCE">
      <w:pPr>
        <w:pStyle w:val="BodyText"/>
        <w:spacing w:after="0"/>
        <w:rPr>
          <w:rFonts w:asciiTheme="minorHAnsi" w:hAnsiTheme="minorHAnsi"/>
          <w:sz w:val="22"/>
          <w:szCs w:val="22"/>
        </w:rPr>
      </w:pPr>
      <w:r w:rsidRPr="005866A1">
        <w:rPr>
          <w:rFonts w:asciiTheme="minorHAnsi" w:hAnsiTheme="minorHAnsi"/>
          <w:sz w:val="22"/>
          <w:szCs w:val="22"/>
        </w:rPr>
        <w:t xml:space="preserve">The </w:t>
      </w:r>
      <w:r w:rsidR="00F24AF3" w:rsidRPr="005866A1">
        <w:rPr>
          <w:rFonts w:asciiTheme="minorHAnsi" w:hAnsiTheme="minorHAnsi"/>
          <w:sz w:val="22"/>
          <w:szCs w:val="22"/>
        </w:rPr>
        <w:t xml:space="preserve">Superannuation System </w:t>
      </w:r>
      <w:r w:rsidR="005866A1">
        <w:rPr>
          <w:rFonts w:asciiTheme="minorHAnsi" w:hAnsiTheme="minorHAnsi"/>
          <w:sz w:val="22"/>
          <w:szCs w:val="22"/>
        </w:rPr>
        <w:t xml:space="preserve">Review </w:t>
      </w:r>
      <w:r w:rsidR="00F24AF3" w:rsidRPr="005866A1">
        <w:rPr>
          <w:rFonts w:asciiTheme="minorHAnsi" w:hAnsiTheme="minorHAnsi"/>
          <w:sz w:val="22"/>
          <w:szCs w:val="22"/>
        </w:rPr>
        <w:t xml:space="preserve">made a large number of recommendations around the benefits of increased scale in the superannuation industry and the desirability of improving the efficiency of the superannuation system. </w:t>
      </w:r>
      <w:r w:rsidR="005866A1">
        <w:rPr>
          <w:rFonts w:asciiTheme="minorHAnsi" w:hAnsiTheme="minorHAnsi"/>
          <w:sz w:val="22"/>
          <w:szCs w:val="22"/>
        </w:rPr>
        <w:t xml:space="preserve"> </w:t>
      </w:r>
      <w:r w:rsidR="00A0703F" w:rsidRPr="005866A1">
        <w:rPr>
          <w:rFonts w:asciiTheme="minorHAnsi" w:hAnsiTheme="minorHAnsi"/>
          <w:sz w:val="22"/>
          <w:szCs w:val="22"/>
        </w:rPr>
        <w:t>However,</w:t>
      </w:r>
      <w:r w:rsidR="005866A1">
        <w:rPr>
          <w:rFonts w:asciiTheme="minorHAnsi" w:hAnsiTheme="minorHAnsi"/>
          <w:sz w:val="22"/>
          <w:szCs w:val="22"/>
        </w:rPr>
        <w:t xml:space="preserve"> as previously discussed, research has found that m</w:t>
      </w:r>
      <w:proofErr w:type="spellStart"/>
      <w:r w:rsidR="005866A1">
        <w:rPr>
          <w:rFonts w:asciiTheme="minorHAnsi" w:eastAsiaTheme="minorHAnsi" w:hAnsiTheme="minorHAnsi" w:cs="CMR12"/>
          <w:sz w:val="22"/>
          <w:szCs w:val="22"/>
          <w:lang w:val="en-AU" w:bidi="ar-SA"/>
        </w:rPr>
        <w:t>arket</w:t>
      </w:r>
      <w:proofErr w:type="spellEnd"/>
      <w:r w:rsidR="005866A1">
        <w:rPr>
          <w:rFonts w:asciiTheme="minorHAnsi" w:eastAsiaTheme="minorHAnsi" w:hAnsiTheme="minorHAnsi" w:cs="CMR12"/>
          <w:sz w:val="22"/>
          <w:szCs w:val="22"/>
          <w:lang w:val="en-AU" w:bidi="ar-SA"/>
        </w:rPr>
        <w:t xml:space="preserve"> p</w:t>
      </w:r>
      <w:r w:rsidR="005866A1" w:rsidRPr="001D26FC">
        <w:rPr>
          <w:rFonts w:asciiTheme="minorHAnsi" w:eastAsiaTheme="minorHAnsi" w:hAnsiTheme="minorHAnsi" w:cs="CMR12"/>
          <w:sz w:val="22"/>
          <w:szCs w:val="22"/>
          <w:lang w:val="en-AU" w:bidi="ar-SA"/>
        </w:rPr>
        <w:t>ower is negatively related to the technical e</w:t>
      </w:r>
      <w:r w:rsidR="005866A1">
        <w:rPr>
          <w:rFonts w:asciiTheme="minorHAnsi" w:eastAsiaTheme="minorHAnsi" w:hAnsiTheme="minorHAnsi" w:cs="CMR12"/>
          <w:sz w:val="22"/>
          <w:szCs w:val="22"/>
          <w:lang w:val="en-AU" w:bidi="ar-SA"/>
        </w:rPr>
        <w:t>ffi</w:t>
      </w:r>
      <w:r w:rsidR="005866A1" w:rsidRPr="001D26FC">
        <w:rPr>
          <w:rFonts w:asciiTheme="minorHAnsi" w:eastAsiaTheme="minorHAnsi" w:hAnsiTheme="minorHAnsi" w:cs="CMR12"/>
          <w:sz w:val="22"/>
          <w:szCs w:val="22"/>
          <w:lang w:val="en-AU" w:bidi="ar-SA"/>
        </w:rPr>
        <w:t>ciency of super funds</w:t>
      </w:r>
      <w:r w:rsidR="008A0408" w:rsidRPr="005866A1">
        <w:rPr>
          <w:rFonts w:asciiTheme="minorHAnsi" w:hAnsiTheme="minorHAnsi"/>
          <w:sz w:val="22"/>
          <w:szCs w:val="22"/>
        </w:rPr>
        <w:t>.</w:t>
      </w:r>
      <w:r w:rsidR="005866A1">
        <w:rPr>
          <w:rFonts w:asciiTheme="minorHAnsi" w:hAnsiTheme="minorHAnsi"/>
          <w:sz w:val="22"/>
          <w:szCs w:val="22"/>
        </w:rPr>
        <w:t xml:space="preserve">  Accordingly, a focus on promoting increased scale may not necessarily lead to enhanced efficiencies in the system.</w:t>
      </w:r>
      <w:r w:rsidR="00F24AF3" w:rsidRPr="005866A1">
        <w:rPr>
          <w:rFonts w:asciiTheme="minorHAnsi" w:hAnsiTheme="minorHAnsi"/>
          <w:sz w:val="22"/>
          <w:szCs w:val="22"/>
        </w:rPr>
        <w:t xml:space="preserve"> </w:t>
      </w:r>
    </w:p>
    <w:p w:rsidR="000D5C02" w:rsidRPr="005866A1" w:rsidRDefault="000D5C02" w:rsidP="00A10FCE">
      <w:pPr>
        <w:pStyle w:val="BodyText"/>
        <w:spacing w:after="0"/>
        <w:rPr>
          <w:rFonts w:asciiTheme="minorHAnsi" w:hAnsiTheme="minorHAnsi"/>
          <w:sz w:val="22"/>
          <w:szCs w:val="22"/>
        </w:rPr>
      </w:pPr>
    </w:p>
    <w:p w:rsidR="004D5AB0" w:rsidRPr="005866A1" w:rsidRDefault="000D5C02" w:rsidP="004D5AB0">
      <w:pPr>
        <w:suppressAutoHyphens w:val="0"/>
        <w:autoSpaceDE w:val="0"/>
        <w:autoSpaceDN w:val="0"/>
        <w:adjustRightInd w:val="0"/>
        <w:rPr>
          <w:rFonts w:asciiTheme="minorHAnsi" w:eastAsiaTheme="minorHAnsi" w:hAnsiTheme="minorHAnsi" w:cs="CMR12"/>
          <w:sz w:val="22"/>
          <w:szCs w:val="22"/>
          <w:lang w:val="en-AU" w:bidi="ar-SA"/>
        </w:rPr>
      </w:pPr>
      <w:r w:rsidRPr="005866A1">
        <w:rPr>
          <w:rFonts w:asciiTheme="minorHAnsi" w:hAnsiTheme="minorHAnsi"/>
          <w:sz w:val="22"/>
          <w:szCs w:val="22"/>
        </w:rPr>
        <w:t xml:space="preserve">Other than through fund mergers, </w:t>
      </w:r>
      <w:proofErr w:type="spellStart"/>
      <w:r w:rsidRPr="005866A1">
        <w:rPr>
          <w:rFonts w:asciiTheme="minorHAnsi" w:hAnsiTheme="minorHAnsi" w:cs="Helvetica"/>
          <w:color w:val="111111"/>
          <w:sz w:val="22"/>
          <w:szCs w:val="22"/>
          <w:shd w:val="clear" w:color="auto" w:fill="FFFFFF"/>
        </w:rPr>
        <w:t>specialisation</w:t>
      </w:r>
      <w:proofErr w:type="spellEnd"/>
      <w:r w:rsidRPr="005866A1">
        <w:rPr>
          <w:rFonts w:asciiTheme="minorHAnsi" w:hAnsiTheme="minorHAnsi" w:cs="Helvetica"/>
          <w:color w:val="111111"/>
          <w:sz w:val="22"/>
          <w:szCs w:val="22"/>
          <w:shd w:val="clear" w:color="auto" w:fill="FFFFFF"/>
        </w:rPr>
        <w:t xml:space="preserve"> is a further means of achieving economies of scale </w:t>
      </w:r>
      <w:r w:rsidR="00D11181" w:rsidRPr="005866A1">
        <w:rPr>
          <w:rFonts w:asciiTheme="minorHAnsi" w:hAnsiTheme="minorHAnsi" w:cs="Helvetica"/>
          <w:color w:val="111111"/>
          <w:sz w:val="22"/>
          <w:szCs w:val="22"/>
          <w:shd w:val="clear" w:color="auto" w:fill="FFFFFF"/>
        </w:rPr>
        <w:t>as</w:t>
      </w:r>
      <w:r w:rsidRPr="005866A1">
        <w:rPr>
          <w:rFonts w:asciiTheme="minorHAnsi" w:hAnsiTheme="minorHAnsi" w:cs="Helvetica"/>
          <w:color w:val="111111"/>
          <w:sz w:val="22"/>
          <w:szCs w:val="22"/>
          <w:shd w:val="clear" w:color="auto" w:fill="FFFFFF"/>
        </w:rPr>
        <w:t xml:space="preserve"> it allows for increased output. </w:t>
      </w:r>
      <w:r w:rsidRPr="005866A1">
        <w:rPr>
          <w:rFonts w:asciiTheme="minorHAnsi" w:eastAsiaTheme="minorHAnsi" w:hAnsiTheme="minorHAnsi" w:cs="Times New Roman"/>
          <w:sz w:val="22"/>
          <w:szCs w:val="22"/>
          <w:lang w:val="en-AU" w:bidi="ar-SA"/>
        </w:rPr>
        <w:t xml:space="preserve">Economies of scale are achievable in areas that lend themselves to being efficiently undertaken by </w:t>
      </w:r>
      <w:r w:rsidR="004D5AB0" w:rsidRPr="005866A1">
        <w:rPr>
          <w:rFonts w:asciiTheme="minorHAnsi" w:eastAsiaTheme="minorHAnsi" w:hAnsiTheme="minorHAnsi" w:cs="Times New Roman"/>
          <w:sz w:val="22"/>
          <w:szCs w:val="22"/>
          <w:lang w:val="en-AU" w:bidi="ar-SA"/>
        </w:rPr>
        <w:t xml:space="preserve">more efficient </w:t>
      </w:r>
      <w:r w:rsidRPr="005866A1">
        <w:rPr>
          <w:rFonts w:asciiTheme="minorHAnsi" w:eastAsiaTheme="minorHAnsi" w:hAnsiTheme="minorHAnsi" w:cs="Times New Roman"/>
          <w:sz w:val="22"/>
          <w:szCs w:val="22"/>
          <w:lang w:val="en-AU" w:bidi="ar-SA"/>
        </w:rPr>
        <w:t xml:space="preserve">external service providers such as asset management, information and communication, technology and insurance.  </w:t>
      </w:r>
      <w:r w:rsidR="004D5AB0" w:rsidRPr="005866A1">
        <w:rPr>
          <w:rFonts w:asciiTheme="minorHAnsi" w:eastAsiaTheme="minorHAnsi" w:hAnsiTheme="minorHAnsi" w:cs="Times New Roman"/>
          <w:sz w:val="22"/>
          <w:szCs w:val="22"/>
          <w:lang w:val="en-AU" w:bidi="ar-SA"/>
        </w:rPr>
        <w:t xml:space="preserve">This was supported by the </w:t>
      </w:r>
      <w:r w:rsidR="004D5AB0" w:rsidRPr="005866A1">
        <w:rPr>
          <w:rFonts w:asciiTheme="minorHAnsi" w:eastAsiaTheme="minorHAnsi" w:hAnsiTheme="minorHAnsi" w:cs="CMR12"/>
          <w:sz w:val="22"/>
          <w:szCs w:val="22"/>
          <w:lang w:val="en-AU" w:bidi="ar-SA"/>
        </w:rPr>
        <w:t>Wallis inquiry (1997) into the Australian banking sector which found that specialist providers may result in a reduction of inefficient product pricing by existing firms.</w:t>
      </w:r>
    </w:p>
    <w:p w:rsidR="000D5C02" w:rsidRPr="005866A1" w:rsidRDefault="000D5C02" w:rsidP="000D5C02">
      <w:pPr>
        <w:suppressAutoHyphens w:val="0"/>
        <w:autoSpaceDE w:val="0"/>
        <w:autoSpaceDN w:val="0"/>
        <w:adjustRightInd w:val="0"/>
        <w:rPr>
          <w:rFonts w:asciiTheme="minorHAnsi" w:hAnsiTheme="minorHAnsi" w:cs="Helvetica"/>
          <w:color w:val="111111"/>
          <w:sz w:val="22"/>
          <w:szCs w:val="22"/>
          <w:shd w:val="clear" w:color="auto" w:fill="FFFFFF"/>
        </w:rPr>
      </w:pPr>
    </w:p>
    <w:p w:rsidR="00B65EAD" w:rsidRDefault="00FE6849" w:rsidP="00B65EAD">
      <w:pPr>
        <w:suppressAutoHyphens w:val="0"/>
        <w:autoSpaceDE w:val="0"/>
        <w:autoSpaceDN w:val="0"/>
        <w:adjustRightInd w:val="0"/>
        <w:rPr>
          <w:rFonts w:asciiTheme="minorHAnsi" w:hAnsiTheme="minorHAnsi" w:cs="Arial"/>
          <w:sz w:val="22"/>
          <w:szCs w:val="22"/>
        </w:rPr>
      </w:pPr>
      <w:r w:rsidRPr="005866A1">
        <w:rPr>
          <w:rFonts w:asciiTheme="minorHAnsi" w:hAnsiTheme="minorHAnsi"/>
          <w:sz w:val="22"/>
          <w:szCs w:val="22"/>
        </w:rPr>
        <w:t xml:space="preserve">The Financial Services inquiry </w:t>
      </w:r>
      <w:r w:rsidR="00B92B03" w:rsidRPr="005866A1">
        <w:rPr>
          <w:rFonts w:asciiTheme="minorHAnsi" w:hAnsiTheme="minorHAnsi"/>
          <w:sz w:val="22"/>
          <w:szCs w:val="22"/>
        </w:rPr>
        <w:t xml:space="preserve">has </w:t>
      </w:r>
      <w:r w:rsidRPr="005866A1">
        <w:rPr>
          <w:rFonts w:asciiTheme="minorHAnsi" w:hAnsiTheme="minorHAnsi"/>
          <w:sz w:val="22"/>
          <w:szCs w:val="22"/>
        </w:rPr>
        <w:t xml:space="preserve">proposed a </w:t>
      </w:r>
      <w:r w:rsidRPr="005866A1">
        <w:rPr>
          <w:rFonts w:asciiTheme="minorHAnsi" w:hAnsiTheme="minorHAnsi" w:cs="Arial"/>
          <w:sz w:val="22"/>
          <w:szCs w:val="22"/>
        </w:rPr>
        <w:t xml:space="preserve">formal competitive process to allocate new default fund members to </w:t>
      </w:r>
      <w:proofErr w:type="spellStart"/>
      <w:r w:rsidRPr="005866A1">
        <w:rPr>
          <w:rFonts w:asciiTheme="minorHAnsi" w:hAnsiTheme="minorHAnsi" w:cs="Arial"/>
          <w:sz w:val="22"/>
          <w:szCs w:val="22"/>
        </w:rPr>
        <w:t>MySuper</w:t>
      </w:r>
      <w:proofErr w:type="spellEnd"/>
      <w:r w:rsidRPr="005866A1">
        <w:rPr>
          <w:rFonts w:asciiTheme="minorHAnsi" w:hAnsiTheme="minorHAnsi" w:cs="Arial"/>
          <w:sz w:val="22"/>
          <w:szCs w:val="22"/>
        </w:rPr>
        <w:t xml:space="preserve"> products </w:t>
      </w:r>
      <w:r w:rsidR="00D80348" w:rsidRPr="005866A1">
        <w:rPr>
          <w:rFonts w:asciiTheme="minorHAnsi" w:hAnsiTheme="minorHAnsi" w:cs="Arial"/>
          <w:sz w:val="22"/>
          <w:szCs w:val="22"/>
        </w:rPr>
        <w:t xml:space="preserve">as a means of </w:t>
      </w:r>
      <w:r w:rsidRPr="005866A1">
        <w:rPr>
          <w:rFonts w:asciiTheme="minorHAnsi" w:hAnsiTheme="minorHAnsi" w:cs="Arial"/>
          <w:sz w:val="22"/>
          <w:szCs w:val="22"/>
        </w:rPr>
        <w:t>improv</w:t>
      </w:r>
      <w:r w:rsidR="00B92B03" w:rsidRPr="005866A1">
        <w:rPr>
          <w:rFonts w:asciiTheme="minorHAnsi" w:hAnsiTheme="minorHAnsi" w:cs="Arial"/>
          <w:sz w:val="22"/>
          <w:szCs w:val="22"/>
        </w:rPr>
        <w:t>ing</w:t>
      </w:r>
      <w:r w:rsidRPr="005866A1">
        <w:rPr>
          <w:rFonts w:asciiTheme="minorHAnsi" w:hAnsiTheme="minorHAnsi" w:cs="Arial"/>
          <w:sz w:val="22"/>
          <w:szCs w:val="22"/>
        </w:rPr>
        <w:t xml:space="preserve"> economies of scale</w:t>
      </w:r>
      <w:r w:rsidR="00D80348" w:rsidRPr="005866A1">
        <w:rPr>
          <w:rFonts w:asciiTheme="minorHAnsi" w:hAnsiTheme="minorHAnsi" w:cs="Arial"/>
          <w:sz w:val="22"/>
          <w:szCs w:val="22"/>
        </w:rPr>
        <w:t xml:space="preserve"> and competition</w:t>
      </w:r>
      <w:r w:rsidRPr="005866A1">
        <w:rPr>
          <w:rFonts w:asciiTheme="minorHAnsi" w:hAnsiTheme="minorHAnsi" w:cs="Arial"/>
          <w:sz w:val="22"/>
          <w:szCs w:val="22"/>
        </w:rPr>
        <w:t xml:space="preserve">.  </w:t>
      </w:r>
      <w:r w:rsidR="00B92B03" w:rsidRPr="005866A1">
        <w:rPr>
          <w:rFonts w:asciiTheme="minorHAnsi" w:hAnsiTheme="minorHAnsi" w:cs="Arial"/>
          <w:sz w:val="22"/>
          <w:szCs w:val="22"/>
        </w:rPr>
        <w:t>T</w:t>
      </w:r>
      <w:r w:rsidR="00A10FCE" w:rsidRPr="005866A1">
        <w:rPr>
          <w:rFonts w:asciiTheme="minorHAnsi" w:hAnsiTheme="minorHAnsi" w:cs="Arial"/>
          <w:sz w:val="22"/>
          <w:szCs w:val="22"/>
        </w:rPr>
        <w:t>he Institute of Public A</w:t>
      </w:r>
      <w:r w:rsidR="00D47476">
        <w:rPr>
          <w:rFonts w:asciiTheme="minorHAnsi" w:hAnsiTheme="minorHAnsi" w:cs="Arial"/>
          <w:sz w:val="22"/>
          <w:szCs w:val="22"/>
        </w:rPr>
        <w:t xml:space="preserve">ccountants supports choice and </w:t>
      </w:r>
      <w:r w:rsidR="00B92B03" w:rsidRPr="005866A1">
        <w:rPr>
          <w:rFonts w:asciiTheme="minorHAnsi" w:hAnsiTheme="minorHAnsi" w:cs="Arial"/>
          <w:sz w:val="22"/>
          <w:szCs w:val="22"/>
        </w:rPr>
        <w:t xml:space="preserve">reforms that </w:t>
      </w:r>
      <w:r w:rsidR="00D47476">
        <w:rPr>
          <w:rFonts w:asciiTheme="minorHAnsi" w:hAnsiTheme="minorHAnsi" w:cs="Arial"/>
          <w:sz w:val="22"/>
          <w:szCs w:val="22"/>
        </w:rPr>
        <w:t>promote efficiency</w:t>
      </w:r>
      <w:r w:rsidR="00B92B03" w:rsidRPr="005866A1">
        <w:rPr>
          <w:rFonts w:asciiTheme="minorHAnsi" w:hAnsiTheme="minorHAnsi" w:cs="Arial"/>
          <w:sz w:val="22"/>
          <w:szCs w:val="22"/>
        </w:rPr>
        <w:t xml:space="preserve">.  </w:t>
      </w:r>
      <w:r w:rsidR="00D47476">
        <w:rPr>
          <w:rFonts w:asciiTheme="minorHAnsi" w:hAnsiTheme="minorHAnsi" w:cs="Arial"/>
          <w:sz w:val="22"/>
          <w:szCs w:val="22"/>
        </w:rPr>
        <w:t xml:space="preserve">On the basis that economies of scale may not necessarily lead to efficiency gains, </w:t>
      </w:r>
      <w:r w:rsidR="008501E8" w:rsidRPr="005866A1">
        <w:rPr>
          <w:rFonts w:asciiTheme="minorHAnsi" w:hAnsiTheme="minorHAnsi" w:cs="Arial"/>
          <w:sz w:val="22"/>
          <w:szCs w:val="22"/>
        </w:rPr>
        <w:t xml:space="preserve">the Institute believes </w:t>
      </w:r>
      <w:r w:rsidR="000D5C02" w:rsidRPr="005866A1">
        <w:rPr>
          <w:rFonts w:asciiTheme="minorHAnsi" w:hAnsiTheme="minorHAnsi" w:cs="Arial"/>
          <w:sz w:val="22"/>
          <w:szCs w:val="22"/>
        </w:rPr>
        <w:t>there is a need for</w:t>
      </w:r>
      <w:r w:rsidR="008501E8" w:rsidRPr="005866A1">
        <w:rPr>
          <w:rFonts w:asciiTheme="minorHAnsi" w:hAnsiTheme="minorHAnsi" w:cs="Arial"/>
          <w:sz w:val="22"/>
          <w:szCs w:val="22"/>
          <w:shd w:val="clear" w:color="auto" w:fill="FFFFFF"/>
        </w:rPr>
        <w:t xml:space="preserve"> </w:t>
      </w:r>
      <w:r w:rsidR="009848D8" w:rsidRPr="005866A1">
        <w:rPr>
          <w:rFonts w:asciiTheme="minorHAnsi" w:hAnsiTheme="minorHAnsi" w:cs="Arial"/>
          <w:sz w:val="22"/>
          <w:szCs w:val="22"/>
          <w:shd w:val="clear" w:color="auto" w:fill="FFFFFF"/>
        </w:rPr>
        <w:t xml:space="preserve">a full </w:t>
      </w:r>
      <w:r w:rsidR="008501E8" w:rsidRPr="005866A1">
        <w:rPr>
          <w:rFonts w:asciiTheme="minorHAnsi" w:hAnsiTheme="minorHAnsi" w:cs="Arial"/>
          <w:sz w:val="22"/>
          <w:szCs w:val="22"/>
          <w:shd w:val="clear" w:color="auto" w:fill="FFFFFF"/>
        </w:rPr>
        <w:t xml:space="preserve">implementation of </w:t>
      </w:r>
      <w:proofErr w:type="spellStart"/>
      <w:r w:rsidR="008501E8" w:rsidRPr="005866A1">
        <w:rPr>
          <w:rFonts w:asciiTheme="minorHAnsi" w:hAnsiTheme="minorHAnsi" w:cs="Arial"/>
          <w:sz w:val="22"/>
          <w:szCs w:val="22"/>
          <w:shd w:val="clear" w:color="auto" w:fill="FFFFFF"/>
        </w:rPr>
        <w:t>MySuper</w:t>
      </w:r>
      <w:proofErr w:type="spellEnd"/>
      <w:r w:rsidR="008501E8" w:rsidRPr="005866A1">
        <w:rPr>
          <w:rFonts w:asciiTheme="minorHAnsi" w:hAnsiTheme="minorHAnsi" w:cs="Arial"/>
          <w:sz w:val="22"/>
          <w:szCs w:val="22"/>
          <w:shd w:val="clear" w:color="auto" w:fill="FFFFFF"/>
        </w:rPr>
        <w:t xml:space="preserve"> to allow it to be </w:t>
      </w:r>
      <w:r w:rsidR="009848D8" w:rsidRPr="005866A1">
        <w:rPr>
          <w:rFonts w:asciiTheme="minorHAnsi" w:hAnsiTheme="minorHAnsi" w:cs="Arial"/>
          <w:sz w:val="22"/>
          <w:szCs w:val="22"/>
          <w:shd w:val="clear" w:color="auto" w:fill="FFFFFF"/>
        </w:rPr>
        <w:t xml:space="preserve">comprehensively </w:t>
      </w:r>
      <w:r w:rsidR="00D47476">
        <w:rPr>
          <w:rFonts w:asciiTheme="minorHAnsi" w:hAnsiTheme="minorHAnsi" w:cs="Arial"/>
          <w:sz w:val="22"/>
          <w:szCs w:val="22"/>
          <w:shd w:val="clear" w:color="auto" w:fill="FFFFFF"/>
        </w:rPr>
        <w:t>evaluated prior to any major reforms to the system being undertaken.</w:t>
      </w:r>
    </w:p>
    <w:p w:rsidR="00D47476" w:rsidRDefault="00D47476">
      <w:pPr>
        <w:suppressAutoHyphens w:val="0"/>
        <w:spacing w:after="200" w:line="276" w:lineRule="auto"/>
        <w:rPr>
          <w:rFonts w:asciiTheme="minorHAnsi" w:hAnsiTheme="minorHAnsi" w:cs="Arial"/>
          <w:sz w:val="22"/>
          <w:szCs w:val="22"/>
        </w:rPr>
      </w:pPr>
      <w:r>
        <w:rPr>
          <w:rFonts w:asciiTheme="minorHAnsi" w:hAnsiTheme="minorHAnsi" w:cs="Arial"/>
          <w:sz w:val="22"/>
          <w:szCs w:val="22"/>
        </w:rPr>
        <w:br w:type="page"/>
      </w:r>
    </w:p>
    <w:p w:rsidR="008B02E5" w:rsidRPr="0046770E" w:rsidRDefault="008B02E5" w:rsidP="00B65EAD">
      <w:pPr>
        <w:suppressAutoHyphens w:val="0"/>
        <w:autoSpaceDE w:val="0"/>
        <w:autoSpaceDN w:val="0"/>
        <w:adjustRightInd w:val="0"/>
        <w:rPr>
          <w:rFonts w:asciiTheme="minorHAnsi" w:hAnsiTheme="minorHAnsi" w:cs="Arial"/>
        </w:rPr>
      </w:pPr>
    </w:p>
    <w:p w:rsidR="001E6F4F" w:rsidRPr="0046770E" w:rsidRDefault="001E6F4F" w:rsidP="00456740">
      <w:pPr>
        <w:pStyle w:val="IPAHeading"/>
        <w:rPr>
          <w:rFonts w:asciiTheme="minorHAnsi" w:hAnsiTheme="minorHAnsi"/>
        </w:rPr>
      </w:pPr>
      <w:bookmarkStart w:id="10" w:name="_Toc314836519"/>
      <w:bookmarkStart w:id="11" w:name="_Toc314836699"/>
      <w:bookmarkStart w:id="12" w:name="_Toc448790811"/>
      <w:r w:rsidRPr="0046770E">
        <w:rPr>
          <w:rFonts w:asciiTheme="minorHAnsi" w:hAnsiTheme="minorHAnsi"/>
        </w:rPr>
        <w:t>Contact</w:t>
      </w:r>
      <w:bookmarkEnd w:id="10"/>
      <w:bookmarkEnd w:id="11"/>
      <w:bookmarkEnd w:id="12"/>
    </w:p>
    <w:p w:rsidR="001E6F4F" w:rsidRPr="0046770E" w:rsidRDefault="001E6F4F" w:rsidP="00456740">
      <w:pPr>
        <w:pStyle w:val="IPAHeading"/>
        <w:rPr>
          <w:rFonts w:asciiTheme="minorHAnsi" w:hAnsiTheme="minorHAnsi"/>
        </w:rPr>
      </w:pPr>
    </w:p>
    <w:p w:rsidR="001E6F4F" w:rsidRPr="0046770E" w:rsidRDefault="001E6F4F" w:rsidP="001E6F4F">
      <w:pPr>
        <w:pStyle w:val="Subhead-Arial12ptbold"/>
        <w:rPr>
          <w:rFonts w:asciiTheme="minorHAnsi" w:hAnsiTheme="minorHAnsi"/>
          <w:color w:val="E06C08"/>
        </w:rPr>
      </w:pPr>
      <w:r w:rsidRPr="0046770E">
        <w:rPr>
          <w:rFonts w:asciiTheme="minorHAnsi" w:hAnsiTheme="minorHAnsi"/>
          <w:color w:val="E06C08"/>
        </w:rPr>
        <w:t>IPA Head Office</w:t>
      </w:r>
    </w:p>
    <w:p w:rsidR="001E6F4F" w:rsidRPr="0046770E" w:rsidRDefault="001E6F4F" w:rsidP="001E6F4F">
      <w:pPr>
        <w:pStyle w:val="BodytextArial10pt"/>
        <w:rPr>
          <w:rFonts w:asciiTheme="minorHAnsi" w:hAnsiTheme="minorHAnsi"/>
          <w:b/>
          <w:color w:val="696969"/>
        </w:rPr>
      </w:pPr>
      <w:r w:rsidRPr="0046770E">
        <w:rPr>
          <w:rFonts w:asciiTheme="minorHAnsi" w:hAnsiTheme="minorHAnsi"/>
          <w:b/>
          <w:color w:val="696969"/>
        </w:rPr>
        <w:t>Level 6, 555 Lonsdale Street</w:t>
      </w:r>
      <w:r w:rsidRPr="0046770E">
        <w:rPr>
          <w:rFonts w:asciiTheme="minorHAnsi" w:hAnsiTheme="minorHAnsi"/>
          <w:b/>
          <w:color w:val="696969"/>
        </w:rPr>
        <w:br/>
        <w:t>Melbourne Victoria 3000</w:t>
      </w:r>
      <w:r w:rsidRPr="0046770E">
        <w:rPr>
          <w:rFonts w:asciiTheme="minorHAnsi" w:hAnsiTheme="minorHAnsi"/>
          <w:b/>
          <w:color w:val="696969"/>
        </w:rPr>
        <w:br/>
        <w:t>Australia</w:t>
      </w:r>
    </w:p>
    <w:p w:rsidR="001E6F4F" w:rsidRPr="0046770E" w:rsidRDefault="001E6F4F" w:rsidP="001E6F4F">
      <w:pPr>
        <w:pStyle w:val="BodytextArial10pt"/>
        <w:rPr>
          <w:rFonts w:asciiTheme="minorHAnsi" w:hAnsiTheme="minorHAnsi"/>
          <w:color w:val="696969"/>
        </w:rPr>
      </w:pPr>
      <w:r w:rsidRPr="0046770E">
        <w:rPr>
          <w:rFonts w:asciiTheme="minorHAnsi" w:hAnsiTheme="minorHAnsi"/>
          <w:b/>
          <w:color w:val="696969"/>
        </w:rPr>
        <w:t>Tel:</w:t>
      </w:r>
      <w:r w:rsidRPr="0046770E">
        <w:rPr>
          <w:rFonts w:asciiTheme="minorHAnsi" w:hAnsiTheme="minorHAnsi"/>
          <w:color w:val="696969"/>
        </w:rPr>
        <w:t xml:space="preserve"> 61 3 8665 3100</w:t>
      </w:r>
      <w:r w:rsidRPr="0046770E">
        <w:rPr>
          <w:rFonts w:asciiTheme="minorHAnsi" w:hAnsiTheme="minorHAnsi"/>
          <w:color w:val="696969"/>
        </w:rPr>
        <w:br/>
      </w:r>
      <w:r w:rsidRPr="0046770E">
        <w:rPr>
          <w:rFonts w:asciiTheme="minorHAnsi" w:hAnsiTheme="minorHAnsi"/>
          <w:b/>
          <w:color w:val="696969"/>
        </w:rPr>
        <w:t>Fax:</w:t>
      </w:r>
      <w:r w:rsidRPr="0046770E">
        <w:rPr>
          <w:rFonts w:asciiTheme="minorHAnsi" w:hAnsiTheme="minorHAnsi"/>
          <w:color w:val="696969"/>
        </w:rPr>
        <w:t xml:space="preserve"> 61 3 8665 3130</w:t>
      </w:r>
      <w:r w:rsidRPr="0046770E">
        <w:rPr>
          <w:rFonts w:asciiTheme="minorHAnsi" w:hAnsiTheme="minorHAnsi"/>
          <w:color w:val="696969"/>
        </w:rPr>
        <w:br/>
      </w:r>
      <w:r w:rsidRPr="0046770E">
        <w:rPr>
          <w:rFonts w:asciiTheme="minorHAnsi" w:hAnsiTheme="minorHAnsi"/>
          <w:b/>
          <w:color w:val="696969"/>
        </w:rPr>
        <w:t>Email:</w:t>
      </w:r>
      <w:r w:rsidRPr="0046770E">
        <w:rPr>
          <w:rFonts w:asciiTheme="minorHAnsi" w:hAnsiTheme="minorHAnsi"/>
          <w:color w:val="696969"/>
        </w:rPr>
        <w:t xml:space="preserve"> </w:t>
      </w:r>
      <w:hyperlink r:id="rId15" w:history="1">
        <w:r w:rsidRPr="0046770E">
          <w:rPr>
            <w:rStyle w:val="Hyperlink"/>
            <w:rFonts w:asciiTheme="minorHAnsi" w:hAnsiTheme="minorHAnsi"/>
            <w:color w:val="696969"/>
          </w:rPr>
          <w:t>headoffice@publicaccountants.org.au</w:t>
        </w:r>
      </w:hyperlink>
      <w:r w:rsidRPr="0046770E">
        <w:rPr>
          <w:rFonts w:asciiTheme="minorHAnsi" w:hAnsiTheme="minorHAnsi"/>
          <w:color w:val="696969"/>
        </w:rPr>
        <w:br/>
      </w:r>
      <w:r w:rsidRPr="0046770E">
        <w:rPr>
          <w:rFonts w:asciiTheme="minorHAnsi" w:hAnsiTheme="minorHAnsi"/>
          <w:b/>
          <w:color w:val="696969"/>
        </w:rPr>
        <w:t xml:space="preserve">Website: </w:t>
      </w:r>
      <w:hyperlink r:id="rId16" w:history="1">
        <w:r w:rsidRPr="0046770E">
          <w:rPr>
            <w:rStyle w:val="Hyperlink"/>
            <w:rFonts w:asciiTheme="minorHAnsi" w:hAnsiTheme="minorHAnsi"/>
            <w:color w:val="696969"/>
          </w:rPr>
          <w:t>www.publicaccountants.org.au</w:t>
        </w:r>
      </w:hyperlink>
      <w:r w:rsidRPr="0046770E">
        <w:rPr>
          <w:rFonts w:asciiTheme="minorHAnsi" w:hAnsiTheme="minorHAnsi"/>
          <w:color w:val="696969"/>
        </w:rPr>
        <w:t xml:space="preserve"> </w:t>
      </w:r>
    </w:p>
    <w:p w:rsidR="001E6F4F" w:rsidRPr="0046770E" w:rsidRDefault="001E6F4F" w:rsidP="001E6F4F">
      <w:pPr>
        <w:pStyle w:val="BodytextArial10pt"/>
        <w:rPr>
          <w:rFonts w:asciiTheme="minorHAnsi" w:hAnsiTheme="minorHAnsi"/>
          <w:color w:val="696969"/>
        </w:rPr>
      </w:pPr>
    </w:p>
    <w:p w:rsidR="001E6F4F" w:rsidRPr="0046770E" w:rsidRDefault="001E6F4F" w:rsidP="001E6F4F">
      <w:pPr>
        <w:pStyle w:val="BodytextArial10pt"/>
        <w:rPr>
          <w:rFonts w:asciiTheme="minorHAnsi" w:hAnsiTheme="minorHAnsi"/>
          <w:color w:val="696969"/>
        </w:rPr>
      </w:pPr>
      <w:r w:rsidRPr="0046770E">
        <w:rPr>
          <w:rFonts w:asciiTheme="minorHAnsi" w:hAnsiTheme="minorHAnsi"/>
          <w:color w:val="696969"/>
        </w:rPr>
        <w:t>IPA Divisional Offices are located in the following cities:</w:t>
      </w:r>
    </w:p>
    <w:p w:rsidR="001E6F4F" w:rsidRPr="0046770E" w:rsidRDefault="001E6F4F" w:rsidP="001E6F4F">
      <w:pPr>
        <w:pStyle w:val="BodytextArial10pt"/>
        <w:rPr>
          <w:rFonts w:asciiTheme="minorHAnsi" w:hAnsiTheme="minorHAnsi"/>
          <w:color w:val="696969"/>
        </w:rPr>
      </w:pPr>
      <w:r w:rsidRPr="0046770E">
        <w:rPr>
          <w:rFonts w:asciiTheme="minorHAnsi" w:hAnsiTheme="minorHAnsi"/>
          <w:color w:val="696969"/>
        </w:rPr>
        <w:t>Melbourne</w:t>
      </w:r>
      <w:r w:rsidRPr="0046770E">
        <w:rPr>
          <w:rFonts w:asciiTheme="minorHAnsi" w:hAnsiTheme="minorHAnsi"/>
          <w:color w:val="696969"/>
        </w:rPr>
        <w:br/>
        <w:t>Sydney</w:t>
      </w:r>
      <w:r w:rsidRPr="0046770E">
        <w:rPr>
          <w:rFonts w:asciiTheme="minorHAnsi" w:hAnsiTheme="minorHAnsi"/>
          <w:color w:val="696969"/>
        </w:rPr>
        <w:br/>
        <w:t>Brisbane</w:t>
      </w:r>
      <w:r w:rsidRPr="0046770E">
        <w:rPr>
          <w:rFonts w:asciiTheme="minorHAnsi" w:hAnsiTheme="minorHAnsi"/>
          <w:color w:val="696969"/>
        </w:rPr>
        <w:br/>
        <w:t>Adelaide</w:t>
      </w:r>
      <w:r w:rsidRPr="0046770E">
        <w:rPr>
          <w:rFonts w:asciiTheme="minorHAnsi" w:hAnsiTheme="minorHAnsi"/>
          <w:color w:val="696969"/>
        </w:rPr>
        <w:br/>
        <w:t>Hobart</w:t>
      </w:r>
      <w:r w:rsidRPr="0046770E">
        <w:rPr>
          <w:rFonts w:asciiTheme="minorHAnsi" w:hAnsiTheme="minorHAnsi"/>
          <w:color w:val="696969"/>
        </w:rPr>
        <w:br/>
        <w:t>Perth</w:t>
      </w:r>
      <w:r w:rsidRPr="0046770E">
        <w:rPr>
          <w:rFonts w:asciiTheme="minorHAnsi" w:hAnsiTheme="minorHAnsi"/>
          <w:color w:val="696969"/>
        </w:rPr>
        <w:br/>
        <w:t>Canberra</w:t>
      </w:r>
    </w:p>
    <w:p w:rsidR="001E6F4F" w:rsidRPr="0046770E" w:rsidRDefault="001E6F4F" w:rsidP="001E6F4F">
      <w:pPr>
        <w:pStyle w:val="BodytextArial10pt"/>
        <w:rPr>
          <w:rFonts w:asciiTheme="minorHAnsi" w:hAnsiTheme="minorHAnsi"/>
          <w:color w:val="696969"/>
        </w:rPr>
      </w:pPr>
      <w:r w:rsidRPr="0046770E">
        <w:rPr>
          <w:rFonts w:asciiTheme="minorHAnsi" w:hAnsiTheme="minorHAnsi"/>
          <w:color w:val="696969"/>
        </w:rPr>
        <w:t>The IPA has secretariats in:</w:t>
      </w:r>
    </w:p>
    <w:p w:rsidR="001E6F4F" w:rsidRPr="0046770E" w:rsidRDefault="001E6F4F" w:rsidP="001E6F4F">
      <w:pPr>
        <w:pStyle w:val="BodytextArial10pt"/>
        <w:rPr>
          <w:rFonts w:asciiTheme="minorHAnsi" w:hAnsiTheme="minorHAnsi"/>
          <w:color w:val="696969"/>
        </w:rPr>
      </w:pPr>
      <w:r w:rsidRPr="0046770E">
        <w:rPr>
          <w:rFonts w:asciiTheme="minorHAnsi" w:hAnsiTheme="minorHAnsi"/>
          <w:color w:val="696969"/>
        </w:rPr>
        <w:t>Kuala Lumpur</w:t>
      </w:r>
      <w:r w:rsidRPr="0046770E">
        <w:rPr>
          <w:rFonts w:asciiTheme="minorHAnsi" w:hAnsiTheme="minorHAnsi"/>
          <w:color w:val="696969"/>
        </w:rPr>
        <w:br/>
        <w:t>Beijing</w:t>
      </w:r>
    </w:p>
    <w:p w:rsidR="001E6F4F" w:rsidRPr="0046770E" w:rsidRDefault="001E6F4F" w:rsidP="001E6F4F">
      <w:pPr>
        <w:pStyle w:val="BodytextArial10pt"/>
        <w:rPr>
          <w:rFonts w:asciiTheme="minorHAnsi" w:hAnsiTheme="minorHAnsi"/>
          <w:color w:val="696969"/>
        </w:rPr>
      </w:pPr>
      <w:proofErr w:type="gramStart"/>
      <w:r w:rsidRPr="0046770E">
        <w:rPr>
          <w:rFonts w:asciiTheme="minorHAnsi" w:hAnsiTheme="minorHAnsi"/>
          <w:color w:val="696969"/>
        </w:rPr>
        <w:t xml:space="preserve">For enquiries within Australia call </w:t>
      </w:r>
      <w:r w:rsidRPr="0046770E">
        <w:rPr>
          <w:rFonts w:asciiTheme="minorHAnsi" w:hAnsiTheme="minorHAnsi"/>
          <w:b/>
          <w:color w:val="696969"/>
        </w:rPr>
        <w:t>1800 625 625</w:t>
      </w:r>
      <w:r w:rsidRPr="0046770E">
        <w:rPr>
          <w:rFonts w:asciiTheme="minorHAnsi" w:hAnsiTheme="minorHAnsi"/>
          <w:color w:val="696969"/>
        </w:rPr>
        <w:t xml:space="preserve"> or your nearest Divisional Office.</w:t>
      </w:r>
      <w:proofErr w:type="gramEnd"/>
      <w:r w:rsidRPr="0046770E">
        <w:rPr>
          <w:rFonts w:asciiTheme="minorHAnsi" w:hAnsiTheme="minorHAnsi"/>
          <w:color w:val="696969"/>
        </w:rPr>
        <w:t xml:space="preserve">  International enquiries can be directed in the first instance to IPA Head Office.</w:t>
      </w:r>
    </w:p>
    <w:p w:rsidR="001E6F4F" w:rsidRPr="0046770E" w:rsidRDefault="001E6F4F" w:rsidP="001E6F4F">
      <w:pPr>
        <w:rPr>
          <w:rFonts w:asciiTheme="minorHAnsi" w:hAnsiTheme="minorHAnsi" w:cs="Times New Roman"/>
          <w:color w:val="484E41"/>
          <w:sz w:val="20"/>
          <w:szCs w:val="20"/>
          <w:lang w:val="en-AU" w:bidi="ar-SA"/>
        </w:rPr>
      </w:pPr>
    </w:p>
    <w:p w:rsidR="00FE6849" w:rsidRPr="0046770E" w:rsidRDefault="00FE6849" w:rsidP="00A0703F">
      <w:pPr>
        <w:pStyle w:val="BodyText"/>
        <w:rPr>
          <w:rFonts w:asciiTheme="minorHAnsi" w:hAnsiTheme="minorHAnsi"/>
        </w:rPr>
      </w:pPr>
    </w:p>
    <w:sectPr w:rsidR="00FE6849" w:rsidRPr="0046770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5E" w:rsidRDefault="00732D5E" w:rsidP="00732D5E">
      <w:r>
        <w:separator/>
      </w:r>
    </w:p>
  </w:endnote>
  <w:endnote w:type="continuationSeparator" w:id="0">
    <w:p w:rsidR="00732D5E" w:rsidRDefault="00732D5E" w:rsidP="0073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MTI12">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65" w:rsidRDefault="00734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87664"/>
      <w:docPartObj>
        <w:docPartGallery w:val="Page Numbers (Bottom of Page)"/>
        <w:docPartUnique/>
      </w:docPartObj>
    </w:sdtPr>
    <w:sdtEndPr>
      <w:rPr>
        <w:noProof/>
      </w:rPr>
    </w:sdtEndPr>
    <w:sdtContent>
      <w:p w:rsidR="00732D5E" w:rsidRDefault="00732D5E">
        <w:pPr>
          <w:pStyle w:val="Footer"/>
          <w:jc w:val="center"/>
        </w:pPr>
        <w:r>
          <w:fldChar w:fldCharType="begin"/>
        </w:r>
        <w:r>
          <w:instrText xml:space="preserve"> PAGE   \* MERGEFORMAT </w:instrText>
        </w:r>
        <w:r>
          <w:fldChar w:fldCharType="separate"/>
        </w:r>
        <w:r w:rsidR="001941B1">
          <w:rPr>
            <w:noProof/>
          </w:rPr>
          <w:t>8</w:t>
        </w:r>
        <w:r>
          <w:rPr>
            <w:noProof/>
          </w:rPr>
          <w:fldChar w:fldCharType="end"/>
        </w:r>
      </w:p>
    </w:sdtContent>
  </w:sdt>
  <w:p w:rsidR="00732D5E" w:rsidRDefault="00732D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65" w:rsidRDefault="00734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5E" w:rsidRDefault="00732D5E" w:rsidP="00732D5E">
      <w:r>
        <w:separator/>
      </w:r>
    </w:p>
  </w:footnote>
  <w:footnote w:type="continuationSeparator" w:id="0">
    <w:p w:rsidR="00732D5E" w:rsidRDefault="00732D5E" w:rsidP="0073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65" w:rsidRDefault="007340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65" w:rsidRDefault="007340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65" w:rsidRDefault="00734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729"/>
    <w:multiLevelType w:val="hybridMultilevel"/>
    <w:tmpl w:val="37B0E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0D6424"/>
    <w:multiLevelType w:val="hybridMultilevel"/>
    <w:tmpl w:val="ED5E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1C40F0D"/>
    <w:multiLevelType w:val="hybridMultilevel"/>
    <w:tmpl w:val="08FE3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757B9E"/>
    <w:multiLevelType w:val="hybridMultilevel"/>
    <w:tmpl w:val="786C5E9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56B52F65"/>
    <w:multiLevelType w:val="hybridMultilevel"/>
    <w:tmpl w:val="0512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A6B74B2"/>
    <w:multiLevelType w:val="hybridMultilevel"/>
    <w:tmpl w:val="530E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FE53C84"/>
    <w:multiLevelType w:val="multilevel"/>
    <w:tmpl w:val="A4AA8F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3D"/>
    <w:rsid w:val="0001369C"/>
    <w:rsid w:val="00064AF4"/>
    <w:rsid w:val="00073A86"/>
    <w:rsid w:val="00094A08"/>
    <w:rsid w:val="000A1AEC"/>
    <w:rsid w:val="000C625B"/>
    <w:rsid w:val="000D5C02"/>
    <w:rsid w:val="000F6B4A"/>
    <w:rsid w:val="00113B6E"/>
    <w:rsid w:val="0011541C"/>
    <w:rsid w:val="0012400E"/>
    <w:rsid w:val="001270E4"/>
    <w:rsid w:val="00137F1F"/>
    <w:rsid w:val="00170079"/>
    <w:rsid w:val="001941B1"/>
    <w:rsid w:val="001A25FE"/>
    <w:rsid w:val="001B1BBD"/>
    <w:rsid w:val="001B5537"/>
    <w:rsid w:val="001C78A5"/>
    <w:rsid w:val="001D26FC"/>
    <w:rsid w:val="001E6F4F"/>
    <w:rsid w:val="00212F46"/>
    <w:rsid w:val="002233E7"/>
    <w:rsid w:val="00272CBE"/>
    <w:rsid w:val="002768D4"/>
    <w:rsid w:val="00340FAE"/>
    <w:rsid w:val="00361B0A"/>
    <w:rsid w:val="003831B5"/>
    <w:rsid w:val="003C025B"/>
    <w:rsid w:val="003D463A"/>
    <w:rsid w:val="00414135"/>
    <w:rsid w:val="00441962"/>
    <w:rsid w:val="00456740"/>
    <w:rsid w:val="0046472E"/>
    <w:rsid w:val="0046770E"/>
    <w:rsid w:val="004713D5"/>
    <w:rsid w:val="004909B0"/>
    <w:rsid w:val="004A4832"/>
    <w:rsid w:val="004B0C11"/>
    <w:rsid w:val="004B14C7"/>
    <w:rsid w:val="004D2477"/>
    <w:rsid w:val="004D4548"/>
    <w:rsid w:val="004D5AB0"/>
    <w:rsid w:val="004E7164"/>
    <w:rsid w:val="0050366C"/>
    <w:rsid w:val="005248E0"/>
    <w:rsid w:val="005258F3"/>
    <w:rsid w:val="0053678E"/>
    <w:rsid w:val="0056220C"/>
    <w:rsid w:val="00565446"/>
    <w:rsid w:val="00583236"/>
    <w:rsid w:val="005866A1"/>
    <w:rsid w:val="005B553F"/>
    <w:rsid w:val="005E12E6"/>
    <w:rsid w:val="00600E43"/>
    <w:rsid w:val="00634737"/>
    <w:rsid w:val="0067490F"/>
    <w:rsid w:val="0068075A"/>
    <w:rsid w:val="00695479"/>
    <w:rsid w:val="006A3347"/>
    <w:rsid w:val="006B084D"/>
    <w:rsid w:val="006F4A37"/>
    <w:rsid w:val="00732D5E"/>
    <w:rsid w:val="00734065"/>
    <w:rsid w:val="007B349A"/>
    <w:rsid w:val="007C43B8"/>
    <w:rsid w:val="007E79BB"/>
    <w:rsid w:val="00804D17"/>
    <w:rsid w:val="0084508D"/>
    <w:rsid w:val="008501E8"/>
    <w:rsid w:val="0085126B"/>
    <w:rsid w:val="00851A24"/>
    <w:rsid w:val="00866DBE"/>
    <w:rsid w:val="00866EB7"/>
    <w:rsid w:val="008A0408"/>
    <w:rsid w:val="008B02E5"/>
    <w:rsid w:val="008F3928"/>
    <w:rsid w:val="008F666F"/>
    <w:rsid w:val="009245B7"/>
    <w:rsid w:val="00966FA3"/>
    <w:rsid w:val="00976F04"/>
    <w:rsid w:val="009848D8"/>
    <w:rsid w:val="009A4838"/>
    <w:rsid w:val="009B0AA7"/>
    <w:rsid w:val="009C1186"/>
    <w:rsid w:val="009D28CC"/>
    <w:rsid w:val="009F1AC9"/>
    <w:rsid w:val="00A0210B"/>
    <w:rsid w:val="00A0703F"/>
    <w:rsid w:val="00A10FCE"/>
    <w:rsid w:val="00A175CC"/>
    <w:rsid w:val="00A3083C"/>
    <w:rsid w:val="00A34CF4"/>
    <w:rsid w:val="00A37443"/>
    <w:rsid w:val="00A84291"/>
    <w:rsid w:val="00AA5487"/>
    <w:rsid w:val="00AB2D6F"/>
    <w:rsid w:val="00AC06FF"/>
    <w:rsid w:val="00AC0B3B"/>
    <w:rsid w:val="00AC5A7E"/>
    <w:rsid w:val="00AF31B0"/>
    <w:rsid w:val="00AF6557"/>
    <w:rsid w:val="00B21DEC"/>
    <w:rsid w:val="00B62F3A"/>
    <w:rsid w:val="00B65EAD"/>
    <w:rsid w:val="00B92B03"/>
    <w:rsid w:val="00CA5AF3"/>
    <w:rsid w:val="00CB0D26"/>
    <w:rsid w:val="00CC473D"/>
    <w:rsid w:val="00CF5C76"/>
    <w:rsid w:val="00D063AF"/>
    <w:rsid w:val="00D07707"/>
    <w:rsid w:val="00D11181"/>
    <w:rsid w:val="00D16D05"/>
    <w:rsid w:val="00D22CE1"/>
    <w:rsid w:val="00D47476"/>
    <w:rsid w:val="00D545C3"/>
    <w:rsid w:val="00D63172"/>
    <w:rsid w:val="00D730CC"/>
    <w:rsid w:val="00D779A5"/>
    <w:rsid w:val="00D80348"/>
    <w:rsid w:val="00D9332E"/>
    <w:rsid w:val="00DA214D"/>
    <w:rsid w:val="00DA43E4"/>
    <w:rsid w:val="00DD5AFF"/>
    <w:rsid w:val="00DE0571"/>
    <w:rsid w:val="00DE5919"/>
    <w:rsid w:val="00DF3211"/>
    <w:rsid w:val="00DF5DC0"/>
    <w:rsid w:val="00E60B80"/>
    <w:rsid w:val="00E8124E"/>
    <w:rsid w:val="00EE1769"/>
    <w:rsid w:val="00EF1C6B"/>
    <w:rsid w:val="00F16D02"/>
    <w:rsid w:val="00F24AF3"/>
    <w:rsid w:val="00FE6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3D"/>
    <w:pPr>
      <w:suppressAutoHyphens/>
      <w:spacing w:after="0" w:line="240" w:lineRule="auto"/>
    </w:pPr>
    <w:rPr>
      <w:rFonts w:ascii="Calibri" w:eastAsia="Times New Roman" w:hAnsi="Calibri" w:cs="Calibri"/>
      <w:sz w:val="24"/>
      <w:szCs w:val="24"/>
      <w:lang w:val="en-US" w:bidi="en-US"/>
    </w:rPr>
  </w:style>
  <w:style w:type="paragraph" w:styleId="Heading4">
    <w:name w:val="heading 4"/>
    <w:basedOn w:val="Normal"/>
    <w:link w:val="Heading4Char"/>
    <w:uiPriority w:val="9"/>
    <w:qFormat/>
    <w:rsid w:val="00FE6849"/>
    <w:pPr>
      <w:suppressAutoHyphens w:val="0"/>
      <w:spacing w:before="100" w:beforeAutospacing="1" w:after="100" w:afterAutospacing="1"/>
      <w:outlineLvl w:val="3"/>
    </w:pPr>
    <w:rPr>
      <w:rFonts w:ascii="Times New Roman" w:hAnsi="Times New Roman" w:cs="Times New Roman"/>
      <w:b/>
      <w:bCs/>
      <w:lang w:val="en-AU"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473D"/>
    <w:rPr>
      <w:color w:val="0000FF"/>
      <w:u w:val="single"/>
    </w:rPr>
  </w:style>
  <w:style w:type="paragraph" w:customStyle="1" w:styleId="IPAHeading">
    <w:name w:val="IPA Heading"/>
    <w:basedOn w:val="Normal"/>
    <w:autoRedefine/>
    <w:qFormat/>
    <w:rsid w:val="00456740"/>
    <w:pPr>
      <w:widowControl w:val="0"/>
      <w:autoSpaceDE w:val="0"/>
      <w:autoSpaceDN w:val="0"/>
      <w:adjustRightInd w:val="0"/>
      <w:spacing w:line="320" w:lineRule="atLeast"/>
      <w:ind w:right="-150"/>
      <w:textAlignment w:val="center"/>
    </w:pPr>
    <w:rPr>
      <w:rFonts w:ascii="Arial" w:hAnsi="Arial" w:cs="Arial"/>
      <w:b/>
      <w:bCs/>
      <w:color w:val="E06C08"/>
      <w:sz w:val="28"/>
      <w:szCs w:val="28"/>
      <w:lang w:val="en-GB" w:bidi="ar-SA"/>
    </w:rPr>
  </w:style>
  <w:style w:type="paragraph" w:styleId="TOC1">
    <w:name w:val="toc 1"/>
    <w:basedOn w:val="Normal"/>
    <w:next w:val="Normal"/>
    <w:autoRedefine/>
    <w:uiPriority w:val="39"/>
    <w:rsid w:val="00CC473D"/>
    <w:pPr>
      <w:tabs>
        <w:tab w:val="right" w:leader="dot" w:pos="9054"/>
      </w:tabs>
      <w:spacing w:after="100"/>
    </w:pPr>
    <w:rPr>
      <w:rFonts w:ascii="Arial" w:hAnsi="Arial"/>
      <w:noProof/>
      <w:color w:val="484E41"/>
      <w:sz w:val="20"/>
      <w:szCs w:val="20"/>
    </w:rPr>
  </w:style>
  <w:style w:type="paragraph" w:styleId="ListParagraph">
    <w:name w:val="List Paragraph"/>
    <w:basedOn w:val="Normal"/>
    <w:uiPriority w:val="34"/>
    <w:qFormat/>
    <w:rsid w:val="003831B5"/>
    <w:pPr>
      <w:ind w:left="720"/>
      <w:contextualSpacing/>
    </w:pPr>
  </w:style>
  <w:style w:type="paragraph" w:customStyle="1" w:styleId="InformationRequest">
    <w:name w:val="Information Request"/>
    <w:basedOn w:val="Normal"/>
    <w:next w:val="BodyText"/>
    <w:rsid w:val="009B0AA7"/>
    <w:pPr>
      <w:keepLines/>
      <w:suppressAutoHyphens w:val="0"/>
      <w:spacing w:before="120" w:line="280" w:lineRule="atLeast"/>
      <w:jc w:val="both"/>
    </w:pPr>
    <w:rPr>
      <w:rFonts w:ascii="Arial" w:hAnsi="Arial" w:cs="Times New Roman"/>
      <w:i/>
      <w:sz w:val="22"/>
      <w:szCs w:val="20"/>
      <w:lang w:val="en-AU" w:eastAsia="en-AU" w:bidi="ar-SA"/>
    </w:rPr>
  </w:style>
  <w:style w:type="paragraph" w:styleId="BodyText">
    <w:name w:val="Body Text"/>
    <w:basedOn w:val="Normal"/>
    <w:link w:val="BodyTextChar"/>
    <w:uiPriority w:val="99"/>
    <w:unhideWhenUsed/>
    <w:rsid w:val="009B0AA7"/>
    <w:pPr>
      <w:spacing w:after="120"/>
    </w:pPr>
  </w:style>
  <w:style w:type="character" w:customStyle="1" w:styleId="BodyTextChar">
    <w:name w:val="Body Text Char"/>
    <w:basedOn w:val="DefaultParagraphFont"/>
    <w:link w:val="BodyText"/>
    <w:uiPriority w:val="99"/>
    <w:rsid w:val="009B0AA7"/>
    <w:rPr>
      <w:rFonts w:ascii="Calibri" w:eastAsia="Times New Roman" w:hAnsi="Calibri" w:cs="Calibri"/>
      <w:sz w:val="24"/>
      <w:szCs w:val="24"/>
      <w:lang w:val="en-US" w:bidi="en-US"/>
    </w:rPr>
  </w:style>
  <w:style w:type="paragraph" w:styleId="BalloonText">
    <w:name w:val="Balloon Text"/>
    <w:basedOn w:val="Normal"/>
    <w:link w:val="BalloonTextChar"/>
    <w:uiPriority w:val="99"/>
    <w:semiHidden/>
    <w:unhideWhenUsed/>
    <w:rsid w:val="007C43B8"/>
    <w:rPr>
      <w:rFonts w:ascii="Tahoma" w:hAnsi="Tahoma" w:cs="Tahoma"/>
      <w:sz w:val="16"/>
      <w:szCs w:val="16"/>
    </w:rPr>
  </w:style>
  <w:style w:type="character" w:customStyle="1" w:styleId="BalloonTextChar">
    <w:name w:val="Balloon Text Char"/>
    <w:basedOn w:val="DefaultParagraphFont"/>
    <w:link w:val="BalloonText"/>
    <w:uiPriority w:val="99"/>
    <w:semiHidden/>
    <w:rsid w:val="007C43B8"/>
    <w:rPr>
      <w:rFonts w:ascii="Tahoma" w:eastAsia="Times New Roman" w:hAnsi="Tahoma" w:cs="Tahoma"/>
      <w:sz w:val="16"/>
      <w:szCs w:val="16"/>
      <w:lang w:val="en-US" w:bidi="en-US"/>
    </w:rPr>
  </w:style>
  <w:style w:type="character" w:customStyle="1" w:styleId="apple-converted-space">
    <w:name w:val="apple-converted-space"/>
    <w:basedOn w:val="DefaultParagraphFont"/>
    <w:rsid w:val="00DD5AFF"/>
  </w:style>
  <w:style w:type="character" w:styleId="Emphasis">
    <w:name w:val="Emphasis"/>
    <w:basedOn w:val="DefaultParagraphFont"/>
    <w:uiPriority w:val="20"/>
    <w:qFormat/>
    <w:rsid w:val="00DD5AFF"/>
    <w:rPr>
      <w:i/>
      <w:iCs/>
    </w:rPr>
  </w:style>
  <w:style w:type="character" w:customStyle="1" w:styleId="Heading4Char">
    <w:name w:val="Heading 4 Char"/>
    <w:basedOn w:val="DefaultParagraphFont"/>
    <w:link w:val="Heading4"/>
    <w:uiPriority w:val="9"/>
    <w:rsid w:val="00FE6849"/>
    <w:rPr>
      <w:rFonts w:ascii="Times New Roman" w:eastAsia="Times New Roman" w:hAnsi="Times New Roman" w:cs="Times New Roman"/>
      <w:b/>
      <w:bCs/>
      <w:sz w:val="24"/>
      <w:szCs w:val="24"/>
      <w:lang w:eastAsia="en-AU"/>
    </w:rPr>
  </w:style>
  <w:style w:type="paragraph" w:customStyle="1" w:styleId="BodytextArial10pt">
    <w:name w:val="Body text Arial 10pt"/>
    <w:basedOn w:val="Normal"/>
    <w:qFormat/>
    <w:rsid w:val="001E6F4F"/>
    <w:pPr>
      <w:spacing w:before="120" w:after="120"/>
    </w:pPr>
    <w:rPr>
      <w:rFonts w:ascii="Arial" w:hAnsi="Arial" w:cs="Arial"/>
      <w:sz w:val="20"/>
      <w:szCs w:val="22"/>
    </w:rPr>
  </w:style>
  <w:style w:type="paragraph" w:customStyle="1" w:styleId="Subhead-Arial12ptbold">
    <w:name w:val="Subhead - Arial 12pt bold"/>
    <w:basedOn w:val="Normal"/>
    <w:qFormat/>
    <w:rsid w:val="001E6F4F"/>
    <w:rPr>
      <w:rFonts w:ascii="Arial Bold" w:hAnsi="Arial Bold"/>
      <w:color w:val="272727"/>
    </w:rPr>
  </w:style>
  <w:style w:type="paragraph" w:styleId="Header">
    <w:name w:val="header"/>
    <w:basedOn w:val="Normal"/>
    <w:link w:val="HeaderChar"/>
    <w:uiPriority w:val="99"/>
    <w:unhideWhenUsed/>
    <w:rsid w:val="00732D5E"/>
    <w:pPr>
      <w:tabs>
        <w:tab w:val="center" w:pos="4513"/>
        <w:tab w:val="right" w:pos="9026"/>
      </w:tabs>
    </w:pPr>
  </w:style>
  <w:style w:type="character" w:customStyle="1" w:styleId="HeaderChar">
    <w:name w:val="Header Char"/>
    <w:basedOn w:val="DefaultParagraphFont"/>
    <w:link w:val="Header"/>
    <w:uiPriority w:val="99"/>
    <w:rsid w:val="00732D5E"/>
    <w:rPr>
      <w:rFonts w:ascii="Calibri" w:eastAsia="Times New Roman" w:hAnsi="Calibri" w:cs="Calibri"/>
      <w:sz w:val="24"/>
      <w:szCs w:val="24"/>
      <w:lang w:val="en-US" w:bidi="en-US"/>
    </w:rPr>
  </w:style>
  <w:style w:type="paragraph" w:styleId="Footer">
    <w:name w:val="footer"/>
    <w:basedOn w:val="Normal"/>
    <w:link w:val="FooterChar"/>
    <w:uiPriority w:val="99"/>
    <w:unhideWhenUsed/>
    <w:rsid w:val="00732D5E"/>
    <w:pPr>
      <w:tabs>
        <w:tab w:val="center" w:pos="4513"/>
        <w:tab w:val="right" w:pos="9026"/>
      </w:tabs>
    </w:pPr>
  </w:style>
  <w:style w:type="character" w:customStyle="1" w:styleId="FooterChar">
    <w:name w:val="Footer Char"/>
    <w:basedOn w:val="DefaultParagraphFont"/>
    <w:link w:val="Footer"/>
    <w:uiPriority w:val="99"/>
    <w:rsid w:val="00732D5E"/>
    <w:rPr>
      <w:rFonts w:ascii="Calibri" w:eastAsia="Times New Roman" w:hAnsi="Calibri" w:cs="Calibri"/>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3D"/>
    <w:pPr>
      <w:suppressAutoHyphens/>
      <w:spacing w:after="0" w:line="240" w:lineRule="auto"/>
    </w:pPr>
    <w:rPr>
      <w:rFonts w:ascii="Calibri" w:eastAsia="Times New Roman" w:hAnsi="Calibri" w:cs="Calibri"/>
      <w:sz w:val="24"/>
      <w:szCs w:val="24"/>
      <w:lang w:val="en-US" w:bidi="en-US"/>
    </w:rPr>
  </w:style>
  <w:style w:type="paragraph" w:styleId="Heading4">
    <w:name w:val="heading 4"/>
    <w:basedOn w:val="Normal"/>
    <w:link w:val="Heading4Char"/>
    <w:uiPriority w:val="9"/>
    <w:qFormat/>
    <w:rsid w:val="00FE6849"/>
    <w:pPr>
      <w:suppressAutoHyphens w:val="0"/>
      <w:spacing w:before="100" w:beforeAutospacing="1" w:after="100" w:afterAutospacing="1"/>
      <w:outlineLvl w:val="3"/>
    </w:pPr>
    <w:rPr>
      <w:rFonts w:ascii="Times New Roman" w:hAnsi="Times New Roman" w:cs="Times New Roman"/>
      <w:b/>
      <w:bCs/>
      <w:lang w:val="en-AU"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473D"/>
    <w:rPr>
      <w:color w:val="0000FF"/>
      <w:u w:val="single"/>
    </w:rPr>
  </w:style>
  <w:style w:type="paragraph" w:customStyle="1" w:styleId="IPAHeading">
    <w:name w:val="IPA Heading"/>
    <w:basedOn w:val="Normal"/>
    <w:autoRedefine/>
    <w:qFormat/>
    <w:rsid w:val="00456740"/>
    <w:pPr>
      <w:widowControl w:val="0"/>
      <w:autoSpaceDE w:val="0"/>
      <w:autoSpaceDN w:val="0"/>
      <w:adjustRightInd w:val="0"/>
      <w:spacing w:line="320" w:lineRule="atLeast"/>
      <w:ind w:right="-150"/>
      <w:textAlignment w:val="center"/>
    </w:pPr>
    <w:rPr>
      <w:rFonts w:ascii="Arial" w:hAnsi="Arial" w:cs="Arial"/>
      <w:b/>
      <w:bCs/>
      <w:color w:val="E06C08"/>
      <w:sz w:val="28"/>
      <w:szCs w:val="28"/>
      <w:lang w:val="en-GB" w:bidi="ar-SA"/>
    </w:rPr>
  </w:style>
  <w:style w:type="paragraph" w:styleId="TOC1">
    <w:name w:val="toc 1"/>
    <w:basedOn w:val="Normal"/>
    <w:next w:val="Normal"/>
    <w:autoRedefine/>
    <w:uiPriority w:val="39"/>
    <w:rsid w:val="00CC473D"/>
    <w:pPr>
      <w:tabs>
        <w:tab w:val="right" w:leader="dot" w:pos="9054"/>
      </w:tabs>
      <w:spacing w:after="100"/>
    </w:pPr>
    <w:rPr>
      <w:rFonts w:ascii="Arial" w:hAnsi="Arial"/>
      <w:noProof/>
      <w:color w:val="484E41"/>
      <w:sz w:val="20"/>
      <w:szCs w:val="20"/>
    </w:rPr>
  </w:style>
  <w:style w:type="paragraph" w:styleId="ListParagraph">
    <w:name w:val="List Paragraph"/>
    <w:basedOn w:val="Normal"/>
    <w:uiPriority w:val="34"/>
    <w:qFormat/>
    <w:rsid w:val="003831B5"/>
    <w:pPr>
      <w:ind w:left="720"/>
      <w:contextualSpacing/>
    </w:pPr>
  </w:style>
  <w:style w:type="paragraph" w:customStyle="1" w:styleId="InformationRequest">
    <w:name w:val="Information Request"/>
    <w:basedOn w:val="Normal"/>
    <w:next w:val="BodyText"/>
    <w:rsid w:val="009B0AA7"/>
    <w:pPr>
      <w:keepLines/>
      <w:suppressAutoHyphens w:val="0"/>
      <w:spacing w:before="120" w:line="280" w:lineRule="atLeast"/>
      <w:jc w:val="both"/>
    </w:pPr>
    <w:rPr>
      <w:rFonts w:ascii="Arial" w:hAnsi="Arial" w:cs="Times New Roman"/>
      <w:i/>
      <w:sz w:val="22"/>
      <w:szCs w:val="20"/>
      <w:lang w:val="en-AU" w:eastAsia="en-AU" w:bidi="ar-SA"/>
    </w:rPr>
  </w:style>
  <w:style w:type="paragraph" w:styleId="BodyText">
    <w:name w:val="Body Text"/>
    <w:basedOn w:val="Normal"/>
    <w:link w:val="BodyTextChar"/>
    <w:uiPriority w:val="99"/>
    <w:unhideWhenUsed/>
    <w:rsid w:val="009B0AA7"/>
    <w:pPr>
      <w:spacing w:after="120"/>
    </w:pPr>
  </w:style>
  <w:style w:type="character" w:customStyle="1" w:styleId="BodyTextChar">
    <w:name w:val="Body Text Char"/>
    <w:basedOn w:val="DefaultParagraphFont"/>
    <w:link w:val="BodyText"/>
    <w:uiPriority w:val="99"/>
    <w:rsid w:val="009B0AA7"/>
    <w:rPr>
      <w:rFonts w:ascii="Calibri" w:eastAsia="Times New Roman" w:hAnsi="Calibri" w:cs="Calibri"/>
      <w:sz w:val="24"/>
      <w:szCs w:val="24"/>
      <w:lang w:val="en-US" w:bidi="en-US"/>
    </w:rPr>
  </w:style>
  <w:style w:type="paragraph" w:styleId="BalloonText">
    <w:name w:val="Balloon Text"/>
    <w:basedOn w:val="Normal"/>
    <w:link w:val="BalloonTextChar"/>
    <w:uiPriority w:val="99"/>
    <w:semiHidden/>
    <w:unhideWhenUsed/>
    <w:rsid w:val="007C43B8"/>
    <w:rPr>
      <w:rFonts w:ascii="Tahoma" w:hAnsi="Tahoma" w:cs="Tahoma"/>
      <w:sz w:val="16"/>
      <w:szCs w:val="16"/>
    </w:rPr>
  </w:style>
  <w:style w:type="character" w:customStyle="1" w:styleId="BalloonTextChar">
    <w:name w:val="Balloon Text Char"/>
    <w:basedOn w:val="DefaultParagraphFont"/>
    <w:link w:val="BalloonText"/>
    <w:uiPriority w:val="99"/>
    <w:semiHidden/>
    <w:rsid w:val="007C43B8"/>
    <w:rPr>
      <w:rFonts w:ascii="Tahoma" w:eastAsia="Times New Roman" w:hAnsi="Tahoma" w:cs="Tahoma"/>
      <w:sz w:val="16"/>
      <w:szCs w:val="16"/>
      <w:lang w:val="en-US" w:bidi="en-US"/>
    </w:rPr>
  </w:style>
  <w:style w:type="character" w:customStyle="1" w:styleId="apple-converted-space">
    <w:name w:val="apple-converted-space"/>
    <w:basedOn w:val="DefaultParagraphFont"/>
    <w:rsid w:val="00DD5AFF"/>
  </w:style>
  <w:style w:type="character" w:styleId="Emphasis">
    <w:name w:val="Emphasis"/>
    <w:basedOn w:val="DefaultParagraphFont"/>
    <w:uiPriority w:val="20"/>
    <w:qFormat/>
    <w:rsid w:val="00DD5AFF"/>
    <w:rPr>
      <w:i/>
      <w:iCs/>
    </w:rPr>
  </w:style>
  <w:style w:type="character" w:customStyle="1" w:styleId="Heading4Char">
    <w:name w:val="Heading 4 Char"/>
    <w:basedOn w:val="DefaultParagraphFont"/>
    <w:link w:val="Heading4"/>
    <w:uiPriority w:val="9"/>
    <w:rsid w:val="00FE6849"/>
    <w:rPr>
      <w:rFonts w:ascii="Times New Roman" w:eastAsia="Times New Roman" w:hAnsi="Times New Roman" w:cs="Times New Roman"/>
      <w:b/>
      <w:bCs/>
      <w:sz w:val="24"/>
      <w:szCs w:val="24"/>
      <w:lang w:eastAsia="en-AU"/>
    </w:rPr>
  </w:style>
  <w:style w:type="paragraph" w:customStyle="1" w:styleId="BodytextArial10pt">
    <w:name w:val="Body text Arial 10pt"/>
    <w:basedOn w:val="Normal"/>
    <w:qFormat/>
    <w:rsid w:val="001E6F4F"/>
    <w:pPr>
      <w:spacing w:before="120" w:after="120"/>
    </w:pPr>
    <w:rPr>
      <w:rFonts w:ascii="Arial" w:hAnsi="Arial" w:cs="Arial"/>
      <w:sz w:val="20"/>
      <w:szCs w:val="22"/>
    </w:rPr>
  </w:style>
  <w:style w:type="paragraph" w:customStyle="1" w:styleId="Subhead-Arial12ptbold">
    <w:name w:val="Subhead - Arial 12pt bold"/>
    <w:basedOn w:val="Normal"/>
    <w:qFormat/>
    <w:rsid w:val="001E6F4F"/>
    <w:rPr>
      <w:rFonts w:ascii="Arial Bold" w:hAnsi="Arial Bold"/>
      <w:color w:val="272727"/>
    </w:rPr>
  </w:style>
  <w:style w:type="paragraph" w:styleId="Header">
    <w:name w:val="header"/>
    <w:basedOn w:val="Normal"/>
    <w:link w:val="HeaderChar"/>
    <w:uiPriority w:val="99"/>
    <w:unhideWhenUsed/>
    <w:rsid w:val="00732D5E"/>
    <w:pPr>
      <w:tabs>
        <w:tab w:val="center" w:pos="4513"/>
        <w:tab w:val="right" w:pos="9026"/>
      </w:tabs>
    </w:pPr>
  </w:style>
  <w:style w:type="character" w:customStyle="1" w:styleId="HeaderChar">
    <w:name w:val="Header Char"/>
    <w:basedOn w:val="DefaultParagraphFont"/>
    <w:link w:val="Header"/>
    <w:uiPriority w:val="99"/>
    <w:rsid w:val="00732D5E"/>
    <w:rPr>
      <w:rFonts w:ascii="Calibri" w:eastAsia="Times New Roman" w:hAnsi="Calibri" w:cs="Calibri"/>
      <w:sz w:val="24"/>
      <w:szCs w:val="24"/>
      <w:lang w:val="en-US" w:bidi="en-US"/>
    </w:rPr>
  </w:style>
  <w:style w:type="paragraph" w:styleId="Footer">
    <w:name w:val="footer"/>
    <w:basedOn w:val="Normal"/>
    <w:link w:val="FooterChar"/>
    <w:uiPriority w:val="99"/>
    <w:unhideWhenUsed/>
    <w:rsid w:val="00732D5E"/>
    <w:pPr>
      <w:tabs>
        <w:tab w:val="center" w:pos="4513"/>
        <w:tab w:val="right" w:pos="9026"/>
      </w:tabs>
    </w:pPr>
  </w:style>
  <w:style w:type="character" w:customStyle="1" w:styleId="FooterChar">
    <w:name w:val="Footer Char"/>
    <w:basedOn w:val="DefaultParagraphFont"/>
    <w:link w:val="Footer"/>
    <w:uiPriority w:val="99"/>
    <w:rsid w:val="00732D5E"/>
    <w:rPr>
      <w:rFonts w:ascii="Calibri" w:eastAsia="Times New Roman" w:hAnsi="Calibri" w:cs="Calibri"/>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blicaccountants.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eadoffice@publicaccountants.org.a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3600</Value>
    </TaxCatchAl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791A-3D23-4BF1-93B9-89704380B1E0}">
  <ds:schemaRefs>
    <ds:schemaRef ds:uri="http://schemas.microsoft.com/office/2006/metadata/customXsn"/>
  </ds:schemaRefs>
</ds:datastoreItem>
</file>

<file path=customXml/itemProps2.xml><?xml version="1.0" encoding="utf-8"?>
<ds:datastoreItem xmlns:ds="http://schemas.openxmlformats.org/officeDocument/2006/customXml" ds:itemID="{6641EB74-01C1-4798-AD9B-3742D1834B04}">
  <ds:schemaRefs>
    <ds:schemaRef ds:uri="Microsoft.SharePoint.Taxonomy.ContentTypeSync"/>
  </ds:schemaRefs>
</ds:datastoreItem>
</file>

<file path=customXml/itemProps3.xml><?xml version="1.0" encoding="utf-8"?>
<ds:datastoreItem xmlns:ds="http://schemas.openxmlformats.org/officeDocument/2006/customXml" ds:itemID="{19EDED8B-3C86-444B-A87C-2832B1F6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9709B-401A-4268-AE15-E0272B164AC1}">
  <ds:schemaRefs>
    <ds:schemaRef ds:uri="http://schemas.microsoft.com/sharepoint/v3/contenttype/forms"/>
  </ds:schemaRefs>
</ds:datastoreItem>
</file>

<file path=customXml/itemProps5.xml><?xml version="1.0" encoding="utf-8"?>
<ds:datastoreItem xmlns:ds="http://schemas.openxmlformats.org/officeDocument/2006/customXml" ds:itemID="{D4A2F7A7-8A8E-4847-BEAB-C6D7630D5B53}">
  <ds:schemaRefs>
    <ds:schemaRef ds:uri="http://purl.org/dc/dcmitype/"/>
    <ds:schemaRef ds:uri="8044c801-d84b-4ee1-a77e-678f8dcdee17"/>
    <ds:schemaRef ds:uri="http://purl.org/dc/terms/"/>
    <ds:schemaRef ds:uri="3f4bcce7-ac1a-4c9d-aa3e-7e77695652db"/>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966D0481-1615-4EAE-8CBF-C105A9258E6D}">
  <ds:schemaRefs>
    <ds:schemaRef ds:uri="http://schemas.microsoft.com/sharepoint/events"/>
  </ds:schemaRefs>
</ds:datastoreItem>
</file>

<file path=customXml/itemProps7.xml><?xml version="1.0" encoding="utf-8"?>
<ds:datastoreItem xmlns:ds="http://schemas.openxmlformats.org/officeDocument/2006/customXml" ds:itemID="{94946FC8-4BF9-4E61-AD1B-E27BDF90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2871</Words>
  <Characters>16371</Characters>
  <Application>Microsoft Office Word</Application>
  <DocSecurity>0</DocSecurity>
  <Lines>314</Lines>
  <Paragraphs>95</Paragraphs>
  <ScaleCrop>false</ScaleCrop>
  <HeadingPairs>
    <vt:vector size="2" baseType="variant">
      <vt:variant>
        <vt:lpstr>Title</vt:lpstr>
      </vt:variant>
      <vt:variant>
        <vt:i4>1</vt:i4>
      </vt:variant>
    </vt:vector>
  </HeadingPairs>
  <TitlesOfParts>
    <vt:vector size="1" baseType="lpstr">
      <vt:lpstr>Submission 22 - Institute of Public Accountants - Superannuation Competitiveness and Efficiency - Commissioned study</vt:lpstr>
    </vt:vector>
  </TitlesOfParts>
  <Company>Institute of Public Accountants</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Institute of Public Accountants - Superannuation Competitiveness and Efficiency - Commissioned study</dc:title>
  <dc:creator>Institute of Public Accountants</dc:creator>
  <cp:lastModifiedBy>Pimperl, Mark</cp:lastModifiedBy>
  <cp:revision>3</cp:revision>
  <dcterms:created xsi:type="dcterms:W3CDTF">2016-04-22T00:54:00Z</dcterms:created>
  <dcterms:modified xsi:type="dcterms:W3CDTF">2016-04-22T00:57:00Z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2500</vt:r8>
  </property>
  <property fmtid="{D5CDD505-2E9C-101B-9397-08002B2CF9AE}" pid="5" name="TaxKeyword">
    <vt:lpwstr>3600;#Institute of Public Accountants|bcd6e0b2-0432-43c2-8786-1fe820fb8eae</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