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C8C50" w14:textId="77777777" w:rsidR="003446DD" w:rsidRPr="00CF49DC" w:rsidRDefault="003446DD" w:rsidP="00B97C7C">
      <w:pPr>
        <w:jc w:val="both"/>
        <w:rPr>
          <w:rFonts w:ascii="Times New Roman" w:hAnsi="Times New Roman"/>
        </w:rPr>
      </w:pPr>
    </w:p>
    <w:p w14:paraId="146FD4C6" w14:textId="77777777" w:rsidR="00733AAF" w:rsidRPr="00CF49DC" w:rsidRDefault="00733AAF" w:rsidP="00B97C7C">
      <w:pPr>
        <w:jc w:val="both"/>
        <w:rPr>
          <w:rFonts w:ascii="Times New Roman" w:hAnsi="Times New Roman"/>
        </w:rPr>
      </w:pPr>
    </w:p>
    <w:p w14:paraId="21425F36" w14:textId="77777777" w:rsidR="00272197" w:rsidRPr="00CF49DC" w:rsidRDefault="00272197" w:rsidP="00B97C7C">
      <w:pPr>
        <w:jc w:val="both"/>
        <w:rPr>
          <w:rFonts w:ascii="Times New Roman" w:hAnsi="Times New Roman"/>
        </w:rPr>
      </w:pPr>
    </w:p>
    <w:p w14:paraId="0A4B65B3" w14:textId="77777777" w:rsidR="00C15A13" w:rsidRDefault="00C15A13" w:rsidP="00C15A13">
      <w:pPr>
        <w:jc w:val="right"/>
        <w:rPr>
          <w:rFonts w:ascii="Times New Roman" w:hAnsi="Times New Roman"/>
          <w:b/>
          <w:sz w:val="18"/>
          <w:szCs w:val="18"/>
        </w:rPr>
      </w:pPr>
      <w:r w:rsidRPr="00C15A13">
        <w:rPr>
          <w:rFonts w:ascii="Times New Roman" w:hAnsi="Times New Roman"/>
          <w:b/>
          <w:sz w:val="18"/>
          <w:szCs w:val="18"/>
        </w:rPr>
        <w:t xml:space="preserve">SUBMISSION: </w:t>
      </w:r>
      <w:r w:rsidR="00107385" w:rsidRPr="00C15A13">
        <w:rPr>
          <w:rFonts w:ascii="Times New Roman" w:hAnsi="Times New Roman"/>
          <w:b/>
          <w:sz w:val="18"/>
          <w:szCs w:val="18"/>
        </w:rPr>
        <w:t xml:space="preserve">ISSUES PAPER ON SUPERANNUATION MATTERS </w:t>
      </w:r>
    </w:p>
    <w:p w14:paraId="098937A8" w14:textId="77777777" w:rsidR="00C15A13" w:rsidRDefault="00C15A13" w:rsidP="00C15A13">
      <w:pPr>
        <w:jc w:val="right"/>
        <w:rPr>
          <w:rFonts w:ascii="Times New Roman" w:hAnsi="Times New Roman"/>
          <w:b/>
          <w:sz w:val="18"/>
          <w:szCs w:val="18"/>
        </w:rPr>
      </w:pPr>
    </w:p>
    <w:p w14:paraId="7028E146" w14:textId="77777777" w:rsidR="00C15A13" w:rsidRDefault="00C15A13" w:rsidP="00C15A13">
      <w:pPr>
        <w:jc w:val="right"/>
        <w:rPr>
          <w:rFonts w:ascii="Times New Roman" w:hAnsi="Times New Roman"/>
          <w:b/>
          <w:sz w:val="18"/>
          <w:szCs w:val="18"/>
        </w:rPr>
      </w:pPr>
    </w:p>
    <w:p w14:paraId="6B5731F0" w14:textId="77777777" w:rsidR="00107385" w:rsidRPr="00C15A13" w:rsidRDefault="00107385" w:rsidP="00C15A13">
      <w:pPr>
        <w:jc w:val="right"/>
        <w:rPr>
          <w:rFonts w:ascii="Times New Roman" w:hAnsi="Times New Roman"/>
          <w:b/>
          <w:sz w:val="18"/>
          <w:szCs w:val="18"/>
        </w:rPr>
      </w:pPr>
      <w:r w:rsidRPr="00C15A13">
        <w:rPr>
          <w:rFonts w:ascii="Times New Roman" w:hAnsi="Times New Roman"/>
          <w:b/>
          <w:sz w:val="18"/>
          <w:szCs w:val="18"/>
        </w:rPr>
        <w:br/>
      </w:r>
    </w:p>
    <w:p w14:paraId="0B23B99B" w14:textId="77777777" w:rsidR="007814CB" w:rsidRDefault="00EB53AA" w:rsidP="00107385">
      <w:pPr>
        <w:jc w:val="center"/>
        <w:rPr>
          <w:rFonts w:ascii="Times New Roman" w:hAnsi="Times New Roman"/>
          <w:b/>
        </w:rPr>
      </w:pPr>
      <w:r w:rsidRPr="00107385">
        <w:rPr>
          <w:rFonts w:ascii="Times New Roman" w:hAnsi="Times New Roman"/>
          <w:b/>
        </w:rPr>
        <w:t xml:space="preserve">AUCTION BASED ALLOCATIONS OF </w:t>
      </w:r>
      <w:r w:rsidR="00107385" w:rsidRPr="00107385">
        <w:rPr>
          <w:rFonts w:ascii="Times New Roman" w:hAnsi="Times New Roman"/>
          <w:b/>
        </w:rPr>
        <w:t>ENTITLEMENTS TO DEFAULT ACCOUNTS</w:t>
      </w:r>
    </w:p>
    <w:p w14:paraId="749414B2" w14:textId="77777777" w:rsidR="00C15A13" w:rsidRDefault="00C15A13" w:rsidP="00107385">
      <w:pPr>
        <w:jc w:val="center"/>
        <w:rPr>
          <w:rFonts w:ascii="Times New Roman" w:hAnsi="Times New Roman"/>
          <w:b/>
        </w:rPr>
      </w:pPr>
    </w:p>
    <w:p w14:paraId="6FEAE301" w14:textId="77777777" w:rsidR="00C15A13" w:rsidRDefault="00C15A13" w:rsidP="00107385">
      <w:pPr>
        <w:jc w:val="center"/>
        <w:rPr>
          <w:rFonts w:ascii="Times New Roman" w:hAnsi="Times New Roman"/>
          <w:b/>
        </w:rPr>
      </w:pPr>
    </w:p>
    <w:p w14:paraId="21137E3F" w14:textId="77777777" w:rsidR="00C15A13" w:rsidRDefault="00C15A13" w:rsidP="007033A8">
      <w:pPr>
        <w:jc w:val="both"/>
        <w:rPr>
          <w:rFonts w:ascii="Times New Roman" w:hAnsi="Times New Roman"/>
        </w:rPr>
      </w:pPr>
      <w:r w:rsidRPr="00C15A13">
        <w:rPr>
          <w:rFonts w:ascii="Times New Roman" w:hAnsi="Times New Roman"/>
        </w:rPr>
        <w:t>It is time to speak frankly.</w:t>
      </w:r>
    </w:p>
    <w:p w14:paraId="03DF0B7C" w14:textId="77777777" w:rsidR="007033A8" w:rsidRDefault="007033A8" w:rsidP="007033A8">
      <w:pPr>
        <w:jc w:val="both"/>
        <w:rPr>
          <w:rFonts w:ascii="Times New Roman" w:hAnsi="Times New Roman"/>
        </w:rPr>
      </w:pPr>
      <w:bookmarkStart w:id="0" w:name="_GoBack"/>
      <w:bookmarkEnd w:id="0"/>
    </w:p>
    <w:p w14:paraId="1EC84A4C" w14:textId="77777777" w:rsidR="007033A8" w:rsidRDefault="007033A8" w:rsidP="007033A8">
      <w:pPr>
        <w:jc w:val="both"/>
        <w:rPr>
          <w:rFonts w:ascii="Times New Roman" w:hAnsi="Times New Roman"/>
        </w:rPr>
      </w:pPr>
    </w:p>
    <w:p w14:paraId="04D70C92" w14:textId="77777777" w:rsidR="007033A8" w:rsidRPr="007033A8" w:rsidRDefault="007033A8" w:rsidP="007033A8">
      <w:pPr>
        <w:jc w:val="both"/>
        <w:rPr>
          <w:rFonts w:ascii="Times New Roman" w:hAnsi="Times New Roman"/>
          <w:b/>
        </w:rPr>
      </w:pPr>
      <w:r w:rsidRPr="007033A8">
        <w:rPr>
          <w:rFonts w:ascii="Times New Roman" w:hAnsi="Times New Roman"/>
          <w:b/>
        </w:rPr>
        <w:t xml:space="preserve"> -- a little scene setting</w:t>
      </w:r>
    </w:p>
    <w:p w14:paraId="4909F10A" w14:textId="77777777" w:rsidR="007033A8" w:rsidRDefault="007033A8" w:rsidP="007033A8">
      <w:pPr>
        <w:jc w:val="both"/>
        <w:rPr>
          <w:rFonts w:ascii="Times New Roman" w:hAnsi="Times New Roman"/>
        </w:rPr>
      </w:pPr>
    </w:p>
    <w:p w14:paraId="1D70E8B9" w14:textId="77777777" w:rsidR="007033A8" w:rsidRDefault="007033A8" w:rsidP="007033A8">
      <w:pPr>
        <w:jc w:val="both"/>
        <w:rPr>
          <w:rFonts w:ascii="Times New Roman" w:hAnsi="Times New Roman"/>
        </w:rPr>
      </w:pPr>
      <w:r>
        <w:rPr>
          <w:rFonts w:ascii="Times New Roman" w:hAnsi="Times New Roman"/>
        </w:rPr>
        <w:t xml:space="preserve">The major Australian banking conglomerates have long had an unassailable competitive advantage stemming from </w:t>
      </w:r>
      <w:r w:rsidR="00500305">
        <w:rPr>
          <w:rFonts w:ascii="Times New Roman" w:hAnsi="Times New Roman"/>
        </w:rPr>
        <w:t>incorrect</w:t>
      </w:r>
      <w:r>
        <w:rPr>
          <w:rFonts w:ascii="Times New Roman" w:hAnsi="Times New Roman"/>
        </w:rPr>
        <w:t xml:space="preserve"> settings of </w:t>
      </w:r>
      <w:r w:rsidR="00500305">
        <w:rPr>
          <w:rFonts w:ascii="Times New Roman" w:hAnsi="Times New Roman"/>
        </w:rPr>
        <w:t>critical</w:t>
      </w:r>
      <w:r>
        <w:rPr>
          <w:rFonts w:ascii="Times New Roman" w:hAnsi="Times New Roman"/>
        </w:rPr>
        <w:t xml:space="preserve"> regulat</w:t>
      </w:r>
      <w:r w:rsidR="00500305">
        <w:rPr>
          <w:rFonts w:ascii="Times New Roman" w:hAnsi="Times New Roman"/>
        </w:rPr>
        <w:t>ory parameters</w:t>
      </w:r>
      <w:r>
        <w:rPr>
          <w:rFonts w:ascii="Times New Roman" w:hAnsi="Times New Roman"/>
        </w:rPr>
        <w:t xml:space="preserve"> – a regulatory context that could be fairly called ‘institutionally corrupt’</w:t>
      </w:r>
      <w:r w:rsidR="00500305">
        <w:rPr>
          <w:rFonts w:ascii="Times New Roman" w:hAnsi="Times New Roman"/>
        </w:rPr>
        <w:t xml:space="preserve"> is an inevitable result</w:t>
      </w:r>
      <w:r>
        <w:rPr>
          <w:rFonts w:ascii="Times New Roman" w:hAnsi="Times New Roman"/>
        </w:rPr>
        <w:t xml:space="preserve">. </w:t>
      </w:r>
    </w:p>
    <w:p w14:paraId="0F9CBDC1" w14:textId="77777777" w:rsidR="007033A8" w:rsidRDefault="007033A8" w:rsidP="007033A8">
      <w:pPr>
        <w:jc w:val="both"/>
        <w:rPr>
          <w:rFonts w:ascii="Times New Roman" w:hAnsi="Times New Roman"/>
        </w:rPr>
      </w:pPr>
    </w:p>
    <w:p w14:paraId="0B283F9A" w14:textId="77777777" w:rsidR="007033A8" w:rsidRDefault="007033A8" w:rsidP="007033A8">
      <w:pPr>
        <w:jc w:val="both"/>
        <w:rPr>
          <w:rFonts w:ascii="Times New Roman" w:hAnsi="Times New Roman"/>
        </w:rPr>
      </w:pPr>
      <w:r>
        <w:rPr>
          <w:rFonts w:ascii="Times New Roman" w:hAnsi="Times New Roman"/>
        </w:rPr>
        <w:t xml:space="preserve">The Commission among others may like to reflect on the historical process over </w:t>
      </w:r>
      <w:r w:rsidR="00C60B12">
        <w:rPr>
          <w:rFonts w:ascii="Times New Roman" w:hAnsi="Times New Roman"/>
        </w:rPr>
        <w:t>the past</w:t>
      </w:r>
      <w:r w:rsidR="00500305">
        <w:rPr>
          <w:rFonts w:ascii="Times New Roman" w:hAnsi="Times New Roman"/>
        </w:rPr>
        <w:t xml:space="preserve"> </w:t>
      </w:r>
      <w:r>
        <w:rPr>
          <w:rFonts w:ascii="Times New Roman" w:hAnsi="Times New Roman"/>
        </w:rPr>
        <w:t>three decades</w:t>
      </w:r>
      <w:r w:rsidR="00500305">
        <w:rPr>
          <w:rFonts w:ascii="Times New Roman" w:hAnsi="Times New Roman"/>
        </w:rPr>
        <w:t>. A</w:t>
      </w:r>
      <w:r>
        <w:rPr>
          <w:rFonts w:ascii="Times New Roman" w:hAnsi="Times New Roman"/>
        </w:rPr>
        <w:t xml:space="preserve"> diverse range of bank and non-bank deposit-taking institutions </w:t>
      </w:r>
      <w:r w:rsidR="00500305">
        <w:rPr>
          <w:rFonts w:ascii="Times New Roman" w:hAnsi="Times New Roman"/>
        </w:rPr>
        <w:t xml:space="preserve">was </w:t>
      </w:r>
      <w:r>
        <w:rPr>
          <w:rFonts w:ascii="Times New Roman" w:hAnsi="Times New Roman"/>
        </w:rPr>
        <w:t>steadily transformed to the 4-pillars industry structure that defines concentrated industrial ownership and dominant market power –</w:t>
      </w:r>
      <w:r w:rsidR="003E6042">
        <w:rPr>
          <w:rFonts w:ascii="Times New Roman" w:hAnsi="Times New Roman"/>
        </w:rPr>
        <w:t xml:space="preserve"> dominating </w:t>
      </w:r>
      <w:r>
        <w:rPr>
          <w:rFonts w:ascii="Times New Roman" w:hAnsi="Times New Roman"/>
        </w:rPr>
        <w:t>power extending well beyond banking business.</w:t>
      </w:r>
    </w:p>
    <w:p w14:paraId="221CAA0C" w14:textId="77777777" w:rsidR="007033A8" w:rsidRDefault="007033A8" w:rsidP="007033A8">
      <w:pPr>
        <w:jc w:val="both"/>
        <w:rPr>
          <w:rFonts w:ascii="Times New Roman" w:hAnsi="Times New Roman"/>
        </w:rPr>
      </w:pPr>
    </w:p>
    <w:p w14:paraId="40B4638E" w14:textId="77777777" w:rsidR="007033A8" w:rsidRDefault="007033A8" w:rsidP="007033A8">
      <w:pPr>
        <w:jc w:val="both"/>
        <w:rPr>
          <w:rFonts w:ascii="Times New Roman" w:hAnsi="Times New Roman"/>
        </w:rPr>
      </w:pPr>
      <w:r>
        <w:rPr>
          <w:rFonts w:ascii="Times New Roman" w:hAnsi="Times New Roman"/>
        </w:rPr>
        <w:t xml:space="preserve">Just to recap, this transformation included the managed failure and absorption of all the state banks; the local failure and exit of all bar one of the foreign retail banks newly licensed in the mid 1980s and subsequently the merging into a major bank of all the converted building society banks. Be not misled, any surviving non-bank deposit-taker exists at the discretion of the </w:t>
      </w:r>
      <w:r w:rsidR="003E6042">
        <w:rPr>
          <w:rFonts w:ascii="Times New Roman" w:hAnsi="Times New Roman"/>
        </w:rPr>
        <w:t>4pillars</w:t>
      </w:r>
      <w:r>
        <w:rPr>
          <w:rFonts w:ascii="Times New Roman" w:hAnsi="Times New Roman"/>
        </w:rPr>
        <w:t>.</w:t>
      </w:r>
    </w:p>
    <w:p w14:paraId="635C0637" w14:textId="77777777" w:rsidR="007033A8" w:rsidRDefault="007033A8" w:rsidP="007033A8">
      <w:pPr>
        <w:jc w:val="both"/>
        <w:rPr>
          <w:rFonts w:ascii="Times New Roman" w:hAnsi="Times New Roman"/>
        </w:rPr>
      </w:pPr>
    </w:p>
    <w:p w14:paraId="5C675EB2" w14:textId="77777777" w:rsidR="007033A8" w:rsidRDefault="007033A8" w:rsidP="007033A8">
      <w:pPr>
        <w:jc w:val="both"/>
        <w:rPr>
          <w:rFonts w:ascii="Times New Roman" w:hAnsi="Times New Roman"/>
        </w:rPr>
      </w:pPr>
      <w:r>
        <w:rPr>
          <w:rFonts w:ascii="Times New Roman" w:hAnsi="Times New Roman"/>
        </w:rPr>
        <w:t xml:space="preserve">………. and not one regulatory lament was heard about this destruction of the competitive environment for retail financial services – not least because the managed departure of a once loved ‘deposit taker’ is the only option when </w:t>
      </w:r>
      <w:r w:rsidR="003E6042">
        <w:rPr>
          <w:rFonts w:ascii="Times New Roman" w:hAnsi="Times New Roman"/>
        </w:rPr>
        <w:t xml:space="preserve">its </w:t>
      </w:r>
      <w:r>
        <w:rPr>
          <w:rFonts w:ascii="Times New Roman" w:hAnsi="Times New Roman"/>
        </w:rPr>
        <w:t>failure is in prospect.</w:t>
      </w:r>
    </w:p>
    <w:p w14:paraId="04A8B007" w14:textId="77777777" w:rsidR="007033A8" w:rsidRDefault="007033A8" w:rsidP="007033A8">
      <w:pPr>
        <w:jc w:val="both"/>
        <w:rPr>
          <w:rFonts w:ascii="Times New Roman" w:hAnsi="Times New Roman"/>
        </w:rPr>
      </w:pPr>
    </w:p>
    <w:p w14:paraId="5675BC75" w14:textId="77777777" w:rsidR="007033A8" w:rsidRDefault="007033A8" w:rsidP="007033A8">
      <w:pPr>
        <w:jc w:val="both"/>
        <w:rPr>
          <w:rFonts w:ascii="Times New Roman" w:hAnsi="Times New Roman"/>
        </w:rPr>
      </w:pPr>
      <w:r>
        <w:rPr>
          <w:rFonts w:ascii="Times New Roman" w:hAnsi="Times New Roman"/>
        </w:rPr>
        <w:t>‘Akin to a cartel’ is a fair call regarding the outcome in the market</w:t>
      </w:r>
      <w:r w:rsidR="003E6042">
        <w:rPr>
          <w:rFonts w:ascii="Times New Roman" w:hAnsi="Times New Roman"/>
        </w:rPr>
        <w:t>s</w:t>
      </w:r>
      <w:r>
        <w:rPr>
          <w:rFonts w:ascii="Times New Roman" w:hAnsi="Times New Roman"/>
        </w:rPr>
        <w:t xml:space="preserve"> for retail financial services. </w:t>
      </w:r>
    </w:p>
    <w:p w14:paraId="7DCBAC04" w14:textId="77777777" w:rsidR="007033A8" w:rsidRDefault="007033A8" w:rsidP="007033A8">
      <w:pPr>
        <w:jc w:val="both"/>
        <w:rPr>
          <w:rFonts w:ascii="Times New Roman" w:hAnsi="Times New Roman"/>
        </w:rPr>
      </w:pPr>
    </w:p>
    <w:p w14:paraId="09931BA7" w14:textId="77777777" w:rsidR="007033A8" w:rsidRDefault="007033A8" w:rsidP="007033A8">
      <w:pPr>
        <w:jc w:val="both"/>
        <w:rPr>
          <w:rFonts w:ascii="Times New Roman" w:hAnsi="Times New Roman"/>
        </w:rPr>
      </w:pPr>
      <w:r>
        <w:rPr>
          <w:rFonts w:ascii="Times New Roman" w:hAnsi="Times New Roman"/>
        </w:rPr>
        <w:t>One glimmer of hope for a competitive force was the emergence of indust</w:t>
      </w:r>
      <w:r w:rsidR="003E6042">
        <w:rPr>
          <w:rFonts w:ascii="Times New Roman" w:hAnsi="Times New Roman"/>
        </w:rPr>
        <w:t>r</w:t>
      </w:r>
      <w:r>
        <w:rPr>
          <w:rFonts w:ascii="Times New Roman" w:hAnsi="Times New Roman"/>
        </w:rPr>
        <w:t>y-funds in the superannuation arena -- that is now under threat as an apparent alliance of the cartel, its regulatory sponsors and their political allies rallies their forces to bring industry funds undone.</w:t>
      </w:r>
    </w:p>
    <w:p w14:paraId="6B98956E" w14:textId="77777777" w:rsidR="007033A8" w:rsidRDefault="007033A8" w:rsidP="007033A8">
      <w:pPr>
        <w:jc w:val="both"/>
        <w:rPr>
          <w:rFonts w:ascii="Times New Roman" w:hAnsi="Times New Roman"/>
        </w:rPr>
      </w:pPr>
    </w:p>
    <w:p w14:paraId="57A98CE7" w14:textId="77777777" w:rsidR="007033A8" w:rsidRPr="007033A8" w:rsidRDefault="007033A8" w:rsidP="007033A8">
      <w:pPr>
        <w:jc w:val="both"/>
        <w:rPr>
          <w:rFonts w:ascii="Times New Roman" w:hAnsi="Times New Roman"/>
          <w:b/>
        </w:rPr>
      </w:pPr>
      <w:r w:rsidRPr="007033A8">
        <w:rPr>
          <w:rFonts w:ascii="Times New Roman" w:hAnsi="Times New Roman"/>
          <w:b/>
        </w:rPr>
        <w:t xml:space="preserve"> -- a  bit of a set up?</w:t>
      </w:r>
    </w:p>
    <w:p w14:paraId="1E8F61FF" w14:textId="77777777" w:rsidR="00751227" w:rsidRDefault="00751227" w:rsidP="007033A8">
      <w:pPr>
        <w:jc w:val="both"/>
        <w:rPr>
          <w:rFonts w:ascii="Times New Roman" w:hAnsi="Times New Roman"/>
        </w:rPr>
      </w:pPr>
    </w:p>
    <w:p w14:paraId="7DAF3293" w14:textId="77777777" w:rsidR="00822D96" w:rsidRDefault="00C15A13" w:rsidP="007033A8">
      <w:pPr>
        <w:jc w:val="both"/>
        <w:rPr>
          <w:rFonts w:ascii="Times New Roman" w:hAnsi="Times New Roman"/>
        </w:rPr>
      </w:pPr>
      <w:r>
        <w:rPr>
          <w:rFonts w:ascii="Times New Roman" w:hAnsi="Times New Roman"/>
        </w:rPr>
        <w:t>I am concerned that this requested</w:t>
      </w:r>
      <w:r w:rsidR="007033A8">
        <w:rPr>
          <w:rFonts w:ascii="Times New Roman" w:hAnsi="Times New Roman"/>
        </w:rPr>
        <w:t>,</w:t>
      </w:r>
      <w:r>
        <w:rPr>
          <w:rFonts w:ascii="Times New Roman" w:hAnsi="Times New Roman"/>
        </w:rPr>
        <w:t xml:space="preserve"> and directed</w:t>
      </w:r>
      <w:r w:rsidR="007033A8">
        <w:rPr>
          <w:rFonts w:ascii="Times New Roman" w:hAnsi="Times New Roman"/>
        </w:rPr>
        <w:t>,</w:t>
      </w:r>
      <w:r>
        <w:rPr>
          <w:rFonts w:ascii="Times New Roman" w:hAnsi="Times New Roman"/>
        </w:rPr>
        <w:t xml:space="preserve"> inquiry, </w:t>
      </w:r>
      <w:r w:rsidR="007033A8">
        <w:rPr>
          <w:rFonts w:ascii="Times New Roman" w:hAnsi="Times New Roman"/>
        </w:rPr>
        <w:t xml:space="preserve">while </w:t>
      </w:r>
      <w:r>
        <w:rPr>
          <w:rFonts w:ascii="Times New Roman" w:hAnsi="Times New Roman"/>
        </w:rPr>
        <w:t xml:space="preserve">nominally about ‘competition and efficiency’ in the provision of retail superannuation facilities, </w:t>
      </w:r>
      <w:r w:rsidR="00500305">
        <w:rPr>
          <w:rFonts w:ascii="Times New Roman" w:hAnsi="Times New Roman"/>
        </w:rPr>
        <w:t>intends</w:t>
      </w:r>
      <w:r>
        <w:rPr>
          <w:rFonts w:ascii="Times New Roman" w:hAnsi="Times New Roman"/>
        </w:rPr>
        <w:t xml:space="preserve"> nothing of the sort. </w:t>
      </w:r>
    </w:p>
    <w:p w14:paraId="4534216C" w14:textId="77777777" w:rsidR="00822D96" w:rsidRDefault="00822D96" w:rsidP="007033A8">
      <w:pPr>
        <w:jc w:val="both"/>
        <w:rPr>
          <w:rFonts w:ascii="Times New Roman" w:hAnsi="Times New Roman"/>
        </w:rPr>
      </w:pPr>
    </w:p>
    <w:p w14:paraId="7BF2F4FD" w14:textId="77777777" w:rsidR="00C15A13" w:rsidRDefault="00C15A13" w:rsidP="007033A8">
      <w:pPr>
        <w:jc w:val="both"/>
        <w:rPr>
          <w:rFonts w:ascii="Times New Roman" w:hAnsi="Times New Roman"/>
        </w:rPr>
      </w:pPr>
      <w:r>
        <w:rPr>
          <w:rFonts w:ascii="Times New Roman" w:hAnsi="Times New Roman"/>
        </w:rPr>
        <w:t xml:space="preserve">Rather, as I see it, it is just another change of tack in </w:t>
      </w:r>
      <w:r w:rsidR="00F01954">
        <w:rPr>
          <w:rFonts w:ascii="Times New Roman" w:hAnsi="Times New Roman"/>
        </w:rPr>
        <w:t>a</w:t>
      </w:r>
      <w:r>
        <w:rPr>
          <w:rFonts w:ascii="Times New Roman" w:hAnsi="Times New Roman"/>
        </w:rPr>
        <w:t xml:space="preserve"> determined and seemingly endless quest of the Coalition political parties to disrupt and frustrate the role being played so well by the </w:t>
      </w:r>
      <w:r w:rsidR="007033A8">
        <w:rPr>
          <w:rFonts w:ascii="Times New Roman" w:hAnsi="Times New Roman"/>
        </w:rPr>
        <w:t xml:space="preserve">super </w:t>
      </w:r>
      <w:r>
        <w:rPr>
          <w:rFonts w:ascii="Times New Roman" w:hAnsi="Times New Roman"/>
        </w:rPr>
        <w:t>funds known as industry funds.</w:t>
      </w:r>
    </w:p>
    <w:p w14:paraId="32AD7610" w14:textId="77777777" w:rsidR="00822D96" w:rsidRDefault="00822D96" w:rsidP="007033A8">
      <w:pPr>
        <w:jc w:val="both"/>
        <w:rPr>
          <w:rFonts w:ascii="Times New Roman" w:hAnsi="Times New Roman"/>
        </w:rPr>
      </w:pPr>
    </w:p>
    <w:p w14:paraId="439709B9" w14:textId="77777777" w:rsidR="00822D96" w:rsidRDefault="00822D96" w:rsidP="007033A8">
      <w:pPr>
        <w:jc w:val="both"/>
        <w:rPr>
          <w:rFonts w:ascii="Times New Roman" w:hAnsi="Times New Roman"/>
        </w:rPr>
      </w:pPr>
      <w:r>
        <w:rPr>
          <w:rFonts w:ascii="Times New Roman" w:hAnsi="Times New Roman"/>
        </w:rPr>
        <w:t>The sustained sequence of these attacks on industry funds over the past 15 years is grist for a case</w:t>
      </w:r>
      <w:r w:rsidR="003E6042">
        <w:rPr>
          <w:rFonts w:ascii="Times New Roman" w:hAnsi="Times New Roman"/>
        </w:rPr>
        <w:t>-</w:t>
      </w:r>
      <w:r>
        <w:rPr>
          <w:rFonts w:ascii="Times New Roman" w:hAnsi="Times New Roman"/>
        </w:rPr>
        <w:t>study in malign association</w:t>
      </w:r>
      <w:r w:rsidR="00732EC7">
        <w:rPr>
          <w:rFonts w:ascii="Times New Roman" w:hAnsi="Times New Roman"/>
        </w:rPr>
        <w:t>s</w:t>
      </w:r>
      <w:r>
        <w:rPr>
          <w:rFonts w:ascii="Times New Roman" w:hAnsi="Times New Roman"/>
        </w:rPr>
        <w:t xml:space="preserve"> of political and commercial interests –</w:t>
      </w:r>
      <w:r w:rsidR="00732EC7">
        <w:rPr>
          <w:rFonts w:ascii="Times New Roman" w:hAnsi="Times New Roman"/>
        </w:rPr>
        <w:t xml:space="preserve"> </w:t>
      </w:r>
      <w:r>
        <w:rPr>
          <w:rFonts w:ascii="Times New Roman" w:hAnsi="Times New Roman"/>
        </w:rPr>
        <w:t>all the more disturbing for the apparent motivation of denying union involvement that has been so beneficial.</w:t>
      </w:r>
    </w:p>
    <w:p w14:paraId="145CC3BE" w14:textId="77777777" w:rsidR="00C15A13" w:rsidRDefault="00C15A13" w:rsidP="007033A8">
      <w:pPr>
        <w:jc w:val="both"/>
        <w:rPr>
          <w:rFonts w:ascii="Times New Roman" w:hAnsi="Times New Roman"/>
        </w:rPr>
      </w:pPr>
    </w:p>
    <w:p w14:paraId="45CE1914" w14:textId="77777777" w:rsidR="00751227" w:rsidRDefault="00751227" w:rsidP="007033A8">
      <w:pPr>
        <w:jc w:val="both"/>
        <w:rPr>
          <w:rFonts w:ascii="Times New Roman" w:hAnsi="Times New Roman"/>
        </w:rPr>
      </w:pPr>
      <w:r>
        <w:rPr>
          <w:rFonts w:ascii="Times New Roman" w:hAnsi="Times New Roman"/>
        </w:rPr>
        <w:t xml:space="preserve">The Commission should be open to </w:t>
      </w:r>
      <w:r w:rsidR="001720D9">
        <w:rPr>
          <w:rFonts w:ascii="Times New Roman" w:hAnsi="Times New Roman"/>
        </w:rPr>
        <w:t>two</w:t>
      </w:r>
      <w:r>
        <w:rPr>
          <w:rFonts w:ascii="Times New Roman" w:hAnsi="Times New Roman"/>
        </w:rPr>
        <w:t xml:space="preserve"> possibilities</w:t>
      </w:r>
      <w:r w:rsidR="001720D9">
        <w:rPr>
          <w:rFonts w:ascii="Times New Roman" w:hAnsi="Times New Roman"/>
        </w:rPr>
        <w:t xml:space="preserve"> –</w:t>
      </w:r>
      <w:r w:rsidR="00C15A13">
        <w:rPr>
          <w:rFonts w:ascii="Times New Roman" w:hAnsi="Times New Roman"/>
        </w:rPr>
        <w:t xml:space="preserve"> </w:t>
      </w:r>
      <w:r w:rsidR="001720D9">
        <w:rPr>
          <w:rFonts w:ascii="Times New Roman" w:hAnsi="Times New Roman"/>
        </w:rPr>
        <w:t>one,</w:t>
      </w:r>
      <w:r>
        <w:rPr>
          <w:rFonts w:ascii="Times New Roman" w:hAnsi="Times New Roman"/>
        </w:rPr>
        <w:t xml:space="preserve"> that it may be </w:t>
      </w:r>
      <w:r w:rsidR="00C15A13">
        <w:rPr>
          <w:rFonts w:ascii="Times New Roman" w:hAnsi="Times New Roman"/>
        </w:rPr>
        <w:t xml:space="preserve">being </w:t>
      </w:r>
      <w:r>
        <w:rPr>
          <w:rFonts w:ascii="Times New Roman" w:hAnsi="Times New Roman"/>
        </w:rPr>
        <w:t xml:space="preserve">asked politically loaded questions and </w:t>
      </w:r>
      <w:r w:rsidR="00C15A13">
        <w:rPr>
          <w:rFonts w:ascii="Times New Roman" w:hAnsi="Times New Roman"/>
        </w:rPr>
        <w:t xml:space="preserve">the </w:t>
      </w:r>
      <w:r w:rsidR="001720D9">
        <w:rPr>
          <w:rFonts w:ascii="Times New Roman" w:hAnsi="Times New Roman"/>
        </w:rPr>
        <w:t xml:space="preserve">other, </w:t>
      </w:r>
      <w:r>
        <w:rPr>
          <w:rFonts w:ascii="Times New Roman" w:hAnsi="Times New Roman"/>
        </w:rPr>
        <w:t xml:space="preserve">its </w:t>
      </w:r>
      <w:r w:rsidR="000D15A3">
        <w:rPr>
          <w:rFonts w:ascii="Times New Roman" w:hAnsi="Times New Roman"/>
        </w:rPr>
        <w:t>independent</w:t>
      </w:r>
      <w:r>
        <w:rPr>
          <w:rFonts w:ascii="Times New Roman" w:hAnsi="Times New Roman"/>
        </w:rPr>
        <w:t xml:space="preserve"> entitlement to explain why it may not answer them.</w:t>
      </w:r>
    </w:p>
    <w:p w14:paraId="0EA4F1EE" w14:textId="77777777" w:rsidR="00C15A13" w:rsidRDefault="00C15A13" w:rsidP="007033A8">
      <w:pPr>
        <w:jc w:val="both"/>
        <w:rPr>
          <w:rFonts w:ascii="Times New Roman" w:hAnsi="Times New Roman"/>
        </w:rPr>
      </w:pPr>
    </w:p>
    <w:p w14:paraId="68E1ECE2" w14:textId="77777777" w:rsidR="00F01954" w:rsidRDefault="00C15A13" w:rsidP="007033A8">
      <w:pPr>
        <w:jc w:val="both"/>
        <w:rPr>
          <w:rFonts w:ascii="Times New Roman" w:hAnsi="Times New Roman"/>
        </w:rPr>
      </w:pPr>
      <w:r>
        <w:rPr>
          <w:rFonts w:ascii="Times New Roman" w:hAnsi="Times New Roman"/>
        </w:rPr>
        <w:t xml:space="preserve">For starters, it is now beyond question that, in general, the best performing super funds are </w:t>
      </w:r>
      <w:r w:rsidR="00F01954">
        <w:rPr>
          <w:rFonts w:ascii="Times New Roman" w:hAnsi="Times New Roman"/>
        </w:rPr>
        <w:t xml:space="preserve">the so-called </w:t>
      </w:r>
      <w:r>
        <w:rPr>
          <w:rFonts w:ascii="Times New Roman" w:hAnsi="Times New Roman"/>
        </w:rPr>
        <w:t xml:space="preserve">industry funds – consistently returning more to their members than </w:t>
      </w:r>
      <w:r w:rsidR="00F01954">
        <w:rPr>
          <w:rFonts w:ascii="Times New Roman" w:hAnsi="Times New Roman"/>
        </w:rPr>
        <w:t>bank-aligned retail funds do. One can, then, fairly put the question of how advisers, required to give advice in the best interests of their clients, can justify not recommending an industry fund as likely to deliver the best return.</w:t>
      </w:r>
    </w:p>
    <w:p w14:paraId="3E49877F" w14:textId="77777777" w:rsidR="007033A8" w:rsidRDefault="007033A8" w:rsidP="007033A8">
      <w:pPr>
        <w:jc w:val="both"/>
        <w:rPr>
          <w:rFonts w:ascii="Times New Roman" w:hAnsi="Times New Roman"/>
        </w:rPr>
      </w:pPr>
    </w:p>
    <w:p w14:paraId="25DFF478" w14:textId="77777777" w:rsidR="007033A8" w:rsidRPr="005047BD" w:rsidRDefault="007033A8" w:rsidP="007033A8">
      <w:pPr>
        <w:jc w:val="both"/>
        <w:rPr>
          <w:rFonts w:ascii="Times New Roman" w:hAnsi="Times New Roman"/>
          <w:b/>
        </w:rPr>
      </w:pPr>
      <w:r w:rsidRPr="005047BD">
        <w:rPr>
          <w:rFonts w:ascii="Times New Roman" w:hAnsi="Times New Roman"/>
          <w:b/>
        </w:rPr>
        <w:t xml:space="preserve"> </w:t>
      </w:r>
      <w:r w:rsidR="005047BD">
        <w:rPr>
          <w:rFonts w:ascii="Times New Roman" w:hAnsi="Times New Roman"/>
          <w:b/>
        </w:rPr>
        <w:t>--</w:t>
      </w:r>
      <w:r w:rsidRPr="005047BD">
        <w:rPr>
          <w:rFonts w:ascii="Times New Roman" w:hAnsi="Times New Roman"/>
          <w:b/>
        </w:rPr>
        <w:t xml:space="preserve"> conglomerat</w:t>
      </w:r>
      <w:r w:rsidR="005047BD" w:rsidRPr="005047BD">
        <w:rPr>
          <w:rFonts w:ascii="Times New Roman" w:hAnsi="Times New Roman"/>
          <w:b/>
        </w:rPr>
        <w:t>ed market power</w:t>
      </w:r>
      <w:r w:rsidRPr="005047BD">
        <w:rPr>
          <w:rFonts w:ascii="Times New Roman" w:hAnsi="Times New Roman"/>
          <w:b/>
        </w:rPr>
        <w:t xml:space="preserve"> </w:t>
      </w:r>
    </w:p>
    <w:p w14:paraId="1BB27790" w14:textId="77777777" w:rsidR="00F01954" w:rsidRDefault="00F01954" w:rsidP="007033A8">
      <w:pPr>
        <w:jc w:val="both"/>
        <w:rPr>
          <w:rFonts w:ascii="Times New Roman" w:hAnsi="Times New Roman"/>
        </w:rPr>
      </w:pPr>
    </w:p>
    <w:p w14:paraId="28A18C3B" w14:textId="77777777" w:rsidR="00F01954" w:rsidRDefault="00F042BF" w:rsidP="007033A8">
      <w:pPr>
        <w:jc w:val="both"/>
        <w:rPr>
          <w:rFonts w:ascii="Times New Roman" w:hAnsi="Times New Roman"/>
        </w:rPr>
      </w:pPr>
      <w:r>
        <w:rPr>
          <w:rFonts w:ascii="Times New Roman" w:hAnsi="Times New Roman"/>
        </w:rPr>
        <w:t>T</w:t>
      </w:r>
      <w:r w:rsidR="00F01954">
        <w:rPr>
          <w:rFonts w:ascii="Times New Roman" w:hAnsi="Times New Roman"/>
        </w:rPr>
        <w:t xml:space="preserve">his submission </w:t>
      </w:r>
      <w:r>
        <w:rPr>
          <w:rFonts w:ascii="Times New Roman" w:hAnsi="Times New Roman"/>
        </w:rPr>
        <w:t>aims</w:t>
      </w:r>
      <w:r w:rsidR="00F01954">
        <w:rPr>
          <w:rFonts w:ascii="Times New Roman" w:hAnsi="Times New Roman"/>
        </w:rPr>
        <w:t xml:space="preserve"> to encourage the Commission to reflect on the apparent ‘success’ and ‘</w:t>
      </w:r>
      <w:r w:rsidR="009D1F87">
        <w:rPr>
          <w:rFonts w:ascii="Times New Roman" w:hAnsi="Times New Roman"/>
        </w:rPr>
        <w:t>prominence</w:t>
      </w:r>
      <w:r w:rsidR="00F01954">
        <w:rPr>
          <w:rFonts w:ascii="Times New Roman" w:hAnsi="Times New Roman"/>
        </w:rPr>
        <w:t>’ of the bank-aligned retail funds</w:t>
      </w:r>
      <w:r w:rsidR="009D1F87">
        <w:rPr>
          <w:rFonts w:ascii="Times New Roman" w:hAnsi="Times New Roman"/>
        </w:rPr>
        <w:t xml:space="preserve"> (BARF)</w:t>
      </w:r>
      <w:r w:rsidR="00F01954">
        <w:rPr>
          <w:rFonts w:ascii="Times New Roman" w:hAnsi="Times New Roman"/>
        </w:rPr>
        <w:t>.</w:t>
      </w:r>
    </w:p>
    <w:p w14:paraId="588D80C2" w14:textId="77777777" w:rsidR="009D1F87" w:rsidRDefault="009D1F87" w:rsidP="007033A8">
      <w:pPr>
        <w:jc w:val="both"/>
        <w:rPr>
          <w:rFonts w:ascii="Times New Roman" w:hAnsi="Times New Roman"/>
        </w:rPr>
      </w:pPr>
    </w:p>
    <w:p w14:paraId="47917DB3" w14:textId="77777777" w:rsidR="009D1F87" w:rsidRDefault="009D1F87" w:rsidP="007033A8">
      <w:pPr>
        <w:jc w:val="both"/>
        <w:rPr>
          <w:rFonts w:ascii="Times New Roman" w:hAnsi="Times New Roman"/>
        </w:rPr>
      </w:pPr>
      <w:r>
        <w:rPr>
          <w:rFonts w:ascii="Times New Roman" w:hAnsi="Times New Roman"/>
        </w:rPr>
        <w:t xml:space="preserve">The conglomerate nature of the major banking businesses – banking, funds management and insurance </w:t>
      </w:r>
      <w:r w:rsidR="00500305">
        <w:rPr>
          <w:rFonts w:ascii="Times New Roman" w:hAnsi="Times New Roman"/>
        </w:rPr>
        <w:t xml:space="preserve">et al </w:t>
      </w:r>
      <w:r>
        <w:rPr>
          <w:rFonts w:ascii="Times New Roman" w:hAnsi="Times New Roman"/>
        </w:rPr>
        <w:t>– is open to package deals that embody cross-subsidization conducive to tilting rather than leveling the competitive playing field.</w:t>
      </w:r>
    </w:p>
    <w:p w14:paraId="33901318" w14:textId="77777777" w:rsidR="009D1F87" w:rsidRDefault="009D1F87" w:rsidP="007033A8">
      <w:pPr>
        <w:jc w:val="both"/>
        <w:rPr>
          <w:rFonts w:ascii="Times New Roman" w:hAnsi="Times New Roman"/>
        </w:rPr>
      </w:pPr>
    </w:p>
    <w:p w14:paraId="39395C1B" w14:textId="77777777" w:rsidR="009D1F87" w:rsidRDefault="009D1F87" w:rsidP="007033A8">
      <w:pPr>
        <w:jc w:val="both"/>
        <w:rPr>
          <w:rFonts w:ascii="Times New Roman" w:hAnsi="Times New Roman"/>
        </w:rPr>
      </w:pPr>
      <w:r>
        <w:rPr>
          <w:rFonts w:ascii="Times New Roman" w:hAnsi="Times New Roman"/>
        </w:rPr>
        <w:t xml:space="preserve">One such concern is about inducing borrowing customers to tie their employees to retail super funds associated with the bank. Another is about </w:t>
      </w:r>
      <w:r w:rsidR="007033A8">
        <w:rPr>
          <w:rFonts w:ascii="Times New Roman" w:hAnsi="Times New Roman"/>
        </w:rPr>
        <w:t xml:space="preserve">BARFs </w:t>
      </w:r>
      <w:r>
        <w:rPr>
          <w:rFonts w:ascii="Times New Roman" w:hAnsi="Times New Roman"/>
        </w:rPr>
        <w:t xml:space="preserve">investing the funds under management in assets – deposits, property portfolios </w:t>
      </w:r>
      <w:proofErr w:type="spellStart"/>
      <w:r>
        <w:rPr>
          <w:rFonts w:ascii="Times New Roman" w:hAnsi="Times New Roman"/>
        </w:rPr>
        <w:t>etc</w:t>
      </w:r>
      <w:proofErr w:type="spellEnd"/>
      <w:r>
        <w:rPr>
          <w:rFonts w:ascii="Times New Roman" w:hAnsi="Times New Roman"/>
        </w:rPr>
        <w:t xml:space="preserve"> </w:t>
      </w:r>
      <w:r w:rsidR="003E6042">
        <w:rPr>
          <w:rFonts w:ascii="Times New Roman" w:hAnsi="Times New Roman"/>
        </w:rPr>
        <w:t xml:space="preserve">-- </w:t>
      </w:r>
      <w:r>
        <w:rPr>
          <w:rFonts w:ascii="Times New Roman" w:hAnsi="Times New Roman"/>
        </w:rPr>
        <w:t>associated with the aligned bank</w:t>
      </w:r>
      <w:r w:rsidR="007033A8">
        <w:rPr>
          <w:rFonts w:ascii="Times New Roman" w:hAnsi="Times New Roman"/>
        </w:rPr>
        <w:t xml:space="preserve"> </w:t>
      </w:r>
      <w:r w:rsidR="003E6042">
        <w:rPr>
          <w:rFonts w:ascii="Times New Roman" w:hAnsi="Times New Roman"/>
        </w:rPr>
        <w:t xml:space="preserve">and </w:t>
      </w:r>
      <w:r w:rsidR="007033A8">
        <w:rPr>
          <w:rFonts w:ascii="Times New Roman" w:hAnsi="Times New Roman"/>
        </w:rPr>
        <w:t xml:space="preserve">on </w:t>
      </w:r>
      <w:r w:rsidR="003E6042">
        <w:rPr>
          <w:rFonts w:ascii="Times New Roman" w:hAnsi="Times New Roman"/>
        </w:rPr>
        <w:t>un</w:t>
      </w:r>
      <w:r w:rsidR="007033A8">
        <w:rPr>
          <w:rFonts w:ascii="Times New Roman" w:hAnsi="Times New Roman"/>
        </w:rPr>
        <w:t>favorable terms</w:t>
      </w:r>
      <w:r>
        <w:rPr>
          <w:rFonts w:ascii="Times New Roman" w:hAnsi="Times New Roman"/>
        </w:rPr>
        <w:t>. In the longer run, employees leaving a captive employer may find that an apparently ‘low’ management fee is replaced by a higher fee – especially in the retirement phase when the fund is converted to a pension scheme.</w:t>
      </w:r>
    </w:p>
    <w:p w14:paraId="688F5039" w14:textId="77777777" w:rsidR="00F042BF" w:rsidRDefault="00F042BF" w:rsidP="007033A8">
      <w:pPr>
        <w:jc w:val="both"/>
        <w:rPr>
          <w:rFonts w:ascii="Times New Roman" w:hAnsi="Times New Roman"/>
        </w:rPr>
      </w:pPr>
    </w:p>
    <w:p w14:paraId="5D05816F" w14:textId="77777777" w:rsidR="00F042BF" w:rsidRPr="00F042BF" w:rsidRDefault="00F042BF" w:rsidP="007033A8">
      <w:pPr>
        <w:jc w:val="both"/>
        <w:rPr>
          <w:rFonts w:ascii="Times New Roman" w:hAnsi="Times New Roman"/>
          <w:b/>
        </w:rPr>
      </w:pPr>
      <w:r w:rsidRPr="00F042BF">
        <w:rPr>
          <w:rFonts w:ascii="Times New Roman" w:hAnsi="Times New Roman"/>
          <w:b/>
        </w:rPr>
        <w:t xml:space="preserve"> -- what </w:t>
      </w:r>
      <w:r w:rsidR="00500305">
        <w:rPr>
          <w:rFonts w:ascii="Times New Roman" w:hAnsi="Times New Roman"/>
          <w:b/>
        </w:rPr>
        <w:t>‘</w:t>
      </w:r>
      <w:r w:rsidRPr="00F042BF">
        <w:rPr>
          <w:rFonts w:ascii="Times New Roman" w:hAnsi="Times New Roman"/>
          <w:b/>
        </w:rPr>
        <w:t>institutional corruption</w:t>
      </w:r>
      <w:r w:rsidR="00500305">
        <w:rPr>
          <w:rFonts w:ascii="Times New Roman" w:hAnsi="Times New Roman"/>
          <w:b/>
        </w:rPr>
        <w:t>’</w:t>
      </w:r>
      <w:r w:rsidRPr="00F042BF">
        <w:rPr>
          <w:rFonts w:ascii="Times New Roman" w:hAnsi="Times New Roman"/>
          <w:b/>
        </w:rPr>
        <w:t xml:space="preserve"> of the regulatory environment?</w:t>
      </w:r>
    </w:p>
    <w:p w14:paraId="37435A4A" w14:textId="77777777" w:rsidR="00F042BF" w:rsidRDefault="00F042BF" w:rsidP="007033A8">
      <w:pPr>
        <w:jc w:val="both"/>
        <w:rPr>
          <w:rFonts w:ascii="Times New Roman" w:hAnsi="Times New Roman"/>
        </w:rPr>
      </w:pPr>
    </w:p>
    <w:p w14:paraId="2DEB8FFE" w14:textId="77777777" w:rsidR="00F042BF" w:rsidRDefault="00F042BF" w:rsidP="007033A8">
      <w:pPr>
        <w:jc w:val="both"/>
        <w:rPr>
          <w:rFonts w:ascii="Times New Roman" w:hAnsi="Times New Roman"/>
        </w:rPr>
      </w:pPr>
      <w:r>
        <w:rPr>
          <w:rFonts w:ascii="Times New Roman" w:hAnsi="Times New Roman"/>
        </w:rPr>
        <w:t>The much heralded de-regulation of the retail financial system, commencing in the mid 1980s, was so badly mismanaged by the key regulatory agencies that, by 1990, Australia faced a major banking crisis – one that scared the tripe out of the government and the regulators.</w:t>
      </w:r>
      <w:r w:rsidR="003E6042">
        <w:rPr>
          <w:rFonts w:ascii="Times New Roman" w:hAnsi="Times New Roman"/>
        </w:rPr>
        <w:t xml:space="preserve"> </w:t>
      </w:r>
      <w:r>
        <w:rPr>
          <w:rFonts w:ascii="Times New Roman" w:hAnsi="Times New Roman"/>
        </w:rPr>
        <w:t xml:space="preserve">In the nature of these things the </w:t>
      </w:r>
      <w:r w:rsidR="003E6042">
        <w:rPr>
          <w:rFonts w:ascii="Times New Roman" w:hAnsi="Times New Roman"/>
        </w:rPr>
        <w:t>public response</w:t>
      </w:r>
      <w:r w:rsidR="0071117C">
        <w:rPr>
          <w:rFonts w:ascii="Times New Roman" w:hAnsi="Times New Roman"/>
        </w:rPr>
        <w:t xml:space="preserve"> was </w:t>
      </w:r>
      <w:r>
        <w:rPr>
          <w:rFonts w:ascii="Times New Roman" w:hAnsi="Times New Roman"/>
        </w:rPr>
        <w:t xml:space="preserve">to whistle a happy tune and pretend ‘nothing amiss’. </w:t>
      </w:r>
    </w:p>
    <w:p w14:paraId="40FFC536" w14:textId="77777777" w:rsidR="00F042BF" w:rsidRDefault="00F042BF" w:rsidP="007033A8">
      <w:pPr>
        <w:jc w:val="both"/>
        <w:rPr>
          <w:rFonts w:ascii="Times New Roman" w:hAnsi="Times New Roman"/>
        </w:rPr>
      </w:pPr>
    </w:p>
    <w:p w14:paraId="2F3D7C77" w14:textId="77777777" w:rsidR="00F042BF" w:rsidRDefault="00F042BF" w:rsidP="007033A8">
      <w:pPr>
        <w:jc w:val="both"/>
        <w:rPr>
          <w:rFonts w:ascii="Times New Roman" w:hAnsi="Times New Roman"/>
        </w:rPr>
      </w:pPr>
      <w:r>
        <w:rPr>
          <w:rFonts w:ascii="Times New Roman" w:hAnsi="Times New Roman"/>
        </w:rPr>
        <w:t xml:space="preserve">Subsequent regulatory paralysis and continuing incompetence served up the </w:t>
      </w:r>
      <w:r w:rsidR="0071117C">
        <w:rPr>
          <w:rFonts w:ascii="Times New Roman" w:hAnsi="Times New Roman"/>
        </w:rPr>
        <w:t xml:space="preserve">rest of the </w:t>
      </w:r>
      <w:r>
        <w:rPr>
          <w:rFonts w:ascii="Times New Roman" w:hAnsi="Times New Roman"/>
        </w:rPr>
        <w:t>retail financial system to the 4pillars on a plate</w:t>
      </w:r>
      <w:r w:rsidR="0071117C">
        <w:rPr>
          <w:rFonts w:ascii="Times New Roman" w:hAnsi="Times New Roman"/>
        </w:rPr>
        <w:t xml:space="preserve">. [The </w:t>
      </w:r>
      <w:r>
        <w:rPr>
          <w:rFonts w:ascii="Times New Roman" w:hAnsi="Times New Roman"/>
        </w:rPr>
        <w:t xml:space="preserve">industry funds </w:t>
      </w:r>
      <w:r w:rsidR="0071117C">
        <w:rPr>
          <w:rFonts w:ascii="Times New Roman" w:hAnsi="Times New Roman"/>
        </w:rPr>
        <w:t>should not be next].</w:t>
      </w:r>
    </w:p>
    <w:p w14:paraId="64DC9E85" w14:textId="77777777" w:rsidR="009D1F87" w:rsidRDefault="009D1F87" w:rsidP="007033A8">
      <w:pPr>
        <w:jc w:val="both"/>
        <w:rPr>
          <w:rFonts w:ascii="Times New Roman" w:hAnsi="Times New Roman"/>
        </w:rPr>
      </w:pPr>
    </w:p>
    <w:p w14:paraId="7EBA447B" w14:textId="77777777" w:rsidR="00751227" w:rsidRDefault="00F042BF" w:rsidP="007033A8">
      <w:pPr>
        <w:jc w:val="both"/>
        <w:rPr>
          <w:rFonts w:ascii="Times New Roman" w:hAnsi="Times New Roman"/>
        </w:rPr>
      </w:pPr>
      <w:r>
        <w:rPr>
          <w:rFonts w:ascii="Times New Roman" w:hAnsi="Times New Roman"/>
        </w:rPr>
        <w:t>Those wondering ‘</w:t>
      </w:r>
      <w:r w:rsidR="0071117C">
        <w:rPr>
          <w:rFonts w:ascii="Times New Roman" w:hAnsi="Times New Roman"/>
        </w:rPr>
        <w:t>how</w:t>
      </w:r>
      <w:r>
        <w:rPr>
          <w:rFonts w:ascii="Times New Roman" w:hAnsi="Times New Roman"/>
        </w:rPr>
        <w:t xml:space="preserve"> the hell </w:t>
      </w:r>
      <w:r w:rsidR="003E6042">
        <w:rPr>
          <w:rFonts w:ascii="Times New Roman" w:hAnsi="Times New Roman"/>
        </w:rPr>
        <w:t xml:space="preserve">this </w:t>
      </w:r>
      <w:r>
        <w:rPr>
          <w:rFonts w:ascii="Times New Roman" w:hAnsi="Times New Roman"/>
        </w:rPr>
        <w:t xml:space="preserve">happened’ are still no better </w:t>
      </w:r>
      <w:r w:rsidR="00500305">
        <w:rPr>
          <w:rFonts w:ascii="Times New Roman" w:hAnsi="Times New Roman"/>
        </w:rPr>
        <w:t xml:space="preserve">officially </w:t>
      </w:r>
      <w:r>
        <w:rPr>
          <w:rFonts w:ascii="Times New Roman" w:hAnsi="Times New Roman"/>
        </w:rPr>
        <w:t>informed</w:t>
      </w:r>
      <w:r w:rsidR="0071117C">
        <w:rPr>
          <w:rFonts w:ascii="Times New Roman" w:hAnsi="Times New Roman"/>
        </w:rPr>
        <w:t>.</w:t>
      </w:r>
    </w:p>
    <w:p w14:paraId="4AE21FAA" w14:textId="77777777" w:rsidR="0071117C" w:rsidRDefault="0071117C" w:rsidP="007033A8">
      <w:pPr>
        <w:jc w:val="both"/>
        <w:rPr>
          <w:rFonts w:ascii="Times New Roman" w:hAnsi="Times New Roman"/>
        </w:rPr>
      </w:pPr>
    </w:p>
    <w:p w14:paraId="5FE595B2" w14:textId="77777777" w:rsidR="0071117C" w:rsidRDefault="0071117C" w:rsidP="007033A8">
      <w:pPr>
        <w:jc w:val="both"/>
        <w:rPr>
          <w:rFonts w:ascii="Times New Roman" w:hAnsi="Times New Roman"/>
        </w:rPr>
      </w:pPr>
      <w:r>
        <w:rPr>
          <w:rFonts w:ascii="Times New Roman" w:hAnsi="Times New Roman"/>
        </w:rPr>
        <w:t xml:space="preserve">What happened, of course, was that the promised deregulation was one-sided – </w:t>
      </w:r>
      <w:r w:rsidR="003E6042">
        <w:rPr>
          <w:rFonts w:ascii="Times New Roman" w:hAnsi="Times New Roman"/>
        </w:rPr>
        <w:t xml:space="preserve">as </w:t>
      </w:r>
      <w:r>
        <w:rPr>
          <w:rFonts w:ascii="Times New Roman" w:hAnsi="Times New Roman"/>
        </w:rPr>
        <w:t xml:space="preserve">the 4pillars were set free the </w:t>
      </w:r>
      <w:r w:rsidR="003E6042">
        <w:rPr>
          <w:rFonts w:ascii="Times New Roman" w:hAnsi="Times New Roman"/>
        </w:rPr>
        <w:t xml:space="preserve">wider </w:t>
      </w:r>
      <w:r>
        <w:rPr>
          <w:rFonts w:ascii="Times New Roman" w:hAnsi="Times New Roman"/>
        </w:rPr>
        <w:t>regulatory noose tightened around the rest of the retail financial system.</w:t>
      </w:r>
    </w:p>
    <w:p w14:paraId="05ACBECF" w14:textId="77777777" w:rsidR="0071117C" w:rsidRDefault="0071117C" w:rsidP="007033A8">
      <w:pPr>
        <w:jc w:val="both"/>
        <w:rPr>
          <w:rFonts w:ascii="Times New Roman" w:hAnsi="Times New Roman"/>
        </w:rPr>
      </w:pPr>
    </w:p>
    <w:p w14:paraId="4F20C950" w14:textId="77777777" w:rsidR="0071117C" w:rsidRDefault="0071117C" w:rsidP="007033A8">
      <w:pPr>
        <w:jc w:val="both"/>
        <w:rPr>
          <w:rFonts w:ascii="Times New Roman" w:hAnsi="Times New Roman"/>
        </w:rPr>
      </w:pPr>
      <w:r>
        <w:rPr>
          <w:rFonts w:ascii="Times New Roman" w:hAnsi="Times New Roman"/>
        </w:rPr>
        <w:t>The what-happened, in more detail, is that</w:t>
      </w:r>
      <w:r w:rsidR="00074F8E">
        <w:rPr>
          <w:rFonts w:ascii="Times New Roman" w:hAnsi="Times New Roman"/>
        </w:rPr>
        <w:t>,</w:t>
      </w:r>
      <w:r>
        <w:rPr>
          <w:rFonts w:ascii="Times New Roman" w:hAnsi="Times New Roman"/>
        </w:rPr>
        <w:t xml:space="preserve"> </w:t>
      </w:r>
      <w:r w:rsidR="00074F8E">
        <w:rPr>
          <w:rFonts w:ascii="Times New Roman" w:hAnsi="Times New Roman"/>
        </w:rPr>
        <w:t xml:space="preserve">in the late 1980s, </w:t>
      </w:r>
      <w:r>
        <w:rPr>
          <w:rFonts w:ascii="Times New Roman" w:hAnsi="Times New Roman"/>
        </w:rPr>
        <w:t>prevailing 15%</w:t>
      </w:r>
      <w:r w:rsidR="00074F8E">
        <w:rPr>
          <w:rFonts w:ascii="Times New Roman" w:hAnsi="Times New Roman"/>
        </w:rPr>
        <w:t xml:space="preserve"> p.a.</w:t>
      </w:r>
      <w:r>
        <w:rPr>
          <w:rFonts w:ascii="Times New Roman" w:hAnsi="Times New Roman"/>
        </w:rPr>
        <w:t xml:space="preserve"> cash rates coupled with the ‘interest free’</w:t>
      </w:r>
      <w:r w:rsidR="003E6042">
        <w:rPr>
          <w:rFonts w:ascii="Times New Roman" w:hAnsi="Times New Roman"/>
        </w:rPr>
        <w:t>,</w:t>
      </w:r>
      <w:r>
        <w:rPr>
          <w:rFonts w:ascii="Times New Roman" w:hAnsi="Times New Roman"/>
        </w:rPr>
        <w:t xml:space="preserve"> transaction</w:t>
      </w:r>
      <w:r w:rsidR="003E6042">
        <w:rPr>
          <w:rFonts w:ascii="Times New Roman" w:hAnsi="Times New Roman"/>
        </w:rPr>
        <w:t>-</w:t>
      </w:r>
      <w:r>
        <w:rPr>
          <w:rFonts w:ascii="Times New Roman" w:hAnsi="Times New Roman"/>
        </w:rPr>
        <w:t xml:space="preserve">account deposit base of the banks was delivering the major banks an enormous </w:t>
      </w:r>
      <w:r w:rsidR="00074F8E">
        <w:rPr>
          <w:rFonts w:ascii="Times New Roman" w:hAnsi="Times New Roman"/>
        </w:rPr>
        <w:t xml:space="preserve">windfall </w:t>
      </w:r>
      <w:r>
        <w:rPr>
          <w:rFonts w:ascii="Times New Roman" w:hAnsi="Times New Roman"/>
        </w:rPr>
        <w:t xml:space="preserve">flow of cash revenue for which they were unaccountable  -- but which they used to devastating competitive effect.  </w:t>
      </w:r>
    </w:p>
    <w:p w14:paraId="37D7F228" w14:textId="77777777" w:rsidR="0071117C" w:rsidRDefault="0071117C" w:rsidP="007033A8">
      <w:pPr>
        <w:jc w:val="both"/>
        <w:rPr>
          <w:rFonts w:ascii="Times New Roman" w:hAnsi="Times New Roman"/>
        </w:rPr>
      </w:pPr>
    </w:p>
    <w:p w14:paraId="7271B82D" w14:textId="77777777" w:rsidR="003E6042" w:rsidRDefault="0071117C" w:rsidP="007033A8">
      <w:pPr>
        <w:jc w:val="both"/>
        <w:rPr>
          <w:rFonts w:ascii="Times New Roman" w:hAnsi="Times New Roman"/>
        </w:rPr>
      </w:pPr>
      <w:r>
        <w:rPr>
          <w:rFonts w:ascii="Times New Roman" w:hAnsi="Times New Roman"/>
        </w:rPr>
        <w:t xml:space="preserve">New foreign banks and newly ambitious state banks chasing deposit and loan business became prey – the loan books they acquired were loans the 4pillars were happy to see go – </w:t>
      </w:r>
      <w:r w:rsidR="003E6042">
        <w:rPr>
          <w:rFonts w:ascii="Times New Roman" w:hAnsi="Times New Roman"/>
        </w:rPr>
        <w:t xml:space="preserve">and </w:t>
      </w:r>
      <w:r>
        <w:rPr>
          <w:rFonts w:ascii="Times New Roman" w:hAnsi="Times New Roman"/>
        </w:rPr>
        <w:t xml:space="preserve">paying interest to get </w:t>
      </w:r>
      <w:r w:rsidR="006426BB">
        <w:rPr>
          <w:rFonts w:ascii="Times New Roman" w:hAnsi="Times New Roman"/>
        </w:rPr>
        <w:t xml:space="preserve">transaction-account </w:t>
      </w:r>
      <w:r>
        <w:rPr>
          <w:rFonts w:ascii="Times New Roman" w:hAnsi="Times New Roman"/>
        </w:rPr>
        <w:t xml:space="preserve">deposits meant operating payments services at a loss. </w:t>
      </w:r>
    </w:p>
    <w:p w14:paraId="0FB399C6" w14:textId="77777777" w:rsidR="0071117C" w:rsidRDefault="0071117C" w:rsidP="007033A8">
      <w:pPr>
        <w:jc w:val="both"/>
        <w:rPr>
          <w:rFonts w:ascii="Times New Roman" w:hAnsi="Times New Roman"/>
        </w:rPr>
      </w:pPr>
      <w:r>
        <w:rPr>
          <w:rFonts w:ascii="Times New Roman" w:hAnsi="Times New Roman"/>
        </w:rPr>
        <w:lastRenderedPageBreak/>
        <w:t xml:space="preserve">The process had complexities that only a royal commission may uncover and expose – not least the way deep discounts were given to favored business borrowers rather than declare more profit and attract </w:t>
      </w:r>
      <w:r w:rsidR="003E6042">
        <w:rPr>
          <w:rFonts w:ascii="Times New Roman" w:hAnsi="Times New Roman"/>
        </w:rPr>
        <w:t xml:space="preserve">unwanted </w:t>
      </w:r>
      <w:r>
        <w:rPr>
          <w:rFonts w:ascii="Times New Roman" w:hAnsi="Times New Roman"/>
        </w:rPr>
        <w:t>attention.</w:t>
      </w:r>
    </w:p>
    <w:p w14:paraId="781F0B55" w14:textId="77777777" w:rsidR="0071117C" w:rsidRDefault="0071117C" w:rsidP="007033A8">
      <w:pPr>
        <w:jc w:val="both"/>
        <w:rPr>
          <w:rFonts w:ascii="Times New Roman" w:hAnsi="Times New Roman"/>
        </w:rPr>
      </w:pPr>
    </w:p>
    <w:p w14:paraId="5A02A3E1" w14:textId="77777777" w:rsidR="0071117C" w:rsidRDefault="0071117C" w:rsidP="007033A8">
      <w:pPr>
        <w:jc w:val="both"/>
        <w:rPr>
          <w:rFonts w:ascii="Times New Roman" w:hAnsi="Times New Roman"/>
        </w:rPr>
      </w:pPr>
      <w:r>
        <w:rPr>
          <w:rFonts w:ascii="Times New Roman" w:hAnsi="Times New Roman"/>
        </w:rPr>
        <w:t>To appreciate the point being made, consider that</w:t>
      </w:r>
      <w:r w:rsidR="006426BB">
        <w:rPr>
          <w:rFonts w:ascii="Times New Roman" w:hAnsi="Times New Roman"/>
        </w:rPr>
        <w:t>,</w:t>
      </w:r>
      <w:r>
        <w:rPr>
          <w:rFonts w:ascii="Times New Roman" w:hAnsi="Times New Roman"/>
        </w:rPr>
        <w:t xml:space="preserve"> these days</w:t>
      </w:r>
      <w:r w:rsidR="006426BB">
        <w:rPr>
          <w:rFonts w:ascii="Times New Roman" w:hAnsi="Times New Roman"/>
        </w:rPr>
        <w:t>,</w:t>
      </w:r>
      <w:r>
        <w:rPr>
          <w:rFonts w:ascii="Times New Roman" w:hAnsi="Times New Roman"/>
        </w:rPr>
        <w:t xml:space="preserve"> the 4pillars are holding some $</w:t>
      </w:r>
      <w:r w:rsidR="00074F8E">
        <w:rPr>
          <w:rFonts w:ascii="Times New Roman" w:hAnsi="Times New Roman"/>
        </w:rPr>
        <w:t xml:space="preserve"> </w:t>
      </w:r>
      <w:r>
        <w:rPr>
          <w:rFonts w:ascii="Times New Roman" w:hAnsi="Times New Roman"/>
        </w:rPr>
        <w:t>one-trillion – one thousand billions – in deposits on which no material interest is paid. Next ponder what would be happening if interest rates were anything like even 5% p.a. – let alone the 10% and 15%+ levels that were prevalent in the living memory of all.</w:t>
      </w:r>
    </w:p>
    <w:p w14:paraId="3255CD13" w14:textId="77777777" w:rsidR="0071117C" w:rsidRDefault="0071117C" w:rsidP="007033A8">
      <w:pPr>
        <w:jc w:val="both"/>
        <w:rPr>
          <w:rFonts w:ascii="Times New Roman" w:hAnsi="Times New Roman"/>
        </w:rPr>
      </w:pPr>
    </w:p>
    <w:p w14:paraId="20A91FAE" w14:textId="77777777" w:rsidR="0071117C" w:rsidRDefault="0071117C" w:rsidP="007033A8">
      <w:pPr>
        <w:jc w:val="both"/>
        <w:rPr>
          <w:rFonts w:ascii="Times New Roman" w:hAnsi="Times New Roman"/>
        </w:rPr>
      </w:pPr>
      <w:r>
        <w:rPr>
          <w:rFonts w:ascii="Times New Roman" w:hAnsi="Times New Roman"/>
        </w:rPr>
        <w:t xml:space="preserve">………. and then convert that </w:t>
      </w:r>
      <w:r w:rsidR="006426BB">
        <w:rPr>
          <w:rFonts w:ascii="Times New Roman" w:hAnsi="Times New Roman"/>
        </w:rPr>
        <w:t xml:space="preserve">pondering </w:t>
      </w:r>
      <w:r>
        <w:rPr>
          <w:rFonts w:ascii="Times New Roman" w:hAnsi="Times New Roman"/>
        </w:rPr>
        <w:t>to what really did happen in the 1980s and 1990s -- be in no doubt as to the destructive competitive power unleashed and misused.</w:t>
      </w:r>
    </w:p>
    <w:p w14:paraId="13311E85" w14:textId="77777777" w:rsidR="0071117C" w:rsidRDefault="0071117C" w:rsidP="007033A8">
      <w:pPr>
        <w:jc w:val="both"/>
        <w:rPr>
          <w:rFonts w:ascii="Times New Roman" w:hAnsi="Times New Roman"/>
        </w:rPr>
      </w:pPr>
    </w:p>
    <w:p w14:paraId="5E6C92A8" w14:textId="77777777" w:rsidR="0071117C" w:rsidRPr="0071117C" w:rsidRDefault="0071117C" w:rsidP="007033A8">
      <w:pPr>
        <w:jc w:val="both"/>
        <w:rPr>
          <w:rFonts w:ascii="Times New Roman" w:hAnsi="Times New Roman"/>
          <w:b/>
        </w:rPr>
      </w:pPr>
      <w:r w:rsidRPr="0071117C">
        <w:rPr>
          <w:rFonts w:ascii="Times New Roman" w:hAnsi="Times New Roman"/>
          <w:b/>
        </w:rPr>
        <w:t>-- so what’s wrong here?</w:t>
      </w:r>
    </w:p>
    <w:p w14:paraId="064315AB" w14:textId="77777777" w:rsidR="0071117C" w:rsidRDefault="0071117C" w:rsidP="007033A8">
      <w:pPr>
        <w:jc w:val="both"/>
        <w:rPr>
          <w:rFonts w:ascii="Times New Roman" w:hAnsi="Times New Roman"/>
        </w:rPr>
      </w:pPr>
    </w:p>
    <w:p w14:paraId="56A30468" w14:textId="77777777" w:rsidR="0071117C" w:rsidRDefault="0071117C" w:rsidP="007033A8">
      <w:pPr>
        <w:jc w:val="both"/>
        <w:rPr>
          <w:rFonts w:ascii="Times New Roman" w:hAnsi="Times New Roman"/>
        </w:rPr>
      </w:pPr>
      <w:r>
        <w:rPr>
          <w:rFonts w:ascii="Times New Roman" w:hAnsi="Times New Roman"/>
        </w:rPr>
        <w:t xml:space="preserve">What’s wrong here is that </w:t>
      </w:r>
      <w:r w:rsidR="00500305">
        <w:rPr>
          <w:rFonts w:ascii="Times New Roman" w:hAnsi="Times New Roman"/>
        </w:rPr>
        <w:t>unaccounted</w:t>
      </w:r>
      <w:r>
        <w:rPr>
          <w:rFonts w:ascii="Times New Roman" w:hAnsi="Times New Roman"/>
        </w:rPr>
        <w:t xml:space="preserve"> bartering of free transaction services in exchange for interest free deposits</w:t>
      </w:r>
      <w:r w:rsidR="00500305">
        <w:rPr>
          <w:rFonts w:ascii="Times New Roman" w:hAnsi="Times New Roman"/>
        </w:rPr>
        <w:t>,</w:t>
      </w:r>
      <w:r>
        <w:rPr>
          <w:rFonts w:ascii="Times New Roman" w:hAnsi="Times New Roman"/>
        </w:rPr>
        <w:t xml:space="preserve"> bec</w:t>
      </w:r>
      <w:r w:rsidR="006426BB">
        <w:rPr>
          <w:rFonts w:ascii="Times New Roman" w:hAnsi="Times New Roman"/>
        </w:rPr>
        <w:t>omes</w:t>
      </w:r>
      <w:r>
        <w:rPr>
          <w:rFonts w:ascii="Times New Roman" w:hAnsi="Times New Roman"/>
        </w:rPr>
        <w:t xml:space="preserve"> a destructive force once </w:t>
      </w:r>
      <w:r w:rsidR="00500305">
        <w:rPr>
          <w:rFonts w:ascii="Times New Roman" w:hAnsi="Times New Roman"/>
        </w:rPr>
        <w:t>banks</w:t>
      </w:r>
      <w:r>
        <w:rPr>
          <w:rFonts w:ascii="Times New Roman" w:hAnsi="Times New Roman"/>
        </w:rPr>
        <w:t xml:space="preserve"> </w:t>
      </w:r>
      <w:r w:rsidR="00500305">
        <w:rPr>
          <w:rFonts w:ascii="Times New Roman" w:hAnsi="Times New Roman"/>
        </w:rPr>
        <w:t>earnings on</w:t>
      </w:r>
      <w:r>
        <w:rPr>
          <w:rFonts w:ascii="Times New Roman" w:hAnsi="Times New Roman"/>
        </w:rPr>
        <w:t xml:space="preserve"> the free deposits exceed</w:t>
      </w:r>
      <w:r w:rsidR="00500305">
        <w:rPr>
          <w:rFonts w:ascii="Times New Roman" w:hAnsi="Times New Roman"/>
        </w:rPr>
        <w:t>s</w:t>
      </w:r>
      <w:r>
        <w:rPr>
          <w:rFonts w:ascii="Times New Roman" w:hAnsi="Times New Roman"/>
        </w:rPr>
        <w:t xml:space="preserve"> the unrecovered cost of payment services provided free of charge.</w:t>
      </w:r>
    </w:p>
    <w:p w14:paraId="46ECE7F7" w14:textId="77777777" w:rsidR="0071117C" w:rsidRDefault="0071117C" w:rsidP="007033A8">
      <w:pPr>
        <w:jc w:val="both"/>
        <w:rPr>
          <w:rFonts w:ascii="Times New Roman" w:hAnsi="Times New Roman"/>
        </w:rPr>
      </w:pPr>
    </w:p>
    <w:p w14:paraId="098BD4F0" w14:textId="77777777" w:rsidR="0071117C" w:rsidRDefault="0071117C" w:rsidP="007033A8">
      <w:pPr>
        <w:jc w:val="both"/>
        <w:rPr>
          <w:rFonts w:ascii="Times New Roman" w:hAnsi="Times New Roman"/>
        </w:rPr>
      </w:pPr>
      <w:r>
        <w:rPr>
          <w:rFonts w:ascii="Times New Roman" w:hAnsi="Times New Roman"/>
        </w:rPr>
        <w:t xml:space="preserve">At a cash rates of 10% to 15%+ p.a. that excess was enormous …………… and sustained for decades…..  </w:t>
      </w:r>
      <w:r w:rsidR="00500305">
        <w:rPr>
          <w:rFonts w:ascii="Times New Roman" w:hAnsi="Times New Roman"/>
        </w:rPr>
        <w:t xml:space="preserve">it </w:t>
      </w:r>
      <w:r>
        <w:rPr>
          <w:rFonts w:ascii="Times New Roman" w:hAnsi="Times New Roman"/>
        </w:rPr>
        <w:t>financed destructively predatory competition.</w:t>
      </w:r>
    </w:p>
    <w:p w14:paraId="5474A55F" w14:textId="77777777" w:rsidR="0071117C" w:rsidRDefault="0071117C" w:rsidP="007033A8">
      <w:pPr>
        <w:jc w:val="both"/>
        <w:rPr>
          <w:rFonts w:ascii="Times New Roman" w:hAnsi="Times New Roman"/>
        </w:rPr>
      </w:pPr>
    </w:p>
    <w:p w14:paraId="19F91178" w14:textId="77777777" w:rsidR="0071117C" w:rsidRDefault="0071117C" w:rsidP="007033A8">
      <w:pPr>
        <w:jc w:val="both"/>
        <w:rPr>
          <w:rFonts w:ascii="Times New Roman" w:hAnsi="Times New Roman"/>
        </w:rPr>
      </w:pPr>
      <w:r>
        <w:rPr>
          <w:rFonts w:ascii="Times New Roman" w:hAnsi="Times New Roman"/>
        </w:rPr>
        <w:t>There were</w:t>
      </w:r>
      <w:r w:rsidR="00500305">
        <w:rPr>
          <w:rFonts w:ascii="Times New Roman" w:hAnsi="Times New Roman"/>
        </w:rPr>
        <w:t>,</w:t>
      </w:r>
      <w:r>
        <w:rPr>
          <w:rFonts w:ascii="Times New Roman" w:hAnsi="Times New Roman"/>
        </w:rPr>
        <w:t xml:space="preserve"> </w:t>
      </w:r>
      <w:r w:rsidR="00500305">
        <w:rPr>
          <w:rFonts w:ascii="Times New Roman" w:hAnsi="Times New Roman"/>
        </w:rPr>
        <w:t xml:space="preserve">and remain, </w:t>
      </w:r>
      <w:r>
        <w:rPr>
          <w:rFonts w:ascii="Times New Roman" w:hAnsi="Times New Roman"/>
        </w:rPr>
        <w:t xml:space="preserve">no restrictions on where the pillars deploy the ‘excess’ in the war games – it was used widely in building super funds-management businesses, in operating discount broking facilities; in operating and acquiring insurance businesses – all as well as driving competitor banks to the wall.  </w:t>
      </w:r>
      <w:r w:rsidR="006426BB">
        <w:rPr>
          <w:rFonts w:ascii="Times New Roman" w:hAnsi="Times New Roman"/>
        </w:rPr>
        <w:t>Regulatory incompetence on a grand scale delivered an unassailable cartel</w:t>
      </w:r>
      <w:r w:rsidR="00500305">
        <w:rPr>
          <w:rFonts w:ascii="Times New Roman" w:hAnsi="Times New Roman"/>
        </w:rPr>
        <w:t>.</w:t>
      </w:r>
    </w:p>
    <w:p w14:paraId="031FE7EA" w14:textId="77777777" w:rsidR="0071117C" w:rsidRDefault="0071117C" w:rsidP="007033A8">
      <w:pPr>
        <w:jc w:val="both"/>
        <w:rPr>
          <w:rFonts w:ascii="Times New Roman" w:hAnsi="Times New Roman"/>
        </w:rPr>
      </w:pPr>
    </w:p>
    <w:p w14:paraId="7A109BC6" w14:textId="77777777" w:rsidR="0071117C" w:rsidRDefault="0071117C" w:rsidP="0071117C">
      <w:pPr>
        <w:jc w:val="both"/>
        <w:rPr>
          <w:rFonts w:ascii="Times New Roman" w:hAnsi="Times New Roman"/>
        </w:rPr>
      </w:pPr>
    </w:p>
    <w:p w14:paraId="6A34FBBB" w14:textId="77777777" w:rsidR="0071117C" w:rsidRPr="0071117C" w:rsidRDefault="0071117C" w:rsidP="0071117C">
      <w:pPr>
        <w:jc w:val="both"/>
        <w:rPr>
          <w:rFonts w:ascii="Times New Roman" w:hAnsi="Times New Roman"/>
          <w:b/>
        </w:rPr>
      </w:pPr>
      <w:r w:rsidRPr="0071117C">
        <w:rPr>
          <w:rFonts w:ascii="Times New Roman" w:hAnsi="Times New Roman"/>
          <w:b/>
        </w:rPr>
        <w:t>-- don’t let it happen again</w:t>
      </w:r>
    </w:p>
    <w:p w14:paraId="0DAA2EFF" w14:textId="77777777" w:rsidR="0071117C" w:rsidRDefault="0071117C" w:rsidP="0071117C">
      <w:pPr>
        <w:jc w:val="both"/>
        <w:rPr>
          <w:rFonts w:ascii="Times New Roman" w:hAnsi="Times New Roman"/>
        </w:rPr>
      </w:pPr>
    </w:p>
    <w:p w14:paraId="54D99BFE" w14:textId="77777777" w:rsidR="0071117C" w:rsidRDefault="0071117C" w:rsidP="0071117C">
      <w:pPr>
        <w:jc w:val="both"/>
        <w:rPr>
          <w:rFonts w:ascii="Times New Roman" w:hAnsi="Times New Roman"/>
        </w:rPr>
      </w:pPr>
      <w:r>
        <w:rPr>
          <w:rFonts w:ascii="Times New Roman" w:hAnsi="Times New Roman"/>
        </w:rPr>
        <w:t xml:space="preserve">A very credible concern is that once any semblance of normality is restored to interest rate settings these destructive competitive forces would be refreshed: if so, there would be nothing to stop the excess being deployed in a bidding war in auctions for retail super default business. </w:t>
      </w:r>
    </w:p>
    <w:p w14:paraId="3B423152" w14:textId="77777777" w:rsidR="0071117C" w:rsidRDefault="0071117C" w:rsidP="0071117C">
      <w:pPr>
        <w:jc w:val="both"/>
        <w:rPr>
          <w:rFonts w:ascii="Times New Roman" w:hAnsi="Times New Roman"/>
        </w:rPr>
      </w:pPr>
    </w:p>
    <w:p w14:paraId="756AECA7" w14:textId="77777777" w:rsidR="0071117C" w:rsidRDefault="0071117C" w:rsidP="0071117C">
      <w:pPr>
        <w:jc w:val="both"/>
        <w:rPr>
          <w:rFonts w:ascii="Times New Roman" w:hAnsi="Times New Roman"/>
        </w:rPr>
      </w:pPr>
      <w:r>
        <w:rPr>
          <w:rFonts w:ascii="Times New Roman" w:hAnsi="Times New Roman"/>
        </w:rPr>
        <w:t xml:space="preserve">The 4pillars may well draw lots to </w:t>
      </w:r>
      <w:r w:rsidR="006426BB">
        <w:rPr>
          <w:rFonts w:ascii="Times New Roman" w:hAnsi="Times New Roman"/>
        </w:rPr>
        <w:t>order the</w:t>
      </w:r>
      <w:r>
        <w:rPr>
          <w:rFonts w:ascii="Times New Roman" w:hAnsi="Times New Roman"/>
        </w:rPr>
        <w:t xml:space="preserve"> wins </w:t>
      </w:r>
      <w:r w:rsidR="006426BB">
        <w:rPr>
          <w:rFonts w:ascii="Times New Roman" w:hAnsi="Times New Roman"/>
        </w:rPr>
        <w:t>in</w:t>
      </w:r>
      <w:r>
        <w:rPr>
          <w:rFonts w:ascii="Times New Roman" w:hAnsi="Times New Roman"/>
        </w:rPr>
        <w:t xml:space="preserve"> each four year</w:t>
      </w:r>
      <w:r w:rsidR="006426BB">
        <w:rPr>
          <w:rFonts w:ascii="Times New Roman" w:hAnsi="Times New Roman"/>
        </w:rPr>
        <w:t xml:space="preserve"> sequence</w:t>
      </w:r>
      <w:r>
        <w:rPr>
          <w:rFonts w:ascii="Times New Roman" w:hAnsi="Times New Roman"/>
        </w:rPr>
        <w:t>.</w:t>
      </w:r>
    </w:p>
    <w:p w14:paraId="2205C904" w14:textId="77777777" w:rsidR="0071117C" w:rsidRDefault="0071117C" w:rsidP="0071117C">
      <w:pPr>
        <w:jc w:val="both"/>
        <w:rPr>
          <w:rFonts w:ascii="Times New Roman" w:hAnsi="Times New Roman"/>
        </w:rPr>
      </w:pPr>
    </w:p>
    <w:p w14:paraId="52FD6C27" w14:textId="77777777" w:rsidR="0071117C" w:rsidRDefault="0071117C" w:rsidP="0071117C">
      <w:pPr>
        <w:jc w:val="both"/>
        <w:rPr>
          <w:rFonts w:ascii="Times New Roman" w:hAnsi="Times New Roman"/>
        </w:rPr>
      </w:pPr>
      <w:r>
        <w:rPr>
          <w:rFonts w:ascii="Times New Roman" w:hAnsi="Times New Roman"/>
        </w:rPr>
        <w:t xml:space="preserve">While the auction option is superficially appealing as a way of bringing competitive forces to bear on costs </w:t>
      </w:r>
      <w:r w:rsidR="006426BB">
        <w:rPr>
          <w:rFonts w:ascii="Times New Roman" w:hAnsi="Times New Roman"/>
        </w:rPr>
        <w:t>in</w:t>
      </w:r>
      <w:r>
        <w:rPr>
          <w:rFonts w:ascii="Times New Roman" w:hAnsi="Times New Roman"/>
        </w:rPr>
        <w:t xml:space="preserve"> the super</w:t>
      </w:r>
      <w:r w:rsidR="006426BB">
        <w:rPr>
          <w:rFonts w:ascii="Times New Roman" w:hAnsi="Times New Roman"/>
        </w:rPr>
        <w:t>-</w:t>
      </w:r>
      <w:r>
        <w:rPr>
          <w:rFonts w:ascii="Times New Roman" w:hAnsi="Times New Roman"/>
        </w:rPr>
        <w:t>fund services arena, it has dangerous limitations while ever the regulatory context is so</w:t>
      </w:r>
      <w:r w:rsidR="006426BB">
        <w:rPr>
          <w:rFonts w:ascii="Times New Roman" w:hAnsi="Times New Roman"/>
        </w:rPr>
        <w:t xml:space="preserve"> unfairly</w:t>
      </w:r>
      <w:r>
        <w:rPr>
          <w:rFonts w:ascii="Times New Roman" w:hAnsi="Times New Roman"/>
        </w:rPr>
        <w:t xml:space="preserve"> favorable to the 4pillars.</w:t>
      </w:r>
    </w:p>
    <w:p w14:paraId="5F2AFBDE" w14:textId="77777777" w:rsidR="0071117C" w:rsidRDefault="0071117C" w:rsidP="0071117C">
      <w:pPr>
        <w:jc w:val="both"/>
        <w:rPr>
          <w:rFonts w:ascii="Times New Roman" w:hAnsi="Times New Roman"/>
        </w:rPr>
      </w:pPr>
    </w:p>
    <w:p w14:paraId="0F0D5C7A" w14:textId="77777777" w:rsidR="0071117C" w:rsidRPr="0071117C" w:rsidRDefault="0071117C" w:rsidP="0071117C">
      <w:pPr>
        <w:jc w:val="both"/>
        <w:rPr>
          <w:rFonts w:ascii="Times New Roman" w:hAnsi="Times New Roman"/>
        </w:rPr>
      </w:pPr>
      <w:r>
        <w:rPr>
          <w:rFonts w:ascii="Times New Roman" w:hAnsi="Times New Roman"/>
        </w:rPr>
        <w:t xml:space="preserve">Whether or not industry fund costs and charges are now excessive may be a moot point – what is not moot is that, on performance criteria, industry funds are not the problem. </w:t>
      </w:r>
    </w:p>
    <w:p w14:paraId="0EA16C38" w14:textId="77777777" w:rsidR="0047508D" w:rsidRPr="00CF49DC" w:rsidRDefault="0047508D" w:rsidP="007033A8">
      <w:pPr>
        <w:jc w:val="both"/>
        <w:rPr>
          <w:rFonts w:ascii="Times New Roman" w:hAnsi="Times New Roman"/>
        </w:rPr>
      </w:pPr>
    </w:p>
    <w:p w14:paraId="61C16726" w14:textId="77777777" w:rsidR="00AD27FF" w:rsidRPr="00CF49DC" w:rsidRDefault="00AD27FF" w:rsidP="007033A8">
      <w:pPr>
        <w:jc w:val="both"/>
        <w:rPr>
          <w:rFonts w:ascii="Times New Roman" w:hAnsi="Times New Roman"/>
        </w:rPr>
      </w:pPr>
    </w:p>
    <w:p w14:paraId="539F0F98" w14:textId="77777777" w:rsidR="00AD27FF" w:rsidRPr="00CF49DC" w:rsidRDefault="00AD27FF" w:rsidP="007033A8">
      <w:pPr>
        <w:jc w:val="both"/>
        <w:rPr>
          <w:rFonts w:ascii="Times New Roman" w:hAnsi="Times New Roman"/>
        </w:rPr>
      </w:pPr>
    </w:p>
    <w:p w14:paraId="18261E8D" w14:textId="77777777" w:rsidR="000E6D60" w:rsidRPr="00CF49DC" w:rsidRDefault="000E6D60" w:rsidP="007033A8">
      <w:pPr>
        <w:jc w:val="both"/>
        <w:rPr>
          <w:rFonts w:ascii="Times New Roman" w:hAnsi="Times New Roman"/>
        </w:rPr>
      </w:pPr>
    </w:p>
    <w:p w14:paraId="096EC305" w14:textId="77777777" w:rsidR="00C92E0C" w:rsidRPr="00CF49DC" w:rsidRDefault="00985EF5" w:rsidP="007033A8">
      <w:pPr>
        <w:jc w:val="both"/>
        <w:rPr>
          <w:rFonts w:ascii="Times New Roman" w:hAnsi="Times New Roman"/>
        </w:rPr>
      </w:pPr>
      <w:r w:rsidRPr="00CF49DC">
        <w:rPr>
          <w:rFonts w:ascii="Times New Roman" w:hAnsi="Times New Roman"/>
        </w:rPr>
        <w:t xml:space="preserve">Peter </w:t>
      </w:r>
      <w:proofErr w:type="spellStart"/>
      <w:r w:rsidRPr="00CF49DC">
        <w:rPr>
          <w:rFonts w:ascii="Times New Roman" w:hAnsi="Times New Roman"/>
        </w:rPr>
        <w:t>Mair</w:t>
      </w:r>
      <w:proofErr w:type="spellEnd"/>
      <w:r w:rsidRPr="00CF49DC">
        <w:rPr>
          <w:rFonts w:ascii="Times New Roman" w:hAnsi="Times New Roman"/>
        </w:rPr>
        <w:t xml:space="preserve">  </w:t>
      </w:r>
    </w:p>
    <w:p w14:paraId="793C4857" w14:textId="77777777" w:rsidR="00733AAF" w:rsidRDefault="00733AAF" w:rsidP="007033A8">
      <w:pPr>
        <w:jc w:val="both"/>
        <w:rPr>
          <w:rFonts w:ascii="Times New Roman" w:hAnsi="Times New Roman"/>
        </w:rPr>
      </w:pPr>
    </w:p>
    <w:p w14:paraId="18B03448" w14:textId="77777777" w:rsidR="006426BB" w:rsidRPr="00CF49DC" w:rsidRDefault="006426BB" w:rsidP="007033A8">
      <w:pPr>
        <w:jc w:val="both"/>
        <w:rPr>
          <w:rFonts w:ascii="Times New Roman" w:hAnsi="Times New Roman"/>
        </w:rPr>
      </w:pPr>
      <w:r>
        <w:rPr>
          <w:rFonts w:ascii="Times New Roman" w:hAnsi="Times New Roman"/>
        </w:rPr>
        <w:t>26 September 2016</w:t>
      </w:r>
    </w:p>
    <w:sectPr w:rsidR="006426BB" w:rsidRPr="00CF49DC" w:rsidSect="00AF3D69">
      <w:headerReference w:type="default" r:id="rId14"/>
      <w:pgSz w:w="12240" w:h="15840"/>
      <w:pgMar w:top="1440" w:right="1418" w:bottom="28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EB58D" w14:textId="77777777" w:rsidR="00F01954" w:rsidRDefault="00F01954" w:rsidP="00E33C32">
      <w:r>
        <w:separator/>
      </w:r>
    </w:p>
  </w:endnote>
  <w:endnote w:type="continuationSeparator" w:id="0">
    <w:p w14:paraId="7B486ED8" w14:textId="77777777" w:rsidR="00F01954" w:rsidRDefault="00F01954" w:rsidP="00E3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27F9B" w14:textId="77777777" w:rsidR="00F01954" w:rsidRDefault="00F01954" w:rsidP="00E33C32">
      <w:r>
        <w:separator/>
      </w:r>
    </w:p>
  </w:footnote>
  <w:footnote w:type="continuationSeparator" w:id="0">
    <w:p w14:paraId="26FB4356" w14:textId="77777777" w:rsidR="00F01954" w:rsidRDefault="00F01954" w:rsidP="00E33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6CA63" w14:textId="77777777" w:rsidR="00F01954" w:rsidRDefault="00F01954">
    <w:pPr>
      <w:pStyle w:val="Header"/>
      <w:jc w:val="right"/>
    </w:pPr>
    <w:r>
      <w:fldChar w:fldCharType="begin"/>
    </w:r>
    <w:r>
      <w:instrText xml:space="preserve"> PAGE   \* MERGEFORMAT </w:instrText>
    </w:r>
    <w:r>
      <w:fldChar w:fldCharType="separate"/>
    </w:r>
    <w:r w:rsidR="00506D92">
      <w:rPr>
        <w:noProof/>
      </w:rPr>
      <w:t>1</w:t>
    </w:r>
    <w:r>
      <w:fldChar w:fldCharType="end"/>
    </w:r>
  </w:p>
  <w:p w14:paraId="43FEF8B4" w14:textId="77777777" w:rsidR="00F01954" w:rsidRDefault="00F019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826"/>
    <w:multiLevelType w:val="hybridMultilevel"/>
    <w:tmpl w:val="B18A8D12"/>
    <w:lvl w:ilvl="0" w:tplc="051EB50A">
      <w:numFmt w:val="bullet"/>
      <w:lvlText w:val=""/>
      <w:lvlJc w:val="left"/>
      <w:pPr>
        <w:ind w:left="1440" w:hanging="360"/>
      </w:pPr>
      <w:rPr>
        <w:rFonts w:ascii="Wingdings" w:eastAsia="Times New Roman" w:hAnsi="Wingdings"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1AD63092"/>
    <w:multiLevelType w:val="hybridMultilevel"/>
    <w:tmpl w:val="1DA0049C"/>
    <w:lvl w:ilvl="0" w:tplc="6DA0F5F4">
      <w:numFmt w:val="bullet"/>
      <w:lvlText w:val=""/>
      <w:lvlJc w:val="left"/>
      <w:pPr>
        <w:ind w:left="720" w:hanging="360"/>
      </w:pPr>
      <w:rPr>
        <w:rFonts w:ascii="Wingdings" w:eastAsia="Times New Roman"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4893AD7"/>
    <w:multiLevelType w:val="hybridMultilevel"/>
    <w:tmpl w:val="065C34FA"/>
    <w:lvl w:ilvl="0" w:tplc="E9B2D244">
      <w:numFmt w:val="bullet"/>
      <w:lvlText w:val=""/>
      <w:lvlJc w:val="left"/>
      <w:pPr>
        <w:ind w:left="720" w:hanging="360"/>
      </w:pPr>
      <w:rPr>
        <w:rFonts w:ascii="Wingdings" w:eastAsia="Times New Roman"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97C58B3"/>
    <w:multiLevelType w:val="hybridMultilevel"/>
    <w:tmpl w:val="AA4003FE"/>
    <w:lvl w:ilvl="0" w:tplc="7B0AAC54">
      <w:numFmt w:val="bullet"/>
      <w:lvlText w:val=""/>
      <w:lvlJc w:val="left"/>
      <w:pPr>
        <w:ind w:left="720" w:hanging="360"/>
      </w:pPr>
      <w:rPr>
        <w:rFonts w:ascii="Wingdings" w:eastAsia="Times New Roman"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2ED04AC"/>
    <w:multiLevelType w:val="hybridMultilevel"/>
    <w:tmpl w:val="D0689F7E"/>
    <w:lvl w:ilvl="0" w:tplc="039E18DA">
      <w:numFmt w:val="bullet"/>
      <w:lvlText w:val=""/>
      <w:lvlJc w:val="left"/>
      <w:pPr>
        <w:ind w:left="1080" w:hanging="360"/>
      </w:pPr>
      <w:rPr>
        <w:rFonts w:ascii="Wingdings" w:eastAsia="Times New Roman" w:hAnsi="Wingdings"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6A9E0B11"/>
    <w:multiLevelType w:val="hybridMultilevel"/>
    <w:tmpl w:val="5F8843E0"/>
    <w:lvl w:ilvl="0" w:tplc="803C1260">
      <w:start w:val="24"/>
      <w:numFmt w:val="bullet"/>
      <w:lvlText w:val="-"/>
      <w:lvlJc w:val="left"/>
      <w:pPr>
        <w:ind w:left="420" w:hanging="360"/>
      </w:pPr>
      <w:rPr>
        <w:rFonts w:ascii="Times New Roman" w:eastAsia="Times New Roman" w:hAnsi="Times New Roman" w:hint="default"/>
      </w:rPr>
    </w:lvl>
    <w:lvl w:ilvl="1" w:tplc="0C090003" w:tentative="1">
      <w:start w:val="1"/>
      <w:numFmt w:val="bullet"/>
      <w:lvlText w:val="o"/>
      <w:lvlJc w:val="left"/>
      <w:pPr>
        <w:ind w:left="1140" w:hanging="360"/>
      </w:pPr>
      <w:rPr>
        <w:rFonts w:ascii="Courier New" w:hAnsi="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hint="default"/>
      </w:rPr>
    </w:lvl>
    <w:lvl w:ilvl="8" w:tplc="0C090005" w:tentative="1">
      <w:start w:val="1"/>
      <w:numFmt w:val="bullet"/>
      <w:lvlText w:val=""/>
      <w:lvlJc w:val="left"/>
      <w:pPr>
        <w:ind w:left="61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3AAF"/>
    <w:rsid w:val="000444AD"/>
    <w:rsid w:val="00060C0D"/>
    <w:rsid w:val="00071B4B"/>
    <w:rsid w:val="00074F8E"/>
    <w:rsid w:val="000779B2"/>
    <w:rsid w:val="00092177"/>
    <w:rsid w:val="000B250B"/>
    <w:rsid w:val="000B63E2"/>
    <w:rsid w:val="000D15A3"/>
    <w:rsid w:val="000E6D60"/>
    <w:rsid w:val="000F181E"/>
    <w:rsid w:val="00107385"/>
    <w:rsid w:val="00114B51"/>
    <w:rsid w:val="00145175"/>
    <w:rsid w:val="00153D5E"/>
    <w:rsid w:val="001720D9"/>
    <w:rsid w:val="001C38B0"/>
    <w:rsid w:val="001D218D"/>
    <w:rsid w:val="001D6C15"/>
    <w:rsid w:val="001E0DCB"/>
    <w:rsid w:val="00231BFB"/>
    <w:rsid w:val="00234353"/>
    <w:rsid w:val="00262B1A"/>
    <w:rsid w:val="00272197"/>
    <w:rsid w:val="00286ADC"/>
    <w:rsid w:val="002B1AA6"/>
    <w:rsid w:val="002C39A1"/>
    <w:rsid w:val="002C65F3"/>
    <w:rsid w:val="003446DD"/>
    <w:rsid w:val="00351D66"/>
    <w:rsid w:val="00361BE7"/>
    <w:rsid w:val="00364B3A"/>
    <w:rsid w:val="00374FBD"/>
    <w:rsid w:val="003A4C0E"/>
    <w:rsid w:val="003B4FC6"/>
    <w:rsid w:val="003E6042"/>
    <w:rsid w:val="00412C06"/>
    <w:rsid w:val="004260D3"/>
    <w:rsid w:val="00433538"/>
    <w:rsid w:val="00453B75"/>
    <w:rsid w:val="00473634"/>
    <w:rsid w:val="0047508D"/>
    <w:rsid w:val="0049738F"/>
    <w:rsid w:val="004A11EF"/>
    <w:rsid w:val="00500305"/>
    <w:rsid w:val="005047BD"/>
    <w:rsid w:val="00504E56"/>
    <w:rsid w:val="00506D92"/>
    <w:rsid w:val="00507835"/>
    <w:rsid w:val="005565DF"/>
    <w:rsid w:val="005776E5"/>
    <w:rsid w:val="005B5326"/>
    <w:rsid w:val="005B6E06"/>
    <w:rsid w:val="005D564A"/>
    <w:rsid w:val="00601D2F"/>
    <w:rsid w:val="00623B6B"/>
    <w:rsid w:val="00636866"/>
    <w:rsid w:val="006426BB"/>
    <w:rsid w:val="00657C21"/>
    <w:rsid w:val="00661A62"/>
    <w:rsid w:val="00685AF1"/>
    <w:rsid w:val="006952A1"/>
    <w:rsid w:val="007033A8"/>
    <w:rsid w:val="0071117C"/>
    <w:rsid w:val="00721205"/>
    <w:rsid w:val="00727CFB"/>
    <w:rsid w:val="00732EC7"/>
    <w:rsid w:val="00733AAF"/>
    <w:rsid w:val="00751227"/>
    <w:rsid w:val="007814CB"/>
    <w:rsid w:val="007956EA"/>
    <w:rsid w:val="007D3B9E"/>
    <w:rsid w:val="007E1844"/>
    <w:rsid w:val="00806467"/>
    <w:rsid w:val="008150AC"/>
    <w:rsid w:val="00822D96"/>
    <w:rsid w:val="00845462"/>
    <w:rsid w:val="008601F3"/>
    <w:rsid w:val="00895C51"/>
    <w:rsid w:val="008E1477"/>
    <w:rsid w:val="00904E0B"/>
    <w:rsid w:val="00915FBB"/>
    <w:rsid w:val="009441E8"/>
    <w:rsid w:val="00975607"/>
    <w:rsid w:val="00982929"/>
    <w:rsid w:val="00985EF5"/>
    <w:rsid w:val="009A29A5"/>
    <w:rsid w:val="009B1D9C"/>
    <w:rsid w:val="009D1F87"/>
    <w:rsid w:val="009D4E02"/>
    <w:rsid w:val="009E304F"/>
    <w:rsid w:val="00A96FC2"/>
    <w:rsid w:val="00AD27FF"/>
    <w:rsid w:val="00AD6222"/>
    <w:rsid w:val="00AF3D69"/>
    <w:rsid w:val="00B97C7C"/>
    <w:rsid w:val="00BE3175"/>
    <w:rsid w:val="00C1500A"/>
    <w:rsid w:val="00C15A13"/>
    <w:rsid w:val="00C1736C"/>
    <w:rsid w:val="00C31127"/>
    <w:rsid w:val="00C4028B"/>
    <w:rsid w:val="00C60B12"/>
    <w:rsid w:val="00C75F74"/>
    <w:rsid w:val="00C8460A"/>
    <w:rsid w:val="00C92E0C"/>
    <w:rsid w:val="00CB7E06"/>
    <w:rsid w:val="00CF49DC"/>
    <w:rsid w:val="00CF6BE7"/>
    <w:rsid w:val="00D0652E"/>
    <w:rsid w:val="00D240A1"/>
    <w:rsid w:val="00D61ADF"/>
    <w:rsid w:val="00D80F73"/>
    <w:rsid w:val="00D84187"/>
    <w:rsid w:val="00DB0C4C"/>
    <w:rsid w:val="00DC1801"/>
    <w:rsid w:val="00DC4059"/>
    <w:rsid w:val="00DC4520"/>
    <w:rsid w:val="00DD1B9D"/>
    <w:rsid w:val="00DF3649"/>
    <w:rsid w:val="00E10AC1"/>
    <w:rsid w:val="00E33C32"/>
    <w:rsid w:val="00E66C7D"/>
    <w:rsid w:val="00E77BFF"/>
    <w:rsid w:val="00EB53AA"/>
    <w:rsid w:val="00ED1737"/>
    <w:rsid w:val="00ED2807"/>
    <w:rsid w:val="00F01954"/>
    <w:rsid w:val="00F042BF"/>
    <w:rsid w:val="00F55F92"/>
    <w:rsid w:val="00F56E54"/>
    <w:rsid w:val="00F66403"/>
    <w:rsid w:val="00F77AB5"/>
    <w:rsid w:val="00F85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01E5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E06"/>
    <w:pPr>
      <w:spacing w:after="0" w:line="240" w:lineRule="auto"/>
    </w:pPr>
    <w:rPr>
      <w:rFonts w:cs="Times New Roman"/>
      <w:sz w:val="24"/>
      <w:szCs w:val="24"/>
      <w:lang w:val="en-US" w:eastAsia="en-US"/>
    </w:rPr>
  </w:style>
  <w:style w:type="paragraph" w:styleId="Heading1">
    <w:name w:val="heading 1"/>
    <w:basedOn w:val="Normal"/>
    <w:next w:val="Normal"/>
    <w:link w:val="Heading1Char"/>
    <w:uiPriority w:val="9"/>
    <w:qFormat/>
    <w:rsid w:val="00CB7E0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B7E0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B7E0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B7E0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B7E0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B7E0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B7E06"/>
    <w:pPr>
      <w:spacing w:before="240" w:after="60"/>
      <w:outlineLvl w:val="6"/>
    </w:pPr>
  </w:style>
  <w:style w:type="paragraph" w:styleId="Heading8">
    <w:name w:val="heading 8"/>
    <w:basedOn w:val="Normal"/>
    <w:next w:val="Normal"/>
    <w:link w:val="Heading8Char"/>
    <w:uiPriority w:val="9"/>
    <w:semiHidden/>
    <w:unhideWhenUsed/>
    <w:qFormat/>
    <w:rsid w:val="00CB7E06"/>
    <w:pPr>
      <w:spacing w:before="240" w:after="60"/>
      <w:outlineLvl w:val="7"/>
    </w:pPr>
    <w:rPr>
      <w:i/>
      <w:iCs/>
    </w:rPr>
  </w:style>
  <w:style w:type="paragraph" w:styleId="Heading9">
    <w:name w:val="heading 9"/>
    <w:basedOn w:val="Normal"/>
    <w:next w:val="Normal"/>
    <w:link w:val="Heading9Char"/>
    <w:uiPriority w:val="9"/>
    <w:semiHidden/>
    <w:unhideWhenUsed/>
    <w:qFormat/>
    <w:rsid w:val="00CB7E0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B7E06"/>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CB7E06"/>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CB7E06"/>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CB7E06"/>
    <w:rPr>
      <w:rFonts w:cs="Times New Roman"/>
      <w:b/>
      <w:bCs/>
      <w:sz w:val="28"/>
      <w:szCs w:val="28"/>
    </w:rPr>
  </w:style>
  <w:style w:type="character" w:customStyle="1" w:styleId="Heading5Char">
    <w:name w:val="Heading 5 Char"/>
    <w:basedOn w:val="DefaultParagraphFont"/>
    <w:link w:val="Heading5"/>
    <w:uiPriority w:val="9"/>
    <w:semiHidden/>
    <w:locked/>
    <w:rsid w:val="00CB7E06"/>
    <w:rPr>
      <w:rFonts w:cs="Times New Roman"/>
      <w:b/>
      <w:bCs/>
      <w:i/>
      <w:iCs/>
      <w:sz w:val="26"/>
      <w:szCs w:val="26"/>
    </w:rPr>
  </w:style>
  <w:style w:type="character" w:customStyle="1" w:styleId="Heading6Char">
    <w:name w:val="Heading 6 Char"/>
    <w:basedOn w:val="DefaultParagraphFont"/>
    <w:link w:val="Heading6"/>
    <w:uiPriority w:val="9"/>
    <w:semiHidden/>
    <w:locked/>
    <w:rsid w:val="00CB7E06"/>
    <w:rPr>
      <w:rFonts w:cs="Times New Roman"/>
      <w:b/>
      <w:bCs/>
    </w:rPr>
  </w:style>
  <w:style w:type="character" w:customStyle="1" w:styleId="Heading7Char">
    <w:name w:val="Heading 7 Char"/>
    <w:basedOn w:val="DefaultParagraphFont"/>
    <w:link w:val="Heading7"/>
    <w:uiPriority w:val="9"/>
    <w:semiHidden/>
    <w:locked/>
    <w:rsid w:val="00CB7E06"/>
    <w:rPr>
      <w:rFonts w:cs="Times New Roman"/>
      <w:sz w:val="24"/>
      <w:szCs w:val="24"/>
    </w:rPr>
  </w:style>
  <w:style w:type="character" w:customStyle="1" w:styleId="Heading8Char">
    <w:name w:val="Heading 8 Char"/>
    <w:basedOn w:val="DefaultParagraphFont"/>
    <w:link w:val="Heading8"/>
    <w:uiPriority w:val="9"/>
    <w:semiHidden/>
    <w:locked/>
    <w:rsid w:val="00CB7E06"/>
    <w:rPr>
      <w:rFonts w:cs="Times New Roman"/>
      <w:i/>
      <w:iCs/>
      <w:sz w:val="24"/>
      <w:szCs w:val="24"/>
    </w:rPr>
  </w:style>
  <w:style w:type="character" w:customStyle="1" w:styleId="Heading9Char">
    <w:name w:val="Heading 9 Char"/>
    <w:basedOn w:val="DefaultParagraphFont"/>
    <w:link w:val="Heading9"/>
    <w:uiPriority w:val="9"/>
    <w:semiHidden/>
    <w:locked/>
    <w:rsid w:val="00CB7E06"/>
    <w:rPr>
      <w:rFonts w:asciiTheme="majorHAnsi" w:eastAsiaTheme="majorEastAsia" w:hAnsiTheme="majorHAnsi" w:cs="Times New Roman"/>
    </w:rPr>
  </w:style>
  <w:style w:type="paragraph" w:styleId="Title">
    <w:name w:val="Title"/>
    <w:basedOn w:val="Normal"/>
    <w:next w:val="Normal"/>
    <w:link w:val="TitleChar"/>
    <w:uiPriority w:val="10"/>
    <w:qFormat/>
    <w:rsid w:val="00CB7E0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CB7E06"/>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CB7E0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CB7E06"/>
    <w:rPr>
      <w:rFonts w:asciiTheme="majorHAnsi" w:eastAsiaTheme="majorEastAsia" w:hAnsiTheme="majorHAnsi" w:cs="Times New Roman"/>
      <w:sz w:val="24"/>
      <w:szCs w:val="24"/>
    </w:rPr>
  </w:style>
  <w:style w:type="character" w:styleId="Strong">
    <w:name w:val="Strong"/>
    <w:basedOn w:val="DefaultParagraphFont"/>
    <w:uiPriority w:val="22"/>
    <w:qFormat/>
    <w:rsid w:val="00CB7E06"/>
    <w:rPr>
      <w:rFonts w:cs="Times New Roman"/>
      <w:b/>
      <w:bCs/>
    </w:rPr>
  </w:style>
  <w:style w:type="character" w:styleId="Emphasis">
    <w:name w:val="Emphasis"/>
    <w:basedOn w:val="DefaultParagraphFont"/>
    <w:uiPriority w:val="20"/>
    <w:qFormat/>
    <w:rsid w:val="00CB7E06"/>
    <w:rPr>
      <w:rFonts w:asciiTheme="minorHAnsi" w:hAnsiTheme="minorHAnsi" w:cs="Times New Roman"/>
      <w:b/>
      <w:i/>
      <w:iCs/>
    </w:rPr>
  </w:style>
  <w:style w:type="paragraph" w:styleId="NoSpacing">
    <w:name w:val="No Spacing"/>
    <w:basedOn w:val="Normal"/>
    <w:uiPriority w:val="1"/>
    <w:qFormat/>
    <w:rsid w:val="00CB7E06"/>
    <w:rPr>
      <w:szCs w:val="32"/>
    </w:rPr>
  </w:style>
  <w:style w:type="paragraph" w:styleId="ListParagraph">
    <w:name w:val="List Paragraph"/>
    <w:basedOn w:val="Normal"/>
    <w:uiPriority w:val="34"/>
    <w:qFormat/>
    <w:rsid w:val="00CB7E06"/>
    <w:pPr>
      <w:ind w:left="720"/>
      <w:contextualSpacing/>
    </w:pPr>
  </w:style>
  <w:style w:type="paragraph" w:styleId="Quote">
    <w:name w:val="Quote"/>
    <w:basedOn w:val="Normal"/>
    <w:next w:val="Normal"/>
    <w:link w:val="QuoteChar"/>
    <w:uiPriority w:val="29"/>
    <w:qFormat/>
    <w:rsid w:val="00CB7E06"/>
    <w:rPr>
      <w:i/>
    </w:rPr>
  </w:style>
  <w:style w:type="character" w:customStyle="1" w:styleId="QuoteChar">
    <w:name w:val="Quote Char"/>
    <w:basedOn w:val="DefaultParagraphFont"/>
    <w:link w:val="Quote"/>
    <w:uiPriority w:val="29"/>
    <w:locked/>
    <w:rsid w:val="00CB7E06"/>
    <w:rPr>
      <w:rFonts w:cs="Times New Roman"/>
      <w:i/>
      <w:sz w:val="24"/>
      <w:szCs w:val="24"/>
    </w:rPr>
  </w:style>
  <w:style w:type="paragraph" w:styleId="IntenseQuote">
    <w:name w:val="Intense Quote"/>
    <w:basedOn w:val="Normal"/>
    <w:next w:val="Normal"/>
    <w:link w:val="IntenseQuoteChar"/>
    <w:uiPriority w:val="30"/>
    <w:qFormat/>
    <w:rsid w:val="00CB7E06"/>
    <w:pPr>
      <w:ind w:left="720" w:right="720"/>
    </w:pPr>
    <w:rPr>
      <w:b/>
      <w:i/>
      <w:szCs w:val="22"/>
    </w:rPr>
  </w:style>
  <w:style w:type="character" w:customStyle="1" w:styleId="IntenseQuoteChar">
    <w:name w:val="Intense Quote Char"/>
    <w:basedOn w:val="DefaultParagraphFont"/>
    <w:link w:val="IntenseQuote"/>
    <w:uiPriority w:val="30"/>
    <w:locked/>
    <w:rsid w:val="00CB7E06"/>
    <w:rPr>
      <w:rFonts w:cs="Times New Roman"/>
      <w:b/>
      <w:i/>
      <w:sz w:val="24"/>
    </w:rPr>
  </w:style>
  <w:style w:type="character" w:styleId="SubtleEmphasis">
    <w:name w:val="Subtle Emphasis"/>
    <w:basedOn w:val="DefaultParagraphFont"/>
    <w:uiPriority w:val="19"/>
    <w:qFormat/>
    <w:rsid w:val="00CB7E06"/>
    <w:rPr>
      <w:rFonts w:cs="Times New Roman"/>
      <w:i/>
      <w:color w:val="5A5A5A" w:themeColor="text1" w:themeTint="A5"/>
    </w:rPr>
  </w:style>
  <w:style w:type="character" w:styleId="IntenseEmphasis">
    <w:name w:val="Intense Emphasis"/>
    <w:basedOn w:val="DefaultParagraphFont"/>
    <w:uiPriority w:val="21"/>
    <w:qFormat/>
    <w:rsid w:val="00CB7E06"/>
    <w:rPr>
      <w:rFonts w:cs="Times New Roman"/>
      <w:b/>
      <w:i/>
      <w:sz w:val="24"/>
      <w:szCs w:val="24"/>
      <w:u w:val="single"/>
    </w:rPr>
  </w:style>
  <w:style w:type="character" w:styleId="SubtleReference">
    <w:name w:val="Subtle Reference"/>
    <w:basedOn w:val="DefaultParagraphFont"/>
    <w:uiPriority w:val="31"/>
    <w:qFormat/>
    <w:rsid w:val="00CB7E06"/>
    <w:rPr>
      <w:rFonts w:cs="Times New Roman"/>
      <w:sz w:val="24"/>
      <w:szCs w:val="24"/>
      <w:u w:val="single"/>
    </w:rPr>
  </w:style>
  <w:style w:type="character" w:styleId="IntenseReference">
    <w:name w:val="Intense Reference"/>
    <w:basedOn w:val="DefaultParagraphFont"/>
    <w:uiPriority w:val="32"/>
    <w:qFormat/>
    <w:rsid w:val="00CB7E06"/>
    <w:rPr>
      <w:rFonts w:cs="Times New Roman"/>
      <w:b/>
      <w:sz w:val="24"/>
      <w:u w:val="single"/>
    </w:rPr>
  </w:style>
  <w:style w:type="character" w:styleId="BookTitle">
    <w:name w:val="Book Title"/>
    <w:basedOn w:val="DefaultParagraphFont"/>
    <w:uiPriority w:val="33"/>
    <w:qFormat/>
    <w:rsid w:val="00CB7E06"/>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CB7E06"/>
    <w:pPr>
      <w:outlineLvl w:val="9"/>
    </w:pPr>
  </w:style>
  <w:style w:type="paragraph" w:styleId="Header">
    <w:name w:val="header"/>
    <w:basedOn w:val="Normal"/>
    <w:link w:val="HeaderChar"/>
    <w:uiPriority w:val="99"/>
    <w:unhideWhenUsed/>
    <w:rsid w:val="00E33C32"/>
    <w:pPr>
      <w:tabs>
        <w:tab w:val="center" w:pos="4513"/>
        <w:tab w:val="right" w:pos="9026"/>
      </w:tabs>
    </w:pPr>
  </w:style>
  <w:style w:type="character" w:customStyle="1" w:styleId="HeaderChar">
    <w:name w:val="Header Char"/>
    <w:basedOn w:val="DefaultParagraphFont"/>
    <w:link w:val="Header"/>
    <w:uiPriority w:val="99"/>
    <w:locked/>
    <w:rsid w:val="00E33C32"/>
    <w:rPr>
      <w:rFonts w:cs="Times New Roman"/>
      <w:sz w:val="24"/>
      <w:szCs w:val="24"/>
      <w:lang w:val="en-US" w:eastAsia="en-US"/>
    </w:rPr>
  </w:style>
  <w:style w:type="paragraph" w:styleId="Footer">
    <w:name w:val="footer"/>
    <w:basedOn w:val="Normal"/>
    <w:link w:val="FooterChar"/>
    <w:uiPriority w:val="99"/>
    <w:semiHidden/>
    <w:unhideWhenUsed/>
    <w:rsid w:val="00E33C32"/>
    <w:pPr>
      <w:tabs>
        <w:tab w:val="center" w:pos="4513"/>
        <w:tab w:val="right" w:pos="9026"/>
      </w:tabs>
    </w:pPr>
  </w:style>
  <w:style w:type="character" w:customStyle="1" w:styleId="FooterChar">
    <w:name w:val="Footer Char"/>
    <w:basedOn w:val="DefaultParagraphFont"/>
    <w:link w:val="Footer"/>
    <w:uiPriority w:val="99"/>
    <w:semiHidden/>
    <w:locked/>
    <w:rsid w:val="00E33C32"/>
    <w:rPr>
      <w:rFonts w:cs="Times New Roman"/>
      <w:sz w:val="24"/>
      <w:szCs w:val="24"/>
      <w:lang w:val="en-US" w:eastAsia="en-US"/>
    </w:rPr>
  </w:style>
  <w:style w:type="paragraph" w:styleId="BalloonText">
    <w:name w:val="Balloon Text"/>
    <w:basedOn w:val="Normal"/>
    <w:link w:val="BalloonTextChar"/>
    <w:uiPriority w:val="99"/>
    <w:semiHidden/>
    <w:unhideWhenUsed/>
    <w:rsid w:val="009E30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04F"/>
    <w:rPr>
      <w:rFonts w:ascii="Tahoma" w:hAnsi="Tahoma" w:cs="Tahoma"/>
      <w:sz w:val="16"/>
      <w:szCs w:val="16"/>
      <w:lang w:val="en-US" w:eastAsia="en-US"/>
    </w:rPr>
  </w:style>
  <w:style w:type="character" w:styleId="Hyperlink">
    <w:name w:val="Hyperlink"/>
    <w:basedOn w:val="DefaultParagraphFont"/>
    <w:uiPriority w:val="99"/>
    <w:unhideWhenUsed/>
    <w:rsid w:val="00C8460A"/>
    <w:rPr>
      <w:rFonts w:cs="Times New Roman"/>
      <w:color w:val="0000FF"/>
      <w:u w:val="single"/>
    </w:rPr>
  </w:style>
  <w:style w:type="paragraph" w:customStyle="1" w:styleId="Box">
    <w:name w:val="Box"/>
    <w:basedOn w:val="BodyText"/>
    <w:qFormat/>
    <w:rsid w:val="00C15A13"/>
    <w:pPr>
      <w:keepNext/>
      <w:spacing w:before="120" w:after="0" w:line="260" w:lineRule="atLeast"/>
      <w:jc w:val="both"/>
    </w:pPr>
    <w:rPr>
      <w:rFonts w:ascii="Arial" w:hAnsi="Arial"/>
      <w:sz w:val="20"/>
      <w:szCs w:val="20"/>
      <w:lang w:val="en-AU" w:eastAsia="en-AU"/>
    </w:rPr>
  </w:style>
  <w:style w:type="table" w:styleId="TableGrid">
    <w:name w:val="Table Grid"/>
    <w:basedOn w:val="TableNormal"/>
    <w:uiPriority w:val="59"/>
    <w:rsid w:val="00C15A1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15A13"/>
    <w:pPr>
      <w:spacing w:after="120"/>
    </w:pPr>
  </w:style>
  <w:style w:type="character" w:customStyle="1" w:styleId="BodyTextChar">
    <w:name w:val="Body Text Char"/>
    <w:basedOn w:val="DefaultParagraphFont"/>
    <w:link w:val="BodyText"/>
    <w:uiPriority w:val="99"/>
    <w:semiHidden/>
    <w:locked/>
    <w:rsid w:val="00C15A13"/>
    <w:rPr>
      <w:rFonts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39533f3512768eb64506232e1a5f03a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22f63d15f82780aba6c121dd434b4334"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ermInfo xmlns="http://schemas.microsoft.com/office/infopath/2007/PartnerControls">
          <TermName>Default</TermName>
          <TermId>64032201-f6de-400b-9ac3-4f00337179ea</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2433</Value>
    </TaxCatchAll>
  </documentManagement>
</p:properties>
</file>

<file path=customXml/itemProps1.xml><?xml version="1.0" encoding="utf-8"?>
<ds:datastoreItem xmlns:ds="http://schemas.openxmlformats.org/officeDocument/2006/customXml" ds:itemID="{8EA872BE-5EAC-4C19-97A4-6B9145CF8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4AF8F-54CB-4B56-936F-23F0948B4BE7}">
  <ds:schemaRefs>
    <ds:schemaRef ds:uri="Microsoft.SharePoint.Taxonomy.ContentTypeSync"/>
  </ds:schemaRefs>
</ds:datastoreItem>
</file>

<file path=customXml/itemProps3.xml><?xml version="1.0" encoding="utf-8"?>
<ds:datastoreItem xmlns:ds="http://schemas.openxmlformats.org/officeDocument/2006/customXml" ds:itemID="{387210A0-7336-47BC-BD3D-D264B896C797}">
  <ds:schemaRefs>
    <ds:schemaRef ds:uri="http://schemas.microsoft.com/office/2006/metadata/customXsn"/>
  </ds:schemaRefs>
</ds:datastoreItem>
</file>

<file path=customXml/itemProps4.xml><?xml version="1.0" encoding="utf-8"?>
<ds:datastoreItem xmlns:ds="http://schemas.openxmlformats.org/officeDocument/2006/customXml" ds:itemID="{09D90850-206C-4981-866B-28915C70DFC4}">
  <ds:schemaRefs>
    <ds:schemaRef ds:uri="http://schemas.microsoft.com/sharepoint/events"/>
  </ds:schemaRefs>
</ds:datastoreItem>
</file>

<file path=customXml/itemProps5.xml><?xml version="1.0" encoding="utf-8"?>
<ds:datastoreItem xmlns:ds="http://schemas.openxmlformats.org/officeDocument/2006/customXml" ds:itemID="{4AF0C7FD-7A57-4234-9598-61330641F4B0}">
  <ds:schemaRefs>
    <ds:schemaRef ds:uri="http://schemas.microsoft.com/sharepoint/v3/contenttype/forms"/>
  </ds:schemaRefs>
</ds:datastoreItem>
</file>

<file path=customXml/itemProps6.xml><?xml version="1.0" encoding="utf-8"?>
<ds:datastoreItem xmlns:ds="http://schemas.openxmlformats.org/officeDocument/2006/customXml" ds:itemID="{4E22195D-06D8-4106-A005-AB02F45C10E8}">
  <ds:schemaRefs>
    <ds:schemaRef ds:uri="3f4bcce7-ac1a-4c9d-aa3e-7e77695652db"/>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8044c801-d84b-4ee1-a77e-678f8dcdee1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EDB62D7B</Template>
  <TotalTime>2</TotalTime>
  <Pages>3</Pages>
  <Words>1265</Words>
  <Characters>6803</Characters>
  <Application>Microsoft Office Word</Application>
  <DocSecurity>0</DocSecurity>
  <Lines>154</Lines>
  <Paragraphs>49</Paragraphs>
  <ScaleCrop>false</ScaleCrop>
  <HeadingPairs>
    <vt:vector size="2" baseType="variant">
      <vt:variant>
        <vt:lpstr>Title</vt:lpstr>
      </vt:variant>
      <vt:variant>
        <vt:i4>1</vt:i4>
      </vt:variant>
    </vt:vector>
  </HeadingPairs>
  <TitlesOfParts>
    <vt:vector size="1" baseType="lpstr">
      <vt:lpstr>Submission 1 - Peter Mair - Alternative Default Fund Models - Public inquiry</vt:lpstr>
    </vt:vector>
  </TitlesOfParts>
  <Company>Peter Mair</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Peter Mair - Alternative Default Fund Models - Public inquiry</dc:title>
  <dc:creator>Peter Mair</dc:creator>
  <cp:keywords>Default</cp:keywords>
  <cp:lastModifiedBy>Alston, Chris</cp:lastModifiedBy>
  <cp:revision>5</cp:revision>
  <cp:lastPrinted>2016-09-26T02:50:00Z</cp:lastPrinted>
  <dcterms:created xsi:type="dcterms:W3CDTF">2016-09-29T04:51:00Z</dcterms:created>
  <dcterms:modified xsi:type="dcterms:W3CDTF">2016-10-03T03:47:00Z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Record Tag">
    <vt:lpwstr>4487;#Submissions - Stage 2|df6c8b62-a0f6-48ca-9bad-05bd9d9348d3</vt:lpwstr>
  </property>
  <property fmtid="{D5CDD505-2E9C-101B-9397-08002B2CF9AE}" pid="4" name="TaxKeyword">
    <vt:lpwstr>2433;#Default|64032201-f6de-400b-9ac3-4f00337179ea</vt:lpwstr>
  </property>
</Properties>
</file>