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03BC" w:rsidRPr="00F503BC" w:rsidRDefault="00D43ED0" w:rsidP="00F503BC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710696">
        <w:rPr>
          <w:rFonts w:asciiTheme="minorHAnsi" w:hAnsiTheme="minorHAnsi"/>
          <w:color w:val="000000" w:themeColor="text1"/>
          <w:sz w:val="24"/>
          <w:szCs w:val="24"/>
        </w:rPr>
        <w:fldChar w:fldCharType="begin"/>
      </w:r>
      <w:r w:rsidRPr="00710696">
        <w:rPr>
          <w:rFonts w:asciiTheme="minorHAnsi" w:hAnsiTheme="minorHAnsi"/>
          <w:color w:val="000000" w:themeColor="text1"/>
          <w:sz w:val="24"/>
          <w:szCs w:val="24"/>
        </w:rPr>
        <w:instrText xml:space="preserve"> DATE \@DD/MM/YYYY \* MERGEFORMAT </w:instrText>
      </w:r>
      <w:r w:rsidRPr="00710696">
        <w:rPr>
          <w:rFonts w:asciiTheme="minorHAnsi" w:hAnsiTheme="minorHAnsi"/>
          <w:color w:val="000000" w:themeColor="text1"/>
          <w:sz w:val="24"/>
          <w:szCs w:val="24"/>
        </w:rPr>
        <w:fldChar w:fldCharType="separate"/>
      </w:r>
      <w:r w:rsidR="00C02BA4">
        <w:rPr>
          <w:rFonts w:asciiTheme="minorHAnsi" w:hAnsiTheme="minorHAnsi"/>
          <w:noProof/>
          <w:color w:val="000000" w:themeColor="text1"/>
          <w:sz w:val="24"/>
          <w:szCs w:val="24"/>
        </w:rPr>
        <w:t>31/10/2016</w:t>
      </w:r>
      <w:r w:rsidRPr="00710696">
        <w:rPr>
          <w:rFonts w:asciiTheme="minorHAnsi" w:hAnsiTheme="minorHAnsi"/>
          <w:color w:val="000000" w:themeColor="text1"/>
          <w:sz w:val="24"/>
          <w:szCs w:val="24"/>
        </w:rPr>
        <w:fldChar w:fldCharType="end"/>
      </w:r>
    </w:p>
    <w:p w:rsidR="00F503BC" w:rsidRPr="00F503BC" w:rsidRDefault="00F503BC" w:rsidP="00D3352F">
      <w:pPr>
        <w:spacing w:after="0"/>
        <w:rPr>
          <w:rFonts w:asciiTheme="minorHAnsi" w:hAnsiTheme="minorHAnsi"/>
          <w:bCs/>
          <w:color w:val="000000" w:themeColor="text1"/>
          <w:spacing w:val="7"/>
          <w:sz w:val="24"/>
          <w:szCs w:val="24"/>
          <w:lang w:val="en"/>
        </w:rPr>
      </w:pPr>
      <w:r>
        <w:rPr>
          <w:rFonts w:asciiTheme="minorHAnsi" w:hAnsiTheme="minorHAnsi"/>
          <w:bCs/>
          <w:color w:val="000000" w:themeColor="text1"/>
          <w:spacing w:val="7"/>
          <w:sz w:val="24"/>
          <w:szCs w:val="24"/>
          <w:lang w:val="en"/>
        </w:rPr>
        <w:t>Attention:  Karen Chester, Deputy Chair</w:t>
      </w:r>
    </w:p>
    <w:p w:rsidR="00F503BC" w:rsidRDefault="00F503BC" w:rsidP="00D3352F">
      <w:pPr>
        <w:spacing w:after="0"/>
        <w:rPr>
          <w:rFonts w:asciiTheme="minorHAnsi" w:hAnsiTheme="minorHAnsi"/>
          <w:b/>
          <w:bCs/>
          <w:color w:val="000000" w:themeColor="text1"/>
          <w:spacing w:val="7"/>
          <w:sz w:val="24"/>
          <w:szCs w:val="24"/>
          <w:lang w:val="en"/>
        </w:rPr>
      </w:pPr>
    </w:p>
    <w:p w:rsidR="009301ED" w:rsidRPr="00710696" w:rsidRDefault="001B71D3" w:rsidP="00D3352F">
      <w:pPr>
        <w:spacing w:after="0"/>
        <w:rPr>
          <w:rFonts w:asciiTheme="minorHAnsi" w:hAnsiTheme="minorHAnsi"/>
          <w:color w:val="000000" w:themeColor="text1"/>
          <w:sz w:val="24"/>
          <w:szCs w:val="24"/>
          <w:lang w:val="en"/>
        </w:rPr>
      </w:pPr>
      <w:r w:rsidRPr="00710696">
        <w:rPr>
          <w:rFonts w:asciiTheme="minorHAnsi" w:hAnsiTheme="minorHAnsi"/>
          <w:b/>
          <w:bCs/>
          <w:color w:val="000000" w:themeColor="text1"/>
          <w:spacing w:val="7"/>
          <w:sz w:val="24"/>
          <w:szCs w:val="24"/>
          <w:lang w:val="en"/>
        </w:rPr>
        <w:t>Superannuation</w:t>
      </w:r>
      <w:r w:rsidRPr="00710696">
        <w:rPr>
          <w:rFonts w:asciiTheme="minorHAnsi" w:hAnsiTheme="minorHAnsi"/>
          <w:color w:val="000000" w:themeColor="text1"/>
          <w:spacing w:val="7"/>
          <w:sz w:val="24"/>
          <w:szCs w:val="24"/>
          <w:lang w:val="en"/>
        </w:rPr>
        <w:br/>
        <w:t>Productivity Commission</w:t>
      </w:r>
      <w:r w:rsidRPr="00710696">
        <w:rPr>
          <w:rFonts w:asciiTheme="minorHAnsi" w:hAnsiTheme="minorHAnsi"/>
          <w:color w:val="000000" w:themeColor="text1"/>
          <w:spacing w:val="7"/>
          <w:sz w:val="24"/>
          <w:szCs w:val="24"/>
          <w:lang w:val="en"/>
        </w:rPr>
        <w:br/>
        <w:t>Locked Bag 2, Collins Street East</w:t>
      </w:r>
      <w:r w:rsidRPr="00710696">
        <w:rPr>
          <w:rFonts w:asciiTheme="minorHAnsi" w:hAnsiTheme="minorHAnsi"/>
          <w:color w:val="000000" w:themeColor="text1"/>
          <w:spacing w:val="7"/>
          <w:sz w:val="24"/>
          <w:szCs w:val="24"/>
          <w:lang w:val="en"/>
        </w:rPr>
        <w:br/>
        <w:t>Melbourne Vic 8003</w:t>
      </w:r>
    </w:p>
    <w:p w:rsidR="0032028C" w:rsidRPr="00710696" w:rsidRDefault="00CA1D12" w:rsidP="00CA1D12">
      <w:pPr>
        <w:tabs>
          <w:tab w:val="left" w:pos="5165"/>
        </w:tabs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ab/>
      </w:r>
    </w:p>
    <w:p w:rsidR="009301ED" w:rsidRPr="00710696" w:rsidRDefault="009301ED" w:rsidP="00D3352F">
      <w:p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Dear </w:t>
      </w:r>
      <w:r w:rsidR="00F503BC">
        <w:rPr>
          <w:rFonts w:asciiTheme="minorHAnsi" w:hAnsiTheme="minorHAnsi"/>
          <w:color w:val="000000" w:themeColor="text1"/>
          <w:sz w:val="24"/>
          <w:szCs w:val="24"/>
        </w:rPr>
        <w:t>Ms Chester</w:t>
      </w:r>
    </w:p>
    <w:p w:rsidR="009301ED" w:rsidRPr="00710696" w:rsidRDefault="009301ED" w:rsidP="00D3352F">
      <w:pPr>
        <w:spacing w:after="0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:rsidR="009301ED" w:rsidRPr="00710696" w:rsidRDefault="009301ED" w:rsidP="00D3352F">
      <w:pPr>
        <w:spacing w:after="0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710696">
        <w:rPr>
          <w:rFonts w:asciiTheme="minorHAnsi" w:hAnsiTheme="minorHAnsi"/>
          <w:b/>
          <w:color w:val="000000" w:themeColor="text1"/>
          <w:sz w:val="24"/>
          <w:szCs w:val="24"/>
        </w:rPr>
        <w:t>Re:  AustralianSuper</w:t>
      </w:r>
      <w:r w:rsidR="00CF6755">
        <w:rPr>
          <w:rFonts w:asciiTheme="minorHAnsi" w:hAnsiTheme="minorHAnsi"/>
          <w:b/>
          <w:color w:val="000000" w:themeColor="text1"/>
          <w:sz w:val="24"/>
          <w:szCs w:val="24"/>
        </w:rPr>
        <w:t>’s</w:t>
      </w:r>
      <w:r w:rsidR="00B47928" w:rsidRPr="00710696">
        <w:rPr>
          <w:rFonts w:asciiTheme="minorHAnsi" w:hAnsiTheme="minorHAnsi"/>
          <w:b/>
          <w:color w:val="000000" w:themeColor="text1"/>
          <w:sz w:val="24"/>
          <w:szCs w:val="24"/>
        </w:rPr>
        <w:t xml:space="preserve"> submission to the Productivity Commission Issues Paper – Supera</w:t>
      </w:r>
      <w:r w:rsidR="00270B04">
        <w:rPr>
          <w:rFonts w:asciiTheme="minorHAnsi" w:hAnsiTheme="minorHAnsi"/>
          <w:b/>
          <w:color w:val="000000" w:themeColor="text1"/>
          <w:sz w:val="24"/>
          <w:szCs w:val="24"/>
        </w:rPr>
        <w:t>nnuation:  Alternative Default M</w:t>
      </w:r>
      <w:r w:rsidR="00B47928" w:rsidRPr="00710696">
        <w:rPr>
          <w:rFonts w:asciiTheme="minorHAnsi" w:hAnsiTheme="minorHAnsi"/>
          <w:b/>
          <w:color w:val="000000" w:themeColor="text1"/>
          <w:sz w:val="24"/>
          <w:szCs w:val="24"/>
        </w:rPr>
        <w:t xml:space="preserve">odels.  </w:t>
      </w:r>
    </w:p>
    <w:p w:rsidR="009301ED" w:rsidRPr="00710696" w:rsidRDefault="009301ED" w:rsidP="00D3352F">
      <w:p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9301ED" w:rsidRPr="00710696" w:rsidRDefault="009301ED" w:rsidP="00D3352F">
      <w:p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 w:rsidRPr="00710696">
        <w:rPr>
          <w:rFonts w:asciiTheme="minorHAnsi" w:hAnsiTheme="minorHAnsi"/>
          <w:color w:val="000000" w:themeColor="text1"/>
          <w:sz w:val="24"/>
          <w:szCs w:val="24"/>
        </w:rPr>
        <w:t>AustralianSuper is pleased to provide a submi</w:t>
      </w:r>
      <w:r w:rsidR="0032028C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ssion in relation to the above </w:t>
      </w:r>
      <w:r w:rsidR="00B47928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issues paper.  </w:t>
      </w:r>
      <w:r w:rsidR="0032028C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  </w:t>
      </w:r>
    </w:p>
    <w:p w:rsidR="009301ED" w:rsidRPr="00710696" w:rsidRDefault="009301ED" w:rsidP="00D3352F">
      <w:pPr>
        <w:spacing w:after="0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:rsidR="009301ED" w:rsidRPr="00710696" w:rsidRDefault="009301ED" w:rsidP="00D3352F">
      <w:p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AustralianSuper is </w:t>
      </w:r>
      <w:r w:rsidR="00B47928" w:rsidRPr="00710696">
        <w:rPr>
          <w:rFonts w:asciiTheme="minorHAnsi" w:hAnsiTheme="minorHAnsi"/>
          <w:color w:val="000000" w:themeColor="text1"/>
          <w:sz w:val="24"/>
          <w:szCs w:val="24"/>
        </w:rPr>
        <w:t>Au</w:t>
      </w:r>
      <w:r w:rsidRPr="00710696">
        <w:rPr>
          <w:rFonts w:asciiTheme="minorHAnsi" w:hAnsiTheme="minorHAnsi"/>
          <w:color w:val="000000" w:themeColor="text1"/>
          <w:sz w:val="24"/>
          <w:szCs w:val="24"/>
        </w:rPr>
        <w:t>stral</w:t>
      </w:r>
      <w:r w:rsidR="00B47928" w:rsidRPr="00710696">
        <w:rPr>
          <w:rFonts w:asciiTheme="minorHAnsi" w:hAnsiTheme="minorHAnsi"/>
          <w:color w:val="000000" w:themeColor="text1"/>
          <w:sz w:val="24"/>
          <w:szCs w:val="24"/>
        </w:rPr>
        <w:t>ia’s largest superannuation fund</w:t>
      </w:r>
      <w:r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 and is run only to benefit its members. The best interests of our 2.1 million members drive our decisions. We do not</w:t>
      </w:r>
      <w:r w:rsidRPr="00710696">
        <w:rPr>
          <w:rFonts w:asciiTheme="minorHAnsi" w:hAnsiTheme="minorHAnsi"/>
          <w:color w:val="000000" w:themeColor="text1"/>
          <w:sz w:val="24"/>
          <w:szCs w:val="24"/>
          <w:lang w:val="en-AU"/>
        </w:rPr>
        <w:t xml:space="preserve"> pay</w:t>
      </w:r>
      <w:r w:rsidR="00B20127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 commissions to anyone to recommend us, nor do we pay dividends to shareholders.  With over $100 billio</w:t>
      </w:r>
      <w:r w:rsidRPr="00710696">
        <w:rPr>
          <w:rFonts w:asciiTheme="minorHAnsi" w:hAnsiTheme="minorHAnsi"/>
          <w:color w:val="000000" w:themeColor="text1"/>
          <w:sz w:val="24"/>
          <w:szCs w:val="24"/>
        </w:rPr>
        <w:t>n</w:t>
      </w:r>
      <w:r w:rsidR="00B20127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 in</w:t>
      </w:r>
      <w:r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 members’</w:t>
      </w:r>
      <w:r w:rsidR="00CF6755">
        <w:rPr>
          <w:rFonts w:asciiTheme="minorHAnsi" w:hAnsiTheme="minorHAnsi"/>
          <w:color w:val="000000" w:themeColor="text1"/>
          <w:sz w:val="24"/>
          <w:szCs w:val="24"/>
        </w:rPr>
        <w:t xml:space="preserve"> assets</w:t>
      </w:r>
      <w:r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 our sole purpose is to assist our members achieve their best possible retirement outcomes.</w:t>
      </w:r>
    </w:p>
    <w:p w:rsidR="009301ED" w:rsidRPr="00710696" w:rsidRDefault="009301ED" w:rsidP="00D3352F">
      <w:p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B47928" w:rsidRDefault="00F75D22" w:rsidP="00D3352F">
      <w:p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AustralianSuper </w:t>
      </w:r>
      <w:r w:rsidR="009301ED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supports the </w:t>
      </w:r>
      <w:r w:rsidR="0032028C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comments made in the </w:t>
      </w:r>
      <w:r w:rsidR="009301ED" w:rsidRPr="00710696">
        <w:rPr>
          <w:rFonts w:asciiTheme="minorHAnsi" w:hAnsiTheme="minorHAnsi"/>
          <w:color w:val="000000" w:themeColor="text1"/>
          <w:sz w:val="24"/>
          <w:szCs w:val="24"/>
        </w:rPr>
        <w:t>submissions of Industry Super Australia and the Australian Institu</w:t>
      </w:r>
      <w:r w:rsidR="0032028C" w:rsidRPr="00710696">
        <w:rPr>
          <w:rFonts w:asciiTheme="minorHAnsi" w:hAnsiTheme="minorHAnsi"/>
          <w:color w:val="000000" w:themeColor="text1"/>
          <w:sz w:val="24"/>
          <w:szCs w:val="24"/>
        </w:rPr>
        <w:t>te of Superannua</w:t>
      </w:r>
      <w:r w:rsidR="00B47928" w:rsidRPr="00710696">
        <w:rPr>
          <w:rFonts w:asciiTheme="minorHAnsi" w:hAnsiTheme="minorHAnsi"/>
          <w:color w:val="000000" w:themeColor="text1"/>
          <w:sz w:val="24"/>
          <w:szCs w:val="24"/>
        </w:rPr>
        <w:t>tion Trustees in response to the issues paper</w:t>
      </w:r>
      <w:r w:rsidR="0032028C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.  </w:t>
      </w:r>
    </w:p>
    <w:p w:rsidR="00F503BC" w:rsidRDefault="00F503BC" w:rsidP="00D3352F">
      <w:p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F503BC" w:rsidRDefault="00F503BC" w:rsidP="00D3352F">
      <w:p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The key points of our submission are as follows:</w:t>
      </w:r>
    </w:p>
    <w:p w:rsidR="00F503BC" w:rsidRDefault="00F503BC" w:rsidP="00D3352F">
      <w:p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CF6755" w:rsidRPr="00CF6755" w:rsidRDefault="00CF6755" w:rsidP="00CF6755">
      <w:pPr>
        <w:pStyle w:val="ListParagraph"/>
        <w:numPr>
          <w:ilvl w:val="0"/>
          <w:numId w:val="32"/>
        </w:num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The best interests of superannuation fund members should be the primary focus of the Productivity Commission in de</w:t>
      </w:r>
      <w:r w:rsidR="00B644EA">
        <w:rPr>
          <w:rFonts w:asciiTheme="minorHAnsi" w:hAnsiTheme="minorHAnsi"/>
          <w:color w:val="000000" w:themeColor="text1"/>
          <w:sz w:val="24"/>
          <w:szCs w:val="24"/>
        </w:rPr>
        <w:t>termining appropriate criteria.</w:t>
      </w:r>
    </w:p>
    <w:p w:rsidR="005461CD" w:rsidRDefault="00B644EA" w:rsidP="0047764C">
      <w:pPr>
        <w:pStyle w:val="ListParagraph"/>
        <w:numPr>
          <w:ilvl w:val="0"/>
          <w:numId w:val="32"/>
        </w:num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 w:rsidRPr="00B644EA">
        <w:rPr>
          <w:rFonts w:asciiTheme="minorHAnsi" w:hAnsiTheme="minorHAnsi"/>
          <w:color w:val="000000" w:themeColor="text1"/>
          <w:sz w:val="24"/>
          <w:szCs w:val="24"/>
        </w:rPr>
        <w:t>It is completely impractical to consider no defaults as a baseline comparator against alternative default models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- t</w:t>
      </w:r>
      <w:r w:rsidR="005461CD" w:rsidRPr="00B644EA">
        <w:rPr>
          <w:rFonts w:asciiTheme="minorHAnsi" w:hAnsiTheme="minorHAnsi"/>
          <w:color w:val="000000" w:themeColor="text1"/>
          <w:sz w:val="24"/>
          <w:szCs w:val="24"/>
        </w:rPr>
        <w:t>he current default system should be considered in the first instance</w:t>
      </w:r>
    </w:p>
    <w:p w:rsidR="00B644EA" w:rsidRDefault="00B644EA" w:rsidP="0047764C">
      <w:pPr>
        <w:pStyle w:val="ListParagraph"/>
        <w:numPr>
          <w:ilvl w:val="0"/>
          <w:numId w:val="32"/>
        </w:num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The right balance between choice and member protection, and best interests of members, needs to be achieved.</w:t>
      </w:r>
    </w:p>
    <w:p w:rsidR="00B644EA" w:rsidRPr="00B644EA" w:rsidRDefault="00B644EA" w:rsidP="0047764C">
      <w:pPr>
        <w:pStyle w:val="ListParagraph"/>
        <w:numPr>
          <w:ilvl w:val="0"/>
          <w:numId w:val="32"/>
        </w:num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The burden on business of dealing with alternative defa</w:t>
      </w:r>
      <w:r w:rsidR="00F75D22">
        <w:rPr>
          <w:rFonts w:asciiTheme="minorHAnsi" w:hAnsiTheme="minorHAnsi"/>
          <w:color w:val="000000" w:themeColor="text1"/>
          <w:sz w:val="24"/>
          <w:szCs w:val="24"/>
        </w:rPr>
        <w:t>ult models needs to be considered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– costs to business have been underestimated.</w:t>
      </w:r>
    </w:p>
    <w:p w:rsidR="005461CD" w:rsidRDefault="005461CD" w:rsidP="00F503BC">
      <w:pPr>
        <w:pStyle w:val="ListParagraph"/>
        <w:numPr>
          <w:ilvl w:val="0"/>
          <w:numId w:val="32"/>
        </w:num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Analysis of the suggested criteria to assess models points to a need to include further important criteria</w:t>
      </w:r>
    </w:p>
    <w:p w:rsidR="005461CD" w:rsidRDefault="005461CD" w:rsidP="00F503BC">
      <w:pPr>
        <w:pStyle w:val="ListParagraph"/>
        <w:numPr>
          <w:ilvl w:val="0"/>
          <w:numId w:val="32"/>
        </w:num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Tendering for superannuation is too costly for small employers, and acts as a barrier to competition when conducted on an industry basis.</w:t>
      </w:r>
    </w:p>
    <w:p w:rsidR="005461CD" w:rsidRDefault="005461CD" w:rsidP="00F503BC">
      <w:pPr>
        <w:pStyle w:val="ListParagraph"/>
        <w:numPr>
          <w:ilvl w:val="0"/>
          <w:numId w:val="32"/>
        </w:num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There are identified issues with the current system which need </w:t>
      </w:r>
      <w:r w:rsidR="00B644EA">
        <w:rPr>
          <w:rFonts w:asciiTheme="minorHAnsi" w:hAnsiTheme="minorHAnsi"/>
          <w:color w:val="000000" w:themeColor="text1"/>
          <w:sz w:val="24"/>
          <w:szCs w:val="24"/>
        </w:rPr>
        <w:t xml:space="preserve">to be addressed – the Fair Work Commission Expert panel should be given the opportunity to operate. </w:t>
      </w:r>
    </w:p>
    <w:p w:rsidR="00B644EA" w:rsidRDefault="00B644EA" w:rsidP="00B644EA">
      <w:p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B47928" w:rsidRPr="00710696" w:rsidRDefault="00B47928" w:rsidP="00D3352F">
      <w:p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710696" w:rsidRPr="002649BA" w:rsidRDefault="00CF6755" w:rsidP="002649BA">
      <w:pPr>
        <w:pStyle w:val="ListParagraph"/>
        <w:numPr>
          <w:ilvl w:val="0"/>
          <w:numId w:val="31"/>
        </w:numPr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Flawed Choice</w:t>
      </w:r>
      <w:r w:rsidR="00F94B7A" w:rsidRPr="002649BA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964020" w:rsidRPr="002649BA">
        <w:rPr>
          <w:rFonts w:asciiTheme="minorHAnsi" w:hAnsiTheme="minorHAnsi"/>
          <w:b/>
          <w:color w:val="000000" w:themeColor="text1"/>
          <w:sz w:val="24"/>
          <w:szCs w:val="24"/>
        </w:rPr>
        <w:t>Baseline for decision making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– include current default arrangements</w:t>
      </w:r>
    </w:p>
    <w:p w:rsidR="00964020" w:rsidRPr="00710696" w:rsidRDefault="00964020" w:rsidP="00964020">
      <w:pPr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The Issues </w:t>
      </w:r>
      <w:r w:rsidR="00CF6755">
        <w:rPr>
          <w:rFonts w:asciiTheme="minorHAnsi" w:hAnsiTheme="minorHAnsi"/>
          <w:color w:val="000000" w:themeColor="text1"/>
          <w:sz w:val="24"/>
          <w:szCs w:val="24"/>
        </w:rPr>
        <w:t>P</w:t>
      </w:r>
      <w:r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aper states the Commission’s preference for </w:t>
      </w:r>
      <w:r w:rsidRPr="00F503BC">
        <w:rPr>
          <w:rFonts w:asciiTheme="minorHAnsi" w:hAnsiTheme="minorHAnsi"/>
          <w:i/>
          <w:color w:val="000000" w:themeColor="text1"/>
          <w:sz w:val="24"/>
          <w:szCs w:val="24"/>
        </w:rPr>
        <w:t>not</w:t>
      </w:r>
      <w:r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 having default arrangements within Australia’s superannuation system, and assessing alternative default m</w:t>
      </w:r>
      <w:r w:rsidR="00710696">
        <w:rPr>
          <w:rFonts w:asciiTheme="minorHAnsi" w:hAnsiTheme="minorHAnsi"/>
          <w:color w:val="000000" w:themeColor="text1"/>
          <w:sz w:val="24"/>
          <w:szCs w:val="24"/>
        </w:rPr>
        <w:t xml:space="preserve">odels against this preference </w:t>
      </w:r>
      <w:r w:rsidR="00A8137B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– </w:t>
      </w:r>
      <w:r w:rsidR="00F75D22">
        <w:rPr>
          <w:rFonts w:asciiTheme="minorHAnsi" w:hAnsiTheme="minorHAnsi"/>
          <w:color w:val="000000" w:themeColor="text1"/>
          <w:sz w:val="24"/>
          <w:szCs w:val="24"/>
        </w:rPr>
        <w:t>i</w:t>
      </w:r>
      <w:r w:rsidR="008C2D47">
        <w:rPr>
          <w:rFonts w:asciiTheme="minorHAnsi" w:hAnsiTheme="minorHAnsi"/>
          <w:color w:val="000000" w:themeColor="text1"/>
          <w:sz w:val="24"/>
          <w:szCs w:val="24"/>
        </w:rPr>
        <w:t>t is simply not practical to have no defaults and force choice on employees in a compulsory system.</w:t>
      </w:r>
    </w:p>
    <w:p w:rsidR="00B84DED" w:rsidRPr="008D67E5" w:rsidRDefault="00A8137B" w:rsidP="008D67E5">
      <w:pPr>
        <w:pStyle w:val="ListParagraph"/>
        <w:numPr>
          <w:ilvl w:val="0"/>
          <w:numId w:val="31"/>
        </w:numPr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8D67E5">
        <w:rPr>
          <w:rFonts w:asciiTheme="minorHAnsi" w:hAnsiTheme="minorHAnsi"/>
          <w:b/>
          <w:color w:val="000000" w:themeColor="text1"/>
          <w:sz w:val="24"/>
          <w:szCs w:val="24"/>
        </w:rPr>
        <w:lastRenderedPageBreak/>
        <w:t>C</w:t>
      </w:r>
      <w:r w:rsidR="00B84DED" w:rsidRPr="008D67E5">
        <w:rPr>
          <w:rFonts w:asciiTheme="minorHAnsi" w:hAnsiTheme="minorHAnsi"/>
          <w:b/>
          <w:color w:val="000000" w:themeColor="text1"/>
          <w:sz w:val="24"/>
          <w:szCs w:val="24"/>
        </w:rPr>
        <w:t>urrent default fund arrangements</w:t>
      </w:r>
    </w:p>
    <w:p w:rsidR="00FB5A3C" w:rsidRDefault="00111A64" w:rsidP="002649BA">
      <w:pPr>
        <w:spacing w:after="0" w:line="240" w:lineRule="auto"/>
        <w:rPr>
          <w:rFonts w:asciiTheme="minorHAnsi" w:hAnsiTheme="minorHAnsi"/>
          <w:i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AustralianSuper </w:t>
      </w:r>
      <w:r w:rsidRPr="002649BA">
        <w:rPr>
          <w:rFonts w:asciiTheme="minorHAnsi" w:hAnsiTheme="minorHAnsi"/>
          <w:color w:val="000000" w:themeColor="text1"/>
          <w:sz w:val="24"/>
          <w:szCs w:val="24"/>
        </w:rPr>
        <w:t>support</w:t>
      </w:r>
      <w:r>
        <w:rPr>
          <w:rFonts w:asciiTheme="minorHAnsi" w:hAnsiTheme="minorHAnsi"/>
          <w:color w:val="000000" w:themeColor="text1"/>
          <w:sz w:val="24"/>
          <w:szCs w:val="24"/>
        </w:rPr>
        <w:t>s</w:t>
      </w:r>
      <w:r w:rsidRPr="002649BA">
        <w:rPr>
          <w:rFonts w:asciiTheme="minorHAnsi" w:hAnsiTheme="minorHAnsi"/>
          <w:color w:val="000000" w:themeColor="text1"/>
          <w:sz w:val="24"/>
          <w:szCs w:val="24"/>
        </w:rPr>
        <w:t xml:space="preserve"> the need for a default process and for the ability for an employer to be to be able to exercise choice to improve outcomes for their employees</w:t>
      </w:r>
      <w:r w:rsidRPr="00FB5A3C">
        <w:rPr>
          <w:rFonts w:asciiTheme="minorHAnsi" w:hAnsiTheme="minorHAnsi"/>
          <w:color w:val="000000" w:themeColor="text1"/>
          <w:sz w:val="24"/>
          <w:szCs w:val="24"/>
        </w:rPr>
        <w:t xml:space="preserve">.  </w:t>
      </w:r>
      <w:r w:rsidR="00FB5A3C" w:rsidRPr="00FB5A3C">
        <w:rPr>
          <w:rFonts w:asciiTheme="minorHAnsi" w:hAnsiTheme="minorHAnsi"/>
          <w:color w:val="000000" w:themeColor="text1"/>
          <w:sz w:val="24"/>
          <w:szCs w:val="24"/>
        </w:rPr>
        <w:t xml:space="preserve">The </w:t>
      </w:r>
      <w:r w:rsidR="002649BA" w:rsidRPr="00FB5A3C">
        <w:rPr>
          <w:rFonts w:asciiTheme="minorHAnsi" w:hAnsiTheme="minorHAnsi"/>
          <w:color w:val="000000" w:themeColor="text1"/>
          <w:sz w:val="24"/>
          <w:szCs w:val="24"/>
        </w:rPr>
        <w:t xml:space="preserve">bulk of the 220,000 </w:t>
      </w:r>
      <w:r w:rsidRPr="00FB5A3C">
        <w:rPr>
          <w:rFonts w:asciiTheme="minorHAnsi" w:hAnsiTheme="minorHAnsi"/>
          <w:color w:val="000000" w:themeColor="text1"/>
          <w:sz w:val="24"/>
          <w:szCs w:val="24"/>
        </w:rPr>
        <w:t>employers</w:t>
      </w:r>
      <w:r w:rsidR="002649BA" w:rsidRPr="00FB5A3C">
        <w:rPr>
          <w:rFonts w:asciiTheme="minorHAnsi" w:hAnsiTheme="minorHAnsi"/>
          <w:color w:val="000000" w:themeColor="text1"/>
          <w:sz w:val="24"/>
          <w:szCs w:val="24"/>
        </w:rPr>
        <w:t xml:space="preserve"> that contribute to</w:t>
      </w:r>
      <w:r w:rsidR="008E4D3B" w:rsidRPr="00FB5A3C">
        <w:rPr>
          <w:rFonts w:asciiTheme="minorHAnsi" w:hAnsiTheme="minorHAnsi"/>
          <w:color w:val="000000" w:themeColor="text1"/>
          <w:sz w:val="24"/>
          <w:szCs w:val="24"/>
        </w:rPr>
        <w:t xml:space="preserve"> AustralianSuper have </w:t>
      </w:r>
      <w:r w:rsidR="002649BA" w:rsidRPr="00FB5A3C">
        <w:rPr>
          <w:rFonts w:asciiTheme="minorHAnsi" w:hAnsiTheme="minorHAnsi"/>
          <w:color w:val="000000" w:themeColor="text1"/>
          <w:sz w:val="24"/>
          <w:szCs w:val="24"/>
        </w:rPr>
        <w:t xml:space="preserve">default arrangements in place.  </w:t>
      </w:r>
      <w:r w:rsidR="008D67E5" w:rsidRPr="00FB5A3C">
        <w:rPr>
          <w:rFonts w:asciiTheme="minorHAnsi" w:hAnsiTheme="minorHAnsi"/>
          <w:color w:val="000000" w:themeColor="text1"/>
          <w:sz w:val="24"/>
          <w:szCs w:val="24"/>
        </w:rPr>
        <w:t>They do this to</w:t>
      </w:r>
      <w:r w:rsidR="008D67E5">
        <w:rPr>
          <w:rFonts w:asciiTheme="minorHAnsi" w:hAnsiTheme="minorHAnsi"/>
          <w:color w:val="000000" w:themeColor="text1"/>
          <w:sz w:val="24"/>
          <w:szCs w:val="24"/>
        </w:rPr>
        <w:t xml:space="preserve"> ensure they can meet their obligations to pay superannuation to eligible employees under the </w:t>
      </w:r>
      <w:r w:rsidR="008D67E5">
        <w:rPr>
          <w:rFonts w:asciiTheme="minorHAnsi" w:hAnsiTheme="minorHAnsi"/>
          <w:i/>
          <w:color w:val="000000" w:themeColor="text1"/>
          <w:sz w:val="24"/>
          <w:szCs w:val="24"/>
        </w:rPr>
        <w:t xml:space="preserve">Superannuation Guarantee (Administration) Act 1992.  </w:t>
      </w:r>
    </w:p>
    <w:p w:rsidR="00FB5A3C" w:rsidRDefault="00FB5A3C" w:rsidP="002649BA">
      <w:pPr>
        <w:spacing w:after="0" w:line="240" w:lineRule="auto"/>
        <w:rPr>
          <w:rFonts w:asciiTheme="minorHAnsi" w:hAnsiTheme="minorHAnsi"/>
          <w:i/>
          <w:color w:val="000000" w:themeColor="text1"/>
          <w:sz w:val="24"/>
          <w:szCs w:val="24"/>
        </w:rPr>
      </w:pPr>
    </w:p>
    <w:p w:rsidR="005212BD" w:rsidRPr="002649BA" w:rsidRDefault="005212BD" w:rsidP="002649BA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2649BA">
        <w:rPr>
          <w:rFonts w:asciiTheme="minorHAnsi" w:hAnsiTheme="minorHAnsi"/>
          <w:color w:val="000000" w:themeColor="text1"/>
          <w:sz w:val="24"/>
          <w:szCs w:val="24"/>
        </w:rPr>
        <w:t xml:space="preserve">In reviewing the default system, we share the Productivity Commission’s ambition to find the right balance between competition and choice </w:t>
      </w:r>
      <w:r w:rsidR="00111A64">
        <w:rPr>
          <w:rFonts w:asciiTheme="minorHAnsi" w:hAnsiTheme="minorHAnsi"/>
          <w:color w:val="000000" w:themeColor="text1"/>
          <w:sz w:val="24"/>
          <w:szCs w:val="24"/>
        </w:rPr>
        <w:t xml:space="preserve">on the one hand, and </w:t>
      </w:r>
      <w:r w:rsidRPr="002649BA">
        <w:rPr>
          <w:rFonts w:asciiTheme="minorHAnsi" w:hAnsiTheme="minorHAnsi"/>
          <w:color w:val="000000" w:themeColor="text1"/>
          <w:sz w:val="24"/>
          <w:szCs w:val="24"/>
        </w:rPr>
        <w:t xml:space="preserve">member protection and superior retirement outcomes </w:t>
      </w:r>
      <w:r w:rsidR="00111A64">
        <w:rPr>
          <w:rFonts w:asciiTheme="minorHAnsi" w:hAnsiTheme="minorHAnsi"/>
          <w:color w:val="000000" w:themeColor="text1"/>
          <w:sz w:val="24"/>
          <w:szCs w:val="24"/>
        </w:rPr>
        <w:t xml:space="preserve">on the other </w:t>
      </w:r>
      <w:r w:rsidRPr="002649BA">
        <w:rPr>
          <w:rFonts w:asciiTheme="minorHAnsi" w:hAnsiTheme="minorHAnsi"/>
          <w:color w:val="000000" w:themeColor="text1"/>
          <w:sz w:val="24"/>
          <w:szCs w:val="24"/>
        </w:rPr>
        <w:t>when determining the most appropriate default system</w:t>
      </w:r>
      <w:r w:rsidR="00DC14E5" w:rsidRPr="002649BA">
        <w:rPr>
          <w:rFonts w:asciiTheme="minorHAnsi" w:hAnsiTheme="minorHAnsi"/>
          <w:color w:val="000000" w:themeColor="text1"/>
          <w:sz w:val="24"/>
          <w:szCs w:val="24"/>
        </w:rPr>
        <w:t>.</w:t>
      </w:r>
      <w:r w:rsidRPr="002649B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649B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2649BA">
        <w:rPr>
          <w:rFonts w:asciiTheme="minorHAnsi" w:hAnsiTheme="minorHAnsi"/>
          <w:color w:val="000000" w:themeColor="text1"/>
          <w:sz w:val="24"/>
          <w:szCs w:val="24"/>
        </w:rPr>
        <w:t xml:space="preserve">Changing default fund arrangements will have significant </w:t>
      </w:r>
      <w:r w:rsidR="00110938" w:rsidRPr="002649BA">
        <w:rPr>
          <w:rFonts w:asciiTheme="minorHAnsi" w:hAnsiTheme="minorHAnsi"/>
          <w:color w:val="000000" w:themeColor="text1"/>
          <w:sz w:val="24"/>
          <w:szCs w:val="24"/>
        </w:rPr>
        <w:t xml:space="preserve">cost and investment </w:t>
      </w:r>
      <w:r w:rsidRPr="002649BA">
        <w:rPr>
          <w:rFonts w:asciiTheme="minorHAnsi" w:hAnsiTheme="minorHAnsi"/>
          <w:color w:val="000000" w:themeColor="text1"/>
          <w:sz w:val="24"/>
          <w:szCs w:val="24"/>
        </w:rPr>
        <w:t xml:space="preserve">implications for members, </w:t>
      </w:r>
      <w:r w:rsidR="00110938" w:rsidRPr="002649BA">
        <w:rPr>
          <w:rFonts w:asciiTheme="minorHAnsi" w:hAnsiTheme="minorHAnsi"/>
          <w:color w:val="000000" w:themeColor="text1"/>
          <w:sz w:val="24"/>
          <w:szCs w:val="24"/>
        </w:rPr>
        <w:t xml:space="preserve">employers </w:t>
      </w:r>
      <w:r w:rsidRPr="002649BA">
        <w:rPr>
          <w:rFonts w:asciiTheme="minorHAnsi" w:hAnsiTheme="minorHAnsi"/>
          <w:color w:val="000000" w:themeColor="text1"/>
          <w:sz w:val="24"/>
          <w:szCs w:val="24"/>
        </w:rPr>
        <w:t>and the efficiency and effectiveness of funds and the system</w:t>
      </w:r>
      <w:r w:rsidR="00110938" w:rsidRPr="002649BA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804993">
        <w:rPr>
          <w:rFonts w:asciiTheme="minorHAnsi" w:hAnsiTheme="minorHAnsi"/>
          <w:color w:val="000000" w:themeColor="text1"/>
          <w:sz w:val="24"/>
          <w:szCs w:val="24"/>
        </w:rPr>
        <w:t xml:space="preserve">  Such a change should only be undertaken when there is confidence that the changed system would actually work better for defaulting members. </w:t>
      </w:r>
    </w:p>
    <w:p w:rsidR="002649BA" w:rsidRDefault="002649BA" w:rsidP="002649BA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23200C" w:rsidRDefault="0023200C" w:rsidP="002649BA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2649BA">
        <w:rPr>
          <w:rFonts w:asciiTheme="minorHAnsi" w:hAnsiTheme="minorHAnsi"/>
          <w:b/>
          <w:color w:val="000000" w:themeColor="text1"/>
          <w:sz w:val="24"/>
          <w:szCs w:val="24"/>
        </w:rPr>
        <w:t xml:space="preserve">Analysis of the suggested criteria </w:t>
      </w:r>
      <w:r w:rsidR="008C7D61" w:rsidRPr="002649BA">
        <w:rPr>
          <w:rFonts w:asciiTheme="minorHAnsi" w:hAnsiTheme="minorHAnsi"/>
          <w:b/>
          <w:color w:val="000000" w:themeColor="text1"/>
          <w:sz w:val="24"/>
          <w:szCs w:val="24"/>
        </w:rPr>
        <w:t>to assess models</w:t>
      </w:r>
    </w:p>
    <w:p w:rsidR="002649BA" w:rsidRPr="002649BA" w:rsidRDefault="002649BA" w:rsidP="002649BA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:rsidR="006F4329" w:rsidRDefault="0023200C" w:rsidP="002649BA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The 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>Issues Paper rightly identifies members’ best interest as the first of the decision</w:t>
      </w:r>
      <w:r w:rsidR="00B47928" w:rsidRPr="00710696">
        <w:rPr>
          <w:rFonts w:asciiTheme="minorHAnsi" w:hAnsiTheme="minorHAnsi"/>
          <w:color w:val="000000" w:themeColor="text1"/>
          <w:sz w:val="24"/>
          <w:szCs w:val="24"/>
        </w:rPr>
        <w:t>-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>making criteria in assessing the merits of any new arrangements</w:t>
      </w:r>
      <w:r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.  The other criteria are important but members’ best interest must be paramount.  </w:t>
      </w:r>
    </w:p>
    <w:p w:rsidR="00DC14E5" w:rsidRPr="00710696" w:rsidRDefault="00DC14E5" w:rsidP="0023200C">
      <w:pPr>
        <w:spacing w:after="0" w:line="240" w:lineRule="auto"/>
        <w:ind w:left="360"/>
        <w:rPr>
          <w:rFonts w:asciiTheme="minorHAnsi" w:hAnsiTheme="minorHAnsi"/>
          <w:color w:val="000000" w:themeColor="text1"/>
          <w:sz w:val="24"/>
          <w:szCs w:val="24"/>
        </w:rPr>
      </w:pPr>
    </w:p>
    <w:p w:rsidR="006F4329" w:rsidRDefault="007A5D4F" w:rsidP="006F4329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i/>
          <w:iCs/>
          <w:color w:val="000000" w:themeColor="text1"/>
          <w:sz w:val="24"/>
          <w:szCs w:val="24"/>
        </w:rPr>
        <w:t> </w:t>
      </w: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Members’ best interests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 - The potential impact of</w:t>
      </w:r>
      <w:r w:rsidR="00270B04">
        <w:rPr>
          <w:rFonts w:asciiTheme="minorHAnsi" w:hAnsiTheme="minorHAnsi"/>
          <w:color w:val="000000" w:themeColor="text1"/>
          <w:sz w:val="24"/>
          <w:szCs w:val="24"/>
        </w:rPr>
        <w:t xml:space="preserve"> lost lifetime earnings on 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>the member</w:t>
      </w:r>
      <w:r w:rsidR="00111A64">
        <w:rPr>
          <w:rFonts w:asciiTheme="minorHAnsi" w:hAnsiTheme="minorHAnsi"/>
          <w:color w:val="000000" w:themeColor="text1"/>
          <w:sz w:val="24"/>
          <w:szCs w:val="24"/>
        </w:rPr>
        <w:t xml:space="preserve"> is the primary focus for AustralianSuper.  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Any </w:t>
      </w:r>
      <w:r w:rsidR="00F75D22">
        <w:rPr>
          <w:rFonts w:asciiTheme="minorHAnsi" w:hAnsiTheme="minorHAnsi"/>
          <w:color w:val="000000" w:themeColor="text1"/>
          <w:sz w:val="24"/>
          <w:szCs w:val="24"/>
        </w:rPr>
        <w:t xml:space="preserve">future model should seek to improve 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net investment </w:t>
      </w:r>
      <w:r w:rsidR="00F75D22">
        <w:rPr>
          <w:rFonts w:asciiTheme="minorHAnsi" w:hAnsiTheme="minorHAnsi"/>
          <w:color w:val="000000" w:themeColor="text1"/>
          <w:sz w:val="24"/>
          <w:szCs w:val="24"/>
        </w:rPr>
        <w:t xml:space="preserve">returns and retirement outcomes for 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>members</w:t>
      </w:r>
      <w:r w:rsidR="006B0A8D" w:rsidRPr="0071069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DC14E5" w:rsidRPr="00710696" w:rsidRDefault="00DC14E5" w:rsidP="00DC14E5">
      <w:pPr>
        <w:pStyle w:val="ListParagraph"/>
        <w:spacing w:after="0" w:line="240" w:lineRule="auto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</w:p>
    <w:p w:rsidR="0023200C" w:rsidRDefault="007A5D4F" w:rsidP="00D41F2E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Competition 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>- We see choice and competition as a potential source of innovation and improved outcomes for members</w:t>
      </w:r>
      <w:r w:rsidR="00945A13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9C646F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  </w:t>
      </w:r>
    </w:p>
    <w:p w:rsidR="00DC14E5" w:rsidRPr="00DC14E5" w:rsidRDefault="00DC14E5" w:rsidP="00DC14E5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6F4329" w:rsidRDefault="007A5D4F" w:rsidP="00D41F2E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Integrity </w:t>
      </w:r>
      <w:r w:rsidR="00F75D22"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- </w:t>
      </w:r>
      <w:r w:rsidR="0007034C">
        <w:rPr>
          <w:rFonts w:asciiTheme="minorHAnsi" w:hAnsiTheme="minorHAnsi"/>
          <w:color w:val="000000" w:themeColor="text1"/>
          <w:sz w:val="24"/>
          <w:szCs w:val="24"/>
        </w:rPr>
        <w:t>I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>ntegrity</w:t>
      </w:r>
      <w:r w:rsidR="00111A64">
        <w:rPr>
          <w:rFonts w:asciiTheme="minorHAnsi" w:hAnsiTheme="minorHAnsi"/>
          <w:color w:val="000000" w:themeColor="text1"/>
          <w:sz w:val="24"/>
          <w:szCs w:val="24"/>
        </w:rPr>
        <w:t xml:space="preserve"> can be measured by reasoned assessments of </w:t>
      </w:r>
      <w:r w:rsidR="0007034C">
        <w:rPr>
          <w:rFonts w:asciiTheme="minorHAnsi" w:hAnsiTheme="minorHAnsi"/>
          <w:color w:val="000000" w:themeColor="text1"/>
          <w:sz w:val="24"/>
          <w:szCs w:val="24"/>
        </w:rPr>
        <w:t xml:space="preserve">corporate 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>culture</w:t>
      </w:r>
      <w:r w:rsidR="0007034C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1B5696">
        <w:rPr>
          <w:rFonts w:asciiTheme="minorHAnsi" w:hAnsiTheme="minorHAnsi"/>
          <w:color w:val="000000" w:themeColor="text1"/>
          <w:sz w:val="24"/>
          <w:szCs w:val="24"/>
        </w:rPr>
        <w:t>how incentive</w:t>
      </w:r>
      <w:r w:rsidR="00DC14E5">
        <w:rPr>
          <w:rFonts w:asciiTheme="minorHAnsi" w:hAnsiTheme="minorHAnsi"/>
          <w:color w:val="000000" w:themeColor="text1"/>
          <w:sz w:val="24"/>
          <w:szCs w:val="24"/>
        </w:rPr>
        <w:t xml:space="preserve"> systems are aligned to sales and</w:t>
      </w:r>
      <w:r w:rsidR="001B5696">
        <w:rPr>
          <w:rFonts w:asciiTheme="minorHAnsi" w:hAnsiTheme="minorHAnsi"/>
          <w:color w:val="000000" w:themeColor="text1"/>
          <w:sz w:val="24"/>
          <w:szCs w:val="24"/>
        </w:rPr>
        <w:t xml:space="preserve"> behavior, and whether there is pressure to return a profit to shareholders at the expense of returns to members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DC14E5" w:rsidRPr="00DC14E5" w:rsidRDefault="00DC14E5" w:rsidP="00DC14E5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6F4329" w:rsidRDefault="007A5D4F" w:rsidP="006F4329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Stability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 - Stability should</w:t>
      </w:r>
      <w:r w:rsidR="00DC14E5">
        <w:rPr>
          <w:rFonts w:asciiTheme="minorHAnsi" w:hAnsiTheme="minorHAnsi"/>
          <w:color w:val="000000" w:themeColor="text1"/>
          <w:sz w:val="24"/>
          <w:szCs w:val="24"/>
        </w:rPr>
        <w:t xml:space="preserve"> not mean the absence of change.  </w:t>
      </w:r>
      <w:r w:rsidR="00111A64">
        <w:rPr>
          <w:rFonts w:asciiTheme="minorHAnsi" w:hAnsiTheme="minorHAnsi"/>
          <w:color w:val="000000" w:themeColor="text1"/>
          <w:sz w:val="24"/>
          <w:szCs w:val="24"/>
        </w:rPr>
        <w:t>Stability should reasonably include prudential considerations such as transition risk, the impact on n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>et cash-flow</w:t>
      </w:r>
      <w:r w:rsidR="00111A64">
        <w:rPr>
          <w:rFonts w:asciiTheme="minorHAnsi" w:hAnsiTheme="minorHAnsi"/>
          <w:color w:val="000000" w:themeColor="text1"/>
          <w:sz w:val="24"/>
          <w:szCs w:val="24"/>
        </w:rPr>
        <w:t xml:space="preserve">s, product development and the overall 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sustainability and performance of </w:t>
      </w:r>
      <w:r w:rsidR="00D267A8">
        <w:rPr>
          <w:rFonts w:asciiTheme="minorHAnsi" w:hAnsiTheme="minorHAnsi"/>
          <w:color w:val="000000" w:themeColor="text1"/>
          <w:sz w:val="24"/>
          <w:szCs w:val="24"/>
        </w:rPr>
        <w:t>superannuation funds</w:t>
      </w:r>
      <w:r w:rsidR="00111A64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F75D22">
        <w:rPr>
          <w:rFonts w:asciiTheme="minorHAnsi" w:hAnsiTheme="minorHAnsi"/>
          <w:color w:val="000000" w:themeColor="text1"/>
          <w:sz w:val="24"/>
          <w:szCs w:val="24"/>
        </w:rPr>
        <w:t xml:space="preserve">  Stability is key for member trust and confidence.</w:t>
      </w:r>
    </w:p>
    <w:p w:rsidR="00DC14E5" w:rsidRPr="00710696" w:rsidRDefault="00DC14E5" w:rsidP="00DC14E5">
      <w:pPr>
        <w:pStyle w:val="ListParagraph"/>
        <w:spacing w:after="0" w:line="240" w:lineRule="auto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</w:p>
    <w:p w:rsidR="006F4329" w:rsidRPr="0007034C" w:rsidRDefault="007A5D4F" w:rsidP="006F4329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System-wide costs </w:t>
      </w:r>
      <w:r w:rsidR="00DC14E5">
        <w:rPr>
          <w:rFonts w:asciiTheme="minorHAnsi" w:hAnsiTheme="minorHAnsi"/>
          <w:color w:val="000000" w:themeColor="text1"/>
          <w:sz w:val="24"/>
          <w:szCs w:val="24"/>
        </w:rPr>
        <w:t>–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11A64">
        <w:rPr>
          <w:rFonts w:asciiTheme="minorHAnsi" w:hAnsiTheme="minorHAnsi"/>
          <w:color w:val="000000" w:themeColor="text1"/>
          <w:sz w:val="24"/>
          <w:szCs w:val="24"/>
        </w:rPr>
        <w:t>R</w:t>
      </w:r>
      <w:r w:rsidR="00DC14E5">
        <w:rPr>
          <w:rFonts w:asciiTheme="minorHAnsi" w:hAnsiTheme="minorHAnsi"/>
          <w:color w:val="000000" w:themeColor="text1"/>
          <w:sz w:val="24"/>
          <w:szCs w:val="24"/>
        </w:rPr>
        <w:t>egard must be had to the</w:t>
      </w:r>
      <w:r w:rsidR="008E4D3B">
        <w:rPr>
          <w:rFonts w:asciiTheme="minorHAnsi" w:hAnsiTheme="minorHAnsi"/>
          <w:color w:val="000000" w:themeColor="text1"/>
          <w:sz w:val="24"/>
          <w:szCs w:val="24"/>
        </w:rPr>
        <w:t xml:space="preserve"> initial and ongoing</w:t>
      </w:r>
      <w:r w:rsidR="00DC14E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>costs to business of any change</w:t>
      </w:r>
      <w:r w:rsidR="00933CF1">
        <w:rPr>
          <w:rFonts w:asciiTheme="minorHAnsi" w:hAnsiTheme="minorHAnsi"/>
          <w:color w:val="000000" w:themeColor="text1"/>
          <w:sz w:val="24"/>
          <w:szCs w:val="24"/>
        </w:rPr>
        <w:t>, including search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>, disrupt</w:t>
      </w:r>
      <w:r w:rsidR="00601B16">
        <w:rPr>
          <w:rFonts w:asciiTheme="minorHAnsi" w:hAnsiTheme="minorHAnsi"/>
          <w:color w:val="000000" w:themeColor="text1"/>
          <w:sz w:val="24"/>
          <w:szCs w:val="24"/>
        </w:rPr>
        <w:t>ion</w:t>
      </w:r>
      <w:r w:rsidR="00EE579D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601B16">
        <w:rPr>
          <w:rFonts w:asciiTheme="minorHAnsi" w:hAnsiTheme="minorHAnsi"/>
          <w:color w:val="000000" w:themeColor="text1"/>
          <w:sz w:val="24"/>
          <w:szCs w:val="24"/>
        </w:rPr>
        <w:t xml:space="preserve"> transition and choice</w:t>
      </w:r>
      <w:r w:rsidR="00EE579D">
        <w:rPr>
          <w:rFonts w:asciiTheme="minorHAnsi" w:hAnsiTheme="minorHAnsi"/>
          <w:color w:val="000000" w:themeColor="text1"/>
          <w:sz w:val="24"/>
          <w:szCs w:val="24"/>
        </w:rPr>
        <w:t xml:space="preserve"> costs</w:t>
      </w:r>
      <w:r w:rsidR="00933CF1">
        <w:rPr>
          <w:rFonts w:asciiTheme="minorHAnsi" w:hAnsiTheme="minorHAnsi"/>
          <w:sz w:val="24"/>
          <w:szCs w:val="24"/>
          <w:lang w:val="en-AU"/>
        </w:rPr>
        <w:t>.</w:t>
      </w:r>
    </w:p>
    <w:p w:rsidR="00857339" w:rsidRDefault="00857339" w:rsidP="00857339">
      <w:pPr>
        <w:pStyle w:val="ListParagraph"/>
        <w:spacing w:after="0" w:line="240" w:lineRule="auto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</w:p>
    <w:p w:rsidR="00CA1D12" w:rsidRPr="00710696" w:rsidRDefault="00CA1D12" w:rsidP="00857339">
      <w:pPr>
        <w:pStyle w:val="ListParagraph"/>
        <w:spacing w:after="0" w:line="240" w:lineRule="auto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</w:p>
    <w:p w:rsidR="00857339" w:rsidRDefault="00857339" w:rsidP="00857339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lastRenderedPageBreak/>
        <w:t xml:space="preserve">Suggested additional </w:t>
      </w:r>
      <w:r w:rsidRPr="002649BA">
        <w:rPr>
          <w:rFonts w:asciiTheme="minorHAnsi" w:hAnsiTheme="minorHAnsi"/>
          <w:b/>
          <w:color w:val="000000" w:themeColor="text1"/>
          <w:sz w:val="24"/>
          <w:szCs w:val="24"/>
        </w:rPr>
        <w:t>criteria to assess models</w:t>
      </w:r>
    </w:p>
    <w:p w:rsidR="0007034C" w:rsidRDefault="0007034C" w:rsidP="0007034C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07034C" w:rsidRDefault="00857339" w:rsidP="0007034C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T</w:t>
      </w:r>
      <w:r w:rsidR="006F4329" w:rsidRPr="00857339">
        <w:rPr>
          <w:rFonts w:asciiTheme="minorHAnsi" w:hAnsiTheme="minorHAnsi"/>
          <w:color w:val="000000" w:themeColor="text1"/>
          <w:sz w:val="24"/>
          <w:szCs w:val="24"/>
        </w:rPr>
        <w:t>he current default criteria</w:t>
      </w:r>
      <w:r w:rsidR="007A5D4F">
        <w:rPr>
          <w:rStyle w:val="FootnoteReference"/>
          <w:rFonts w:asciiTheme="minorHAnsi" w:hAnsiTheme="minorHAnsi"/>
          <w:color w:val="000000" w:themeColor="text1"/>
          <w:sz w:val="24"/>
          <w:szCs w:val="24"/>
        </w:rPr>
        <w:footnoteReference w:id="1"/>
      </w:r>
      <w:r w:rsidR="006F4329" w:rsidRPr="00857339">
        <w:rPr>
          <w:rFonts w:asciiTheme="minorHAnsi" w:hAnsiTheme="minorHAnsi"/>
          <w:color w:val="000000" w:themeColor="text1"/>
          <w:sz w:val="24"/>
          <w:szCs w:val="24"/>
        </w:rPr>
        <w:t xml:space="preserve"> and the Commission’s proposed assessment criteria </w:t>
      </w:r>
      <w:r>
        <w:rPr>
          <w:rFonts w:asciiTheme="minorHAnsi" w:hAnsiTheme="minorHAnsi"/>
          <w:color w:val="000000" w:themeColor="text1"/>
          <w:sz w:val="24"/>
          <w:szCs w:val="24"/>
        </w:rPr>
        <w:t>do not include</w:t>
      </w:r>
      <w:r w:rsidR="006F4329" w:rsidRPr="00857339">
        <w:rPr>
          <w:rFonts w:asciiTheme="minorHAnsi" w:hAnsiTheme="minorHAnsi"/>
          <w:color w:val="000000" w:themeColor="text1"/>
          <w:sz w:val="24"/>
          <w:szCs w:val="24"/>
        </w:rPr>
        <w:t xml:space="preserve"> the issue of Superannuation Guarantee compliance</w:t>
      </w:r>
      <w:r w:rsidR="00A43F98" w:rsidRPr="00857339">
        <w:rPr>
          <w:rFonts w:asciiTheme="minorHAnsi" w:hAnsiTheme="minorHAnsi"/>
          <w:color w:val="000000" w:themeColor="text1"/>
          <w:sz w:val="24"/>
          <w:szCs w:val="24"/>
        </w:rPr>
        <w:t>.  Employer n</w:t>
      </w:r>
      <w:r w:rsidR="006F4329" w:rsidRPr="00857339">
        <w:rPr>
          <w:rFonts w:asciiTheme="minorHAnsi" w:hAnsiTheme="minorHAnsi"/>
          <w:color w:val="000000" w:themeColor="text1"/>
          <w:sz w:val="24"/>
          <w:szCs w:val="24"/>
        </w:rPr>
        <w:t xml:space="preserve">on-compliance </w:t>
      </w:r>
      <w:r w:rsidR="00A43F98" w:rsidRPr="00857339">
        <w:rPr>
          <w:rFonts w:asciiTheme="minorHAnsi" w:hAnsiTheme="minorHAnsi"/>
          <w:color w:val="000000" w:themeColor="text1"/>
          <w:sz w:val="24"/>
          <w:szCs w:val="24"/>
        </w:rPr>
        <w:t xml:space="preserve">with the Superannuation Guarantee requirements </w:t>
      </w:r>
      <w:r w:rsidR="006F4329" w:rsidRPr="00857339">
        <w:rPr>
          <w:rFonts w:asciiTheme="minorHAnsi" w:hAnsiTheme="minorHAnsi"/>
          <w:color w:val="000000" w:themeColor="text1"/>
          <w:sz w:val="24"/>
          <w:szCs w:val="24"/>
        </w:rPr>
        <w:t>represents a significant threat to th</w:t>
      </w:r>
      <w:r w:rsidR="00760956">
        <w:rPr>
          <w:rFonts w:asciiTheme="minorHAnsi" w:hAnsiTheme="minorHAnsi"/>
          <w:color w:val="000000" w:themeColor="text1"/>
          <w:sz w:val="24"/>
          <w:szCs w:val="24"/>
        </w:rPr>
        <w:t xml:space="preserve">e balances of many Australians.  It is </w:t>
      </w:r>
      <w:r w:rsidR="00270B04">
        <w:rPr>
          <w:rFonts w:asciiTheme="minorHAnsi" w:hAnsiTheme="minorHAnsi"/>
          <w:color w:val="000000" w:themeColor="text1"/>
          <w:sz w:val="24"/>
          <w:szCs w:val="24"/>
        </w:rPr>
        <w:t xml:space="preserve">estimated by ASFA that $2.75 </w:t>
      </w:r>
      <w:r w:rsidR="00760956">
        <w:rPr>
          <w:rFonts w:asciiTheme="minorHAnsi" w:hAnsiTheme="minorHAnsi"/>
          <w:color w:val="000000" w:themeColor="text1"/>
          <w:sz w:val="24"/>
          <w:szCs w:val="24"/>
        </w:rPr>
        <w:t>billion</w:t>
      </w:r>
      <w:r w:rsidR="00A43F98" w:rsidRPr="00857339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70B04">
        <w:rPr>
          <w:rFonts w:asciiTheme="minorHAnsi" w:hAnsiTheme="minorHAnsi"/>
          <w:color w:val="000000" w:themeColor="text1"/>
          <w:sz w:val="24"/>
          <w:szCs w:val="24"/>
        </w:rPr>
        <w:t>savings in superannuation are foregone</w:t>
      </w:r>
      <w:r w:rsidR="00760956">
        <w:rPr>
          <w:rFonts w:asciiTheme="minorHAnsi" w:hAnsiTheme="minorHAnsi"/>
          <w:color w:val="000000" w:themeColor="text1"/>
          <w:sz w:val="24"/>
          <w:szCs w:val="24"/>
        </w:rPr>
        <w:t xml:space="preserve"> affecting </w:t>
      </w:r>
      <w:r w:rsidR="00270B04">
        <w:rPr>
          <w:rFonts w:asciiTheme="minorHAnsi" w:hAnsiTheme="minorHAnsi"/>
          <w:color w:val="000000" w:themeColor="text1"/>
          <w:sz w:val="24"/>
          <w:szCs w:val="24"/>
        </w:rPr>
        <w:t xml:space="preserve">over 650,000 </w:t>
      </w:r>
      <w:r w:rsidR="00760956">
        <w:rPr>
          <w:rFonts w:asciiTheme="minorHAnsi" w:hAnsiTheme="minorHAnsi"/>
          <w:color w:val="000000" w:themeColor="text1"/>
          <w:sz w:val="24"/>
          <w:szCs w:val="24"/>
        </w:rPr>
        <w:t>working Australians</w:t>
      </w:r>
      <w:r w:rsidR="00A43F98" w:rsidRPr="00857339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4E1C6C" w:rsidRPr="00710696">
        <w:rPr>
          <w:rStyle w:val="FootnoteReference"/>
          <w:rFonts w:asciiTheme="minorHAnsi" w:hAnsiTheme="minorHAnsi"/>
          <w:color w:val="000000" w:themeColor="text1"/>
          <w:sz w:val="24"/>
          <w:szCs w:val="24"/>
        </w:rPr>
        <w:footnoteReference w:id="2"/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 Only </w:t>
      </w:r>
      <w:r w:rsidR="00270B04">
        <w:rPr>
          <w:rFonts w:asciiTheme="minorHAnsi" w:hAnsiTheme="minorHAnsi"/>
          <w:color w:val="000000" w:themeColor="text1"/>
          <w:sz w:val="24"/>
          <w:szCs w:val="24"/>
        </w:rPr>
        <w:t>su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perannuation funds that are successful in retrieving unpaid Superannuation Guarantee contributions on behalf of members </w:t>
      </w:r>
      <w:r w:rsidR="006F4329" w:rsidRPr="00857339">
        <w:rPr>
          <w:rFonts w:asciiTheme="minorHAnsi" w:hAnsiTheme="minorHAnsi"/>
          <w:color w:val="000000" w:themeColor="text1"/>
          <w:sz w:val="24"/>
          <w:szCs w:val="24"/>
        </w:rPr>
        <w:t xml:space="preserve">should be considered when assessing funds </w:t>
      </w:r>
      <w:r w:rsidR="00A43F98" w:rsidRPr="00857339">
        <w:rPr>
          <w:rFonts w:asciiTheme="minorHAnsi" w:hAnsiTheme="minorHAnsi"/>
          <w:color w:val="000000" w:themeColor="text1"/>
          <w:sz w:val="24"/>
          <w:szCs w:val="24"/>
        </w:rPr>
        <w:t xml:space="preserve">for default fund status.  </w:t>
      </w:r>
    </w:p>
    <w:p w:rsidR="008E4D3B" w:rsidRDefault="008E4D3B" w:rsidP="0007034C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07034C" w:rsidRPr="00C52AED" w:rsidRDefault="00C52AED" w:rsidP="00C52AED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C52AED">
        <w:rPr>
          <w:rFonts w:asciiTheme="minorHAnsi" w:hAnsiTheme="minorHAnsi"/>
          <w:b/>
          <w:color w:val="000000" w:themeColor="text1"/>
          <w:sz w:val="24"/>
          <w:szCs w:val="24"/>
        </w:rPr>
        <w:t xml:space="preserve">Tendering for default superannuation </w:t>
      </w:r>
    </w:p>
    <w:p w:rsidR="0007034C" w:rsidRDefault="0007034C" w:rsidP="0007034C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111A64" w:rsidRDefault="002F76FE" w:rsidP="0007034C">
      <w:pPr>
        <w:spacing w:after="0" w:line="240" w:lineRule="auto"/>
        <w:rPr>
          <w:rFonts w:asciiTheme="minorHAnsi" w:hAnsiTheme="minorHAnsi"/>
          <w:sz w:val="24"/>
          <w:szCs w:val="24"/>
          <w:lang w:val="en-AU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Tendering processes commissioned by large employers</w:t>
      </w:r>
      <w:r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 are resource intensive for both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employers </w:t>
      </w:r>
      <w:r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and the funds involved. </w:t>
      </w:r>
      <w:r w:rsidR="00C8039C">
        <w:rPr>
          <w:rFonts w:asciiTheme="minorHAnsi" w:hAnsiTheme="minorHAnsi"/>
          <w:color w:val="000000" w:themeColor="text1"/>
          <w:sz w:val="24"/>
          <w:szCs w:val="24"/>
        </w:rPr>
        <w:t xml:space="preserve">Such processes would be </w:t>
      </w:r>
      <w:r>
        <w:rPr>
          <w:rFonts w:asciiTheme="minorHAnsi" w:hAnsiTheme="minorHAnsi"/>
          <w:color w:val="000000" w:themeColor="text1"/>
          <w:sz w:val="24"/>
          <w:szCs w:val="24"/>
        </w:rPr>
        <w:t>an inappropriate cost for small employers</w:t>
      </w:r>
      <w:r w:rsidR="00111A64">
        <w:rPr>
          <w:rFonts w:asciiTheme="minorHAnsi" w:hAnsiTheme="minorHAnsi"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/>
          <w:sz w:val="24"/>
          <w:szCs w:val="24"/>
          <w:lang w:val="en-AU"/>
        </w:rPr>
        <w:t>80</w:t>
      </w:r>
      <w:r w:rsidR="00111A64">
        <w:rPr>
          <w:rFonts w:asciiTheme="minorHAnsi" w:hAnsiTheme="minorHAnsi"/>
          <w:sz w:val="24"/>
          <w:szCs w:val="24"/>
          <w:lang w:val="en-AU"/>
        </w:rPr>
        <w:t>%</w:t>
      </w:r>
      <w:r>
        <w:rPr>
          <w:rFonts w:asciiTheme="minorHAnsi" w:hAnsiTheme="minorHAnsi"/>
          <w:sz w:val="24"/>
          <w:szCs w:val="24"/>
          <w:lang w:val="en-AU"/>
        </w:rPr>
        <w:t xml:space="preserve"> of AustralianSuper’s 220,000 sponsoring employers</w:t>
      </w:r>
      <w:r w:rsidR="00111A64">
        <w:rPr>
          <w:rFonts w:asciiTheme="minorHAnsi" w:hAnsiTheme="minorHAnsi"/>
          <w:sz w:val="24"/>
          <w:szCs w:val="24"/>
          <w:lang w:val="en-AU"/>
        </w:rPr>
        <w:t xml:space="preserve"> are small employers).</w:t>
      </w:r>
    </w:p>
    <w:p w:rsidR="00DD4362" w:rsidRDefault="00111A64" w:rsidP="0007034C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n-AU"/>
        </w:rPr>
        <w:t xml:space="preserve">  </w:t>
      </w:r>
    </w:p>
    <w:p w:rsidR="006F082D" w:rsidRDefault="00111A64" w:rsidP="00DD4362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Fund-</w:t>
      </w:r>
      <w:r w:rsidR="002649BA" w:rsidRPr="00DD4362">
        <w:rPr>
          <w:rFonts w:asciiTheme="minorHAnsi" w:hAnsiTheme="minorHAnsi"/>
          <w:color w:val="000000" w:themeColor="text1"/>
          <w:sz w:val="24"/>
          <w:szCs w:val="24"/>
        </w:rPr>
        <w:t xml:space="preserve">wide tendering would reduce </w:t>
      </w:r>
      <w:r>
        <w:rPr>
          <w:rFonts w:asciiTheme="minorHAnsi" w:hAnsiTheme="minorHAnsi"/>
          <w:color w:val="000000" w:themeColor="text1"/>
          <w:sz w:val="24"/>
          <w:szCs w:val="24"/>
        </w:rPr>
        <w:t>employer</w:t>
      </w:r>
      <w:r w:rsidR="002649BA" w:rsidRPr="00DD4362">
        <w:rPr>
          <w:rFonts w:asciiTheme="minorHAnsi" w:hAnsiTheme="minorHAnsi"/>
          <w:color w:val="000000" w:themeColor="text1"/>
          <w:sz w:val="24"/>
          <w:szCs w:val="24"/>
        </w:rPr>
        <w:t xml:space="preserve"> choice in a manner that would undermine competition</w:t>
      </w:r>
      <w:r w:rsidR="002F76FE">
        <w:rPr>
          <w:rFonts w:asciiTheme="minorHAnsi" w:hAnsiTheme="minorHAnsi"/>
          <w:color w:val="000000" w:themeColor="text1"/>
          <w:sz w:val="24"/>
          <w:szCs w:val="24"/>
        </w:rPr>
        <w:t xml:space="preserve"> rather than enhance it.  </w:t>
      </w:r>
      <w:r w:rsidR="00C8039C">
        <w:rPr>
          <w:rFonts w:asciiTheme="minorHAnsi" w:hAnsiTheme="minorHAnsi"/>
          <w:color w:val="000000" w:themeColor="text1"/>
          <w:sz w:val="24"/>
          <w:szCs w:val="24"/>
        </w:rPr>
        <w:t>We note also that a</w:t>
      </w:r>
      <w:r w:rsidR="002F76FE">
        <w:rPr>
          <w:rFonts w:asciiTheme="minorHAnsi" w:hAnsiTheme="minorHAnsi"/>
          <w:color w:val="000000" w:themeColor="text1"/>
          <w:sz w:val="24"/>
          <w:szCs w:val="24"/>
        </w:rPr>
        <w:t>ny tendering process that considers fee</w:t>
      </w:r>
      <w:r>
        <w:rPr>
          <w:rFonts w:asciiTheme="minorHAnsi" w:hAnsiTheme="minorHAnsi"/>
          <w:color w:val="000000" w:themeColor="text1"/>
          <w:sz w:val="24"/>
          <w:szCs w:val="24"/>
        </w:rPr>
        <w:t>s</w:t>
      </w:r>
      <w:r w:rsidR="002F76FE">
        <w:rPr>
          <w:rFonts w:asciiTheme="minorHAnsi" w:hAnsiTheme="minorHAnsi"/>
          <w:color w:val="000000" w:themeColor="text1"/>
          <w:sz w:val="24"/>
          <w:szCs w:val="24"/>
        </w:rPr>
        <w:t xml:space="preserve"> only would invariably involve a ‘race to the bottom’ in terms of achieving real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net </w:t>
      </w:r>
      <w:r w:rsidR="002F76FE">
        <w:rPr>
          <w:rFonts w:asciiTheme="minorHAnsi" w:hAnsiTheme="minorHAnsi"/>
          <w:color w:val="000000" w:themeColor="text1"/>
          <w:sz w:val="24"/>
          <w:szCs w:val="24"/>
        </w:rPr>
        <w:t>returns appropriate for a long term investment suc</w:t>
      </w:r>
      <w:r w:rsidR="006F082D">
        <w:rPr>
          <w:rFonts w:asciiTheme="minorHAnsi" w:hAnsiTheme="minorHAnsi"/>
          <w:color w:val="000000" w:themeColor="text1"/>
          <w:sz w:val="24"/>
          <w:szCs w:val="24"/>
        </w:rPr>
        <w:t xml:space="preserve">h as superannuation.  </w:t>
      </w:r>
      <w:r w:rsidR="00E45AE7">
        <w:rPr>
          <w:rFonts w:asciiTheme="minorHAnsi" w:hAnsiTheme="minorHAnsi"/>
          <w:color w:val="000000" w:themeColor="text1"/>
          <w:sz w:val="24"/>
          <w:szCs w:val="24"/>
        </w:rPr>
        <w:t>Further, if a tendering system consid</w:t>
      </w:r>
      <w:r w:rsidR="00F75D22">
        <w:rPr>
          <w:rFonts w:asciiTheme="minorHAnsi" w:hAnsiTheme="minorHAnsi"/>
          <w:color w:val="000000" w:themeColor="text1"/>
          <w:sz w:val="24"/>
          <w:szCs w:val="24"/>
        </w:rPr>
        <w:t>ers only administration fees, then investment management fees would increase and defeat the intentions of the tendering process to keep costs down.</w:t>
      </w:r>
      <w:r w:rsidR="00E45AE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:rsidR="005461CD" w:rsidRDefault="005461CD" w:rsidP="00DD4362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5461CD" w:rsidRDefault="005461CD" w:rsidP="005461CD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Issues with the current default system. </w:t>
      </w:r>
    </w:p>
    <w:p w:rsidR="005461CD" w:rsidRDefault="005461CD" w:rsidP="005461CD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:rsidR="007818D2" w:rsidRPr="008762C2" w:rsidRDefault="007818D2" w:rsidP="00DF3BA7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8762C2">
        <w:rPr>
          <w:rFonts w:asciiTheme="minorHAnsi" w:hAnsiTheme="minorHAnsi"/>
          <w:b/>
          <w:color w:val="000000" w:themeColor="text1"/>
          <w:sz w:val="24"/>
          <w:szCs w:val="24"/>
        </w:rPr>
        <w:t xml:space="preserve">Comparators – </w:t>
      </w:r>
      <w:r w:rsidRPr="008762C2">
        <w:rPr>
          <w:rFonts w:asciiTheme="minorHAnsi" w:hAnsiTheme="minorHAnsi"/>
          <w:color w:val="000000" w:themeColor="text1"/>
          <w:sz w:val="24"/>
          <w:szCs w:val="24"/>
        </w:rPr>
        <w:t>There are dual fee and cost disclosure regimes in superannuation, with reduced fee disclosure for some</w:t>
      </w:r>
      <w:r w:rsidR="00F92592" w:rsidRPr="008762C2">
        <w:rPr>
          <w:rFonts w:asciiTheme="minorHAnsi" w:hAnsiTheme="minorHAnsi"/>
          <w:color w:val="000000" w:themeColor="text1"/>
          <w:sz w:val="24"/>
          <w:szCs w:val="24"/>
        </w:rPr>
        <w:t xml:space="preserve"> choice products.  ASIC has </w:t>
      </w:r>
      <w:r w:rsidRPr="008762C2">
        <w:rPr>
          <w:rFonts w:asciiTheme="minorHAnsi" w:hAnsiTheme="minorHAnsi"/>
          <w:color w:val="000000" w:themeColor="text1"/>
          <w:sz w:val="24"/>
          <w:szCs w:val="24"/>
        </w:rPr>
        <w:t>cautioned that it is misleadin</w:t>
      </w:r>
      <w:r w:rsidR="00111A64" w:rsidRPr="008762C2">
        <w:rPr>
          <w:rFonts w:asciiTheme="minorHAnsi" w:hAnsiTheme="minorHAnsi"/>
          <w:color w:val="000000" w:themeColor="text1"/>
          <w:sz w:val="24"/>
          <w:szCs w:val="24"/>
        </w:rPr>
        <w:t>g to compare fees and costs of products from the two regimes</w:t>
      </w:r>
      <w:r w:rsidRPr="008762C2">
        <w:rPr>
          <w:rFonts w:asciiTheme="minorHAnsi" w:hAnsiTheme="minorHAnsi"/>
          <w:color w:val="000000" w:themeColor="text1"/>
          <w:sz w:val="24"/>
          <w:szCs w:val="24"/>
        </w:rPr>
        <w:t>,</w:t>
      </w:r>
      <w:r>
        <w:rPr>
          <w:rStyle w:val="FootnoteReference"/>
          <w:rFonts w:asciiTheme="minorHAnsi" w:hAnsiTheme="minorHAnsi"/>
          <w:color w:val="000000" w:themeColor="text1"/>
          <w:sz w:val="24"/>
          <w:szCs w:val="24"/>
        </w:rPr>
        <w:footnoteReference w:id="3"/>
      </w:r>
      <w:r w:rsidRPr="008762C2">
        <w:rPr>
          <w:rFonts w:asciiTheme="minorHAnsi" w:hAnsiTheme="minorHAnsi"/>
          <w:color w:val="000000" w:themeColor="text1"/>
          <w:sz w:val="24"/>
          <w:szCs w:val="24"/>
        </w:rPr>
        <w:t xml:space="preserve"> which ensures that there is </w:t>
      </w:r>
      <w:r w:rsidR="00CF6755" w:rsidRPr="008762C2">
        <w:rPr>
          <w:rFonts w:asciiTheme="minorHAnsi" w:hAnsiTheme="minorHAnsi"/>
          <w:color w:val="000000" w:themeColor="text1"/>
          <w:sz w:val="24"/>
          <w:szCs w:val="24"/>
        </w:rPr>
        <w:t xml:space="preserve">no ability for consumers to make reasoned comparisons between choice and default products.  </w:t>
      </w:r>
      <w:r w:rsidR="00F92592" w:rsidRPr="008762C2">
        <w:rPr>
          <w:rFonts w:asciiTheme="minorHAnsi" w:hAnsiTheme="minorHAnsi"/>
          <w:color w:val="000000" w:themeColor="text1"/>
          <w:sz w:val="24"/>
          <w:szCs w:val="24"/>
        </w:rPr>
        <w:t xml:space="preserve">This requires immediate law reform for true competition to flourish in superannuation.   </w:t>
      </w:r>
      <w:r w:rsidRPr="008762C2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:rsidR="006F4329" w:rsidRPr="00A9587D" w:rsidRDefault="00A9587D" w:rsidP="00A9587D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lastRenderedPageBreak/>
        <w:t xml:space="preserve">MySuper </w:t>
      </w:r>
      <w:r w:rsidRPr="00A9587D">
        <w:rPr>
          <w:rFonts w:asciiTheme="minorHAnsi" w:hAnsiTheme="minorHAnsi"/>
          <w:b/>
          <w:color w:val="000000" w:themeColor="text1"/>
          <w:sz w:val="24"/>
          <w:szCs w:val="24"/>
        </w:rPr>
        <w:t xml:space="preserve">authorization </w:t>
      </w:r>
      <w:r w:rsidR="00F92592">
        <w:rPr>
          <w:rFonts w:asciiTheme="minorHAnsi" w:hAnsiTheme="minorHAnsi"/>
          <w:color w:val="000000" w:themeColor="text1"/>
          <w:sz w:val="24"/>
          <w:szCs w:val="24"/>
        </w:rPr>
        <w:t>–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C8039C" w:rsidRPr="00A9587D">
        <w:rPr>
          <w:rFonts w:asciiTheme="minorHAnsi" w:hAnsiTheme="minorHAnsi"/>
          <w:color w:val="000000" w:themeColor="text1"/>
          <w:sz w:val="24"/>
          <w:szCs w:val="24"/>
        </w:rPr>
        <w:t>The</w:t>
      </w:r>
      <w:r w:rsidR="00F92592">
        <w:rPr>
          <w:rFonts w:asciiTheme="minorHAnsi" w:hAnsiTheme="minorHAnsi"/>
          <w:color w:val="000000" w:themeColor="text1"/>
          <w:sz w:val="24"/>
          <w:szCs w:val="24"/>
        </w:rPr>
        <w:t xml:space="preserve"> MySuper licensing regime has no </w:t>
      </w:r>
      <w:r w:rsidR="008762C2">
        <w:rPr>
          <w:rFonts w:asciiTheme="minorHAnsi" w:hAnsiTheme="minorHAnsi"/>
          <w:color w:val="000000" w:themeColor="text1"/>
          <w:sz w:val="24"/>
          <w:szCs w:val="24"/>
        </w:rPr>
        <w:t xml:space="preserve">direct </w:t>
      </w:r>
      <w:r w:rsidR="00C8039C" w:rsidRPr="00A9587D">
        <w:rPr>
          <w:rFonts w:asciiTheme="minorHAnsi" w:hAnsiTheme="minorHAnsi"/>
          <w:color w:val="000000" w:themeColor="text1"/>
          <w:sz w:val="24"/>
          <w:szCs w:val="24"/>
        </w:rPr>
        <w:t>filter to prevent long term low p</w:t>
      </w:r>
      <w:r w:rsidR="008762C2">
        <w:rPr>
          <w:rFonts w:asciiTheme="minorHAnsi" w:hAnsiTheme="minorHAnsi"/>
          <w:color w:val="000000" w:themeColor="text1"/>
          <w:sz w:val="24"/>
          <w:szCs w:val="24"/>
        </w:rPr>
        <w:t>erforming funds from becoming default funds, or ceasing to be default funds.</w:t>
      </w:r>
      <w:r w:rsidR="00C8039C">
        <w:rPr>
          <w:rStyle w:val="FootnoteReference"/>
          <w:rFonts w:asciiTheme="minorHAnsi" w:hAnsiTheme="minorHAnsi"/>
          <w:color w:val="000000" w:themeColor="text1"/>
          <w:sz w:val="24"/>
          <w:szCs w:val="24"/>
        </w:rPr>
        <w:footnoteReference w:id="4"/>
      </w:r>
    </w:p>
    <w:p w:rsidR="006F4329" w:rsidRPr="00710696" w:rsidRDefault="00A9587D" w:rsidP="006F4329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Unimplemented Fair Work system </w:t>
      </w:r>
      <w:r w:rsidR="003C04F6">
        <w:rPr>
          <w:rFonts w:asciiTheme="minorHAnsi" w:hAnsiTheme="minorHAnsi"/>
          <w:b/>
          <w:color w:val="000000" w:themeColor="text1"/>
          <w:sz w:val="24"/>
          <w:szCs w:val="24"/>
        </w:rPr>
        <w:t>–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3C04F6">
        <w:rPr>
          <w:rFonts w:asciiTheme="minorHAnsi" w:hAnsiTheme="minorHAnsi"/>
          <w:color w:val="000000" w:themeColor="text1"/>
          <w:sz w:val="24"/>
          <w:szCs w:val="24"/>
        </w:rPr>
        <w:t>Employers should be able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 xml:space="preserve"> to choose from a select list of quality funds assessed by appropriately qualified experts and informed by the needs of the workplace and workforce</w:t>
      </w:r>
      <w:r w:rsidR="003C04F6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CF6755">
        <w:rPr>
          <w:rFonts w:asciiTheme="minorHAnsi" w:hAnsiTheme="minorHAnsi"/>
          <w:color w:val="000000" w:themeColor="text1"/>
          <w:sz w:val="24"/>
          <w:szCs w:val="24"/>
        </w:rPr>
        <w:t xml:space="preserve">  Implementing the Fair Work reforms</w:t>
      </w:r>
      <w:r w:rsidR="00CF6755">
        <w:rPr>
          <w:rStyle w:val="FootnoteReference"/>
          <w:rFonts w:asciiTheme="minorHAnsi" w:hAnsiTheme="minorHAnsi"/>
          <w:color w:val="000000" w:themeColor="text1"/>
          <w:sz w:val="24"/>
          <w:szCs w:val="24"/>
        </w:rPr>
        <w:footnoteReference w:id="5"/>
      </w:r>
      <w:r w:rsidR="00CF6755">
        <w:rPr>
          <w:rFonts w:asciiTheme="minorHAnsi" w:hAnsiTheme="minorHAnsi"/>
          <w:color w:val="000000" w:themeColor="text1"/>
          <w:sz w:val="24"/>
          <w:szCs w:val="24"/>
        </w:rPr>
        <w:t xml:space="preserve"> would provide this assurance.</w:t>
      </w:r>
    </w:p>
    <w:p w:rsidR="006F4329" w:rsidRPr="00710696" w:rsidRDefault="008E4D3B" w:rsidP="006F4329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Award coverage - </w:t>
      </w:r>
      <w:r w:rsidR="006F4329" w:rsidRPr="00710696">
        <w:rPr>
          <w:rFonts w:asciiTheme="minorHAnsi" w:hAnsiTheme="minorHAnsi"/>
          <w:color w:val="000000" w:themeColor="text1"/>
          <w:sz w:val="24"/>
          <w:szCs w:val="24"/>
        </w:rPr>
        <w:t>We believe the system should cover all employees</w:t>
      </w:r>
      <w:r w:rsidR="00A9587D">
        <w:rPr>
          <w:rFonts w:asciiTheme="minorHAnsi" w:hAnsi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 The Issues Paper has pointed out that</w:t>
      </w:r>
      <w:r w:rsidR="00CF6755">
        <w:rPr>
          <w:rFonts w:asciiTheme="minorHAnsi" w:hAnsiTheme="minorHAnsi"/>
          <w:color w:val="000000" w:themeColor="text1"/>
          <w:sz w:val="24"/>
          <w:szCs w:val="24"/>
        </w:rPr>
        <w:t xml:space="preserve"> the current system does not cover all employees.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:rsidR="008E4D3B" w:rsidRDefault="008E4D3B" w:rsidP="0023200C">
      <w:pPr>
        <w:spacing w:before="120" w:after="120"/>
        <w:jc w:val="both"/>
        <w:rPr>
          <w:rFonts w:asciiTheme="minorHAnsi" w:eastAsiaTheme="minorHAnsi" w:hAnsiTheme="minorHAnsi" w:cs="Arial"/>
          <w:sz w:val="24"/>
          <w:szCs w:val="24"/>
        </w:rPr>
      </w:pPr>
    </w:p>
    <w:p w:rsidR="0023200C" w:rsidRPr="00710696" w:rsidRDefault="0023200C" w:rsidP="0023200C">
      <w:pPr>
        <w:spacing w:before="120" w:after="120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710696">
        <w:rPr>
          <w:rFonts w:asciiTheme="minorHAnsi" w:eastAsiaTheme="minorHAnsi" w:hAnsiTheme="minorHAnsi" w:cs="Arial"/>
          <w:sz w:val="24"/>
          <w:szCs w:val="24"/>
        </w:rPr>
        <w:t>If you have any further questions of us or would like further information please do not hesitate to contact</w:t>
      </w:r>
      <w:r w:rsidR="00965BAD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B644EA">
        <w:rPr>
          <w:rFonts w:asciiTheme="minorHAnsi" w:eastAsiaTheme="minorHAnsi" w:hAnsiTheme="minorHAnsi" w:cs="Arial"/>
          <w:sz w:val="24"/>
          <w:szCs w:val="24"/>
        </w:rPr>
        <w:t xml:space="preserve">me </w:t>
      </w:r>
      <w:r w:rsidR="00965BAD">
        <w:rPr>
          <w:rFonts w:asciiTheme="minorHAnsi" w:eastAsiaTheme="minorHAnsi" w:hAnsiTheme="minorHAnsi" w:cs="Arial"/>
          <w:sz w:val="24"/>
          <w:szCs w:val="24"/>
        </w:rPr>
        <w:t xml:space="preserve">in the </w:t>
      </w:r>
      <w:r w:rsidRPr="00710696">
        <w:rPr>
          <w:rFonts w:asciiTheme="minorHAnsi" w:eastAsiaTheme="minorHAnsi" w:hAnsiTheme="minorHAnsi" w:cs="Arial"/>
          <w:sz w:val="24"/>
          <w:szCs w:val="24"/>
        </w:rPr>
        <w:t>first instance.</w:t>
      </w:r>
    </w:p>
    <w:p w:rsidR="00D12170" w:rsidRDefault="00D12170" w:rsidP="00CF6755">
      <w:pPr>
        <w:spacing w:before="120" w:after="120"/>
        <w:jc w:val="both"/>
        <w:rPr>
          <w:rFonts w:asciiTheme="minorHAnsi" w:eastAsiaTheme="minorHAnsi" w:hAnsiTheme="minorHAnsi" w:cs="Arial"/>
          <w:sz w:val="24"/>
          <w:szCs w:val="24"/>
        </w:rPr>
      </w:pPr>
    </w:p>
    <w:p w:rsidR="00D12170" w:rsidRDefault="00D12170" w:rsidP="00CF6755">
      <w:pPr>
        <w:spacing w:before="120" w:after="120"/>
        <w:jc w:val="both"/>
        <w:rPr>
          <w:rFonts w:asciiTheme="minorHAnsi" w:eastAsiaTheme="minorHAnsi" w:hAnsiTheme="minorHAnsi" w:cs="Arial"/>
          <w:sz w:val="24"/>
          <w:szCs w:val="24"/>
        </w:rPr>
      </w:pPr>
    </w:p>
    <w:p w:rsidR="006F4329" w:rsidRDefault="0023200C" w:rsidP="00CF6755">
      <w:pPr>
        <w:spacing w:before="120" w:after="120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710696">
        <w:rPr>
          <w:rFonts w:asciiTheme="minorHAnsi" w:eastAsiaTheme="minorHAnsi" w:hAnsiTheme="minorHAnsi" w:cs="Arial"/>
          <w:sz w:val="24"/>
          <w:szCs w:val="24"/>
        </w:rPr>
        <w:t>Yours sincerely</w:t>
      </w:r>
    </w:p>
    <w:p w:rsidR="00D12170" w:rsidRDefault="00D12170" w:rsidP="00CF6755">
      <w:pPr>
        <w:spacing w:before="120" w:after="120"/>
        <w:jc w:val="both"/>
        <w:rPr>
          <w:rFonts w:asciiTheme="minorHAnsi" w:eastAsiaTheme="minorHAnsi" w:hAnsiTheme="minorHAnsi" w:cs="Arial"/>
          <w:sz w:val="24"/>
          <w:szCs w:val="24"/>
        </w:rPr>
      </w:pPr>
    </w:p>
    <w:p w:rsidR="00D12170" w:rsidRDefault="00D12170" w:rsidP="00CF6755">
      <w:pPr>
        <w:spacing w:before="120" w:after="120"/>
        <w:jc w:val="both"/>
        <w:rPr>
          <w:rFonts w:asciiTheme="minorHAnsi" w:hAnsiTheme="minorHAnsi" w:cs="Arial"/>
          <w:noProof/>
          <w:sz w:val="24"/>
          <w:szCs w:val="24"/>
          <w:lang w:val="en-AU" w:eastAsia="en-AU"/>
        </w:rPr>
      </w:pPr>
    </w:p>
    <w:p w:rsidR="00D12170" w:rsidRDefault="00D12170" w:rsidP="00CF6755">
      <w:pPr>
        <w:spacing w:before="120" w:after="120"/>
        <w:jc w:val="both"/>
        <w:rPr>
          <w:rFonts w:asciiTheme="minorHAnsi" w:hAnsiTheme="minorHAnsi" w:cs="Arial"/>
          <w:noProof/>
          <w:sz w:val="24"/>
          <w:szCs w:val="24"/>
          <w:lang w:val="en-AU" w:eastAsia="en-AU"/>
        </w:rPr>
      </w:pPr>
    </w:p>
    <w:p w:rsidR="00D12170" w:rsidRDefault="00D12170" w:rsidP="00CF6755">
      <w:pPr>
        <w:spacing w:before="120" w:after="120"/>
        <w:jc w:val="both"/>
        <w:rPr>
          <w:rFonts w:asciiTheme="minorHAnsi" w:hAnsiTheme="minorHAnsi" w:cs="Arial"/>
          <w:noProof/>
          <w:sz w:val="24"/>
          <w:szCs w:val="24"/>
          <w:lang w:val="en-AU" w:eastAsia="en-AU"/>
        </w:rPr>
      </w:pPr>
    </w:p>
    <w:p w:rsidR="00B644EA" w:rsidRDefault="00B644EA" w:rsidP="00CF6755">
      <w:pPr>
        <w:spacing w:before="120" w:after="120"/>
        <w:jc w:val="both"/>
        <w:rPr>
          <w:rFonts w:asciiTheme="minorHAnsi" w:eastAsiaTheme="minorHAnsi" w:hAnsiTheme="minorHAnsi" w:cs="Arial"/>
          <w:sz w:val="24"/>
          <w:szCs w:val="24"/>
        </w:rPr>
      </w:pPr>
      <w:r>
        <w:rPr>
          <w:rFonts w:asciiTheme="minorHAnsi" w:eastAsiaTheme="minorHAnsi" w:hAnsiTheme="minorHAnsi" w:cs="Arial"/>
          <w:sz w:val="24"/>
          <w:szCs w:val="24"/>
        </w:rPr>
        <w:t>Louise du Pre-Alba</w:t>
      </w:r>
    </w:p>
    <w:p w:rsidR="00B644EA" w:rsidRDefault="00B644EA" w:rsidP="00CF6755">
      <w:pPr>
        <w:spacing w:before="120" w:after="120"/>
        <w:jc w:val="both"/>
        <w:rPr>
          <w:rFonts w:asciiTheme="minorHAnsi" w:eastAsiaTheme="minorHAnsi" w:hAnsiTheme="minorHAnsi" w:cs="Arial"/>
          <w:sz w:val="24"/>
          <w:szCs w:val="24"/>
        </w:rPr>
      </w:pPr>
      <w:r>
        <w:rPr>
          <w:rFonts w:asciiTheme="minorHAnsi" w:eastAsiaTheme="minorHAnsi" w:hAnsiTheme="minorHAnsi" w:cs="Arial"/>
          <w:sz w:val="24"/>
          <w:szCs w:val="24"/>
        </w:rPr>
        <w:t>Head of Policy</w:t>
      </w:r>
    </w:p>
    <w:p w:rsidR="00F75D22" w:rsidRDefault="00F75D22" w:rsidP="00CF6755">
      <w:pPr>
        <w:spacing w:before="120" w:after="120"/>
        <w:jc w:val="both"/>
        <w:rPr>
          <w:rFonts w:asciiTheme="minorHAnsi" w:eastAsiaTheme="minorHAnsi" w:hAnsiTheme="minorHAnsi" w:cs="Arial"/>
          <w:sz w:val="24"/>
          <w:szCs w:val="24"/>
        </w:rPr>
      </w:pPr>
    </w:p>
    <w:sectPr w:rsidR="00F75D22" w:rsidSect="007452F7">
      <w:headerReference w:type="default" r:id="rId15"/>
      <w:footerReference w:type="default" r:id="rId16"/>
      <w:headerReference w:type="first" r:id="rId17"/>
      <w:footerReference w:type="first" r:id="rId18"/>
      <w:pgSz w:w="11899" w:h="16838"/>
      <w:pgMar w:top="2693" w:right="1418" w:bottom="1701" w:left="1418" w:header="369" w:footer="36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C67" w:rsidRDefault="00911C67" w:rsidP="008E4C99">
      <w:r>
        <w:separator/>
      </w:r>
    </w:p>
  </w:endnote>
  <w:endnote w:type="continuationSeparator" w:id="0">
    <w:p w:rsidR="00911C67" w:rsidRDefault="00911C67" w:rsidP="008E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LT-Light">
    <w:altName w:val="Univers LT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LT">
    <w:altName w:val="Univers LT 55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838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28DE" w:rsidRDefault="000528DE" w:rsidP="000528D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BA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90CE2" w:rsidRDefault="00590C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16333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E97FFA" w:rsidRDefault="00E97FF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BA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CE7944" w:rsidRDefault="00CE7944" w:rsidP="008E4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C67" w:rsidRDefault="00911C67" w:rsidP="008E4C99">
      <w:r>
        <w:separator/>
      </w:r>
    </w:p>
  </w:footnote>
  <w:footnote w:type="continuationSeparator" w:id="0">
    <w:p w:rsidR="00911C67" w:rsidRDefault="00911C67" w:rsidP="008E4C99">
      <w:r>
        <w:continuationSeparator/>
      </w:r>
    </w:p>
  </w:footnote>
  <w:footnote w:id="1">
    <w:p w:rsidR="007A5D4F" w:rsidRPr="007A5D4F" w:rsidRDefault="007A5D4F">
      <w:pPr>
        <w:pStyle w:val="FootnoteText"/>
        <w:rPr>
          <w:i/>
          <w:lang w:val="en-AU"/>
        </w:rPr>
      </w:pPr>
      <w:r w:rsidRPr="00077550">
        <w:rPr>
          <w:rStyle w:val="FootnoteReference"/>
        </w:rPr>
        <w:footnoteRef/>
      </w:r>
      <w:r w:rsidR="00841522">
        <w:t xml:space="preserve"> Section </w:t>
      </w:r>
      <w:r w:rsidRPr="00077550">
        <w:t xml:space="preserve">156F of the </w:t>
      </w:r>
      <w:r w:rsidRPr="00077550">
        <w:rPr>
          <w:i/>
        </w:rPr>
        <w:t xml:space="preserve">Fair Work Act </w:t>
      </w:r>
      <w:r w:rsidR="00077550" w:rsidRPr="00077550">
        <w:rPr>
          <w:i/>
        </w:rPr>
        <w:t>2009</w:t>
      </w:r>
    </w:p>
  </w:footnote>
  <w:footnote w:id="2">
    <w:p w:rsidR="004E1C6C" w:rsidRPr="00077550" w:rsidRDefault="004E1C6C" w:rsidP="008762C2">
      <w:r w:rsidRPr="00077550">
        <w:rPr>
          <w:rStyle w:val="FootnoteReference"/>
        </w:rPr>
        <w:footnoteRef/>
      </w:r>
      <w:r w:rsidRPr="00077550">
        <w:t xml:space="preserve"> </w:t>
      </w:r>
      <w:hyperlink r:id="rId1" w:history="1">
        <w:r w:rsidR="00077550" w:rsidRPr="004C6BEC">
          <w:rPr>
            <w:rStyle w:val="Hyperlink"/>
          </w:rPr>
          <w:t>http://www.superannuation.asn.au/media/media-releases/2015/media-release-16-october-2015</w:t>
        </w:r>
      </w:hyperlink>
      <w:r w:rsidR="00077550">
        <w:t xml:space="preserve"> </w:t>
      </w:r>
    </w:p>
  </w:footnote>
  <w:footnote w:id="3">
    <w:p w:rsidR="007818D2" w:rsidRPr="007818D2" w:rsidRDefault="007818D2" w:rsidP="00841522">
      <w:pPr>
        <w:rPr>
          <w:lang w:val="en-AU"/>
        </w:rPr>
      </w:pPr>
      <w:r w:rsidRPr="00841522">
        <w:rPr>
          <w:rStyle w:val="FootnoteReference"/>
        </w:rPr>
        <w:footnoteRef/>
      </w:r>
      <w:r w:rsidRPr="00841522">
        <w:t xml:space="preserve"> </w:t>
      </w:r>
      <w:r w:rsidR="00841522" w:rsidRPr="00841522">
        <w:t xml:space="preserve">Question 23 of </w:t>
      </w:r>
      <w:hyperlink r:id="rId2" w:history="1">
        <w:r w:rsidR="00841522">
          <w:rPr>
            <w:rStyle w:val="Hyperlink"/>
          </w:rPr>
          <w:t>http://www.asic.gov.au/regulatory-resources/superannuation-funds/superannuation-guidance-and-relief/fees-and-costs-disclosure/questions-and-answers-fees-and-costs-disclosure-superannuation-and-managed-investment-products/</w:t>
        </w:r>
      </w:hyperlink>
    </w:p>
  </w:footnote>
  <w:footnote w:id="4">
    <w:p w:rsidR="00C8039C" w:rsidRPr="00C8039C" w:rsidRDefault="00C8039C">
      <w:pPr>
        <w:pStyle w:val="FootnoteText"/>
        <w:rPr>
          <w:lang w:val="en-AU"/>
        </w:rPr>
      </w:pPr>
      <w:r w:rsidRPr="00DC6530">
        <w:rPr>
          <w:rStyle w:val="FootnoteReference"/>
        </w:rPr>
        <w:footnoteRef/>
      </w:r>
      <w:r w:rsidRPr="00DC6530">
        <w:t xml:space="preserve"> </w:t>
      </w:r>
      <w:r w:rsidR="00DC6530" w:rsidRPr="00DC6530">
        <w:t xml:space="preserve">Section 29U(2) of the </w:t>
      </w:r>
      <w:r w:rsidR="00DC6530" w:rsidRPr="00DC6530">
        <w:rPr>
          <w:i/>
        </w:rPr>
        <w:t xml:space="preserve">Superannuation Industry (Supervision) Act 1994 </w:t>
      </w:r>
      <w:r w:rsidR="00DC6530" w:rsidRPr="00DC6530">
        <w:t xml:space="preserve">deals with circumstances for cancelling authority to offer a MySuper product </w:t>
      </w:r>
      <w:r w:rsidR="00DC6530">
        <w:t>– it does not cover long-term low performing funds.</w:t>
      </w:r>
    </w:p>
  </w:footnote>
  <w:footnote w:id="5">
    <w:p w:rsidR="00CF6755" w:rsidRPr="00077550" w:rsidRDefault="00CF6755">
      <w:pPr>
        <w:pStyle w:val="FootnoteText"/>
        <w:rPr>
          <w:rFonts w:cs="Arial"/>
          <w:i/>
          <w:lang w:val="en-AU"/>
        </w:rPr>
      </w:pPr>
      <w:r>
        <w:rPr>
          <w:rStyle w:val="FootnoteReference"/>
        </w:rPr>
        <w:footnoteRef/>
      </w:r>
      <w:r>
        <w:t xml:space="preserve"> </w:t>
      </w:r>
      <w:bookmarkStart w:id="1" w:name="_Toc464480923"/>
      <w:r w:rsidR="00077550" w:rsidRPr="00077550">
        <w:rPr>
          <w:rStyle w:val="chardivno"/>
          <w:rFonts w:cs="Arial"/>
          <w:bCs/>
          <w:color w:val="000000"/>
          <w:szCs w:val="28"/>
          <w:shd w:val="clear" w:color="auto" w:fill="FFFFFF"/>
        </w:rPr>
        <w:t>Division 4A</w:t>
      </w:r>
      <w:r w:rsidR="00077550" w:rsidRPr="00077550">
        <w:rPr>
          <w:rFonts w:cs="Arial"/>
          <w:bCs/>
          <w:color w:val="000000"/>
          <w:szCs w:val="28"/>
          <w:shd w:val="clear" w:color="auto" w:fill="FFFFFF"/>
        </w:rPr>
        <w:t>—</w:t>
      </w:r>
      <w:r w:rsidR="00077550" w:rsidRPr="00077550">
        <w:rPr>
          <w:rStyle w:val="chardivtext"/>
          <w:rFonts w:cs="Arial"/>
          <w:bCs/>
          <w:color w:val="000000"/>
          <w:szCs w:val="28"/>
          <w:shd w:val="clear" w:color="auto" w:fill="FFFFFF"/>
        </w:rPr>
        <w:t>4 yearly reviews of default fund terms of modern awards</w:t>
      </w:r>
      <w:bookmarkEnd w:id="1"/>
      <w:r w:rsidR="00077550">
        <w:rPr>
          <w:rStyle w:val="chardivtext"/>
          <w:rFonts w:cs="Arial"/>
          <w:bCs/>
          <w:color w:val="000000"/>
          <w:szCs w:val="28"/>
          <w:shd w:val="clear" w:color="auto" w:fill="FFFFFF"/>
        </w:rPr>
        <w:t xml:space="preserve"> of the </w:t>
      </w:r>
      <w:r w:rsidR="00077550">
        <w:rPr>
          <w:rStyle w:val="chardivtext"/>
          <w:rFonts w:cs="Arial"/>
          <w:bCs/>
          <w:i/>
          <w:color w:val="000000"/>
          <w:szCs w:val="28"/>
          <w:shd w:val="clear" w:color="auto" w:fill="FFFFFF"/>
        </w:rPr>
        <w:t>Fair Work Act</w:t>
      </w:r>
      <w:r w:rsidR="00077550">
        <w:rPr>
          <w:rStyle w:val="chardivtext"/>
          <w:rFonts w:cs="Arial"/>
          <w:bCs/>
          <w:color w:val="000000"/>
          <w:szCs w:val="28"/>
          <w:shd w:val="clear" w:color="auto" w:fill="FFFFFF"/>
        </w:rPr>
        <w:t xml:space="preserve"> </w:t>
      </w:r>
      <w:r w:rsidR="00077550">
        <w:rPr>
          <w:rStyle w:val="chardivtext"/>
          <w:rFonts w:cs="Arial"/>
          <w:bCs/>
          <w:i/>
          <w:color w:val="000000"/>
          <w:szCs w:val="28"/>
          <w:shd w:val="clear" w:color="auto" w:fill="FFFFFF"/>
        </w:rPr>
        <w:t xml:space="preserve">2009.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F7" w:rsidRDefault="007452F7" w:rsidP="002027BF">
    <w:pPr>
      <w:pStyle w:val="Header"/>
      <w:ind w:hanging="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F7" w:rsidRDefault="0068079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728" behindDoc="1" locked="0" layoutInCell="1" allowOverlap="1" wp14:anchorId="0FFDF684" wp14:editId="1CE6D6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6350" b="0"/>
          <wp:wrapNone/>
          <wp:docPr id="1" name="Picture 1" descr="LH_VIC_Sep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H_VIC_Sep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B7"/>
    <w:multiLevelType w:val="hybridMultilevel"/>
    <w:tmpl w:val="2766F1C4"/>
    <w:lvl w:ilvl="0" w:tplc="F72AB358">
      <w:start w:val="2"/>
      <w:numFmt w:val="bullet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04049FF"/>
    <w:multiLevelType w:val="hybridMultilevel"/>
    <w:tmpl w:val="58901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02908"/>
    <w:multiLevelType w:val="hybridMultilevel"/>
    <w:tmpl w:val="A4108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150D5"/>
    <w:multiLevelType w:val="hybridMultilevel"/>
    <w:tmpl w:val="97701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5F3983"/>
    <w:multiLevelType w:val="hybridMultilevel"/>
    <w:tmpl w:val="4100053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9A93746"/>
    <w:multiLevelType w:val="hybridMultilevel"/>
    <w:tmpl w:val="EB445072"/>
    <w:lvl w:ilvl="0" w:tplc="78BC61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E1137"/>
    <w:multiLevelType w:val="hybridMultilevel"/>
    <w:tmpl w:val="4E0A38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29F043C"/>
    <w:multiLevelType w:val="hybridMultilevel"/>
    <w:tmpl w:val="E2406E7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63E90"/>
    <w:multiLevelType w:val="hybridMultilevel"/>
    <w:tmpl w:val="F8C64DC8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1EE31385"/>
    <w:multiLevelType w:val="hybridMultilevel"/>
    <w:tmpl w:val="868045F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2013E28"/>
    <w:multiLevelType w:val="hybridMultilevel"/>
    <w:tmpl w:val="BD028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70ABA"/>
    <w:multiLevelType w:val="hybridMultilevel"/>
    <w:tmpl w:val="4F746B1A"/>
    <w:lvl w:ilvl="0" w:tplc="3B8E3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66033"/>
    <w:multiLevelType w:val="hybridMultilevel"/>
    <w:tmpl w:val="5F70E9DE"/>
    <w:lvl w:ilvl="0" w:tplc="84B0ECDC">
      <w:start w:val="1"/>
      <w:numFmt w:val="decimal"/>
      <w:lvlText w:val="%1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05F24"/>
    <w:multiLevelType w:val="hybridMultilevel"/>
    <w:tmpl w:val="7A267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A1DDD"/>
    <w:multiLevelType w:val="hybridMultilevel"/>
    <w:tmpl w:val="DA024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B2665"/>
    <w:multiLevelType w:val="hybridMultilevel"/>
    <w:tmpl w:val="F3709704"/>
    <w:lvl w:ilvl="0" w:tplc="3C1427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3161C"/>
    <w:multiLevelType w:val="hybridMultilevel"/>
    <w:tmpl w:val="2FC03044"/>
    <w:lvl w:ilvl="0" w:tplc="743817FA">
      <w:start w:val="1"/>
      <w:numFmt w:val="lowerRoman"/>
      <w:lvlText w:val="(%1)"/>
      <w:lvlJc w:val="left"/>
      <w:pPr>
        <w:ind w:left="1494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54" w:hanging="360"/>
      </w:pPr>
    </w:lvl>
    <w:lvl w:ilvl="2" w:tplc="0C09001B">
      <w:start w:val="1"/>
      <w:numFmt w:val="lowerRoman"/>
      <w:lvlText w:val="%3."/>
      <w:lvlJc w:val="right"/>
      <w:pPr>
        <w:ind w:left="2574" w:hanging="180"/>
      </w:pPr>
    </w:lvl>
    <w:lvl w:ilvl="3" w:tplc="0C09000F" w:tentative="1">
      <w:start w:val="1"/>
      <w:numFmt w:val="decimal"/>
      <w:lvlText w:val="%4."/>
      <w:lvlJc w:val="left"/>
      <w:pPr>
        <w:ind w:left="3294" w:hanging="360"/>
      </w:pPr>
    </w:lvl>
    <w:lvl w:ilvl="4" w:tplc="0C090019" w:tentative="1">
      <w:start w:val="1"/>
      <w:numFmt w:val="lowerLetter"/>
      <w:lvlText w:val="%5."/>
      <w:lvlJc w:val="left"/>
      <w:pPr>
        <w:ind w:left="4014" w:hanging="360"/>
      </w:pPr>
    </w:lvl>
    <w:lvl w:ilvl="5" w:tplc="0C09001B" w:tentative="1">
      <w:start w:val="1"/>
      <w:numFmt w:val="lowerRoman"/>
      <w:lvlText w:val="%6."/>
      <w:lvlJc w:val="right"/>
      <w:pPr>
        <w:ind w:left="4734" w:hanging="180"/>
      </w:pPr>
    </w:lvl>
    <w:lvl w:ilvl="6" w:tplc="0C09000F" w:tentative="1">
      <w:start w:val="1"/>
      <w:numFmt w:val="decimal"/>
      <w:lvlText w:val="%7."/>
      <w:lvlJc w:val="left"/>
      <w:pPr>
        <w:ind w:left="5454" w:hanging="360"/>
      </w:pPr>
    </w:lvl>
    <w:lvl w:ilvl="7" w:tplc="0C090019" w:tentative="1">
      <w:start w:val="1"/>
      <w:numFmt w:val="lowerLetter"/>
      <w:lvlText w:val="%8."/>
      <w:lvlJc w:val="left"/>
      <w:pPr>
        <w:ind w:left="6174" w:hanging="360"/>
      </w:pPr>
    </w:lvl>
    <w:lvl w:ilvl="8" w:tplc="0C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7">
    <w:nsid w:val="4276734C"/>
    <w:multiLevelType w:val="hybridMultilevel"/>
    <w:tmpl w:val="677698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C651D"/>
    <w:multiLevelType w:val="hybridMultilevel"/>
    <w:tmpl w:val="8814D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35BAE"/>
    <w:multiLevelType w:val="hybridMultilevel"/>
    <w:tmpl w:val="51CEE276"/>
    <w:lvl w:ilvl="0" w:tplc="804ECB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79114A"/>
    <w:multiLevelType w:val="hybridMultilevel"/>
    <w:tmpl w:val="08B46148"/>
    <w:lvl w:ilvl="0" w:tplc="F72AB358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1583071"/>
    <w:multiLevelType w:val="hybridMultilevel"/>
    <w:tmpl w:val="560C88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341C30"/>
    <w:multiLevelType w:val="hybridMultilevel"/>
    <w:tmpl w:val="4B78C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897FA0"/>
    <w:multiLevelType w:val="hybridMultilevel"/>
    <w:tmpl w:val="D5E6830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66B618B"/>
    <w:multiLevelType w:val="hybridMultilevel"/>
    <w:tmpl w:val="C69A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46251A"/>
    <w:multiLevelType w:val="hybridMultilevel"/>
    <w:tmpl w:val="2B1AEA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63CA8"/>
    <w:multiLevelType w:val="hybridMultilevel"/>
    <w:tmpl w:val="8D4C3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8D6134"/>
    <w:multiLevelType w:val="hybridMultilevel"/>
    <w:tmpl w:val="06B828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762D45"/>
    <w:multiLevelType w:val="hybridMultilevel"/>
    <w:tmpl w:val="A1803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B3DEB"/>
    <w:multiLevelType w:val="hybridMultilevel"/>
    <w:tmpl w:val="B9F6AFFC"/>
    <w:lvl w:ilvl="0" w:tplc="F72AB35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4F3361"/>
    <w:multiLevelType w:val="hybridMultilevel"/>
    <w:tmpl w:val="1B140E02"/>
    <w:lvl w:ilvl="0" w:tplc="F3664AC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492784"/>
    <w:multiLevelType w:val="hybridMultilevel"/>
    <w:tmpl w:val="74B2604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64F13E6"/>
    <w:multiLevelType w:val="hybridMultilevel"/>
    <w:tmpl w:val="42E4B6A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78053182"/>
    <w:multiLevelType w:val="hybridMultilevel"/>
    <w:tmpl w:val="011E55BA"/>
    <w:lvl w:ilvl="0" w:tplc="F6C0E70A">
      <w:start w:val="1"/>
      <w:numFmt w:val="decimal"/>
      <w:lvlText w:val="%1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923C40"/>
    <w:multiLevelType w:val="hybridMultilevel"/>
    <w:tmpl w:val="3E743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22"/>
  </w:num>
  <w:num w:numId="5">
    <w:abstractNumId w:val="21"/>
  </w:num>
  <w:num w:numId="6">
    <w:abstractNumId w:val="3"/>
  </w:num>
  <w:num w:numId="7">
    <w:abstractNumId w:val="24"/>
  </w:num>
  <w:num w:numId="8">
    <w:abstractNumId w:val="34"/>
  </w:num>
  <w:num w:numId="9">
    <w:abstractNumId w:val="11"/>
  </w:num>
  <w:num w:numId="10">
    <w:abstractNumId w:val="26"/>
  </w:num>
  <w:num w:numId="11">
    <w:abstractNumId w:val="4"/>
  </w:num>
  <w:num w:numId="12">
    <w:abstractNumId w:val="31"/>
  </w:num>
  <w:num w:numId="13">
    <w:abstractNumId w:val="23"/>
  </w:num>
  <w:num w:numId="14">
    <w:abstractNumId w:val="6"/>
  </w:num>
  <w:num w:numId="15">
    <w:abstractNumId w:val="17"/>
  </w:num>
  <w:num w:numId="16">
    <w:abstractNumId w:val="27"/>
  </w:num>
  <w:num w:numId="17">
    <w:abstractNumId w:val="29"/>
  </w:num>
  <w:num w:numId="18">
    <w:abstractNumId w:val="19"/>
  </w:num>
  <w:num w:numId="19">
    <w:abstractNumId w:val="25"/>
  </w:num>
  <w:num w:numId="20">
    <w:abstractNumId w:val="0"/>
  </w:num>
  <w:num w:numId="21">
    <w:abstractNumId w:val="20"/>
  </w:num>
  <w:num w:numId="22">
    <w:abstractNumId w:val="32"/>
  </w:num>
  <w:num w:numId="23">
    <w:abstractNumId w:val="16"/>
  </w:num>
  <w:num w:numId="24">
    <w:abstractNumId w:val="18"/>
  </w:num>
  <w:num w:numId="25">
    <w:abstractNumId w:val="9"/>
  </w:num>
  <w:num w:numId="26">
    <w:abstractNumId w:val="28"/>
  </w:num>
  <w:num w:numId="27">
    <w:abstractNumId w:val="5"/>
  </w:num>
  <w:num w:numId="28">
    <w:abstractNumId w:val="15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7"/>
  </w:num>
  <w:num w:numId="32">
    <w:abstractNumId w:val="30"/>
  </w:num>
  <w:num w:numId="33">
    <w:abstractNumId w:val="1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90"/>
    <w:rsid w:val="00001C9C"/>
    <w:rsid w:val="00002747"/>
    <w:rsid w:val="00007DEF"/>
    <w:rsid w:val="00010C4C"/>
    <w:rsid w:val="00012A47"/>
    <w:rsid w:val="00016AC3"/>
    <w:rsid w:val="000211E2"/>
    <w:rsid w:val="00021CCB"/>
    <w:rsid w:val="000236E4"/>
    <w:rsid w:val="000272B7"/>
    <w:rsid w:val="00044845"/>
    <w:rsid w:val="00045FDB"/>
    <w:rsid w:val="00046E4D"/>
    <w:rsid w:val="000514D1"/>
    <w:rsid w:val="000528DE"/>
    <w:rsid w:val="00054224"/>
    <w:rsid w:val="000577E1"/>
    <w:rsid w:val="0006376C"/>
    <w:rsid w:val="00064C46"/>
    <w:rsid w:val="0007034C"/>
    <w:rsid w:val="000712D3"/>
    <w:rsid w:val="00072B82"/>
    <w:rsid w:val="00076823"/>
    <w:rsid w:val="00077550"/>
    <w:rsid w:val="00080FD9"/>
    <w:rsid w:val="00085151"/>
    <w:rsid w:val="00086221"/>
    <w:rsid w:val="0009474A"/>
    <w:rsid w:val="00094868"/>
    <w:rsid w:val="000A573D"/>
    <w:rsid w:val="000A68C1"/>
    <w:rsid w:val="000A6BB4"/>
    <w:rsid w:val="000B2DE7"/>
    <w:rsid w:val="000B5076"/>
    <w:rsid w:val="000B50DA"/>
    <w:rsid w:val="000B6027"/>
    <w:rsid w:val="000C4E05"/>
    <w:rsid w:val="000D1DDA"/>
    <w:rsid w:val="000D3DBD"/>
    <w:rsid w:val="000D4486"/>
    <w:rsid w:val="000E081E"/>
    <w:rsid w:val="001003E4"/>
    <w:rsid w:val="001016FA"/>
    <w:rsid w:val="00106214"/>
    <w:rsid w:val="0010676E"/>
    <w:rsid w:val="00110938"/>
    <w:rsid w:val="00111A64"/>
    <w:rsid w:val="00116727"/>
    <w:rsid w:val="00121557"/>
    <w:rsid w:val="00127B98"/>
    <w:rsid w:val="0013314A"/>
    <w:rsid w:val="0013342A"/>
    <w:rsid w:val="00142E85"/>
    <w:rsid w:val="00145562"/>
    <w:rsid w:val="00150C39"/>
    <w:rsid w:val="0015334C"/>
    <w:rsid w:val="001544BF"/>
    <w:rsid w:val="0016087F"/>
    <w:rsid w:val="0016320E"/>
    <w:rsid w:val="00167DC9"/>
    <w:rsid w:val="00194CDA"/>
    <w:rsid w:val="001A0D3B"/>
    <w:rsid w:val="001B3E54"/>
    <w:rsid w:val="001B464D"/>
    <w:rsid w:val="001B5696"/>
    <w:rsid w:val="001B71D3"/>
    <w:rsid w:val="001C09F5"/>
    <w:rsid w:val="001C178F"/>
    <w:rsid w:val="001D627E"/>
    <w:rsid w:val="001F4598"/>
    <w:rsid w:val="002027BF"/>
    <w:rsid w:val="00203884"/>
    <w:rsid w:val="00207345"/>
    <w:rsid w:val="00210689"/>
    <w:rsid w:val="0021162B"/>
    <w:rsid w:val="00211ADA"/>
    <w:rsid w:val="00231904"/>
    <w:rsid w:val="0023200C"/>
    <w:rsid w:val="00232EF6"/>
    <w:rsid w:val="00235A48"/>
    <w:rsid w:val="00235F26"/>
    <w:rsid w:val="002364FF"/>
    <w:rsid w:val="002402BF"/>
    <w:rsid w:val="00246B28"/>
    <w:rsid w:val="00246F35"/>
    <w:rsid w:val="00252014"/>
    <w:rsid w:val="00252DFE"/>
    <w:rsid w:val="00263942"/>
    <w:rsid w:val="002649BA"/>
    <w:rsid w:val="002652A9"/>
    <w:rsid w:val="00270AA3"/>
    <w:rsid w:val="00270B04"/>
    <w:rsid w:val="00270D3D"/>
    <w:rsid w:val="002751A3"/>
    <w:rsid w:val="0028656D"/>
    <w:rsid w:val="00290A4D"/>
    <w:rsid w:val="002B3595"/>
    <w:rsid w:val="002B4246"/>
    <w:rsid w:val="002C5C8B"/>
    <w:rsid w:val="002D006B"/>
    <w:rsid w:val="002D1B2E"/>
    <w:rsid w:val="002D33CC"/>
    <w:rsid w:val="002D5310"/>
    <w:rsid w:val="002E6C19"/>
    <w:rsid w:val="002F686D"/>
    <w:rsid w:val="002F76FE"/>
    <w:rsid w:val="0030559D"/>
    <w:rsid w:val="003056FF"/>
    <w:rsid w:val="0030711B"/>
    <w:rsid w:val="0032028C"/>
    <w:rsid w:val="00320F1F"/>
    <w:rsid w:val="00332F35"/>
    <w:rsid w:val="00366F81"/>
    <w:rsid w:val="003764CC"/>
    <w:rsid w:val="0037743D"/>
    <w:rsid w:val="003927F3"/>
    <w:rsid w:val="003A5AAE"/>
    <w:rsid w:val="003B0281"/>
    <w:rsid w:val="003B0E8A"/>
    <w:rsid w:val="003B25A3"/>
    <w:rsid w:val="003C0460"/>
    <w:rsid w:val="003C04F6"/>
    <w:rsid w:val="003C133A"/>
    <w:rsid w:val="003C1622"/>
    <w:rsid w:val="003C2F15"/>
    <w:rsid w:val="003C3855"/>
    <w:rsid w:val="003F0218"/>
    <w:rsid w:val="004073FC"/>
    <w:rsid w:val="004109C2"/>
    <w:rsid w:val="004136CB"/>
    <w:rsid w:val="00431792"/>
    <w:rsid w:val="004322D5"/>
    <w:rsid w:val="00441C21"/>
    <w:rsid w:val="00444497"/>
    <w:rsid w:val="0045022F"/>
    <w:rsid w:val="004536CE"/>
    <w:rsid w:val="0046474A"/>
    <w:rsid w:val="004668B4"/>
    <w:rsid w:val="00471C29"/>
    <w:rsid w:val="004721DE"/>
    <w:rsid w:val="00476416"/>
    <w:rsid w:val="0048403C"/>
    <w:rsid w:val="00484CEF"/>
    <w:rsid w:val="00486ED2"/>
    <w:rsid w:val="00491C20"/>
    <w:rsid w:val="004B21AC"/>
    <w:rsid w:val="004E1C6C"/>
    <w:rsid w:val="004E34EF"/>
    <w:rsid w:val="00516C12"/>
    <w:rsid w:val="0052089F"/>
    <w:rsid w:val="00520D5A"/>
    <w:rsid w:val="005212BD"/>
    <w:rsid w:val="005251C9"/>
    <w:rsid w:val="00526113"/>
    <w:rsid w:val="00531046"/>
    <w:rsid w:val="00543023"/>
    <w:rsid w:val="0054468C"/>
    <w:rsid w:val="00545725"/>
    <w:rsid w:val="005461CD"/>
    <w:rsid w:val="0055100B"/>
    <w:rsid w:val="00554E12"/>
    <w:rsid w:val="00557EBA"/>
    <w:rsid w:val="00564741"/>
    <w:rsid w:val="0056796A"/>
    <w:rsid w:val="00570420"/>
    <w:rsid w:val="00574B9F"/>
    <w:rsid w:val="00580550"/>
    <w:rsid w:val="00584F38"/>
    <w:rsid w:val="0058772D"/>
    <w:rsid w:val="00590CE2"/>
    <w:rsid w:val="00590D63"/>
    <w:rsid w:val="00591603"/>
    <w:rsid w:val="005B1B10"/>
    <w:rsid w:val="005B4C3C"/>
    <w:rsid w:val="005C45B6"/>
    <w:rsid w:val="005D5974"/>
    <w:rsid w:val="005D7CC7"/>
    <w:rsid w:val="005E3752"/>
    <w:rsid w:val="005F4A14"/>
    <w:rsid w:val="005F6B2C"/>
    <w:rsid w:val="00601B16"/>
    <w:rsid w:val="00604514"/>
    <w:rsid w:val="00607F40"/>
    <w:rsid w:val="00614ABF"/>
    <w:rsid w:val="00615750"/>
    <w:rsid w:val="0061705A"/>
    <w:rsid w:val="006206FD"/>
    <w:rsid w:val="00626A21"/>
    <w:rsid w:val="00630DC8"/>
    <w:rsid w:val="006409F5"/>
    <w:rsid w:val="0064419C"/>
    <w:rsid w:val="0064580B"/>
    <w:rsid w:val="006535FF"/>
    <w:rsid w:val="00663070"/>
    <w:rsid w:val="006668F3"/>
    <w:rsid w:val="00667F51"/>
    <w:rsid w:val="00680141"/>
    <w:rsid w:val="00680790"/>
    <w:rsid w:val="006916E5"/>
    <w:rsid w:val="0069268D"/>
    <w:rsid w:val="0069328F"/>
    <w:rsid w:val="006A24B2"/>
    <w:rsid w:val="006A5E7C"/>
    <w:rsid w:val="006B0A8D"/>
    <w:rsid w:val="006B647E"/>
    <w:rsid w:val="006C3522"/>
    <w:rsid w:val="006D492E"/>
    <w:rsid w:val="006D586E"/>
    <w:rsid w:val="006E4995"/>
    <w:rsid w:val="006F082D"/>
    <w:rsid w:val="006F28EB"/>
    <w:rsid w:val="006F2E68"/>
    <w:rsid w:val="006F4329"/>
    <w:rsid w:val="006F5600"/>
    <w:rsid w:val="006F592D"/>
    <w:rsid w:val="006F6722"/>
    <w:rsid w:val="006F7F75"/>
    <w:rsid w:val="00710696"/>
    <w:rsid w:val="0071398C"/>
    <w:rsid w:val="00715539"/>
    <w:rsid w:val="00722D1F"/>
    <w:rsid w:val="00725573"/>
    <w:rsid w:val="00730DD2"/>
    <w:rsid w:val="007406D9"/>
    <w:rsid w:val="007452F7"/>
    <w:rsid w:val="00746641"/>
    <w:rsid w:val="0075333E"/>
    <w:rsid w:val="00760956"/>
    <w:rsid w:val="0076279E"/>
    <w:rsid w:val="0076288A"/>
    <w:rsid w:val="00763D8F"/>
    <w:rsid w:val="007738A5"/>
    <w:rsid w:val="0077688B"/>
    <w:rsid w:val="00776C0F"/>
    <w:rsid w:val="007818D2"/>
    <w:rsid w:val="00782189"/>
    <w:rsid w:val="0078226F"/>
    <w:rsid w:val="00782F2C"/>
    <w:rsid w:val="00792250"/>
    <w:rsid w:val="007A5D4F"/>
    <w:rsid w:val="007A6888"/>
    <w:rsid w:val="007C06E9"/>
    <w:rsid w:val="007C19D0"/>
    <w:rsid w:val="007E1992"/>
    <w:rsid w:val="007F06C0"/>
    <w:rsid w:val="007F185E"/>
    <w:rsid w:val="0080248E"/>
    <w:rsid w:val="008045D4"/>
    <w:rsid w:val="00804993"/>
    <w:rsid w:val="008052E6"/>
    <w:rsid w:val="008134FA"/>
    <w:rsid w:val="00821EB6"/>
    <w:rsid w:val="00833D9C"/>
    <w:rsid w:val="00841522"/>
    <w:rsid w:val="008438F1"/>
    <w:rsid w:val="00852E16"/>
    <w:rsid w:val="00857339"/>
    <w:rsid w:val="008634B5"/>
    <w:rsid w:val="008710D1"/>
    <w:rsid w:val="008712A9"/>
    <w:rsid w:val="008742F2"/>
    <w:rsid w:val="008762C2"/>
    <w:rsid w:val="00877967"/>
    <w:rsid w:val="00880BD4"/>
    <w:rsid w:val="008849C2"/>
    <w:rsid w:val="008B4846"/>
    <w:rsid w:val="008B4BF6"/>
    <w:rsid w:val="008B5A00"/>
    <w:rsid w:val="008B6320"/>
    <w:rsid w:val="008C2D47"/>
    <w:rsid w:val="008C7D61"/>
    <w:rsid w:val="008D1413"/>
    <w:rsid w:val="008D67E5"/>
    <w:rsid w:val="008E4C99"/>
    <w:rsid w:val="008E4D3B"/>
    <w:rsid w:val="009041B4"/>
    <w:rsid w:val="00906B1C"/>
    <w:rsid w:val="00911C67"/>
    <w:rsid w:val="009224BD"/>
    <w:rsid w:val="009301ED"/>
    <w:rsid w:val="00932D14"/>
    <w:rsid w:val="00933CF1"/>
    <w:rsid w:val="00937F38"/>
    <w:rsid w:val="009414CF"/>
    <w:rsid w:val="00945A13"/>
    <w:rsid w:val="009518E0"/>
    <w:rsid w:val="0095489C"/>
    <w:rsid w:val="00961890"/>
    <w:rsid w:val="00964020"/>
    <w:rsid w:val="0096534D"/>
    <w:rsid w:val="00965BAD"/>
    <w:rsid w:val="00973DD5"/>
    <w:rsid w:val="00991573"/>
    <w:rsid w:val="00991B32"/>
    <w:rsid w:val="00992316"/>
    <w:rsid w:val="009945A5"/>
    <w:rsid w:val="00996668"/>
    <w:rsid w:val="009A2E63"/>
    <w:rsid w:val="009B0680"/>
    <w:rsid w:val="009B1048"/>
    <w:rsid w:val="009B4A06"/>
    <w:rsid w:val="009B72D1"/>
    <w:rsid w:val="009C069C"/>
    <w:rsid w:val="009C4002"/>
    <w:rsid w:val="009C646F"/>
    <w:rsid w:val="009D1321"/>
    <w:rsid w:val="009D20C6"/>
    <w:rsid w:val="009D4C02"/>
    <w:rsid w:val="009E3025"/>
    <w:rsid w:val="009E5556"/>
    <w:rsid w:val="009F02F8"/>
    <w:rsid w:val="009F1CBC"/>
    <w:rsid w:val="009F42F9"/>
    <w:rsid w:val="009F59C4"/>
    <w:rsid w:val="00A20757"/>
    <w:rsid w:val="00A375DA"/>
    <w:rsid w:val="00A43F98"/>
    <w:rsid w:val="00A44FF4"/>
    <w:rsid w:val="00A45FCB"/>
    <w:rsid w:val="00A65F9D"/>
    <w:rsid w:val="00A727E2"/>
    <w:rsid w:val="00A74191"/>
    <w:rsid w:val="00A8137B"/>
    <w:rsid w:val="00A9587D"/>
    <w:rsid w:val="00AA6FD5"/>
    <w:rsid w:val="00AB20FB"/>
    <w:rsid w:val="00AC05E1"/>
    <w:rsid w:val="00AE2466"/>
    <w:rsid w:val="00B025A7"/>
    <w:rsid w:val="00B20127"/>
    <w:rsid w:val="00B301AF"/>
    <w:rsid w:val="00B34AB6"/>
    <w:rsid w:val="00B34C02"/>
    <w:rsid w:val="00B37D59"/>
    <w:rsid w:val="00B40641"/>
    <w:rsid w:val="00B43898"/>
    <w:rsid w:val="00B47928"/>
    <w:rsid w:val="00B6384B"/>
    <w:rsid w:val="00B644EA"/>
    <w:rsid w:val="00B659E7"/>
    <w:rsid w:val="00B71F97"/>
    <w:rsid w:val="00B72BEB"/>
    <w:rsid w:val="00B77623"/>
    <w:rsid w:val="00B8166E"/>
    <w:rsid w:val="00B84DED"/>
    <w:rsid w:val="00B861BA"/>
    <w:rsid w:val="00B9278D"/>
    <w:rsid w:val="00BA0453"/>
    <w:rsid w:val="00BA2A38"/>
    <w:rsid w:val="00BA737A"/>
    <w:rsid w:val="00BB013A"/>
    <w:rsid w:val="00BB2D79"/>
    <w:rsid w:val="00BC30BA"/>
    <w:rsid w:val="00BC4CD2"/>
    <w:rsid w:val="00BC5B13"/>
    <w:rsid w:val="00BD7B7F"/>
    <w:rsid w:val="00BF4740"/>
    <w:rsid w:val="00C00EC5"/>
    <w:rsid w:val="00C02BA4"/>
    <w:rsid w:val="00C07618"/>
    <w:rsid w:val="00C10619"/>
    <w:rsid w:val="00C11CAC"/>
    <w:rsid w:val="00C14F76"/>
    <w:rsid w:val="00C21D5D"/>
    <w:rsid w:val="00C2410B"/>
    <w:rsid w:val="00C24488"/>
    <w:rsid w:val="00C316AA"/>
    <w:rsid w:val="00C34E36"/>
    <w:rsid w:val="00C36D6A"/>
    <w:rsid w:val="00C41042"/>
    <w:rsid w:val="00C419A5"/>
    <w:rsid w:val="00C42F2A"/>
    <w:rsid w:val="00C440FA"/>
    <w:rsid w:val="00C46702"/>
    <w:rsid w:val="00C502D4"/>
    <w:rsid w:val="00C52AED"/>
    <w:rsid w:val="00C568C7"/>
    <w:rsid w:val="00C57676"/>
    <w:rsid w:val="00C70A40"/>
    <w:rsid w:val="00C77D2C"/>
    <w:rsid w:val="00C8039C"/>
    <w:rsid w:val="00C830EE"/>
    <w:rsid w:val="00C952BD"/>
    <w:rsid w:val="00C95BB0"/>
    <w:rsid w:val="00CA1D12"/>
    <w:rsid w:val="00CB4442"/>
    <w:rsid w:val="00CB4C7C"/>
    <w:rsid w:val="00CC11B4"/>
    <w:rsid w:val="00CC6A3C"/>
    <w:rsid w:val="00CD34E5"/>
    <w:rsid w:val="00CD76AA"/>
    <w:rsid w:val="00CE204F"/>
    <w:rsid w:val="00CE2923"/>
    <w:rsid w:val="00CE6D47"/>
    <w:rsid w:val="00CE7944"/>
    <w:rsid w:val="00CF3E2C"/>
    <w:rsid w:val="00CF6755"/>
    <w:rsid w:val="00CF6B68"/>
    <w:rsid w:val="00D02E22"/>
    <w:rsid w:val="00D10FE1"/>
    <w:rsid w:val="00D12170"/>
    <w:rsid w:val="00D153C2"/>
    <w:rsid w:val="00D17E6D"/>
    <w:rsid w:val="00D267A8"/>
    <w:rsid w:val="00D3352F"/>
    <w:rsid w:val="00D369FC"/>
    <w:rsid w:val="00D41288"/>
    <w:rsid w:val="00D43ED0"/>
    <w:rsid w:val="00D44DBA"/>
    <w:rsid w:val="00D5279C"/>
    <w:rsid w:val="00D642CE"/>
    <w:rsid w:val="00D72735"/>
    <w:rsid w:val="00D74CD8"/>
    <w:rsid w:val="00D7546A"/>
    <w:rsid w:val="00D856D2"/>
    <w:rsid w:val="00D911F5"/>
    <w:rsid w:val="00D95E84"/>
    <w:rsid w:val="00DA1E56"/>
    <w:rsid w:val="00DA4917"/>
    <w:rsid w:val="00DB637B"/>
    <w:rsid w:val="00DC14E5"/>
    <w:rsid w:val="00DC1E14"/>
    <w:rsid w:val="00DC6530"/>
    <w:rsid w:val="00DD1FE3"/>
    <w:rsid w:val="00DD4362"/>
    <w:rsid w:val="00DD7C82"/>
    <w:rsid w:val="00DE7589"/>
    <w:rsid w:val="00DE79BD"/>
    <w:rsid w:val="00DF109E"/>
    <w:rsid w:val="00DF582C"/>
    <w:rsid w:val="00DF6937"/>
    <w:rsid w:val="00E0195B"/>
    <w:rsid w:val="00E01CE2"/>
    <w:rsid w:val="00E109B2"/>
    <w:rsid w:val="00E241F1"/>
    <w:rsid w:val="00E264E2"/>
    <w:rsid w:val="00E3301B"/>
    <w:rsid w:val="00E43E12"/>
    <w:rsid w:val="00E45AE7"/>
    <w:rsid w:val="00E47DB1"/>
    <w:rsid w:val="00E47EA4"/>
    <w:rsid w:val="00E510E1"/>
    <w:rsid w:val="00E57775"/>
    <w:rsid w:val="00E71150"/>
    <w:rsid w:val="00E75BC7"/>
    <w:rsid w:val="00E76E47"/>
    <w:rsid w:val="00E904FF"/>
    <w:rsid w:val="00E97FFA"/>
    <w:rsid w:val="00EA3746"/>
    <w:rsid w:val="00EA7794"/>
    <w:rsid w:val="00EB0D59"/>
    <w:rsid w:val="00EB2F31"/>
    <w:rsid w:val="00EB67C3"/>
    <w:rsid w:val="00EC153E"/>
    <w:rsid w:val="00EC1C15"/>
    <w:rsid w:val="00ED5D82"/>
    <w:rsid w:val="00EE579D"/>
    <w:rsid w:val="00EF643B"/>
    <w:rsid w:val="00F00721"/>
    <w:rsid w:val="00F04229"/>
    <w:rsid w:val="00F21030"/>
    <w:rsid w:val="00F21452"/>
    <w:rsid w:val="00F34025"/>
    <w:rsid w:val="00F353E3"/>
    <w:rsid w:val="00F43267"/>
    <w:rsid w:val="00F4393D"/>
    <w:rsid w:val="00F469CA"/>
    <w:rsid w:val="00F503BC"/>
    <w:rsid w:val="00F53B84"/>
    <w:rsid w:val="00F55D67"/>
    <w:rsid w:val="00F60D7D"/>
    <w:rsid w:val="00F62A30"/>
    <w:rsid w:val="00F7078C"/>
    <w:rsid w:val="00F70EDB"/>
    <w:rsid w:val="00F75D22"/>
    <w:rsid w:val="00F771BF"/>
    <w:rsid w:val="00F83AC2"/>
    <w:rsid w:val="00F83C4B"/>
    <w:rsid w:val="00F84E60"/>
    <w:rsid w:val="00F92592"/>
    <w:rsid w:val="00F94B7A"/>
    <w:rsid w:val="00FA054E"/>
    <w:rsid w:val="00FA44DB"/>
    <w:rsid w:val="00FB20DD"/>
    <w:rsid w:val="00FB43A0"/>
    <w:rsid w:val="00FB4C14"/>
    <w:rsid w:val="00FB5A3C"/>
    <w:rsid w:val="00FC2FE9"/>
    <w:rsid w:val="00FE5199"/>
    <w:rsid w:val="00FE6249"/>
    <w:rsid w:val="00FE7955"/>
    <w:rsid w:val="00FF41B6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40" w:line="240" w:lineRule="exact"/>
    </w:pPr>
    <w:rPr>
      <w:rFonts w:ascii="Arial" w:hAnsi="Arial"/>
      <w:sz w:val="1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025"/>
    <w:pPr>
      <w:keepNext/>
      <w:spacing w:after="0" w:line="240" w:lineRule="auto"/>
      <w:outlineLvl w:val="0"/>
    </w:pPr>
    <w:rPr>
      <w:rFonts w:cs="Arial"/>
      <w:b/>
      <w:bCs/>
      <w:sz w:val="22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9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2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tabs>
        <w:tab w:val="center" w:pos="4320"/>
        <w:tab w:val="right" w:pos="8640"/>
      </w:tabs>
    </w:pPr>
    <w:rPr>
      <w:rFonts w:ascii="Arial" w:hAnsi="Arial"/>
      <w:color w:val="808080"/>
      <w:sz w:val="13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v1c">
    <w:name w:val="v1c"/>
    <w:semiHidden/>
    <w:rsid w:val="00E63F35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customStyle="1" w:styleId="A4-Intro">
    <w:name w:val="A4-Intro"/>
    <w:basedOn w:val="Normal"/>
    <w:uiPriority w:val="99"/>
    <w:rsid w:val="000A68C1"/>
    <w:pPr>
      <w:widowControl w:val="0"/>
      <w:suppressAutoHyphens/>
      <w:autoSpaceDE w:val="0"/>
      <w:autoSpaceDN w:val="0"/>
      <w:adjustRightInd w:val="0"/>
      <w:spacing w:after="794" w:line="280" w:lineRule="atLeast"/>
      <w:textAlignment w:val="center"/>
    </w:pPr>
    <w:rPr>
      <w:rFonts w:ascii="UniversLT-Light" w:hAnsi="UniversLT-Light" w:cs="UniversLT-Light"/>
      <w:color w:val="3F595B"/>
      <w:sz w:val="21"/>
      <w:szCs w:val="21"/>
      <w:lang w:val="en-GB"/>
    </w:rPr>
  </w:style>
  <w:style w:type="character" w:customStyle="1" w:styleId="A5-Roman">
    <w:name w:val="A5-Roman"/>
    <w:uiPriority w:val="99"/>
    <w:rsid w:val="000A68C1"/>
    <w:rPr>
      <w:rFonts w:ascii="UniversLT" w:hAnsi="UniversLT" w:cs="Univers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9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10C4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B6320"/>
    <w:pPr>
      <w:spacing w:after="200" w:line="240" w:lineRule="auto"/>
    </w:pPr>
    <w:rPr>
      <w:rFonts w:asciiTheme="minorHAnsi" w:eastAsiaTheme="minorHAnsi" w:hAnsiTheme="minorHAnsi" w:cstheme="minorBidi"/>
      <w:sz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32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6320"/>
    <w:rPr>
      <w:sz w:val="16"/>
      <w:szCs w:val="16"/>
    </w:rPr>
  </w:style>
  <w:style w:type="table" w:styleId="TableGrid">
    <w:name w:val="Table Grid"/>
    <w:basedOn w:val="TableNormal"/>
    <w:uiPriority w:val="59"/>
    <w:rsid w:val="008B63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E97FFA"/>
    <w:rPr>
      <w:rFonts w:ascii="Arial" w:hAnsi="Arial"/>
      <w:sz w:val="18"/>
      <w:lang w:val="en-US" w:eastAsia="en-US"/>
    </w:rPr>
  </w:style>
  <w:style w:type="paragraph" w:styleId="NormalWeb">
    <w:name w:val="Normal (Web)"/>
    <w:basedOn w:val="Normal"/>
    <w:uiPriority w:val="99"/>
    <w:rsid w:val="00871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8710D1"/>
    <w:pPr>
      <w:spacing w:after="0" w:line="240" w:lineRule="auto"/>
    </w:pPr>
    <w:rPr>
      <w:rFonts w:ascii="Consolas" w:eastAsiaTheme="minorHAnsi" w:hAnsi="Consolas" w:cs="Consolas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710D1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Pa4">
    <w:name w:val="Pa4"/>
    <w:basedOn w:val="Normal"/>
    <w:next w:val="Normal"/>
    <w:uiPriority w:val="99"/>
    <w:rsid w:val="00D5279C"/>
    <w:pPr>
      <w:autoSpaceDE w:val="0"/>
      <w:autoSpaceDN w:val="0"/>
      <w:adjustRightInd w:val="0"/>
      <w:spacing w:after="0" w:line="201" w:lineRule="atLeast"/>
    </w:pPr>
    <w:rPr>
      <w:rFonts w:ascii="Frutiger" w:hAnsi="Frutiger"/>
      <w:sz w:val="24"/>
      <w:szCs w:val="24"/>
      <w:lang w:val="en-AU" w:eastAsia="en-AU"/>
    </w:rPr>
  </w:style>
  <w:style w:type="paragraph" w:customStyle="1" w:styleId="Default">
    <w:name w:val="Default"/>
    <w:rsid w:val="00F62A30"/>
    <w:pPr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9224BD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F771BF"/>
    <w:rPr>
      <w:rFonts w:cs="Frutiger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82F2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2F2C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782F2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3ED0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3ED0"/>
    <w:rPr>
      <w:rFonts w:ascii="Arial" w:hAnsi="Arial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43ED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D0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A6B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34025"/>
    <w:rPr>
      <w:rFonts w:ascii="Arial" w:hAnsi="Arial" w:cs="Arial"/>
      <w:b/>
      <w:bCs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F34025"/>
    <w:pPr>
      <w:spacing w:after="0" w:line="240" w:lineRule="auto"/>
      <w:ind w:left="720"/>
    </w:pPr>
    <w:rPr>
      <w:rFonts w:cs="Arial"/>
      <w:sz w:val="22"/>
      <w:szCs w:val="24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F34025"/>
    <w:rPr>
      <w:rFonts w:ascii="Arial" w:hAnsi="Arial" w:cs="Arial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2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659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59E7"/>
    <w:rPr>
      <w:rFonts w:ascii="Arial" w:hAnsi="Arial"/>
      <w:sz w:val="18"/>
      <w:lang w:val="en-US" w:eastAsia="en-US"/>
    </w:rPr>
  </w:style>
  <w:style w:type="character" w:customStyle="1" w:styleId="chardivno">
    <w:name w:val="chardivno"/>
    <w:basedOn w:val="DefaultParagraphFont"/>
    <w:rsid w:val="00077550"/>
  </w:style>
  <w:style w:type="character" w:customStyle="1" w:styleId="chardivtext">
    <w:name w:val="chardivtext"/>
    <w:basedOn w:val="DefaultParagraphFont"/>
    <w:rsid w:val="00077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40" w:line="240" w:lineRule="exact"/>
    </w:pPr>
    <w:rPr>
      <w:rFonts w:ascii="Arial" w:hAnsi="Arial"/>
      <w:sz w:val="1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025"/>
    <w:pPr>
      <w:keepNext/>
      <w:spacing w:after="0" w:line="240" w:lineRule="auto"/>
      <w:outlineLvl w:val="0"/>
    </w:pPr>
    <w:rPr>
      <w:rFonts w:cs="Arial"/>
      <w:b/>
      <w:bCs/>
      <w:sz w:val="22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9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2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tabs>
        <w:tab w:val="center" w:pos="4320"/>
        <w:tab w:val="right" w:pos="8640"/>
      </w:tabs>
    </w:pPr>
    <w:rPr>
      <w:rFonts w:ascii="Arial" w:hAnsi="Arial"/>
      <w:color w:val="808080"/>
      <w:sz w:val="13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v1c">
    <w:name w:val="v1c"/>
    <w:semiHidden/>
    <w:rsid w:val="00E63F35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customStyle="1" w:styleId="A4-Intro">
    <w:name w:val="A4-Intro"/>
    <w:basedOn w:val="Normal"/>
    <w:uiPriority w:val="99"/>
    <w:rsid w:val="000A68C1"/>
    <w:pPr>
      <w:widowControl w:val="0"/>
      <w:suppressAutoHyphens/>
      <w:autoSpaceDE w:val="0"/>
      <w:autoSpaceDN w:val="0"/>
      <w:adjustRightInd w:val="0"/>
      <w:spacing w:after="794" w:line="280" w:lineRule="atLeast"/>
      <w:textAlignment w:val="center"/>
    </w:pPr>
    <w:rPr>
      <w:rFonts w:ascii="UniversLT-Light" w:hAnsi="UniversLT-Light" w:cs="UniversLT-Light"/>
      <w:color w:val="3F595B"/>
      <w:sz w:val="21"/>
      <w:szCs w:val="21"/>
      <w:lang w:val="en-GB"/>
    </w:rPr>
  </w:style>
  <w:style w:type="character" w:customStyle="1" w:styleId="A5-Roman">
    <w:name w:val="A5-Roman"/>
    <w:uiPriority w:val="99"/>
    <w:rsid w:val="000A68C1"/>
    <w:rPr>
      <w:rFonts w:ascii="UniversLT" w:hAnsi="UniversLT" w:cs="Univers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9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10C4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B6320"/>
    <w:pPr>
      <w:spacing w:after="200" w:line="240" w:lineRule="auto"/>
    </w:pPr>
    <w:rPr>
      <w:rFonts w:asciiTheme="minorHAnsi" w:eastAsiaTheme="minorHAnsi" w:hAnsiTheme="minorHAnsi" w:cstheme="minorBidi"/>
      <w:sz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32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6320"/>
    <w:rPr>
      <w:sz w:val="16"/>
      <w:szCs w:val="16"/>
    </w:rPr>
  </w:style>
  <w:style w:type="table" w:styleId="TableGrid">
    <w:name w:val="Table Grid"/>
    <w:basedOn w:val="TableNormal"/>
    <w:uiPriority w:val="59"/>
    <w:rsid w:val="008B63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E97FFA"/>
    <w:rPr>
      <w:rFonts w:ascii="Arial" w:hAnsi="Arial"/>
      <w:sz w:val="18"/>
      <w:lang w:val="en-US" w:eastAsia="en-US"/>
    </w:rPr>
  </w:style>
  <w:style w:type="paragraph" w:styleId="NormalWeb">
    <w:name w:val="Normal (Web)"/>
    <w:basedOn w:val="Normal"/>
    <w:uiPriority w:val="99"/>
    <w:rsid w:val="00871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8710D1"/>
    <w:pPr>
      <w:spacing w:after="0" w:line="240" w:lineRule="auto"/>
    </w:pPr>
    <w:rPr>
      <w:rFonts w:ascii="Consolas" w:eastAsiaTheme="minorHAnsi" w:hAnsi="Consolas" w:cs="Consolas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710D1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Pa4">
    <w:name w:val="Pa4"/>
    <w:basedOn w:val="Normal"/>
    <w:next w:val="Normal"/>
    <w:uiPriority w:val="99"/>
    <w:rsid w:val="00D5279C"/>
    <w:pPr>
      <w:autoSpaceDE w:val="0"/>
      <w:autoSpaceDN w:val="0"/>
      <w:adjustRightInd w:val="0"/>
      <w:spacing w:after="0" w:line="201" w:lineRule="atLeast"/>
    </w:pPr>
    <w:rPr>
      <w:rFonts w:ascii="Frutiger" w:hAnsi="Frutiger"/>
      <w:sz w:val="24"/>
      <w:szCs w:val="24"/>
      <w:lang w:val="en-AU" w:eastAsia="en-AU"/>
    </w:rPr>
  </w:style>
  <w:style w:type="paragraph" w:customStyle="1" w:styleId="Default">
    <w:name w:val="Default"/>
    <w:rsid w:val="00F62A30"/>
    <w:pPr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9224BD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F771BF"/>
    <w:rPr>
      <w:rFonts w:cs="Frutiger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82F2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2F2C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782F2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3ED0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3ED0"/>
    <w:rPr>
      <w:rFonts w:ascii="Arial" w:hAnsi="Arial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43ED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D0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A6B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34025"/>
    <w:rPr>
      <w:rFonts w:ascii="Arial" w:hAnsi="Arial" w:cs="Arial"/>
      <w:b/>
      <w:bCs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F34025"/>
    <w:pPr>
      <w:spacing w:after="0" w:line="240" w:lineRule="auto"/>
      <w:ind w:left="720"/>
    </w:pPr>
    <w:rPr>
      <w:rFonts w:cs="Arial"/>
      <w:sz w:val="22"/>
      <w:szCs w:val="24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F34025"/>
    <w:rPr>
      <w:rFonts w:ascii="Arial" w:hAnsi="Arial" w:cs="Arial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2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659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59E7"/>
    <w:rPr>
      <w:rFonts w:ascii="Arial" w:hAnsi="Arial"/>
      <w:sz w:val="18"/>
      <w:lang w:val="en-US" w:eastAsia="en-US"/>
    </w:rPr>
  </w:style>
  <w:style w:type="character" w:customStyle="1" w:styleId="chardivno">
    <w:name w:val="chardivno"/>
    <w:basedOn w:val="DefaultParagraphFont"/>
    <w:rsid w:val="00077550"/>
  </w:style>
  <w:style w:type="character" w:customStyle="1" w:styleId="chardivtext">
    <w:name w:val="chardivtext"/>
    <w:basedOn w:val="DefaultParagraphFont"/>
    <w:rsid w:val="00077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105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95647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single" w:sz="6" w:space="8" w:color="FFFFFF"/>
                            <w:bottom w:val="single" w:sz="6" w:space="8" w:color="FFFFFF"/>
                            <w:right w:val="single" w:sz="6" w:space="8" w:color="FFFFFF"/>
                          </w:divBdr>
                          <w:divsChild>
                            <w:div w:id="53130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2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58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8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1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9058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5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06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23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851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3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595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89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47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91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73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6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77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ic.gov.au/regulatory-resources/superannuation-funds/superannuation-guidance-and-relief/fees-and-costs-disclosure/questions-and-answers-fees-and-costs-disclosure-superannuation-and-managed-investment-products/" TargetMode="External"/><Relationship Id="rId1" Type="http://schemas.openxmlformats.org/officeDocument/2006/relationships/hyperlink" Target="http://www.superannuation.asn.au/media/media-releases/2015/media-release-16-october-201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6540C88292F9BF4D820E6FE7B022D1B4" ma:contentTypeVersion="0" ma:contentTypeDescription="" ma:contentTypeScope="" ma:versionID="39533f3512768eb64506232e1a5f03a7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22f63d15f82780aba6c121dd434b4334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true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  <Value>138</Value>
    </TaxCatchAl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D0AD5-656C-4D33-8970-87E71242084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B456F73-4CD2-4166-AB3E-1A8BC2CFB06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BB312A6-064A-44CA-9829-5BE29F6F7F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EB6AA6-9E78-4D79-9FD5-173CE9D7A0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4C17FA-639E-452D-935A-BC1E5C166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7674E77-0C6C-499C-B616-1171A9E326B4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8044c801-d84b-4ee1-a77e-678f8dcdee17"/>
    <ds:schemaRef ds:uri="3f4bcce7-ac1a-4c9d-aa3e-7e77695652db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AE54940-751B-4044-87D6-437274CA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6503</Characters>
  <Application>Microsoft Office Word</Application>
  <DocSecurity>0</DocSecurity>
  <Lines>144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19 - Australian Super - Alternative Default Fund Models - Public inquiry</vt:lpstr>
    </vt:vector>
  </TitlesOfParts>
  <Company>Australian Super</Company>
  <LinksUpToDate>false</LinksUpToDate>
  <CharactersWithSpaces>7578</CharactersWithSpaces>
  <SharedDoc>false</SharedDoc>
  <HyperlinkBase/>
  <HLinks>
    <vt:vector size="6" baseType="variant">
      <vt:variant>
        <vt:i4>5177425</vt:i4>
      </vt:variant>
      <vt:variant>
        <vt:i4>-1</vt:i4>
      </vt:variant>
      <vt:variant>
        <vt:i4>2071</vt:i4>
      </vt:variant>
      <vt:variant>
        <vt:i4>1</vt:i4>
      </vt:variant>
      <vt:variant>
        <vt:lpwstr>LH_VIC_Sep11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19 - Australian Super - Alternative Default Fund Models - Public inquiry</dc:title>
  <dc:subject/>
  <dc:creator>Australian Super</dc:creator>
  <cp:keywords/>
  <dc:description/>
  <cp:lastModifiedBy>Productivity Commission</cp:lastModifiedBy>
  <cp:revision>3</cp:revision>
  <dcterms:created xsi:type="dcterms:W3CDTF">2016-10-14T01:41:00Z</dcterms:created>
  <dcterms:modified xsi:type="dcterms:W3CDTF">2016-10-30T21:10:00Z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0x0101007916246811615643A710C6FEAFF56A871105006540C88292F9BF4D820E6FE7B022D1B4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4487;#Submissions - Stage 2|df6c8b62-a0f6-48ca-9bad-05bd9d9348d3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