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77" w:rsidRPr="00E60477" w:rsidRDefault="00CE6542" w:rsidP="00E60477">
      <w:pPr>
        <w:rPr>
          <w:rFonts w:ascii="Verdana" w:hAnsi="Verdana"/>
        </w:rPr>
      </w:pPr>
      <w:bookmarkStart w:id="0" w:name="_GoBack"/>
      <w:bookmarkEnd w:id="0"/>
      <w:r>
        <w:rPr>
          <w:rFonts w:ascii="Verdana" w:hAnsi="Verdana"/>
        </w:rPr>
        <w:t>24</w:t>
      </w:r>
      <w:r w:rsidR="00E60477" w:rsidRPr="00E60477">
        <w:rPr>
          <w:rFonts w:ascii="Verdana" w:hAnsi="Verdana"/>
        </w:rPr>
        <w:t xml:space="preserve"> February 2017</w:t>
      </w:r>
    </w:p>
    <w:p w:rsidR="00E60477" w:rsidRPr="00E60477" w:rsidRDefault="00E60477" w:rsidP="00E60477">
      <w:pPr>
        <w:rPr>
          <w:rFonts w:ascii="Verdana" w:hAnsi="Verdana"/>
        </w:rPr>
      </w:pPr>
    </w:p>
    <w:p w:rsidR="00E60477" w:rsidRPr="00E60477" w:rsidRDefault="00E60477" w:rsidP="00E60477">
      <w:pPr>
        <w:spacing w:after="0"/>
        <w:rPr>
          <w:rFonts w:ascii="Verdana" w:hAnsi="Verdana"/>
        </w:rPr>
      </w:pPr>
      <w:r w:rsidRPr="00E60477">
        <w:rPr>
          <w:rFonts w:ascii="Verdana" w:hAnsi="Verdana"/>
        </w:rPr>
        <w:t>Productivity Commission</w:t>
      </w:r>
    </w:p>
    <w:p w:rsidR="00E60477" w:rsidRPr="00E60477" w:rsidRDefault="00E60477" w:rsidP="00E60477">
      <w:pPr>
        <w:spacing w:after="0"/>
        <w:rPr>
          <w:rFonts w:ascii="Verdana" w:hAnsi="Verdana"/>
        </w:rPr>
      </w:pPr>
      <w:r w:rsidRPr="00E60477">
        <w:rPr>
          <w:rFonts w:ascii="Verdana" w:hAnsi="Verdana"/>
        </w:rPr>
        <w:t xml:space="preserve">To the attention of Commissioner Paul Lindwall </w:t>
      </w:r>
    </w:p>
    <w:p w:rsidR="00E60477" w:rsidRPr="00E60477" w:rsidRDefault="00E60477" w:rsidP="00E60477">
      <w:pPr>
        <w:spacing w:after="0"/>
        <w:rPr>
          <w:rFonts w:ascii="Verdana" w:hAnsi="Verdana"/>
        </w:rPr>
      </w:pPr>
      <w:r w:rsidRPr="00E60477">
        <w:rPr>
          <w:rFonts w:ascii="Verdana" w:hAnsi="Verdana"/>
        </w:rPr>
        <w:t xml:space="preserve">via email: </w:t>
      </w:r>
      <w:hyperlink r:id="rId12" w:history="1">
        <w:r w:rsidRPr="00E60477">
          <w:rPr>
            <w:rStyle w:val="Hyperlink"/>
            <w:rFonts w:ascii="Verdana" w:hAnsi="Verdana"/>
          </w:rPr>
          <w:t>telecommunications@pc.gov.au</w:t>
        </w:r>
      </w:hyperlink>
    </w:p>
    <w:p w:rsidR="00B968B6" w:rsidRPr="00E60477" w:rsidRDefault="00D23793">
      <w:pPr>
        <w:rPr>
          <w:rFonts w:ascii="Verdana" w:hAnsi="Verdana"/>
        </w:rPr>
      </w:pPr>
    </w:p>
    <w:p w:rsidR="00E60477" w:rsidRDefault="00E60477">
      <w:pPr>
        <w:rPr>
          <w:rFonts w:ascii="Verdana" w:hAnsi="Verdana"/>
        </w:rPr>
      </w:pPr>
      <w:r w:rsidRPr="00E60477">
        <w:rPr>
          <w:rFonts w:ascii="Verdana" w:hAnsi="Verdana"/>
        </w:rPr>
        <w:t>Dear Mr. Lindwall,</w:t>
      </w:r>
    </w:p>
    <w:p w:rsidR="00706328" w:rsidRPr="00E60477" w:rsidRDefault="00706328">
      <w:pPr>
        <w:rPr>
          <w:rFonts w:ascii="Verdana" w:hAnsi="Verdana"/>
        </w:rPr>
      </w:pPr>
    </w:p>
    <w:p w:rsidR="00E60477" w:rsidRPr="00E60477" w:rsidRDefault="00E60477">
      <w:pPr>
        <w:rPr>
          <w:rFonts w:ascii="Verdana" w:hAnsi="Verdana"/>
          <w:b/>
        </w:rPr>
      </w:pPr>
      <w:r w:rsidRPr="00E60477">
        <w:rPr>
          <w:rFonts w:ascii="Verdana" w:hAnsi="Verdana"/>
          <w:b/>
        </w:rPr>
        <w:t>Re: Proposed discontinuation of the universal service obligation of landline telephones</w:t>
      </w:r>
      <w:r w:rsidR="00CE6542">
        <w:rPr>
          <w:rFonts w:ascii="Verdana" w:hAnsi="Verdana"/>
          <w:b/>
        </w:rPr>
        <w:t xml:space="preserve"> in Australia</w:t>
      </w:r>
    </w:p>
    <w:p w:rsidR="00706328" w:rsidRDefault="00706328">
      <w:pPr>
        <w:rPr>
          <w:rFonts w:ascii="Verdana" w:hAnsi="Verdana"/>
        </w:rPr>
      </w:pPr>
    </w:p>
    <w:p w:rsidR="00E60477" w:rsidRDefault="00706328">
      <w:pPr>
        <w:rPr>
          <w:rFonts w:ascii="Verdana" w:hAnsi="Verdana"/>
        </w:rPr>
      </w:pPr>
      <w:r>
        <w:rPr>
          <w:rFonts w:ascii="Verdana" w:hAnsi="Verdana"/>
        </w:rPr>
        <w:t>I hereby</w:t>
      </w:r>
      <w:r w:rsidR="00E60477" w:rsidRPr="00E60477">
        <w:rPr>
          <w:rFonts w:ascii="Verdana" w:hAnsi="Verdana"/>
        </w:rPr>
        <w:t xml:space="preserve"> make a submission against the proposed discontinuation of the universal telecommunications service obligation of landline telephones as per the recent draft report </w:t>
      </w:r>
      <w:r w:rsidR="00CE6542">
        <w:rPr>
          <w:rFonts w:ascii="Verdana" w:hAnsi="Verdana"/>
        </w:rPr>
        <w:t>by</w:t>
      </w:r>
      <w:r w:rsidR="00E60477" w:rsidRPr="00E60477">
        <w:rPr>
          <w:rFonts w:ascii="Verdana" w:hAnsi="Verdana"/>
        </w:rPr>
        <w:t xml:space="preserve"> the productivity commission. My </w:t>
      </w:r>
      <w:r w:rsidR="00C43E51">
        <w:rPr>
          <w:rFonts w:ascii="Verdana" w:hAnsi="Verdana"/>
        </w:rPr>
        <w:t>strongest objection to</w:t>
      </w:r>
      <w:r w:rsidR="00E60477" w:rsidRPr="00E60477">
        <w:rPr>
          <w:rFonts w:ascii="Verdana" w:hAnsi="Verdana"/>
        </w:rPr>
        <w:t xml:space="preserve"> this move, </w:t>
      </w:r>
      <w:r w:rsidR="00E60477">
        <w:rPr>
          <w:rFonts w:ascii="Verdana" w:hAnsi="Verdana"/>
        </w:rPr>
        <w:t xml:space="preserve">as an </w:t>
      </w:r>
      <w:r w:rsidR="00E60477" w:rsidRPr="00E60477">
        <w:rPr>
          <w:rFonts w:ascii="Verdana" w:hAnsi="Verdana"/>
        </w:rPr>
        <w:t xml:space="preserve">expert, is based on the adverse health effects suffered by thousands of Australians </w:t>
      </w:r>
      <w:r w:rsidR="00CE6542">
        <w:rPr>
          <w:rFonts w:ascii="Verdana" w:hAnsi="Verdana"/>
        </w:rPr>
        <w:t>from</w:t>
      </w:r>
      <w:r w:rsidR="00C43E51">
        <w:rPr>
          <w:rFonts w:ascii="Verdana" w:hAnsi="Verdana"/>
        </w:rPr>
        <w:t xml:space="preserve"> wireless communication systems that emit microwave/radiofrequency electromagnetic </w:t>
      </w:r>
      <w:r w:rsidR="00C43E51" w:rsidRPr="00C43E51">
        <w:rPr>
          <w:rFonts w:ascii="Verdana" w:hAnsi="Verdana"/>
        </w:rPr>
        <w:t>radiation</w:t>
      </w:r>
      <w:r w:rsidR="00C43E51">
        <w:rPr>
          <w:rFonts w:ascii="Verdana" w:hAnsi="Verdana"/>
        </w:rPr>
        <w:t xml:space="preserve"> (MW/RF-EMR) knowingly and also possibly </w:t>
      </w:r>
      <w:r w:rsidR="00CE6542">
        <w:rPr>
          <w:rFonts w:ascii="Verdana" w:hAnsi="Verdana"/>
        </w:rPr>
        <w:t xml:space="preserve">by </w:t>
      </w:r>
      <w:r w:rsidR="00C43E51">
        <w:rPr>
          <w:rFonts w:ascii="Verdana" w:hAnsi="Verdana"/>
        </w:rPr>
        <w:t>millions unknowingly. This type of radiation has already been classified as 2B possible carcinogen by the WHO’s International Agency for Research on Cancer (IARC)</w:t>
      </w:r>
      <w:r w:rsidR="00CE6542" w:rsidRPr="00CE6542">
        <w:rPr>
          <w:rFonts w:ascii="Verdana" w:hAnsi="Verdana"/>
          <w:vertAlign w:val="superscript"/>
        </w:rPr>
        <w:t>1</w:t>
      </w:r>
      <w:r w:rsidR="00C43E51">
        <w:rPr>
          <w:rFonts w:ascii="Verdana" w:hAnsi="Verdana"/>
        </w:rPr>
        <w:t xml:space="preserve">. </w:t>
      </w:r>
    </w:p>
    <w:p w:rsidR="00C37855" w:rsidRDefault="00C43E51">
      <w:pPr>
        <w:rPr>
          <w:rFonts w:ascii="Verdana" w:hAnsi="Verdana"/>
        </w:rPr>
      </w:pPr>
      <w:r>
        <w:rPr>
          <w:rFonts w:ascii="Verdana" w:hAnsi="Verdana"/>
        </w:rPr>
        <w:t>As a medical scientist (my bio attached) who has intensely studied biological and health effects of wireless radiation over the last five years (since I figured out that my own family’s health has been affected by wireless devices we used at home), I have grave concerns about the mental and physical health of the Australian population as this transition from wired to wireless happens without evaluation of the health impact. Our medical system is largely in the dark on this issue, similar to the ignorance that existed decades ag</w:t>
      </w:r>
      <w:r w:rsidR="00C37855">
        <w:rPr>
          <w:rFonts w:ascii="Verdana" w:hAnsi="Verdana"/>
        </w:rPr>
        <w:t>o about ionizing radiation (</w:t>
      </w:r>
      <w:r>
        <w:rPr>
          <w:rFonts w:ascii="Verdana" w:hAnsi="Verdana"/>
        </w:rPr>
        <w:t xml:space="preserve">they </w:t>
      </w:r>
      <w:r w:rsidR="00C37855">
        <w:rPr>
          <w:rFonts w:ascii="Verdana" w:hAnsi="Verdana"/>
        </w:rPr>
        <w:t xml:space="preserve">continued to use X-ray on pregnant women for three decades though a link had been found between X-ray and childhood cancer). Similar to tobacco and asbestos, the wireless industry has </w:t>
      </w:r>
      <w:r w:rsidR="00CE6542">
        <w:rPr>
          <w:rFonts w:ascii="Verdana" w:hAnsi="Verdana"/>
        </w:rPr>
        <w:t xml:space="preserve">also </w:t>
      </w:r>
      <w:r w:rsidR="00C37855">
        <w:rPr>
          <w:rFonts w:ascii="Verdana" w:hAnsi="Verdana"/>
        </w:rPr>
        <w:t>manipulated the scientific research</w:t>
      </w:r>
      <w:r w:rsidR="00CE6542" w:rsidRPr="00CE6542">
        <w:rPr>
          <w:rFonts w:ascii="Verdana" w:hAnsi="Verdana"/>
          <w:vertAlign w:val="superscript"/>
        </w:rPr>
        <w:t>2</w:t>
      </w:r>
      <w:r w:rsidR="008C7C31">
        <w:rPr>
          <w:rFonts w:ascii="Verdana" w:hAnsi="Verdana"/>
          <w:vertAlign w:val="superscript"/>
        </w:rPr>
        <w:t xml:space="preserve"> </w:t>
      </w:r>
      <w:r w:rsidR="00C37855">
        <w:rPr>
          <w:rFonts w:ascii="Verdana" w:hAnsi="Verdana"/>
        </w:rPr>
        <w:t xml:space="preserve">and influenced the WHO’s office that deals with EMR (International EMF Project) to </w:t>
      </w:r>
      <w:r w:rsidR="00B767D2">
        <w:rPr>
          <w:rFonts w:ascii="Verdana" w:hAnsi="Verdana"/>
        </w:rPr>
        <w:t xml:space="preserve">ignore the studies showing adverse </w:t>
      </w:r>
      <w:r w:rsidR="00C37855">
        <w:rPr>
          <w:rFonts w:ascii="Verdana" w:hAnsi="Verdana"/>
        </w:rPr>
        <w:t>health</w:t>
      </w:r>
      <w:r w:rsidR="00B767D2">
        <w:rPr>
          <w:rFonts w:ascii="Verdana" w:hAnsi="Verdana"/>
        </w:rPr>
        <w:t xml:space="preserve"> effects</w:t>
      </w:r>
      <w:r w:rsidR="00C37855">
        <w:rPr>
          <w:rFonts w:ascii="Verdana" w:hAnsi="Verdana"/>
        </w:rPr>
        <w:t xml:space="preserve">. Australia’s government agency in charge of radiation health (APANSA) has </w:t>
      </w:r>
      <w:r w:rsidR="00D46AB1">
        <w:rPr>
          <w:rFonts w:ascii="Verdana" w:hAnsi="Verdana"/>
        </w:rPr>
        <w:t xml:space="preserve">miserably </w:t>
      </w:r>
      <w:r w:rsidR="00C37855">
        <w:rPr>
          <w:rFonts w:ascii="Verdana" w:hAnsi="Verdana"/>
        </w:rPr>
        <w:t xml:space="preserve">failed to </w:t>
      </w:r>
      <w:r w:rsidR="00CE6542">
        <w:rPr>
          <w:rFonts w:ascii="Verdana" w:hAnsi="Verdana"/>
        </w:rPr>
        <w:t xml:space="preserve">overcome </w:t>
      </w:r>
      <w:r w:rsidR="00C37855">
        <w:rPr>
          <w:rFonts w:ascii="Verdana" w:hAnsi="Verdana"/>
        </w:rPr>
        <w:t xml:space="preserve">these problems and protect public health. ARPANSA </w:t>
      </w:r>
      <w:r w:rsidR="00B767D2">
        <w:rPr>
          <w:rFonts w:ascii="Verdana" w:hAnsi="Verdana"/>
        </w:rPr>
        <w:t>continued to follow the</w:t>
      </w:r>
      <w:r w:rsidR="00C37855">
        <w:rPr>
          <w:rFonts w:ascii="Verdana" w:hAnsi="Verdana"/>
        </w:rPr>
        <w:t xml:space="preserve"> obsolete public exposure standards based on a report (TRS 164 of 2014)</w:t>
      </w:r>
      <w:r w:rsidR="00CE6542" w:rsidRPr="00CE6542">
        <w:rPr>
          <w:rFonts w:ascii="Verdana" w:hAnsi="Verdana"/>
          <w:vertAlign w:val="superscript"/>
        </w:rPr>
        <w:t>3</w:t>
      </w:r>
      <w:r w:rsidR="00C37855" w:rsidRPr="00C37855">
        <w:rPr>
          <w:rFonts w:ascii="Verdana" w:hAnsi="Verdana"/>
        </w:rPr>
        <w:t xml:space="preserve"> </w:t>
      </w:r>
      <w:r w:rsidR="00CE6542">
        <w:rPr>
          <w:rFonts w:ascii="Verdana" w:hAnsi="Verdana"/>
        </w:rPr>
        <w:t>written</w:t>
      </w:r>
      <w:r w:rsidR="00C37855">
        <w:rPr>
          <w:rFonts w:ascii="Verdana" w:hAnsi="Verdana"/>
        </w:rPr>
        <w:t xml:space="preserve"> by four individuals – none with academic training/qualifications in medicine or biology. Their evaluation of health related data from the scientific literature is severely flawed and is risking public health. </w:t>
      </w:r>
    </w:p>
    <w:p w:rsidR="00E63E35" w:rsidRDefault="008C7C31">
      <w:pPr>
        <w:rPr>
          <w:rFonts w:ascii="Verdana" w:hAnsi="Verdana"/>
        </w:rPr>
      </w:pPr>
      <w:r>
        <w:rPr>
          <w:rFonts w:ascii="Verdana" w:hAnsi="Verdana"/>
        </w:rPr>
        <w:t xml:space="preserve">Electrohypersensitivity (EHS) is a </w:t>
      </w:r>
      <w:r w:rsidRPr="00B767D2">
        <w:rPr>
          <w:rFonts w:ascii="Verdana" w:hAnsi="Verdana"/>
          <w:i/>
        </w:rPr>
        <w:t>bona fide</w:t>
      </w:r>
      <w:r>
        <w:rPr>
          <w:rFonts w:ascii="Verdana" w:hAnsi="Verdana"/>
        </w:rPr>
        <w:t xml:space="preserve"> environmental illness caused by exposure to man-made EMR,</w:t>
      </w:r>
      <w:r w:rsidR="00CE6542">
        <w:rPr>
          <w:rFonts w:ascii="Verdana" w:hAnsi="Verdana"/>
        </w:rPr>
        <w:t xml:space="preserve"> most notably wireless MW/RF that has increased in our living environment </w:t>
      </w:r>
      <w:r w:rsidR="00B767D2">
        <w:rPr>
          <w:rFonts w:ascii="Verdana" w:hAnsi="Verdana"/>
        </w:rPr>
        <w:t>by more than a billion</w:t>
      </w:r>
      <w:r w:rsidR="00CE6542">
        <w:rPr>
          <w:rFonts w:ascii="Verdana" w:hAnsi="Verdana"/>
        </w:rPr>
        <w:t xml:space="preserve"> of fold over the last couple of decades</w:t>
      </w:r>
      <w:r>
        <w:rPr>
          <w:rFonts w:ascii="Verdana" w:hAnsi="Verdana"/>
        </w:rPr>
        <w:t>. Symptoms could range from head</w:t>
      </w:r>
      <w:r w:rsidR="00E63E35">
        <w:rPr>
          <w:rFonts w:ascii="Verdana" w:hAnsi="Verdana"/>
        </w:rPr>
        <w:t xml:space="preserve">aches to severe stress, anxiety, other behavioural changes, </w:t>
      </w:r>
      <w:r>
        <w:rPr>
          <w:rFonts w:ascii="Verdana" w:hAnsi="Verdana"/>
        </w:rPr>
        <w:t>and chronic fatigue</w:t>
      </w:r>
      <w:r w:rsidR="00E63E35">
        <w:rPr>
          <w:rFonts w:ascii="Verdana" w:hAnsi="Verdana"/>
        </w:rPr>
        <w:t>. A</w:t>
      </w:r>
      <w:r w:rsidR="00CE6542">
        <w:rPr>
          <w:rFonts w:ascii="Verdana" w:hAnsi="Verdana"/>
        </w:rPr>
        <w:t>symptomatic complications include chronic diseases such as cancer</w:t>
      </w:r>
      <w:r>
        <w:rPr>
          <w:rFonts w:ascii="Verdana" w:hAnsi="Verdana"/>
        </w:rPr>
        <w:t>.</w:t>
      </w:r>
      <w:r w:rsidR="0062387A">
        <w:rPr>
          <w:rFonts w:ascii="Verdana" w:hAnsi="Verdana"/>
        </w:rPr>
        <w:t xml:space="preserve"> </w:t>
      </w:r>
      <w:r w:rsidR="00B33FC9">
        <w:rPr>
          <w:rFonts w:ascii="Verdana" w:hAnsi="Verdana"/>
        </w:rPr>
        <w:t xml:space="preserve">I quote an extract from the 2016 statement </w:t>
      </w:r>
      <w:r w:rsidR="00B33FC9" w:rsidRPr="00E63E35">
        <w:rPr>
          <w:rFonts w:ascii="Verdana" w:hAnsi="Verdana"/>
          <w:b/>
        </w:rPr>
        <w:t>European Academy for Environmental Medicine (EUROPAEM)</w:t>
      </w:r>
      <w:r w:rsidR="00B33FC9">
        <w:rPr>
          <w:rFonts w:ascii="Verdana" w:hAnsi="Verdana"/>
        </w:rPr>
        <w:t xml:space="preserve">: </w:t>
      </w:r>
      <w:r w:rsidR="00B33FC9" w:rsidRPr="005E3E43">
        <w:rPr>
          <w:rFonts w:ascii="Verdana" w:hAnsi="Verdana"/>
          <w:i/>
          <w:sz w:val="24"/>
          <w:szCs w:val="24"/>
        </w:rPr>
        <w:t xml:space="preserve">“Studies, empirical observations, and patient reports clearly indicate interactions between EMF exposure and health problems. Individual susceptibility and environmental factors are frequently neglected. New wireless technologies and </w:t>
      </w:r>
      <w:r w:rsidR="00B33FC9" w:rsidRPr="005E3E43">
        <w:rPr>
          <w:rFonts w:ascii="Verdana" w:hAnsi="Verdana"/>
          <w:i/>
          <w:sz w:val="24"/>
          <w:szCs w:val="24"/>
        </w:rPr>
        <w:lastRenderedPageBreak/>
        <w:t>applications have been introduced without any certainty about their health effects, raising new challenges for medicine and society.</w:t>
      </w:r>
      <w:r w:rsidR="00B33FC9" w:rsidRPr="005E3E43">
        <w:rPr>
          <w:rFonts w:ascii="Verdana" w:hAnsi="Verdana"/>
          <w:sz w:val="24"/>
          <w:szCs w:val="24"/>
        </w:rPr>
        <w:t>”</w:t>
      </w:r>
      <w:r w:rsidR="00B33FC9" w:rsidRPr="00B33FC9">
        <w:rPr>
          <w:rFonts w:ascii="Verdana" w:hAnsi="Verdana"/>
          <w:vertAlign w:val="superscript"/>
        </w:rPr>
        <w:t>4</w:t>
      </w:r>
      <w:r w:rsidR="00B33FC9">
        <w:rPr>
          <w:rFonts w:ascii="Verdana" w:hAnsi="Verdana"/>
        </w:rPr>
        <w:t xml:space="preserve">. </w:t>
      </w:r>
      <w:r w:rsidR="0062387A">
        <w:rPr>
          <w:rFonts w:ascii="Verdana" w:hAnsi="Verdana"/>
        </w:rPr>
        <w:t>The economic negative impact caused by long-term exposure to wireless RF/MW EMR is so far unexamined and likely to be massive.</w:t>
      </w:r>
      <w:r>
        <w:rPr>
          <w:rFonts w:ascii="Verdana" w:hAnsi="Verdana"/>
        </w:rPr>
        <w:t xml:space="preserve"> I also attach a document I have prepared collating medical/scientific organisations that have already issued statements of concern/warning</w:t>
      </w:r>
      <w:r w:rsidR="00CE6542">
        <w:rPr>
          <w:rFonts w:ascii="Verdana" w:hAnsi="Verdana"/>
        </w:rPr>
        <w:t>s</w:t>
      </w:r>
      <w:r>
        <w:rPr>
          <w:rFonts w:ascii="Verdana" w:hAnsi="Verdana"/>
        </w:rPr>
        <w:t xml:space="preserve">.  I am aware of </w:t>
      </w:r>
      <w:r w:rsidR="00CE6542">
        <w:rPr>
          <w:rFonts w:ascii="Verdana" w:hAnsi="Verdana"/>
        </w:rPr>
        <w:t xml:space="preserve">a couple of </w:t>
      </w:r>
      <w:r>
        <w:rPr>
          <w:rFonts w:ascii="Verdana" w:hAnsi="Verdana"/>
        </w:rPr>
        <w:t xml:space="preserve">hundred Australians who have suffered from undesirable symptoms from their wireless devices. </w:t>
      </w:r>
      <w:r w:rsidR="00E63E35">
        <w:rPr>
          <w:rFonts w:ascii="Verdana" w:hAnsi="Verdana"/>
        </w:rPr>
        <w:t>A lot of them have become very sick and unproductive – depending on social welfare.</w:t>
      </w:r>
    </w:p>
    <w:p w:rsidR="008C7C31" w:rsidRDefault="008C7C31">
      <w:pPr>
        <w:rPr>
          <w:rFonts w:ascii="Verdana" w:hAnsi="Verdana"/>
        </w:rPr>
      </w:pPr>
      <w:r>
        <w:rPr>
          <w:rFonts w:ascii="Verdana" w:hAnsi="Verdana"/>
        </w:rPr>
        <w:t xml:space="preserve">Former long-serving Chief Medical Officer of Telstra, Dr. Bruce Hocking has in fact tested many who have complained of neurological symptoms (nerve pains) associated with mobile phone use. He has published these reports in peer-reviewed medical literature and also presented at a WHO conference. </w:t>
      </w:r>
      <w:r w:rsidR="00E63E35">
        <w:rPr>
          <w:rFonts w:ascii="Verdana" w:hAnsi="Verdana"/>
        </w:rPr>
        <w:t xml:space="preserve">I have included some </w:t>
      </w:r>
      <w:r w:rsidR="003506FE">
        <w:rPr>
          <w:rFonts w:ascii="Verdana" w:hAnsi="Verdana"/>
        </w:rPr>
        <w:t>reference</w:t>
      </w:r>
      <w:r w:rsidR="00E63E35">
        <w:rPr>
          <w:rFonts w:ascii="Verdana" w:hAnsi="Verdana"/>
        </w:rPr>
        <w:t xml:space="preserve"> related to EHS</w:t>
      </w:r>
      <w:r w:rsidR="003506FE">
        <w:rPr>
          <w:rFonts w:ascii="Verdana" w:hAnsi="Verdana"/>
        </w:rPr>
        <w:t xml:space="preserve"> at the end of this letter.</w:t>
      </w:r>
      <w:r w:rsidR="0062540B">
        <w:rPr>
          <w:rFonts w:ascii="Verdana" w:hAnsi="Verdana"/>
        </w:rPr>
        <w:t xml:space="preserve"> I have</w:t>
      </w:r>
      <w:r w:rsidR="00E63E35">
        <w:rPr>
          <w:rFonts w:ascii="Verdana" w:hAnsi="Verdana"/>
        </w:rPr>
        <w:t xml:space="preserve"> also attached a review on wireless health implications </w:t>
      </w:r>
      <w:r w:rsidR="0062540B">
        <w:rPr>
          <w:rFonts w:ascii="Verdana" w:hAnsi="Verdana"/>
        </w:rPr>
        <w:t>published by myself in the Journal of the Australasian College of Nutritional &amp; Environmental Medicine (ACNEM).</w:t>
      </w:r>
    </w:p>
    <w:p w:rsidR="008C7C31" w:rsidRDefault="008C7C31">
      <w:pPr>
        <w:rPr>
          <w:rFonts w:ascii="Verdana" w:hAnsi="Verdana"/>
        </w:rPr>
      </w:pPr>
      <w:r w:rsidRPr="00E63E35">
        <w:rPr>
          <w:rFonts w:ascii="Verdana" w:hAnsi="Verdana"/>
          <w:u w:val="single"/>
        </w:rPr>
        <w:t xml:space="preserve">Landline telephone lines and wired </w:t>
      </w:r>
      <w:r w:rsidR="003506FE" w:rsidRPr="00E63E35">
        <w:rPr>
          <w:rFonts w:ascii="Verdana" w:hAnsi="Verdana"/>
          <w:u w:val="single"/>
        </w:rPr>
        <w:t>internet connections are a MUST to preserve health of millions of Australians.</w:t>
      </w:r>
      <w:r w:rsidR="003506FE">
        <w:rPr>
          <w:rFonts w:ascii="Verdana" w:hAnsi="Verdana"/>
        </w:rPr>
        <w:t xml:space="preserve"> Responsible national health agencies elsewhere have already started giving recommendations to the public to reduce exposure to wireless radiation (see attachment for details and links). Some </w:t>
      </w:r>
      <w:r w:rsidR="00CE6542">
        <w:rPr>
          <w:rFonts w:ascii="Verdana" w:hAnsi="Verdana"/>
        </w:rPr>
        <w:t>governments</w:t>
      </w:r>
      <w:r w:rsidR="003506FE">
        <w:rPr>
          <w:rFonts w:ascii="Verdana" w:hAnsi="Verdana"/>
        </w:rPr>
        <w:t xml:space="preserve"> have enacted new laws to this effect, for example, France banning </w:t>
      </w:r>
      <w:r w:rsidR="00CE6542">
        <w:rPr>
          <w:rFonts w:ascii="Verdana" w:hAnsi="Verdana"/>
        </w:rPr>
        <w:t>wireless systems</w:t>
      </w:r>
      <w:r w:rsidR="003506FE">
        <w:rPr>
          <w:rFonts w:ascii="Verdana" w:hAnsi="Verdana"/>
        </w:rPr>
        <w:t xml:space="preserve"> in small children’s facilities</w:t>
      </w:r>
      <w:r w:rsidR="00CE6542">
        <w:rPr>
          <w:rFonts w:ascii="Verdana" w:hAnsi="Verdana"/>
        </w:rPr>
        <w:t xml:space="preserve"> and allowing only wired communications systems</w:t>
      </w:r>
      <w:r w:rsidR="000B78C1">
        <w:rPr>
          <w:rFonts w:ascii="Verdana" w:hAnsi="Verdana"/>
        </w:rPr>
        <w:t xml:space="preserve">. </w:t>
      </w:r>
      <w:r w:rsidR="003506FE">
        <w:rPr>
          <w:rFonts w:ascii="Verdana" w:hAnsi="Verdana"/>
        </w:rPr>
        <w:t xml:space="preserve">I highlighted this in a testimony to the Hills Shire Council this week (also attached) in a mediation of a community protest against a wireless NBN tower. I offer my expert advice on this topic on a </w:t>
      </w:r>
      <w:r w:rsidR="003506FE" w:rsidRPr="000B78C1">
        <w:rPr>
          <w:rFonts w:ascii="Verdana" w:hAnsi="Verdana"/>
          <w:i/>
        </w:rPr>
        <w:t>pro bono</w:t>
      </w:r>
      <w:r w:rsidR="003506FE">
        <w:rPr>
          <w:rFonts w:ascii="Verdana" w:hAnsi="Verdana"/>
        </w:rPr>
        <w:t xml:space="preserve"> basis as a charitable service to Australia’s health.</w:t>
      </w:r>
      <w:r w:rsidR="00CE6542">
        <w:rPr>
          <w:rFonts w:ascii="Verdana" w:hAnsi="Verdana"/>
        </w:rPr>
        <w:t xml:space="preserve"> It is with much weight from scientific evidence that I say proliferation of wireless infrastructure including </w:t>
      </w:r>
      <w:r w:rsidR="0062387A">
        <w:rPr>
          <w:rFonts w:ascii="Verdana" w:hAnsi="Verdana"/>
        </w:rPr>
        <w:t xml:space="preserve">WiFi, </w:t>
      </w:r>
      <w:r w:rsidR="00CE6542">
        <w:rPr>
          <w:rFonts w:ascii="Verdana" w:hAnsi="Verdana"/>
        </w:rPr>
        <w:t>fixed wireless NBN</w:t>
      </w:r>
      <w:r w:rsidR="0062387A">
        <w:rPr>
          <w:rFonts w:ascii="Verdana" w:hAnsi="Verdana"/>
        </w:rPr>
        <w:t xml:space="preserve"> internet</w:t>
      </w:r>
      <w:r w:rsidR="00CE6542">
        <w:rPr>
          <w:rFonts w:ascii="Verdana" w:hAnsi="Verdana"/>
        </w:rPr>
        <w:t>, “smart” digital</w:t>
      </w:r>
      <w:r w:rsidR="0062387A">
        <w:rPr>
          <w:rFonts w:ascii="Verdana" w:hAnsi="Verdana"/>
        </w:rPr>
        <w:t xml:space="preserve"> utility meters, RF-scanning at airports pose a real hazard to public health. I urge you not to phase out the copper landline telephones in Australia. </w:t>
      </w:r>
      <w:r w:rsidR="00E63E35">
        <w:rPr>
          <w:rFonts w:ascii="Verdana" w:hAnsi="Verdana"/>
        </w:rPr>
        <w:t xml:space="preserve">Our nation’s </w:t>
      </w:r>
      <w:r w:rsidR="0010477D">
        <w:rPr>
          <w:rFonts w:ascii="Verdana" w:hAnsi="Verdana"/>
        </w:rPr>
        <w:t xml:space="preserve">chronic disease burden is increasing rapidly and the health system is fully stretched – microwave irradiation of the population for the purpose of wireless communications will certainly make this worse and hamper Australia’s productivity. </w:t>
      </w:r>
    </w:p>
    <w:p w:rsidR="00E60477" w:rsidRDefault="0062387A">
      <w:pPr>
        <w:rPr>
          <w:rFonts w:ascii="Verdana" w:hAnsi="Verdana"/>
        </w:rPr>
      </w:pPr>
      <w:r>
        <w:rPr>
          <w:rFonts w:ascii="Verdana" w:hAnsi="Verdana"/>
        </w:rPr>
        <w:t xml:space="preserve">Please do not hesitate to contact me if you wish to obtain further information on this issue. </w:t>
      </w:r>
    </w:p>
    <w:p w:rsidR="0062387A" w:rsidRDefault="0062387A">
      <w:pPr>
        <w:rPr>
          <w:rFonts w:ascii="Verdana" w:hAnsi="Verdana"/>
        </w:rPr>
      </w:pPr>
      <w:r>
        <w:rPr>
          <w:rFonts w:ascii="Verdana" w:hAnsi="Verdana"/>
        </w:rPr>
        <w:t>Yours sincerely,</w:t>
      </w:r>
    </w:p>
    <w:p w:rsidR="0062387A" w:rsidRDefault="0062387A">
      <w:pPr>
        <w:rPr>
          <w:rFonts w:ascii="Verdana" w:hAnsi="Verdana"/>
        </w:rPr>
      </w:pPr>
      <w:r>
        <w:rPr>
          <w:rFonts w:ascii="Verdana" w:hAnsi="Verdana"/>
        </w:rPr>
        <w:t>Priyanka Bandara (Dr.)</w:t>
      </w:r>
    </w:p>
    <w:p w:rsidR="00E63E35" w:rsidRPr="005E3E43" w:rsidRDefault="00E63E35">
      <w:pPr>
        <w:rPr>
          <w:rFonts w:ascii="Verdana" w:hAnsi="Verdana"/>
          <w:b/>
        </w:rPr>
      </w:pPr>
    </w:p>
    <w:p w:rsidR="0062540B" w:rsidRPr="005E3E43" w:rsidRDefault="0062540B">
      <w:pPr>
        <w:rPr>
          <w:rFonts w:ascii="Verdana" w:hAnsi="Verdana"/>
          <w:b/>
        </w:rPr>
      </w:pPr>
      <w:r w:rsidRPr="005E3E43">
        <w:rPr>
          <w:rFonts w:ascii="Verdana" w:hAnsi="Verdana"/>
          <w:b/>
        </w:rPr>
        <w:t>Reference</w:t>
      </w:r>
      <w:r w:rsidR="00D46AB1" w:rsidRPr="005E3E43">
        <w:rPr>
          <w:rFonts w:ascii="Verdana" w:hAnsi="Verdana"/>
          <w:b/>
        </w:rPr>
        <w:t>s</w:t>
      </w:r>
      <w:r w:rsidRPr="005E3E43">
        <w:rPr>
          <w:rFonts w:ascii="Verdana" w:hAnsi="Verdana"/>
          <w:b/>
        </w:rPr>
        <w:t>:</w:t>
      </w:r>
    </w:p>
    <w:p w:rsidR="005E3E43" w:rsidRPr="007B7ADB" w:rsidRDefault="00706328" w:rsidP="007B7ADB">
      <w:pPr>
        <w:pStyle w:val="ListParagraph"/>
        <w:numPr>
          <w:ilvl w:val="0"/>
          <w:numId w:val="1"/>
        </w:numPr>
        <w:ind w:left="851" w:hanging="709"/>
        <w:rPr>
          <w:rFonts w:ascii="Verdana" w:hAnsi="Verdana"/>
        </w:rPr>
      </w:pPr>
      <w:r>
        <w:rPr>
          <w:rFonts w:ascii="Verdana" w:hAnsi="Verdana"/>
        </w:rPr>
        <w:t xml:space="preserve">WHO IARC classification: </w:t>
      </w:r>
      <w:hyperlink r:id="rId13" w:history="1">
        <w:r w:rsidR="005E3E43" w:rsidRPr="00033F90">
          <w:rPr>
            <w:rStyle w:val="Hyperlink"/>
            <w:rFonts w:ascii="Verdana" w:hAnsi="Verdana"/>
          </w:rPr>
          <w:t>http://www.thelancet.com/journals/lanonc/article/PIIS1470-2045(11)70147-4/fulltext</w:t>
        </w:r>
      </w:hyperlink>
    </w:p>
    <w:p w:rsidR="00706328" w:rsidRDefault="00D46AB1" w:rsidP="005E3E43">
      <w:pPr>
        <w:pStyle w:val="ListParagraph"/>
        <w:numPr>
          <w:ilvl w:val="0"/>
          <w:numId w:val="1"/>
        </w:numPr>
        <w:ind w:left="851" w:hanging="644"/>
        <w:rPr>
          <w:rFonts w:ascii="Verdana" w:hAnsi="Verdana"/>
        </w:rPr>
      </w:pPr>
      <w:r>
        <w:rPr>
          <w:rFonts w:ascii="Verdana" w:hAnsi="Verdana"/>
        </w:rPr>
        <w:t xml:space="preserve">A Swiss-British research group demonstrating how research on RF-EMR is influenced by the funding source: </w:t>
      </w:r>
      <w:r w:rsidRPr="00D46AB1">
        <w:rPr>
          <w:rFonts w:ascii="Verdana" w:hAnsi="Verdana"/>
        </w:rPr>
        <w:t>Huss</w:t>
      </w:r>
      <w:r>
        <w:rPr>
          <w:rFonts w:ascii="Verdana" w:hAnsi="Verdana"/>
        </w:rPr>
        <w:t xml:space="preserve"> A.</w:t>
      </w:r>
      <w:r w:rsidRPr="00D46AB1">
        <w:rPr>
          <w:rFonts w:ascii="Verdana" w:hAnsi="Verdana"/>
        </w:rPr>
        <w:t xml:space="preserve"> et al</w:t>
      </w:r>
      <w:r>
        <w:rPr>
          <w:rFonts w:ascii="Verdana" w:hAnsi="Verdana"/>
        </w:rPr>
        <w:t>.,</w:t>
      </w:r>
      <w:r w:rsidRPr="00D46AB1">
        <w:rPr>
          <w:rFonts w:ascii="Verdana" w:hAnsi="Verdana"/>
        </w:rPr>
        <w:t xml:space="preserve"> Environ Health Perspect, 2007. 115(1): p. 1-4</w:t>
      </w:r>
    </w:p>
    <w:p w:rsidR="00D46AB1" w:rsidRPr="00706328" w:rsidRDefault="00D46AB1" w:rsidP="005E3E43">
      <w:pPr>
        <w:pStyle w:val="ListParagraph"/>
        <w:numPr>
          <w:ilvl w:val="0"/>
          <w:numId w:val="1"/>
        </w:numPr>
        <w:ind w:left="851" w:hanging="644"/>
        <w:rPr>
          <w:rFonts w:ascii="Verdana" w:hAnsi="Verdana"/>
        </w:rPr>
      </w:pPr>
      <w:r>
        <w:rPr>
          <w:rFonts w:ascii="Verdana" w:hAnsi="Verdana"/>
        </w:rPr>
        <w:t xml:space="preserve">ARPANSA Report: </w:t>
      </w:r>
      <w:hyperlink r:id="rId14" w:history="1">
        <w:r w:rsidRPr="005E08E1">
          <w:rPr>
            <w:rStyle w:val="Hyperlink"/>
            <w:rFonts w:ascii="Calibri" w:hAnsi="Calibri" w:cs="Calibri"/>
          </w:rPr>
          <w:t>http://www.arpansa.gov.au/pubs/technicalreports/tr164.pdf</w:t>
        </w:r>
      </w:hyperlink>
    </w:p>
    <w:p w:rsidR="00B33FC9" w:rsidRPr="00B33FC9" w:rsidRDefault="00B33FC9" w:rsidP="005E3E43">
      <w:pPr>
        <w:pStyle w:val="ListParagraph"/>
        <w:numPr>
          <w:ilvl w:val="0"/>
          <w:numId w:val="1"/>
        </w:numPr>
        <w:ind w:left="851" w:hanging="644"/>
        <w:rPr>
          <w:rFonts w:ascii="Verdana" w:hAnsi="Verdana"/>
          <w:iCs/>
          <w:lang w:val="en-GB"/>
        </w:rPr>
      </w:pPr>
      <w:r>
        <w:rPr>
          <w:rFonts w:ascii="Verdana" w:hAnsi="Verdana"/>
        </w:rPr>
        <w:t>EUROPAEM statement 2016</w:t>
      </w:r>
      <w:r w:rsidRPr="00B33FC9">
        <w:rPr>
          <w:rStyle w:val="Hyperlink"/>
          <w:rFonts w:ascii="Calibri" w:hAnsi="Calibri" w:cs="Calibri"/>
        </w:rPr>
        <w:t xml:space="preserve">: </w:t>
      </w:r>
      <w:hyperlink r:id="rId15" w:history="1">
        <w:r w:rsidRPr="00B33FC9">
          <w:rPr>
            <w:rStyle w:val="Hyperlink"/>
            <w:rFonts w:ascii="Calibri" w:hAnsi="Calibri" w:cs="Calibri"/>
          </w:rPr>
          <w:t>https://europaem.eu/en/library/blog-en/97-europaem-emf-guideline-2016?highlight=WyJlbWYiXQ</w:t>
        </w:r>
      </w:hyperlink>
      <w:r w:rsidRPr="00B33FC9">
        <w:rPr>
          <w:rStyle w:val="Hyperlink"/>
          <w:rFonts w:ascii="Calibri" w:hAnsi="Calibri" w:cs="Calibri"/>
        </w:rPr>
        <w:t>==</w:t>
      </w:r>
    </w:p>
    <w:p w:rsidR="00B33FC9" w:rsidRDefault="00B33FC9" w:rsidP="005E3E43">
      <w:pPr>
        <w:pStyle w:val="ListParagraph"/>
        <w:numPr>
          <w:ilvl w:val="0"/>
          <w:numId w:val="1"/>
        </w:numPr>
        <w:ind w:left="851" w:hanging="644"/>
        <w:rPr>
          <w:rFonts w:ascii="Verdana" w:hAnsi="Verdana"/>
        </w:rPr>
      </w:pPr>
      <w:r w:rsidRPr="00B33FC9">
        <w:rPr>
          <w:rFonts w:ascii="Verdana" w:hAnsi="Verdana"/>
        </w:rPr>
        <w:lastRenderedPageBreak/>
        <w:t>Hocking B. Occup Med (Lond) 1998; 48: 357-60;</w:t>
      </w:r>
    </w:p>
    <w:p w:rsidR="00E63E35" w:rsidRDefault="00E63E35" w:rsidP="005E3E43">
      <w:pPr>
        <w:pStyle w:val="ListParagraph"/>
        <w:numPr>
          <w:ilvl w:val="0"/>
          <w:numId w:val="1"/>
        </w:numPr>
        <w:ind w:left="851" w:hanging="644"/>
        <w:rPr>
          <w:rFonts w:ascii="Verdana" w:hAnsi="Verdana"/>
        </w:rPr>
      </w:pPr>
      <w:r w:rsidRPr="00E63E35">
        <w:rPr>
          <w:rFonts w:ascii="Verdana" w:hAnsi="Verdana"/>
        </w:rPr>
        <w:t>Hocking, B. and R. Westerman, Neurological effects of radiofrequency radiation. Occup Med (Lond), 2003. 53(2): p. 123-7.</w:t>
      </w:r>
    </w:p>
    <w:p w:rsidR="00E63E35" w:rsidRPr="005E3E43" w:rsidRDefault="00E63E35" w:rsidP="005E3E43">
      <w:pPr>
        <w:pStyle w:val="ListParagraph"/>
        <w:numPr>
          <w:ilvl w:val="0"/>
          <w:numId w:val="1"/>
        </w:numPr>
        <w:ind w:left="851" w:hanging="644"/>
        <w:rPr>
          <w:rFonts w:ascii="Verdana" w:hAnsi="Verdana"/>
          <w:b/>
        </w:rPr>
      </w:pPr>
      <w:r w:rsidRPr="00E63E35">
        <w:rPr>
          <w:rFonts w:ascii="Verdana" w:hAnsi="Verdana"/>
        </w:rPr>
        <w:t xml:space="preserve">Hocking, B. A physician's approach to EMF sensitive patients. [Presentation at WHO Seminar on EMF HyperSensitivity, Prague, Czech Republic.] 2004; Available from: </w:t>
      </w:r>
      <w:hyperlink r:id="rId16" w:history="1">
        <w:r w:rsidRPr="00E63E35">
          <w:rPr>
            <w:rStyle w:val="Hyperlink"/>
            <w:rFonts w:ascii="Calibri" w:hAnsi="Calibri" w:cs="Calibri"/>
          </w:rPr>
          <w:t>http://www.who.int/peh-emf/meetings/archive/en/hocking.pdf.</w:t>
        </w:r>
      </w:hyperlink>
      <w:r w:rsidR="005E3E43">
        <w:rPr>
          <w:rStyle w:val="Hyperlink"/>
          <w:rFonts w:ascii="Calibri" w:hAnsi="Calibri" w:cs="Calibri"/>
        </w:rPr>
        <w:t xml:space="preserve"> </w:t>
      </w:r>
      <w:r w:rsidR="005E3E43" w:rsidRPr="005E3E43">
        <w:rPr>
          <w:rStyle w:val="Hyperlink"/>
          <w:rFonts w:ascii="Calibri" w:hAnsi="Calibri" w:cs="Calibri"/>
          <w:b/>
          <w:color w:val="auto"/>
          <w:u w:val="none"/>
        </w:rPr>
        <w:t>(NOTE: this presentation has been removed from the WHO site as at 24 Feb 2017).</w:t>
      </w:r>
    </w:p>
    <w:p w:rsidR="00E63E35" w:rsidRDefault="00E63E35" w:rsidP="005E3E43">
      <w:pPr>
        <w:pStyle w:val="ListParagraph"/>
        <w:numPr>
          <w:ilvl w:val="0"/>
          <w:numId w:val="1"/>
        </w:numPr>
        <w:ind w:left="851" w:hanging="644"/>
        <w:rPr>
          <w:rFonts w:ascii="Verdana" w:hAnsi="Verdana"/>
        </w:rPr>
      </w:pPr>
      <w:r w:rsidRPr="00E63E35">
        <w:rPr>
          <w:rFonts w:ascii="Verdana" w:hAnsi="Verdana"/>
        </w:rPr>
        <w:t>Forman, S.A., et al., Psychological symptoms and intermittent hypertension following acute microwave exposure. J Occup Med, 1982. 24(11): p. 932-4.</w:t>
      </w:r>
    </w:p>
    <w:p w:rsidR="00E63E35" w:rsidRDefault="00E63E35" w:rsidP="005E3E43">
      <w:pPr>
        <w:pStyle w:val="ListParagraph"/>
        <w:numPr>
          <w:ilvl w:val="0"/>
          <w:numId w:val="1"/>
        </w:numPr>
        <w:ind w:left="851" w:hanging="644"/>
        <w:rPr>
          <w:rFonts w:ascii="Verdana" w:hAnsi="Verdana"/>
        </w:rPr>
      </w:pPr>
      <w:r w:rsidRPr="00E63E35">
        <w:rPr>
          <w:rFonts w:ascii="Verdana" w:hAnsi="Verdana"/>
        </w:rPr>
        <w:t>Aalto, S., et al., Mobile phone affects cerebral blood flow in humans. J Cereb Blood Flow Metab, 2006. 26(7): p. 885-90.</w:t>
      </w:r>
    </w:p>
    <w:p w:rsidR="00E63E35" w:rsidRDefault="00E63E35" w:rsidP="005E3E43">
      <w:pPr>
        <w:pStyle w:val="ListParagraph"/>
        <w:numPr>
          <w:ilvl w:val="0"/>
          <w:numId w:val="1"/>
        </w:numPr>
        <w:ind w:left="851" w:hanging="644"/>
        <w:rPr>
          <w:rFonts w:ascii="Verdana" w:hAnsi="Verdana"/>
        </w:rPr>
      </w:pPr>
      <w:r w:rsidRPr="00E63E35">
        <w:rPr>
          <w:rFonts w:ascii="Verdana" w:hAnsi="Verdana"/>
        </w:rPr>
        <w:t>Huber, R., et al., Electromagnetic fields, such as those from mobile phones, alter regional cerebral blood flow and sleep and waking EEG. J Sleep Res, 2002. 11(4): p. 289-95.</w:t>
      </w:r>
    </w:p>
    <w:p w:rsidR="00B767D2" w:rsidRDefault="00B767D2" w:rsidP="005E3E43">
      <w:pPr>
        <w:pStyle w:val="ListParagraph"/>
        <w:numPr>
          <w:ilvl w:val="0"/>
          <w:numId w:val="1"/>
        </w:numPr>
        <w:ind w:left="851" w:hanging="644"/>
        <w:rPr>
          <w:rFonts w:ascii="Verdana" w:hAnsi="Verdana"/>
        </w:rPr>
      </w:pPr>
      <w:r>
        <w:rPr>
          <w:rFonts w:ascii="Arial" w:hAnsi="Arial" w:cs="Arial"/>
          <w:color w:val="000000"/>
          <w:sz w:val="21"/>
          <w:szCs w:val="21"/>
          <w:shd w:val="clear" w:color="auto" w:fill="FFFFFF"/>
        </w:rPr>
        <w:t xml:space="preserve">McCarty DE et al., </w:t>
      </w:r>
      <w:r w:rsidRPr="00B767D2">
        <w:rPr>
          <w:rFonts w:ascii="Verdana" w:hAnsi="Verdana"/>
        </w:rPr>
        <w:t>Int J Neurosci. 2011 Dec;121(12):670-6</w:t>
      </w:r>
    </w:p>
    <w:p w:rsidR="00E63E35" w:rsidRDefault="00B33FC9" w:rsidP="005E3E43">
      <w:pPr>
        <w:pStyle w:val="ListParagraph"/>
        <w:numPr>
          <w:ilvl w:val="0"/>
          <w:numId w:val="1"/>
        </w:numPr>
        <w:ind w:left="851" w:hanging="644"/>
        <w:rPr>
          <w:rFonts w:ascii="Verdana" w:hAnsi="Verdana"/>
        </w:rPr>
      </w:pPr>
      <w:r w:rsidRPr="0062540B">
        <w:rPr>
          <w:rFonts w:ascii="Verdana" w:hAnsi="Verdana"/>
        </w:rPr>
        <w:t>Johannson O. Electrohypersensitivity: State-of-the-Art of a Functional Impairment. Electromagnetic Biology and Medicine 2006; 25: 245-58</w:t>
      </w:r>
    </w:p>
    <w:p w:rsidR="00B33FC9" w:rsidRDefault="005E3E43" w:rsidP="005E3E43">
      <w:pPr>
        <w:pStyle w:val="ListParagraph"/>
        <w:numPr>
          <w:ilvl w:val="0"/>
          <w:numId w:val="1"/>
        </w:numPr>
        <w:ind w:left="851" w:hanging="644"/>
        <w:rPr>
          <w:rFonts w:ascii="Verdana" w:hAnsi="Verdana"/>
        </w:rPr>
      </w:pPr>
      <w:r>
        <w:rPr>
          <w:rFonts w:ascii="Verdana" w:hAnsi="Verdana"/>
        </w:rPr>
        <w:t xml:space="preserve">Esen, F. and </w:t>
      </w:r>
      <w:r w:rsidRPr="005E3E43">
        <w:rPr>
          <w:rFonts w:ascii="Verdana" w:hAnsi="Verdana"/>
        </w:rPr>
        <w:t>Esen</w:t>
      </w:r>
      <w:r>
        <w:rPr>
          <w:rFonts w:ascii="Verdana" w:hAnsi="Verdana"/>
        </w:rPr>
        <w:t xml:space="preserve"> H.</w:t>
      </w:r>
      <w:r w:rsidRPr="005E3E43">
        <w:rPr>
          <w:rFonts w:ascii="Verdana" w:hAnsi="Verdana"/>
        </w:rPr>
        <w:t>, Effect of electromagnetic fields emitted by cellular phones on the latency of evoked electrodermal activity. Int J Neurosci, 2006. 116(3): p. 321-9.</w:t>
      </w:r>
    </w:p>
    <w:p w:rsidR="00B33FC9" w:rsidRDefault="00B33FC9" w:rsidP="005E3E43">
      <w:pPr>
        <w:pStyle w:val="ListParagraph"/>
        <w:numPr>
          <w:ilvl w:val="0"/>
          <w:numId w:val="1"/>
        </w:numPr>
        <w:ind w:left="851" w:hanging="644"/>
        <w:rPr>
          <w:rFonts w:ascii="Verdana" w:hAnsi="Verdana"/>
        </w:rPr>
      </w:pPr>
      <w:r w:rsidRPr="00B33FC9">
        <w:rPr>
          <w:rFonts w:ascii="Verdana" w:hAnsi="Verdana"/>
        </w:rPr>
        <w:t xml:space="preserve">Oftedal G, et al. Occup Med (Lond) 2000; 50:237-45; </w:t>
      </w:r>
    </w:p>
    <w:p w:rsidR="00D46AB1" w:rsidRDefault="00B33FC9" w:rsidP="005E3E43">
      <w:pPr>
        <w:pStyle w:val="ListParagraph"/>
        <w:numPr>
          <w:ilvl w:val="0"/>
          <w:numId w:val="1"/>
        </w:numPr>
        <w:ind w:left="851" w:hanging="644"/>
        <w:rPr>
          <w:rFonts w:ascii="Verdana" w:hAnsi="Verdana"/>
        </w:rPr>
      </w:pPr>
      <w:r w:rsidRPr="00B33FC9">
        <w:rPr>
          <w:rFonts w:ascii="Verdana" w:hAnsi="Verdana"/>
        </w:rPr>
        <w:t>Frey AH. Environ Health Perspect 1998; 106:101-3</w:t>
      </w:r>
    </w:p>
    <w:p w:rsidR="00B33FC9" w:rsidRDefault="00B33FC9" w:rsidP="005E3E43">
      <w:pPr>
        <w:pStyle w:val="ListParagraph"/>
        <w:numPr>
          <w:ilvl w:val="0"/>
          <w:numId w:val="1"/>
        </w:numPr>
        <w:ind w:left="851" w:hanging="644"/>
        <w:rPr>
          <w:rFonts w:ascii="Verdana" w:hAnsi="Verdana"/>
        </w:rPr>
      </w:pPr>
      <w:r w:rsidRPr="00B33FC9">
        <w:rPr>
          <w:rFonts w:ascii="Verdana" w:hAnsi="Verdana"/>
        </w:rPr>
        <w:t>Sudan M. et al., The Open Pediatric Medicine Journal, 2012, 6, 46-52</w:t>
      </w:r>
    </w:p>
    <w:p w:rsidR="00B767D2" w:rsidRPr="00B767D2" w:rsidRDefault="00B767D2" w:rsidP="005E3E43">
      <w:pPr>
        <w:pStyle w:val="ListParagraph"/>
        <w:numPr>
          <w:ilvl w:val="0"/>
          <w:numId w:val="1"/>
        </w:numPr>
        <w:ind w:left="851" w:hanging="644"/>
        <w:rPr>
          <w:rFonts w:ascii="Verdana" w:hAnsi="Verdana"/>
        </w:rPr>
      </w:pPr>
      <w:r w:rsidRPr="00B767D2">
        <w:rPr>
          <w:rFonts w:ascii="Verdana" w:hAnsi="Verdana"/>
        </w:rPr>
        <w:t>Blettner et al., Occup Environ Med 2009; 66:118-123 (Germany).</w:t>
      </w:r>
    </w:p>
    <w:p w:rsidR="00B767D2" w:rsidRPr="00B767D2" w:rsidRDefault="00B767D2" w:rsidP="005E3E43">
      <w:pPr>
        <w:pStyle w:val="ListParagraph"/>
        <w:numPr>
          <w:ilvl w:val="0"/>
          <w:numId w:val="1"/>
        </w:numPr>
        <w:ind w:left="851" w:hanging="644"/>
        <w:rPr>
          <w:rFonts w:ascii="Verdana" w:hAnsi="Verdana"/>
        </w:rPr>
      </w:pPr>
      <w:r w:rsidRPr="00B767D2">
        <w:rPr>
          <w:rFonts w:ascii="Verdana" w:hAnsi="Verdana"/>
        </w:rPr>
        <w:t>Berg-Beckhoff et at., Occup Environ Med 2009; 66:124-130</w:t>
      </w:r>
    </w:p>
    <w:p w:rsidR="00B33FC9" w:rsidRDefault="00B767D2" w:rsidP="005E3E43">
      <w:pPr>
        <w:pStyle w:val="ListParagraph"/>
        <w:numPr>
          <w:ilvl w:val="0"/>
          <w:numId w:val="1"/>
        </w:numPr>
        <w:ind w:left="851" w:hanging="644"/>
        <w:rPr>
          <w:rFonts w:ascii="Verdana" w:hAnsi="Verdana"/>
        </w:rPr>
      </w:pPr>
      <w:r w:rsidRPr="00B767D2">
        <w:rPr>
          <w:rFonts w:ascii="Verdana" w:hAnsi="Verdana"/>
        </w:rPr>
        <w:t>Cook H.J. et al., Annals of Science, 1980. 37(3): p. 323-51</w:t>
      </w:r>
    </w:p>
    <w:p w:rsidR="00D46AB1" w:rsidRDefault="00B767D2" w:rsidP="005E3E43">
      <w:pPr>
        <w:pStyle w:val="ListParagraph"/>
        <w:numPr>
          <w:ilvl w:val="0"/>
          <w:numId w:val="1"/>
        </w:numPr>
        <w:ind w:left="851" w:hanging="644"/>
        <w:rPr>
          <w:rFonts w:ascii="Verdana" w:hAnsi="Verdana"/>
        </w:rPr>
      </w:pPr>
      <w:r w:rsidRPr="00B767D2">
        <w:rPr>
          <w:rFonts w:ascii="Verdana" w:hAnsi="Verdana"/>
        </w:rPr>
        <w:t>Hutter et al., Occup Environ Med 2006; 63:307-313</w:t>
      </w:r>
    </w:p>
    <w:p w:rsidR="0062540B" w:rsidRDefault="0062540B" w:rsidP="005E3E43">
      <w:pPr>
        <w:ind w:left="851" w:hanging="644"/>
        <w:rPr>
          <w:rFonts w:ascii="Verdana" w:hAnsi="Verdana"/>
        </w:rPr>
      </w:pPr>
    </w:p>
    <w:p w:rsidR="0062540B" w:rsidRDefault="0062540B" w:rsidP="005E3E43">
      <w:pPr>
        <w:ind w:left="851" w:hanging="644"/>
        <w:rPr>
          <w:rFonts w:ascii="Verdana" w:hAnsi="Verdana"/>
        </w:rPr>
      </w:pPr>
    </w:p>
    <w:p w:rsidR="0062540B" w:rsidRDefault="0062540B">
      <w:pPr>
        <w:rPr>
          <w:rFonts w:ascii="Verdana" w:hAnsi="Verdana"/>
        </w:rPr>
      </w:pPr>
    </w:p>
    <w:p w:rsidR="0062540B" w:rsidRPr="00E60477" w:rsidRDefault="0062540B">
      <w:pPr>
        <w:rPr>
          <w:rFonts w:ascii="Verdana" w:hAnsi="Verdana"/>
        </w:rPr>
      </w:pPr>
      <w:r w:rsidRPr="0062540B">
        <w:rPr>
          <w:rFonts w:ascii="Verdana" w:hAnsi="Verdana"/>
        </w:rPr>
        <w:t>.</w:t>
      </w:r>
    </w:p>
    <w:sectPr w:rsidR="0062540B" w:rsidRPr="00E60477" w:rsidSect="00B767D2">
      <w:pgSz w:w="11906" w:h="16838"/>
      <w:pgMar w:top="851"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26686"/>
    <w:multiLevelType w:val="hybridMultilevel"/>
    <w:tmpl w:val="6BE498DA"/>
    <w:lvl w:ilvl="0" w:tplc="7FAECE94">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77"/>
    <w:rsid w:val="000B78C1"/>
    <w:rsid w:val="0010477D"/>
    <w:rsid w:val="001824D2"/>
    <w:rsid w:val="003506FE"/>
    <w:rsid w:val="0045447F"/>
    <w:rsid w:val="005E3E43"/>
    <w:rsid w:val="0062387A"/>
    <w:rsid w:val="0062540B"/>
    <w:rsid w:val="006970E1"/>
    <w:rsid w:val="00706328"/>
    <w:rsid w:val="007B7ADB"/>
    <w:rsid w:val="008C7C31"/>
    <w:rsid w:val="009C17AD"/>
    <w:rsid w:val="00B33FC9"/>
    <w:rsid w:val="00B767D2"/>
    <w:rsid w:val="00C37855"/>
    <w:rsid w:val="00C43E51"/>
    <w:rsid w:val="00CE6542"/>
    <w:rsid w:val="00D23793"/>
    <w:rsid w:val="00D46AB1"/>
    <w:rsid w:val="00E60477"/>
    <w:rsid w:val="00E63E35"/>
    <w:rsid w:val="00EF4F64"/>
    <w:rsid w:val="00F9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77"/>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477"/>
    <w:rPr>
      <w:color w:val="0563C1" w:themeColor="hyperlink"/>
      <w:u w:val="single"/>
    </w:rPr>
  </w:style>
  <w:style w:type="character" w:styleId="FootnoteReference">
    <w:name w:val="footnote reference"/>
    <w:basedOn w:val="DefaultParagraphFont"/>
    <w:uiPriority w:val="99"/>
    <w:semiHidden/>
    <w:unhideWhenUsed/>
    <w:rsid w:val="0062540B"/>
    <w:rPr>
      <w:vertAlign w:val="superscript"/>
    </w:rPr>
  </w:style>
  <w:style w:type="paragraph" w:styleId="ListParagraph">
    <w:name w:val="List Paragraph"/>
    <w:basedOn w:val="Normal"/>
    <w:uiPriority w:val="34"/>
    <w:qFormat/>
    <w:rsid w:val="00706328"/>
    <w:pPr>
      <w:ind w:left="720"/>
      <w:contextualSpacing/>
    </w:pPr>
  </w:style>
  <w:style w:type="paragraph" w:customStyle="1" w:styleId="gmail-m-323787030716160002ecxmsonormal">
    <w:name w:val="gmail-m-323787030716160002ecxmsonormal"/>
    <w:basedOn w:val="Normal"/>
    <w:rsid w:val="007063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63E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77"/>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477"/>
    <w:rPr>
      <w:color w:val="0563C1" w:themeColor="hyperlink"/>
      <w:u w:val="single"/>
    </w:rPr>
  </w:style>
  <w:style w:type="character" w:styleId="FootnoteReference">
    <w:name w:val="footnote reference"/>
    <w:basedOn w:val="DefaultParagraphFont"/>
    <w:uiPriority w:val="99"/>
    <w:semiHidden/>
    <w:unhideWhenUsed/>
    <w:rsid w:val="0062540B"/>
    <w:rPr>
      <w:vertAlign w:val="superscript"/>
    </w:rPr>
  </w:style>
  <w:style w:type="paragraph" w:styleId="ListParagraph">
    <w:name w:val="List Paragraph"/>
    <w:basedOn w:val="Normal"/>
    <w:uiPriority w:val="34"/>
    <w:qFormat/>
    <w:rsid w:val="00706328"/>
    <w:pPr>
      <w:ind w:left="720"/>
      <w:contextualSpacing/>
    </w:pPr>
  </w:style>
  <w:style w:type="paragraph" w:customStyle="1" w:styleId="gmail-m-323787030716160002ecxmsonormal">
    <w:name w:val="gmail-m-323787030716160002ecxmsonormal"/>
    <w:basedOn w:val="Normal"/>
    <w:rsid w:val="007063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63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helancet.com/journals/lanonc/article/PIIS1470-2045(11)70147-4/fulltex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telecommunications@p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ho.int/peh-emf/meetings/archive/en/hocking.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opaem.eu/en/library/blog-en/97-europaem-emf-guideline-2016?highlight=WyJlbWYiXQ"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rpansa.gov.au/pubs/technicalreports/tr1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PCDOC-1117832070-214</_dlc_DocId>
    <_dlc_DocIdUrl xmlns="3f4bcce7-ac1a-4c9d-aa3e-7e77695652db">
      <Url>https://inet.pc.gov.au/pmo/inq/tele/_layouts/15/DocIdRedir.aspx?ID=PCDOC-1117832070-214</Url>
      <Description>PCDOC-1117832070-214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D08A5-DAD2-44A0-90FC-EF90DC8399DF}">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f4bcce7-ac1a-4c9d-aa3e-7e77695652db"/>
    <ds:schemaRef ds:uri="http://schemas.microsoft.com/sharepoint/v3"/>
  </ds:schemaRefs>
</ds:datastoreItem>
</file>

<file path=customXml/itemProps2.xml><?xml version="1.0" encoding="utf-8"?>
<ds:datastoreItem xmlns:ds="http://schemas.openxmlformats.org/officeDocument/2006/customXml" ds:itemID="{36AF61AA-2EE4-4209-B64F-5ED8A9139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545FB-A66B-4755-8F58-907919871F7D}">
  <ds:schemaRefs>
    <ds:schemaRef ds:uri="Microsoft.SharePoint.Taxonomy.ContentTypeSync"/>
  </ds:schemaRefs>
</ds:datastoreItem>
</file>

<file path=customXml/itemProps4.xml><?xml version="1.0" encoding="utf-8"?>
<ds:datastoreItem xmlns:ds="http://schemas.openxmlformats.org/officeDocument/2006/customXml" ds:itemID="{2DD5E5E6-828E-47B1-A9D0-B309B9BDD96D}">
  <ds:schemaRefs>
    <ds:schemaRef ds:uri="http://schemas.microsoft.com/office/2006/metadata/customXsn"/>
  </ds:schemaRefs>
</ds:datastoreItem>
</file>

<file path=customXml/itemProps5.xml><?xml version="1.0" encoding="utf-8"?>
<ds:datastoreItem xmlns:ds="http://schemas.openxmlformats.org/officeDocument/2006/customXml" ds:itemID="{56D47B68-9E7D-4D03-AC72-33689C2CE7F1}">
  <ds:schemaRefs>
    <ds:schemaRef ds:uri="http://schemas.microsoft.com/sharepoint/events"/>
  </ds:schemaRefs>
</ds:datastoreItem>
</file>

<file path=customXml/itemProps6.xml><?xml version="1.0" encoding="utf-8"?>
<ds:datastoreItem xmlns:ds="http://schemas.openxmlformats.org/officeDocument/2006/customXml" ds:itemID="{E05B9CE4-DCF5-44D6-A1AF-FECEF6A12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DR168 - Dr Priyanka Bandara - Telecommunications Universal Service Obligation - Public inquiry</vt:lpstr>
    </vt:vector>
  </TitlesOfParts>
  <Company>Dr Priyanka Bandara</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Dr Priyanka Bandara - Telecommunications Universal Service Obligation - Public inquiry</dc:title>
  <dc:subject/>
  <dc:creator>Dr Priyanka Bandara</dc:creator>
  <cp:keywords/>
  <dc:description/>
  <cp:lastModifiedBy>Productivity Commission</cp:lastModifiedBy>
  <cp:revision>4</cp:revision>
  <dcterms:created xsi:type="dcterms:W3CDTF">2017-02-28T23:26:00Z</dcterms:created>
  <dcterms:modified xsi:type="dcterms:W3CDTF">2017-03-01T01:13:00Z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0bd85a14-8035-4f97-a089-2d44daf5019e</vt:lpwstr>
  </property>
  <property fmtid="{D5CDD505-2E9C-101B-9397-08002B2CF9AE}" pid="4" name="Record Tag">
    <vt:lpwstr>4487;#Submissions - Stage 2|df6c8b62-a0f6-48ca-9bad-05bd9d9348d3</vt:lpwstr>
  </property>
  <property fmtid="{D5CDD505-2E9C-101B-9397-08002B2CF9AE}" pid="5" name="TaxKeyword">
    <vt:lpwstr/>
  </property>
</Properties>
</file>