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FFBBF" w14:textId="77777777" w:rsidR="00E535CF" w:rsidRPr="00B74347" w:rsidRDefault="0092374A" w:rsidP="00B74347">
      <w:pPr>
        <w:spacing w:before="1400"/>
        <w:ind w:left="1134"/>
        <w:jc w:val="both"/>
      </w:pPr>
      <w:bookmarkStart w:id="0" w:name="_GoBack"/>
      <w:bookmarkEnd w:id="0"/>
      <w:r w:rsidRPr="00B74347">
        <w:rPr>
          <w:noProof/>
          <w:lang w:val="en-AU" w:eastAsia="en-AU"/>
        </w:rPr>
        <w:drawing>
          <wp:anchor distT="0" distB="0" distL="114300" distR="114300" simplePos="0" relativeHeight="251657728" behindDoc="1" locked="0" layoutInCell="1" allowOverlap="1" wp14:anchorId="033A381B" wp14:editId="6B871F4D">
            <wp:simplePos x="0" y="0"/>
            <wp:positionH relativeFrom="column">
              <wp:posOffset>495935</wp:posOffset>
            </wp:positionH>
            <wp:positionV relativeFrom="paragraph">
              <wp:posOffset>-73660</wp:posOffset>
            </wp:positionV>
            <wp:extent cx="2262505" cy="1058545"/>
            <wp:effectExtent l="0" t="0" r="0" b="8255"/>
            <wp:wrapNone/>
            <wp:docPr id="3" name="Picture 11"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50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98DED" w14:textId="77777777" w:rsidR="00C4267C" w:rsidRPr="00B74347" w:rsidRDefault="00805EE7" w:rsidP="00805EE7">
      <w:pPr>
        <w:pStyle w:val="Title"/>
        <w:spacing w:before="200"/>
      </w:pPr>
      <w:r>
        <w:t xml:space="preserve">             </w:t>
      </w:r>
      <w:r w:rsidR="00654035">
        <w:t>Submission</w:t>
      </w:r>
    </w:p>
    <w:p w14:paraId="10C69824" w14:textId="77777777" w:rsidR="00805EE7" w:rsidRDefault="00805EE7" w:rsidP="00805EE7">
      <w:pPr>
        <w:jc w:val="center"/>
        <w:rPr>
          <w:rFonts w:ascii="Goudy Old Style" w:hAnsi="Goudy Old Style" w:cs="Goudy Old Style"/>
          <w:color w:val="211D1E"/>
          <w:sz w:val="42"/>
          <w:szCs w:val="42"/>
        </w:rPr>
      </w:pPr>
    </w:p>
    <w:p w14:paraId="2DC744CB" w14:textId="77777777" w:rsidR="00805EE7" w:rsidRDefault="00805EE7" w:rsidP="00805EE7">
      <w:pPr>
        <w:jc w:val="center"/>
        <w:rPr>
          <w:rFonts w:ascii="Goudy Old Style" w:hAnsi="Goudy Old Style" w:cs="Goudy Old Style"/>
          <w:color w:val="211D1E"/>
          <w:sz w:val="42"/>
          <w:szCs w:val="42"/>
        </w:rPr>
      </w:pPr>
    </w:p>
    <w:p w14:paraId="50A6DD90" w14:textId="77777777" w:rsidR="00805EE7" w:rsidRPr="00805EE7" w:rsidRDefault="00805EE7" w:rsidP="00805EE7">
      <w:pPr>
        <w:pStyle w:val="Heading1"/>
        <w:jc w:val="center"/>
      </w:pPr>
      <w:r w:rsidRPr="00805EE7">
        <w:t>Productivity Commission Review of National Disability Insurance Scheme (NDIS) Costs</w:t>
      </w:r>
    </w:p>
    <w:p w14:paraId="2C8EB189" w14:textId="77777777" w:rsidR="00805EE7" w:rsidRPr="00805EE7" w:rsidRDefault="00805EE7" w:rsidP="00805EE7">
      <w:pPr>
        <w:pStyle w:val="Heading1"/>
        <w:jc w:val="center"/>
      </w:pPr>
    </w:p>
    <w:p w14:paraId="793D8E89" w14:textId="77777777" w:rsidR="00805EE7" w:rsidRPr="00805EE7" w:rsidRDefault="00805EE7" w:rsidP="00805EE7">
      <w:pPr>
        <w:pStyle w:val="Heading1"/>
        <w:jc w:val="center"/>
      </w:pPr>
      <w:r w:rsidRPr="00805EE7">
        <w:t>Richard Madden</w:t>
      </w:r>
    </w:p>
    <w:p w14:paraId="49921FB2" w14:textId="77777777" w:rsidR="00805EE7" w:rsidRPr="00805EE7" w:rsidRDefault="00805EE7" w:rsidP="00805EE7">
      <w:pPr>
        <w:pStyle w:val="Heading1"/>
        <w:jc w:val="center"/>
        <w:rPr>
          <w:color w:val="211D1E"/>
        </w:rPr>
      </w:pPr>
    </w:p>
    <w:p w14:paraId="05D6C84F" w14:textId="77777777" w:rsidR="00805EE7" w:rsidRDefault="00805EE7" w:rsidP="00805EE7">
      <w:pPr>
        <w:jc w:val="center"/>
        <w:rPr>
          <w:rFonts w:ascii="Goudy Old Style" w:hAnsi="Goudy Old Style" w:cs="Goudy Old Style"/>
          <w:color w:val="211D1E"/>
          <w:sz w:val="42"/>
          <w:szCs w:val="42"/>
        </w:rPr>
      </w:pPr>
    </w:p>
    <w:p w14:paraId="1BCF2D9B" w14:textId="77777777" w:rsidR="00805EE7" w:rsidRDefault="00805EE7" w:rsidP="00805EE7">
      <w:pPr>
        <w:jc w:val="center"/>
        <w:rPr>
          <w:rFonts w:ascii="Goudy Old Style" w:hAnsi="Goudy Old Style" w:cs="Goudy Old Style"/>
          <w:color w:val="211D1E"/>
          <w:sz w:val="42"/>
          <w:szCs w:val="42"/>
        </w:rPr>
      </w:pPr>
    </w:p>
    <w:p w14:paraId="761561E8" w14:textId="77777777" w:rsidR="00011BAF" w:rsidRPr="00B74347" w:rsidRDefault="0023662B" w:rsidP="00E24F93">
      <w:pPr>
        <w:pStyle w:val="Title"/>
        <w:jc w:val="both"/>
        <w:rPr>
          <w:b w:val="0"/>
          <w:sz w:val="40"/>
          <w:szCs w:val="40"/>
        </w:rPr>
      </w:pPr>
      <w:r w:rsidRPr="00366B84">
        <w:rPr>
          <w:b w:val="0"/>
          <w:noProof/>
          <w:sz w:val="40"/>
          <w:szCs w:val="40"/>
          <w:lang w:val="en-AU" w:eastAsia="en-AU"/>
        </w:rPr>
        <w:lastRenderedPageBreak/>
        <mc:AlternateContent>
          <mc:Choice Requires="wps">
            <w:drawing>
              <wp:anchor distT="0" distB="0" distL="114300" distR="114300" simplePos="0" relativeHeight="251664896" behindDoc="0" locked="0" layoutInCell="1" allowOverlap="1" wp14:anchorId="39C8AF5B" wp14:editId="62FC137E">
                <wp:simplePos x="0" y="0"/>
                <wp:positionH relativeFrom="column">
                  <wp:posOffset>731520</wp:posOffset>
                </wp:positionH>
                <wp:positionV relativeFrom="paragraph">
                  <wp:posOffset>4405630</wp:posOffset>
                </wp:positionV>
                <wp:extent cx="333946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403985"/>
                        </a:xfrm>
                        <a:prstGeom prst="rect">
                          <a:avLst/>
                        </a:prstGeom>
                        <a:noFill/>
                        <a:ln w="9525">
                          <a:noFill/>
                          <a:miter lim="800000"/>
                          <a:headEnd/>
                          <a:tailEnd/>
                        </a:ln>
                      </wps:spPr>
                      <wps:txbx>
                        <w:txbxContent>
                          <w:p w14:paraId="46CA4442" w14:textId="77777777" w:rsidR="00BB7620" w:rsidRPr="0023662B" w:rsidRDefault="00BB7620" w:rsidP="0023662B">
                            <w:pPr>
                              <w:rPr>
                                <w:b/>
                                <w:color w:val="FFFFFF" w:themeColor="background1"/>
                                <w:sz w:val="56"/>
                                <w:szCs w:val="56"/>
                              </w:rPr>
                            </w:pPr>
                            <w:r w:rsidRPr="0023662B">
                              <w:rPr>
                                <w:b/>
                                <w:color w:val="FFFFFF" w:themeColor="background1"/>
                                <w:sz w:val="56"/>
                                <w:szCs w:val="56"/>
                              </w:rPr>
                              <w:t>Centre for Disability Research and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9C8AF5B" id="_x0000_t202" coordsize="21600,21600" o:spt="202" path="m,l,21600r21600,l21600,xe">
                <v:stroke joinstyle="miter"/>
                <v:path gradientshapeok="t" o:connecttype="rect"/>
              </v:shapetype>
              <v:shape id="Text Box 2" o:spid="_x0000_s1026" type="#_x0000_t202" style="position:absolute;left:0;text-align:left;margin-left:57.6pt;margin-top:346.9pt;width:262.9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" filled="f" stroked="f">
                <v:textbox style="mso-fit-shape-to-text:t">
                  <w:txbxContent>
                    <w:p w14:paraId="46CA4442" w14:textId="77777777" w:rsidR="00BB7620" w:rsidRPr="0023662B" w:rsidRDefault="00BB7620" w:rsidP="0023662B">
                      <w:pPr>
                        <w:rPr>
                          <w:b/>
                          <w:color w:val="FFFFFF" w:themeColor="background1"/>
                          <w:sz w:val="56"/>
                          <w:szCs w:val="56"/>
                        </w:rPr>
                      </w:pPr>
                      <w:r w:rsidRPr="0023662B">
                        <w:rPr>
                          <w:b/>
                          <w:color w:val="FFFFFF" w:themeColor="background1"/>
                          <w:sz w:val="56"/>
                          <w:szCs w:val="56"/>
                        </w:rPr>
                        <w:t>Centre for Disability Research and Policy</w:t>
                      </w:r>
                    </w:p>
                  </w:txbxContent>
                </v:textbox>
              </v:shape>
            </w:pict>
          </mc:Fallback>
        </mc:AlternateContent>
      </w:r>
      <w:r w:rsidR="00011BAF" w:rsidRPr="00B74347">
        <w:rPr>
          <w:b w:val="0"/>
          <w:sz w:val="40"/>
          <w:szCs w:val="40"/>
        </w:rPr>
        <w:br w:type="page"/>
      </w:r>
      <w:r w:rsidR="001F540D">
        <w:rPr>
          <w:b w:val="0"/>
          <w:noProof/>
          <w:sz w:val="40"/>
          <w:szCs w:val="40"/>
          <w:lang w:val="en-AU" w:eastAsia="en-AU"/>
        </w:rPr>
        <w:drawing>
          <wp:anchor distT="0" distB="0" distL="114300" distR="114300" simplePos="0" relativeHeight="251666944" behindDoc="0" locked="0" layoutInCell="1" allowOverlap="1" wp14:anchorId="7B84B604" wp14:editId="2D47B137">
            <wp:simplePos x="0" y="0"/>
            <wp:positionH relativeFrom="column">
              <wp:posOffset>878205</wp:posOffset>
            </wp:positionH>
            <wp:positionV relativeFrom="paragraph">
              <wp:posOffset>-1266825</wp:posOffset>
            </wp:positionV>
            <wp:extent cx="5283200" cy="6692900"/>
            <wp:effectExtent l="0" t="0" r="0" b="0"/>
            <wp:wrapSquare wrapText="bothSides"/>
            <wp:docPr id="4" name="Picture 4" descr="Z:\Research Groups\Centre for Disability Research and Policy\IMAGES - CDRP and WHOCC\Sunshine Images\Sunshine_Art_studio_works\Helen_Cook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search Groups\Centre for Disability Research and Policy\IMAGES - CDRP and WHOCC\Sunshine Images\Sunshine_Art_studio_works\Helen_Cooke2.jpg"/>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t="1609" r="-116" b="13666"/>
                    <a:stretch/>
                  </pic:blipFill>
                  <pic:spPr bwMode="auto">
                    <a:xfrm>
                      <a:off x="0" y="0"/>
                      <a:ext cx="5283200" cy="669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59EFE0" w14:textId="77777777" w:rsidR="0023662B" w:rsidRPr="00A0143F" w:rsidRDefault="00654035" w:rsidP="0023662B">
      <w:pPr>
        <w:pStyle w:val="Heading1"/>
      </w:pPr>
      <w:r>
        <w:lastRenderedPageBreak/>
        <w:t>Submission</w:t>
      </w:r>
    </w:p>
    <w:p w14:paraId="6E54421C" w14:textId="77777777" w:rsidR="00894301" w:rsidRDefault="00894301" w:rsidP="0023662B">
      <w:pPr>
        <w:rPr>
          <w:bCs/>
          <w:sz w:val="40"/>
          <w:szCs w:val="26"/>
        </w:rPr>
      </w:pPr>
      <w:r>
        <w:rPr>
          <w:bCs/>
          <w:sz w:val="40"/>
          <w:szCs w:val="26"/>
        </w:rPr>
        <w:t>National Disability Insurance Scheme (</w:t>
      </w:r>
      <w:r w:rsidRPr="00894301">
        <w:rPr>
          <w:bCs/>
          <w:sz w:val="40"/>
          <w:szCs w:val="26"/>
        </w:rPr>
        <w:t>NDIS</w:t>
      </w:r>
      <w:r>
        <w:rPr>
          <w:bCs/>
          <w:sz w:val="40"/>
          <w:szCs w:val="26"/>
        </w:rPr>
        <w:t>)</w:t>
      </w:r>
      <w:r w:rsidRPr="00894301">
        <w:rPr>
          <w:bCs/>
          <w:sz w:val="40"/>
          <w:szCs w:val="26"/>
        </w:rPr>
        <w:t xml:space="preserve"> Costs </w:t>
      </w:r>
    </w:p>
    <w:p w14:paraId="31790EEE" w14:textId="77777777" w:rsidR="00894301" w:rsidRDefault="00894301" w:rsidP="00894301">
      <w:pPr>
        <w:rPr>
          <w:bCs/>
          <w:sz w:val="40"/>
          <w:szCs w:val="26"/>
        </w:rPr>
      </w:pPr>
      <w:r w:rsidRPr="00894301">
        <w:rPr>
          <w:bCs/>
          <w:sz w:val="40"/>
          <w:szCs w:val="26"/>
        </w:rPr>
        <w:t xml:space="preserve">Productivity Commission </w:t>
      </w:r>
    </w:p>
    <w:p w14:paraId="0C3E8386" w14:textId="77777777" w:rsidR="00894301" w:rsidRDefault="00894301" w:rsidP="00894301">
      <w:pPr>
        <w:pStyle w:val="Heading3"/>
      </w:pPr>
    </w:p>
    <w:p w14:paraId="554874F5" w14:textId="77777777" w:rsidR="00894301" w:rsidRDefault="00894301" w:rsidP="00894301"/>
    <w:p w14:paraId="57BBCD91" w14:textId="77777777" w:rsidR="00894301" w:rsidRDefault="00894301" w:rsidP="00894301"/>
    <w:p w14:paraId="5ACA2976" w14:textId="77777777" w:rsidR="00894301" w:rsidRDefault="00894301" w:rsidP="00894301"/>
    <w:p w14:paraId="18A58264" w14:textId="77777777" w:rsidR="00894301" w:rsidRDefault="00894301" w:rsidP="00894301">
      <w:pPr>
        <w:pStyle w:val="Heading4"/>
      </w:pPr>
      <w:r>
        <w:t>March 2017</w:t>
      </w:r>
    </w:p>
    <w:p w14:paraId="2087E6BC" w14:textId="77777777" w:rsidR="00894301" w:rsidRDefault="00894301" w:rsidP="00894301">
      <w:pPr>
        <w:rPr>
          <w:sz w:val="24"/>
        </w:rPr>
      </w:pPr>
    </w:p>
    <w:p w14:paraId="18AB7AD0" w14:textId="77777777" w:rsidR="00894301" w:rsidRPr="004D6D47" w:rsidRDefault="00894301" w:rsidP="00894301">
      <w:pPr>
        <w:rPr>
          <w:sz w:val="24"/>
        </w:rPr>
      </w:pPr>
      <w:r w:rsidRPr="004D6D47">
        <w:rPr>
          <w:sz w:val="24"/>
        </w:rPr>
        <w:t>Centre for Disability Research and Policy</w:t>
      </w:r>
    </w:p>
    <w:p w14:paraId="0593401A" w14:textId="77777777" w:rsidR="00894301" w:rsidRDefault="00894301" w:rsidP="00894301">
      <w:pPr>
        <w:rPr>
          <w:sz w:val="24"/>
        </w:rPr>
      </w:pPr>
      <w:r w:rsidRPr="004D6D47">
        <w:rPr>
          <w:sz w:val="24"/>
        </w:rPr>
        <w:t>Faculty of Health Sciences, University of Sydney</w:t>
      </w:r>
    </w:p>
    <w:p w14:paraId="7D0EE44F" w14:textId="77777777" w:rsidR="00894301" w:rsidRDefault="00894301" w:rsidP="00894301">
      <w:pPr>
        <w:rPr>
          <w:sz w:val="24"/>
        </w:rPr>
      </w:pPr>
    </w:p>
    <w:p w14:paraId="3F5993C0" w14:textId="77777777" w:rsidR="00894301" w:rsidRPr="00E95AEB" w:rsidRDefault="00894301" w:rsidP="00894301">
      <w:pPr>
        <w:rPr>
          <w:b/>
        </w:rPr>
      </w:pPr>
    </w:p>
    <w:p w14:paraId="6A85F9B3" w14:textId="77777777" w:rsidR="00894301" w:rsidRDefault="00894301" w:rsidP="00894301">
      <w:pPr>
        <w:ind w:firstLine="1134"/>
      </w:pPr>
    </w:p>
    <w:p w14:paraId="30C936C6" w14:textId="77777777" w:rsidR="00894301" w:rsidRPr="004519B4" w:rsidRDefault="00894301" w:rsidP="00894301">
      <w:pPr>
        <w:spacing w:before="120"/>
        <w:rPr>
          <w:b/>
          <w:color w:val="E64626"/>
          <w:sz w:val="26"/>
          <w:szCs w:val="26"/>
        </w:rPr>
      </w:pPr>
      <w:r w:rsidRPr="004519B4">
        <w:rPr>
          <w:b/>
          <w:color w:val="E64626"/>
          <w:sz w:val="26"/>
          <w:szCs w:val="26"/>
        </w:rPr>
        <w:t>Author</w:t>
      </w:r>
    </w:p>
    <w:p w14:paraId="32470F3D" w14:textId="77777777" w:rsidR="00805EE7" w:rsidRDefault="00654035" w:rsidP="00805EE7">
      <w:pPr>
        <w:spacing w:before="60"/>
        <w:rPr>
          <w:sz w:val="24"/>
        </w:rPr>
      </w:pPr>
      <w:r w:rsidRPr="00654035">
        <w:rPr>
          <w:sz w:val="24"/>
        </w:rPr>
        <w:t>Professor Richard Madden, NDIS Stream Leader, Centre for Disability Research and Policy, University of Sydney</w:t>
      </w:r>
    </w:p>
    <w:p w14:paraId="6B2071AC" w14:textId="77777777" w:rsidR="00805EE7" w:rsidRDefault="00805EE7" w:rsidP="00805EE7">
      <w:pPr>
        <w:spacing w:before="60"/>
        <w:rPr>
          <w:sz w:val="24"/>
        </w:rPr>
      </w:pPr>
    </w:p>
    <w:p w14:paraId="56B5BD82" w14:textId="77777777" w:rsidR="00805EE7" w:rsidRPr="00805EE7" w:rsidRDefault="00805EE7" w:rsidP="00805EE7">
      <w:pPr>
        <w:spacing w:before="60"/>
        <w:rPr>
          <w:noProof/>
          <w:color w:val="auto"/>
          <w:sz w:val="40"/>
          <w:szCs w:val="40"/>
        </w:rPr>
      </w:pPr>
      <w:r w:rsidRPr="00805EE7">
        <w:rPr>
          <w:sz w:val="24"/>
        </w:rPr>
        <w:t>R</w:t>
      </w:r>
      <w:r w:rsidRPr="00805EE7">
        <w:rPr>
          <w:rFonts w:cs="Goudy Old Style"/>
          <w:color w:val="auto"/>
          <w:sz w:val="24"/>
        </w:rPr>
        <w:t>ichard Madden</w:t>
      </w:r>
      <w:r w:rsidRPr="00805EE7">
        <w:rPr>
          <w:bCs/>
          <w:color w:val="auto"/>
          <w:sz w:val="24"/>
        </w:rPr>
        <w:t xml:space="preserve"> is Professor of Health Statistics at the University of Sydney</w:t>
      </w:r>
      <w:r>
        <w:rPr>
          <w:bCs/>
          <w:color w:val="auto"/>
          <w:sz w:val="24"/>
        </w:rPr>
        <w:t>. He is a statistician and actuary</w:t>
      </w:r>
      <w:r w:rsidRPr="00805EE7">
        <w:rPr>
          <w:bCs/>
          <w:color w:val="auto"/>
          <w:sz w:val="24"/>
        </w:rPr>
        <w:t>. He is Chair of House with No Steps, a major Australian disability service provider and a Board member of Royal Rehab. He chairs the Advisory Board for the NDS Centre for Applied Disability Research</w:t>
      </w:r>
    </w:p>
    <w:p w14:paraId="1533FEF8" w14:textId="77777777" w:rsidR="00805EE7" w:rsidRPr="00805EE7" w:rsidRDefault="00805EE7" w:rsidP="00654035">
      <w:pPr>
        <w:spacing w:before="60"/>
        <w:rPr>
          <w:color w:val="auto"/>
          <w:sz w:val="24"/>
        </w:rPr>
      </w:pPr>
    </w:p>
    <w:p w14:paraId="06C9224D" w14:textId="77777777" w:rsidR="00894301" w:rsidRPr="004D6D47" w:rsidRDefault="00894301" w:rsidP="00894301">
      <w:pPr>
        <w:rPr>
          <w:sz w:val="24"/>
        </w:rPr>
      </w:pPr>
    </w:p>
    <w:p w14:paraId="6D358BE8" w14:textId="77777777" w:rsidR="00894301" w:rsidRPr="004D6D47" w:rsidRDefault="00894301" w:rsidP="00894301">
      <w:pPr>
        <w:ind w:firstLine="1134"/>
        <w:rPr>
          <w:sz w:val="24"/>
        </w:rPr>
      </w:pPr>
    </w:p>
    <w:p w14:paraId="3A453C5E" w14:textId="77777777" w:rsidR="00894301" w:rsidRPr="004D6D47" w:rsidRDefault="00894301" w:rsidP="00894301">
      <w:pPr>
        <w:ind w:firstLine="1134"/>
        <w:rPr>
          <w:sz w:val="24"/>
        </w:rPr>
      </w:pPr>
    </w:p>
    <w:p w14:paraId="0D29AA02" w14:textId="77777777" w:rsidR="00894301" w:rsidRPr="004D6D47" w:rsidRDefault="00894301" w:rsidP="00894301">
      <w:pPr>
        <w:ind w:firstLine="1134"/>
        <w:rPr>
          <w:sz w:val="24"/>
        </w:rPr>
      </w:pPr>
    </w:p>
    <w:p w14:paraId="126BC9A0" w14:textId="77777777" w:rsidR="00894301" w:rsidRPr="004D6D47" w:rsidRDefault="00894301" w:rsidP="00894301">
      <w:pPr>
        <w:ind w:firstLine="1134"/>
        <w:rPr>
          <w:sz w:val="24"/>
        </w:rPr>
      </w:pPr>
    </w:p>
    <w:p w14:paraId="4C22A9C2" w14:textId="77777777" w:rsidR="00894301" w:rsidRPr="004519B4" w:rsidRDefault="00894301" w:rsidP="00894301">
      <w:pPr>
        <w:rPr>
          <w:b/>
          <w:color w:val="E64626"/>
          <w:sz w:val="26"/>
          <w:szCs w:val="26"/>
        </w:rPr>
      </w:pPr>
      <w:r>
        <w:rPr>
          <w:b/>
          <w:color w:val="E64626"/>
          <w:sz w:val="26"/>
          <w:szCs w:val="26"/>
        </w:rPr>
        <w:t>Contact details</w:t>
      </w:r>
      <w:r w:rsidRPr="004519B4">
        <w:rPr>
          <w:b/>
          <w:color w:val="E64626"/>
          <w:sz w:val="26"/>
          <w:szCs w:val="26"/>
        </w:rPr>
        <w:t xml:space="preserve"> </w:t>
      </w:r>
    </w:p>
    <w:p w14:paraId="68D75EE0" w14:textId="77777777" w:rsidR="00894301" w:rsidRPr="004D6D47" w:rsidRDefault="003772B4" w:rsidP="00894301">
      <w:pPr>
        <w:rPr>
          <w:sz w:val="24"/>
        </w:rPr>
      </w:pPr>
      <w:r>
        <w:rPr>
          <w:sz w:val="24"/>
        </w:rPr>
        <w:t xml:space="preserve">Richard Madden </w:t>
      </w:r>
    </w:p>
    <w:p w14:paraId="295FAAB1" w14:textId="77777777" w:rsidR="00894301" w:rsidRPr="004D6D47" w:rsidRDefault="00894301" w:rsidP="00894301">
      <w:pPr>
        <w:rPr>
          <w:sz w:val="24"/>
        </w:rPr>
      </w:pPr>
      <w:r w:rsidRPr="004D6D47">
        <w:rPr>
          <w:sz w:val="24"/>
        </w:rPr>
        <w:t>Centre for Disability Research and Policy</w:t>
      </w:r>
    </w:p>
    <w:p w14:paraId="562410AE" w14:textId="77777777" w:rsidR="00894301" w:rsidRPr="004D6D47" w:rsidRDefault="00894301" w:rsidP="00894301">
      <w:pPr>
        <w:rPr>
          <w:sz w:val="24"/>
        </w:rPr>
      </w:pPr>
      <w:r w:rsidRPr="004D6D47">
        <w:rPr>
          <w:sz w:val="24"/>
        </w:rPr>
        <w:t>Faculty of Health Sciences, University of Sydney</w:t>
      </w:r>
    </w:p>
    <w:p w14:paraId="40A0CEE2" w14:textId="77777777" w:rsidR="00894301" w:rsidRPr="004D6D47" w:rsidRDefault="00894301" w:rsidP="00894301">
      <w:pPr>
        <w:rPr>
          <w:sz w:val="24"/>
        </w:rPr>
      </w:pPr>
      <w:r w:rsidRPr="004D6D47">
        <w:rPr>
          <w:sz w:val="24"/>
        </w:rPr>
        <w:t>PO Box 170, Lidcombe NSW 1825, Australia</w:t>
      </w:r>
    </w:p>
    <w:p w14:paraId="12C50710" w14:textId="77777777" w:rsidR="00894301" w:rsidRDefault="00894301" w:rsidP="00894301">
      <w:pPr>
        <w:rPr>
          <w:sz w:val="24"/>
        </w:rPr>
      </w:pPr>
    </w:p>
    <w:p w14:paraId="2BACA530" w14:textId="77777777" w:rsidR="00894301" w:rsidRPr="004D6D47" w:rsidRDefault="00894301" w:rsidP="00894301">
      <w:pPr>
        <w:rPr>
          <w:sz w:val="24"/>
        </w:rPr>
      </w:pPr>
    </w:p>
    <w:p w14:paraId="1949FB01" w14:textId="77777777" w:rsidR="00894301" w:rsidRDefault="00894301" w:rsidP="00894301"/>
    <w:p w14:paraId="462F23AA" w14:textId="77777777" w:rsidR="00894301" w:rsidRDefault="00894301" w:rsidP="00894301"/>
    <w:p w14:paraId="1978037B" w14:textId="77777777" w:rsidR="00894301" w:rsidRDefault="00894301" w:rsidP="00894301"/>
    <w:p w14:paraId="2C2A4D8B" w14:textId="77777777" w:rsidR="00894301" w:rsidRDefault="00894301" w:rsidP="00894301"/>
    <w:p w14:paraId="6DED8863" w14:textId="77777777" w:rsidR="00894301" w:rsidRDefault="00894301" w:rsidP="00894301"/>
    <w:p w14:paraId="4C963553" w14:textId="77777777" w:rsidR="00894301" w:rsidRDefault="00894301" w:rsidP="00894301"/>
    <w:p w14:paraId="398898A1" w14:textId="77777777" w:rsidR="00894301" w:rsidRDefault="00894301" w:rsidP="00894301"/>
    <w:p w14:paraId="48542C68" w14:textId="77777777" w:rsidR="00894301" w:rsidRDefault="00894301" w:rsidP="00894301">
      <w:pPr>
        <w:spacing w:line="240" w:lineRule="atLeast"/>
        <w:ind w:right="574"/>
        <w:jc w:val="both"/>
        <w:rPr>
          <w:sz w:val="18"/>
          <w:szCs w:val="18"/>
        </w:rPr>
      </w:pPr>
      <w:r w:rsidRPr="00332888">
        <w:rPr>
          <w:sz w:val="18"/>
          <w:szCs w:val="18"/>
        </w:rPr>
        <w:t>© Centre for Disability Research and Policy</w:t>
      </w:r>
    </w:p>
    <w:p w14:paraId="60387C67" w14:textId="77777777" w:rsidR="00894301" w:rsidRDefault="00894301" w:rsidP="00894301">
      <w:pPr>
        <w:rPr>
          <w:bCs/>
          <w:sz w:val="40"/>
          <w:szCs w:val="26"/>
        </w:rPr>
      </w:pPr>
      <w:r w:rsidRPr="00B768FA">
        <w:rPr>
          <w:rFonts w:eastAsia="Replica Std Light"/>
          <w:sz w:val="18"/>
          <w:szCs w:val="20"/>
        </w:rPr>
        <w:t>C</w:t>
      </w:r>
      <w:r w:rsidRPr="00B768FA">
        <w:rPr>
          <w:rFonts w:eastAsia="Replica Std Light"/>
          <w:spacing w:val="-2"/>
          <w:sz w:val="18"/>
          <w:szCs w:val="20"/>
        </w:rPr>
        <w:t>ov</w:t>
      </w:r>
      <w:r w:rsidRPr="00B768FA">
        <w:rPr>
          <w:rFonts w:eastAsia="Replica Std Light"/>
          <w:sz w:val="18"/>
          <w:szCs w:val="20"/>
        </w:rPr>
        <w:t>er Art</w:t>
      </w:r>
      <w:r w:rsidRPr="00B768FA">
        <w:rPr>
          <w:rFonts w:eastAsia="Replica Std Light"/>
          <w:spacing w:val="-2"/>
          <w:sz w:val="18"/>
          <w:szCs w:val="20"/>
        </w:rPr>
        <w:t>w</w:t>
      </w:r>
      <w:r w:rsidRPr="00B768FA">
        <w:rPr>
          <w:rFonts w:eastAsia="Replica Std Light"/>
          <w:sz w:val="18"/>
          <w:szCs w:val="20"/>
        </w:rPr>
        <w:t xml:space="preserve">ork: </w:t>
      </w:r>
      <w:r w:rsidRPr="00B768FA">
        <w:rPr>
          <w:i/>
          <w:sz w:val="18"/>
          <w:szCs w:val="20"/>
        </w:rPr>
        <w:t>Sunshine's Community Access Program Art Studio</w:t>
      </w:r>
      <w:r>
        <w:rPr>
          <w:bCs/>
          <w:sz w:val="40"/>
          <w:szCs w:val="26"/>
        </w:rPr>
        <w:br w:type="page"/>
      </w:r>
    </w:p>
    <w:p w14:paraId="72096776" w14:textId="77777777" w:rsidR="00894301" w:rsidRDefault="00894301" w:rsidP="0023662B">
      <w:pPr>
        <w:rPr>
          <w:bCs/>
          <w:sz w:val="40"/>
          <w:szCs w:val="26"/>
        </w:rPr>
      </w:pPr>
    </w:p>
    <w:p w14:paraId="6DD31738" w14:textId="77777777" w:rsidR="00805EE7" w:rsidRDefault="00805EE7" w:rsidP="00805EE7">
      <w:pPr>
        <w:spacing w:line="276" w:lineRule="auto"/>
        <w:rPr>
          <w:b/>
          <w:bCs/>
          <w:sz w:val="32"/>
          <w:szCs w:val="32"/>
        </w:rPr>
      </w:pPr>
      <w:r>
        <w:rPr>
          <w:b/>
          <w:bCs/>
          <w:sz w:val="32"/>
          <w:szCs w:val="32"/>
        </w:rPr>
        <w:t>Introduction</w:t>
      </w:r>
    </w:p>
    <w:p w14:paraId="562EBB33" w14:textId="77777777" w:rsidR="00805EE7" w:rsidRDefault="00805EE7" w:rsidP="00805EE7">
      <w:pPr>
        <w:spacing w:line="276" w:lineRule="auto"/>
        <w:rPr>
          <w:b/>
          <w:bCs/>
          <w:sz w:val="32"/>
          <w:szCs w:val="32"/>
        </w:rPr>
      </w:pPr>
    </w:p>
    <w:p w14:paraId="59D0771B" w14:textId="225E5097" w:rsidR="00805EE7" w:rsidRDefault="00805EE7" w:rsidP="00805EE7">
      <w:pPr>
        <w:spacing w:line="276" w:lineRule="auto"/>
        <w:rPr>
          <w:rFonts w:ascii="Book Antiqua" w:hAnsi="Book Antiqua"/>
          <w:bCs/>
          <w:sz w:val="24"/>
        </w:rPr>
      </w:pPr>
      <w:r w:rsidRPr="00DD21DF">
        <w:rPr>
          <w:rFonts w:ascii="Book Antiqua" w:hAnsi="Book Antiqua"/>
          <w:bCs/>
          <w:sz w:val="24"/>
        </w:rPr>
        <w:t>The ND</w:t>
      </w:r>
      <w:r>
        <w:rPr>
          <w:rFonts w:ascii="Book Antiqua" w:hAnsi="Book Antiqua"/>
          <w:bCs/>
          <w:sz w:val="24"/>
        </w:rPr>
        <w:t xml:space="preserve">IS is a great social reform. Its development and </w:t>
      </w:r>
      <w:r w:rsidR="00FD0603">
        <w:rPr>
          <w:rFonts w:ascii="Book Antiqua" w:hAnsi="Book Antiqua"/>
          <w:bCs/>
          <w:sz w:val="24"/>
        </w:rPr>
        <w:t>continuing</w:t>
      </w:r>
      <w:r>
        <w:rPr>
          <w:rFonts w:ascii="Book Antiqua" w:hAnsi="Book Antiqua"/>
          <w:bCs/>
          <w:sz w:val="24"/>
        </w:rPr>
        <w:t xml:space="preserve"> bi-</w:t>
      </w:r>
      <w:r w:rsidR="00FD0603">
        <w:rPr>
          <w:rFonts w:ascii="Book Antiqua" w:hAnsi="Book Antiqua"/>
          <w:bCs/>
          <w:sz w:val="24"/>
        </w:rPr>
        <w:t>p</w:t>
      </w:r>
      <w:r>
        <w:rPr>
          <w:rFonts w:ascii="Book Antiqua" w:hAnsi="Book Antiqua"/>
          <w:bCs/>
          <w:sz w:val="24"/>
        </w:rPr>
        <w:t>artisan support at Commonwealth, State and Territory level has been a great achievement in providing for long term support for people with a disability across Australia in line with the desires of the person themselves and their families and carers. In the early stages of full rollout, it is essential for everyone to support this excellent national initiative of which Australia can be very proud.</w:t>
      </w:r>
    </w:p>
    <w:p w14:paraId="0ED51848" w14:textId="77777777" w:rsidR="00E77224" w:rsidRDefault="00E77224" w:rsidP="00805EE7">
      <w:pPr>
        <w:spacing w:line="276" w:lineRule="auto"/>
        <w:rPr>
          <w:rFonts w:ascii="Book Antiqua" w:hAnsi="Book Antiqua"/>
          <w:bCs/>
          <w:sz w:val="24"/>
        </w:rPr>
      </w:pPr>
    </w:p>
    <w:p w14:paraId="2D763002" w14:textId="50392A6B" w:rsidR="00805EE7" w:rsidRDefault="00805EE7" w:rsidP="00805EE7">
      <w:pPr>
        <w:spacing w:line="276" w:lineRule="auto"/>
        <w:rPr>
          <w:rFonts w:ascii="Book Antiqua" w:hAnsi="Book Antiqua"/>
          <w:bCs/>
          <w:sz w:val="24"/>
        </w:rPr>
      </w:pPr>
      <w:r>
        <w:rPr>
          <w:rFonts w:ascii="Book Antiqua" w:hAnsi="Book Antiqua"/>
          <w:bCs/>
          <w:sz w:val="24"/>
        </w:rPr>
        <w:t xml:space="preserve">The NDIS has been introduced quickly, and involves a large increase in public expenditure, and inevitably some uncertainty as long standing </w:t>
      </w:r>
      <w:r w:rsidR="00DE6ED9">
        <w:rPr>
          <w:rFonts w:ascii="Book Antiqua" w:hAnsi="Book Antiqua"/>
          <w:bCs/>
          <w:sz w:val="24"/>
        </w:rPr>
        <w:t xml:space="preserve">support </w:t>
      </w:r>
      <w:r>
        <w:rPr>
          <w:rFonts w:ascii="Book Antiqua" w:hAnsi="Book Antiqua"/>
          <w:bCs/>
          <w:sz w:val="24"/>
        </w:rPr>
        <w:t>arrangement</w:t>
      </w:r>
      <w:r w:rsidR="00DE6ED9">
        <w:rPr>
          <w:rFonts w:ascii="Book Antiqua" w:hAnsi="Book Antiqua"/>
          <w:bCs/>
          <w:sz w:val="24"/>
        </w:rPr>
        <w:t>s</w:t>
      </w:r>
      <w:r>
        <w:rPr>
          <w:rFonts w:ascii="Book Antiqua" w:hAnsi="Book Antiqua"/>
          <w:bCs/>
          <w:sz w:val="24"/>
        </w:rPr>
        <w:t xml:space="preserve"> change. The change effort has been huge for all involved. Inevitably, there have been issues to be addressed, and some delay in ambitious timetables. These issues, while important, must not detract from the achievements made and the opportunities that </w:t>
      </w:r>
      <w:r w:rsidR="00DE6ED9">
        <w:rPr>
          <w:rFonts w:ascii="Book Antiqua" w:hAnsi="Book Antiqua"/>
          <w:bCs/>
          <w:sz w:val="24"/>
        </w:rPr>
        <w:t>exist</w:t>
      </w:r>
      <w:r>
        <w:rPr>
          <w:rFonts w:ascii="Book Antiqua" w:hAnsi="Book Antiqua"/>
          <w:bCs/>
          <w:sz w:val="24"/>
        </w:rPr>
        <w:t xml:space="preserve">. </w:t>
      </w:r>
    </w:p>
    <w:p w14:paraId="2A1C9777" w14:textId="77777777" w:rsidR="00DE6ED9" w:rsidRDefault="00DE6ED9" w:rsidP="00805EE7">
      <w:pPr>
        <w:spacing w:line="276" w:lineRule="auto"/>
        <w:rPr>
          <w:rFonts w:ascii="Book Antiqua" w:hAnsi="Book Antiqua"/>
          <w:bCs/>
          <w:sz w:val="24"/>
        </w:rPr>
      </w:pPr>
    </w:p>
    <w:p w14:paraId="25EB88CC" w14:textId="28E90798" w:rsidR="00805EE7" w:rsidRDefault="00805EE7" w:rsidP="00805EE7">
      <w:pPr>
        <w:spacing w:line="276" w:lineRule="auto"/>
        <w:rPr>
          <w:rFonts w:ascii="Book Antiqua" w:hAnsi="Book Antiqua"/>
          <w:bCs/>
          <w:sz w:val="24"/>
        </w:rPr>
      </w:pPr>
      <w:r>
        <w:rPr>
          <w:rFonts w:ascii="Book Antiqua" w:hAnsi="Book Antiqua"/>
          <w:bCs/>
          <w:sz w:val="24"/>
        </w:rPr>
        <w:t xml:space="preserve">This submission </w:t>
      </w:r>
      <w:r w:rsidR="00DE6ED9">
        <w:rPr>
          <w:rFonts w:ascii="Book Antiqua" w:hAnsi="Book Antiqua"/>
          <w:bCs/>
          <w:sz w:val="24"/>
        </w:rPr>
        <w:t xml:space="preserve">covers </w:t>
      </w:r>
      <w:r>
        <w:rPr>
          <w:rFonts w:ascii="Book Antiqua" w:hAnsi="Book Antiqua"/>
          <w:bCs/>
          <w:sz w:val="24"/>
        </w:rPr>
        <w:t>a small number of fundamental issues in the structure and financing on the NDIS</w:t>
      </w:r>
      <w:r w:rsidR="009C338F">
        <w:rPr>
          <w:rFonts w:ascii="Book Antiqua" w:hAnsi="Book Antiqua"/>
          <w:bCs/>
          <w:sz w:val="24"/>
        </w:rPr>
        <w:t>,</w:t>
      </w:r>
      <w:r>
        <w:rPr>
          <w:rFonts w:ascii="Book Antiqua" w:hAnsi="Book Antiqua"/>
          <w:bCs/>
          <w:sz w:val="24"/>
        </w:rPr>
        <w:t xml:space="preserve"> where the author has some experience and has considered the issues for some time. The issues are considered under the main heading</w:t>
      </w:r>
      <w:r w:rsidR="009C338F">
        <w:rPr>
          <w:rFonts w:ascii="Book Antiqua" w:hAnsi="Book Antiqua"/>
          <w:bCs/>
          <w:sz w:val="24"/>
        </w:rPr>
        <w:t>s</w:t>
      </w:r>
      <w:r>
        <w:rPr>
          <w:rFonts w:ascii="Book Antiqua" w:hAnsi="Book Antiqua"/>
          <w:bCs/>
          <w:sz w:val="24"/>
        </w:rPr>
        <w:t xml:space="preserve"> used in the Issues Paper.</w:t>
      </w:r>
    </w:p>
    <w:p w14:paraId="4DE19E7E" w14:textId="77777777" w:rsidR="00987BA9" w:rsidRDefault="00987BA9" w:rsidP="00805EE7">
      <w:pPr>
        <w:spacing w:line="276" w:lineRule="auto"/>
        <w:rPr>
          <w:rFonts w:ascii="Book Antiqua" w:hAnsi="Book Antiqua"/>
          <w:bCs/>
          <w:sz w:val="24"/>
        </w:rPr>
      </w:pPr>
    </w:p>
    <w:p w14:paraId="638A2834" w14:textId="263FC57F" w:rsidR="00987BA9" w:rsidRPr="00DD21DF" w:rsidRDefault="00987BA9" w:rsidP="00805EE7">
      <w:pPr>
        <w:spacing w:line="276" w:lineRule="auto"/>
        <w:rPr>
          <w:rFonts w:ascii="Book Antiqua" w:hAnsi="Book Antiqua"/>
          <w:bCs/>
          <w:sz w:val="24"/>
        </w:rPr>
      </w:pPr>
      <w:r>
        <w:rPr>
          <w:rFonts w:ascii="Book Antiqua" w:hAnsi="Book Antiqua"/>
          <w:bCs/>
          <w:sz w:val="24"/>
        </w:rPr>
        <w:t>Colleagues from the Centre for Disability Research and Policy have made submissions addressing additional important issues.</w:t>
      </w:r>
    </w:p>
    <w:p w14:paraId="57EBC869" w14:textId="77777777" w:rsidR="00805EE7" w:rsidRDefault="00805EE7" w:rsidP="00805EE7">
      <w:pPr>
        <w:spacing w:line="276" w:lineRule="auto"/>
        <w:rPr>
          <w:b/>
          <w:bCs/>
          <w:sz w:val="32"/>
          <w:szCs w:val="32"/>
        </w:rPr>
      </w:pPr>
    </w:p>
    <w:p w14:paraId="0B7436DE" w14:textId="77777777" w:rsidR="00805EE7" w:rsidRDefault="00805EE7" w:rsidP="00805EE7">
      <w:pPr>
        <w:spacing w:line="276" w:lineRule="auto"/>
        <w:rPr>
          <w:b/>
          <w:bCs/>
          <w:sz w:val="32"/>
          <w:szCs w:val="32"/>
        </w:rPr>
      </w:pPr>
      <w:r>
        <w:rPr>
          <w:b/>
          <w:bCs/>
          <w:sz w:val="32"/>
          <w:szCs w:val="32"/>
        </w:rPr>
        <w:br w:type="page"/>
      </w:r>
    </w:p>
    <w:p w14:paraId="0469AA82" w14:textId="77777777" w:rsidR="00805EE7" w:rsidRDefault="00805EE7" w:rsidP="00805EE7">
      <w:pPr>
        <w:spacing w:line="276" w:lineRule="auto"/>
        <w:rPr>
          <w:b/>
          <w:bCs/>
          <w:sz w:val="32"/>
          <w:szCs w:val="32"/>
        </w:rPr>
      </w:pPr>
      <w:r>
        <w:rPr>
          <w:b/>
          <w:bCs/>
          <w:sz w:val="32"/>
          <w:szCs w:val="32"/>
        </w:rPr>
        <w:lastRenderedPageBreak/>
        <w:t>6 Governance and administration of the NDIS</w:t>
      </w:r>
    </w:p>
    <w:p w14:paraId="64BEF81E" w14:textId="77777777" w:rsidR="00805EE7" w:rsidRDefault="00805EE7" w:rsidP="00805EE7">
      <w:pPr>
        <w:pStyle w:val="Default"/>
        <w:spacing w:line="276" w:lineRule="auto"/>
        <w:rPr>
          <w:color w:val="auto"/>
        </w:rPr>
      </w:pPr>
    </w:p>
    <w:p w14:paraId="0D418E43" w14:textId="77777777" w:rsidR="00805EE7" w:rsidRDefault="00805EE7" w:rsidP="00805EE7">
      <w:pPr>
        <w:pStyle w:val="Default"/>
        <w:spacing w:line="276" w:lineRule="auto"/>
        <w:rPr>
          <w:i/>
          <w:iCs/>
          <w:sz w:val="22"/>
          <w:szCs w:val="22"/>
        </w:rPr>
      </w:pPr>
      <w:r>
        <w:rPr>
          <w:i/>
          <w:iCs/>
          <w:sz w:val="22"/>
          <w:szCs w:val="22"/>
        </w:rPr>
        <w:t xml:space="preserve">Do existing administrative and governance arrangements affect (or have the potential to affect) the provision of services or scheme costs? What changes, if any, would improve the arrangements? </w:t>
      </w:r>
    </w:p>
    <w:p w14:paraId="26FB6161" w14:textId="77777777" w:rsidR="00805EE7" w:rsidRDefault="00805EE7" w:rsidP="00805EE7">
      <w:pPr>
        <w:pStyle w:val="Default"/>
        <w:spacing w:line="276" w:lineRule="auto"/>
        <w:rPr>
          <w:i/>
          <w:iCs/>
          <w:sz w:val="22"/>
          <w:szCs w:val="22"/>
        </w:rPr>
      </w:pPr>
    </w:p>
    <w:p w14:paraId="14D39331" w14:textId="77777777" w:rsidR="00805EE7" w:rsidRDefault="00805EE7" w:rsidP="00805EE7">
      <w:pPr>
        <w:pStyle w:val="Default"/>
        <w:spacing w:line="276" w:lineRule="auto"/>
        <w:rPr>
          <w:color w:val="auto"/>
        </w:rPr>
      </w:pPr>
    </w:p>
    <w:p w14:paraId="13C2872F" w14:textId="77777777" w:rsidR="00805EE7" w:rsidRDefault="00805EE7" w:rsidP="00805EE7">
      <w:pPr>
        <w:pStyle w:val="Default"/>
        <w:spacing w:line="276" w:lineRule="auto"/>
        <w:rPr>
          <w:sz w:val="22"/>
          <w:szCs w:val="22"/>
        </w:rPr>
      </w:pPr>
      <w:r>
        <w:rPr>
          <w:i/>
          <w:iCs/>
          <w:sz w:val="22"/>
          <w:szCs w:val="22"/>
        </w:rPr>
        <w:t xml:space="preserve">Is there likely to be a need for a provider of last resort? If so, should it be the NDIA? How would this work? </w:t>
      </w:r>
    </w:p>
    <w:p w14:paraId="28C8DB62" w14:textId="77777777" w:rsidR="00805EE7" w:rsidRDefault="00805EE7" w:rsidP="00805EE7">
      <w:pPr>
        <w:spacing w:line="276" w:lineRule="auto"/>
        <w:rPr>
          <w:rFonts w:ascii="Book Antiqua" w:hAnsi="Book Antiqua"/>
          <w:sz w:val="24"/>
        </w:rPr>
      </w:pPr>
    </w:p>
    <w:p w14:paraId="3C95191E" w14:textId="77777777" w:rsidR="00805EE7" w:rsidRPr="00F3110B" w:rsidRDefault="00805EE7" w:rsidP="00805EE7">
      <w:pPr>
        <w:spacing w:line="276" w:lineRule="auto"/>
        <w:rPr>
          <w:rFonts w:ascii="Book Antiqua" w:hAnsi="Book Antiqua"/>
          <w:b/>
          <w:sz w:val="24"/>
        </w:rPr>
      </w:pPr>
      <w:r w:rsidRPr="00F3110B">
        <w:rPr>
          <w:rFonts w:ascii="Book Antiqua" w:hAnsi="Book Antiqua"/>
          <w:b/>
          <w:sz w:val="24"/>
        </w:rPr>
        <w:t xml:space="preserve">Sharing </w:t>
      </w:r>
      <w:r>
        <w:rPr>
          <w:rFonts w:ascii="Book Antiqua" w:hAnsi="Book Antiqua"/>
          <w:b/>
          <w:sz w:val="24"/>
        </w:rPr>
        <w:t xml:space="preserve">NDIS </w:t>
      </w:r>
      <w:r w:rsidRPr="00F3110B">
        <w:rPr>
          <w:rFonts w:ascii="Book Antiqua" w:hAnsi="Book Antiqua"/>
          <w:b/>
          <w:sz w:val="24"/>
        </w:rPr>
        <w:t>cost overruns</w:t>
      </w:r>
    </w:p>
    <w:p w14:paraId="3EF1578F" w14:textId="77777777" w:rsidR="00805EE7" w:rsidRDefault="00805EE7" w:rsidP="00805EE7">
      <w:pPr>
        <w:spacing w:line="276" w:lineRule="auto"/>
        <w:rPr>
          <w:rFonts w:ascii="Book Antiqua" w:hAnsi="Book Antiqua"/>
          <w:sz w:val="24"/>
        </w:rPr>
      </w:pPr>
      <w:r>
        <w:rPr>
          <w:rFonts w:ascii="Book Antiqua" w:hAnsi="Book Antiqua"/>
          <w:sz w:val="24"/>
        </w:rPr>
        <w:t xml:space="preserve">The transition arrangements agreed between the Commonwealth and all States and Territories except Western Australia involve ‘the Commonwealth (being) responsible for meeting 100 per cent of the risk of cost overruns above the contributions outlined above’ (Victoria Schedule B, para 2). </w:t>
      </w:r>
      <w:r w:rsidR="00DE6ED9">
        <w:rPr>
          <w:rFonts w:ascii="Book Antiqua" w:hAnsi="Book Antiqua"/>
          <w:sz w:val="24"/>
        </w:rPr>
        <w:t>The</w:t>
      </w:r>
      <w:r>
        <w:rPr>
          <w:rFonts w:ascii="Book Antiqua" w:hAnsi="Book Antiqua"/>
          <w:sz w:val="24"/>
        </w:rPr>
        <w:t xml:space="preserve"> full scheme arrangements provide for fixed (indexed) contribution from each jurisdiction (Victoria Schedule B, para 28). So the Commonwealth continues to be responsible for 100% of cost overruns.</w:t>
      </w:r>
    </w:p>
    <w:p w14:paraId="4BB8E39D" w14:textId="77777777" w:rsidR="00DE6ED9" w:rsidRDefault="00DE6ED9" w:rsidP="00805EE7">
      <w:pPr>
        <w:spacing w:line="276" w:lineRule="auto"/>
        <w:rPr>
          <w:rFonts w:ascii="Book Antiqua" w:hAnsi="Book Antiqua"/>
          <w:sz w:val="24"/>
        </w:rPr>
      </w:pPr>
    </w:p>
    <w:p w14:paraId="0F00CFA3" w14:textId="77777777" w:rsidR="00DE6ED9" w:rsidRDefault="00805EE7" w:rsidP="00805EE7">
      <w:pPr>
        <w:spacing w:line="276" w:lineRule="auto"/>
        <w:rPr>
          <w:rFonts w:ascii="Book Antiqua" w:hAnsi="Book Antiqua"/>
          <w:sz w:val="24"/>
        </w:rPr>
      </w:pPr>
      <w:r>
        <w:rPr>
          <w:rFonts w:ascii="Book Antiqua" w:hAnsi="Book Antiqua"/>
          <w:sz w:val="24"/>
        </w:rPr>
        <w:t>In contrast the Western Australian agreement provides for ‘the Commonwealth (being) responsible for a maximum of 25 per cent of any cost overruns for higher participant numbers and/or higher average package costs’ (WA Agreement Schedule C, para 2).</w:t>
      </w:r>
      <w:r w:rsidR="00DE6ED9">
        <w:rPr>
          <w:rFonts w:ascii="Book Antiqua" w:hAnsi="Book Antiqua"/>
          <w:sz w:val="24"/>
        </w:rPr>
        <w:t xml:space="preserve"> The</w:t>
      </w:r>
      <w:r>
        <w:rPr>
          <w:rFonts w:ascii="Book Antiqua" w:hAnsi="Book Antiqua"/>
          <w:sz w:val="24"/>
        </w:rPr>
        <w:t xml:space="preserve"> WA arrangement no doubt reflects the fact that WA will administer the NDIS in WA. </w:t>
      </w:r>
    </w:p>
    <w:p w14:paraId="2D2A4C46" w14:textId="77777777" w:rsidR="00DE6ED9" w:rsidRDefault="00DE6ED9" w:rsidP="00805EE7">
      <w:pPr>
        <w:spacing w:line="276" w:lineRule="auto"/>
        <w:rPr>
          <w:rFonts w:ascii="Book Antiqua" w:hAnsi="Book Antiqua"/>
          <w:sz w:val="24"/>
        </w:rPr>
      </w:pPr>
    </w:p>
    <w:p w14:paraId="4ABCEBC7" w14:textId="4036126A" w:rsidR="00805EE7" w:rsidRDefault="00DE6ED9" w:rsidP="00805EE7">
      <w:pPr>
        <w:spacing w:line="276" w:lineRule="auto"/>
        <w:rPr>
          <w:rFonts w:ascii="Book Antiqua" w:hAnsi="Book Antiqua" w:cs="Calibri"/>
          <w:bCs/>
        </w:rPr>
      </w:pPr>
      <w:r>
        <w:rPr>
          <w:rFonts w:ascii="Book Antiqua" w:hAnsi="Book Antiqua"/>
          <w:sz w:val="24"/>
        </w:rPr>
        <w:t>T</w:t>
      </w:r>
      <w:r w:rsidR="00805EE7">
        <w:rPr>
          <w:rFonts w:ascii="Book Antiqua" w:hAnsi="Book Antiqua"/>
          <w:sz w:val="24"/>
        </w:rPr>
        <w:t>here are strong arguments to support a sharing of cost overrun</w:t>
      </w:r>
      <w:r w:rsidR="0071586C">
        <w:rPr>
          <w:rFonts w:ascii="Book Antiqua" w:hAnsi="Book Antiqua"/>
          <w:sz w:val="24"/>
        </w:rPr>
        <w:t>s</w:t>
      </w:r>
      <w:r w:rsidR="00805EE7">
        <w:rPr>
          <w:rFonts w:ascii="Book Antiqua" w:hAnsi="Book Antiqua"/>
          <w:sz w:val="24"/>
        </w:rPr>
        <w:t xml:space="preserve"> in other jurisdictions.</w:t>
      </w:r>
      <w:r>
        <w:rPr>
          <w:rFonts w:ascii="Book Antiqua" w:hAnsi="Book Antiqua"/>
          <w:sz w:val="24"/>
        </w:rPr>
        <w:t xml:space="preserve"> States</w:t>
      </w:r>
      <w:r w:rsidR="00805EE7">
        <w:rPr>
          <w:rFonts w:ascii="Book Antiqua" w:hAnsi="Book Antiqua"/>
          <w:sz w:val="24"/>
        </w:rPr>
        <w:t xml:space="preserve"> and Territories are responsible for supporting NDIS participants with a wide range of mainstream services</w:t>
      </w:r>
      <w:r w:rsidR="00805EE7">
        <w:rPr>
          <w:rFonts w:ascii="Book Antiqua" w:hAnsi="Book Antiqua"/>
        </w:rPr>
        <w:t>.</w:t>
      </w:r>
      <w:r w:rsidR="00805EE7">
        <w:rPr>
          <w:rFonts w:ascii="Book Antiqua" w:hAnsi="Book Antiqua"/>
          <w:sz w:val="24"/>
        </w:rPr>
        <w:t xml:space="preserve"> In 2015, COAG agreed to</w:t>
      </w:r>
      <w:r w:rsidR="00805EE7">
        <w:rPr>
          <w:rFonts w:ascii="Book Antiqua" w:hAnsi="Book Antiqua"/>
        </w:rPr>
        <w:t xml:space="preserve"> ‘</w:t>
      </w:r>
      <w:r w:rsidR="00805EE7" w:rsidRPr="00DF6E3D">
        <w:rPr>
          <w:rFonts w:ascii="Book Antiqua" w:hAnsi="Book Antiqua" w:cs="Calibri"/>
          <w:bCs/>
          <w:sz w:val="24"/>
        </w:rPr>
        <w:t xml:space="preserve">Principles to determine the responsibilities of the </w:t>
      </w:r>
      <w:r w:rsidR="00805EE7">
        <w:rPr>
          <w:rFonts w:ascii="Book Antiqua" w:hAnsi="Book Antiqua" w:cs="Calibri"/>
          <w:bCs/>
        </w:rPr>
        <w:t>NDIS</w:t>
      </w:r>
      <w:r w:rsidR="00805EE7" w:rsidRPr="00DF6E3D">
        <w:rPr>
          <w:rFonts w:ascii="Book Antiqua" w:hAnsi="Book Antiqua" w:cs="Calibri"/>
          <w:bCs/>
          <w:sz w:val="24"/>
        </w:rPr>
        <w:t xml:space="preserve"> and other service systems</w:t>
      </w:r>
      <w:r w:rsidR="00805EE7">
        <w:rPr>
          <w:rFonts w:ascii="Book Antiqua" w:hAnsi="Book Antiqua" w:cs="Calibri"/>
          <w:bCs/>
        </w:rPr>
        <w:t xml:space="preserve">.’ These principles appear to be sensible and should underpin the access of NDIS participants to State and Territory mainstream services. </w:t>
      </w:r>
    </w:p>
    <w:p w14:paraId="4CADFCAC" w14:textId="77777777" w:rsidR="00DE6ED9" w:rsidRDefault="00DE6ED9" w:rsidP="00805EE7">
      <w:pPr>
        <w:spacing w:line="276" w:lineRule="auto"/>
        <w:rPr>
          <w:rFonts w:ascii="Book Antiqua" w:hAnsi="Book Antiqua" w:cs="Calibri"/>
          <w:bCs/>
        </w:rPr>
      </w:pPr>
    </w:p>
    <w:p w14:paraId="49C321FC" w14:textId="486D1A5D"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In practice, State and Territory service systems face tight financial constraints and have to deal with competing priorities between a wide range of clients, including NDIS participants </w:t>
      </w:r>
      <w:r w:rsidR="009C338F">
        <w:rPr>
          <w:rFonts w:ascii="Book Antiqua" w:hAnsi="Book Antiqua" w:cs="Calibri"/>
          <w:bCs/>
        </w:rPr>
        <w:t xml:space="preserve">and </w:t>
      </w:r>
      <w:r>
        <w:rPr>
          <w:rFonts w:ascii="Book Antiqua" w:hAnsi="Book Antiqua" w:cs="Calibri"/>
          <w:bCs/>
        </w:rPr>
        <w:t>also a wide variety of others seeking services. Despite well defined principles to ensure NDIS participants are treated in the same way as others, there will be pressure at all levels of these systems to have NDIS meet as many support needs as possible for NDIS participants. NDIS administrators may also face pressure to fund other services where they consider that early provision of these services will reduce long term NDIS support costs.</w:t>
      </w:r>
    </w:p>
    <w:p w14:paraId="5DFB8FAB" w14:textId="77777777" w:rsidR="00805EE7" w:rsidRDefault="00805EE7" w:rsidP="00805EE7">
      <w:pPr>
        <w:pStyle w:val="Default"/>
        <w:spacing w:line="276" w:lineRule="auto"/>
        <w:rPr>
          <w:rFonts w:ascii="Book Antiqua" w:hAnsi="Book Antiqua" w:cs="Calibri"/>
          <w:bCs/>
        </w:rPr>
      </w:pPr>
    </w:p>
    <w:p w14:paraId="16C38C22" w14:textId="0A917BC5"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Sharing of cost overruns would mean States and </w:t>
      </w:r>
      <w:r w:rsidR="0071586C">
        <w:rPr>
          <w:rFonts w:ascii="Book Antiqua" w:hAnsi="Book Antiqua" w:cs="Calibri"/>
          <w:bCs/>
        </w:rPr>
        <w:t>T</w:t>
      </w:r>
      <w:r>
        <w:rPr>
          <w:rFonts w:ascii="Book Antiqua" w:hAnsi="Book Antiqua" w:cs="Calibri"/>
          <w:bCs/>
        </w:rPr>
        <w:t xml:space="preserve">erritories have ‘skin in the game’ in limiting NDIS cost overruns, which would act to limit </w:t>
      </w:r>
      <w:r w:rsidR="0071586C">
        <w:rPr>
          <w:rFonts w:ascii="Book Antiqua" w:hAnsi="Book Antiqua" w:cs="Calibri"/>
          <w:bCs/>
        </w:rPr>
        <w:t>incentives</w:t>
      </w:r>
      <w:r>
        <w:rPr>
          <w:rFonts w:ascii="Book Antiqua" w:hAnsi="Book Antiqua" w:cs="Calibri"/>
          <w:bCs/>
        </w:rPr>
        <w:t xml:space="preserve"> to have the NDIS meet the cost of services which are available from budget constrained State and Territory systems.</w:t>
      </w:r>
    </w:p>
    <w:p w14:paraId="66E3B53D" w14:textId="77777777" w:rsidR="00805EE7" w:rsidRDefault="00805EE7" w:rsidP="00805EE7">
      <w:pPr>
        <w:pStyle w:val="Default"/>
        <w:spacing w:line="276" w:lineRule="auto"/>
        <w:rPr>
          <w:rFonts w:ascii="Book Antiqua" w:hAnsi="Book Antiqua" w:cs="Calibri"/>
          <w:bCs/>
        </w:rPr>
      </w:pPr>
    </w:p>
    <w:p w14:paraId="48ACCA8A" w14:textId="61E3EE44"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The State </w:t>
      </w:r>
      <w:r w:rsidR="0071586C">
        <w:rPr>
          <w:rFonts w:ascii="Book Antiqua" w:hAnsi="Book Antiqua" w:cs="Calibri"/>
          <w:bCs/>
        </w:rPr>
        <w:t xml:space="preserve">and Territory </w:t>
      </w:r>
      <w:r>
        <w:rPr>
          <w:rFonts w:ascii="Book Antiqua" w:hAnsi="Book Antiqua" w:cs="Calibri"/>
          <w:bCs/>
        </w:rPr>
        <w:t xml:space="preserve">share of overruns would need to be determined having regard to the </w:t>
      </w:r>
      <w:r w:rsidR="0071586C">
        <w:rPr>
          <w:rFonts w:ascii="Book Antiqua" w:hAnsi="Book Antiqua" w:cs="Calibri"/>
          <w:bCs/>
        </w:rPr>
        <w:t>their</w:t>
      </w:r>
      <w:r>
        <w:rPr>
          <w:rFonts w:ascii="Book Antiqua" w:hAnsi="Book Antiqua" w:cs="Calibri"/>
          <w:bCs/>
        </w:rPr>
        <w:t xml:space="preserve"> influence on the cost of the NDIS. Besides the provision of mainstream services, other issues of State </w:t>
      </w:r>
      <w:r w:rsidR="0071586C">
        <w:rPr>
          <w:rFonts w:ascii="Book Antiqua" w:hAnsi="Book Antiqua" w:cs="Calibri"/>
          <w:bCs/>
        </w:rPr>
        <w:t xml:space="preserve">and Territory </w:t>
      </w:r>
      <w:r>
        <w:rPr>
          <w:rFonts w:ascii="Book Antiqua" w:hAnsi="Book Antiqua" w:cs="Calibri"/>
          <w:bCs/>
        </w:rPr>
        <w:t>involvement (see below) would have a bearing.</w:t>
      </w:r>
    </w:p>
    <w:p w14:paraId="27E2E0C2" w14:textId="77777777" w:rsidR="00805EE7" w:rsidRDefault="00805EE7" w:rsidP="00805EE7">
      <w:pPr>
        <w:pStyle w:val="Default"/>
        <w:spacing w:line="276" w:lineRule="auto"/>
        <w:rPr>
          <w:rFonts w:ascii="Book Antiqua" w:hAnsi="Book Antiqua" w:cs="Calibri"/>
          <w:bCs/>
        </w:rPr>
      </w:pPr>
    </w:p>
    <w:p w14:paraId="45D53709" w14:textId="789EB286"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A minimum of 25% State </w:t>
      </w:r>
      <w:r w:rsidR="0071586C">
        <w:rPr>
          <w:rFonts w:ascii="Book Antiqua" w:hAnsi="Book Antiqua" w:cs="Calibri"/>
          <w:bCs/>
        </w:rPr>
        <w:t xml:space="preserve">and Territory </w:t>
      </w:r>
      <w:r>
        <w:rPr>
          <w:rFonts w:ascii="Book Antiqua" w:hAnsi="Book Antiqua" w:cs="Calibri"/>
          <w:bCs/>
        </w:rPr>
        <w:t xml:space="preserve">share </w:t>
      </w:r>
      <w:r w:rsidR="009C338F">
        <w:rPr>
          <w:rFonts w:ascii="Book Antiqua" w:hAnsi="Book Antiqua" w:cs="Calibri"/>
          <w:bCs/>
        </w:rPr>
        <w:t xml:space="preserve">of cost overruns </w:t>
      </w:r>
      <w:r>
        <w:rPr>
          <w:rFonts w:ascii="Book Antiqua" w:hAnsi="Book Antiqua" w:cs="Calibri"/>
          <w:bCs/>
        </w:rPr>
        <w:t>would seem appropriate having regard to the impact of mainstream service provision.</w:t>
      </w:r>
    </w:p>
    <w:p w14:paraId="1FAD35D4" w14:textId="77777777" w:rsidR="00805EE7" w:rsidRDefault="00805EE7" w:rsidP="00805EE7">
      <w:pPr>
        <w:pStyle w:val="Default"/>
        <w:spacing w:line="276" w:lineRule="auto"/>
        <w:rPr>
          <w:rFonts w:ascii="Book Antiqua" w:hAnsi="Book Antiqua" w:cs="Calibri"/>
          <w:bCs/>
        </w:rPr>
      </w:pPr>
    </w:p>
    <w:p w14:paraId="52F6CC86" w14:textId="7B33AC0E" w:rsidR="00805EE7" w:rsidRDefault="00805EE7" w:rsidP="00805EE7">
      <w:pPr>
        <w:pStyle w:val="Default"/>
        <w:spacing w:line="276" w:lineRule="auto"/>
        <w:rPr>
          <w:rFonts w:ascii="Book Antiqua" w:hAnsi="Book Antiqua" w:cs="Calibri"/>
          <w:b/>
          <w:bCs/>
        </w:rPr>
      </w:pPr>
      <w:r w:rsidRPr="00C53539">
        <w:rPr>
          <w:rFonts w:ascii="Book Antiqua" w:hAnsi="Book Antiqua" w:cs="Calibri"/>
          <w:b/>
          <w:bCs/>
        </w:rPr>
        <w:t xml:space="preserve">State </w:t>
      </w:r>
      <w:r w:rsidR="0071586C">
        <w:rPr>
          <w:rFonts w:ascii="Book Antiqua" w:hAnsi="Book Antiqua" w:cs="Calibri"/>
          <w:b/>
          <w:bCs/>
        </w:rPr>
        <w:t xml:space="preserve">and Territory </w:t>
      </w:r>
      <w:r w:rsidRPr="00C53539">
        <w:rPr>
          <w:rFonts w:ascii="Book Antiqua" w:hAnsi="Book Antiqua" w:cs="Calibri"/>
          <w:b/>
          <w:bCs/>
        </w:rPr>
        <w:t xml:space="preserve">involvement </w:t>
      </w:r>
      <w:r>
        <w:rPr>
          <w:rFonts w:ascii="Book Antiqua" w:hAnsi="Book Antiqua" w:cs="Calibri"/>
          <w:b/>
          <w:bCs/>
        </w:rPr>
        <w:t>i</w:t>
      </w:r>
      <w:r w:rsidRPr="00C53539">
        <w:rPr>
          <w:rFonts w:ascii="Book Antiqua" w:hAnsi="Book Antiqua" w:cs="Calibri"/>
          <w:b/>
          <w:bCs/>
        </w:rPr>
        <w:t>n disability support</w:t>
      </w:r>
    </w:p>
    <w:p w14:paraId="61110798" w14:textId="77777777" w:rsidR="00805EE7" w:rsidRDefault="00805EE7" w:rsidP="00805EE7">
      <w:pPr>
        <w:pStyle w:val="Default"/>
        <w:spacing w:line="276" w:lineRule="auto"/>
        <w:rPr>
          <w:rFonts w:ascii="Book Antiqua" w:hAnsi="Book Antiqua" w:cs="Calibri"/>
          <w:b/>
          <w:bCs/>
        </w:rPr>
      </w:pPr>
    </w:p>
    <w:p w14:paraId="655D4708" w14:textId="605B17EF" w:rsidR="00805EE7" w:rsidRDefault="00805EE7" w:rsidP="00805EE7">
      <w:pPr>
        <w:pStyle w:val="Default"/>
        <w:spacing w:line="276" w:lineRule="auto"/>
        <w:rPr>
          <w:rFonts w:ascii="Book Antiqua" w:hAnsi="Book Antiqua" w:cs="Calibri"/>
          <w:bCs/>
        </w:rPr>
      </w:pPr>
      <w:r>
        <w:rPr>
          <w:rFonts w:ascii="Book Antiqua" w:hAnsi="Book Antiqua" w:cs="Calibri"/>
          <w:bCs/>
        </w:rPr>
        <w:t>The bilateral agreements with most States and Territories (WA and SA are exceptions) see those States and Territories withdrawing from responsibility for arranging or delivering disability support services. Generally, withdrawal from direct provision seems sensible, subject to affected people with a disability and their carers being fully engaged in the choice of alternative providers and the existing workforce not being lost to the sector.</w:t>
      </w:r>
    </w:p>
    <w:p w14:paraId="467ADE90" w14:textId="77777777" w:rsidR="00805EE7" w:rsidRDefault="00805EE7" w:rsidP="00805EE7">
      <w:pPr>
        <w:pStyle w:val="Default"/>
        <w:spacing w:line="276" w:lineRule="auto"/>
        <w:rPr>
          <w:rFonts w:ascii="Book Antiqua" w:hAnsi="Book Antiqua" w:cs="Calibri"/>
          <w:bCs/>
        </w:rPr>
      </w:pPr>
    </w:p>
    <w:p w14:paraId="72B9204A"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However, the decision to discontinue any role </w:t>
      </w:r>
      <w:r w:rsidR="00DE6ED9">
        <w:rPr>
          <w:rFonts w:ascii="Book Antiqua" w:hAnsi="Book Antiqua" w:cs="Calibri"/>
          <w:bCs/>
        </w:rPr>
        <w:t xml:space="preserve">at all </w:t>
      </w:r>
      <w:r>
        <w:rPr>
          <w:rFonts w:ascii="Book Antiqua" w:hAnsi="Book Antiqua" w:cs="Calibri"/>
          <w:bCs/>
        </w:rPr>
        <w:t>in arranging services is much more problematic.</w:t>
      </w:r>
    </w:p>
    <w:p w14:paraId="431898E4" w14:textId="77777777" w:rsidR="00805EE7" w:rsidRDefault="00805EE7" w:rsidP="00805EE7">
      <w:pPr>
        <w:pStyle w:val="Default"/>
        <w:spacing w:line="276" w:lineRule="auto"/>
        <w:rPr>
          <w:rFonts w:ascii="Book Antiqua" w:hAnsi="Book Antiqua" w:cs="Calibri"/>
          <w:bCs/>
        </w:rPr>
      </w:pPr>
    </w:p>
    <w:p w14:paraId="21AE2CC9"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The Issues Paper has posed a specific question:</w:t>
      </w:r>
    </w:p>
    <w:p w14:paraId="31F8D936" w14:textId="77777777" w:rsidR="00805EE7" w:rsidRDefault="00805EE7" w:rsidP="00805EE7">
      <w:pPr>
        <w:pStyle w:val="Default"/>
        <w:spacing w:line="276" w:lineRule="auto"/>
        <w:rPr>
          <w:color w:val="auto"/>
        </w:rPr>
      </w:pPr>
    </w:p>
    <w:p w14:paraId="32B1BD51" w14:textId="77777777" w:rsidR="00805EE7" w:rsidRDefault="00805EE7" w:rsidP="00805EE7">
      <w:pPr>
        <w:pStyle w:val="Default"/>
        <w:spacing w:line="276" w:lineRule="auto"/>
        <w:rPr>
          <w:sz w:val="22"/>
          <w:szCs w:val="22"/>
        </w:rPr>
      </w:pPr>
      <w:r>
        <w:rPr>
          <w:i/>
          <w:iCs/>
          <w:sz w:val="22"/>
          <w:szCs w:val="22"/>
        </w:rPr>
        <w:t xml:space="preserve">Is there likely to be a need for a provider of last resort? If so, should it be the NDIA? How would this work? </w:t>
      </w:r>
    </w:p>
    <w:p w14:paraId="67B897F4" w14:textId="77777777" w:rsidR="00805EE7" w:rsidRDefault="00805EE7" w:rsidP="00805EE7">
      <w:pPr>
        <w:pStyle w:val="Default"/>
        <w:spacing w:line="276" w:lineRule="auto"/>
        <w:rPr>
          <w:rFonts w:ascii="Book Antiqua" w:hAnsi="Book Antiqua" w:cs="Calibri"/>
          <w:bCs/>
        </w:rPr>
      </w:pPr>
    </w:p>
    <w:p w14:paraId="2FAA4914" w14:textId="147FEDD4" w:rsidR="00805EE7" w:rsidRDefault="00805EE7" w:rsidP="00805EE7">
      <w:pPr>
        <w:pStyle w:val="Default"/>
        <w:spacing w:line="276" w:lineRule="auto"/>
        <w:rPr>
          <w:rFonts w:ascii="Book Antiqua" w:hAnsi="Book Antiqua" w:cs="Calibri"/>
          <w:bCs/>
        </w:rPr>
      </w:pPr>
      <w:r>
        <w:rPr>
          <w:rFonts w:ascii="Book Antiqua" w:hAnsi="Book Antiqua" w:cs="Calibri"/>
          <w:bCs/>
        </w:rPr>
        <w:t>There is a need for a service organiser or arranger of last resort rather than a provider. States</w:t>
      </w:r>
      <w:r w:rsidR="0071586C">
        <w:rPr>
          <w:rFonts w:ascii="Book Antiqua" w:hAnsi="Book Antiqua" w:cs="Calibri"/>
          <w:bCs/>
        </w:rPr>
        <w:t xml:space="preserve"> and Territories</w:t>
      </w:r>
      <w:r>
        <w:rPr>
          <w:rFonts w:ascii="Book Antiqua" w:hAnsi="Book Antiqua" w:cs="Calibri"/>
          <w:bCs/>
        </w:rPr>
        <w:t xml:space="preserve"> have in the past been able to call on NGOs at very short notice to provide a wide range of supports to a person in immediate and urgent need of them</w:t>
      </w:r>
      <w:r w:rsidR="009C338F">
        <w:rPr>
          <w:rFonts w:ascii="Book Antiqua" w:hAnsi="Book Antiqua" w:cs="Calibri"/>
          <w:bCs/>
        </w:rPr>
        <w:t xml:space="preserve"> or a person with high and complex needs in danger of ‘falling through the cracks’</w:t>
      </w:r>
      <w:r>
        <w:rPr>
          <w:rFonts w:ascii="Book Antiqua" w:hAnsi="Book Antiqua" w:cs="Calibri"/>
          <w:bCs/>
        </w:rPr>
        <w:t>. This is a valid role for State</w:t>
      </w:r>
      <w:r w:rsidR="0071586C">
        <w:rPr>
          <w:rFonts w:ascii="Book Antiqua" w:hAnsi="Book Antiqua" w:cs="Calibri"/>
          <w:bCs/>
        </w:rPr>
        <w:t>/Territory</w:t>
      </w:r>
      <w:r>
        <w:rPr>
          <w:rFonts w:ascii="Book Antiqua" w:hAnsi="Book Antiqua" w:cs="Calibri"/>
          <w:bCs/>
        </w:rPr>
        <w:t xml:space="preserve"> agencies. The person in immediate need is likely to have come to attention through a State</w:t>
      </w:r>
      <w:r w:rsidR="0071586C">
        <w:rPr>
          <w:rFonts w:ascii="Book Antiqua" w:hAnsi="Book Antiqua" w:cs="Calibri"/>
          <w:bCs/>
        </w:rPr>
        <w:t>/Territory</w:t>
      </w:r>
      <w:r>
        <w:rPr>
          <w:rFonts w:ascii="Book Antiqua" w:hAnsi="Book Antiqua" w:cs="Calibri"/>
          <w:bCs/>
        </w:rPr>
        <w:t xml:space="preserve"> service such as an acute or a mental health service, via community services if existing supports have broken down, or via the police or justice system. State</w:t>
      </w:r>
      <w:r w:rsidR="0071586C">
        <w:rPr>
          <w:rFonts w:ascii="Book Antiqua" w:hAnsi="Book Antiqua" w:cs="Calibri"/>
          <w:bCs/>
        </w:rPr>
        <w:t>/Territory</w:t>
      </w:r>
      <w:r>
        <w:rPr>
          <w:rFonts w:ascii="Book Antiqua" w:hAnsi="Book Antiqua" w:cs="Calibri"/>
          <w:bCs/>
        </w:rPr>
        <w:t xml:space="preserve"> agencies will be meeting the costs of maintaining the person in the absence of disability </w:t>
      </w:r>
      <w:r>
        <w:rPr>
          <w:rFonts w:ascii="Book Antiqua" w:hAnsi="Book Antiqua" w:cs="Calibri"/>
          <w:bCs/>
        </w:rPr>
        <w:lastRenderedPageBreak/>
        <w:t>supports being put in place, and so the State</w:t>
      </w:r>
      <w:r w:rsidR="00F26B63">
        <w:rPr>
          <w:rFonts w:ascii="Book Antiqua" w:hAnsi="Book Antiqua" w:cs="Calibri"/>
          <w:bCs/>
        </w:rPr>
        <w:t>/Territory</w:t>
      </w:r>
      <w:r>
        <w:rPr>
          <w:rFonts w:ascii="Book Antiqua" w:hAnsi="Book Antiqua" w:cs="Calibri"/>
          <w:bCs/>
        </w:rPr>
        <w:t xml:space="preserve"> will have a clear </w:t>
      </w:r>
      <w:r w:rsidR="00E77224">
        <w:rPr>
          <w:rFonts w:ascii="Book Antiqua" w:hAnsi="Book Antiqua" w:cs="Calibri"/>
          <w:bCs/>
        </w:rPr>
        <w:t xml:space="preserve">financial </w:t>
      </w:r>
      <w:r>
        <w:rPr>
          <w:rFonts w:ascii="Book Antiqua" w:hAnsi="Book Antiqua" w:cs="Calibri"/>
          <w:bCs/>
        </w:rPr>
        <w:t>incentive to put disability supports in place as soon as possible. This would be in the person’s interests as well.</w:t>
      </w:r>
      <w:r w:rsidR="00762F73">
        <w:rPr>
          <w:rFonts w:ascii="Book Antiqua" w:hAnsi="Book Antiqua" w:cs="Calibri"/>
          <w:bCs/>
        </w:rPr>
        <w:t xml:space="preserve"> </w:t>
      </w:r>
    </w:p>
    <w:p w14:paraId="32C24B26" w14:textId="77777777" w:rsidR="00805EE7" w:rsidRDefault="00805EE7" w:rsidP="00805EE7">
      <w:pPr>
        <w:pStyle w:val="Default"/>
        <w:spacing w:line="276" w:lineRule="auto"/>
        <w:rPr>
          <w:rFonts w:ascii="Book Antiqua" w:hAnsi="Book Antiqua" w:cs="Calibri"/>
          <w:bCs/>
        </w:rPr>
      </w:pPr>
    </w:p>
    <w:p w14:paraId="62C9C433" w14:textId="648EC48A"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The NDIA is not well placed to take on this responsibility. It has orderly and necessarily time consuming processes to establish NDIS eligibility and to establish a service plan. As well, the person is likely to be in no position to quickly seek out service providers of choice once a plan is in place. </w:t>
      </w:r>
    </w:p>
    <w:p w14:paraId="7178B8BC" w14:textId="77777777" w:rsidR="00805EE7" w:rsidRDefault="00805EE7" w:rsidP="00805EE7">
      <w:pPr>
        <w:pStyle w:val="Default"/>
        <w:spacing w:line="276" w:lineRule="auto"/>
        <w:rPr>
          <w:rFonts w:ascii="Book Antiqua" w:hAnsi="Book Antiqua" w:cs="Calibri"/>
          <w:bCs/>
        </w:rPr>
      </w:pPr>
    </w:p>
    <w:p w14:paraId="3F53E6D4" w14:textId="127E5D80" w:rsidR="00805EE7" w:rsidRDefault="00805EE7" w:rsidP="00805EE7">
      <w:pPr>
        <w:pStyle w:val="Default"/>
        <w:spacing w:line="276" w:lineRule="auto"/>
        <w:rPr>
          <w:rFonts w:ascii="Book Antiqua" w:hAnsi="Book Antiqua" w:cs="Calibri"/>
          <w:bCs/>
        </w:rPr>
      </w:pPr>
      <w:r>
        <w:rPr>
          <w:rFonts w:ascii="Book Antiqua" w:hAnsi="Book Antiqua" w:cs="Calibri"/>
          <w:bCs/>
        </w:rPr>
        <w:t>State</w:t>
      </w:r>
      <w:r w:rsidR="007D467A">
        <w:rPr>
          <w:rFonts w:ascii="Book Antiqua" w:hAnsi="Book Antiqua" w:cs="Calibri"/>
          <w:bCs/>
        </w:rPr>
        <w:t>s and Territories already have</w:t>
      </w:r>
      <w:r>
        <w:rPr>
          <w:rFonts w:ascii="Book Antiqua" w:hAnsi="Book Antiqua" w:cs="Calibri"/>
          <w:bCs/>
        </w:rPr>
        <w:t xml:space="preserve"> capacity to respond quickly to last resort needs seems sensible</w:t>
      </w:r>
      <w:r w:rsidR="00762F73">
        <w:rPr>
          <w:rFonts w:ascii="Book Antiqua" w:hAnsi="Book Antiqua" w:cs="Calibri"/>
          <w:bCs/>
        </w:rPr>
        <w:t xml:space="preserve"> to </w:t>
      </w:r>
      <w:r>
        <w:rPr>
          <w:rFonts w:ascii="Book Antiqua" w:hAnsi="Book Antiqua" w:cs="Calibri"/>
          <w:bCs/>
        </w:rPr>
        <w:t xml:space="preserve">continue existing arrangements. Normal NDIS arrangements should be put in place as soon as possible, ensuring that an alternative path to long term supports is not established. NDIS financial arrangements would need to be altered to reflect the </w:t>
      </w:r>
      <w:r w:rsidR="00F26B63">
        <w:rPr>
          <w:rFonts w:ascii="Book Antiqua" w:hAnsi="Book Antiqua" w:cs="Calibri"/>
          <w:bCs/>
        </w:rPr>
        <w:t>expanded responsibilities of States and Territories</w:t>
      </w:r>
      <w:r>
        <w:rPr>
          <w:rFonts w:ascii="Book Antiqua" w:hAnsi="Book Antiqua" w:cs="Calibri"/>
          <w:bCs/>
        </w:rPr>
        <w:t>.</w:t>
      </w:r>
    </w:p>
    <w:p w14:paraId="10CB2777" w14:textId="77777777" w:rsidR="00805EE7" w:rsidRDefault="00805EE7" w:rsidP="00805EE7">
      <w:pPr>
        <w:pStyle w:val="Default"/>
        <w:spacing w:line="276" w:lineRule="auto"/>
        <w:rPr>
          <w:rFonts w:ascii="Book Antiqua" w:hAnsi="Book Antiqua" w:cs="Calibri"/>
          <w:bCs/>
        </w:rPr>
      </w:pPr>
    </w:p>
    <w:p w14:paraId="5CB5A88A" w14:textId="0B3859A6" w:rsidR="00805EE7" w:rsidRDefault="00805EE7" w:rsidP="00805EE7">
      <w:pPr>
        <w:pStyle w:val="Default"/>
        <w:spacing w:line="276" w:lineRule="auto"/>
        <w:rPr>
          <w:rFonts w:ascii="Book Antiqua" w:hAnsi="Book Antiqua" w:cs="Calibri"/>
          <w:bCs/>
        </w:rPr>
      </w:pPr>
      <w:r>
        <w:rPr>
          <w:rFonts w:ascii="Book Antiqua" w:hAnsi="Book Antiqua" w:cs="Calibri"/>
          <w:bCs/>
        </w:rPr>
        <w:t>Another area for a specific State</w:t>
      </w:r>
      <w:r w:rsidR="00F26B63">
        <w:rPr>
          <w:rFonts w:ascii="Book Antiqua" w:hAnsi="Book Antiqua" w:cs="Calibri"/>
          <w:bCs/>
        </w:rPr>
        <w:t>/Territory</w:t>
      </w:r>
      <w:r>
        <w:rPr>
          <w:rFonts w:ascii="Book Antiqua" w:hAnsi="Book Antiqua" w:cs="Calibri"/>
          <w:bCs/>
        </w:rPr>
        <w:t xml:space="preserve"> role in arranging services is for a person with a disability who has been in the correctional system. Before release, it would be very difficult to determine NDIS eligibility and to put a support plan in place. The person’s needs may be complex requiring supports from across a range of mainstream services in addition to disability supports. States</w:t>
      </w:r>
      <w:r w:rsidR="00F26B63">
        <w:rPr>
          <w:rFonts w:ascii="Book Antiqua" w:hAnsi="Book Antiqua" w:cs="Calibri"/>
          <w:bCs/>
        </w:rPr>
        <w:t>/Territories</w:t>
      </w:r>
      <w:r>
        <w:rPr>
          <w:rFonts w:ascii="Book Antiqua" w:hAnsi="Book Antiqua" w:cs="Calibri"/>
          <w:bCs/>
        </w:rPr>
        <w:t xml:space="preserve"> have put in place specific programs to support people in these circumstances, and these need to be continued and expanded to ensure people with a disability can have a good opportunity to avoid return to the correctional system. Again, NDIS financial arrangements would need to be altered to reflect the </w:t>
      </w:r>
      <w:r w:rsidR="00F26B63">
        <w:rPr>
          <w:rFonts w:ascii="Book Antiqua" w:hAnsi="Book Antiqua" w:cs="Calibri"/>
          <w:bCs/>
        </w:rPr>
        <w:t>expanded responsibilities of States and Territories</w:t>
      </w:r>
      <w:r>
        <w:rPr>
          <w:rFonts w:ascii="Book Antiqua" w:hAnsi="Book Antiqua" w:cs="Calibri"/>
          <w:bCs/>
        </w:rPr>
        <w:t>.</w:t>
      </w:r>
    </w:p>
    <w:p w14:paraId="400FABB2" w14:textId="77777777" w:rsidR="00805EE7" w:rsidRDefault="00805EE7" w:rsidP="00805EE7">
      <w:pPr>
        <w:pStyle w:val="Default"/>
        <w:spacing w:line="276" w:lineRule="auto"/>
        <w:rPr>
          <w:rFonts w:ascii="Book Antiqua" w:hAnsi="Book Antiqua" w:cs="Calibri"/>
          <w:bCs/>
        </w:rPr>
      </w:pPr>
    </w:p>
    <w:p w14:paraId="343AA548" w14:textId="05A4AA55" w:rsidR="00805EE7" w:rsidRDefault="00805EE7" w:rsidP="00805EE7">
      <w:pPr>
        <w:pStyle w:val="Default"/>
        <w:spacing w:line="276" w:lineRule="auto"/>
        <w:rPr>
          <w:rFonts w:ascii="Book Antiqua" w:hAnsi="Book Antiqua" w:cs="Calibri"/>
          <w:bCs/>
        </w:rPr>
      </w:pPr>
      <w:r>
        <w:rPr>
          <w:rFonts w:ascii="Book Antiqua" w:hAnsi="Book Antiqua" w:cs="Calibri"/>
          <w:bCs/>
        </w:rPr>
        <w:t>There are a range of other circumstances where State</w:t>
      </w:r>
      <w:r w:rsidR="00F26B63">
        <w:rPr>
          <w:rFonts w:ascii="Book Antiqua" w:hAnsi="Book Antiqua" w:cs="Calibri"/>
          <w:bCs/>
        </w:rPr>
        <w:t>/Territory</w:t>
      </w:r>
      <w:r>
        <w:rPr>
          <w:rFonts w:ascii="Book Antiqua" w:hAnsi="Book Antiqua" w:cs="Calibri"/>
          <w:bCs/>
        </w:rPr>
        <w:t xml:space="preserve"> initiative</w:t>
      </w:r>
      <w:r w:rsidR="00762F73">
        <w:rPr>
          <w:rFonts w:ascii="Book Antiqua" w:hAnsi="Book Antiqua" w:cs="Calibri"/>
          <w:bCs/>
        </w:rPr>
        <w:t>s</w:t>
      </w:r>
      <w:r>
        <w:rPr>
          <w:rFonts w:ascii="Book Antiqua" w:hAnsi="Book Antiqua" w:cs="Calibri"/>
          <w:bCs/>
        </w:rPr>
        <w:t xml:space="preserve"> would be beneficial to supporting a person with a disability pending long term NDIS support arrangements. People with </w:t>
      </w:r>
      <w:r w:rsidR="00762F73">
        <w:rPr>
          <w:rFonts w:ascii="Book Antiqua" w:hAnsi="Book Antiqua" w:cs="Calibri"/>
          <w:bCs/>
        </w:rPr>
        <w:t xml:space="preserve">a </w:t>
      </w:r>
      <w:r>
        <w:rPr>
          <w:rFonts w:ascii="Book Antiqua" w:hAnsi="Book Antiqua" w:cs="Calibri"/>
          <w:bCs/>
        </w:rPr>
        <w:t xml:space="preserve">mental health problem and those completing a rehabilitation program are examples. Importantly, fast </w:t>
      </w:r>
      <w:r w:rsidR="00762F73">
        <w:rPr>
          <w:rFonts w:ascii="Book Antiqua" w:hAnsi="Book Antiqua" w:cs="Calibri"/>
          <w:bCs/>
        </w:rPr>
        <w:t xml:space="preserve">provision of </w:t>
      </w:r>
      <w:r>
        <w:rPr>
          <w:rFonts w:ascii="Book Antiqua" w:hAnsi="Book Antiqua" w:cs="Calibri"/>
          <w:bCs/>
        </w:rPr>
        <w:t>disability support will tend to reduce long term support needs by providing a good environment for the person to benefit from their health treatment or other State</w:t>
      </w:r>
      <w:r w:rsidR="00F26B63">
        <w:rPr>
          <w:rFonts w:ascii="Book Antiqua" w:hAnsi="Book Antiqua" w:cs="Calibri"/>
          <w:bCs/>
        </w:rPr>
        <w:t>/Territory</w:t>
      </w:r>
      <w:r>
        <w:rPr>
          <w:rFonts w:ascii="Book Antiqua" w:hAnsi="Book Antiqua" w:cs="Calibri"/>
          <w:bCs/>
        </w:rPr>
        <w:t xml:space="preserve"> program.</w:t>
      </w:r>
    </w:p>
    <w:p w14:paraId="48E377EC" w14:textId="77777777" w:rsidR="00805EE7" w:rsidRDefault="00805EE7" w:rsidP="00805EE7">
      <w:pPr>
        <w:pStyle w:val="Default"/>
        <w:spacing w:line="276" w:lineRule="auto"/>
        <w:rPr>
          <w:rFonts w:ascii="Book Antiqua" w:hAnsi="Book Antiqua" w:cs="Calibri"/>
          <w:bCs/>
        </w:rPr>
      </w:pPr>
    </w:p>
    <w:p w14:paraId="597C7E7C" w14:textId="0D76593F" w:rsidR="00805EE7" w:rsidRDefault="00805EE7" w:rsidP="00805EE7">
      <w:pPr>
        <w:pStyle w:val="Default"/>
        <w:spacing w:line="276" w:lineRule="auto"/>
        <w:rPr>
          <w:rFonts w:ascii="Book Antiqua" w:hAnsi="Book Antiqua" w:cs="Calibri"/>
          <w:bCs/>
        </w:rPr>
      </w:pPr>
      <w:r>
        <w:rPr>
          <w:rFonts w:ascii="Book Antiqua" w:hAnsi="Book Antiqua" w:cs="Calibri"/>
          <w:bCs/>
        </w:rPr>
        <w:t>State</w:t>
      </w:r>
      <w:r w:rsidR="00F26B63">
        <w:rPr>
          <w:rFonts w:ascii="Book Antiqua" w:hAnsi="Book Antiqua" w:cs="Calibri"/>
          <w:bCs/>
        </w:rPr>
        <w:t>/Territory</w:t>
      </w:r>
      <w:r>
        <w:rPr>
          <w:rFonts w:ascii="Book Antiqua" w:hAnsi="Book Antiqua" w:cs="Calibri"/>
          <w:bCs/>
        </w:rPr>
        <w:t xml:space="preserve"> arranged </w:t>
      </w:r>
      <w:r w:rsidR="00F26B63">
        <w:rPr>
          <w:rFonts w:ascii="Book Antiqua" w:hAnsi="Book Antiqua" w:cs="Calibri"/>
          <w:bCs/>
        </w:rPr>
        <w:t xml:space="preserve">support </w:t>
      </w:r>
      <w:r>
        <w:rPr>
          <w:rFonts w:ascii="Book Antiqua" w:hAnsi="Book Antiqua" w:cs="Calibri"/>
          <w:bCs/>
        </w:rPr>
        <w:t>services should be for a time limited period (say 3 months), to ensure there is an incentive to move to the NDIS and receive all the associated advantages.</w:t>
      </w:r>
    </w:p>
    <w:p w14:paraId="180D4E84" w14:textId="77777777" w:rsidR="00805EE7" w:rsidRDefault="00805EE7" w:rsidP="00805EE7">
      <w:pPr>
        <w:pStyle w:val="Default"/>
        <w:spacing w:line="276" w:lineRule="auto"/>
        <w:rPr>
          <w:rFonts w:ascii="Book Antiqua" w:hAnsi="Book Antiqua" w:cs="Calibri"/>
          <w:bCs/>
        </w:rPr>
      </w:pPr>
    </w:p>
    <w:p w14:paraId="62675D42" w14:textId="77777777" w:rsidR="00FF22E8" w:rsidRDefault="00FF22E8" w:rsidP="00805EE7">
      <w:pPr>
        <w:pStyle w:val="Default"/>
        <w:spacing w:line="276" w:lineRule="auto"/>
        <w:rPr>
          <w:rFonts w:ascii="Book Antiqua" w:hAnsi="Book Antiqua" w:cs="Calibri"/>
          <w:b/>
          <w:bCs/>
        </w:rPr>
      </w:pPr>
    </w:p>
    <w:p w14:paraId="5189CDE8" w14:textId="77777777" w:rsidR="00805EE7" w:rsidRDefault="00805EE7" w:rsidP="00805EE7">
      <w:pPr>
        <w:pStyle w:val="Default"/>
        <w:spacing w:line="276" w:lineRule="auto"/>
        <w:rPr>
          <w:rFonts w:ascii="Book Antiqua" w:hAnsi="Book Antiqua" w:cs="Calibri"/>
          <w:b/>
          <w:bCs/>
        </w:rPr>
      </w:pPr>
      <w:r w:rsidRPr="009F1D23">
        <w:rPr>
          <w:rFonts w:ascii="Book Antiqua" w:hAnsi="Book Antiqua" w:cs="Calibri"/>
          <w:b/>
          <w:bCs/>
        </w:rPr>
        <w:lastRenderedPageBreak/>
        <w:t>Conclusion</w:t>
      </w:r>
    </w:p>
    <w:p w14:paraId="32719E92" w14:textId="77777777" w:rsidR="00FF22E8" w:rsidRDefault="00FF22E8" w:rsidP="00805EE7">
      <w:pPr>
        <w:pStyle w:val="Default"/>
        <w:spacing w:line="276" w:lineRule="auto"/>
        <w:rPr>
          <w:rFonts w:ascii="Book Antiqua" w:hAnsi="Book Antiqua" w:cs="Calibri"/>
          <w:b/>
          <w:bCs/>
        </w:rPr>
      </w:pPr>
    </w:p>
    <w:p w14:paraId="2EAD20B6" w14:textId="4A96D36E"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Continuing State </w:t>
      </w:r>
      <w:r w:rsidR="00F26B63">
        <w:rPr>
          <w:rFonts w:ascii="Book Antiqua" w:hAnsi="Book Antiqua" w:cs="Calibri"/>
          <w:bCs/>
        </w:rPr>
        <w:t xml:space="preserve">and Territory </w:t>
      </w:r>
      <w:r>
        <w:rPr>
          <w:rFonts w:ascii="Book Antiqua" w:hAnsi="Book Antiqua" w:cs="Calibri"/>
          <w:bCs/>
        </w:rPr>
        <w:t>involvement in the short term arrangement (not delivery) of supports for people with disability is in the interests of the person concerned, will prevent inappropriate interim arrangements by other State</w:t>
      </w:r>
      <w:r w:rsidR="00F26B63">
        <w:rPr>
          <w:rFonts w:ascii="Book Antiqua" w:hAnsi="Book Antiqua" w:cs="Calibri"/>
          <w:bCs/>
        </w:rPr>
        <w:t>/Territory</w:t>
      </w:r>
      <w:r>
        <w:rPr>
          <w:rFonts w:ascii="Book Antiqua" w:hAnsi="Book Antiqua" w:cs="Calibri"/>
          <w:bCs/>
        </w:rPr>
        <w:t xml:space="preserve"> agencies to maintain the person, and will tend to reduce the long term costs of NDIS support.</w:t>
      </w:r>
    </w:p>
    <w:p w14:paraId="42CCC161" w14:textId="77777777" w:rsidR="00805EE7" w:rsidRDefault="00805EE7" w:rsidP="00805EE7">
      <w:pPr>
        <w:pStyle w:val="Default"/>
        <w:spacing w:line="276" w:lineRule="auto"/>
        <w:rPr>
          <w:rFonts w:ascii="Book Antiqua" w:hAnsi="Book Antiqua" w:cs="Calibri"/>
          <w:bCs/>
        </w:rPr>
      </w:pPr>
    </w:p>
    <w:p w14:paraId="44238938"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Commonwealth/State financial arrangements for the NDIS will need to be adjusted to accommodate this role for the States.</w:t>
      </w:r>
    </w:p>
    <w:p w14:paraId="22540129" w14:textId="77777777" w:rsidR="00805EE7" w:rsidRDefault="00805EE7" w:rsidP="00805EE7">
      <w:pPr>
        <w:pStyle w:val="Default"/>
        <w:spacing w:line="276" w:lineRule="auto"/>
        <w:rPr>
          <w:rFonts w:ascii="Book Antiqua" w:hAnsi="Book Antiqua" w:cs="Calibri"/>
          <w:bCs/>
        </w:rPr>
      </w:pPr>
    </w:p>
    <w:p w14:paraId="0BBD573E" w14:textId="6A7C9FCC"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Such a role for the States </w:t>
      </w:r>
      <w:r w:rsidR="00F26B63">
        <w:rPr>
          <w:rFonts w:ascii="Book Antiqua" w:hAnsi="Book Antiqua" w:cs="Calibri"/>
          <w:bCs/>
        </w:rPr>
        <w:t xml:space="preserve">and Territories </w:t>
      </w:r>
      <w:r>
        <w:rPr>
          <w:rFonts w:ascii="Book Antiqua" w:hAnsi="Book Antiqua" w:cs="Calibri"/>
          <w:bCs/>
        </w:rPr>
        <w:t>increases the argument for States</w:t>
      </w:r>
      <w:r w:rsidR="00F26B63">
        <w:rPr>
          <w:rFonts w:ascii="Book Antiqua" w:hAnsi="Book Antiqua" w:cs="Calibri"/>
          <w:bCs/>
        </w:rPr>
        <w:t xml:space="preserve"> and Territories</w:t>
      </w:r>
      <w:r>
        <w:rPr>
          <w:rFonts w:ascii="Book Antiqua" w:hAnsi="Book Antiqua" w:cs="Calibri"/>
          <w:bCs/>
        </w:rPr>
        <w:t xml:space="preserve"> to meet a percentage of NDIS cost overruns.</w:t>
      </w:r>
    </w:p>
    <w:p w14:paraId="79C894BA" w14:textId="77777777" w:rsidR="00805EE7" w:rsidRDefault="00805EE7" w:rsidP="00805EE7">
      <w:pPr>
        <w:pStyle w:val="Default"/>
        <w:spacing w:line="276" w:lineRule="auto"/>
        <w:rPr>
          <w:rFonts w:ascii="Book Antiqua" w:hAnsi="Book Antiqua" w:cs="Calibri"/>
          <w:bCs/>
        </w:rPr>
      </w:pPr>
    </w:p>
    <w:p w14:paraId="1EFE8E0C" w14:textId="77777777" w:rsidR="00805EE7" w:rsidRDefault="00805EE7" w:rsidP="00805EE7">
      <w:pPr>
        <w:pStyle w:val="Default"/>
        <w:spacing w:line="276" w:lineRule="auto"/>
        <w:rPr>
          <w:b/>
          <w:bCs/>
          <w:sz w:val="32"/>
          <w:szCs w:val="32"/>
        </w:rPr>
      </w:pPr>
      <w:r>
        <w:rPr>
          <w:b/>
          <w:bCs/>
          <w:sz w:val="32"/>
          <w:szCs w:val="32"/>
        </w:rPr>
        <w:br w:type="page"/>
      </w:r>
    </w:p>
    <w:p w14:paraId="269C1A2F" w14:textId="77777777" w:rsidR="00805EE7" w:rsidRDefault="00805EE7" w:rsidP="00805EE7">
      <w:pPr>
        <w:pStyle w:val="Default"/>
        <w:spacing w:line="276" w:lineRule="auto"/>
        <w:rPr>
          <w:b/>
          <w:bCs/>
          <w:sz w:val="32"/>
          <w:szCs w:val="32"/>
        </w:rPr>
      </w:pPr>
      <w:r>
        <w:rPr>
          <w:b/>
          <w:bCs/>
          <w:sz w:val="32"/>
          <w:szCs w:val="32"/>
        </w:rPr>
        <w:lastRenderedPageBreak/>
        <w:t>7 Paying for the NDIS</w:t>
      </w:r>
    </w:p>
    <w:p w14:paraId="4DA53CEA" w14:textId="77777777" w:rsidR="00805EE7" w:rsidRDefault="00805EE7" w:rsidP="00805EE7">
      <w:pPr>
        <w:pStyle w:val="Default"/>
        <w:spacing w:line="276" w:lineRule="auto"/>
        <w:rPr>
          <w:b/>
          <w:bCs/>
          <w:sz w:val="32"/>
          <w:szCs w:val="32"/>
        </w:rPr>
      </w:pPr>
    </w:p>
    <w:p w14:paraId="571EAD8E" w14:textId="77777777" w:rsidR="00805EE7" w:rsidRDefault="00805EE7" w:rsidP="00805EE7">
      <w:pPr>
        <w:pStyle w:val="Default"/>
        <w:spacing w:line="276" w:lineRule="auto"/>
        <w:rPr>
          <w:rFonts w:ascii="Book Antiqua" w:hAnsi="Book Antiqua"/>
          <w:bCs/>
        </w:rPr>
      </w:pPr>
      <w:r w:rsidRPr="00364454">
        <w:rPr>
          <w:rFonts w:ascii="Book Antiqua" w:hAnsi="Book Antiqua"/>
          <w:bCs/>
        </w:rPr>
        <w:t>The author has been stu</w:t>
      </w:r>
      <w:r>
        <w:rPr>
          <w:rFonts w:ascii="Book Antiqua" w:hAnsi="Book Antiqua"/>
          <w:bCs/>
        </w:rPr>
        <w:t>dying the financing of the NDIS since 2014. The focus has been on the Commonwealth’s financing requirements.</w:t>
      </w:r>
    </w:p>
    <w:p w14:paraId="4EF5048A" w14:textId="77777777" w:rsidR="00805EE7" w:rsidRDefault="00805EE7" w:rsidP="00805EE7">
      <w:pPr>
        <w:pStyle w:val="Default"/>
        <w:spacing w:line="276" w:lineRule="auto"/>
        <w:rPr>
          <w:rFonts w:ascii="Book Antiqua" w:hAnsi="Book Antiqua"/>
          <w:bCs/>
        </w:rPr>
      </w:pPr>
    </w:p>
    <w:p w14:paraId="28BC07D0" w14:textId="77777777" w:rsidR="00805EE7" w:rsidRDefault="00805EE7" w:rsidP="00805EE7">
      <w:pPr>
        <w:pStyle w:val="Default"/>
        <w:spacing w:line="276" w:lineRule="auto"/>
        <w:rPr>
          <w:rFonts w:ascii="Book Antiqua" w:hAnsi="Book Antiqua"/>
          <w:bCs/>
        </w:rPr>
      </w:pPr>
      <w:r>
        <w:rPr>
          <w:rFonts w:ascii="Book Antiqua" w:hAnsi="Book Antiqua"/>
          <w:bCs/>
        </w:rPr>
        <w:t xml:space="preserve">Broadly, the NDIS will cost $22 billion at full rollout. Information on total NDIS expenses is included in each year’s Commonwealth Budget papers (Budget Paper No 1, Statement 5, Table 9.2). </w:t>
      </w:r>
      <w:r w:rsidR="00BA30BB">
        <w:rPr>
          <w:rFonts w:ascii="Book Antiqua" w:hAnsi="Book Antiqua"/>
          <w:bCs/>
        </w:rPr>
        <w:t>T</w:t>
      </w:r>
      <w:r>
        <w:rPr>
          <w:rFonts w:ascii="Book Antiqua" w:hAnsi="Book Antiqua"/>
          <w:bCs/>
        </w:rPr>
        <w:t>he Budget papers show that the cost is roughly 50% shared by the Commonwealth on the one hand and the States and Territories on the other:</w:t>
      </w:r>
    </w:p>
    <w:p w14:paraId="50847CB2" w14:textId="77777777" w:rsidR="00805EE7" w:rsidRDefault="00805EE7" w:rsidP="00805EE7">
      <w:pPr>
        <w:pStyle w:val="Default"/>
        <w:spacing w:line="276" w:lineRule="auto"/>
        <w:rPr>
          <w:rFonts w:ascii="Book Antiqua" w:hAnsi="Book Antiqua"/>
          <w:bCs/>
        </w:rPr>
      </w:pPr>
    </w:p>
    <w:p w14:paraId="05B0931B" w14:textId="77777777" w:rsidR="00805EE7" w:rsidRPr="001819FB" w:rsidRDefault="00805EE7" w:rsidP="00805EE7">
      <w:pPr>
        <w:pStyle w:val="Default"/>
        <w:spacing w:line="276" w:lineRule="auto"/>
        <w:ind w:firstLine="720"/>
        <w:rPr>
          <w:rFonts w:ascii="Book Antiqua" w:hAnsi="Book Antiqua" w:cs="Book Antiqua"/>
          <w:i/>
        </w:rPr>
      </w:pPr>
      <w:r>
        <w:rPr>
          <w:rFonts w:ascii="Book Antiqua" w:hAnsi="Book Antiqua" w:cs="Book Antiqua"/>
          <w:i/>
        </w:rPr>
        <w:t>‘</w:t>
      </w:r>
      <w:r w:rsidRPr="001819FB">
        <w:rPr>
          <w:rFonts w:ascii="Book Antiqua" w:hAnsi="Book Antiqua" w:cs="Book Antiqua"/>
          <w:i/>
        </w:rPr>
        <w:t>Of the total $53.3 billion in NDIS expenses from 2016-17 to 2019-20, the</w:t>
      </w:r>
    </w:p>
    <w:p w14:paraId="62082F80" w14:textId="77777777" w:rsidR="00805EE7" w:rsidRPr="001819FB" w:rsidRDefault="00805EE7" w:rsidP="00805EE7">
      <w:pPr>
        <w:autoSpaceDE w:val="0"/>
        <w:autoSpaceDN w:val="0"/>
        <w:adjustRightInd w:val="0"/>
        <w:spacing w:line="276" w:lineRule="auto"/>
        <w:ind w:left="720"/>
        <w:rPr>
          <w:rFonts w:ascii="Book Antiqua" w:hAnsi="Book Antiqua" w:cs="Book Antiqua"/>
          <w:i/>
          <w:sz w:val="24"/>
        </w:rPr>
      </w:pPr>
      <w:r w:rsidRPr="001819FB">
        <w:rPr>
          <w:rFonts w:ascii="Book Antiqua" w:hAnsi="Book Antiqua" w:cs="Book Antiqua"/>
          <w:i/>
          <w:sz w:val="24"/>
        </w:rPr>
        <w:t>Commonwealth is contributing funding of $27.1 billion, with the remainder</w:t>
      </w:r>
    </w:p>
    <w:p w14:paraId="6F132048" w14:textId="77777777" w:rsidR="00805EE7" w:rsidRDefault="00805EE7" w:rsidP="00805EE7">
      <w:pPr>
        <w:pStyle w:val="Default"/>
        <w:spacing w:line="276" w:lineRule="auto"/>
        <w:ind w:left="720"/>
        <w:rPr>
          <w:rFonts w:ascii="Book Antiqua" w:hAnsi="Book Antiqua"/>
          <w:bCs/>
        </w:rPr>
      </w:pPr>
      <w:r w:rsidRPr="001819FB">
        <w:rPr>
          <w:rFonts w:ascii="Book Antiqua" w:hAnsi="Book Antiqua" w:cs="Book Antiqua"/>
          <w:i/>
        </w:rPr>
        <w:t>contributed by the States and Territories</w:t>
      </w:r>
      <w:r>
        <w:rPr>
          <w:rFonts w:ascii="Book Antiqua" w:hAnsi="Book Antiqua" w:cs="Book Antiqua"/>
          <w:i/>
        </w:rPr>
        <w:t>.’</w:t>
      </w:r>
    </w:p>
    <w:p w14:paraId="4BCA61BE" w14:textId="77777777" w:rsidR="00805EE7" w:rsidRDefault="00805EE7" w:rsidP="00805EE7">
      <w:pPr>
        <w:pStyle w:val="Default"/>
        <w:spacing w:line="276" w:lineRule="auto"/>
        <w:rPr>
          <w:rFonts w:ascii="Book Antiqua" w:hAnsi="Book Antiqua"/>
          <w:bCs/>
        </w:rPr>
      </w:pPr>
    </w:p>
    <w:p w14:paraId="2E148BF8" w14:textId="001EBED4" w:rsidR="00805EE7" w:rsidRDefault="00805EE7" w:rsidP="00805EE7">
      <w:pPr>
        <w:pStyle w:val="Default"/>
        <w:spacing w:line="276" w:lineRule="auto"/>
        <w:rPr>
          <w:rFonts w:ascii="Book Antiqua" w:hAnsi="Book Antiqua"/>
          <w:bCs/>
        </w:rPr>
      </w:pPr>
      <w:r>
        <w:rPr>
          <w:rFonts w:ascii="Book Antiqua" w:hAnsi="Book Antiqua"/>
          <w:bCs/>
        </w:rPr>
        <w:t xml:space="preserve">The DisabilityCare Australia </w:t>
      </w:r>
      <w:r w:rsidR="005370E3">
        <w:rPr>
          <w:rFonts w:ascii="Book Antiqua" w:hAnsi="Book Antiqua"/>
          <w:bCs/>
        </w:rPr>
        <w:t xml:space="preserve">(DCA) </w:t>
      </w:r>
      <w:r>
        <w:rPr>
          <w:rFonts w:ascii="Book Antiqua" w:hAnsi="Book Antiqua"/>
          <w:bCs/>
        </w:rPr>
        <w:t xml:space="preserve">levy was introduced on 1 July 2014 as a 0.5% addition to the Medicare levy, 2 years before full NDIS rollout began. This resulted in large Commonwealth surpluses which have been invested </w:t>
      </w:r>
      <w:r w:rsidR="005370E3">
        <w:rPr>
          <w:rFonts w:ascii="Book Antiqua" w:hAnsi="Book Antiqua"/>
          <w:bCs/>
        </w:rPr>
        <w:t xml:space="preserve">in a DCA Fund </w:t>
      </w:r>
      <w:r>
        <w:rPr>
          <w:rFonts w:ascii="Book Antiqua" w:hAnsi="Book Antiqua"/>
          <w:bCs/>
        </w:rPr>
        <w:t>to offset future NDIS outlays (25% of the levy is reserved for States and Territories).</w:t>
      </w:r>
    </w:p>
    <w:p w14:paraId="654A69AE" w14:textId="77777777" w:rsidR="00805EE7" w:rsidRDefault="00805EE7" w:rsidP="00805EE7">
      <w:pPr>
        <w:pStyle w:val="Default"/>
        <w:spacing w:line="276" w:lineRule="auto"/>
        <w:rPr>
          <w:rFonts w:ascii="Book Antiqua" w:hAnsi="Book Antiqua"/>
          <w:bCs/>
        </w:rPr>
      </w:pPr>
    </w:p>
    <w:p w14:paraId="72C52813" w14:textId="77777777" w:rsidR="00805EE7" w:rsidRDefault="00805EE7" w:rsidP="00805EE7">
      <w:pPr>
        <w:pStyle w:val="Default"/>
        <w:spacing w:line="276" w:lineRule="auto"/>
        <w:rPr>
          <w:rFonts w:ascii="Book Antiqua" w:hAnsi="Book Antiqua"/>
          <w:bCs/>
        </w:rPr>
      </w:pPr>
      <w:r>
        <w:rPr>
          <w:rFonts w:ascii="Book Antiqua" w:hAnsi="Book Antiqua"/>
          <w:bCs/>
        </w:rPr>
        <w:t>The net impact on the Commonwealth’s budget of its share of NDIS expenses is offset by the elimination or reduction in other Commonwealth programs as a result of the NDIS. These offsets were estimated by the Productivity Commission in its 2011 report, and these estimates were subsequently largely confirmed by the Australian Government Actuary. With multiple changes to Commonwealth budgets since 2011, there are differing views on what these offsets are in practice, and only limited information is available through the Budget papers and the various Commonwealth-State bilateral agreements. It is recommended that the current Productivity Commission review revisit this topic (desirably with the involvement of the Australian Government Actuary) and provide updated estimates.</w:t>
      </w:r>
    </w:p>
    <w:p w14:paraId="109F6860" w14:textId="77777777" w:rsidR="00805EE7" w:rsidRDefault="00805EE7" w:rsidP="00805EE7">
      <w:pPr>
        <w:pStyle w:val="Default"/>
        <w:spacing w:line="276" w:lineRule="auto"/>
        <w:rPr>
          <w:rFonts w:ascii="Book Antiqua" w:hAnsi="Book Antiqua"/>
          <w:bCs/>
        </w:rPr>
      </w:pPr>
    </w:p>
    <w:p w14:paraId="4E73EDEF" w14:textId="77777777" w:rsidR="00805EE7" w:rsidRPr="00C01E9A" w:rsidRDefault="00805EE7" w:rsidP="00805EE7">
      <w:pPr>
        <w:pStyle w:val="Default"/>
        <w:spacing w:line="276" w:lineRule="auto"/>
        <w:rPr>
          <w:rFonts w:ascii="Book Antiqua" w:hAnsi="Book Antiqua"/>
          <w:bCs/>
          <w:color w:val="auto"/>
        </w:rPr>
      </w:pPr>
      <w:r>
        <w:rPr>
          <w:rFonts w:ascii="Book Antiqua" w:hAnsi="Book Antiqua"/>
          <w:bCs/>
        </w:rPr>
        <w:t>The author has published reviews of the Commonwealth’s financial arrangements in 2014 and 2015 (</w:t>
      </w:r>
      <w:r w:rsidRPr="00C01E9A">
        <w:rPr>
          <w:rFonts w:ascii="Book Antiqua" w:hAnsi="Book Antiqua" w:cs="Tw Cen MT"/>
          <w:bCs/>
          <w:color w:val="auto"/>
        </w:rPr>
        <w:t xml:space="preserve">National Disability Insurance Scheme: Commonwealth Financial Arrangements </w:t>
      </w:r>
      <w:r>
        <w:rPr>
          <w:rFonts w:ascii="Book Antiqua" w:hAnsi="Book Antiqua" w:cs="Tw Cen MT"/>
          <w:bCs/>
          <w:color w:val="auto"/>
        </w:rPr>
        <w:t>u</w:t>
      </w:r>
      <w:r w:rsidRPr="00C01E9A">
        <w:rPr>
          <w:rFonts w:ascii="Book Antiqua" w:hAnsi="Book Antiqua" w:cs="Tw Cen MT"/>
          <w:bCs/>
          <w:color w:val="auto"/>
        </w:rPr>
        <w:t xml:space="preserve">p </w:t>
      </w:r>
      <w:r>
        <w:rPr>
          <w:rFonts w:ascii="Book Antiqua" w:hAnsi="Book Antiqua" w:cs="Tw Cen MT"/>
          <w:bCs/>
          <w:color w:val="auto"/>
        </w:rPr>
        <w:t>t</w:t>
      </w:r>
      <w:r w:rsidRPr="00C01E9A">
        <w:rPr>
          <w:rFonts w:ascii="Book Antiqua" w:hAnsi="Book Antiqua" w:cs="Tw Cen MT"/>
          <w:bCs/>
          <w:color w:val="auto"/>
        </w:rPr>
        <w:t>o 2019-20</w:t>
      </w:r>
      <w:r>
        <w:rPr>
          <w:rFonts w:ascii="Book Antiqua" w:hAnsi="Book Antiqua" w:cs="Tw Cen MT"/>
          <w:bCs/>
          <w:color w:val="auto"/>
        </w:rPr>
        <w:t xml:space="preserve">, </w:t>
      </w:r>
      <w:r w:rsidRPr="00C01E9A">
        <w:rPr>
          <w:rFonts w:ascii="Book Antiqua" w:hAnsi="Book Antiqua" w:cs="Tw Cen MT"/>
          <w:color w:val="auto"/>
        </w:rPr>
        <w:t>Policy Bulletin 5, November 2015</w:t>
      </w:r>
      <w:r>
        <w:rPr>
          <w:rFonts w:ascii="Book Antiqua" w:hAnsi="Book Antiqua" w:cs="Tw Cen MT"/>
          <w:color w:val="auto"/>
        </w:rPr>
        <w:t>)</w:t>
      </w:r>
      <w:r w:rsidRPr="00C01E9A">
        <w:rPr>
          <w:rFonts w:ascii="Book Antiqua" w:hAnsi="Book Antiqua" w:cs="Tw Cen MT"/>
          <w:color w:val="auto"/>
        </w:rPr>
        <w:t xml:space="preserve"> </w:t>
      </w:r>
      <w:r w:rsidRPr="00C01E9A">
        <w:rPr>
          <w:rFonts w:ascii="Book Antiqua" w:hAnsi="Book Antiqua"/>
          <w:bCs/>
          <w:color w:val="auto"/>
        </w:rPr>
        <w:t xml:space="preserve"> </w:t>
      </w:r>
    </w:p>
    <w:p w14:paraId="507BD977" w14:textId="77777777" w:rsidR="00805EE7" w:rsidRDefault="00805EE7" w:rsidP="00805EE7">
      <w:pPr>
        <w:pStyle w:val="Default"/>
        <w:spacing w:line="276" w:lineRule="auto"/>
        <w:rPr>
          <w:rFonts w:ascii="Book Antiqua" w:hAnsi="Book Antiqua"/>
          <w:bCs/>
        </w:rPr>
      </w:pPr>
      <w:r>
        <w:rPr>
          <w:rFonts w:ascii="Book Antiqua" w:hAnsi="Book Antiqua"/>
          <w:bCs/>
        </w:rPr>
        <w:t>(</w:t>
      </w:r>
      <w:hyperlink r:id="rId11" w:history="1">
        <w:r w:rsidRPr="008D7049">
          <w:rPr>
            <w:rStyle w:val="Hyperlink"/>
            <w:rFonts w:ascii="Book Antiqua" w:hAnsi="Book Antiqua"/>
            <w:bCs/>
          </w:rPr>
          <w:t>http://sydney.edu.au/health-sciences/cdrp//CDRP%20Policy%20Bulletin%205-NDIS%202015.pdf</w:t>
        </w:r>
      </w:hyperlink>
      <w:r>
        <w:rPr>
          <w:rFonts w:ascii="Book Antiqua" w:hAnsi="Book Antiqua"/>
          <w:bCs/>
        </w:rPr>
        <w:t>).</w:t>
      </w:r>
    </w:p>
    <w:p w14:paraId="3A529CCC" w14:textId="77777777" w:rsidR="00805EE7" w:rsidRDefault="00805EE7" w:rsidP="00805EE7">
      <w:pPr>
        <w:pStyle w:val="Default"/>
        <w:spacing w:line="276" w:lineRule="auto"/>
        <w:rPr>
          <w:rFonts w:ascii="Book Antiqua" w:hAnsi="Book Antiqua"/>
          <w:bCs/>
        </w:rPr>
      </w:pPr>
    </w:p>
    <w:p w14:paraId="0E560D89" w14:textId="6F78FF13" w:rsidR="00805EE7" w:rsidRDefault="00107FC1" w:rsidP="00805EE7">
      <w:pPr>
        <w:pStyle w:val="Default"/>
        <w:spacing w:line="276" w:lineRule="auto"/>
        <w:rPr>
          <w:rFonts w:ascii="Book Antiqua" w:hAnsi="Book Antiqua"/>
          <w:bCs/>
        </w:rPr>
      </w:pPr>
      <w:r>
        <w:rPr>
          <w:rFonts w:ascii="Book Antiqua" w:hAnsi="Book Antiqua"/>
          <w:bCs/>
        </w:rPr>
        <w:lastRenderedPageBreak/>
        <w:t xml:space="preserve">My </w:t>
      </w:r>
      <w:r w:rsidR="00805EE7">
        <w:rPr>
          <w:rFonts w:ascii="Book Antiqua" w:hAnsi="Book Antiqua"/>
          <w:bCs/>
        </w:rPr>
        <w:t>2015 re</w:t>
      </w:r>
      <w:r>
        <w:rPr>
          <w:rFonts w:ascii="Book Antiqua" w:hAnsi="Book Antiqua"/>
          <w:bCs/>
        </w:rPr>
        <w:t>view</w:t>
      </w:r>
      <w:r w:rsidR="00805EE7">
        <w:rPr>
          <w:rFonts w:ascii="Book Antiqua" w:hAnsi="Book Antiqua"/>
          <w:bCs/>
        </w:rPr>
        <w:t xml:space="preserve"> found, in summary:</w:t>
      </w:r>
    </w:p>
    <w:p w14:paraId="368B78CC" w14:textId="77777777" w:rsidR="005370E3" w:rsidRDefault="005370E3" w:rsidP="00805EE7">
      <w:pPr>
        <w:pStyle w:val="Default"/>
        <w:spacing w:line="276" w:lineRule="auto"/>
        <w:rPr>
          <w:rFonts w:ascii="Book Antiqua" w:hAnsi="Book Antiqua"/>
          <w:bCs/>
        </w:rPr>
      </w:pPr>
    </w:p>
    <w:p w14:paraId="165208EE" w14:textId="77777777" w:rsidR="00805EE7" w:rsidRDefault="00805EE7" w:rsidP="005370E3">
      <w:pPr>
        <w:autoSpaceDE w:val="0"/>
        <w:autoSpaceDN w:val="0"/>
        <w:adjustRightInd w:val="0"/>
        <w:spacing w:line="276" w:lineRule="auto"/>
        <w:ind w:left="720"/>
        <w:rPr>
          <w:rFonts w:ascii="Book Antiqua" w:hAnsi="Book Antiqua" w:cs="Tw Cen MT"/>
          <w:sz w:val="24"/>
        </w:rPr>
      </w:pPr>
      <w:r>
        <w:rPr>
          <w:rFonts w:ascii="Book Antiqua" w:hAnsi="Book Antiqua" w:cs="Tw Cen MT"/>
          <w:sz w:val="24"/>
        </w:rPr>
        <w:t>‘</w:t>
      </w:r>
      <w:r w:rsidRPr="00BA68E3">
        <w:rPr>
          <w:rFonts w:ascii="Book Antiqua" w:hAnsi="Book Antiqua" w:cs="Tw Cen MT"/>
          <w:sz w:val="24"/>
        </w:rPr>
        <w:t xml:space="preserve">The estimates show that the Commonwealth will have no net financing requirement in the years up to and including 2018-19. In these years, the balances from the Commonwealth’s share of the DCA levy will be substantial, reaching an estimated $6,568 million in 2016-17. </w:t>
      </w:r>
    </w:p>
    <w:p w14:paraId="642D42DD" w14:textId="77777777" w:rsidR="00805EE7" w:rsidRPr="00BA68E3" w:rsidRDefault="00805EE7" w:rsidP="005370E3">
      <w:pPr>
        <w:autoSpaceDE w:val="0"/>
        <w:autoSpaceDN w:val="0"/>
        <w:adjustRightInd w:val="0"/>
        <w:spacing w:line="276" w:lineRule="auto"/>
        <w:ind w:left="720"/>
        <w:rPr>
          <w:rFonts w:ascii="Book Antiqua" w:hAnsi="Book Antiqua" w:cs="Tw Cen MT"/>
          <w:sz w:val="24"/>
        </w:rPr>
      </w:pPr>
    </w:p>
    <w:p w14:paraId="376AFF2A" w14:textId="1FA60347" w:rsidR="00805EE7" w:rsidRDefault="00805EE7" w:rsidP="005370E3">
      <w:pPr>
        <w:pStyle w:val="Default"/>
        <w:spacing w:line="276" w:lineRule="auto"/>
        <w:ind w:left="720"/>
        <w:rPr>
          <w:rFonts w:ascii="Book Antiqua" w:hAnsi="Book Antiqua" w:cs="Tw Cen MT"/>
        </w:rPr>
      </w:pPr>
      <w:r w:rsidRPr="00BA68E3">
        <w:rPr>
          <w:rFonts w:ascii="Book Antiqua" w:hAnsi="Book Antiqua" w:cs="Tw Cen MT"/>
        </w:rPr>
        <w:t>It is estimated that the Commonwealth will have a net financing requirement in 2019-20, the first year in which the NDIS will be fully rolled out. In that year, the requirement is estimated to be $2,023 million, and the Commonwealth share of the DCA Fund will be exhausted. In later years, based on annual overall NDIS expenses of $22 billion, the net Commonwealth financing requirement is estimated at $4,073 million, which represents 37% of the Commonwealth’s share of total NDIS expenses.</w:t>
      </w:r>
      <w:r>
        <w:rPr>
          <w:rFonts w:ascii="Book Antiqua" w:hAnsi="Book Antiqua" w:cs="Tw Cen MT"/>
        </w:rPr>
        <w:t xml:space="preserve">’ </w:t>
      </w:r>
      <w:r w:rsidR="005370E3">
        <w:rPr>
          <w:rFonts w:ascii="Book Antiqua" w:hAnsi="Book Antiqua" w:cs="Tw Cen MT"/>
        </w:rPr>
        <w:tab/>
      </w:r>
    </w:p>
    <w:p w14:paraId="1ECBB0CC" w14:textId="70AB06A7" w:rsidR="00805EE7" w:rsidRDefault="00805EE7" w:rsidP="00805EE7">
      <w:pPr>
        <w:pStyle w:val="Default"/>
        <w:spacing w:before="240" w:line="276" w:lineRule="auto"/>
        <w:rPr>
          <w:rFonts w:ascii="Book Antiqua" w:hAnsi="Book Antiqua" w:cs="Tw Cen MT"/>
        </w:rPr>
      </w:pPr>
      <w:r>
        <w:rPr>
          <w:rFonts w:ascii="Book Antiqua" w:hAnsi="Book Antiqua" w:cs="Tw Cen MT"/>
        </w:rPr>
        <w:t>The Commonwealth Minister subsequently estimated the annual requirement at $5.2 billion (</w:t>
      </w:r>
      <w:hyperlink r:id="rId12" w:history="1">
        <w:r w:rsidRPr="008D7049">
          <w:rPr>
            <w:rStyle w:val="Hyperlink"/>
            <w:rFonts w:ascii="Book Antiqua" w:hAnsi="Book Antiqua" w:cs="Tw Cen MT"/>
          </w:rPr>
          <w:t>http://christianporter.dss.gov.au/speeches/national-disability-services-ceo-conference-2015</w:t>
        </w:r>
      </w:hyperlink>
      <w:r>
        <w:rPr>
          <w:rFonts w:ascii="Book Antiqua" w:hAnsi="Book Antiqua" w:cs="Tw Cen MT"/>
        </w:rPr>
        <w:t xml:space="preserve">). Unfortunately, no analysis to support this conclusion was provided. That figure has been repeated </w:t>
      </w:r>
      <w:r w:rsidR="00107FC1">
        <w:rPr>
          <w:rFonts w:ascii="Book Antiqua" w:hAnsi="Book Antiqua" w:cs="Tw Cen MT"/>
        </w:rPr>
        <w:t xml:space="preserve">(as $5 billion) </w:t>
      </w:r>
      <w:r>
        <w:rPr>
          <w:rFonts w:ascii="Book Antiqua" w:hAnsi="Book Antiqua" w:cs="Tw Cen MT"/>
        </w:rPr>
        <w:t>by the Minster for Finance (</w:t>
      </w:r>
      <w:hyperlink r:id="rId13" w:history="1">
        <w:r w:rsidRPr="008D7049">
          <w:rPr>
            <w:rStyle w:val="Hyperlink"/>
            <w:rFonts w:ascii="Book Antiqua" w:hAnsi="Book Antiqua" w:cs="Tw Cen MT"/>
          </w:rPr>
          <w:t>http://www.financeminister.gov.au/media-release/2016/03/16/new-ndis-account-lock-funding-0</w:t>
        </w:r>
      </w:hyperlink>
      <w:r>
        <w:rPr>
          <w:rFonts w:ascii="Book Antiqua" w:hAnsi="Book Antiqua" w:cs="Tw Cen MT"/>
        </w:rPr>
        <w:t>), also with no supporting analysis.</w:t>
      </w:r>
    </w:p>
    <w:p w14:paraId="074A40FA" w14:textId="77777777" w:rsidR="00805EE7" w:rsidRDefault="00805EE7" w:rsidP="00805EE7">
      <w:pPr>
        <w:pStyle w:val="Default"/>
        <w:spacing w:before="240" w:line="276" w:lineRule="auto"/>
        <w:rPr>
          <w:rFonts w:ascii="Book Antiqua" w:hAnsi="Book Antiqua" w:cs="Tw Cen MT"/>
        </w:rPr>
      </w:pPr>
      <w:r>
        <w:rPr>
          <w:rFonts w:ascii="Book Antiqua" w:hAnsi="Book Antiqua" w:cs="Tw Cen MT"/>
        </w:rPr>
        <w:t>The 2016 Budget showed a $4 billion reduction in total NDIS expenses over 3 years:</w:t>
      </w:r>
    </w:p>
    <w:tbl>
      <w:tblPr>
        <w:tblStyle w:val="TableGrid"/>
        <w:tblW w:w="0" w:type="auto"/>
        <w:tblLook w:val="04A0" w:firstRow="1" w:lastRow="0" w:firstColumn="1" w:lastColumn="0" w:noHBand="0" w:noVBand="1"/>
      </w:tblPr>
      <w:tblGrid>
        <w:gridCol w:w="2093"/>
        <w:gridCol w:w="2203"/>
        <w:gridCol w:w="2194"/>
        <w:gridCol w:w="2033"/>
      </w:tblGrid>
      <w:tr w:rsidR="00805EE7" w14:paraId="1B1572A7" w14:textId="77777777" w:rsidTr="00EE0468">
        <w:tc>
          <w:tcPr>
            <w:tcW w:w="2345" w:type="dxa"/>
          </w:tcPr>
          <w:p w14:paraId="46AB7982" w14:textId="77777777" w:rsidR="00805EE7" w:rsidRDefault="00805EE7" w:rsidP="00805EE7">
            <w:pPr>
              <w:pStyle w:val="Default"/>
              <w:spacing w:before="240" w:line="276" w:lineRule="auto"/>
              <w:rPr>
                <w:rFonts w:ascii="Book Antiqua" w:hAnsi="Book Antiqua" w:cs="Tw Cen MT"/>
              </w:rPr>
            </w:pPr>
          </w:p>
        </w:tc>
        <w:tc>
          <w:tcPr>
            <w:tcW w:w="2421" w:type="dxa"/>
          </w:tcPr>
          <w:p w14:paraId="3B613D07" w14:textId="77777777" w:rsidR="00805EE7" w:rsidRPr="009C2E16" w:rsidRDefault="00805EE7" w:rsidP="00805EE7">
            <w:pPr>
              <w:pStyle w:val="Default"/>
              <w:spacing w:before="240" w:line="276" w:lineRule="auto"/>
              <w:jc w:val="center"/>
              <w:rPr>
                <w:rFonts w:ascii="Book Antiqua" w:hAnsi="Book Antiqua" w:cs="Tw Cen MT"/>
                <w:b/>
              </w:rPr>
            </w:pPr>
            <w:r w:rsidRPr="009C2E16">
              <w:rPr>
                <w:rFonts w:ascii="Book Antiqua" w:hAnsi="Book Antiqua" w:cs="Tw Cen MT"/>
                <w:b/>
              </w:rPr>
              <w:t>2015 Budget</w:t>
            </w:r>
            <w:r>
              <w:rPr>
                <w:rFonts w:ascii="Book Antiqua" w:hAnsi="Book Antiqua" w:cs="Tw Cen MT"/>
                <w:b/>
              </w:rPr>
              <w:t xml:space="preserve"> ($M)</w:t>
            </w:r>
          </w:p>
        </w:tc>
        <w:tc>
          <w:tcPr>
            <w:tcW w:w="2421" w:type="dxa"/>
          </w:tcPr>
          <w:p w14:paraId="1C6F165A" w14:textId="77777777" w:rsidR="00805EE7" w:rsidRPr="009C2E16" w:rsidRDefault="00805EE7" w:rsidP="00805EE7">
            <w:pPr>
              <w:pStyle w:val="Default"/>
              <w:spacing w:before="240" w:line="276" w:lineRule="auto"/>
              <w:jc w:val="center"/>
              <w:rPr>
                <w:rFonts w:ascii="Book Antiqua" w:hAnsi="Book Antiqua" w:cs="Tw Cen MT"/>
                <w:b/>
              </w:rPr>
            </w:pPr>
            <w:r w:rsidRPr="009C2E16">
              <w:rPr>
                <w:rFonts w:ascii="Book Antiqua" w:hAnsi="Book Antiqua" w:cs="Tw Cen MT"/>
                <w:b/>
              </w:rPr>
              <w:t>2016 Budget</w:t>
            </w:r>
            <w:r>
              <w:rPr>
                <w:rFonts w:ascii="Book Antiqua" w:hAnsi="Book Antiqua" w:cs="Tw Cen MT"/>
                <w:b/>
              </w:rPr>
              <w:t xml:space="preserve"> ($M)</w:t>
            </w:r>
          </w:p>
        </w:tc>
        <w:tc>
          <w:tcPr>
            <w:tcW w:w="2163" w:type="dxa"/>
          </w:tcPr>
          <w:p w14:paraId="6CB9483E" w14:textId="77777777" w:rsidR="00805EE7" w:rsidRPr="009C2E16" w:rsidRDefault="00805EE7" w:rsidP="00805EE7">
            <w:pPr>
              <w:pStyle w:val="Default"/>
              <w:spacing w:before="240" w:line="276" w:lineRule="auto"/>
              <w:jc w:val="center"/>
              <w:rPr>
                <w:rFonts w:ascii="Book Antiqua" w:hAnsi="Book Antiqua" w:cs="Tw Cen MT"/>
                <w:b/>
              </w:rPr>
            </w:pPr>
            <w:r>
              <w:rPr>
                <w:rFonts w:ascii="Book Antiqua" w:hAnsi="Book Antiqua" w:cs="Tw Cen MT"/>
                <w:b/>
              </w:rPr>
              <w:t>Reduction ($M)</w:t>
            </w:r>
          </w:p>
        </w:tc>
      </w:tr>
      <w:tr w:rsidR="00805EE7" w14:paraId="29BF2F08" w14:textId="77777777" w:rsidTr="00EE0468">
        <w:tc>
          <w:tcPr>
            <w:tcW w:w="2345" w:type="dxa"/>
          </w:tcPr>
          <w:p w14:paraId="20DC3B86" w14:textId="77777777" w:rsidR="00805EE7" w:rsidRDefault="00805EE7" w:rsidP="00805EE7">
            <w:pPr>
              <w:pStyle w:val="Default"/>
              <w:spacing w:before="240" w:line="276" w:lineRule="auto"/>
              <w:rPr>
                <w:rFonts w:ascii="Book Antiqua" w:hAnsi="Book Antiqua" w:cs="Tw Cen MT"/>
              </w:rPr>
            </w:pPr>
            <w:r>
              <w:rPr>
                <w:rFonts w:ascii="Book Antiqua" w:hAnsi="Book Antiqua" w:cs="Tw Cen MT"/>
              </w:rPr>
              <w:t>2016-17</w:t>
            </w:r>
          </w:p>
        </w:tc>
        <w:tc>
          <w:tcPr>
            <w:tcW w:w="2421" w:type="dxa"/>
          </w:tcPr>
          <w:p w14:paraId="3BE448C4"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4,331</w:t>
            </w:r>
          </w:p>
        </w:tc>
        <w:tc>
          <w:tcPr>
            <w:tcW w:w="2421" w:type="dxa"/>
          </w:tcPr>
          <w:p w14:paraId="3FC84CD0"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4,183</w:t>
            </w:r>
          </w:p>
        </w:tc>
        <w:tc>
          <w:tcPr>
            <w:tcW w:w="2163" w:type="dxa"/>
          </w:tcPr>
          <w:p w14:paraId="02379797"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148</w:t>
            </w:r>
          </w:p>
        </w:tc>
      </w:tr>
      <w:tr w:rsidR="00805EE7" w14:paraId="7DCE6C65" w14:textId="77777777" w:rsidTr="00EE0468">
        <w:tc>
          <w:tcPr>
            <w:tcW w:w="2345" w:type="dxa"/>
          </w:tcPr>
          <w:p w14:paraId="267C2213" w14:textId="77777777" w:rsidR="00805EE7" w:rsidRDefault="00805EE7" w:rsidP="00805EE7">
            <w:pPr>
              <w:pStyle w:val="Default"/>
              <w:spacing w:before="240" w:line="276" w:lineRule="auto"/>
              <w:rPr>
                <w:rFonts w:ascii="Book Antiqua" w:hAnsi="Book Antiqua" w:cs="Tw Cen MT"/>
              </w:rPr>
            </w:pPr>
            <w:r>
              <w:rPr>
                <w:rFonts w:ascii="Book Antiqua" w:hAnsi="Book Antiqua" w:cs="Tw Cen MT"/>
              </w:rPr>
              <w:t>2017-18</w:t>
            </w:r>
          </w:p>
        </w:tc>
        <w:tc>
          <w:tcPr>
            <w:tcW w:w="2421" w:type="dxa"/>
          </w:tcPr>
          <w:p w14:paraId="0333E70E"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11,718</w:t>
            </w:r>
          </w:p>
        </w:tc>
        <w:tc>
          <w:tcPr>
            <w:tcW w:w="2421" w:type="dxa"/>
          </w:tcPr>
          <w:p w14:paraId="7933C7BE"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10,016</w:t>
            </w:r>
          </w:p>
        </w:tc>
        <w:tc>
          <w:tcPr>
            <w:tcW w:w="2163" w:type="dxa"/>
          </w:tcPr>
          <w:p w14:paraId="5282C50D"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1,702</w:t>
            </w:r>
          </w:p>
        </w:tc>
      </w:tr>
      <w:tr w:rsidR="00805EE7" w14:paraId="775C7CD4" w14:textId="77777777" w:rsidTr="00EE0468">
        <w:tc>
          <w:tcPr>
            <w:tcW w:w="2345" w:type="dxa"/>
          </w:tcPr>
          <w:p w14:paraId="73215560" w14:textId="77777777" w:rsidR="00805EE7" w:rsidRDefault="00805EE7" w:rsidP="00805EE7">
            <w:pPr>
              <w:pStyle w:val="Default"/>
              <w:spacing w:before="240" w:line="276" w:lineRule="auto"/>
              <w:rPr>
                <w:rFonts w:ascii="Book Antiqua" w:hAnsi="Book Antiqua" w:cs="Tw Cen MT"/>
              </w:rPr>
            </w:pPr>
            <w:r>
              <w:rPr>
                <w:rFonts w:ascii="Book Antiqua" w:hAnsi="Book Antiqua" w:cs="Tw Cen MT"/>
              </w:rPr>
              <w:t>2018-19</w:t>
            </w:r>
          </w:p>
        </w:tc>
        <w:tc>
          <w:tcPr>
            <w:tcW w:w="2421" w:type="dxa"/>
          </w:tcPr>
          <w:p w14:paraId="60D53949"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19,202</w:t>
            </w:r>
          </w:p>
        </w:tc>
        <w:tc>
          <w:tcPr>
            <w:tcW w:w="2421" w:type="dxa"/>
          </w:tcPr>
          <w:p w14:paraId="6F0397A2"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17,573</w:t>
            </w:r>
          </w:p>
        </w:tc>
        <w:tc>
          <w:tcPr>
            <w:tcW w:w="2163" w:type="dxa"/>
          </w:tcPr>
          <w:p w14:paraId="77DD1430"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1,629</w:t>
            </w:r>
          </w:p>
        </w:tc>
      </w:tr>
      <w:tr w:rsidR="00805EE7" w14:paraId="0E178C6D" w14:textId="77777777" w:rsidTr="00EE0468">
        <w:tc>
          <w:tcPr>
            <w:tcW w:w="2345" w:type="dxa"/>
          </w:tcPr>
          <w:p w14:paraId="322DD9E9" w14:textId="77777777" w:rsidR="00805EE7" w:rsidRDefault="00805EE7" w:rsidP="00805EE7">
            <w:pPr>
              <w:pStyle w:val="Default"/>
              <w:spacing w:before="240" w:line="276" w:lineRule="auto"/>
              <w:rPr>
                <w:rFonts w:ascii="Book Antiqua" w:hAnsi="Book Antiqua" w:cs="Tw Cen MT"/>
              </w:rPr>
            </w:pPr>
            <w:r>
              <w:rPr>
                <w:rFonts w:ascii="Book Antiqua" w:hAnsi="Book Antiqua" w:cs="Tw Cen MT"/>
              </w:rPr>
              <w:t>2019-20</w:t>
            </w:r>
          </w:p>
        </w:tc>
        <w:tc>
          <w:tcPr>
            <w:tcW w:w="2421" w:type="dxa"/>
          </w:tcPr>
          <w:p w14:paraId="240D9417" w14:textId="77777777" w:rsidR="00805EE7" w:rsidRPr="000C0FE4" w:rsidRDefault="00805EE7" w:rsidP="00805EE7">
            <w:pPr>
              <w:pStyle w:val="Default"/>
              <w:spacing w:before="240" w:line="276" w:lineRule="auto"/>
              <w:jc w:val="center"/>
              <w:rPr>
                <w:rFonts w:ascii="Book Antiqua" w:hAnsi="Book Antiqua" w:cs="Tw Cen MT"/>
                <w:vertAlign w:val="superscript"/>
              </w:rPr>
            </w:pPr>
            <w:r>
              <w:rPr>
                <w:rFonts w:ascii="Book Antiqua" w:hAnsi="Book Antiqua" w:cs="Tw Cen MT"/>
              </w:rPr>
              <w:t>22,000</w:t>
            </w:r>
            <w:r>
              <w:rPr>
                <w:rFonts w:ascii="Book Antiqua" w:hAnsi="Book Antiqua" w:cs="Tw Cen MT"/>
                <w:vertAlign w:val="superscript"/>
              </w:rPr>
              <w:t>(1)</w:t>
            </w:r>
          </w:p>
        </w:tc>
        <w:tc>
          <w:tcPr>
            <w:tcW w:w="2421" w:type="dxa"/>
          </w:tcPr>
          <w:p w14:paraId="37F70508"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21,500</w:t>
            </w:r>
          </w:p>
        </w:tc>
        <w:tc>
          <w:tcPr>
            <w:tcW w:w="2163" w:type="dxa"/>
          </w:tcPr>
          <w:p w14:paraId="1A88D31C" w14:textId="77777777" w:rsidR="00805EE7" w:rsidRDefault="00805EE7" w:rsidP="00805EE7">
            <w:pPr>
              <w:pStyle w:val="Default"/>
              <w:spacing w:before="240" w:line="276" w:lineRule="auto"/>
              <w:jc w:val="center"/>
              <w:rPr>
                <w:rFonts w:ascii="Book Antiqua" w:hAnsi="Book Antiqua" w:cs="Tw Cen MT"/>
              </w:rPr>
            </w:pPr>
            <w:r>
              <w:rPr>
                <w:rFonts w:ascii="Book Antiqua" w:hAnsi="Book Antiqua" w:cs="Tw Cen MT"/>
              </w:rPr>
              <w:t>500</w:t>
            </w:r>
          </w:p>
        </w:tc>
      </w:tr>
    </w:tbl>
    <w:p w14:paraId="3872EE5E" w14:textId="77777777" w:rsidR="00805EE7" w:rsidRPr="000C0FE4" w:rsidRDefault="00805EE7" w:rsidP="00805EE7">
      <w:pPr>
        <w:pStyle w:val="Default"/>
        <w:spacing w:before="240" w:line="276" w:lineRule="auto"/>
        <w:rPr>
          <w:rFonts w:ascii="Book Antiqua" w:hAnsi="Book Antiqua" w:cs="Tw Cen MT"/>
          <w:sz w:val="16"/>
          <w:szCs w:val="16"/>
        </w:rPr>
      </w:pPr>
      <w:r w:rsidRPr="000C0FE4">
        <w:rPr>
          <w:rFonts w:ascii="Book Antiqua" w:hAnsi="Book Antiqua" w:cs="Tw Cen MT"/>
          <w:sz w:val="16"/>
          <w:szCs w:val="16"/>
        </w:rPr>
        <w:t>(1): Estimated NDIS total expenses at full rollout</w:t>
      </w:r>
      <w:r>
        <w:rPr>
          <w:rFonts w:ascii="Book Antiqua" w:hAnsi="Book Antiqua" w:cs="Tw Cen MT"/>
          <w:sz w:val="16"/>
          <w:szCs w:val="16"/>
        </w:rPr>
        <w:t>; 2019-20 is beyond the 2015 Budget forward estimates</w:t>
      </w:r>
    </w:p>
    <w:p w14:paraId="2C2F4B8A" w14:textId="77777777" w:rsidR="00805EE7" w:rsidRDefault="00805EE7" w:rsidP="00805EE7">
      <w:pPr>
        <w:pStyle w:val="Default"/>
        <w:spacing w:line="276" w:lineRule="auto"/>
        <w:rPr>
          <w:rFonts w:ascii="Book Antiqua" w:hAnsi="Book Antiqua"/>
          <w:bCs/>
        </w:rPr>
      </w:pPr>
    </w:p>
    <w:p w14:paraId="2D71BA3C" w14:textId="1EB1F4F7" w:rsidR="00805EE7" w:rsidRDefault="00805EE7" w:rsidP="00805EE7">
      <w:pPr>
        <w:pStyle w:val="Default"/>
        <w:spacing w:line="276" w:lineRule="auto"/>
        <w:rPr>
          <w:rFonts w:ascii="Book Antiqua" w:hAnsi="Book Antiqua"/>
          <w:bCs/>
        </w:rPr>
      </w:pPr>
      <w:r>
        <w:rPr>
          <w:rFonts w:ascii="Book Antiqua" w:hAnsi="Book Antiqua"/>
          <w:bCs/>
        </w:rPr>
        <w:t>This reduces the Commonwealth share over these years by approximately $2 billion. As offsets in the affected years will be correspondingly reduced, the net impact of these reductions will be approximately $1.3 billion</w:t>
      </w:r>
      <w:r w:rsidR="0037421E">
        <w:rPr>
          <w:rFonts w:ascii="Book Antiqua" w:hAnsi="Book Antiqua"/>
          <w:bCs/>
        </w:rPr>
        <w:t xml:space="preserve">. That would </w:t>
      </w:r>
      <w:r w:rsidR="0037421E">
        <w:rPr>
          <w:rFonts w:ascii="Book Antiqua" w:hAnsi="Book Antiqua"/>
          <w:bCs/>
        </w:rPr>
        <w:lastRenderedPageBreak/>
        <w:t>reduce my 2015 estimate of</w:t>
      </w:r>
      <w:r>
        <w:rPr>
          <w:rFonts w:ascii="Book Antiqua" w:hAnsi="Book Antiqua"/>
          <w:bCs/>
        </w:rPr>
        <w:t xml:space="preserve"> the Commonwealth’s net financing requirement in 2019-20 to approximately $0.7 billion. The net financing requirement in later years is not affected. </w:t>
      </w:r>
    </w:p>
    <w:p w14:paraId="7F02661C" w14:textId="77777777" w:rsidR="00805EE7" w:rsidRDefault="00805EE7" w:rsidP="00805EE7">
      <w:pPr>
        <w:pStyle w:val="Default"/>
        <w:spacing w:line="276" w:lineRule="auto"/>
        <w:rPr>
          <w:rFonts w:ascii="Book Antiqua" w:hAnsi="Book Antiqua"/>
          <w:bCs/>
        </w:rPr>
      </w:pPr>
      <w:r>
        <w:rPr>
          <w:rFonts w:ascii="Book Antiqua" w:hAnsi="Book Antiqua"/>
          <w:bCs/>
        </w:rPr>
        <w:t xml:space="preserve"> </w:t>
      </w:r>
    </w:p>
    <w:p w14:paraId="1A1449F8" w14:textId="77777777" w:rsidR="00805EE7" w:rsidRDefault="00805EE7" w:rsidP="00805EE7">
      <w:pPr>
        <w:pStyle w:val="Default"/>
        <w:spacing w:line="276" w:lineRule="auto"/>
        <w:rPr>
          <w:rFonts w:ascii="Book Antiqua" w:hAnsi="Book Antiqua"/>
          <w:b/>
          <w:bCs/>
        </w:rPr>
      </w:pPr>
      <w:r w:rsidRPr="00D271CB">
        <w:rPr>
          <w:rFonts w:ascii="Book Antiqua" w:hAnsi="Book Antiqua"/>
          <w:b/>
          <w:bCs/>
        </w:rPr>
        <w:t>Conclusion</w:t>
      </w:r>
    </w:p>
    <w:p w14:paraId="4BDD089A" w14:textId="77777777" w:rsidR="00FF22E8" w:rsidRPr="00D271CB" w:rsidRDefault="00FF22E8" w:rsidP="00805EE7">
      <w:pPr>
        <w:pStyle w:val="Default"/>
        <w:spacing w:line="276" w:lineRule="auto"/>
        <w:rPr>
          <w:rFonts w:ascii="Book Antiqua" w:hAnsi="Book Antiqua"/>
          <w:b/>
          <w:bCs/>
        </w:rPr>
      </w:pPr>
    </w:p>
    <w:p w14:paraId="17666412" w14:textId="426CAFB2" w:rsidR="00805EE7" w:rsidRDefault="00805EE7" w:rsidP="00805EE7">
      <w:pPr>
        <w:pStyle w:val="Default"/>
        <w:spacing w:line="276" w:lineRule="auto"/>
        <w:rPr>
          <w:rFonts w:ascii="Book Antiqua" w:hAnsi="Book Antiqua"/>
          <w:bCs/>
        </w:rPr>
      </w:pPr>
      <w:r>
        <w:rPr>
          <w:rFonts w:ascii="Book Antiqua" w:hAnsi="Book Antiqua"/>
          <w:bCs/>
        </w:rPr>
        <w:t xml:space="preserve">Existing estimates for the Commonwealth net financing requirement for the NDIS after full rollout range between $4.1 billion and $5.2 billion. It is important that the Productivity Commission derive its own estimates of the annual Commonwealth net financing requirement and the timing of this impact. It should revise its 2011 estimates of Commonwealth Budget offsets in </w:t>
      </w:r>
      <w:r w:rsidR="0037421E">
        <w:rPr>
          <w:rFonts w:ascii="Book Antiqua" w:hAnsi="Book Antiqua"/>
          <w:bCs/>
        </w:rPr>
        <w:t>making</w:t>
      </w:r>
      <w:r>
        <w:rPr>
          <w:rFonts w:ascii="Book Antiqua" w:hAnsi="Book Antiqua"/>
          <w:bCs/>
        </w:rPr>
        <w:t xml:space="preserve"> these estimates. </w:t>
      </w:r>
    </w:p>
    <w:p w14:paraId="4E19CA20" w14:textId="77777777" w:rsidR="00805EE7" w:rsidRDefault="00805EE7" w:rsidP="00805EE7">
      <w:pPr>
        <w:pStyle w:val="Default"/>
        <w:spacing w:line="276" w:lineRule="auto"/>
        <w:rPr>
          <w:rFonts w:ascii="Book Antiqua" w:hAnsi="Book Antiqua"/>
          <w:bCs/>
        </w:rPr>
      </w:pPr>
    </w:p>
    <w:p w14:paraId="4E6C0152" w14:textId="77777777" w:rsidR="00805EE7" w:rsidRDefault="00805EE7" w:rsidP="00805EE7">
      <w:pPr>
        <w:pStyle w:val="Default"/>
        <w:spacing w:line="276" w:lineRule="auto"/>
        <w:rPr>
          <w:rFonts w:ascii="Book Antiqua" w:hAnsi="Book Antiqua"/>
          <w:bCs/>
        </w:rPr>
      </w:pPr>
      <w:r>
        <w:rPr>
          <w:rFonts w:ascii="Book Antiqua" w:hAnsi="Book Antiqua"/>
          <w:bCs/>
        </w:rPr>
        <w:t>There is no net financing requirement in the years up to and including 2018-19. The impact in 2019-20 appears to be relatively small, with the full net impact being felt in 2020-21.</w:t>
      </w:r>
    </w:p>
    <w:p w14:paraId="207B7C82" w14:textId="77777777" w:rsidR="00805EE7" w:rsidRDefault="00805EE7" w:rsidP="00805EE7">
      <w:pPr>
        <w:pStyle w:val="Default"/>
        <w:spacing w:line="276" w:lineRule="auto"/>
        <w:rPr>
          <w:rFonts w:ascii="Book Antiqua" w:hAnsi="Book Antiqua"/>
          <w:bCs/>
        </w:rPr>
      </w:pPr>
    </w:p>
    <w:p w14:paraId="3C645946" w14:textId="77777777" w:rsidR="00805EE7" w:rsidRDefault="00805EE7" w:rsidP="00805EE7">
      <w:pPr>
        <w:pStyle w:val="Default"/>
        <w:spacing w:line="276" w:lineRule="auto"/>
        <w:rPr>
          <w:rFonts w:ascii="Book Antiqua" w:hAnsi="Book Antiqua"/>
          <w:bCs/>
        </w:rPr>
      </w:pPr>
    </w:p>
    <w:p w14:paraId="70C1A84B" w14:textId="77777777" w:rsidR="00805EE7" w:rsidRPr="00364454" w:rsidRDefault="00805EE7" w:rsidP="00805EE7">
      <w:pPr>
        <w:pStyle w:val="Default"/>
        <w:spacing w:line="276" w:lineRule="auto"/>
        <w:rPr>
          <w:rFonts w:ascii="Book Antiqua" w:hAnsi="Book Antiqua" w:cs="Calibri"/>
          <w:bCs/>
        </w:rPr>
      </w:pPr>
    </w:p>
    <w:p w14:paraId="50624B98" w14:textId="77777777" w:rsidR="00805EE7" w:rsidRDefault="00805EE7" w:rsidP="00805EE7">
      <w:pPr>
        <w:pStyle w:val="Default"/>
        <w:spacing w:line="276" w:lineRule="auto"/>
        <w:rPr>
          <w:b/>
          <w:bCs/>
          <w:sz w:val="32"/>
          <w:szCs w:val="32"/>
        </w:rPr>
      </w:pPr>
      <w:r>
        <w:rPr>
          <w:b/>
          <w:bCs/>
          <w:sz w:val="32"/>
          <w:szCs w:val="32"/>
        </w:rPr>
        <w:br w:type="page"/>
      </w:r>
    </w:p>
    <w:p w14:paraId="65FAD3EB" w14:textId="77777777" w:rsidR="00805EE7" w:rsidRDefault="00805EE7" w:rsidP="00805EE7">
      <w:pPr>
        <w:pStyle w:val="Default"/>
        <w:spacing w:line="276" w:lineRule="auto"/>
        <w:rPr>
          <w:b/>
          <w:bCs/>
          <w:sz w:val="32"/>
          <w:szCs w:val="32"/>
        </w:rPr>
      </w:pPr>
      <w:r>
        <w:rPr>
          <w:b/>
          <w:bCs/>
          <w:sz w:val="32"/>
          <w:szCs w:val="32"/>
        </w:rPr>
        <w:lastRenderedPageBreak/>
        <w:t>Other Issues</w:t>
      </w:r>
    </w:p>
    <w:p w14:paraId="62A0C612" w14:textId="77777777" w:rsidR="00805EE7" w:rsidRDefault="00805EE7" w:rsidP="00805EE7">
      <w:pPr>
        <w:pStyle w:val="Default"/>
        <w:spacing w:line="276" w:lineRule="auto"/>
        <w:rPr>
          <w:b/>
          <w:bCs/>
          <w:sz w:val="32"/>
          <w:szCs w:val="32"/>
        </w:rPr>
      </w:pPr>
    </w:p>
    <w:p w14:paraId="4CDB895D" w14:textId="77777777" w:rsidR="00805EE7" w:rsidRDefault="00805EE7" w:rsidP="00805EE7">
      <w:pPr>
        <w:pStyle w:val="Default"/>
        <w:spacing w:line="276" w:lineRule="auto"/>
        <w:rPr>
          <w:b/>
          <w:bCs/>
          <w:sz w:val="32"/>
          <w:szCs w:val="32"/>
        </w:rPr>
      </w:pPr>
      <w:r>
        <w:rPr>
          <w:b/>
          <w:bCs/>
          <w:sz w:val="32"/>
          <w:szCs w:val="32"/>
        </w:rPr>
        <w:t>2</w:t>
      </w:r>
      <w:r>
        <w:rPr>
          <w:b/>
          <w:bCs/>
          <w:sz w:val="32"/>
          <w:szCs w:val="32"/>
        </w:rPr>
        <w:tab/>
        <w:t>Scheme Costs</w:t>
      </w:r>
    </w:p>
    <w:p w14:paraId="1D31930C" w14:textId="77777777" w:rsidR="00805EE7" w:rsidRDefault="00805EE7" w:rsidP="00805EE7">
      <w:pPr>
        <w:pStyle w:val="Default"/>
        <w:spacing w:line="276" w:lineRule="auto"/>
        <w:rPr>
          <w:rFonts w:ascii="Book Antiqua" w:hAnsi="Book Antiqua"/>
          <w:bCs/>
        </w:rPr>
      </w:pPr>
      <w:r>
        <w:rPr>
          <w:rFonts w:ascii="Book Antiqua" w:hAnsi="Book Antiqua"/>
          <w:bCs/>
        </w:rPr>
        <w:t>Observers of the NDIS have been greatly hampered by the limited amount of information released on the operations of the Scheme. There are two distinct matters needing improvement.</w:t>
      </w:r>
    </w:p>
    <w:p w14:paraId="11E2FA2B" w14:textId="77777777" w:rsidR="00805EE7" w:rsidRDefault="00805EE7" w:rsidP="00805EE7">
      <w:pPr>
        <w:pStyle w:val="Default"/>
        <w:spacing w:line="276" w:lineRule="auto"/>
        <w:rPr>
          <w:rFonts w:ascii="Book Antiqua" w:hAnsi="Book Antiqua"/>
          <w:bCs/>
        </w:rPr>
      </w:pPr>
    </w:p>
    <w:p w14:paraId="4BA4100C" w14:textId="77777777" w:rsidR="00805EE7" w:rsidRPr="00042813" w:rsidRDefault="00805EE7" w:rsidP="00805EE7">
      <w:pPr>
        <w:pStyle w:val="Default"/>
        <w:spacing w:line="276" w:lineRule="auto"/>
        <w:rPr>
          <w:rFonts w:ascii="Book Antiqua" w:hAnsi="Book Antiqua"/>
          <w:b/>
          <w:bCs/>
        </w:rPr>
      </w:pPr>
      <w:r w:rsidRPr="00042813">
        <w:rPr>
          <w:rFonts w:ascii="Book Antiqua" w:hAnsi="Book Antiqua"/>
          <w:b/>
          <w:bCs/>
        </w:rPr>
        <w:t>A</w:t>
      </w:r>
      <w:r w:rsidRPr="00042813">
        <w:rPr>
          <w:rFonts w:ascii="Book Antiqua" w:hAnsi="Book Antiqua"/>
          <w:b/>
          <w:bCs/>
        </w:rPr>
        <w:tab/>
      </w:r>
      <w:r>
        <w:rPr>
          <w:rFonts w:ascii="Book Antiqua" w:hAnsi="Book Antiqua"/>
          <w:b/>
          <w:bCs/>
        </w:rPr>
        <w:t xml:space="preserve">Public </w:t>
      </w:r>
      <w:r w:rsidRPr="00042813">
        <w:rPr>
          <w:rFonts w:ascii="Book Antiqua" w:hAnsi="Book Antiqua"/>
          <w:b/>
          <w:bCs/>
        </w:rPr>
        <w:t>Release of Actuarial Reports on Scheme Performance and Cost</w:t>
      </w:r>
    </w:p>
    <w:p w14:paraId="700880B0" w14:textId="3A1C6B36" w:rsidR="00805EE7" w:rsidRDefault="00805EE7" w:rsidP="00805EE7">
      <w:pPr>
        <w:pStyle w:val="Default"/>
        <w:spacing w:line="276" w:lineRule="auto"/>
        <w:rPr>
          <w:rFonts w:ascii="Book Antiqua" w:hAnsi="Book Antiqua" w:cs="Calibri"/>
          <w:bCs/>
        </w:rPr>
      </w:pPr>
      <w:r>
        <w:rPr>
          <w:rFonts w:ascii="Book Antiqua" w:hAnsi="Book Antiqua" w:cs="Calibri"/>
          <w:bCs/>
        </w:rPr>
        <w:t>From the outset, the NDIA has included a strong actuarial team. It must be assumed that this team is carefully analy</w:t>
      </w:r>
      <w:r w:rsidR="00803049">
        <w:rPr>
          <w:rFonts w:ascii="Book Antiqua" w:hAnsi="Book Antiqua" w:cs="Calibri"/>
          <w:bCs/>
        </w:rPr>
        <w:t>s</w:t>
      </w:r>
      <w:r>
        <w:rPr>
          <w:rFonts w:ascii="Book Antiqua" w:hAnsi="Book Antiqua" w:cs="Calibri"/>
          <w:bCs/>
        </w:rPr>
        <w:t xml:space="preserve">ing the performance and costs of the Scheme. </w:t>
      </w:r>
    </w:p>
    <w:p w14:paraId="113DC219" w14:textId="77777777" w:rsidR="00805EE7" w:rsidRDefault="00805EE7" w:rsidP="00805EE7">
      <w:pPr>
        <w:pStyle w:val="Default"/>
        <w:spacing w:line="276" w:lineRule="auto"/>
        <w:rPr>
          <w:rFonts w:ascii="Book Antiqua" w:hAnsi="Book Antiqua" w:cs="Calibri"/>
          <w:bCs/>
        </w:rPr>
      </w:pPr>
    </w:p>
    <w:p w14:paraId="094BEAC3"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Regrettably, actuarial reports are not released. Information in quarterly reports is very brief. Costing information refers to the ‘annualised cost’ of packages, with no information on lifetime estimates of costs. Part of the justification for the NDIS as an insurance scheme is the investment in interventions now to reduce long term support costs in the future. There is no break-up of the investment component of packages versus that designed to meet current needs.</w:t>
      </w:r>
    </w:p>
    <w:p w14:paraId="4079FEBA" w14:textId="77777777" w:rsidR="00805EE7" w:rsidRDefault="00805EE7" w:rsidP="00805EE7">
      <w:pPr>
        <w:pStyle w:val="Default"/>
        <w:spacing w:line="276" w:lineRule="auto"/>
        <w:rPr>
          <w:rFonts w:ascii="Book Antiqua" w:hAnsi="Book Antiqua" w:cs="Calibri"/>
          <w:bCs/>
        </w:rPr>
      </w:pPr>
    </w:p>
    <w:p w14:paraId="232DEEC7" w14:textId="7C8CF8A8"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The NDIS is </w:t>
      </w:r>
      <w:r w:rsidR="00803049">
        <w:rPr>
          <w:rFonts w:ascii="Book Antiqua" w:hAnsi="Book Antiqua" w:cs="Calibri"/>
          <w:bCs/>
        </w:rPr>
        <w:t xml:space="preserve">a </w:t>
      </w:r>
      <w:r>
        <w:rPr>
          <w:rFonts w:ascii="Book Antiqua" w:hAnsi="Book Antiqua" w:cs="Calibri"/>
          <w:bCs/>
        </w:rPr>
        <w:t>publicly funded social insurance system. There is no commercial confidentiality requirement to limit release of information to all stakeholders and the community generally.</w:t>
      </w:r>
      <w:r w:rsidR="00803049">
        <w:rPr>
          <w:rFonts w:ascii="Book Antiqua" w:hAnsi="Book Antiqua" w:cs="Calibri"/>
          <w:bCs/>
        </w:rPr>
        <w:t xml:space="preserve"> </w:t>
      </w:r>
    </w:p>
    <w:p w14:paraId="342E0D87" w14:textId="77777777" w:rsidR="00805EE7" w:rsidRDefault="00805EE7" w:rsidP="00805EE7">
      <w:pPr>
        <w:pStyle w:val="Default"/>
        <w:spacing w:line="276" w:lineRule="auto"/>
        <w:rPr>
          <w:rFonts w:ascii="Book Antiqua" w:hAnsi="Book Antiqua" w:cs="Calibri"/>
          <w:bCs/>
        </w:rPr>
      </w:pPr>
    </w:p>
    <w:p w14:paraId="65C9C796" w14:textId="77777777" w:rsidR="00805EE7" w:rsidRDefault="00805EE7" w:rsidP="00805EE7">
      <w:pPr>
        <w:pStyle w:val="Default"/>
        <w:spacing w:line="276" w:lineRule="auto"/>
        <w:rPr>
          <w:rFonts w:ascii="Book Antiqua" w:hAnsi="Book Antiqua" w:cs="Calibri"/>
          <w:b/>
          <w:bCs/>
        </w:rPr>
      </w:pPr>
      <w:r w:rsidRPr="006D6D96">
        <w:rPr>
          <w:rFonts w:ascii="Book Antiqua" w:hAnsi="Book Antiqua" w:cs="Calibri"/>
          <w:b/>
          <w:bCs/>
        </w:rPr>
        <w:t>B</w:t>
      </w:r>
      <w:r w:rsidRPr="006D6D96">
        <w:rPr>
          <w:rFonts w:ascii="Book Antiqua" w:hAnsi="Book Antiqua" w:cs="Calibri"/>
          <w:b/>
          <w:bCs/>
        </w:rPr>
        <w:tab/>
        <w:t>Statistical Data</w:t>
      </w:r>
    </w:p>
    <w:p w14:paraId="08FAB3A4" w14:textId="77777777" w:rsidR="00805EE7" w:rsidRDefault="00805EE7" w:rsidP="00805EE7">
      <w:pPr>
        <w:pStyle w:val="Default"/>
        <w:spacing w:line="276" w:lineRule="auto"/>
        <w:rPr>
          <w:rFonts w:ascii="Book Antiqua" w:hAnsi="Book Antiqua" w:cs="Calibri"/>
          <w:b/>
          <w:bCs/>
        </w:rPr>
      </w:pPr>
    </w:p>
    <w:p w14:paraId="14CA4E82"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The Productivity Commission has asked for responses on a range of questions affecting costs, including</w:t>
      </w:r>
    </w:p>
    <w:p w14:paraId="30327FFC" w14:textId="77777777" w:rsidR="00805EE7" w:rsidRDefault="00805EE7" w:rsidP="00805EE7">
      <w:pPr>
        <w:pStyle w:val="Default"/>
        <w:spacing w:line="276" w:lineRule="auto"/>
        <w:rPr>
          <w:color w:val="auto"/>
        </w:rPr>
      </w:pPr>
    </w:p>
    <w:p w14:paraId="1C64A736" w14:textId="7A6417CB" w:rsidR="00805EE7" w:rsidRPr="00F6387F" w:rsidRDefault="00803049" w:rsidP="00805EE7">
      <w:pPr>
        <w:pStyle w:val="Default"/>
        <w:numPr>
          <w:ilvl w:val="0"/>
          <w:numId w:val="21"/>
        </w:numPr>
        <w:spacing w:line="276" w:lineRule="auto"/>
        <w:rPr>
          <w:rFonts w:ascii="Book Antiqua" w:hAnsi="Book Antiqua"/>
        </w:rPr>
      </w:pPr>
      <w:r>
        <w:rPr>
          <w:rFonts w:ascii="Book Antiqua" w:hAnsi="Book Antiqua"/>
          <w:iCs/>
        </w:rPr>
        <w:t>‘</w:t>
      </w:r>
      <w:r w:rsidR="00805EE7" w:rsidRPr="00F6387F">
        <w:rPr>
          <w:rFonts w:ascii="Book Antiqua" w:hAnsi="Book Antiqua"/>
          <w:iCs/>
        </w:rPr>
        <w:t>Why are utilisation rates for plans so low?</w:t>
      </w:r>
      <w:r>
        <w:rPr>
          <w:rFonts w:ascii="Book Antiqua" w:hAnsi="Book Antiqua"/>
          <w:iCs/>
        </w:rPr>
        <w:t xml:space="preserve"> …</w:t>
      </w:r>
      <w:r w:rsidR="00805EE7" w:rsidRPr="00F6387F">
        <w:rPr>
          <w:rFonts w:ascii="Book Antiqua" w:hAnsi="Book Antiqua"/>
          <w:iCs/>
        </w:rPr>
        <w:t xml:space="preserve"> </w:t>
      </w:r>
    </w:p>
    <w:p w14:paraId="5C6F9317" w14:textId="77777777" w:rsidR="00805EE7" w:rsidRPr="00F6387F" w:rsidRDefault="00805EE7" w:rsidP="00805EE7">
      <w:pPr>
        <w:pStyle w:val="Default"/>
        <w:numPr>
          <w:ilvl w:val="0"/>
          <w:numId w:val="21"/>
        </w:numPr>
        <w:spacing w:line="276" w:lineRule="auto"/>
        <w:rPr>
          <w:rFonts w:ascii="Book Antiqua" w:hAnsi="Book Antiqua"/>
        </w:rPr>
      </w:pPr>
      <w:r w:rsidRPr="00F6387F">
        <w:rPr>
          <w:rFonts w:ascii="Book Antiqua" w:hAnsi="Book Antiqua"/>
          <w:iCs/>
        </w:rPr>
        <w:t xml:space="preserve">Why are more participants entering the scheme from the trial sites than expected? Why are lower than expected participants exiting the scheme? </w:t>
      </w:r>
    </w:p>
    <w:p w14:paraId="3F6AB658" w14:textId="77777777" w:rsidR="00805EE7" w:rsidRPr="00F6387F" w:rsidRDefault="00805EE7" w:rsidP="00805EE7">
      <w:pPr>
        <w:pStyle w:val="Default"/>
        <w:numPr>
          <w:ilvl w:val="0"/>
          <w:numId w:val="21"/>
        </w:numPr>
        <w:spacing w:line="276" w:lineRule="auto"/>
        <w:rPr>
          <w:rFonts w:ascii="Book Antiqua" w:hAnsi="Book Antiqua"/>
        </w:rPr>
      </w:pPr>
      <w:r w:rsidRPr="00F6387F">
        <w:rPr>
          <w:rFonts w:ascii="Book Antiqua" w:hAnsi="Book Antiqua"/>
          <w:iCs/>
        </w:rPr>
        <w:t xml:space="preserve">What factors are contributing to increasing package costs? </w:t>
      </w:r>
    </w:p>
    <w:p w14:paraId="7BE21167" w14:textId="0F66958B" w:rsidR="00805EE7" w:rsidRPr="00F6387F" w:rsidRDefault="00805EE7" w:rsidP="00805EE7">
      <w:pPr>
        <w:pStyle w:val="Default"/>
        <w:numPr>
          <w:ilvl w:val="0"/>
          <w:numId w:val="21"/>
        </w:numPr>
        <w:spacing w:line="276" w:lineRule="auto"/>
        <w:rPr>
          <w:rFonts w:ascii="Book Antiqua" w:hAnsi="Book Antiqua"/>
        </w:rPr>
      </w:pPr>
      <w:r w:rsidRPr="00F6387F">
        <w:rPr>
          <w:rFonts w:ascii="Book Antiqua" w:hAnsi="Book Antiqua"/>
          <w:iCs/>
        </w:rPr>
        <w:t xml:space="preserve">Why is there a mismatch between benchmark package costs and actual package </w:t>
      </w:r>
      <w:r>
        <w:rPr>
          <w:rFonts w:ascii="Book Antiqua" w:hAnsi="Book Antiqua"/>
          <w:iCs/>
        </w:rPr>
        <w:t>costs.</w:t>
      </w:r>
      <w:r w:rsidR="00803049">
        <w:rPr>
          <w:rFonts w:ascii="Book Antiqua" w:hAnsi="Book Antiqua"/>
          <w:iCs/>
        </w:rPr>
        <w:t>’</w:t>
      </w:r>
    </w:p>
    <w:p w14:paraId="2AC2888B" w14:textId="77777777" w:rsidR="00805EE7" w:rsidRDefault="00805EE7" w:rsidP="00805EE7">
      <w:pPr>
        <w:pStyle w:val="Default"/>
        <w:spacing w:line="276" w:lineRule="auto"/>
        <w:rPr>
          <w:rFonts w:ascii="Book Antiqua" w:hAnsi="Book Antiqua"/>
          <w:iCs/>
        </w:rPr>
      </w:pPr>
    </w:p>
    <w:p w14:paraId="03FCF42C" w14:textId="750F74DB" w:rsidR="00805EE7" w:rsidRDefault="00805EE7" w:rsidP="00805EE7">
      <w:pPr>
        <w:pStyle w:val="Default"/>
        <w:spacing w:line="276" w:lineRule="auto"/>
        <w:rPr>
          <w:rFonts w:ascii="Book Antiqua" w:hAnsi="Book Antiqua" w:cs="Calibri"/>
          <w:bCs/>
        </w:rPr>
      </w:pPr>
      <w:r>
        <w:rPr>
          <w:rFonts w:ascii="Book Antiqua" w:hAnsi="Book Antiqua"/>
          <w:iCs/>
        </w:rPr>
        <w:t xml:space="preserve">Little data has been made available </w:t>
      </w:r>
      <w:r w:rsidR="00ED75A8">
        <w:rPr>
          <w:rFonts w:ascii="Book Antiqua" w:hAnsi="Book Antiqua"/>
          <w:iCs/>
        </w:rPr>
        <w:t>by</w:t>
      </w:r>
      <w:r>
        <w:rPr>
          <w:rFonts w:ascii="Book Antiqua" w:hAnsi="Book Antiqua"/>
          <w:iCs/>
        </w:rPr>
        <w:t xml:space="preserve"> the NDIA to allow informed responses to these important questions</w:t>
      </w:r>
      <w:r w:rsidR="00ED75A8">
        <w:rPr>
          <w:rFonts w:ascii="Book Antiqua" w:hAnsi="Book Antiqua"/>
          <w:iCs/>
        </w:rPr>
        <w:t>, and many others</w:t>
      </w:r>
      <w:r>
        <w:rPr>
          <w:rFonts w:ascii="Book Antiqua" w:hAnsi="Book Antiqua"/>
          <w:iCs/>
        </w:rPr>
        <w:t xml:space="preserve">. A robust statistical data set is </w:t>
      </w:r>
      <w:r>
        <w:rPr>
          <w:rFonts w:ascii="Book Antiqua" w:hAnsi="Book Antiqua"/>
          <w:iCs/>
        </w:rPr>
        <w:lastRenderedPageBreak/>
        <w:t>essential to support informed analysis and comment</w:t>
      </w:r>
      <w:r w:rsidR="00ED75A8">
        <w:rPr>
          <w:rFonts w:ascii="Book Antiqua" w:hAnsi="Book Antiqua"/>
          <w:iCs/>
        </w:rPr>
        <w:t>, and was an expected output from administration and monitoring of the NDIS.</w:t>
      </w:r>
    </w:p>
    <w:p w14:paraId="1A2FEDE4" w14:textId="77777777" w:rsidR="00805EE7" w:rsidRDefault="00805EE7" w:rsidP="00805EE7">
      <w:pPr>
        <w:pStyle w:val="Default"/>
        <w:spacing w:line="276" w:lineRule="auto"/>
        <w:rPr>
          <w:rFonts w:ascii="Book Antiqua" w:hAnsi="Book Antiqua" w:cs="Calibri"/>
          <w:bCs/>
        </w:rPr>
      </w:pPr>
    </w:p>
    <w:p w14:paraId="3BC5F641" w14:textId="271DDD40" w:rsidR="00805EE7" w:rsidRDefault="00805EE7" w:rsidP="00805EE7">
      <w:pPr>
        <w:pStyle w:val="Default"/>
        <w:spacing w:line="276" w:lineRule="auto"/>
        <w:rPr>
          <w:rFonts w:ascii="Book Antiqua" w:hAnsi="Book Antiqua" w:cs="Calibri"/>
          <w:bCs/>
        </w:rPr>
      </w:pPr>
      <w:r w:rsidRPr="006D6D96">
        <w:rPr>
          <w:rFonts w:ascii="Book Antiqua" w:hAnsi="Book Antiqua" w:cs="Calibri"/>
          <w:bCs/>
        </w:rPr>
        <w:t xml:space="preserve">Prior to the NDIS, the public had </w:t>
      </w:r>
      <w:r>
        <w:rPr>
          <w:rFonts w:ascii="Book Antiqua" w:hAnsi="Book Antiqua" w:cs="Calibri"/>
          <w:bCs/>
        </w:rPr>
        <w:t xml:space="preserve">access to a range of statistics to monitor the extent of disability in the community and the provision of disability support services. The ABS has conducted the Survey of Ageing, Disability and Carers (SDAC) since the 1980s. This gives a comprehensive picture of people with a disability in Australia, and their needs for support, the ‘demand’ for support. The Productivity Commission used SDAC </w:t>
      </w:r>
      <w:r w:rsidR="008D049D">
        <w:rPr>
          <w:rFonts w:ascii="Book Antiqua" w:hAnsi="Book Antiqua" w:cs="Calibri"/>
          <w:bCs/>
        </w:rPr>
        <w:t xml:space="preserve">as a key source </w:t>
      </w:r>
      <w:r>
        <w:rPr>
          <w:rFonts w:ascii="Book Antiqua" w:hAnsi="Book Antiqua" w:cs="Calibri"/>
          <w:bCs/>
        </w:rPr>
        <w:t xml:space="preserve">to estimate the costs of the proposed NDIS in 2011. </w:t>
      </w:r>
    </w:p>
    <w:p w14:paraId="3484FED2" w14:textId="77777777" w:rsidR="00805EE7" w:rsidRDefault="00805EE7" w:rsidP="00805EE7">
      <w:pPr>
        <w:pStyle w:val="Default"/>
        <w:spacing w:line="276" w:lineRule="auto"/>
        <w:rPr>
          <w:rFonts w:ascii="Book Antiqua" w:hAnsi="Book Antiqua" w:cs="Calibri"/>
          <w:bCs/>
        </w:rPr>
      </w:pPr>
    </w:p>
    <w:p w14:paraId="6D3084A5"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SDAC funding is not secure. The ABS conducts the survey each three years, but must rely on funding from stakeholders (Commonwealth Departments of Social Services and Health, and States and Territories). Funding also determines the sample size. Presently, the proposed 2018 SDAC is not certain as most stakeholders have not yet committed funding.</w:t>
      </w:r>
    </w:p>
    <w:p w14:paraId="795D9D48" w14:textId="77777777" w:rsidR="00805EE7" w:rsidRDefault="00805EE7" w:rsidP="00805EE7">
      <w:pPr>
        <w:pStyle w:val="Default"/>
        <w:spacing w:line="276" w:lineRule="auto"/>
        <w:rPr>
          <w:rFonts w:ascii="Book Antiqua" w:hAnsi="Book Antiqua" w:cs="Calibri"/>
          <w:bCs/>
        </w:rPr>
      </w:pPr>
    </w:p>
    <w:p w14:paraId="1767D05D" w14:textId="3F001B77" w:rsidR="00805EE7" w:rsidRDefault="00805EE7" w:rsidP="00805EE7">
      <w:pPr>
        <w:pStyle w:val="Default"/>
        <w:spacing w:line="276" w:lineRule="auto"/>
        <w:rPr>
          <w:rFonts w:ascii="Book Antiqua" w:hAnsi="Book Antiqua" w:cs="Calibri"/>
          <w:bCs/>
        </w:rPr>
      </w:pPr>
      <w:r>
        <w:rPr>
          <w:rFonts w:ascii="Book Antiqua" w:hAnsi="Book Antiqua" w:cs="Calibri"/>
          <w:bCs/>
        </w:rPr>
        <w:t>The other statistical collection prior to the NDIS, the Disability Services collection, related to support services provided by States and Territories</w:t>
      </w:r>
      <w:r w:rsidR="008D049D">
        <w:rPr>
          <w:rFonts w:ascii="Book Antiqua" w:hAnsi="Book Antiqua" w:cs="Calibri"/>
          <w:bCs/>
        </w:rPr>
        <w:t xml:space="preserve"> – the supply side of the picture</w:t>
      </w:r>
      <w:r>
        <w:rPr>
          <w:rFonts w:ascii="Book Antiqua" w:hAnsi="Book Antiqua" w:cs="Calibri"/>
          <w:bCs/>
        </w:rPr>
        <w:t xml:space="preserve">. Service providers provided data on </w:t>
      </w:r>
      <w:r w:rsidR="008D049D">
        <w:rPr>
          <w:rFonts w:ascii="Book Antiqua" w:hAnsi="Book Antiqua" w:cs="Calibri"/>
          <w:bCs/>
        </w:rPr>
        <w:t>their services and service recipients</w:t>
      </w:r>
      <w:r>
        <w:rPr>
          <w:rFonts w:ascii="Book Antiqua" w:hAnsi="Book Antiqua" w:cs="Calibri"/>
          <w:bCs/>
        </w:rPr>
        <w:t xml:space="preserve"> to their respective State/Territory funder, which in turn provided de-identified data </w:t>
      </w:r>
      <w:r w:rsidR="008D049D">
        <w:rPr>
          <w:rFonts w:ascii="Book Antiqua" w:hAnsi="Book Antiqua" w:cs="Calibri"/>
          <w:bCs/>
        </w:rPr>
        <w:t xml:space="preserve">(in an agreed national minimum data set) </w:t>
      </w:r>
      <w:r>
        <w:rPr>
          <w:rFonts w:ascii="Book Antiqua" w:hAnsi="Book Antiqua" w:cs="Calibri"/>
          <w:bCs/>
        </w:rPr>
        <w:t xml:space="preserve">to the Australian Institute of Health and Welfare which formed a national data collection. This collection provided information on the ‘supply’ of support. The Disability </w:t>
      </w:r>
      <w:r w:rsidR="008D049D">
        <w:rPr>
          <w:rFonts w:ascii="Book Antiqua" w:hAnsi="Book Antiqua" w:cs="Calibri"/>
          <w:bCs/>
        </w:rPr>
        <w:t>S</w:t>
      </w:r>
      <w:r>
        <w:rPr>
          <w:rFonts w:ascii="Book Antiqua" w:hAnsi="Book Antiqua" w:cs="Calibri"/>
          <w:bCs/>
        </w:rPr>
        <w:t>ervices collection will no longer be collected once State funding of disability support services ceases.</w:t>
      </w:r>
    </w:p>
    <w:p w14:paraId="04B14758" w14:textId="77777777" w:rsidR="00805EE7" w:rsidRDefault="00805EE7" w:rsidP="00805EE7">
      <w:pPr>
        <w:pStyle w:val="Default"/>
        <w:spacing w:line="276" w:lineRule="auto"/>
        <w:rPr>
          <w:rFonts w:ascii="Book Antiqua" w:hAnsi="Book Antiqua" w:cs="Calibri"/>
          <w:bCs/>
        </w:rPr>
      </w:pPr>
    </w:p>
    <w:p w14:paraId="200AC05B" w14:textId="0D752E86" w:rsidR="00805EE7" w:rsidRDefault="00805EE7" w:rsidP="00805EE7">
      <w:pPr>
        <w:pStyle w:val="Default"/>
        <w:spacing w:line="276" w:lineRule="auto"/>
        <w:rPr>
          <w:rFonts w:ascii="Book Antiqua" w:hAnsi="Book Antiqua" w:cs="Calibri"/>
          <w:bCs/>
        </w:rPr>
      </w:pPr>
      <w:r>
        <w:rPr>
          <w:rFonts w:ascii="Book Antiqua" w:hAnsi="Book Antiqua" w:cs="Calibri"/>
          <w:bCs/>
        </w:rPr>
        <w:t>Using the SDAC and the Disability Services collection together, unmet demand was estimated by the AIHW on several occasions. To allow this comparison, the data definitions and standards (metadata) in both collections were aligned</w:t>
      </w:r>
      <w:r w:rsidR="00127EEC">
        <w:rPr>
          <w:rFonts w:ascii="Book Antiqua" w:hAnsi="Book Antiqua" w:cs="Calibri"/>
          <w:bCs/>
        </w:rPr>
        <w:t>,</w:t>
      </w:r>
      <w:r>
        <w:rPr>
          <w:rFonts w:ascii="Book Antiqua" w:hAnsi="Book Antiqua" w:cs="Calibri"/>
          <w:bCs/>
        </w:rPr>
        <w:t xml:space="preserve"> </w:t>
      </w:r>
      <w:r w:rsidR="00127EEC">
        <w:rPr>
          <w:rFonts w:ascii="Book Antiqua" w:hAnsi="Book Antiqua" w:cs="Calibri"/>
          <w:bCs/>
        </w:rPr>
        <w:t>using national standards where they existed.</w:t>
      </w:r>
    </w:p>
    <w:p w14:paraId="57821E2D" w14:textId="77777777" w:rsidR="00805EE7" w:rsidRDefault="00805EE7" w:rsidP="00805EE7">
      <w:pPr>
        <w:pStyle w:val="Default"/>
        <w:spacing w:line="276" w:lineRule="auto"/>
        <w:rPr>
          <w:rFonts w:ascii="Book Antiqua" w:hAnsi="Book Antiqua" w:cs="Calibri"/>
          <w:bCs/>
        </w:rPr>
      </w:pPr>
    </w:p>
    <w:p w14:paraId="35CC8A40"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It is important that the SDAC continue on as regular basis, and that statistics be available on support services provided.</w:t>
      </w:r>
    </w:p>
    <w:p w14:paraId="02E0944B" w14:textId="77777777" w:rsidR="00805EE7" w:rsidRDefault="00805EE7" w:rsidP="00805EE7">
      <w:pPr>
        <w:pStyle w:val="Default"/>
        <w:spacing w:line="276" w:lineRule="auto"/>
        <w:rPr>
          <w:rFonts w:ascii="Book Antiqua" w:hAnsi="Book Antiqua" w:cs="Calibri"/>
          <w:bCs/>
        </w:rPr>
      </w:pPr>
    </w:p>
    <w:p w14:paraId="7CA5A8F4" w14:textId="0743A58A" w:rsidR="00805EE7" w:rsidRDefault="00805EE7" w:rsidP="00805EE7">
      <w:pPr>
        <w:pStyle w:val="Default"/>
        <w:spacing w:line="276" w:lineRule="auto"/>
        <w:rPr>
          <w:rFonts w:ascii="Book Antiqua" w:hAnsi="Book Antiqua" w:cs="Calibri"/>
          <w:bCs/>
        </w:rPr>
      </w:pPr>
      <w:r>
        <w:rPr>
          <w:rFonts w:ascii="Book Antiqua" w:hAnsi="Book Antiqua" w:cs="Calibri"/>
          <w:bCs/>
        </w:rPr>
        <w:t xml:space="preserve">The NDIA currently receives information on each service for which it is billed by service providers, and has full information on the NDIS participant who has received the service. NDIA should work with stakeholders and the AIHW and ABS to design an appropriate minimum data set for participants and supports received, which can be extracted from its data holdings. </w:t>
      </w:r>
      <w:r w:rsidR="00AA73DE">
        <w:rPr>
          <w:rFonts w:ascii="Book Antiqua" w:hAnsi="Book Antiqua" w:cs="Calibri"/>
          <w:bCs/>
        </w:rPr>
        <w:t xml:space="preserve">Attention </w:t>
      </w:r>
      <w:r w:rsidR="00AA73DE">
        <w:rPr>
          <w:rFonts w:ascii="Book Antiqua" w:hAnsi="Book Antiqua" w:cs="Calibri"/>
          <w:bCs/>
        </w:rPr>
        <w:lastRenderedPageBreak/>
        <w:t xml:space="preserve">should be given to the desirability of continuity of statistical series for key data across the old and the new collections. </w:t>
      </w:r>
      <w:r>
        <w:rPr>
          <w:rFonts w:ascii="Book Antiqua" w:hAnsi="Book Antiqua" w:cs="Calibri"/>
          <w:bCs/>
        </w:rPr>
        <w:t>The WA Agreement provides for such a minimum data set on participants in the WA administered NDIS.</w:t>
      </w:r>
    </w:p>
    <w:p w14:paraId="7A4FA32F" w14:textId="77777777" w:rsidR="00805EE7" w:rsidRDefault="00805EE7" w:rsidP="00805EE7">
      <w:pPr>
        <w:pStyle w:val="Default"/>
        <w:spacing w:line="276" w:lineRule="auto"/>
        <w:rPr>
          <w:rFonts w:ascii="Book Antiqua" w:hAnsi="Book Antiqua" w:cs="Calibri"/>
          <w:bCs/>
        </w:rPr>
      </w:pPr>
    </w:p>
    <w:p w14:paraId="5C342D4C" w14:textId="77777777" w:rsidR="00805EE7" w:rsidRDefault="00805EE7" w:rsidP="00805EE7">
      <w:pPr>
        <w:pStyle w:val="Default"/>
        <w:spacing w:line="276" w:lineRule="auto"/>
        <w:rPr>
          <w:rFonts w:ascii="Book Antiqua" w:hAnsi="Book Antiqua" w:cs="Calibri"/>
          <w:bCs/>
        </w:rPr>
      </w:pPr>
      <w:r>
        <w:rPr>
          <w:rFonts w:ascii="Book Antiqua" w:hAnsi="Book Antiqua" w:cs="Calibri"/>
          <w:bCs/>
        </w:rPr>
        <w:t>A de-identified data set on participants and supports received should be provided without charge to the AIHW in a timely fashion for statistical reporting.</w:t>
      </w:r>
    </w:p>
    <w:p w14:paraId="58BA93C0" w14:textId="77777777" w:rsidR="00805EE7" w:rsidRDefault="00805EE7" w:rsidP="00805EE7">
      <w:pPr>
        <w:pStyle w:val="Default"/>
        <w:spacing w:line="276" w:lineRule="auto"/>
        <w:rPr>
          <w:rFonts w:ascii="Book Antiqua" w:hAnsi="Book Antiqua" w:cs="Calibri"/>
          <w:bCs/>
        </w:rPr>
      </w:pPr>
    </w:p>
    <w:p w14:paraId="08C3101C" w14:textId="77777777" w:rsidR="00805EE7" w:rsidRDefault="00805EE7" w:rsidP="00805EE7">
      <w:pPr>
        <w:pStyle w:val="Default"/>
        <w:spacing w:line="276" w:lineRule="auto"/>
        <w:rPr>
          <w:b/>
          <w:bCs/>
          <w:sz w:val="32"/>
          <w:szCs w:val="32"/>
        </w:rPr>
      </w:pPr>
      <w:r>
        <w:rPr>
          <w:b/>
          <w:bCs/>
          <w:sz w:val="32"/>
          <w:szCs w:val="32"/>
        </w:rPr>
        <w:t>3 Scheme boundaries</w:t>
      </w:r>
    </w:p>
    <w:p w14:paraId="3E4DB01A" w14:textId="77777777" w:rsidR="00805EE7" w:rsidRDefault="00805EE7" w:rsidP="00805EE7">
      <w:pPr>
        <w:pStyle w:val="Default"/>
        <w:spacing w:line="276" w:lineRule="auto"/>
        <w:rPr>
          <w:b/>
          <w:bCs/>
          <w:sz w:val="32"/>
          <w:szCs w:val="32"/>
        </w:rPr>
      </w:pPr>
    </w:p>
    <w:p w14:paraId="4569BC8C" w14:textId="77777777" w:rsidR="00805EE7" w:rsidRDefault="00805EE7" w:rsidP="00805EE7">
      <w:pPr>
        <w:pStyle w:val="Default"/>
        <w:spacing w:line="276" w:lineRule="auto"/>
        <w:rPr>
          <w:b/>
          <w:bCs/>
          <w:sz w:val="26"/>
          <w:szCs w:val="26"/>
        </w:rPr>
      </w:pPr>
      <w:r>
        <w:rPr>
          <w:b/>
          <w:bCs/>
          <w:sz w:val="26"/>
          <w:szCs w:val="26"/>
        </w:rPr>
        <w:t>The intersection with the National Injury Insurance Scheme</w:t>
      </w:r>
    </w:p>
    <w:p w14:paraId="04731E4E" w14:textId="77777777" w:rsidR="00805EE7" w:rsidRDefault="00805EE7" w:rsidP="00805EE7">
      <w:pPr>
        <w:pStyle w:val="Default"/>
        <w:spacing w:line="276" w:lineRule="auto"/>
        <w:rPr>
          <w:b/>
          <w:bCs/>
          <w:sz w:val="26"/>
          <w:szCs w:val="26"/>
        </w:rPr>
      </w:pPr>
    </w:p>
    <w:p w14:paraId="6F1D23EA" w14:textId="02CC0B97" w:rsidR="00805EE7" w:rsidRPr="00EB06E2" w:rsidRDefault="00805EE7" w:rsidP="00805EE7">
      <w:pPr>
        <w:pStyle w:val="Default"/>
        <w:spacing w:line="276" w:lineRule="auto"/>
        <w:rPr>
          <w:rFonts w:ascii="Book Antiqua" w:hAnsi="Book Antiqua"/>
        </w:rPr>
      </w:pPr>
      <w:r w:rsidRPr="00976D75">
        <w:rPr>
          <w:rFonts w:ascii="Book Antiqua" w:hAnsi="Book Antiqua"/>
          <w:bCs/>
        </w:rPr>
        <w:t>The National Injury Insurance Scheme</w:t>
      </w:r>
      <w:r>
        <w:rPr>
          <w:rFonts w:ascii="Book Antiqua" w:hAnsi="Book Antiqua"/>
          <w:bCs/>
        </w:rPr>
        <w:t xml:space="preserve"> (NIIS) is not consistent with the NDIS. </w:t>
      </w:r>
      <w:r w:rsidR="00EB06E2">
        <w:rPr>
          <w:rFonts w:ascii="Book Antiqua" w:hAnsi="Book Antiqua"/>
          <w:bCs/>
        </w:rPr>
        <w:t xml:space="preserve">The Issues paper </w:t>
      </w:r>
      <w:r w:rsidR="00EB06E2" w:rsidRPr="00EB06E2">
        <w:rPr>
          <w:rFonts w:ascii="Book Antiqua" w:hAnsi="Book Antiqua"/>
          <w:bCs/>
        </w:rPr>
        <w:t>states ‘</w:t>
      </w:r>
      <w:r w:rsidR="00EB06E2" w:rsidRPr="00EB06E2">
        <w:rPr>
          <w:rFonts w:ascii="Book Antiqua" w:hAnsi="Book Antiqua"/>
        </w:rPr>
        <w:t xml:space="preserve">The development of the NIIS has been agreed to by all States and Territories and is proposed to provide fully-funded care and support for all new catastrophic injuries on a no-fault basis.’ </w:t>
      </w:r>
    </w:p>
    <w:p w14:paraId="07345231" w14:textId="77777777" w:rsidR="00EB06E2" w:rsidRDefault="00EB06E2" w:rsidP="00805EE7">
      <w:pPr>
        <w:pStyle w:val="Default"/>
        <w:spacing w:line="276" w:lineRule="auto"/>
        <w:rPr>
          <w:rFonts w:ascii="Book Antiqua" w:hAnsi="Book Antiqua"/>
          <w:bCs/>
        </w:rPr>
      </w:pPr>
    </w:p>
    <w:p w14:paraId="441315B4" w14:textId="77777777" w:rsidR="00F138E1" w:rsidRDefault="00805EE7" w:rsidP="00805EE7">
      <w:pPr>
        <w:pStyle w:val="Default"/>
        <w:spacing w:line="276" w:lineRule="auto"/>
        <w:rPr>
          <w:rFonts w:ascii="Book Antiqua" w:hAnsi="Book Antiqua"/>
          <w:bCs/>
        </w:rPr>
      </w:pPr>
      <w:r>
        <w:rPr>
          <w:rFonts w:ascii="Book Antiqua" w:hAnsi="Book Antiqua"/>
          <w:bCs/>
        </w:rPr>
        <w:t>I</w:t>
      </w:r>
      <w:r w:rsidR="00BA30BB">
        <w:rPr>
          <w:rFonts w:ascii="Book Antiqua" w:hAnsi="Book Antiqua"/>
          <w:bCs/>
        </w:rPr>
        <w:t>n</w:t>
      </w:r>
      <w:r>
        <w:rPr>
          <w:rFonts w:ascii="Book Antiqua" w:hAnsi="Book Antiqua"/>
          <w:bCs/>
        </w:rPr>
        <w:t xml:space="preserve"> principle, the NIIS offers superior benefits to NDIS benefits, as provision of ‘care’ is included. But ‘catastrophic’ injury affects only a small proportion of injured people. </w:t>
      </w:r>
    </w:p>
    <w:p w14:paraId="171F4450" w14:textId="77777777" w:rsidR="00F138E1" w:rsidRDefault="00F138E1" w:rsidP="00805EE7">
      <w:pPr>
        <w:pStyle w:val="Default"/>
        <w:spacing w:line="276" w:lineRule="auto"/>
        <w:rPr>
          <w:rFonts w:ascii="Book Antiqua" w:hAnsi="Book Antiqua"/>
          <w:bCs/>
        </w:rPr>
      </w:pPr>
    </w:p>
    <w:p w14:paraId="4BF7B09B" w14:textId="39D2982A" w:rsidR="00805EE7" w:rsidRDefault="00F138E1" w:rsidP="00805EE7">
      <w:pPr>
        <w:pStyle w:val="Default"/>
        <w:spacing w:line="276" w:lineRule="auto"/>
        <w:rPr>
          <w:rFonts w:ascii="Book Antiqua" w:hAnsi="Book Antiqua"/>
          <w:bCs/>
        </w:rPr>
      </w:pPr>
      <w:r>
        <w:rPr>
          <w:rFonts w:ascii="Book Antiqua" w:hAnsi="Book Antiqua"/>
          <w:bCs/>
        </w:rPr>
        <w:t>A further complication is that m</w:t>
      </w:r>
      <w:r w:rsidR="00805EE7">
        <w:rPr>
          <w:rFonts w:ascii="Book Antiqua" w:hAnsi="Book Antiqua"/>
          <w:bCs/>
        </w:rPr>
        <w:t xml:space="preserve">any </w:t>
      </w:r>
      <w:r>
        <w:rPr>
          <w:rFonts w:ascii="Book Antiqua" w:hAnsi="Book Antiqua"/>
          <w:bCs/>
        </w:rPr>
        <w:t xml:space="preserve">injured </w:t>
      </w:r>
      <w:r w:rsidR="00805EE7">
        <w:rPr>
          <w:rFonts w:ascii="Book Antiqua" w:hAnsi="Book Antiqua"/>
          <w:bCs/>
        </w:rPr>
        <w:t xml:space="preserve">people </w:t>
      </w:r>
      <w:r w:rsidRPr="00F138E1">
        <w:rPr>
          <w:rFonts w:ascii="Book Antiqua" w:hAnsi="Book Antiqua"/>
          <w:b/>
          <w:bCs/>
        </w:rPr>
        <w:t>without</w:t>
      </w:r>
      <w:r>
        <w:rPr>
          <w:rFonts w:ascii="Book Antiqua" w:hAnsi="Book Antiqua"/>
          <w:bCs/>
        </w:rPr>
        <w:t xml:space="preserve"> ‘catastrophic’ injury </w:t>
      </w:r>
      <w:r w:rsidR="00805EE7">
        <w:rPr>
          <w:rFonts w:ascii="Book Antiqua" w:hAnsi="Book Antiqua"/>
          <w:bCs/>
        </w:rPr>
        <w:t>have the possibility of pursuing compensation claims</w:t>
      </w:r>
      <w:r>
        <w:rPr>
          <w:rFonts w:ascii="Book Antiqua" w:hAnsi="Book Antiqua"/>
          <w:bCs/>
        </w:rPr>
        <w:t>. The NDIS Act provides that they</w:t>
      </w:r>
      <w:r w:rsidR="00805EE7">
        <w:rPr>
          <w:rFonts w:ascii="Book Antiqua" w:hAnsi="Book Antiqua"/>
          <w:bCs/>
        </w:rPr>
        <w:t xml:space="preserve"> must pursue th</w:t>
      </w:r>
      <w:r>
        <w:rPr>
          <w:rFonts w:ascii="Book Antiqua" w:hAnsi="Book Antiqua"/>
          <w:bCs/>
        </w:rPr>
        <w:t xml:space="preserve">e compensation </w:t>
      </w:r>
      <w:r w:rsidR="00805EE7">
        <w:rPr>
          <w:rFonts w:ascii="Book Antiqua" w:hAnsi="Book Antiqua"/>
          <w:bCs/>
        </w:rPr>
        <w:t>path before becoming eligible for NDIS benefits.</w:t>
      </w:r>
    </w:p>
    <w:p w14:paraId="783F1A06" w14:textId="77777777" w:rsidR="00805EE7" w:rsidRDefault="00805EE7" w:rsidP="00805EE7">
      <w:pPr>
        <w:pStyle w:val="Default"/>
        <w:spacing w:line="276" w:lineRule="auto"/>
        <w:rPr>
          <w:rFonts w:ascii="Book Antiqua" w:hAnsi="Book Antiqua"/>
          <w:bCs/>
        </w:rPr>
      </w:pPr>
    </w:p>
    <w:p w14:paraId="27D651B7" w14:textId="0E3B1964" w:rsidR="00805EE7" w:rsidRDefault="00805EE7" w:rsidP="00805EE7">
      <w:pPr>
        <w:pStyle w:val="Default"/>
        <w:spacing w:line="276" w:lineRule="auto"/>
        <w:rPr>
          <w:rFonts w:ascii="Book Antiqua" w:hAnsi="Book Antiqua"/>
          <w:bCs/>
        </w:rPr>
      </w:pPr>
      <w:r>
        <w:rPr>
          <w:rFonts w:ascii="Book Antiqua" w:hAnsi="Book Antiqua"/>
          <w:bCs/>
        </w:rPr>
        <w:t>This forces the injured person into an invidious position. Their compensation claim can cover losses due to the injury and the costs of care, in addition to seeking disability supports. But the compensation system can be lengthy, uncertain and involve arguments about fault and contributory negligence. The outcome may be better overall then reliance on the NDIS and other mainstream services, or it may be worse: this ‘lottery’ outcome will often not be known for a long time, even many years, after the injury occurs</w:t>
      </w:r>
      <w:r w:rsidR="00F138E1">
        <w:rPr>
          <w:rFonts w:ascii="Book Antiqua" w:hAnsi="Book Antiqua"/>
          <w:bCs/>
        </w:rPr>
        <w:t>, and is an obstacle to rehabilitation</w:t>
      </w:r>
      <w:r>
        <w:rPr>
          <w:rFonts w:ascii="Book Antiqua" w:hAnsi="Book Antiqua"/>
          <w:bCs/>
        </w:rPr>
        <w:t>. No information is available on how these arrangements have worked in practice in the NDIS rollout to date.</w:t>
      </w:r>
    </w:p>
    <w:p w14:paraId="6409A4EE" w14:textId="77777777" w:rsidR="00805EE7" w:rsidRDefault="00805EE7" w:rsidP="00805EE7">
      <w:pPr>
        <w:pStyle w:val="Default"/>
        <w:spacing w:line="276" w:lineRule="auto"/>
        <w:rPr>
          <w:rFonts w:ascii="Book Antiqua" w:hAnsi="Book Antiqua"/>
          <w:bCs/>
        </w:rPr>
      </w:pPr>
    </w:p>
    <w:p w14:paraId="61093B4A" w14:textId="29D7F5D7" w:rsidR="00805EE7" w:rsidRDefault="00805EE7" w:rsidP="00805EE7">
      <w:pPr>
        <w:pStyle w:val="Default"/>
        <w:spacing w:line="276" w:lineRule="auto"/>
        <w:rPr>
          <w:rFonts w:ascii="Book Antiqua" w:hAnsi="Book Antiqua"/>
          <w:bCs/>
        </w:rPr>
      </w:pPr>
      <w:r>
        <w:rPr>
          <w:rFonts w:ascii="Book Antiqua" w:hAnsi="Book Antiqua"/>
          <w:bCs/>
        </w:rPr>
        <w:t xml:space="preserve">This is a highly unsatisfactory set of circumstances for those injured people not yet covered by the NIIS but who </w:t>
      </w:r>
      <w:r w:rsidR="00F138E1">
        <w:rPr>
          <w:rFonts w:ascii="Book Antiqua" w:hAnsi="Book Antiqua"/>
          <w:bCs/>
        </w:rPr>
        <w:t>can</w:t>
      </w:r>
      <w:r>
        <w:rPr>
          <w:rFonts w:ascii="Book Antiqua" w:hAnsi="Book Antiqua"/>
          <w:bCs/>
        </w:rPr>
        <w:t xml:space="preserve"> seek compensation. The Productivity Commission report in 2011 (Chapter 17) detailed in great detail the </w:t>
      </w:r>
      <w:r w:rsidR="00EB06E2">
        <w:rPr>
          <w:rFonts w:ascii="Book Antiqua" w:hAnsi="Book Antiqua"/>
          <w:bCs/>
        </w:rPr>
        <w:t>defects</w:t>
      </w:r>
      <w:r>
        <w:rPr>
          <w:rFonts w:ascii="Book Antiqua" w:hAnsi="Book Antiqua"/>
          <w:bCs/>
        </w:rPr>
        <w:t xml:space="preserve"> of existing fault based compensation systems, such as apply in medical </w:t>
      </w:r>
      <w:r>
        <w:rPr>
          <w:rFonts w:ascii="Book Antiqua" w:hAnsi="Book Antiqua"/>
          <w:bCs/>
        </w:rPr>
        <w:lastRenderedPageBreak/>
        <w:t xml:space="preserve">indemnity and public liability claims as well as for road injuries that do not result in catastrophic injury and are not covered by a no fault compensation system.  </w:t>
      </w:r>
    </w:p>
    <w:p w14:paraId="3A347740" w14:textId="77777777" w:rsidR="00805EE7" w:rsidRDefault="00805EE7" w:rsidP="00805EE7">
      <w:pPr>
        <w:pStyle w:val="Default"/>
        <w:spacing w:line="276" w:lineRule="auto"/>
        <w:rPr>
          <w:rFonts w:ascii="Book Antiqua" w:hAnsi="Book Antiqua"/>
          <w:bCs/>
        </w:rPr>
      </w:pPr>
    </w:p>
    <w:p w14:paraId="09CFA546" w14:textId="0E5A5EF4" w:rsidR="00805EE7" w:rsidRDefault="00805EE7" w:rsidP="00805EE7">
      <w:pPr>
        <w:pStyle w:val="Default"/>
        <w:spacing w:line="276" w:lineRule="auto"/>
        <w:rPr>
          <w:rFonts w:ascii="Book Antiqua" w:hAnsi="Book Antiqua"/>
          <w:bCs/>
        </w:rPr>
      </w:pPr>
      <w:r>
        <w:rPr>
          <w:rFonts w:ascii="Book Antiqua" w:hAnsi="Book Antiqua"/>
          <w:bCs/>
        </w:rPr>
        <w:t>The Productivity Commission should fully examine not only the intersection of the NDIS and NIIS, but the consequences for injured people outside the NIIS of the compensation provisions of the NDIS Act. The aim should be to e</w:t>
      </w:r>
      <w:r w:rsidR="00EB06E2">
        <w:rPr>
          <w:rFonts w:ascii="Book Antiqua" w:hAnsi="Book Antiqua"/>
          <w:bCs/>
        </w:rPr>
        <w:t>nsure</w:t>
      </w:r>
      <w:r>
        <w:rPr>
          <w:rFonts w:ascii="Book Antiqua" w:hAnsi="Book Antiqua"/>
          <w:bCs/>
        </w:rPr>
        <w:t xml:space="preserve"> arrangements for injured people</w:t>
      </w:r>
      <w:r w:rsidR="00F138E1">
        <w:rPr>
          <w:rFonts w:ascii="Book Antiqua" w:hAnsi="Book Antiqua"/>
          <w:bCs/>
        </w:rPr>
        <w:t xml:space="preserve"> outside the NIIS</w:t>
      </w:r>
      <w:r>
        <w:rPr>
          <w:rFonts w:ascii="Book Antiqua" w:hAnsi="Book Antiqua"/>
          <w:bCs/>
        </w:rPr>
        <w:t xml:space="preserve"> </w:t>
      </w:r>
      <w:r w:rsidR="007C5773">
        <w:rPr>
          <w:rFonts w:ascii="Book Antiqua" w:hAnsi="Book Antiqua"/>
          <w:bCs/>
        </w:rPr>
        <w:t xml:space="preserve">who would otherwise be eligible </w:t>
      </w:r>
      <w:r w:rsidR="00F138E1">
        <w:rPr>
          <w:rFonts w:ascii="Book Antiqua" w:hAnsi="Book Antiqua"/>
          <w:bCs/>
        </w:rPr>
        <w:t xml:space="preserve">for the NDIS </w:t>
      </w:r>
      <w:r w:rsidR="007C5773">
        <w:rPr>
          <w:rFonts w:ascii="Book Antiqua" w:hAnsi="Book Antiqua"/>
          <w:bCs/>
        </w:rPr>
        <w:t xml:space="preserve">to be able to </w:t>
      </w:r>
      <w:r>
        <w:rPr>
          <w:rFonts w:ascii="Book Antiqua" w:hAnsi="Book Antiqua"/>
          <w:bCs/>
        </w:rPr>
        <w:t xml:space="preserve">access </w:t>
      </w:r>
      <w:r w:rsidR="00F138E1">
        <w:rPr>
          <w:rFonts w:ascii="Book Antiqua" w:hAnsi="Book Antiqua"/>
          <w:bCs/>
        </w:rPr>
        <w:t xml:space="preserve">their entitlements to </w:t>
      </w:r>
      <w:r w:rsidR="007C5773">
        <w:rPr>
          <w:rFonts w:ascii="Book Antiqua" w:hAnsi="Book Antiqua"/>
          <w:bCs/>
        </w:rPr>
        <w:t xml:space="preserve">the full range of </w:t>
      </w:r>
      <w:r>
        <w:rPr>
          <w:rFonts w:ascii="Book Antiqua" w:hAnsi="Book Antiqua"/>
          <w:bCs/>
        </w:rPr>
        <w:t>supports</w:t>
      </w:r>
      <w:r w:rsidR="007C5773">
        <w:rPr>
          <w:rFonts w:ascii="Book Antiqua" w:hAnsi="Book Antiqua"/>
          <w:bCs/>
        </w:rPr>
        <w:t xml:space="preserve"> that the NDIS would provide</w:t>
      </w:r>
      <w:r w:rsidR="00F138E1">
        <w:rPr>
          <w:rFonts w:ascii="Book Antiqua" w:hAnsi="Book Antiqua"/>
          <w:bCs/>
        </w:rPr>
        <w:t>.</w:t>
      </w:r>
      <w:r>
        <w:rPr>
          <w:rFonts w:ascii="Book Antiqua" w:hAnsi="Book Antiqua"/>
          <w:bCs/>
        </w:rPr>
        <w:t xml:space="preserve"> </w:t>
      </w:r>
    </w:p>
    <w:p w14:paraId="7E042BCB" w14:textId="77777777" w:rsidR="00805EE7" w:rsidRPr="001F6682" w:rsidRDefault="00805EE7" w:rsidP="00805EE7">
      <w:pPr>
        <w:pStyle w:val="Default"/>
        <w:spacing w:line="276" w:lineRule="auto"/>
        <w:rPr>
          <w:rFonts w:ascii="Book Antiqua" w:hAnsi="Book Antiqua"/>
          <w:bCs/>
        </w:rPr>
      </w:pPr>
    </w:p>
    <w:p w14:paraId="011101E3" w14:textId="77777777" w:rsidR="00805EE7" w:rsidRDefault="00805EE7" w:rsidP="00805EE7">
      <w:pPr>
        <w:autoSpaceDE w:val="0"/>
        <w:autoSpaceDN w:val="0"/>
        <w:adjustRightInd w:val="0"/>
        <w:spacing w:line="276" w:lineRule="auto"/>
        <w:rPr>
          <w:rFonts w:ascii="Book Antiqua" w:hAnsi="Book Antiqua"/>
          <w:sz w:val="24"/>
        </w:rPr>
      </w:pPr>
      <w:r w:rsidRPr="001F6682">
        <w:rPr>
          <w:rFonts w:ascii="Book Antiqua" w:hAnsi="Book Antiqua"/>
          <w:bCs/>
          <w:sz w:val="24"/>
        </w:rPr>
        <w:t xml:space="preserve">Section 104(4) of the NDIS Act allows the </w:t>
      </w:r>
      <w:r>
        <w:rPr>
          <w:rFonts w:ascii="Book Antiqua" w:hAnsi="Book Antiqua"/>
          <w:bCs/>
          <w:sz w:val="24"/>
        </w:rPr>
        <w:t xml:space="preserve">NDIA </w:t>
      </w:r>
      <w:r w:rsidRPr="001F6682">
        <w:rPr>
          <w:rFonts w:ascii="Book Antiqua" w:hAnsi="Book Antiqua"/>
          <w:bCs/>
          <w:sz w:val="24"/>
        </w:rPr>
        <w:t xml:space="preserve">to take over person’s claims unless they are </w:t>
      </w:r>
      <w:r w:rsidRPr="001F6682">
        <w:rPr>
          <w:rFonts w:ascii="Book Antiqua" w:hAnsi="Book Antiqua"/>
          <w:sz w:val="24"/>
        </w:rPr>
        <w:t>under a scheme of</w:t>
      </w:r>
      <w:r>
        <w:rPr>
          <w:rFonts w:ascii="Book Antiqua" w:hAnsi="Book Antiqua"/>
          <w:sz w:val="24"/>
        </w:rPr>
        <w:t xml:space="preserve"> </w:t>
      </w:r>
      <w:r w:rsidRPr="001F6682">
        <w:rPr>
          <w:rFonts w:ascii="Book Antiqua" w:hAnsi="Book Antiqua"/>
          <w:sz w:val="24"/>
        </w:rPr>
        <w:t>compensation under a Commonwealth, State or Territory law</w:t>
      </w:r>
      <w:r>
        <w:rPr>
          <w:rFonts w:ascii="Book Antiqua" w:hAnsi="Book Antiqua"/>
          <w:sz w:val="24"/>
        </w:rPr>
        <w:t>. In particular, common law claims may be taken over by the NDIA. This provision should be actively promoted by the NDIA to provide an easy option for people to opt out of injury compensation and opt in to the NDIS and so access disability supports as soon as possible.</w:t>
      </w:r>
    </w:p>
    <w:p w14:paraId="04820DC0" w14:textId="77777777" w:rsidR="00805EE7" w:rsidRDefault="00805EE7" w:rsidP="00805EE7">
      <w:pPr>
        <w:autoSpaceDE w:val="0"/>
        <w:autoSpaceDN w:val="0"/>
        <w:adjustRightInd w:val="0"/>
        <w:spacing w:line="276" w:lineRule="auto"/>
        <w:rPr>
          <w:rFonts w:ascii="Book Antiqua" w:hAnsi="Book Antiqua"/>
          <w:sz w:val="24"/>
        </w:rPr>
      </w:pPr>
    </w:p>
    <w:p w14:paraId="0C563FA4" w14:textId="77777777" w:rsidR="00805EE7" w:rsidRDefault="00805EE7" w:rsidP="00805EE7">
      <w:pPr>
        <w:autoSpaceDE w:val="0"/>
        <w:autoSpaceDN w:val="0"/>
        <w:adjustRightInd w:val="0"/>
        <w:spacing w:line="276" w:lineRule="auto"/>
        <w:rPr>
          <w:rFonts w:ascii="Book Antiqua" w:hAnsi="Book Antiqua"/>
          <w:sz w:val="24"/>
        </w:rPr>
      </w:pPr>
      <w:r>
        <w:rPr>
          <w:rFonts w:ascii="Book Antiqua" w:hAnsi="Book Antiqua"/>
          <w:sz w:val="24"/>
        </w:rPr>
        <w:t>The Productivity Commission recommended in 2011 (Recommendation 18.7) that:</w:t>
      </w:r>
    </w:p>
    <w:p w14:paraId="63D44116" w14:textId="77777777" w:rsidR="00805EE7" w:rsidRDefault="00805EE7" w:rsidP="00805EE7">
      <w:pPr>
        <w:autoSpaceDE w:val="0"/>
        <w:autoSpaceDN w:val="0"/>
        <w:adjustRightInd w:val="0"/>
        <w:spacing w:line="276" w:lineRule="auto"/>
        <w:rPr>
          <w:rFonts w:ascii="TimesNewRomanPS-BoldItalicMT" w:hAnsi="TimesNewRomanPS-BoldItalicMT" w:cs="TimesNewRomanPS-BoldItalicMT"/>
          <w:b/>
          <w:bCs/>
          <w:i/>
          <w:iCs/>
          <w:sz w:val="26"/>
          <w:szCs w:val="26"/>
        </w:rPr>
      </w:pPr>
    </w:p>
    <w:p w14:paraId="60D1E700" w14:textId="77777777" w:rsidR="00805EE7" w:rsidRPr="007823D6"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TimesNewRomanPS-BoldItalicMT" w:hAnsi="TimesNewRomanPS-BoldItalicMT" w:cs="TimesNewRomanPS-BoldItalicMT"/>
          <w:bCs/>
          <w:i/>
          <w:iCs/>
          <w:sz w:val="26"/>
          <w:szCs w:val="26"/>
        </w:rPr>
        <w:t>An independent review in 2020 should examine the advantages and disadvantages</w:t>
      </w:r>
      <w:r>
        <w:rPr>
          <w:rFonts w:ascii="TimesNewRomanPS-BoldItalicMT" w:hAnsi="TimesNewRomanPS-BoldItalicMT" w:cs="TimesNewRomanPS-BoldItalicMT"/>
          <w:bCs/>
          <w:i/>
          <w:iCs/>
          <w:sz w:val="26"/>
          <w:szCs w:val="26"/>
        </w:rPr>
        <w:t xml:space="preserve"> </w:t>
      </w:r>
      <w:r w:rsidRPr="007823D6">
        <w:rPr>
          <w:rFonts w:ascii="TimesNewRomanPS-BoldItalicMT" w:hAnsi="TimesNewRomanPS-BoldItalicMT" w:cs="TimesNewRomanPS-BoldItalicMT"/>
          <w:bCs/>
          <w:i/>
          <w:iCs/>
          <w:sz w:val="26"/>
          <w:szCs w:val="26"/>
        </w:rPr>
        <w:t>of:</w:t>
      </w:r>
      <w:r>
        <w:rPr>
          <w:rFonts w:ascii="TimesNewRomanPS-BoldItalicMT" w:hAnsi="TimesNewRomanPS-BoldItalicMT" w:cs="TimesNewRomanPS-BoldItalicMT"/>
          <w:bCs/>
          <w:i/>
          <w:iCs/>
          <w:sz w:val="26"/>
          <w:szCs w:val="26"/>
        </w:rPr>
        <w:br/>
      </w:r>
    </w:p>
    <w:p w14:paraId="6F97E0A3" w14:textId="77777777" w:rsidR="00805EE7"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SymbolMT" w:hAnsi="SymbolMT" w:cs="SymbolMT"/>
          <w:sz w:val="18"/>
          <w:szCs w:val="18"/>
        </w:rPr>
        <w:t xml:space="preserve">• </w:t>
      </w:r>
      <w:r w:rsidRPr="007823D6">
        <w:rPr>
          <w:rFonts w:ascii="TimesNewRomanPS-BoldItalicMT" w:hAnsi="TimesNewRomanPS-BoldItalicMT" w:cs="TimesNewRomanPS-BoldItalicMT"/>
          <w:bCs/>
          <w:i/>
          <w:iCs/>
          <w:sz w:val="26"/>
          <w:szCs w:val="26"/>
        </w:rPr>
        <w:t>widening coverage to replace other heads of damage for personal injury</w:t>
      </w:r>
      <w:r w:rsidR="00614452">
        <w:rPr>
          <w:rFonts w:ascii="TimesNewRomanPS-BoldItalicMT" w:hAnsi="TimesNewRomanPS-BoldItalicMT" w:cs="TimesNewRomanPS-BoldItalicMT"/>
          <w:bCs/>
          <w:i/>
          <w:iCs/>
          <w:sz w:val="26"/>
          <w:szCs w:val="26"/>
        </w:rPr>
        <w:t xml:space="preserve"> </w:t>
      </w:r>
      <w:r w:rsidRPr="007823D6">
        <w:rPr>
          <w:rFonts w:ascii="TimesNewRomanPS-BoldItalicMT" w:hAnsi="TimesNewRomanPS-BoldItalicMT" w:cs="TimesNewRomanPS-BoldItalicMT"/>
          <w:bCs/>
          <w:i/>
          <w:iCs/>
          <w:sz w:val="26"/>
          <w:szCs w:val="26"/>
        </w:rPr>
        <w:t>compensation, including for pecuniary and economic loss, and general</w:t>
      </w:r>
      <w:r w:rsidR="00614452">
        <w:rPr>
          <w:rFonts w:ascii="TimesNewRomanPS-BoldItalicMT" w:hAnsi="TimesNewRomanPS-BoldItalicMT" w:cs="TimesNewRomanPS-BoldItalicMT"/>
          <w:bCs/>
          <w:i/>
          <w:iCs/>
          <w:sz w:val="26"/>
          <w:szCs w:val="26"/>
        </w:rPr>
        <w:t xml:space="preserve"> </w:t>
      </w:r>
      <w:r w:rsidRPr="007823D6">
        <w:rPr>
          <w:rFonts w:ascii="TimesNewRomanPS-BoldItalicMT" w:hAnsi="TimesNewRomanPS-BoldItalicMT" w:cs="TimesNewRomanPS-BoldItalicMT"/>
          <w:bCs/>
          <w:i/>
          <w:iCs/>
          <w:sz w:val="26"/>
          <w:szCs w:val="26"/>
        </w:rPr>
        <w:t>damages</w:t>
      </w:r>
    </w:p>
    <w:p w14:paraId="3091ADCC" w14:textId="77777777" w:rsidR="00805EE7" w:rsidRPr="007823D6"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p>
    <w:p w14:paraId="5FC54A31" w14:textId="77777777" w:rsidR="00805EE7" w:rsidRPr="007823D6"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SymbolMT" w:hAnsi="SymbolMT" w:cs="SymbolMT"/>
          <w:sz w:val="18"/>
          <w:szCs w:val="18"/>
        </w:rPr>
        <w:t xml:space="preserve">• </w:t>
      </w:r>
      <w:r w:rsidRPr="007823D6">
        <w:rPr>
          <w:rFonts w:ascii="TimesNewRomanPS-BoldItalicMT" w:hAnsi="TimesNewRomanPS-BoldItalicMT" w:cs="TimesNewRomanPS-BoldItalicMT"/>
          <w:bCs/>
          <w:i/>
          <w:iCs/>
          <w:sz w:val="26"/>
          <w:szCs w:val="26"/>
        </w:rPr>
        <w:t>widening coverage to the care and support needs of non-catastrophic, but still</w:t>
      </w:r>
      <w:r w:rsidR="00614452">
        <w:rPr>
          <w:rFonts w:ascii="TimesNewRomanPS-BoldItalicMT" w:hAnsi="TimesNewRomanPS-BoldItalicMT" w:cs="TimesNewRomanPS-BoldItalicMT"/>
          <w:bCs/>
          <w:i/>
          <w:iCs/>
          <w:sz w:val="26"/>
          <w:szCs w:val="26"/>
        </w:rPr>
        <w:t xml:space="preserve"> </w:t>
      </w:r>
      <w:r w:rsidRPr="007823D6">
        <w:rPr>
          <w:rFonts w:ascii="TimesNewRomanPS-BoldItalicMT" w:hAnsi="TimesNewRomanPS-BoldItalicMT" w:cs="TimesNewRomanPS-BoldItalicMT"/>
          <w:bCs/>
          <w:i/>
          <w:iCs/>
          <w:sz w:val="26"/>
          <w:szCs w:val="26"/>
        </w:rPr>
        <w:t>significant, accidental injuries, except where:</w:t>
      </w:r>
    </w:p>
    <w:p w14:paraId="2EBC26E6" w14:textId="77777777" w:rsidR="00805EE7" w:rsidRPr="007823D6"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TimesNewRomanPSMT" w:hAnsi="TimesNewRomanPSMT" w:cs="TimesNewRomanPSMT"/>
          <w:sz w:val="26"/>
          <w:szCs w:val="26"/>
        </w:rPr>
        <w:t xml:space="preserve">– </w:t>
      </w:r>
      <w:r w:rsidRPr="007823D6">
        <w:rPr>
          <w:rFonts w:ascii="TimesNewRomanPS-BoldItalicMT" w:hAnsi="TimesNewRomanPS-BoldItalicMT" w:cs="TimesNewRomanPS-BoldItalicMT"/>
          <w:bCs/>
          <w:i/>
          <w:iCs/>
          <w:sz w:val="26"/>
          <w:szCs w:val="26"/>
        </w:rPr>
        <w:t>the only care needed can be provided by the health sector</w:t>
      </w:r>
    </w:p>
    <w:p w14:paraId="032D0B04" w14:textId="77777777" w:rsidR="00805EE7" w:rsidRPr="007823D6"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TimesNewRomanPS-BoldItalicMT" w:hAnsi="TimesNewRomanPS-BoldItalicMT" w:cs="TimesNewRomanPS-BoldItalicMT"/>
          <w:bCs/>
          <w:i/>
          <w:iCs/>
          <w:sz w:val="26"/>
          <w:szCs w:val="26"/>
        </w:rPr>
        <w:t>– the injuries arose in workplaces covered by existing workplace insurance</w:t>
      </w:r>
      <w:r w:rsidR="00614452">
        <w:rPr>
          <w:rFonts w:ascii="TimesNewRomanPS-BoldItalicMT" w:hAnsi="TimesNewRomanPS-BoldItalicMT" w:cs="TimesNewRomanPS-BoldItalicMT"/>
          <w:bCs/>
          <w:i/>
          <w:iCs/>
          <w:sz w:val="26"/>
          <w:szCs w:val="26"/>
        </w:rPr>
        <w:t xml:space="preserve"> a</w:t>
      </w:r>
      <w:r w:rsidRPr="007823D6">
        <w:rPr>
          <w:rFonts w:ascii="TimesNewRomanPS-BoldItalicMT" w:hAnsi="TimesNewRomanPS-BoldItalicMT" w:cs="TimesNewRomanPS-BoldItalicMT"/>
          <w:bCs/>
          <w:i/>
          <w:iCs/>
          <w:sz w:val="26"/>
          <w:szCs w:val="26"/>
        </w:rPr>
        <w:t>rrangements</w:t>
      </w:r>
    </w:p>
    <w:p w14:paraId="720C5A8A" w14:textId="77777777" w:rsidR="00805EE7"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SymbolMT" w:hAnsi="SymbolMT" w:cs="SymbolMT"/>
          <w:sz w:val="18"/>
          <w:szCs w:val="18"/>
        </w:rPr>
        <w:t xml:space="preserve">• </w:t>
      </w:r>
      <w:r w:rsidRPr="007823D6">
        <w:rPr>
          <w:rFonts w:ascii="TimesNewRomanPS-BoldItalicMT" w:hAnsi="TimesNewRomanPS-BoldItalicMT" w:cs="TimesNewRomanPS-BoldItalicMT"/>
          <w:bCs/>
          <w:i/>
          <w:iCs/>
          <w:sz w:val="26"/>
          <w:szCs w:val="26"/>
        </w:rPr>
        <w:t>the expert panel for medical treatment injury, evaluating the timeliness of its</w:t>
      </w:r>
      <w:r w:rsidR="00BA30BB">
        <w:rPr>
          <w:rFonts w:ascii="TimesNewRomanPS-BoldItalicMT" w:hAnsi="TimesNewRomanPS-BoldItalicMT" w:cs="TimesNewRomanPS-BoldItalicMT"/>
          <w:bCs/>
          <w:i/>
          <w:iCs/>
          <w:sz w:val="26"/>
          <w:szCs w:val="26"/>
        </w:rPr>
        <w:t xml:space="preserve"> </w:t>
      </w:r>
      <w:r w:rsidRPr="007823D6">
        <w:rPr>
          <w:rFonts w:ascii="TimesNewRomanPS-BoldItalicMT" w:hAnsi="TimesNewRomanPS-BoldItalicMT" w:cs="TimesNewRomanPS-BoldItalicMT"/>
          <w:bCs/>
          <w:i/>
          <w:iCs/>
          <w:sz w:val="26"/>
          <w:szCs w:val="26"/>
        </w:rPr>
        <w:t>decisions, its independence and cost-effectiveness</w:t>
      </w:r>
    </w:p>
    <w:p w14:paraId="5EFA41EA" w14:textId="77777777" w:rsidR="00805EE7" w:rsidRPr="007823D6"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p>
    <w:p w14:paraId="41BFA06C" w14:textId="77777777" w:rsidR="00805EE7" w:rsidRDefault="00805EE7" w:rsidP="00614452">
      <w:pPr>
        <w:autoSpaceDE w:val="0"/>
        <w:autoSpaceDN w:val="0"/>
        <w:adjustRightInd w:val="0"/>
        <w:spacing w:line="276" w:lineRule="auto"/>
        <w:ind w:left="720"/>
        <w:rPr>
          <w:rFonts w:ascii="TimesNewRomanPS-BoldItalicMT" w:hAnsi="TimesNewRomanPS-BoldItalicMT" w:cs="TimesNewRomanPS-BoldItalicMT"/>
          <w:bCs/>
          <w:i/>
          <w:iCs/>
          <w:sz w:val="26"/>
          <w:szCs w:val="26"/>
        </w:rPr>
      </w:pPr>
      <w:r w:rsidRPr="007823D6">
        <w:rPr>
          <w:rFonts w:ascii="SymbolMT" w:hAnsi="SymbolMT" w:cs="SymbolMT"/>
          <w:sz w:val="18"/>
          <w:szCs w:val="18"/>
        </w:rPr>
        <w:t xml:space="preserve">• </w:t>
      </w:r>
      <w:r w:rsidRPr="007823D6">
        <w:rPr>
          <w:rFonts w:ascii="TimesNewRomanPS-BoldItalicMT" w:hAnsi="TimesNewRomanPS-BoldItalicMT" w:cs="TimesNewRomanPS-BoldItalicMT"/>
          <w:bCs/>
          <w:i/>
          <w:iCs/>
          <w:sz w:val="26"/>
          <w:szCs w:val="26"/>
        </w:rPr>
        <w:t>merging the NIIS and the NDIS.</w:t>
      </w:r>
    </w:p>
    <w:p w14:paraId="6F7A3715" w14:textId="77777777" w:rsidR="00805EE7" w:rsidRDefault="00805EE7" w:rsidP="00805EE7">
      <w:pPr>
        <w:autoSpaceDE w:val="0"/>
        <w:autoSpaceDN w:val="0"/>
        <w:adjustRightInd w:val="0"/>
        <w:spacing w:line="276" w:lineRule="auto"/>
        <w:rPr>
          <w:rFonts w:ascii="TimesNewRomanPS-BoldItalicMT" w:hAnsi="TimesNewRomanPS-BoldItalicMT" w:cs="TimesNewRomanPS-BoldItalicMT"/>
          <w:bCs/>
          <w:i/>
          <w:iCs/>
          <w:sz w:val="26"/>
          <w:szCs w:val="26"/>
        </w:rPr>
      </w:pPr>
    </w:p>
    <w:p w14:paraId="3EA01764" w14:textId="77777777" w:rsidR="00805EE7" w:rsidRPr="007823D6" w:rsidRDefault="00805EE7" w:rsidP="00805EE7">
      <w:pPr>
        <w:autoSpaceDE w:val="0"/>
        <w:autoSpaceDN w:val="0"/>
        <w:adjustRightInd w:val="0"/>
        <w:spacing w:line="276" w:lineRule="auto"/>
        <w:rPr>
          <w:rFonts w:ascii="Book Antiqua" w:hAnsi="Book Antiqua" w:cs="TimesNewRomanPS-BoldItalicMT"/>
          <w:bCs/>
          <w:iCs/>
          <w:sz w:val="24"/>
        </w:rPr>
      </w:pPr>
      <w:r>
        <w:rPr>
          <w:rFonts w:ascii="Book Antiqua" w:hAnsi="Book Antiqua" w:cs="TimesNewRomanPS-BoldItalicMT"/>
          <w:bCs/>
          <w:iCs/>
          <w:sz w:val="24"/>
        </w:rPr>
        <w:t>The current review should confirm the need for this review and the topics that it should cover.</w:t>
      </w:r>
    </w:p>
    <w:sectPr w:rsidR="00805EE7" w:rsidRPr="007823D6" w:rsidSect="00280B51">
      <w:footerReference w:type="even" r:id="rId14"/>
      <w:footerReference w:type="default" r:id="rId15"/>
      <w:pgSz w:w="11901" w:h="16817"/>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631E0" w14:textId="77777777" w:rsidR="00FF5D0F" w:rsidRDefault="00FF5D0F" w:rsidP="00705C0C">
      <w:r>
        <w:separator/>
      </w:r>
    </w:p>
  </w:endnote>
  <w:endnote w:type="continuationSeparator" w:id="0">
    <w:p w14:paraId="37BEC7FC" w14:textId="77777777" w:rsidR="00FF5D0F" w:rsidRDefault="00FF5D0F" w:rsidP="0070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Lucida Sans Unicode"/>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eplica Std Light">
    <w:panose1 w:val="00000000000000000000"/>
    <w:charset w:val="00"/>
    <w:family w:val="modern"/>
    <w:notTrueType/>
    <w:pitch w:val="variable"/>
    <w:sig w:usb0="800000AF" w:usb1="4000206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BoldItalic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E64B2" w14:textId="77777777" w:rsidR="00BB7620" w:rsidRDefault="00BB7620" w:rsidP="00E535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A03F1" w14:textId="77777777" w:rsidR="00BB7620" w:rsidRDefault="00BB7620" w:rsidP="00280B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043668"/>
      <w:docPartObj>
        <w:docPartGallery w:val="Page Numbers (Bottom of Page)"/>
        <w:docPartUnique/>
      </w:docPartObj>
    </w:sdtPr>
    <w:sdtEndPr>
      <w:rPr>
        <w:noProof/>
      </w:rPr>
    </w:sdtEndPr>
    <w:sdtContent>
      <w:p w14:paraId="5ADC16B2" w14:textId="77777777" w:rsidR="00BB7620" w:rsidRPr="00366B84" w:rsidRDefault="00BB7620" w:rsidP="00B74347">
        <w:pPr>
          <w:pStyle w:val="Footer"/>
          <w:ind w:right="360"/>
          <w:rPr>
            <w:sz w:val="18"/>
            <w:szCs w:val="18"/>
          </w:rPr>
        </w:pPr>
        <w:r w:rsidRPr="00366B84">
          <w:rPr>
            <w:rFonts w:eastAsiaTheme="majorEastAsia" w:cstheme="majorBidi"/>
            <w:sz w:val="18"/>
            <w:szCs w:val="18"/>
          </w:rPr>
          <w:ptab w:relativeTo="margin" w:alignment="center" w:leader="none"/>
        </w:r>
        <w:r w:rsidRPr="00366B84">
          <w:rPr>
            <w:rFonts w:eastAsiaTheme="majorEastAsia" w:cstheme="majorBidi"/>
            <w:sz w:val="18"/>
            <w:szCs w:val="18"/>
          </w:rPr>
          <w:t>Centre for Disability Research and Policy</w:t>
        </w:r>
        <w:r w:rsidRPr="00366B84">
          <w:rPr>
            <w:rFonts w:eastAsiaTheme="majorEastAsia" w:cstheme="majorBidi"/>
            <w:sz w:val="18"/>
            <w:szCs w:val="18"/>
          </w:rPr>
          <w:ptab w:relativeTo="margin" w:alignment="right" w:leader="none"/>
        </w:r>
        <w:r w:rsidRPr="00366B84">
          <w:rPr>
            <w:rFonts w:eastAsiaTheme="majorEastAsia" w:cstheme="majorBidi"/>
            <w:sz w:val="18"/>
            <w:szCs w:val="18"/>
          </w:rPr>
          <w:fldChar w:fldCharType="begin"/>
        </w:r>
        <w:r w:rsidRPr="00366B84">
          <w:rPr>
            <w:rFonts w:eastAsiaTheme="majorEastAsia" w:cstheme="majorBidi"/>
            <w:sz w:val="18"/>
            <w:szCs w:val="18"/>
          </w:rPr>
          <w:instrText xml:space="preserve"> PAGE   \* MERGEFORMAT </w:instrText>
        </w:r>
        <w:r w:rsidRPr="00366B84">
          <w:rPr>
            <w:rFonts w:eastAsiaTheme="majorEastAsia" w:cstheme="majorBidi"/>
            <w:sz w:val="18"/>
            <w:szCs w:val="18"/>
          </w:rPr>
          <w:fldChar w:fldCharType="separate"/>
        </w:r>
        <w:r w:rsidR="00522556">
          <w:rPr>
            <w:rFonts w:eastAsiaTheme="majorEastAsia" w:cstheme="majorBidi"/>
            <w:noProof/>
            <w:sz w:val="18"/>
            <w:szCs w:val="18"/>
          </w:rPr>
          <w:t>14</w:t>
        </w:r>
        <w:r w:rsidRPr="00366B84">
          <w:rPr>
            <w:rFonts w:eastAsiaTheme="majorEastAsia" w:cstheme="majorBidi"/>
            <w:noProof/>
            <w:sz w:val="18"/>
            <w:szCs w:val="18"/>
          </w:rPr>
          <w:fldChar w:fldCharType="end"/>
        </w:r>
      </w:p>
      <w:p w14:paraId="485F8840" w14:textId="77777777" w:rsidR="00BB7620" w:rsidRPr="00B74347" w:rsidRDefault="00522556" w:rsidP="00B74347">
        <w:pPr>
          <w:pStyle w:val="Footer"/>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34B25" w14:textId="77777777" w:rsidR="00FF5D0F" w:rsidRDefault="00FF5D0F" w:rsidP="00705C0C">
      <w:r>
        <w:separator/>
      </w:r>
    </w:p>
  </w:footnote>
  <w:footnote w:type="continuationSeparator" w:id="0">
    <w:p w14:paraId="48EDF0A9" w14:textId="77777777" w:rsidR="00FF5D0F" w:rsidRDefault="00FF5D0F" w:rsidP="00705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896"/>
    <w:multiLevelType w:val="hybridMultilevel"/>
    <w:tmpl w:val="AA8C541E"/>
    <w:lvl w:ilvl="0" w:tplc="F38E50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B56C02"/>
    <w:multiLevelType w:val="hybridMultilevel"/>
    <w:tmpl w:val="9C223C52"/>
    <w:lvl w:ilvl="0" w:tplc="14508E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958CF"/>
    <w:multiLevelType w:val="hybridMultilevel"/>
    <w:tmpl w:val="82DCAB22"/>
    <w:lvl w:ilvl="0" w:tplc="04090001">
      <w:start w:val="1"/>
      <w:numFmt w:val="bullet"/>
      <w:lvlText w:val=""/>
      <w:lvlJc w:val="left"/>
      <w:pPr>
        <w:ind w:left="568" w:hanging="284"/>
      </w:pPr>
      <w:rPr>
        <w:rFonts w:ascii="Symbol" w:hAnsi="Symbol" w:hint="default"/>
      </w:rPr>
    </w:lvl>
    <w:lvl w:ilvl="1" w:tplc="51A23D14">
      <w:start w:val="2015"/>
      <w:numFmt w:val="bullet"/>
      <w:lvlText w:val="•"/>
      <w:lvlJc w:val="left"/>
      <w:pPr>
        <w:ind w:left="2084" w:hanging="720"/>
      </w:pPr>
      <w:rPr>
        <w:rFonts w:ascii="Tw Cen MT" w:eastAsia="MS PGothic" w:hAnsi="Tw Cen MT"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FF1AF3"/>
    <w:multiLevelType w:val="hybridMultilevel"/>
    <w:tmpl w:val="6A361DB0"/>
    <w:lvl w:ilvl="0" w:tplc="2D1835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90D13"/>
    <w:multiLevelType w:val="hybridMultilevel"/>
    <w:tmpl w:val="E6723308"/>
    <w:lvl w:ilvl="0" w:tplc="BF42C60A">
      <w:numFmt w:val="bullet"/>
      <w:lvlText w:val="•"/>
      <w:lvlJc w:val="left"/>
      <w:pPr>
        <w:ind w:left="720" w:hanging="360"/>
      </w:pPr>
      <w:rPr>
        <w:rFonts w:ascii="Tw Cen MT" w:eastAsia="MS PGothic" w:hAnsi="Tw Cen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197E49"/>
    <w:multiLevelType w:val="hybridMultilevel"/>
    <w:tmpl w:val="1174F3AA"/>
    <w:lvl w:ilvl="0" w:tplc="FAA672B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953BF"/>
    <w:multiLevelType w:val="hybridMultilevel"/>
    <w:tmpl w:val="0A1C25DC"/>
    <w:lvl w:ilvl="0" w:tplc="0C090001">
      <w:start w:val="1"/>
      <w:numFmt w:val="bullet"/>
      <w:lvlText w:val=""/>
      <w:lvlJc w:val="left"/>
      <w:pPr>
        <w:ind w:left="720" w:hanging="360"/>
      </w:pPr>
      <w:rPr>
        <w:rFonts w:ascii="Symbol" w:hAnsi="Symbol" w:hint="default"/>
      </w:rPr>
    </w:lvl>
    <w:lvl w:ilvl="1" w:tplc="F38E50F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E176D4F"/>
    <w:multiLevelType w:val="hybridMultilevel"/>
    <w:tmpl w:val="62167368"/>
    <w:lvl w:ilvl="0" w:tplc="76646B2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13ADA"/>
    <w:multiLevelType w:val="hybridMultilevel"/>
    <w:tmpl w:val="00B0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66963"/>
    <w:multiLevelType w:val="hybridMultilevel"/>
    <w:tmpl w:val="B4C464CE"/>
    <w:lvl w:ilvl="0" w:tplc="04090001">
      <w:start w:val="1"/>
      <w:numFmt w:val="bullet"/>
      <w:lvlText w:val=""/>
      <w:lvlJc w:val="left"/>
      <w:pPr>
        <w:ind w:left="568" w:hanging="284"/>
      </w:pPr>
      <w:rPr>
        <w:rFonts w:ascii="Symbol" w:hAnsi="Symbol" w:hint="default"/>
      </w:rPr>
    </w:lvl>
    <w:lvl w:ilvl="1" w:tplc="51A23D14">
      <w:start w:val="2015"/>
      <w:numFmt w:val="bullet"/>
      <w:lvlText w:val="•"/>
      <w:lvlJc w:val="left"/>
      <w:pPr>
        <w:ind w:left="2084" w:hanging="720"/>
      </w:pPr>
      <w:rPr>
        <w:rFonts w:ascii="Tw Cen MT" w:eastAsia="MS PGothic" w:hAnsi="Tw Cen MT"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4F105FD7"/>
    <w:multiLevelType w:val="multilevel"/>
    <w:tmpl w:val="1174F3A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127A7C"/>
    <w:multiLevelType w:val="hybridMultilevel"/>
    <w:tmpl w:val="BD7855C2"/>
    <w:lvl w:ilvl="0" w:tplc="D3BA09AE">
      <w:start w:val="1"/>
      <w:numFmt w:val="bullet"/>
      <w:pStyle w:val="ListParagraph"/>
      <w:lvlText w:val=""/>
      <w:lvlJc w:val="left"/>
      <w:pPr>
        <w:ind w:left="284" w:hanging="284"/>
      </w:pPr>
      <w:rPr>
        <w:rFonts w:ascii="Symbol" w:hAnsi="Symbol" w:hint="default"/>
      </w:rPr>
    </w:lvl>
    <w:lvl w:ilvl="1" w:tplc="51A23D14">
      <w:start w:val="2015"/>
      <w:numFmt w:val="bullet"/>
      <w:lvlText w:val="•"/>
      <w:lvlJc w:val="left"/>
      <w:pPr>
        <w:ind w:left="1800" w:hanging="720"/>
      </w:pPr>
      <w:rPr>
        <w:rFonts w:ascii="Tw Cen MT" w:eastAsia="MS PGothic" w:hAnsi="Tw Cen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D47B8"/>
    <w:multiLevelType w:val="multilevel"/>
    <w:tmpl w:val="00B0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D80058"/>
    <w:multiLevelType w:val="hybridMultilevel"/>
    <w:tmpl w:val="2AA8D04E"/>
    <w:lvl w:ilvl="0" w:tplc="48CE8CB8">
      <w:numFmt w:val="bullet"/>
      <w:lvlText w:val="•"/>
      <w:lvlJc w:val="left"/>
      <w:pPr>
        <w:ind w:left="720" w:hanging="360"/>
      </w:pPr>
      <w:rPr>
        <w:rFonts w:ascii="Arial" w:eastAsiaTheme="minorHAnsi"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17AEE"/>
    <w:multiLevelType w:val="hybridMultilevel"/>
    <w:tmpl w:val="A80E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B4037"/>
    <w:multiLevelType w:val="hybridMultilevel"/>
    <w:tmpl w:val="9B1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77FE7"/>
    <w:multiLevelType w:val="hybridMultilevel"/>
    <w:tmpl w:val="B2AC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73DBB"/>
    <w:multiLevelType w:val="hybridMultilevel"/>
    <w:tmpl w:val="E8FA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83D48"/>
    <w:multiLevelType w:val="multilevel"/>
    <w:tmpl w:val="9B105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F9C74EA"/>
    <w:multiLevelType w:val="hybridMultilevel"/>
    <w:tmpl w:val="7B2CE8BE"/>
    <w:lvl w:ilvl="0" w:tplc="0C090001">
      <w:start w:val="1"/>
      <w:numFmt w:val="bullet"/>
      <w:lvlText w:val=""/>
      <w:lvlJc w:val="left"/>
      <w:pPr>
        <w:ind w:left="720" w:hanging="360"/>
      </w:pPr>
      <w:rPr>
        <w:rFonts w:ascii="Symbol" w:hAnsi="Symbol" w:hint="default"/>
      </w:rPr>
    </w:lvl>
    <w:lvl w:ilvl="1" w:tplc="6700C532">
      <w:numFmt w:val="bullet"/>
      <w:lvlText w:val="•"/>
      <w:lvlJc w:val="left"/>
      <w:pPr>
        <w:ind w:left="1440" w:hanging="360"/>
      </w:pPr>
      <w:rPr>
        <w:rFonts w:ascii="Tw Cen MT" w:eastAsia="MS PGothic" w:hAnsi="Tw Cen M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CE56BE"/>
    <w:multiLevelType w:val="hybridMultilevel"/>
    <w:tmpl w:val="FAF0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5"/>
  </w:num>
  <w:num w:numId="4">
    <w:abstractNumId w:val="10"/>
  </w:num>
  <w:num w:numId="5">
    <w:abstractNumId w:val="1"/>
  </w:num>
  <w:num w:numId="6">
    <w:abstractNumId w:val="11"/>
  </w:num>
  <w:num w:numId="7">
    <w:abstractNumId w:val="8"/>
  </w:num>
  <w:num w:numId="8">
    <w:abstractNumId w:val="12"/>
  </w:num>
  <w:num w:numId="9">
    <w:abstractNumId w:val="7"/>
  </w:num>
  <w:num w:numId="10">
    <w:abstractNumId w:val="16"/>
  </w:num>
  <w:num w:numId="11">
    <w:abstractNumId w:val="3"/>
  </w:num>
  <w:num w:numId="12">
    <w:abstractNumId w:val="17"/>
  </w:num>
  <w:num w:numId="13">
    <w:abstractNumId w:val="9"/>
  </w:num>
  <w:num w:numId="14">
    <w:abstractNumId w:val="20"/>
  </w:num>
  <w:num w:numId="15">
    <w:abstractNumId w:val="2"/>
  </w:num>
  <w:num w:numId="16">
    <w:abstractNumId w:val="14"/>
  </w:num>
  <w:num w:numId="17">
    <w:abstractNumId w:val="19"/>
  </w:num>
  <w:num w:numId="18">
    <w:abstractNumId w:val="6"/>
  </w:num>
  <w:num w:numId="19">
    <w:abstractNumId w:val="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FA"/>
    <w:rsid w:val="000045AB"/>
    <w:rsid w:val="00004F7C"/>
    <w:rsid w:val="00011BAF"/>
    <w:rsid w:val="00022E27"/>
    <w:rsid w:val="000A622D"/>
    <w:rsid w:val="000C4CED"/>
    <w:rsid w:val="000D5804"/>
    <w:rsid w:val="000E52C9"/>
    <w:rsid w:val="00104BB7"/>
    <w:rsid w:val="00107FC1"/>
    <w:rsid w:val="001124F5"/>
    <w:rsid w:val="001134D0"/>
    <w:rsid w:val="00127EEC"/>
    <w:rsid w:val="0013128D"/>
    <w:rsid w:val="00134693"/>
    <w:rsid w:val="00154561"/>
    <w:rsid w:val="00161A61"/>
    <w:rsid w:val="001B7A58"/>
    <w:rsid w:val="001F540D"/>
    <w:rsid w:val="001F5E34"/>
    <w:rsid w:val="00200168"/>
    <w:rsid w:val="002010BA"/>
    <w:rsid w:val="0020736F"/>
    <w:rsid w:val="002136CF"/>
    <w:rsid w:val="002275B4"/>
    <w:rsid w:val="0023662B"/>
    <w:rsid w:val="00247E3B"/>
    <w:rsid w:val="002659BD"/>
    <w:rsid w:val="00280B51"/>
    <w:rsid w:val="002E4E28"/>
    <w:rsid w:val="003021FD"/>
    <w:rsid w:val="003064FB"/>
    <w:rsid w:val="00314D1E"/>
    <w:rsid w:val="0031605F"/>
    <w:rsid w:val="0037421E"/>
    <w:rsid w:val="003772B4"/>
    <w:rsid w:val="00391EF5"/>
    <w:rsid w:val="003A44F0"/>
    <w:rsid w:val="003B027B"/>
    <w:rsid w:val="003C294A"/>
    <w:rsid w:val="003C3C0E"/>
    <w:rsid w:val="003E40E5"/>
    <w:rsid w:val="003E428A"/>
    <w:rsid w:val="003E53B6"/>
    <w:rsid w:val="00430692"/>
    <w:rsid w:val="00474B8E"/>
    <w:rsid w:val="00477AA7"/>
    <w:rsid w:val="004E134D"/>
    <w:rsid w:val="004F46FA"/>
    <w:rsid w:val="004F4D4C"/>
    <w:rsid w:val="00522556"/>
    <w:rsid w:val="00524783"/>
    <w:rsid w:val="00526FF1"/>
    <w:rsid w:val="005370E3"/>
    <w:rsid w:val="005D70B1"/>
    <w:rsid w:val="0060067E"/>
    <w:rsid w:val="00603EAD"/>
    <w:rsid w:val="0061057D"/>
    <w:rsid w:val="00614452"/>
    <w:rsid w:val="006317AD"/>
    <w:rsid w:val="00645EED"/>
    <w:rsid w:val="00654035"/>
    <w:rsid w:val="006D1CC6"/>
    <w:rsid w:val="006D73FB"/>
    <w:rsid w:val="006E1FC1"/>
    <w:rsid w:val="006F6E78"/>
    <w:rsid w:val="00705C0C"/>
    <w:rsid w:val="0071586C"/>
    <w:rsid w:val="007212F6"/>
    <w:rsid w:val="007569A0"/>
    <w:rsid w:val="00762F73"/>
    <w:rsid w:val="0076470A"/>
    <w:rsid w:val="00773DB8"/>
    <w:rsid w:val="007C5773"/>
    <w:rsid w:val="007D467A"/>
    <w:rsid w:val="007D68DA"/>
    <w:rsid w:val="007F1E6D"/>
    <w:rsid w:val="007F34E9"/>
    <w:rsid w:val="00803049"/>
    <w:rsid w:val="00805EE7"/>
    <w:rsid w:val="008250A4"/>
    <w:rsid w:val="00832526"/>
    <w:rsid w:val="00846F09"/>
    <w:rsid w:val="00863E6E"/>
    <w:rsid w:val="00875BB1"/>
    <w:rsid w:val="008851D0"/>
    <w:rsid w:val="00892BE8"/>
    <w:rsid w:val="00894301"/>
    <w:rsid w:val="008A5DB1"/>
    <w:rsid w:val="008B61AB"/>
    <w:rsid w:val="008C304A"/>
    <w:rsid w:val="008D049D"/>
    <w:rsid w:val="008D3399"/>
    <w:rsid w:val="008F2E48"/>
    <w:rsid w:val="00914E5F"/>
    <w:rsid w:val="00921E78"/>
    <w:rsid w:val="0092374A"/>
    <w:rsid w:val="00923FE9"/>
    <w:rsid w:val="00956B6B"/>
    <w:rsid w:val="009733A9"/>
    <w:rsid w:val="00987BA9"/>
    <w:rsid w:val="00987C27"/>
    <w:rsid w:val="00990528"/>
    <w:rsid w:val="009A5DEA"/>
    <w:rsid w:val="009A7054"/>
    <w:rsid w:val="009C338F"/>
    <w:rsid w:val="009C56CF"/>
    <w:rsid w:val="009D41C0"/>
    <w:rsid w:val="009E1CA0"/>
    <w:rsid w:val="009E4751"/>
    <w:rsid w:val="009E6456"/>
    <w:rsid w:val="009F3180"/>
    <w:rsid w:val="009F77BB"/>
    <w:rsid w:val="009F7C8D"/>
    <w:rsid w:val="00A0143F"/>
    <w:rsid w:val="00A44319"/>
    <w:rsid w:val="00A772F3"/>
    <w:rsid w:val="00AA73DE"/>
    <w:rsid w:val="00AF2353"/>
    <w:rsid w:val="00B06251"/>
    <w:rsid w:val="00B06F89"/>
    <w:rsid w:val="00B121A4"/>
    <w:rsid w:val="00B2585A"/>
    <w:rsid w:val="00B74347"/>
    <w:rsid w:val="00B81739"/>
    <w:rsid w:val="00B87A65"/>
    <w:rsid w:val="00B977F7"/>
    <w:rsid w:val="00BA30BB"/>
    <w:rsid w:val="00BA45BB"/>
    <w:rsid w:val="00BB7620"/>
    <w:rsid w:val="00C4267C"/>
    <w:rsid w:val="00C92883"/>
    <w:rsid w:val="00CA28D0"/>
    <w:rsid w:val="00CB045E"/>
    <w:rsid w:val="00CF1336"/>
    <w:rsid w:val="00CF433F"/>
    <w:rsid w:val="00D17844"/>
    <w:rsid w:val="00D37211"/>
    <w:rsid w:val="00D84598"/>
    <w:rsid w:val="00DC1CB8"/>
    <w:rsid w:val="00DD6F88"/>
    <w:rsid w:val="00DE6ED9"/>
    <w:rsid w:val="00E24F93"/>
    <w:rsid w:val="00E500CD"/>
    <w:rsid w:val="00E51320"/>
    <w:rsid w:val="00E535CF"/>
    <w:rsid w:val="00E77224"/>
    <w:rsid w:val="00E9021D"/>
    <w:rsid w:val="00EA6BAC"/>
    <w:rsid w:val="00EB06E2"/>
    <w:rsid w:val="00ED75A8"/>
    <w:rsid w:val="00F138E1"/>
    <w:rsid w:val="00F26B63"/>
    <w:rsid w:val="00F304DE"/>
    <w:rsid w:val="00F73682"/>
    <w:rsid w:val="00FB2422"/>
    <w:rsid w:val="00FB4B17"/>
    <w:rsid w:val="00FD0603"/>
    <w:rsid w:val="00FE6E28"/>
    <w:rsid w:val="00FF22E8"/>
    <w:rsid w:val="00FF55C6"/>
    <w:rsid w:val="00FF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AA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BB7"/>
    <w:rPr>
      <w:rFonts w:ascii="Tw Cen MT" w:hAnsi="Tw Cen MT"/>
      <w:color w:val="000000"/>
      <w:sz w:val="22"/>
      <w:szCs w:val="24"/>
    </w:rPr>
  </w:style>
  <w:style w:type="paragraph" w:styleId="Heading1">
    <w:name w:val="heading 1"/>
    <w:basedOn w:val="Normal"/>
    <w:next w:val="Normal"/>
    <w:link w:val="Heading1Char"/>
    <w:uiPriority w:val="9"/>
    <w:qFormat/>
    <w:rsid w:val="003A44F0"/>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D84598"/>
    <w:pPr>
      <w:keepNext/>
      <w:keepLines/>
      <w:spacing w:before="400" w:after="40"/>
      <w:outlineLvl w:val="2"/>
    </w:pPr>
    <w:rPr>
      <w:b/>
      <w:bCs/>
      <w:color w:val="E64626"/>
      <w:sz w:val="26"/>
    </w:rPr>
  </w:style>
  <w:style w:type="paragraph" w:styleId="Heading4">
    <w:name w:val="heading 4"/>
    <w:basedOn w:val="Normal"/>
    <w:next w:val="Normal"/>
    <w:link w:val="Heading4Char"/>
    <w:uiPriority w:val="9"/>
    <w:unhideWhenUsed/>
    <w:qFormat/>
    <w:rsid w:val="007212F6"/>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4F0"/>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D84598"/>
    <w:rPr>
      <w:rFonts w:ascii="Tw Cen MT" w:eastAsia="MS PGothic" w:hAnsi="Tw Cen MT" w:cs="Times New Roman"/>
      <w:b/>
      <w:bCs/>
      <w:color w:val="E64626"/>
      <w:sz w:val="26"/>
    </w:rPr>
  </w:style>
  <w:style w:type="paragraph" w:styleId="ListParagraph">
    <w:name w:val="List Paragraph"/>
    <w:basedOn w:val="Normal"/>
    <w:uiPriority w:val="34"/>
    <w:qFormat/>
    <w:rsid w:val="00200168"/>
    <w:pPr>
      <w:numPr>
        <w:numId w:val="6"/>
      </w:numPr>
      <w:contextualSpacing/>
    </w:pPr>
  </w:style>
  <w:style w:type="character" w:customStyle="1" w:styleId="Heading4Char">
    <w:name w:val="Heading 4 Char"/>
    <w:link w:val="Heading4"/>
    <w:uiPriority w:val="9"/>
    <w:rsid w:val="007212F6"/>
    <w:rPr>
      <w:rFonts w:ascii="Tw Cen MT" w:eastAsia="MS PGothic" w:hAnsi="Tw Cen MT" w:cs="Times New Roman"/>
      <w:b/>
      <w:bCs/>
      <w:iCs/>
      <w:color w:val="000000"/>
      <w:sz w:val="22"/>
    </w:rPr>
  </w:style>
  <w:style w:type="character" w:styleId="Hyperlink">
    <w:name w:val="Hyperlink"/>
    <w:uiPriority w:val="99"/>
    <w:unhideWhenUsed/>
    <w:rsid w:val="003E428A"/>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unhideWhenUsed/>
    <w:rsid w:val="00E535CF"/>
    <w:rPr>
      <w:rFonts w:ascii="Lucida Grande" w:hAnsi="Lucida Grande" w:cs="Lucida Grande"/>
      <w:sz w:val="18"/>
      <w:szCs w:val="18"/>
    </w:rPr>
  </w:style>
  <w:style w:type="character" w:customStyle="1" w:styleId="BalloonTextChar">
    <w:name w:val="Balloon Text Char"/>
    <w:link w:val="BalloonText"/>
    <w:uiPriority w:val="99"/>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645EED"/>
    <w:pPr>
      <w:spacing w:before="1400"/>
      <w:ind w:left="1134" w:right="-907"/>
    </w:pPr>
    <w:rPr>
      <w:b/>
      <w:color w:val="E64626"/>
      <w:sz w:val="48"/>
    </w:rPr>
  </w:style>
  <w:style w:type="character" w:customStyle="1" w:styleId="TitleChar">
    <w:name w:val="Title Char"/>
    <w:link w:val="Title"/>
    <w:uiPriority w:val="10"/>
    <w:rsid w:val="00645EED"/>
    <w:rPr>
      <w:rFonts w:ascii="Tw Cen MT" w:hAnsi="Tw Cen MT"/>
      <w:b/>
      <w:color w:val="E64626"/>
      <w:sz w:val="48"/>
    </w:rPr>
  </w:style>
  <w:style w:type="paragraph" w:styleId="Subtitle">
    <w:name w:val="Subtitle"/>
    <w:basedOn w:val="Normal"/>
    <w:next w:val="Normal"/>
    <w:link w:val="SubtitleChar"/>
    <w:uiPriority w:val="11"/>
    <w:qFormat/>
    <w:rsid w:val="00645EED"/>
    <w:pPr>
      <w:spacing w:before="200"/>
      <w:ind w:left="1134" w:right="-907"/>
    </w:pPr>
    <w:rPr>
      <w:sz w:val="40"/>
      <w:szCs w:val="40"/>
    </w:rPr>
  </w:style>
  <w:style w:type="character" w:customStyle="1" w:styleId="SubtitleChar">
    <w:name w:val="Subtitle Char"/>
    <w:link w:val="Subtitle"/>
    <w:uiPriority w:val="11"/>
    <w:rsid w:val="00645EED"/>
    <w:rPr>
      <w:rFonts w:ascii="Tw Cen MT" w:hAnsi="Tw Cen MT"/>
      <w:color w:val="000000"/>
      <w:sz w:val="40"/>
      <w:szCs w:val="40"/>
    </w:rPr>
  </w:style>
  <w:style w:type="table" w:styleId="TableGrid">
    <w:name w:val="Table Grid"/>
    <w:basedOn w:val="TableNormal"/>
    <w:uiPriority w:val="39"/>
    <w:rsid w:val="00CA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Ind w:w="0" w:type="dxa"/>
      <w:tblBorders>
        <w:top w:val="single" w:sz="8" w:space="0" w:color="000000"/>
        <w:bottom w:val="single" w:sz="12" w:space="0" w:color="000000"/>
        <w:insideH w:val="single" w:sz="4" w:space="0" w:color="000000"/>
      </w:tblBorders>
      <w:tblCellMar>
        <w:top w:w="0" w:type="dxa"/>
        <w:left w:w="108" w:type="dxa"/>
        <w:bottom w:w="0" w:type="dxa"/>
        <w:right w:w="108" w:type="dxa"/>
      </w:tblCellMar>
    </w:tblPr>
    <w:tblStylePr w:type="firstRow">
      <w:pPr>
        <w:spacing w:before="0" w:after="0" w:line="240" w:lineRule="auto"/>
      </w:pPr>
      <w:rPr>
        <w:rFonts w:ascii="Tw Cen MT" w:hAnsi="Tw Cen MT"/>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Ind w:w="0" w:type="dxa"/>
      <w:tblBorders>
        <w:top w:val="single" w:sz="8" w:space="0" w:color="5496DB"/>
        <w:bottom w:val="single" w:sz="8" w:space="0" w:color="5496DB"/>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Ind w:w="0" w:type="dxa"/>
      <w:tblBorders>
        <w:top w:val="single" w:sz="8" w:space="0" w:color="E64626"/>
        <w:bottom w:val="single" w:sz="8" w:space="0" w:color="E6462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Ind w:w="0" w:type="dxa"/>
      <w:tblBorders>
        <w:top w:val="single" w:sz="8" w:space="0" w:color="E64626"/>
        <w:left w:val="single" w:sz="8" w:space="0" w:color="E64626"/>
        <w:bottom w:val="single" w:sz="8" w:space="0" w:color="E64626"/>
        <w:right w:val="single" w:sz="8" w:space="0" w:color="E6462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table" w:styleId="MediumShading2-Accent2">
    <w:name w:val="Medium Shading 2 Accent 2"/>
    <w:basedOn w:val="TableNormal"/>
    <w:uiPriority w:val="64"/>
    <w:rsid w:val="007569A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802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8025" w:themeFill="accent2"/>
      </w:tcPr>
    </w:tblStylePr>
    <w:tblStylePr w:type="lastCol">
      <w:rPr>
        <w:b/>
        <w:bCs/>
        <w:color w:val="FFFFFF" w:themeColor="background1"/>
      </w:rPr>
      <w:tblPr/>
      <w:tcPr>
        <w:tcBorders>
          <w:left w:val="nil"/>
          <w:right w:val="nil"/>
          <w:insideH w:val="nil"/>
          <w:insideV w:val="nil"/>
        </w:tcBorders>
        <w:shd w:val="clear" w:color="auto" w:fill="EF802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956B6B"/>
    <w:tblPr>
      <w:tblStyleRowBandSize w:val="1"/>
      <w:tblStyleColBandSize w:val="1"/>
      <w:tblInd w:w="0" w:type="dxa"/>
      <w:tblBorders>
        <w:top w:val="single" w:sz="8"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single" w:sz="8" w:space="0" w:color="F39F5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nil"/>
          <w:insideV w:val="nil"/>
        </w:tcBorders>
        <w:shd w:val="clear" w:color="auto" w:fill="EF8025" w:themeFill="accent2"/>
      </w:tcPr>
    </w:tblStylePr>
    <w:tblStylePr w:type="lastRow">
      <w:pPr>
        <w:spacing w:before="0" w:after="0" w:line="240" w:lineRule="auto"/>
      </w:pPr>
      <w:rPr>
        <w:b/>
        <w:bCs/>
      </w:rPr>
      <w:tblPr/>
      <w:tcPr>
        <w:tcBorders>
          <w:top w:val="double" w:sz="6"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FC8" w:themeFill="accent2" w:themeFillTint="3F"/>
      </w:tcPr>
    </w:tblStylePr>
    <w:tblStylePr w:type="band1Horz">
      <w:tblPr/>
      <w:tcPr>
        <w:tcBorders>
          <w:insideH w:val="nil"/>
          <w:insideV w:val="nil"/>
        </w:tcBorders>
        <w:shd w:val="clear" w:color="auto" w:fill="FBDFC8" w:themeFill="accent2" w:themeFillTint="3F"/>
      </w:tcPr>
    </w:tblStylePr>
    <w:tblStylePr w:type="band2Horz">
      <w:tblPr/>
      <w:tcPr>
        <w:tcBorders>
          <w:insideH w:val="nil"/>
          <w:insideV w:val="nil"/>
        </w:tcBorders>
      </w:tcPr>
    </w:tblStylePr>
  </w:style>
  <w:style w:type="paragraph" w:customStyle="1" w:styleId="233E5CD5853943F4BD7E8C4B124C0E1D">
    <w:name w:val="233E5CD5853943F4BD7E8C4B124C0E1D"/>
    <w:rsid w:val="006D1CC6"/>
    <w:pPr>
      <w:spacing w:after="200" w:line="276" w:lineRule="auto"/>
    </w:pPr>
    <w:rPr>
      <w:rFonts w:asciiTheme="minorHAnsi" w:eastAsiaTheme="minorEastAsia" w:hAnsiTheme="minorHAnsi" w:cstheme="minorBidi"/>
      <w:sz w:val="22"/>
      <w:szCs w:val="22"/>
      <w:lang w:eastAsia="ja-JP"/>
    </w:rPr>
  </w:style>
  <w:style w:type="table" w:styleId="ColorfulGrid-Accent2">
    <w:name w:val="Colorful Grid Accent 2"/>
    <w:basedOn w:val="TableNormal"/>
    <w:uiPriority w:val="73"/>
    <w:rsid w:val="00B7434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5D3" w:themeFill="accent2" w:themeFillTint="33"/>
    </w:tcPr>
    <w:tblStylePr w:type="firstRow">
      <w:rPr>
        <w:b/>
        <w:bCs/>
      </w:rPr>
      <w:tblPr/>
      <w:tcPr>
        <w:shd w:val="clear" w:color="auto" w:fill="F8CBA7" w:themeFill="accent2" w:themeFillTint="66"/>
      </w:tcPr>
    </w:tblStylePr>
    <w:tblStylePr w:type="lastRow">
      <w:rPr>
        <w:b/>
        <w:bCs/>
        <w:color w:val="000000" w:themeColor="text1"/>
      </w:rPr>
      <w:tblPr/>
      <w:tcPr>
        <w:shd w:val="clear" w:color="auto" w:fill="F8CBA7" w:themeFill="accent2" w:themeFillTint="66"/>
      </w:tcPr>
    </w:tblStylePr>
    <w:tblStylePr w:type="firstCol">
      <w:rPr>
        <w:color w:val="FFFFFF" w:themeColor="background1"/>
      </w:rPr>
      <w:tblPr/>
      <w:tcPr>
        <w:shd w:val="clear" w:color="auto" w:fill="C05D0E" w:themeFill="accent2" w:themeFillShade="BF"/>
      </w:tcPr>
    </w:tblStylePr>
    <w:tblStylePr w:type="lastCol">
      <w:rPr>
        <w:color w:val="FFFFFF" w:themeColor="background1"/>
      </w:rPr>
      <w:tblPr/>
      <w:tcPr>
        <w:shd w:val="clear" w:color="auto" w:fill="C05D0E" w:themeFill="accent2" w:themeFillShade="BF"/>
      </w:tcPr>
    </w:tblStylePr>
    <w:tblStylePr w:type="band1Vert">
      <w:tblPr/>
      <w:tcPr>
        <w:shd w:val="clear" w:color="auto" w:fill="F7BF92" w:themeFill="accent2" w:themeFillTint="7F"/>
      </w:tcPr>
    </w:tblStylePr>
    <w:tblStylePr w:type="band1Horz">
      <w:tblPr/>
      <w:tcPr>
        <w:shd w:val="clear" w:color="auto" w:fill="F7BF92" w:themeFill="accent2" w:themeFillTint="7F"/>
      </w:tcPr>
    </w:tblStylePr>
  </w:style>
  <w:style w:type="table" w:styleId="MediumGrid3-Accent2">
    <w:name w:val="Medium Grid 3 Accent 2"/>
    <w:basedOn w:val="TableNormal"/>
    <w:uiPriority w:val="69"/>
    <w:rsid w:val="00B743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DF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80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80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F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F92" w:themeFill="accent2" w:themeFillTint="7F"/>
      </w:tcPr>
    </w:tblStylePr>
  </w:style>
  <w:style w:type="table" w:customStyle="1" w:styleId="MediumGrid3-Accent21">
    <w:name w:val="Medium Grid 3 - Accent 21"/>
    <w:basedOn w:val="TableNormal"/>
    <w:next w:val="MediumGrid3-Accent2"/>
    <w:uiPriority w:val="69"/>
    <w:rsid w:val="00B743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DF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80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80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F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F92" w:themeFill="accent2" w:themeFillTint="7F"/>
      </w:tcPr>
    </w:tblStylePr>
  </w:style>
  <w:style w:type="table" w:styleId="LightGrid-Accent6">
    <w:name w:val="Light Grid Accent 6"/>
    <w:basedOn w:val="TableNormal"/>
    <w:uiPriority w:val="62"/>
    <w:rsid w:val="00F304DE"/>
    <w:tblPr>
      <w:tblStyleRowBandSize w:val="1"/>
      <w:tblStyleColBandSize w:val="1"/>
      <w:tblInd w:w="0" w:type="dxa"/>
      <w:tblBorders>
        <w:top w:val="single" w:sz="8" w:space="0" w:color="0148A4" w:themeColor="accent6"/>
        <w:left w:val="single" w:sz="8" w:space="0" w:color="0148A4" w:themeColor="accent6"/>
        <w:bottom w:val="single" w:sz="8" w:space="0" w:color="0148A4" w:themeColor="accent6"/>
        <w:right w:val="single" w:sz="8" w:space="0" w:color="0148A4" w:themeColor="accent6"/>
        <w:insideH w:val="single" w:sz="8" w:space="0" w:color="0148A4" w:themeColor="accent6"/>
        <w:insideV w:val="single" w:sz="8" w:space="0" w:color="0148A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148A4" w:themeColor="accent6"/>
          <w:left w:val="single" w:sz="8" w:space="0" w:color="0148A4" w:themeColor="accent6"/>
          <w:bottom w:val="single" w:sz="18" w:space="0" w:color="0148A4" w:themeColor="accent6"/>
          <w:right w:val="single" w:sz="8" w:space="0" w:color="0148A4" w:themeColor="accent6"/>
          <w:insideH w:val="nil"/>
          <w:insideV w:val="single" w:sz="8" w:space="0" w:color="0148A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48A4" w:themeColor="accent6"/>
          <w:left w:val="single" w:sz="8" w:space="0" w:color="0148A4" w:themeColor="accent6"/>
          <w:bottom w:val="single" w:sz="8" w:space="0" w:color="0148A4" w:themeColor="accent6"/>
          <w:right w:val="single" w:sz="8" w:space="0" w:color="0148A4" w:themeColor="accent6"/>
          <w:insideH w:val="nil"/>
          <w:insideV w:val="single" w:sz="8" w:space="0" w:color="0148A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48A4" w:themeColor="accent6"/>
          <w:left w:val="single" w:sz="8" w:space="0" w:color="0148A4" w:themeColor="accent6"/>
          <w:bottom w:val="single" w:sz="8" w:space="0" w:color="0148A4" w:themeColor="accent6"/>
          <w:right w:val="single" w:sz="8" w:space="0" w:color="0148A4" w:themeColor="accent6"/>
        </w:tcBorders>
      </w:tcPr>
    </w:tblStylePr>
    <w:tblStylePr w:type="band1Vert">
      <w:tblPr/>
      <w:tcPr>
        <w:tcBorders>
          <w:top w:val="single" w:sz="8" w:space="0" w:color="0148A4" w:themeColor="accent6"/>
          <w:left w:val="single" w:sz="8" w:space="0" w:color="0148A4" w:themeColor="accent6"/>
          <w:bottom w:val="single" w:sz="8" w:space="0" w:color="0148A4" w:themeColor="accent6"/>
          <w:right w:val="single" w:sz="8" w:space="0" w:color="0148A4" w:themeColor="accent6"/>
        </w:tcBorders>
        <w:shd w:val="clear" w:color="auto" w:fill="AACEFE" w:themeFill="accent6" w:themeFillTint="3F"/>
      </w:tcPr>
    </w:tblStylePr>
    <w:tblStylePr w:type="band1Horz">
      <w:tblPr/>
      <w:tcPr>
        <w:tcBorders>
          <w:top w:val="single" w:sz="8" w:space="0" w:color="0148A4" w:themeColor="accent6"/>
          <w:left w:val="single" w:sz="8" w:space="0" w:color="0148A4" w:themeColor="accent6"/>
          <w:bottom w:val="single" w:sz="8" w:space="0" w:color="0148A4" w:themeColor="accent6"/>
          <w:right w:val="single" w:sz="8" w:space="0" w:color="0148A4" w:themeColor="accent6"/>
          <w:insideV w:val="single" w:sz="8" w:space="0" w:color="0148A4" w:themeColor="accent6"/>
        </w:tcBorders>
        <w:shd w:val="clear" w:color="auto" w:fill="AACEFE" w:themeFill="accent6" w:themeFillTint="3F"/>
      </w:tcPr>
    </w:tblStylePr>
    <w:tblStylePr w:type="band2Horz">
      <w:tblPr/>
      <w:tcPr>
        <w:tcBorders>
          <w:top w:val="single" w:sz="8" w:space="0" w:color="0148A4" w:themeColor="accent6"/>
          <w:left w:val="single" w:sz="8" w:space="0" w:color="0148A4" w:themeColor="accent6"/>
          <w:bottom w:val="single" w:sz="8" w:space="0" w:color="0148A4" w:themeColor="accent6"/>
          <w:right w:val="single" w:sz="8" w:space="0" w:color="0148A4" w:themeColor="accent6"/>
          <w:insideV w:val="single" w:sz="8" w:space="0" w:color="0148A4" w:themeColor="accent6"/>
        </w:tcBorders>
      </w:tcPr>
    </w:tblStylePr>
  </w:style>
  <w:style w:type="paragraph" w:customStyle="1" w:styleId="Default">
    <w:name w:val="Default"/>
    <w:rsid w:val="00805EE7"/>
    <w:pPr>
      <w:autoSpaceDE w:val="0"/>
      <w:autoSpaceDN w:val="0"/>
      <w:adjustRightInd w:val="0"/>
    </w:pPr>
    <w:rPr>
      <w:rFonts w:eastAsiaTheme="minorHAnsi" w:cs="Arial"/>
      <w:color w:val="000000"/>
      <w:sz w:val="24"/>
      <w:szCs w:val="24"/>
    </w:rPr>
  </w:style>
  <w:style w:type="character" w:styleId="CommentReference">
    <w:name w:val="annotation reference"/>
    <w:basedOn w:val="DefaultParagraphFont"/>
    <w:uiPriority w:val="99"/>
    <w:semiHidden/>
    <w:unhideWhenUsed/>
    <w:rsid w:val="009C338F"/>
    <w:rPr>
      <w:sz w:val="16"/>
      <w:szCs w:val="16"/>
    </w:rPr>
  </w:style>
  <w:style w:type="paragraph" w:styleId="CommentText">
    <w:name w:val="annotation text"/>
    <w:basedOn w:val="Normal"/>
    <w:link w:val="CommentTextChar"/>
    <w:uiPriority w:val="99"/>
    <w:semiHidden/>
    <w:unhideWhenUsed/>
    <w:rsid w:val="009C338F"/>
    <w:rPr>
      <w:sz w:val="20"/>
      <w:szCs w:val="20"/>
    </w:rPr>
  </w:style>
  <w:style w:type="character" w:customStyle="1" w:styleId="CommentTextChar">
    <w:name w:val="Comment Text Char"/>
    <w:basedOn w:val="DefaultParagraphFont"/>
    <w:link w:val="CommentText"/>
    <w:uiPriority w:val="99"/>
    <w:semiHidden/>
    <w:rsid w:val="009C338F"/>
    <w:rPr>
      <w:rFonts w:ascii="Tw Cen MT" w:hAnsi="Tw Cen MT"/>
      <w:color w:val="000000"/>
    </w:rPr>
  </w:style>
  <w:style w:type="paragraph" w:styleId="CommentSubject">
    <w:name w:val="annotation subject"/>
    <w:basedOn w:val="CommentText"/>
    <w:next w:val="CommentText"/>
    <w:link w:val="CommentSubjectChar"/>
    <w:uiPriority w:val="99"/>
    <w:semiHidden/>
    <w:unhideWhenUsed/>
    <w:rsid w:val="009C338F"/>
    <w:rPr>
      <w:b/>
      <w:bCs/>
    </w:rPr>
  </w:style>
  <w:style w:type="character" w:customStyle="1" w:styleId="CommentSubjectChar">
    <w:name w:val="Comment Subject Char"/>
    <w:basedOn w:val="CommentTextChar"/>
    <w:link w:val="CommentSubject"/>
    <w:uiPriority w:val="99"/>
    <w:semiHidden/>
    <w:rsid w:val="009C338F"/>
    <w:rPr>
      <w:rFonts w:ascii="Tw Cen MT" w:hAnsi="Tw Cen M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BB7"/>
    <w:rPr>
      <w:rFonts w:ascii="Tw Cen MT" w:hAnsi="Tw Cen MT"/>
      <w:color w:val="000000"/>
      <w:sz w:val="22"/>
      <w:szCs w:val="24"/>
    </w:rPr>
  </w:style>
  <w:style w:type="paragraph" w:styleId="Heading1">
    <w:name w:val="heading 1"/>
    <w:basedOn w:val="Normal"/>
    <w:next w:val="Normal"/>
    <w:link w:val="Heading1Char"/>
    <w:uiPriority w:val="9"/>
    <w:qFormat/>
    <w:rsid w:val="003A44F0"/>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D84598"/>
    <w:pPr>
      <w:keepNext/>
      <w:keepLines/>
      <w:spacing w:before="400" w:after="40"/>
      <w:outlineLvl w:val="2"/>
    </w:pPr>
    <w:rPr>
      <w:b/>
      <w:bCs/>
      <w:color w:val="E64626"/>
      <w:sz w:val="26"/>
    </w:rPr>
  </w:style>
  <w:style w:type="paragraph" w:styleId="Heading4">
    <w:name w:val="heading 4"/>
    <w:basedOn w:val="Normal"/>
    <w:next w:val="Normal"/>
    <w:link w:val="Heading4Char"/>
    <w:uiPriority w:val="9"/>
    <w:unhideWhenUsed/>
    <w:qFormat/>
    <w:rsid w:val="007212F6"/>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4F0"/>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D84598"/>
    <w:rPr>
      <w:rFonts w:ascii="Tw Cen MT" w:eastAsia="MS PGothic" w:hAnsi="Tw Cen MT" w:cs="Times New Roman"/>
      <w:b/>
      <w:bCs/>
      <w:color w:val="E64626"/>
      <w:sz w:val="26"/>
    </w:rPr>
  </w:style>
  <w:style w:type="paragraph" w:styleId="ListParagraph">
    <w:name w:val="List Paragraph"/>
    <w:basedOn w:val="Normal"/>
    <w:uiPriority w:val="34"/>
    <w:qFormat/>
    <w:rsid w:val="00200168"/>
    <w:pPr>
      <w:numPr>
        <w:numId w:val="6"/>
      </w:numPr>
      <w:contextualSpacing/>
    </w:pPr>
  </w:style>
  <w:style w:type="character" w:customStyle="1" w:styleId="Heading4Char">
    <w:name w:val="Heading 4 Char"/>
    <w:link w:val="Heading4"/>
    <w:uiPriority w:val="9"/>
    <w:rsid w:val="007212F6"/>
    <w:rPr>
      <w:rFonts w:ascii="Tw Cen MT" w:eastAsia="MS PGothic" w:hAnsi="Tw Cen MT" w:cs="Times New Roman"/>
      <w:b/>
      <w:bCs/>
      <w:iCs/>
      <w:color w:val="000000"/>
      <w:sz w:val="22"/>
    </w:rPr>
  </w:style>
  <w:style w:type="character" w:styleId="Hyperlink">
    <w:name w:val="Hyperlink"/>
    <w:uiPriority w:val="99"/>
    <w:unhideWhenUsed/>
    <w:rsid w:val="003E428A"/>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unhideWhenUsed/>
    <w:rsid w:val="00E535CF"/>
    <w:rPr>
      <w:rFonts w:ascii="Lucida Grande" w:hAnsi="Lucida Grande" w:cs="Lucida Grande"/>
      <w:sz w:val="18"/>
      <w:szCs w:val="18"/>
    </w:rPr>
  </w:style>
  <w:style w:type="character" w:customStyle="1" w:styleId="BalloonTextChar">
    <w:name w:val="Balloon Text Char"/>
    <w:link w:val="BalloonText"/>
    <w:uiPriority w:val="99"/>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645EED"/>
    <w:pPr>
      <w:spacing w:before="1400"/>
      <w:ind w:left="1134" w:right="-907"/>
    </w:pPr>
    <w:rPr>
      <w:b/>
      <w:color w:val="E64626"/>
      <w:sz w:val="48"/>
    </w:rPr>
  </w:style>
  <w:style w:type="character" w:customStyle="1" w:styleId="TitleChar">
    <w:name w:val="Title Char"/>
    <w:link w:val="Title"/>
    <w:uiPriority w:val="10"/>
    <w:rsid w:val="00645EED"/>
    <w:rPr>
      <w:rFonts w:ascii="Tw Cen MT" w:hAnsi="Tw Cen MT"/>
      <w:b/>
      <w:color w:val="E64626"/>
      <w:sz w:val="48"/>
    </w:rPr>
  </w:style>
  <w:style w:type="paragraph" w:styleId="Subtitle">
    <w:name w:val="Subtitle"/>
    <w:basedOn w:val="Normal"/>
    <w:next w:val="Normal"/>
    <w:link w:val="SubtitleChar"/>
    <w:uiPriority w:val="11"/>
    <w:qFormat/>
    <w:rsid w:val="00645EED"/>
    <w:pPr>
      <w:spacing w:before="200"/>
      <w:ind w:left="1134" w:right="-907"/>
    </w:pPr>
    <w:rPr>
      <w:sz w:val="40"/>
      <w:szCs w:val="40"/>
    </w:rPr>
  </w:style>
  <w:style w:type="character" w:customStyle="1" w:styleId="SubtitleChar">
    <w:name w:val="Subtitle Char"/>
    <w:link w:val="Subtitle"/>
    <w:uiPriority w:val="11"/>
    <w:rsid w:val="00645EED"/>
    <w:rPr>
      <w:rFonts w:ascii="Tw Cen MT" w:hAnsi="Tw Cen MT"/>
      <w:color w:val="000000"/>
      <w:sz w:val="40"/>
      <w:szCs w:val="40"/>
    </w:rPr>
  </w:style>
  <w:style w:type="table" w:styleId="TableGrid">
    <w:name w:val="Table Grid"/>
    <w:basedOn w:val="TableNormal"/>
    <w:uiPriority w:val="39"/>
    <w:rsid w:val="00CA2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Ind w:w="0" w:type="dxa"/>
      <w:tblBorders>
        <w:top w:val="single" w:sz="8" w:space="0" w:color="000000"/>
        <w:bottom w:val="single" w:sz="12" w:space="0" w:color="000000"/>
        <w:insideH w:val="single" w:sz="4" w:space="0" w:color="000000"/>
      </w:tblBorders>
      <w:tblCellMar>
        <w:top w:w="0" w:type="dxa"/>
        <w:left w:w="108" w:type="dxa"/>
        <w:bottom w:w="0" w:type="dxa"/>
        <w:right w:w="108" w:type="dxa"/>
      </w:tblCellMar>
    </w:tblPr>
    <w:tblStylePr w:type="firstRow">
      <w:pPr>
        <w:spacing w:before="0" w:after="0" w:line="240" w:lineRule="auto"/>
      </w:pPr>
      <w:rPr>
        <w:rFonts w:ascii="Tw Cen MT" w:hAnsi="Tw Cen MT"/>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Ind w:w="0" w:type="dxa"/>
      <w:tblBorders>
        <w:top w:val="single" w:sz="8" w:space="0" w:color="5496DB"/>
        <w:bottom w:val="single" w:sz="8" w:space="0" w:color="5496DB"/>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Ind w:w="0" w:type="dxa"/>
      <w:tblBorders>
        <w:top w:val="single" w:sz="8" w:space="0" w:color="E64626"/>
        <w:bottom w:val="single" w:sz="8" w:space="0" w:color="E6462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Ind w:w="0" w:type="dxa"/>
      <w:tblBorders>
        <w:top w:val="single" w:sz="8" w:space="0" w:color="E64626"/>
        <w:left w:val="single" w:sz="8" w:space="0" w:color="E64626"/>
        <w:bottom w:val="single" w:sz="8" w:space="0" w:color="E64626"/>
        <w:right w:val="single" w:sz="8" w:space="0" w:color="E6462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table" w:styleId="MediumShading2-Accent2">
    <w:name w:val="Medium Shading 2 Accent 2"/>
    <w:basedOn w:val="TableNormal"/>
    <w:uiPriority w:val="64"/>
    <w:rsid w:val="007569A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802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8025" w:themeFill="accent2"/>
      </w:tcPr>
    </w:tblStylePr>
    <w:tblStylePr w:type="lastCol">
      <w:rPr>
        <w:b/>
        <w:bCs/>
        <w:color w:val="FFFFFF" w:themeColor="background1"/>
      </w:rPr>
      <w:tblPr/>
      <w:tcPr>
        <w:tcBorders>
          <w:left w:val="nil"/>
          <w:right w:val="nil"/>
          <w:insideH w:val="nil"/>
          <w:insideV w:val="nil"/>
        </w:tcBorders>
        <w:shd w:val="clear" w:color="auto" w:fill="EF802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956B6B"/>
    <w:tblPr>
      <w:tblStyleRowBandSize w:val="1"/>
      <w:tblStyleColBandSize w:val="1"/>
      <w:tblInd w:w="0" w:type="dxa"/>
      <w:tblBorders>
        <w:top w:val="single" w:sz="8"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single" w:sz="8" w:space="0" w:color="F39F5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nil"/>
          <w:insideV w:val="nil"/>
        </w:tcBorders>
        <w:shd w:val="clear" w:color="auto" w:fill="EF8025" w:themeFill="accent2"/>
      </w:tcPr>
    </w:tblStylePr>
    <w:tblStylePr w:type="lastRow">
      <w:pPr>
        <w:spacing w:before="0" w:after="0" w:line="240" w:lineRule="auto"/>
      </w:pPr>
      <w:rPr>
        <w:b/>
        <w:bCs/>
      </w:rPr>
      <w:tblPr/>
      <w:tcPr>
        <w:tcBorders>
          <w:top w:val="double" w:sz="6"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FC8" w:themeFill="accent2" w:themeFillTint="3F"/>
      </w:tcPr>
    </w:tblStylePr>
    <w:tblStylePr w:type="band1Horz">
      <w:tblPr/>
      <w:tcPr>
        <w:tcBorders>
          <w:insideH w:val="nil"/>
          <w:insideV w:val="nil"/>
        </w:tcBorders>
        <w:shd w:val="clear" w:color="auto" w:fill="FBDFC8" w:themeFill="accent2" w:themeFillTint="3F"/>
      </w:tcPr>
    </w:tblStylePr>
    <w:tblStylePr w:type="band2Horz">
      <w:tblPr/>
      <w:tcPr>
        <w:tcBorders>
          <w:insideH w:val="nil"/>
          <w:insideV w:val="nil"/>
        </w:tcBorders>
      </w:tcPr>
    </w:tblStylePr>
  </w:style>
  <w:style w:type="paragraph" w:customStyle="1" w:styleId="233E5CD5853943F4BD7E8C4B124C0E1D">
    <w:name w:val="233E5CD5853943F4BD7E8C4B124C0E1D"/>
    <w:rsid w:val="006D1CC6"/>
    <w:pPr>
      <w:spacing w:after="200" w:line="276" w:lineRule="auto"/>
    </w:pPr>
    <w:rPr>
      <w:rFonts w:asciiTheme="minorHAnsi" w:eastAsiaTheme="minorEastAsia" w:hAnsiTheme="minorHAnsi" w:cstheme="minorBidi"/>
      <w:sz w:val="22"/>
      <w:szCs w:val="22"/>
      <w:lang w:eastAsia="ja-JP"/>
    </w:rPr>
  </w:style>
  <w:style w:type="table" w:styleId="ColorfulGrid-Accent2">
    <w:name w:val="Colorful Grid Accent 2"/>
    <w:basedOn w:val="TableNormal"/>
    <w:uiPriority w:val="73"/>
    <w:rsid w:val="00B7434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5D3" w:themeFill="accent2" w:themeFillTint="33"/>
    </w:tcPr>
    <w:tblStylePr w:type="firstRow">
      <w:rPr>
        <w:b/>
        <w:bCs/>
      </w:rPr>
      <w:tblPr/>
      <w:tcPr>
        <w:shd w:val="clear" w:color="auto" w:fill="F8CBA7" w:themeFill="accent2" w:themeFillTint="66"/>
      </w:tcPr>
    </w:tblStylePr>
    <w:tblStylePr w:type="lastRow">
      <w:rPr>
        <w:b/>
        <w:bCs/>
        <w:color w:val="000000" w:themeColor="text1"/>
      </w:rPr>
      <w:tblPr/>
      <w:tcPr>
        <w:shd w:val="clear" w:color="auto" w:fill="F8CBA7" w:themeFill="accent2" w:themeFillTint="66"/>
      </w:tcPr>
    </w:tblStylePr>
    <w:tblStylePr w:type="firstCol">
      <w:rPr>
        <w:color w:val="FFFFFF" w:themeColor="background1"/>
      </w:rPr>
      <w:tblPr/>
      <w:tcPr>
        <w:shd w:val="clear" w:color="auto" w:fill="C05D0E" w:themeFill="accent2" w:themeFillShade="BF"/>
      </w:tcPr>
    </w:tblStylePr>
    <w:tblStylePr w:type="lastCol">
      <w:rPr>
        <w:color w:val="FFFFFF" w:themeColor="background1"/>
      </w:rPr>
      <w:tblPr/>
      <w:tcPr>
        <w:shd w:val="clear" w:color="auto" w:fill="C05D0E" w:themeFill="accent2" w:themeFillShade="BF"/>
      </w:tcPr>
    </w:tblStylePr>
    <w:tblStylePr w:type="band1Vert">
      <w:tblPr/>
      <w:tcPr>
        <w:shd w:val="clear" w:color="auto" w:fill="F7BF92" w:themeFill="accent2" w:themeFillTint="7F"/>
      </w:tcPr>
    </w:tblStylePr>
    <w:tblStylePr w:type="band1Horz">
      <w:tblPr/>
      <w:tcPr>
        <w:shd w:val="clear" w:color="auto" w:fill="F7BF92" w:themeFill="accent2" w:themeFillTint="7F"/>
      </w:tcPr>
    </w:tblStylePr>
  </w:style>
  <w:style w:type="table" w:styleId="MediumGrid3-Accent2">
    <w:name w:val="Medium Grid 3 Accent 2"/>
    <w:basedOn w:val="TableNormal"/>
    <w:uiPriority w:val="69"/>
    <w:rsid w:val="00B743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DF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80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80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F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F92" w:themeFill="accent2" w:themeFillTint="7F"/>
      </w:tcPr>
    </w:tblStylePr>
  </w:style>
  <w:style w:type="table" w:customStyle="1" w:styleId="MediumGrid3-Accent21">
    <w:name w:val="Medium Grid 3 - Accent 21"/>
    <w:basedOn w:val="TableNormal"/>
    <w:next w:val="MediumGrid3-Accent2"/>
    <w:uiPriority w:val="69"/>
    <w:rsid w:val="00B7434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DF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80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80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F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F92" w:themeFill="accent2" w:themeFillTint="7F"/>
      </w:tcPr>
    </w:tblStylePr>
  </w:style>
  <w:style w:type="table" w:styleId="LightGrid-Accent6">
    <w:name w:val="Light Grid Accent 6"/>
    <w:basedOn w:val="TableNormal"/>
    <w:uiPriority w:val="62"/>
    <w:rsid w:val="00F304DE"/>
    <w:tblPr>
      <w:tblStyleRowBandSize w:val="1"/>
      <w:tblStyleColBandSize w:val="1"/>
      <w:tblInd w:w="0" w:type="dxa"/>
      <w:tblBorders>
        <w:top w:val="single" w:sz="8" w:space="0" w:color="0148A4" w:themeColor="accent6"/>
        <w:left w:val="single" w:sz="8" w:space="0" w:color="0148A4" w:themeColor="accent6"/>
        <w:bottom w:val="single" w:sz="8" w:space="0" w:color="0148A4" w:themeColor="accent6"/>
        <w:right w:val="single" w:sz="8" w:space="0" w:color="0148A4" w:themeColor="accent6"/>
        <w:insideH w:val="single" w:sz="8" w:space="0" w:color="0148A4" w:themeColor="accent6"/>
        <w:insideV w:val="single" w:sz="8" w:space="0" w:color="0148A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148A4" w:themeColor="accent6"/>
          <w:left w:val="single" w:sz="8" w:space="0" w:color="0148A4" w:themeColor="accent6"/>
          <w:bottom w:val="single" w:sz="18" w:space="0" w:color="0148A4" w:themeColor="accent6"/>
          <w:right w:val="single" w:sz="8" w:space="0" w:color="0148A4" w:themeColor="accent6"/>
          <w:insideH w:val="nil"/>
          <w:insideV w:val="single" w:sz="8" w:space="0" w:color="0148A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48A4" w:themeColor="accent6"/>
          <w:left w:val="single" w:sz="8" w:space="0" w:color="0148A4" w:themeColor="accent6"/>
          <w:bottom w:val="single" w:sz="8" w:space="0" w:color="0148A4" w:themeColor="accent6"/>
          <w:right w:val="single" w:sz="8" w:space="0" w:color="0148A4" w:themeColor="accent6"/>
          <w:insideH w:val="nil"/>
          <w:insideV w:val="single" w:sz="8" w:space="0" w:color="0148A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48A4" w:themeColor="accent6"/>
          <w:left w:val="single" w:sz="8" w:space="0" w:color="0148A4" w:themeColor="accent6"/>
          <w:bottom w:val="single" w:sz="8" w:space="0" w:color="0148A4" w:themeColor="accent6"/>
          <w:right w:val="single" w:sz="8" w:space="0" w:color="0148A4" w:themeColor="accent6"/>
        </w:tcBorders>
      </w:tcPr>
    </w:tblStylePr>
    <w:tblStylePr w:type="band1Vert">
      <w:tblPr/>
      <w:tcPr>
        <w:tcBorders>
          <w:top w:val="single" w:sz="8" w:space="0" w:color="0148A4" w:themeColor="accent6"/>
          <w:left w:val="single" w:sz="8" w:space="0" w:color="0148A4" w:themeColor="accent6"/>
          <w:bottom w:val="single" w:sz="8" w:space="0" w:color="0148A4" w:themeColor="accent6"/>
          <w:right w:val="single" w:sz="8" w:space="0" w:color="0148A4" w:themeColor="accent6"/>
        </w:tcBorders>
        <w:shd w:val="clear" w:color="auto" w:fill="AACEFE" w:themeFill="accent6" w:themeFillTint="3F"/>
      </w:tcPr>
    </w:tblStylePr>
    <w:tblStylePr w:type="band1Horz">
      <w:tblPr/>
      <w:tcPr>
        <w:tcBorders>
          <w:top w:val="single" w:sz="8" w:space="0" w:color="0148A4" w:themeColor="accent6"/>
          <w:left w:val="single" w:sz="8" w:space="0" w:color="0148A4" w:themeColor="accent6"/>
          <w:bottom w:val="single" w:sz="8" w:space="0" w:color="0148A4" w:themeColor="accent6"/>
          <w:right w:val="single" w:sz="8" w:space="0" w:color="0148A4" w:themeColor="accent6"/>
          <w:insideV w:val="single" w:sz="8" w:space="0" w:color="0148A4" w:themeColor="accent6"/>
        </w:tcBorders>
        <w:shd w:val="clear" w:color="auto" w:fill="AACEFE" w:themeFill="accent6" w:themeFillTint="3F"/>
      </w:tcPr>
    </w:tblStylePr>
    <w:tblStylePr w:type="band2Horz">
      <w:tblPr/>
      <w:tcPr>
        <w:tcBorders>
          <w:top w:val="single" w:sz="8" w:space="0" w:color="0148A4" w:themeColor="accent6"/>
          <w:left w:val="single" w:sz="8" w:space="0" w:color="0148A4" w:themeColor="accent6"/>
          <w:bottom w:val="single" w:sz="8" w:space="0" w:color="0148A4" w:themeColor="accent6"/>
          <w:right w:val="single" w:sz="8" w:space="0" w:color="0148A4" w:themeColor="accent6"/>
          <w:insideV w:val="single" w:sz="8" w:space="0" w:color="0148A4" w:themeColor="accent6"/>
        </w:tcBorders>
      </w:tcPr>
    </w:tblStylePr>
  </w:style>
  <w:style w:type="paragraph" w:customStyle="1" w:styleId="Default">
    <w:name w:val="Default"/>
    <w:rsid w:val="00805EE7"/>
    <w:pPr>
      <w:autoSpaceDE w:val="0"/>
      <w:autoSpaceDN w:val="0"/>
      <w:adjustRightInd w:val="0"/>
    </w:pPr>
    <w:rPr>
      <w:rFonts w:eastAsiaTheme="minorHAnsi" w:cs="Arial"/>
      <w:color w:val="000000"/>
      <w:sz w:val="24"/>
      <w:szCs w:val="24"/>
    </w:rPr>
  </w:style>
  <w:style w:type="character" w:styleId="CommentReference">
    <w:name w:val="annotation reference"/>
    <w:basedOn w:val="DefaultParagraphFont"/>
    <w:uiPriority w:val="99"/>
    <w:semiHidden/>
    <w:unhideWhenUsed/>
    <w:rsid w:val="009C338F"/>
    <w:rPr>
      <w:sz w:val="16"/>
      <w:szCs w:val="16"/>
    </w:rPr>
  </w:style>
  <w:style w:type="paragraph" w:styleId="CommentText">
    <w:name w:val="annotation text"/>
    <w:basedOn w:val="Normal"/>
    <w:link w:val="CommentTextChar"/>
    <w:uiPriority w:val="99"/>
    <w:semiHidden/>
    <w:unhideWhenUsed/>
    <w:rsid w:val="009C338F"/>
    <w:rPr>
      <w:sz w:val="20"/>
      <w:szCs w:val="20"/>
    </w:rPr>
  </w:style>
  <w:style w:type="character" w:customStyle="1" w:styleId="CommentTextChar">
    <w:name w:val="Comment Text Char"/>
    <w:basedOn w:val="DefaultParagraphFont"/>
    <w:link w:val="CommentText"/>
    <w:uiPriority w:val="99"/>
    <w:semiHidden/>
    <w:rsid w:val="009C338F"/>
    <w:rPr>
      <w:rFonts w:ascii="Tw Cen MT" w:hAnsi="Tw Cen MT"/>
      <w:color w:val="000000"/>
    </w:rPr>
  </w:style>
  <w:style w:type="paragraph" w:styleId="CommentSubject">
    <w:name w:val="annotation subject"/>
    <w:basedOn w:val="CommentText"/>
    <w:next w:val="CommentText"/>
    <w:link w:val="CommentSubjectChar"/>
    <w:uiPriority w:val="99"/>
    <w:semiHidden/>
    <w:unhideWhenUsed/>
    <w:rsid w:val="009C338F"/>
    <w:rPr>
      <w:b/>
      <w:bCs/>
    </w:rPr>
  </w:style>
  <w:style w:type="character" w:customStyle="1" w:styleId="CommentSubjectChar">
    <w:name w:val="Comment Subject Char"/>
    <w:basedOn w:val="CommentTextChar"/>
    <w:link w:val="CommentSubject"/>
    <w:uiPriority w:val="99"/>
    <w:semiHidden/>
    <w:rsid w:val="009C338F"/>
    <w:rPr>
      <w:rFonts w:ascii="Tw Cen MT" w:hAnsi="Tw Cen M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5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eminister.gov.au/media-release/2016/03/16/new-ndis-account-lock-funding-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ristianporter.dss.gov.au/speeches/national-disability-services-ceo-conference-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dney.edu.au/health-sciences/cdrp//CDRP%20Policy%20Bulletin%205-NDIS%202015.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e University of Sydney_Color Theme">
  <a:themeElements>
    <a:clrScheme name="The University of Sydney_Color Theme">
      <a:dk1>
        <a:sysClr val="windowText" lastClr="000000"/>
      </a:dk1>
      <a:lt1>
        <a:sysClr val="window" lastClr="FFFFFF"/>
      </a:lt1>
      <a:dk2>
        <a:srgbClr val="0148A4"/>
      </a:dk2>
      <a:lt2>
        <a:srgbClr val="EEECE1"/>
      </a:lt2>
      <a:accent1>
        <a:srgbClr val="E64626"/>
      </a:accent1>
      <a:accent2>
        <a:srgbClr val="EF8025"/>
      </a:accent2>
      <a:accent3>
        <a:srgbClr val="FFB800"/>
      </a:accent3>
      <a:accent4>
        <a:srgbClr val="5C923E"/>
      </a:accent4>
      <a:accent5>
        <a:srgbClr val="5496DB"/>
      </a:accent5>
      <a:accent6>
        <a:srgbClr val="0148A4"/>
      </a:accent6>
      <a:hlink>
        <a:srgbClr val="E64626"/>
      </a:hlink>
      <a:folHlink>
        <a:srgbClr val="F051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95B3E-5859-469B-84B5-BD56C962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101 - Richard Madden - National Disability Insurance Scheme (NDIS) Costs - Commissioned study</vt:lpstr>
    </vt:vector>
  </TitlesOfParts>
  <Company>Richard Madden</Company>
  <LinksUpToDate>false</LinksUpToDate>
  <CharactersWithSpaces>22937</CharactersWithSpaces>
  <SharedDoc>false</SharedDoc>
  <HLinks>
    <vt:vector size="6" baseType="variant">
      <vt:variant>
        <vt:i4>5111860</vt:i4>
      </vt:variant>
      <vt:variant>
        <vt:i4>0</vt:i4>
      </vt:variant>
      <vt:variant>
        <vt:i4>0</vt:i4>
      </vt:variant>
      <vt:variant>
        <vt:i4>5</vt:i4>
      </vt:variant>
      <vt:variant>
        <vt:lpwstr>http://www.hyperlinkstlye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Richard Madden - National Disability Insurance Scheme (NDIS) Costs - Commissioned study</dc:title>
  <dc:creator>Richard Madden</dc:creator>
  <cp:lastModifiedBy>Productivity Commission</cp:lastModifiedBy>
  <cp:revision>5</cp:revision>
  <dcterms:created xsi:type="dcterms:W3CDTF">2017-03-24T04:31:00Z</dcterms:created>
  <dcterms:modified xsi:type="dcterms:W3CDTF">2017-03-31T01:02:00Z</dcterms:modified>
</cp:coreProperties>
</file>