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345" w:rsidRPr="00DB6806" w:rsidRDefault="004C00FE" w:rsidP="00DB6806">
      <w:pPr>
        <w:pStyle w:val="Title"/>
        <w:jc w:val="center"/>
        <w:rPr>
          <w:rFonts w:ascii="Times New Roman" w:hAnsi="Times New Roman" w:cs="Times New Roman"/>
        </w:rPr>
      </w:pPr>
      <w:bookmarkStart w:id="0" w:name="_GoBack"/>
      <w:bookmarkEnd w:id="0"/>
      <w:r w:rsidRPr="00DB6806">
        <w:rPr>
          <w:rFonts w:ascii="Times New Roman" w:hAnsi="Times New Roman" w:cs="Times New Roman"/>
        </w:rPr>
        <w:t xml:space="preserve">Submission to the Productivity Commission’s </w:t>
      </w:r>
      <w:r w:rsidR="004C6345" w:rsidRPr="00DB6806">
        <w:rPr>
          <w:rFonts w:ascii="Times New Roman" w:hAnsi="Times New Roman" w:cs="Times New Roman"/>
        </w:rPr>
        <w:t>Inquiry into the Reform of Australia’s Water Resources Sector</w:t>
      </w:r>
    </w:p>
    <w:p w:rsidR="00DB6806" w:rsidRDefault="00DB6806" w:rsidP="00DB6806">
      <w:pPr>
        <w:jc w:val="center"/>
        <w:rPr>
          <w:rFonts w:ascii="Times New Roman" w:hAnsi="Times New Roman" w:cs="Times New Roman"/>
        </w:rPr>
      </w:pPr>
    </w:p>
    <w:p w:rsidR="004E73C7" w:rsidRPr="00DB6806" w:rsidRDefault="004C00FE" w:rsidP="00DB6806">
      <w:pPr>
        <w:jc w:val="center"/>
        <w:rPr>
          <w:rFonts w:ascii="Times New Roman" w:hAnsi="Times New Roman" w:cs="Times New Roman"/>
        </w:rPr>
      </w:pPr>
      <w:r w:rsidRPr="00DB6806">
        <w:rPr>
          <w:rFonts w:ascii="Times New Roman" w:hAnsi="Times New Roman" w:cs="Times New Roman"/>
        </w:rPr>
        <w:t>October 2017</w:t>
      </w:r>
    </w:p>
    <w:p w:rsidR="004C00FE" w:rsidRDefault="004C6345" w:rsidP="00DB6806">
      <w:pPr>
        <w:jc w:val="center"/>
        <w:rPr>
          <w:rFonts w:ascii="Times New Roman" w:hAnsi="Times New Roman" w:cs="Times New Roman"/>
        </w:rPr>
      </w:pPr>
      <w:r w:rsidRPr="00DB6806">
        <w:rPr>
          <w:rFonts w:ascii="Times New Roman" w:hAnsi="Times New Roman" w:cs="Times New Roman"/>
        </w:rPr>
        <w:t>Dr</w:t>
      </w:r>
      <w:r w:rsidR="004C00FE" w:rsidRPr="00DB6806">
        <w:rPr>
          <w:rFonts w:ascii="Times New Roman" w:hAnsi="Times New Roman" w:cs="Times New Roman"/>
        </w:rPr>
        <w:t xml:space="preserve"> </w:t>
      </w:r>
      <w:r w:rsidRPr="00DB6806">
        <w:rPr>
          <w:rFonts w:ascii="Times New Roman" w:hAnsi="Times New Roman" w:cs="Times New Roman"/>
        </w:rPr>
        <w:t>Rebecca Nelson</w:t>
      </w:r>
      <w:r w:rsidR="00234971">
        <w:rPr>
          <w:rFonts w:ascii="Times New Roman" w:hAnsi="Times New Roman" w:cs="Times New Roman"/>
        </w:rPr>
        <w:br/>
        <w:t>BE(Environmental)/LLB (Melb), JSM (Stanford), JSD (Stanford)</w:t>
      </w:r>
    </w:p>
    <w:p w:rsidR="00506582" w:rsidRDefault="00506582" w:rsidP="00506582">
      <w:pPr>
        <w:spacing w:after="0"/>
        <w:jc w:val="center"/>
        <w:rPr>
          <w:rFonts w:ascii="Times New Roman" w:hAnsi="Times New Roman" w:cs="Times New Roman"/>
        </w:rPr>
      </w:pPr>
      <w:r>
        <w:rPr>
          <w:rFonts w:ascii="Times New Roman" w:hAnsi="Times New Roman" w:cs="Times New Roman"/>
        </w:rPr>
        <w:t>Senior Lecturer, Melbourne Law School, University of Melbourne</w:t>
      </w:r>
    </w:p>
    <w:p w:rsidR="00506582" w:rsidRPr="00DB6806" w:rsidRDefault="00506582" w:rsidP="00DB6806">
      <w:pPr>
        <w:jc w:val="center"/>
        <w:rPr>
          <w:rFonts w:ascii="Times New Roman" w:hAnsi="Times New Roman" w:cs="Times New Roman"/>
        </w:rPr>
      </w:pPr>
      <w:r>
        <w:rPr>
          <w:rFonts w:ascii="Times New Roman" w:hAnsi="Times New Roman" w:cs="Times New Roman"/>
        </w:rPr>
        <w:t>Non-Resident Fellow, Stanford Woods Institute for the Environment, Stanford University</w:t>
      </w:r>
    </w:p>
    <w:p w:rsidR="004C00FE" w:rsidRPr="00E52429" w:rsidRDefault="00E52429" w:rsidP="004C00FE">
      <w:pPr>
        <w:rPr>
          <w:rFonts w:ascii="Times New Roman" w:hAnsi="Times New Roman" w:cs="Times New Roman"/>
          <w:b/>
        </w:rPr>
      </w:pPr>
      <w:r w:rsidRPr="00E52429">
        <w:rPr>
          <w:rFonts w:ascii="Times New Roman" w:hAnsi="Times New Roman" w:cs="Times New Roman"/>
          <w:b/>
        </w:rPr>
        <w:t>Background</w:t>
      </w:r>
    </w:p>
    <w:p w:rsidR="000601FE" w:rsidRDefault="004C6345" w:rsidP="008C77F3">
      <w:pPr>
        <w:pStyle w:val="ListParagraph"/>
        <w:numPr>
          <w:ilvl w:val="0"/>
          <w:numId w:val="3"/>
        </w:numPr>
        <w:rPr>
          <w:rFonts w:ascii="Times New Roman" w:hAnsi="Times New Roman" w:cs="Times New Roman"/>
        </w:rPr>
      </w:pPr>
      <w:r w:rsidRPr="008C77F3">
        <w:rPr>
          <w:rFonts w:ascii="Times New Roman" w:hAnsi="Times New Roman" w:cs="Times New Roman"/>
        </w:rPr>
        <w:t>This submission is directed towards the portions of the PC</w:t>
      </w:r>
      <w:r w:rsidR="00F2117B">
        <w:rPr>
          <w:rFonts w:ascii="Times New Roman" w:hAnsi="Times New Roman" w:cs="Times New Roman"/>
        </w:rPr>
        <w:t>’s National Water Reform D</w:t>
      </w:r>
      <w:r w:rsidRPr="008C77F3">
        <w:rPr>
          <w:rFonts w:ascii="Times New Roman" w:hAnsi="Times New Roman" w:cs="Times New Roman"/>
        </w:rPr>
        <w:t xml:space="preserve">raft </w:t>
      </w:r>
      <w:r w:rsidR="00F2117B">
        <w:rPr>
          <w:rFonts w:ascii="Times New Roman" w:hAnsi="Times New Roman" w:cs="Times New Roman"/>
        </w:rPr>
        <w:t>R</w:t>
      </w:r>
      <w:r w:rsidRPr="008C77F3">
        <w:rPr>
          <w:rFonts w:ascii="Times New Roman" w:hAnsi="Times New Roman" w:cs="Times New Roman"/>
        </w:rPr>
        <w:t>e</w:t>
      </w:r>
      <w:r w:rsidR="000601FE">
        <w:rPr>
          <w:rFonts w:ascii="Times New Roman" w:hAnsi="Times New Roman" w:cs="Times New Roman"/>
        </w:rPr>
        <w:t xml:space="preserve">port </w:t>
      </w:r>
      <w:r w:rsidR="00F2117B">
        <w:rPr>
          <w:rFonts w:ascii="Times New Roman" w:hAnsi="Times New Roman" w:cs="Times New Roman"/>
        </w:rPr>
        <w:t xml:space="preserve">(September 2017) (‘PC draft report’) </w:t>
      </w:r>
      <w:r w:rsidR="000601FE">
        <w:rPr>
          <w:rFonts w:ascii="Times New Roman" w:hAnsi="Times New Roman" w:cs="Times New Roman"/>
        </w:rPr>
        <w:t>that deal with groundwater, in particular</w:t>
      </w:r>
      <w:r w:rsidR="00E52429">
        <w:rPr>
          <w:rFonts w:ascii="Times New Roman" w:hAnsi="Times New Roman" w:cs="Times New Roman"/>
        </w:rPr>
        <w:t xml:space="preserve"> addressing the following terms of reference in relation to groundwater</w:t>
      </w:r>
      <w:r w:rsidR="000601FE">
        <w:rPr>
          <w:rFonts w:ascii="Times New Roman" w:hAnsi="Times New Roman" w:cs="Times New Roman"/>
        </w:rPr>
        <w:t>:</w:t>
      </w:r>
    </w:p>
    <w:p w:rsidR="000601FE" w:rsidRDefault="000601FE" w:rsidP="000601FE">
      <w:pPr>
        <w:pStyle w:val="ListParagraph"/>
        <w:ind w:left="360"/>
        <w:rPr>
          <w:rFonts w:ascii="Times New Roman" w:hAnsi="Times New Roman" w:cs="Times New Roman"/>
        </w:rPr>
      </w:pPr>
    </w:p>
    <w:p w:rsidR="000601FE" w:rsidRDefault="000601FE" w:rsidP="00E52429">
      <w:pPr>
        <w:pStyle w:val="ListParagraph"/>
        <w:numPr>
          <w:ilvl w:val="1"/>
          <w:numId w:val="3"/>
        </w:numPr>
        <w:rPr>
          <w:rFonts w:ascii="Times New Roman" w:hAnsi="Times New Roman" w:cs="Times New Roman"/>
        </w:rPr>
      </w:pPr>
      <w:r>
        <w:rPr>
          <w:rFonts w:ascii="Times New Roman" w:hAnsi="Times New Roman" w:cs="Times New Roman"/>
        </w:rPr>
        <w:t>‘</w:t>
      </w:r>
      <w:r w:rsidR="00E52429" w:rsidRPr="00E52429">
        <w:rPr>
          <w:rFonts w:ascii="Times New Roman" w:hAnsi="Times New Roman" w:cs="Times New Roman"/>
        </w:rPr>
        <w:t>progress in jurisdictional adoption of NWI principles</w:t>
      </w:r>
      <w:r>
        <w:rPr>
          <w:rFonts w:ascii="Times New Roman" w:hAnsi="Times New Roman" w:cs="Times New Roman"/>
        </w:rPr>
        <w:t>’</w:t>
      </w:r>
      <w:r w:rsidR="00E52429">
        <w:rPr>
          <w:rFonts w:ascii="Times New Roman" w:hAnsi="Times New Roman" w:cs="Times New Roman"/>
        </w:rPr>
        <w:t>;</w:t>
      </w:r>
    </w:p>
    <w:p w:rsidR="00E52429" w:rsidRDefault="00E52429" w:rsidP="00E52429">
      <w:pPr>
        <w:pStyle w:val="ListParagraph"/>
        <w:numPr>
          <w:ilvl w:val="1"/>
          <w:numId w:val="3"/>
        </w:numPr>
        <w:rPr>
          <w:rFonts w:ascii="Times New Roman" w:hAnsi="Times New Roman" w:cs="Times New Roman"/>
        </w:rPr>
      </w:pPr>
      <w:r>
        <w:rPr>
          <w:rFonts w:ascii="Times New Roman" w:hAnsi="Times New Roman" w:cs="Times New Roman"/>
        </w:rPr>
        <w:t>‘</w:t>
      </w:r>
      <w:r w:rsidRPr="00E52429">
        <w:rPr>
          <w:rFonts w:ascii="Times New Roman" w:hAnsi="Times New Roman" w:cs="Times New Roman"/>
        </w:rPr>
        <w:t>progress against the recommendations in the National Water Commission's National Reform Assessment 2014</w:t>
      </w:r>
      <w:r>
        <w:rPr>
          <w:rFonts w:ascii="Times New Roman" w:hAnsi="Times New Roman" w:cs="Times New Roman"/>
        </w:rPr>
        <w:t xml:space="preserve">’; and </w:t>
      </w:r>
    </w:p>
    <w:p w:rsidR="000601FE" w:rsidRDefault="000601FE" w:rsidP="000601FE">
      <w:pPr>
        <w:pStyle w:val="ListParagraph"/>
        <w:numPr>
          <w:ilvl w:val="1"/>
          <w:numId w:val="3"/>
        </w:numPr>
        <w:rPr>
          <w:rFonts w:ascii="Times New Roman" w:hAnsi="Times New Roman" w:cs="Times New Roman"/>
        </w:rPr>
      </w:pPr>
      <w:r>
        <w:rPr>
          <w:rFonts w:ascii="Times New Roman" w:hAnsi="Times New Roman" w:cs="Times New Roman"/>
        </w:rPr>
        <w:t>‘</w:t>
      </w:r>
      <w:r w:rsidRPr="000601FE">
        <w:rPr>
          <w:rFonts w:ascii="Times New Roman" w:hAnsi="Times New Roman" w:cs="Times New Roman"/>
        </w:rPr>
        <w:t>the scope for improving the NWI, addressing current and future challenges</w:t>
      </w:r>
      <w:r>
        <w:rPr>
          <w:rFonts w:ascii="Times New Roman" w:hAnsi="Times New Roman" w:cs="Times New Roman"/>
        </w:rPr>
        <w:t>’.</w:t>
      </w:r>
    </w:p>
    <w:p w:rsidR="000601FE" w:rsidRDefault="000601FE" w:rsidP="000601FE">
      <w:pPr>
        <w:pStyle w:val="ListParagraph"/>
        <w:ind w:left="360"/>
        <w:rPr>
          <w:rFonts w:ascii="Times New Roman" w:hAnsi="Times New Roman" w:cs="Times New Roman"/>
        </w:rPr>
      </w:pPr>
    </w:p>
    <w:p w:rsidR="008C77F3" w:rsidRPr="00853449" w:rsidRDefault="000601FE" w:rsidP="004E73C7">
      <w:pPr>
        <w:pStyle w:val="ListParagraph"/>
        <w:numPr>
          <w:ilvl w:val="0"/>
          <w:numId w:val="3"/>
        </w:numPr>
        <w:rPr>
          <w:rFonts w:ascii="Times New Roman" w:hAnsi="Times New Roman" w:cs="Times New Roman"/>
        </w:rPr>
      </w:pPr>
      <w:r w:rsidRPr="00853449">
        <w:rPr>
          <w:rFonts w:ascii="Times New Roman" w:hAnsi="Times New Roman" w:cs="Times New Roman"/>
        </w:rPr>
        <w:t xml:space="preserve">This submission </w:t>
      </w:r>
      <w:r w:rsidR="008C77F3" w:rsidRPr="00853449">
        <w:rPr>
          <w:rFonts w:ascii="Times New Roman" w:hAnsi="Times New Roman" w:cs="Times New Roman"/>
        </w:rPr>
        <w:t>is based on my current groundwater law research at the Melbourne Law School; my experience leading the 4-year Comparative Groundwater Law and Policy Program (2010-2014) a joint initiative of the Stanford Wood</w:t>
      </w:r>
      <w:r w:rsidR="00F2117B">
        <w:rPr>
          <w:rFonts w:ascii="Times New Roman" w:hAnsi="Times New Roman" w:cs="Times New Roman"/>
        </w:rPr>
        <w:t>s Institute for the Environment and</w:t>
      </w:r>
      <w:r w:rsidR="008C77F3" w:rsidRPr="00853449">
        <w:rPr>
          <w:rFonts w:ascii="Times New Roman" w:hAnsi="Times New Roman" w:cs="Times New Roman"/>
        </w:rPr>
        <w:t xml:space="preserve"> the Bill Lane Center for the American West at Stanford University, and the United States Studies Centre at the University of Sydney; and my previous and ongoing experience as a practising water lawyer. </w:t>
      </w:r>
    </w:p>
    <w:p w:rsidR="00E52429" w:rsidRPr="00E52429" w:rsidRDefault="00E52429" w:rsidP="00E52429">
      <w:pPr>
        <w:rPr>
          <w:rFonts w:ascii="Times New Roman" w:hAnsi="Times New Roman" w:cs="Times New Roman"/>
          <w:b/>
        </w:rPr>
      </w:pPr>
      <w:r w:rsidRPr="00E52429">
        <w:rPr>
          <w:rFonts w:ascii="Times New Roman" w:hAnsi="Times New Roman" w:cs="Times New Roman"/>
          <w:b/>
        </w:rPr>
        <w:t>Groundwater and the NWI</w:t>
      </w:r>
    </w:p>
    <w:p w:rsidR="00DB6806" w:rsidRDefault="006A783D" w:rsidP="008C77F3">
      <w:pPr>
        <w:pStyle w:val="ListParagraph"/>
        <w:numPr>
          <w:ilvl w:val="0"/>
          <w:numId w:val="3"/>
        </w:numPr>
        <w:rPr>
          <w:rFonts w:ascii="Times New Roman" w:hAnsi="Times New Roman" w:cs="Times New Roman"/>
        </w:rPr>
      </w:pPr>
      <w:r w:rsidRPr="008C77F3">
        <w:rPr>
          <w:rFonts w:ascii="Times New Roman" w:hAnsi="Times New Roman" w:cs="Times New Roman"/>
        </w:rPr>
        <w:t xml:space="preserve">At the time that the signatories committed to the NWI, groundwater management did not rank particularly highly in the minds of the public and many regulators. </w:t>
      </w:r>
      <w:r w:rsidR="00D84235" w:rsidRPr="008C77F3">
        <w:rPr>
          <w:rFonts w:ascii="Times New Roman" w:hAnsi="Times New Roman" w:cs="Times New Roman"/>
        </w:rPr>
        <w:t xml:space="preserve">Indeed, Australia’s era of water reform, extending over the past three decades, has been driven largely by concerns about surface water. </w:t>
      </w:r>
      <w:r w:rsidR="00F2117B">
        <w:rPr>
          <w:rFonts w:ascii="Times New Roman" w:hAnsi="Times New Roman" w:cs="Times New Roman"/>
        </w:rPr>
        <w:t xml:space="preserve">Where groundwater was considered, its extraction tended to be seen as a risk to the integrity of the surface water entitlement system (PC draft report p 63) rather than </w:t>
      </w:r>
      <w:r w:rsidR="00BC4EAC">
        <w:rPr>
          <w:rFonts w:ascii="Times New Roman" w:hAnsi="Times New Roman" w:cs="Times New Roman"/>
        </w:rPr>
        <w:t>the subject of strong</w:t>
      </w:r>
      <w:r w:rsidR="00F2117B">
        <w:rPr>
          <w:rFonts w:ascii="Times New Roman" w:hAnsi="Times New Roman" w:cs="Times New Roman"/>
        </w:rPr>
        <w:t xml:space="preserve"> independent concerns about sustainability and ecological value. </w:t>
      </w:r>
      <w:r w:rsidRPr="008C77F3">
        <w:rPr>
          <w:rFonts w:ascii="Times New Roman" w:hAnsi="Times New Roman" w:cs="Times New Roman"/>
        </w:rPr>
        <w:t>However, the jurisdictions have made very significant progress in groundwater management since</w:t>
      </w:r>
      <w:r w:rsidR="00853449">
        <w:rPr>
          <w:rFonts w:ascii="Times New Roman" w:hAnsi="Times New Roman" w:cs="Times New Roman"/>
        </w:rPr>
        <w:t>, as outlined in the PC draft report</w:t>
      </w:r>
      <w:r w:rsidRPr="008C77F3">
        <w:rPr>
          <w:rFonts w:ascii="Times New Roman" w:hAnsi="Times New Roman" w:cs="Times New Roman"/>
        </w:rPr>
        <w:t xml:space="preserve">. </w:t>
      </w:r>
    </w:p>
    <w:p w:rsidR="00853449" w:rsidRDefault="00853449" w:rsidP="00853449">
      <w:pPr>
        <w:pStyle w:val="ListParagraph"/>
        <w:ind w:left="360"/>
        <w:rPr>
          <w:rFonts w:ascii="Times New Roman" w:hAnsi="Times New Roman" w:cs="Times New Roman"/>
        </w:rPr>
      </w:pPr>
    </w:p>
    <w:p w:rsidR="00F2117B" w:rsidRDefault="00853449" w:rsidP="008C77F3">
      <w:pPr>
        <w:pStyle w:val="ListParagraph"/>
        <w:numPr>
          <w:ilvl w:val="0"/>
          <w:numId w:val="3"/>
        </w:numPr>
        <w:rPr>
          <w:rFonts w:ascii="Times New Roman" w:hAnsi="Times New Roman" w:cs="Times New Roman"/>
        </w:rPr>
      </w:pPr>
      <w:r>
        <w:rPr>
          <w:rFonts w:ascii="Times New Roman" w:hAnsi="Times New Roman" w:cs="Times New Roman"/>
        </w:rPr>
        <w:t xml:space="preserve">Despite significant progress, key areas for improvement remain. Some of these are highlighted by the PC draft report, for example, </w:t>
      </w:r>
      <w:r w:rsidR="00F2117B">
        <w:rPr>
          <w:rFonts w:ascii="Times New Roman" w:hAnsi="Times New Roman" w:cs="Times New Roman"/>
        </w:rPr>
        <w:t>developing regulatory frameworks to facilitate managed aquifer recharge</w:t>
      </w:r>
      <w:r w:rsidR="00C2787A">
        <w:rPr>
          <w:rFonts w:ascii="Times New Roman" w:hAnsi="Times New Roman" w:cs="Times New Roman"/>
        </w:rPr>
        <w:t xml:space="preserve"> (MAR)</w:t>
      </w:r>
      <w:r w:rsidR="00F2117B">
        <w:rPr>
          <w:rFonts w:ascii="Times New Roman" w:hAnsi="Times New Roman" w:cs="Times New Roman"/>
        </w:rPr>
        <w:t xml:space="preserve">, bringing groundwater withdrawals by extractive industries within entitlement frameworks, and balancing environmental and consumptive values in the context of climate change. I support the need to focus on these areas in the context of groundwater. </w:t>
      </w:r>
    </w:p>
    <w:p w:rsidR="00F2117B" w:rsidRPr="00F2117B" w:rsidRDefault="00F2117B" w:rsidP="00F2117B">
      <w:pPr>
        <w:pStyle w:val="ListParagraph"/>
        <w:rPr>
          <w:rFonts w:ascii="Times New Roman" w:hAnsi="Times New Roman" w:cs="Times New Roman"/>
        </w:rPr>
      </w:pPr>
    </w:p>
    <w:p w:rsidR="0047121E" w:rsidRPr="0047121E" w:rsidRDefault="00F2117B" w:rsidP="004E73C7">
      <w:pPr>
        <w:pStyle w:val="ListParagraph"/>
        <w:numPr>
          <w:ilvl w:val="0"/>
          <w:numId w:val="3"/>
        </w:numPr>
        <w:rPr>
          <w:rFonts w:ascii="Times New Roman" w:hAnsi="Times New Roman" w:cs="Times New Roman"/>
        </w:rPr>
      </w:pPr>
      <w:r w:rsidRPr="0047121E">
        <w:rPr>
          <w:rFonts w:ascii="Times New Roman" w:hAnsi="Times New Roman" w:cs="Times New Roman"/>
        </w:rPr>
        <w:t>This submission set</w:t>
      </w:r>
      <w:r w:rsidR="00FF2864" w:rsidRPr="0047121E">
        <w:rPr>
          <w:rFonts w:ascii="Times New Roman" w:hAnsi="Times New Roman" w:cs="Times New Roman"/>
        </w:rPr>
        <w:t>s</w:t>
      </w:r>
      <w:r w:rsidRPr="0047121E">
        <w:rPr>
          <w:rFonts w:ascii="Times New Roman" w:hAnsi="Times New Roman" w:cs="Times New Roman"/>
        </w:rPr>
        <w:t xml:space="preserve"> out additional areas that warrant </w:t>
      </w:r>
      <w:r w:rsidR="00ED77CF">
        <w:rPr>
          <w:rFonts w:ascii="Times New Roman" w:hAnsi="Times New Roman" w:cs="Times New Roman"/>
        </w:rPr>
        <w:t xml:space="preserve">the PC’s </w:t>
      </w:r>
      <w:r w:rsidRPr="0047121E">
        <w:rPr>
          <w:rFonts w:ascii="Times New Roman" w:hAnsi="Times New Roman" w:cs="Times New Roman"/>
        </w:rPr>
        <w:t xml:space="preserve">attention in the context of groundwater, which are already within the </w:t>
      </w:r>
      <w:r w:rsidR="00ED77CF">
        <w:rPr>
          <w:rFonts w:ascii="Times New Roman" w:hAnsi="Times New Roman" w:cs="Times New Roman"/>
        </w:rPr>
        <w:t xml:space="preserve">scope of the NWI commitments. </w:t>
      </w:r>
      <w:r w:rsidRPr="0047121E">
        <w:rPr>
          <w:rFonts w:ascii="Times New Roman" w:hAnsi="Times New Roman" w:cs="Times New Roman"/>
        </w:rPr>
        <w:t xml:space="preserve">In addition, </w:t>
      </w:r>
      <w:r w:rsidR="00FF2864" w:rsidRPr="0047121E">
        <w:rPr>
          <w:rFonts w:ascii="Times New Roman" w:hAnsi="Times New Roman" w:cs="Times New Roman"/>
        </w:rPr>
        <w:t xml:space="preserve">it seeks to </w:t>
      </w:r>
      <w:r w:rsidR="00FF2864" w:rsidRPr="0047121E">
        <w:rPr>
          <w:rFonts w:ascii="Times New Roman" w:hAnsi="Times New Roman" w:cs="Times New Roman"/>
        </w:rPr>
        <w:lastRenderedPageBreak/>
        <w:t xml:space="preserve">highlight ways in which </w:t>
      </w:r>
      <w:r w:rsidR="00BC4EAC">
        <w:rPr>
          <w:rFonts w:ascii="Times New Roman" w:hAnsi="Times New Roman" w:cs="Times New Roman"/>
        </w:rPr>
        <w:t xml:space="preserve">a renewed </w:t>
      </w:r>
      <w:r w:rsidR="006A783D" w:rsidRPr="0047121E">
        <w:rPr>
          <w:rFonts w:ascii="Times New Roman" w:hAnsi="Times New Roman" w:cs="Times New Roman"/>
        </w:rPr>
        <w:t xml:space="preserve">NWI </w:t>
      </w:r>
      <w:r w:rsidR="00BC4EAC">
        <w:rPr>
          <w:rFonts w:ascii="Times New Roman" w:hAnsi="Times New Roman" w:cs="Times New Roman"/>
        </w:rPr>
        <w:t xml:space="preserve">could </w:t>
      </w:r>
      <w:r w:rsidR="006A783D" w:rsidRPr="0047121E">
        <w:rPr>
          <w:rFonts w:ascii="Times New Roman" w:hAnsi="Times New Roman" w:cs="Times New Roman"/>
        </w:rPr>
        <w:t>deal explicitly with some of the challenges that are unique to, or particularly affect, groundwater</w:t>
      </w:r>
      <w:r w:rsidR="00FF2864" w:rsidRPr="0047121E">
        <w:rPr>
          <w:rFonts w:ascii="Times New Roman" w:hAnsi="Times New Roman" w:cs="Times New Roman"/>
        </w:rPr>
        <w:t xml:space="preserve">, and which </w:t>
      </w:r>
      <w:r w:rsidR="006A783D" w:rsidRPr="0047121E">
        <w:rPr>
          <w:rFonts w:ascii="Times New Roman" w:hAnsi="Times New Roman" w:cs="Times New Roman"/>
        </w:rPr>
        <w:t xml:space="preserve">are not well dealt with under the NWI as it stands. </w:t>
      </w:r>
    </w:p>
    <w:p w:rsidR="00052238" w:rsidRPr="008C77F3" w:rsidRDefault="00544D8E" w:rsidP="008C77F3">
      <w:pPr>
        <w:rPr>
          <w:rFonts w:ascii="Times New Roman" w:hAnsi="Times New Roman" w:cs="Times New Roman"/>
          <w:b/>
        </w:rPr>
      </w:pPr>
      <w:r w:rsidRPr="008C77F3">
        <w:rPr>
          <w:rFonts w:ascii="Times New Roman" w:hAnsi="Times New Roman" w:cs="Times New Roman"/>
          <w:b/>
        </w:rPr>
        <w:t>‘Environmental outcomes’ for groundwater</w:t>
      </w:r>
    </w:p>
    <w:p w:rsidR="00252B63" w:rsidRDefault="00052238" w:rsidP="008C77F3">
      <w:pPr>
        <w:pStyle w:val="ListParagraph"/>
        <w:numPr>
          <w:ilvl w:val="0"/>
          <w:numId w:val="3"/>
        </w:numPr>
        <w:rPr>
          <w:rFonts w:ascii="Times New Roman" w:hAnsi="Times New Roman" w:cs="Times New Roman"/>
        </w:rPr>
      </w:pPr>
      <w:r w:rsidRPr="008C77F3">
        <w:rPr>
          <w:rFonts w:ascii="Times New Roman" w:hAnsi="Times New Roman" w:cs="Times New Roman"/>
        </w:rPr>
        <w:t>One of the NWI’s most important contributions to water reform has been to encourage attention to environmental outcomes. The NWI frequently uses the phrase ‘environmental and other public benefit outcomes’</w:t>
      </w:r>
      <w:r w:rsidR="00DC2751" w:rsidRPr="008C77F3">
        <w:rPr>
          <w:rFonts w:ascii="Times New Roman" w:hAnsi="Times New Roman" w:cs="Times New Roman"/>
        </w:rPr>
        <w:t xml:space="preserve">, which refers to, among other things ‘maintaining ecosystem function (eg. through periodic inundation of floodplain wetlands); biodiversity, water quality; river health targets’. This definition </w:t>
      </w:r>
      <w:r w:rsidR="00BC4EAC">
        <w:rPr>
          <w:rFonts w:ascii="Times New Roman" w:hAnsi="Times New Roman" w:cs="Times New Roman"/>
        </w:rPr>
        <w:t>relates to both surface water and groundwater</w:t>
      </w:r>
      <w:r w:rsidR="00DC2751" w:rsidRPr="008C77F3">
        <w:rPr>
          <w:rFonts w:ascii="Times New Roman" w:hAnsi="Times New Roman" w:cs="Times New Roman"/>
        </w:rPr>
        <w:t xml:space="preserve">. </w:t>
      </w:r>
    </w:p>
    <w:p w:rsidR="00252B63" w:rsidRDefault="00252B63" w:rsidP="00252B63">
      <w:pPr>
        <w:pStyle w:val="ListParagraph"/>
        <w:ind w:left="360"/>
        <w:rPr>
          <w:rFonts w:ascii="Times New Roman" w:hAnsi="Times New Roman" w:cs="Times New Roman"/>
        </w:rPr>
      </w:pPr>
    </w:p>
    <w:p w:rsidR="00252B63" w:rsidRPr="00984ADF" w:rsidRDefault="00252B63" w:rsidP="00252B63">
      <w:pPr>
        <w:pStyle w:val="ListParagraph"/>
        <w:numPr>
          <w:ilvl w:val="0"/>
          <w:numId w:val="3"/>
        </w:numPr>
        <w:spacing w:line="276" w:lineRule="auto"/>
        <w:rPr>
          <w:rFonts w:ascii="Times New Roman" w:hAnsi="Times New Roman" w:cs="Times New Roman"/>
        </w:rPr>
      </w:pPr>
      <w:r w:rsidRPr="00984ADF">
        <w:rPr>
          <w:rFonts w:ascii="Times New Roman" w:hAnsi="Times New Roman" w:cs="Times New Roman"/>
        </w:rPr>
        <w:t xml:space="preserve">Australian federal agencies, for example, the former Environment Australia and, more recently, the National Water Commission, have funded significant work related to </w:t>
      </w:r>
      <w:r w:rsidR="00BC4EAC">
        <w:rPr>
          <w:rFonts w:ascii="Times New Roman" w:hAnsi="Times New Roman" w:cs="Times New Roman"/>
        </w:rPr>
        <w:t>groundwater-dependent ecosystems (</w:t>
      </w:r>
      <w:r w:rsidRPr="00984ADF">
        <w:rPr>
          <w:rFonts w:ascii="Times New Roman" w:hAnsi="Times New Roman" w:cs="Times New Roman"/>
        </w:rPr>
        <w:t>GDEs</w:t>
      </w:r>
      <w:r w:rsidR="00BC4EAC">
        <w:rPr>
          <w:rFonts w:ascii="Times New Roman" w:hAnsi="Times New Roman" w:cs="Times New Roman"/>
        </w:rPr>
        <w:t>)</w:t>
      </w:r>
      <w:r w:rsidR="004E4CE9">
        <w:rPr>
          <w:rFonts w:ascii="Times New Roman" w:hAnsi="Times New Roman" w:cs="Times New Roman"/>
        </w:rPr>
        <w:t xml:space="preserve"> as part of the </w:t>
      </w:r>
      <w:r w:rsidR="00BC4EAC">
        <w:rPr>
          <w:rFonts w:ascii="Times New Roman" w:hAnsi="Times New Roman" w:cs="Times New Roman"/>
        </w:rPr>
        <w:t xml:space="preserve">now concluded </w:t>
      </w:r>
      <w:r w:rsidR="004E4CE9">
        <w:rPr>
          <w:rFonts w:ascii="Times New Roman" w:hAnsi="Times New Roman" w:cs="Times New Roman"/>
        </w:rPr>
        <w:t xml:space="preserve">Groundwater Action Plan. </w:t>
      </w:r>
      <w:r w:rsidRPr="00984ADF">
        <w:rPr>
          <w:rFonts w:ascii="Times New Roman" w:hAnsi="Times New Roman" w:cs="Times New Roman"/>
        </w:rPr>
        <w:t>Key works, and the investments required to develop them, include</w:t>
      </w:r>
      <w:r w:rsidR="00BC4EAC">
        <w:rPr>
          <w:rFonts w:ascii="Times New Roman" w:hAnsi="Times New Roman" w:cs="Times New Roman"/>
        </w:rPr>
        <w:t>d</w:t>
      </w:r>
      <w:r w:rsidRPr="00984ADF">
        <w:rPr>
          <w:rFonts w:ascii="Times New Roman" w:hAnsi="Times New Roman" w:cs="Times New Roman"/>
        </w:rPr>
        <w:t>:</w:t>
      </w:r>
      <w:r w:rsidRPr="00984ADF">
        <w:rPr>
          <w:rStyle w:val="FootnoteReference"/>
          <w:rFonts w:ascii="Times New Roman" w:hAnsi="Times New Roman" w:cs="Times New Roman"/>
        </w:rPr>
        <w:footnoteReference w:id="1"/>
      </w:r>
      <w:r w:rsidRPr="00984ADF">
        <w:rPr>
          <w:rFonts w:ascii="Times New Roman" w:hAnsi="Times New Roman" w:cs="Times New Roman"/>
        </w:rPr>
        <w:t xml:space="preserve"> </w:t>
      </w:r>
    </w:p>
    <w:p w:rsidR="00252B63" w:rsidRPr="00252B63" w:rsidRDefault="00252B63" w:rsidP="00984ADF">
      <w:pPr>
        <w:pStyle w:val="ListParagraph"/>
        <w:numPr>
          <w:ilvl w:val="1"/>
          <w:numId w:val="4"/>
        </w:numPr>
        <w:rPr>
          <w:rFonts w:ascii="Times New Roman" w:hAnsi="Times New Roman" w:cs="Times New Roman"/>
        </w:rPr>
      </w:pPr>
      <w:r w:rsidRPr="00252B63">
        <w:rPr>
          <w:rFonts w:ascii="Times New Roman" w:hAnsi="Times New Roman" w:cs="Times New Roman"/>
        </w:rPr>
        <w:t>An Australian Groundwater-Dependent Ecosystems Toolbox, which is directed towards identifying GDEs and determining the impact of changes in groundwater on GDEs ($499,121);</w:t>
      </w:r>
    </w:p>
    <w:p w:rsidR="00252B63" w:rsidRPr="00252B63" w:rsidRDefault="00252B63" w:rsidP="00984ADF">
      <w:pPr>
        <w:pStyle w:val="ListParagraph"/>
        <w:numPr>
          <w:ilvl w:val="1"/>
          <w:numId w:val="4"/>
        </w:numPr>
        <w:rPr>
          <w:rFonts w:ascii="Times New Roman" w:hAnsi="Times New Roman" w:cs="Times New Roman"/>
        </w:rPr>
      </w:pPr>
      <w:r w:rsidRPr="00252B63">
        <w:rPr>
          <w:rFonts w:ascii="Times New Roman" w:hAnsi="Times New Roman" w:cs="Times New Roman"/>
        </w:rPr>
        <w:t xml:space="preserve">A new approach to accounting for groundwater-dependent ecosystems and surface water systems ($300,000); </w:t>
      </w:r>
    </w:p>
    <w:p w:rsidR="00252B63" w:rsidRPr="00252B63" w:rsidRDefault="00252B63" w:rsidP="00984ADF">
      <w:pPr>
        <w:pStyle w:val="ListParagraph"/>
        <w:numPr>
          <w:ilvl w:val="1"/>
          <w:numId w:val="4"/>
        </w:numPr>
        <w:rPr>
          <w:rFonts w:ascii="Times New Roman" w:hAnsi="Times New Roman" w:cs="Times New Roman"/>
        </w:rPr>
      </w:pPr>
      <w:r w:rsidRPr="00252B63">
        <w:rPr>
          <w:rFonts w:ascii="Times New Roman" w:hAnsi="Times New Roman" w:cs="Times New Roman"/>
        </w:rPr>
        <w:t>Atlas of groundwater-dependent ecosystems ($5,545,000);</w:t>
      </w:r>
    </w:p>
    <w:p w:rsidR="00252B63" w:rsidRPr="00252B63" w:rsidRDefault="00252B63" w:rsidP="00984ADF">
      <w:pPr>
        <w:pStyle w:val="ListParagraph"/>
        <w:numPr>
          <w:ilvl w:val="1"/>
          <w:numId w:val="4"/>
        </w:numPr>
        <w:rPr>
          <w:rFonts w:ascii="Times New Roman" w:hAnsi="Times New Roman" w:cs="Times New Roman"/>
        </w:rPr>
      </w:pPr>
      <w:r w:rsidRPr="00252B63">
        <w:rPr>
          <w:rFonts w:ascii="Times New Roman" w:hAnsi="Times New Roman" w:cs="Times New Roman"/>
        </w:rPr>
        <w:t>NSW groundwater quality and coastal groundwater dependent ecosystems ($960,000); and</w:t>
      </w:r>
    </w:p>
    <w:p w:rsidR="00252B63" w:rsidRDefault="00252B63" w:rsidP="00984ADF">
      <w:pPr>
        <w:pStyle w:val="ListParagraph"/>
        <w:numPr>
          <w:ilvl w:val="1"/>
          <w:numId w:val="4"/>
        </w:numPr>
        <w:rPr>
          <w:rFonts w:ascii="Times New Roman" w:hAnsi="Times New Roman" w:cs="Times New Roman"/>
        </w:rPr>
      </w:pPr>
      <w:r w:rsidRPr="00252B63">
        <w:rPr>
          <w:rFonts w:ascii="Times New Roman" w:hAnsi="Times New Roman" w:cs="Times New Roman"/>
        </w:rPr>
        <w:t>Groundwater-dependent ecosystem vulnerability in the Mid West of Western Australia ($2,460,000).</w:t>
      </w:r>
    </w:p>
    <w:p w:rsidR="00252B63" w:rsidRPr="00252B63" w:rsidRDefault="00252B63" w:rsidP="00252B63">
      <w:pPr>
        <w:pStyle w:val="ListParagraph"/>
        <w:ind w:left="792"/>
        <w:rPr>
          <w:rFonts w:ascii="Times New Roman" w:hAnsi="Times New Roman" w:cs="Times New Roman"/>
        </w:rPr>
      </w:pPr>
    </w:p>
    <w:p w:rsidR="00544D8E" w:rsidRPr="00BC4EAC" w:rsidRDefault="00252B63" w:rsidP="00F608E6">
      <w:pPr>
        <w:pStyle w:val="ListParagraph"/>
        <w:numPr>
          <w:ilvl w:val="0"/>
          <w:numId w:val="3"/>
        </w:numPr>
        <w:rPr>
          <w:rFonts w:ascii="Times New Roman" w:hAnsi="Times New Roman" w:cs="Times New Roman"/>
        </w:rPr>
      </w:pPr>
      <w:r w:rsidRPr="00BC4EAC">
        <w:rPr>
          <w:rFonts w:ascii="Times New Roman" w:hAnsi="Times New Roman" w:cs="Times New Roman"/>
        </w:rPr>
        <w:t xml:space="preserve">This work, and other publications, make clear that </w:t>
      </w:r>
      <w:r w:rsidR="00DC2751" w:rsidRPr="00BC4EAC">
        <w:rPr>
          <w:rFonts w:ascii="Times New Roman" w:hAnsi="Times New Roman" w:cs="Times New Roman"/>
        </w:rPr>
        <w:t xml:space="preserve">GDEs comprise an enormous range of ecosystems, including some that are rarely, if ever, considered in the jurisdictions’ water plans. </w:t>
      </w:r>
      <w:r w:rsidR="00BC4EAC" w:rsidRPr="00BC4EAC">
        <w:rPr>
          <w:rFonts w:ascii="Times New Roman" w:hAnsi="Times New Roman" w:cs="Times New Roman"/>
        </w:rPr>
        <w:t>GDEs represent a key component of biodiversity. Scientific work suggests that aquifer ecosystems—only one type of GDE—represent “the most extended array of freshwater ecosystems across the entire planet … [with] high levels of endemism and high proportions of relictual species compared with surface environments”.</w:t>
      </w:r>
      <w:bookmarkStart w:id="1" w:name="_Ref322350402"/>
      <w:bookmarkEnd w:id="1"/>
      <w:r w:rsidR="00BC4EAC" w:rsidRPr="00BC4EAC">
        <w:rPr>
          <w:rStyle w:val="FootnoteReference"/>
          <w:rFonts w:ascii="Times New Roman" w:hAnsi="Times New Roman" w:cs="Times New Roman"/>
        </w:rPr>
        <w:footnoteReference w:id="2"/>
      </w:r>
      <w:r w:rsidR="00BC4EAC" w:rsidRPr="00BC4EAC">
        <w:rPr>
          <w:rFonts w:ascii="Times New Roman" w:hAnsi="Times New Roman" w:cs="Times New Roman"/>
          <w:lang w:eastAsia="en-AU"/>
        </w:rPr>
        <w:t xml:space="preserve"> </w:t>
      </w:r>
      <w:r w:rsidR="00DC2751" w:rsidRPr="00BC4EAC">
        <w:rPr>
          <w:rFonts w:ascii="Times New Roman" w:hAnsi="Times New Roman" w:cs="Times New Roman"/>
        </w:rPr>
        <w:t xml:space="preserve">Terrestrial ecosystems stand out as </w:t>
      </w:r>
      <w:r w:rsidR="00BC4EAC" w:rsidRPr="00BC4EAC">
        <w:rPr>
          <w:rFonts w:ascii="Times New Roman" w:hAnsi="Times New Roman" w:cs="Times New Roman"/>
        </w:rPr>
        <w:t xml:space="preserve">a </w:t>
      </w:r>
      <w:r w:rsidR="00117FE1" w:rsidRPr="00BC4EAC">
        <w:rPr>
          <w:rFonts w:ascii="Times New Roman" w:hAnsi="Times New Roman" w:cs="Times New Roman"/>
        </w:rPr>
        <w:t>broad-scale</w:t>
      </w:r>
      <w:r w:rsidR="00DC2751" w:rsidRPr="00BC4EAC">
        <w:rPr>
          <w:rFonts w:ascii="Times New Roman" w:hAnsi="Times New Roman" w:cs="Times New Roman"/>
        </w:rPr>
        <w:t xml:space="preserve"> example of </w:t>
      </w:r>
      <w:r w:rsidR="00117FE1" w:rsidRPr="00BC4EAC">
        <w:rPr>
          <w:rFonts w:ascii="Times New Roman" w:hAnsi="Times New Roman" w:cs="Times New Roman"/>
        </w:rPr>
        <w:t>GDEs that are entirely ignored by the vast majority of water plans</w:t>
      </w:r>
      <w:r w:rsidR="00DC2751" w:rsidRPr="00BC4EAC">
        <w:rPr>
          <w:rFonts w:ascii="Times New Roman" w:hAnsi="Times New Roman" w:cs="Times New Roman"/>
        </w:rPr>
        <w:t xml:space="preserve">. </w:t>
      </w:r>
      <w:r w:rsidR="00544D8E" w:rsidRPr="00BC4EAC">
        <w:rPr>
          <w:rFonts w:ascii="Times New Roman" w:hAnsi="Times New Roman" w:cs="Times New Roman"/>
        </w:rPr>
        <w:t xml:space="preserve">In its </w:t>
      </w:r>
      <w:r w:rsidR="00BC4EAC" w:rsidRPr="00BC4EAC">
        <w:rPr>
          <w:rFonts w:ascii="Times New Roman" w:hAnsi="Times New Roman" w:cs="Times New Roman"/>
        </w:rPr>
        <w:t>GDE</w:t>
      </w:r>
      <w:r w:rsidR="00544D8E" w:rsidRPr="00BC4EAC">
        <w:rPr>
          <w:rFonts w:ascii="Times New Roman" w:hAnsi="Times New Roman" w:cs="Times New Roman"/>
        </w:rPr>
        <w:t xml:space="preserve"> Atlas, t</w:t>
      </w:r>
      <w:r w:rsidR="00DC2751" w:rsidRPr="00BC4EAC">
        <w:rPr>
          <w:rFonts w:ascii="Times New Roman" w:hAnsi="Times New Roman" w:cs="Times New Roman"/>
        </w:rPr>
        <w:t>he Bureau of Meteorology</w:t>
      </w:r>
      <w:r w:rsidR="00544D8E" w:rsidRPr="00BC4EAC">
        <w:rPr>
          <w:rFonts w:ascii="Times New Roman" w:hAnsi="Times New Roman" w:cs="Times New Roman"/>
        </w:rPr>
        <w:t xml:space="preserve"> shows three kinds of GDEs:</w:t>
      </w:r>
    </w:p>
    <w:p w:rsidR="008C77F3" w:rsidRDefault="008C77F3" w:rsidP="008C77F3">
      <w:pPr>
        <w:pStyle w:val="ListParagraph"/>
        <w:ind w:left="2232"/>
        <w:rPr>
          <w:rFonts w:ascii="Times New Roman" w:hAnsi="Times New Roman" w:cs="Times New Roman"/>
          <w:i/>
        </w:rPr>
      </w:pPr>
    </w:p>
    <w:p w:rsidR="00544D8E" w:rsidRPr="008C77F3" w:rsidRDefault="00544D8E" w:rsidP="008C77F3">
      <w:pPr>
        <w:pStyle w:val="ListParagraph"/>
        <w:ind w:left="792"/>
        <w:rPr>
          <w:rFonts w:ascii="Times New Roman" w:hAnsi="Times New Roman" w:cs="Times New Roman"/>
          <w:i/>
        </w:rPr>
      </w:pPr>
      <w:r w:rsidRPr="008C77F3">
        <w:rPr>
          <w:rFonts w:ascii="Times New Roman" w:hAnsi="Times New Roman" w:cs="Times New Roman"/>
          <w:i/>
        </w:rPr>
        <w:t>Aquatic ecosystems that rely on the surface expression of groundwater–this includes surface water ecosystems which may have a groundwater component, such as rivers, wetlands and springs. Marine and estuarine ecosystems can also be groundwater dependent, but these are not mapped in the Atlas.</w:t>
      </w:r>
    </w:p>
    <w:p w:rsidR="008C77F3" w:rsidRDefault="008C77F3" w:rsidP="008C77F3">
      <w:pPr>
        <w:pStyle w:val="ListParagraph"/>
        <w:ind w:left="792"/>
        <w:rPr>
          <w:rFonts w:ascii="Times New Roman" w:hAnsi="Times New Roman" w:cs="Times New Roman"/>
          <w:i/>
        </w:rPr>
      </w:pPr>
    </w:p>
    <w:p w:rsidR="00544D8E" w:rsidRPr="008C77F3" w:rsidRDefault="00544D8E" w:rsidP="008C77F3">
      <w:pPr>
        <w:pStyle w:val="ListParagraph"/>
        <w:ind w:left="792"/>
        <w:rPr>
          <w:rFonts w:ascii="Times New Roman" w:hAnsi="Times New Roman" w:cs="Times New Roman"/>
          <w:i/>
        </w:rPr>
      </w:pPr>
      <w:r w:rsidRPr="008C77F3">
        <w:rPr>
          <w:rFonts w:ascii="Times New Roman" w:hAnsi="Times New Roman" w:cs="Times New Roman"/>
          <w:i/>
        </w:rPr>
        <w:t>Terrestrial ecosystems that rely on the subsurface presence of groundwater–this includes all vegetation ecosystems.</w:t>
      </w:r>
    </w:p>
    <w:p w:rsidR="008C77F3" w:rsidRDefault="008C77F3" w:rsidP="008C77F3">
      <w:pPr>
        <w:pStyle w:val="ListParagraph"/>
        <w:ind w:left="792"/>
        <w:rPr>
          <w:rFonts w:ascii="Times New Roman" w:hAnsi="Times New Roman" w:cs="Times New Roman"/>
          <w:i/>
        </w:rPr>
      </w:pPr>
    </w:p>
    <w:p w:rsidR="00DC2751" w:rsidRDefault="00544D8E" w:rsidP="008C77F3">
      <w:pPr>
        <w:pStyle w:val="ListParagraph"/>
        <w:ind w:left="792"/>
        <w:rPr>
          <w:rFonts w:ascii="Times New Roman" w:hAnsi="Times New Roman" w:cs="Times New Roman"/>
          <w:i/>
        </w:rPr>
      </w:pPr>
      <w:r w:rsidRPr="008C77F3">
        <w:rPr>
          <w:rFonts w:ascii="Times New Roman" w:hAnsi="Times New Roman" w:cs="Times New Roman"/>
          <w:i/>
        </w:rPr>
        <w:t>Subterranean ecosystems–this includes cave and aquifer ecosystems.</w:t>
      </w:r>
      <w:r>
        <w:rPr>
          <w:rStyle w:val="FootnoteReference"/>
          <w:rFonts w:ascii="Times New Roman" w:hAnsi="Times New Roman" w:cs="Times New Roman"/>
          <w:i/>
        </w:rPr>
        <w:footnoteReference w:id="3"/>
      </w:r>
    </w:p>
    <w:p w:rsidR="008C77F3" w:rsidRPr="008C77F3" w:rsidRDefault="008C77F3" w:rsidP="008C77F3">
      <w:pPr>
        <w:pStyle w:val="ListParagraph"/>
        <w:ind w:left="2232"/>
        <w:rPr>
          <w:rFonts w:ascii="Times New Roman" w:hAnsi="Times New Roman" w:cs="Times New Roman"/>
          <w:i/>
        </w:rPr>
      </w:pPr>
    </w:p>
    <w:p w:rsidR="00252B63" w:rsidRDefault="008C77F3" w:rsidP="008C77F3">
      <w:pPr>
        <w:pStyle w:val="ListParagraph"/>
        <w:numPr>
          <w:ilvl w:val="0"/>
          <w:numId w:val="3"/>
        </w:numPr>
        <w:rPr>
          <w:rFonts w:ascii="Times New Roman" w:hAnsi="Times New Roman" w:cs="Times New Roman"/>
        </w:rPr>
      </w:pPr>
      <w:r>
        <w:rPr>
          <w:rFonts w:ascii="Times New Roman" w:hAnsi="Times New Roman" w:cs="Times New Roman"/>
        </w:rPr>
        <w:t>T</w:t>
      </w:r>
      <w:r w:rsidR="00506582" w:rsidRPr="008C77F3">
        <w:rPr>
          <w:rFonts w:ascii="Times New Roman" w:hAnsi="Times New Roman" w:cs="Times New Roman"/>
        </w:rPr>
        <w:t xml:space="preserve">he GDE Atlas shows that a vast area of the Australian landmass is covered by terrestrial </w:t>
      </w:r>
      <w:r w:rsidR="0047121E">
        <w:rPr>
          <w:rFonts w:ascii="Times New Roman" w:hAnsi="Times New Roman" w:cs="Times New Roman"/>
        </w:rPr>
        <w:t>ecosystems that have a moderate or high potential to be groundwater-dependent (as shown by the darker colours in the map below)</w:t>
      </w:r>
      <w:r w:rsidR="00506582" w:rsidRPr="008C77F3">
        <w:rPr>
          <w:rFonts w:ascii="Times New Roman" w:hAnsi="Times New Roman" w:cs="Times New Roman"/>
        </w:rPr>
        <w:t>. However, i</w:t>
      </w:r>
      <w:r w:rsidR="00544D8E" w:rsidRPr="008C77F3">
        <w:rPr>
          <w:rFonts w:ascii="Times New Roman" w:hAnsi="Times New Roman" w:cs="Times New Roman"/>
        </w:rPr>
        <w:t xml:space="preserve">n practice, it is usually only </w:t>
      </w:r>
      <w:r w:rsidR="00506582" w:rsidRPr="008C77F3">
        <w:rPr>
          <w:rFonts w:ascii="Times New Roman" w:hAnsi="Times New Roman" w:cs="Times New Roman"/>
        </w:rPr>
        <w:t>‘aquatic ecosystems that rely on the surface expression of groundwater’ that receive any attention in statutory water plans</w:t>
      </w:r>
      <w:r w:rsidR="00117FE1">
        <w:rPr>
          <w:rFonts w:ascii="Times New Roman" w:hAnsi="Times New Roman" w:cs="Times New Roman"/>
        </w:rPr>
        <w:t xml:space="preserve"> or that are the beneficiaries of policy attention to ‘environmental flows’, which are primarily conceived of in surface water terms</w:t>
      </w:r>
      <w:r w:rsidR="00506582" w:rsidRPr="008C77F3">
        <w:rPr>
          <w:rFonts w:ascii="Times New Roman" w:hAnsi="Times New Roman" w:cs="Times New Roman"/>
        </w:rPr>
        <w:t xml:space="preserve">. </w:t>
      </w:r>
    </w:p>
    <w:p w:rsidR="00E924C0" w:rsidRDefault="00E924C0" w:rsidP="00E924C0">
      <w:pPr>
        <w:pStyle w:val="ListParagraph"/>
        <w:ind w:left="360"/>
        <w:rPr>
          <w:rFonts w:ascii="Times New Roman" w:hAnsi="Times New Roman" w:cs="Times New Roman"/>
        </w:rPr>
      </w:pPr>
    </w:p>
    <w:p w:rsidR="00252B63" w:rsidRDefault="0047121E" w:rsidP="00252B63">
      <w:pPr>
        <w:pStyle w:val="ListParagraph"/>
        <w:ind w:left="360"/>
        <w:rPr>
          <w:rFonts w:ascii="Times New Roman" w:hAnsi="Times New Roman" w:cs="Times New Roman"/>
        </w:rPr>
      </w:pPr>
      <w:r>
        <w:rPr>
          <w:noProof/>
          <w:lang w:eastAsia="en-AU"/>
        </w:rPr>
        <w:drawing>
          <wp:inline distT="0" distB="0" distL="0" distR="0" wp14:anchorId="6EF23DBB" wp14:editId="117BE26C">
            <wp:extent cx="5548745" cy="4378123"/>
            <wp:effectExtent l="19050" t="19050" r="1397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668" t="11819" r="22039" b="7813"/>
                    <a:stretch/>
                  </pic:blipFill>
                  <pic:spPr bwMode="auto">
                    <a:xfrm>
                      <a:off x="0" y="0"/>
                      <a:ext cx="5553079" cy="43815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7121E" w:rsidRDefault="0047121E" w:rsidP="00252B63">
      <w:pPr>
        <w:pStyle w:val="ListParagraph"/>
        <w:ind w:left="360"/>
        <w:rPr>
          <w:rFonts w:ascii="Times New Roman" w:hAnsi="Times New Roman" w:cs="Times New Roman"/>
        </w:rPr>
      </w:pPr>
    </w:p>
    <w:p w:rsidR="00544D8E" w:rsidRDefault="00252B63" w:rsidP="004E73C7">
      <w:pPr>
        <w:pStyle w:val="ListParagraph"/>
        <w:numPr>
          <w:ilvl w:val="0"/>
          <w:numId w:val="3"/>
        </w:numPr>
        <w:rPr>
          <w:rFonts w:ascii="Times New Roman" w:hAnsi="Times New Roman" w:cs="Times New Roman"/>
        </w:rPr>
      </w:pPr>
      <w:r w:rsidRPr="00E924C0">
        <w:rPr>
          <w:rFonts w:ascii="Times New Roman" w:hAnsi="Times New Roman" w:cs="Times New Roman"/>
        </w:rPr>
        <w:t xml:space="preserve">The NWI contains no indication that only the subset of GDEs that involve the surface expression of groundwater are to be considered by jurisdictions in pursuing ‘environmental outcomes’. </w:t>
      </w:r>
      <w:r w:rsidR="00984ADF" w:rsidRPr="00E924C0">
        <w:rPr>
          <w:rFonts w:ascii="Times New Roman" w:hAnsi="Times New Roman" w:cs="Times New Roman"/>
        </w:rPr>
        <w:t xml:space="preserve">A plain reading of the NWI would suggest that it was intended that statutory plans protect, or at least transparently consider protecting, </w:t>
      </w:r>
      <w:r w:rsidR="006C1EBA">
        <w:rPr>
          <w:rFonts w:ascii="Times New Roman" w:hAnsi="Times New Roman" w:cs="Times New Roman"/>
        </w:rPr>
        <w:t>all</w:t>
      </w:r>
      <w:r w:rsidR="00984ADF" w:rsidRPr="00E924C0">
        <w:rPr>
          <w:rFonts w:ascii="Times New Roman" w:hAnsi="Times New Roman" w:cs="Times New Roman"/>
        </w:rPr>
        <w:t xml:space="preserve"> GDEs. H</w:t>
      </w:r>
      <w:r w:rsidRPr="00E924C0">
        <w:rPr>
          <w:rFonts w:ascii="Times New Roman" w:hAnsi="Times New Roman" w:cs="Times New Roman"/>
        </w:rPr>
        <w:t xml:space="preserve">eavy </w:t>
      </w:r>
      <w:r w:rsidR="00EB7461" w:rsidRPr="00E924C0">
        <w:rPr>
          <w:rFonts w:ascii="Times New Roman" w:hAnsi="Times New Roman" w:cs="Times New Roman"/>
        </w:rPr>
        <w:t xml:space="preserve">national </w:t>
      </w:r>
      <w:r w:rsidRPr="00E924C0">
        <w:rPr>
          <w:rFonts w:ascii="Times New Roman" w:hAnsi="Times New Roman" w:cs="Times New Roman"/>
        </w:rPr>
        <w:t xml:space="preserve">investment </w:t>
      </w:r>
      <w:r w:rsidR="00EB7461" w:rsidRPr="00E924C0">
        <w:rPr>
          <w:rFonts w:ascii="Times New Roman" w:hAnsi="Times New Roman" w:cs="Times New Roman"/>
        </w:rPr>
        <w:t xml:space="preserve">in investigating the full range of GDEs </w:t>
      </w:r>
      <w:r w:rsidR="00984ADF" w:rsidRPr="00E924C0">
        <w:rPr>
          <w:rFonts w:ascii="Times New Roman" w:hAnsi="Times New Roman" w:cs="Times New Roman"/>
        </w:rPr>
        <w:t>supports this</w:t>
      </w:r>
      <w:r w:rsidR="00EB7461" w:rsidRPr="00E924C0">
        <w:rPr>
          <w:rFonts w:ascii="Times New Roman" w:hAnsi="Times New Roman" w:cs="Times New Roman"/>
        </w:rPr>
        <w:t>.</w:t>
      </w:r>
      <w:r w:rsidR="00984ADF" w:rsidRPr="00E924C0">
        <w:rPr>
          <w:rFonts w:ascii="Times New Roman" w:hAnsi="Times New Roman" w:cs="Times New Roman"/>
        </w:rPr>
        <w:t xml:space="preserve"> </w:t>
      </w:r>
      <w:r w:rsidR="00860A39">
        <w:rPr>
          <w:rFonts w:ascii="Times New Roman" w:hAnsi="Times New Roman" w:cs="Times New Roman"/>
        </w:rPr>
        <w:t>Our current national groundwater policy statement, t</w:t>
      </w:r>
      <w:r w:rsidR="00E924C0" w:rsidRPr="00E924C0">
        <w:rPr>
          <w:rFonts w:ascii="Times New Roman" w:hAnsi="Times New Roman" w:cs="Times New Roman"/>
        </w:rPr>
        <w:t xml:space="preserve">he </w:t>
      </w:r>
      <w:r w:rsidR="00E924C0" w:rsidRPr="00E924C0">
        <w:rPr>
          <w:rFonts w:ascii="Times New Roman" w:hAnsi="Times New Roman" w:cs="Times New Roman"/>
          <w:i/>
        </w:rPr>
        <w:t>National Groundwater Strategic Framework 2016–2026</w:t>
      </w:r>
      <w:r w:rsidR="00E924C0" w:rsidRPr="00E924C0">
        <w:rPr>
          <w:rFonts w:ascii="Times New Roman" w:hAnsi="Times New Roman" w:cs="Times New Roman"/>
        </w:rPr>
        <w:t>, which the PC draft report cites</w:t>
      </w:r>
      <w:r w:rsidR="00E924C0" w:rsidRPr="00860A39">
        <w:rPr>
          <w:rFonts w:ascii="Times New Roman" w:hAnsi="Times New Roman" w:cs="Times New Roman"/>
        </w:rPr>
        <w:t xml:space="preserve">, </w:t>
      </w:r>
      <w:r w:rsidR="00860A39">
        <w:rPr>
          <w:rFonts w:ascii="Times New Roman" w:hAnsi="Times New Roman" w:cs="Times New Roman"/>
        </w:rPr>
        <w:t xml:space="preserve">also </w:t>
      </w:r>
      <w:r w:rsidR="00E924C0" w:rsidRPr="00860A39">
        <w:rPr>
          <w:rFonts w:ascii="Times New Roman" w:hAnsi="Times New Roman" w:cs="Times New Roman"/>
        </w:rPr>
        <w:t xml:space="preserve">refers to </w:t>
      </w:r>
      <w:r w:rsidR="00E924C0" w:rsidRPr="00E924C0">
        <w:rPr>
          <w:rFonts w:ascii="Times New Roman" w:hAnsi="Times New Roman" w:cs="Times New Roman"/>
        </w:rPr>
        <w:t xml:space="preserve">recognising ‘groundwater functions in supporting important ecosystems including wetlands, rivers and </w:t>
      </w:r>
      <w:r w:rsidR="00E924C0" w:rsidRPr="00E924C0">
        <w:rPr>
          <w:rFonts w:ascii="Times New Roman" w:hAnsi="Times New Roman" w:cs="Times New Roman"/>
          <w:b/>
        </w:rPr>
        <w:t>groundwater-dependent vegetation</w:t>
      </w:r>
      <w:r w:rsidR="00E924C0">
        <w:rPr>
          <w:rFonts w:ascii="Times New Roman" w:hAnsi="Times New Roman" w:cs="Times New Roman"/>
        </w:rPr>
        <w:t xml:space="preserve"> [emphasis added]’ as ‘critical’.</w:t>
      </w:r>
      <w:r w:rsidR="00E924C0">
        <w:rPr>
          <w:rStyle w:val="FootnoteReference"/>
          <w:rFonts w:ascii="Times New Roman" w:hAnsi="Times New Roman" w:cs="Times New Roman"/>
        </w:rPr>
        <w:footnoteReference w:id="4"/>
      </w:r>
      <w:r w:rsidR="00857F2A">
        <w:rPr>
          <w:rFonts w:ascii="Times New Roman" w:hAnsi="Times New Roman" w:cs="Times New Roman"/>
        </w:rPr>
        <w:t xml:space="preserve"> It is also worth noting that the high-level water policy and law of other jurisdictions (notably the EU Water Framework Directive) apply to groundwater-dependent terrestrial vegetation.</w:t>
      </w:r>
      <w:r w:rsidR="00857F2A">
        <w:rPr>
          <w:rStyle w:val="FootnoteReference"/>
          <w:rFonts w:ascii="Times New Roman" w:hAnsi="Times New Roman" w:cs="Times New Roman"/>
        </w:rPr>
        <w:footnoteReference w:id="5"/>
      </w:r>
      <w:r w:rsidR="00857F2A">
        <w:rPr>
          <w:rFonts w:ascii="Times New Roman" w:hAnsi="Times New Roman" w:cs="Times New Roman"/>
        </w:rPr>
        <w:t xml:space="preserve"> </w:t>
      </w:r>
      <w:r w:rsidR="00831D75" w:rsidRPr="00831D75">
        <w:rPr>
          <w:rFonts w:ascii="Times New Roman" w:hAnsi="Times New Roman" w:cs="Times New Roman"/>
          <w:b/>
        </w:rPr>
        <w:t>Pursuing protections for</w:t>
      </w:r>
      <w:r w:rsidR="00831D75">
        <w:rPr>
          <w:rFonts w:ascii="Times New Roman" w:hAnsi="Times New Roman" w:cs="Times New Roman"/>
        </w:rPr>
        <w:t xml:space="preserve"> </w:t>
      </w:r>
      <w:r w:rsidR="00831D75" w:rsidRPr="00831D75">
        <w:rPr>
          <w:rFonts w:ascii="Times New Roman" w:hAnsi="Times New Roman" w:cs="Times New Roman"/>
          <w:b/>
        </w:rPr>
        <w:t xml:space="preserve">terrestrial GDEs is required by the NWI, consistent with contemporary </w:t>
      </w:r>
      <w:r w:rsidR="00831D75">
        <w:rPr>
          <w:rFonts w:ascii="Times New Roman" w:hAnsi="Times New Roman" w:cs="Times New Roman"/>
          <w:b/>
        </w:rPr>
        <w:t xml:space="preserve">Australian </w:t>
      </w:r>
      <w:r w:rsidR="00831D75" w:rsidRPr="00831D75">
        <w:rPr>
          <w:rFonts w:ascii="Times New Roman" w:hAnsi="Times New Roman" w:cs="Times New Roman"/>
          <w:b/>
        </w:rPr>
        <w:t>policy, and required by global best practice</w:t>
      </w:r>
      <w:r w:rsidR="00831D75">
        <w:rPr>
          <w:rFonts w:ascii="Times New Roman" w:hAnsi="Times New Roman" w:cs="Times New Roman"/>
        </w:rPr>
        <w:t>.</w:t>
      </w:r>
    </w:p>
    <w:p w:rsidR="00BC4EAC" w:rsidRDefault="00BC4EAC" w:rsidP="00BC4EAC">
      <w:pPr>
        <w:pStyle w:val="ListParagraph"/>
        <w:ind w:left="360"/>
        <w:rPr>
          <w:rFonts w:ascii="Times New Roman" w:hAnsi="Times New Roman" w:cs="Times New Roman"/>
        </w:rPr>
      </w:pPr>
    </w:p>
    <w:p w:rsidR="00355A1F" w:rsidRDefault="00355A1F" w:rsidP="00FB3C23">
      <w:pPr>
        <w:pStyle w:val="ListParagraph"/>
        <w:numPr>
          <w:ilvl w:val="0"/>
          <w:numId w:val="3"/>
        </w:numPr>
        <w:rPr>
          <w:rFonts w:ascii="Times New Roman" w:hAnsi="Times New Roman" w:cs="Times New Roman"/>
        </w:rPr>
      </w:pPr>
      <w:r w:rsidRPr="00355A1F">
        <w:rPr>
          <w:rFonts w:ascii="Times New Roman" w:hAnsi="Times New Roman" w:cs="Times New Roman"/>
        </w:rPr>
        <w:t xml:space="preserve">My research has found that an important prerequisite to implementing protections for GDEs (that is, environmental flows for groundwater) is the availability of a system for prioritising GDEs to be protected. This is particularly important given the wide range of ecosystems that are likely to be groundwater-dependent. </w:t>
      </w:r>
    </w:p>
    <w:p w:rsidR="006E0004" w:rsidRPr="006E0004" w:rsidRDefault="006E0004" w:rsidP="006E0004">
      <w:pPr>
        <w:pStyle w:val="ListParagraph"/>
        <w:rPr>
          <w:rFonts w:ascii="Times New Roman" w:hAnsi="Times New Roman" w:cs="Times New Roman"/>
        </w:rPr>
      </w:pPr>
    </w:p>
    <w:p w:rsidR="006E0004" w:rsidRDefault="006E0004" w:rsidP="00FB3C23">
      <w:pPr>
        <w:pStyle w:val="ListParagraph"/>
        <w:numPr>
          <w:ilvl w:val="0"/>
          <w:numId w:val="3"/>
        </w:numPr>
        <w:rPr>
          <w:rFonts w:ascii="Times New Roman" w:hAnsi="Times New Roman" w:cs="Times New Roman"/>
        </w:rPr>
      </w:pPr>
      <w:r>
        <w:rPr>
          <w:rFonts w:ascii="Times New Roman" w:hAnsi="Times New Roman" w:cs="Times New Roman"/>
        </w:rPr>
        <w:t>My research interviewing state water planning staff suggests that multiple</w:t>
      </w:r>
      <w:r w:rsidR="006D3826">
        <w:rPr>
          <w:rFonts w:ascii="Times New Roman" w:hAnsi="Times New Roman" w:cs="Times New Roman"/>
        </w:rPr>
        <w:t>, sometimes quite informal or non-transparent</w:t>
      </w:r>
      <w:r>
        <w:rPr>
          <w:rFonts w:ascii="Times New Roman" w:hAnsi="Times New Roman" w:cs="Times New Roman"/>
        </w:rPr>
        <w:t xml:space="preserve"> systems for prioritising GDEs protections are in use around Australia, in practice: </w:t>
      </w:r>
    </w:p>
    <w:p w:rsidR="006E0004" w:rsidRPr="006E0004" w:rsidRDefault="006E0004" w:rsidP="006E0004">
      <w:pPr>
        <w:pStyle w:val="ListParagraph"/>
        <w:rPr>
          <w:rFonts w:ascii="Times New Roman" w:hAnsi="Times New Roman" w:cs="Times New Roman"/>
        </w:rPr>
      </w:pPr>
    </w:p>
    <w:p w:rsidR="006E0004" w:rsidRPr="006E0004" w:rsidRDefault="006E0004" w:rsidP="006E0004">
      <w:pPr>
        <w:pStyle w:val="ListParagraph"/>
        <w:rPr>
          <w:rFonts w:ascii="Times New Roman" w:hAnsi="Times New Roman" w:cs="Times New Roman"/>
        </w:rPr>
      </w:pPr>
      <w:r w:rsidRPr="006E0004">
        <w:rPr>
          <w:rFonts w:ascii="Times New Roman" w:hAnsi="Times New Roman" w:cs="Times New Roman"/>
          <w:i/>
        </w:rPr>
        <w:t>GDEs may be prioritized based on community input; consultation with regional environmental or natural resources agencies or specially convened technical panels; a basic risk assessment of likely impacts (such as the surrounding level of consumptive demand for groundwater), which forms the foundation for requesting more detailed information of applicants; a sophisticated multi-criteria risk assessment; or, more simply, GDEs that are likely to be particularly at risk due to special, very large groundwater uses (such as coalbed methane extraction); or GDEs within protected areas or with threatened species status</w:t>
      </w:r>
      <w:r>
        <w:rPr>
          <w:rFonts w:ascii="Times New Roman" w:hAnsi="Times New Roman" w:cs="Times New Roman"/>
          <w:i/>
        </w:rPr>
        <w:t xml:space="preserve"> [citations omitted]</w:t>
      </w:r>
      <w:r>
        <w:rPr>
          <w:rStyle w:val="FootnoteReference"/>
          <w:rFonts w:ascii="Times New Roman" w:hAnsi="Times New Roman" w:cs="Times New Roman"/>
          <w:i/>
        </w:rPr>
        <w:footnoteReference w:id="6"/>
      </w:r>
    </w:p>
    <w:p w:rsidR="00355A1F" w:rsidRDefault="00355A1F" w:rsidP="00355A1F">
      <w:pPr>
        <w:pStyle w:val="ListParagraph"/>
        <w:ind w:left="360"/>
        <w:rPr>
          <w:rFonts w:ascii="Times New Roman" w:hAnsi="Times New Roman" w:cs="Times New Roman"/>
        </w:rPr>
      </w:pPr>
    </w:p>
    <w:p w:rsidR="00A45E17" w:rsidRDefault="00A45E17" w:rsidP="00A45E17">
      <w:pPr>
        <w:pStyle w:val="ListParagraph"/>
        <w:numPr>
          <w:ilvl w:val="0"/>
          <w:numId w:val="3"/>
        </w:numPr>
        <w:rPr>
          <w:rFonts w:ascii="Times New Roman" w:hAnsi="Times New Roman" w:cs="Times New Roman"/>
        </w:rPr>
      </w:pPr>
      <w:r>
        <w:rPr>
          <w:rFonts w:ascii="Times New Roman" w:hAnsi="Times New Roman" w:cs="Times New Roman"/>
        </w:rPr>
        <w:t>Protecting GDEs also relies on attitudinal and cultural pre-conditions: people need to know what GDEs are and realise that many ecosystems that they care about are GDEs. The PC has a key role to play in this regard by increasing the profile of GDEs (which are only referred to once in the 487-page report) and calling out the insufficient attention given to them in the jurisdictions’ water plans.</w:t>
      </w:r>
    </w:p>
    <w:p w:rsidR="00A45E17" w:rsidRDefault="00A45E17" w:rsidP="00355A1F">
      <w:pPr>
        <w:pStyle w:val="ListParagraph"/>
        <w:ind w:left="360"/>
        <w:rPr>
          <w:rFonts w:ascii="Times New Roman" w:hAnsi="Times New Roman" w:cs="Times New Roman"/>
        </w:rPr>
      </w:pPr>
    </w:p>
    <w:p w:rsidR="00234971" w:rsidRPr="0047121E" w:rsidRDefault="00544D8E" w:rsidP="0047121E">
      <w:pPr>
        <w:pStyle w:val="ListParagraph"/>
        <w:numPr>
          <w:ilvl w:val="0"/>
          <w:numId w:val="3"/>
        </w:num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7121E">
        <w:rPr>
          <w:rFonts w:ascii="Times New Roman" w:hAnsi="Times New Roman" w:cs="Times New Roman"/>
          <w:u w:val="single"/>
        </w:rPr>
        <w:t>Implications</w:t>
      </w:r>
      <w:r w:rsidRPr="0047121E">
        <w:rPr>
          <w:rFonts w:ascii="Times New Roman" w:hAnsi="Times New Roman" w:cs="Times New Roman"/>
        </w:rPr>
        <w:t>:</w:t>
      </w:r>
      <w:r w:rsidR="0047121E">
        <w:rPr>
          <w:rFonts w:ascii="Times New Roman" w:hAnsi="Times New Roman" w:cs="Times New Roman"/>
        </w:rPr>
        <w:t xml:space="preserve"> </w:t>
      </w:r>
      <w:r w:rsidRPr="0047121E">
        <w:rPr>
          <w:rFonts w:ascii="Times New Roman" w:hAnsi="Times New Roman" w:cs="Times New Roman"/>
        </w:rPr>
        <w:t xml:space="preserve">The </w:t>
      </w:r>
      <w:r w:rsidR="008C77F3" w:rsidRPr="0047121E">
        <w:rPr>
          <w:rFonts w:ascii="Times New Roman" w:hAnsi="Times New Roman" w:cs="Times New Roman"/>
        </w:rPr>
        <w:t xml:space="preserve">PC </w:t>
      </w:r>
      <w:r w:rsidR="0047121E">
        <w:rPr>
          <w:rFonts w:ascii="Times New Roman" w:hAnsi="Times New Roman" w:cs="Times New Roman"/>
        </w:rPr>
        <w:t>draft r</w:t>
      </w:r>
      <w:r w:rsidRPr="0047121E">
        <w:rPr>
          <w:rFonts w:ascii="Times New Roman" w:hAnsi="Times New Roman" w:cs="Times New Roman"/>
        </w:rPr>
        <w:t xml:space="preserve">eport should </w:t>
      </w:r>
      <w:r w:rsidR="0047121E">
        <w:rPr>
          <w:rFonts w:ascii="Times New Roman" w:hAnsi="Times New Roman" w:cs="Times New Roman"/>
        </w:rPr>
        <w:t>note</w:t>
      </w:r>
      <w:r w:rsidRPr="0047121E">
        <w:rPr>
          <w:rFonts w:ascii="Times New Roman" w:hAnsi="Times New Roman" w:cs="Times New Roman"/>
        </w:rPr>
        <w:t xml:space="preserve"> that in implementing their NWI obligations, the jurisdictions have taken a narrow perspective on ‘environmental outcomes’ in relation to groundwater, relative to </w:t>
      </w:r>
      <w:r w:rsidR="00984ADF" w:rsidRPr="0047121E">
        <w:rPr>
          <w:rFonts w:ascii="Times New Roman" w:hAnsi="Times New Roman" w:cs="Times New Roman"/>
        </w:rPr>
        <w:t xml:space="preserve">the full extent of </w:t>
      </w:r>
      <w:r w:rsidR="0047121E">
        <w:rPr>
          <w:rFonts w:ascii="Times New Roman" w:hAnsi="Times New Roman" w:cs="Times New Roman"/>
        </w:rPr>
        <w:t>ecosystems that depend on groundwater</w:t>
      </w:r>
      <w:r w:rsidRPr="0047121E">
        <w:rPr>
          <w:rFonts w:ascii="Times New Roman" w:hAnsi="Times New Roman" w:cs="Times New Roman"/>
        </w:rPr>
        <w:t xml:space="preserve">. </w:t>
      </w:r>
      <w:r w:rsidR="00117FE1">
        <w:rPr>
          <w:rFonts w:ascii="Times New Roman" w:hAnsi="Times New Roman" w:cs="Times New Roman"/>
        </w:rPr>
        <w:t>The PC draft report’s description of progress in environmental management must acknowledge that the jurisdictions’ progress in relation to environmental management for groundwater has lagged markedly behind that for surface water, and that this should be another key ‘</w:t>
      </w:r>
      <w:r w:rsidR="00117FE1" w:rsidRPr="00117FE1">
        <w:rPr>
          <w:rFonts w:ascii="Times New Roman" w:hAnsi="Times New Roman" w:cs="Times New Roman"/>
        </w:rPr>
        <w:t>focus for the next phase of reform’.</w:t>
      </w:r>
      <w:r w:rsidR="00117FE1">
        <w:rPr>
          <w:rFonts w:ascii="Times New Roman" w:hAnsi="Times New Roman" w:cs="Times New Roman"/>
        </w:rPr>
        <w:t xml:space="preserve"> </w:t>
      </w:r>
      <w:r w:rsidR="00EB7461" w:rsidRPr="0047121E">
        <w:rPr>
          <w:rFonts w:ascii="Times New Roman" w:hAnsi="Times New Roman" w:cs="Times New Roman"/>
        </w:rPr>
        <w:t>In better addressing groundwater, a</w:t>
      </w:r>
      <w:r w:rsidRPr="0047121E">
        <w:rPr>
          <w:rFonts w:ascii="Times New Roman" w:hAnsi="Times New Roman" w:cs="Times New Roman"/>
        </w:rPr>
        <w:t xml:space="preserve"> future iteration of the NWI should </w:t>
      </w:r>
      <w:r w:rsidR="00EB7461" w:rsidRPr="0047121E">
        <w:rPr>
          <w:rFonts w:ascii="Times New Roman" w:hAnsi="Times New Roman" w:cs="Times New Roman"/>
        </w:rPr>
        <w:t>include express language in relation to</w:t>
      </w:r>
      <w:r w:rsidRPr="0047121E">
        <w:rPr>
          <w:rFonts w:ascii="Times New Roman" w:hAnsi="Times New Roman" w:cs="Times New Roman"/>
        </w:rPr>
        <w:t xml:space="preserve"> environmental outcomes </w:t>
      </w:r>
      <w:r w:rsidR="00EB7461" w:rsidRPr="0047121E">
        <w:rPr>
          <w:rFonts w:ascii="Times New Roman" w:hAnsi="Times New Roman" w:cs="Times New Roman"/>
        </w:rPr>
        <w:t xml:space="preserve">that </w:t>
      </w:r>
      <w:r w:rsidR="00984ADF" w:rsidRPr="0047121E">
        <w:rPr>
          <w:rFonts w:ascii="Times New Roman" w:hAnsi="Times New Roman" w:cs="Times New Roman"/>
        </w:rPr>
        <w:t>refers</w:t>
      </w:r>
      <w:r w:rsidR="00EB7461" w:rsidRPr="0047121E">
        <w:rPr>
          <w:rFonts w:ascii="Times New Roman" w:hAnsi="Times New Roman" w:cs="Times New Roman"/>
        </w:rPr>
        <w:t xml:space="preserve"> to </w:t>
      </w:r>
      <w:r w:rsidRPr="0047121E">
        <w:rPr>
          <w:rFonts w:ascii="Times New Roman" w:hAnsi="Times New Roman" w:cs="Times New Roman"/>
        </w:rPr>
        <w:t xml:space="preserve">the full </w:t>
      </w:r>
      <w:r w:rsidR="00984ADF" w:rsidRPr="0047121E">
        <w:rPr>
          <w:rFonts w:ascii="Times New Roman" w:hAnsi="Times New Roman" w:cs="Times New Roman"/>
        </w:rPr>
        <w:t>extent</w:t>
      </w:r>
      <w:r w:rsidRPr="0047121E">
        <w:rPr>
          <w:rFonts w:ascii="Times New Roman" w:hAnsi="Times New Roman" w:cs="Times New Roman"/>
        </w:rPr>
        <w:t xml:space="preserve"> </w:t>
      </w:r>
      <w:r w:rsidR="008C77F3" w:rsidRPr="0047121E">
        <w:rPr>
          <w:rFonts w:ascii="Times New Roman" w:hAnsi="Times New Roman" w:cs="Times New Roman"/>
        </w:rPr>
        <w:t xml:space="preserve">of GDEs, including terrestrial and </w:t>
      </w:r>
      <w:r w:rsidR="00860A39">
        <w:rPr>
          <w:rFonts w:ascii="Times New Roman" w:hAnsi="Times New Roman" w:cs="Times New Roman"/>
        </w:rPr>
        <w:t xml:space="preserve">subterranean GDEs, consistent </w:t>
      </w:r>
      <w:r w:rsidR="00117FE1">
        <w:rPr>
          <w:rFonts w:ascii="Times New Roman" w:hAnsi="Times New Roman" w:cs="Times New Roman"/>
        </w:rPr>
        <w:t xml:space="preserve">with </w:t>
      </w:r>
      <w:r w:rsidR="004E4CE9">
        <w:rPr>
          <w:rFonts w:ascii="Times New Roman" w:hAnsi="Times New Roman" w:cs="Times New Roman"/>
        </w:rPr>
        <w:t xml:space="preserve">contemporary scientific knowledge and policy as expressed in </w:t>
      </w:r>
      <w:r w:rsidR="00860A39">
        <w:rPr>
          <w:rFonts w:ascii="Times New Roman" w:hAnsi="Times New Roman" w:cs="Times New Roman"/>
        </w:rPr>
        <w:t xml:space="preserve">the </w:t>
      </w:r>
      <w:r w:rsidR="00860A39" w:rsidRPr="00E924C0">
        <w:rPr>
          <w:rFonts w:ascii="Times New Roman" w:hAnsi="Times New Roman" w:cs="Times New Roman"/>
          <w:i/>
        </w:rPr>
        <w:t>National Groundwater Strategic Framework 2016–2026</w:t>
      </w:r>
      <w:r w:rsidR="004E4CE9">
        <w:rPr>
          <w:rFonts w:ascii="Times New Roman" w:hAnsi="Times New Roman" w:cs="Times New Roman"/>
        </w:rPr>
        <w:t>.</w:t>
      </w:r>
      <w:r w:rsidR="00355A1F">
        <w:rPr>
          <w:rFonts w:ascii="Times New Roman" w:hAnsi="Times New Roman" w:cs="Times New Roman"/>
        </w:rPr>
        <w:t xml:space="preserve"> It should also encourage the development of a transparent system for prioritising protection within this broad range of GDEs. </w:t>
      </w:r>
    </w:p>
    <w:p w:rsidR="00234971" w:rsidRPr="00234971" w:rsidRDefault="00234971" w:rsidP="004E4CE9">
      <w:pPr>
        <w:keepNext/>
        <w:rPr>
          <w:rFonts w:ascii="Times New Roman" w:hAnsi="Times New Roman" w:cs="Times New Roman"/>
          <w:b/>
        </w:rPr>
      </w:pPr>
      <w:r w:rsidRPr="00234971">
        <w:rPr>
          <w:rFonts w:ascii="Times New Roman" w:hAnsi="Times New Roman" w:cs="Times New Roman"/>
          <w:b/>
        </w:rPr>
        <w:t>Groundwater-surface water interaction</w:t>
      </w:r>
    </w:p>
    <w:p w:rsidR="00234971" w:rsidRDefault="00234971" w:rsidP="00234971">
      <w:pPr>
        <w:pStyle w:val="ListParagraph"/>
        <w:numPr>
          <w:ilvl w:val="0"/>
          <w:numId w:val="3"/>
        </w:numPr>
        <w:rPr>
          <w:rFonts w:ascii="Times New Roman" w:hAnsi="Times New Roman" w:cs="Times New Roman"/>
        </w:rPr>
      </w:pPr>
      <w:r>
        <w:rPr>
          <w:rFonts w:ascii="Times New Roman" w:hAnsi="Times New Roman" w:cs="Times New Roman"/>
        </w:rPr>
        <w:t xml:space="preserve">The PC draft report finds that </w:t>
      </w:r>
      <w:r w:rsidR="00276785">
        <w:rPr>
          <w:rFonts w:ascii="Times New Roman" w:hAnsi="Times New Roman" w:cs="Times New Roman"/>
        </w:rPr>
        <w:t>recognising surface water-groundwater interactions has been ‘largely achieved’ (p 67)</w:t>
      </w:r>
      <w:r>
        <w:rPr>
          <w:rFonts w:ascii="Times New Roman" w:hAnsi="Times New Roman" w:cs="Times New Roman"/>
        </w:rPr>
        <w:t>.</w:t>
      </w:r>
      <w:r w:rsidR="007F2D27">
        <w:rPr>
          <w:rFonts w:ascii="Times New Roman" w:hAnsi="Times New Roman" w:cs="Times New Roman"/>
        </w:rPr>
        <w:t xml:space="preserve"> </w:t>
      </w:r>
      <w:r w:rsidR="00FC66DC">
        <w:rPr>
          <w:rFonts w:ascii="Times New Roman" w:hAnsi="Times New Roman" w:cs="Times New Roman"/>
        </w:rPr>
        <w:t>T</w:t>
      </w:r>
      <w:r w:rsidR="007F2D27">
        <w:rPr>
          <w:rFonts w:ascii="Times New Roman" w:hAnsi="Times New Roman" w:cs="Times New Roman"/>
        </w:rPr>
        <w:t>his is</w:t>
      </w:r>
      <w:r w:rsidR="00FC66DC">
        <w:rPr>
          <w:rFonts w:ascii="Times New Roman" w:hAnsi="Times New Roman" w:cs="Times New Roman"/>
        </w:rPr>
        <w:t xml:space="preserve"> based on a simple assessment that</w:t>
      </w:r>
      <w:r w:rsidR="007F2D27">
        <w:rPr>
          <w:rFonts w:ascii="Times New Roman" w:hAnsi="Times New Roman" w:cs="Times New Roman"/>
        </w:rPr>
        <w:t xml:space="preserve"> </w:t>
      </w:r>
      <w:r w:rsidR="00276785">
        <w:rPr>
          <w:rFonts w:ascii="Times New Roman" w:hAnsi="Times New Roman" w:cs="Times New Roman"/>
        </w:rPr>
        <w:t xml:space="preserve">the </w:t>
      </w:r>
      <w:r w:rsidR="00FC66DC">
        <w:rPr>
          <w:rFonts w:ascii="Times New Roman" w:hAnsi="Times New Roman" w:cs="Times New Roman"/>
        </w:rPr>
        <w:t>‘</w:t>
      </w:r>
      <w:r w:rsidR="00276785" w:rsidRPr="00FC66DC">
        <w:rPr>
          <w:rFonts w:ascii="Times New Roman" w:hAnsi="Times New Roman" w:cs="Times New Roman"/>
        </w:rPr>
        <w:t>number of water plans that recognise connectivity between groundwater and surface water (including through linked groundwater and surface water plans) has increased substantially since 2004</w:t>
      </w:r>
      <w:r w:rsidR="00FC66DC" w:rsidRPr="00FC66DC">
        <w:rPr>
          <w:rFonts w:ascii="Times New Roman" w:hAnsi="Times New Roman" w:cs="Times New Roman"/>
        </w:rPr>
        <w:t>’ (p 67)</w:t>
      </w:r>
      <w:r w:rsidR="007F2D27">
        <w:rPr>
          <w:rFonts w:ascii="Times New Roman" w:hAnsi="Times New Roman" w:cs="Times New Roman"/>
        </w:rPr>
        <w:t>.</w:t>
      </w:r>
    </w:p>
    <w:p w:rsidR="00234971" w:rsidRDefault="00234971" w:rsidP="00234971">
      <w:pPr>
        <w:pStyle w:val="ListParagraph"/>
        <w:ind w:left="360"/>
        <w:rPr>
          <w:rFonts w:ascii="Times New Roman" w:hAnsi="Times New Roman" w:cs="Times New Roman"/>
        </w:rPr>
      </w:pPr>
    </w:p>
    <w:p w:rsidR="00FC66DC" w:rsidRDefault="00FC66DC" w:rsidP="004E73C7">
      <w:pPr>
        <w:pStyle w:val="ListParagraph"/>
        <w:numPr>
          <w:ilvl w:val="0"/>
          <w:numId w:val="3"/>
        </w:numPr>
        <w:rPr>
          <w:rFonts w:ascii="Times New Roman" w:hAnsi="Times New Roman" w:cs="Times New Roman"/>
          <w:lang w:eastAsia="en-AU"/>
        </w:rPr>
      </w:pPr>
      <w:r w:rsidRPr="00234971">
        <w:rPr>
          <w:rFonts w:ascii="Times New Roman" w:hAnsi="Times New Roman" w:cs="Times New Roman"/>
        </w:rPr>
        <w:t>The PC draft report should note that there is no consistent approach used across Australia to determining what ‘counts’</w:t>
      </w:r>
      <w:r>
        <w:rPr>
          <w:rFonts w:ascii="Times New Roman" w:hAnsi="Times New Roman" w:cs="Times New Roman"/>
        </w:rPr>
        <w:t xml:space="preserve"> as a connected resource, and that this can present problems. </w:t>
      </w:r>
      <w:r w:rsidR="00234971">
        <w:rPr>
          <w:rFonts w:ascii="Times New Roman" w:hAnsi="Times New Roman" w:cs="Times New Roman"/>
        </w:rPr>
        <w:t>T</w:t>
      </w:r>
      <w:r w:rsidR="00234971" w:rsidRPr="00234971">
        <w:rPr>
          <w:rFonts w:ascii="Times New Roman" w:hAnsi="Times New Roman" w:cs="Times New Roman"/>
        </w:rPr>
        <w:t xml:space="preserve">he </w:t>
      </w:r>
      <w:r>
        <w:rPr>
          <w:rFonts w:ascii="Times New Roman" w:hAnsi="Times New Roman" w:cs="Times New Roman"/>
        </w:rPr>
        <w:t>NWC</w:t>
      </w:r>
      <w:r w:rsidR="00234971" w:rsidRPr="00234971">
        <w:rPr>
          <w:rFonts w:ascii="Times New Roman" w:hAnsi="Times New Roman" w:cs="Times New Roman"/>
        </w:rPr>
        <w:t xml:space="preserve"> and others have long argued in favour of the assumption that groundwater and surface water are connected until proven otherwise.</w:t>
      </w:r>
      <w:r w:rsidR="00234971" w:rsidRPr="00234971">
        <w:rPr>
          <w:rStyle w:val="FootnoteReference"/>
          <w:rFonts w:ascii="Times New Roman" w:hAnsi="Times New Roman" w:cs="Times New Roman"/>
        </w:rPr>
        <w:footnoteReference w:id="7"/>
      </w:r>
      <w:r w:rsidR="00234971" w:rsidRPr="00234971">
        <w:rPr>
          <w:rFonts w:ascii="Times New Roman" w:hAnsi="Times New Roman" w:cs="Times New Roman"/>
          <w:lang w:eastAsia="en-AU"/>
        </w:rPr>
        <w:t xml:space="preserve"> </w:t>
      </w:r>
      <w:r w:rsidR="00234971">
        <w:rPr>
          <w:rFonts w:ascii="Times New Roman" w:hAnsi="Times New Roman" w:cs="Times New Roman"/>
          <w:lang w:eastAsia="en-AU"/>
        </w:rPr>
        <w:t>However, even this does not provide any guidance as to what would be required to ‘prove otherwise’, that is</w:t>
      </w:r>
      <w:r>
        <w:rPr>
          <w:rFonts w:ascii="Times New Roman" w:hAnsi="Times New Roman" w:cs="Times New Roman"/>
          <w:lang w:eastAsia="en-AU"/>
        </w:rPr>
        <w:t>,</w:t>
      </w:r>
      <w:r w:rsidR="00234971">
        <w:rPr>
          <w:rFonts w:ascii="Times New Roman" w:hAnsi="Times New Roman" w:cs="Times New Roman"/>
          <w:lang w:eastAsia="en-AU"/>
        </w:rPr>
        <w:t xml:space="preserve"> to </w:t>
      </w:r>
      <w:r>
        <w:rPr>
          <w:rFonts w:ascii="Times New Roman" w:hAnsi="Times New Roman" w:cs="Times New Roman"/>
          <w:lang w:eastAsia="en-AU"/>
        </w:rPr>
        <w:t xml:space="preserve">determine </w:t>
      </w:r>
      <w:r w:rsidR="00234971">
        <w:rPr>
          <w:rFonts w:ascii="Times New Roman" w:hAnsi="Times New Roman" w:cs="Times New Roman"/>
          <w:lang w:eastAsia="en-AU"/>
        </w:rPr>
        <w:t xml:space="preserve">a degree of connection that is too insignificant to worry about. </w:t>
      </w:r>
      <w:r>
        <w:rPr>
          <w:rFonts w:ascii="Times New Roman" w:hAnsi="Times New Roman" w:cs="Times New Roman"/>
          <w:lang w:eastAsia="en-AU"/>
        </w:rPr>
        <w:t xml:space="preserve">Determining a consistent threshold at which connectivity becomes significant, and therefore must be considered in water planning and licensing, is important. Only if this approach to connectivity is somewhat consistent can the security of water entitlements </w:t>
      </w:r>
      <w:r w:rsidR="006C1EBA">
        <w:rPr>
          <w:rFonts w:ascii="Times New Roman" w:hAnsi="Times New Roman" w:cs="Times New Roman"/>
          <w:lang w:eastAsia="en-AU"/>
        </w:rPr>
        <w:t xml:space="preserve">(including those bought back for environmental flows using public money) </w:t>
      </w:r>
      <w:r>
        <w:rPr>
          <w:rFonts w:ascii="Times New Roman" w:hAnsi="Times New Roman" w:cs="Times New Roman"/>
          <w:lang w:eastAsia="en-AU"/>
        </w:rPr>
        <w:t xml:space="preserve">be guaranteed to the same degree—at least in relation to the effects of groundwater take—between water planning areas. </w:t>
      </w:r>
    </w:p>
    <w:p w:rsidR="00FC66DC" w:rsidRPr="00FC66DC" w:rsidRDefault="00FC66DC" w:rsidP="00FC66DC">
      <w:pPr>
        <w:pStyle w:val="ListParagraph"/>
        <w:rPr>
          <w:rFonts w:ascii="Times New Roman" w:hAnsi="Times New Roman" w:cs="Times New Roman"/>
          <w:lang w:eastAsia="en-AU"/>
        </w:rPr>
      </w:pPr>
    </w:p>
    <w:p w:rsidR="0011015E" w:rsidRPr="0011015E" w:rsidRDefault="00FC66DC" w:rsidP="00785BF6">
      <w:pPr>
        <w:pStyle w:val="ListParagraph"/>
        <w:numPr>
          <w:ilvl w:val="0"/>
          <w:numId w:val="3"/>
        </w:numPr>
        <w:rPr>
          <w:rFonts w:ascii="Times New Roman" w:hAnsi="Times New Roman" w:cs="Times New Roman"/>
          <w:lang w:eastAsia="en-AU"/>
        </w:rPr>
      </w:pPr>
      <w:r w:rsidRPr="0011015E">
        <w:rPr>
          <w:rFonts w:ascii="Times New Roman" w:hAnsi="Times New Roman" w:cs="Times New Roman"/>
          <w:lang w:eastAsia="en-AU"/>
        </w:rPr>
        <w:t>In practice, not only is there no consistent approach to the treatment of connectivity across Australia, but approaches vary very widely. In general, thresholds for determining ‘significant’ connectivity between surface water and groundwater used in Australia are very high compared to those used in comparative jurisdictions, for example in certain western US states. This means that we accept a relatively high degree of unaccounted-for impact on our surface water systems, caused by groundwater take, before our regulatory system ‘ki</w:t>
      </w:r>
      <w:r w:rsidR="0011015E" w:rsidRPr="0011015E">
        <w:rPr>
          <w:rFonts w:ascii="Times New Roman" w:hAnsi="Times New Roman" w:cs="Times New Roman"/>
          <w:lang w:eastAsia="en-AU"/>
        </w:rPr>
        <w:t>cks in’ to moderate this impact:</w:t>
      </w:r>
    </w:p>
    <w:p w:rsidR="0011015E" w:rsidRPr="0011015E" w:rsidRDefault="0011015E" w:rsidP="0011015E">
      <w:pPr>
        <w:spacing w:line="276" w:lineRule="auto"/>
        <w:ind w:left="720"/>
        <w:rPr>
          <w:rFonts w:ascii="Times New Roman" w:hAnsi="Times New Roman" w:cs="Times New Roman"/>
          <w:i/>
        </w:rPr>
      </w:pPr>
      <w:r w:rsidRPr="0011015E">
        <w:rPr>
          <w:rFonts w:ascii="Times New Roman" w:hAnsi="Times New Roman" w:cs="Times New Roman"/>
          <w:i/>
        </w:rPr>
        <w:t>…thresholds in Australia tend to allow comparatively large adverse pumping impacts. NSW has banned new groundwater licences in certain areas where 70% of the water pumped from bores is drawn from connected surface waters within a single irrigation season (a “70% in 9 months policy”). In formulating sustainable diversion limits for the MDB, the MDB Authority used a “50% in 50 years policy” as a key threshold of risk related to setting groundwater extraction caps.</w:t>
      </w:r>
    </w:p>
    <w:p w:rsidR="0011015E" w:rsidRPr="0011015E" w:rsidRDefault="0011015E" w:rsidP="0011015E">
      <w:pPr>
        <w:ind w:left="720"/>
        <w:rPr>
          <w:rFonts w:ascii="Times New Roman" w:eastAsia="Calibri" w:hAnsi="Times New Roman" w:cs="Times New Roman"/>
          <w:i/>
          <w:lang w:eastAsia="en-AU"/>
        </w:rPr>
      </w:pPr>
      <w:r w:rsidRPr="0011015E">
        <w:rPr>
          <w:rFonts w:ascii="Times New Roman" w:hAnsi="Times New Roman" w:cs="Times New Roman"/>
          <w:i/>
        </w:rPr>
        <w:t>By contrast, numerical thresholds in western US states are much stricter in areas with fully-allocated surface water, even in areas that would be considered to have low connectivity between surface wat</w:t>
      </w:r>
      <w:r>
        <w:rPr>
          <w:rFonts w:ascii="Times New Roman" w:hAnsi="Times New Roman" w:cs="Times New Roman"/>
          <w:i/>
        </w:rPr>
        <w:t>er and groundwater in Australia.</w:t>
      </w:r>
      <w:r w:rsidRPr="0011015E">
        <w:rPr>
          <w:rFonts w:ascii="Times New Roman" w:hAnsi="Times New Roman" w:cs="Times New Roman"/>
          <w:i/>
        </w:rPr>
        <w:t xml:space="preserve"> Colorado adopts a 0.1% in 100 years policy…</w:t>
      </w:r>
      <w:r>
        <w:rPr>
          <w:rFonts w:ascii="Times New Roman" w:hAnsi="Times New Roman" w:cs="Times New Roman"/>
          <w:i/>
        </w:rPr>
        <w:t xml:space="preserve"> [citations omitted]</w:t>
      </w:r>
      <w:r>
        <w:rPr>
          <w:rStyle w:val="FootnoteReference"/>
          <w:rFonts w:ascii="Times New Roman" w:hAnsi="Times New Roman" w:cs="Times New Roman"/>
          <w:i/>
        </w:rPr>
        <w:footnoteReference w:id="8"/>
      </w:r>
    </w:p>
    <w:p w:rsidR="00FC66DC" w:rsidRDefault="00AF31A9" w:rsidP="004E73C7">
      <w:pPr>
        <w:pStyle w:val="ListParagraph"/>
        <w:numPr>
          <w:ilvl w:val="0"/>
          <w:numId w:val="3"/>
        </w:numPr>
        <w:rPr>
          <w:rFonts w:ascii="Times New Roman" w:hAnsi="Times New Roman" w:cs="Times New Roman"/>
          <w:lang w:eastAsia="en-AU"/>
        </w:rPr>
      </w:pPr>
      <w:r>
        <w:rPr>
          <w:rFonts w:ascii="Times New Roman" w:hAnsi="Times New Roman" w:cs="Times New Roman"/>
          <w:lang w:eastAsia="en-AU"/>
        </w:rPr>
        <w:t xml:space="preserve">In support of the points made here in relation to groundwater-surface water connectivity, </w:t>
      </w:r>
      <w:r w:rsidR="00FC66DC">
        <w:rPr>
          <w:rFonts w:ascii="Times New Roman" w:hAnsi="Times New Roman" w:cs="Times New Roman"/>
          <w:lang w:eastAsia="en-AU"/>
        </w:rPr>
        <w:t xml:space="preserve">I </w:t>
      </w:r>
      <w:r w:rsidR="00ED77CF" w:rsidRPr="00ED77CF">
        <w:rPr>
          <w:rFonts w:ascii="Times New Roman" w:hAnsi="Times New Roman" w:cs="Times New Roman"/>
          <w:b/>
          <w:lang w:eastAsia="en-AU"/>
        </w:rPr>
        <w:t>attach</w:t>
      </w:r>
      <w:r w:rsidR="00FC66DC">
        <w:rPr>
          <w:rFonts w:ascii="Times New Roman" w:hAnsi="Times New Roman" w:cs="Times New Roman"/>
          <w:lang w:eastAsia="en-AU"/>
        </w:rPr>
        <w:t xml:space="preserve"> a published article</w:t>
      </w:r>
      <w:r>
        <w:rPr>
          <w:rFonts w:ascii="Times New Roman" w:hAnsi="Times New Roman" w:cs="Times New Roman"/>
          <w:lang w:eastAsia="en-AU"/>
        </w:rPr>
        <w:t xml:space="preserve"> that describes different potential approaches to groundwater-surface water connectivity thresholds.</w:t>
      </w:r>
      <w:r>
        <w:rPr>
          <w:rStyle w:val="FootnoteReference"/>
          <w:rFonts w:ascii="Times New Roman" w:hAnsi="Times New Roman" w:cs="Times New Roman"/>
          <w:lang w:eastAsia="en-AU"/>
        </w:rPr>
        <w:footnoteReference w:id="9"/>
      </w:r>
      <w:r>
        <w:rPr>
          <w:rFonts w:ascii="Times New Roman" w:hAnsi="Times New Roman" w:cs="Times New Roman"/>
          <w:lang w:eastAsia="en-AU"/>
        </w:rPr>
        <w:t xml:space="preserve"> This is a brief summary of my doctoral work on this subject</w:t>
      </w:r>
      <w:r w:rsidR="00117FE1">
        <w:rPr>
          <w:rFonts w:ascii="Times New Roman" w:hAnsi="Times New Roman" w:cs="Times New Roman"/>
          <w:lang w:eastAsia="en-AU"/>
        </w:rPr>
        <w:t>, which also extended to reviewing the legal mechanisms available to protect GDEs more generally</w:t>
      </w:r>
      <w:r>
        <w:rPr>
          <w:rFonts w:ascii="Times New Roman" w:hAnsi="Times New Roman" w:cs="Times New Roman"/>
          <w:lang w:eastAsia="en-AU"/>
        </w:rPr>
        <w:t>.</w:t>
      </w:r>
      <w:r>
        <w:rPr>
          <w:rStyle w:val="FootnoteReference"/>
          <w:rFonts w:ascii="Times New Roman" w:hAnsi="Times New Roman" w:cs="Times New Roman"/>
          <w:lang w:eastAsia="en-AU"/>
        </w:rPr>
        <w:footnoteReference w:id="10"/>
      </w:r>
    </w:p>
    <w:p w:rsidR="00234971" w:rsidRPr="00234971" w:rsidRDefault="00234971" w:rsidP="00234971">
      <w:pPr>
        <w:pStyle w:val="ListParagraph"/>
        <w:ind w:left="360"/>
        <w:rPr>
          <w:rFonts w:ascii="Times New Roman" w:hAnsi="Times New Roman" w:cs="Times New Roman"/>
          <w:lang w:eastAsia="en-AU"/>
        </w:rPr>
      </w:pPr>
    </w:p>
    <w:p w:rsidR="00234971" w:rsidRDefault="00234971" w:rsidP="00234971">
      <w:pPr>
        <w:pStyle w:val="ListParagraph"/>
        <w:numPr>
          <w:ilvl w:val="0"/>
          <w:numId w:val="3"/>
        </w:numPr>
        <w:rPr>
          <w:rFonts w:ascii="Times New Roman" w:hAnsi="Times New Roman" w:cs="Times New Roman"/>
        </w:rPr>
      </w:pPr>
      <w:r>
        <w:rPr>
          <w:rFonts w:ascii="Times New Roman" w:hAnsi="Times New Roman" w:cs="Times New Roman"/>
        </w:rPr>
        <w:t xml:space="preserve">In addition to clarifying the degree of connection required, </w:t>
      </w:r>
      <w:r w:rsidRPr="00234971">
        <w:rPr>
          <w:rFonts w:ascii="Times New Roman" w:hAnsi="Times New Roman" w:cs="Times New Roman"/>
        </w:rPr>
        <w:t xml:space="preserve">jurisdictions should adopt a more nuanced approach </w:t>
      </w:r>
      <w:r>
        <w:rPr>
          <w:rFonts w:ascii="Times New Roman" w:hAnsi="Times New Roman" w:cs="Times New Roman"/>
        </w:rPr>
        <w:t xml:space="preserve">to groundwater-surface water interaction than is presently the case. This approach should mirror </w:t>
      </w:r>
      <w:r w:rsidR="007F2D27">
        <w:rPr>
          <w:rFonts w:ascii="Times New Roman" w:hAnsi="Times New Roman" w:cs="Times New Roman"/>
        </w:rPr>
        <w:t xml:space="preserve">scientific knowledge, and consider </w:t>
      </w:r>
      <w:r w:rsidRPr="00234971">
        <w:rPr>
          <w:rFonts w:ascii="Times New Roman" w:hAnsi="Times New Roman" w:cs="Times New Roman"/>
        </w:rPr>
        <w:t>connectivity in terms of “the timing, direction and volume of interaction, its spatial and temporal scale, and an understanding of its ecological relevance”.</w:t>
      </w:r>
      <w:r w:rsidRPr="00234971">
        <w:rPr>
          <w:rFonts w:ascii="Times New Roman" w:hAnsi="Times New Roman" w:cs="Times New Roman"/>
          <w:vertAlign w:val="superscript"/>
        </w:rPr>
        <w:footnoteReference w:id="11"/>
      </w:r>
      <w:r w:rsidRPr="00234971">
        <w:rPr>
          <w:rFonts w:ascii="Times New Roman" w:hAnsi="Times New Roman" w:cs="Times New Roman"/>
        </w:rPr>
        <w:t xml:space="preserve"> </w:t>
      </w:r>
    </w:p>
    <w:p w:rsidR="00FC66DC" w:rsidRPr="00FC66DC" w:rsidRDefault="00FC66DC" w:rsidP="00FC66DC">
      <w:pPr>
        <w:pStyle w:val="ListParagraph"/>
        <w:rPr>
          <w:rFonts w:ascii="Times New Roman" w:hAnsi="Times New Roman" w:cs="Times New Roman"/>
        </w:rPr>
      </w:pPr>
    </w:p>
    <w:p w:rsidR="00FC66DC" w:rsidRPr="00AF31A9" w:rsidRDefault="00FC66DC" w:rsidP="00AF31A9">
      <w:pPr>
        <w:pStyle w:val="ListParagraph"/>
        <w:numPr>
          <w:ilvl w:val="0"/>
          <w:numId w:val="3"/>
        </w:num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AF31A9">
        <w:rPr>
          <w:rFonts w:ascii="Times New Roman" w:hAnsi="Times New Roman" w:cs="Times New Roman"/>
          <w:u w:val="single"/>
        </w:rPr>
        <w:t>Implications</w:t>
      </w:r>
      <w:r w:rsidRPr="00AF31A9">
        <w:rPr>
          <w:rFonts w:ascii="Times New Roman" w:hAnsi="Times New Roman" w:cs="Times New Roman"/>
        </w:rPr>
        <w:t xml:space="preserve">: the PC draft report should note that although connectivity is increasingly recognised </w:t>
      </w:r>
      <w:r w:rsidR="00AF31A9" w:rsidRPr="00AF31A9">
        <w:rPr>
          <w:rFonts w:ascii="Times New Roman" w:hAnsi="Times New Roman" w:cs="Times New Roman"/>
        </w:rPr>
        <w:t xml:space="preserve">in water plans, the way in which it is recognised is not consistent between jurisdictions, and allows for differing levels of impact on resource security. </w:t>
      </w:r>
      <w:r w:rsidR="0011015E">
        <w:rPr>
          <w:rFonts w:ascii="Times New Roman" w:hAnsi="Times New Roman" w:cs="Times New Roman"/>
        </w:rPr>
        <w:t>In some cases, these impacts may be significant. I</w:t>
      </w:r>
      <w:r w:rsidR="005055C6">
        <w:rPr>
          <w:rFonts w:ascii="Times New Roman" w:hAnsi="Times New Roman" w:cs="Times New Roman"/>
        </w:rPr>
        <w:t>n making assessments about when connectivity is significant and the management actions that should ensue, j</w:t>
      </w:r>
      <w:r w:rsidR="00AF31A9">
        <w:rPr>
          <w:rFonts w:ascii="Times New Roman" w:hAnsi="Times New Roman" w:cs="Times New Roman"/>
        </w:rPr>
        <w:t>urisdictions should</w:t>
      </w:r>
      <w:r w:rsidR="0011015E">
        <w:rPr>
          <w:rFonts w:ascii="Times New Roman" w:hAnsi="Times New Roman" w:cs="Times New Roman"/>
        </w:rPr>
        <w:t xml:space="preserve"> </w:t>
      </w:r>
      <w:r w:rsidR="006C1EBA">
        <w:rPr>
          <w:rFonts w:ascii="Times New Roman" w:hAnsi="Times New Roman" w:cs="Times New Roman"/>
        </w:rPr>
        <w:t xml:space="preserve">ensure they consider </w:t>
      </w:r>
      <w:r w:rsidR="00AF31A9" w:rsidRPr="00234971">
        <w:rPr>
          <w:rFonts w:ascii="Times New Roman" w:hAnsi="Times New Roman" w:cs="Times New Roman"/>
        </w:rPr>
        <w:t>the timing, direction and volume of interaction, its spatial and temporal scale, and its ecological relevance</w:t>
      </w:r>
      <w:r w:rsidR="00AF31A9">
        <w:rPr>
          <w:rFonts w:ascii="Times New Roman" w:hAnsi="Times New Roman" w:cs="Times New Roman"/>
        </w:rPr>
        <w:t>.</w:t>
      </w:r>
    </w:p>
    <w:p w:rsidR="0097478D" w:rsidRPr="007F2D27" w:rsidRDefault="0097478D" w:rsidP="0097478D">
      <w:pPr>
        <w:keepNext/>
        <w:rPr>
          <w:rFonts w:ascii="Times New Roman" w:hAnsi="Times New Roman" w:cs="Times New Roman"/>
          <w:b/>
        </w:rPr>
      </w:pPr>
      <w:r w:rsidRPr="007F2D27">
        <w:rPr>
          <w:rFonts w:ascii="Times New Roman" w:hAnsi="Times New Roman" w:cs="Times New Roman"/>
          <w:b/>
        </w:rPr>
        <w:t>Triggers for water planning and ‘risk-based management’</w:t>
      </w:r>
    </w:p>
    <w:p w:rsidR="0097478D" w:rsidRPr="000165BF" w:rsidRDefault="0097478D" w:rsidP="00B20ECA">
      <w:pPr>
        <w:pStyle w:val="ListParagraph"/>
        <w:numPr>
          <w:ilvl w:val="0"/>
          <w:numId w:val="3"/>
        </w:numPr>
        <w:rPr>
          <w:rFonts w:ascii="Times New Roman" w:hAnsi="Times New Roman" w:cs="Times New Roman"/>
        </w:rPr>
      </w:pPr>
      <w:r w:rsidRPr="000165BF">
        <w:rPr>
          <w:rFonts w:ascii="Times New Roman" w:hAnsi="Times New Roman" w:cs="Times New Roman"/>
        </w:rPr>
        <w:t>There is an increasing trend towards ‘risk-based management’ of water resources. This plays out in relation to water plans in jurisdictions that undertake water planning only for resources that are deemed to be subject to relatively high levels of extraction. The PC draft report reflects this in reporting on the extent of water planning in the ‘main areas of intensive water use’ (p 65).</w:t>
      </w:r>
      <w:r w:rsidR="000165BF" w:rsidRPr="000165BF">
        <w:rPr>
          <w:rFonts w:ascii="Times New Roman" w:hAnsi="Times New Roman" w:cs="Times New Roman"/>
        </w:rPr>
        <w:t xml:space="preserve"> The NWC also made this assumption in its 2014 assessment (‘In intensively used systems, where all water must be accounted for and its use maximised, accurate information is essential to optimise management by running systems precisely and efficiently... Conversely, in less intensively used systems, development opportunities may be stifled by conservative management settings based on poor system understanding</w:t>
      </w:r>
      <w:r w:rsidR="000165BF">
        <w:rPr>
          <w:rFonts w:ascii="Times New Roman" w:hAnsi="Times New Roman" w:cs="Times New Roman"/>
        </w:rPr>
        <w:t xml:space="preserve">’ </w:t>
      </w:r>
      <w:r w:rsidR="000165BF" w:rsidRPr="000165BF">
        <w:rPr>
          <w:rFonts w:ascii="Times New Roman" w:hAnsi="Times New Roman" w:cs="Times New Roman"/>
        </w:rPr>
        <w:t>p 110).</w:t>
      </w:r>
    </w:p>
    <w:p w:rsidR="0097478D" w:rsidRDefault="0097478D" w:rsidP="0097478D">
      <w:pPr>
        <w:pStyle w:val="ListParagraph"/>
        <w:ind w:left="360"/>
        <w:rPr>
          <w:rFonts w:ascii="Times New Roman" w:hAnsi="Times New Roman" w:cs="Times New Roman"/>
        </w:rPr>
      </w:pPr>
    </w:p>
    <w:p w:rsidR="0097478D" w:rsidRPr="00630CFD" w:rsidRDefault="0097478D" w:rsidP="0097478D">
      <w:pPr>
        <w:pStyle w:val="ListParagraph"/>
        <w:numPr>
          <w:ilvl w:val="0"/>
          <w:numId w:val="3"/>
        </w:numPr>
        <w:rPr>
          <w:rFonts w:ascii="Times New Roman" w:hAnsi="Times New Roman" w:cs="Times New Roman"/>
        </w:rPr>
      </w:pPr>
      <w:r>
        <w:rPr>
          <w:rFonts w:ascii="Times New Roman" w:hAnsi="Times New Roman" w:cs="Times New Roman"/>
        </w:rPr>
        <w:t xml:space="preserve">However, risk-based management that is premised (implicitly or explicitly) primarily on quantities of water extracted (including quantities of extraction relative to storage) may cause regulators to </w:t>
      </w:r>
      <w:r w:rsidRPr="00630CFD">
        <w:rPr>
          <w:rFonts w:ascii="Times New Roman" w:hAnsi="Times New Roman" w:cs="Times New Roman"/>
        </w:rPr>
        <w:t>overlook protections for GDEs, which may experience significant impacts even at low levels of extraction.</w:t>
      </w:r>
      <w:r w:rsidR="00F0519D">
        <w:rPr>
          <w:rStyle w:val="FootnoteReference"/>
          <w:rFonts w:ascii="Times New Roman" w:hAnsi="Times New Roman" w:cs="Times New Roman"/>
        </w:rPr>
        <w:footnoteReference w:id="12"/>
      </w:r>
      <w:r w:rsidRPr="00630CFD">
        <w:rPr>
          <w:rFonts w:ascii="Times New Roman" w:hAnsi="Times New Roman" w:cs="Times New Roman"/>
        </w:rPr>
        <w:t xml:space="preserve"> The </w:t>
      </w:r>
      <w:r w:rsidRPr="00630CFD">
        <w:rPr>
          <w:rFonts w:ascii="Times New Roman" w:hAnsi="Times New Roman" w:cs="Times New Roman"/>
          <w:i/>
        </w:rPr>
        <w:t xml:space="preserve">National Groundwater Strategic Framework </w:t>
      </w:r>
      <w:r w:rsidR="00F0519D">
        <w:rPr>
          <w:rFonts w:ascii="Times New Roman" w:hAnsi="Times New Roman" w:cs="Times New Roman"/>
        </w:rPr>
        <w:t>recognises the need to take a more sophisticated approach to the concept of ‘risk’</w:t>
      </w:r>
      <w:r w:rsidRPr="00630CFD">
        <w:rPr>
          <w:rFonts w:ascii="Times New Roman" w:hAnsi="Times New Roman" w:cs="Times New Roman"/>
        </w:rPr>
        <w:t>, calling for the development of ‘risk-based approaches to assess and manage impacts of groundwater extraction on connected surface water resources, surface water and groundwater quality and dependent ecosystems’.</w:t>
      </w:r>
      <w:r w:rsidRPr="00630CFD">
        <w:rPr>
          <w:rStyle w:val="FootnoteReference"/>
          <w:rFonts w:ascii="Times New Roman" w:hAnsi="Times New Roman" w:cs="Times New Roman"/>
        </w:rPr>
        <w:footnoteReference w:id="13"/>
      </w:r>
    </w:p>
    <w:p w:rsidR="0097478D" w:rsidRPr="00630CFD" w:rsidRDefault="0097478D" w:rsidP="0097478D">
      <w:pPr>
        <w:pStyle w:val="ListParagraph"/>
        <w:rPr>
          <w:rFonts w:ascii="Times New Roman" w:hAnsi="Times New Roman" w:cs="Times New Roman"/>
        </w:rPr>
      </w:pPr>
    </w:p>
    <w:p w:rsidR="0097478D" w:rsidRDefault="0097478D" w:rsidP="0097478D">
      <w:pPr>
        <w:pStyle w:val="ListParagraph"/>
        <w:numPr>
          <w:ilvl w:val="0"/>
          <w:numId w:val="3"/>
        </w:num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30CFD">
        <w:rPr>
          <w:rFonts w:ascii="Times New Roman" w:hAnsi="Times New Roman" w:cs="Times New Roman"/>
          <w:u w:val="single"/>
        </w:rPr>
        <w:t>Implications</w:t>
      </w:r>
      <w:r>
        <w:rPr>
          <w:rFonts w:ascii="Times New Roman" w:hAnsi="Times New Roman" w:cs="Times New Roman"/>
        </w:rPr>
        <w:t xml:space="preserve">: the PC draft report should avoid </w:t>
      </w:r>
      <w:r w:rsidR="00F0519D">
        <w:rPr>
          <w:rFonts w:ascii="Times New Roman" w:hAnsi="Times New Roman" w:cs="Times New Roman"/>
        </w:rPr>
        <w:t>implying</w:t>
      </w:r>
      <w:r>
        <w:rPr>
          <w:rFonts w:ascii="Times New Roman" w:hAnsi="Times New Roman" w:cs="Times New Roman"/>
        </w:rPr>
        <w:t xml:space="preserve"> that if water plans cover most intensive areas of extraction, that is sufficient. Rather, it should acknowledge that jurisdictions should develop, and be guided by, a more sophisticated risk-based framework for triggering water planning for groundwater that responds to </w:t>
      </w:r>
      <w:r w:rsidR="00F0519D">
        <w:rPr>
          <w:rFonts w:ascii="Times New Roman" w:hAnsi="Times New Roman" w:cs="Times New Roman"/>
        </w:rPr>
        <w:t xml:space="preserve">the sensitivity and value of of connected </w:t>
      </w:r>
      <w:r>
        <w:rPr>
          <w:rFonts w:ascii="Times New Roman" w:hAnsi="Times New Roman" w:cs="Times New Roman"/>
        </w:rPr>
        <w:t>surface water and GDEs</w:t>
      </w:r>
      <w:r w:rsidR="00F0519D">
        <w:rPr>
          <w:rFonts w:ascii="Times New Roman" w:hAnsi="Times New Roman" w:cs="Times New Roman"/>
        </w:rPr>
        <w:t>, consistent with NWI cl 25(x)</w:t>
      </w:r>
      <w:r>
        <w:rPr>
          <w:rFonts w:ascii="Times New Roman" w:hAnsi="Times New Roman" w:cs="Times New Roman"/>
        </w:rPr>
        <w:t xml:space="preserve">. </w:t>
      </w:r>
      <w:r w:rsidR="001832C0">
        <w:rPr>
          <w:rFonts w:ascii="Times New Roman" w:hAnsi="Times New Roman" w:cs="Times New Roman"/>
        </w:rPr>
        <w:t>Such an assessment of risk would be a more accurate indicator of the sufficiency of jurisdictions’ coverage of water plans.</w:t>
      </w:r>
    </w:p>
    <w:p w:rsidR="005F7A97" w:rsidRPr="004E73C7" w:rsidRDefault="005F7A97" w:rsidP="005F7A97">
      <w:pPr>
        <w:rPr>
          <w:rFonts w:ascii="Times New Roman" w:hAnsi="Times New Roman" w:cs="Times New Roman"/>
          <w:b/>
          <w:u w:val="single"/>
        </w:rPr>
      </w:pPr>
      <w:r w:rsidRPr="004E73C7">
        <w:rPr>
          <w:rFonts w:ascii="Times New Roman" w:hAnsi="Times New Roman" w:cs="Times New Roman"/>
          <w:b/>
          <w:u w:val="single"/>
        </w:rPr>
        <w:t xml:space="preserve">Part II: </w:t>
      </w:r>
      <w:r w:rsidR="004E73C7" w:rsidRPr="004E73C7">
        <w:rPr>
          <w:rFonts w:ascii="Times New Roman" w:hAnsi="Times New Roman" w:cs="Times New Roman"/>
          <w:b/>
          <w:u w:val="single"/>
        </w:rPr>
        <w:t>Scope for improving the NWI, addressing current and future challenges</w:t>
      </w:r>
    </w:p>
    <w:p w:rsidR="005F7A97" w:rsidRPr="00252B63" w:rsidRDefault="005F7A97" w:rsidP="005F7A97">
      <w:pPr>
        <w:rPr>
          <w:rFonts w:ascii="Times New Roman" w:hAnsi="Times New Roman" w:cs="Times New Roman"/>
          <w:b/>
        </w:rPr>
      </w:pPr>
      <w:r w:rsidRPr="00252B63">
        <w:rPr>
          <w:rFonts w:ascii="Times New Roman" w:hAnsi="Times New Roman" w:cs="Times New Roman"/>
          <w:b/>
        </w:rPr>
        <w:t>Water planning versus water licensing outside of plan areas</w:t>
      </w:r>
    </w:p>
    <w:p w:rsidR="005F7A97" w:rsidRDefault="005F7A97" w:rsidP="005F7A97">
      <w:pPr>
        <w:pStyle w:val="ListParagraph"/>
        <w:numPr>
          <w:ilvl w:val="0"/>
          <w:numId w:val="3"/>
        </w:numPr>
        <w:rPr>
          <w:rFonts w:ascii="Times New Roman" w:hAnsi="Times New Roman" w:cs="Times New Roman"/>
        </w:rPr>
      </w:pPr>
      <w:r w:rsidRPr="008C77F3">
        <w:rPr>
          <w:rFonts w:ascii="Times New Roman" w:hAnsi="Times New Roman" w:cs="Times New Roman"/>
        </w:rPr>
        <w:t xml:space="preserve">Statutory water plans are a central feature of the NWI. </w:t>
      </w:r>
      <w:r w:rsidR="00C776E8">
        <w:rPr>
          <w:rFonts w:ascii="Times New Roman" w:hAnsi="Times New Roman" w:cs="Times New Roman"/>
        </w:rPr>
        <w:t>While the NWI</w:t>
      </w:r>
      <w:r>
        <w:rPr>
          <w:rFonts w:ascii="Times New Roman" w:hAnsi="Times New Roman" w:cs="Times New Roman"/>
        </w:rPr>
        <w:t xml:space="preserve"> also discusses the nature of entitlements</w:t>
      </w:r>
      <w:r w:rsidR="00F0519D">
        <w:rPr>
          <w:rFonts w:ascii="Times New Roman" w:hAnsi="Times New Roman" w:cs="Times New Roman"/>
        </w:rPr>
        <w:t xml:space="preserve"> (eg cl 31)</w:t>
      </w:r>
      <w:r>
        <w:rPr>
          <w:rFonts w:ascii="Times New Roman" w:hAnsi="Times New Roman" w:cs="Times New Roman"/>
        </w:rPr>
        <w:t xml:space="preserve">, </w:t>
      </w:r>
      <w:r w:rsidR="00C776E8">
        <w:rPr>
          <w:rFonts w:ascii="Times New Roman" w:hAnsi="Times New Roman" w:cs="Times New Roman"/>
        </w:rPr>
        <w:t>it d</w:t>
      </w:r>
      <w:r>
        <w:rPr>
          <w:rFonts w:ascii="Times New Roman" w:hAnsi="Times New Roman" w:cs="Times New Roman"/>
        </w:rPr>
        <w:t>oes not say anything about processes</w:t>
      </w:r>
      <w:r w:rsidR="00F0519D">
        <w:rPr>
          <w:rFonts w:ascii="Times New Roman" w:hAnsi="Times New Roman" w:cs="Times New Roman"/>
        </w:rPr>
        <w:t xml:space="preserve"> to issue entitlements</w:t>
      </w:r>
      <w:r>
        <w:rPr>
          <w:rFonts w:ascii="Times New Roman" w:hAnsi="Times New Roman" w:cs="Times New Roman"/>
        </w:rPr>
        <w:t xml:space="preserve">, and it appears to assume that </w:t>
      </w:r>
      <w:r w:rsidR="00F0519D">
        <w:rPr>
          <w:rFonts w:ascii="Times New Roman" w:hAnsi="Times New Roman" w:cs="Times New Roman"/>
        </w:rPr>
        <w:t>subjecting the issue of entitlements or allocations to consistency with</w:t>
      </w:r>
      <w:r>
        <w:rPr>
          <w:rFonts w:ascii="Times New Roman" w:hAnsi="Times New Roman" w:cs="Times New Roman"/>
        </w:rPr>
        <w:t xml:space="preserve"> water plans </w:t>
      </w:r>
      <w:r w:rsidR="00F0519D">
        <w:rPr>
          <w:rFonts w:ascii="Times New Roman" w:hAnsi="Times New Roman" w:cs="Times New Roman"/>
        </w:rPr>
        <w:t xml:space="preserve">(cl 29) </w:t>
      </w:r>
      <w:r>
        <w:rPr>
          <w:rFonts w:ascii="Times New Roman" w:hAnsi="Times New Roman" w:cs="Times New Roman"/>
        </w:rPr>
        <w:t xml:space="preserve">can assure the achievement of environmental and </w:t>
      </w:r>
      <w:r w:rsidR="00F0519D">
        <w:rPr>
          <w:rFonts w:ascii="Times New Roman" w:hAnsi="Times New Roman" w:cs="Times New Roman"/>
        </w:rPr>
        <w:t xml:space="preserve">other </w:t>
      </w:r>
      <w:r>
        <w:rPr>
          <w:rFonts w:ascii="Times New Roman" w:hAnsi="Times New Roman" w:cs="Times New Roman"/>
        </w:rPr>
        <w:t xml:space="preserve">public benefit outcomes. </w:t>
      </w:r>
    </w:p>
    <w:p w:rsidR="005F7A97" w:rsidRDefault="005F7A97" w:rsidP="005F7A97">
      <w:pPr>
        <w:pStyle w:val="ListParagraph"/>
        <w:ind w:left="360"/>
        <w:rPr>
          <w:rFonts w:ascii="Times New Roman" w:hAnsi="Times New Roman" w:cs="Times New Roman"/>
        </w:rPr>
      </w:pPr>
    </w:p>
    <w:p w:rsidR="005F7A97" w:rsidRPr="00E05649" w:rsidRDefault="005F7A97" w:rsidP="005F7A97">
      <w:pPr>
        <w:pStyle w:val="ListParagraph"/>
        <w:numPr>
          <w:ilvl w:val="0"/>
          <w:numId w:val="3"/>
        </w:numPr>
        <w:rPr>
          <w:rFonts w:ascii="Times New Roman" w:eastAsia="Calibri" w:hAnsi="Times New Roman" w:cs="Times New Roman"/>
          <w:lang w:eastAsia="en-AU"/>
        </w:rPr>
      </w:pPr>
      <w:r w:rsidRPr="00E05649">
        <w:rPr>
          <w:rFonts w:ascii="Times New Roman" w:hAnsi="Times New Roman" w:cs="Times New Roman"/>
        </w:rPr>
        <w:t xml:space="preserve">Water plans are not a sufficient basis for the pursuit of environmental and </w:t>
      </w:r>
      <w:r w:rsidR="00F0519D">
        <w:rPr>
          <w:rFonts w:ascii="Times New Roman" w:hAnsi="Times New Roman" w:cs="Times New Roman"/>
        </w:rPr>
        <w:t xml:space="preserve">other </w:t>
      </w:r>
      <w:r w:rsidRPr="00E05649">
        <w:rPr>
          <w:rFonts w:ascii="Times New Roman" w:hAnsi="Times New Roman" w:cs="Times New Roman"/>
        </w:rPr>
        <w:t>public benefit outcomes in relation to groundwater—</w:t>
      </w:r>
      <w:r w:rsidR="00673E71">
        <w:rPr>
          <w:rFonts w:ascii="Times New Roman" w:hAnsi="Times New Roman" w:cs="Times New Roman"/>
        </w:rPr>
        <w:t xml:space="preserve">neither </w:t>
      </w:r>
      <w:r w:rsidRPr="00E05649">
        <w:rPr>
          <w:rFonts w:ascii="Times New Roman" w:hAnsi="Times New Roman" w:cs="Times New Roman"/>
        </w:rPr>
        <w:t xml:space="preserve">in theory </w:t>
      </w:r>
      <w:r w:rsidR="00673E71">
        <w:rPr>
          <w:rFonts w:ascii="Times New Roman" w:hAnsi="Times New Roman" w:cs="Times New Roman"/>
        </w:rPr>
        <w:t>n</w:t>
      </w:r>
      <w:r w:rsidRPr="00E05649">
        <w:rPr>
          <w:rFonts w:ascii="Times New Roman" w:hAnsi="Times New Roman" w:cs="Times New Roman"/>
        </w:rPr>
        <w:t xml:space="preserve">or in practice. </w:t>
      </w:r>
      <w:r w:rsidR="00673E71">
        <w:rPr>
          <w:rFonts w:ascii="Times New Roman" w:hAnsi="Times New Roman" w:cs="Times New Roman"/>
        </w:rPr>
        <w:t>A</w:t>
      </w:r>
      <w:r w:rsidRPr="00E05649">
        <w:rPr>
          <w:rFonts w:ascii="Times New Roman" w:hAnsi="Times New Roman" w:cs="Times New Roman"/>
        </w:rPr>
        <w:t xml:space="preserve">n individual bore can have very </w:t>
      </w:r>
      <w:r w:rsidR="00673E71">
        <w:rPr>
          <w:rFonts w:ascii="Times New Roman" w:hAnsi="Times New Roman" w:cs="Times New Roman"/>
        </w:rPr>
        <w:t>localis</w:t>
      </w:r>
      <w:r w:rsidRPr="00E05649">
        <w:rPr>
          <w:rFonts w:ascii="Times New Roman" w:hAnsi="Times New Roman" w:cs="Times New Roman"/>
        </w:rPr>
        <w:t>ed pumping impacts on river reaches (particularly pools in unregulated river systems) and other GDEs. Accordingly, it is important to consid</w:t>
      </w:r>
      <w:r w:rsidR="00673E71">
        <w:rPr>
          <w:rFonts w:ascii="Times New Roman" w:hAnsi="Times New Roman" w:cs="Times New Roman"/>
        </w:rPr>
        <w:t>er decision-making tools at the</w:t>
      </w:r>
      <w:r w:rsidR="00C776E8">
        <w:rPr>
          <w:rFonts w:ascii="Times New Roman" w:hAnsi="Times New Roman" w:cs="Times New Roman"/>
        </w:rPr>
        <w:t xml:space="preserve"> local level</w:t>
      </w:r>
      <w:r w:rsidRPr="00E05649">
        <w:rPr>
          <w:rFonts w:ascii="Times New Roman" w:hAnsi="Times New Roman" w:cs="Times New Roman"/>
        </w:rPr>
        <w:t xml:space="preserve"> in light of specific local conditions (which may not appear distinctly at the water plan level) and a specific predicted impact. </w:t>
      </w:r>
      <w:r w:rsidR="00673E71">
        <w:rPr>
          <w:rFonts w:ascii="Times New Roman" w:hAnsi="Times New Roman" w:cs="Times New Roman"/>
        </w:rPr>
        <w:t xml:space="preserve">These types of considerations should arise through licensing processes. </w:t>
      </w:r>
    </w:p>
    <w:p w:rsidR="005F7A97" w:rsidRPr="00E05649" w:rsidRDefault="005F7A97" w:rsidP="005F7A97">
      <w:pPr>
        <w:pStyle w:val="ListParagraph"/>
        <w:rPr>
          <w:rFonts w:ascii="Times New Roman" w:hAnsi="Times New Roman" w:cs="Times New Roman"/>
        </w:rPr>
      </w:pPr>
    </w:p>
    <w:p w:rsidR="005F7A97" w:rsidRDefault="005F7A97" w:rsidP="005F7A97">
      <w:pPr>
        <w:pStyle w:val="ListParagraph"/>
        <w:numPr>
          <w:ilvl w:val="0"/>
          <w:numId w:val="3"/>
        </w:numPr>
        <w:rPr>
          <w:rFonts w:ascii="Times New Roman" w:eastAsia="Calibri" w:hAnsi="Times New Roman" w:cs="Times New Roman"/>
          <w:lang w:eastAsia="en-AU"/>
        </w:rPr>
      </w:pPr>
      <w:r w:rsidRPr="00E05649">
        <w:rPr>
          <w:rFonts w:ascii="Times New Roman" w:hAnsi="Times New Roman" w:cs="Times New Roman"/>
        </w:rPr>
        <w:t>In practice, water pl</w:t>
      </w:r>
      <w:r>
        <w:rPr>
          <w:rFonts w:ascii="Times New Roman" w:hAnsi="Times New Roman" w:cs="Times New Roman"/>
        </w:rPr>
        <w:t>ans typically only take effect ‘on the ground’</w:t>
      </w:r>
      <w:r w:rsidRPr="00E05649">
        <w:rPr>
          <w:rFonts w:ascii="Times New Roman" w:hAnsi="Times New Roman" w:cs="Times New Roman"/>
        </w:rPr>
        <w:t xml:space="preserve"> through constraints or considerations that they apply to licensing processes, alongside other statutory provisions. </w:t>
      </w:r>
      <w:r>
        <w:rPr>
          <w:rFonts w:ascii="Times New Roman" w:hAnsi="Times New Roman" w:cs="Times New Roman"/>
        </w:rPr>
        <w:t>To put it another way, the PC can only truly consider ‘</w:t>
      </w:r>
      <w:r w:rsidR="00186905">
        <w:rPr>
          <w:rFonts w:ascii="Times New Roman" w:hAnsi="Times New Roman" w:cs="Times New Roman"/>
        </w:rPr>
        <w:t>the outcomes to date of the NWI</w:t>
      </w:r>
      <w:r>
        <w:rPr>
          <w:rFonts w:ascii="Times New Roman" w:hAnsi="Times New Roman" w:cs="Times New Roman"/>
        </w:rPr>
        <w:t xml:space="preserve">’ (as per the terms of reference for this inquiry) </w:t>
      </w:r>
      <w:r w:rsidR="00186905">
        <w:rPr>
          <w:rFonts w:ascii="Times New Roman" w:hAnsi="Times New Roman" w:cs="Times New Roman"/>
        </w:rPr>
        <w:t xml:space="preserve">in relation to water plans </w:t>
      </w:r>
      <w:r>
        <w:rPr>
          <w:rFonts w:ascii="Times New Roman" w:hAnsi="Times New Roman" w:cs="Times New Roman"/>
        </w:rPr>
        <w:t>by considering the licensing processes that work alongside</w:t>
      </w:r>
      <w:r w:rsidR="00186905">
        <w:rPr>
          <w:rFonts w:ascii="Times New Roman" w:hAnsi="Times New Roman" w:cs="Times New Roman"/>
        </w:rPr>
        <w:t>, and implement,</w:t>
      </w:r>
      <w:r>
        <w:rPr>
          <w:rFonts w:ascii="Times New Roman" w:hAnsi="Times New Roman" w:cs="Times New Roman"/>
        </w:rPr>
        <w:t xml:space="preserve"> water plans. </w:t>
      </w:r>
      <w:r w:rsidRPr="00E05649">
        <w:rPr>
          <w:rFonts w:ascii="Times New Roman" w:hAnsi="Times New Roman" w:cs="Times New Roman"/>
        </w:rPr>
        <w:t xml:space="preserve">In addition, significant areas of Australia, </w:t>
      </w:r>
      <w:r>
        <w:rPr>
          <w:rFonts w:ascii="Times New Roman" w:hAnsi="Times New Roman" w:cs="Times New Roman"/>
        </w:rPr>
        <w:t xml:space="preserve">particularly those </w:t>
      </w:r>
      <w:r w:rsidRPr="00E05649">
        <w:rPr>
          <w:rFonts w:ascii="Times New Roman" w:hAnsi="Times New Roman" w:cs="Times New Roman"/>
        </w:rPr>
        <w:t>in which groundwater use is less intensive, lack water plans (or water plans that cover groundwater), although extraction there can have significant locali</w:t>
      </w:r>
      <w:r>
        <w:rPr>
          <w:rFonts w:ascii="Times New Roman" w:hAnsi="Times New Roman" w:cs="Times New Roman"/>
        </w:rPr>
        <w:t>s</w:t>
      </w:r>
      <w:r w:rsidRPr="00E05649">
        <w:rPr>
          <w:rFonts w:ascii="Times New Roman" w:hAnsi="Times New Roman" w:cs="Times New Roman"/>
        </w:rPr>
        <w:t>ed adverse impacts managed through licences or other arrangements.</w:t>
      </w:r>
      <w:r w:rsidRPr="00E05649">
        <w:rPr>
          <w:rStyle w:val="FootnoteReference"/>
          <w:rFonts w:ascii="Times New Roman" w:hAnsi="Times New Roman" w:cs="Times New Roman"/>
        </w:rPr>
        <w:footnoteReference w:id="14"/>
      </w:r>
      <w:r w:rsidRPr="00E05649">
        <w:rPr>
          <w:rFonts w:ascii="Times New Roman" w:eastAsia="Calibri" w:hAnsi="Times New Roman" w:cs="Times New Roman"/>
          <w:lang w:eastAsia="en-AU"/>
        </w:rPr>
        <w:t xml:space="preserve"> </w:t>
      </w:r>
    </w:p>
    <w:p w:rsidR="00186905" w:rsidRPr="00186905" w:rsidRDefault="00186905" w:rsidP="00186905">
      <w:pPr>
        <w:pStyle w:val="ListParagraph"/>
        <w:rPr>
          <w:rFonts w:ascii="Times New Roman" w:eastAsia="Calibri" w:hAnsi="Times New Roman" w:cs="Times New Roman"/>
          <w:lang w:eastAsia="en-AU"/>
        </w:rPr>
      </w:pPr>
    </w:p>
    <w:p w:rsidR="00186905" w:rsidRPr="00E05649" w:rsidRDefault="00186905" w:rsidP="00186905">
      <w:pPr>
        <w:pStyle w:val="ListParagraph"/>
        <w:numPr>
          <w:ilvl w:val="0"/>
          <w:numId w:val="3"/>
        </w:numPr>
        <w:pBdr>
          <w:top w:val="single" w:sz="4" w:space="1" w:color="auto"/>
          <w:left w:val="single" w:sz="4" w:space="4" w:color="auto"/>
          <w:bottom w:val="single" w:sz="4" w:space="1" w:color="auto"/>
          <w:right w:val="single" w:sz="4" w:space="4" w:color="auto"/>
        </w:pBdr>
        <w:rPr>
          <w:rFonts w:ascii="Times New Roman" w:eastAsia="Calibri" w:hAnsi="Times New Roman" w:cs="Times New Roman"/>
          <w:lang w:eastAsia="en-AU"/>
        </w:rPr>
      </w:pPr>
      <w:r w:rsidRPr="00186905">
        <w:rPr>
          <w:rFonts w:ascii="Times New Roman" w:eastAsia="Calibri" w:hAnsi="Times New Roman" w:cs="Times New Roman"/>
          <w:u w:val="single"/>
          <w:lang w:eastAsia="en-AU"/>
        </w:rPr>
        <w:t>Implications</w:t>
      </w:r>
      <w:r>
        <w:rPr>
          <w:rFonts w:ascii="Times New Roman" w:eastAsia="Calibri" w:hAnsi="Times New Roman" w:cs="Times New Roman"/>
          <w:lang w:eastAsia="en-AU"/>
        </w:rPr>
        <w:t>: A future incarnation of the NWI, and future assessments against the NWI or its successor, should consider water licensing processes</w:t>
      </w:r>
      <w:r w:rsidR="008962B2">
        <w:rPr>
          <w:rFonts w:ascii="Times New Roman" w:eastAsia="Calibri" w:hAnsi="Times New Roman" w:cs="Times New Roman"/>
          <w:lang w:eastAsia="en-AU"/>
        </w:rPr>
        <w:t xml:space="preserve"> and other non-water plan ways of achieving NWI objectives in relation to </w:t>
      </w:r>
      <w:r w:rsidR="00ED77CF">
        <w:rPr>
          <w:rFonts w:ascii="Times New Roman" w:eastAsia="Calibri" w:hAnsi="Times New Roman" w:cs="Times New Roman"/>
          <w:lang w:eastAsia="en-AU"/>
        </w:rPr>
        <w:t>groundwater diversions</w:t>
      </w:r>
      <w:r>
        <w:rPr>
          <w:rFonts w:ascii="Times New Roman" w:eastAsia="Calibri" w:hAnsi="Times New Roman" w:cs="Times New Roman"/>
          <w:lang w:eastAsia="en-AU"/>
        </w:rPr>
        <w:t>.</w:t>
      </w:r>
    </w:p>
    <w:p w:rsidR="00D84235" w:rsidRDefault="00D84235" w:rsidP="00234971">
      <w:pPr>
        <w:keepNext/>
        <w:rPr>
          <w:rFonts w:ascii="Times New Roman" w:hAnsi="Times New Roman" w:cs="Times New Roman"/>
        </w:rPr>
      </w:pPr>
      <w:r w:rsidRPr="008C77F3">
        <w:rPr>
          <w:rFonts w:ascii="Times New Roman" w:hAnsi="Times New Roman" w:cs="Times New Roman"/>
          <w:b/>
        </w:rPr>
        <w:t>Cumulative impacts in relation to groundwater withdrawals and indirect impacts on groundwater (for example, through land use change and other forms of interception activities)</w:t>
      </w:r>
    </w:p>
    <w:p w:rsidR="00B924D6" w:rsidRPr="00252B63" w:rsidRDefault="00FE1E68" w:rsidP="00252B63">
      <w:pPr>
        <w:pStyle w:val="ListParagraph"/>
        <w:numPr>
          <w:ilvl w:val="0"/>
          <w:numId w:val="3"/>
        </w:numPr>
        <w:rPr>
          <w:rFonts w:ascii="Times New Roman" w:hAnsi="Times New Roman" w:cs="Times New Roman"/>
        </w:rPr>
      </w:pPr>
      <w:r>
        <w:rPr>
          <w:rFonts w:ascii="Times New Roman" w:hAnsi="Times New Roman" w:cs="Times New Roman"/>
        </w:rPr>
        <w:t xml:space="preserve">The NWI </w:t>
      </w:r>
      <w:r w:rsidR="00B924D6">
        <w:rPr>
          <w:rFonts w:ascii="Times New Roman" w:hAnsi="Times New Roman" w:cs="Times New Roman"/>
        </w:rPr>
        <w:t xml:space="preserve">deals with </w:t>
      </w:r>
      <w:r>
        <w:rPr>
          <w:rFonts w:ascii="Times New Roman" w:hAnsi="Times New Roman" w:cs="Times New Roman"/>
        </w:rPr>
        <w:t xml:space="preserve">cumulative </w:t>
      </w:r>
      <w:r w:rsidRPr="00B924D6">
        <w:rPr>
          <w:rFonts w:ascii="Times New Roman" w:hAnsi="Times New Roman" w:cs="Times New Roman"/>
        </w:rPr>
        <w:t xml:space="preserve">impacts in various ways. </w:t>
      </w:r>
      <w:r w:rsidR="00ED77CF">
        <w:rPr>
          <w:rFonts w:ascii="Times New Roman" w:hAnsi="Times New Roman" w:cs="Times New Roman"/>
        </w:rPr>
        <w:t>Water plans are inherently a tool to manage cumulative impacts through aggregate water withdrawal caps. Indeed, e</w:t>
      </w:r>
      <w:r w:rsidR="00ED77CF" w:rsidRPr="008C77F3">
        <w:rPr>
          <w:rFonts w:ascii="Times New Roman" w:hAnsi="Times New Roman" w:cs="Times New Roman"/>
        </w:rPr>
        <w:t>arly in the development of academic thought about water plans, they were conceived as a key vehicle for precautionary ‘caps’ to control cumulative effects</w:t>
      </w:r>
      <w:bookmarkStart w:id="2" w:name="_Ref447221599"/>
      <w:r w:rsidR="00ED77CF">
        <w:rPr>
          <w:rFonts w:ascii="Times New Roman" w:hAnsi="Times New Roman" w:cs="Times New Roman"/>
        </w:rPr>
        <w:t>,</w:t>
      </w:r>
      <w:r w:rsidR="00ED77CF">
        <w:rPr>
          <w:rStyle w:val="FootnoteReference"/>
          <w:rFonts w:ascii="Times New Roman" w:hAnsi="Times New Roman" w:cs="Times New Roman"/>
        </w:rPr>
        <w:footnoteReference w:id="15"/>
      </w:r>
      <w:bookmarkEnd w:id="2"/>
      <w:r w:rsidR="00ED77CF">
        <w:rPr>
          <w:rFonts w:ascii="Times New Roman" w:hAnsi="Times New Roman" w:cs="Times New Roman"/>
        </w:rPr>
        <w:t xml:space="preserve"> rather than relying on licence-by-licence determinations. The NWI also recognises</w:t>
      </w:r>
      <w:r w:rsidR="00B924D6" w:rsidRPr="00252B63">
        <w:rPr>
          <w:rFonts w:ascii="Times New Roman" w:hAnsi="Times New Roman" w:cs="Times New Roman"/>
        </w:rPr>
        <w:t xml:space="preserve"> that </w:t>
      </w:r>
      <w:r w:rsidR="00ED77CF">
        <w:rPr>
          <w:rFonts w:ascii="Times New Roman" w:hAnsi="Times New Roman" w:cs="Times New Roman"/>
        </w:rPr>
        <w:t xml:space="preserve">the cumulative effects of </w:t>
      </w:r>
      <w:r w:rsidR="00B924D6" w:rsidRPr="00252B63">
        <w:rPr>
          <w:rFonts w:ascii="Times New Roman" w:hAnsi="Times New Roman" w:cs="Times New Roman"/>
        </w:rPr>
        <w:t xml:space="preserve">legally uncontrolled withdrawals threaten </w:t>
      </w:r>
      <w:r w:rsidR="00ED77CF">
        <w:rPr>
          <w:rFonts w:ascii="Times New Roman" w:hAnsi="Times New Roman" w:cs="Times New Roman"/>
        </w:rPr>
        <w:t xml:space="preserve">the security of </w:t>
      </w:r>
      <w:r w:rsidR="00B924D6" w:rsidRPr="00252B63">
        <w:rPr>
          <w:rFonts w:ascii="Times New Roman" w:hAnsi="Times New Roman" w:cs="Times New Roman"/>
        </w:rPr>
        <w:t>water entitlements</w:t>
      </w:r>
      <w:r w:rsidR="00ED77CF">
        <w:rPr>
          <w:rFonts w:ascii="Times New Roman" w:hAnsi="Times New Roman" w:cs="Times New Roman"/>
        </w:rPr>
        <w:t xml:space="preserve"> </w:t>
      </w:r>
      <w:r w:rsidR="00B924D6" w:rsidRPr="00252B63">
        <w:rPr>
          <w:rFonts w:ascii="Times New Roman" w:hAnsi="Times New Roman" w:cs="Times New Roman"/>
        </w:rPr>
        <w:t xml:space="preserve">and also environmental and </w:t>
      </w:r>
      <w:r w:rsidR="00F0519D">
        <w:rPr>
          <w:rFonts w:ascii="Times New Roman" w:hAnsi="Times New Roman" w:cs="Times New Roman"/>
        </w:rPr>
        <w:t xml:space="preserve">other </w:t>
      </w:r>
      <w:r w:rsidR="00B924D6" w:rsidRPr="00252B63">
        <w:rPr>
          <w:rFonts w:ascii="Times New Roman" w:hAnsi="Times New Roman" w:cs="Times New Roman"/>
        </w:rPr>
        <w:t>public benefit outcomes.</w:t>
      </w:r>
      <w:bookmarkStart w:id="3" w:name="_Ref447221705"/>
      <w:bookmarkEnd w:id="3"/>
      <w:r w:rsidR="00B924D6" w:rsidRPr="00252B63">
        <w:rPr>
          <w:rFonts w:ascii="Times New Roman" w:hAnsi="Times New Roman" w:cs="Times New Roman"/>
          <w:lang w:eastAsia="en-AU"/>
        </w:rPr>
        <w:t xml:space="preserve"> Its provisions in relation to interception activities </w:t>
      </w:r>
      <w:r w:rsidR="00ED77CF">
        <w:rPr>
          <w:rFonts w:ascii="Times New Roman" w:hAnsi="Times New Roman" w:cs="Times New Roman"/>
          <w:lang w:eastAsia="en-AU"/>
        </w:rPr>
        <w:t>seek</w:t>
      </w:r>
      <w:r w:rsidR="00B924D6" w:rsidRPr="00252B63">
        <w:rPr>
          <w:rFonts w:ascii="Times New Roman" w:hAnsi="Times New Roman" w:cs="Times New Roman"/>
          <w:lang w:eastAsia="en-AU"/>
        </w:rPr>
        <w:t xml:space="preserve"> to address this.</w:t>
      </w:r>
    </w:p>
    <w:p w:rsidR="00B924D6" w:rsidRDefault="00B924D6" w:rsidP="00D84235">
      <w:pPr>
        <w:pStyle w:val="ListParagraph"/>
        <w:rPr>
          <w:rFonts w:ascii="Times New Roman" w:hAnsi="Times New Roman" w:cs="Times New Roman"/>
        </w:rPr>
      </w:pPr>
    </w:p>
    <w:p w:rsidR="00B924D6" w:rsidRPr="00A9384E" w:rsidRDefault="00D84235" w:rsidP="00C6446B">
      <w:pPr>
        <w:pStyle w:val="ListParagraph"/>
        <w:numPr>
          <w:ilvl w:val="0"/>
          <w:numId w:val="3"/>
        </w:numPr>
        <w:rPr>
          <w:rFonts w:ascii="Times New Roman" w:hAnsi="Times New Roman" w:cs="Times New Roman"/>
        </w:rPr>
      </w:pPr>
      <w:r w:rsidRPr="00A9384E">
        <w:rPr>
          <w:rFonts w:ascii="Times New Roman" w:hAnsi="Times New Roman" w:cs="Times New Roman"/>
        </w:rPr>
        <w:t xml:space="preserve">The 2014 </w:t>
      </w:r>
      <w:r w:rsidR="003B61CE" w:rsidRPr="00A9384E">
        <w:rPr>
          <w:rFonts w:ascii="Times New Roman" w:hAnsi="Times New Roman" w:cs="Times New Roman"/>
        </w:rPr>
        <w:t>NWC</w:t>
      </w:r>
      <w:r w:rsidRPr="00A9384E">
        <w:rPr>
          <w:rFonts w:ascii="Times New Roman" w:hAnsi="Times New Roman" w:cs="Times New Roman"/>
        </w:rPr>
        <w:t xml:space="preserve"> assessment </w:t>
      </w:r>
      <w:r w:rsidR="00BC4EAC" w:rsidRPr="00A9384E">
        <w:rPr>
          <w:rFonts w:ascii="Times New Roman" w:hAnsi="Times New Roman" w:cs="Times New Roman"/>
        </w:rPr>
        <w:t xml:space="preserve">specifically mentioned </w:t>
      </w:r>
      <w:r w:rsidRPr="00A9384E">
        <w:rPr>
          <w:rFonts w:ascii="Times New Roman" w:hAnsi="Times New Roman" w:cs="Times New Roman"/>
        </w:rPr>
        <w:t>cumulative impacts</w:t>
      </w:r>
      <w:r w:rsidR="00BC4EAC" w:rsidRPr="00A9384E">
        <w:rPr>
          <w:rFonts w:ascii="Times New Roman" w:hAnsi="Times New Roman" w:cs="Times New Roman"/>
        </w:rPr>
        <w:t xml:space="preserve"> as deserving of particular concern (p 138)</w:t>
      </w:r>
      <w:r w:rsidR="00B924D6" w:rsidRPr="00A9384E">
        <w:rPr>
          <w:rFonts w:ascii="Times New Roman" w:hAnsi="Times New Roman" w:cs="Times New Roman"/>
        </w:rPr>
        <w:t xml:space="preserve">. </w:t>
      </w:r>
      <w:r w:rsidR="00052238" w:rsidRPr="00A9384E">
        <w:rPr>
          <w:rFonts w:ascii="Times New Roman" w:hAnsi="Times New Roman" w:cs="Times New Roman"/>
        </w:rPr>
        <w:t xml:space="preserve">In its assessment, </w:t>
      </w:r>
      <w:r w:rsidR="00B924D6" w:rsidRPr="00A9384E">
        <w:rPr>
          <w:rFonts w:ascii="Times New Roman" w:hAnsi="Times New Roman" w:cs="Times New Roman"/>
        </w:rPr>
        <w:t>‘no state or territory has fully implemented interception arrangements that meet the requirements of … the NWI’.</w:t>
      </w:r>
      <w:bookmarkStart w:id="4" w:name="_Ref447226013"/>
      <w:bookmarkEnd w:id="4"/>
      <w:r w:rsidR="00B924D6" w:rsidRPr="00252B63">
        <w:rPr>
          <w:rFonts w:ascii="Times New Roman" w:hAnsi="Times New Roman" w:cs="Times New Roman"/>
          <w:vertAlign w:val="superscript"/>
        </w:rPr>
        <w:footnoteReference w:id="16"/>
      </w:r>
      <w:r w:rsidR="00B924D6" w:rsidRPr="00A9384E">
        <w:rPr>
          <w:rFonts w:ascii="Times New Roman" w:hAnsi="Times New Roman" w:cs="Times New Roman"/>
        </w:rPr>
        <w:t xml:space="preserve"> </w:t>
      </w:r>
      <w:r w:rsidR="00A34DF9" w:rsidRPr="00A9384E">
        <w:rPr>
          <w:rFonts w:ascii="Times New Roman" w:hAnsi="Times New Roman" w:cs="Times New Roman"/>
        </w:rPr>
        <w:t xml:space="preserve">The PC draft report includes some discussion of cumulative impacts, noting the significant federal investment in bioregional assessments intended to assess the potential cumulative impacts of coal seam gas and large coal mining developments (p </w:t>
      </w:r>
      <w:r w:rsidR="00C978A5" w:rsidRPr="00A9384E">
        <w:rPr>
          <w:rFonts w:ascii="Times New Roman" w:hAnsi="Times New Roman" w:cs="Times New Roman"/>
        </w:rPr>
        <w:t xml:space="preserve">256). </w:t>
      </w:r>
      <w:r w:rsidR="00A9384E" w:rsidRPr="00A9384E">
        <w:rPr>
          <w:rFonts w:ascii="Times New Roman" w:hAnsi="Times New Roman" w:cs="Times New Roman"/>
        </w:rPr>
        <w:t>In relation to interception specifically, the PC draft report notes that ‘more could be done to meet objectives and outcomes of the NWI with respect to managing interception and water use that occurs outside of entitlements and planning arrangements</w:t>
      </w:r>
      <w:r w:rsidR="00A9384E">
        <w:rPr>
          <w:rFonts w:ascii="Times New Roman" w:hAnsi="Times New Roman" w:cs="Times New Roman"/>
        </w:rPr>
        <w:t>’ (p 317)</w:t>
      </w:r>
      <w:r w:rsidR="00A9384E" w:rsidRPr="00A9384E">
        <w:rPr>
          <w:rFonts w:ascii="Times New Roman" w:hAnsi="Times New Roman" w:cs="Times New Roman"/>
        </w:rPr>
        <w:t>.</w:t>
      </w:r>
    </w:p>
    <w:p w:rsidR="00D84235" w:rsidRDefault="00D84235" w:rsidP="00D84235">
      <w:pPr>
        <w:pStyle w:val="ListParagraph"/>
        <w:rPr>
          <w:rFonts w:ascii="Times New Roman" w:hAnsi="Times New Roman" w:cs="Times New Roman"/>
        </w:rPr>
      </w:pPr>
    </w:p>
    <w:p w:rsidR="00C978A5" w:rsidRDefault="00C978A5" w:rsidP="00C978A5">
      <w:pPr>
        <w:pStyle w:val="ListParagraph"/>
        <w:numPr>
          <w:ilvl w:val="0"/>
          <w:numId w:val="3"/>
        </w:numPr>
        <w:spacing w:after="0" w:line="240" w:lineRule="auto"/>
        <w:rPr>
          <w:rFonts w:ascii="Times New Roman" w:hAnsi="Times New Roman" w:cs="Times New Roman"/>
        </w:rPr>
      </w:pPr>
      <w:r w:rsidRPr="00C978A5">
        <w:rPr>
          <w:rFonts w:ascii="Times New Roman" w:hAnsi="Times New Roman" w:cs="Times New Roman"/>
        </w:rPr>
        <w:t>In the regulatory context, there is often little formal guidance about how to go about assessing and dealing with cumulative impacts in Australia.</w:t>
      </w:r>
      <w:r w:rsidRPr="00C978A5">
        <w:rPr>
          <w:rStyle w:val="FootnoteReference"/>
          <w:rFonts w:ascii="Times New Roman" w:hAnsi="Times New Roman" w:cs="Times New Roman"/>
        </w:rPr>
        <w:footnoteReference w:id="17"/>
      </w:r>
      <w:r w:rsidRPr="00C978A5">
        <w:rPr>
          <w:rFonts w:ascii="Times New Roman" w:hAnsi="Times New Roman" w:cs="Times New Roman"/>
          <w:lang w:eastAsia="en-AU"/>
        </w:rPr>
        <w:t xml:space="preserve"> The contribution of the NWI to guidance about cumulative impacts can be summarised as encouraging jurisdictions to expand their water governance frameworks to a wider range </w:t>
      </w:r>
      <w:r w:rsidR="00BC4EAC">
        <w:rPr>
          <w:rFonts w:ascii="Times New Roman" w:hAnsi="Times New Roman" w:cs="Times New Roman"/>
          <w:lang w:eastAsia="en-AU"/>
        </w:rPr>
        <w:t xml:space="preserve">of </w:t>
      </w:r>
      <w:r w:rsidRPr="00C978A5">
        <w:rPr>
          <w:rFonts w:ascii="Times New Roman" w:hAnsi="Times New Roman" w:cs="Times New Roman"/>
          <w:lang w:eastAsia="en-AU"/>
        </w:rPr>
        <w:t>stressors</w:t>
      </w:r>
      <w:r w:rsidR="00BC4EAC">
        <w:rPr>
          <w:rFonts w:ascii="Times New Roman" w:hAnsi="Times New Roman" w:cs="Times New Roman"/>
          <w:lang w:eastAsia="en-AU"/>
        </w:rPr>
        <w:t xml:space="preserve"> that may be individually minor</w:t>
      </w:r>
      <w:r w:rsidRPr="00C978A5">
        <w:rPr>
          <w:rFonts w:ascii="Times New Roman" w:hAnsi="Times New Roman" w:cs="Times New Roman"/>
          <w:lang w:eastAsia="en-AU"/>
        </w:rPr>
        <w:t xml:space="preserve">, </w:t>
      </w:r>
      <w:r w:rsidR="00BC4EAC">
        <w:rPr>
          <w:rFonts w:ascii="Times New Roman" w:hAnsi="Times New Roman" w:cs="Times New Roman"/>
          <w:lang w:eastAsia="en-AU"/>
        </w:rPr>
        <w:t xml:space="preserve">but </w:t>
      </w:r>
      <w:r w:rsidRPr="00C978A5">
        <w:rPr>
          <w:rFonts w:ascii="Times New Roman" w:hAnsi="Times New Roman" w:cs="Times New Roman"/>
          <w:lang w:eastAsia="en-AU"/>
        </w:rPr>
        <w:t>which may be collectively significant</w:t>
      </w:r>
      <w:r w:rsidR="00A9384E">
        <w:rPr>
          <w:rFonts w:ascii="Times New Roman" w:hAnsi="Times New Roman" w:cs="Times New Roman"/>
          <w:lang w:eastAsia="en-AU"/>
        </w:rPr>
        <w:t xml:space="preserve"> (ie interception activities)</w:t>
      </w:r>
      <w:r w:rsidRPr="00C978A5">
        <w:rPr>
          <w:rFonts w:ascii="Times New Roman" w:hAnsi="Times New Roman" w:cs="Times New Roman"/>
          <w:lang w:eastAsia="en-AU"/>
        </w:rPr>
        <w:t xml:space="preserve">. This responds to an important branch of the </w:t>
      </w:r>
      <w:r w:rsidRPr="00C978A5">
        <w:rPr>
          <w:rFonts w:ascii="Times New Roman" w:hAnsi="Times New Roman" w:cs="Times New Roman"/>
        </w:rPr>
        <w:t>scientific literature in relation to cumulative impacts</w:t>
      </w:r>
      <w:r>
        <w:rPr>
          <w:rFonts w:ascii="Times New Roman" w:hAnsi="Times New Roman" w:cs="Times New Roman"/>
        </w:rPr>
        <w:t>, which focuses on ensuring that a comprehensive range of stressors is considered</w:t>
      </w:r>
      <w:r w:rsidRPr="00C978A5">
        <w:rPr>
          <w:rFonts w:ascii="Times New Roman" w:hAnsi="Times New Roman" w:cs="Times New Roman"/>
        </w:rPr>
        <w:t xml:space="preserve">. However, it does not give any guidance about </w:t>
      </w:r>
      <w:r>
        <w:rPr>
          <w:rFonts w:ascii="Times New Roman" w:hAnsi="Times New Roman" w:cs="Times New Roman"/>
        </w:rPr>
        <w:t>the other elements of assessing and managing cumulative impacts that the scientific literature has established.</w:t>
      </w:r>
    </w:p>
    <w:p w:rsidR="00C978A5" w:rsidRPr="00C978A5" w:rsidRDefault="00C978A5" w:rsidP="00C978A5">
      <w:pPr>
        <w:pStyle w:val="ListParagraph"/>
        <w:rPr>
          <w:rFonts w:ascii="Times New Roman" w:hAnsi="Times New Roman" w:cs="Times New Roman"/>
        </w:rPr>
      </w:pPr>
    </w:p>
    <w:p w:rsidR="00C978A5" w:rsidRPr="00A42A22" w:rsidRDefault="00773611" w:rsidP="00C978A5">
      <w:pPr>
        <w:pStyle w:val="ListParagraph"/>
        <w:numPr>
          <w:ilvl w:val="0"/>
          <w:numId w:val="3"/>
        </w:numPr>
        <w:spacing w:after="0" w:line="240" w:lineRule="auto"/>
        <w:rPr>
          <w:rFonts w:ascii="Times New Roman" w:hAnsi="Times New Roman" w:cs="Times New Roman"/>
          <w:sz w:val="24"/>
          <w:szCs w:val="24"/>
          <w:lang w:eastAsia="en-AU"/>
        </w:rPr>
      </w:pPr>
      <w:r>
        <w:rPr>
          <w:rFonts w:ascii="Times New Roman" w:hAnsi="Times New Roman" w:cs="Times New Roman"/>
        </w:rPr>
        <w:t>Water</w:t>
      </w:r>
      <w:r w:rsidR="00A9384E">
        <w:rPr>
          <w:rFonts w:ascii="Times New Roman" w:hAnsi="Times New Roman" w:cs="Times New Roman"/>
        </w:rPr>
        <w:t xml:space="preserve"> p</w:t>
      </w:r>
      <w:r w:rsidR="00C978A5">
        <w:rPr>
          <w:rFonts w:ascii="Times New Roman" w:hAnsi="Times New Roman" w:cs="Times New Roman"/>
        </w:rPr>
        <w:t>olicy discussions about</w:t>
      </w:r>
      <w:r w:rsidR="00C978A5" w:rsidRPr="00C978A5">
        <w:rPr>
          <w:rFonts w:ascii="Times New Roman" w:hAnsi="Times New Roman" w:cs="Times New Roman"/>
        </w:rPr>
        <w:t xml:space="preserve"> cumulative impacts have focused on the cumulative impacts of individual minor, unregulated water extractions, and multiple regulated water extractions that tend to be considered in isolation</w:t>
      </w:r>
      <w:bookmarkStart w:id="5" w:name="_Ref447287038"/>
      <w:r w:rsidR="00C978A5" w:rsidRPr="00C978A5">
        <w:rPr>
          <w:rFonts w:ascii="Times New Roman" w:hAnsi="Times New Roman" w:cs="Times New Roman"/>
        </w:rPr>
        <w:t>,</w:t>
      </w:r>
      <w:bookmarkStart w:id="6" w:name="_Ref447290562"/>
      <w:r w:rsidR="00C978A5">
        <w:rPr>
          <w:rStyle w:val="FootnoteReference"/>
          <w:rFonts w:ascii="Times New Roman" w:hAnsi="Times New Roman" w:cs="Times New Roman"/>
        </w:rPr>
        <w:footnoteReference w:id="18"/>
      </w:r>
      <w:bookmarkEnd w:id="5"/>
      <w:bookmarkEnd w:id="6"/>
      <w:r w:rsidR="00C978A5" w:rsidRPr="00C978A5">
        <w:rPr>
          <w:rFonts w:ascii="Times New Roman" w:hAnsi="Times New Roman" w:cs="Times New Roman"/>
        </w:rPr>
        <w:t xml:space="preserve"> but have not yet analysed the underlying concepts at play in the notion of cumulative impacts. </w:t>
      </w:r>
      <w:r w:rsidR="00A9384E">
        <w:rPr>
          <w:rFonts w:ascii="Times New Roman" w:hAnsi="Times New Roman" w:cs="Times New Roman"/>
        </w:rPr>
        <w:t xml:space="preserve">These concepts go beyond interception activities, and a renewed NWI should reflect this. </w:t>
      </w:r>
      <w:r w:rsidR="00C978A5">
        <w:rPr>
          <w:rFonts w:ascii="Times New Roman" w:hAnsi="Times New Roman" w:cs="Times New Roman"/>
        </w:rPr>
        <w:t xml:space="preserve">Analysing groundwater characteristics and problems against a scientific understanding of cumulative impact suggests that a much broader set of issues and concepts are relevant to addressing them. These include recognising </w:t>
      </w:r>
      <w:r w:rsidR="00304942">
        <w:rPr>
          <w:rFonts w:ascii="Times New Roman" w:hAnsi="Times New Roman" w:cs="Times New Roman"/>
        </w:rPr>
        <w:t>the potential for non-accumulative responses or systemic or structural changes to natural systems</w:t>
      </w:r>
      <w:r w:rsidR="00304942" w:rsidRPr="00A42A22">
        <w:rPr>
          <w:rFonts w:ascii="Times New Roman" w:hAnsi="Times New Roman" w:cs="Times New Roman"/>
        </w:rPr>
        <w:t xml:space="preserve">, and exploring the potential for water-related offsets to manage cumulative impacts. I note that the </w:t>
      </w:r>
      <w:r w:rsidR="00A42A22" w:rsidRPr="00A42A22">
        <w:rPr>
          <w:rFonts w:ascii="Times New Roman" w:hAnsi="Times New Roman" w:cs="Times New Roman"/>
          <w:i/>
        </w:rPr>
        <w:t xml:space="preserve">National Groundwater Strategic Framework 2016–2026 </w:t>
      </w:r>
      <w:r w:rsidR="00A42A22" w:rsidRPr="00A42A22">
        <w:rPr>
          <w:rFonts w:ascii="Times New Roman" w:hAnsi="Times New Roman" w:cs="Times New Roman"/>
        </w:rPr>
        <w:t>calls for harmonised approaches to the use of ‘</w:t>
      </w:r>
      <w:r w:rsidR="00304942" w:rsidRPr="00A42A22">
        <w:rPr>
          <w:rFonts w:ascii="Times New Roman" w:hAnsi="Times New Roman" w:cs="Times New Roman"/>
        </w:rPr>
        <w:t>off-sets in resolving resource management decisions</w:t>
      </w:r>
      <w:r w:rsidR="00A42A22" w:rsidRPr="00A42A22">
        <w:rPr>
          <w:rFonts w:ascii="Times New Roman" w:hAnsi="Times New Roman" w:cs="Times New Roman"/>
        </w:rPr>
        <w:t>’ to ensure investor confidence.</w:t>
      </w:r>
      <w:r w:rsidR="00912E34">
        <w:rPr>
          <w:rStyle w:val="FootnoteReference"/>
          <w:rFonts w:ascii="Times New Roman" w:hAnsi="Times New Roman" w:cs="Times New Roman"/>
        </w:rPr>
        <w:footnoteReference w:id="19"/>
      </w:r>
      <w:r w:rsidR="00A42A22" w:rsidRPr="00A42A22">
        <w:rPr>
          <w:rFonts w:ascii="Times New Roman" w:hAnsi="Times New Roman" w:cs="Times New Roman"/>
        </w:rPr>
        <w:t xml:space="preserve"> A renewed NWI would be the most appropriate place to develop policy for such harmonisation. </w:t>
      </w:r>
    </w:p>
    <w:p w:rsidR="00C16C4D" w:rsidRPr="00C16C4D" w:rsidRDefault="00C16C4D" w:rsidP="00C16C4D">
      <w:pPr>
        <w:pStyle w:val="ListParagraph"/>
        <w:rPr>
          <w:rFonts w:ascii="Times New Roman" w:hAnsi="Times New Roman" w:cs="Times New Roman"/>
          <w:sz w:val="24"/>
          <w:szCs w:val="24"/>
          <w:lang w:eastAsia="en-AU"/>
        </w:rPr>
      </w:pPr>
    </w:p>
    <w:p w:rsidR="00C16C4D" w:rsidRDefault="00C16C4D" w:rsidP="00C16C4D">
      <w:pPr>
        <w:pStyle w:val="ListParagraph"/>
        <w:numPr>
          <w:ilvl w:val="0"/>
          <w:numId w:val="3"/>
        </w:numPr>
        <w:rPr>
          <w:rFonts w:ascii="Times New Roman" w:hAnsi="Times New Roman" w:cs="Times New Roman"/>
        </w:rPr>
      </w:pPr>
      <w:r>
        <w:rPr>
          <w:rFonts w:ascii="Times New Roman" w:hAnsi="Times New Roman" w:cs="Times New Roman"/>
        </w:rPr>
        <w:t xml:space="preserve">I </w:t>
      </w:r>
      <w:r w:rsidRPr="00ED77CF">
        <w:rPr>
          <w:rFonts w:ascii="Times New Roman" w:hAnsi="Times New Roman" w:cs="Times New Roman"/>
          <w:b/>
        </w:rPr>
        <w:t>attach</w:t>
      </w:r>
      <w:r>
        <w:rPr>
          <w:rFonts w:ascii="Times New Roman" w:hAnsi="Times New Roman" w:cs="Times New Roman"/>
        </w:rPr>
        <w:t xml:space="preserve"> a recent published paper dealing with groundwater and cumulative impacts</w:t>
      </w:r>
      <w:r w:rsidR="00304942">
        <w:rPr>
          <w:rFonts w:ascii="Times New Roman" w:hAnsi="Times New Roman" w:cs="Times New Roman"/>
        </w:rPr>
        <w:t>,</w:t>
      </w:r>
      <w:r w:rsidR="00304942">
        <w:rPr>
          <w:rStyle w:val="FootnoteReference"/>
          <w:rFonts w:ascii="Times New Roman" w:hAnsi="Times New Roman" w:cs="Times New Roman"/>
        </w:rPr>
        <w:footnoteReference w:id="20"/>
      </w:r>
      <w:r w:rsidR="00304942">
        <w:rPr>
          <w:rFonts w:ascii="Times New Roman" w:hAnsi="Times New Roman" w:cs="Times New Roman"/>
        </w:rPr>
        <w:t xml:space="preserve"> and a recent public paper dealing with water-related offsets (which are well-established in the western US, but largely unknown in a formal policy sense in Australia),</w:t>
      </w:r>
      <w:r w:rsidR="00304942">
        <w:rPr>
          <w:rStyle w:val="FootnoteReference"/>
          <w:rFonts w:ascii="Times New Roman" w:hAnsi="Times New Roman" w:cs="Times New Roman"/>
        </w:rPr>
        <w:footnoteReference w:id="21"/>
      </w:r>
      <w:r>
        <w:rPr>
          <w:rFonts w:ascii="Times New Roman" w:hAnsi="Times New Roman" w:cs="Times New Roman"/>
        </w:rPr>
        <w:t xml:space="preserve"> </w:t>
      </w:r>
      <w:r w:rsidR="00304942">
        <w:rPr>
          <w:rFonts w:ascii="Times New Roman" w:hAnsi="Times New Roman" w:cs="Times New Roman"/>
        </w:rPr>
        <w:t>to</w:t>
      </w:r>
      <w:r>
        <w:rPr>
          <w:rFonts w:ascii="Times New Roman" w:hAnsi="Times New Roman" w:cs="Times New Roman"/>
        </w:rPr>
        <w:t xml:space="preserve"> support </w:t>
      </w:r>
      <w:r w:rsidR="00304942">
        <w:rPr>
          <w:rFonts w:ascii="Times New Roman" w:hAnsi="Times New Roman" w:cs="Times New Roman"/>
        </w:rPr>
        <w:t xml:space="preserve">and further explain </w:t>
      </w:r>
      <w:r>
        <w:rPr>
          <w:rFonts w:ascii="Times New Roman" w:hAnsi="Times New Roman" w:cs="Times New Roman"/>
        </w:rPr>
        <w:t>these points.</w:t>
      </w:r>
    </w:p>
    <w:p w:rsidR="00C16C4D" w:rsidRPr="00C16C4D" w:rsidRDefault="00C16C4D" w:rsidP="00C16C4D">
      <w:pPr>
        <w:pStyle w:val="ListParagraph"/>
        <w:rPr>
          <w:rFonts w:ascii="Times New Roman" w:hAnsi="Times New Roman" w:cs="Times New Roman"/>
        </w:rPr>
      </w:pPr>
    </w:p>
    <w:p w:rsidR="00C978A5" w:rsidRDefault="00C16C4D" w:rsidP="00C16C4D">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C16C4D">
        <w:rPr>
          <w:rFonts w:ascii="Times New Roman" w:hAnsi="Times New Roman" w:cs="Times New Roman"/>
          <w:u w:val="single"/>
          <w:lang w:eastAsia="en-AU"/>
        </w:rPr>
        <w:t>Implications</w:t>
      </w:r>
      <w:r w:rsidRPr="00C16C4D">
        <w:rPr>
          <w:rFonts w:ascii="Times New Roman" w:hAnsi="Times New Roman" w:cs="Times New Roman"/>
          <w:lang w:eastAsia="en-AU"/>
        </w:rPr>
        <w:t xml:space="preserve">: a future revision of the NWI should expand its consideration of cumulative impacts </w:t>
      </w:r>
      <w:r w:rsidR="00A9384E">
        <w:rPr>
          <w:rFonts w:ascii="Times New Roman" w:hAnsi="Times New Roman" w:cs="Times New Roman"/>
          <w:lang w:eastAsia="en-AU"/>
        </w:rPr>
        <w:t>beyond</w:t>
      </w:r>
      <w:r w:rsidRPr="00C16C4D">
        <w:rPr>
          <w:rFonts w:ascii="Times New Roman" w:hAnsi="Times New Roman" w:cs="Times New Roman"/>
          <w:lang w:eastAsia="en-AU"/>
        </w:rPr>
        <w:t xml:space="preserve"> the important </w:t>
      </w:r>
      <w:r>
        <w:rPr>
          <w:rFonts w:ascii="Times New Roman" w:hAnsi="Times New Roman" w:cs="Times New Roman"/>
          <w:lang w:eastAsia="en-AU"/>
        </w:rPr>
        <w:t>challenge</w:t>
      </w:r>
      <w:r w:rsidRPr="00C16C4D">
        <w:rPr>
          <w:rFonts w:ascii="Times New Roman" w:hAnsi="Times New Roman" w:cs="Times New Roman"/>
          <w:lang w:eastAsia="en-AU"/>
        </w:rPr>
        <w:t xml:space="preserve"> of interception activities</w:t>
      </w:r>
      <w:r>
        <w:rPr>
          <w:rFonts w:ascii="Times New Roman" w:hAnsi="Times New Roman" w:cs="Times New Roman"/>
          <w:lang w:eastAsia="en-AU"/>
        </w:rPr>
        <w:t xml:space="preserve"> and more comprehensive consideration of stressors</w:t>
      </w:r>
      <w:r w:rsidR="00A9384E">
        <w:rPr>
          <w:rFonts w:ascii="Times New Roman" w:hAnsi="Times New Roman" w:cs="Times New Roman"/>
          <w:lang w:eastAsia="en-AU"/>
        </w:rPr>
        <w:t>. It should</w:t>
      </w:r>
      <w:r>
        <w:rPr>
          <w:rFonts w:ascii="Times New Roman" w:hAnsi="Times New Roman" w:cs="Times New Roman"/>
          <w:lang w:eastAsia="en-AU"/>
        </w:rPr>
        <w:t xml:space="preserve"> include guidance in relation to the broader scope of challenges that science recognises as relevant to </w:t>
      </w:r>
      <w:r w:rsidR="00A42A22">
        <w:rPr>
          <w:rFonts w:ascii="Times New Roman" w:hAnsi="Times New Roman" w:cs="Times New Roman"/>
          <w:lang w:eastAsia="en-AU"/>
        </w:rPr>
        <w:t>managing cumulative impacts, and the potential tools for managing these challenges, particularly offsets.</w:t>
      </w:r>
    </w:p>
    <w:p w:rsidR="00FE1E68" w:rsidRPr="007F2D27" w:rsidRDefault="00C16C4D" w:rsidP="007F2D27">
      <w:pPr>
        <w:rPr>
          <w:rFonts w:ascii="Times New Roman" w:hAnsi="Times New Roman" w:cs="Times New Roman"/>
          <w:b/>
        </w:rPr>
      </w:pPr>
      <w:r>
        <w:rPr>
          <w:rFonts w:ascii="Times New Roman" w:hAnsi="Times New Roman" w:cs="Times New Roman"/>
          <w:b/>
        </w:rPr>
        <w:br/>
      </w:r>
      <w:r w:rsidR="00FE1E68" w:rsidRPr="007F2D27">
        <w:rPr>
          <w:rFonts w:ascii="Times New Roman" w:hAnsi="Times New Roman" w:cs="Times New Roman"/>
          <w:b/>
        </w:rPr>
        <w:t>Water pla</w:t>
      </w:r>
      <w:r w:rsidR="0016734E">
        <w:rPr>
          <w:rFonts w:ascii="Times New Roman" w:hAnsi="Times New Roman" w:cs="Times New Roman"/>
          <w:b/>
        </w:rPr>
        <w:t xml:space="preserve">ns, </w:t>
      </w:r>
      <w:r w:rsidR="00FE1E68" w:rsidRPr="007F2D27">
        <w:rPr>
          <w:rFonts w:ascii="Times New Roman" w:hAnsi="Times New Roman" w:cs="Times New Roman"/>
          <w:b/>
        </w:rPr>
        <w:t>temporal scope</w:t>
      </w:r>
      <w:r w:rsidR="0016734E">
        <w:rPr>
          <w:rFonts w:ascii="Times New Roman" w:hAnsi="Times New Roman" w:cs="Times New Roman"/>
          <w:b/>
        </w:rPr>
        <w:t xml:space="preserve"> and non-renewable groundwater</w:t>
      </w:r>
    </w:p>
    <w:p w:rsidR="007F2D27" w:rsidRDefault="00FE1E68" w:rsidP="007F2D27">
      <w:pPr>
        <w:pStyle w:val="ListParagraph"/>
        <w:numPr>
          <w:ilvl w:val="0"/>
          <w:numId w:val="3"/>
        </w:numPr>
        <w:rPr>
          <w:rFonts w:ascii="Times New Roman" w:hAnsi="Times New Roman" w:cs="Times New Roman"/>
        </w:rPr>
      </w:pPr>
      <w:r w:rsidRPr="008C77F3">
        <w:rPr>
          <w:rFonts w:ascii="Times New Roman" w:hAnsi="Times New Roman" w:cs="Times New Roman"/>
        </w:rPr>
        <w:t>Water plans typically have a 10-year life</w:t>
      </w:r>
      <w:r w:rsidR="00185584">
        <w:rPr>
          <w:rFonts w:ascii="Times New Roman" w:hAnsi="Times New Roman" w:cs="Times New Roman"/>
        </w:rPr>
        <w:t xml:space="preserve"> before they are reviewed</w:t>
      </w:r>
      <w:r w:rsidRPr="008C77F3">
        <w:rPr>
          <w:rFonts w:ascii="Times New Roman" w:hAnsi="Times New Roman" w:cs="Times New Roman"/>
        </w:rPr>
        <w:t xml:space="preserve">. However, water plans and their parent legislation are often unclear about the time horizon to be applied to decisions about water entitlements or allocations that are affected by the plans. </w:t>
      </w:r>
      <w:r w:rsidR="00773611">
        <w:rPr>
          <w:rFonts w:ascii="Times New Roman" w:hAnsi="Times New Roman" w:cs="Times New Roman"/>
        </w:rPr>
        <w:t xml:space="preserve">In other words, to what extent should a 10-year water plan be concerned about impacts of management decisions that are likely to manifest in 50 or 100 years’ time? </w:t>
      </w:r>
      <w:r w:rsidRPr="008C77F3">
        <w:rPr>
          <w:rFonts w:ascii="Times New Roman" w:hAnsi="Times New Roman" w:cs="Times New Roman"/>
        </w:rPr>
        <w:t xml:space="preserve">This is </w:t>
      </w:r>
      <w:r w:rsidR="007F2D27">
        <w:rPr>
          <w:rFonts w:ascii="Times New Roman" w:hAnsi="Times New Roman" w:cs="Times New Roman"/>
        </w:rPr>
        <w:t>not likely to be</w:t>
      </w:r>
      <w:r w:rsidRPr="008C77F3">
        <w:rPr>
          <w:rFonts w:ascii="Times New Roman" w:hAnsi="Times New Roman" w:cs="Times New Roman"/>
        </w:rPr>
        <w:t xml:space="preserve"> problematic in the case of surface water, where a diversion will have relatively immediate impacts in the vicinity of the extraction, or at worst short-term impacts further downstream. </w:t>
      </w:r>
    </w:p>
    <w:p w:rsidR="007F2D27" w:rsidRDefault="007F2D27" w:rsidP="007F2D27">
      <w:pPr>
        <w:pStyle w:val="ListParagraph"/>
        <w:ind w:left="360"/>
        <w:rPr>
          <w:rFonts w:ascii="Times New Roman" w:hAnsi="Times New Roman" w:cs="Times New Roman"/>
        </w:rPr>
      </w:pPr>
    </w:p>
    <w:p w:rsidR="007F2D27" w:rsidRDefault="00FE1E68" w:rsidP="007F2D27">
      <w:pPr>
        <w:pStyle w:val="ListParagraph"/>
        <w:numPr>
          <w:ilvl w:val="0"/>
          <w:numId w:val="3"/>
        </w:numPr>
        <w:rPr>
          <w:rFonts w:ascii="Times New Roman" w:hAnsi="Times New Roman" w:cs="Times New Roman"/>
        </w:rPr>
      </w:pPr>
      <w:r w:rsidRPr="008C77F3">
        <w:rPr>
          <w:rFonts w:ascii="Times New Roman" w:hAnsi="Times New Roman" w:cs="Times New Roman"/>
        </w:rPr>
        <w:t xml:space="preserve">However, groundwater withdrawals can involve </w:t>
      </w:r>
      <w:r w:rsidR="00CC7DDC" w:rsidRPr="008C77F3">
        <w:rPr>
          <w:rFonts w:ascii="Times New Roman" w:hAnsi="Times New Roman" w:cs="Times New Roman"/>
        </w:rPr>
        <w:t>time-</w:t>
      </w:r>
      <w:r w:rsidRPr="008C77F3">
        <w:rPr>
          <w:rFonts w:ascii="Times New Roman" w:hAnsi="Times New Roman" w:cs="Times New Roman"/>
        </w:rPr>
        <w:t>lag</w:t>
      </w:r>
      <w:r w:rsidR="00CC7DDC" w:rsidRPr="008C77F3">
        <w:rPr>
          <w:rFonts w:ascii="Times New Roman" w:hAnsi="Times New Roman" w:cs="Times New Roman"/>
        </w:rPr>
        <w:t xml:space="preserve">ged impacts </w:t>
      </w:r>
      <w:r w:rsidRPr="008C77F3">
        <w:rPr>
          <w:rFonts w:ascii="Times New Roman" w:hAnsi="Times New Roman" w:cs="Times New Roman"/>
        </w:rPr>
        <w:t>on valued receptors (ecological receptors as well as other extraction points) that may extend</w:t>
      </w:r>
      <w:r w:rsidR="00CC7DDC" w:rsidRPr="008C77F3">
        <w:rPr>
          <w:rFonts w:ascii="Times New Roman" w:hAnsi="Times New Roman" w:cs="Times New Roman"/>
        </w:rPr>
        <w:t xml:space="preserve"> well</w:t>
      </w:r>
      <w:r w:rsidRPr="008C77F3">
        <w:rPr>
          <w:rFonts w:ascii="Times New Roman" w:hAnsi="Times New Roman" w:cs="Times New Roman"/>
        </w:rPr>
        <w:t xml:space="preserve"> beyond the life of a water plan. </w:t>
      </w:r>
      <w:r w:rsidR="00CC7DDC" w:rsidRPr="008C77F3">
        <w:rPr>
          <w:rFonts w:ascii="Times New Roman" w:hAnsi="Times New Roman" w:cs="Times New Roman"/>
        </w:rPr>
        <w:t xml:space="preserve">The NWI does not provide any guidance on how to deal with this, and this is not surprising, given </w:t>
      </w:r>
      <w:r w:rsidR="00912E34">
        <w:rPr>
          <w:rFonts w:ascii="Times New Roman" w:hAnsi="Times New Roman" w:cs="Times New Roman"/>
        </w:rPr>
        <w:t>the emphasis on</w:t>
      </w:r>
      <w:r w:rsidR="00CC7DDC" w:rsidRPr="008C77F3">
        <w:rPr>
          <w:rFonts w:ascii="Times New Roman" w:hAnsi="Times New Roman" w:cs="Times New Roman"/>
        </w:rPr>
        <w:t xml:space="preserve"> surface water </w:t>
      </w:r>
      <w:r w:rsidR="00912E34">
        <w:rPr>
          <w:rFonts w:ascii="Times New Roman" w:hAnsi="Times New Roman" w:cs="Times New Roman"/>
        </w:rPr>
        <w:t>at the time that it was signed</w:t>
      </w:r>
      <w:r w:rsidR="00CC7DDC" w:rsidRPr="008C77F3">
        <w:rPr>
          <w:rFonts w:ascii="Times New Roman" w:hAnsi="Times New Roman" w:cs="Times New Roman"/>
        </w:rPr>
        <w:t xml:space="preserve">. </w:t>
      </w:r>
    </w:p>
    <w:p w:rsidR="007F2D27" w:rsidRDefault="007F2D27" w:rsidP="007F2D27">
      <w:pPr>
        <w:pStyle w:val="ListParagraph"/>
        <w:ind w:left="360"/>
        <w:rPr>
          <w:rFonts w:ascii="Times New Roman" w:hAnsi="Times New Roman" w:cs="Times New Roman"/>
        </w:rPr>
      </w:pPr>
    </w:p>
    <w:p w:rsidR="007F2D27" w:rsidRDefault="00185584" w:rsidP="007F2D27">
      <w:pPr>
        <w:pStyle w:val="ListParagraph"/>
        <w:numPr>
          <w:ilvl w:val="0"/>
          <w:numId w:val="3"/>
        </w:numPr>
        <w:rPr>
          <w:rFonts w:ascii="Times New Roman" w:hAnsi="Times New Roman" w:cs="Times New Roman"/>
        </w:rPr>
      </w:pPr>
      <w:r>
        <w:rPr>
          <w:rFonts w:ascii="Times New Roman" w:hAnsi="Times New Roman" w:cs="Times New Roman"/>
        </w:rPr>
        <w:t xml:space="preserve">In the case of a water plan that deals with groundwater, it would not be appropriate to consider only the impacts of </w:t>
      </w:r>
      <w:r w:rsidR="00D02DE9">
        <w:rPr>
          <w:rFonts w:ascii="Times New Roman" w:hAnsi="Times New Roman" w:cs="Times New Roman"/>
        </w:rPr>
        <w:t>activities</w:t>
      </w:r>
      <w:r>
        <w:rPr>
          <w:rFonts w:ascii="Times New Roman" w:hAnsi="Times New Roman" w:cs="Times New Roman"/>
        </w:rPr>
        <w:t xml:space="preserve"> that would manifest during the life of the plan. </w:t>
      </w:r>
      <w:r w:rsidR="007F2D27">
        <w:rPr>
          <w:rFonts w:ascii="Times New Roman" w:hAnsi="Times New Roman" w:cs="Times New Roman"/>
        </w:rPr>
        <w:t>T</w:t>
      </w:r>
      <w:r w:rsidR="007F2D27" w:rsidRPr="007F2D27">
        <w:rPr>
          <w:rFonts w:ascii="Times New Roman" w:hAnsi="Times New Roman" w:cs="Times New Roman"/>
        </w:rPr>
        <w:t>he slow movement of groundwater means that pumping permitted over a decade</w:t>
      </w:r>
      <w:r w:rsidR="007F2D27">
        <w:rPr>
          <w:rFonts w:ascii="Times New Roman" w:hAnsi="Times New Roman" w:cs="Times New Roman"/>
        </w:rPr>
        <w:t>, for example,</w:t>
      </w:r>
      <w:r w:rsidR="007F2D27" w:rsidRPr="007F2D27">
        <w:rPr>
          <w:rFonts w:ascii="Times New Roman" w:hAnsi="Times New Roman" w:cs="Times New Roman"/>
        </w:rPr>
        <w:t xml:space="preserve"> could “lock in” undesirable outcomes </w:t>
      </w:r>
      <w:r w:rsidR="007F2D27">
        <w:rPr>
          <w:rFonts w:ascii="Times New Roman" w:hAnsi="Times New Roman" w:cs="Times New Roman"/>
        </w:rPr>
        <w:t xml:space="preserve">long </w:t>
      </w:r>
      <w:r w:rsidR="007F2D27" w:rsidRPr="007F2D27">
        <w:rPr>
          <w:rFonts w:ascii="Times New Roman" w:hAnsi="Times New Roman" w:cs="Times New Roman"/>
        </w:rPr>
        <w:t>into the future. These outcomes would be irreversible for non-renewable resources</w:t>
      </w:r>
      <w:r w:rsidR="007F2D27">
        <w:rPr>
          <w:rFonts w:ascii="Times New Roman" w:hAnsi="Times New Roman" w:cs="Times New Roman"/>
        </w:rPr>
        <w:t xml:space="preserve"> (that is, aquifers that receive little or no modern-day recharge)</w:t>
      </w:r>
      <w:r w:rsidR="007F2D27" w:rsidRPr="007F2D27">
        <w:rPr>
          <w:rFonts w:ascii="Times New Roman" w:hAnsi="Times New Roman" w:cs="Times New Roman"/>
        </w:rPr>
        <w:t>.</w:t>
      </w:r>
      <w:r w:rsidR="007F2D27">
        <w:rPr>
          <w:rFonts w:ascii="Times New Roman" w:hAnsi="Times New Roman" w:cs="Times New Roman"/>
        </w:rPr>
        <w:t xml:space="preserve"> </w:t>
      </w:r>
      <w:r w:rsidR="00773611">
        <w:rPr>
          <w:rFonts w:ascii="Times New Roman" w:hAnsi="Times New Roman" w:cs="Times New Roman"/>
        </w:rPr>
        <w:t>This cannot be ignored.</w:t>
      </w:r>
    </w:p>
    <w:p w:rsidR="007F2D27" w:rsidRPr="007F2D27" w:rsidRDefault="007F2D27" w:rsidP="007F2D27">
      <w:pPr>
        <w:pStyle w:val="ListParagraph"/>
        <w:rPr>
          <w:rFonts w:ascii="Times New Roman" w:hAnsi="Times New Roman" w:cs="Times New Roman"/>
        </w:rPr>
      </w:pPr>
    </w:p>
    <w:p w:rsidR="007F2D27" w:rsidRPr="007F2D27" w:rsidRDefault="007F2D27" w:rsidP="007F2D27">
      <w:pPr>
        <w:pStyle w:val="ListParagraph"/>
        <w:numPr>
          <w:ilvl w:val="0"/>
          <w:numId w:val="3"/>
        </w:numPr>
        <w:rPr>
          <w:rFonts w:ascii="Times New Roman" w:hAnsi="Times New Roman" w:cs="Times New Roman"/>
        </w:rPr>
      </w:pPr>
      <w:r>
        <w:rPr>
          <w:rFonts w:ascii="Times New Roman" w:hAnsi="Times New Roman" w:cs="Times New Roman"/>
        </w:rPr>
        <w:t>There is wide recognition that the non-renewable nature of some groundwater resources requires</w:t>
      </w:r>
      <w:r w:rsidR="00185584">
        <w:rPr>
          <w:rFonts w:ascii="Times New Roman" w:hAnsi="Times New Roman" w:cs="Times New Roman"/>
        </w:rPr>
        <w:t xml:space="preserve"> special consideration</w:t>
      </w:r>
      <w:r>
        <w:rPr>
          <w:rFonts w:ascii="Times New Roman" w:hAnsi="Times New Roman" w:cs="Times New Roman"/>
        </w:rPr>
        <w:t>. In better addressing groundwater, a future iteration of the NWI should expressly address non-renewable groundwater resources.</w:t>
      </w:r>
      <w:r w:rsidR="00912E34">
        <w:rPr>
          <w:rFonts w:ascii="Times New Roman" w:hAnsi="Times New Roman" w:cs="Times New Roman"/>
        </w:rPr>
        <w:t xml:space="preserve"> </w:t>
      </w:r>
      <w:r w:rsidR="00912E34" w:rsidRPr="00A42A22">
        <w:rPr>
          <w:rFonts w:ascii="Times New Roman" w:hAnsi="Times New Roman" w:cs="Times New Roman"/>
        </w:rPr>
        <w:t xml:space="preserve">I note that the </w:t>
      </w:r>
      <w:r w:rsidR="00912E34" w:rsidRPr="00A42A22">
        <w:rPr>
          <w:rFonts w:ascii="Times New Roman" w:hAnsi="Times New Roman" w:cs="Times New Roman"/>
          <w:i/>
        </w:rPr>
        <w:t xml:space="preserve">National Groundwater Strategic Framework 2016–2026 </w:t>
      </w:r>
      <w:r w:rsidR="0051064D">
        <w:rPr>
          <w:rFonts w:ascii="Times New Roman" w:hAnsi="Times New Roman" w:cs="Times New Roman"/>
        </w:rPr>
        <w:t xml:space="preserve">expressly </w:t>
      </w:r>
      <w:r w:rsidR="00912E34" w:rsidRPr="00A42A22">
        <w:rPr>
          <w:rFonts w:ascii="Times New Roman" w:hAnsi="Times New Roman" w:cs="Times New Roman"/>
        </w:rPr>
        <w:t xml:space="preserve">calls for harmonised </w:t>
      </w:r>
      <w:r w:rsidR="00912E34" w:rsidRPr="00185584">
        <w:rPr>
          <w:rFonts w:ascii="Times New Roman" w:hAnsi="Times New Roman" w:cs="Times New Roman"/>
        </w:rPr>
        <w:t xml:space="preserve">approaches to </w:t>
      </w:r>
      <w:r w:rsidR="00185584" w:rsidRPr="00185584">
        <w:rPr>
          <w:rFonts w:ascii="Times New Roman" w:hAnsi="Times New Roman" w:cs="Times New Roman"/>
        </w:rPr>
        <w:t>‘using groundwater that is not currently replenished (non-renewable resources), considering the needs of future generations’</w:t>
      </w:r>
      <w:r w:rsidR="00912E34" w:rsidRPr="00185584">
        <w:rPr>
          <w:rFonts w:ascii="Times New Roman" w:hAnsi="Times New Roman" w:cs="Times New Roman"/>
        </w:rPr>
        <w:t>.</w:t>
      </w:r>
      <w:r w:rsidR="00912E34" w:rsidRPr="00185584">
        <w:rPr>
          <w:rStyle w:val="FootnoteReference"/>
          <w:rFonts w:ascii="Times New Roman" w:hAnsi="Times New Roman" w:cs="Times New Roman"/>
        </w:rPr>
        <w:footnoteReference w:id="22"/>
      </w:r>
      <w:r w:rsidR="00912E34" w:rsidRPr="00A42A22">
        <w:rPr>
          <w:rFonts w:ascii="Times New Roman" w:hAnsi="Times New Roman" w:cs="Times New Roman"/>
        </w:rPr>
        <w:t xml:space="preserve"> A renewed NWI would be the most appropriate place to develop </w:t>
      </w:r>
      <w:r w:rsidR="0051064D">
        <w:rPr>
          <w:rFonts w:ascii="Times New Roman" w:hAnsi="Times New Roman" w:cs="Times New Roman"/>
        </w:rPr>
        <w:t xml:space="preserve">such harmonised </w:t>
      </w:r>
      <w:r w:rsidR="00912E34" w:rsidRPr="00A42A22">
        <w:rPr>
          <w:rFonts w:ascii="Times New Roman" w:hAnsi="Times New Roman" w:cs="Times New Roman"/>
        </w:rPr>
        <w:t>policy.</w:t>
      </w:r>
    </w:p>
    <w:p w:rsidR="007F2D27" w:rsidRPr="007F2D27" w:rsidRDefault="007F2D27" w:rsidP="007F2D27">
      <w:pPr>
        <w:pStyle w:val="ListParagraph"/>
        <w:rPr>
          <w:rFonts w:ascii="Times New Roman" w:hAnsi="Times New Roman" w:cs="Times New Roman"/>
        </w:rPr>
      </w:pPr>
    </w:p>
    <w:p w:rsidR="00FE1E68" w:rsidRDefault="007F2D27" w:rsidP="007F2D27">
      <w:pPr>
        <w:pStyle w:val="ListParagraph"/>
        <w:numPr>
          <w:ilvl w:val="0"/>
          <w:numId w:val="3"/>
        </w:numPr>
        <w:rPr>
          <w:rFonts w:ascii="Times New Roman" w:hAnsi="Times New Roman" w:cs="Times New Roman"/>
        </w:rPr>
      </w:pPr>
      <w:r>
        <w:rPr>
          <w:rFonts w:ascii="Times New Roman" w:hAnsi="Times New Roman" w:cs="Times New Roman"/>
        </w:rPr>
        <w:t>Even outside the context of non-renewable resources, t</w:t>
      </w:r>
      <w:r w:rsidR="00CC7DDC" w:rsidRPr="008C77F3">
        <w:rPr>
          <w:rFonts w:ascii="Times New Roman" w:hAnsi="Times New Roman" w:cs="Times New Roman"/>
        </w:rPr>
        <w:t xml:space="preserve">he issue of time lags in groundwater management is a critical element of considering our goals for groundwater sustainability and </w:t>
      </w:r>
      <w:r w:rsidR="00C8626E">
        <w:rPr>
          <w:rFonts w:ascii="Times New Roman" w:hAnsi="Times New Roman" w:cs="Times New Roman"/>
        </w:rPr>
        <w:t xml:space="preserve">for making sense of the concept of adaptive management, which the PC draft report highlights as only ‘partially achieved’ thus far (p 66). </w:t>
      </w:r>
      <w:r w:rsidR="0051064D">
        <w:rPr>
          <w:rFonts w:ascii="Times New Roman" w:hAnsi="Times New Roman" w:cs="Times New Roman"/>
        </w:rPr>
        <w:t>Time lags raise questions like ‘sustainable for how long?’ and ‘adaptation over what period of time?’ that are fundamental to these NWI concepts.</w:t>
      </w:r>
    </w:p>
    <w:p w:rsidR="00185584" w:rsidRPr="00185584" w:rsidRDefault="00185584" w:rsidP="00185584">
      <w:pPr>
        <w:pStyle w:val="ListParagraph"/>
        <w:rPr>
          <w:rFonts w:ascii="Times New Roman" w:hAnsi="Times New Roman" w:cs="Times New Roman"/>
        </w:rPr>
      </w:pPr>
    </w:p>
    <w:p w:rsidR="00185584" w:rsidRPr="00185584" w:rsidRDefault="00185584" w:rsidP="00185584">
      <w:pPr>
        <w:pStyle w:val="ListParagraph"/>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C16C4D">
        <w:rPr>
          <w:rFonts w:ascii="Times New Roman" w:hAnsi="Times New Roman" w:cs="Times New Roman"/>
          <w:u w:val="single"/>
          <w:lang w:eastAsia="en-AU"/>
        </w:rPr>
        <w:t>Implications</w:t>
      </w:r>
      <w:r w:rsidRPr="00C16C4D">
        <w:rPr>
          <w:rFonts w:ascii="Times New Roman" w:hAnsi="Times New Roman" w:cs="Times New Roman"/>
          <w:lang w:eastAsia="en-AU"/>
        </w:rPr>
        <w:t xml:space="preserve">: a future revision of the NWI should </w:t>
      </w:r>
      <w:r>
        <w:rPr>
          <w:rFonts w:ascii="Times New Roman" w:hAnsi="Times New Roman" w:cs="Times New Roman"/>
          <w:lang w:eastAsia="en-AU"/>
        </w:rPr>
        <w:t xml:space="preserve">explicitly consider </w:t>
      </w:r>
      <w:r w:rsidR="0016734E">
        <w:rPr>
          <w:rFonts w:ascii="Times New Roman" w:hAnsi="Times New Roman" w:cs="Times New Roman"/>
          <w:lang w:eastAsia="en-AU"/>
        </w:rPr>
        <w:t xml:space="preserve">principles for determining </w:t>
      </w:r>
      <w:r>
        <w:rPr>
          <w:rFonts w:ascii="Times New Roman" w:hAnsi="Times New Roman" w:cs="Times New Roman"/>
          <w:lang w:eastAsia="en-AU"/>
        </w:rPr>
        <w:t xml:space="preserve">the time-frame </w:t>
      </w:r>
      <w:r w:rsidR="0016734E">
        <w:rPr>
          <w:rFonts w:ascii="Times New Roman" w:hAnsi="Times New Roman" w:cs="Times New Roman"/>
          <w:lang w:eastAsia="en-AU"/>
        </w:rPr>
        <w:t xml:space="preserve">that a water plan should </w:t>
      </w:r>
      <w:r w:rsidR="00773611">
        <w:rPr>
          <w:rFonts w:ascii="Times New Roman" w:hAnsi="Times New Roman" w:cs="Times New Roman"/>
          <w:lang w:eastAsia="en-AU"/>
        </w:rPr>
        <w:t>consider in relation to impacts of management actions covered by the plan</w:t>
      </w:r>
      <w:r w:rsidR="0016734E">
        <w:rPr>
          <w:rFonts w:ascii="Times New Roman" w:hAnsi="Times New Roman" w:cs="Times New Roman"/>
          <w:lang w:eastAsia="en-AU"/>
        </w:rPr>
        <w:t>, and should explicitly consider policy approaches to using non-renewable groundwater</w:t>
      </w:r>
      <w:r>
        <w:rPr>
          <w:rFonts w:ascii="Times New Roman" w:hAnsi="Times New Roman" w:cs="Times New Roman"/>
          <w:lang w:eastAsia="en-AU"/>
        </w:rPr>
        <w:t>.</w:t>
      </w:r>
    </w:p>
    <w:sectPr w:rsidR="00185584" w:rsidRPr="0018558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C7" w:rsidRDefault="004E73C7" w:rsidP="00DB6806">
      <w:pPr>
        <w:spacing w:after="0" w:line="240" w:lineRule="auto"/>
      </w:pPr>
      <w:r>
        <w:separator/>
      </w:r>
    </w:p>
  </w:endnote>
  <w:endnote w:type="continuationSeparator" w:id="0">
    <w:p w:rsidR="004E73C7" w:rsidRDefault="004E73C7" w:rsidP="00DB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807458"/>
      <w:docPartObj>
        <w:docPartGallery w:val="Page Numbers (Bottom of Page)"/>
        <w:docPartUnique/>
      </w:docPartObj>
    </w:sdtPr>
    <w:sdtEndPr>
      <w:rPr>
        <w:noProof/>
      </w:rPr>
    </w:sdtEndPr>
    <w:sdtContent>
      <w:p w:rsidR="004E73C7" w:rsidRDefault="004E73C7">
        <w:pPr>
          <w:pStyle w:val="Footer"/>
          <w:jc w:val="right"/>
        </w:pPr>
        <w:r>
          <w:fldChar w:fldCharType="begin"/>
        </w:r>
        <w:r>
          <w:instrText xml:space="preserve"> PAGE   \* MERGEFORMAT </w:instrText>
        </w:r>
        <w:r>
          <w:fldChar w:fldCharType="separate"/>
        </w:r>
        <w:r w:rsidR="006C697D">
          <w:rPr>
            <w:noProof/>
          </w:rPr>
          <w:t>2</w:t>
        </w:r>
        <w:r>
          <w:rPr>
            <w:noProof/>
          </w:rPr>
          <w:fldChar w:fldCharType="end"/>
        </w:r>
      </w:p>
    </w:sdtContent>
  </w:sdt>
  <w:p w:rsidR="004E73C7" w:rsidRDefault="004E7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C7" w:rsidRDefault="004E73C7" w:rsidP="00DB6806">
      <w:pPr>
        <w:spacing w:after="0" w:line="240" w:lineRule="auto"/>
      </w:pPr>
      <w:r>
        <w:separator/>
      </w:r>
    </w:p>
  </w:footnote>
  <w:footnote w:type="continuationSeparator" w:id="0">
    <w:p w:rsidR="004E73C7" w:rsidRDefault="004E73C7" w:rsidP="00DB6806">
      <w:pPr>
        <w:spacing w:after="0" w:line="240" w:lineRule="auto"/>
      </w:pPr>
      <w:r>
        <w:continuationSeparator/>
      </w:r>
    </w:p>
  </w:footnote>
  <w:footnote w:id="1">
    <w:p w:rsidR="004E73C7" w:rsidRPr="00F0519D" w:rsidRDefault="004E73C7" w:rsidP="00252B63">
      <w:pPr>
        <w:pStyle w:val="FootnoteText"/>
        <w:rPr>
          <w:rFonts w:ascii="Times New Roman" w:hAnsi="Times New Roman" w:cs="Times New Roman"/>
          <w:lang w:val="en-US"/>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lang w:val="en-US"/>
        </w:rPr>
        <w:t xml:space="preserve">See NWC National Groundwater Action Plan projects - Vulnerability of Groundwater Dependent Ecosystems, archived at </w:t>
      </w:r>
      <w:hyperlink r:id="rId1" w:history="1">
        <w:r w:rsidRPr="00F0519D">
          <w:rPr>
            <w:rStyle w:val="Hyperlink"/>
            <w:rFonts w:ascii="Times New Roman" w:hAnsi="Times New Roman" w:cs="Times New Roman"/>
          </w:rPr>
          <w:t>http://webarchive.nla.gov.au/gov/20160615063314/http://archive.nwc.gov.au/rnws/ngap/groundwater-projects</w:t>
        </w:r>
      </w:hyperlink>
      <w:r w:rsidRPr="00F0519D">
        <w:rPr>
          <w:rFonts w:ascii="Times New Roman" w:hAnsi="Times New Roman" w:cs="Times New Roman"/>
        </w:rPr>
        <w:t xml:space="preserve">. </w:t>
      </w:r>
    </w:p>
  </w:footnote>
  <w:footnote w:id="2">
    <w:p w:rsidR="00BC4EAC" w:rsidRPr="00F0519D" w:rsidRDefault="00BC4EAC" w:rsidP="00BC4EAC">
      <w:pPr>
        <w:pStyle w:val="FootnoteText"/>
        <w:rPr>
          <w:rFonts w:ascii="Times New Roman" w:hAnsi="Times New Roman" w:cs="Times New Roman"/>
          <w:lang w:val="en-US" w:eastAsia="zh-C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noProof/>
        </w:rPr>
        <w:t xml:space="preserve">Sinclair Knight Merz Pty Ltd, </w:t>
      </w:r>
      <w:r w:rsidRPr="00F0519D">
        <w:rPr>
          <w:rFonts w:ascii="Times New Roman" w:hAnsi="Times New Roman" w:cs="Times New Roman"/>
          <w:i/>
          <w:noProof/>
        </w:rPr>
        <w:t xml:space="preserve">Environmental Water Requirements to Maintain Groundwater Dependent Ecosystems, </w:t>
      </w:r>
      <w:r w:rsidRPr="00F0519D">
        <w:rPr>
          <w:rFonts w:ascii="Times New Roman" w:hAnsi="Times New Roman" w:cs="Times New Roman"/>
          <w:noProof/>
        </w:rPr>
        <w:t>National River Health Program Environmental Flows Initiative Technical Report Number 2 (Environment Australia, 2001).</w:t>
      </w:r>
    </w:p>
  </w:footnote>
  <w:footnote w:id="3">
    <w:p w:rsidR="004E73C7" w:rsidRPr="00F0519D" w:rsidRDefault="004E73C7">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Bureau of Meteorology, GDE Atlas, </w:t>
      </w:r>
      <w:hyperlink r:id="rId2" w:history="1">
        <w:r w:rsidRPr="00F0519D">
          <w:rPr>
            <w:rStyle w:val="Hyperlink"/>
            <w:rFonts w:ascii="Times New Roman" w:hAnsi="Times New Roman" w:cs="Times New Roman"/>
          </w:rPr>
          <w:t>http://www.bom.gov.au/water/groundwater/gde/</w:t>
        </w:r>
      </w:hyperlink>
      <w:r w:rsidRPr="00F0519D">
        <w:rPr>
          <w:rFonts w:ascii="Times New Roman" w:hAnsi="Times New Roman" w:cs="Times New Roman"/>
        </w:rPr>
        <w:t xml:space="preserve">. </w:t>
      </w:r>
    </w:p>
  </w:footnote>
  <w:footnote w:id="4">
    <w:p w:rsidR="004E73C7" w:rsidRPr="00F0519D" w:rsidRDefault="004E73C7">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i/>
        </w:rPr>
        <w:t xml:space="preserve">National Groundwater Strategic Framework 2016–2026 </w:t>
      </w:r>
      <w:r w:rsidRPr="00F0519D">
        <w:rPr>
          <w:rFonts w:ascii="Times New Roman" w:hAnsi="Times New Roman" w:cs="Times New Roman"/>
        </w:rPr>
        <w:t>(2017) 3.</w:t>
      </w:r>
    </w:p>
  </w:footnote>
  <w:footnote w:id="5">
    <w:p w:rsidR="00857F2A" w:rsidRPr="00F0519D" w:rsidRDefault="00857F2A">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Rebecca Nelson and Philippe Quevauviller, “Groundwater Law” in Tony Jakeman, Olivier Barreteau, Randall Hunt, Jean-Daniel Rinaudo and Andrew Ross (eds), </w:t>
      </w:r>
      <w:r w:rsidRPr="00F0519D">
        <w:rPr>
          <w:rFonts w:ascii="Times New Roman" w:hAnsi="Times New Roman" w:cs="Times New Roman"/>
          <w:i/>
        </w:rPr>
        <w:t>Integrated Groundwater Management: Concepts, Approaches and Challenges</w:t>
      </w:r>
      <w:r w:rsidRPr="00F0519D">
        <w:rPr>
          <w:rFonts w:ascii="Times New Roman" w:hAnsi="Times New Roman" w:cs="Times New Roman"/>
        </w:rPr>
        <w:t xml:space="preserve"> (Springer Publishing, 2016) 173, 181.</w:t>
      </w:r>
    </w:p>
  </w:footnote>
  <w:footnote w:id="6">
    <w:p w:rsidR="006E0004" w:rsidRPr="00F0519D" w:rsidRDefault="006E0004">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Rebecca Nelson, </w:t>
      </w:r>
      <w:r w:rsidRPr="00F0519D">
        <w:rPr>
          <w:rFonts w:ascii="Times New Roman" w:hAnsi="Times New Roman" w:cs="Times New Roman"/>
          <w:i/>
        </w:rPr>
        <w:t>Groundwater Wells Versus Surface Water and Ecosystems: An Empirical Approach to Law and Policy Challenges and Solutions</w:t>
      </w:r>
      <w:r w:rsidRPr="00F0519D">
        <w:rPr>
          <w:rFonts w:ascii="Times New Roman" w:hAnsi="Times New Roman" w:cs="Times New Roman"/>
        </w:rPr>
        <w:t xml:space="preserve"> (Stanford University, JSD dissertation, 2014), available in the Stanford University digital repository, at </w:t>
      </w:r>
      <w:hyperlink r:id="rId3" w:history="1">
        <w:r w:rsidRPr="00F0519D">
          <w:rPr>
            <w:rStyle w:val="Hyperlink"/>
            <w:rFonts w:ascii="Times New Roman" w:hAnsi="Times New Roman" w:cs="Times New Roman"/>
          </w:rPr>
          <w:t>https://searchworks.stanford.edu/view/10531752</w:t>
        </w:r>
      </w:hyperlink>
      <w:r w:rsidRPr="00F0519D">
        <w:rPr>
          <w:rFonts w:ascii="Times New Roman" w:hAnsi="Times New Roman" w:cs="Times New Roman"/>
        </w:rPr>
        <w:t xml:space="preserve"> at 57.</w:t>
      </w:r>
    </w:p>
  </w:footnote>
  <w:footnote w:id="7">
    <w:p w:rsidR="004E73C7" w:rsidRPr="00F0519D" w:rsidRDefault="004E73C7" w:rsidP="00234971">
      <w:pPr>
        <w:pStyle w:val="FootnoteText"/>
        <w:rPr>
          <w:rFonts w:ascii="Times New Roman" w:hAnsi="Times New Roman" w:cs="Times New Roman"/>
          <w:lang w:val="en-US" w:eastAsia="zh-C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noProof/>
        </w:rPr>
        <w:t xml:space="preserve">Peter Cullen, 'Flying Blind: The Disconnect between Groundwater and Policy' (2006)  (19 September 2006) </w:t>
      </w:r>
      <w:r w:rsidRPr="00F0519D">
        <w:rPr>
          <w:rFonts w:ascii="Times New Roman" w:hAnsi="Times New Roman" w:cs="Times New Roman"/>
          <w:i/>
          <w:noProof/>
        </w:rPr>
        <w:t>10th Murray-Darling Basin Groundwater Workshop</w:t>
      </w:r>
      <w:r w:rsidRPr="00F0519D">
        <w:rPr>
          <w:rFonts w:ascii="Times New Roman" w:hAnsi="Times New Roman" w:cs="Times New Roman"/>
          <w:noProof/>
        </w:rPr>
        <w:t xml:space="preserve"> 4; National Water Commission, </w:t>
      </w:r>
      <w:r w:rsidRPr="00F0519D">
        <w:rPr>
          <w:rFonts w:ascii="Times New Roman" w:hAnsi="Times New Roman" w:cs="Times New Roman"/>
          <w:i/>
          <w:noProof/>
        </w:rPr>
        <w:t>The National Water Initiative - Securing Australia's Water Future: 2011 Assessment</w:t>
      </w:r>
      <w:r w:rsidRPr="00F0519D">
        <w:rPr>
          <w:rFonts w:ascii="Times New Roman" w:hAnsi="Times New Roman" w:cs="Times New Roman"/>
          <w:noProof/>
        </w:rPr>
        <w:t xml:space="preserve"> (National Water Commission (Australia), 2011) 100; I Fullagar, </w:t>
      </w:r>
      <w:r w:rsidRPr="00F0519D">
        <w:rPr>
          <w:rFonts w:ascii="Times New Roman" w:hAnsi="Times New Roman" w:cs="Times New Roman"/>
          <w:i/>
          <w:noProof/>
        </w:rPr>
        <w:t>Rivers &amp; Aquifers: Towards Conjunctive Water Management (Workshop proceedings)</w:t>
      </w:r>
      <w:r w:rsidRPr="00F0519D">
        <w:rPr>
          <w:rFonts w:ascii="Times New Roman" w:hAnsi="Times New Roman" w:cs="Times New Roman"/>
          <w:noProof/>
        </w:rPr>
        <w:t xml:space="preserve"> (Bureau of Rural Sciences, 2004) 2.</w:t>
      </w:r>
    </w:p>
  </w:footnote>
  <w:footnote w:id="8">
    <w:p w:rsidR="0011015E" w:rsidRPr="00F0519D" w:rsidRDefault="0011015E">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Rebecca Nelson, “Groundwater, Rivers and Ecosystems: Comparative Insights into Law and Policy for Making the Links” (June 2013) </w:t>
      </w:r>
      <w:r w:rsidRPr="00F0519D">
        <w:rPr>
          <w:rFonts w:ascii="Times New Roman" w:hAnsi="Times New Roman" w:cs="Times New Roman"/>
          <w:i/>
        </w:rPr>
        <w:t>Australian Environment Review</w:t>
      </w:r>
      <w:r w:rsidRPr="00F0519D">
        <w:rPr>
          <w:rFonts w:ascii="Times New Roman" w:hAnsi="Times New Roman" w:cs="Times New Roman"/>
        </w:rPr>
        <w:t xml:space="preserve"> 558, 559.</w:t>
      </w:r>
    </w:p>
  </w:footnote>
  <w:footnote w:id="9">
    <w:p w:rsidR="004E73C7" w:rsidRPr="00F0519D" w:rsidRDefault="004E73C7">
      <w:pPr>
        <w:pStyle w:val="FootnoteText"/>
        <w:rPr>
          <w:rFonts w:ascii="Times New Roman" w:hAnsi="Times New Roman" w:cs="Times New Roman"/>
        </w:rPr>
      </w:pPr>
      <w:r w:rsidRPr="00F0519D">
        <w:rPr>
          <w:rStyle w:val="FootnoteReference"/>
          <w:rFonts w:ascii="Times New Roman" w:hAnsi="Times New Roman" w:cs="Times New Roman"/>
        </w:rPr>
        <w:footnoteRef/>
      </w:r>
      <w:r w:rsidR="006C1EBA" w:rsidRPr="00F0519D">
        <w:rPr>
          <w:rFonts w:ascii="Times New Roman" w:hAnsi="Times New Roman" w:cs="Times New Roman"/>
        </w:rPr>
        <w:t xml:space="preserve"> See generally ibid</w:t>
      </w:r>
      <w:r w:rsidRPr="00F0519D">
        <w:rPr>
          <w:rFonts w:ascii="Times New Roman" w:hAnsi="Times New Roman" w:cs="Times New Roman"/>
        </w:rPr>
        <w:t>.</w:t>
      </w:r>
    </w:p>
  </w:footnote>
  <w:footnote w:id="10">
    <w:p w:rsidR="004E73C7" w:rsidRPr="00F0519D" w:rsidRDefault="004E73C7">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00773611">
        <w:rPr>
          <w:rFonts w:ascii="Times New Roman" w:hAnsi="Times New Roman" w:cs="Times New Roman"/>
        </w:rPr>
        <w:t xml:space="preserve">See generally </w:t>
      </w:r>
      <w:r w:rsidRPr="00F0519D">
        <w:rPr>
          <w:rFonts w:ascii="Times New Roman" w:hAnsi="Times New Roman" w:cs="Times New Roman"/>
        </w:rPr>
        <w:t xml:space="preserve">Nelson, </w:t>
      </w:r>
      <w:r w:rsidR="00773611">
        <w:rPr>
          <w:rFonts w:ascii="Times New Roman" w:hAnsi="Times New Roman" w:cs="Times New Roman"/>
        </w:rPr>
        <w:t>above n 6.</w:t>
      </w:r>
    </w:p>
  </w:footnote>
  <w:footnote w:id="11">
    <w:p w:rsidR="004E73C7" w:rsidRPr="00F0519D" w:rsidRDefault="004E73C7" w:rsidP="00234971">
      <w:pPr>
        <w:pStyle w:val="FootnoteText"/>
        <w:rPr>
          <w:rFonts w:ascii="Times New Roman" w:hAnsi="Times New Roman" w:cs="Times New Roman"/>
          <w:lang w:eastAsia="zh-C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noProof/>
        </w:rPr>
        <w:t xml:space="preserve">Moya Tomlinson, </w:t>
      </w:r>
      <w:r w:rsidRPr="00F0519D">
        <w:rPr>
          <w:rFonts w:ascii="Times New Roman" w:hAnsi="Times New Roman" w:cs="Times New Roman"/>
          <w:i/>
          <w:noProof/>
        </w:rPr>
        <w:t xml:space="preserve">Ecological Water Requirements of Groundwater Systems: A Knowledge and Policy Review, </w:t>
      </w:r>
      <w:r w:rsidRPr="00F0519D">
        <w:rPr>
          <w:rFonts w:ascii="Times New Roman" w:hAnsi="Times New Roman" w:cs="Times New Roman"/>
          <w:noProof/>
        </w:rPr>
        <w:t>Waterlines Report Series No 68, National Water Commission (National Water Commission, 2011) 38.</w:t>
      </w:r>
    </w:p>
  </w:footnote>
  <w:footnote w:id="12">
    <w:p w:rsidR="00F0519D" w:rsidRPr="00F0519D" w:rsidRDefault="00F0519D">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See generally </w:t>
      </w:r>
      <w:r>
        <w:rPr>
          <w:rFonts w:ascii="Times New Roman" w:hAnsi="Times New Roman" w:cs="Times New Roman"/>
        </w:rPr>
        <w:t xml:space="preserve">ibid. </w:t>
      </w:r>
    </w:p>
  </w:footnote>
  <w:footnote w:id="13">
    <w:p w:rsidR="0097478D" w:rsidRPr="00F0519D" w:rsidRDefault="0097478D" w:rsidP="0097478D">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i/>
        </w:rPr>
        <w:t xml:space="preserve">National Groundwater Strategic Framework 2016–2026 </w:t>
      </w:r>
      <w:r w:rsidRPr="00F0519D">
        <w:rPr>
          <w:rFonts w:ascii="Times New Roman" w:hAnsi="Times New Roman" w:cs="Times New Roman"/>
        </w:rPr>
        <w:t>(2017) 10.</w:t>
      </w:r>
    </w:p>
  </w:footnote>
  <w:footnote w:id="14">
    <w:p w:rsidR="004E73C7" w:rsidRPr="00F0519D" w:rsidRDefault="004E73C7" w:rsidP="005F7A97">
      <w:pPr>
        <w:pStyle w:val="FootnoteText"/>
        <w:rPr>
          <w:rFonts w:ascii="Times New Roman" w:hAnsi="Times New Roman" w:cs="Times New Roman"/>
          <w:lang w:val="en-US"/>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lang w:val="en-US"/>
        </w:rPr>
        <w:t xml:space="preserve">Eg declared </w:t>
      </w:r>
      <w:r w:rsidR="00B16441" w:rsidRPr="00F0519D">
        <w:rPr>
          <w:rFonts w:ascii="Times New Roman" w:hAnsi="Times New Roman" w:cs="Times New Roman"/>
          <w:lang w:val="en-US"/>
        </w:rPr>
        <w:t>underground water</w:t>
      </w:r>
      <w:r w:rsidRPr="00F0519D">
        <w:rPr>
          <w:rFonts w:ascii="Times New Roman" w:hAnsi="Times New Roman" w:cs="Times New Roman"/>
          <w:lang w:val="en-US"/>
        </w:rPr>
        <w:t xml:space="preserve"> areas in Queensland</w:t>
      </w:r>
      <w:r w:rsidR="00B16441" w:rsidRPr="00F0519D">
        <w:rPr>
          <w:rFonts w:ascii="Times New Roman" w:hAnsi="Times New Roman" w:cs="Times New Roman"/>
          <w:lang w:val="en-US"/>
        </w:rPr>
        <w:t xml:space="preserve">, in which regulations </w:t>
      </w:r>
      <w:r w:rsidR="0022691D" w:rsidRPr="00F0519D">
        <w:rPr>
          <w:rFonts w:ascii="Times New Roman" w:hAnsi="Times New Roman" w:cs="Times New Roman"/>
          <w:lang w:val="en-US"/>
        </w:rPr>
        <w:t>govern the taking of underground water in the absence of a water plan</w:t>
      </w:r>
      <w:r w:rsidRPr="00F0519D">
        <w:rPr>
          <w:rFonts w:ascii="Times New Roman" w:hAnsi="Times New Roman" w:cs="Times New Roman"/>
          <w:lang w:val="en-US"/>
        </w:rPr>
        <w:t xml:space="preserve">: </w:t>
      </w:r>
      <w:r w:rsidRPr="00F0519D">
        <w:rPr>
          <w:rFonts w:ascii="Times New Roman" w:hAnsi="Times New Roman" w:cs="Times New Roman"/>
          <w:i/>
          <w:lang w:val="en-US"/>
        </w:rPr>
        <w:t>Water Act 2000</w:t>
      </w:r>
      <w:r w:rsidRPr="00F0519D">
        <w:rPr>
          <w:rFonts w:ascii="Times New Roman" w:hAnsi="Times New Roman" w:cs="Times New Roman"/>
          <w:lang w:val="en-US"/>
        </w:rPr>
        <w:t xml:space="preserve"> (Qld) s 1046, </w:t>
      </w:r>
      <w:r w:rsidR="00B16441" w:rsidRPr="00F0519D">
        <w:rPr>
          <w:rFonts w:ascii="Times New Roman" w:hAnsi="Times New Roman" w:cs="Times New Roman"/>
          <w:lang w:val="en-US"/>
        </w:rPr>
        <w:t>Water Regulation 2016</w:t>
      </w:r>
      <w:r w:rsidRPr="00F0519D">
        <w:rPr>
          <w:rFonts w:ascii="Times New Roman" w:hAnsi="Times New Roman" w:cs="Times New Roman"/>
          <w:lang w:val="en-US"/>
        </w:rPr>
        <w:t xml:space="preserve"> (Qld) </w:t>
      </w:r>
      <w:r w:rsidR="00B16441" w:rsidRPr="00F0519D">
        <w:rPr>
          <w:rFonts w:ascii="Times New Roman" w:hAnsi="Times New Roman" w:cs="Times New Roman"/>
          <w:lang w:val="en-US"/>
        </w:rPr>
        <w:t>Pt 15 Div 2</w:t>
      </w:r>
      <w:r w:rsidRPr="00F0519D">
        <w:rPr>
          <w:rFonts w:ascii="Times New Roman" w:hAnsi="Times New Roman" w:cs="Times New Roman"/>
          <w:lang w:val="en-US"/>
        </w:rPr>
        <w:t xml:space="preserve">. </w:t>
      </w:r>
    </w:p>
  </w:footnote>
  <w:footnote w:id="15">
    <w:p w:rsidR="00ED77CF" w:rsidRPr="00F0519D" w:rsidRDefault="00ED77CF" w:rsidP="00ED77CF">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rPr>
        <w:fldChar w:fldCharType="begin"/>
      </w:r>
      <w:r w:rsidRPr="00F0519D">
        <w:rPr>
          <w:rFonts w:ascii="Times New Roman" w:hAnsi="Times New Roman" w:cs="Times New Roman"/>
        </w:rPr>
        <w:instrText xml:space="preserve"> ADDIN EN.CITE &lt;EndNote&gt;&lt;Cite&gt;&lt;Author&gt;Maher&lt;/Author&gt;&lt;Year&gt;2001&lt;/Year&gt;&lt;RecNum&gt;1898&lt;/RecNum&gt;&lt;Suffix&gt; 26&lt;/Suffix&gt;&lt;DisplayText&gt;Mary Maher, Jon Neville and Peter Nichols, &lt;style face="italic"&gt;Improving the Legilsative Basis for River Management in Australia (Stage 2 Report: Final Report)&lt;/style&gt; (2001) 26&lt;/DisplayText&gt;&lt;record&gt;&lt;rec-number&gt;1898&lt;/rec-number&gt;&lt;foreign-keys&gt;&lt;key app="EN" db-id="t22dwdv9orsvr2ezz5rxxfrf5f9z90we9xaz" timestamp="1444456516"&gt;1898&lt;/key&gt;&lt;/foreign-keys&gt;&lt;ref-type name="Book"&gt;6&lt;/ref-type&gt;&lt;contributors&gt;&lt;authors&gt;&lt;author&gt;Mary Maher&lt;/author&gt;&lt;author&gt;Jon Neville&lt;/author&gt;&lt;author&gt;Peter Nichols&lt;/author&gt;&lt;/authors&gt;&lt;/contributors&gt;&lt;titles&gt;&lt;title&gt;Improving the Legilsative Basis for River Management in Australia (Stage 2 Report: Final Report)&lt;/title&gt;&lt;/titles&gt;&lt;dates&gt;&lt;year&gt;2001&lt;/year&gt;&lt;/dates&gt;&lt;pub-location&gt;Canberra, ACT&lt;/pub-location&gt;&lt;publisher&gt;Land and Water Australia&lt;/publisher&gt;&lt;urls&gt;&lt;/urls&gt;&lt;/record&gt;&lt;/Cite&gt;&lt;/EndNote&gt;</w:instrText>
      </w:r>
      <w:r w:rsidRPr="00F0519D">
        <w:rPr>
          <w:rFonts w:ascii="Times New Roman" w:hAnsi="Times New Roman" w:cs="Times New Roman"/>
        </w:rPr>
        <w:fldChar w:fldCharType="separate"/>
      </w:r>
      <w:r w:rsidRPr="00F0519D">
        <w:rPr>
          <w:rFonts w:ascii="Times New Roman" w:hAnsi="Times New Roman" w:cs="Times New Roman"/>
          <w:noProof/>
        </w:rPr>
        <w:t xml:space="preserve">Maher M, Nevill J and Nichols P, </w:t>
      </w:r>
      <w:r w:rsidRPr="00F0519D">
        <w:rPr>
          <w:rFonts w:ascii="Times New Roman" w:hAnsi="Times New Roman" w:cs="Times New Roman"/>
          <w:i/>
          <w:noProof/>
        </w:rPr>
        <w:t>Improving the Legislative Basis for River Management in Australia (Stage 2 Report: Final Report)</w:t>
      </w:r>
      <w:r w:rsidRPr="00F0519D">
        <w:rPr>
          <w:rFonts w:ascii="Times New Roman" w:hAnsi="Times New Roman" w:cs="Times New Roman"/>
          <w:noProof/>
        </w:rPr>
        <w:t xml:space="preserve"> (2001) 26</w:t>
      </w:r>
      <w:r w:rsidRPr="00F0519D">
        <w:rPr>
          <w:rFonts w:ascii="Times New Roman" w:hAnsi="Times New Roman" w:cs="Times New Roman"/>
        </w:rPr>
        <w:fldChar w:fldCharType="end"/>
      </w:r>
      <w:r w:rsidRPr="00F0519D">
        <w:rPr>
          <w:rFonts w:ascii="Times New Roman" w:hAnsi="Times New Roman" w:cs="Times New Roman"/>
        </w:rPr>
        <w:t xml:space="preserve">, 59; </w:t>
      </w:r>
      <w:r w:rsidRPr="00F0519D">
        <w:rPr>
          <w:rFonts w:ascii="Times New Roman" w:hAnsi="Times New Roman" w:cs="Times New Roman"/>
        </w:rPr>
        <w:fldChar w:fldCharType="begin"/>
      </w:r>
      <w:r w:rsidRPr="00F0519D">
        <w:rPr>
          <w:rFonts w:ascii="Times New Roman" w:hAnsi="Times New Roman" w:cs="Times New Roman"/>
        </w:rPr>
        <w:instrText xml:space="preserve"> ADDIN EN.CITE &lt;EndNote&gt;&lt;Cite&gt;&lt;Author&gt;Neville&lt;/Author&gt;&lt;Year&gt;2003&lt;/Year&gt;&lt;RecNum&gt;1897&lt;/RecNum&gt;&lt;Suffix&gt; 85`, 88-89&lt;/Suffix&gt;&lt;DisplayText&gt;Jon Neville, &amp;apos;Managing the cumulative effects of incremental development in freshwater resources&amp;apos; (2003) 20(2) &lt;style face="italic"&gt;Environmental and Planning Law Journal&lt;/style&gt; 85, 88-89&lt;/DisplayText&gt;&lt;record&gt;&lt;rec-number&gt;1897&lt;/rec-number&gt;&lt;foreign-keys&gt;&lt;key app="EN" db-id="t22dwdv9orsvr2ezz5rxxfrf5f9z90we9xaz" timestamp="1444453318"&gt;1897&lt;/key&gt;&lt;/foreign-keys&gt;&lt;ref-type name="Journal Article"&gt;17&lt;/ref-type&gt;&lt;contributors&gt;&lt;authors&gt;&lt;author&gt;Jon Neville&lt;/author&gt;&lt;/authors&gt;&lt;/contributors&gt;&lt;titles&gt;&lt;title&gt;Managing the cumulative effects of incremental development in freshwater resources&lt;/title&gt;&lt;secondary-title&gt;Environmental and Planning Law Journal&lt;/secondary-title&gt;&lt;/titles&gt;&lt;periodical&gt;&lt;full-title&gt;Environmental and Planning Law Journal&lt;/full-title&gt;&lt;/periodical&gt;&lt;volume&gt;20&lt;/volume&gt;&lt;number&gt;2&lt;/number&gt;&lt;section&gt;85&lt;/section&gt;&lt;dates&gt;&lt;year&gt;2003&lt;/year&gt;&lt;/dates&gt;&lt;isbn&gt;0813-300X&lt;/isbn&gt;&lt;urls&gt;&lt;related-urls&gt;&lt;url&gt;http://sfx.unimelb.hosted.exlibrisgroup.com/sfxlcl41?sid=INFORMIT%3AAGISPT&amp;amp;genre=article&amp;amp;issn=0813-300X&amp;amp;title=Environmental%20and%20Planning%20Law%20Journal&amp;amp;rtf.jtitle=Environmental%20and%20Planning%20Law%20Journal&amp;amp;volume=20&amp;amp;issue=2&amp;amp;date=2003&amp;amp;atitle=Managing%20the%20cumulative%20effects%20of%20incremental%20development%20in%20freshwater%20resources.&amp;amp;spage=85&amp;amp;artnum=20031814%27&lt;/url&gt;&lt;/related-urls&gt;&lt;/urls&gt;&lt;/record&gt;&lt;/Cite&gt;&lt;/EndNote&gt;</w:instrText>
      </w:r>
      <w:r w:rsidRPr="00F0519D">
        <w:rPr>
          <w:rFonts w:ascii="Times New Roman" w:hAnsi="Times New Roman" w:cs="Times New Roman"/>
        </w:rPr>
        <w:fldChar w:fldCharType="separate"/>
      </w:r>
      <w:r w:rsidRPr="00F0519D">
        <w:rPr>
          <w:rFonts w:ascii="Times New Roman" w:hAnsi="Times New Roman" w:cs="Times New Roman"/>
          <w:noProof/>
        </w:rPr>
        <w:t xml:space="preserve">Nevill J, "Managing the Cumulative Effects of Incremental Development in Freshwater Resources" (2003) 20(2) </w:t>
      </w:r>
      <w:r w:rsidRPr="00F0519D">
        <w:rPr>
          <w:rFonts w:ascii="Times New Roman" w:hAnsi="Times New Roman" w:cs="Times New Roman"/>
          <w:i/>
          <w:noProof/>
        </w:rPr>
        <w:t>Environmental and Planning Law Journal</w:t>
      </w:r>
      <w:r w:rsidRPr="00F0519D">
        <w:rPr>
          <w:rFonts w:ascii="Times New Roman" w:hAnsi="Times New Roman" w:cs="Times New Roman"/>
          <w:noProof/>
        </w:rPr>
        <w:t xml:space="preserve"> 85</w:t>
      </w:r>
      <w:r w:rsidRPr="00F0519D">
        <w:rPr>
          <w:rFonts w:ascii="Times New Roman" w:hAnsi="Times New Roman" w:cs="Times New Roman"/>
        </w:rPr>
        <w:fldChar w:fldCharType="end"/>
      </w:r>
      <w:r w:rsidRPr="00F0519D">
        <w:rPr>
          <w:rFonts w:ascii="Times New Roman" w:hAnsi="Times New Roman" w:cs="Times New Roman"/>
        </w:rPr>
        <w:t xml:space="preserve"> at </w:t>
      </w:r>
      <w:r w:rsidRPr="00F0519D">
        <w:rPr>
          <w:rFonts w:ascii="Times New Roman" w:hAnsi="Times New Roman" w:cs="Times New Roman"/>
          <w:noProof/>
        </w:rPr>
        <w:t>88-89</w:t>
      </w:r>
      <w:r w:rsidRPr="00F0519D">
        <w:rPr>
          <w:rFonts w:ascii="Times New Roman" w:hAnsi="Times New Roman" w:cs="Times New Roman"/>
        </w:rPr>
        <w:t>.</w:t>
      </w:r>
    </w:p>
  </w:footnote>
  <w:footnote w:id="16">
    <w:p w:rsidR="004E73C7" w:rsidRPr="00F0519D" w:rsidRDefault="004E73C7" w:rsidP="00B924D6">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rPr>
        <w:fldChar w:fldCharType="begin"/>
      </w:r>
      <w:r w:rsidRPr="00F0519D">
        <w:rPr>
          <w:rFonts w:ascii="Times New Roman" w:hAnsi="Times New Roman" w:cs="Times New Roman"/>
        </w:rPr>
        <w:instrText xml:space="preserve"> ADDIN EN.CITE &lt;EndNote&gt;&lt;Cite&gt;&lt;Author&gt;National Water Commission&lt;/Author&gt;&lt;Year&gt;2014&lt;/Year&gt;&lt;RecNum&gt;1917&lt;/RecNum&gt;&lt;Suffix&gt; 33&lt;/Suffix&gt;&lt;DisplayText&gt;National Water Commission, Australia, &lt;style face="italic"&gt;Australia&amp;apos;s Water Blueprint: National Reform Assessment 2014&lt;/style&gt; (2014) 33&lt;/DisplayText&gt;&lt;record&gt;&lt;rec-number&gt;1917&lt;/rec-number&gt;&lt;foreign-keys&gt;&lt;key app="EN" db-id="t22dwdv9orsvr2ezz5rxxfrf5f9z90we9xaz" timestamp="1446292593"&gt;1917&lt;/key&gt;&lt;/foreign-keys&gt;&lt;ref-type name="Book"&gt;6&lt;/ref-type&gt;&lt;contributors&gt;&lt;authors&gt;&lt;author&gt;National Water Commission,, Australia&lt;/author&gt;&lt;/authors&gt;&lt;/contributors&gt;&lt;titles&gt;&lt;title&gt;Australia&amp;apos;s Water Blueprint: National Reform Assessment 2014&lt;/title&gt;&lt;/titles&gt;&lt;dates&gt;&lt;year&gt;2014&lt;/year&gt;&lt;/dates&gt;&lt;publisher&gt;National Water Commission, Australia&lt;/publisher&gt;&lt;urls&gt;&lt;/urls&gt;&lt;/record&gt;&lt;/Cite&gt;&lt;/EndNote&gt;</w:instrText>
      </w:r>
      <w:r w:rsidRPr="00F0519D">
        <w:rPr>
          <w:rFonts w:ascii="Times New Roman" w:hAnsi="Times New Roman" w:cs="Times New Roman"/>
        </w:rPr>
        <w:fldChar w:fldCharType="separate"/>
      </w:r>
      <w:r w:rsidRPr="00F0519D">
        <w:rPr>
          <w:rFonts w:ascii="Times New Roman" w:hAnsi="Times New Roman" w:cs="Times New Roman"/>
          <w:noProof/>
        </w:rPr>
        <w:t xml:space="preserve">National Water Commission, Australia, </w:t>
      </w:r>
      <w:r w:rsidRPr="00F0519D">
        <w:rPr>
          <w:rFonts w:ascii="Times New Roman" w:hAnsi="Times New Roman" w:cs="Times New Roman"/>
          <w:i/>
          <w:noProof/>
        </w:rPr>
        <w:t>Australia's Water Blueprint: National Reform Assessment 2014</w:t>
      </w:r>
      <w:r w:rsidRPr="00F0519D">
        <w:rPr>
          <w:rFonts w:ascii="Times New Roman" w:hAnsi="Times New Roman" w:cs="Times New Roman"/>
          <w:noProof/>
        </w:rPr>
        <w:t xml:space="preserve"> (2014) 33</w:t>
      </w:r>
      <w:r w:rsidRPr="00F0519D">
        <w:rPr>
          <w:rFonts w:ascii="Times New Roman" w:hAnsi="Times New Roman" w:cs="Times New Roman"/>
        </w:rPr>
        <w:fldChar w:fldCharType="end"/>
      </w:r>
      <w:r w:rsidRPr="00F0519D">
        <w:rPr>
          <w:rFonts w:ascii="Times New Roman" w:hAnsi="Times New Roman" w:cs="Times New Roman"/>
        </w:rPr>
        <w:t>.</w:t>
      </w:r>
    </w:p>
  </w:footnote>
  <w:footnote w:id="17">
    <w:p w:rsidR="00C978A5" w:rsidRPr="00F0519D" w:rsidRDefault="00C978A5" w:rsidP="00C978A5">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rPr>
        <w:fldChar w:fldCharType="begin"/>
      </w:r>
      <w:r w:rsidRPr="00F0519D">
        <w:rPr>
          <w:rFonts w:ascii="Times New Roman" w:hAnsi="Times New Roman" w:cs="Times New Roman"/>
        </w:rPr>
        <w:instrText xml:space="preserve"> ADDIN EN.CITE &lt;EndNote&gt;&lt;Cite&gt;&lt;Author&gt;Howe&lt;/Author&gt;&lt;Year&gt;2011&lt;/Year&gt;&lt;RecNum&gt;1903&lt;/RecNum&gt;&lt;Suffix&gt; 7.&lt;/Suffix&gt;&lt;DisplayText&gt;Paul Howe, &lt;style face="italic"&gt;Framework for assessing potential local and cumulative effects of mining on groundwater resources – project summary report, &lt;/style&gt;Waterlines (2011) 7.&lt;/DisplayText&gt;&lt;record&gt;&lt;rec-number&gt;1903&lt;/rec-number&gt;&lt;foreign-keys&gt;&lt;key app="EN" db-id="t22dwdv9orsvr2ezz5rxxfrf5f9z90we9xaz" timestamp="1445942464"&gt;1903&lt;/key&gt;&lt;/foreign-keys&gt;&lt;ref-type name="Book"&gt;6&lt;/ref-type&gt;&lt;contributors&gt;&lt;authors&gt;&lt;author&gt;Paul Howe&lt;/author&gt;&lt;/authors&gt;&lt;/contributors&gt;&lt;titles&gt;&lt;title&gt;Framework for assessing potential local and cumulative effects of mining on groundwater resources – project summary report&lt;/title&gt;&lt;secondary-title&gt;Waterlines&lt;/secondary-title&gt;&lt;/titles&gt;&lt;dates&gt;&lt;year&gt;2011&lt;/year&gt;&lt;/dates&gt;&lt;pub-location&gt;Canberra, ACT&lt;/pub-location&gt;&lt;publisher&gt;National Water Commission, Australia&lt;/publisher&gt;&lt;urls&gt;&lt;related-urls&gt;&lt;url&gt;http://archive.nwc.gov.au/__data/assets/pdf_file/0009/18558/59_Local_and_cumulative_effects_on_mining_on_groundwater_resources.pdf&lt;/url&gt;&lt;/related-urls&gt;&lt;/urls&gt;&lt;/record&gt;&lt;/Cite&gt;&lt;/EndNote&gt;</w:instrText>
      </w:r>
      <w:r w:rsidRPr="00F0519D">
        <w:rPr>
          <w:rFonts w:ascii="Times New Roman" w:hAnsi="Times New Roman" w:cs="Times New Roman"/>
        </w:rPr>
        <w:fldChar w:fldCharType="separate"/>
      </w:r>
      <w:r w:rsidRPr="00F0519D">
        <w:rPr>
          <w:rFonts w:ascii="Times New Roman" w:hAnsi="Times New Roman" w:cs="Times New Roman"/>
          <w:noProof/>
        </w:rPr>
        <w:t xml:space="preserve">Howe P, </w:t>
      </w:r>
      <w:r w:rsidRPr="00F0519D">
        <w:rPr>
          <w:rFonts w:ascii="Times New Roman" w:hAnsi="Times New Roman" w:cs="Times New Roman"/>
          <w:i/>
          <w:noProof/>
        </w:rPr>
        <w:t xml:space="preserve">Framework for Assessing Potential Local and Cumulative Effects of Mining on Groundwater Resources – Project Summary Report </w:t>
      </w:r>
      <w:r w:rsidRPr="00F0519D">
        <w:rPr>
          <w:rFonts w:ascii="Times New Roman" w:hAnsi="Times New Roman" w:cs="Times New Roman"/>
          <w:noProof/>
        </w:rPr>
        <w:t>(National Water Commission, Canberra, 2011) 7.</w:t>
      </w:r>
      <w:r w:rsidRPr="00F0519D">
        <w:rPr>
          <w:rFonts w:ascii="Times New Roman" w:hAnsi="Times New Roman" w:cs="Times New Roman"/>
        </w:rPr>
        <w:fldChar w:fldCharType="end"/>
      </w:r>
    </w:p>
  </w:footnote>
  <w:footnote w:id="18">
    <w:p w:rsidR="00C978A5" w:rsidRPr="00F0519D" w:rsidRDefault="00C978A5" w:rsidP="00C978A5">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Eg National Water Commission, </w:t>
      </w:r>
      <w:r w:rsidRPr="00F0519D">
        <w:rPr>
          <w:rFonts w:ascii="Times New Roman" w:hAnsi="Times New Roman" w:cs="Times New Roman"/>
          <w:i/>
        </w:rPr>
        <w:t>The National Water Initiative - Securing Australia's Water Future: 2011 Assessment</w:t>
      </w:r>
      <w:r w:rsidRPr="00F0519D">
        <w:rPr>
          <w:rFonts w:ascii="Times New Roman" w:hAnsi="Times New Roman" w:cs="Times New Roman"/>
        </w:rPr>
        <w:t xml:space="preserve"> (National Water Commission, Canberra, 2011) 44; </w:t>
      </w:r>
      <w:r w:rsidRPr="00F0519D">
        <w:rPr>
          <w:rFonts w:ascii="Times New Roman" w:hAnsi="Times New Roman" w:cs="Times New Roman"/>
        </w:rPr>
        <w:fldChar w:fldCharType="begin"/>
      </w:r>
      <w:r w:rsidRPr="00F0519D">
        <w:rPr>
          <w:rFonts w:ascii="Times New Roman" w:hAnsi="Times New Roman" w:cs="Times New Roman"/>
        </w:rPr>
        <w:instrText xml:space="preserve"> ADDIN EN.CITE &lt;EndNote&gt;&lt;Cite&gt;&lt;Author&gt;Neville&lt;/Author&gt;&lt;Year&gt;2003&lt;/Year&gt;&lt;RecNum&gt;1897&lt;/RecNum&gt;&lt;Suffix&gt; 85`, 88-89&lt;/Suffix&gt;&lt;DisplayText&gt;Jon Neville, &amp;apos;Managing the cumulative effects of incremental development in freshwater resources&amp;apos; (2003) 20(2) &lt;style face="italic"&gt;Environmental and Planning Law Journal&lt;/style&gt; 85, 88-89&lt;/DisplayText&gt;&lt;record&gt;&lt;rec-number&gt;1897&lt;/rec-number&gt;&lt;foreign-keys&gt;&lt;key app="EN" db-id="t22dwdv9orsvr2ezz5rxxfrf5f9z90we9xaz" timestamp="1444453318"&gt;1897&lt;/key&gt;&lt;/foreign-keys&gt;&lt;ref-type name="Journal Article"&gt;17&lt;/ref-type&gt;&lt;contributors&gt;&lt;authors&gt;&lt;author&gt;Jon Neville&lt;/author&gt;&lt;/authors&gt;&lt;/contributors&gt;&lt;titles&gt;&lt;title&gt;Managing the cumulative effects of incremental development in freshwater resources&lt;/title&gt;&lt;secondary-title&gt;Environmental and Planning Law Journal&lt;/secondary-title&gt;&lt;/titles&gt;&lt;periodical&gt;&lt;full-title&gt;Environmental and Planning Law Journal&lt;/full-title&gt;&lt;/periodical&gt;&lt;volume&gt;20&lt;/volume&gt;&lt;number&gt;2&lt;/number&gt;&lt;section&gt;85&lt;/section&gt;&lt;dates&gt;&lt;year&gt;2003&lt;/year&gt;&lt;/dates&gt;&lt;isbn&gt;0813-300X&lt;/isbn&gt;&lt;urls&gt;&lt;related-urls&gt;&lt;url&gt;http://sfx.unimelb.hosted.exlibrisgroup.com/sfxlcl41?sid=INFORMIT%3AAGISPT&amp;amp;genre=article&amp;amp;issn=0813-300X&amp;amp;title=Environmental%20and%20Planning%20Law%20Journal&amp;amp;rtf.jtitle=Environmental%20and%20Planning%20Law%20Journal&amp;amp;volume=20&amp;amp;issue=2&amp;amp;date=2003&amp;amp;atitle=Managing%20the%20cumulative%20effects%20of%20incremental%20development%20in%20freshwater%20resources.&amp;amp;spage=85&amp;amp;artnum=20031814%27&lt;/url&gt;&lt;/related-urls&gt;&lt;/urls&gt;&lt;/record&gt;&lt;/Cite&gt;&lt;/EndNote&gt;</w:instrText>
      </w:r>
      <w:r w:rsidRPr="00F0519D">
        <w:rPr>
          <w:rFonts w:ascii="Times New Roman" w:hAnsi="Times New Roman" w:cs="Times New Roman"/>
        </w:rPr>
        <w:fldChar w:fldCharType="separate"/>
      </w:r>
      <w:r w:rsidRPr="00F0519D">
        <w:rPr>
          <w:rFonts w:ascii="Times New Roman" w:hAnsi="Times New Roman" w:cs="Times New Roman"/>
          <w:noProof/>
        </w:rPr>
        <w:t xml:space="preserve">Nevill J, "Managing the Cumulative Effects of Incremental Development in Freshwater Resources" (2003) 20(2) </w:t>
      </w:r>
      <w:r w:rsidRPr="00F0519D">
        <w:rPr>
          <w:rFonts w:ascii="Times New Roman" w:hAnsi="Times New Roman" w:cs="Times New Roman"/>
          <w:i/>
          <w:noProof/>
        </w:rPr>
        <w:t>Environmental and Planning Law Journal</w:t>
      </w:r>
      <w:r w:rsidRPr="00F0519D">
        <w:rPr>
          <w:rFonts w:ascii="Times New Roman" w:hAnsi="Times New Roman" w:cs="Times New Roman"/>
          <w:noProof/>
        </w:rPr>
        <w:t xml:space="preserve"> 85</w:t>
      </w:r>
      <w:r w:rsidRPr="00F0519D">
        <w:rPr>
          <w:rFonts w:ascii="Times New Roman" w:hAnsi="Times New Roman" w:cs="Times New Roman"/>
        </w:rPr>
        <w:fldChar w:fldCharType="end"/>
      </w:r>
      <w:r w:rsidRPr="00F0519D">
        <w:rPr>
          <w:rFonts w:ascii="Times New Roman" w:hAnsi="Times New Roman" w:cs="Times New Roman"/>
        </w:rPr>
        <w:t xml:space="preserve">; Bubna-Litic K, “Fracking in Australia: The Future in South Australia?” 32 </w:t>
      </w:r>
      <w:r w:rsidRPr="00F0519D">
        <w:rPr>
          <w:rFonts w:ascii="Times New Roman" w:hAnsi="Times New Roman" w:cs="Times New Roman"/>
          <w:i/>
        </w:rPr>
        <w:t>Environmental and Planning Law Journal</w:t>
      </w:r>
      <w:r w:rsidRPr="00F0519D">
        <w:rPr>
          <w:rFonts w:ascii="Times New Roman" w:hAnsi="Times New Roman" w:cs="Times New Roman"/>
        </w:rPr>
        <w:t xml:space="preserve"> 437, 448. </w:t>
      </w:r>
      <w:r w:rsidRPr="00F0519D">
        <w:rPr>
          <w:rFonts w:ascii="Times New Roman" w:hAnsi="Times New Roman" w:cs="Times New Roman"/>
          <w:i/>
        </w:rPr>
        <w:t xml:space="preserve">Cf </w:t>
      </w:r>
      <w:r w:rsidRPr="00F0519D">
        <w:rPr>
          <w:rFonts w:ascii="Times New Roman" w:hAnsi="Times New Roman" w:cs="Times New Roman"/>
        </w:rPr>
        <w:t xml:space="preserve">Randall A, “Coal Seam Gas – Toward a Risk Management Framework for a Novel Intervention” (2012) 29 </w:t>
      </w:r>
      <w:r w:rsidRPr="00F0519D">
        <w:rPr>
          <w:rFonts w:ascii="Times New Roman" w:hAnsi="Times New Roman" w:cs="Times New Roman"/>
          <w:i/>
          <w:iCs/>
        </w:rPr>
        <w:t>Environmental and Planning Law Journal</w:t>
      </w:r>
      <w:r w:rsidRPr="00F0519D">
        <w:rPr>
          <w:rFonts w:ascii="Times New Roman" w:hAnsi="Times New Roman" w:cs="Times New Roman"/>
        </w:rPr>
        <w:t xml:space="preserve"> 152.</w:t>
      </w:r>
    </w:p>
  </w:footnote>
  <w:footnote w:id="19">
    <w:p w:rsidR="00912E34" w:rsidRPr="00F0519D" w:rsidRDefault="00912E34">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i/>
        </w:rPr>
        <w:t xml:space="preserve">National Groundwater Strategic Framework 2016–2026 </w:t>
      </w:r>
      <w:r w:rsidRPr="00F0519D">
        <w:rPr>
          <w:rFonts w:ascii="Times New Roman" w:hAnsi="Times New Roman" w:cs="Times New Roman"/>
        </w:rPr>
        <w:t>(2017) 9.</w:t>
      </w:r>
    </w:p>
  </w:footnote>
  <w:footnote w:id="20">
    <w:p w:rsidR="00304942" w:rsidRPr="00F0519D" w:rsidRDefault="00304942" w:rsidP="00304942">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Rebecca Nelson, “Broadening Regulatory Concepts and Responses to Cumulative Impacts: Considering the Trajectory and Future of Groundwater Law and Policy” (2016) 33(4) </w:t>
      </w:r>
      <w:r w:rsidRPr="00F0519D">
        <w:rPr>
          <w:rFonts w:ascii="Times New Roman" w:hAnsi="Times New Roman" w:cs="Times New Roman"/>
          <w:i/>
        </w:rPr>
        <w:t>Environmental and Planning Law Journal</w:t>
      </w:r>
      <w:r w:rsidRPr="00F0519D">
        <w:rPr>
          <w:rFonts w:ascii="Times New Roman" w:hAnsi="Times New Roman" w:cs="Times New Roman"/>
        </w:rPr>
        <w:t xml:space="preserve"> 356-371.</w:t>
      </w:r>
    </w:p>
  </w:footnote>
  <w:footnote w:id="21">
    <w:p w:rsidR="00304942" w:rsidRPr="00F0519D" w:rsidRDefault="00304942">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Rebecca Nelson, “Paying Back the River: A First Analysis of Western Groundwater Offset Rules and Lessons for Other Natural Resources” (2015) 34 </w:t>
      </w:r>
      <w:r w:rsidRPr="00F0519D">
        <w:rPr>
          <w:rFonts w:ascii="Times New Roman" w:hAnsi="Times New Roman" w:cs="Times New Roman"/>
          <w:i/>
        </w:rPr>
        <w:t>Stanford Environmental Law Journal</w:t>
      </w:r>
      <w:r w:rsidRPr="00F0519D">
        <w:rPr>
          <w:rFonts w:ascii="Times New Roman" w:hAnsi="Times New Roman" w:cs="Times New Roman"/>
        </w:rPr>
        <w:t xml:space="preserve"> 129-194.</w:t>
      </w:r>
    </w:p>
  </w:footnote>
  <w:footnote w:id="22">
    <w:p w:rsidR="00912E34" w:rsidRPr="00F0519D" w:rsidRDefault="00912E34">
      <w:pPr>
        <w:pStyle w:val="FootnoteText"/>
        <w:rPr>
          <w:rFonts w:ascii="Times New Roman" w:hAnsi="Times New Roman" w:cs="Times New Roman"/>
        </w:rPr>
      </w:pPr>
      <w:r w:rsidRPr="00F0519D">
        <w:rPr>
          <w:rStyle w:val="FootnoteReference"/>
          <w:rFonts w:ascii="Times New Roman" w:hAnsi="Times New Roman" w:cs="Times New Roman"/>
        </w:rPr>
        <w:footnoteRef/>
      </w:r>
      <w:r w:rsidRPr="00F0519D">
        <w:rPr>
          <w:rFonts w:ascii="Times New Roman" w:hAnsi="Times New Roman" w:cs="Times New Roman"/>
        </w:rPr>
        <w:t xml:space="preserve"> </w:t>
      </w:r>
      <w:r w:rsidRPr="00F0519D">
        <w:rPr>
          <w:rFonts w:ascii="Times New Roman" w:hAnsi="Times New Roman" w:cs="Times New Roman"/>
          <w:i/>
        </w:rPr>
        <w:t xml:space="preserve">National Groundwater Strategic Framework 2016–2026 </w:t>
      </w:r>
      <w:r w:rsidRPr="00F0519D">
        <w:rPr>
          <w:rFonts w:ascii="Times New Roman" w:hAnsi="Times New Roman" w:cs="Times New Roman"/>
        </w:rPr>
        <w:t>(2017)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AAD"/>
    <w:multiLevelType w:val="multilevel"/>
    <w:tmpl w:val="2B303802"/>
    <w:lvl w:ilvl="0">
      <w:start w:val="1"/>
      <w:numFmt w:val="decimal"/>
      <w:lvlText w:val="%1."/>
      <w:lvlJc w:val="left"/>
      <w:pPr>
        <w:ind w:left="360" w:hanging="360"/>
      </w:pPr>
    </w:lvl>
    <w:lvl w:ilvl="1">
      <w:numFmt w:val="bullet"/>
      <w:lvlText w:val=""/>
      <w:lvlJc w:val="left"/>
      <w:pPr>
        <w:ind w:left="792" w:hanging="432"/>
      </w:pPr>
      <w:rPr>
        <w:rFonts w:ascii="Symbol" w:eastAsiaTheme="minorHAnsi" w:hAnsi="Symbol"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5E2676"/>
    <w:multiLevelType w:val="multilevel"/>
    <w:tmpl w:val="2B303802"/>
    <w:lvl w:ilvl="0">
      <w:start w:val="1"/>
      <w:numFmt w:val="decimal"/>
      <w:lvlText w:val="%1."/>
      <w:lvlJc w:val="left"/>
      <w:pPr>
        <w:ind w:left="360" w:hanging="360"/>
      </w:pPr>
    </w:lvl>
    <w:lvl w:ilvl="1">
      <w:numFmt w:val="bullet"/>
      <w:lvlText w:val=""/>
      <w:lvlJc w:val="left"/>
      <w:pPr>
        <w:ind w:left="792" w:hanging="432"/>
      </w:pPr>
      <w:rPr>
        <w:rFonts w:ascii="Symbol" w:eastAsiaTheme="minorHAnsi" w:hAnsi="Symbol"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F64D58"/>
    <w:multiLevelType w:val="hybridMultilevel"/>
    <w:tmpl w:val="7830335E"/>
    <w:lvl w:ilvl="0" w:tplc="7712919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887059"/>
    <w:multiLevelType w:val="hybridMultilevel"/>
    <w:tmpl w:val="A31272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FE"/>
    <w:rsid w:val="000165BF"/>
    <w:rsid w:val="00052238"/>
    <w:rsid w:val="000601FE"/>
    <w:rsid w:val="000E2FC3"/>
    <w:rsid w:val="0011015E"/>
    <w:rsid w:val="00117FE1"/>
    <w:rsid w:val="0016734E"/>
    <w:rsid w:val="00180574"/>
    <w:rsid w:val="001832C0"/>
    <w:rsid w:val="00185584"/>
    <w:rsid w:val="00186905"/>
    <w:rsid w:val="001F10B9"/>
    <w:rsid w:val="00206457"/>
    <w:rsid w:val="0022691D"/>
    <w:rsid w:val="00234971"/>
    <w:rsid w:val="00252B63"/>
    <w:rsid w:val="00276785"/>
    <w:rsid w:val="0028593E"/>
    <w:rsid w:val="002C0629"/>
    <w:rsid w:val="00304942"/>
    <w:rsid w:val="00355A1F"/>
    <w:rsid w:val="003B61CE"/>
    <w:rsid w:val="0040567A"/>
    <w:rsid w:val="00447E06"/>
    <w:rsid w:val="0045401D"/>
    <w:rsid w:val="0047121E"/>
    <w:rsid w:val="004C00FE"/>
    <w:rsid w:val="004C6345"/>
    <w:rsid w:val="004E4CE9"/>
    <w:rsid w:val="004E73C7"/>
    <w:rsid w:val="005055C6"/>
    <w:rsid w:val="00506582"/>
    <w:rsid w:val="0051064D"/>
    <w:rsid w:val="00511A56"/>
    <w:rsid w:val="00514693"/>
    <w:rsid w:val="00544D8E"/>
    <w:rsid w:val="005F7A97"/>
    <w:rsid w:val="00611C6E"/>
    <w:rsid w:val="00630CFD"/>
    <w:rsid w:val="00673E71"/>
    <w:rsid w:val="00677FCE"/>
    <w:rsid w:val="006810E9"/>
    <w:rsid w:val="00691184"/>
    <w:rsid w:val="00694156"/>
    <w:rsid w:val="006A783D"/>
    <w:rsid w:val="006C1EBA"/>
    <w:rsid w:val="006C697D"/>
    <w:rsid w:val="006D3826"/>
    <w:rsid w:val="006D7409"/>
    <w:rsid w:val="006E0004"/>
    <w:rsid w:val="00742FC8"/>
    <w:rsid w:val="007433FE"/>
    <w:rsid w:val="00773611"/>
    <w:rsid w:val="007E5AE9"/>
    <w:rsid w:val="007F2D27"/>
    <w:rsid w:val="00831D75"/>
    <w:rsid w:val="00841A7C"/>
    <w:rsid w:val="00853449"/>
    <w:rsid w:val="00857F2A"/>
    <w:rsid w:val="00860A39"/>
    <w:rsid w:val="008962B2"/>
    <w:rsid w:val="008C77F3"/>
    <w:rsid w:val="00912E34"/>
    <w:rsid w:val="00915495"/>
    <w:rsid w:val="00953EE6"/>
    <w:rsid w:val="0097478D"/>
    <w:rsid w:val="00984ADF"/>
    <w:rsid w:val="009E33A6"/>
    <w:rsid w:val="00A22AAA"/>
    <w:rsid w:val="00A34DF9"/>
    <w:rsid w:val="00A42A22"/>
    <w:rsid w:val="00A45E17"/>
    <w:rsid w:val="00A604D1"/>
    <w:rsid w:val="00A9384E"/>
    <w:rsid w:val="00AD595C"/>
    <w:rsid w:val="00AF31A9"/>
    <w:rsid w:val="00B16441"/>
    <w:rsid w:val="00B924D6"/>
    <w:rsid w:val="00BC4EAC"/>
    <w:rsid w:val="00BC54DE"/>
    <w:rsid w:val="00C16C4D"/>
    <w:rsid w:val="00C2787A"/>
    <w:rsid w:val="00C776E8"/>
    <w:rsid w:val="00C8626E"/>
    <w:rsid w:val="00C978A5"/>
    <w:rsid w:val="00CC7DDC"/>
    <w:rsid w:val="00D02DE9"/>
    <w:rsid w:val="00D84235"/>
    <w:rsid w:val="00DB6806"/>
    <w:rsid w:val="00DC2751"/>
    <w:rsid w:val="00E05649"/>
    <w:rsid w:val="00E21263"/>
    <w:rsid w:val="00E372E2"/>
    <w:rsid w:val="00E50401"/>
    <w:rsid w:val="00E52429"/>
    <w:rsid w:val="00E71576"/>
    <w:rsid w:val="00E924C0"/>
    <w:rsid w:val="00EB7461"/>
    <w:rsid w:val="00ED77CF"/>
    <w:rsid w:val="00F0519D"/>
    <w:rsid w:val="00F2117B"/>
    <w:rsid w:val="00F769D0"/>
    <w:rsid w:val="00FC66DC"/>
    <w:rsid w:val="00FE1E68"/>
    <w:rsid w:val="00FF2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169A1B8-30B5-45ED-85E4-EB0560CD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0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52B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0F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94156"/>
    <w:pPr>
      <w:ind w:left="720"/>
      <w:contextualSpacing/>
    </w:pPr>
  </w:style>
  <w:style w:type="paragraph" w:styleId="Title">
    <w:name w:val="Title"/>
    <w:basedOn w:val="Normal"/>
    <w:next w:val="Normal"/>
    <w:link w:val="TitleChar"/>
    <w:uiPriority w:val="10"/>
    <w:qFormat/>
    <w:rsid w:val="004C63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34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B6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06"/>
  </w:style>
  <w:style w:type="paragraph" w:styleId="Footer">
    <w:name w:val="footer"/>
    <w:basedOn w:val="Normal"/>
    <w:link w:val="FooterChar"/>
    <w:uiPriority w:val="99"/>
    <w:unhideWhenUsed/>
    <w:rsid w:val="00DB6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06"/>
  </w:style>
  <w:style w:type="paragraph" w:styleId="FootnoteText">
    <w:name w:val="footnote text"/>
    <w:basedOn w:val="Normal"/>
    <w:link w:val="FootnoteTextChar"/>
    <w:uiPriority w:val="99"/>
    <w:semiHidden/>
    <w:unhideWhenUsed/>
    <w:rsid w:val="00B92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4D6"/>
    <w:rPr>
      <w:sz w:val="20"/>
      <w:szCs w:val="20"/>
    </w:rPr>
  </w:style>
  <w:style w:type="character" w:styleId="FootnoteReference">
    <w:name w:val="footnote reference"/>
    <w:basedOn w:val="DefaultParagraphFont"/>
    <w:uiPriority w:val="99"/>
    <w:semiHidden/>
    <w:unhideWhenUsed/>
    <w:rsid w:val="00B924D6"/>
    <w:rPr>
      <w:vertAlign w:val="superscript"/>
    </w:rPr>
  </w:style>
  <w:style w:type="character" w:styleId="Hyperlink">
    <w:name w:val="Hyperlink"/>
    <w:basedOn w:val="DefaultParagraphFont"/>
    <w:uiPriority w:val="99"/>
    <w:unhideWhenUsed/>
    <w:rsid w:val="00544D8E"/>
    <w:rPr>
      <w:color w:val="0563C1" w:themeColor="hyperlink"/>
      <w:u w:val="single"/>
    </w:rPr>
  </w:style>
  <w:style w:type="character" w:customStyle="1" w:styleId="Heading4Char">
    <w:name w:val="Heading 4 Char"/>
    <w:basedOn w:val="DefaultParagraphFont"/>
    <w:link w:val="Heading4"/>
    <w:uiPriority w:val="9"/>
    <w:semiHidden/>
    <w:rsid w:val="00252B63"/>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semiHidden/>
    <w:unhideWhenUsed/>
    <w:rsid w:val="0045401D"/>
    <w:pPr>
      <w:spacing w:after="0" w:line="240" w:lineRule="auto"/>
      <w:ind w:left="720"/>
    </w:pPr>
    <w:rPr>
      <w:rFonts w:ascii="Arial" w:hAnsi="Arial" w:cs="Times New Roman"/>
      <w:sz w:val="20"/>
      <w:szCs w:val="20"/>
      <w:lang w:eastAsia="zh-CN"/>
    </w:rPr>
  </w:style>
  <w:style w:type="character" w:customStyle="1" w:styleId="EndnoteTextChar">
    <w:name w:val="Endnote Text Char"/>
    <w:basedOn w:val="DefaultParagraphFont"/>
    <w:link w:val="EndnoteText"/>
    <w:uiPriority w:val="99"/>
    <w:semiHidden/>
    <w:rsid w:val="0045401D"/>
    <w:rPr>
      <w:rFonts w:ascii="Arial" w:hAnsi="Arial" w:cs="Times New Roman"/>
      <w:sz w:val="20"/>
      <w:szCs w:val="20"/>
      <w:lang w:eastAsia="zh-CN"/>
    </w:rPr>
  </w:style>
  <w:style w:type="character" w:styleId="EndnoteReference">
    <w:name w:val="endnote reference"/>
    <w:basedOn w:val="DefaultParagraphFont"/>
    <w:semiHidden/>
    <w:unhideWhenUsed/>
    <w:rsid w:val="00454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949">
      <w:bodyDiv w:val="1"/>
      <w:marLeft w:val="0"/>
      <w:marRight w:val="0"/>
      <w:marTop w:val="0"/>
      <w:marBottom w:val="0"/>
      <w:divBdr>
        <w:top w:val="none" w:sz="0" w:space="0" w:color="auto"/>
        <w:left w:val="none" w:sz="0" w:space="0" w:color="auto"/>
        <w:bottom w:val="none" w:sz="0" w:space="0" w:color="auto"/>
        <w:right w:val="none" w:sz="0" w:space="0" w:color="auto"/>
      </w:divBdr>
    </w:div>
    <w:div w:id="179512355">
      <w:bodyDiv w:val="1"/>
      <w:marLeft w:val="0"/>
      <w:marRight w:val="0"/>
      <w:marTop w:val="0"/>
      <w:marBottom w:val="0"/>
      <w:divBdr>
        <w:top w:val="none" w:sz="0" w:space="0" w:color="auto"/>
        <w:left w:val="none" w:sz="0" w:space="0" w:color="auto"/>
        <w:bottom w:val="none" w:sz="0" w:space="0" w:color="auto"/>
        <w:right w:val="none" w:sz="0" w:space="0" w:color="auto"/>
      </w:divBdr>
    </w:div>
    <w:div w:id="217012048">
      <w:bodyDiv w:val="1"/>
      <w:marLeft w:val="0"/>
      <w:marRight w:val="0"/>
      <w:marTop w:val="0"/>
      <w:marBottom w:val="0"/>
      <w:divBdr>
        <w:top w:val="none" w:sz="0" w:space="0" w:color="auto"/>
        <w:left w:val="none" w:sz="0" w:space="0" w:color="auto"/>
        <w:bottom w:val="none" w:sz="0" w:space="0" w:color="auto"/>
        <w:right w:val="none" w:sz="0" w:space="0" w:color="auto"/>
      </w:divBdr>
    </w:div>
    <w:div w:id="300423253">
      <w:bodyDiv w:val="1"/>
      <w:marLeft w:val="0"/>
      <w:marRight w:val="0"/>
      <w:marTop w:val="0"/>
      <w:marBottom w:val="0"/>
      <w:divBdr>
        <w:top w:val="none" w:sz="0" w:space="0" w:color="auto"/>
        <w:left w:val="none" w:sz="0" w:space="0" w:color="auto"/>
        <w:bottom w:val="none" w:sz="0" w:space="0" w:color="auto"/>
        <w:right w:val="none" w:sz="0" w:space="0" w:color="auto"/>
      </w:divBdr>
    </w:div>
    <w:div w:id="339702449">
      <w:bodyDiv w:val="1"/>
      <w:marLeft w:val="0"/>
      <w:marRight w:val="0"/>
      <w:marTop w:val="0"/>
      <w:marBottom w:val="0"/>
      <w:divBdr>
        <w:top w:val="none" w:sz="0" w:space="0" w:color="auto"/>
        <w:left w:val="none" w:sz="0" w:space="0" w:color="auto"/>
        <w:bottom w:val="none" w:sz="0" w:space="0" w:color="auto"/>
        <w:right w:val="none" w:sz="0" w:space="0" w:color="auto"/>
      </w:divBdr>
    </w:div>
    <w:div w:id="512109700">
      <w:bodyDiv w:val="1"/>
      <w:marLeft w:val="0"/>
      <w:marRight w:val="0"/>
      <w:marTop w:val="0"/>
      <w:marBottom w:val="0"/>
      <w:divBdr>
        <w:top w:val="none" w:sz="0" w:space="0" w:color="auto"/>
        <w:left w:val="none" w:sz="0" w:space="0" w:color="auto"/>
        <w:bottom w:val="none" w:sz="0" w:space="0" w:color="auto"/>
        <w:right w:val="none" w:sz="0" w:space="0" w:color="auto"/>
      </w:divBdr>
    </w:div>
    <w:div w:id="645814256">
      <w:bodyDiv w:val="1"/>
      <w:marLeft w:val="0"/>
      <w:marRight w:val="0"/>
      <w:marTop w:val="0"/>
      <w:marBottom w:val="0"/>
      <w:divBdr>
        <w:top w:val="none" w:sz="0" w:space="0" w:color="auto"/>
        <w:left w:val="none" w:sz="0" w:space="0" w:color="auto"/>
        <w:bottom w:val="none" w:sz="0" w:space="0" w:color="auto"/>
        <w:right w:val="none" w:sz="0" w:space="0" w:color="auto"/>
      </w:divBdr>
    </w:div>
    <w:div w:id="832372860">
      <w:bodyDiv w:val="1"/>
      <w:marLeft w:val="0"/>
      <w:marRight w:val="0"/>
      <w:marTop w:val="0"/>
      <w:marBottom w:val="0"/>
      <w:divBdr>
        <w:top w:val="none" w:sz="0" w:space="0" w:color="auto"/>
        <w:left w:val="none" w:sz="0" w:space="0" w:color="auto"/>
        <w:bottom w:val="none" w:sz="0" w:space="0" w:color="auto"/>
        <w:right w:val="none" w:sz="0" w:space="0" w:color="auto"/>
      </w:divBdr>
    </w:div>
    <w:div w:id="986740289">
      <w:bodyDiv w:val="1"/>
      <w:marLeft w:val="0"/>
      <w:marRight w:val="0"/>
      <w:marTop w:val="0"/>
      <w:marBottom w:val="0"/>
      <w:divBdr>
        <w:top w:val="none" w:sz="0" w:space="0" w:color="auto"/>
        <w:left w:val="none" w:sz="0" w:space="0" w:color="auto"/>
        <w:bottom w:val="none" w:sz="0" w:space="0" w:color="auto"/>
        <w:right w:val="none" w:sz="0" w:space="0" w:color="auto"/>
      </w:divBdr>
    </w:div>
    <w:div w:id="1050610364">
      <w:bodyDiv w:val="1"/>
      <w:marLeft w:val="0"/>
      <w:marRight w:val="0"/>
      <w:marTop w:val="0"/>
      <w:marBottom w:val="0"/>
      <w:divBdr>
        <w:top w:val="none" w:sz="0" w:space="0" w:color="auto"/>
        <w:left w:val="none" w:sz="0" w:space="0" w:color="auto"/>
        <w:bottom w:val="none" w:sz="0" w:space="0" w:color="auto"/>
        <w:right w:val="none" w:sz="0" w:space="0" w:color="auto"/>
      </w:divBdr>
    </w:div>
    <w:div w:id="1180047718">
      <w:bodyDiv w:val="1"/>
      <w:marLeft w:val="0"/>
      <w:marRight w:val="0"/>
      <w:marTop w:val="0"/>
      <w:marBottom w:val="0"/>
      <w:divBdr>
        <w:top w:val="none" w:sz="0" w:space="0" w:color="auto"/>
        <w:left w:val="none" w:sz="0" w:space="0" w:color="auto"/>
        <w:bottom w:val="none" w:sz="0" w:space="0" w:color="auto"/>
        <w:right w:val="none" w:sz="0" w:space="0" w:color="auto"/>
      </w:divBdr>
    </w:div>
    <w:div w:id="1531720264">
      <w:bodyDiv w:val="1"/>
      <w:marLeft w:val="0"/>
      <w:marRight w:val="0"/>
      <w:marTop w:val="0"/>
      <w:marBottom w:val="0"/>
      <w:divBdr>
        <w:top w:val="none" w:sz="0" w:space="0" w:color="auto"/>
        <w:left w:val="none" w:sz="0" w:space="0" w:color="auto"/>
        <w:bottom w:val="none" w:sz="0" w:space="0" w:color="auto"/>
        <w:right w:val="none" w:sz="0" w:space="0" w:color="auto"/>
      </w:divBdr>
    </w:div>
    <w:div w:id="1862931248">
      <w:bodyDiv w:val="1"/>
      <w:marLeft w:val="0"/>
      <w:marRight w:val="0"/>
      <w:marTop w:val="0"/>
      <w:marBottom w:val="0"/>
      <w:divBdr>
        <w:top w:val="none" w:sz="0" w:space="0" w:color="auto"/>
        <w:left w:val="none" w:sz="0" w:space="0" w:color="auto"/>
        <w:bottom w:val="none" w:sz="0" w:space="0" w:color="auto"/>
        <w:right w:val="none" w:sz="0" w:space="0" w:color="auto"/>
      </w:divBdr>
    </w:div>
    <w:div w:id="1980962961">
      <w:bodyDiv w:val="1"/>
      <w:marLeft w:val="0"/>
      <w:marRight w:val="0"/>
      <w:marTop w:val="0"/>
      <w:marBottom w:val="0"/>
      <w:divBdr>
        <w:top w:val="none" w:sz="0" w:space="0" w:color="auto"/>
        <w:left w:val="none" w:sz="0" w:space="0" w:color="auto"/>
        <w:bottom w:val="none" w:sz="0" w:space="0" w:color="auto"/>
        <w:right w:val="none" w:sz="0" w:space="0" w:color="auto"/>
      </w:divBdr>
    </w:div>
    <w:div w:id="20854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earchworks.stanford.edu/view/10531752" TargetMode="External"/><Relationship Id="rId2" Type="http://schemas.openxmlformats.org/officeDocument/2006/relationships/hyperlink" Target="http://www.bom.gov.au/water/groundwater/gde/" TargetMode="External"/><Relationship Id="rId1" Type="http://schemas.openxmlformats.org/officeDocument/2006/relationships/hyperlink" Target="http://webarchive.nla.gov.au/gov/20160615063314/http://archive.nwc.gov.au/rnws/ngap/groundwater-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021EC-1575-4E15-A154-0515CA947C64}">
  <ds:schemaRefs>
    <ds:schemaRef ds:uri="http://schemas.microsoft.com/sharepoint/v3/contenttype/forms"/>
  </ds:schemaRefs>
</ds:datastoreItem>
</file>

<file path=customXml/itemProps2.xml><?xml version="1.0" encoding="utf-8"?>
<ds:datastoreItem xmlns:ds="http://schemas.openxmlformats.org/officeDocument/2006/customXml" ds:itemID="{B2186225-B455-44EE-BC86-B1380F9AF85C}">
  <ds:schemaRefs>
    <ds:schemaRef ds:uri="http://schemas.microsoft.com/sharepoint/events"/>
  </ds:schemaRefs>
</ds:datastoreItem>
</file>

<file path=customXml/itemProps3.xml><?xml version="1.0" encoding="utf-8"?>
<ds:datastoreItem xmlns:ds="http://schemas.openxmlformats.org/officeDocument/2006/customXml" ds:itemID="{79CECD98-252D-4EDA-BA55-1E974D3B2A4A}">
  <ds:schemaRefs>
    <ds:schemaRef ds:uri="Microsoft.SharePoint.Taxonomy.ContentTypeSync"/>
  </ds:schemaRefs>
</ds:datastoreItem>
</file>

<file path=customXml/itemProps4.xml><?xml version="1.0" encoding="utf-8"?>
<ds:datastoreItem xmlns:ds="http://schemas.openxmlformats.org/officeDocument/2006/customXml" ds:itemID="{58CA4444-D9C0-4BCA-B577-2A8C9B99151F}">
  <ds:schemaRefs>
    <ds:schemaRef ds:uri="http://schemas.microsoft.com/office/2006/metadata/customXsn"/>
  </ds:schemaRefs>
</ds:datastoreItem>
</file>

<file path=customXml/itemProps5.xml><?xml version="1.0" encoding="utf-8"?>
<ds:datastoreItem xmlns:ds="http://schemas.openxmlformats.org/officeDocument/2006/customXml" ds:itemID="{AED52B93-344B-4846-A7AB-090F7015D56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f4bcce7-ac1a-4c9d-aa3e-7e77695652db"/>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ED18270E-DF33-4E41-A39D-3851A02CD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DR109 - Rebecca Nelson - National Water Reform - Public inquiry</vt:lpstr>
    </vt:vector>
  </TitlesOfParts>
  <Company>Rebecca Nelson</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DR109 - Rebecca Nelson - National Water Reform - Public inquiry</dc:title>
  <dc:subject/>
  <dc:creator>Rebecca Nelson</dc:creator>
  <cp:keywords/>
  <dc:description/>
  <cp:lastModifiedBy>Productivity Commission</cp:lastModifiedBy>
  <cp:revision>2</cp:revision>
  <dcterms:created xsi:type="dcterms:W3CDTF">2017-10-20T01:50:00Z</dcterms:created>
  <dcterms:modified xsi:type="dcterms:W3CDTF">2017-10-23T00:10:00Z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