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7A86C" w14:textId="77777777" w:rsidR="00BE2831" w:rsidRPr="00BE2831" w:rsidRDefault="00BE2831" w:rsidP="00BE2831">
      <w:pPr>
        <w:ind w:left="567" w:right="655"/>
        <w:rPr>
          <w:sz w:val="24"/>
          <w:szCs w:val="24"/>
          <w:lang w:val="en-AU"/>
        </w:rPr>
      </w:pPr>
      <w:r w:rsidRPr="00BE2831">
        <w:rPr>
          <w:sz w:val="24"/>
          <w:szCs w:val="24"/>
          <w:lang w:val="en-AU"/>
        </w:rPr>
        <w:t>14 November 2017</w:t>
      </w:r>
    </w:p>
    <w:p w14:paraId="6584FFB0" w14:textId="77777777" w:rsidR="00BE2831" w:rsidRPr="00BE2831" w:rsidRDefault="00BE2831" w:rsidP="00BE2831">
      <w:pPr>
        <w:ind w:left="567" w:right="655"/>
        <w:rPr>
          <w:sz w:val="24"/>
          <w:szCs w:val="24"/>
          <w:lang w:val="en-AU"/>
        </w:rPr>
      </w:pPr>
      <w:r w:rsidRPr="00BE2831">
        <w:rPr>
          <w:sz w:val="24"/>
          <w:szCs w:val="24"/>
          <w:lang w:val="en-AU"/>
        </w:rPr>
        <w:t>Ms Karen Chester</w:t>
      </w:r>
    </w:p>
    <w:p w14:paraId="3A51F594" w14:textId="77777777" w:rsidR="00BE2831" w:rsidRPr="00BE2831" w:rsidRDefault="00BE2831" w:rsidP="00BE2831">
      <w:pPr>
        <w:ind w:left="567" w:right="655"/>
        <w:rPr>
          <w:sz w:val="24"/>
          <w:szCs w:val="24"/>
          <w:lang w:val="en-AU"/>
        </w:rPr>
      </w:pPr>
      <w:r w:rsidRPr="00BE2831">
        <w:rPr>
          <w:sz w:val="24"/>
          <w:szCs w:val="24"/>
          <w:lang w:val="en-AU"/>
        </w:rPr>
        <w:t>Deputy Chair</w:t>
      </w:r>
    </w:p>
    <w:p w14:paraId="75470528" w14:textId="77777777" w:rsidR="00BE2831" w:rsidRPr="00BE2831" w:rsidRDefault="00BE2831" w:rsidP="00BE2831">
      <w:pPr>
        <w:ind w:left="567" w:right="655"/>
        <w:rPr>
          <w:sz w:val="24"/>
          <w:szCs w:val="24"/>
          <w:lang w:val="en-AU"/>
        </w:rPr>
      </w:pPr>
      <w:r w:rsidRPr="00BE2831">
        <w:rPr>
          <w:sz w:val="24"/>
          <w:szCs w:val="24"/>
          <w:lang w:val="en-AU"/>
        </w:rPr>
        <w:t>Productivity Commission</w:t>
      </w:r>
    </w:p>
    <w:p w14:paraId="409DB9EE" w14:textId="77777777" w:rsidR="00BE2831" w:rsidRPr="00BE2831" w:rsidRDefault="00BE2831" w:rsidP="00BE2831">
      <w:pPr>
        <w:ind w:left="567" w:right="655"/>
        <w:rPr>
          <w:sz w:val="24"/>
          <w:szCs w:val="24"/>
          <w:lang w:val="en-AU"/>
        </w:rPr>
      </w:pPr>
      <w:r w:rsidRPr="00BE2831">
        <w:rPr>
          <w:sz w:val="24"/>
          <w:szCs w:val="24"/>
          <w:lang w:val="en-AU"/>
        </w:rPr>
        <w:t>GPO Box 1428</w:t>
      </w:r>
    </w:p>
    <w:p w14:paraId="7DF2B699" w14:textId="77777777" w:rsidR="00BE2831" w:rsidRPr="00BE2831" w:rsidRDefault="00BE2831" w:rsidP="00BE2831">
      <w:pPr>
        <w:ind w:left="567" w:right="655"/>
        <w:rPr>
          <w:sz w:val="24"/>
          <w:szCs w:val="24"/>
          <w:lang w:val="en-AU"/>
        </w:rPr>
      </w:pPr>
      <w:r w:rsidRPr="00BE2831">
        <w:rPr>
          <w:sz w:val="24"/>
          <w:szCs w:val="24"/>
          <w:lang w:val="en-AU"/>
        </w:rPr>
        <w:t>CANBERRA ACT 2601</w:t>
      </w:r>
    </w:p>
    <w:p w14:paraId="6354154C" w14:textId="77777777" w:rsidR="00BE2831" w:rsidRPr="00BE2831" w:rsidRDefault="00BE2831" w:rsidP="00BE2831">
      <w:pPr>
        <w:ind w:left="567" w:right="655"/>
        <w:rPr>
          <w:sz w:val="24"/>
          <w:szCs w:val="24"/>
          <w:lang w:val="en-AU"/>
        </w:rPr>
      </w:pPr>
    </w:p>
    <w:p w14:paraId="2BC1FF6B" w14:textId="77777777" w:rsidR="00BE2831" w:rsidRPr="00BE2831" w:rsidRDefault="00BE2831" w:rsidP="00BE2831">
      <w:pPr>
        <w:ind w:left="567" w:right="655"/>
        <w:rPr>
          <w:sz w:val="24"/>
          <w:szCs w:val="24"/>
          <w:lang w:val="en-AU"/>
        </w:rPr>
      </w:pPr>
      <w:r w:rsidRPr="00BE2831">
        <w:rPr>
          <w:sz w:val="24"/>
          <w:szCs w:val="24"/>
          <w:lang w:val="en-AU"/>
        </w:rPr>
        <w:t>Dear Ms Chester</w:t>
      </w:r>
    </w:p>
    <w:p w14:paraId="369FE0A8" w14:textId="77777777" w:rsidR="00BE2831" w:rsidRDefault="00BE2831" w:rsidP="00BE2831">
      <w:pPr>
        <w:ind w:left="567" w:right="655"/>
        <w:rPr>
          <w:b/>
          <w:sz w:val="24"/>
          <w:szCs w:val="24"/>
          <w:lang w:val="en-AU"/>
        </w:rPr>
      </w:pPr>
    </w:p>
    <w:p w14:paraId="4C707A8C" w14:textId="77777777" w:rsidR="00BE2831" w:rsidRPr="00BE2831" w:rsidRDefault="00BE2831" w:rsidP="00BE2831">
      <w:pPr>
        <w:ind w:left="567" w:right="655"/>
        <w:rPr>
          <w:sz w:val="24"/>
          <w:szCs w:val="24"/>
          <w:lang w:val="en-AU"/>
        </w:rPr>
      </w:pPr>
      <w:r w:rsidRPr="00BE2831">
        <w:rPr>
          <w:b/>
          <w:sz w:val="24"/>
          <w:szCs w:val="24"/>
          <w:lang w:val="en-AU"/>
        </w:rPr>
        <w:t>Submission to the Commission’s Inquiry into Horizontal Fiscal Equalisation</w:t>
      </w:r>
    </w:p>
    <w:p w14:paraId="2E7A56D6" w14:textId="77777777" w:rsidR="00BE2831" w:rsidRDefault="00BE2831" w:rsidP="00BE2831">
      <w:pPr>
        <w:ind w:left="567" w:right="655"/>
        <w:rPr>
          <w:sz w:val="24"/>
          <w:szCs w:val="24"/>
          <w:lang w:val="en-AU"/>
        </w:rPr>
      </w:pPr>
    </w:p>
    <w:p w14:paraId="121A1C10" w14:textId="77777777" w:rsidR="00BE2831" w:rsidRDefault="00BE2831" w:rsidP="00BE2831">
      <w:pPr>
        <w:ind w:left="567" w:right="655"/>
        <w:rPr>
          <w:sz w:val="24"/>
          <w:szCs w:val="24"/>
          <w:lang w:val="en-AU"/>
        </w:rPr>
      </w:pPr>
      <w:r w:rsidRPr="00BE2831">
        <w:rPr>
          <w:sz w:val="24"/>
          <w:szCs w:val="24"/>
          <w:lang w:val="en-AU"/>
        </w:rPr>
        <w:t>We refer to the above inquiry and provide as a submission a research report published by the Institute of Public Affairs. The report refers to the following terms of reference:</w:t>
      </w:r>
    </w:p>
    <w:p w14:paraId="2662265C" w14:textId="77777777" w:rsidR="00BE2831" w:rsidRPr="00BE2831" w:rsidRDefault="00BE2831" w:rsidP="00BE2831">
      <w:pPr>
        <w:ind w:left="567" w:right="655"/>
        <w:rPr>
          <w:sz w:val="24"/>
          <w:szCs w:val="24"/>
          <w:lang w:val="en-AU"/>
        </w:rPr>
      </w:pPr>
    </w:p>
    <w:p w14:paraId="0EB34511" w14:textId="0895C542" w:rsidR="00BE2831" w:rsidRPr="00BE2831" w:rsidRDefault="00BE2831" w:rsidP="00BE2831">
      <w:pPr>
        <w:numPr>
          <w:ilvl w:val="0"/>
          <w:numId w:val="2"/>
        </w:numPr>
        <w:ind w:right="655"/>
        <w:rPr>
          <w:sz w:val="24"/>
          <w:szCs w:val="24"/>
          <w:lang w:val="en-AU"/>
        </w:rPr>
      </w:pPr>
      <w:r w:rsidRPr="00BE2831">
        <w:rPr>
          <w:sz w:val="24"/>
          <w:szCs w:val="24"/>
          <w:lang w:val="en-AU"/>
        </w:rPr>
        <w:t xml:space="preserve">Whether the present adoption by the CGC of a HFE formula to equalise </w:t>
      </w:r>
      <w:r w:rsidR="00E20E0B">
        <w:rPr>
          <w:sz w:val="24"/>
          <w:szCs w:val="24"/>
          <w:lang w:val="en-AU"/>
        </w:rPr>
        <w:t>s</w:t>
      </w:r>
      <w:r w:rsidRPr="00BE2831">
        <w:rPr>
          <w:sz w:val="24"/>
          <w:szCs w:val="24"/>
          <w:lang w:val="en-AU"/>
        </w:rPr>
        <w:t xml:space="preserve">tates' revenue raising and service delivery capacities is in the best interests of national productivity; or whether there may be preferable alternatives. On this matter the Productivity Commission should enquire as to whether this aspect of the CGC formula or any other aspect of it may restrict the appropriate movement of capital and labour across </w:t>
      </w:r>
      <w:r w:rsidR="00E20E0B">
        <w:rPr>
          <w:sz w:val="24"/>
          <w:szCs w:val="24"/>
          <w:lang w:val="en-AU"/>
        </w:rPr>
        <w:t>s</w:t>
      </w:r>
      <w:r w:rsidRPr="00BE2831">
        <w:rPr>
          <w:sz w:val="24"/>
          <w:szCs w:val="24"/>
          <w:lang w:val="en-AU"/>
        </w:rPr>
        <w:t>tate borders to more productive regions during times of high labour demand.</w:t>
      </w:r>
    </w:p>
    <w:p w14:paraId="0E6D59F2" w14:textId="17E83A43" w:rsidR="00BE2831" w:rsidRPr="00BE2831" w:rsidRDefault="00E20E0B" w:rsidP="00BE2831">
      <w:pPr>
        <w:numPr>
          <w:ilvl w:val="0"/>
          <w:numId w:val="2"/>
        </w:numPr>
        <w:ind w:right="655"/>
        <w:rPr>
          <w:sz w:val="24"/>
          <w:szCs w:val="24"/>
          <w:lang w:val="en-AU"/>
        </w:rPr>
      </w:pPr>
      <w:r>
        <w:rPr>
          <w:sz w:val="24"/>
          <w:szCs w:val="24"/>
          <w:lang w:val="en-AU"/>
        </w:rPr>
        <w:t>Whether the present HFE formula</w:t>
      </w:r>
      <w:r w:rsidR="00BE2831" w:rsidRPr="00BE2831">
        <w:rPr>
          <w:sz w:val="24"/>
          <w:szCs w:val="24"/>
          <w:lang w:val="en-AU"/>
        </w:rPr>
        <w:t xml:space="preserve"> may have the effect of producing a disincentive for a </w:t>
      </w:r>
      <w:r>
        <w:rPr>
          <w:sz w:val="24"/>
          <w:szCs w:val="24"/>
          <w:lang w:val="en-AU"/>
        </w:rPr>
        <w:t>s</w:t>
      </w:r>
      <w:r w:rsidR="00BE2831" w:rsidRPr="00BE2831">
        <w:rPr>
          <w:sz w:val="24"/>
          <w:szCs w:val="24"/>
          <w:lang w:val="en-AU"/>
        </w:rPr>
        <w:t>tate to develop a potential industry or raise a royalty rate for an existing industry at an appropriate time.</w:t>
      </w:r>
    </w:p>
    <w:p w14:paraId="1E66705D" w14:textId="77777777" w:rsidR="00BE2831" w:rsidRDefault="00BE2831" w:rsidP="00BE2831">
      <w:pPr>
        <w:ind w:left="567" w:right="655"/>
        <w:rPr>
          <w:sz w:val="24"/>
          <w:szCs w:val="24"/>
          <w:lang w:val="en-AU"/>
        </w:rPr>
      </w:pPr>
    </w:p>
    <w:p w14:paraId="1420584E" w14:textId="77777777" w:rsidR="00BE2831" w:rsidRPr="00BE2831" w:rsidRDefault="00BE2831" w:rsidP="00BE2831">
      <w:pPr>
        <w:ind w:left="567" w:right="655"/>
        <w:rPr>
          <w:sz w:val="24"/>
          <w:szCs w:val="24"/>
          <w:lang w:val="en-AU"/>
        </w:rPr>
      </w:pPr>
      <w:r w:rsidRPr="00BE2831">
        <w:rPr>
          <w:sz w:val="24"/>
          <w:szCs w:val="24"/>
          <w:lang w:val="en-AU"/>
        </w:rPr>
        <w:t xml:space="preserve">Our report argues that horizontal fiscal equalisation is fundamentally flawed for conceptual reasons and is associated with a number of practical problems. There is no justifiable rationale for jurisdictional equalisation, while in practice equalisation is riddled with uncertainty and complexity. </w:t>
      </w:r>
    </w:p>
    <w:p w14:paraId="5AF16A90" w14:textId="77777777" w:rsidR="00BE2831" w:rsidRDefault="00BE2831" w:rsidP="00BE2831">
      <w:pPr>
        <w:ind w:left="567" w:right="655"/>
        <w:rPr>
          <w:sz w:val="24"/>
          <w:szCs w:val="24"/>
          <w:lang w:val="en-AU"/>
        </w:rPr>
      </w:pPr>
    </w:p>
    <w:p w14:paraId="37E87570" w14:textId="77777777" w:rsidR="00BE2831" w:rsidRPr="00BE2831" w:rsidRDefault="00BE2831" w:rsidP="00BE2831">
      <w:pPr>
        <w:ind w:left="567" w:right="655"/>
        <w:rPr>
          <w:sz w:val="24"/>
          <w:szCs w:val="24"/>
          <w:lang w:val="en-AU"/>
        </w:rPr>
      </w:pPr>
      <w:r w:rsidRPr="00BE2831">
        <w:rPr>
          <w:sz w:val="24"/>
          <w:szCs w:val="24"/>
          <w:lang w:val="en-AU"/>
        </w:rPr>
        <w:t xml:space="preserve">Importantly, equalisation reduces the incentive for mobile factors of production (such as labour and capital) to move to higher productivity locations, imposing efficiency costs on the national economy. Labour market mobility is an important, but overlooked, source of productivity gain, and there is no reason why the movement of labour and capital should be discouraged merely because it would result in economic activity and investment in certain jurisdictions. </w:t>
      </w:r>
    </w:p>
    <w:p w14:paraId="7A91FACA" w14:textId="77777777" w:rsidR="00BE2831" w:rsidRDefault="00BE2831" w:rsidP="00BE2831">
      <w:pPr>
        <w:ind w:left="567" w:right="655"/>
        <w:rPr>
          <w:sz w:val="24"/>
          <w:szCs w:val="24"/>
          <w:lang w:val="en-AU"/>
        </w:rPr>
      </w:pPr>
    </w:p>
    <w:p w14:paraId="6BEE2001" w14:textId="6B22E2B9" w:rsidR="00BE2831" w:rsidRPr="00BE2831" w:rsidRDefault="00BE2831" w:rsidP="00BE2831">
      <w:pPr>
        <w:ind w:left="567" w:right="655"/>
        <w:rPr>
          <w:sz w:val="24"/>
          <w:szCs w:val="24"/>
          <w:lang w:val="en-AU"/>
        </w:rPr>
      </w:pPr>
      <w:r w:rsidRPr="00BE2831">
        <w:rPr>
          <w:sz w:val="24"/>
          <w:szCs w:val="24"/>
          <w:lang w:val="en-AU"/>
        </w:rPr>
        <w:t xml:space="preserve">Equalisation also incentivises state governments to avoid </w:t>
      </w:r>
      <w:r>
        <w:rPr>
          <w:sz w:val="24"/>
          <w:szCs w:val="24"/>
          <w:lang w:val="en-AU"/>
        </w:rPr>
        <w:t>undertaking important</w:t>
      </w:r>
      <w:r w:rsidRPr="00BE2831">
        <w:rPr>
          <w:sz w:val="24"/>
          <w:szCs w:val="24"/>
          <w:lang w:val="en-AU"/>
        </w:rPr>
        <w:t xml:space="preserve"> microeconomic reform, as </w:t>
      </w:r>
      <w:r>
        <w:rPr>
          <w:sz w:val="24"/>
          <w:szCs w:val="24"/>
          <w:lang w:val="en-AU"/>
        </w:rPr>
        <w:t xml:space="preserve">such reforms </w:t>
      </w:r>
      <w:r w:rsidRPr="00BE2831">
        <w:rPr>
          <w:sz w:val="24"/>
          <w:szCs w:val="24"/>
          <w:lang w:val="en-AU"/>
        </w:rPr>
        <w:t>would risk a change in the applicable equalisation formula</w:t>
      </w:r>
      <w:r>
        <w:rPr>
          <w:sz w:val="24"/>
          <w:szCs w:val="24"/>
          <w:lang w:val="en-AU"/>
        </w:rPr>
        <w:t xml:space="preserve">. This </w:t>
      </w:r>
      <w:r w:rsidRPr="00BE2831">
        <w:rPr>
          <w:sz w:val="24"/>
          <w:szCs w:val="24"/>
          <w:lang w:val="en-AU"/>
        </w:rPr>
        <w:t xml:space="preserve">sees the benefits of such reform effectively distributed to the other states and a reduction in what a state would be entitled to if it did not undertake reform. </w:t>
      </w:r>
    </w:p>
    <w:p w14:paraId="6BDEA2F7" w14:textId="77777777" w:rsidR="00BE2831" w:rsidRDefault="00BE2831" w:rsidP="00BE2831">
      <w:pPr>
        <w:ind w:left="567" w:right="655"/>
        <w:rPr>
          <w:sz w:val="24"/>
          <w:szCs w:val="24"/>
          <w:lang w:val="en-AU"/>
        </w:rPr>
      </w:pPr>
    </w:p>
    <w:p w14:paraId="294EA9CB" w14:textId="3460C8B2" w:rsidR="00BE2831" w:rsidRPr="00BE2831" w:rsidRDefault="00BE2831" w:rsidP="00BE2831">
      <w:pPr>
        <w:ind w:left="567" w:right="655"/>
        <w:rPr>
          <w:sz w:val="24"/>
          <w:szCs w:val="24"/>
          <w:lang w:val="en-AU"/>
        </w:rPr>
      </w:pPr>
      <w:r w:rsidRPr="00BE2831">
        <w:rPr>
          <w:sz w:val="24"/>
          <w:szCs w:val="24"/>
          <w:lang w:val="en-AU"/>
        </w:rPr>
        <w:t>Above all else, horizontal fiscal equalisation fails to adequately address (and actively entrenches) the core issue afflicting federal-state relations in Australia – namely the high degree of vertical fiscal imbalance</w:t>
      </w:r>
      <w:r>
        <w:rPr>
          <w:sz w:val="24"/>
          <w:szCs w:val="24"/>
          <w:lang w:val="en-AU"/>
        </w:rPr>
        <w:t xml:space="preserve"> in favour of the Commonwealth</w:t>
      </w:r>
      <w:r w:rsidRPr="00BE2831">
        <w:rPr>
          <w:sz w:val="24"/>
          <w:szCs w:val="24"/>
          <w:lang w:val="en-AU"/>
        </w:rPr>
        <w:t>.</w:t>
      </w:r>
    </w:p>
    <w:p w14:paraId="4D4F077A" w14:textId="77777777" w:rsidR="00BE2831" w:rsidRDefault="00BE2831" w:rsidP="00BE2831">
      <w:pPr>
        <w:ind w:left="567" w:right="655"/>
        <w:rPr>
          <w:sz w:val="24"/>
          <w:szCs w:val="24"/>
          <w:lang w:val="en-AU"/>
        </w:rPr>
      </w:pPr>
    </w:p>
    <w:p w14:paraId="49D4AC15" w14:textId="77777777" w:rsidR="00BE2831" w:rsidRPr="00BE2831" w:rsidRDefault="00BE2831" w:rsidP="00BE2831">
      <w:pPr>
        <w:ind w:left="567" w:right="655"/>
        <w:rPr>
          <w:sz w:val="24"/>
          <w:szCs w:val="24"/>
          <w:lang w:val="en-AU"/>
        </w:rPr>
      </w:pPr>
      <w:r w:rsidRPr="00BE2831">
        <w:rPr>
          <w:sz w:val="24"/>
          <w:szCs w:val="24"/>
          <w:lang w:val="en-AU"/>
        </w:rPr>
        <w:lastRenderedPageBreak/>
        <w:t xml:space="preserve">Our report recommends that horizontal fiscal equalisation should be abandoned as a policy objective. In its place, the principles of decentralisation should be adopted to unlock the benefits of competitive federalism. This would mean that while the Commonwealth would retain the responsibility for collecting GST revenue, the states would be given the power to set the GST rate that applies in their respective jurisdictions. Each state should be entitled to claim the proportion of the total national GST revenue that is attributable to that particular state. </w:t>
      </w:r>
    </w:p>
    <w:p w14:paraId="571EE127" w14:textId="77777777" w:rsidR="00BE2831" w:rsidRDefault="00BE2831" w:rsidP="00BE2831">
      <w:pPr>
        <w:ind w:left="567" w:right="655"/>
        <w:rPr>
          <w:sz w:val="24"/>
          <w:szCs w:val="24"/>
          <w:lang w:val="en-AU"/>
        </w:rPr>
      </w:pPr>
    </w:p>
    <w:p w14:paraId="7EDA8B93" w14:textId="619051CB" w:rsidR="00BE2831" w:rsidRPr="00BE2831" w:rsidRDefault="00BE2831" w:rsidP="00BE2831">
      <w:pPr>
        <w:ind w:left="567" w:right="655"/>
        <w:rPr>
          <w:sz w:val="24"/>
          <w:szCs w:val="24"/>
          <w:lang w:val="en-AU"/>
        </w:rPr>
      </w:pPr>
      <w:r w:rsidRPr="00BE2831">
        <w:rPr>
          <w:sz w:val="24"/>
          <w:szCs w:val="24"/>
          <w:lang w:val="en-AU"/>
        </w:rPr>
        <w:t>In the absence of fundamental reform, GST revenue should be distributed should be based on state of origin principles (what is raised in a state is retained by that state) or</w:t>
      </w:r>
      <w:r>
        <w:rPr>
          <w:sz w:val="24"/>
          <w:szCs w:val="24"/>
          <w:lang w:val="en-AU"/>
        </w:rPr>
        <w:t xml:space="preserve"> on an equal per capita basis. While t</w:t>
      </w:r>
      <w:r w:rsidRPr="00BE2831">
        <w:rPr>
          <w:sz w:val="24"/>
          <w:szCs w:val="24"/>
          <w:lang w:val="en-AU"/>
        </w:rPr>
        <w:t>hese methods would not resolve the fundamental issue of centralised taxation that is at the core of vertical fiscal imbalance</w:t>
      </w:r>
      <w:r>
        <w:rPr>
          <w:sz w:val="24"/>
          <w:szCs w:val="24"/>
          <w:lang w:val="en-AU"/>
        </w:rPr>
        <w:t>, they are</w:t>
      </w:r>
      <w:r w:rsidRPr="00BE2831">
        <w:rPr>
          <w:sz w:val="24"/>
          <w:szCs w:val="24"/>
          <w:lang w:val="en-AU"/>
        </w:rPr>
        <w:t xml:space="preserve"> a significant improvement on any equalisation methodology.</w:t>
      </w:r>
    </w:p>
    <w:p w14:paraId="56B08615" w14:textId="77777777" w:rsidR="00BE2831" w:rsidRDefault="00BE2831" w:rsidP="00BE2831">
      <w:pPr>
        <w:ind w:left="567" w:right="655"/>
        <w:rPr>
          <w:sz w:val="24"/>
          <w:szCs w:val="24"/>
          <w:lang w:val="en-AU"/>
        </w:rPr>
      </w:pPr>
    </w:p>
    <w:p w14:paraId="21298076" w14:textId="5D5C6B51" w:rsidR="00BE2831" w:rsidRPr="009D6C1E" w:rsidRDefault="00BE2831" w:rsidP="00BE2831">
      <w:pPr>
        <w:ind w:left="567" w:right="655"/>
        <w:rPr>
          <w:sz w:val="24"/>
          <w:szCs w:val="24"/>
          <w:lang w:val="en-AU"/>
        </w:rPr>
      </w:pPr>
      <w:r w:rsidRPr="00BE2831">
        <w:rPr>
          <w:sz w:val="24"/>
          <w:szCs w:val="24"/>
          <w:lang w:val="en-AU"/>
        </w:rPr>
        <w:t xml:space="preserve">The IPA trusts that our contribution will be of assistance to the Productivity Commission. I would be pleased to answer any further questions. Please do not hesitate to contact me in writing to </w:t>
      </w:r>
      <w:r w:rsidRPr="009D6C1E">
        <w:rPr>
          <w:sz w:val="24"/>
          <w:szCs w:val="24"/>
          <w:highlight w:val="black"/>
          <w:lang w:val="en-AU"/>
        </w:rPr>
        <w:t>2/410 Collins Street, Melbourne VIC 3000;</w:t>
      </w:r>
      <w:r w:rsidRPr="00BE2831">
        <w:rPr>
          <w:sz w:val="24"/>
          <w:szCs w:val="24"/>
          <w:lang w:val="en-AU"/>
        </w:rPr>
        <w:t xml:space="preserve"> by telephone</w:t>
      </w:r>
      <w:r w:rsidR="007B5597">
        <w:rPr>
          <w:sz w:val="24"/>
          <w:szCs w:val="24"/>
          <w:lang w:val="en-AU"/>
        </w:rPr>
        <w:t>; or by email</w:t>
      </w:r>
      <w:bookmarkStart w:id="0" w:name="_GoBack"/>
      <w:bookmarkEnd w:id="0"/>
    </w:p>
    <w:p w14:paraId="4D14C991" w14:textId="77777777" w:rsidR="00BE2831" w:rsidRDefault="00BE2831" w:rsidP="00BE2831">
      <w:pPr>
        <w:ind w:left="567" w:right="655"/>
        <w:rPr>
          <w:sz w:val="24"/>
          <w:szCs w:val="24"/>
          <w:lang w:val="en-AU"/>
        </w:rPr>
      </w:pPr>
    </w:p>
    <w:p w14:paraId="503204A9" w14:textId="77777777" w:rsidR="00BE2831" w:rsidRPr="00BE2831" w:rsidRDefault="00BE2831" w:rsidP="00BE2831">
      <w:pPr>
        <w:ind w:left="567" w:right="655"/>
        <w:rPr>
          <w:sz w:val="24"/>
          <w:szCs w:val="24"/>
          <w:lang w:val="en-AU"/>
        </w:rPr>
      </w:pPr>
      <w:r w:rsidRPr="00BE2831">
        <w:rPr>
          <w:sz w:val="24"/>
          <w:szCs w:val="24"/>
          <w:lang w:val="en-AU"/>
        </w:rPr>
        <w:t>Regards,</w:t>
      </w:r>
    </w:p>
    <w:p w14:paraId="318595C5" w14:textId="77777777" w:rsidR="00BE2831" w:rsidRDefault="00BE2831" w:rsidP="00BE2831">
      <w:pPr>
        <w:ind w:left="567" w:right="655"/>
        <w:rPr>
          <w:sz w:val="24"/>
          <w:szCs w:val="24"/>
          <w:lang w:val="en-AU"/>
        </w:rPr>
      </w:pPr>
    </w:p>
    <w:p w14:paraId="29E9A069" w14:textId="77777777" w:rsidR="00BE2831" w:rsidRPr="00BE2831" w:rsidRDefault="00BE2831" w:rsidP="00BE2831">
      <w:pPr>
        <w:ind w:left="567" w:right="655"/>
        <w:rPr>
          <w:sz w:val="24"/>
          <w:szCs w:val="24"/>
          <w:lang w:val="en-AU"/>
        </w:rPr>
      </w:pPr>
      <w:r w:rsidRPr="00BE2831">
        <w:rPr>
          <w:sz w:val="24"/>
          <w:szCs w:val="24"/>
          <w:lang w:val="en-AU"/>
        </w:rPr>
        <w:t>Morgan Begg</w:t>
      </w:r>
    </w:p>
    <w:p w14:paraId="02BBADE5" w14:textId="3B8A87AE" w:rsidR="00BE2831" w:rsidRDefault="00BE2831" w:rsidP="00BE2831">
      <w:pPr>
        <w:ind w:left="567" w:right="655"/>
        <w:rPr>
          <w:noProof/>
          <w:sz w:val="24"/>
          <w:szCs w:val="24"/>
          <w:lang w:val="en-AU" w:eastAsia="en-AU"/>
        </w:rPr>
      </w:pPr>
    </w:p>
    <w:p w14:paraId="4C83F162" w14:textId="77777777" w:rsidR="007B5597" w:rsidRDefault="007B5597" w:rsidP="00BE2831">
      <w:pPr>
        <w:ind w:left="567" w:right="655"/>
        <w:rPr>
          <w:noProof/>
          <w:sz w:val="24"/>
          <w:szCs w:val="24"/>
          <w:lang w:val="en-AU" w:eastAsia="en-AU"/>
        </w:rPr>
      </w:pPr>
    </w:p>
    <w:p w14:paraId="57BA59CF" w14:textId="77777777" w:rsidR="007B5597" w:rsidRPr="00BE2831" w:rsidRDefault="007B5597" w:rsidP="00BE2831">
      <w:pPr>
        <w:ind w:left="567" w:right="655"/>
        <w:rPr>
          <w:sz w:val="24"/>
          <w:szCs w:val="24"/>
          <w:lang w:val="en-AU"/>
        </w:rPr>
      </w:pPr>
    </w:p>
    <w:p w14:paraId="750AE42F" w14:textId="77777777" w:rsidR="00BE2831" w:rsidRPr="00BE2831" w:rsidRDefault="00BE2831" w:rsidP="00BE2831">
      <w:pPr>
        <w:ind w:left="567" w:right="655"/>
        <w:rPr>
          <w:sz w:val="24"/>
          <w:szCs w:val="24"/>
          <w:lang w:val="en-AU"/>
        </w:rPr>
      </w:pPr>
      <w:r w:rsidRPr="00BE2831">
        <w:rPr>
          <w:sz w:val="24"/>
          <w:szCs w:val="24"/>
          <w:lang w:val="en-AU"/>
        </w:rPr>
        <w:t>Research Fellow</w:t>
      </w:r>
    </w:p>
    <w:p w14:paraId="3DE0CF8B" w14:textId="77777777" w:rsidR="00BE2831" w:rsidRPr="00BE2831" w:rsidRDefault="00BE2831" w:rsidP="00BE2831">
      <w:pPr>
        <w:ind w:left="567" w:right="655"/>
        <w:rPr>
          <w:sz w:val="24"/>
          <w:szCs w:val="24"/>
          <w:lang w:val="en-AU"/>
        </w:rPr>
      </w:pPr>
      <w:r w:rsidRPr="00BE2831">
        <w:rPr>
          <w:sz w:val="24"/>
          <w:szCs w:val="24"/>
          <w:lang w:val="en-AU"/>
        </w:rPr>
        <w:t>Institute of Public Affairs</w:t>
      </w:r>
    </w:p>
    <w:p w14:paraId="6845F28E" w14:textId="77777777" w:rsidR="00642D60" w:rsidRDefault="00642D60" w:rsidP="00BE2831">
      <w:pPr>
        <w:ind w:right="655"/>
        <w:rPr>
          <w:sz w:val="24"/>
          <w:szCs w:val="24"/>
        </w:rPr>
      </w:pPr>
    </w:p>
    <w:p w14:paraId="5E770EF2" w14:textId="77777777" w:rsidR="00642D60" w:rsidRDefault="00642D60" w:rsidP="00BA5018">
      <w:pPr>
        <w:ind w:left="567" w:right="655"/>
        <w:rPr>
          <w:sz w:val="24"/>
          <w:szCs w:val="24"/>
        </w:rPr>
      </w:pPr>
    </w:p>
    <w:p w14:paraId="49344913" w14:textId="77777777" w:rsidR="00642D60" w:rsidRPr="00970467" w:rsidRDefault="00642D60" w:rsidP="00642D60">
      <w:pPr>
        <w:ind w:right="655"/>
        <w:rPr>
          <w:sz w:val="24"/>
          <w:szCs w:val="24"/>
        </w:rPr>
      </w:pPr>
    </w:p>
    <w:sectPr w:rsidR="00642D60" w:rsidRPr="00970467" w:rsidSect="00642D60">
      <w:footerReference w:type="default" r:id="rId8"/>
      <w:headerReference w:type="first" r:id="rId9"/>
      <w:footerReference w:type="first" r:id="rId10"/>
      <w:type w:val="continuous"/>
      <w:pgSz w:w="11920" w:h="16840"/>
      <w:pgMar w:top="2514" w:right="580" w:bottom="1818" w:left="6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A0F9D" w14:textId="77777777" w:rsidR="00993608" w:rsidRDefault="00993608" w:rsidP="008A0EEE">
      <w:r>
        <w:separator/>
      </w:r>
    </w:p>
  </w:endnote>
  <w:endnote w:type="continuationSeparator" w:id="0">
    <w:p w14:paraId="290F6EA2" w14:textId="77777777" w:rsidR="00993608" w:rsidRDefault="00993608" w:rsidP="008A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2565" w14:textId="77777777" w:rsidR="00642D60" w:rsidRDefault="00642D60" w:rsidP="00642D60">
    <w:pPr>
      <w:spacing w:before="30"/>
      <w:ind w:left="1701" w:right="1789"/>
      <w:jc w:val="center"/>
      <w:rPr>
        <w:color w:val="363435"/>
        <w:w w:val="112"/>
        <w:sz w:val="18"/>
        <w:szCs w:val="18"/>
      </w:rPr>
    </w:pPr>
    <w:r>
      <w:rPr>
        <w:color w:val="363435"/>
        <w:w w:val="112"/>
        <w:sz w:val="18"/>
        <w:szCs w:val="18"/>
      </w:rPr>
      <w:t>Institute of Public Affairs, Level 2, 410 Collins Street, Melbourne, Victoria 3000</w:t>
    </w:r>
  </w:p>
  <w:p w14:paraId="693E0412" w14:textId="4A42CC05" w:rsidR="00642D60" w:rsidRPr="00642D60" w:rsidRDefault="00642D60" w:rsidP="00642D60">
    <w:pPr>
      <w:spacing w:before="30"/>
      <w:ind w:left="1701" w:right="1789"/>
      <w:jc w:val="center"/>
      <w:rPr>
        <w:sz w:val="18"/>
        <w:szCs w:val="18"/>
      </w:rPr>
    </w:pPr>
    <w:r>
      <w:rPr>
        <w:color w:val="363435"/>
        <w:w w:val="112"/>
        <w:sz w:val="18"/>
        <w:szCs w:val="18"/>
      </w:rPr>
      <w:t xml:space="preserve">T: (03) 9600 4744  </w:t>
    </w:r>
    <w:r w:rsidRPr="00906A5A">
      <w:rPr>
        <w:b/>
        <w:color w:val="363435"/>
        <w:w w:val="112"/>
        <w:sz w:val="18"/>
        <w:szCs w:val="18"/>
      </w:rPr>
      <w:t>|</w:t>
    </w:r>
    <w:r>
      <w:rPr>
        <w:color w:val="363435"/>
        <w:w w:val="112"/>
        <w:sz w:val="18"/>
        <w:szCs w:val="18"/>
      </w:rPr>
      <w:t xml:space="preserve">  F: (03) 9602 4989  </w:t>
    </w:r>
    <w:r w:rsidRPr="00906A5A">
      <w:rPr>
        <w:b/>
        <w:color w:val="363435"/>
        <w:w w:val="112"/>
        <w:sz w:val="18"/>
        <w:szCs w:val="18"/>
      </w:rPr>
      <w:t>|</w:t>
    </w:r>
    <w:r>
      <w:rPr>
        <w:color w:val="363435"/>
        <w:w w:val="112"/>
        <w:sz w:val="18"/>
        <w:szCs w:val="18"/>
      </w:rPr>
      <w:t xml:space="preserve">  W: www.ipa.org.au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5FC80" w14:textId="060AA546" w:rsidR="00906A5A" w:rsidRDefault="00906A5A" w:rsidP="007C1E85">
    <w:pPr>
      <w:spacing w:before="30"/>
      <w:ind w:left="1701" w:right="1789"/>
      <w:jc w:val="center"/>
      <w:rPr>
        <w:color w:val="363435"/>
        <w:w w:val="112"/>
        <w:sz w:val="18"/>
        <w:szCs w:val="18"/>
      </w:rPr>
    </w:pPr>
    <w:r>
      <w:rPr>
        <w:color w:val="363435"/>
        <w:w w:val="112"/>
        <w:sz w:val="18"/>
        <w:szCs w:val="18"/>
      </w:rPr>
      <w:t>Institute of Public Affairs, Level 2, 410 Collins Street, Melbourne, Victoria 3000</w:t>
    </w:r>
  </w:p>
  <w:p w14:paraId="16426CD6" w14:textId="2318CBCD" w:rsidR="00906A5A" w:rsidRPr="00906A5A" w:rsidRDefault="00906A5A" w:rsidP="007C1E85">
    <w:pPr>
      <w:spacing w:before="30"/>
      <w:ind w:left="1701" w:right="1789"/>
      <w:jc w:val="center"/>
      <w:rPr>
        <w:sz w:val="18"/>
        <w:szCs w:val="18"/>
      </w:rPr>
    </w:pPr>
    <w:r>
      <w:rPr>
        <w:color w:val="363435"/>
        <w:w w:val="112"/>
        <w:sz w:val="18"/>
        <w:szCs w:val="18"/>
      </w:rPr>
      <w:t xml:space="preserve">T: (03) 9600 4744  </w:t>
    </w:r>
    <w:r w:rsidRPr="00906A5A">
      <w:rPr>
        <w:b/>
        <w:color w:val="363435"/>
        <w:w w:val="112"/>
        <w:sz w:val="18"/>
        <w:szCs w:val="18"/>
      </w:rPr>
      <w:t>|</w:t>
    </w:r>
    <w:r>
      <w:rPr>
        <w:color w:val="363435"/>
        <w:w w:val="112"/>
        <w:sz w:val="18"/>
        <w:szCs w:val="18"/>
      </w:rPr>
      <w:t xml:space="preserve">  F: (03) 9602 4989  </w:t>
    </w:r>
    <w:r w:rsidRPr="00906A5A">
      <w:rPr>
        <w:b/>
        <w:color w:val="363435"/>
        <w:w w:val="112"/>
        <w:sz w:val="18"/>
        <w:szCs w:val="18"/>
      </w:rPr>
      <w:t>|</w:t>
    </w:r>
    <w:r>
      <w:rPr>
        <w:color w:val="363435"/>
        <w:w w:val="112"/>
        <w:sz w:val="18"/>
        <w:szCs w:val="18"/>
      </w:rPr>
      <w:t xml:space="preserve">  W: www.ipa.org.au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B093F" w14:textId="77777777" w:rsidR="00993608" w:rsidRDefault="00993608" w:rsidP="008A0EEE">
      <w:r>
        <w:separator/>
      </w:r>
    </w:p>
  </w:footnote>
  <w:footnote w:type="continuationSeparator" w:id="0">
    <w:p w14:paraId="36CAD3D6" w14:textId="77777777" w:rsidR="00993608" w:rsidRDefault="00993608" w:rsidP="008A0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5D0D3" w14:textId="4415340F" w:rsidR="008A0EEE" w:rsidRDefault="00CB0B66" w:rsidP="008A0EEE">
    <w:pPr>
      <w:spacing w:before="19"/>
      <w:ind w:left="100"/>
      <w:rPr>
        <w:sz w:val="24"/>
        <w:szCs w:val="24"/>
      </w:rPr>
    </w:pPr>
    <w:r>
      <w:rPr>
        <w:noProof/>
        <w:sz w:val="18"/>
        <w:szCs w:val="18"/>
        <w:lang w:val="en-AU" w:eastAsia="en-AU"/>
      </w:rPr>
      <w:drawing>
        <wp:anchor distT="0" distB="0" distL="114300" distR="114300" simplePos="0" relativeHeight="251660288" behindDoc="1" locked="0" layoutInCell="1" allowOverlap="1" wp14:anchorId="6811431D" wp14:editId="17C20F36">
          <wp:simplePos x="0" y="0"/>
          <wp:positionH relativeFrom="margin">
            <wp:posOffset>5110567</wp:posOffset>
          </wp:positionH>
          <wp:positionV relativeFrom="paragraph">
            <wp:posOffset>-85385</wp:posOffset>
          </wp:positionV>
          <wp:extent cx="1608368" cy="599358"/>
          <wp:effectExtent l="0" t="0" r="0" b="1079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PA Logo - Alt - RGB.jpg"/>
                  <pic:cNvPicPr/>
                </pic:nvPicPr>
                <pic:blipFill>
                  <a:blip r:embed="rId1">
                    <a:extLst>
                      <a:ext uri="{28A0092B-C50C-407E-A947-70E740481C1C}">
                        <a14:useLocalDpi xmlns:a14="http://schemas.microsoft.com/office/drawing/2010/main" val="0"/>
                      </a:ext>
                    </a:extLst>
                  </a:blip>
                  <a:stretch>
                    <a:fillRect/>
                  </a:stretch>
                </pic:blipFill>
                <pic:spPr>
                  <a:xfrm>
                    <a:off x="0" y="0"/>
                    <a:ext cx="1631564" cy="608002"/>
                  </a:xfrm>
                  <a:prstGeom prst="rect">
                    <a:avLst/>
                  </a:prstGeom>
                </pic:spPr>
              </pic:pic>
            </a:graphicData>
          </a:graphic>
          <wp14:sizeRelH relativeFrom="page">
            <wp14:pctWidth>0</wp14:pctWidth>
          </wp14:sizeRelH>
          <wp14:sizeRelV relativeFrom="page">
            <wp14:pctHeight>0</wp14:pctHeight>
          </wp14:sizeRelV>
        </wp:anchor>
      </w:drawing>
    </w:r>
    <w:r w:rsidR="008A0EEE">
      <w:rPr>
        <w:noProof/>
        <w:lang w:val="en-AU" w:eastAsia="en-AU"/>
      </w:rPr>
      <mc:AlternateContent>
        <mc:Choice Requires="wpg">
          <w:drawing>
            <wp:anchor distT="0" distB="0" distL="114300" distR="114300" simplePos="0" relativeHeight="251659264" behindDoc="1" locked="0" layoutInCell="1" allowOverlap="1" wp14:anchorId="1A660CD6" wp14:editId="16CCC949">
              <wp:simplePos x="0" y="0"/>
              <wp:positionH relativeFrom="page">
                <wp:posOffset>457200</wp:posOffset>
              </wp:positionH>
              <wp:positionV relativeFrom="paragraph">
                <wp:posOffset>215900</wp:posOffset>
              </wp:positionV>
              <wp:extent cx="4831080" cy="0"/>
              <wp:effectExtent l="0" t="0" r="7620"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080" cy="0"/>
                        <a:chOff x="720" y="341"/>
                        <a:chExt cx="7608" cy="0"/>
                      </a:xfrm>
                    </wpg:grpSpPr>
                    <wps:wsp>
                      <wps:cNvPr id="3" name="Freeform 2"/>
                      <wps:cNvSpPr>
                        <a:spLocks/>
                      </wps:cNvSpPr>
                      <wps:spPr bwMode="auto">
                        <a:xfrm>
                          <a:off x="720" y="341"/>
                          <a:ext cx="7608" cy="0"/>
                        </a:xfrm>
                        <a:custGeom>
                          <a:avLst/>
                          <a:gdLst>
                            <a:gd name="T0" fmla="+- 0 720 720"/>
                            <a:gd name="T1" fmla="*/ T0 w 7608"/>
                            <a:gd name="T2" fmla="+- 0 8328 720"/>
                            <a:gd name="T3" fmla="*/ T2 w 7608"/>
                          </a:gdLst>
                          <a:ahLst/>
                          <a:cxnLst>
                            <a:cxn ang="0">
                              <a:pos x="T1" y="0"/>
                            </a:cxn>
                            <a:cxn ang="0">
                              <a:pos x="T3" y="0"/>
                            </a:cxn>
                          </a:cxnLst>
                          <a:rect l="0" t="0" r="r" b="b"/>
                          <a:pathLst>
                            <a:path w="7608">
                              <a:moveTo>
                                <a:pt x="0" y="0"/>
                              </a:moveTo>
                              <a:lnTo>
                                <a:pt x="7608"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DE90673" id="Group 2" o:spid="_x0000_s1026" style="position:absolute;margin-left:36pt;margin-top:17pt;width:380.4pt;height:0;z-index:-251657216;mso-position-horizontal-relative:page" coordorigin="720,341" coordsize="760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">
              <v:polyline id="Freeform 2" o:spid="_x0000_s1027" style="position:absolute;visibility:visible;mso-wrap-style:square;v-text-anchor:top" points="720,341,8328,341" coordsize="760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soMtwQAA&#10;ANoAAAAPAAAAZHJzL2Rvd25yZXYueG1sRI9Pi8IwFMTvwn6H8Bb2IpqqIGttKsvCQsWTf/b+SJ5t&#10;afNSmqj12xtB8DjMzG+YbDPYVlyp97VjBbNpAoJYO1NzqeB0/Jt8g/AB2WDrmBTcycMm/xhlmBp3&#10;4z1dD6EUEcI+RQVVCF0qpdcVWfRT1xFH7+x6iyHKvpSmx1uE21bOk2QpLdYcFyrs6Lci3RwuVsFx&#10;h3u9bXfNvP4fLwpdJOV21Sj19Tn8rEEEGsI7/GoXRsECnlfiDZD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LKDLcEAAADaAAAADwAAAAAAAAAAAAAAAACXAgAAZHJzL2Rvd25y&#10;ZXYueG1sUEsFBgAAAAAEAAQA9QAAAIUDAAAAAA==&#10;" filled="f" strokecolor="#363435" strokeweight=".5pt">
                <v:path arrowok="t" o:connecttype="custom" o:connectlocs="0,0;7608,0" o:connectangles="0,0"/>
              </v:polyline>
              <w10:wrap anchorx="page"/>
            </v:group>
          </w:pict>
        </mc:Fallback>
      </mc:AlternateContent>
    </w:r>
    <w:r w:rsidR="008A0EEE">
      <w:rPr>
        <w:color w:val="363435"/>
        <w:sz w:val="24"/>
        <w:szCs w:val="24"/>
      </w:rPr>
      <w:t xml:space="preserve">From the desk of </w:t>
    </w:r>
    <w:r w:rsidR="00084557">
      <w:rPr>
        <w:color w:val="363435"/>
        <w:sz w:val="24"/>
        <w:szCs w:val="24"/>
      </w:rPr>
      <w:t>Morgan Begg</w:t>
    </w:r>
    <w:r w:rsidR="008A0EEE">
      <w:rPr>
        <w:color w:val="363435"/>
        <w:sz w:val="24"/>
        <w:szCs w:val="24"/>
      </w:rPr>
      <w:t xml:space="preserve">, </w:t>
    </w:r>
    <w:r w:rsidR="00084557">
      <w:rPr>
        <w:color w:val="363435"/>
        <w:sz w:val="24"/>
        <w:szCs w:val="24"/>
      </w:rPr>
      <w:t>Research Fellow</w:t>
    </w:r>
  </w:p>
  <w:p w14:paraId="7A58EA71" w14:textId="77777777" w:rsidR="008A0EEE" w:rsidRDefault="008A0EEE" w:rsidP="008A0EEE">
    <w:pPr>
      <w:spacing w:before="4" w:line="120" w:lineRule="exact"/>
      <w:rPr>
        <w:sz w:val="12"/>
        <w:szCs w:val="12"/>
      </w:rPr>
    </w:pPr>
  </w:p>
  <w:p w14:paraId="30B75FB9" w14:textId="3F0114C1" w:rsidR="008A0EEE" w:rsidRDefault="008A0EEE" w:rsidP="008A0EEE">
    <w:pPr>
      <w:spacing w:before="4" w:line="180" w:lineRule="exact"/>
      <w:rPr>
        <w:sz w:val="18"/>
        <w:szCs w:val="18"/>
      </w:rPr>
    </w:pPr>
  </w:p>
  <w:p w14:paraId="05E014A0" w14:textId="77777777" w:rsidR="008A0EEE" w:rsidRDefault="008A0EEE" w:rsidP="008A0EEE">
    <w:pPr>
      <w:spacing w:line="200" w:lineRule="exact"/>
    </w:pPr>
  </w:p>
  <w:p w14:paraId="0083FE7E" w14:textId="77777777" w:rsidR="008A0EEE" w:rsidRDefault="008A0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F1D40"/>
    <w:multiLevelType w:val="multilevel"/>
    <w:tmpl w:val="9DFAF0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82B6B32"/>
    <w:multiLevelType w:val="multilevel"/>
    <w:tmpl w:val="57DC0F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defaultTabStop w:val="720"/>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CB"/>
    <w:rsid w:val="00084557"/>
    <w:rsid w:val="00093E10"/>
    <w:rsid w:val="00211457"/>
    <w:rsid w:val="00273E9D"/>
    <w:rsid w:val="003902CB"/>
    <w:rsid w:val="003C1C51"/>
    <w:rsid w:val="00626CB8"/>
    <w:rsid w:val="00642D60"/>
    <w:rsid w:val="006504F4"/>
    <w:rsid w:val="00697A26"/>
    <w:rsid w:val="007B5597"/>
    <w:rsid w:val="007C1E85"/>
    <w:rsid w:val="008925B2"/>
    <w:rsid w:val="008A0EEE"/>
    <w:rsid w:val="008E33D2"/>
    <w:rsid w:val="00906A5A"/>
    <w:rsid w:val="00970467"/>
    <w:rsid w:val="00993608"/>
    <w:rsid w:val="009D6C1E"/>
    <w:rsid w:val="009D7E2D"/>
    <w:rsid w:val="00B645B0"/>
    <w:rsid w:val="00BA5018"/>
    <w:rsid w:val="00BE2831"/>
    <w:rsid w:val="00CB0B66"/>
    <w:rsid w:val="00D6559A"/>
    <w:rsid w:val="00D7693F"/>
    <w:rsid w:val="00E20E0B"/>
    <w:rsid w:val="00ED61E9"/>
    <w:rsid w:val="00F27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4865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A0EEE"/>
    <w:pPr>
      <w:tabs>
        <w:tab w:val="center" w:pos="4513"/>
        <w:tab w:val="right" w:pos="9026"/>
      </w:tabs>
    </w:pPr>
  </w:style>
  <w:style w:type="character" w:customStyle="1" w:styleId="HeaderChar">
    <w:name w:val="Header Char"/>
    <w:basedOn w:val="DefaultParagraphFont"/>
    <w:link w:val="Header"/>
    <w:uiPriority w:val="99"/>
    <w:rsid w:val="008A0EEE"/>
  </w:style>
  <w:style w:type="paragraph" w:styleId="Footer">
    <w:name w:val="footer"/>
    <w:basedOn w:val="Normal"/>
    <w:link w:val="FooterChar"/>
    <w:uiPriority w:val="99"/>
    <w:unhideWhenUsed/>
    <w:rsid w:val="008A0EEE"/>
    <w:pPr>
      <w:tabs>
        <w:tab w:val="center" w:pos="4513"/>
        <w:tab w:val="right" w:pos="9026"/>
      </w:tabs>
    </w:pPr>
  </w:style>
  <w:style w:type="character" w:customStyle="1" w:styleId="FooterChar">
    <w:name w:val="Footer Char"/>
    <w:basedOn w:val="DefaultParagraphFont"/>
    <w:link w:val="Footer"/>
    <w:uiPriority w:val="99"/>
    <w:rsid w:val="008A0EEE"/>
  </w:style>
  <w:style w:type="character" w:styleId="Hyperlink">
    <w:name w:val="Hyperlink"/>
    <w:basedOn w:val="DefaultParagraphFont"/>
    <w:uiPriority w:val="99"/>
    <w:unhideWhenUsed/>
    <w:rsid w:val="00084557"/>
    <w:rPr>
      <w:color w:val="0000FF" w:themeColor="hyperlink"/>
      <w:u w:val="single"/>
    </w:rPr>
  </w:style>
  <w:style w:type="paragraph" w:styleId="BalloonText">
    <w:name w:val="Balloon Text"/>
    <w:basedOn w:val="Normal"/>
    <w:link w:val="BalloonTextChar"/>
    <w:uiPriority w:val="99"/>
    <w:semiHidden/>
    <w:unhideWhenUsed/>
    <w:rsid w:val="00E20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4A9FE6-3299-4F7B-A0DA-26B8EAE9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DR91 - Letter - Institute of Public Affairs - Horizontal Fiscal Equalisation - Public inquiry</vt:lpstr>
    </vt:vector>
  </TitlesOfParts>
  <Company>Institute of Public Affairs</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DR91 - Letter - Institute of Public Affairs - Horizontal Fiscal Equalisation - Public inquiry</dc:title>
  <dc:creator>Institute of Public Affairs</dc:creator>
  <cp:lastModifiedBy>Pimperl, Mark</cp:lastModifiedBy>
  <cp:revision>4</cp:revision>
  <cp:lastPrinted>2017-11-14T05:14:00Z</cp:lastPrinted>
  <dcterms:created xsi:type="dcterms:W3CDTF">2017-11-14T22:58:00Z</dcterms:created>
  <dcterms:modified xsi:type="dcterms:W3CDTF">2017-11-14T23:51:00Z</dcterms:modified>
</cp:coreProperties>
</file>