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54" w:rsidRDefault="00F02554" w:rsidP="00FA751C">
      <w:pPr>
        <w:jc w:val="center"/>
        <w:rPr>
          <w:b/>
          <w:sz w:val="32"/>
          <w:szCs w:val="32"/>
        </w:rPr>
      </w:pPr>
      <w:bookmarkStart w:id="0" w:name="_Hlk480635120"/>
      <w:bookmarkStart w:id="1" w:name="_GoBack"/>
      <w:bookmarkEnd w:id="0"/>
      <w:bookmarkEnd w:id="1"/>
      <w:r w:rsidRPr="00F02554">
        <w:rPr>
          <w:b/>
          <w:noProof/>
          <w:sz w:val="24"/>
          <w:szCs w:val="24"/>
          <w:lang w:eastAsia="en-AU"/>
        </w:rPr>
        <w:drawing>
          <wp:inline distT="0" distB="0" distL="0" distR="0" wp14:anchorId="313CD3F8" wp14:editId="059C8C11">
            <wp:extent cx="942975" cy="838200"/>
            <wp:effectExtent l="0" t="0" r="9525" b="0"/>
            <wp:docPr id="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838200"/>
                    </a:xfrm>
                    <a:prstGeom prst="rect">
                      <a:avLst/>
                    </a:prstGeom>
                    <a:noFill/>
                    <a:ln>
                      <a:noFill/>
                    </a:ln>
                    <a:effectLst/>
                    <a:extLst/>
                  </pic:spPr>
                </pic:pic>
              </a:graphicData>
            </a:graphic>
          </wp:inline>
        </w:drawing>
      </w:r>
    </w:p>
    <w:p w:rsidR="00FA751C" w:rsidRPr="00BB1D01" w:rsidRDefault="00FA751C" w:rsidP="00FA751C">
      <w:pPr>
        <w:jc w:val="center"/>
        <w:rPr>
          <w:b/>
          <w:sz w:val="32"/>
          <w:szCs w:val="32"/>
        </w:rPr>
      </w:pPr>
      <w:r w:rsidRPr="00BB1D01">
        <w:rPr>
          <w:b/>
          <w:sz w:val="32"/>
          <w:szCs w:val="32"/>
        </w:rPr>
        <w:t>INVESTMENT RISK</w:t>
      </w:r>
    </w:p>
    <w:p w:rsidR="00FA751C" w:rsidRPr="00FA751C" w:rsidRDefault="00FA751C" w:rsidP="00FA751C">
      <w:pPr>
        <w:rPr>
          <w:b/>
        </w:rPr>
      </w:pPr>
      <w:r w:rsidRPr="00FA751C">
        <w:rPr>
          <w:b/>
        </w:rPr>
        <w:t>Introduction</w:t>
      </w:r>
    </w:p>
    <w:p w:rsidR="000E1183" w:rsidRDefault="000E1183" w:rsidP="000E1183">
      <w:r>
        <w:t xml:space="preserve">This paper discusses investment risk for members of a Defined Contribution (DC) </w:t>
      </w:r>
      <w:r w:rsidR="00665B71">
        <w:t>superannuation</w:t>
      </w:r>
      <w:r>
        <w:t xml:space="preserve"> fund. This would include for example 401K plans in the USA, most Australian </w:t>
      </w:r>
      <w:r w:rsidR="00665B71">
        <w:t>superannuation</w:t>
      </w:r>
      <w:r>
        <w:t xml:space="preserve"> funds and many other DC funds globally. This paper </w:t>
      </w:r>
      <w:r w:rsidR="00185A30">
        <w:t>uses examples within</w:t>
      </w:r>
      <w:r>
        <w:t xml:space="preserve"> the Australian DC fund arena </w:t>
      </w:r>
      <w:r w:rsidR="00185A30">
        <w:t>(the author’s country of residence) however</w:t>
      </w:r>
      <w:r>
        <w:t xml:space="preserve"> the principles </w:t>
      </w:r>
      <w:r w:rsidR="00185A30">
        <w:t>are consistent across all global markets</w:t>
      </w:r>
      <w:r>
        <w:t>.</w:t>
      </w:r>
    </w:p>
    <w:p w:rsidR="00A65F4E" w:rsidRDefault="00A65F4E" w:rsidP="000E1183">
      <w:r>
        <w:t xml:space="preserve">The paper challenges the investment industry’s traditional use of volatility as a proxy for risk and illustrates the fallacy </w:t>
      </w:r>
      <w:r w:rsidR="0033118C">
        <w:t>that this proxy can be used</w:t>
      </w:r>
      <w:r>
        <w:t xml:space="preserve"> without due consideration of the investor’s objectives.</w:t>
      </w:r>
    </w:p>
    <w:p w:rsidR="00416284" w:rsidRDefault="00F06043" w:rsidP="00FA751C">
      <w:r>
        <w:t xml:space="preserve">The overwhelming majority of </w:t>
      </w:r>
      <w:r w:rsidR="00665B71">
        <w:t>superannuation</w:t>
      </w:r>
      <w:r>
        <w:t xml:space="preserve"> fund members fall into their fund’s default option. </w:t>
      </w:r>
      <w:r w:rsidR="002E75B5">
        <w:t>Consequently,</w:t>
      </w:r>
      <w:r>
        <w:t xml:space="preserve"> at the point of retirement </w:t>
      </w:r>
      <w:r w:rsidR="00B21833">
        <w:t>many</w:t>
      </w:r>
      <w:r>
        <w:t xml:space="preserve"> are faced, for the first time with the need to make a choice for their investment option. Clearly investment risk is a major if not the major consideration in making their choice. </w:t>
      </w:r>
      <w:r w:rsidR="00F74E3C">
        <w:t>Unfortunately,</w:t>
      </w:r>
      <w:r w:rsidR="009C47BE">
        <w:t xml:space="preserve"> the information available for </w:t>
      </w:r>
      <w:r w:rsidR="00665B71">
        <w:t>superannuation</w:t>
      </w:r>
      <w:r w:rsidR="009C47BE">
        <w:t xml:space="preserve"> members to make an informed decision at this crucial time is generally inadequate or even misleading.</w:t>
      </w:r>
    </w:p>
    <w:p w:rsidR="00FA751C" w:rsidRDefault="00BB3F79" w:rsidP="00FA751C">
      <w:r>
        <w:t xml:space="preserve">At a Sydney conference </w:t>
      </w:r>
      <w:r w:rsidR="00436FA0">
        <w:t>in 201</w:t>
      </w:r>
      <w:r w:rsidR="00D67325">
        <w:t>6</w:t>
      </w:r>
      <w:r w:rsidR="00742CA3">
        <w:t>,</w:t>
      </w:r>
      <w:r w:rsidR="00366641">
        <w:t xml:space="preserve"> </w:t>
      </w:r>
      <w:r w:rsidR="0035765F">
        <w:t xml:space="preserve">a </w:t>
      </w:r>
      <w:r w:rsidR="00AE1ED6">
        <w:t>highly-credentialed</w:t>
      </w:r>
      <w:r w:rsidR="00366641">
        <w:t xml:space="preserve"> panel </w:t>
      </w:r>
      <w:r w:rsidR="00F06043">
        <w:t xml:space="preserve">of investment risk measurement experts </w:t>
      </w:r>
      <w:r w:rsidR="00FA751C">
        <w:t>from the UK</w:t>
      </w:r>
      <w:r w:rsidR="00366641">
        <w:t>,</w:t>
      </w:r>
      <w:r w:rsidR="00FA751C">
        <w:t xml:space="preserve"> the USA</w:t>
      </w:r>
      <w:r w:rsidR="00366641">
        <w:t xml:space="preserve"> and</w:t>
      </w:r>
      <w:r w:rsidR="00FA751C">
        <w:t xml:space="preserve"> A</w:t>
      </w:r>
      <w:r w:rsidR="00366641">
        <w:t>u</w:t>
      </w:r>
      <w:r w:rsidR="00FA751C">
        <w:t>stra</w:t>
      </w:r>
      <w:r w:rsidR="00366641">
        <w:t>lia</w:t>
      </w:r>
      <w:r>
        <w:t xml:space="preserve"> were asked the question</w:t>
      </w:r>
      <w:r w:rsidR="00FA751C">
        <w:t xml:space="preserve"> “is volatility an appropriate measure of risk for a </w:t>
      </w:r>
      <w:r w:rsidR="00665B71">
        <w:t>superannuation</w:t>
      </w:r>
      <w:r w:rsidR="00FA751C">
        <w:t xml:space="preserve"> fund?” Each of the three panel members responded “no”</w:t>
      </w:r>
      <w:r w:rsidR="00366641">
        <w:t>.</w:t>
      </w:r>
      <w:r w:rsidR="003F281E">
        <w:t xml:space="preserve"> This is of concern given that volatility is and has been used </w:t>
      </w:r>
      <w:r w:rsidR="0033118C">
        <w:t xml:space="preserve">consistently </w:t>
      </w:r>
      <w:r w:rsidR="003F281E">
        <w:t xml:space="preserve">as a proxy for risk by the </w:t>
      </w:r>
      <w:r w:rsidR="00665B71">
        <w:t>superannuation</w:t>
      </w:r>
      <w:r w:rsidR="003F281E">
        <w:t xml:space="preserve"> industry.</w:t>
      </w:r>
    </w:p>
    <w:p w:rsidR="00B21833" w:rsidRDefault="00B21833" w:rsidP="00B21833">
      <w:r>
        <w:t xml:space="preserve">The key to the solution lies in (a) defining “risk” in the context of a </w:t>
      </w:r>
      <w:r w:rsidR="00665B71">
        <w:t>superannuation</w:t>
      </w:r>
      <w:r>
        <w:t xml:space="preserve"> fund member</w:t>
      </w:r>
      <w:r w:rsidR="00554B2D">
        <w:t>, particularly when</w:t>
      </w:r>
      <w:r w:rsidR="004563A0">
        <w:t xml:space="preserve"> approaching or</w:t>
      </w:r>
      <w:r>
        <w:t xml:space="preserve"> entering draw down phase and (b) recognising that risk and return cannot be viewed independently. The two are inextricably linked and a meaningful measure of risk must also </w:t>
      </w:r>
      <w:r w:rsidR="002E75B5">
        <w:t>consider</w:t>
      </w:r>
      <w:r>
        <w:t xml:space="preserve"> any associated risk/return trade off.</w:t>
      </w:r>
    </w:p>
    <w:p w:rsidR="00AD55DD" w:rsidRDefault="00AD55DD" w:rsidP="00B21833">
      <w:r>
        <w:t xml:space="preserve">This paper argues that (a) </w:t>
      </w:r>
      <w:r w:rsidR="00665B71">
        <w:t>superannuation</w:t>
      </w:r>
      <w:r>
        <w:t xml:space="preserve"> funds and advisers </w:t>
      </w:r>
      <w:r w:rsidR="004563A0">
        <w:t>are likely to</w:t>
      </w:r>
      <w:r>
        <w:t xml:space="preserve"> be increasing “risk” to members by </w:t>
      </w:r>
      <w:r w:rsidR="00052C3F">
        <w:t>recommending less volatile asset allocations as they approach or enter retirement and (b) the information available to members to make an informed investment choice is at best inadequate and at worst misleading.</w:t>
      </w:r>
    </w:p>
    <w:p w:rsidR="00B52559" w:rsidRPr="00341CFC" w:rsidRDefault="00742CA3" w:rsidP="00341CFC">
      <w:pPr>
        <w:rPr>
          <w:b/>
        </w:rPr>
      </w:pPr>
      <w:r>
        <w:rPr>
          <w:b/>
        </w:rPr>
        <w:t>Traditional</w:t>
      </w:r>
      <w:r w:rsidR="00B52559" w:rsidRPr="00341CFC">
        <w:rPr>
          <w:b/>
        </w:rPr>
        <w:t xml:space="preserve"> measures of risk</w:t>
      </w:r>
      <w:r w:rsidR="00BB3F79">
        <w:rPr>
          <w:b/>
        </w:rPr>
        <w:t xml:space="preserve"> </w:t>
      </w:r>
    </w:p>
    <w:p w:rsidR="00C63A79" w:rsidRDefault="00C63A79" w:rsidP="00341CFC">
      <w:r>
        <w:t xml:space="preserve">The shortcoming </w:t>
      </w:r>
      <w:r w:rsidR="00DD65AA">
        <w:t>of</w:t>
      </w:r>
      <w:r w:rsidR="005C4325">
        <w:t xml:space="preserve"> traditional</w:t>
      </w:r>
      <w:r>
        <w:t xml:space="preserve"> risk measures is that “risk” is not </w:t>
      </w:r>
      <w:r w:rsidR="00DD65AA">
        <w:t xml:space="preserve">fully </w:t>
      </w:r>
      <w:r>
        <w:t xml:space="preserve">defined </w:t>
      </w:r>
      <w:r w:rsidR="00DD65AA">
        <w:t xml:space="preserve">in the context of a </w:t>
      </w:r>
      <w:r w:rsidR="00F212D8">
        <w:t xml:space="preserve">DC </w:t>
      </w:r>
      <w:r w:rsidR="00665B71">
        <w:t>superannuation</w:t>
      </w:r>
      <w:r w:rsidR="00DD65AA">
        <w:t xml:space="preserve"> fund member</w:t>
      </w:r>
      <w:r>
        <w:t>. T</w:t>
      </w:r>
      <w:r w:rsidR="00DD65AA">
        <w:t xml:space="preserve">raditional </w:t>
      </w:r>
      <w:r>
        <w:t xml:space="preserve">“risk measures” are in fact </w:t>
      </w:r>
      <w:r w:rsidRPr="00D67325">
        <w:rPr>
          <w:u w:val="single"/>
        </w:rPr>
        <w:t>all</w:t>
      </w:r>
      <w:r>
        <w:t xml:space="preserve"> measure</w:t>
      </w:r>
      <w:r w:rsidR="00BE5FCF">
        <w:t>s</w:t>
      </w:r>
      <w:r>
        <w:t xml:space="preserve"> of </w:t>
      </w:r>
      <w:r w:rsidR="00416284">
        <w:t>short term volatility.</w:t>
      </w:r>
    </w:p>
    <w:p w:rsidR="00F33CBC" w:rsidRDefault="00985736" w:rsidP="009F15FA">
      <w:r>
        <w:t>For</w:t>
      </w:r>
      <w:r w:rsidR="00F33CBC">
        <w:t xml:space="preserve"> a member of a </w:t>
      </w:r>
      <w:r w:rsidR="00F212D8">
        <w:t xml:space="preserve">DC </w:t>
      </w:r>
      <w:r w:rsidR="00665B71">
        <w:t>superannuation</w:t>
      </w:r>
      <w:r w:rsidR="00F33CBC">
        <w:t xml:space="preserve"> fund</w:t>
      </w:r>
      <w:r w:rsidR="00B457E2">
        <w:t>,</w:t>
      </w:r>
      <w:r w:rsidR="00F33CBC">
        <w:t xml:space="preserve"> their risk </w:t>
      </w:r>
      <w:r>
        <w:t xml:space="preserve">is </w:t>
      </w:r>
      <w:r w:rsidR="0035765F">
        <w:t xml:space="preserve">far </w:t>
      </w:r>
      <w:r>
        <w:t>better</w:t>
      </w:r>
      <w:r w:rsidR="00F33CBC">
        <w:t xml:space="preserve"> defined as </w:t>
      </w:r>
      <w:r w:rsidR="00F33CBC" w:rsidRPr="00E053D2">
        <w:rPr>
          <w:b/>
          <w:i/>
        </w:rPr>
        <w:t>“the probability of running out of money during retirement”</w:t>
      </w:r>
      <w:r w:rsidR="00F33CBC">
        <w:t>. This may h</w:t>
      </w:r>
      <w:r w:rsidR="00416284">
        <w:t xml:space="preserve">ave little or no correlation with short term </w:t>
      </w:r>
      <w:r w:rsidR="009170D2">
        <w:t xml:space="preserve">market </w:t>
      </w:r>
      <w:r w:rsidR="00422BDF">
        <w:t>volatility</w:t>
      </w:r>
      <w:r w:rsidR="00494356">
        <w:t xml:space="preserve">. </w:t>
      </w:r>
    </w:p>
    <w:p w:rsidR="009F15FA" w:rsidRPr="00E053D2" w:rsidRDefault="00E053D2" w:rsidP="00341CFC">
      <w:pPr>
        <w:rPr>
          <w:b/>
        </w:rPr>
      </w:pPr>
      <w:r w:rsidRPr="00E053D2">
        <w:rPr>
          <w:b/>
        </w:rPr>
        <w:t xml:space="preserve">Why has the </w:t>
      </w:r>
      <w:r w:rsidR="00665B71">
        <w:rPr>
          <w:b/>
        </w:rPr>
        <w:t>superannuation</w:t>
      </w:r>
      <w:r w:rsidRPr="00E053D2">
        <w:rPr>
          <w:b/>
        </w:rPr>
        <w:t xml:space="preserve"> industry adopted the risk measure</w:t>
      </w:r>
      <w:r w:rsidR="00D67325">
        <w:rPr>
          <w:b/>
        </w:rPr>
        <w:t>s</w:t>
      </w:r>
      <w:r w:rsidRPr="00E053D2">
        <w:rPr>
          <w:b/>
        </w:rPr>
        <w:t xml:space="preserve"> it so commonly uses?</w:t>
      </w:r>
    </w:p>
    <w:p w:rsidR="007B4B60" w:rsidRDefault="007B4B60" w:rsidP="00341CFC">
      <w:r>
        <w:lastRenderedPageBreak/>
        <w:t>Market v</w:t>
      </w:r>
      <w:r w:rsidR="00684EE0">
        <w:t xml:space="preserve">olatility is easy to </w:t>
      </w:r>
      <w:r w:rsidR="0093783C">
        <w:t>measure,</w:t>
      </w:r>
      <w:r w:rsidR="00684EE0">
        <w:t xml:space="preserve"> and t</w:t>
      </w:r>
      <w:r w:rsidR="00416284">
        <w:t>he</w:t>
      </w:r>
      <w:r w:rsidR="007E1820">
        <w:t xml:space="preserve"> investment industry has </w:t>
      </w:r>
      <w:r w:rsidR="00151212">
        <w:t xml:space="preserve">universally </w:t>
      </w:r>
      <w:r w:rsidR="007E1820">
        <w:t>embraced volatility as a proxy for risk</w:t>
      </w:r>
      <w:r w:rsidR="00416284">
        <w:t xml:space="preserve"> </w:t>
      </w:r>
      <w:r w:rsidR="003F281E">
        <w:t>over decades</w:t>
      </w:r>
      <w:r w:rsidR="007F45F0">
        <w:t>. Perhaps surprisingly, this appears to have been done without appropriately defining risk in the context of the asset owner’s objectives</w:t>
      </w:r>
      <w:r w:rsidR="003F281E">
        <w:t xml:space="preserve">. </w:t>
      </w:r>
    </w:p>
    <w:p w:rsidR="00877272" w:rsidRDefault="007B4B60" w:rsidP="00341CFC">
      <w:r>
        <w:t xml:space="preserve">Investment managers are traditionally focussed on short term investment horizons (consistent with their incentive bonuses) and have </w:t>
      </w:r>
      <w:r w:rsidR="007F45F0">
        <w:t xml:space="preserve">not </w:t>
      </w:r>
      <w:r>
        <w:t xml:space="preserve">been </w:t>
      </w:r>
      <w:r w:rsidR="007F45F0">
        <w:t xml:space="preserve">consistently </w:t>
      </w:r>
      <w:r>
        <w:t xml:space="preserve">incentivised to think in the context of </w:t>
      </w:r>
      <w:r w:rsidR="00D67325">
        <w:t>the</w:t>
      </w:r>
      <w:r>
        <w:t xml:space="preserve"> investment horizon exceeding half a century within which </w:t>
      </w:r>
      <w:r w:rsidR="00665B71">
        <w:t>superannuation</w:t>
      </w:r>
      <w:r>
        <w:t xml:space="preserve"> fund</w:t>
      </w:r>
      <w:r w:rsidR="00554B2D">
        <w:t xml:space="preserve"> member</w:t>
      </w:r>
      <w:r>
        <w:t xml:space="preserve">s operate. </w:t>
      </w:r>
      <w:r w:rsidR="00046298">
        <w:t xml:space="preserve">The chart below highlights </w:t>
      </w:r>
      <w:r w:rsidR="009C47BE">
        <w:t xml:space="preserve">the materiality of short term market volatility in the context of a </w:t>
      </w:r>
      <w:r w:rsidR="00665B71">
        <w:t>superannuation</w:t>
      </w:r>
      <w:r w:rsidR="009C47BE">
        <w:t xml:space="preserve"> fund’s long horizon investment time frame.</w:t>
      </w:r>
    </w:p>
    <w:p w:rsidR="009C47BE" w:rsidRDefault="009C47BE" w:rsidP="00341CFC">
      <w:r>
        <w:rPr>
          <w:noProof/>
          <w:lang w:eastAsia="en-AU"/>
        </w:rPr>
        <w:drawing>
          <wp:inline distT="0" distB="0" distL="0" distR="0" wp14:anchorId="5D082EE7" wp14:editId="70E9C0D3">
            <wp:extent cx="5295900" cy="3714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5900" cy="3714750"/>
                    </a:xfrm>
                    <a:prstGeom prst="rect">
                      <a:avLst/>
                    </a:prstGeom>
                  </pic:spPr>
                </pic:pic>
              </a:graphicData>
            </a:graphic>
          </wp:inline>
        </w:drawing>
      </w:r>
    </w:p>
    <w:p w:rsidR="009C47BE" w:rsidRDefault="009C47BE" w:rsidP="00341CFC">
      <w:r>
        <w:t>The highlighted points on the chart show the impact of the</w:t>
      </w:r>
      <w:r w:rsidR="00DB38B8">
        <w:t xml:space="preserve"> two most significant market events of the last 75 years</w:t>
      </w:r>
      <w:r w:rsidR="00C843E2">
        <w:t xml:space="preserve"> i.e. the</w:t>
      </w:r>
      <w:r>
        <w:t xml:space="preserve"> recession from 2007 (1) and the stock market crash of 1987 (2). Clearly over an investment time frame of decades these market shocks have had little material impact on investment outcomes.</w:t>
      </w:r>
    </w:p>
    <w:p w:rsidR="007B4B60" w:rsidRDefault="007B4B60" w:rsidP="00341CFC">
      <w:r>
        <w:t xml:space="preserve">Market volatility may be </w:t>
      </w:r>
      <w:r w:rsidR="004563A0">
        <w:t xml:space="preserve">a </w:t>
      </w:r>
      <w:r>
        <w:t xml:space="preserve">useful </w:t>
      </w:r>
      <w:r w:rsidR="007650AE">
        <w:t xml:space="preserve">proxy for risk </w:t>
      </w:r>
      <w:r>
        <w:t xml:space="preserve">over the short-term periods of a few months or even a few </w:t>
      </w:r>
      <w:r w:rsidR="0093783C">
        <w:t>years,</w:t>
      </w:r>
      <w:r w:rsidR="007F45F0">
        <w:t xml:space="preserve"> but i</w:t>
      </w:r>
      <w:r>
        <w:t xml:space="preserve">t is </w:t>
      </w:r>
      <w:r w:rsidRPr="00877272">
        <w:rPr>
          <w:u w:val="single"/>
        </w:rPr>
        <w:t>not</w:t>
      </w:r>
      <w:r>
        <w:t xml:space="preserve"> useful for the long-term investment horizons (60-70 years) of </w:t>
      </w:r>
      <w:r w:rsidR="00665B71">
        <w:t>superannuation</w:t>
      </w:r>
      <w:r>
        <w:t xml:space="preserve"> fund members.</w:t>
      </w:r>
    </w:p>
    <w:p w:rsidR="00EC7E64" w:rsidRDefault="00D82774" w:rsidP="00341CFC">
      <w:r>
        <w:t>The following two charts</w:t>
      </w:r>
      <w:r w:rsidR="00F212D8">
        <w:t xml:space="preserve"> based on Australian markets</w:t>
      </w:r>
      <w:r w:rsidR="00D67325">
        <w:t xml:space="preserve"> (and equally applicable to global markets)</w:t>
      </w:r>
      <w:r>
        <w:t xml:space="preserve"> illustrate</w:t>
      </w:r>
      <w:r w:rsidR="00ED784F">
        <w:t xml:space="preserve"> </w:t>
      </w:r>
      <w:r w:rsidR="000510E4">
        <w:t>the difference between</w:t>
      </w:r>
      <w:r w:rsidR="009170D2">
        <w:t xml:space="preserve"> market</w:t>
      </w:r>
      <w:r w:rsidR="000510E4">
        <w:t xml:space="preserve"> volatility and </w:t>
      </w:r>
      <w:r w:rsidR="00ED784F">
        <w:t>“</w:t>
      </w:r>
      <w:r w:rsidR="000510E4" w:rsidRPr="00F23334">
        <w:rPr>
          <w:b/>
          <w:i/>
        </w:rPr>
        <w:t>the ri</w:t>
      </w:r>
      <w:r w:rsidR="00BD1D9B" w:rsidRPr="00F23334">
        <w:rPr>
          <w:b/>
          <w:i/>
        </w:rPr>
        <w:t>s</w:t>
      </w:r>
      <w:r w:rsidR="000510E4" w:rsidRPr="00F23334">
        <w:rPr>
          <w:b/>
          <w:i/>
        </w:rPr>
        <w:t>k of running out of money</w:t>
      </w:r>
      <w:r w:rsidR="00F23334" w:rsidRPr="00F23334">
        <w:rPr>
          <w:b/>
          <w:i/>
        </w:rPr>
        <w:t xml:space="preserve"> in retirement</w:t>
      </w:r>
      <w:r w:rsidR="00ED784F">
        <w:rPr>
          <w:b/>
          <w:i/>
        </w:rPr>
        <w:t>”</w:t>
      </w:r>
      <w:r>
        <w:rPr>
          <w:b/>
          <w:i/>
        </w:rPr>
        <w:t>.</w:t>
      </w:r>
      <w:r w:rsidR="000510E4">
        <w:t xml:space="preserve"> </w:t>
      </w:r>
    </w:p>
    <w:p w:rsidR="008A1798" w:rsidRDefault="008A1798" w:rsidP="00341CFC">
      <w:r w:rsidRPr="008A1798">
        <w:rPr>
          <w:noProof/>
          <w:lang w:eastAsia="en-AU"/>
        </w:rPr>
        <w:lastRenderedPageBreak/>
        <w:drawing>
          <wp:inline distT="0" distB="0" distL="0" distR="0">
            <wp:extent cx="503872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3152775"/>
                    </a:xfrm>
                    <a:prstGeom prst="rect">
                      <a:avLst/>
                    </a:prstGeom>
                    <a:noFill/>
                    <a:ln>
                      <a:noFill/>
                    </a:ln>
                  </pic:spPr>
                </pic:pic>
              </a:graphicData>
            </a:graphic>
          </wp:inline>
        </w:drawing>
      </w:r>
    </w:p>
    <w:p w:rsidR="008A1798" w:rsidRPr="008A1798" w:rsidRDefault="008A1798" w:rsidP="008A1798">
      <w:pPr>
        <w:spacing w:after="0" w:line="240" w:lineRule="auto"/>
        <w:rPr>
          <w:rFonts w:ascii="Calibri" w:eastAsia="Times New Roman" w:hAnsi="Calibri" w:cs="Calibri"/>
          <w:i/>
          <w:iCs/>
          <w:color w:val="000000"/>
          <w:sz w:val="16"/>
          <w:szCs w:val="16"/>
          <w:lang w:eastAsia="en-AU"/>
        </w:rPr>
      </w:pPr>
      <w:r w:rsidRPr="008A1798">
        <w:rPr>
          <w:rFonts w:ascii="Calibri" w:eastAsia="Times New Roman" w:hAnsi="Calibri" w:cs="Calibri"/>
          <w:i/>
          <w:iCs/>
          <w:color w:val="000000"/>
          <w:sz w:val="16"/>
          <w:szCs w:val="16"/>
          <w:lang w:eastAsia="en-AU"/>
        </w:rPr>
        <w:t>Source: Vanguard Investments Australia, Athena IOC</w:t>
      </w:r>
    </w:p>
    <w:p w:rsidR="008A1798" w:rsidRDefault="008A1798" w:rsidP="00341CFC"/>
    <w:p w:rsidR="00BD1D9B" w:rsidRDefault="00BD1D9B" w:rsidP="00341CFC">
      <w:r>
        <w:t xml:space="preserve">The chart above shows the annual </w:t>
      </w:r>
      <w:r w:rsidR="00AE1ED6">
        <w:t>fiscal year</w:t>
      </w:r>
      <w:r>
        <w:t xml:space="preserve"> returns over the </w:t>
      </w:r>
      <w:r w:rsidR="00AE1ED6">
        <w:t>46-year</w:t>
      </w:r>
      <w:r>
        <w:t xml:space="preserve"> period between 197</w:t>
      </w:r>
      <w:r w:rsidR="00F23334">
        <w:t>1</w:t>
      </w:r>
      <w:r>
        <w:t xml:space="preserve"> and 2016. </w:t>
      </w:r>
      <w:r w:rsidR="00AE1ED6">
        <w:t>Cash</w:t>
      </w:r>
      <w:r>
        <w:t xml:space="preserve"> consistently returns </w:t>
      </w:r>
      <w:r w:rsidR="00D82774">
        <w:t>between</w:t>
      </w:r>
      <w:r>
        <w:t xml:space="preserve"> </w:t>
      </w:r>
      <w:r w:rsidR="00D82774">
        <w:t>+</w:t>
      </w:r>
      <w:r>
        <w:t xml:space="preserve">1% and </w:t>
      </w:r>
      <w:r w:rsidR="00D82774">
        <w:t>+</w:t>
      </w:r>
      <w:r>
        <w:t xml:space="preserve">19%. </w:t>
      </w:r>
      <w:r w:rsidR="00213BA0">
        <w:t>E</w:t>
      </w:r>
      <w:r>
        <w:t xml:space="preserve">quities </w:t>
      </w:r>
      <w:r w:rsidR="00AE1ED6">
        <w:t>produce</w:t>
      </w:r>
      <w:r>
        <w:t xml:space="preserve"> a far wider range of returns between </w:t>
      </w:r>
      <w:r w:rsidR="00D82774">
        <w:t>-</w:t>
      </w:r>
      <w:r>
        <w:t xml:space="preserve">25% and </w:t>
      </w:r>
      <w:r w:rsidR="00D82774">
        <w:t>+</w:t>
      </w:r>
      <w:r>
        <w:t xml:space="preserve">78%. By any of the risk measures </w:t>
      </w:r>
      <w:r w:rsidR="00ED784F">
        <w:t xml:space="preserve">traditionally </w:t>
      </w:r>
      <w:r>
        <w:t xml:space="preserve">adopted by the </w:t>
      </w:r>
      <w:r w:rsidR="00665B71">
        <w:t>superannuation</w:t>
      </w:r>
      <w:r>
        <w:t xml:space="preserve"> industry</w:t>
      </w:r>
      <w:r w:rsidR="00F23334">
        <w:t>,</w:t>
      </w:r>
      <w:r>
        <w:t xml:space="preserve"> </w:t>
      </w:r>
      <w:r w:rsidR="0040246B">
        <w:t>E</w:t>
      </w:r>
      <w:r>
        <w:t xml:space="preserve">quities appears to </w:t>
      </w:r>
      <w:r w:rsidR="008F3C07">
        <w:t>be a far “riskier” option than C</w:t>
      </w:r>
      <w:r>
        <w:t>ash</w:t>
      </w:r>
      <w:r w:rsidR="00D82774">
        <w:t>.</w:t>
      </w:r>
    </w:p>
    <w:p w:rsidR="008A1798" w:rsidRPr="008A1798" w:rsidRDefault="008A1798" w:rsidP="008A1798">
      <w:pPr>
        <w:spacing w:after="0" w:line="240" w:lineRule="auto"/>
        <w:rPr>
          <w:rFonts w:ascii="Calibri" w:eastAsia="Times New Roman" w:hAnsi="Calibri" w:cs="Calibri"/>
          <w:i/>
          <w:iCs/>
          <w:color w:val="000000"/>
          <w:sz w:val="16"/>
          <w:szCs w:val="16"/>
          <w:lang w:eastAsia="en-AU"/>
        </w:rPr>
      </w:pPr>
      <w:r w:rsidRPr="008A1798">
        <w:rPr>
          <w:rFonts w:ascii="Calibri" w:eastAsia="Times New Roman" w:hAnsi="Calibri" w:cs="Calibri"/>
          <w:i/>
          <w:iCs/>
          <w:color w:val="000000"/>
          <w:sz w:val="16"/>
          <w:szCs w:val="16"/>
          <w:lang w:eastAsia="en-AU"/>
        </w:rPr>
        <w:t>Source: Vanguard Investments Australia, Athena IOC</w:t>
      </w:r>
    </w:p>
    <w:p w:rsidR="00822B07" w:rsidRDefault="008A1798" w:rsidP="00341CFC">
      <w:r w:rsidRPr="008A1798">
        <w:rPr>
          <w:noProof/>
          <w:lang w:eastAsia="en-AU"/>
        </w:rPr>
        <w:drawing>
          <wp:inline distT="0" distB="0" distL="0" distR="0">
            <wp:extent cx="5610225" cy="3143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143250"/>
                    </a:xfrm>
                    <a:prstGeom prst="rect">
                      <a:avLst/>
                    </a:prstGeom>
                    <a:noFill/>
                    <a:ln>
                      <a:noFill/>
                    </a:ln>
                  </pic:spPr>
                </pic:pic>
              </a:graphicData>
            </a:graphic>
          </wp:inline>
        </w:drawing>
      </w:r>
    </w:p>
    <w:p w:rsidR="008A1798" w:rsidRDefault="008A1798" w:rsidP="008A1798">
      <w:pPr>
        <w:spacing w:after="0" w:line="240" w:lineRule="auto"/>
        <w:rPr>
          <w:rFonts w:ascii="Calibri" w:eastAsia="Times New Roman" w:hAnsi="Calibri" w:cs="Calibri"/>
          <w:i/>
          <w:iCs/>
          <w:color w:val="000000"/>
          <w:sz w:val="16"/>
          <w:szCs w:val="16"/>
          <w:lang w:eastAsia="en-AU"/>
        </w:rPr>
      </w:pPr>
      <w:r w:rsidRPr="008A1798">
        <w:rPr>
          <w:rFonts w:ascii="Calibri" w:eastAsia="Times New Roman" w:hAnsi="Calibri" w:cs="Calibri"/>
          <w:i/>
          <w:iCs/>
          <w:color w:val="000000"/>
          <w:sz w:val="16"/>
          <w:szCs w:val="16"/>
          <w:lang w:eastAsia="en-AU"/>
        </w:rPr>
        <w:t>Source: Vanguard Investments Australia, Athena IOC</w:t>
      </w:r>
    </w:p>
    <w:p w:rsidR="008A1798" w:rsidRPr="008A1798" w:rsidRDefault="008A1798" w:rsidP="008A1798">
      <w:pPr>
        <w:spacing w:after="0" w:line="240" w:lineRule="auto"/>
        <w:rPr>
          <w:rFonts w:ascii="Calibri" w:eastAsia="Times New Roman" w:hAnsi="Calibri" w:cs="Calibri"/>
          <w:i/>
          <w:iCs/>
          <w:color w:val="000000"/>
          <w:sz w:val="16"/>
          <w:szCs w:val="16"/>
          <w:lang w:eastAsia="en-AU"/>
        </w:rPr>
      </w:pPr>
    </w:p>
    <w:p w:rsidR="00BD1D9B" w:rsidRDefault="00BD1D9B" w:rsidP="00341CFC">
      <w:r>
        <w:t xml:space="preserve">The second chart </w:t>
      </w:r>
      <w:r w:rsidR="00151212">
        <w:t>above</w:t>
      </w:r>
      <w:r>
        <w:t xml:space="preserve"> shows the cumulative returns of $10,000 invested in Equities and </w:t>
      </w:r>
      <w:r w:rsidR="008F3C07">
        <w:t>C</w:t>
      </w:r>
      <w:r>
        <w:t xml:space="preserve">ash over the same </w:t>
      </w:r>
      <w:r w:rsidR="00AE1ED6">
        <w:t>46-year</w:t>
      </w:r>
      <w:r>
        <w:t xml:space="preserve"> period. Coincidentally 46 years is e</w:t>
      </w:r>
      <w:r w:rsidR="0040246B">
        <w:t>x</w:t>
      </w:r>
      <w:r>
        <w:t xml:space="preserve">actly the time a fund member entering the work force at the age of 21 and retiring at 67 would have funds invested in </w:t>
      </w:r>
      <w:r w:rsidR="00D82774">
        <w:t xml:space="preserve">the accumulation phase of </w:t>
      </w:r>
      <w:r w:rsidR="00665B71">
        <w:t>superannuation</w:t>
      </w:r>
      <w:r w:rsidR="009C47BE">
        <w:t xml:space="preserve"> fund</w:t>
      </w:r>
      <w:r>
        <w:t xml:space="preserve">. </w:t>
      </w:r>
    </w:p>
    <w:p w:rsidR="00E16CE7" w:rsidRDefault="0040246B" w:rsidP="000510E4">
      <w:r>
        <w:t xml:space="preserve">Clearly investing in the </w:t>
      </w:r>
      <w:r w:rsidR="00F23334">
        <w:t>l</w:t>
      </w:r>
      <w:r>
        <w:t>ower volatility asset class over the long term is by far the riskier option</w:t>
      </w:r>
      <w:r w:rsidR="003F281E">
        <w:t xml:space="preserve"> if the risk is </w:t>
      </w:r>
      <w:r w:rsidR="003F281E" w:rsidRPr="009170D2">
        <w:rPr>
          <w:b/>
          <w:i/>
        </w:rPr>
        <w:t>“running out of money in retirement”</w:t>
      </w:r>
      <w:r w:rsidR="00416284">
        <w:t>.</w:t>
      </w:r>
      <w:r w:rsidR="00151212">
        <w:t xml:space="preserve"> </w:t>
      </w:r>
      <w:r w:rsidRPr="0040246B">
        <w:t xml:space="preserve">Some would argue </w:t>
      </w:r>
      <w:r>
        <w:t xml:space="preserve">that </w:t>
      </w:r>
      <w:r w:rsidR="00E16CE7">
        <w:t xml:space="preserve">“sequencing risk” is at its greatest as the </w:t>
      </w:r>
      <w:r w:rsidR="00665B71">
        <w:t>superannuation</w:t>
      </w:r>
      <w:r w:rsidR="00E16CE7">
        <w:t xml:space="preserve"> member approaches retirement as </w:t>
      </w:r>
      <w:r>
        <w:t xml:space="preserve">the member would have a far greater amount invested </w:t>
      </w:r>
      <w:r w:rsidR="008018FE">
        <w:t>towards</w:t>
      </w:r>
      <w:r>
        <w:t xml:space="preserve"> the end of the </w:t>
      </w:r>
      <w:r w:rsidR="00AE1ED6">
        <w:t>46-year</w:t>
      </w:r>
      <w:r>
        <w:t xml:space="preserve"> period than at the beginning. </w:t>
      </w:r>
    </w:p>
    <w:p w:rsidR="00E16CE7" w:rsidRPr="004002B8" w:rsidRDefault="00E16CE7" w:rsidP="00E16CE7">
      <w:pPr>
        <w:rPr>
          <w:b/>
          <w:i/>
        </w:rPr>
      </w:pPr>
      <w:r>
        <w:t>History tells us over this 46-year period that we should expect negative returns for Global equities approximately 5 times in every 20 years. It follows that the chance of a positive year is three times greater than the chance of a negative year. If money is moved out of growth assets when the member’s balance is approaching its highest, the member is likely to forego a significant increase in their final balance at the end of their accumulation phase.</w:t>
      </w:r>
    </w:p>
    <w:p w:rsidR="0040246B" w:rsidRDefault="00E16CE7" w:rsidP="000510E4">
      <w:r>
        <w:t xml:space="preserve">Whilst the sequence of returns </w:t>
      </w:r>
      <w:r w:rsidR="00F74E3C">
        <w:t>i.e.</w:t>
      </w:r>
      <w:r w:rsidR="009C47BE">
        <w:t xml:space="preserve"> sequencing risk </w:t>
      </w:r>
      <w:r>
        <w:t xml:space="preserve">is important, it can be a risk that is materially over </w:t>
      </w:r>
      <w:r w:rsidR="0093783C">
        <w:t>exaggerated</w:t>
      </w:r>
      <w:r>
        <w:t xml:space="preserve"> in the context of a </w:t>
      </w:r>
      <w:r w:rsidR="00665B71">
        <w:t>superannuation</w:t>
      </w:r>
      <w:r>
        <w:t xml:space="preserve"> fund member approaching </w:t>
      </w:r>
      <w:r w:rsidR="00BF71A2">
        <w:t xml:space="preserve">or </w:t>
      </w:r>
      <w:r w:rsidR="00E51996">
        <w:t xml:space="preserve">commencing </w:t>
      </w:r>
      <w:r>
        <w:t xml:space="preserve">retirement. </w:t>
      </w:r>
    </w:p>
    <w:p w:rsidR="00E16CE7" w:rsidRDefault="00E16CE7" w:rsidP="000510E4">
      <w:r>
        <w:t xml:space="preserve">As any </w:t>
      </w:r>
      <w:r w:rsidR="00213BA0">
        <w:t>investmen</w:t>
      </w:r>
      <w:r>
        <w:t xml:space="preserve">t performance analyst will know, the sequence of returns over any number of periods is irrelevant to the </w:t>
      </w:r>
      <w:r w:rsidR="0093783C">
        <w:t>outcome</w:t>
      </w:r>
      <w:r>
        <w:t xml:space="preserve"> if there are no material cash flows over the period.</w:t>
      </w:r>
    </w:p>
    <w:p w:rsidR="00EC4123" w:rsidRDefault="008018FE" w:rsidP="000510E4">
      <w:r>
        <w:t>The</w:t>
      </w:r>
      <w:r w:rsidR="00EC4123">
        <w:t xml:space="preserve"> end of the accumulation phase is not a magical point in time where the </w:t>
      </w:r>
      <w:r w:rsidR="00665B71">
        <w:t>superannuation</w:t>
      </w:r>
      <w:r w:rsidR="00EC4123">
        <w:t xml:space="preserve"> balance suddenly dematerialises</w:t>
      </w:r>
      <w:r w:rsidR="009170D2">
        <w:t xml:space="preserve">, is converted </w:t>
      </w:r>
      <w:r w:rsidR="00805582">
        <w:t>100% in</w:t>
      </w:r>
      <w:r w:rsidR="009170D2">
        <w:t>to an annuity</w:t>
      </w:r>
      <w:r w:rsidR="00E6607A">
        <w:t xml:space="preserve"> or is stuffed under a mattress</w:t>
      </w:r>
      <w:r w:rsidR="00EC4123">
        <w:t xml:space="preserve">. </w:t>
      </w:r>
      <w:r w:rsidR="00364307">
        <w:t>The</w:t>
      </w:r>
      <w:r w:rsidR="00EC4123">
        <w:t xml:space="preserve"> funds </w:t>
      </w:r>
      <w:r w:rsidR="006C6576">
        <w:t>from</w:t>
      </w:r>
      <w:r w:rsidR="00EC4123">
        <w:t xml:space="preserve"> the point of retirement are </w:t>
      </w:r>
      <w:r w:rsidR="00416284">
        <w:t>usually</w:t>
      </w:r>
      <w:r w:rsidR="00020740">
        <w:t xml:space="preserve"> </w:t>
      </w:r>
      <w:r w:rsidR="00EC4123">
        <w:t xml:space="preserve">drawn down over a period of </w:t>
      </w:r>
      <w:r w:rsidR="009170D2">
        <w:t>around a quarter of a century</w:t>
      </w:r>
      <w:r w:rsidR="00EC4123">
        <w:t xml:space="preserve"> in very small increments.</w:t>
      </w:r>
      <w:r w:rsidR="002B6DB5">
        <w:t xml:space="preserve"> Even in draw down phase the </w:t>
      </w:r>
      <w:r w:rsidR="006D6AE3">
        <w:t>bulk of a member’s money remains invested in the market over a very long term</w:t>
      </w:r>
      <w:r>
        <w:t xml:space="preserve"> which significantly mitigates sequencing risk.</w:t>
      </w:r>
    </w:p>
    <w:p w:rsidR="00165D37" w:rsidRDefault="00165D37" w:rsidP="000510E4">
      <w:r>
        <w:t xml:space="preserve">Whilst this paper uses only two asset classes to illustrate the points, the principles apply to any asset class or combination of asset classes. </w:t>
      </w:r>
      <w:r w:rsidR="00191AD1">
        <w:t xml:space="preserve">Whilst the use of sophisticated modelling tools to perform scenario analysis can provide some useful information, the fundamental issue remains that reduced volatility almost certainly results in reduced returns which results in increased risk (assuming risk is defined as </w:t>
      </w:r>
      <w:r w:rsidR="00191AD1" w:rsidRPr="00213BA0">
        <w:rPr>
          <w:b/>
          <w:i/>
        </w:rPr>
        <w:t>running out of money in retirement</w:t>
      </w:r>
      <w:r w:rsidR="00191AD1">
        <w:t>).</w:t>
      </w:r>
    </w:p>
    <w:p w:rsidR="00341CFC" w:rsidRPr="000510E4" w:rsidRDefault="000510E4" w:rsidP="000510E4">
      <w:pPr>
        <w:rPr>
          <w:b/>
        </w:rPr>
      </w:pPr>
      <w:r w:rsidRPr="000510E4">
        <w:rPr>
          <w:b/>
        </w:rPr>
        <w:t xml:space="preserve">How to develop a practical and meaningful measure of the real risk facing the </w:t>
      </w:r>
      <w:r w:rsidR="00665B71">
        <w:rPr>
          <w:b/>
        </w:rPr>
        <w:t>superannuation</w:t>
      </w:r>
      <w:r w:rsidRPr="000510E4">
        <w:rPr>
          <w:b/>
        </w:rPr>
        <w:t xml:space="preserve"> fund member</w:t>
      </w:r>
      <w:r w:rsidR="00A911A7">
        <w:rPr>
          <w:b/>
        </w:rPr>
        <w:t xml:space="preserve"> in retirement</w:t>
      </w:r>
    </w:p>
    <w:p w:rsidR="00A911A7" w:rsidRDefault="00636C29" w:rsidP="00FA751C">
      <w:r>
        <w:t xml:space="preserve">To develop a </w:t>
      </w:r>
      <w:r w:rsidR="00364307">
        <w:t>model,</w:t>
      </w:r>
      <w:r>
        <w:t xml:space="preserve"> assumptions </w:t>
      </w:r>
      <w:r w:rsidR="006D6AE3">
        <w:t xml:space="preserve">need to be made </w:t>
      </w:r>
      <w:r>
        <w:t>about key data elements</w:t>
      </w:r>
      <w:r w:rsidR="00745F0A">
        <w:t>. The sources used in this analysis have been obtained from</w:t>
      </w:r>
      <w:r>
        <w:t xml:space="preserve"> </w:t>
      </w:r>
      <w:r w:rsidR="00745F0A">
        <w:t xml:space="preserve">the Australian </w:t>
      </w:r>
      <w:r w:rsidR="00665B71">
        <w:t>superannuation</w:t>
      </w:r>
      <w:r w:rsidR="00745F0A">
        <w:t xml:space="preserve"> market which </w:t>
      </w:r>
      <w:r w:rsidR="00AD55DD">
        <w:t>is the fourth largest in the world (behind the USA, UK and Japan).</w:t>
      </w:r>
    </w:p>
    <w:p w:rsidR="00A911A7" w:rsidRDefault="00A911A7" w:rsidP="00A911A7">
      <w:pPr>
        <w:pStyle w:val="ListParagraph"/>
        <w:numPr>
          <w:ilvl w:val="0"/>
          <w:numId w:val="5"/>
        </w:numPr>
      </w:pPr>
      <w:r>
        <w:t xml:space="preserve">The member’s balance at commencement of </w:t>
      </w:r>
      <w:r w:rsidR="00665B71">
        <w:t>superannuation</w:t>
      </w:r>
      <w:r>
        <w:t xml:space="preserve"> phase. </w:t>
      </w:r>
      <w:r w:rsidR="00E661C4">
        <w:t xml:space="preserve">In </w:t>
      </w:r>
      <w:r w:rsidR="00654532">
        <w:t>th</w:t>
      </w:r>
      <w:r w:rsidR="009170D2">
        <w:t>e following</w:t>
      </w:r>
      <w:r w:rsidR="00E661C4">
        <w:t xml:space="preserve"> analysis t</w:t>
      </w:r>
      <w:r>
        <w:t>h</w:t>
      </w:r>
      <w:r w:rsidR="006D6AE3">
        <w:t>e assumption</w:t>
      </w:r>
      <w:r>
        <w:t xml:space="preserve"> has been </w:t>
      </w:r>
      <w:r w:rsidR="006D6AE3">
        <w:t xml:space="preserve">based on </w:t>
      </w:r>
      <w:r w:rsidR="00F212D8">
        <w:t>Association of Superannuation Funds of Australia (</w:t>
      </w:r>
      <w:r>
        <w:t>ASFA</w:t>
      </w:r>
      <w:r w:rsidR="00F212D8">
        <w:t>)</w:t>
      </w:r>
      <w:r>
        <w:t xml:space="preserve">’s Published Retirement Standard for a </w:t>
      </w:r>
      <w:r w:rsidR="00020740">
        <w:t xml:space="preserve">comfortable lifestyle for a </w:t>
      </w:r>
      <w:r>
        <w:t>couple</w:t>
      </w:r>
    </w:p>
    <w:p w:rsidR="00A911A7" w:rsidRDefault="00A911A7" w:rsidP="00A911A7">
      <w:pPr>
        <w:pStyle w:val="ListParagraph"/>
        <w:numPr>
          <w:ilvl w:val="0"/>
          <w:numId w:val="5"/>
        </w:numPr>
      </w:pPr>
      <w:r>
        <w:t xml:space="preserve">Annual withdrawals to meet living expenses. </w:t>
      </w:r>
      <w:r w:rsidR="00364307">
        <w:t>Again,</w:t>
      </w:r>
      <w:r>
        <w:t xml:space="preserve"> from ASFA’s Retirement Standard for a comfortable lifestyle for a couple</w:t>
      </w:r>
    </w:p>
    <w:p w:rsidR="00A911A7" w:rsidRDefault="00A911A7" w:rsidP="00A911A7">
      <w:pPr>
        <w:pStyle w:val="ListParagraph"/>
        <w:numPr>
          <w:ilvl w:val="0"/>
          <w:numId w:val="5"/>
        </w:numPr>
      </w:pPr>
      <w:r>
        <w:t xml:space="preserve">Investment market returns. </w:t>
      </w:r>
      <w:r w:rsidR="00654532">
        <w:t>A</w:t>
      </w:r>
      <w:r>
        <w:t xml:space="preserve">ctual market returns for the </w:t>
      </w:r>
      <w:r w:rsidR="00364307">
        <w:t>46-</w:t>
      </w:r>
      <w:r w:rsidR="00151081">
        <w:t xml:space="preserve">fiscal </w:t>
      </w:r>
      <w:r w:rsidR="00364307">
        <w:t>year</w:t>
      </w:r>
      <w:r>
        <w:t xml:space="preserve"> period from July 1970 to June 2016</w:t>
      </w:r>
      <w:r w:rsidR="00654532">
        <w:t xml:space="preserve"> have been adopted</w:t>
      </w:r>
    </w:p>
    <w:p w:rsidR="00A911A7" w:rsidRDefault="00A911A7" w:rsidP="00A911A7">
      <w:pPr>
        <w:pStyle w:val="ListParagraph"/>
        <w:numPr>
          <w:ilvl w:val="0"/>
          <w:numId w:val="5"/>
        </w:numPr>
      </w:pPr>
      <w:r>
        <w:t xml:space="preserve">Inflation per the Australian Bureau of Statistics web </w:t>
      </w:r>
      <w:r w:rsidR="00364307">
        <w:t>site</w:t>
      </w:r>
      <w:r w:rsidR="005C3E5D">
        <w:t xml:space="preserve"> over </w:t>
      </w:r>
      <w:r w:rsidR="006D6AE3">
        <w:t>the same</w:t>
      </w:r>
      <w:r w:rsidR="005C3E5D">
        <w:t xml:space="preserve"> </w:t>
      </w:r>
      <w:r w:rsidR="002E75B5">
        <w:t>46-year</w:t>
      </w:r>
      <w:r w:rsidR="005C3E5D">
        <w:t xml:space="preserve"> period</w:t>
      </w:r>
    </w:p>
    <w:p w:rsidR="00636C29" w:rsidRPr="00636C29" w:rsidRDefault="00636C29" w:rsidP="00636C29">
      <w:r w:rsidRPr="00636C29">
        <w:rPr>
          <w:b/>
          <w:bCs/>
        </w:rPr>
        <w:t>Assumptions</w:t>
      </w:r>
    </w:p>
    <w:p w:rsidR="00B52559" w:rsidRPr="00636C29" w:rsidRDefault="00B52559" w:rsidP="00636C29">
      <w:pPr>
        <w:numPr>
          <w:ilvl w:val="0"/>
          <w:numId w:val="4"/>
        </w:numPr>
      </w:pPr>
      <w:r w:rsidRPr="00636C29">
        <w:t xml:space="preserve">Balance at commencement of </w:t>
      </w:r>
      <w:r w:rsidR="00665B71">
        <w:t>superannuation</w:t>
      </w:r>
      <w:r w:rsidRPr="00636C29">
        <w:t xml:space="preserve"> = </w:t>
      </w:r>
      <w:r w:rsidR="00AD55DD">
        <w:t xml:space="preserve">AUD </w:t>
      </w:r>
      <w:r w:rsidRPr="00636C29">
        <w:t>640,000 at 1 July</w:t>
      </w:r>
    </w:p>
    <w:p w:rsidR="00B52559" w:rsidRPr="00636C29" w:rsidRDefault="00B52559" w:rsidP="00636C29">
      <w:pPr>
        <w:numPr>
          <w:ilvl w:val="0"/>
          <w:numId w:val="4"/>
        </w:numPr>
      </w:pPr>
      <w:r w:rsidRPr="00636C29">
        <w:t xml:space="preserve">Annual withdrawal = </w:t>
      </w:r>
      <w:r w:rsidR="00AD55DD">
        <w:t xml:space="preserve">AUD </w:t>
      </w:r>
      <w:r w:rsidRPr="00636C29">
        <w:t>59,808 at mid-year, indexed annually with CPI</w:t>
      </w:r>
    </w:p>
    <w:p w:rsidR="00B52559" w:rsidRPr="00636C29" w:rsidRDefault="00B52559" w:rsidP="00636C29">
      <w:pPr>
        <w:numPr>
          <w:ilvl w:val="0"/>
          <w:numId w:val="4"/>
        </w:numPr>
      </w:pPr>
      <w:r w:rsidRPr="00636C29">
        <w:t>Australian equities annual earnings = A</w:t>
      </w:r>
      <w:r w:rsidR="00AD55DD">
        <w:t xml:space="preserve">ustralian </w:t>
      </w:r>
      <w:r w:rsidRPr="00636C29">
        <w:t>S</w:t>
      </w:r>
      <w:r w:rsidR="00AD55DD">
        <w:t>tock Exchange</w:t>
      </w:r>
      <w:r w:rsidRPr="00636C29">
        <w:t xml:space="preserve"> All Ord</w:t>
      </w:r>
      <w:r w:rsidR="00AD55DD">
        <w:t>inaries</w:t>
      </w:r>
      <w:r w:rsidRPr="00636C29">
        <w:t xml:space="preserve"> total return index </w:t>
      </w:r>
    </w:p>
    <w:p w:rsidR="00B52559" w:rsidRPr="00636C29" w:rsidRDefault="00B52559" w:rsidP="00636C29">
      <w:pPr>
        <w:numPr>
          <w:ilvl w:val="0"/>
          <w:numId w:val="4"/>
        </w:numPr>
      </w:pPr>
      <w:r w:rsidRPr="00636C29">
        <w:t>Cash annual earnings = Bloomberg Australian Bank Bill Index</w:t>
      </w:r>
    </w:p>
    <w:p w:rsidR="00B52559" w:rsidRDefault="00B52559" w:rsidP="00636C29">
      <w:pPr>
        <w:numPr>
          <w:ilvl w:val="0"/>
          <w:numId w:val="4"/>
        </w:numPr>
      </w:pPr>
      <w:r w:rsidRPr="00636C29">
        <w:t>Period covered = 1970 – 2016 (46 years)</w:t>
      </w:r>
    </w:p>
    <w:p w:rsidR="00A911A7" w:rsidRDefault="00F26B0E" w:rsidP="00A911A7">
      <w:r>
        <w:t xml:space="preserve">The chart </w:t>
      </w:r>
      <w:r w:rsidR="00654532">
        <w:t>below</w:t>
      </w:r>
      <w:r w:rsidR="00A911A7">
        <w:t xml:space="preserve"> shows the estimated years t</w:t>
      </w:r>
      <w:r w:rsidR="00654532">
        <w:t xml:space="preserve">o exhaust the member’s account if we assume a </w:t>
      </w:r>
      <w:r w:rsidR="00A911A7">
        <w:t xml:space="preserve">commencement of </w:t>
      </w:r>
      <w:r w:rsidR="00665B71">
        <w:t>superannuation</w:t>
      </w:r>
      <w:r w:rsidR="00A911A7">
        <w:t xml:space="preserve"> drawdown form 1 July 1970, 1971, 1972 etc. up to 2004.</w:t>
      </w:r>
    </w:p>
    <w:p w:rsidR="00A911A7" w:rsidRPr="00636C29" w:rsidRDefault="009B3FF1" w:rsidP="00A911A7">
      <w:r w:rsidRPr="009B3FF1">
        <w:rPr>
          <w:noProof/>
          <w:lang w:eastAsia="en-AU"/>
        </w:rPr>
        <w:drawing>
          <wp:inline distT="0" distB="0" distL="0" distR="0">
            <wp:extent cx="5360035" cy="28600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0035" cy="2860040"/>
                    </a:xfrm>
                    <a:prstGeom prst="rect">
                      <a:avLst/>
                    </a:prstGeom>
                    <a:noFill/>
                    <a:ln>
                      <a:noFill/>
                    </a:ln>
                  </pic:spPr>
                </pic:pic>
              </a:graphicData>
            </a:graphic>
          </wp:inline>
        </w:drawing>
      </w:r>
    </w:p>
    <w:p w:rsidR="00636C29" w:rsidRDefault="00A911A7" w:rsidP="00FA751C">
      <w:r>
        <w:t>The chart shows that for a member who retires in market condition</w:t>
      </w:r>
      <w:r w:rsidR="00151081">
        <w:t>s</w:t>
      </w:r>
      <w:r>
        <w:t xml:space="preserve"> prevailing fro</w:t>
      </w:r>
      <w:r w:rsidR="00C04544">
        <w:t>m</w:t>
      </w:r>
      <w:r>
        <w:t xml:space="preserve"> 1970 it would take around </w:t>
      </w:r>
      <w:r w:rsidR="00C04544">
        <w:t>11 years to exhaust their account if they were fully invested in Cash and around 8 years if fully in</w:t>
      </w:r>
      <w:r w:rsidR="00384EC0">
        <w:t>vested in</w:t>
      </w:r>
      <w:r w:rsidR="00C04544">
        <w:t xml:space="preserve"> Equities. For a member commencing retirement in market conditions prevailing </w:t>
      </w:r>
      <w:r w:rsidR="00F26B0E">
        <w:t xml:space="preserve">in </w:t>
      </w:r>
      <w:r w:rsidR="00C04544">
        <w:t xml:space="preserve">1975 Cash is estimated to last for 12 </w:t>
      </w:r>
      <w:r w:rsidR="00F26B0E">
        <w:t>y</w:t>
      </w:r>
      <w:r w:rsidR="00C04544">
        <w:t>ears and Equities for 34 years etc. etc.</w:t>
      </w:r>
    </w:p>
    <w:p w:rsidR="00C04544" w:rsidRDefault="00C04544" w:rsidP="00FA751C">
      <w:r>
        <w:t>Overall it is estimated that Equities would outlast Cash 80% of the time and of course Cash would outlast Australian Equities 20% of the time.</w:t>
      </w:r>
    </w:p>
    <w:p w:rsidR="00C04544" w:rsidRDefault="00C04544" w:rsidP="00FA751C">
      <w:r>
        <w:t xml:space="preserve">If risk is defined as </w:t>
      </w:r>
      <w:r w:rsidRPr="00C04544">
        <w:rPr>
          <w:b/>
          <w:i/>
        </w:rPr>
        <w:t>“running out of money during retirement”</w:t>
      </w:r>
      <w:r>
        <w:t xml:space="preserve">, clearly Equities is far less risky even though it </w:t>
      </w:r>
      <w:r w:rsidR="006D6AE3">
        <w:t xml:space="preserve">is </w:t>
      </w:r>
      <w:r>
        <w:t>undoubtedly the more volatile asset class.</w:t>
      </w:r>
    </w:p>
    <w:p w:rsidR="00C818AE" w:rsidRPr="007462A8" w:rsidRDefault="00416284" w:rsidP="00FA751C">
      <w:pPr>
        <w:rPr>
          <w:b/>
        </w:rPr>
      </w:pPr>
      <w:r>
        <w:rPr>
          <w:b/>
        </w:rPr>
        <w:t>A</w:t>
      </w:r>
      <w:r w:rsidR="007462A8" w:rsidRPr="007462A8">
        <w:rPr>
          <w:b/>
        </w:rPr>
        <w:t xml:space="preserve">lternative risk measures </w:t>
      </w:r>
      <w:r w:rsidR="002E75B5" w:rsidRPr="007462A8">
        <w:rPr>
          <w:b/>
        </w:rPr>
        <w:t>compared</w:t>
      </w:r>
    </w:p>
    <w:p w:rsidR="0059501A" w:rsidRDefault="0059501A" w:rsidP="007462A8">
      <w:pPr>
        <w:rPr>
          <w:b/>
        </w:rPr>
      </w:pPr>
      <w:r w:rsidRPr="0059501A">
        <w:rPr>
          <w:b/>
        </w:rPr>
        <w:t>Traditional Risk Measures</w:t>
      </w:r>
    </w:p>
    <w:p w:rsidR="009C47BE" w:rsidRDefault="009C47BE" w:rsidP="007462A8">
      <w:pPr>
        <w:rPr>
          <w:b/>
        </w:rPr>
      </w:pPr>
      <w:r w:rsidRPr="009C47BE">
        <w:rPr>
          <w:noProof/>
          <w:lang w:eastAsia="en-AU"/>
        </w:rPr>
        <w:drawing>
          <wp:inline distT="0" distB="0" distL="0" distR="0">
            <wp:extent cx="3219450" cy="1914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1914525"/>
                    </a:xfrm>
                    <a:prstGeom prst="rect">
                      <a:avLst/>
                    </a:prstGeom>
                    <a:noFill/>
                    <a:ln>
                      <a:noFill/>
                    </a:ln>
                  </pic:spPr>
                </pic:pic>
              </a:graphicData>
            </a:graphic>
          </wp:inline>
        </w:drawing>
      </w:r>
    </w:p>
    <w:p w:rsidR="008A3BF3" w:rsidRDefault="0059501A" w:rsidP="00FA751C">
      <w:r>
        <w:t>The above table provide</w:t>
      </w:r>
      <w:r w:rsidR="006D6AE3">
        <w:t>s</w:t>
      </w:r>
      <w:r>
        <w:t xml:space="preserve"> information about the relative volatility of different investment options. But what meaningful information does it convey to a member </w:t>
      </w:r>
      <w:r w:rsidR="00994B02">
        <w:t xml:space="preserve">or an adviser </w:t>
      </w:r>
      <w:r>
        <w:t>at the point of rolling into pension phase</w:t>
      </w:r>
      <w:r w:rsidR="003F281E">
        <w:t>?</w:t>
      </w:r>
      <w:r>
        <w:t xml:space="preserve"> </w:t>
      </w:r>
      <w:r w:rsidR="00791111">
        <w:t xml:space="preserve">There is nothing in this information that provides any guidance as to whether the member’s account will last through their retirement, i.e. nothing to provide any information as to the relative </w:t>
      </w:r>
      <w:r w:rsidR="00791111" w:rsidRPr="00DB3374">
        <w:rPr>
          <w:u w:val="single"/>
        </w:rPr>
        <w:t>real</w:t>
      </w:r>
      <w:r w:rsidR="00791111">
        <w:t xml:space="preserve"> risk of the </w:t>
      </w:r>
      <w:r w:rsidR="009C47BE">
        <w:t xml:space="preserve">investment </w:t>
      </w:r>
      <w:r w:rsidR="00791111">
        <w:t xml:space="preserve">options. </w:t>
      </w:r>
      <w:r w:rsidR="00791111" w:rsidRPr="00791111">
        <w:rPr>
          <w:b/>
          <w:i/>
        </w:rPr>
        <w:t>The risk of running out of money in retirement</w:t>
      </w:r>
      <w:r w:rsidR="00791111">
        <w:t>.</w:t>
      </w:r>
      <w:r>
        <w:t xml:space="preserve"> </w:t>
      </w:r>
    </w:p>
    <w:p w:rsidR="00791111" w:rsidRPr="008A3BF3" w:rsidRDefault="00AD55DD" w:rsidP="00FA751C">
      <w:r>
        <w:rPr>
          <w:b/>
        </w:rPr>
        <w:t>Retirement Risk Measure</w:t>
      </w:r>
    </w:p>
    <w:p w:rsidR="005A1147" w:rsidRDefault="00554B2D" w:rsidP="00FA751C">
      <w:r>
        <w:t xml:space="preserve">In this example a risk measure entitled the </w:t>
      </w:r>
      <w:r w:rsidR="00AD55DD">
        <w:t>Retirement Risk</w:t>
      </w:r>
      <w:r>
        <w:t xml:space="preserve"> Measure is introduced. </w:t>
      </w:r>
      <w:r w:rsidR="005A1147" w:rsidRPr="005A1147">
        <w:t>Assuming start balance of $640,000</w:t>
      </w:r>
      <w:r w:rsidR="005A1147">
        <w:t>,</w:t>
      </w:r>
      <w:r w:rsidR="005A1147" w:rsidRPr="005A1147">
        <w:t xml:space="preserve"> annual withdrawals of $59,808</w:t>
      </w:r>
      <w:r w:rsidR="005A1147">
        <w:t xml:space="preserve"> and actual historical market returns and CPI movements.</w:t>
      </w:r>
    </w:p>
    <w:p w:rsidR="00E301DD" w:rsidRDefault="00E301DD" w:rsidP="00FA751C">
      <w:r w:rsidRPr="00E301DD">
        <w:rPr>
          <w:noProof/>
          <w:lang w:eastAsia="en-AU"/>
        </w:rPr>
        <w:drawing>
          <wp:inline distT="0" distB="0" distL="0" distR="0">
            <wp:extent cx="3219450" cy="1162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1162050"/>
                    </a:xfrm>
                    <a:prstGeom prst="rect">
                      <a:avLst/>
                    </a:prstGeom>
                    <a:noFill/>
                    <a:ln>
                      <a:noFill/>
                    </a:ln>
                  </pic:spPr>
                </pic:pic>
              </a:graphicData>
            </a:graphic>
          </wp:inline>
        </w:drawing>
      </w:r>
    </w:p>
    <w:p w:rsidR="005A1147" w:rsidRDefault="00453E50" w:rsidP="00FA751C">
      <w:r>
        <w:t>It could be</w:t>
      </w:r>
      <w:r w:rsidR="00791111">
        <w:t xml:space="preserve"> argue</w:t>
      </w:r>
      <w:r>
        <w:t>d</w:t>
      </w:r>
      <w:r w:rsidR="00791111">
        <w:t xml:space="preserve"> that t</w:t>
      </w:r>
      <w:r w:rsidR="00791111" w:rsidRPr="00791111">
        <w:t>he above table</w:t>
      </w:r>
      <w:r w:rsidR="00791111">
        <w:t xml:space="preserve"> provides significant information to assist the member in choosing an appropriate investment option for their retirement. It addresses the key </w:t>
      </w:r>
      <w:r w:rsidR="005A1147">
        <w:t xml:space="preserve">question </w:t>
      </w:r>
      <w:r w:rsidR="005A1147" w:rsidRPr="005A1147">
        <w:rPr>
          <w:b/>
          <w:i/>
        </w:rPr>
        <w:t>“what is the risk of running out of money in retirement?”</w:t>
      </w:r>
      <w:r w:rsidR="005A1147">
        <w:rPr>
          <w:b/>
          <w:i/>
        </w:rPr>
        <w:t xml:space="preserve"> </w:t>
      </w:r>
      <w:r w:rsidR="005A1147">
        <w:t>This or a similar table could be included in its generic form in any P</w:t>
      </w:r>
      <w:r w:rsidR="00AD55DD">
        <w:t xml:space="preserve">roduct </w:t>
      </w:r>
      <w:r w:rsidR="005A1147">
        <w:t>D</w:t>
      </w:r>
      <w:r w:rsidR="00AD55DD">
        <w:t xml:space="preserve">escription </w:t>
      </w:r>
      <w:r w:rsidR="005A1147">
        <w:t>S</w:t>
      </w:r>
      <w:r w:rsidR="00AD55DD">
        <w:t>tatement</w:t>
      </w:r>
      <w:r w:rsidR="005A1147">
        <w:t xml:space="preserve">. </w:t>
      </w:r>
    </w:p>
    <w:p w:rsidR="00791111" w:rsidRDefault="00C912D8" w:rsidP="00FA751C">
      <w:r>
        <w:t>T</w:t>
      </w:r>
      <w:r w:rsidR="005A1147">
        <w:t xml:space="preserve">he above information </w:t>
      </w:r>
      <w:r w:rsidR="00554B2D">
        <w:t>is</w:t>
      </w:r>
      <w:r w:rsidR="005A1147">
        <w:t xml:space="preserve"> capable of measurement for</w:t>
      </w:r>
      <w:r w:rsidR="00213BA0">
        <w:t xml:space="preserve"> any</w:t>
      </w:r>
      <w:r w:rsidR="005A1147">
        <w:t xml:space="preserve"> member </w:t>
      </w:r>
      <w:r w:rsidR="009170D2">
        <w:t xml:space="preserve">investment </w:t>
      </w:r>
      <w:r w:rsidR="005A1147">
        <w:t xml:space="preserve">choice option. </w:t>
      </w:r>
    </w:p>
    <w:p w:rsidR="005A1147" w:rsidRDefault="005A1147" w:rsidP="00FA751C">
      <w:r>
        <w:t xml:space="preserve">The table above can be further enhanced to produce information in chart form providing more detailed and member specific information. Such a chart is shown below. </w:t>
      </w:r>
    </w:p>
    <w:p w:rsidR="00DB3374" w:rsidRDefault="009B3FF1" w:rsidP="00DB3374">
      <w:r w:rsidRPr="009B3FF1">
        <w:rPr>
          <w:noProof/>
          <w:lang w:eastAsia="en-AU"/>
        </w:rPr>
        <w:drawing>
          <wp:inline distT="0" distB="0" distL="0" distR="0">
            <wp:extent cx="5690870" cy="343408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0870" cy="3434080"/>
                    </a:xfrm>
                    <a:prstGeom prst="rect">
                      <a:avLst/>
                    </a:prstGeom>
                    <a:noFill/>
                    <a:ln>
                      <a:noFill/>
                    </a:ln>
                  </pic:spPr>
                </pic:pic>
              </a:graphicData>
            </a:graphic>
          </wp:inline>
        </w:drawing>
      </w:r>
      <w:r w:rsidR="00DB3374">
        <w:t>In this example we can see that, given the same assumptions as noted in the table above, an investment in Cash has a 100% probability of lasting for 11 years whilst an investment in Equities provides only an 88% chance of lasting the same length of time.</w:t>
      </w:r>
    </w:p>
    <w:p w:rsidR="00DB3374" w:rsidRDefault="008F3C07" w:rsidP="00DB3374">
      <w:r>
        <w:t>Conversely an investment in C</w:t>
      </w:r>
      <w:r w:rsidR="00DB3374">
        <w:t>ash provides around a 25% probability of lasting 20 years against a 60% probability for Australian Equities.</w:t>
      </w:r>
      <w:r w:rsidR="006D6AE3">
        <w:t xml:space="preserve"> Interestingly, cash provides a 0% probability of lasting 25 years compared with a 55% chance for Australian Equities. </w:t>
      </w:r>
      <w:r w:rsidR="00DB3374">
        <w:t xml:space="preserve"> </w:t>
      </w:r>
    </w:p>
    <w:p w:rsidR="00DB3374" w:rsidRDefault="00DB3374" w:rsidP="00DB3374">
      <w:r>
        <w:t xml:space="preserve">This chart can be made interactive for Financial Planners and </w:t>
      </w:r>
      <w:r w:rsidR="00665B71">
        <w:t>superannuation</w:t>
      </w:r>
      <w:r w:rsidR="00A229BA">
        <w:t xml:space="preserve"> fund </w:t>
      </w:r>
      <w:r>
        <w:t>members to test various scenarios of start balances and annual drawdowns. It could of course also incorporate</w:t>
      </w:r>
      <w:r w:rsidR="00F334BC">
        <w:t xml:space="preserve"> a</w:t>
      </w:r>
      <w:r w:rsidR="008A3BF3">
        <w:t>ny</w:t>
      </w:r>
      <w:r>
        <w:t xml:space="preserve"> investment </w:t>
      </w:r>
      <w:r w:rsidR="009170D2">
        <w:t xml:space="preserve">choice </w:t>
      </w:r>
      <w:r>
        <w:t>options available to the member. Such information would enable the member to make an informed choice re their preferred risk mitigation strategy</w:t>
      </w:r>
      <w:r w:rsidR="006D6AE3">
        <w:t xml:space="preserve"> based on their expectations of longevity.</w:t>
      </w:r>
      <w:r>
        <w:t xml:space="preserve"> Such a choice could be revisited on an annual or other periodic basis to assess the optimum strategy going forward. For example</w:t>
      </w:r>
      <w:r w:rsidR="003F281E">
        <w:t>,</w:t>
      </w:r>
      <w:r>
        <w:t xml:space="preserve"> choosing a less volatile option if the </w:t>
      </w:r>
      <w:r w:rsidR="008A3BF3">
        <w:t>prevailing account balance could</w:t>
      </w:r>
      <w:r>
        <w:t xml:space="preserve"> support the required withdrawals at the desired level of risk. </w:t>
      </w:r>
    </w:p>
    <w:p w:rsidR="008D5178" w:rsidRDefault="002E75B5" w:rsidP="008D5178">
      <w:pPr>
        <w:rPr>
          <w:b/>
        </w:rPr>
      </w:pPr>
      <w:r w:rsidRPr="008D5178">
        <w:rPr>
          <w:b/>
        </w:rPr>
        <w:t>Concluding thoughts</w:t>
      </w:r>
    </w:p>
    <w:p w:rsidR="00DB3374" w:rsidRDefault="00DB3374" w:rsidP="008D5178">
      <w:r>
        <w:t xml:space="preserve">The relative risk of different asset classes or investment </w:t>
      </w:r>
      <w:r w:rsidR="009170D2">
        <w:t xml:space="preserve">choice </w:t>
      </w:r>
      <w:r>
        <w:t xml:space="preserve">options can vary dramatically over different time horizons. It appears that this fact </w:t>
      </w:r>
      <w:r w:rsidR="008A3BF3">
        <w:t>has not been</w:t>
      </w:r>
      <w:r>
        <w:t xml:space="preserve"> fully appreciated by </w:t>
      </w:r>
      <w:r w:rsidR="00892DE0">
        <w:t xml:space="preserve">all </w:t>
      </w:r>
      <w:r w:rsidR="00665B71">
        <w:t>superannuation</w:t>
      </w:r>
      <w:r>
        <w:t xml:space="preserve"> funds </w:t>
      </w:r>
      <w:r w:rsidR="00A229BA">
        <w:t xml:space="preserve">or advisers </w:t>
      </w:r>
      <w:r>
        <w:t xml:space="preserve">and certainly not by their members. </w:t>
      </w:r>
    </w:p>
    <w:p w:rsidR="008D5178" w:rsidRPr="008D5178" w:rsidRDefault="00453E50" w:rsidP="008D5178">
      <w:r>
        <w:t>The</w:t>
      </w:r>
      <w:r w:rsidR="008D5178" w:rsidRPr="008D5178">
        <w:t xml:space="preserve"> analysis </w:t>
      </w:r>
      <w:r>
        <w:t xml:space="preserve">in this paper </w:t>
      </w:r>
      <w:r w:rsidR="008D5178" w:rsidRPr="008D5178">
        <w:t xml:space="preserve">poses the following questions which </w:t>
      </w:r>
      <w:r>
        <w:t>c</w:t>
      </w:r>
      <w:r w:rsidR="008D5178" w:rsidRPr="008D5178">
        <w:t xml:space="preserve">ould merit further research </w:t>
      </w:r>
    </w:p>
    <w:p w:rsidR="00A6765B" w:rsidRPr="008D5178" w:rsidRDefault="004707C9" w:rsidP="008D5178">
      <w:pPr>
        <w:numPr>
          <w:ilvl w:val="1"/>
          <w:numId w:val="7"/>
        </w:numPr>
      </w:pPr>
      <w:r w:rsidRPr="008D5178">
        <w:t>Does a less volatile investment strategy provide a</w:t>
      </w:r>
      <w:r w:rsidR="008D5178">
        <w:t xml:space="preserve"> misleading</w:t>
      </w:r>
      <w:r w:rsidRPr="008D5178">
        <w:t xml:space="preserve"> illusion of safety</w:t>
      </w:r>
      <w:r w:rsidR="00892DE0">
        <w:t xml:space="preserve"> and </w:t>
      </w:r>
      <w:r w:rsidR="008D5178">
        <w:t xml:space="preserve">lower </w:t>
      </w:r>
      <w:r w:rsidR="00892DE0">
        <w:t xml:space="preserve">real </w:t>
      </w:r>
      <w:r w:rsidR="008D5178">
        <w:t>risk</w:t>
      </w:r>
      <w:r w:rsidRPr="008D5178">
        <w:t xml:space="preserve"> to </w:t>
      </w:r>
      <w:r w:rsidR="00665B71">
        <w:t>superannuation</w:t>
      </w:r>
      <w:r w:rsidRPr="008D5178">
        <w:t xml:space="preserve"> fund members?</w:t>
      </w:r>
    </w:p>
    <w:p w:rsidR="00A6765B" w:rsidRPr="008D5178" w:rsidRDefault="008D5178" w:rsidP="008D5178">
      <w:pPr>
        <w:numPr>
          <w:ilvl w:val="1"/>
          <w:numId w:val="7"/>
        </w:numPr>
      </w:pPr>
      <w:r>
        <w:t>Can</w:t>
      </w:r>
      <w:r w:rsidR="004707C9" w:rsidRPr="008D5178">
        <w:t xml:space="preserve"> that illusion of safety</w:t>
      </w:r>
      <w:r w:rsidR="00F334BC">
        <w:t>/lower risk</w:t>
      </w:r>
      <w:r w:rsidR="004707C9" w:rsidRPr="008D5178">
        <w:t xml:space="preserve"> </w:t>
      </w:r>
      <w:r>
        <w:t>result in</w:t>
      </w:r>
      <w:r w:rsidR="004707C9" w:rsidRPr="008D5178">
        <w:t xml:space="preserve"> (potentially significantly) less money in retirement?</w:t>
      </w:r>
      <w:r w:rsidR="00F334BC">
        <w:t xml:space="preserve"> i.e. </w:t>
      </w:r>
      <w:r w:rsidR="00F334BC" w:rsidRPr="002860F1">
        <w:rPr>
          <w:u w:val="single"/>
        </w:rPr>
        <w:t>higher</w:t>
      </w:r>
      <w:r w:rsidR="00F334BC">
        <w:t xml:space="preserve"> risk!</w:t>
      </w:r>
    </w:p>
    <w:p w:rsidR="00A6765B" w:rsidRPr="008D5178" w:rsidRDefault="00892DE0" w:rsidP="008D5178">
      <w:pPr>
        <w:numPr>
          <w:ilvl w:val="1"/>
          <w:numId w:val="7"/>
        </w:numPr>
      </w:pPr>
      <w:r>
        <w:t>Are many in the</w:t>
      </w:r>
      <w:r w:rsidR="004707C9" w:rsidRPr="008D5178">
        <w:t xml:space="preserve"> industry just confused about the difference between risk and </w:t>
      </w:r>
      <w:r w:rsidR="009170D2">
        <w:t xml:space="preserve">market </w:t>
      </w:r>
      <w:r w:rsidR="004707C9" w:rsidRPr="008D5178">
        <w:t>volatility</w:t>
      </w:r>
      <w:r w:rsidR="002860F1">
        <w:t xml:space="preserve"> in the context of </w:t>
      </w:r>
      <w:r w:rsidR="00665B71">
        <w:t>superannuation</w:t>
      </w:r>
      <w:r w:rsidR="009170D2">
        <w:t xml:space="preserve"> funds’ </w:t>
      </w:r>
      <w:r w:rsidR="002860F1">
        <w:t>long horizon investment</w:t>
      </w:r>
      <w:r w:rsidR="004707C9" w:rsidRPr="008D5178">
        <w:t>?</w:t>
      </w:r>
    </w:p>
    <w:p w:rsidR="00A6765B" w:rsidRPr="008D5178" w:rsidRDefault="004707C9" w:rsidP="008D5178">
      <w:pPr>
        <w:numPr>
          <w:ilvl w:val="1"/>
          <w:numId w:val="7"/>
        </w:numPr>
      </w:pPr>
      <w:r w:rsidRPr="008D5178">
        <w:t xml:space="preserve">Are </w:t>
      </w:r>
      <w:r w:rsidR="00665B71">
        <w:t>superannuation</w:t>
      </w:r>
      <w:r w:rsidRPr="008D5178">
        <w:t xml:space="preserve"> funds really acting in the best interests of members by </w:t>
      </w:r>
    </w:p>
    <w:p w:rsidR="00A6765B" w:rsidRPr="008D5178" w:rsidRDefault="004707C9" w:rsidP="008D5178">
      <w:pPr>
        <w:numPr>
          <w:ilvl w:val="2"/>
          <w:numId w:val="7"/>
        </w:numPr>
      </w:pPr>
      <w:r w:rsidRPr="008D5178">
        <w:rPr>
          <w:i/>
          <w:iCs/>
          <w:u w:val="single"/>
        </w:rPr>
        <w:t>Describing less volatile options as less “risky”?</w:t>
      </w:r>
    </w:p>
    <w:p w:rsidR="00A6765B" w:rsidRPr="008D5178" w:rsidRDefault="004707C9" w:rsidP="008D5178">
      <w:pPr>
        <w:numPr>
          <w:ilvl w:val="2"/>
          <w:numId w:val="7"/>
        </w:numPr>
      </w:pPr>
      <w:r w:rsidRPr="008D5178">
        <w:rPr>
          <w:i/>
          <w:iCs/>
          <w:u w:val="single"/>
        </w:rPr>
        <w:t>Moving member into less volatile asset classes as they approach</w:t>
      </w:r>
      <w:r w:rsidR="00213BA0">
        <w:rPr>
          <w:i/>
          <w:iCs/>
          <w:u w:val="single"/>
        </w:rPr>
        <w:t xml:space="preserve"> or enter</w:t>
      </w:r>
      <w:r w:rsidRPr="008D5178">
        <w:rPr>
          <w:i/>
          <w:iCs/>
          <w:u w:val="single"/>
        </w:rPr>
        <w:t xml:space="preserve"> retirement?</w:t>
      </w:r>
    </w:p>
    <w:p w:rsidR="00DB3374" w:rsidRDefault="004707C9" w:rsidP="00DB3374">
      <w:pPr>
        <w:rPr>
          <w:b/>
          <w:bCs/>
          <w:u w:val="single"/>
        </w:rPr>
      </w:pPr>
      <w:r w:rsidRPr="008D5178">
        <w:rPr>
          <w:b/>
          <w:bCs/>
          <w:u w:val="single"/>
        </w:rPr>
        <w:t>It’s all about the definition of “risk”</w:t>
      </w:r>
    </w:p>
    <w:p w:rsidR="007F5204" w:rsidRPr="007F5204" w:rsidRDefault="008A3BF3" w:rsidP="00DB3374">
      <w:pPr>
        <w:rPr>
          <w:bCs/>
        </w:rPr>
      </w:pPr>
      <w:r>
        <w:rPr>
          <w:bCs/>
        </w:rPr>
        <w:t>This paper asserts that r</w:t>
      </w:r>
      <w:r w:rsidR="007F5204">
        <w:rPr>
          <w:bCs/>
        </w:rPr>
        <w:t xml:space="preserve">isk to a member of a </w:t>
      </w:r>
      <w:r w:rsidR="00665B71">
        <w:rPr>
          <w:bCs/>
        </w:rPr>
        <w:t>superannuation</w:t>
      </w:r>
      <w:r w:rsidR="007F5204">
        <w:rPr>
          <w:bCs/>
        </w:rPr>
        <w:t xml:space="preserve"> fund is </w:t>
      </w:r>
      <w:r w:rsidR="007F5204" w:rsidRPr="00016056">
        <w:rPr>
          <w:bCs/>
          <w:u w:val="single"/>
        </w:rPr>
        <w:t>not</w:t>
      </w:r>
      <w:r w:rsidR="007F5204">
        <w:rPr>
          <w:bCs/>
        </w:rPr>
        <w:t xml:space="preserve"> market volatility. Risk is </w:t>
      </w:r>
      <w:r w:rsidR="007F5204" w:rsidRPr="007F5204">
        <w:rPr>
          <w:b/>
          <w:bCs/>
          <w:i/>
        </w:rPr>
        <w:t>“running out of money in retirement”</w:t>
      </w:r>
      <w:r w:rsidR="007F5204">
        <w:rPr>
          <w:bCs/>
        </w:rPr>
        <w:t>. Paradoxically by adopting an inappropriate definition of risk</w:t>
      </w:r>
      <w:r w:rsidR="00016056">
        <w:rPr>
          <w:bCs/>
        </w:rPr>
        <w:t>,</w:t>
      </w:r>
      <w:r w:rsidR="007F5204">
        <w:rPr>
          <w:bCs/>
        </w:rPr>
        <w:t xml:space="preserve"> </w:t>
      </w:r>
      <w:r w:rsidR="00665B71">
        <w:rPr>
          <w:bCs/>
        </w:rPr>
        <w:t>superannuation</w:t>
      </w:r>
      <w:r w:rsidR="00016056">
        <w:rPr>
          <w:bCs/>
        </w:rPr>
        <w:t xml:space="preserve"> funds are promoting less volatile investment strategies as </w:t>
      </w:r>
      <w:r w:rsidR="00016056" w:rsidRPr="00016056">
        <w:rPr>
          <w:bCs/>
          <w:u w:val="single"/>
        </w:rPr>
        <w:t>reducing</w:t>
      </w:r>
      <w:r w:rsidR="00016056">
        <w:rPr>
          <w:bCs/>
        </w:rPr>
        <w:t xml:space="preserve"> risk when in fact they are </w:t>
      </w:r>
      <w:r w:rsidR="002E75B5">
        <w:rPr>
          <w:bCs/>
        </w:rPr>
        <w:t>increasing</w:t>
      </w:r>
      <w:r w:rsidR="00016056">
        <w:rPr>
          <w:bCs/>
        </w:rPr>
        <w:t xml:space="preserve"> risk! This should be of great concern to </w:t>
      </w:r>
      <w:r w:rsidR="00936839">
        <w:rPr>
          <w:bCs/>
        </w:rPr>
        <w:t>the</w:t>
      </w:r>
      <w:r w:rsidR="00016056">
        <w:rPr>
          <w:bCs/>
        </w:rPr>
        <w:t xml:space="preserve"> </w:t>
      </w:r>
      <w:r w:rsidR="00665B71">
        <w:rPr>
          <w:bCs/>
        </w:rPr>
        <w:t>superannuation</w:t>
      </w:r>
      <w:r w:rsidR="00A229BA">
        <w:rPr>
          <w:bCs/>
        </w:rPr>
        <w:t xml:space="preserve"> fund</w:t>
      </w:r>
      <w:r w:rsidR="00016056">
        <w:rPr>
          <w:bCs/>
        </w:rPr>
        <w:t xml:space="preserve"> industry.</w:t>
      </w:r>
    </w:p>
    <w:sectPr w:rsidR="007F5204" w:rsidRPr="007F520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7A" w:rsidRDefault="006B7D7A" w:rsidP="00475FB4">
      <w:pPr>
        <w:spacing w:after="0" w:line="240" w:lineRule="auto"/>
      </w:pPr>
      <w:r>
        <w:separator/>
      </w:r>
    </w:p>
  </w:endnote>
  <w:endnote w:type="continuationSeparator" w:id="0">
    <w:p w:rsidR="006B7D7A" w:rsidRDefault="006B7D7A" w:rsidP="0047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50461"/>
      <w:docPartObj>
        <w:docPartGallery w:val="Page Numbers (Bottom of Page)"/>
        <w:docPartUnique/>
      </w:docPartObj>
    </w:sdtPr>
    <w:sdtEndPr>
      <w:rPr>
        <w:noProof/>
      </w:rPr>
    </w:sdtEndPr>
    <w:sdtContent>
      <w:p w:rsidR="00554B2D" w:rsidRDefault="00554B2D">
        <w:pPr>
          <w:pStyle w:val="Footer"/>
        </w:pPr>
        <w:r>
          <w:fldChar w:fldCharType="begin"/>
        </w:r>
        <w:r>
          <w:instrText xml:space="preserve"> PAGE   \* MERGEFORMAT </w:instrText>
        </w:r>
        <w:r>
          <w:fldChar w:fldCharType="separate"/>
        </w:r>
        <w:r w:rsidR="00A10534">
          <w:rPr>
            <w:noProof/>
          </w:rPr>
          <w:t>1</w:t>
        </w:r>
        <w:r>
          <w:rPr>
            <w:noProof/>
          </w:rPr>
          <w:fldChar w:fldCharType="end"/>
        </w:r>
      </w:p>
    </w:sdtContent>
  </w:sdt>
  <w:p w:rsidR="00554B2D" w:rsidRDefault="00554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7A" w:rsidRDefault="006B7D7A" w:rsidP="00475FB4">
      <w:pPr>
        <w:spacing w:after="0" w:line="240" w:lineRule="auto"/>
      </w:pPr>
      <w:r>
        <w:separator/>
      </w:r>
    </w:p>
  </w:footnote>
  <w:footnote w:type="continuationSeparator" w:id="0">
    <w:p w:rsidR="006B7D7A" w:rsidRDefault="006B7D7A" w:rsidP="00475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B2D" w:rsidRDefault="00554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949"/>
    <w:multiLevelType w:val="hybridMultilevel"/>
    <w:tmpl w:val="7458BE0C"/>
    <w:lvl w:ilvl="0" w:tplc="6F02FCE2">
      <w:start w:val="1"/>
      <w:numFmt w:val="decimal"/>
      <w:lvlText w:val="%1."/>
      <w:lvlJc w:val="left"/>
      <w:pPr>
        <w:tabs>
          <w:tab w:val="num" w:pos="720"/>
        </w:tabs>
        <w:ind w:left="720" w:hanging="360"/>
      </w:pPr>
    </w:lvl>
    <w:lvl w:ilvl="1" w:tplc="FBDA7410" w:tentative="1">
      <w:start w:val="1"/>
      <w:numFmt w:val="decimal"/>
      <w:lvlText w:val="%2."/>
      <w:lvlJc w:val="left"/>
      <w:pPr>
        <w:tabs>
          <w:tab w:val="num" w:pos="1440"/>
        </w:tabs>
        <w:ind w:left="1440" w:hanging="360"/>
      </w:pPr>
    </w:lvl>
    <w:lvl w:ilvl="2" w:tplc="26F28816" w:tentative="1">
      <w:start w:val="1"/>
      <w:numFmt w:val="decimal"/>
      <w:lvlText w:val="%3."/>
      <w:lvlJc w:val="left"/>
      <w:pPr>
        <w:tabs>
          <w:tab w:val="num" w:pos="2160"/>
        </w:tabs>
        <w:ind w:left="2160" w:hanging="360"/>
      </w:pPr>
    </w:lvl>
    <w:lvl w:ilvl="3" w:tplc="23446F70" w:tentative="1">
      <w:start w:val="1"/>
      <w:numFmt w:val="decimal"/>
      <w:lvlText w:val="%4."/>
      <w:lvlJc w:val="left"/>
      <w:pPr>
        <w:tabs>
          <w:tab w:val="num" w:pos="2880"/>
        </w:tabs>
        <w:ind w:left="2880" w:hanging="360"/>
      </w:pPr>
    </w:lvl>
    <w:lvl w:ilvl="4" w:tplc="86EED118" w:tentative="1">
      <w:start w:val="1"/>
      <w:numFmt w:val="decimal"/>
      <w:lvlText w:val="%5."/>
      <w:lvlJc w:val="left"/>
      <w:pPr>
        <w:tabs>
          <w:tab w:val="num" w:pos="3600"/>
        </w:tabs>
        <w:ind w:left="3600" w:hanging="360"/>
      </w:pPr>
    </w:lvl>
    <w:lvl w:ilvl="5" w:tplc="26EA4ED8" w:tentative="1">
      <w:start w:val="1"/>
      <w:numFmt w:val="decimal"/>
      <w:lvlText w:val="%6."/>
      <w:lvlJc w:val="left"/>
      <w:pPr>
        <w:tabs>
          <w:tab w:val="num" w:pos="4320"/>
        </w:tabs>
        <w:ind w:left="4320" w:hanging="360"/>
      </w:pPr>
    </w:lvl>
    <w:lvl w:ilvl="6" w:tplc="1A28BE90" w:tentative="1">
      <w:start w:val="1"/>
      <w:numFmt w:val="decimal"/>
      <w:lvlText w:val="%7."/>
      <w:lvlJc w:val="left"/>
      <w:pPr>
        <w:tabs>
          <w:tab w:val="num" w:pos="5040"/>
        </w:tabs>
        <w:ind w:left="5040" w:hanging="360"/>
      </w:pPr>
    </w:lvl>
    <w:lvl w:ilvl="7" w:tplc="1FF8DAC6" w:tentative="1">
      <w:start w:val="1"/>
      <w:numFmt w:val="decimal"/>
      <w:lvlText w:val="%8."/>
      <w:lvlJc w:val="left"/>
      <w:pPr>
        <w:tabs>
          <w:tab w:val="num" w:pos="5760"/>
        </w:tabs>
        <w:ind w:left="5760" w:hanging="360"/>
      </w:pPr>
    </w:lvl>
    <w:lvl w:ilvl="8" w:tplc="77EE6908" w:tentative="1">
      <w:start w:val="1"/>
      <w:numFmt w:val="decimal"/>
      <w:lvlText w:val="%9."/>
      <w:lvlJc w:val="left"/>
      <w:pPr>
        <w:tabs>
          <w:tab w:val="num" w:pos="6480"/>
        </w:tabs>
        <w:ind w:left="6480" w:hanging="360"/>
      </w:pPr>
    </w:lvl>
  </w:abstractNum>
  <w:abstractNum w:abstractNumId="1" w15:restartNumberingAfterBreak="0">
    <w:nsid w:val="2B30177A"/>
    <w:multiLevelType w:val="hybridMultilevel"/>
    <w:tmpl w:val="A92ED0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C06642F"/>
    <w:multiLevelType w:val="hybridMultilevel"/>
    <w:tmpl w:val="534E48F8"/>
    <w:lvl w:ilvl="0" w:tplc="D21E4168">
      <w:start w:val="1"/>
      <w:numFmt w:val="decimal"/>
      <w:lvlText w:val="%1."/>
      <w:lvlJc w:val="left"/>
      <w:pPr>
        <w:tabs>
          <w:tab w:val="num" w:pos="720"/>
        </w:tabs>
        <w:ind w:left="720" w:hanging="360"/>
      </w:pPr>
    </w:lvl>
    <w:lvl w:ilvl="1" w:tplc="85C086A2" w:tentative="1">
      <w:start w:val="1"/>
      <w:numFmt w:val="decimal"/>
      <w:lvlText w:val="%2."/>
      <w:lvlJc w:val="left"/>
      <w:pPr>
        <w:tabs>
          <w:tab w:val="num" w:pos="1440"/>
        </w:tabs>
        <w:ind w:left="1440" w:hanging="360"/>
      </w:pPr>
    </w:lvl>
    <w:lvl w:ilvl="2" w:tplc="820C7190" w:tentative="1">
      <w:start w:val="1"/>
      <w:numFmt w:val="decimal"/>
      <w:lvlText w:val="%3."/>
      <w:lvlJc w:val="left"/>
      <w:pPr>
        <w:tabs>
          <w:tab w:val="num" w:pos="2160"/>
        </w:tabs>
        <w:ind w:left="2160" w:hanging="360"/>
      </w:pPr>
    </w:lvl>
    <w:lvl w:ilvl="3" w:tplc="2F7274F2" w:tentative="1">
      <w:start w:val="1"/>
      <w:numFmt w:val="decimal"/>
      <w:lvlText w:val="%4."/>
      <w:lvlJc w:val="left"/>
      <w:pPr>
        <w:tabs>
          <w:tab w:val="num" w:pos="2880"/>
        </w:tabs>
        <w:ind w:left="2880" w:hanging="360"/>
      </w:pPr>
    </w:lvl>
    <w:lvl w:ilvl="4" w:tplc="C1EAD514" w:tentative="1">
      <w:start w:val="1"/>
      <w:numFmt w:val="decimal"/>
      <w:lvlText w:val="%5."/>
      <w:lvlJc w:val="left"/>
      <w:pPr>
        <w:tabs>
          <w:tab w:val="num" w:pos="3600"/>
        </w:tabs>
        <w:ind w:left="3600" w:hanging="360"/>
      </w:pPr>
    </w:lvl>
    <w:lvl w:ilvl="5" w:tplc="1C788082" w:tentative="1">
      <w:start w:val="1"/>
      <w:numFmt w:val="decimal"/>
      <w:lvlText w:val="%6."/>
      <w:lvlJc w:val="left"/>
      <w:pPr>
        <w:tabs>
          <w:tab w:val="num" w:pos="4320"/>
        </w:tabs>
        <w:ind w:left="4320" w:hanging="360"/>
      </w:pPr>
    </w:lvl>
    <w:lvl w:ilvl="6" w:tplc="A404D672" w:tentative="1">
      <w:start w:val="1"/>
      <w:numFmt w:val="decimal"/>
      <w:lvlText w:val="%7."/>
      <w:lvlJc w:val="left"/>
      <w:pPr>
        <w:tabs>
          <w:tab w:val="num" w:pos="5040"/>
        </w:tabs>
        <w:ind w:left="5040" w:hanging="360"/>
      </w:pPr>
    </w:lvl>
    <w:lvl w:ilvl="7" w:tplc="7FD0BB7A" w:tentative="1">
      <w:start w:val="1"/>
      <w:numFmt w:val="decimal"/>
      <w:lvlText w:val="%8."/>
      <w:lvlJc w:val="left"/>
      <w:pPr>
        <w:tabs>
          <w:tab w:val="num" w:pos="5760"/>
        </w:tabs>
        <w:ind w:left="5760" w:hanging="360"/>
      </w:pPr>
    </w:lvl>
    <w:lvl w:ilvl="8" w:tplc="CC10FD00" w:tentative="1">
      <w:start w:val="1"/>
      <w:numFmt w:val="decimal"/>
      <w:lvlText w:val="%9."/>
      <w:lvlJc w:val="left"/>
      <w:pPr>
        <w:tabs>
          <w:tab w:val="num" w:pos="6480"/>
        </w:tabs>
        <w:ind w:left="6480" w:hanging="360"/>
      </w:pPr>
    </w:lvl>
  </w:abstractNum>
  <w:abstractNum w:abstractNumId="3" w15:restartNumberingAfterBreak="0">
    <w:nsid w:val="58852F9A"/>
    <w:multiLevelType w:val="hybridMultilevel"/>
    <w:tmpl w:val="B12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651047"/>
    <w:multiLevelType w:val="hybridMultilevel"/>
    <w:tmpl w:val="32728646"/>
    <w:lvl w:ilvl="0" w:tplc="A5E616B6">
      <w:start w:val="1"/>
      <w:numFmt w:val="bullet"/>
      <w:lvlText w:val="•"/>
      <w:lvlJc w:val="left"/>
      <w:pPr>
        <w:tabs>
          <w:tab w:val="num" w:pos="720"/>
        </w:tabs>
        <w:ind w:left="720" w:hanging="360"/>
      </w:pPr>
      <w:rPr>
        <w:rFonts w:ascii="Arial" w:hAnsi="Arial" w:hint="default"/>
      </w:rPr>
    </w:lvl>
    <w:lvl w:ilvl="1" w:tplc="820EB4A4">
      <w:start w:val="1"/>
      <w:numFmt w:val="bullet"/>
      <w:lvlText w:val="•"/>
      <w:lvlJc w:val="left"/>
      <w:pPr>
        <w:tabs>
          <w:tab w:val="num" w:pos="1440"/>
        </w:tabs>
        <w:ind w:left="1440" w:hanging="360"/>
      </w:pPr>
      <w:rPr>
        <w:rFonts w:ascii="Arial" w:hAnsi="Arial" w:hint="default"/>
      </w:rPr>
    </w:lvl>
    <w:lvl w:ilvl="2" w:tplc="A76C67A6">
      <w:start w:val="1"/>
      <w:numFmt w:val="lowerLetter"/>
      <w:lvlText w:val="%3)"/>
      <w:lvlJc w:val="left"/>
      <w:pPr>
        <w:tabs>
          <w:tab w:val="num" w:pos="2160"/>
        </w:tabs>
        <w:ind w:left="2160" w:hanging="360"/>
      </w:pPr>
    </w:lvl>
    <w:lvl w:ilvl="3" w:tplc="E8188FF6" w:tentative="1">
      <w:start w:val="1"/>
      <w:numFmt w:val="bullet"/>
      <w:lvlText w:val="•"/>
      <w:lvlJc w:val="left"/>
      <w:pPr>
        <w:tabs>
          <w:tab w:val="num" w:pos="2880"/>
        </w:tabs>
        <w:ind w:left="2880" w:hanging="360"/>
      </w:pPr>
      <w:rPr>
        <w:rFonts w:ascii="Arial" w:hAnsi="Arial" w:hint="default"/>
      </w:rPr>
    </w:lvl>
    <w:lvl w:ilvl="4" w:tplc="5580A978" w:tentative="1">
      <w:start w:val="1"/>
      <w:numFmt w:val="bullet"/>
      <w:lvlText w:val="•"/>
      <w:lvlJc w:val="left"/>
      <w:pPr>
        <w:tabs>
          <w:tab w:val="num" w:pos="3600"/>
        </w:tabs>
        <w:ind w:left="3600" w:hanging="360"/>
      </w:pPr>
      <w:rPr>
        <w:rFonts w:ascii="Arial" w:hAnsi="Arial" w:hint="default"/>
      </w:rPr>
    </w:lvl>
    <w:lvl w:ilvl="5" w:tplc="05C0FA38" w:tentative="1">
      <w:start w:val="1"/>
      <w:numFmt w:val="bullet"/>
      <w:lvlText w:val="•"/>
      <w:lvlJc w:val="left"/>
      <w:pPr>
        <w:tabs>
          <w:tab w:val="num" w:pos="4320"/>
        </w:tabs>
        <w:ind w:left="4320" w:hanging="360"/>
      </w:pPr>
      <w:rPr>
        <w:rFonts w:ascii="Arial" w:hAnsi="Arial" w:hint="default"/>
      </w:rPr>
    </w:lvl>
    <w:lvl w:ilvl="6" w:tplc="E4CAD00A" w:tentative="1">
      <w:start w:val="1"/>
      <w:numFmt w:val="bullet"/>
      <w:lvlText w:val="•"/>
      <w:lvlJc w:val="left"/>
      <w:pPr>
        <w:tabs>
          <w:tab w:val="num" w:pos="5040"/>
        </w:tabs>
        <w:ind w:left="5040" w:hanging="360"/>
      </w:pPr>
      <w:rPr>
        <w:rFonts w:ascii="Arial" w:hAnsi="Arial" w:hint="default"/>
      </w:rPr>
    </w:lvl>
    <w:lvl w:ilvl="7" w:tplc="ABAEBA28" w:tentative="1">
      <w:start w:val="1"/>
      <w:numFmt w:val="bullet"/>
      <w:lvlText w:val="•"/>
      <w:lvlJc w:val="left"/>
      <w:pPr>
        <w:tabs>
          <w:tab w:val="num" w:pos="5760"/>
        </w:tabs>
        <w:ind w:left="5760" w:hanging="360"/>
      </w:pPr>
      <w:rPr>
        <w:rFonts w:ascii="Arial" w:hAnsi="Arial" w:hint="default"/>
      </w:rPr>
    </w:lvl>
    <w:lvl w:ilvl="8" w:tplc="00D8D9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791F24"/>
    <w:multiLevelType w:val="hybridMultilevel"/>
    <w:tmpl w:val="C23ABE5E"/>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15:restartNumberingAfterBreak="0">
    <w:nsid w:val="7B276C41"/>
    <w:multiLevelType w:val="hybridMultilevel"/>
    <w:tmpl w:val="9392CF64"/>
    <w:lvl w:ilvl="0" w:tplc="D694A586">
      <w:start w:val="1"/>
      <w:numFmt w:val="bullet"/>
      <w:lvlText w:val="•"/>
      <w:lvlJc w:val="left"/>
      <w:pPr>
        <w:tabs>
          <w:tab w:val="num" w:pos="720"/>
        </w:tabs>
        <w:ind w:left="720" w:hanging="360"/>
      </w:pPr>
      <w:rPr>
        <w:rFonts w:ascii="Arial" w:hAnsi="Arial" w:hint="default"/>
      </w:rPr>
    </w:lvl>
    <w:lvl w:ilvl="1" w:tplc="7068B20E" w:tentative="1">
      <w:start w:val="1"/>
      <w:numFmt w:val="bullet"/>
      <w:lvlText w:val="•"/>
      <w:lvlJc w:val="left"/>
      <w:pPr>
        <w:tabs>
          <w:tab w:val="num" w:pos="1440"/>
        </w:tabs>
        <w:ind w:left="1440" w:hanging="360"/>
      </w:pPr>
      <w:rPr>
        <w:rFonts w:ascii="Arial" w:hAnsi="Arial" w:hint="default"/>
      </w:rPr>
    </w:lvl>
    <w:lvl w:ilvl="2" w:tplc="5FF6ECB8" w:tentative="1">
      <w:start w:val="1"/>
      <w:numFmt w:val="bullet"/>
      <w:lvlText w:val="•"/>
      <w:lvlJc w:val="left"/>
      <w:pPr>
        <w:tabs>
          <w:tab w:val="num" w:pos="2160"/>
        </w:tabs>
        <w:ind w:left="2160" w:hanging="360"/>
      </w:pPr>
      <w:rPr>
        <w:rFonts w:ascii="Arial" w:hAnsi="Arial" w:hint="default"/>
      </w:rPr>
    </w:lvl>
    <w:lvl w:ilvl="3" w:tplc="E15296C2" w:tentative="1">
      <w:start w:val="1"/>
      <w:numFmt w:val="bullet"/>
      <w:lvlText w:val="•"/>
      <w:lvlJc w:val="left"/>
      <w:pPr>
        <w:tabs>
          <w:tab w:val="num" w:pos="2880"/>
        </w:tabs>
        <w:ind w:left="2880" w:hanging="360"/>
      </w:pPr>
      <w:rPr>
        <w:rFonts w:ascii="Arial" w:hAnsi="Arial" w:hint="default"/>
      </w:rPr>
    </w:lvl>
    <w:lvl w:ilvl="4" w:tplc="208E5488" w:tentative="1">
      <w:start w:val="1"/>
      <w:numFmt w:val="bullet"/>
      <w:lvlText w:val="•"/>
      <w:lvlJc w:val="left"/>
      <w:pPr>
        <w:tabs>
          <w:tab w:val="num" w:pos="3600"/>
        </w:tabs>
        <w:ind w:left="3600" w:hanging="360"/>
      </w:pPr>
      <w:rPr>
        <w:rFonts w:ascii="Arial" w:hAnsi="Arial" w:hint="default"/>
      </w:rPr>
    </w:lvl>
    <w:lvl w:ilvl="5" w:tplc="5C06D8C8" w:tentative="1">
      <w:start w:val="1"/>
      <w:numFmt w:val="bullet"/>
      <w:lvlText w:val="•"/>
      <w:lvlJc w:val="left"/>
      <w:pPr>
        <w:tabs>
          <w:tab w:val="num" w:pos="4320"/>
        </w:tabs>
        <w:ind w:left="4320" w:hanging="360"/>
      </w:pPr>
      <w:rPr>
        <w:rFonts w:ascii="Arial" w:hAnsi="Arial" w:hint="default"/>
      </w:rPr>
    </w:lvl>
    <w:lvl w:ilvl="6" w:tplc="F5F8C4EE" w:tentative="1">
      <w:start w:val="1"/>
      <w:numFmt w:val="bullet"/>
      <w:lvlText w:val="•"/>
      <w:lvlJc w:val="left"/>
      <w:pPr>
        <w:tabs>
          <w:tab w:val="num" w:pos="5040"/>
        </w:tabs>
        <w:ind w:left="5040" w:hanging="360"/>
      </w:pPr>
      <w:rPr>
        <w:rFonts w:ascii="Arial" w:hAnsi="Arial" w:hint="default"/>
      </w:rPr>
    </w:lvl>
    <w:lvl w:ilvl="7" w:tplc="9B0A6710" w:tentative="1">
      <w:start w:val="1"/>
      <w:numFmt w:val="bullet"/>
      <w:lvlText w:val="•"/>
      <w:lvlJc w:val="left"/>
      <w:pPr>
        <w:tabs>
          <w:tab w:val="num" w:pos="5760"/>
        </w:tabs>
        <w:ind w:left="5760" w:hanging="360"/>
      </w:pPr>
      <w:rPr>
        <w:rFonts w:ascii="Arial" w:hAnsi="Arial" w:hint="default"/>
      </w:rPr>
    </w:lvl>
    <w:lvl w:ilvl="8" w:tplc="5ACCD81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B4"/>
    <w:rsid w:val="00013D65"/>
    <w:rsid w:val="00016056"/>
    <w:rsid w:val="00020740"/>
    <w:rsid w:val="00046298"/>
    <w:rsid w:val="000510E4"/>
    <w:rsid w:val="00052C3F"/>
    <w:rsid w:val="00066388"/>
    <w:rsid w:val="000B375F"/>
    <w:rsid w:val="000E1183"/>
    <w:rsid w:val="000E2108"/>
    <w:rsid w:val="0010170E"/>
    <w:rsid w:val="001135D1"/>
    <w:rsid w:val="00151081"/>
    <w:rsid w:val="00151212"/>
    <w:rsid w:val="00165D37"/>
    <w:rsid w:val="00185A30"/>
    <w:rsid w:val="00191AD1"/>
    <w:rsid w:val="00193A3B"/>
    <w:rsid w:val="001A58EB"/>
    <w:rsid w:val="001A747D"/>
    <w:rsid w:val="001B4F6E"/>
    <w:rsid w:val="002043BC"/>
    <w:rsid w:val="00213BA0"/>
    <w:rsid w:val="002234E6"/>
    <w:rsid w:val="002515DB"/>
    <w:rsid w:val="00272523"/>
    <w:rsid w:val="002860F1"/>
    <w:rsid w:val="0029757A"/>
    <w:rsid w:val="002B6DB5"/>
    <w:rsid w:val="002E75B5"/>
    <w:rsid w:val="00314B10"/>
    <w:rsid w:val="0032559C"/>
    <w:rsid w:val="003270E7"/>
    <w:rsid w:val="0033118C"/>
    <w:rsid w:val="00341CFC"/>
    <w:rsid w:val="0035765F"/>
    <w:rsid w:val="00364307"/>
    <w:rsid w:val="00366641"/>
    <w:rsid w:val="00384EC0"/>
    <w:rsid w:val="003A7D9B"/>
    <w:rsid w:val="003F281E"/>
    <w:rsid w:val="004002B8"/>
    <w:rsid w:val="0040246B"/>
    <w:rsid w:val="00416284"/>
    <w:rsid w:val="00422BDF"/>
    <w:rsid w:val="00436FA0"/>
    <w:rsid w:val="00442FE8"/>
    <w:rsid w:val="00453E50"/>
    <w:rsid w:val="004563A0"/>
    <w:rsid w:val="004707C9"/>
    <w:rsid w:val="00471C88"/>
    <w:rsid w:val="00475FB4"/>
    <w:rsid w:val="00480F6D"/>
    <w:rsid w:val="00487FC8"/>
    <w:rsid w:val="00494356"/>
    <w:rsid w:val="00517F32"/>
    <w:rsid w:val="0053765B"/>
    <w:rsid w:val="00554B2D"/>
    <w:rsid w:val="005808F9"/>
    <w:rsid w:val="005902E7"/>
    <w:rsid w:val="0059501A"/>
    <w:rsid w:val="005A1147"/>
    <w:rsid w:val="005B07AF"/>
    <w:rsid w:val="005B0980"/>
    <w:rsid w:val="005B45C5"/>
    <w:rsid w:val="005C3E5D"/>
    <w:rsid w:val="005C4325"/>
    <w:rsid w:val="00626109"/>
    <w:rsid w:val="00636C29"/>
    <w:rsid w:val="00646A75"/>
    <w:rsid w:val="00654532"/>
    <w:rsid w:val="00665B71"/>
    <w:rsid w:val="00682CCA"/>
    <w:rsid w:val="00684EE0"/>
    <w:rsid w:val="006B7D7A"/>
    <w:rsid w:val="006C0FEB"/>
    <w:rsid w:val="006C6576"/>
    <w:rsid w:val="006D67D6"/>
    <w:rsid w:val="006D6AE3"/>
    <w:rsid w:val="006E5EEC"/>
    <w:rsid w:val="006F1842"/>
    <w:rsid w:val="006F3FCA"/>
    <w:rsid w:val="00742CA3"/>
    <w:rsid w:val="00745F0A"/>
    <w:rsid w:val="007462A8"/>
    <w:rsid w:val="007650AE"/>
    <w:rsid w:val="0078555D"/>
    <w:rsid w:val="00791111"/>
    <w:rsid w:val="007951E3"/>
    <w:rsid w:val="007B4B60"/>
    <w:rsid w:val="007E1820"/>
    <w:rsid w:val="007F45F0"/>
    <w:rsid w:val="007F5204"/>
    <w:rsid w:val="008015B3"/>
    <w:rsid w:val="008018FE"/>
    <w:rsid w:val="00805582"/>
    <w:rsid w:val="008100CF"/>
    <w:rsid w:val="00812FBE"/>
    <w:rsid w:val="00822B07"/>
    <w:rsid w:val="008376D8"/>
    <w:rsid w:val="00857344"/>
    <w:rsid w:val="008675CB"/>
    <w:rsid w:val="00877272"/>
    <w:rsid w:val="00892DE0"/>
    <w:rsid w:val="008A1798"/>
    <w:rsid w:val="008A3BF3"/>
    <w:rsid w:val="008A50C1"/>
    <w:rsid w:val="008D4428"/>
    <w:rsid w:val="008D4721"/>
    <w:rsid w:val="008D5178"/>
    <w:rsid w:val="008F3C07"/>
    <w:rsid w:val="008F6090"/>
    <w:rsid w:val="00911D83"/>
    <w:rsid w:val="009170D2"/>
    <w:rsid w:val="00936839"/>
    <w:rsid w:val="0093783C"/>
    <w:rsid w:val="009637F8"/>
    <w:rsid w:val="00985736"/>
    <w:rsid w:val="00994B02"/>
    <w:rsid w:val="009B3FF1"/>
    <w:rsid w:val="009C47BE"/>
    <w:rsid w:val="009F15FA"/>
    <w:rsid w:val="00A02D6E"/>
    <w:rsid w:val="00A10534"/>
    <w:rsid w:val="00A229BA"/>
    <w:rsid w:val="00A474CF"/>
    <w:rsid w:val="00A47ED9"/>
    <w:rsid w:val="00A57C7E"/>
    <w:rsid w:val="00A62F98"/>
    <w:rsid w:val="00A65F4E"/>
    <w:rsid w:val="00A6765B"/>
    <w:rsid w:val="00A911A7"/>
    <w:rsid w:val="00AA278F"/>
    <w:rsid w:val="00AB203E"/>
    <w:rsid w:val="00AC5BE6"/>
    <w:rsid w:val="00AD55DD"/>
    <w:rsid w:val="00AE1ED6"/>
    <w:rsid w:val="00B1060B"/>
    <w:rsid w:val="00B21833"/>
    <w:rsid w:val="00B457E2"/>
    <w:rsid w:val="00B52559"/>
    <w:rsid w:val="00B62CA4"/>
    <w:rsid w:val="00B9409A"/>
    <w:rsid w:val="00B94717"/>
    <w:rsid w:val="00BB1D01"/>
    <w:rsid w:val="00BB3F79"/>
    <w:rsid w:val="00BD1D9B"/>
    <w:rsid w:val="00BE5FCF"/>
    <w:rsid w:val="00BF71A2"/>
    <w:rsid w:val="00C04544"/>
    <w:rsid w:val="00C06D67"/>
    <w:rsid w:val="00C378B7"/>
    <w:rsid w:val="00C61E30"/>
    <w:rsid w:val="00C63A79"/>
    <w:rsid w:val="00C818AE"/>
    <w:rsid w:val="00C843E2"/>
    <w:rsid w:val="00C8572B"/>
    <w:rsid w:val="00C912D8"/>
    <w:rsid w:val="00CD6874"/>
    <w:rsid w:val="00CF42D3"/>
    <w:rsid w:val="00D0080A"/>
    <w:rsid w:val="00D47B1D"/>
    <w:rsid w:val="00D67325"/>
    <w:rsid w:val="00D67703"/>
    <w:rsid w:val="00D82774"/>
    <w:rsid w:val="00DB113E"/>
    <w:rsid w:val="00DB200E"/>
    <w:rsid w:val="00DB3374"/>
    <w:rsid w:val="00DB38B8"/>
    <w:rsid w:val="00DC7675"/>
    <w:rsid w:val="00DD65AA"/>
    <w:rsid w:val="00DE32C0"/>
    <w:rsid w:val="00DF40D1"/>
    <w:rsid w:val="00E053D2"/>
    <w:rsid w:val="00E16CE7"/>
    <w:rsid w:val="00E301DD"/>
    <w:rsid w:val="00E4247A"/>
    <w:rsid w:val="00E47C4F"/>
    <w:rsid w:val="00E51996"/>
    <w:rsid w:val="00E6607A"/>
    <w:rsid w:val="00E661C4"/>
    <w:rsid w:val="00EC4123"/>
    <w:rsid w:val="00EC7E64"/>
    <w:rsid w:val="00ED784F"/>
    <w:rsid w:val="00F02554"/>
    <w:rsid w:val="00F06043"/>
    <w:rsid w:val="00F212D8"/>
    <w:rsid w:val="00F23334"/>
    <w:rsid w:val="00F26B0E"/>
    <w:rsid w:val="00F334BC"/>
    <w:rsid w:val="00F33CBC"/>
    <w:rsid w:val="00F35950"/>
    <w:rsid w:val="00F74E3C"/>
    <w:rsid w:val="00FA3ED5"/>
    <w:rsid w:val="00FA751C"/>
    <w:rsid w:val="00FF7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556BB9C-22A3-4D27-9DAC-C28F262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FB4"/>
  </w:style>
  <w:style w:type="paragraph" w:styleId="Footer">
    <w:name w:val="footer"/>
    <w:basedOn w:val="Normal"/>
    <w:link w:val="FooterChar"/>
    <w:uiPriority w:val="99"/>
    <w:unhideWhenUsed/>
    <w:rsid w:val="00475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FB4"/>
  </w:style>
  <w:style w:type="paragraph" w:styleId="NormalWeb">
    <w:name w:val="Normal (Web)"/>
    <w:basedOn w:val="Normal"/>
    <w:uiPriority w:val="99"/>
    <w:semiHidden/>
    <w:unhideWhenUsed/>
    <w:rsid w:val="009F15F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510E4"/>
    <w:pPr>
      <w:ind w:left="720"/>
      <w:contextualSpacing/>
    </w:pPr>
  </w:style>
  <w:style w:type="paragraph" w:styleId="BalloonText">
    <w:name w:val="Balloon Text"/>
    <w:basedOn w:val="Normal"/>
    <w:link w:val="BalloonTextChar"/>
    <w:uiPriority w:val="99"/>
    <w:semiHidden/>
    <w:unhideWhenUsed/>
    <w:rsid w:val="0062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763">
      <w:bodyDiv w:val="1"/>
      <w:marLeft w:val="0"/>
      <w:marRight w:val="0"/>
      <w:marTop w:val="0"/>
      <w:marBottom w:val="0"/>
      <w:divBdr>
        <w:top w:val="none" w:sz="0" w:space="0" w:color="auto"/>
        <w:left w:val="none" w:sz="0" w:space="0" w:color="auto"/>
        <w:bottom w:val="none" w:sz="0" w:space="0" w:color="auto"/>
        <w:right w:val="none" w:sz="0" w:space="0" w:color="auto"/>
      </w:divBdr>
      <w:divsChild>
        <w:div w:id="1022441267">
          <w:marLeft w:val="1800"/>
          <w:marRight w:val="0"/>
          <w:marTop w:val="0"/>
          <w:marBottom w:val="0"/>
          <w:divBdr>
            <w:top w:val="none" w:sz="0" w:space="0" w:color="auto"/>
            <w:left w:val="none" w:sz="0" w:space="0" w:color="auto"/>
            <w:bottom w:val="none" w:sz="0" w:space="0" w:color="auto"/>
            <w:right w:val="none" w:sz="0" w:space="0" w:color="auto"/>
          </w:divBdr>
        </w:div>
        <w:div w:id="1074888685">
          <w:marLeft w:val="2520"/>
          <w:marRight w:val="0"/>
          <w:marTop w:val="0"/>
          <w:marBottom w:val="0"/>
          <w:divBdr>
            <w:top w:val="none" w:sz="0" w:space="0" w:color="auto"/>
            <w:left w:val="none" w:sz="0" w:space="0" w:color="auto"/>
            <w:bottom w:val="none" w:sz="0" w:space="0" w:color="auto"/>
            <w:right w:val="none" w:sz="0" w:space="0" w:color="auto"/>
          </w:divBdr>
        </w:div>
        <w:div w:id="1211502735">
          <w:marLeft w:val="1800"/>
          <w:marRight w:val="0"/>
          <w:marTop w:val="0"/>
          <w:marBottom w:val="0"/>
          <w:divBdr>
            <w:top w:val="none" w:sz="0" w:space="0" w:color="auto"/>
            <w:left w:val="none" w:sz="0" w:space="0" w:color="auto"/>
            <w:bottom w:val="none" w:sz="0" w:space="0" w:color="auto"/>
            <w:right w:val="none" w:sz="0" w:space="0" w:color="auto"/>
          </w:divBdr>
        </w:div>
        <w:div w:id="1541547928">
          <w:marLeft w:val="1800"/>
          <w:marRight w:val="0"/>
          <w:marTop w:val="0"/>
          <w:marBottom w:val="0"/>
          <w:divBdr>
            <w:top w:val="none" w:sz="0" w:space="0" w:color="auto"/>
            <w:left w:val="none" w:sz="0" w:space="0" w:color="auto"/>
            <w:bottom w:val="none" w:sz="0" w:space="0" w:color="auto"/>
            <w:right w:val="none" w:sz="0" w:space="0" w:color="auto"/>
          </w:divBdr>
        </w:div>
        <w:div w:id="1595167597">
          <w:marLeft w:val="1800"/>
          <w:marRight w:val="0"/>
          <w:marTop w:val="0"/>
          <w:marBottom w:val="0"/>
          <w:divBdr>
            <w:top w:val="none" w:sz="0" w:space="0" w:color="auto"/>
            <w:left w:val="none" w:sz="0" w:space="0" w:color="auto"/>
            <w:bottom w:val="none" w:sz="0" w:space="0" w:color="auto"/>
            <w:right w:val="none" w:sz="0" w:space="0" w:color="auto"/>
          </w:divBdr>
        </w:div>
        <w:div w:id="1840189257">
          <w:marLeft w:val="2520"/>
          <w:marRight w:val="0"/>
          <w:marTop w:val="0"/>
          <w:marBottom w:val="0"/>
          <w:divBdr>
            <w:top w:val="none" w:sz="0" w:space="0" w:color="auto"/>
            <w:left w:val="none" w:sz="0" w:space="0" w:color="auto"/>
            <w:bottom w:val="none" w:sz="0" w:space="0" w:color="auto"/>
            <w:right w:val="none" w:sz="0" w:space="0" w:color="auto"/>
          </w:divBdr>
        </w:div>
        <w:div w:id="2131588884">
          <w:marLeft w:val="1800"/>
          <w:marRight w:val="0"/>
          <w:marTop w:val="0"/>
          <w:marBottom w:val="0"/>
          <w:divBdr>
            <w:top w:val="none" w:sz="0" w:space="0" w:color="auto"/>
            <w:left w:val="none" w:sz="0" w:space="0" w:color="auto"/>
            <w:bottom w:val="none" w:sz="0" w:space="0" w:color="auto"/>
            <w:right w:val="none" w:sz="0" w:space="0" w:color="auto"/>
          </w:divBdr>
        </w:div>
      </w:divsChild>
    </w:div>
    <w:div w:id="311174951">
      <w:bodyDiv w:val="1"/>
      <w:marLeft w:val="0"/>
      <w:marRight w:val="0"/>
      <w:marTop w:val="0"/>
      <w:marBottom w:val="0"/>
      <w:divBdr>
        <w:top w:val="none" w:sz="0" w:space="0" w:color="auto"/>
        <w:left w:val="none" w:sz="0" w:space="0" w:color="auto"/>
        <w:bottom w:val="none" w:sz="0" w:space="0" w:color="auto"/>
        <w:right w:val="none" w:sz="0" w:space="0" w:color="auto"/>
      </w:divBdr>
      <w:divsChild>
        <w:div w:id="101875478">
          <w:marLeft w:val="806"/>
          <w:marRight w:val="0"/>
          <w:marTop w:val="0"/>
          <w:marBottom w:val="0"/>
          <w:divBdr>
            <w:top w:val="none" w:sz="0" w:space="0" w:color="auto"/>
            <w:left w:val="none" w:sz="0" w:space="0" w:color="auto"/>
            <w:bottom w:val="none" w:sz="0" w:space="0" w:color="auto"/>
            <w:right w:val="none" w:sz="0" w:space="0" w:color="auto"/>
          </w:divBdr>
        </w:div>
        <w:div w:id="677387286">
          <w:marLeft w:val="806"/>
          <w:marRight w:val="0"/>
          <w:marTop w:val="0"/>
          <w:marBottom w:val="0"/>
          <w:divBdr>
            <w:top w:val="none" w:sz="0" w:space="0" w:color="auto"/>
            <w:left w:val="none" w:sz="0" w:space="0" w:color="auto"/>
            <w:bottom w:val="none" w:sz="0" w:space="0" w:color="auto"/>
            <w:right w:val="none" w:sz="0" w:space="0" w:color="auto"/>
          </w:divBdr>
        </w:div>
        <w:div w:id="1623342392">
          <w:marLeft w:val="806"/>
          <w:marRight w:val="0"/>
          <w:marTop w:val="0"/>
          <w:marBottom w:val="0"/>
          <w:divBdr>
            <w:top w:val="none" w:sz="0" w:space="0" w:color="auto"/>
            <w:left w:val="none" w:sz="0" w:space="0" w:color="auto"/>
            <w:bottom w:val="none" w:sz="0" w:space="0" w:color="auto"/>
            <w:right w:val="none" w:sz="0" w:space="0" w:color="auto"/>
          </w:divBdr>
        </w:div>
      </w:divsChild>
    </w:div>
    <w:div w:id="448548431">
      <w:bodyDiv w:val="1"/>
      <w:marLeft w:val="0"/>
      <w:marRight w:val="0"/>
      <w:marTop w:val="0"/>
      <w:marBottom w:val="0"/>
      <w:divBdr>
        <w:top w:val="none" w:sz="0" w:space="0" w:color="auto"/>
        <w:left w:val="none" w:sz="0" w:space="0" w:color="auto"/>
        <w:bottom w:val="none" w:sz="0" w:space="0" w:color="auto"/>
        <w:right w:val="none" w:sz="0" w:space="0" w:color="auto"/>
      </w:divBdr>
      <w:divsChild>
        <w:div w:id="449279581">
          <w:marLeft w:val="907"/>
          <w:marRight w:val="0"/>
          <w:marTop w:val="0"/>
          <w:marBottom w:val="0"/>
          <w:divBdr>
            <w:top w:val="none" w:sz="0" w:space="0" w:color="auto"/>
            <w:left w:val="none" w:sz="0" w:space="0" w:color="auto"/>
            <w:bottom w:val="none" w:sz="0" w:space="0" w:color="auto"/>
            <w:right w:val="none" w:sz="0" w:space="0" w:color="auto"/>
          </w:divBdr>
        </w:div>
        <w:div w:id="876354348">
          <w:marLeft w:val="907"/>
          <w:marRight w:val="0"/>
          <w:marTop w:val="0"/>
          <w:marBottom w:val="0"/>
          <w:divBdr>
            <w:top w:val="none" w:sz="0" w:space="0" w:color="auto"/>
            <w:left w:val="none" w:sz="0" w:space="0" w:color="auto"/>
            <w:bottom w:val="none" w:sz="0" w:space="0" w:color="auto"/>
            <w:right w:val="none" w:sz="0" w:space="0" w:color="auto"/>
          </w:divBdr>
        </w:div>
        <w:div w:id="911545026">
          <w:marLeft w:val="907"/>
          <w:marRight w:val="0"/>
          <w:marTop w:val="0"/>
          <w:marBottom w:val="0"/>
          <w:divBdr>
            <w:top w:val="none" w:sz="0" w:space="0" w:color="auto"/>
            <w:left w:val="none" w:sz="0" w:space="0" w:color="auto"/>
            <w:bottom w:val="none" w:sz="0" w:space="0" w:color="auto"/>
            <w:right w:val="none" w:sz="0" w:space="0" w:color="auto"/>
          </w:divBdr>
        </w:div>
        <w:div w:id="988509972">
          <w:marLeft w:val="907"/>
          <w:marRight w:val="0"/>
          <w:marTop w:val="0"/>
          <w:marBottom w:val="0"/>
          <w:divBdr>
            <w:top w:val="none" w:sz="0" w:space="0" w:color="auto"/>
            <w:left w:val="none" w:sz="0" w:space="0" w:color="auto"/>
            <w:bottom w:val="none" w:sz="0" w:space="0" w:color="auto"/>
            <w:right w:val="none" w:sz="0" w:space="0" w:color="auto"/>
          </w:divBdr>
        </w:div>
        <w:div w:id="1036464232">
          <w:marLeft w:val="907"/>
          <w:marRight w:val="0"/>
          <w:marTop w:val="0"/>
          <w:marBottom w:val="0"/>
          <w:divBdr>
            <w:top w:val="none" w:sz="0" w:space="0" w:color="auto"/>
            <w:left w:val="none" w:sz="0" w:space="0" w:color="auto"/>
            <w:bottom w:val="none" w:sz="0" w:space="0" w:color="auto"/>
            <w:right w:val="none" w:sz="0" w:space="0" w:color="auto"/>
          </w:divBdr>
        </w:div>
        <w:div w:id="1506549418">
          <w:marLeft w:val="907"/>
          <w:marRight w:val="0"/>
          <w:marTop w:val="0"/>
          <w:marBottom w:val="0"/>
          <w:divBdr>
            <w:top w:val="none" w:sz="0" w:space="0" w:color="auto"/>
            <w:left w:val="none" w:sz="0" w:space="0" w:color="auto"/>
            <w:bottom w:val="none" w:sz="0" w:space="0" w:color="auto"/>
            <w:right w:val="none" w:sz="0" w:space="0" w:color="auto"/>
          </w:divBdr>
        </w:div>
        <w:div w:id="1863400251">
          <w:marLeft w:val="907"/>
          <w:marRight w:val="0"/>
          <w:marTop w:val="0"/>
          <w:marBottom w:val="0"/>
          <w:divBdr>
            <w:top w:val="none" w:sz="0" w:space="0" w:color="auto"/>
            <w:left w:val="none" w:sz="0" w:space="0" w:color="auto"/>
            <w:bottom w:val="none" w:sz="0" w:space="0" w:color="auto"/>
            <w:right w:val="none" w:sz="0" w:space="0" w:color="auto"/>
          </w:divBdr>
        </w:div>
        <w:div w:id="1974215116">
          <w:marLeft w:val="907"/>
          <w:marRight w:val="0"/>
          <w:marTop w:val="0"/>
          <w:marBottom w:val="0"/>
          <w:divBdr>
            <w:top w:val="none" w:sz="0" w:space="0" w:color="auto"/>
            <w:left w:val="none" w:sz="0" w:space="0" w:color="auto"/>
            <w:bottom w:val="none" w:sz="0" w:space="0" w:color="auto"/>
            <w:right w:val="none" w:sz="0" w:space="0" w:color="auto"/>
          </w:divBdr>
        </w:div>
      </w:divsChild>
    </w:div>
    <w:div w:id="894270016">
      <w:bodyDiv w:val="1"/>
      <w:marLeft w:val="0"/>
      <w:marRight w:val="0"/>
      <w:marTop w:val="0"/>
      <w:marBottom w:val="0"/>
      <w:divBdr>
        <w:top w:val="none" w:sz="0" w:space="0" w:color="auto"/>
        <w:left w:val="none" w:sz="0" w:space="0" w:color="auto"/>
        <w:bottom w:val="none" w:sz="0" w:space="0" w:color="auto"/>
        <w:right w:val="none" w:sz="0" w:space="0" w:color="auto"/>
      </w:divBdr>
    </w:div>
    <w:div w:id="1544290812">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sChild>
        <w:div w:id="738330690">
          <w:marLeft w:val="0"/>
          <w:marRight w:val="0"/>
          <w:marTop w:val="0"/>
          <w:marBottom w:val="0"/>
          <w:divBdr>
            <w:top w:val="none" w:sz="0" w:space="0" w:color="auto"/>
            <w:left w:val="none" w:sz="0" w:space="0" w:color="auto"/>
            <w:bottom w:val="none" w:sz="0" w:space="0" w:color="auto"/>
            <w:right w:val="none" w:sz="0" w:space="0" w:color="auto"/>
          </w:divBdr>
          <w:divsChild>
            <w:div w:id="1166819737">
              <w:marLeft w:val="-6000"/>
              <w:marRight w:val="0"/>
              <w:marTop w:val="60"/>
              <w:marBottom w:val="0"/>
              <w:divBdr>
                <w:top w:val="none" w:sz="0" w:space="0" w:color="auto"/>
                <w:left w:val="none" w:sz="0" w:space="0" w:color="auto"/>
                <w:bottom w:val="single" w:sz="6" w:space="7" w:color="E5E5E5"/>
                <w:right w:val="none" w:sz="0" w:space="0" w:color="auto"/>
              </w:divBdr>
              <w:divsChild>
                <w:div w:id="397747002">
                  <w:marLeft w:val="0"/>
                  <w:marRight w:val="0"/>
                  <w:marTop w:val="0"/>
                  <w:marBottom w:val="0"/>
                  <w:divBdr>
                    <w:top w:val="none" w:sz="0" w:space="0" w:color="auto"/>
                    <w:left w:val="none" w:sz="0" w:space="0" w:color="auto"/>
                    <w:bottom w:val="none" w:sz="0" w:space="0" w:color="auto"/>
                    <w:right w:val="none" w:sz="0" w:space="0" w:color="auto"/>
                  </w:divBdr>
                  <w:divsChild>
                    <w:div w:id="244731353">
                      <w:marLeft w:val="0"/>
                      <w:marRight w:val="0"/>
                      <w:marTop w:val="0"/>
                      <w:marBottom w:val="0"/>
                      <w:divBdr>
                        <w:top w:val="none" w:sz="0" w:space="0" w:color="auto"/>
                        <w:left w:val="none" w:sz="0" w:space="0" w:color="auto"/>
                        <w:bottom w:val="none" w:sz="0" w:space="0" w:color="auto"/>
                        <w:right w:val="none" w:sz="0" w:space="0" w:color="auto"/>
                      </w:divBdr>
                      <w:divsChild>
                        <w:div w:id="1506554000">
                          <w:marLeft w:val="0"/>
                          <w:marRight w:val="0"/>
                          <w:marTop w:val="0"/>
                          <w:marBottom w:val="0"/>
                          <w:divBdr>
                            <w:top w:val="none" w:sz="0" w:space="0" w:color="auto"/>
                            <w:left w:val="none" w:sz="0" w:space="0" w:color="auto"/>
                            <w:bottom w:val="none" w:sz="0" w:space="0" w:color="auto"/>
                            <w:right w:val="none" w:sz="0" w:space="0" w:color="auto"/>
                          </w:divBdr>
                          <w:divsChild>
                            <w:div w:id="1254824711">
                              <w:marLeft w:val="0"/>
                              <w:marRight w:val="240"/>
                              <w:marTop w:val="0"/>
                              <w:marBottom w:val="0"/>
                              <w:divBdr>
                                <w:top w:val="none" w:sz="0" w:space="0" w:color="auto"/>
                                <w:left w:val="none" w:sz="0" w:space="0" w:color="auto"/>
                                <w:bottom w:val="none" w:sz="0" w:space="0" w:color="auto"/>
                                <w:right w:val="none" w:sz="0" w:space="0" w:color="auto"/>
                              </w:divBdr>
                              <w:divsChild>
                                <w:div w:id="6811300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7387421">
                          <w:marLeft w:val="0"/>
                          <w:marRight w:val="0"/>
                          <w:marTop w:val="0"/>
                          <w:marBottom w:val="0"/>
                          <w:divBdr>
                            <w:top w:val="none" w:sz="0" w:space="0" w:color="auto"/>
                            <w:left w:val="none" w:sz="0" w:space="0" w:color="auto"/>
                            <w:bottom w:val="none" w:sz="0" w:space="0" w:color="auto"/>
                            <w:right w:val="none" w:sz="0" w:space="0" w:color="auto"/>
                          </w:divBdr>
                          <w:divsChild>
                            <w:div w:id="885410274">
                              <w:marLeft w:val="0"/>
                              <w:marRight w:val="240"/>
                              <w:marTop w:val="0"/>
                              <w:marBottom w:val="0"/>
                              <w:divBdr>
                                <w:top w:val="none" w:sz="0" w:space="0" w:color="auto"/>
                                <w:left w:val="none" w:sz="0" w:space="0" w:color="auto"/>
                                <w:bottom w:val="none" w:sz="0" w:space="0" w:color="auto"/>
                                <w:right w:val="none" w:sz="0" w:space="0" w:color="auto"/>
                              </w:divBdr>
                              <w:divsChild>
                                <w:div w:id="1353535772">
                                  <w:marLeft w:val="45"/>
                                  <w:marRight w:val="0"/>
                                  <w:marTop w:val="0"/>
                                  <w:marBottom w:val="0"/>
                                  <w:divBdr>
                                    <w:top w:val="none" w:sz="0" w:space="0" w:color="auto"/>
                                    <w:left w:val="none" w:sz="0" w:space="0" w:color="auto"/>
                                    <w:bottom w:val="none" w:sz="0" w:space="0" w:color="auto"/>
                                    <w:right w:val="none" w:sz="0" w:space="0" w:color="auto"/>
                                  </w:divBdr>
                                </w:div>
                              </w:divsChild>
                            </w:div>
                            <w:div w:id="898589275">
                              <w:marLeft w:val="0"/>
                              <w:marRight w:val="240"/>
                              <w:marTop w:val="0"/>
                              <w:marBottom w:val="0"/>
                              <w:divBdr>
                                <w:top w:val="none" w:sz="0" w:space="0" w:color="auto"/>
                                <w:left w:val="none" w:sz="0" w:space="0" w:color="auto"/>
                                <w:bottom w:val="none" w:sz="0" w:space="0" w:color="auto"/>
                                <w:right w:val="none" w:sz="0" w:space="0" w:color="auto"/>
                              </w:divBdr>
                              <w:divsChild>
                                <w:div w:id="20284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73261">
                  <w:marLeft w:val="0"/>
                  <w:marRight w:val="0"/>
                  <w:marTop w:val="0"/>
                  <w:marBottom w:val="0"/>
                  <w:divBdr>
                    <w:top w:val="none" w:sz="0" w:space="0" w:color="auto"/>
                    <w:left w:val="none" w:sz="0" w:space="0" w:color="auto"/>
                    <w:bottom w:val="none" w:sz="0" w:space="0" w:color="auto"/>
                    <w:right w:val="none" w:sz="0" w:space="0" w:color="auto"/>
                  </w:divBdr>
                  <w:divsChild>
                    <w:div w:id="74010965">
                      <w:marLeft w:val="-15"/>
                      <w:marRight w:val="0"/>
                      <w:marTop w:val="0"/>
                      <w:marBottom w:val="0"/>
                      <w:divBdr>
                        <w:top w:val="none" w:sz="0" w:space="0" w:color="auto"/>
                        <w:left w:val="none" w:sz="0" w:space="0" w:color="auto"/>
                        <w:bottom w:val="none" w:sz="0" w:space="0" w:color="auto"/>
                        <w:right w:val="none" w:sz="0" w:space="0" w:color="auto"/>
                      </w:divBdr>
                    </w:div>
                  </w:divsChild>
                </w:div>
                <w:div w:id="1963415209">
                  <w:marLeft w:val="0"/>
                  <w:marRight w:val="0"/>
                  <w:marTop w:val="0"/>
                  <w:marBottom w:val="0"/>
                  <w:divBdr>
                    <w:top w:val="none" w:sz="0" w:space="0" w:color="auto"/>
                    <w:left w:val="none" w:sz="0" w:space="0" w:color="auto"/>
                    <w:bottom w:val="none" w:sz="0" w:space="0" w:color="auto"/>
                    <w:right w:val="none" w:sz="0" w:space="0" w:color="auto"/>
                  </w:divBdr>
                  <w:divsChild>
                    <w:div w:id="824777723">
                      <w:marLeft w:val="240"/>
                      <w:marRight w:val="0"/>
                      <w:marTop w:val="0"/>
                      <w:marBottom w:val="0"/>
                      <w:divBdr>
                        <w:top w:val="none" w:sz="0" w:space="0" w:color="auto"/>
                        <w:left w:val="none" w:sz="0" w:space="0" w:color="auto"/>
                        <w:bottom w:val="none" w:sz="0" w:space="0" w:color="auto"/>
                        <w:right w:val="none" w:sz="0" w:space="0" w:color="auto"/>
                      </w:divBdr>
                      <w:divsChild>
                        <w:div w:id="4522113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234152">
          <w:marLeft w:val="0"/>
          <w:marRight w:val="0"/>
          <w:marTop w:val="0"/>
          <w:marBottom w:val="0"/>
          <w:divBdr>
            <w:top w:val="none" w:sz="0" w:space="0" w:color="auto"/>
            <w:left w:val="none" w:sz="0" w:space="0" w:color="auto"/>
            <w:bottom w:val="none" w:sz="0" w:space="0" w:color="auto"/>
            <w:right w:val="none" w:sz="0" w:space="0" w:color="auto"/>
          </w:divBdr>
          <w:divsChild>
            <w:div w:id="408190960">
              <w:marLeft w:val="0"/>
              <w:marRight w:val="0"/>
              <w:marTop w:val="0"/>
              <w:marBottom w:val="0"/>
              <w:divBdr>
                <w:top w:val="none" w:sz="0" w:space="0" w:color="auto"/>
                <w:left w:val="none" w:sz="0" w:space="0" w:color="auto"/>
                <w:bottom w:val="none" w:sz="0" w:space="0" w:color="auto"/>
                <w:right w:val="none" w:sz="0" w:space="0" w:color="auto"/>
              </w:divBdr>
              <w:divsChild>
                <w:div w:id="1086996909">
                  <w:marLeft w:val="0"/>
                  <w:marRight w:val="0"/>
                  <w:marTop w:val="0"/>
                  <w:marBottom w:val="0"/>
                  <w:divBdr>
                    <w:top w:val="none" w:sz="0" w:space="0" w:color="auto"/>
                    <w:left w:val="none" w:sz="0" w:space="0" w:color="auto"/>
                    <w:bottom w:val="none" w:sz="0" w:space="0" w:color="auto"/>
                    <w:right w:val="none" w:sz="0" w:space="0" w:color="auto"/>
                  </w:divBdr>
                  <w:divsChild>
                    <w:div w:id="1546334193">
                      <w:marLeft w:val="0"/>
                      <w:marRight w:val="0"/>
                      <w:marTop w:val="0"/>
                      <w:marBottom w:val="0"/>
                      <w:divBdr>
                        <w:top w:val="none" w:sz="0" w:space="0" w:color="auto"/>
                        <w:left w:val="none" w:sz="0" w:space="0" w:color="auto"/>
                        <w:bottom w:val="none" w:sz="0" w:space="0" w:color="auto"/>
                        <w:right w:val="none" w:sz="0" w:space="0" w:color="auto"/>
                      </w:divBdr>
                      <w:divsChild>
                        <w:div w:id="623314350">
                          <w:marLeft w:val="0"/>
                          <w:marRight w:val="0"/>
                          <w:marTop w:val="0"/>
                          <w:marBottom w:val="0"/>
                          <w:divBdr>
                            <w:top w:val="none" w:sz="0" w:space="0" w:color="auto"/>
                            <w:left w:val="none" w:sz="0" w:space="0" w:color="auto"/>
                            <w:bottom w:val="none" w:sz="0" w:space="0" w:color="auto"/>
                            <w:right w:val="none" w:sz="0" w:space="0" w:color="auto"/>
                          </w:divBdr>
                          <w:divsChild>
                            <w:div w:id="2040157027">
                              <w:marLeft w:val="0"/>
                              <w:marRight w:val="0"/>
                              <w:marTop w:val="0"/>
                              <w:marBottom w:val="0"/>
                              <w:divBdr>
                                <w:top w:val="none" w:sz="0" w:space="0" w:color="auto"/>
                                <w:left w:val="none" w:sz="0" w:space="0" w:color="auto"/>
                                <w:bottom w:val="none" w:sz="0" w:space="0" w:color="auto"/>
                                <w:right w:val="none" w:sz="0" w:space="0" w:color="auto"/>
                              </w:divBdr>
                              <w:divsChild>
                                <w:div w:id="1835955583">
                                  <w:marLeft w:val="0"/>
                                  <w:marRight w:val="450"/>
                                  <w:marTop w:val="0"/>
                                  <w:marBottom w:val="0"/>
                                  <w:divBdr>
                                    <w:top w:val="none" w:sz="0" w:space="0" w:color="auto"/>
                                    <w:left w:val="none" w:sz="0" w:space="0" w:color="auto"/>
                                    <w:bottom w:val="none" w:sz="0" w:space="0" w:color="auto"/>
                                    <w:right w:val="none" w:sz="0" w:space="0" w:color="auto"/>
                                  </w:divBdr>
                                  <w:divsChild>
                                    <w:div w:id="661540892">
                                      <w:marLeft w:val="0"/>
                                      <w:marRight w:val="0"/>
                                      <w:marTop w:val="0"/>
                                      <w:marBottom w:val="0"/>
                                      <w:divBdr>
                                        <w:top w:val="none" w:sz="0" w:space="0" w:color="auto"/>
                                        <w:left w:val="none" w:sz="0" w:space="0" w:color="auto"/>
                                        <w:bottom w:val="none" w:sz="0" w:space="0" w:color="auto"/>
                                        <w:right w:val="none" w:sz="0" w:space="0" w:color="auto"/>
                                      </w:divBdr>
                                      <w:divsChild>
                                        <w:div w:id="72482944">
                                          <w:marLeft w:val="0"/>
                                          <w:marRight w:val="0"/>
                                          <w:marTop w:val="0"/>
                                          <w:marBottom w:val="0"/>
                                          <w:divBdr>
                                            <w:top w:val="none" w:sz="0" w:space="0" w:color="auto"/>
                                            <w:left w:val="none" w:sz="0" w:space="0" w:color="auto"/>
                                            <w:bottom w:val="none" w:sz="0" w:space="0" w:color="auto"/>
                                            <w:right w:val="none" w:sz="0" w:space="0" w:color="auto"/>
                                          </w:divBdr>
                                          <w:divsChild>
                                            <w:div w:id="767311299">
                                              <w:marLeft w:val="0"/>
                                              <w:marRight w:val="15"/>
                                              <w:marTop w:val="180"/>
                                              <w:marBottom w:val="135"/>
                                              <w:divBdr>
                                                <w:top w:val="none" w:sz="0" w:space="0" w:color="auto"/>
                                                <w:left w:val="none" w:sz="0" w:space="0" w:color="auto"/>
                                                <w:bottom w:val="none" w:sz="0" w:space="0" w:color="auto"/>
                                                <w:right w:val="none" w:sz="0" w:space="0" w:color="auto"/>
                                              </w:divBdr>
                                            </w:div>
                                          </w:divsChild>
                                        </w:div>
                                        <w:div w:id="1304703197">
                                          <w:marLeft w:val="0"/>
                                          <w:marRight w:val="0"/>
                                          <w:marTop w:val="0"/>
                                          <w:marBottom w:val="0"/>
                                          <w:divBdr>
                                            <w:top w:val="none" w:sz="0" w:space="0" w:color="auto"/>
                                            <w:left w:val="none" w:sz="0" w:space="0" w:color="auto"/>
                                            <w:bottom w:val="none" w:sz="0" w:space="0" w:color="auto"/>
                                            <w:right w:val="none" w:sz="0" w:space="0" w:color="auto"/>
                                          </w:divBdr>
                                          <w:divsChild>
                                            <w:div w:id="1288203003">
                                              <w:marLeft w:val="0"/>
                                              <w:marRight w:val="-60"/>
                                              <w:marTop w:val="0"/>
                                              <w:marBottom w:val="0"/>
                                              <w:divBdr>
                                                <w:top w:val="none" w:sz="0" w:space="0" w:color="auto"/>
                                                <w:left w:val="none" w:sz="0" w:space="0" w:color="auto"/>
                                                <w:bottom w:val="none" w:sz="0" w:space="0" w:color="auto"/>
                                                <w:right w:val="none" w:sz="0" w:space="0" w:color="auto"/>
                                              </w:divBdr>
                                              <w:divsChild>
                                                <w:div w:id="603532655">
                                                  <w:marLeft w:val="0"/>
                                                  <w:marRight w:val="15"/>
                                                  <w:marTop w:val="0"/>
                                                  <w:marBottom w:val="0"/>
                                                  <w:divBdr>
                                                    <w:top w:val="none" w:sz="0" w:space="0" w:color="auto"/>
                                                    <w:left w:val="none" w:sz="0" w:space="0" w:color="auto"/>
                                                    <w:bottom w:val="none" w:sz="0" w:space="0" w:color="auto"/>
                                                    <w:right w:val="none" w:sz="0" w:space="0" w:color="auto"/>
                                                  </w:divBdr>
                                                </w:div>
                                                <w:div w:id="1662345647">
                                                  <w:marLeft w:val="0"/>
                                                  <w:marRight w:val="15"/>
                                                  <w:marTop w:val="0"/>
                                                  <w:marBottom w:val="0"/>
                                                  <w:divBdr>
                                                    <w:top w:val="none" w:sz="0" w:space="0" w:color="auto"/>
                                                    <w:left w:val="none" w:sz="0" w:space="0" w:color="auto"/>
                                                    <w:bottom w:val="none" w:sz="0" w:space="0" w:color="auto"/>
                                                    <w:right w:val="none" w:sz="0" w:space="0" w:color="auto"/>
                                                  </w:divBdr>
                                                </w:div>
                                                <w:div w:id="211821619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741109">
      <w:bodyDiv w:val="1"/>
      <w:marLeft w:val="0"/>
      <w:marRight w:val="0"/>
      <w:marTop w:val="0"/>
      <w:marBottom w:val="0"/>
      <w:divBdr>
        <w:top w:val="none" w:sz="0" w:space="0" w:color="auto"/>
        <w:left w:val="none" w:sz="0" w:space="0" w:color="auto"/>
        <w:bottom w:val="none" w:sz="0" w:space="0" w:color="auto"/>
        <w:right w:val="none" w:sz="0" w:space="0" w:color="auto"/>
      </w:divBdr>
    </w:div>
    <w:div w:id="1986154897">
      <w:bodyDiv w:val="1"/>
      <w:marLeft w:val="0"/>
      <w:marRight w:val="0"/>
      <w:marTop w:val="0"/>
      <w:marBottom w:val="0"/>
      <w:divBdr>
        <w:top w:val="none" w:sz="0" w:space="0" w:color="auto"/>
        <w:left w:val="none" w:sz="0" w:space="0" w:color="auto"/>
        <w:bottom w:val="none" w:sz="0" w:space="0" w:color="auto"/>
        <w:right w:val="none" w:sz="0" w:space="0" w:color="auto"/>
      </w:divBdr>
      <w:divsChild>
        <w:div w:id="259531377">
          <w:marLeft w:val="806"/>
          <w:marRight w:val="0"/>
          <w:marTop w:val="0"/>
          <w:marBottom w:val="0"/>
          <w:divBdr>
            <w:top w:val="none" w:sz="0" w:space="0" w:color="auto"/>
            <w:left w:val="none" w:sz="0" w:space="0" w:color="auto"/>
            <w:bottom w:val="none" w:sz="0" w:space="0" w:color="auto"/>
            <w:right w:val="none" w:sz="0" w:space="0" w:color="auto"/>
          </w:divBdr>
        </w:div>
        <w:div w:id="778911333">
          <w:marLeft w:val="806"/>
          <w:marRight w:val="0"/>
          <w:marTop w:val="0"/>
          <w:marBottom w:val="0"/>
          <w:divBdr>
            <w:top w:val="none" w:sz="0" w:space="0" w:color="auto"/>
            <w:left w:val="none" w:sz="0" w:space="0" w:color="auto"/>
            <w:bottom w:val="none" w:sz="0" w:space="0" w:color="auto"/>
            <w:right w:val="none" w:sz="0" w:space="0" w:color="auto"/>
          </w:divBdr>
        </w:div>
        <w:div w:id="972709075">
          <w:marLeft w:val="806"/>
          <w:marRight w:val="0"/>
          <w:marTop w:val="0"/>
          <w:marBottom w:val="0"/>
          <w:divBdr>
            <w:top w:val="none" w:sz="0" w:space="0" w:color="auto"/>
            <w:left w:val="none" w:sz="0" w:space="0" w:color="auto"/>
            <w:bottom w:val="none" w:sz="0" w:space="0" w:color="auto"/>
            <w:right w:val="none" w:sz="0" w:space="0" w:color="auto"/>
          </w:divBdr>
        </w:div>
        <w:div w:id="1122453355">
          <w:marLeft w:val="806"/>
          <w:marRight w:val="0"/>
          <w:marTop w:val="0"/>
          <w:marBottom w:val="0"/>
          <w:divBdr>
            <w:top w:val="none" w:sz="0" w:space="0" w:color="auto"/>
            <w:left w:val="none" w:sz="0" w:space="0" w:color="auto"/>
            <w:bottom w:val="none" w:sz="0" w:space="0" w:color="auto"/>
            <w:right w:val="none" w:sz="0" w:space="0" w:color="auto"/>
          </w:divBdr>
        </w:div>
        <w:div w:id="1322269698">
          <w:marLeft w:val="806"/>
          <w:marRight w:val="0"/>
          <w:marTop w:val="0"/>
          <w:marBottom w:val="0"/>
          <w:divBdr>
            <w:top w:val="none" w:sz="0" w:space="0" w:color="auto"/>
            <w:left w:val="none" w:sz="0" w:space="0" w:color="auto"/>
            <w:bottom w:val="none" w:sz="0" w:space="0" w:color="auto"/>
            <w:right w:val="none" w:sz="0" w:space="0" w:color="auto"/>
          </w:divBdr>
        </w:div>
      </w:divsChild>
    </w:div>
    <w:div w:id="20944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B687-3401-4F41-B320-5F2D944E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DR107 - Attachment 2: Investment risk of a defined contribution fund - Kyle Ringrose - Superannuation: Assessing Efficiency and Competitiveness - Public inquiry</vt:lpstr>
    </vt:vector>
  </TitlesOfParts>
  <Company>Kyle Ringrose</Company>
  <LinksUpToDate>false</LinksUpToDate>
  <CharactersWithSpaces>13316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DR107 - Attachment 2: Investment risk of a defined contribution fund - Kyle Ringrose - Superannuation: Assessing Efficiency and Competitiveness - Public inquiry</dc:title>
  <dc:subject/>
  <dc:creator>Kyle Ringrose</dc:creator>
  <cp:keywords/>
  <dc:description/>
  <cp:lastModifiedBy>Productivity Commission</cp:lastModifiedBy>
  <cp:revision>4</cp:revision>
  <cp:lastPrinted>2018-03-31T03:55:00Z</cp:lastPrinted>
  <dcterms:created xsi:type="dcterms:W3CDTF">2018-05-31T06:21:00Z</dcterms:created>
  <dcterms:modified xsi:type="dcterms:W3CDTF">2018-06-06T05:30:00Z</dcterms:modified>
</cp:coreProperties>
</file>