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B5952" w14:textId="378EC29D" w:rsidR="0047091D" w:rsidRPr="0047091D" w:rsidRDefault="002B701F" w:rsidP="002B701F">
      <w:pPr>
        <w:pStyle w:val="IntenseQuote"/>
        <w:rPr>
          <w:rFonts w:ascii="Arial" w:hAnsi="Arial" w:cs="Arial"/>
          <w:color w:val="222222"/>
          <w:sz w:val="19"/>
          <w:szCs w:val="19"/>
          <w:lang w:eastAsia="en-AU"/>
        </w:rPr>
      </w:pPr>
      <w:bookmarkStart w:id="0" w:name="_GoBack"/>
      <w:bookmarkEnd w:id="0"/>
      <w:r>
        <w:rPr>
          <w:lang w:eastAsia="en-AU"/>
        </w:rPr>
        <w:t xml:space="preserve">Mentally Ill </w:t>
      </w:r>
      <w:r w:rsidR="0047091D" w:rsidRPr="0047091D">
        <w:rPr>
          <w:lang w:eastAsia="en-AU"/>
        </w:rPr>
        <w:t>Veterans Navigating the Department of Veteran Affairs Compensation and Entitlement Schemes</w:t>
      </w:r>
      <w:r w:rsidR="00A5730D">
        <w:rPr>
          <w:lang w:eastAsia="en-AU"/>
        </w:rPr>
        <w:t xml:space="preserve">: The Case for Immediate and </w:t>
      </w:r>
      <w:r w:rsidR="007F0DF1">
        <w:rPr>
          <w:lang w:eastAsia="en-AU"/>
        </w:rPr>
        <w:t xml:space="preserve">Genuine </w:t>
      </w:r>
      <w:r w:rsidR="00A5730D">
        <w:rPr>
          <w:lang w:eastAsia="en-AU"/>
        </w:rPr>
        <w:t xml:space="preserve">Law Reform </w:t>
      </w:r>
    </w:p>
    <w:p w14:paraId="3066C17F" w14:textId="1B98B06D" w:rsidR="002B701F" w:rsidRDefault="002B701F" w:rsidP="002B701F">
      <w:pPr>
        <w:shd w:val="clear" w:color="auto" w:fill="FFFFFF"/>
        <w:spacing w:line="240" w:lineRule="auto"/>
        <w:rPr>
          <w:rFonts w:ascii="Calibri" w:eastAsia="Times New Roman" w:hAnsi="Calibri" w:cs="Calibri"/>
          <w:i/>
          <w:iCs/>
          <w:color w:val="000000"/>
          <w:sz w:val="24"/>
          <w:szCs w:val="24"/>
          <w:lang w:eastAsia="en-AU"/>
        </w:rPr>
      </w:pPr>
      <w:r>
        <w:rPr>
          <w:rFonts w:ascii="Calibri" w:eastAsia="Times New Roman" w:hAnsi="Calibri" w:cs="Calibri"/>
          <w:i/>
          <w:iCs/>
          <w:color w:val="000000"/>
          <w:sz w:val="24"/>
          <w:szCs w:val="24"/>
          <w:lang w:eastAsia="en-AU"/>
        </w:rPr>
        <w:t xml:space="preserve">This is a submission for the Productivity Commission’s </w:t>
      </w:r>
      <w:r w:rsidR="0047091D" w:rsidRPr="0047091D">
        <w:rPr>
          <w:rFonts w:ascii="Calibri" w:eastAsia="Times New Roman" w:hAnsi="Calibri" w:cs="Calibri"/>
          <w:i/>
          <w:iCs/>
          <w:color w:val="000000"/>
          <w:sz w:val="24"/>
          <w:szCs w:val="24"/>
          <w:lang w:eastAsia="en-AU"/>
        </w:rPr>
        <w:t xml:space="preserve">Inquiry </w:t>
      </w:r>
      <w:r>
        <w:rPr>
          <w:rFonts w:ascii="Calibri" w:eastAsia="Times New Roman" w:hAnsi="Calibri" w:cs="Calibri"/>
          <w:i/>
          <w:iCs/>
          <w:color w:val="000000"/>
          <w:sz w:val="24"/>
          <w:szCs w:val="24"/>
          <w:lang w:eastAsia="en-AU"/>
        </w:rPr>
        <w:t xml:space="preserve">into whether </w:t>
      </w:r>
      <w:r w:rsidR="0047091D" w:rsidRPr="0047091D">
        <w:rPr>
          <w:rFonts w:ascii="Calibri" w:eastAsia="Times New Roman" w:hAnsi="Calibri" w:cs="Calibri"/>
          <w:i/>
          <w:iCs/>
          <w:color w:val="000000"/>
          <w:sz w:val="24"/>
          <w:szCs w:val="24"/>
          <w:lang w:eastAsia="en-AU"/>
        </w:rPr>
        <w:t xml:space="preserve">the current system of compensation and rehabilitation for veterans </w:t>
      </w:r>
      <w:r w:rsidR="007F0DF1">
        <w:rPr>
          <w:rFonts w:ascii="Calibri" w:eastAsia="Times New Roman" w:hAnsi="Calibri" w:cs="Calibri"/>
          <w:i/>
          <w:iCs/>
          <w:color w:val="000000"/>
          <w:sz w:val="24"/>
          <w:szCs w:val="24"/>
          <w:lang w:eastAsia="en-AU"/>
        </w:rPr>
        <w:t xml:space="preserve">is </w:t>
      </w:r>
      <w:r w:rsidR="0047091D" w:rsidRPr="0047091D">
        <w:rPr>
          <w:rFonts w:ascii="Calibri" w:eastAsia="Times New Roman" w:hAnsi="Calibri" w:cs="Calibri"/>
          <w:i/>
          <w:iCs/>
          <w:color w:val="000000"/>
          <w:sz w:val="24"/>
          <w:szCs w:val="24"/>
          <w:lang w:eastAsia="en-AU"/>
        </w:rPr>
        <w:t>fit for purpose now and into the future</w:t>
      </w:r>
      <w:r>
        <w:rPr>
          <w:rFonts w:ascii="Calibri" w:eastAsia="Times New Roman" w:hAnsi="Calibri" w:cs="Calibri"/>
          <w:i/>
          <w:iCs/>
          <w:color w:val="000000"/>
          <w:sz w:val="24"/>
          <w:szCs w:val="24"/>
          <w:lang w:eastAsia="en-AU"/>
        </w:rPr>
        <w:t>. The inquiry is specifically interested in the e</w:t>
      </w:r>
      <w:r w:rsidRPr="0047091D">
        <w:rPr>
          <w:rFonts w:ascii="Calibri" w:eastAsia="Times New Roman" w:hAnsi="Calibri" w:cs="Calibri"/>
          <w:i/>
          <w:iCs/>
          <w:color w:val="000000"/>
          <w:sz w:val="24"/>
          <w:szCs w:val="24"/>
          <w:lang w:eastAsia="en-AU"/>
        </w:rPr>
        <w:t>fficiency and effectiveness of the legislative framework</w:t>
      </w:r>
      <w:r>
        <w:rPr>
          <w:rFonts w:ascii="Calibri" w:eastAsia="Times New Roman" w:hAnsi="Calibri" w:cs="Calibri"/>
          <w:i/>
          <w:iCs/>
          <w:color w:val="000000"/>
          <w:sz w:val="24"/>
          <w:szCs w:val="24"/>
          <w:lang w:eastAsia="en-AU"/>
        </w:rPr>
        <w:t xml:space="preserve">, ways </w:t>
      </w:r>
      <w:r w:rsidRPr="0047091D">
        <w:rPr>
          <w:rFonts w:ascii="Calibri" w:eastAsia="Times New Roman" w:hAnsi="Calibri" w:cs="Calibri"/>
          <w:i/>
          <w:iCs/>
          <w:color w:val="000000"/>
          <w:sz w:val="24"/>
          <w:szCs w:val="24"/>
          <w:lang w:eastAsia="en-AU"/>
        </w:rPr>
        <w:t>to simplify</w:t>
      </w:r>
      <w:r>
        <w:rPr>
          <w:rFonts w:ascii="Calibri" w:eastAsia="Times New Roman" w:hAnsi="Calibri" w:cs="Calibri"/>
          <w:i/>
          <w:iCs/>
          <w:color w:val="000000"/>
          <w:sz w:val="24"/>
          <w:szCs w:val="24"/>
          <w:lang w:eastAsia="en-AU"/>
        </w:rPr>
        <w:t xml:space="preserve"> the claims process, as well as h</w:t>
      </w:r>
      <w:r w:rsidRPr="0047091D">
        <w:rPr>
          <w:rFonts w:ascii="Calibri" w:eastAsia="Times New Roman" w:hAnsi="Calibri" w:cs="Calibri"/>
          <w:i/>
          <w:iCs/>
          <w:color w:val="000000"/>
          <w:sz w:val="24"/>
          <w:szCs w:val="24"/>
          <w:lang w:eastAsia="en-AU"/>
        </w:rPr>
        <w:t>ow effective the governance, administrative and service delivery arrangements that support the legislation</w:t>
      </w:r>
      <w:r>
        <w:rPr>
          <w:rFonts w:ascii="Calibri" w:eastAsia="Times New Roman" w:hAnsi="Calibri" w:cs="Calibri"/>
          <w:i/>
          <w:iCs/>
          <w:color w:val="000000"/>
          <w:sz w:val="24"/>
          <w:szCs w:val="24"/>
          <w:lang w:eastAsia="en-AU"/>
        </w:rPr>
        <w:t xml:space="preserve"> </w:t>
      </w:r>
      <w:r w:rsidR="005852D6">
        <w:rPr>
          <w:rFonts w:ascii="Calibri" w:eastAsia="Times New Roman" w:hAnsi="Calibri" w:cs="Calibri"/>
          <w:i/>
          <w:iCs/>
          <w:color w:val="000000"/>
          <w:sz w:val="24"/>
          <w:szCs w:val="24"/>
          <w:lang w:eastAsia="en-AU"/>
        </w:rPr>
        <w:t>are</w:t>
      </w:r>
      <w:r>
        <w:rPr>
          <w:rFonts w:ascii="Calibri" w:eastAsia="Times New Roman" w:hAnsi="Calibri" w:cs="Calibri"/>
          <w:i/>
          <w:iCs/>
          <w:color w:val="000000"/>
          <w:sz w:val="24"/>
          <w:szCs w:val="24"/>
          <w:lang w:eastAsia="en-AU"/>
        </w:rPr>
        <w:t>.</w:t>
      </w:r>
    </w:p>
    <w:p w14:paraId="18B159D7" w14:textId="77777777" w:rsidR="002B701F" w:rsidRDefault="002B701F" w:rsidP="002B701F">
      <w:pPr>
        <w:shd w:val="clear" w:color="auto" w:fill="FFFFFF"/>
        <w:spacing w:after="0" w:line="240" w:lineRule="auto"/>
        <w:ind w:left="1125"/>
        <w:rPr>
          <w:rFonts w:ascii="Calibri" w:eastAsia="Times New Roman" w:hAnsi="Calibri" w:cs="Calibri"/>
          <w:i/>
          <w:iCs/>
          <w:color w:val="000000"/>
          <w:sz w:val="24"/>
          <w:szCs w:val="24"/>
          <w:lang w:eastAsia="en-AU"/>
        </w:rPr>
      </w:pPr>
    </w:p>
    <w:p w14:paraId="789702FF" w14:textId="7C9293BB" w:rsidR="00A5730D" w:rsidRPr="00D01F07" w:rsidRDefault="00A5730D" w:rsidP="0047091D">
      <w:pPr>
        <w:shd w:val="clear" w:color="auto" w:fill="FFFFFF"/>
        <w:spacing w:line="240" w:lineRule="auto"/>
        <w:rPr>
          <w:rFonts w:eastAsia="Times New Roman" w:cstheme="minorHAnsi"/>
          <w:lang w:eastAsia="en-AU"/>
        </w:rPr>
      </w:pPr>
      <w:r w:rsidRPr="00D01F07">
        <w:rPr>
          <w:rFonts w:eastAsia="Times New Roman" w:cstheme="minorHAnsi"/>
          <w:lang w:eastAsia="en-AU"/>
        </w:rPr>
        <w:t xml:space="preserve">If the purpose </w:t>
      </w:r>
      <w:r w:rsidR="00D01F07" w:rsidRPr="00D01F07">
        <w:rPr>
          <w:rFonts w:eastAsia="Times New Roman" w:cstheme="minorHAnsi"/>
          <w:lang w:eastAsia="en-AU"/>
        </w:rPr>
        <w:t xml:space="preserve">is to compensate and rehabilitate Australian veterans, the simple answer is no. The legislative and policy framework designed to regulate and administer </w:t>
      </w:r>
      <w:r w:rsidR="005852D6">
        <w:rPr>
          <w:rFonts w:eastAsia="Times New Roman" w:cstheme="minorHAnsi"/>
          <w:lang w:eastAsia="en-AU"/>
        </w:rPr>
        <w:t>v</w:t>
      </w:r>
      <w:r w:rsidR="00D01F07" w:rsidRPr="00D01F07">
        <w:rPr>
          <w:rFonts w:eastAsia="Times New Roman" w:cstheme="minorHAnsi"/>
          <w:lang w:eastAsia="en-AU"/>
        </w:rPr>
        <w:t>eteran entitlements in this country intersects in a way that at best, alienates and discourages, and at worse, deliberately obfuscates the process to deter, genuine claimants. The current system is failing Australian veterans.</w:t>
      </w:r>
    </w:p>
    <w:p w14:paraId="489C90D0" w14:textId="41580318" w:rsidR="00122ED4" w:rsidRDefault="00A87C92" w:rsidP="0047091D">
      <w:pPr>
        <w:shd w:val="clear" w:color="auto" w:fill="FFFFFF"/>
        <w:spacing w:line="240" w:lineRule="auto"/>
        <w:rPr>
          <w:rFonts w:eastAsia="Times New Roman" w:cstheme="minorHAnsi"/>
          <w:color w:val="000000" w:themeColor="text1"/>
          <w:lang w:eastAsia="en-AU"/>
        </w:rPr>
      </w:pPr>
      <w:r w:rsidRPr="00B107DD">
        <w:rPr>
          <w:rFonts w:eastAsia="Times New Roman" w:cstheme="minorHAnsi"/>
          <w:color w:val="000000" w:themeColor="text1"/>
          <w:lang w:eastAsia="en-AU"/>
        </w:rPr>
        <w:t xml:space="preserve">This submission </w:t>
      </w:r>
      <w:r w:rsidR="00E84DDF" w:rsidRPr="00B107DD">
        <w:rPr>
          <w:rFonts w:eastAsia="Times New Roman" w:cstheme="minorHAnsi"/>
          <w:color w:val="000000" w:themeColor="text1"/>
          <w:lang w:eastAsia="en-AU"/>
        </w:rPr>
        <w:t xml:space="preserve">deals specifically with the current system’s </w:t>
      </w:r>
      <w:r w:rsidR="00B107DD" w:rsidRPr="00B107DD">
        <w:rPr>
          <w:rFonts w:eastAsia="Times New Roman" w:cstheme="minorHAnsi"/>
          <w:color w:val="000000" w:themeColor="text1"/>
          <w:lang w:eastAsia="en-AU"/>
        </w:rPr>
        <w:t>deficiencies compensating for psychological diseases, and how these deficiencies are made starkly apparent by a lack of support</w:t>
      </w:r>
      <w:r w:rsidR="005852D6">
        <w:rPr>
          <w:rFonts w:eastAsia="Times New Roman" w:cstheme="minorHAnsi"/>
          <w:color w:val="000000" w:themeColor="text1"/>
          <w:lang w:eastAsia="en-AU"/>
        </w:rPr>
        <w:t xml:space="preserve"> or </w:t>
      </w:r>
      <w:r w:rsidR="00B107DD" w:rsidRPr="00B107DD">
        <w:rPr>
          <w:rFonts w:eastAsia="Times New Roman" w:cstheme="minorHAnsi"/>
          <w:color w:val="000000" w:themeColor="text1"/>
          <w:lang w:eastAsia="en-AU"/>
        </w:rPr>
        <w:t>rehabilitation when ex</w:t>
      </w:r>
      <w:r w:rsidR="0046355B">
        <w:rPr>
          <w:rFonts w:eastAsia="Times New Roman" w:cstheme="minorHAnsi"/>
          <w:color w:val="000000" w:themeColor="text1"/>
          <w:lang w:eastAsia="en-AU"/>
        </w:rPr>
        <w:t>-</w:t>
      </w:r>
      <w:r w:rsidR="00B107DD" w:rsidRPr="00B107DD">
        <w:rPr>
          <w:rFonts w:eastAsia="Times New Roman" w:cstheme="minorHAnsi"/>
          <w:color w:val="000000" w:themeColor="text1"/>
          <w:lang w:eastAsia="en-AU"/>
        </w:rPr>
        <w:t>servicemen and women transition into civilian life</w:t>
      </w:r>
      <w:r w:rsidR="00B107DD">
        <w:rPr>
          <w:rFonts w:eastAsia="Times New Roman" w:cstheme="minorHAnsi"/>
          <w:color w:val="000000" w:themeColor="text1"/>
          <w:lang w:eastAsia="en-AU"/>
        </w:rPr>
        <w:t xml:space="preserve">. I begin by explaining why the current set-up of veteran entitlements is unnecessarily adversarial and baffling to potential claimants </w:t>
      </w:r>
      <w:r w:rsidR="0046355B">
        <w:rPr>
          <w:rFonts w:eastAsia="Times New Roman" w:cstheme="minorHAnsi"/>
          <w:color w:val="000000" w:themeColor="text1"/>
          <w:lang w:eastAsia="en-AU"/>
        </w:rPr>
        <w:t xml:space="preserve">and why this is particularly distressing for veterans suffering from and claiming against mental </w:t>
      </w:r>
      <w:r w:rsidR="00280C93">
        <w:rPr>
          <w:rFonts w:eastAsia="Times New Roman" w:cstheme="minorHAnsi"/>
          <w:color w:val="000000" w:themeColor="text1"/>
          <w:lang w:eastAsia="en-AU"/>
        </w:rPr>
        <w:t>ill-</w:t>
      </w:r>
      <w:r w:rsidR="0046355B">
        <w:rPr>
          <w:rFonts w:eastAsia="Times New Roman" w:cstheme="minorHAnsi"/>
          <w:color w:val="000000" w:themeColor="text1"/>
          <w:lang w:eastAsia="en-AU"/>
        </w:rPr>
        <w:t xml:space="preserve">health. I then make recommendations for simplifying the claims process in a way that is sympathetic to the unique nature of seeking compensation for psychological injuries, before turning to 3 suggestions for concrete law reform in the </w:t>
      </w:r>
      <w:r w:rsidR="00122ED4">
        <w:rPr>
          <w:rFonts w:eastAsia="Times New Roman" w:cstheme="minorHAnsi"/>
          <w:color w:val="000000" w:themeColor="text1"/>
          <w:lang w:eastAsia="en-AU"/>
        </w:rPr>
        <w:t>way we asses claims for P</w:t>
      </w:r>
      <w:r w:rsidR="005852D6">
        <w:rPr>
          <w:rFonts w:eastAsia="Times New Roman" w:cstheme="minorHAnsi"/>
          <w:color w:val="000000" w:themeColor="text1"/>
          <w:lang w:eastAsia="en-AU"/>
        </w:rPr>
        <w:t>osttraumatic Stress Disorder</w:t>
      </w:r>
      <w:r w:rsidR="00122ED4">
        <w:rPr>
          <w:rFonts w:eastAsia="Times New Roman" w:cstheme="minorHAnsi"/>
          <w:color w:val="000000" w:themeColor="text1"/>
          <w:lang w:eastAsia="en-AU"/>
        </w:rPr>
        <w:t xml:space="preserve"> disability compensation</w:t>
      </w:r>
      <w:r w:rsidR="0046355B">
        <w:rPr>
          <w:rFonts w:eastAsia="Times New Roman" w:cstheme="minorHAnsi"/>
          <w:color w:val="000000" w:themeColor="text1"/>
          <w:lang w:eastAsia="en-AU"/>
        </w:rPr>
        <w:t>.</w:t>
      </w:r>
    </w:p>
    <w:p w14:paraId="586C2333" w14:textId="276A3E62" w:rsidR="00D01F07" w:rsidRPr="00B107DD" w:rsidRDefault="007144F9" w:rsidP="0047091D">
      <w:pPr>
        <w:shd w:val="clear" w:color="auto" w:fill="FFFFFF"/>
        <w:spacing w:line="240" w:lineRule="auto"/>
        <w:rPr>
          <w:rFonts w:eastAsia="Times New Roman" w:cstheme="minorHAnsi"/>
          <w:color w:val="000000" w:themeColor="text1"/>
          <w:lang w:eastAsia="en-AU"/>
        </w:rPr>
      </w:pPr>
      <w:r w:rsidRPr="007144F9">
        <w:rPr>
          <w:rFonts w:eastAsia="Times New Roman" w:cstheme="minorHAnsi"/>
          <w:color w:val="000000" w:themeColor="text1"/>
          <w:lang w:eastAsia="en-AU"/>
        </w:rPr>
        <w:t>PTSD is the third most common disability for which veterans receive compensation</w:t>
      </w:r>
      <w:r>
        <w:rPr>
          <w:rStyle w:val="FootnoteReference"/>
          <w:rFonts w:eastAsia="Times New Roman" w:cstheme="minorHAnsi"/>
          <w:color w:val="000000" w:themeColor="text1"/>
          <w:lang w:eastAsia="en-AU"/>
        </w:rPr>
        <w:footnoteReference w:id="1"/>
      </w:r>
      <w:r w:rsidR="003F0534">
        <w:rPr>
          <w:rFonts w:eastAsia="Times New Roman" w:cstheme="minorHAnsi"/>
          <w:color w:val="000000" w:themeColor="text1"/>
          <w:lang w:eastAsia="en-AU"/>
        </w:rPr>
        <w:t>.</w:t>
      </w:r>
      <w:r>
        <w:rPr>
          <w:rFonts w:eastAsia="Times New Roman" w:cstheme="minorHAnsi"/>
          <w:color w:val="000000" w:themeColor="text1"/>
          <w:lang w:eastAsia="en-AU"/>
        </w:rPr>
        <w:t xml:space="preserve"> </w:t>
      </w:r>
      <w:r w:rsidR="00117D61">
        <w:rPr>
          <w:rFonts w:eastAsia="Times New Roman" w:cstheme="minorHAnsi"/>
          <w:color w:val="000000" w:themeColor="text1"/>
          <w:lang w:eastAsia="en-AU"/>
        </w:rPr>
        <w:t xml:space="preserve">If history is anything to go by, the pattern of mental illness disability pensions arising from the Vietnam war shows us the prevalence of these conditions in the population of returned veterans </w:t>
      </w:r>
      <w:r w:rsidR="005852D6">
        <w:rPr>
          <w:rFonts w:eastAsia="Times New Roman" w:cstheme="minorHAnsi"/>
          <w:color w:val="000000" w:themeColor="text1"/>
          <w:lang w:eastAsia="en-AU"/>
        </w:rPr>
        <w:t xml:space="preserve">will </w:t>
      </w:r>
      <w:r w:rsidR="00117D61">
        <w:rPr>
          <w:rFonts w:eastAsia="Times New Roman" w:cstheme="minorHAnsi"/>
          <w:color w:val="000000" w:themeColor="text1"/>
          <w:lang w:eastAsia="en-AU"/>
        </w:rPr>
        <w:t>only rise</w:t>
      </w:r>
      <w:r w:rsidR="00117D61">
        <w:rPr>
          <w:rStyle w:val="FootnoteReference"/>
          <w:rFonts w:eastAsia="Times New Roman" w:cstheme="minorHAnsi"/>
          <w:color w:val="000000" w:themeColor="text1"/>
          <w:lang w:eastAsia="en-AU"/>
        </w:rPr>
        <w:footnoteReference w:id="2"/>
      </w:r>
      <w:r w:rsidR="00117D61">
        <w:rPr>
          <w:rFonts w:eastAsia="Times New Roman" w:cstheme="minorHAnsi"/>
          <w:color w:val="000000" w:themeColor="text1"/>
          <w:lang w:eastAsia="en-AU"/>
        </w:rPr>
        <w:t xml:space="preserve">. </w:t>
      </w:r>
      <w:r>
        <w:rPr>
          <w:rFonts w:eastAsia="Times New Roman" w:cstheme="minorHAnsi"/>
          <w:color w:val="000000" w:themeColor="text1"/>
          <w:lang w:eastAsia="en-AU"/>
        </w:rPr>
        <w:t>For these reasons, and as ill mental health diagnoses becomes increasingly recognised as valid, legitimate illnesses</w:t>
      </w:r>
      <w:r w:rsidR="00122ED4">
        <w:rPr>
          <w:rFonts w:eastAsia="Times New Roman" w:cstheme="minorHAnsi"/>
          <w:color w:val="000000" w:themeColor="text1"/>
          <w:lang w:eastAsia="en-AU"/>
        </w:rPr>
        <w:t xml:space="preserve"> in the wider Australian community</w:t>
      </w:r>
      <w:r>
        <w:rPr>
          <w:rFonts w:eastAsia="Times New Roman" w:cstheme="minorHAnsi"/>
          <w:color w:val="000000" w:themeColor="text1"/>
          <w:lang w:eastAsia="en-AU"/>
        </w:rPr>
        <w:t xml:space="preserve">, it is vital that our system adequately and efficiently compensates for the psychological scars inflicted by war. </w:t>
      </w:r>
    </w:p>
    <w:p w14:paraId="722BFC4D" w14:textId="7E553561" w:rsidR="002B701F" w:rsidRPr="002B701F" w:rsidRDefault="002B701F" w:rsidP="002B701F">
      <w:pPr>
        <w:pStyle w:val="Heading1"/>
        <w:rPr>
          <w:rFonts w:eastAsia="Times New Roman"/>
          <w:lang w:eastAsia="en-AU"/>
        </w:rPr>
      </w:pPr>
      <w:r w:rsidRPr="002B701F">
        <w:rPr>
          <w:rFonts w:eastAsia="Times New Roman"/>
          <w:lang w:eastAsia="en-AU"/>
        </w:rPr>
        <w:t>Complexity of the Legislative Framework</w:t>
      </w:r>
      <w:r w:rsidR="00D179EA">
        <w:rPr>
          <w:rFonts w:eastAsia="Times New Roman"/>
          <w:lang w:eastAsia="en-AU"/>
        </w:rPr>
        <w:t xml:space="preserve"> and Its Administration</w:t>
      </w:r>
    </w:p>
    <w:p w14:paraId="4105F89D" w14:textId="60C402B4" w:rsidR="002B701F" w:rsidRDefault="00C01E33" w:rsidP="00C01E33">
      <w:pPr>
        <w:rPr>
          <w:lang w:eastAsia="en-AU"/>
        </w:rPr>
      </w:pPr>
      <w:r>
        <w:rPr>
          <w:lang w:eastAsia="en-AU"/>
        </w:rPr>
        <w:t xml:space="preserve">That the intersecting pieces of legislation and policy that govern military entitlements in Australia are complex and difficult to navigate is accepted as </w:t>
      </w:r>
      <w:r w:rsidR="003F0534">
        <w:rPr>
          <w:lang w:eastAsia="en-AU"/>
        </w:rPr>
        <w:t>status quo</w:t>
      </w:r>
      <w:r>
        <w:rPr>
          <w:lang w:eastAsia="en-AU"/>
        </w:rPr>
        <w:t xml:space="preserve"> by those who are familiar with this area of law</w:t>
      </w:r>
      <w:r w:rsidR="00122ED4">
        <w:rPr>
          <w:rStyle w:val="FootnoteReference"/>
          <w:lang w:eastAsia="en-AU"/>
        </w:rPr>
        <w:footnoteReference w:id="3"/>
      </w:r>
      <w:r w:rsidR="009C70D0">
        <w:rPr>
          <w:lang w:eastAsia="en-AU"/>
        </w:rPr>
        <w:t xml:space="preserve">. </w:t>
      </w:r>
    </w:p>
    <w:p w14:paraId="610F9F54" w14:textId="11486472" w:rsidR="00355608" w:rsidRDefault="00D179EA" w:rsidP="00C01E33">
      <w:pPr>
        <w:rPr>
          <w:lang w:eastAsia="en-AU"/>
        </w:rPr>
      </w:pPr>
      <w:r>
        <w:rPr>
          <w:lang w:eastAsia="en-AU"/>
        </w:rPr>
        <w:t xml:space="preserve">Military compensation law consists of the </w:t>
      </w:r>
      <w:r w:rsidRPr="00AE639E">
        <w:rPr>
          <w:i/>
          <w:lang w:eastAsia="en-AU"/>
        </w:rPr>
        <w:t>Veterans Entitlement Act 1986</w:t>
      </w:r>
      <w:r w:rsidR="003F0534">
        <w:rPr>
          <w:rStyle w:val="FootnoteReference"/>
          <w:i/>
          <w:lang w:eastAsia="en-AU"/>
        </w:rPr>
        <w:footnoteReference w:id="4"/>
      </w:r>
      <w:r>
        <w:rPr>
          <w:lang w:eastAsia="en-AU"/>
        </w:rPr>
        <w:t xml:space="preserve">, the </w:t>
      </w:r>
      <w:r w:rsidR="007F0DF1" w:rsidRPr="007F0DF1">
        <w:rPr>
          <w:i/>
          <w:lang w:eastAsia="en-AU"/>
        </w:rPr>
        <w:t>Safety, Rehabilitation and Compensation (Defence-related Claims) Act 1988 (DRCA)</w:t>
      </w:r>
      <w:r w:rsidR="003F0534">
        <w:rPr>
          <w:rStyle w:val="FootnoteReference"/>
          <w:i/>
          <w:lang w:eastAsia="en-AU"/>
        </w:rPr>
        <w:footnoteReference w:id="5"/>
      </w:r>
      <w:r w:rsidR="007F0DF1">
        <w:rPr>
          <w:lang w:eastAsia="en-AU"/>
        </w:rPr>
        <w:t xml:space="preserve"> </w:t>
      </w:r>
      <w:r>
        <w:rPr>
          <w:lang w:eastAsia="en-AU"/>
        </w:rPr>
        <w:t xml:space="preserve">and the </w:t>
      </w:r>
      <w:r w:rsidRPr="00AE639E">
        <w:rPr>
          <w:i/>
          <w:lang w:eastAsia="en-AU"/>
        </w:rPr>
        <w:t>Military Rehabilitation and Compensation Act 2004</w:t>
      </w:r>
      <w:r w:rsidR="003F0534">
        <w:rPr>
          <w:rStyle w:val="FootnoteReference"/>
          <w:i/>
          <w:lang w:eastAsia="en-AU"/>
        </w:rPr>
        <w:footnoteReference w:id="6"/>
      </w:r>
      <w:r>
        <w:rPr>
          <w:lang w:eastAsia="en-AU"/>
        </w:rPr>
        <w:t>. These are three dense</w:t>
      </w:r>
      <w:r w:rsidR="009F2D27">
        <w:rPr>
          <w:lang w:eastAsia="en-AU"/>
        </w:rPr>
        <w:t xml:space="preserve">, technical and long </w:t>
      </w:r>
      <w:r>
        <w:rPr>
          <w:lang w:eastAsia="en-AU"/>
        </w:rPr>
        <w:t>acts</w:t>
      </w:r>
      <w:r w:rsidR="009F2D27">
        <w:rPr>
          <w:lang w:eastAsia="en-AU"/>
        </w:rPr>
        <w:t xml:space="preserve">. </w:t>
      </w:r>
      <w:r w:rsidR="00355608">
        <w:rPr>
          <w:lang w:eastAsia="en-AU"/>
        </w:rPr>
        <w:t xml:space="preserve">They intersect and overlap </w:t>
      </w:r>
      <w:r w:rsidR="00355608">
        <w:rPr>
          <w:lang w:eastAsia="en-AU"/>
        </w:rPr>
        <w:lastRenderedPageBreak/>
        <w:t>to create circumstances of dual-eligibility, which is then offset by a complicate</w:t>
      </w:r>
      <w:r w:rsidR="003F0534">
        <w:rPr>
          <w:lang w:eastAsia="en-AU"/>
        </w:rPr>
        <w:t>d</w:t>
      </w:r>
      <w:r w:rsidR="00355608">
        <w:rPr>
          <w:lang w:eastAsia="en-AU"/>
        </w:rPr>
        <w:t xml:space="preserve"> system of entitlement reduction. </w:t>
      </w:r>
      <w:r w:rsidR="009F2D27">
        <w:rPr>
          <w:lang w:eastAsia="en-AU"/>
        </w:rPr>
        <w:t xml:space="preserve">The three acts vary quite substantially in </w:t>
      </w:r>
      <w:r w:rsidR="007F0DF1">
        <w:rPr>
          <w:lang w:eastAsia="en-AU"/>
        </w:rPr>
        <w:t>how they</w:t>
      </w:r>
      <w:r w:rsidR="00355608">
        <w:rPr>
          <w:lang w:eastAsia="en-AU"/>
        </w:rPr>
        <w:t xml:space="preserve"> consider initial eligibility, </w:t>
      </w:r>
      <w:r w:rsidR="009F2D27">
        <w:rPr>
          <w:lang w:eastAsia="en-AU"/>
        </w:rPr>
        <w:t>determin</w:t>
      </w:r>
      <w:r w:rsidR="007F0DF1">
        <w:rPr>
          <w:lang w:eastAsia="en-AU"/>
        </w:rPr>
        <w:t>e</w:t>
      </w:r>
      <w:r w:rsidR="009F2D27">
        <w:rPr>
          <w:lang w:eastAsia="en-AU"/>
        </w:rPr>
        <w:t xml:space="preserve"> causation and calculat</w:t>
      </w:r>
      <w:r w:rsidR="007F0DF1">
        <w:rPr>
          <w:lang w:eastAsia="en-AU"/>
        </w:rPr>
        <w:t>e</w:t>
      </w:r>
      <w:r w:rsidR="009F2D27">
        <w:rPr>
          <w:lang w:eastAsia="en-AU"/>
        </w:rPr>
        <w:t xml:space="preserve"> to whom, how much and when</w:t>
      </w:r>
      <w:r w:rsidR="00C2151F">
        <w:rPr>
          <w:lang w:eastAsia="en-AU"/>
        </w:rPr>
        <w:t>,</w:t>
      </w:r>
      <w:r w:rsidR="009F2D27">
        <w:rPr>
          <w:lang w:eastAsia="en-AU"/>
        </w:rPr>
        <w:t xml:space="preserve"> compensation is paid.  Even within one act, there are </w:t>
      </w:r>
      <w:r w:rsidR="00A6635B">
        <w:rPr>
          <w:lang w:eastAsia="en-AU"/>
        </w:rPr>
        <w:t>varying</w:t>
      </w:r>
      <w:r w:rsidR="009F2D27">
        <w:rPr>
          <w:lang w:eastAsia="en-AU"/>
        </w:rPr>
        <w:t xml:space="preserve"> expectations and processes depending on the type of injury sustained, the conflict the veteran served in</w:t>
      </w:r>
      <w:r w:rsidR="003F0534">
        <w:rPr>
          <w:lang w:eastAsia="en-AU"/>
        </w:rPr>
        <w:t xml:space="preserve"> and</w:t>
      </w:r>
      <w:r w:rsidR="009F2D27">
        <w:rPr>
          <w:lang w:eastAsia="en-AU"/>
        </w:rPr>
        <w:t xml:space="preserve"> the nature of service.</w:t>
      </w:r>
      <w:r w:rsidR="00355608">
        <w:rPr>
          <w:lang w:eastAsia="en-AU"/>
        </w:rPr>
        <w:t xml:space="preserve"> </w:t>
      </w:r>
      <w:r w:rsidR="00C2151F">
        <w:rPr>
          <w:lang w:eastAsia="en-AU"/>
        </w:rPr>
        <w:t>Very little of this is set out clearly and accessibly, so d</w:t>
      </w:r>
      <w:r w:rsidR="009F2D27">
        <w:rPr>
          <w:lang w:eastAsia="en-AU"/>
        </w:rPr>
        <w:t xml:space="preserve">etermining which Act to claim under and the exact expectations of how the veteran should go about </w:t>
      </w:r>
      <w:r w:rsidR="00F12A5F">
        <w:rPr>
          <w:lang w:eastAsia="en-AU"/>
        </w:rPr>
        <w:t xml:space="preserve">applying for compensation can be a daunting, even insurmountable, first challenge to the majority of veterans who are attempting to claim entitlements without legal advice, especially in circumstances where there they suffer more than one injury, served in different conflicts and were deployed at home and overseas (these cases are not rare). </w:t>
      </w:r>
    </w:p>
    <w:p w14:paraId="53687E1A" w14:textId="756FC04C" w:rsidR="00D179EA" w:rsidRDefault="00AE639E" w:rsidP="00C01E33">
      <w:pPr>
        <w:rPr>
          <w:lang w:eastAsia="en-AU"/>
        </w:rPr>
      </w:pPr>
      <w:r>
        <w:rPr>
          <w:lang w:eastAsia="en-AU"/>
        </w:rPr>
        <w:t>There are then sub-legislative instruments called Statement</w:t>
      </w:r>
      <w:r w:rsidR="00C2151F">
        <w:rPr>
          <w:lang w:eastAsia="en-AU"/>
        </w:rPr>
        <w:t>s</w:t>
      </w:r>
      <w:r>
        <w:rPr>
          <w:lang w:eastAsia="en-AU"/>
        </w:rPr>
        <w:t xml:space="preserve"> of Principle that govern </w:t>
      </w:r>
      <w:r w:rsidR="009F2D27">
        <w:rPr>
          <w:lang w:eastAsia="en-AU"/>
        </w:rPr>
        <w:t xml:space="preserve">the </w:t>
      </w:r>
      <w:r>
        <w:rPr>
          <w:lang w:eastAsia="en-AU"/>
        </w:rPr>
        <w:t>causati</w:t>
      </w:r>
      <w:r w:rsidR="00355608">
        <w:rPr>
          <w:lang w:eastAsia="en-AU"/>
        </w:rPr>
        <w:t xml:space="preserve">ve element of injury and admission of </w:t>
      </w:r>
      <w:r>
        <w:rPr>
          <w:lang w:eastAsia="en-AU"/>
        </w:rPr>
        <w:t>liability</w:t>
      </w:r>
      <w:r w:rsidR="00355608">
        <w:rPr>
          <w:lang w:eastAsia="en-AU"/>
        </w:rPr>
        <w:t xml:space="preserve"> by the Commonwealth</w:t>
      </w:r>
      <w:r>
        <w:rPr>
          <w:lang w:eastAsia="en-AU"/>
        </w:rPr>
        <w:t xml:space="preserve"> a</w:t>
      </w:r>
      <w:r w:rsidR="009F2D27">
        <w:rPr>
          <w:lang w:eastAsia="en-AU"/>
        </w:rPr>
        <w:t>s well as</w:t>
      </w:r>
      <w:r>
        <w:rPr>
          <w:lang w:eastAsia="en-AU"/>
        </w:rPr>
        <w:t xml:space="preserve"> </w:t>
      </w:r>
      <w:r w:rsidR="00355608">
        <w:rPr>
          <w:lang w:eastAsia="en-AU"/>
        </w:rPr>
        <w:t xml:space="preserve">Guides to the Assessment of Rates of Veteran’s Pensions </w:t>
      </w:r>
      <w:r w:rsidR="009F2D27">
        <w:rPr>
          <w:lang w:eastAsia="en-AU"/>
        </w:rPr>
        <w:t xml:space="preserve">(GARP M) which </w:t>
      </w:r>
      <w:r>
        <w:rPr>
          <w:lang w:eastAsia="en-AU"/>
        </w:rPr>
        <w:t xml:space="preserve">calculate amounts of compensation available to veterans assessed against the impairment’s effect on lifestyle. These are quite crude transpositions of medicine to law </w:t>
      </w:r>
      <w:r w:rsidR="009F2D27">
        <w:rPr>
          <w:lang w:eastAsia="en-AU"/>
        </w:rPr>
        <w:t xml:space="preserve">which are often too confusing </w:t>
      </w:r>
      <w:r w:rsidR="00F12A5F">
        <w:rPr>
          <w:lang w:eastAsia="en-AU"/>
        </w:rPr>
        <w:t xml:space="preserve">to give veterans any kind of primary indication about the likelihood of success for their claim and the value of entitlements they can anticipate.  </w:t>
      </w:r>
    </w:p>
    <w:p w14:paraId="1CDF1003" w14:textId="77777777" w:rsidR="00875EF1" w:rsidRPr="00875EF1" w:rsidRDefault="00875EF1" w:rsidP="00875EF1">
      <w:pPr>
        <w:shd w:val="clear" w:color="auto" w:fill="FFFFFF"/>
        <w:spacing w:after="0" w:line="276" w:lineRule="auto"/>
        <w:rPr>
          <w:rFonts w:eastAsia="Times New Roman" w:cstheme="minorHAnsi"/>
          <w:lang w:eastAsia="en-AU"/>
        </w:rPr>
      </w:pPr>
    </w:p>
    <w:p w14:paraId="0A714DF9" w14:textId="16DE6EB6" w:rsidR="00115FB8" w:rsidRDefault="007F0DF1" w:rsidP="00C01E33">
      <w:pPr>
        <w:rPr>
          <w:lang w:eastAsia="en-AU"/>
        </w:rPr>
      </w:pPr>
      <w:r>
        <w:rPr>
          <w:lang w:eastAsia="en-AU"/>
        </w:rPr>
        <w:t xml:space="preserve">This conundrum of complexity is then compounded by an equally mystified service delivery arrangement. There are very few valuable resources available to veterans that make sense of this </w:t>
      </w:r>
      <w:proofErr w:type="spellStart"/>
      <w:r>
        <w:rPr>
          <w:lang w:eastAsia="en-AU"/>
        </w:rPr>
        <w:t>daedalian</w:t>
      </w:r>
      <w:proofErr w:type="spellEnd"/>
      <w:r>
        <w:rPr>
          <w:lang w:eastAsia="en-AU"/>
        </w:rPr>
        <w:t xml:space="preserve"> legislation. The CLIK policy manual for example </w:t>
      </w:r>
      <w:r w:rsidR="003C1DBC">
        <w:rPr>
          <w:lang w:eastAsia="en-AU"/>
        </w:rPr>
        <w:t xml:space="preserve">is the </w:t>
      </w:r>
      <w:r w:rsidR="00162D63">
        <w:rPr>
          <w:lang w:eastAsia="en-AU"/>
        </w:rPr>
        <w:t>D</w:t>
      </w:r>
      <w:r w:rsidR="005F087B">
        <w:rPr>
          <w:lang w:eastAsia="en-AU"/>
        </w:rPr>
        <w:t>epartment of Veteran Affairs’</w:t>
      </w:r>
      <w:r w:rsidR="003C1DBC">
        <w:rPr>
          <w:lang w:eastAsia="en-AU"/>
        </w:rPr>
        <w:t xml:space="preserve"> irrefutable point of reference for all compensation inquiries</w:t>
      </w:r>
      <w:r w:rsidR="006D650E">
        <w:rPr>
          <w:lang w:eastAsia="en-AU"/>
        </w:rPr>
        <w:t>. Instead of a ‘self-help’ or ‘how-to’ guide, the ‘library’ reads more like annotated legislation. It</w:t>
      </w:r>
      <w:r w:rsidR="003C1DBC">
        <w:rPr>
          <w:lang w:eastAsia="en-AU"/>
        </w:rPr>
        <w:t xml:space="preserve"> contains an overload of information</w:t>
      </w:r>
      <w:r w:rsidR="006D650E">
        <w:rPr>
          <w:lang w:eastAsia="en-AU"/>
        </w:rPr>
        <w:t xml:space="preserve"> for every possible different </w:t>
      </w:r>
      <w:r w:rsidR="0022681C">
        <w:rPr>
          <w:lang w:eastAsia="en-AU"/>
        </w:rPr>
        <w:t>en</w:t>
      </w:r>
      <w:r w:rsidR="006D650E">
        <w:rPr>
          <w:lang w:eastAsia="en-AU"/>
        </w:rPr>
        <w:t>t</w:t>
      </w:r>
      <w:r w:rsidR="0022681C">
        <w:rPr>
          <w:lang w:eastAsia="en-AU"/>
        </w:rPr>
        <w:t>itlement</w:t>
      </w:r>
      <w:r w:rsidR="006D650E">
        <w:rPr>
          <w:lang w:eastAsia="en-AU"/>
        </w:rPr>
        <w:t>, combination of service and</w:t>
      </w:r>
      <w:r w:rsidR="0022681C">
        <w:rPr>
          <w:lang w:eastAsia="en-AU"/>
        </w:rPr>
        <w:t xml:space="preserve"> compensation calculation</w:t>
      </w:r>
      <w:r w:rsidR="003C1DBC">
        <w:rPr>
          <w:lang w:eastAsia="en-AU"/>
        </w:rPr>
        <w:t xml:space="preserve">, none of which is synthesised in a useful or </w:t>
      </w:r>
      <w:r w:rsidR="006D650E">
        <w:rPr>
          <w:lang w:eastAsia="en-AU"/>
        </w:rPr>
        <w:t>digestible</w:t>
      </w:r>
      <w:r w:rsidR="003C1DBC">
        <w:rPr>
          <w:lang w:eastAsia="en-AU"/>
        </w:rPr>
        <w:t xml:space="preserve"> manner. </w:t>
      </w:r>
      <w:r w:rsidR="006D650E">
        <w:rPr>
          <w:lang w:eastAsia="en-AU"/>
        </w:rPr>
        <w:t xml:space="preserve">Veterans are </w:t>
      </w:r>
      <w:r w:rsidR="0022681C">
        <w:rPr>
          <w:lang w:eastAsia="en-AU"/>
        </w:rPr>
        <w:t xml:space="preserve">instead </w:t>
      </w:r>
      <w:r w:rsidR="006D650E">
        <w:rPr>
          <w:lang w:eastAsia="en-AU"/>
        </w:rPr>
        <w:t xml:space="preserve">required to wade through hundreds of pages </w:t>
      </w:r>
      <w:r w:rsidR="0022681C">
        <w:rPr>
          <w:lang w:eastAsia="en-AU"/>
        </w:rPr>
        <w:t>of information that don’t apply to them and carefully siphon through the sections that do apply to their service and injury. The information that is relevant and available can then be framed so obscurely as to lose its value entirely: for example</w:t>
      </w:r>
      <w:r w:rsidR="00A6635B">
        <w:rPr>
          <w:lang w:eastAsia="en-AU"/>
        </w:rPr>
        <w:t xml:space="preserve"> in the ‘Evidence’ section, instead of </w:t>
      </w:r>
      <w:r w:rsidR="00A6635B">
        <w:t>indicating to the veteran the sorts of supporting evidence the DVA is looking for, or guidance about what will and won’t be given weight in establishing causation, the section is instead a spiel on why the veteran can expect his or her claim to be decided according to the ‘laws of natural justice’.</w:t>
      </w:r>
      <w:r w:rsidR="00F77E4C">
        <w:rPr>
          <w:lang w:eastAsia="en-AU"/>
        </w:rPr>
        <w:t xml:space="preserve">   Its this kind of obfuscation, bordering on </w:t>
      </w:r>
      <w:r w:rsidR="00E8796A">
        <w:rPr>
          <w:lang w:eastAsia="en-AU"/>
        </w:rPr>
        <w:t>deliberate</w:t>
      </w:r>
      <w:r w:rsidR="00F77E4C">
        <w:rPr>
          <w:lang w:eastAsia="en-AU"/>
        </w:rPr>
        <w:t xml:space="preserve"> unhelpfulness that, to me, characterises the entire CLIK policy manual. </w:t>
      </w:r>
    </w:p>
    <w:p w14:paraId="79573F74" w14:textId="77777777" w:rsidR="0022681C" w:rsidRPr="002B701F" w:rsidRDefault="0022681C" w:rsidP="00C01E33">
      <w:pPr>
        <w:rPr>
          <w:lang w:eastAsia="en-AU"/>
        </w:rPr>
      </w:pPr>
    </w:p>
    <w:p w14:paraId="5B503C57" w14:textId="6E73BDEF" w:rsidR="002B701F" w:rsidRDefault="002B701F" w:rsidP="002B701F">
      <w:pPr>
        <w:pStyle w:val="Heading1"/>
        <w:rPr>
          <w:rFonts w:eastAsia="Times New Roman"/>
          <w:lang w:eastAsia="en-AU"/>
        </w:rPr>
      </w:pPr>
      <w:r w:rsidRPr="002B701F">
        <w:rPr>
          <w:rFonts w:eastAsia="Times New Roman"/>
          <w:lang w:eastAsia="en-AU"/>
        </w:rPr>
        <w:t>Why is this particularly troubling for Veteran’s seeking the Disability Pension for mental illness?</w:t>
      </w:r>
    </w:p>
    <w:p w14:paraId="694A5C34" w14:textId="31A90088" w:rsidR="00990701" w:rsidRDefault="00990701" w:rsidP="00990701">
      <w:pPr>
        <w:rPr>
          <w:lang w:eastAsia="en-AU"/>
        </w:rPr>
      </w:pPr>
      <w:r>
        <w:rPr>
          <w:lang w:eastAsia="en-AU"/>
        </w:rPr>
        <w:t>When a complex legal system combines with a strong risk of under-reporting mental illness in the military</w:t>
      </w:r>
      <w:r w:rsidR="00E8796A">
        <w:rPr>
          <w:rStyle w:val="FootnoteReference"/>
          <w:lang w:eastAsia="en-AU"/>
        </w:rPr>
        <w:footnoteReference w:id="7"/>
      </w:r>
      <w:r>
        <w:rPr>
          <w:lang w:eastAsia="en-AU"/>
        </w:rPr>
        <w:t xml:space="preserve">, we see genuine claimants going uncompensated and untreated. </w:t>
      </w:r>
    </w:p>
    <w:p w14:paraId="2A380E3F" w14:textId="66E186BD" w:rsidR="003942E6" w:rsidRDefault="00231185" w:rsidP="00990701">
      <w:pPr>
        <w:rPr>
          <w:lang w:eastAsia="en-AU"/>
        </w:rPr>
      </w:pPr>
      <w:r>
        <w:rPr>
          <w:lang w:eastAsia="en-AU"/>
        </w:rPr>
        <w:t xml:space="preserve">At the most basic level, its easy to appreciate how a confusing process </w:t>
      </w:r>
      <w:r w:rsidR="00E8796A">
        <w:rPr>
          <w:lang w:eastAsia="en-AU"/>
        </w:rPr>
        <w:t xml:space="preserve">to </w:t>
      </w:r>
      <w:r>
        <w:rPr>
          <w:lang w:eastAsia="en-AU"/>
        </w:rPr>
        <w:t>apply for and receiv</w:t>
      </w:r>
      <w:r w:rsidR="00E8796A">
        <w:rPr>
          <w:lang w:eastAsia="en-AU"/>
        </w:rPr>
        <w:t xml:space="preserve">e </w:t>
      </w:r>
      <w:r>
        <w:rPr>
          <w:lang w:eastAsia="en-AU"/>
        </w:rPr>
        <w:t xml:space="preserve">compensation for service injuries and diseases can be </w:t>
      </w:r>
      <w:r w:rsidR="003942E6">
        <w:rPr>
          <w:lang w:eastAsia="en-AU"/>
        </w:rPr>
        <w:t xml:space="preserve">particularly bewildering </w:t>
      </w:r>
      <w:r w:rsidR="007F0DF1">
        <w:rPr>
          <w:lang w:eastAsia="en-AU"/>
        </w:rPr>
        <w:t xml:space="preserve">and alienating </w:t>
      </w:r>
      <w:r w:rsidR="003942E6">
        <w:rPr>
          <w:lang w:eastAsia="en-AU"/>
        </w:rPr>
        <w:t xml:space="preserve">to </w:t>
      </w:r>
      <w:r w:rsidR="003942E6">
        <w:rPr>
          <w:lang w:eastAsia="en-AU"/>
        </w:rPr>
        <w:lastRenderedPageBreak/>
        <w:t>someone experience severe psychological injury symptoms</w:t>
      </w:r>
      <w:r>
        <w:rPr>
          <w:lang w:eastAsia="en-AU"/>
        </w:rPr>
        <w:t xml:space="preserve">. When this deters genuine claimants at the outset, we have a significant access to justice issue. </w:t>
      </w:r>
    </w:p>
    <w:p w14:paraId="07F1DCE0" w14:textId="6B72FB2F" w:rsidR="003942E6" w:rsidRDefault="00231185" w:rsidP="00990701">
      <w:pPr>
        <w:rPr>
          <w:lang w:eastAsia="en-AU"/>
        </w:rPr>
      </w:pPr>
      <w:r>
        <w:rPr>
          <w:lang w:eastAsia="en-AU"/>
        </w:rPr>
        <w:t>Obtaining compensation from the D</w:t>
      </w:r>
      <w:r w:rsidR="00E8796A">
        <w:rPr>
          <w:lang w:eastAsia="en-AU"/>
        </w:rPr>
        <w:t xml:space="preserve">epartment of </w:t>
      </w:r>
      <w:r>
        <w:rPr>
          <w:lang w:eastAsia="en-AU"/>
        </w:rPr>
        <w:t>V</w:t>
      </w:r>
      <w:r w:rsidR="00E8796A">
        <w:rPr>
          <w:lang w:eastAsia="en-AU"/>
        </w:rPr>
        <w:t xml:space="preserve">eteran </w:t>
      </w:r>
      <w:r>
        <w:rPr>
          <w:lang w:eastAsia="en-AU"/>
        </w:rPr>
        <w:t>A</w:t>
      </w:r>
      <w:r w:rsidR="00E8796A">
        <w:rPr>
          <w:lang w:eastAsia="en-AU"/>
        </w:rPr>
        <w:t>ffairs</w:t>
      </w:r>
      <w:r>
        <w:rPr>
          <w:lang w:eastAsia="en-AU"/>
        </w:rPr>
        <w:t xml:space="preserve"> is designed to be self-directed. Apart from some very well-intentioned, but under-qualified and in-experienced RSL volunteers, limited Legal Aid in NSW and QLD, or private legal advice for those who seek it out and can afford it, there aren’t </w:t>
      </w:r>
      <w:r w:rsidR="00E8796A">
        <w:rPr>
          <w:lang w:eastAsia="en-AU"/>
        </w:rPr>
        <w:t xml:space="preserve">proper </w:t>
      </w:r>
      <w:r>
        <w:rPr>
          <w:lang w:eastAsia="en-AU"/>
        </w:rPr>
        <w:t>support mechanisms scaffolded around the system of compensation</w:t>
      </w:r>
      <w:r w:rsidR="00B80B0E">
        <w:rPr>
          <w:lang w:eastAsia="en-AU"/>
        </w:rPr>
        <w:t>. When veterans suffering from mental ill-health feel alone and isolated in their claims process</w:t>
      </w:r>
      <w:r w:rsidR="00C2151F">
        <w:rPr>
          <w:lang w:eastAsia="en-AU"/>
        </w:rPr>
        <w:t xml:space="preserve"> as a result</w:t>
      </w:r>
      <w:r w:rsidR="00B80B0E">
        <w:rPr>
          <w:lang w:eastAsia="en-AU"/>
        </w:rPr>
        <w:t xml:space="preserve">, this is likely to exacerbate their symptoms </w:t>
      </w:r>
      <w:r w:rsidR="00C2151F">
        <w:rPr>
          <w:lang w:eastAsia="en-AU"/>
        </w:rPr>
        <w:t xml:space="preserve">and </w:t>
      </w:r>
      <w:r w:rsidR="00B80B0E">
        <w:rPr>
          <w:lang w:eastAsia="en-AU"/>
        </w:rPr>
        <w:t>can seriously impede recovery</w:t>
      </w:r>
      <w:r w:rsidR="00B80B0E">
        <w:rPr>
          <w:rStyle w:val="FootnoteReference"/>
          <w:lang w:eastAsia="en-AU"/>
        </w:rPr>
        <w:footnoteReference w:id="8"/>
      </w:r>
      <w:r w:rsidR="00755BA0">
        <w:rPr>
          <w:lang w:eastAsia="en-AU"/>
        </w:rPr>
        <w:t xml:space="preserve">. Risk factors induced by serious psychological injury are only increased </w:t>
      </w:r>
      <w:r w:rsidR="00C2151F">
        <w:rPr>
          <w:lang w:eastAsia="en-AU"/>
        </w:rPr>
        <w:t xml:space="preserve">when </w:t>
      </w:r>
      <w:r w:rsidR="00755BA0">
        <w:rPr>
          <w:lang w:eastAsia="en-AU"/>
        </w:rPr>
        <w:t>veterans are waiting extended periods of time for determinations to be made, when the payment of interim compensation is rare</w:t>
      </w:r>
      <w:r w:rsidR="00FA54C2">
        <w:rPr>
          <w:rStyle w:val="FootnoteReference"/>
          <w:lang w:eastAsia="en-AU"/>
        </w:rPr>
        <w:footnoteReference w:id="9"/>
      </w:r>
      <w:r w:rsidR="00755BA0">
        <w:rPr>
          <w:lang w:eastAsia="en-AU"/>
        </w:rPr>
        <w:t xml:space="preserve"> and when delays and rejections are common. </w:t>
      </w:r>
    </w:p>
    <w:p w14:paraId="42A1D961" w14:textId="10E8CC90" w:rsidR="003942E6" w:rsidRDefault="00F93562" w:rsidP="00990701">
      <w:pPr>
        <w:rPr>
          <w:lang w:eastAsia="en-AU"/>
        </w:rPr>
      </w:pPr>
      <w:r>
        <w:rPr>
          <w:lang w:eastAsia="en-AU"/>
        </w:rPr>
        <w:t>Because the resources available, namely the CLIK manual, are largely unhelpful, there’s a pronounced l</w:t>
      </w:r>
      <w:r w:rsidR="003942E6">
        <w:rPr>
          <w:lang w:eastAsia="en-AU"/>
        </w:rPr>
        <w:t>ack of clarity surrounding the expectations of comp</w:t>
      </w:r>
      <w:r w:rsidR="003134F6">
        <w:rPr>
          <w:lang w:eastAsia="en-AU"/>
        </w:rPr>
        <w:t>ensation cla</w:t>
      </w:r>
      <w:r w:rsidR="003942E6">
        <w:rPr>
          <w:lang w:eastAsia="en-AU"/>
        </w:rPr>
        <w:t>ims</w:t>
      </w:r>
      <w:r>
        <w:rPr>
          <w:lang w:eastAsia="en-AU"/>
        </w:rPr>
        <w:t>, particularly how strictly veterans need to adhere to the Statement of Principles in terms of the presentation of their symptoms and links to service. Its reasonable to infer that this is resulting in a</w:t>
      </w:r>
      <w:r w:rsidR="003942E6">
        <w:rPr>
          <w:lang w:eastAsia="en-AU"/>
        </w:rPr>
        <w:t xml:space="preserve"> high </w:t>
      </w:r>
      <w:r>
        <w:rPr>
          <w:lang w:eastAsia="en-AU"/>
        </w:rPr>
        <w:t>number</w:t>
      </w:r>
      <w:r w:rsidR="003942E6">
        <w:rPr>
          <w:lang w:eastAsia="en-AU"/>
        </w:rPr>
        <w:t xml:space="preserve"> of rejected claims</w:t>
      </w:r>
      <w:r>
        <w:rPr>
          <w:lang w:eastAsia="en-AU"/>
        </w:rPr>
        <w:t>. This can be a</w:t>
      </w:r>
      <w:r w:rsidR="003942E6">
        <w:rPr>
          <w:lang w:eastAsia="en-AU"/>
        </w:rPr>
        <w:t xml:space="preserve"> devastating vote of no confidence </w:t>
      </w:r>
      <w:r>
        <w:rPr>
          <w:lang w:eastAsia="en-AU"/>
        </w:rPr>
        <w:t>for the veteran</w:t>
      </w:r>
      <w:r w:rsidR="00E8796A">
        <w:rPr>
          <w:lang w:eastAsia="en-AU"/>
        </w:rPr>
        <w:t>,</w:t>
      </w:r>
      <w:r>
        <w:rPr>
          <w:lang w:eastAsia="en-AU"/>
        </w:rPr>
        <w:t xml:space="preserve"> who can feel disbelieved that they suffer a genuine mental illness at all. This is likely to have a negative affect on the mental wellbeing of the ex-servicemen or women, </w:t>
      </w:r>
      <w:r w:rsidR="00E8796A">
        <w:rPr>
          <w:lang w:eastAsia="en-AU"/>
        </w:rPr>
        <w:t>whose claims aren’t rejected on merit, but for procedural inaccuracies</w:t>
      </w:r>
      <w:r>
        <w:rPr>
          <w:lang w:eastAsia="en-AU"/>
        </w:rPr>
        <w:t xml:space="preserve">. </w:t>
      </w:r>
      <w:r w:rsidR="00E8796A">
        <w:rPr>
          <w:lang w:eastAsia="en-AU"/>
        </w:rPr>
        <w:t xml:space="preserve">Again, when this deters genuine claimants from </w:t>
      </w:r>
      <w:r w:rsidR="008F1E20">
        <w:rPr>
          <w:lang w:eastAsia="en-AU"/>
        </w:rPr>
        <w:t xml:space="preserve">reapplying where their claim has been rejected, </w:t>
      </w:r>
      <w:r w:rsidR="00E8796A">
        <w:rPr>
          <w:lang w:eastAsia="en-AU"/>
        </w:rPr>
        <w:t>we have a significant access to justice issue.</w:t>
      </w:r>
    </w:p>
    <w:p w14:paraId="075B3A8D" w14:textId="6816D635" w:rsidR="002B701F" w:rsidRPr="002B701F" w:rsidRDefault="002B701F" w:rsidP="002B701F">
      <w:pPr>
        <w:pStyle w:val="Heading1"/>
        <w:rPr>
          <w:rFonts w:eastAsia="Times New Roman"/>
          <w:lang w:eastAsia="en-AU"/>
        </w:rPr>
      </w:pPr>
      <w:r w:rsidRPr="002B701F">
        <w:rPr>
          <w:rFonts w:eastAsia="Times New Roman"/>
          <w:lang w:eastAsia="en-AU"/>
        </w:rPr>
        <w:t>How could this process be made more user-friendly, efficient and effective?</w:t>
      </w:r>
    </w:p>
    <w:p w14:paraId="23969B15" w14:textId="65C53E3B" w:rsidR="001800B2" w:rsidRDefault="00E549C2" w:rsidP="00E549C2">
      <w:pPr>
        <w:rPr>
          <w:lang w:eastAsia="en-AU"/>
        </w:rPr>
      </w:pPr>
      <w:r>
        <w:rPr>
          <w:lang w:eastAsia="en-AU"/>
        </w:rPr>
        <w:t xml:space="preserve">The </w:t>
      </w:r>
      <w:r w:rsidR="00162D63">
        <w:rPr>
          <w:lang w:eastAsia="en-AU"/>
        </w:rPr>
        <w:t xml:space="preserve">Department of Veteran Affairs </w:t>
      </w:r>
      <w:r>
        <w:rPr>
          <w:lang w:eastAsia="en-AU"/>
        </w:rPr>
        <w:t>should introduce c</w:t>
      </w:r>
      <w:r w:rsidR="001800B2">
        <w:rPr>
          <w:lang w:eastAsia="en-AU"/>
        </w:rPr>
        <w:t xml:space="preserve">ase-workers specifically trained in </w:t>
      </w:r>
      <w:r w:rsidR="00162D63">
        <w:rPr>
          <w:lang w:eastAsia="en-AU"/>
        </w:rPr>
        <w:t xml:space="preserve">DVA </w:t>
      </w:r>
      <w:r w:rsidR="001800B2">
        <w:rPr>
          <w:lang w:eastAsia="en-AU"/>
        </w:rPr>
        <w:t>compensation procedures that guide veterans through the process</w:t>
      </w:r>
      <w:r w:rsidR="00FA54C2">
        <w:rPr>
          <w:lang w:eastAsia="en-AU"/>
        </w:rPr>
        <w:t xml:space="preserve"> and liaise with the Department</w:t>
      </w:r>
      <w:r>
        <w:rPr>
          <w:lang w:eastAsia="en-AU"/>
        </w:rPr>
        <w:t xml:space="preserve">. This would reduce the </w:t>
      </w:r>
      <w:r w:rsidR="001800B2">
        <w:rPr>
          <w:lang w:eastAsia="en-AU"/>
        </w:rPr>
        <w:t xml:space="preserve">reliance on the good will of untrained volunteers at the RSL and would help improve relations between veterans and the </w:t>
      </w:r>
      <w:r w:rsidR="00162D63">
        <w:rPr>
          <w:lang w:eastAsia="en-AU"/>
        </w:rPr>
        <w:t xml:space="preserve">Department </w:t>
      </w:r>
      <w:r w:rsidR="001800B2">
        <w:rPr>
          <w:lang w:eastAsia="en-AU"/>
        </w:rPr>
        <w:t>instead of the current system which seems confrontational, overly-adversarial and puts the two entities at odds with one another</w:t>
      </w:r>
      <w:r w:rsidR="004830B0">
        <w:rPr>
          <w:lang w:eastAsia="en-AU"/>
        </w:rPr>
        <w:t xml:space="preserve">. </w:t>
      </w:r>
      <w:r>
        <w:rPr>
          <w:lang w:eastAsia="en-AU"/>
        </w:rPr>
        <w:t xml:space="preserve"> It c</w:t>
      </w:r>
      <w:r w:rsidR="004830B0">
        <w:rPr>
          <w:lang w:eastAsia="en-AU"/>
        </w:rPr>
        <w:t xml:space="preserve">ould also relieve the stress felt </w:t>
      </w:r>
      <w:r>
        <w:rPr>
          <w:lang w:eastAsia="en-AU"/>
        </w:rPr>
        <w:t xml:space="preserve">by veterans </w:t>
      </w:r>
      <w:r w:rsidR="004830B0">
        <w:rPr>
          <w:lang w:eastAsia="en-AU"/>
        </w:rPr>
        <w:t xml:space="preserve">awaiting a decision if </w:t>
      </w:r>
      <w:r>
        <w:rPr>
          <w:lang w:eastAsia="en-AU"/>
        </w:rPr>
        <w:t>caseworkers could provide regular updates, therefore demystifying the process and making decisions more transparent.</w:t>
      </w:r>
    </w:p>
    <w:p w14:paraId="3B8106A3" w14:textId="00BB9589" w:rsidR="001800B2" w:rsidRDefault="00E549C2" w:rsidP="00E549C2">
      <w:pPr>
        <w:rPr>
          <w:lang w:eastAsia="en-AU"/>
        </w:rPr>
      </w:pPr>
      <w:r>
        <w:rPr>
          <w:lang w:eastAsia="en-AU"/>
        </w:rPr>
        <w:t xml:space="preserve">The </w:t>
      </w:r>
      <w:r w:rsidR="00162D63">
        <w:rPr>
          <w:lang w:eastAsia="en-AU"/>
        </w:rPr>
        <w:t>Department</w:t>
      </w:r>
      <w:r>
        <w:rPr>
          <w:lang w:eastAsia="en-AU"/>
        </w:rPr>
        <w:t xml:space="preserve"> must also r</w:t>
      </w:r>
      <w:r w:rsidR="001800B2">
        <w:rPr>
          <w:lang w:eastAsia="en-AU"/>
        </w:rPr>
        <w:t>adically rethink the CLIK policy manual</w:t>
      </w:r>
      <w:r>
        <w:rPr>
          <w:lang w:eastAsia="en-AU"/>
        </w:rPr>
        <w:t>. I</w:t>
      </w:r>
      <w:r w:rsidR="001800B2">
        <w:rPr>
          <w:lang w:eastAsia="en-AU"/>
        </w:rPr>
        <w:t>n its current form, the ‘policy manual’ is inadequate at guiding veterans through the</w:t>
      </w:r>
      <w:r>
        <w:rPr>
          <w:lang w:eastAsia="en-AU"/>
        </w:rPr>
        <w:t>ir claims</w:t>
      </w:r>
      <w:r w:rsidR="001800B2">
        <w:rPr>
          <w:lang w:eastAsia="en-AU"/>
        </w:rPr>
        <w:t xml:space="preserve"> process, the information needs to be condensed, put in digestible language and </w:t>
      </w:r>
      <w:r w:rsidR="00656959">
        <w:rPr>
          <w:lang w:eastAsia="en-AU"/>
        </w:rPr>
        <w:t xml:space="preserve">made far more </w:t>
      </w:r>
      <w:r w:rsidR="001800B2">
        <w:rPr>
          <w:lang w:eastAsia="en-AU"/>
        </w:rPr>
        <w:t>useful</w:t>
      </w:r>
      <w:r>
        <w:rPr>
          <w:lang w:eastAsia="en-AU"/>
        </w:rPr>
        <w:t xml:space="preserve"> by streamlining and disaggregating the information.</w:t>
      </w:r>
    </w:p>
    <w:p w14:paraId="052BA9C5" w14:textId="5AF150E6" w:rsidR="00E549C2" w:rsidRDefault="00E549C2" w:rsidP="00E549C2">
      <w:pPr>
        <w:rPr>
          <w:lang w:eastAsia="en-AU"/>
        </w:rPr>
      </w:pPr>
      <w:r>
        <w:rPr>
          <w:lang w:eastAsia="en-AU"/>
        </w:rPr>
        <w:t xml:space="preserve">I also believe it’s vital that the </w:t>
      </w:r>
      <w:r w:rsidR="00162D63">
        <w:rPr>
          <w:lang w:eastAsia="en-AU"/>
        </w:rPr>
        <w:t xml:space="preserve">Department of Veteran Affairs </w:t>
      </w:r>
      <w:r>
        <w:rPr>
          <w:lang w:eastAsia="en-AU"/>
        </w:rPr>
        <w:t>b</w:t>
      </w:r>
      <w:r w:rsidR="001800B2">
        <w:rPr>
          <w:lang w:eastAsia="en-AU"/>
        </w:rPr>
        <w:t xml:space="preserve">e more honest about the legal technicalities of </w:t>
      </w:r>
      <w:r>
        <w:rPr>
          <w:lang w:eastAsia="en-AU"/>
        </w:rPr>
        <w:t>claims</w:t>
      </w:r>
      <w:r w:rsidR="001800B2">
        <w:rPr>
          <w:lang w:eastAsia="en-AU"/>
        </w:rPr>
        <w:t xml:space="preserve"> and recommend that legal advice is sought</w:t>
      </w:r>
      <w:r>
        <w:rPr>
          <w:lang w:eastAsia="en-AU"/>
        </w:rPr>
        <w:t>, or perhaps even offer it</w:t>
      </w:r>
      <w:r w:rsidR="001800B2">
        <w:rPr>
          <w:lang w:eastAsia="en-AU"/>
        </w:rPr>
        <w:t>.</w:t>
      </w:r>
      <w:r>
        <w:rPr>
          <w:lang w:eastAsia="en-AU"/>
        </w:rPr>
        <w:t xml:space="preserve"> At the moment, on the Application Form for a Disability pension, the veteran is given</w:t>
      </w:r>
      <w:r w:rsidR="003C1DBC">
        <w:rPr>
          <w:lang w:eastAsia="en-AU"/>
        </w:rPr>
        <w:t xml:space="preserve"> 11 lines on half an </w:t>
      </w:r>
      <w:r>
        <w:rPr>
          <w:lang w:eastAsia="en-AU"/>
        </w:rPr>
        <w:t>A</w:t>
      </w:r>
      <w:r w:rsidR="003C1DBC">
        <w:rPr>
          <w:lang w:eastAsia="en-AU"/>
        </w:rPr>
        <w:t xml:space="preserve">4 page to describe the symptoms of his </w:t>
      </w:r>
      <w:r>
        <w:rPr>
          <w:lang w:eastAsia="en-AU"/>
        </w:rPr>
        <w:t xml:space="preserve">or her </w:t>
      </w:r>
      <w:r w:rsidR="003C1DBC">
        <w:rPr>
          <w:lang w:eastAsia="en-AU"/>
        </w:rPr>
        <w:t xml:space="preserve">disability and connect them to </w:t>
      </w:r>
      <w:r>
        <w:rPr>
          <w:lang w:eastAsia="en-AU"/>
        </w:rPr>
        <w:t>their</w:t>
      </w:r>
      <w:r w:rsidR="003C1DBC">
        <w:rPr>
          <w:lang w:eastAsia="en-AU"/>
        </w:rPr>
        <w:t xml:space="preserve"> service</w:t>
      </w:r>
      <w:r>
        <w:rPr>
          <w:lang w:eastAsia="en-AU"/>
        </w:rPr>
        <w:t>. T</w:t>
      </w:r>
      <w:r w:rsidR="003C1DBC">
        <w:rPr>
          <w:lang w:eastAsia="en-AU"/>
        </w:rPr>
        <w:t xml:space="preserve">his gives a misleading indication of brevity and simplicity when causation is in actual fact determined by very strict </w:t>
      </w:r>
      <w:r>
        <w:rPr>
          <w:lang w:eastAsia="en-AU"/>
        </w:rPr>
        <w:t>criteria and connections</w:t>
      </w:r>
      <w:r w:rsidR="00162D63">
        <w:rPr>
          <w:lang w:eastAsia="en-AU"/>
        </w:rPr>
        <w:t xml:space="preserve"> set out in legislative instruments</w:t>
      </w:r>
      <w:r w:rsidR="00162D63">
        <w:rPr>
          <w:rStyle w:val="FootnoteReference"/>
          <w:lang w:eastAsia="en-AU"/>
        </w:rPr>
        <w:footnoteReference w:id="10"/>
      </w:r>
      <w:r w:rsidR="00FA54C2">
        <w:rPr>
          <w:lang w:eastAsia="en-AU"/>
        </w:rPr>
        <w:t>.</w:t>
      </w:r>
    </w:p>
    <w:p w14:paraId="1656F705" w14:textId="0681908E" w:rsidR="007144F9" w:rsidRPr="002B701F" w:rsidRDefault="00E549C2" w:rsidP="00E549C2">
      <w:pPr>
        <w:rPr>
          <w:lang w:eastAsia="en-AU"/>
        </w:rPr>
      </w:pPr>
      <w:r>
        <w:rPr>
          <w:lang w:eastAsia="en-AU"/>
        </w:rPr>
        <w:lastRenderedPageBreak/>
        <w:t xml:space="preserve">A more general consideration is having </w:t>
      </w:r>
      <w:r w:rsidR="007144F9">
        <w:rPr>
          <w:lang w:eastAsia="en-AU"/>
        </w:rPr>
        <w:t>a better support system that eases the transition to civilian life</w:t>
      </w:r>
      <w:r>
        <w:rPr>
          <w:lang w:eastAsia="en-AU"/>
        </w:rPr>
        <w:t xml:space="preserve">. </w:t>
      </w:r>
      <w:r w:rsidR="002B195C">
        <w:rPr>
          <w:lang w:eastAsia="en-AU"/>
        </w:rPr>
        <w:t xml:space="preserve">Anecdotally, it appears that discharge from the army </w:t>
      </w:r>
      <w:r w:rsidR="0078184E">
        <w:rPr>
          <w:lang w:eastAsia="en-AU"/>
        </w:rPr>
        <w:t>is the critical juncture where symptoms flare up and the support network is lost</w:t>
      </w:r>
      <w:r w:rsidR="002B195C">
        <w:rPr>
          <w:lang w:eastAsia="en-AU"/>
        </w:rPr>
        <w:t>. This</w:t>
      </w:r>
      <w:r w:rsidR="00473CA0">
        <w:rPr>
          <w:lang w:eastAsia="en-AU"/>
        </w:rPr>
        <w:t xml:space="preserve"> combines to create a stressful, hopeless period of time for the veteran, which a lengthy and convoluted claims process only exacerbates. If the symptoms themselves can’t be altogether reduced by a better managed </w:t>
      </w:r>
      <w:r w:rsidR="0078184E">
        <w:rPr>
          <w:lang w:eastAsia="en-AU"/>
        </w:rPr>
        <w:t xml:space="preserve">transition </w:t>
      </w:r>
      <w:r w:rsidR="00473CA0">
        <w:rPr>
          <w:lang w:eastAsia="en-AU"/>
        </w:rPr>
        <w:t>out of the military, at least it can mitigate the feelings of isolation</w:t>
      </w:r>
      <w:r w:rsidR="002B195C">
        <w:rPr>
          <w:lang w:eastAsia="en-AU"/>
        </w:rPr>
        <w:t xml:space="preserve">. </w:t>
      </w:r>
    </w:p>
    <w:p w14:paraId="2EA46487" w14:textId="76B95DDE" w:rsidR="00755BA0" w:rsidRPr="00FA54C2" w:rsidRDefault="002B701F" w:rsidP="00FA54C2">
      <w:pPr>
        <w:pStyle w:val="Heading1"/>
        <w:rPr>
          <w:rFonts w:eastAsia="Times New Roman"/>
          <w:lang w:eastAsia="en-AU"/>
        </w:rPr>
      </w:pPr>
      <w:r w:rsidRPr="002B701F">
        <w:rPr>
          <w:rFonts w:eastAsia="Times New Roman"/>
          <w:lang w:eastAsia="en-AU"/>
        </w:rPr>
        <w:t>How else should the laws be reformed</w:t>
      </w:r>
      <w:r w:rsidR="00D15C18">
        <w:rPr>
          <w:rFonts w:eastAsia="Times New Roman"/>
          <w:lang w:eastAsia="en-AU"/>
        </w:rPr>
        <w:t xml:space="preserve"> to better accommodate </w:t>
      </w:r>
      <w:r w:rsidR="00D4063E">
        <w:rPr>
          <w:rFonts w:eastAsia="Times New Roman"/>
          <w:lang w:eastAsia="en-AU"/>
        </w:rPr>
        <w:t>v</w:t>
      </w:r>
      <w:r w:rsidR="00D15C18">
        <w:rPr>
          <w:rFonts w:eastAsia="Times New Roman"/>
          <w:lang w:eastAsia="en-AU"/>
        </w:rPr>
        <w:t xml:space="preserve">eterans with </w:t>
      </w:r>
      <w:r w:rsidR="000C2F9B">
        <w:rPr>
          <w:rFonts w:eastAsia="Times New Roman"/>
          <w:lang w:eastAsia="en-AU"/>
        </w:rPr>
        <w:t>mental ill-health</w:t>
      </w:r>
      <w:r w:rsidR="00D929BD">
        <w:rPr>
          <w:rFonts w:eastAsia="Times New Roman"/>
          <w:lang w:eastAsia="en-AU"/>
        </w:rPr>
        <w:t xml:space="preserve"> - </w:t>
      </w:r>
      <w:r w:rsidR="00962147">
        <w:rPr>
          <w:rFonts w:eastAsia="Times New Roman"/>
          <w:lang w:eastAsia="en-AU"/>
        </w:rPr>
        <w:t>the Problem with the PTSD Statement of Principle</w:t>
      </w:r>
    </w:p>
    <w:p w14:paraId="4206F658" w14:textId="0B2A1831" w:rsidR="00162D63" w:rsidRPr="00162D63" w:rsidRDefault="00162D63" w:rsidP="00162D63">
      <w:pPr>
        <w:rPr>
          <w:lang w:eastAsia="en-AU"/>
        </w:rPr>
      </w:pPr>
      <w:r>
        <w:rPr>
          <w:lang w:eastAsia="en-AU"/>
        </w:rPr>
        <w:t xml:space="preserve">In addition to the general </w:t>
      </w:r>
      <w:r w:rsidR="00D4063E">
        <w:rPr>
          <w:lang w:eastAsia="en-AU"/>
        </w:rPr>
        <w:t xml:space="preserve">recommendations detailed above, </w:t>
      </w:r>
      <w:r w:rsidR="00FA54C2">
        <w:rPr>
          <w:lang w:eastAsia="en-AU"/>
        </w:rPr>
        <w:t>it’s</w:t>
      </w:r>
      <w:r w:rsidR="00D4063E">
        <w:rPr>
          <w:lang w:eastAsia="en-AU"/>
        </w:rPr>
        <w:t xml:space="preserve"> also very important to note the inadequacies of the current compensation schemes for posttraumatic stress disorder. The </w:t>
      </w:r>
      <w:r w:rsidR="00FA54C2">
        <w:rPr>
          <w:lang w:eastAsia="en-AU"/>
        </w:rPr>
        <w:t xml:space="preserve">regime’s </w:t>
      </w:r>
      <w:r w:rsidR="00D4063E">
        <w:rPr>
          <w:lang w:eastAsia="en-AU"/>
        </w:rPr>
        <w:t xml:space="preserve">causation tests require rigid adherence to a strict Statement of Principles </w:t>
      </w:r>
      <w:r w:rsidR="00FA54C2">
        <w:rPr>
          <w:lang w:eastAsia="en-AU"/>
        </w:rPr>
        <w:t xml:space="preserve">(SOP) </w:t>
      </w:r>
      <w:r w:rsidR="00D4063E">
        <w:rPr>
          <w:lang w:eastAsia="en-AU"/>
        </w:rPr>
        <w:t>which doesn’t consider the distinctive character of PTSD induced in military personnel by modern warfare. When this means</w:t>
      </w:r>
      <w:r w:rsidR="00D4063E" w:rsidRPr="00D4063E">
        <w:t xml:space="preserve"> </w:t>
      </w:r>
      <w:r w:rsidR="00D4063E" w:rsidRPr="00D4063E">
        <w:rPr>
          <w:lang w:eastAsia="en-AU"/>
        </w:rPr>
        <w:t xml:space="preserve">many genuine sufferers of PTSD induced by military service are going uncompensated because the way in which their mental illness manifests is not fitting within this </w:t>
      </w:r>
      <w:r w:rsidR="00D4063E">
        <w:rPr>
          <w:lang w:eastAsia="en-AU"/>
        </w:rPr>
        <w:t>inflexible</w:t>
      </w:r>
      <w:r w:rsidR="00D4063E" w:rsidRPr="00D4063E">
        <w:rPr>
          <w:lang w:eastAsia="en-AU"/>
        </w:rPr>
        <w:t xml:space="preserve"> understanding of the PTSD disease imposed on the Veteran’s Entitlement Scheme</w:t>
      </w:r>
      <w:r w:rsidR="00D4063E">
        <w:rPr>
          <w:lang w:eastAsia="en-AU"/>
        </w:rPr>
        <w:t>, we have a significant access to justice issue.</w:t>
      </w:r>
      <w:r w:rsidR="00755BA0">
        <w:rPr>
          <w:lang w:eastAsia="en-AU"/>
        </w:rPr>
        <w:t xml:space="preserve"> There are three ways in which the current structure and use of the PTSD SOP is failing military veterans. </w:t>
      </w:r>
    </w:p>
    <w:p w14:paraId="394F7772" w14:textId="6A231577" w:rsidR="00755BA0" w:rsidRDefault="00FA54C2" w:rsidP="00D474EA">
      <w:pPr>
        <w:rPr>
          <w:u w:val="single"/>
          <w:lang w:eastAsia="en-AU"/>
        </w:rPr>
      </w:pPr>
      <w:r>
        <w:rPr>
          <w:u w:val="single"/>
          <w:lang w:eastAsia="en-AU"/>
        </w:rPr>
        <w:t>The a</w:t>
      </w:r>
      <w:r w:rsidR="00962147" w:rsidRPr="00D474EA">
        <w:rPr>
          <w:u w:val="single"/>
          <w:lang w:eastAsia="en-AU"/>
        </w:rPr>
        <w:t xml:space="preserve">voidance criteria </w:t>
      </w:r>
      <w:r w:rsidR="00755BA0">
        <w:rPr>
          <w:u w:val="single"/>
          <w:lang w:eastAsia="en-AU"/>
        </w:rPr>
        <w:t>is inappropriate in the context of veteran diagnosis</w:t>
      </w:r>
    </w:p>
    <w:p w14:paraId="3E4C2F30" w14:textId="1A3D4293" w:rsidR="00755BA0" w:rsidRDefault="00755BA0" w:rsidP="00755BA0">
      <w:pPr>
        <w:rPr>
          <w:lang w:eastAsia="en-AU"/>
        </w:rPr>
      </w:pPr>
      <w:r>
        <w:rPr>
          <w:lang w:eastAsia="en-AU"/>
        </w:rPr>
        <w:t xml:space="preserve">How PTSD is defined and diagnosed underwent ‘substantial change’ in 2013 when the Diagnostic and Statistical </w:t>
      </w:r>
      <w:r w:rsidR="00FA54C2">
        <w:rPr>
          <w:lang w:eastAsia="en-AU"/>
        </w:rPr>
        <w:t>M</w:t>
      </w:r>
      <w:r>
        <w:rPr>
          <w:lang w:eastAsia="en-AU"/>
        </w:rPr>
        <w:t>anual of Mental Disorders issued DSM-5</w:t>
      </w:r>
      <w:r>
        <w:rPr>
          <w:rStyle w:val="FootnoteReference"/>
          <w:lang w:eastAsia="en-AU"/>
        </w:rPr>
        <w:footnoteReference w:id="11"/>
      </w:r>
      <w:r>
        <w:rPr>
          <w:lang w:eastAsia="en-AU"/>
        </w:rPr>
        <w:t>. One of the necessary symptoms was changed from avoidance OR numbing to avoidance AND numbing (i.e. a</w:t>
      </w:r>
      <w:r w:rsidR="00FA54C2">
        <w:rPr>
          <w:lang w:eastAsia="en-AU"/>
        </w:rPr>
        <w:t xml:space="preserve"> discrete</w:t>
      </w:r>
      <w:r>
        <w:rPr>
          <w:lang w:eastAsia="en-AU"/>
        </w:rPr>
        <w:t xml:space="preserve"> ‘avoidance’ symptom was now </w:t>
      </w:r>
      <w:r>
        <w:rPr>
          <w:u w:val="single"/>
          <w:lang w:eastAsia="en-AU"/>
        </w:rPr>
        <w:t xml:space="preserve">required </w:t>
      </w:r>
      <w:r>
        <w:rPr>
          <w:lang w:eastAsia="en-AU"/>
        </w:rPr>
        <w:t>to substantiate a diagnosis)</w:t>
      </w:r>
      <w:r>
        <w:rPr>
          <w:rStyle w:val="FootnoteReference"/>
          <w:lang w:eastAsia="en-AU"/>
        </w:rPr>
        <w:footnoteReference w:id="12"/>
      </w:r>
      <w:r>
        <w:rPr>
          <w:lang w:eastAsia="en-AU"/>
        </w:rPr>
        <w:t xml:space="preserve">. </w:t>
      </w:r>
      <w:r w:rsidR="00D159B6">
        <w:rPr>
          <w:lang w:eastAsia="en-AU"/>
        </w:rPr>
        <w:t>Reports have studied the differences in diagnosis under the two regimes</w:t>
      </w:r>
      <w:r w:rsidR="00A6635B">
        <w:rPr>
          <w:lang w:eastAsia="en-AU"/>
        </w:rPr>
        <w:t>’</w:t>
      </w:r>
      <w:r w:rsidR="00D159B6">
        <w:rPr>
          <w:lang w:eastAsia="en-AU"/>
        </w:rPr>
        <w:t xml:space="preserve"> </w:t>
      </w:r>
      <w:r w:rsidR="00FA54C2">
        <w:rPr>
          <w:lang w:eastAsia="en-AU"/>
        </w:rPr>
        <w:t>symptomatologic</w:t>
      </w:r>
      <w:r w:rsidR="00D159B6">
        <w:rPr>
          <w:lang w:eastAsia="en-AU"/>
        </w:rPr>
        <w:t xml:space="preserve"> criteria.</w:t>
      </w:r>
    </w:p>
    <w:p w14:paraId="41149347" w14:textId="44B05E8F" w:rsidR="00530EE3" w:rsidRDefault="00D159B6" w:rsidP="00530EE3">
      <w:pPr>
        <w:rPr>
          <w:lang w:eastAsia="en-AU"/>
        </w:rPr>
      </w:pPr>
      <w:r>
        <w:rPr>
          <w:lang w:eastAsia="en-AU"/>
        </w:rPr>
        <w:t>One study looked at 512 earthquake survivors in Italy and found only an 87.1% consistency rate between diagnoses under the 2 models</w:t>
      </w:r>
      <w:r>
        <w:rPr>
          <w:rStyle w:val="FootnoteReference"/>
          <w:lang w:eastAsia="en-AU"/>
        </w:rPr>
        <w:footnoteReference w:id="13"/>
      </w:r>
      <w:r>
        <w:rPr>
          <w:lang w:eastAsia="en-AU"/>
        </w:rPr>
        <w:t xml:space="preserve">. 87% </w:t>
      </w:r>
      <w:r w:rsidRPr="00DD4099">
        <w:rPr>
          <w:lang w:eastAsia="en-AU"/>
        </w:rPr>
        <w:t>of the inconsistent diagnoses that fulfilled DSM-</w:t>
      </w:r>
      <w:r w:rsidR="00FA54C2">
        <w:rPr>
          <w:lang w:eastAsia="en-AU"/>
        </w:rPr>
        <w:t>4</w:t>
      </w:r>
      <w:r w:rsidRPr="00DD4099">
        <w:rPr>
          <w:lang w:eastAsia="en-AU"/>
        </w:rPr>
        <w:t xml:space="preserve"> criteria but not DSM-5 criteria can be attributed to the subjects not fulfilling the new criterion C (active avoidance)</w:t>
      </w:r>
      <w:r w:rsidR="00146595">
        <w:rPr>
          <w:lang w:eastAsia="en-AU"/>
        </w:rPr>
        <w:t xml:space="preserve">. </w:t>
      </w:r>
      <w:r w:rsidR="00530EE3">
        <w:rPr>
          <w:lang w:eastAsia="en-AU"/>
        </w:rPr>
        <w:t xml:space="preserve">In a review of 1822 US soldiers (served in Iraq or Afghanistan so results comparable to Australian soldiers who had served in these combat zones), the results were </w:t>
      </w:r>
      <w:r w:rsidR="000F11E9">
        <w:rPr>
          <w:lang w:eastAsia="en-AU"/>
        </w:rPr>
        <w:t xml:space="preserve">very </w:t>
      </w:r>
      <w:r w:rsidR="00530EE3">
        <w:rPr>
          <w:lang w:eastAsia="en-AU"/>
        </w:rPr>
        <w:t>similar</w:t>
      </w:r>
      <w:r w:rsidR="00530EE3">
        <w:rPr>
          <w:rStyle w:val="FootnoteReference"/>
          <w:lang w:eastAsia="en-AU"/>
        </w:rPr>
        <w:footnoteReference w:id="14"/>
      </w:r>
      <w:r w:rsidR="00530EE3">
        <w:rPr>
          <w:lang w:eastAsia="en-AU"/>
        </w:rPr>
        <w:t>. The rate of PTSD diagnosis under the DSM-5 scheme and the repealed DSM-4 were very similar (12% vs 13% respectively), however, 30% of soldiers who would be diagnosed with PTSD under the previous scheme, would not receive diagnoses under the new model</w:t>
      </w:r>
      <w:r w:rsidR="00530EE3">
        <w:rPr>
          <w:rStyle w:val="FootnoteReference"/>
          <w:lang w:eastAsia="en-AU"/>
        </w:rPr>
        <w:footnoteReference w:id="15"/>
      </w:r>
      <w:r w:rsidR="00530EE3">
        <w:rPr>
          <w:lang w:eastAsia="en-AU"/>
        </w:rPr>
        <w:t>. For soldiers who met DSM-4 criteria but did not meet DSM-5 criteria, the most common reason was ‘not reporting one of two DSM-5 C avoidance symptoms’</w:t>
      </w:r>
      <w:r w:rsidR="00530EE3">
        <w:rPr>
          <w:rStyle w:val="FootnoteReference"/>
          <w:lang w:eastAsia="en-AU"/>
        </w:rPr>
        <w:footnoteReference w:id="16"/>
      </w:r>
      <w:r w:rsidR="00530EE3">
        <w:rPr>
          <w:lang w:eastAsia="en-AU"/>
        </w:rPr>
        <w:t>.</w:t>
      </w:r>
    </w:p>
    <w:p w14:paraId="4CB7747D" w14:textId="2D7EADBD" w:rsidR="001A221A" w:rsidRDefault="001A221A" w:rsidP="00530EE3">
      <w:pPr>
        <w:rPr>
          <w:lang w:eastAsia="en-AU"/>
        </w:rPr>
      </w:pPr>
      <w:r>
        <w:rPr>
          <w:lang w:eastAsia="en-AU"/>
        </w:rPr>
        <w:t>This new inclusion of a discrete avoidance criteria</w:t>
      </w:r>
      <w:r w:rsidR="000F11E9">
        <w:rPr>
          <w:lang w:eastAsia="en-AU"/>
        </w:rPr>
        <w:t>, where a PTSD diagnosis is contingent on ‘p</w:t>
      </w:r>
      <w:r w:rsidR="000F11E9">
        <w:rPr>
          <w:color w:val="000000"/>
          <w:shd w:val="clear" w:color="auto" w:fill="FFFFFF"/>
        </w:rPr>
        <w:t>ersistent avoidance of stimuli associated with the traumatic event(s)</w:t>
      </w:r>
      <w:r w:rsidR="000F11E9">
        <w:rPr>
          <w:lang w:eastAsia="en-AU"/>
        </w:rPr>
        <w:t>’</w:t>
      </w:r>
      <w:r w:rsidR="000F11E9">
        <w:rPr>
          <w:rStyle w:val="FootnoteReference"/>
          <w:lang w:eastAsia="en-AU"/>
        </w:rPr>
        <w:footnoteReference w:id="17"/>
      </w:r>
      <w:r w:rsidR="000F11E9">
        <w:rPr>
          <w:lang w:eastAsia="en-AU"/>
        </w:rPr>
        <w:t xml:space="preserve"> i</w:t>
      </w:r>
      <w:r>
        <w:rPr>
          <w:lang w:eastAsia="en-AU"/>
        </w:rPr>
        <w:t xml:space="preserve">s a stumbling block for </w:t>
      </w:r>
      <w:r>
        <w:rPr>
          <w:lang w:eastAsia="en-AU"/>
        </w:rPr>
        <w:lastRenderedPageBreak/>
        <w:t>civilian and military PTSD diagnosis. This isn’t justified given military personnel are taught to engage with trauma (war) head on, even re-experiencing past trauma with analysis and strategizin</w:t>
      </w:r>
      <w:r w:rsidR="005F087B">
        <w:rPr>
          <w:lang w:eastAsia="en-AU"/>
        </w:rPr>
        <w:t xml:space="preserve">g. For them, trauma is not a one-off, freak accident, but a day-to-day reality that they are employed to engage with. Reminders of their trauma, the war, are not something they can ‘avoid’, but are confronted with and asked to participate in, over and over again.  </w:t>
      </w:r>
    </w:p>
    <w:p w14:paraId="60ED6830" w14:textId="0291C26C" w:rsidR="006123EC" w:rsidRPr="00D474EA" w:rsidRDefault="00816853" w:rsidP="00816853">
      <w:pPr>
        <w:rPr>
          <w:rFonts w:eastAsia="Times New Roman" w:cstheme="minorHAnsi"/>
          <w:b/>
          <w:lang w:eastAsia="en-AU"/>
        </w:rPr>
      </w:pPr>
      <w:r>
        <w:rPr>
          <w:lang w:eastAsia="en-AU"/>
        </w:rPr>
        <w:t xml:space="preserve">The avoidance criteria is also problematic in </w:t>
      </w:r>
      <w:r w:rsidR="006123EC">
        <w:rPr>
          <w:rFonts w:eastAsia="Times New Roman" w:cstheme="minorHAnsi"/>
          <w:lang w:eastAsia="en-AU"/>
        </w:rPr>
        <w:t>instances where avoidance does not fit the ‘classic presentation’ and is instead a) not prominent b) manifests differently (with amnesia, dissociation, detachment, numbness) c) instead of avoidance, sufferers engage in intense repetition compulsions</w:t>
      </w:r>
      <w:r>
        <w:rPr>
          <w:rStyle w:val="FootnoteReference"/>
          <w:rFonts w:eastAsia="Times New Roman" w:cstheme="minorHAnsi"/>
          <w:lang w:eastAsia="en-AU"/>
        </w:rPr>
        <w:footnoteReference w:id="18"/>
      </w:r>
      <w:r>
        <w:rPr>
          <w:rFonts w:eastAsia="Times New Roman" w:cstheme="minorHAnsi"/>
          <w:lang w:eastAsia="en-AU"/>
        </w:rPr>
        <w:t xml:space="preserve">. </w:t>
      </w:r>
    </w:p>
    <w:p w14:paraId="7FED8A6E" w14:textId="77777777" w:rsidR="00D474EA" w:rsidRPr="00D474EA" w:rsidRDefault="00D474EA" w:rsidP="00D474EA">
      <w:pPr>
        <w:shd w:val="clear" w:color="auto" w:fill="FFFFFF"/>
        <w:spacing w:after="0" w:line="276" w:lineRule="auto"/>
        <w:rPr>
          <w:rFonts w:eastAsia="Times New Roman" w:cstheme="minorHAnsi"/>
          <w:b/>
          <w:lang w:eastAsia="en-AU"/>
        </w:rPr>
      </w:pPr>
    </w:p>
    <w:p w14:paraId="1ECD3FA3" w14:textId="49C194F4" w:rsidR="00816853" w:rsidRDefault="00D474EA" w:rsidP="00D474EA">
      <w:pPr>
        <w:shd w:val="clear" w:color="auto" w:fill="FFFFFF"/>
        <w:spacing w:after="0" w:line="276" w:lineRule="auto"/>
        <w:rPr>
          <w:rFonts w:eastAsia="Times New Roman" w:cstheme="minorHAnsi"/>
          <w:u w:val="single"/>
          <w:lang w:eastAsia="en-AU"/>
        </w:rPr>
      </w:pPr>
      <w:r w:rsidRPr="00D474EA">
        <w:rPr>
          <w:rFonts w:eastAsia="Times New Roman" w:cstheme="minorHAnsi"/>
          <w:u w:val="single"/>
          <w:lang w:eastAsia="en-AU"/>
        </w:rPr>
        <w:t>Compensation</w:t>
      </w:r>
      <w:r w:rsidR="00816853">
        <w:rPr>
          <w:rFonts w:eastAsia="Times New Roman" w:cstheme="minorHAnsi"/>
          <w:u w:val="single"/>
          <w:lang w:eastAsia="en-AU"/>
        </w:rPr>
        <w:t xml:space="preserve"> for</w:t>
      </w:r>
      <w:r w:rsidRPr="00D474EA">
        <w:rPr>
          <w:rFonts w:eastAsia="Times New Roman" w:cstheme="minorHAnsi"/>
          <w:u w:val="single"/>
          <w:lang w:eastAsia="en-AU"/>
        </w:rPr>
        <w:t xml:space="preserve"> complex </w:t>
      </w:r>
      <w:r w:rsidR="00816853">
        <w:rPr>
          <w:rFonts w:eastAsia="Times New Roman" w:cstheme="minorHAnsi"/>
          <w:u w:val="single"/>
          <w:lang w:eastAsia="en-AU"/>
        </w:rPr>
        <w:t>posttraumatic stress disorder</w:t>
      </w:r>
    </w:p>
    <w:p w14:paraId="3731F3BE" w14:textId="77777777" w:rsidR="00816853" w:rsidRDefault="00816853" w:rsidP="00D474EA">
      <w:pPr>
        <w:shd w:val="clear" w:color="auto" w:fill="FFFFFF"/>
        <w:spacing w:after="0" w:line="276" w:lineRule="auto"/>
        <w:rPr>
          <w:rFonts w:eastAsia="Times New Roman" w:cstheme="minorHAnsi"/>
          <w:u w:val="single"/>
          <w:lang w:eastAsia="en-AU"/>
        </w:rPr>
      </w:pPr>
    </w:p>
    <w:p w14:paraId="1ABFA694" w14:textId="48F11C36" w:rsidR="00D474EA" w:rsidRPr="00816853" w:rsidRDefault="00816853" w:rsidP="00D474EA">
      <w:pPr>
        <w:shd w:val="clear" w:color="auto" w:fill="FFFFFF"/>
        <w:spacing w:after="0" w:line="276" w:lineRule="auto"/>
        <w:rPr>
          <w:rFonts w:eastAsia="Times New Roman" w:cstheme="minorHAnsi"/>
          <w:lang w:eastAsia="en-AU"/>
        </w:rPr>
      </w:pPr>
      <w:r>
        <w:rPr>
          <w:rFonts w:eastAsia="Times New Roman" w:cstheme="minorHAnsi"/>
          <w:lang w:eastAsia="en-AU"/>
        </w:rPr>
        <w:t>Medical legislative instruments inadequately compensate for</w:t>
      </w:r>
      <w:r w:rsidR="00D474EA" w:rsidRPr="00816853">
        <w:rPr>
          <w:rFonts w:eastAsia="Times New Roman" w:cstheme="minorHAnsi"/>
          <w:lang w:eastAsia="en-AU"/>
        </w:rPr>
        <w:t xml:space="preserve"> PTSD induced by prolonged and repeated trauma</w:t>
      </w:r>
      <w:r>
        <w:rPr>
          <w:rFonts w:eastAsia="Times New Roman" w:cstheme="minorHAnsi"/>
          <w:lang w:eastAsia="en-AU"/>
        </w:rPr>
        <w:t xml:space="preserve">, and this leaves a </w:t>
      </w:r>
      <w:r w:rsidR="00D474EA" w:rsidRPr="00816853">
        <w:rPr>
          <w:rFonts w:eastAsia="Times New Roman" w:cstheme="minorHAnsi"/>
          <w:lang w:eastAsia="en-AU"/>
        </w:rPr>
        <w:t>diagnostic gap in DSM-5</w:t>
      </w:r>
      <w:r w:rsidR="003D1F25">
        <w:rPr>
          <w:rFonts w:eastAsia="Times New Roman" w:cstheme="minorHAnsi"/>
          <w:lang w:eastAsia="en-AU"/>
        </w:rPr>
        <w:t>,</w:t>
      </w:r>
      <w:r w:rsidR="00D474EA" w:rsidRPr="00816853">
        <w:rPr>
          <w:rFonts w:eastAsia="Times New Roman" w:cstheme="minorHAnsi"/>
          <w:lang w:eastAsia="en-AU"/>
        </w:rPr>
        <w:t xml:space="preserve"> </w:t>
      </w:r>
      <w:r>
        <w:rPr>
          <w:rFonts w:eastAsia="Times New Roman" w:cstheme="minorHAnsi"/>
          <w:lang w:eastAsia="en-AU"/>
        </w:rPr>
        <w:t>and therefore the SOP</w:t>
      </w:r>
      <w:r w:rsidR="003D1F25">
        <w:rPr>
          <w:rFonts w:eastAsia="Times New Roman" w:cstheme="minorHAnsi"/>
          <w:lang w:eastAsia="en-AU"/>
        </w:rPr>
        <w:t>,</w:t>
      </w:r>
      <w:r>
        <w:rPr>
          <w:rFonts w:eastAsia="Times New Roman" w:cstheme="minorHAnsi"/>
          <w:lang w:eastAsia="en-AU"/>
        </w:rPr>
        <w:t xml:space="preserve"> </w:t>
      </w:r>
      <w:r w:rsidR="00D474EA" w:rsidRPr="00816853">
        <w:rPr>
          <w:rFonts w:eastAsia="Times New Roman" w:cstheme="minorHAnsi"/>
          <w:lang w:eastAsia="en-AU"/>
        </w:rPr>
        <w:t xml:space="preserve">for </w:t>
      </w:r>
      <w:r>
        <w:rPr>
          <w:rFonts w:eastAsia="Times New Roman" w:cstheme="minorHAnsi"/>
          <w:u w:val="single"/>
          <w:lang w:eastAsia="en-AU"/>
        </w:rPr>
        <w:t xml:space="preserve">complex </w:t>
      </w:r>
      <w:r w:rsidR="00D474EA" w:rsidRPr="00816853">
        <w:rPr>
          <w:rFonts w:eastAsia="Times New Roman" w:cstheme="minorHAnsi"/>
          <w:lang w:eastAsia="en-AU"/>
        </w:rPr>
        <w:t>PTSD</w:t>
      </w:r>
      <w:r>
        <w:rPr>
          <w:rFonts w:eastAsia="Times New Roman" w:cstheme="minorHAnsi"/>
          <w:lang w:eastAsia="en-AU"/>
        </w:rPr>
        <w:t xml:space="preserve">. </w:t>
      </w:r>
    </w:p>
    <w:p w14:paraId="6A99EF32" w14:textId="77777777" w:rsidR="00267DA8" w:rsidRDefault="00267DA8" w:rsidP="003D1F25">
      <w:pPr>
        <w:rPr>
          <w:lang w:eastAsia="en-AU"/>
        </w:rPr>
      </w:pPr>
    </w:p>
    <w:p w14:paraId="17682D8A" w14:textId="77777777" w:rsidR="000F11E9" w:rsidRDefault="006123EC" w:rsidP="003D1F25">
      <w:pPr>
        <w:rPr>
          <w:lang w:eastAsia="en-AU"/>
        </w:rPr>
      </w:pPr>
      <w:r>
        <w:rPr>
          <w:lang w:eastAsia="en-AU"/>
        </w:rPr>
        <w:t>Complex posttraumatic stress disorder (CPSTD) describes a syndrome found in sufferers of ‘prolonged, repeated trauma’ and was first proposed in 1992 by Herman</w:t>
      </w:r>
      <w:r w:rsidR="003D1F25">
        <w:rPr>
          <w:rStyle w:val="FootnoteReference"/>
          <w:lang w:eastAsia="en-AU"/>
        </w:rPr>
        <w:footnoteReference w:id="19"/>
      </w:r>
      <w:r w:rsidR="003D1F25">
        <w:rPr>
          <w:lang w:eastAsia="en-AU"/>
        </w:rPr>
        <w:t xml:space="preserve">. </w:t>
      </w:r>
      <w:r>
        <w:rPr>
          <w:lang w:eastAsia="en-AU"/>
        </w:rPr>
        <w:t>Herman asserted that the traditional definition of PTSD did not adequately address this unique trauma exposure, that fit outside of traditional understandings of ‘circumscribed traumatic events’</w:t>
      </w:r>
      <w:r w:rsidR="003D1F25">
        <w:rPr>
          <w:rStyle w:val="FootnoteReference"/>
          <w:lang w:eastAsia="en-AU"/>
        </w:rPr>
        <w:footnoteReference w:id="20"/>
      </w:r>
      <w:r w:rsidR="003D1F25">
        <w:rPr>
          <w:lang w:eastAsia="en-AU"/>
        </w:rPr>
        <w:t xml:space="preserve">. </w:t>
      </w:r>
      <w:r>
        <w:rPr>
          <w:lang w:eastAsia="en-AU"/>
        </w:rPr>
        <w:t xml:space="preserve">Examples of complex trauma experiences was expanded in 2004 by </w:t>
      </w:r>
      <w:r w:rsidRPr="00655671">
        <w:rPr>
          <w:lang w:eastAsia="en-AU"/>
        </w:rPr>
        <w:t>Courtois to include “other types of catastrophic, deleterious, and entrapping traumatization occurring in childhood and/or adulthood, such as ongoing war</w:t>
      </w:r>
      <w:r>
        <w:rPr>
          <w:lang w:eastAsia="en-AU"/>
        </w:rPr>
        <w:t>…’</w:t>
      </w:r>
      <w:r w:rsidR="003D1F25">
        <w:rPr>
          <w:rStyle w:val="FootnoteReference"/>
          <w:lang w:eastAsia="en-AU"/>
        </w:rPr>
        <w:footnoteReference w:id="21"/>
      </w:r>
      <w:r w:rsidR="003D1F25">
        <w:rPr>
          <w:lang w:eastAsia="en-AU"/>
        </w:rPr>
        <w:t>.</w:t>
      </w:r>
    </w:p>
    <w:p w14:paraId="0DBA1B8F" w14:textId="72259788" w:rsidR="006123EC" w:rsidRDefault="003D1F25" w:rsidP="003D1F25">
      <w:pPr>
        <w:rPr>
          <w:lang w:eastAsia="en-AU"/>
        </w:rPr>
      </w:pPr>
      <w:r>
        <w:rPr>
          <w:lang w:eastAsia="en-AU"/>
        </w:rPr>
        <w:t xml:space="preserve">Ultimately, CPTSD is typical of exposure </w:t>
      </w:r>
      <w:r w:rsidR="000F11E9">
        <w:rPr>
          <w:lang w:eastAsia="en-AU"/>
        </w:rPr>
        <w:t>over</w:t>
      </w:r>
      <w:r w:rsidR="006123EC" w:rsidRPr="005062CC">
        <w:rPr>
          <w:lang w:eastAsia="en-AU"/>
        </w:rPr>
        <w:t xml:space="preserve"> a sustained period to repeated instances or multiple forms of trauma, </w:t>
      </w:r>
      <w:r w:rsidR="000F11E9">
        <w:rPr>
          <w:lang w:eastAsia="en-AU"/>
        </w:rPr>
        <w:t>‘</w:t>
      </w:r>
      <w:r w:rsidR="006123EC" w:rsidRPr="005062CC">
        <w:rPr>
          <w:lang w:eastAsia="en-AU"/>
        </w:rPr>
        <w:t>typically of an interpersonal nature, and occurring under circumstances where escape is not possible due to physical, psychological, maturational, environmental, or social constraints</w:t>
      </w:r>
      <w:r>
        <w:rPr>
          <w:lang w:eastAsia="en-AU"/>
        </w:rPr>
        <w:t>”</w:t>
      </w:r>
      <w:r>
        <w:rPr>
          <w:rStyle w:val="FootnoteReference"/>
          <w:lang w:eastAsia="en-AU"/>
        </w:rPr>
        <w:footnoteReference w:id="22"/>
      </w:r>
      <w:r>
        <w:rPr>
          <w:lang w:eastAsia="en-AU"/>
        </w:rPr>
        <w:t xml:space="preserve">. </w:t>
      </w:r>
      <w:r w:rsidR="006123EC">
        <w:rPr>
          <w:lang w:eastAsia="en-AU"/>
        </w:rPr>
        <w:t xml:space="preserve">This fits a common-sense understanding of modern warfare, particularly the counter-insurgency operations of Iraq and Afghanistan: </w:t>
      </w:r>
      <w:r w:rsidR="007F175C">
        <w:rPr>
          <w:lang w:eastAsia="en-AU"/>
        </w:rPr>
        <w:t>where conflict is less isolated instances of extreme violence, and more prolonged deployment in dangerous, foreign settings where a</w:t>
      </w:r>
      <w:r w:rsidR="003402C5">
        <w:rPr>
          <w:lang w:eastAsia="en-AU"/>
        </w:rPr>
        <w:t xml:space="preserve">n ill-defined </w:t>
      </w:r>
      <w:r w:rsidR="007F175C">
        <w:rPr>
          <w:lang w:eastAsia="en-AU"/>
        </w:rPr>
        <w:t>enemy, the use of technology</w:t>
      </w:r>
      <w:r w:rsidR="00D30D0A">
        <w:rPr>
          <w:lang w:eastAsia="en-AU"/>
        </w:rPr>
        <w:t xml:space="preserve">, the rise non-state actors, </w:t>
      </w:r>
      <w:r w:rsidR="007F175C">
        <w:rPr>
          <w:lang w:eastAsia="en-AU"/>
        </w:rPr>
        <w:t xml:space="preserve">creates an insidious, ever-present fear that may not actualise in any one single </w:t>
      </w:r>
      <w:r w:rsidR="003402C5">
        <w:rPr>
          <w:lang w:eastAsia="en-AU"/>
        </w:rPr>
        <w:t>‘</w:t>
      </w:r>
      <w:r w:rsidR="007F175C">
        <w:rPr>
          <w:lang w:eastAsia="en-AU"/>
        </w:rPr>
        <w:t>trauma</w:t>
      </w:r>
      <w:r w:rsidR="003402C5">
        <w:rPr>
          <w:lang w:eastAsia="en-AU"/>
        </w:rPr>
        <w:t>’</w:t>
      </w:r>
      <w:r w:rsidR="007F175C">
        <w:rPr>
          <w:lang w:eastAsia="en-AU"/>
        </w:rPr>
        <w:t xml:space="preserve">. Because troops are ‘deployed’ to this, ‘escape’ is unlikely: war is their occupation. </w:t>
      </w:r>
    </w:p>
    <w:p w14:paraId="58C23F6A" w14:textId="454F3C57" w:rsidR="006123EC" w:rsidRDefault="006123EC" w:rsidP="007F175C">
      <w:pPr>
        <w:rPr>
          <w:lang w:eastAsia="en-AU"/>
        </w:rPr>
      </w:pPr>
      <w:r>
        <w:rPr>
          <w:lang w:eastAsia="en-AU"/>
        </w:rPr>
        <w:t>There is a case to be made for an individual CPTSD diagnosis based on symptomology (especially in a military context)</w:t>
      </w:r>
      <w:r w:rsidR="00AD6A8D">
        <w:rPr>
          <w:lang w:eastAsia="en-AU"/>
        </w:rPr>
        <w:t xml:space="preserve"> but more research is required</w:t>
      </w:r>
      <w:r w:rsidR="007F175C">
        <w:rPr>
          <w:lang w:eastAsia="en-AU"/>
        </w:rPr>
        <w:t xml:space="preserve">. </w:t>
      </w:r>
      <w:r w:rsidR="00D12CA3">
        <w:rPr>
          <w:lang w:eastAsia="en-AU"/>
        </w:rPr>
        <w:t xml:space="preserve">Despite </w:t>
      </w:r>
      <w:r>
        <w:rPr>
          <w:lang w:eastAsia="en-AU"/>
        </w:rPr>
        <w:t>overlap between PTSD and CPTSD core symptoms</w:t>
      </w:r>
      <w:r w:rsidR="00D12CA3">
        <w:rPr>
          <w:lang w:eastAsia="en-AU"/>
        </w:rPr>
        <w:t>, expressions</w:t>
      </w:r>
      <w:r>
        <w:rPr>
          <w:lang w:eastAsia="en-AU"/>
        </w:rPr>
        <w:t xml:space="preserve"> of 1) change from previous personality and 2) loss of previously sustaining beliefs</w:t>
      </w:r>
      <w:r w:rsidR="000F11E9">
        <w:rPr>
          <w:lang w:eastAsia="en-AU"/>
        </w:rPr>
        <w:t>,</w:t>
      </w:r>
      <w:r>
        <w:rPr>
          <w:lang w:eastAsia="en-AU"/>
        </w:rPr>
        <w:t xml:space="preserve"> could set CPTSD apart as a distinct diagnosis</w:t>
      </w:r>
      <w:r w:rsidR="007F175C">
        <w:rPr>
          <w:lang w:eastAsia="en-AU"/>
        </w:rPr>
        <w:t>. This could be particularly important for veterans of 21</w:t>
      </w:r>
      <w:r w:rsidR="007F175C" w:rsidRPr="007F175C">
        <w:rPr>
          <w:vertAlign w:val="superscript"/>
          <w:lang w:eastAsia="en-AU"/>
        </w:rPr>
        <w:t>st</w:t>
      </w:r>
      <w:r w:rsidR="007F175C">
        <w:rPr>
          <w:lang w:eastAsia="en-AU"/>
        </w:rPr>
        <w:t xml:space="preserve"> century war who report significant moral dilemmas and change in personal moral convictions after repeated involvement in the ‘asymmetries’ of counter-insurgency</w:t>
      </w:r>
      <w:r w:rsidR="007F175C">
        <w:rPr>
          <w:rStyle w:val="FootnoteReference"/>
          <w:lang w:eastAsia="en-AU"/>
        </w:rPr>
        <w:footnoteReference w:id="23"/>
      </w:r>
      <w:r w:rsidR="00267DA8">
        <w:rPr>
          <w:lang w:eastAsia="en-AU"/>
        </w:rPr>
        <w:t>.</w:t>
      </w:r>
    </w:p>
    <w:p w14:paraId="2B7FDFE4" w14:textId="0C36CF1A" w:rsidR="00D474EA" w:rsidRDefault="00D474EA" w:rsidP="003D1F25">
      <w:pPr>
        <w:shd w:val="clear" w:color="auto" w:fill="FFFFFF"/>
        <w:spacing w:after="0" w:line="276" w:lineRule="auto"/>
        <w:rPr>
          <w:rFonts w:eastAsia="Times New Roman" w:cstheme="minorHAnsi"/>
          <w:lang w:eastAsia="en-AU"/>
        </w:rPr>
      </w:pPr>
      <w:r w:rsidRPr="003D1F25">
        <w:rPr>
          <w:rFonts w:eastAsia="Times New Roman" w:cstheme="minorHAnsi"/>
          <w:lang w:eastAsia="en-AU"/>
        </w:rPr>
        <w:lastRenderedPageBreak/>
        <w:t xml:space="preserve">It is at least possible that a) complex PTSD is a distinct mental illness and should have its separate test for diagnosis and symptoms as well as precisely tailored rehabilitation </w:t>
      </w:r>
      <w:r w:rsidR="00470803" w:rsidRPr="003D1F25">
        <w:rPr>
          <w:rFonts w:eastAsia="Times New Roman" w:cstheme="minorHAnsi"/>
          <w:lang w:eastAsia="en-AU"/>
        </w:rPr>
        <w:t>initiatives</w:t>
      </w:r>
      <w:r w:rsidR="007F175C">
        <w:rPr>
          <w:rFonts w:eastAsia="Times New Roman" w:cstheme="minorHAnsi"/>
          <w:lang w:eastAsia="en-AU"/>
        </w:rPr>
        <w:t xml:space="preserve"> and b) </w:t>
      </w:r>
      <w:r w:rsidR="000F11E9">
        <w:rPr>
          <w:rFonts w:eastAsia="Times New Roman" w:cstheme="minorHAnsi"/>
          <w:lang w:eastAsia="en-AU"/>
        </w:rPr>
        <w:t xml:space="preserve">that </w:t>
      </w:r>
      <w:r w:rsidR="007F175C">
        <w:rPr>
          <w:rFonts w:eastAsia="Times New Roman" w:cstheme="minorHAnsi"/>
          <w:lang w:eastAsia="en-AU"/>
        </w:rPr>
        <w:t>military personnel have a predisposition to contracting this form of PTSD</w:t>
      </w:r>
      <w:r w:rsidRPr="003D1F25">
        <w:rPr>
          <w:rFonts w:eastAsia="Times New Roman" w:cstheme="minorHAnsi"/>
          <w:lang w:eastAsia="en-AU"/>
        </w:rPr>
        <w:t>. At the very least this should be investigated and researched further, specifically amongst returned veterans</w:t>
      </w:r>
      <w:r w:rsidR="00267DA8">
        <w:rPr>
          <w:rFonts w:eastAsia="Times New Roman" w:cstheme="minorHAnsi"/>
          <w:lang w:eastAsia="en-AU"/>
        </w:rPr>
        <w:t>.</w:t>
      </w:r>
    </w:p>
    <w:p w14:paraId="786287C6" w14:textId="77777777" w:rsidR="00267DA8" w:rsidRPr="003D1F25" w:rsidRDefault="00267DA8" w:rsidP="003D1F25">
      <w:pPr>
        <w:shd w:val="clear" w:color="auto" w:fill="FFFFFF"/>
        <w:spacing w:after="0" w:line="276" w:lineRule="auto"/>
        <w:rPr>
          <w:rFonts w:eastAsia="Times New Roman" w:cstheme="minorHAnsi"/>
          <w:lang w:eastAsia="en-AU"/>
        </w:rPr>
      </w:pPr>
    </w:p>
    <w:p w14:paraId="7034EE8C" w14:textId="7EF5FBB7" w:rsidR="006123EC" w:rsidRDefault="006123EC" w:rsidP="00D474EA">
      <w:pPr>
        <w:pStyle w:val="ListParagraph"/>
        <w:ind w:left="405"/>
        <w:rPr>
          <w:lang w:eastAsia="en-AU"/>
        </w:rPr>
      </w:pPr>
    </w:p>
    <w:p w14:paraId="3DC692C4" w14:textId="77777777" w:rsidR="00EB3A79" w:rsidRDefault="00EB3A79" w:rsidP="00D474EA">
      <w:pPr>
        <w:pStyle w:val="ListParagraph"/>
        <w:ind w:left="405"/>
        <w:rPr>
          <w:lang w:eastAsia="en-AU"/>
        </w:rPr>
      </w:pPr>
    </w:p>
    <w:p w14:paraId="1E6B3CF1" w14:textId="2C1AD186" w:rsidR="00962147" w:rsidRDefault="00962147" w:rsidP="00D474EA">
      <w:pPr>
        <w:rPr>
          <w:u w:val="single"/>
          <w:lang w:eastAsia="en-AU"/>
        </w:rPr>
      </w:pPr>
      <w:r w:rsidRPr="00D474EA">
        <w:rPr>
          <w:u w:val="single"/>
          <w:lang w:eastAsia="en-AU"/>
        </w:rPr>
        <w:t>Rigid</w:t>
      </w:r>
      <w:r w:rsidR="00EB3A79">
        <w:rPr>
          <w:u w:val="single"/>
          <w:lang w:eastAsia="en-AU"/>
        </w:rPr>
        <w:t xml:space="preserve"> </w:t>
      </w:r>
      <w:r w:rsidRPr="00D474EA">
        <w:rPr>
          <w:u w:val="single"/>
          <w:lang w:eastAsia="en-AU"/>
        </w:rPr>
        <w:t>use of the</w:t>
      </w:r>
      <w:r w:rsidR="00EB3A79">
        <w:rPr>
          <w:u w:val="single"/>
          <w:lang w:eastAsia="en-AU"/>
        </w:rPr>
        <w:t xml:space="preserve"> PTSD statement of principles d</w:t>
      </w:r>
      <w:r w:rsidR="0078184E" w:rsidRPr="00D474EA">
        <w:rPr>
          <w:u w:val="single"/>
          <w:lang w:eastAsia="en-AU"/>
        </w:rPr>
        <w:t xml:space="preserve">oes not leave room for the invariable nuance of stress-related mental illness (and psychological injury generally) </w:t>
      </w:r>
    </w:p>
    <w:p w14:paraId="2662C931" w14:textId="1DCB75C5" w:rsidR="00802220" w:rsidRPr="00267DA8" w:rsidRDefault="00355608" w:rsidP="00EB3A79">
      <w:pPr>
        <w:shd w:val="clear" w:color="auto" w:fill="FFFFFF"/>
        <w:spacing w:after="0" w:line="276" w:lineRule="auto"/>
        <w:rPr>
          <w:rFonts w:eastAsia="Times New Roman" w:cstheme="minorHAnsi"/>
          <w:lang w:eastAsia="en-AU"/>
        </w:rPr>
      </w:pPr>
      <w:r w:rsidRPr="00EB3A79">
        <w:rPr>
          <w:rFonts w:eastAsia="Times New Roman" w:cstheme="minorHAnsi"/>
          <w:lang w:eastAsia="en-AU"/>
        </w:rPr>
        <w:t xml:space="preserve">Submissions to the </w:t>
      </w:r>
      <w:r w:rsidR="00267DA8" w:rsidRPr="00EB3A79">
        <w:rPr>
          <w:rFonts w:eastAsia="Times New Roman" w:cstheme="minorHAnsi"/>
          <w:lang w:eastAsia="en-AU"/>
        </w:rPr>
        <w:t xml:space="preserve">parliamentary </w:t>
      </w:r>
      <w:r w:rsidRPr="00EB3A79">
        <w:rPr>
          <w:rFonts w:eastAsia="Times New Roman" w:cstheme="minorHAnsi"/>
          <w:lang w:eastAsia="en-AU"/>
        </w:rPr>
        <w:t>committee</w:t>
      </w:r>
      <w:r w:rsidR="00267DA8" w:rsidRPr="00EB3A79">
        <w:rPr>
          <w:rFonts w:eastAsia="Times New Roman" w:cstheme="minorHAnsi"/>
          <w:lang w:eastAsia="en-AU"/>
        </w:rPr>
        <w:t xml:space="preserve">’s review of veteran mental health </w:t>
      </w:r>
      <w:r w:rsidRPr="00EB3A79">
        <w:rPr>
          <w:rFonts w:eastAsia="Times New Roman" w:cstheme="minorHAnsi"/>
          <w:lang w:eastAsia="en-AU"/>
        </w:rPr>
        <w:t>consistently criticised the regimes lack of flexibility when considering causation claims and recommended that the RMA be given the discretion to accept liability for a claim where there is ‘substantial compliance’ with the SOP’s</w:t>
      </w:r>
      <w:r w:rsidR="00267DA8">
        <w:rPr>
          <w:rStyle w:val="FootnoteReference"/>
          <w:rFonts w:eastAsia="Times New Roman" w:cstheme="minorHAnsi"/>
          <w:lang w:eastAsia="en-AU"/>
        </w:rPr>
        <w:footnoteReference w:id="24"/>
      </w:r>
      <w:r w:rsidR="00EB3A79">
        <w:rPr>
          <w:rFonts w:eastAsia="Times New Roman" w:cstheme="minorHAnsi"/>
          <w:lang w:eastAsia="en-AU"/>
        </w:rPr>
        <w:t xml:space="preserve"> and this submission concurs. Diagnostic Manuals should always be textured by the clinical experience and opinions of medical professionals, and the Statement of Principles should be interpreted with more </w:t>
      </w:r>
      <w:r w:rsidR="000F11E9">
        <w:rPr>
          <w:rFonts w:eastAsia="Times New Roman" w:cstheme="minorHAnsi"/>
          <w:lang w:eastAsia="en-AU"/>
        </w:rPr>
        <w:t xml:space="preserve">flexibility </w:t>
      </w:r>
      <w:r w:rsidR="00EB3A79">
        <w:rPr>
          <w:rFonts w:eastAsia="Times New Roman" w:cstheme="minorHAnsi"/>
          <w:lang w:eastAsia="en-AU"/>
        </w:rPr>
        <w:t xml:space="preserve">by the Repatriation Medical Authority. Without this, it’s impossible to </w:t>
      </w:r>
      <w:r w:rsidR="00802220" w:rsidRPr="00267DA8">
        <w:rPr>
          <w:rFonts w:eastAsia="Times New Roman" w:cstheme="minorHAnsi"/>
          <w:lang w:eastAsia="en-AU"/>
        </w:rPr>
        <w:t xml:space="preserve">acknowledge the nuance of the </w:t>
      </w:r>
      <w:r w:rsidR="00EB3A79">
        <w:rPr>
          <w:rFonts w:eastAsia="Times New Roman" w:cstheme="minorHAnsi"/>
          <w:lang w:eastAsia="en-AU"/>
        </w:rPr>
        <w:t xml:space="preserve">posttraumatic stress </w:t>
      </w:r>
      <w:r w:rsidR="00802220" w:rsidRPr="00267DA8">
        <w:rPr>
          <w:rFonts w:eastAsia="Times New Roman" w:cstheme="minorHAnsi"/>
          <w:lang w:eastAsia="en-AU"/>
        </w:rPr>
        <w:t>disorder: trauma is subjective and best defined by a person’s reaction to an event as opposed to the event itself</w:t>
      </w:r>
      <w:r w:rsidR="000C2F9B">
        <w:rPr>
          <w:rStyle w:val="FootnoteReference"/>
          <w:rFonts w:eastAsia="Times New Roman" w:cstheme="minorHAnsi"/>
          <w:lang w:eastAsia="en-AU"/>
        </w:rPr>
        <w:footnoteReference w:id="25"/>
      </w:r>
      <w:r w:rsidR="00EB3A79">
        <w:rPr>
          <w:rFonts w:eastAsia="Times New Roman" w:cstheme="minorHAnsi"/>
          <w:lang w:eastAsia="en-AU"/>
        </w:rPr>
        <w:t xml:space="preserve">. </w:t>
      </w:r>
    </w:p>
    <w:p w14:paraId="722A25A0" w14:textId="77777777" w:rsidR="00267DA8" w:rsidRDefault="00267DA8" w:rsidP="00267DA8">
      <w:pPr>
        <w:pStyle w:val="ListParagraph"/>
        <w:shd w:val="clear" w:color="auto" w:fill="FFFFFF"/>
        <w:spacing w:after="0" w:line="276" w:lineRule="auto"/>
        <w:ind w:left="420"/>
        <w:rPr>
          <w:rFonts w:eastAsia="Times New Roman" w:cstheme="minorHAnsi"/>
          <w:lang w:eastAsia="en-AU"/>
        </w:rPr>
      </w:pPr>
    </w:p>
    <w:p w14:paraId="432B505A" w14:textId="6FB6529A" w:rsidR="00122ED4" w:rsidRDefault="00122ED4" w:rsidP="00267DA8">
      <w:pPr>
        <w:pStyle w:val="ListParagraph"/>
        <w:shd w:val="clear" w:color="auto" w:fill="FFFFFF"/>
        <w:spacing w:after="0" w:line="276" w:lineRule="auto"/>
        <w:ind w:left="420"/>
        <w:rPr>
          <w:rFonts w:eastAsia="Times New Roman" w:cstheme="minorHAnsi"/>
          <w:lang w:eastAsia="en-AU"/>
        </w:rPr>
      </w:pPr>
    </w:p>
    <w:p w14:paraId="408BC9D8" w14:textId="77777777" w:rsidR="00122ED4" w:rsidRDefault="00122ED4" w:rsidP="00267DA8">
      <w:pPr>
        <w:pStyle w:val="ListParagraph"/>
        <w:shd w:val="clear" w:color="auto" w:fill="FFFFFF"/>
        <w:spacing w:after="0" w:line="276" w:lineRule="auto"/>
        <w:ind w:left="420"/>
        <w:rPr>
          <w:rFonts w:eastAsia="Times New Roman" w:cstheme="minorHAnsi"/>
          <w:lang w:eastAsia="en-AU"/>
        </w:rPr>
      </w:pPr>
    </w:p>
    <w:p w14:paraId="638BB1AA" w14:textId="4A58A785" w:rsidR="00653D40" w:rsidRDefault="00653D40" w:rsidP="00653D40">
      <w:pPr>
        <w:shd w:val="clear" w:color="auto" w:fill="FFFFFF"/>
        <w:spacing w:after="0" w:line="276" w:lineRule="auto"/>
        <w:rPr>
          <w:rFonts w:eastAsia="Times New Roman" w:cstheme="minorHAnsi"/>
          <w:lang w:eastAsia="en-AU"/>
        </w:rPr>
      </w:pPr>
    </w:p>
    <w:p w14:paraId="64CE42AA" w14:textId="0A156CA1" w:rsidR="008E53E6" w:rsidRDefault="00F15903" w:rsidP="00AF255C">
      <w:pPr>
        <w:rPr>
          <w:rFonts w:eastAsia="Times New Roman" w:cstheme="minorHAnsi"/>
          <w:lang w:eastAsia="en-AU"/>
        </w:rPr>
      </w:pPr>
      <w:r>
        <w:t xml:space="preserve">To conclude, the area of military compensation and </w:t>
      </w:r>
      <w:r w:rsidR="00122ED4">
        <w:t>veteran’s</w:t>
      </w:r>
      <w:r>
        <w:t xml:space="preserve"> entitlement law requires the following: more academic research, encouraged by </w:t>
      </w:r>
      <w:r w:rsidR="00656959" w:rsidRPr="00F15903">
        <w:rPr>
          <w:rFonts w:eastAsia="Times New Roman" w:cstheme="minorHAnsi"/>
          <w:lang w:eastAsia="en-AU"/>
        </w:rPr>
        <w:t>fellowships, fund</w:t>
      </w:r>
      <w:r>
        <w:rPr>
          <w:rFonts w:eastAsia="Times New Roman" w:cstheme="minorHAnsi"/>
          <w:lang w:eastAsia="en-AU"/>
        </w:rPr>
        <w:t>ing</w:t>
      </w:r>
      <w:r w:rsidR="00656959" w:rsidRPr="00F15903">
        <w:rPr>
          <w:rFonts w:eastAsia="Times New Roman" w:cstheme="minorHAnsi"/>
          <w:lang w:eastAsia="en-AU"/>
        </w:rPr>
        <w:t xml:space="preserve"> honours thes</w:t>
      </w:r>
      <w:r w:rsidR="00122ED4">
        <w:rPr>
          <w:rFonts w:eastAsia="Times New Roman" w:cstheme="minorHAnsi"/>
          <w:lang w:eastAsia="en-AU"/>
        </w:rPr>
        <w:t>e</w:t>
      </w:r>
      <w:r w:rsidR="00656959" w:rsidRPr="00F15903">
        <w:rPr>
          <w:rFonts w:eastAsia="Times New Roman" w:cstheme="minorHAnsi"/>
          <w:lang w:eastAsia="en-AU"/>
        </w:rPr>
        <w:t>s and further study</w:t>
      </w:r>
      <w:r w:rsidR="00A56141">
        <w:rPr>
          <w:rFonts w:eastAsia="Times New Roman" w:cstheme="minorHAnsi"/>
          <w:lang w:eastAsia="en-AU"/>
        </w:rPr>
        <w:t>, particularly into the kinds of mental illness suffered by veterans, and how best to treat and rehabilitate veterans of modern warfare</w:t>
      </w:r>
      <w:r w:rsidR="00656959" w:rsidRPr="00F15903">
        <w:rPr>
          <w:rFonts w:eastAsia="Times New Roman" w:cstheme="minorHAnsi"/>
          <w:lang w:eastAsia="en-AU"/>
        </w:rPr>
        <w:t xml:space="preserve">. </w:t>
      </w:r>
      <w:r>
        <w:rPr>
          <w:rFonts w:eastAsia="Times New Roman" w:cstheme="minorHAnsi"/>
          <w:lang w:eastAsia="en-AU"/>
        </w:rPr>
        <w:t>This is s</w:t>
      </w:r>
      <w:r w:rsidR="00656959" w:rsidRPr="00F15903">
        <w:rPr>
          <w:rFonts w:eastAsia="Times New Roman" w:cstheme="minorHAnsi"/>
          <w:lang w:eastAsia="en-AU"/>
        </w:rPr>
        <w:t xml:space="preserve">uch an emotionally charged area at the moment and </w:t>
      </w:r>
      <w:r>
        <w:rPr>
          <w:rFonts w:eastAsia="Times New Roman" w:cstheme="minorHAnsi"/>
          <w:lang w:eastAsia="en-AU"/>
        </w:rPr>
        <w:t>we</w:t>
      </w:r>
      <w:r w:rsidR="00656959" w:rsidRPr="00F15903">
        <w:rPr>
          <w:rFonts w:eastAsia="Times New Roman" w:cstheme="minorHAnsi"/>
          <w:lang w:eastAsia="en-AU"/>
        </w:rPr>
        <w:t xml:space="preserve"> need to inject rationality and apolitical assessment</w:t>
      </w:r>
      <w:r w:rsidR="00AF255C">
        <w:rPr>
          <w:rFonts w:eastAsia="Times New Roman" w:cstheme="minorHAnsi"/>
          <w:lang w:eastAsia="en-AU"/>
        </w:rPr>
        <w:t xml:space="preserve"> by prioritising an</w:t>
      </w:r>
      <w:r w:rsidR="00ED5741" w:rsidRPr="00F15903">
        <w:rPr>
          <w:rFonts w:eastAsia="Times New Roman" w:cstheme="minorHAnsi"/>
          <w:lang w:eastAsia="en-AU"/>
        </w:rPr>
        <w:t xml:space="preserve"> ecosystem of academic literature that </w:t>
      </w:r>
      <w:r w:rsidR="00122ED4">
        <w:rPr>
          <w:rFonts w:eastAsia="Times New Roman" w:cstheme="minorHAnsi"/>
          <w:lang w:eastAsia="en-AU"/>
        </w:rPr>
        <w:t>studies</w:t>
      </w:r>
      <w:r w:rsidR="00ED5741" w:rsidRPr="00F15903">
        <w:rPr>
          <w:rFonts w:eastAsia="Times New Roman" w:cstheme="minorHAnsi"/>
          <w:lang w:eastAsia="en-AU"/>
        </w:rPr>
        <w:t xml:space="preserve"> veteran entitlements</w:t>
      </w:r>
      <w:r w:rsidR="0020152F">
        <w:rPr>
          <w:rFonts w:eastAsia="Times New Roman" w:cstheme="minorHAnsi"/>
          <w:lang w:eastAsia="en-AU"/>
        </w:rPr>
        <w:t xml:space="preserve"> and disabilities</w:t>
      </w:r>
      <w:r w:rsidR="00ED5741" w:rsidRPr="00F15903">
        <w:rPr>
          <w:rFonts w:eastAsia="Times New Roman" w:cstheme="minorHAnsi"/>
          <w:lang w:eastAsia="en-AU"/>
        </w:rPr>
        <w:t xml:space="preserve"> on an ongoing basis, instead of reactionary and politically charged </w:t>
      </w:r>
      <w:r w:rsidR="00122ED4">
        <w:rPr>
          <w:rFonts w:eastAsia="Times New Roman" w:cstheme="minorHAnsi"/>
          <w:lang w:eastAsia="en-AU"/>
        </w:rPr>
        <w:t>r</w:t>
      </w:r>
      <w:r w:rsidR="00ED5741" w:rsidRPr="00F15903">
        <w:rPr>
          <w:rFonts w:eastAsia="Times New Roman" w:cstheme="minorHAnsi"/>
          <w:lang w:eastAsia="en-AU"/>
        </w:rPr>
        <w:t>eviews</w:t>
      </w:r>
      <w:r w:rsidR="00AF255C">
        <w:rPr>
          <w:rFonts w:eastAsia="Times New Roman" w:cstheme="minorHAnsi"/>
          <w:lang w:eastAsia="en-AU"/>
        </w:rPr>
        <w:t>. Any reform will also require b</w:t>
      </w:r>
      <w:r w:rsidR="00ED5741">
        <w:rPr>
          <w:rFonts w:eastAsia="Times New Roman" w:cstheme="minorHAnsi"/>
          <w:lang w:eastAsia="en-AU"/>
        </w:rPr>
        <w:t xml:space="preserve">ipartisanship </w:t>
      </w:r>
      <w:r w:rsidR="00AF255C">
        <w:rPr>
          <w:rFonts w:eastAsia="Times New Roman" w:cstheme="minorHAnsi"/>
          <w:lang w:eastAsia="en-AU"/>
        </w:rPr>
        <w:t>because we</w:t>
      </w:r>
      <w:r w:rsidR="00ED5741">
        <w:rPr>
          <w:rFonts w:eastAsia="Times New Roman" w:cstheme="minorHAnsi"/>
          <w:lang w:eastAsia="en-AU"/>
        </w:rPr>
        <w:t xml:space="preserve"> cannot have Military Compensation falling victim to the ebbs and flows of electoral cycles</w:t>
      </w:r>
      <w:r w:rsidR="00AF255C">
        <w:rPr>
          <w:rFonts w:eastAsia="Times New Roman" w:cstheme="minorHAnsi"/>
          <w:lang w:eastAsia="en-AU"/>
        </w:rPr>
        <w:t>: w</w:t>
      </w:r>
      <w:r w:rsidR="00ED5741">
        <w:rPr>
          <w:rFonts w:eastAsia="Times New Roman" w:cstheme="minorHAnsi"/>
          <w:lang w:eastAsia="en-AU"/>
        </w:rPr>
        <w:t>e need long-term national strategy</w:t>
      </w:r>
      <w:r w:rsidR="00AF255C">
        <w:rPr>
          <w:rFonts w:eastAsia="Times New Roman" w:cstheme="minorHAnsi"/>
          <w:lang w:eastAsia="en-AU"/>
        </w:rPr>
        <w:t xml:space="preserve">. </w:t>
      </w:r>
    </w:p>
    <w:p w14:paraId="6334265F" w14:textId="7EFF897A" w:rsidR="00F15903" w:rsidRDefault="00AF255C" w:rsidP="00F15903">
      <w:r>
        <w:rPr>
          <w:rFonts w:eastAsia="Times New Roman" w:cstheme="minorHAnsi"/>
          <w:lang w:eastAsia="en-AU"/>
        </w:rPr>
        <w:t>At a broader abstraction, we need a genuine</w:t>
      </w:r>
      <w:r w:rsidR="005D59BB">
        <w:rPr>
          <w:rFonts w:eastAsia="Times New Roman" w:cstheme="minorHAnsi"/>
          <w:lang w:eastAsia="en-AU"/>
        </w:rPr>
        <w:t xml:space="preserve"> system of rehab</w:t>
      </w:r>
      <w:r>
        <w:rPr>
          <w:rFonts w:eastAsia="Times New Roman" w:cstheme="minorHAnsi"/>
          <w:lang w:eastAsia="en-AU"/>
        </w:rPr>
        <w:t>iliation</w:t>
      </w:r>
      <w:r w:rsidR="005D59BB">
        <w:rPr>
          <w:rFonts w:eastAsia="Times New Roman" w:cstheme="minorHAnsi"/>
          <w:lang w:eastAsia="en-AU"/>
        </w:rPr>
        <w:t xml:space="preserve"> and compensation</w:t>
      </w:r>
      <w:r w:rsidR="00653D40">
        <w:rPr>
          <w:rFonts w:eastAsia="Times New Roman" w:cstheme="minorHAnsi"/>
          <w:lang w:eastAsia="en-AU"/>
        </w:rPr>
        <w:t xml:space="preserve"> based on respect</w:t>
      </w:r>
      <w:r w:rsidR="00122ED4">
        <w:rPr>
          <w:rFonts w:eastAsia="Times New Roman" w:cstheme="minorHAnsi"/>
          <w:lang w:eastAsia="en-AU"/>
        </w:rPr>
        <w:t>, and</w:t>
      </w:r>
      <w:r w:rsidR="00653D40">
        <w:rPr>
          <w:rFonts w:eastAsia="Times New Roman" w:cstheme="minorHAnsi"/>
          <w:lang w:eastAsia="en-AU"/>
        </w:rPr>
        <w:t xml:space="preserve"> </w:t>
      </w:r>
      <w:r w:rsidR="0020152F">
        <w:rPr>
          <w:rFonts w:eastAsia="Times New Roman" w:cstheme="minorHAnsi"/>
          <w:lang w:eastAsia="en-AU"/>
        </w:rPr>
        <w:t xml:space="preserve">a </w:t>
      </w:r>
      <w:r w:rsidR="00653D40">
        <w:rPr>
          <w:rFonts w:eastAsia="Times New Roman" w:cstheme="minorHAnsi"/>
          <w:lang w:eastAsia="en-AU"/>
        </w:rPr>
        <w:t>real</w:t>
      </w:r>
      <w:r w:rsidR="00122ED4">
        <w:rPr>
          <w:rFonts w:eastAsia="Times New Roman" w:cstheme="minorHAnsi"/>
          <w:lang w:eastAsia="en-AU"/>
        </w:rPr>
        <w:t>,</w:t>
      </w:r>
      <w:r w:rsidR="00653D40">
        <w:rPr>
          <w:rFonts w:eastAsia="Times New Roman" w:cstheme="minorHAnsi"/>
          <w:lang w:eastAsia="en-AU"/>
        </w:rPr>
        <w:t xml:space="preserve"> measurable attempt to treat veterans for </w:t>
      </w:r>
      <w:r w:rsidR="00653D40">
        <w:rPr>
          <w:rFonts w:eastAsia="Times New Roman" w:cstheme="minorHAnsi"/>
          <w:b/>
          <w:lang w:eastAsia="en-AU"/>
        </w:rPr>
        <w:t>all</w:t>
      </w:r>
      <w:r w:rsidR="00653D40">
        <w:rPr>
          <w:rFonts w:eastAsia="Times New Roman" w:cstheme="minorHAnsi"/>
          <w:lang w:eastAsia="en-AU"/>
        </w:rPr>
        <w:t xml:space="preserve"> of the injuries both mental and physical incurred during military service</w:t>
      </w:r>
      <w:r w:rsidR="0020152F">
        <w:rPr>
          <w:rFonts w:eastAsia="Times New Roman" w:cstheme="minorHAnsi"/>
          <w:lang w:eastAsia="en-AU"/>
        </w:rPr>
        <w:t>.</w:t>
      </w:r>
      <w:r w:rsidR="00653D40">
        <w:rPr>
          <w:rFonts w:eastAsia="Times New Roman" w:cstheme="minorHAnsi"/>
          <w:lang w:eastAsia="en-AU"/>
        </w:rPr>
        <w:t xml:space="preserve"> </w:t>
      </w:r>
      <w:r w:rsidR="00F15903">
        <w:t xml:space="preserve">The Australian Government has two options. It must accept liability for all psychological injuries that can reasonably be connected in causation to the military service of the brave service-women and men in their employ, no matter how complex, differently-presenting or obscure their symptoms may be; or it needs to stop sending them altogether. </w:t>
      </w:r>
      <w:r w:rsidR="002C2A59">
        <w:t xml:space="preserve">This will be simply impossible </w:t>
      </w:r>
      <w:r w:rsidR="005F087B">
        <w:t>without more funding</w:t>
      </w:r>
      <w:r w:rsidR="002C2A59">
        <w:t xml:space="preserve">. I can only assume that </w:t>
      </w:r>
      <w:r w:rsidR="005F087B">
        <w:t>it’s</w:t>
      </w:r>
      <w:r w:rsidR="002C2A59">
        <w:t xml:space="preserve"> been the </w:t>
      </w:r>
      <w:r w:rsidR="005F087B">
        <w:t>Department</w:t>
      </w:r>
      <w:r w:rsidR="002C2A59">
        <w:t xml:space="preserve"> and successive Government’s </w:t>
      </w:r>
      <w:r w:rsidR="0020152F">
        <w:t>refusal</w:t>
      </w:r>
      <w:r w:rsidR="005F087B">
        <w:t xml:space="preserve"> to adequately fund comprehensive and proper compensation for the soldiers it continues to wilfully send into combat, that explains the current systems dishonesties and shortcomings. </w:t>
      </w:r>
    </w:p>
    <w:sdt>
      <w:sdtPr>
        <w:rPr>
          <w:rFonts w:asciiTheme="minorHAnsi" w:eastAsiaTheme="minorHAnsi" w:hAnsiTheme="minorHAnsi" w:cstheme="minorBidi"/>
          <w:color w:val="auto"/>
          <w:sz w:val="22"/>
          <w:szCs w:val="22"/>
        </w:rPr>
        <w:id w:val="-1993781920"/>
        <w:docPartObj>
          <w:docPartGallery w:val="Bibliographies"/>
          <w:docPartUnique/>
        </w:docPartObj>
      </w:sdtPr>
      <w:sdtEndPr/>
      <w:sdtContent>
        <w:p w14:paraId="49C66289" w14:textId="38703B06" w:rsidR="00E87D63" w:rsidRDefault="00E87D63">
          <w:pPr>
            <w:pStyle w:val="Heading1"/>
          </w:pPr>
          <w:r>
            <w:t>References</w:t>
          </w:r>
        </w:p>
        <w:sdt>
          <w:sdtPr>
            <w:id w:val="-573587230"/>
            <w:bibliography/>
          </w:sdtPr>
          <w:sdtEndPr/>
          <w:sdtContent>
            <w:p w14:paraId="19F644EF" w14:textId="77777777" w:rsidR="00D30D0A" w:rsidRPr="00D30D0A" w:rsidRDefault="00E87D63" w:rsidP="00D30D0A">
              <w:pPr>
                <w:pStyle w:val="Bibliography"/>
                <w:ind w:left="720" w:hanging="720"/>
                <w:rPr>
                  <w:noProof/>
                  <w:sz w:val="20"/>
                  <w:szCs w:val="20"/>
                </w:rPr>
              </w:pPr>
              <w:r w:rsidRPr="00D30D0A">
                <w:rPr>
                  <w:sz w:val="20"/>
                  <w:szCs w:val="20"/>
                </w:rPr>
                <w:fldChar w:fldCharType="begin"/>
              </w:r>
              <w:r w:rsidRPr="00D30D0A">
                <w:rPr>
                  <w:sz w:val="20"/>
                  <w:szCs w:val="20"/>
                </w:rPr>
                <w:instrText xml:space="preserve"> BIBLIOGRAPHY </w:instrText>
              </w:r>
              <w:r w:rsidRPr="00D30D0A">
                <w:rPr>
                  <w:sz w:val="20"/>
                  <w:szCs w:val="20"/>
                </w:rPr>
                <w:fldChar w:fldCharType="separate"/>
              </w:r>
              <w:r w:rsidR="00D30D0A" w:rsidRPr="00D30D0A">
                <w:rPr>
                  <w:noProof/>
                  <w:sz w:val="20"/>
                  <w:szCs w:val="20"/>
                </w:rPr>
                <w:t xml:space="preserve">Atkin, M. (2017, October 15). Jesse Bird: Department of Veterans' Affairs failed suicidal veteran, inquiry finds. </w:t>
              </w:r>
              <w:r w:rsidR="00D30D0A" w:rsidRPr="00D30D0A">
                <w:rPr>
                  <w:i/>
                  <w:iCs/>
                  <w:noProof/>
                  <w:sz w:val="20"/>
                  <w:szCs w:val="20"/>
                </w:rPr>
                <w:t>ABC News</w:t>
              </w:r>
              <w:r w:rsidR="00D30D0A" w:rsidRPr="00D30D0A">
                <w:rPr>
                  <w:noProof/>
                  <w:sz w:val="20"/>
                  <w:szCs w:val="20"/>
                </w:rPr>
                <w:t>.</w:t>
              </w:r>
            </w:p>
            <w:p w14:paraId="17BF3681" w14:textId="4A198440" w:rsidR="00D30D0A" w:rsidRPr="00D30D0A" w:rsidRDefault="00D30D0A" w:rsidP="00D30D0A">
              <w:pPr>
                <w:pStyle w:val="Bibliography"/>
                <w:ind w:left="720" w:hanging="720"/>
                <w:rPr>
                  <w:noProof/>
                  <w:sz w:val="20"/>
                  <w:szCs w:val="20"/>
                </w:rPr>
              </w:pPr>
              <w:r w:rsidRPr="00D30D0A">
                <w:rPr>
                  <w:noProof/>
                  <w:sz w:val="20"/>
                  <w:szCs w:val="20"/>
                </w:rPr>
                <w:t xml:space="preserve">Carmassi, C., Akiskal, H., Akiskal, K. Y., Stratta, P., Calderani, E., Massimetti, E.,  Dell'Osso, L. (2013). Post-traumatic stress disorder in DSM-5: Estimates of prevalence and criteria comparison versus DSM-IV-TR in a non-clinical sample of earthquake survivors. </w:t>
              </w:r>
              <w:r w:rsidRPr="00D30D0A">
                <w:rPr>
                  <w:i/>
                  <w:iCs/>
                  <w:noProof/>
                  <w:sz w:val="20"/>
                  <w:szCs w:val="20"/>
                </w:rPr>
                <w:t>Journal of Affective Disorders</w:t>
              </w:r>
              <w:r w:rsidRPr="00D30D0A">
                <w:rPr>
                  <w:noProof/>
                  <w:sz w:val="20"/>
                  <w:szCs w:val="20"/>
                </w:rPr>
                <w:t>, 843-848.</w:t>
              </w:r>
            </w:p>
            <w:p w14:paraId="1D9AB6C0" w14:textId="77777777" w:rsidR="00D30D0A" w:rsidRPr="00D30D0A" w:rsidRDefault="00D30D0A" w:rsidP="00D30D0A">
              <w:pPr>
                <w:pStyle w:val="Bibliography"/>
                <w:ind w:left="720" w:hanging="720"/>
                <w:rPr>
                  <w:noProof/>
                  <w:sz w:val="20"/>
                  <w:szCs w:val="20"/>
                </w:rPr>
              </w:pPr>
              <w:r w:rsidRPr="00D30D0A">
                <w:rPr>
                  <w:noProof/>
                  <w:sz w:val="20"/>
                  <w:szCs w:val="20"/>
                </w:rPr>
                <w:t xml:space="preserve">Clarke, P. (2016, March 17). Bringing the war home: the rising disability claims of Afghanistan war vets. </w:t>
              </w:r>
              <w:r w:rsidRPr="00D30D0A">
                <w:rPr>
                  <w:i/>
                  <w:iCs/>
                  <w:noProof/>
                  <w:sz w:val="20"/>
                  <w:szCs w:val="20"/>
                </w:rPr>
                <w:t xml:space="preserve">The Conversation </w:t>
              </w:r>
              <w:r w:rsidRPr="00D30D0A">
                <w:rPr>
                  <w:noProof/>
                  <w:sz w:val="20"/>
                  <w:szCs w:val="20"/>
                </w:rPr>
                <w:t>.</w:t>
              </w:r>
            </w:p>
            <w:p w14:paraId="5361ACF4" w14:textId="77777777" w:rsidR="00D30D0A" w:rsidRPr="00D30D0A" w:rsidRDefault="00D30D0A" w:rsidP="00D30D0A">
              <w:pPr>
                <w:pStyle w:val="Bibliography"/>
                <w:ind w:left="720" w:hanging="720"/>
                <w:rPr>
                  <w:noProof/>
                  <w:sz w:val="20"/>
                  <w:szCs w:val="20"/>
                </w:rPr>
              </w:pPr>
              <w:r w:rsidRPr="00D30D0A">
                <w:rPr>
                  <w:noProof/>
                  <w:sz w:val="20"/>
                  <w:szCs w:val="20"/>
                </w:rPr>
                <w:t xml:space="preserve">Cloitre, M., Petkova, E., Wang, J., &amp; Feihan, L. (2012). An examination of the influence of a sequential treatment on the course and impact of dissociation among women with ptsd related to childhood abuse. </w:t>
              </w:r>
              <w:r w:rsidRPr="00D30D0A">
                <w:rPr>
                  <w:i/>
                  <w:iCs/>
                  <w:noProof/>
                  <w:sz w:val="20"/>
                  <w:szCs w:val="20"/>
                </w:rPr>
                <w:t>Journal of Depression and Anxiety</w:t>
              </w:r>
              <w:r w:rsidRPr="00D30D0A">
                <w:rPr>
                  <w:noProof/>
                  <w:sz w:val="20"/>
                  <w:szCs w:val="20"/>
                </w:rPr>
                <w:t>, 709-717.</w:t>
              </w:r>
            </w:p>
            <w:p w14:paraId="6534F83C" w14:textId="77777777" w:rsidR="00D30D0A" w:rsidRPr="00D30D0A" w:rsidRDefault="00D30D0A" w:rsidP="00D30D0A">
              <w:pPr>
                <w:pStyle w:val="Bibliography"/>
                <w:ind w:left="720" w:hanging="720"/>
                <w:rPr>
                  <w:noProof/>
                  <w:sz w:val="20"/>
                  <w:szCs w:val="20"/>
                </w:rPr>
              </w:pPr>
              <w:r w:rsidRPr="00D30D0A">
                <w:rPr>
                  <w:noProof/>
                  <w:sz w:val="20"/>
                  <w:szCs w:val="20"/>
                </w:rPr>
                <w:t xml:space="preserve">Courtois, C. (2008). Complex trauma, complex reactions: Assessment and treatment. </w:t>
              </w:r>
              <w:r w:rsidRPr="00D30D0A">
                <w:rPr>
                  <w:i/>
                  <w:iCs/>
                  <w:noProof/>
                  <w:sz w:val="20"/>
                  <w:szCs w:val="20"/>
                </w:rPr>
                <w:t>Psychological Trauma: Theory, Research, Practice, and Policy</w:t>
              </w:r>
              <w:r w:rsidRPr="00D30D0A">
                <w:rPr>
                  <w:noProof/>
                  <w:sz w:val="20"/>
                  <w:szCs w:val="20"/>
                </w:rPr>
                <w:t>, 86-100.</w:t>
              </w:r>
            </w:p>
            <w:p w14:paraId="3C240FB5" w14:textId="77777777" w:rsidR="00D30D0A" w:rsidRPr="00D30D0A" w:rsidRDefault="00D30D0A" w:rsidP="00D30D0A">
              <w:pPr>
                <w:pStyle w:val="Bibliography"/>
                <w:ind w:left="720" w:hanging="720"/>
                <w:rPr>
                  <w:noProof/>
                  <w:sz w:val="20"/>
                  <w:szCs w:val="20"/>
                </w:rPr>
              </w:pPr>
              <w:r w:rsidRPr="00D30D0A">
                <w:rPr>
                  <w:noProof/>
                  <w:sz w:val="20"/>
                  <w:szCs w:val="20"/>
                </w:rPr>
                <w:t xml:space="preserve">Creyke, R., &amp; Sutherland, P. (2008). </w:t>
              </w:r>
              <w:r w:rsidRPr="00D30D0A">
                <w:rPr>
                  <w:i/>
                  <w:iCs/>
                  <w:noProof/>
                  <w:sz w:val="20"/>
                  <w:szCs w:val="20"/>
                </w:rPr>
                <w:t>Veterans' Entitlements and Military Compensation Law Australia 2nd ed.</w:t>
              </w:r>
              <w:r w:rsidRPr="00D30D0A">
                <w:rPr>
                  <w:noProof/>
                  <w:sz w:val="20"/>
                  <w:szCs w:val="20"/>
                </w:rPr>
                <w:t xml:space="preserve"> Canberra : Federation Press.</w:t>
              </w:r>
            </w:p>
            <w:p w14:paraId="4E7B5A89" w14:textId="77777777" w:rsidR="00D30D0A" w:rsidRPr="00D30D0A" w:rsidRDefault="00D30D0A" w:rsidP="00D30D0A">
              <w:pPr>
                <w:pStyle w:val="Bibliography"/>
                <w:ind w:left="720" w:hanging="720"/>
                <w:rPr>
                  <w:noProof/>
                  <w:sz w:val="20"/>
                  <w:szCs w:val="20"/>
                </w:rPr>
              </w:pPr>
              <w:r w:rsidRPr="00D30D0A">
                <w:rPr>
                  <w:noProof/>
                  <w:sz w:val="20"/>
                  <w:szCs w:val="20"/>
                </w:rPr>
                <w:t xml:space="preserve">Forbes, D., &amp; Flecher, S. L. (2011). Requiring both avoidance and emotional numbing in DSM-V Ptsd: will it help? </w:t>
              </w:r>
              <w:r w:rsidRPr="00D30D0A">
                <w:rPr>
                  <w:i/>
                  <w:iCs/>
                  <w:noProof/>
                  <w:sz w:val="20"/>
                  <w:szCs w:val="20"/>
                </w:rPr>
                <w:t>Journal of Affective Disorders</w:t>
              </w:r>
              <w:r w:rsidRPr="00D30D0A">
                <w:rPr>
                  <w:noProof/>
                  <w:sz w:val="20"/>
                  <w:szCs w:val="20"/>
                </w:rPr>
                <w:t>, 483-486.</w:t>
              </w:r>
            </w:p>
            <w:p w14:paraId="6D4D140E" w14:textId="77777777" w:rsidR="00D30D0A" w:rsidRPr="00D30D0A" w:rsidRDefault="00D30D0A" w:rsidP="00D30D0A">
              <w:pPr>
                <w:pStyle w:val="Bibliography"/>
                <w:ind w:left="720" w:hanging="720"/>
                <w:rPr>
                  <w:noProof/>
                  <w:sz w:val="20"/>
                  <w:szCs w:val="20"/>
                </w:rPr>
              </w:pPr>
              <w:r w:rsidRPr="00D30D0A">
                <w:rPr>
                  <w:noProof/>
                  <w:sz w:val="20"/>
                  <w:szCs w:val="20"/>
                </w:rPr>
                <w:t xml:space="preserve">Gross, M. (2010). </w:t>
              </w:r>
              <w:r w:rsidRPr="00D30D0A">
                <w:rPr>
                  <w:i/>
                  <w:iCs/>
                  <w:noProof/>
                  <w:sz w:val="20"/>
                  <w:szCs w:val="20"/>
                </w:rPr>
                <w:t>Moral Dilemmas of Modern War: Torture, Assassination, and Blackmail in an Age of Asymmetric Conflict.</w:t>
              </w:r>
              <w:r w:rsidRPr="00D30D0A">
                <w:rPr>
                  <w:noProof/>
                  <w:sz w:val="20"/>
                  <w:szCs w:val="20"/>
                </w:rPr>
                <w:t xml:space="preserve"> Cambridge : Cambridge University Press.</w:t>
              </w:r>
            </w:p>
            <w:p w14:paraId="41075891" w14:textId="77777777" w:rsidR="00D30D0A" w:rsidRPr="00D30D0A" w:rsidRDefault="00D30D0A" w:rsidP="00D30D0A">
              <w:pPr>
                <w:pStyle w:val="Bibliography"/>
                <w:ind w:left="720" w:hanging="720"/>
                <w:rPr>
                  <w:noProof/>
                  <w:sz w:val="20"/>
                  <w:szCs w:val="20"/>
                </w:rPr>
              </w:pPr>
              <w:r w:rsidRPr="00D30D0A">
                <w:rPr>
                  <w:noProof/>
                  <w:sz w:val="20"/>
                  <w:szCs w:val="20"/>
                </w:rPr>
                <w:t xml:space="preserve">Guina, J., Welton, R., Broderick, P., Correll, T., &amp; Peirson, R. (2016). DSM-5 Criteria and Its Implications for Diagnosing PTSD in Military Service Members and Veterans. </w:t>
              </w:r>
              <w:r w:rsidRPr="00D30D0A">
                <w:rPr>
                  <w:i/>
                  <w:iCs/>
                  <w:noProof/>
                  <w:sz w:val="20"/>
                  <w:szCs w:val="20"/>
                </w:rPr>
                <w:t>Current Pyschiatry Reports</w:t>
              </w:r>
              <w:r w:rsidRPr="00D30D0A">
                <w:rPr>
                  <w:noProof/>
                  <w:sz w:val="20"/>
                  <w:szCs w:val="20"/>
                </w:rPr>
                <w:t>, 18-43.</w:t>
              </w:r>
            </w:p>
            <w:p w14:paraId="51DD99B4" w14:textId="77777777" w:rsidR="00D30D0A" w:rsidRPr="00D30D0A" w:rsidRDefault="00D30D0A" w:rsidP="00D30D0A">
              <w:pPr>
                <w:pStyle w:val="Bibliography"/>
                <w:ind w:left="720" w:hanging="720"/>
                <w:rPr>
                  <w:noProof/>
                  <w:sz w:val="20"/>
                  <w:szCs w:val="20"/>
                </w:rPr>
              </w:pPr>
              <w:r w:rsidRPr="00D30D0A">
                <w:rPr>
                  <w:noProof/>
                  <w:sz w:val="20"/>
                  <w:szCs w:val="20"/>
                </w:rPr>
                <w:t xml:space="preserve">Herman, J. (1992). Complex PTSD: A syndrome in survivors of prolonged and repeated trauma. </w:t>
              </w:r>
              <w:r w:rsidRPr="00D30D0A">
                <w:rPr>
                  <w:i/>
                  <w:iCs/>
                  <w:noProof/>
                  <w:sz w:val="20"/>
                  <w:szCs w:val="20"/>
                </w:rPr>
                <w:t>Journal of Traumatic Stress</w:t>
              </w:r>
              <w:r w:rsidRPr="00D30D0A">
                <w:rPr>
                  <w:noProof/>
                  <w:sz w:val="20"/>
                  <w:szCs w:val="20"/>
                </w:rPr>
                <w:t>, 377-391.</w:t>
              </w:r>
            </w:p>
            <w:p w14:paraId="3D5E5EDD" w14:textId="77777777" w:rsidR="00D30D0A" w:rsidRPr="00D30D0A" w:rsidRDefault="00D30D0A" w:rsidP="00D30D0A">
              <w:pPr>
                <w:pStyle w:val="Bibliography"/>
                <w:ind w:left="720" w:hanging="720"/>
                <w:rPr>
                  <w:noProof/>
                  <w:sz w:val="20"/>
                  <w:szCs w:val="20"/>
                </w:rPr>
              </w:pPr>
              <w:r w:rsidRPr="00D30D0A">
                <w:rPr>
                  <w:noProof/>
                  <w:sz w:val="20"/>
                  <w:szCs w:val="20"/>
                </w:rPr>
                <w:t xml:space="preserve">Hoge, C., Riviere, L., Wilk, J., Herrell, R., &amp; Weathers, F. (2014). The prevalence of post-traumatic stress disorder (PTSD) in US combat soldiers: a head-to-head comparison of DSM-5 versus DSM-IV-TR symptom criteria with the PTSD checklist. </w:t>
              </w:r>
              <w:r w:rsidRPr="00D30D0A">
                <w:rPr>
                  <w:i/>
                  <w:iCs/>
                  <w:noProof/>
                  <w:sz w:val="20"/>
                  <w:szCs w:val="20"/>
                </w:rPr>
                <w:t>Lancet Psychiatry</w:t>
              </w:r>
              <w:r w:rsidRPr="00D30D0A">
                <w:rPr>
                  <w:noProof/>
                  <w:sz w:val="20"/>
                  <w:szCs w:val="20"/>
                </w:rPr>
                <w:t>, 269-277.</w:t>
              </w:r>
            </w:p>
            <w:p w14:paraId="686A2145" w14:textId="77777777" w:rsidR="00D30D0A" w:rsidRPr="00D30D0A" w:rsidRDefault="00D30D0A" w:rsidP="00D30D0A">
              <w:pPr>
                <w:pStyle w:val="Bibliography"/>
                <w:ind w:left="720" w:hanging="720"/>
                <w:rPr>
                  <w:noProof/>
                  <w:sz w:val="20"/>
                  <w:szCs w:val="20"/>
                </w:rPr>
              </w:pPr>
              <w:r w:rsidRPr="00D30D0A">
                <w:rPr>
                  <w:noProof/>
                  <w:sz w:val="20"/>
                  <w:szCs w:val="20"/>
                </w:rPr>
                <w:t xml:space="preserve">Kilpatrick, D., HS, R., ME, M., M, M., K, K., &amp; M, F. (2013). National Estimates of Exposure to Traumatic Events and PTSD prevalence using DSM-IV and DSM-5 criteria. </w:t>
              </w:r>
              <w:r w:rsidRPr="00D30D0A">
                <w:rPr>
                  <w:i/>
                  <w:iCs/>
                  <w:noProof/>
                  <w:sz w:val="20"/>
                  <w:szCs w:val="20"/>
                </w:rPr>
                <w:t>Journal of Traumatic Stress</w:t>
              </w:r>
              <w:r w:rsidRPr="00D30D0A">
                <w:rPr>
                  <w:noProof/>
                  <w:sz w:val="20"/>
                  <w:szCs w:val="20"/>
                </w:rPr>
                <w:t>, 537-547.</w:t>
              </w:r>
            </w:p>
            <w:p w14:paraId="4A8B3DDD" w14:textId="77777777" w:rsidR="00D30D0A" w:rsidRPr="00D30D0A" w:rsidRDefault="00D30D0A" w:rsidP="00D30D0A">
              <w:pPr>
                <w:pStyle w:val="Bibliography"/>
                <w:ind w:left="720" w:hanging="720"/>
                <w:rPr>
                  <w:noProof/>
                  <w:sz w:val="20"/>
                  <w:szCs w:val="20"/>
                </w:rPr>
              </w:pPr>
              <w:r w:rsidRPr="00D30D0A">
                <w:rPr>
                  <w:noProof/>
                  <w:sz w:val="20"/>
                  <w:szCs w:val="20"/>
                </w:rPr>
                <w:t xml:space="preserve">Konecky, B., Meyer, E., Kimbrel, N., &amp; Morissette, S. (2015). The Structure of DSM-5 Posttraumatic Stress Disorder Symptoms in War Veterans. </w:t>
              </w:r>
              <w:r w:rsidRPr="00D30D0A">
                <w:rPr>
                  <w:i/>
                  <w:iCs/>
                  <w:noProof/>
                  <w:sz w:val="20"/>
                  <w:szCs w:val="20"/>
                </w:rPr>
                <w:t>Anxiety, Stress and Coping</w:t>
              </w:r>
              <w:r w:rsidRPr="00D30D0A">
                <w:rPr>
                  <w:noProof/>
                  <w:sz w:val="20"/>
                  <w:szCs w:val="20"/>
                </w:rPr>
                <w:t>, 497-506.</w:t>
              </w:r>
            </w:p>
            <w:p w14:paraId="5AD13368" w14:textId="77777777" w:rsidR="00D30D0A" w:rsidRPr="00D30D0A" w:rsidRDefault="00D30D0A" w:rsidP="00D30D0A">
              <w:pPr>
                <w:pStyle w:val="Bibliography"/>
                <w:ind w:left="720" w:hanging="720"/>
                <w:rPr>
                  <w:noProof/>
                  <w:sz w:val="20"/>
                  <w:szCs w:val="20"/>
                </w:rPr>
              </w:pPr>
              <w:r w:rsidRPr="00D30D0A">
                <w:rPr>
                  <w:noProof/>
                  <w:sz w:val="20"/>
                  <w:szCs w:val="20"/>
                </w:rPr>
                <w:t xml:space="preserve">Levula, A., Harre, M., &amp; Wilson, A. (2017). Social network factors as mediators of mental health and psychological distress. </w:t>
              </w:r>
              <w:r w:rsidRPr="00D30D0A">
                <w:rPr>
                  <w:i/>
                  <w:iCs/>
                  <w:noProof/>
                  <w:sz w:val="20"/>
                  <w:szCs w:val="20"/>
                </w:rPr>
                <w:t>International Journal of Social Psychiatry</w:t>
              </w:r>
              <w:r w:rsidRPr="00D30D0A">
                <w:rPr>
                  <w:noProof/>
                  <w:sz w:val="20"/>
                  <w:szCs w:val="20"/>
                </w:rPr>
                <w:t>, 235-243.</w:t>
              </w:r>
            </w:p>
            <w:p w14:paraId="26ADFABE" w14:textId="77777777" w:rsidR="00D30D0A" w:rsidRPr="00D30D0A" w:rsidRDefault="00D30D0A" w:rsidP="00D30D0A">
              <w:pPr>
                <w:pStyle w:val="Bibliography"/>
                <w:ind w:left="720" w:hanging="720"/>
                <w:rPr>
                  <w:noProof/>
                  <w:sz w:val="20"/>
                  <w:szCs w:val="20"/>
                </w:rPr>
              </w:pPr>
              <w:r w:rsidRPr="00D30D0A">
                <w:rPr>
                  <w:noProof/>
                  <w:sz w:val="20"/>
                  <w:szCs w:val="20"/>
                </w:rPr>
                <w:t xml:space="preserve">Linz, S., &amp; Sturm, B. (2013). The Phenomenon of Social Isolation in the Severely Mentally Ill. </w:t>
              </w:r>
              <w:r w:rsidRPr="00D30D0A">
                <w:rPr>
                  <w:i/>
                  <w:iCs/>
                  <w:noProof/>
                  <w:sz w:val="20"/>
                  <w:szCs w:val="20"/>
                </w:rPr>
                <w:t>Perspectives of Psychiatric Care</w:t>
              </w:r>
              <w:r w:rsidRPr="00D30D0A">
                <w:rPr>
                  <w:noProof/>
                  <w:sz w:val="20"/>
                  <w:szCs w:val="20"/>
                </w:rPr>
                <w:t>, 243-254.</w:t>
              </w:r>
            </w:p>
            <w:p w14:paraId="7B791C51" w14:textId="77777777" w:rsidR="00D30D0A" w:rsidRPr="00D30D0A" w:rsidRDefault="00D30D0A" w:rsidP="00D30D0A">
              <w:pPr>
                <w:pStyle w:val="Bibliography"/>
                <w:ind w:left="720" w:hanging="720"/>
                <w:rPr>
                  <w:noProof/>
                  <w:sz w:val="20"/>
                  <w:szCs w:val="20"/>
                </w:rPr>
              </w:pPr>
              <w:r w:rsidRPr="00D30D0A">
                <w:rPr>
                  <w:noProof/>
                  <w:sz w:val="20"/>
                  <w:szCs w:val="20"/>
                </w:rPr>
                <w:t xml:space="preserve">Resick, P., Bovin, M., Calloway, A., Dick, A., King, M., Mitchell, K., . . . WOlf, E. (2012). A critical evaluation of the complex PTSD literature: Implications for DSM‐5*. </w:t>
              </w:r>
              <w:r w:rsidRPr="00D30D0A">
                <w:rPr>
                  <w:i/>
                  <w:iCs/>
                  <w:noProof/>
                  <w:sz w:val="20"/>
                  <w:szCs w:val="20"/>
                </w:rPr>
                <w:t>Journal of Traumatic Stress</w:t>
              </w:r>
              <w:r w:rsidRPr="00D30D0A">
                <w:rPr>
                  <w:noProof/>
                  <w:sz w:val="20"/>
                  <w:szCs w:val="20"/>
                </w:rPr>
                <w:t>, 241-251.</w:t>
              </w:r>
            </w:p>
            <w:p w14:paraId="704052B3" w14:textId="77777777" w:rsidR="00D30D0A" w:rsidRPr="00D30D0A" w:rsidRDefault="00D30D0A" w:rsidP="00D30D0A">
              <w:pPr>
                <w:pStyle w:val="Bibliography"/>
                <w:ind w:left="720" w:hanging="720"/>
                <w:rPr>
                  <w:noProof/>
                  <w:sz w:val="20"/>
                  <w:szCs w:val="20"/>
                </w:rPr>
              </w:pPr>
              <w:r w:rsidRPr="00D30D0A">
                <w:rPr>
                  <w:noProof/>
                  <w:sz w:val="20"/>
                  <w:szCs w:val="20"/>
                </w:rPr>
                <w:t xml:space="preserve">William, A. (1993). Recovery from Mental Illness: The Guiding Vision of the Mental Health Service System in the 1990. </w:t>
              </w:r>
              <w:r w:rsidRPr="00D30D0A">
                <w:rPr>
                  <w:i/>
                  <w:iCs/>
                  <w:noProof/>
                  <w:sz w:val="20"/>
                  <w:szCs w:val="20"/>
                </w:rPr>
                <w:t>Psychosocial Rehabilitation Journal</w:t>
              </w:r>
              <w:r w:rsidRPr="00D30D0A">
                <w:rPr>
                  <w:noProof/>
                  <w:sz w:val="20"/>
                  <w:szCs w:val="20"/>
                </w:rPr>
                <w:t>, 17-24.</w:t>
              </w:r>
            </w:p>
            <w:p w14:paraId="4EAAF9B2" w14:textId="4FC3DD3D" w:rsidR="004B1653" w:rsidRPr="00E87D63" w:rsidRDefault="00E87D63" w:rsidP="00D30D0A">
              <w:r w:rsidRPr="00D30D0A">
                <w:rPr>
                  <w:b/>
                  <w:bCs/>
                  <w:noProof/>
                  <w:sz w:val="20"/>
                  <w:szCs w:val="20"/>
                </w:rPr>
                <w:fldChar w:fldCharType="end"/>
              </w:r>
            </w:p>
          </w:sdtContent>
        </w:sdt>
      </w:sdtContent>
    </w:sdt>
    <w:sectPr w:rsidR="004B1653" w:rsidRPr="00E87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1F80" w14:textId="77777777" w:rsidR="00BD3C73" w:rsidRDefault="00BD3C73" w:rsidP="007144F9">
      <w:pPr>
        <w:spacing w:after="0" w:line="240" w:lineRule="auto"/>
      </w:pPr>
      <w:r>
        <w:separator/>
      </w:r>
    </w:p>
  </w:endnote>
  <w:endnote w:type="continuationSeparator" w:id="0">
    <w:p w14:paraId="3CE29488" w14:textId="77777777" w:rsidR="00BD3C73" w:rsidRDefault="00BD3C73" w:rsidP="0071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3B662" w14:textId="77777777" w:rsidR="00BD3C73" w:rsidRDefault="00BD3C73" w:rsidP="007144F9">
      <w:pPr>
        <w:spacing w:after="0" w:line="240" w:lineRule="auto"/>
      </w:pPr>
      <w:r>
        <w:separator/>
      </w:r>
    </w:p>
  </w:footnote>
  <w:footnote w:type="continuationSeparator" w:id="0">
    <w:p w14:paraId="09FB4775" w14:textId="77777777" w:rsidR="00BD3C73" w:rsidRDefault="00BD3C73" w:rsidP="007144F9">
      <w:pPr>
        <w:spacing w:after="0" w:line="240" w:lineRule="auto"/>
      </w:pPr>
      <w:r>
        <w:continuationSeparator/>
      </w:r>
    </w:p>
  </w:footnote>
  <w:footnote w:id="1">
    <w:p w14:paraId="5A130A12" w14:textId="26685069" w:rsidR="007144F9" w:rsidRPr="00122ED4" w:rsidRDefault="007144F9">
      <w:pPr>
        <w:pStyle w:val="FootnoteText"/>
        <w:rPr>
          <w:sz w:val="18"/>
          <w:szCs w:val="18"/>
        </w:rPr>
      </w:pPr>
      <w:r w:rsidRPr="00122ED4">
        <w:rPr>
          <w:rStyle w:val="FootnoteReference"/>
          <w:sz w:val="18"/>
          <w:szCs w:val="18"/>
        </w:rPr>
        <w:footnoteRef/>
      </w:r>
      <w:r w:rsidRPr="00122ED4">
        <w:rPr>
          <w:sz w:val="18"/>
          <w:szCs w:val="18"/>
        </w:rPr>
        <w:t xml:space="preserve"> </w:t>
      </w:r>
      <w:sdt>
        <w:sdtPr>
          <w:rPr>
            <w:sz w:val="18"/>
            <w:szCs w:val="18"/>
          </w:rPr>
          <w:id w:val="-725300350"/>
          <w:citation/>
        </w:sdtPr>
        <w:sdtEndPr/>
        <w:sdtContent>
          <w:r w:rsidR="00117D61" w:rsidRPr="00122ED4">
            <w:rPr>
              <w:sz w:val="18"/>
              <w:szCs w:val="18"/>
            </w:rPr>
            <w:fldChar w:fldCharType="begin"/>
          </w:r>
          <w:r w:rsidR="00117D61" w:rsidRPr="00122ED4">
            <w:rPr>
              <w:sz w:val="18"/>
              <w:szCs w:val="18"/>
            </w:rPr>
            <w:instrText xml:space="preserve"> CITATION Cla16 \l 3081 </w:instrText>
          </w:r>
          <w:r w:rsidR="00117D61" w:rsidRPr="00122ED4">
            <w:rPr>
              <w:sz w:val="18"/>
              <w:szCs w:val="18"/>
            </w:rPr>
            <w:fldChar w:fldCharType="separate"/>
          </w:r>
          <w:r w:rsidR="00D30D0A" w:rsidRPr="00D30D0A">
            <w:rPr>
              <w:noProof/>
              <w:sz w:val="18"/>
              <w:szCs w:val="18"/>
            </w:rPr>
            <w:t>(Clarke, 2016)</w:t>
          </w:r>
          <w:r w:rsidR="00117D61" w:rsidRPr="00122ED4">
            <w:rPr>
              <w:sz w:val="18"/>
              <w:szCs w:val="18"/>
            </w:rPr>
            <w:fldChar w:fldCharType="end"/>
          </w:r>
        </w:sdtContent>
      </w:sdt>
    </w:p>
  </w:footnote>
  <w:footnote w:id="2">
    <w:p w14:paraId="62DEC852" w14:textId="041218AC" w:rsidR="00117D61" w:rsidRPr="00122ED4" w:rsidRDefault="00117D61">
      <w:pPr>
        <w:pStyle w:val="FootnoteText"/>
        <w:rPr>
          <w:sz w:val="18"/>
          <w:szCs w:val="18"/>
        </w:rPr>
      </w:pPr>
      <w:r w:rsidRPr="00122ED4">
        <w:rPr>
          <w:rStyle w:val="FootnoteReference"/>
          <w:sz w:val="18"/>
          <w:szCs w:val="18"/>
        </w:rPr>
        <w:footnoteRef/>
      </w:r>
      <w:r w:rsidRPr="00122ED4">
        <w:rPr>
          <w:sz w:val="18"/>
          <w:szCs w:val="18"/>
        </w:rPr>
        <w:t xml:space="preserve"> </w:t>
      </w:r>
      <w:sdt>
        <w:sdtPr>
          <w:rPr>
            <w:sz w:val="18"/>
            <w:szCs w:val="18"/>
          </w:rPr>
          <w:id w:val="-893112631"/>
          <w:citation/>
        </w:sdtPr>
        <w:sdtEndPr/>
        <w:sdtContent>
          <w:r w:rsidRPr="00122ED4">
            <w:rPr>
              <w:sz w:val="18"/>
              <w:szCs w:val="18"/>
            </w:rPr>
            <w:fldChar w:fldCharType="begin"/>
          </w:r>
          <w:r w:rsidRPr="00122ED4">
            <w:rPr>
              <w:sz w:val="18"/>
              <w:szCs w:val="18"/>
            </w:rPr>
            <w:instrText xml:space="preserve"> CITATION Cla16 \l 3081 </w:instrText>
          </w:r>
          <w:r w:rsidRPr="00122ED4">
            <w:rPr>
              <w:sz w:val="18"/>
              <w:szCs w:val="18"/>
            </w:rPr>
            <w:fldChar w:fldCharType="separate"/>
          </w:r>
          <w:r w:rsidR="00D30D0A" w:rsidRPr="00D30D0A">
            <w:rPr>
              <w:noProof/>
              <w:sz w:val="18"/>
              <w:szCs w:val="18"/>
            </w:rPr>
            <w:t>(Clarke, 2016)</w:t>
          </w:r>
          <w:r w:rsidRPr="00122ED4">
            <w:rPr>
              <w:sz w:val="18"/>
              <w:szCs w:val="18"/>
            </w:rPr>
            <w:fldChar w:fldCharType="end"/>
          </w:r>
        </w:sdtContent>
      </w:sdt>
    </w:p>
  </w:footnote>
  <w:footnote w:id="3">
    <w:p w14:paraId="5FFAB6CA" w14:textId="2A7B30FF" w:rsidR="00122ED4" w:rsidRDefault="00122ED4">
      <w:pPr>
        <w:pStyle w:val="FootnoteText"/>
      </w:pPr>
      <w:r>
        <w:rPr>
          <w:rStyle w:val="FootnoteReference"/>
        </w:rPr>
        <w:footnoteRef/>
      </w:r>
      <w:r>
        <w:t xml:space="preserve"> </w:t>
      </w:r>
      <w:sdt>
        <w:sdtPr>
          <w:id w:val="1962213100"/>
          <w:citation/>
        </w:sdtPr>
        <w:sdtEndPr/>
        <w:sdtContent>
          <w:r>
            <w:fldChar w:fldCharType="begin"/>
          </w:r>
          <w:r>
            <w:instrText xml:space="preserve"> CITATION Cre08 \l 3081 </w:instrText>
          </w:r>
          <w:r>
            <w:fldChar w:fldCharType="separate"/>
          </w:r>
          <w:r w:rsidR="00D30D0A">
            <w:rPr>
              <w:noProof/>
            </w:rPr>
            <w:t>(Creyke &amp; Sutherland, 2008)</w:t>
          </w:r>
          <w:r>
            <w:fldChar w:fldCharType="end"/>
          </w:r>
        </w:sdtContent>
      </w:sdt>
    </w:p>
  </w:footnote>
  <w:footnote w:id="4">
    <w:p w14:paraId="484C424B" w14:textId="74B80897" w:rsidR="003F0534" w:rsidRPr="00122ED4" w:rsidRDefault="003F0534">
      <w:pPr>
        <w:pStyle w:val="FootnoteText"/>
        <w:rPr>
          <w:sz w:val="18"/>
          <w:szCs w:val="18"/>
        </w:rPr>
      </w:pPr>
      <w:r w:rsidRPr="00122ED4">
        <w:rPr>
          <w:rStyle w:val="FootnoteReference"/>
          <w:sz w:val="18"/>
          <w:szCs w:val="18"/>
        </w:rPr>
        <w:footnoteRef/>
      </w:r>
      <w:r w:rsidRPr="00122ED4">
        <w:rPr>
          <w:sz w:val="18"/>
          <w:szCs w:val="18"/>
        </w:rPr>
        <w:t xml:space="preserve"> </w:t>
      </w:r>
      <w:r w:rsidRPr="00122ED4">
        <w:rPr>
          <w:i/>
          <w:sz w:val="18"/>
          <w:szCs w:val="18"/>
          <w:lang w:eastAsia="en-AU"/>
        </w:rPr>
        <w:t xml:space="preserve">Veterans Entitlement Act 1986 </w:t>
      </w:r>
      <w:r w:rsidRPr="00122ED4">
        <w:rPr>
          <w:sz w:val="18"/>
          <w:szCs w:val="18"/>
          <w:lang w:eastAsia="en-AU"/>
        </w:rPr>
        <w:t>(</w:t>
      </w:r>
      <w:proofErr w:type="spellStart"/>
      <w:r w:rsidRPr="00122ED4">
        <w:rPr>
          <w:sz w:val="18"/>
          <w:szCs w:val="18"/>
          <w:lang w:eastAsia="en-AU"/>
        </w:rPr>
        <w:t>Cth</w:t>
      </w:r>
      <w:proofErr w:type="spellEnd"/>
      <w:r w:rsidRPr="00122ED4">
        <w:rPr>
          <w:sz w:val="18"/>
          <w:szCs w:val="18"/>
          <w:lang w:eastAsia="en-AU"/>
        </w:rPr>
        <w:t>).</w:t>
      </w:r>
    </w:p>
  </w:footnote>
  <w:footnote w:id="5">
    <w:p w14:paraId="7FB90194" w14:textId="2E3EE930" w:rsidR="003F0534" w:rsidRPr="00122ED4" w:rsidRDefault="003F0534">
      <w:pPr>
        <w:pStyle w:val="FootnoteText"/>
        <w:rPr>
          <w:sz w:val="18"/>
          <w:szCs w:val="18"/>
        </w:rPr>
      </w:pPr>
      <w:r w:rsidRPr="00122ED4">
        <w:rPr>
          <w:rStyle w:val="FootnoteReference"/>
          <w:sz w:val="18"/>
          <w:szCs w:val="18"/>
        </w:rPr>
        <w:footnoteRef/>
      </w:r>
      <w:r w:rsidRPr="00122ED4">
        <w:rPr>
          <w:sz w:val="18"/>
          <w:szCs w:val="18"/>
        </w:rPr>
        <w:t xml:space="preserve"> </w:t>
      </w:r>
      <w:r w:rsidRPr="00122ED4">
        <w:rPr>
          <w:i/>
          <w:sz w:val="18"/>
          <w:szCs w:val="18"/>
          <w:lang w:eastAsia="en-AU"/>
        </w:rPr>
        <w:t xml:space="preserve">Safety, Rehabilitation and Compensation (Defence-related Claims) Act 1988 </w:t>
      </w:r>
      <w:r w:rsidRPr="00122ED4">
        <w:rPr>
          <w:sz w:val="18"/>
          <w:szCs w:val="18"/>
          <w:lang w:eastAsia="en-AU"/>
        </w:rPr>
        <w:t>(</w:t>
      </w:r>
      <w:proofErr w:type="spellStart"/>
      <w:r w:rsidRPr="00122ED4">
        <w:rPr>
          <w:sz w:val="18"/>
          <w:szCs w:val="18"/>
          <w:lang w:eastAsia="en-AU"/>
        </w:rPr>
        <w:t>Cth</w:t>
      </w:r>
      <w:proofErr w:type="spellEnd"/>
      <w:r w:rsidRPr="00122ED4">
        <w:rPr>
          <w:sz w:val="18"/>
          <w:szCs w:val="18"/>
          <w:lang w:eastAsia="en-AU"/>
        </w:rPr>
        <w:t>).</w:t>
      </w:r>
    </w:p>
  </w:footnote>
  <w:footnote w:id="6">
    <w:p w14:paraId="02F37E90" w14:textId="052B9D17" w:rsidR="003F0534" w:rsidRPr="003F0534" w:rsidRDefault="003F0534">
      <w:pPr>
        <w:pStyle w:val="FootnoteText"/>
      </w:pPr>
      <w:r w:rsidRPr="00122ED4">
        <w:rPr>
          <w:rStyle w:val="FootnoteReference"/>
          <w:sz w:val="18"/>
          <w:szCs w:val="18"/>
        </w:rPr>
        <w:footnoteRef/>
      </w:r>
      <w:r w:rsidRPr="00122ED4">
        <w:rPr>
          <w:sz w:val="18"/>
          <w:szCs w:val="18"/>
        </w:rPr>
        <w:t xml:space="preserve"> </w:t>
      </w:r>
      <w:r w:rsidRPr="00122ED4">
        <w:rPr>
          <w:i/>
          <w:sz w:val="18"/>
          <w:szCs w:val="18"/>
          <w:lang w:eastAsia="en-AU"/>
        </w:rPr>
        <w:t xml:space="preserve">Military Rehabilitation and Compensation Act 2004 </w:t>
      </w:r>
      <w:r w:rsidRPr="00122ED4">
        <w:rPr>
          <w:sz w:val="18"/>
          <w:szCs w:val="18"/>
          <w:lang w:eastAsia="en-AU"/>
        </w:rPr>
        <w:t>(</w:t>
      </w:r>
      <w:proofErr w:type="spellStart"/>
      <w:r w:rsidRPr="00122ED4">
        <w:rPr>
          <w:sz w:val="18"/>
          <w:szCs w:val="18"/>
          <w:lang w:eastAsia="en-AU"/>
        </w:rPr>
        <w:t>Cth</w:t>
      </w:r>
      <w:proofErr w:type="spellEnd"/>
      <w:r w:rsidRPr="00122ED4">
        <w:rPr>
          <w:sz w:val="18"/>
          <w:szCs w:val="18"/>
          <w:lang w:eastAsia="en-AU"/>
        </w:rPr>
        <w:t>).</w:t>
      </w:r>
      <w:r>
        <w:rPr>
          <w:lang w:eastAsia="en-AU"/>
        </w:rPr>
        <w:t xml:space="preserve"> </w:t>
      </w:r>
    </w:p>
  </w:footnote>
  <w:footnote w:id="7">
    <w:p w14:paraId="3B861E8C" w14:textId="7ABB09C5" w:rsidR="00E8796A" w:rsidRPr="005F087B" w:rsidRDefault="00E8796A">
      <w:pPr>
        <w:pStyle w:val="FootnoteText"/>
        <w:rPr>
          <w:sz w:val="18"/>
          <w:szCs w:val="18"/>
        </w:rPr>
      </w:pPr>
      <w:r w:rsidRPr="005F087B">
        <w:rPr>
          <w:rStyle w:val="FootnoteReference"/>
          <w:sz w:val="18"/>
          <w:szCs w:val="18"/>
        </w:rPr>
        <w:footnoteRef/>
      </w:r>
      <w:r w:rsidRPr="005F087B">
        <w:rPr>
          <w:sz w:val="18"/>
          <w:szCs w:val="18"/>
        </w:rPr>
        <w:t xml:space="preserve"> Department of Defence, Mental Health in the Australian Defence Force: 2010 ADF Mental Health Prevalence and Wellbeing Study Report, p. 207 found that a ‘significant number of personnel with mental disorders have received no care in the previous 12 months’</w:t>
      </w:r>
    </w:p>
  </w:footnote>
  <w:footnote w:id="8">
    <w:p w14:paraId="736817D4" w14:textId="425BBA7A" w:rsidR="00B80B0E" w:rsidRPr="005F087B" w:rsidRDefault="00B80B0E"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1189450010"/>
          <w:citation/>
        </w:sdtPr>
        <w:sdtEndPr/>
        <w:sdtContent>
          <w:r w:rsidR="003134F6" w:rsidRPr="005F087B">
            <w:rPr>
              <w:sz w:val="18"/>
              <w:szCs w:val="18"/>
            </w:rPr>
            <w:fldChar w:fldCharType="begin"/>
          </w:r>
          <w:r w:rsidR="003134F6" w:rsidRPr="005F087B">
            <w:rPr>
              <w:sz w:val="18"/>
              <w:szCs w:val="18"/>
            </w:rPr>
            <w:instrText xml:space="preserve"> CITATION Wil93 \l 3081 </w:instrText>
          </w:r>
          <w:r w:rsidR="003134F6" w:rsidRPr="005F087B">
            <w:rPr>
              <w:sz w:val="18"/>
              <w:szCs w:val="18"/>
            </w:rPr>
            <w:fldChar w:fldCharType="separate"/>
          </w:r>
          <w:r w:rsidR="00D30D0A" w:rsidRPr="00D30D0A">
            <w:rPr>
              <w:noProof/>
              <w:sz w:val="18"/>
              <w:szCs w:val="18"/>
            </w:rPr>
            <w:t>(William, 1993)</w:t>
          </w:r>
          <w:r w:rsidR="003134F6" w:rsidRPr="005F087B">
            <w:rPr>
              <w:sz w:val="18"/>
              <w:szCs w:val="18"/>
            </w:rPr>
            <w:fldChar w:fldCharType="end"/>
          </w:r>
        </w:sdtContent>
      </w:sdt>
      <w:sdt>
        <w:sdtPr>
          <w:rPr>
            <w:sz w:val="18"/>
            <w:szCs w:val="18"/>
          </w:rPr>
          <w:id w:val="-448403310"/>
          <w:citation/>
        </w:sdtPr>
        <w:sdtEndPr/>
        <w:sdtContent>
          <w:r w:rsidR="003134F6" w:rsidRPr="005F087B">
            <w:rPr>
              <w:sz w:val="18"/>
              <w:szCs w:val="18"/>
            </w:rPr>
            <w:fldChar w:fldCharType="begin"/>
          </w:r>
          <w:r w:rsidR="003134F6" w:rsidRPr="005F087B">
            <w:rPr>
              <w:sz w:val="18"/>
              <w:szCs w:val="18"/>
            </w:rPr>
            <w:instrText xml:space="preserve"> CITATION Lin13 \l 3081 </w:instrText>
          </w:r>
          <w:r w:rsidR="003134F6" w:rsidRPr="005F087B">
            <w:rPr>
              <w:sz w:val="18"/>
              <w:szCs w:val="18"/>
            </w:rPr>
            <w:fldChar w:fldCharType="separate"/>
          </w:r>
          <w:r w:rsidR="00D30D0A">
            <w:rPr>
              <w:noProof/>
              <w:sz w:val="18"/>
              <w:szCs w:val="18"/>
            </w:rPr>
            <w:t xml:space="preserve"> </w:t>
          </w:r>
          <w:r w:rsidR="00D30D0A" w:rsidRPr="00D30D0A">
            <w:rPr>
              <w:noProof/>
              <w:sz w:val="18"/>
              <w:szCs w:val="18"/>
            </w:rPr>
            <w:t>(Linz &amp; Sturm, 2013)</w:t>
          </w:r>
          <w:r w:rsidR="003134F6" w:rsidRPr="005F087B">
            <w:rPr>
              <w:sz w:val="18"/>
              <w:szCs w:val="18"/>
            </w:rPr>
            <w:fldChar w:fldCharType="end"/>
          </w:r>
        </w:sdtContent>
      </w:sdt>
      <w:sdt>
        <w:sdtPr>
          <w:rPr>
            <w:sz w:val="18"/>
            <w:szCs w:val="18"/>
          </w:rPr>
          <w:id w:val="-277958704"/>
          <w:citation/>
        </w:sdtPr>
        <w:sdtEndPr/>
        <w:sdtContent>
          <w:r w:rsidR="00683BCB" w:rsidRPr="005F087B">
            <w:rPr>
              <w:sz w:val="18"/>
              <w:szCs w:val="18"/>
            </w:rPr>
            <w:fldChar w:fldCharType="begin"/>
          </w:r>
          <w:r w:rsidR="00683BCB" w:rsidRPr="005F087B">
            <w:rPr>
              <w:sz w:val="18"/>
              <w:szCs w:val="18"/>
            </w:rPr>
            <w:instrText xml:space="preserve"> CITATION Lev17 \l 3081 </w:instrText>
          </w:r>
          <w:r w:rsidR="00683BCB" w:rsidRPr="005F087B">
            <w:rPr>
              <w:sz w:val="18"/>
              <w:szCs w:val="18"/>
            </w:rPr>
            <w:fldChar w:fldCharType="separate"/>
          </w:r>
          <w:r w:rsidR="00D30D0A">
            <w:rPr>
              <w:noProof/>
              <w:sz w:val="18"/>
              <w:szCs w:val="18"/>
            </w:rPr>
            <w:t xml:space="preserve"> </w:t>
          </w:r>
          <w:r w:rsidR="00D30D0A" w:rsidRPr="00D30D0A">
            <w:rPr>
              <w:noProof/>
              <w:sz w:val="18"/>
              <w:szCs w:val="18"/>
            </w:rPr>
            <w:t>(Levula, Harre, &amp; Wilson, 2017)</w:t>
          </w:r>
          <w:r w:rsidR="00683BCB" w:rsidRPr="005F087B">
            <w:rPr>
              <w:sz w:val="18"/>
              <w:szCs w:val="18"/>
            </w:rPr>
            <w:fldChar w:fldCharType="end"/>
          </w:r>
        </w:sdtContent>
      </w:sdt>
    </w:p>
  </w:footnote>
  <w:footnote w:id="9">
    <w:p w14:paraId="351B363B" w14:textId="5EDAC096" w:rsidR="00FA54C2" w:rsidRDefault="00FA54C2">
      <w:pPr>
        <w:pStyle w:val="FootnoteText"/>
      </w:pPr>
      <w:r>
        <w:rPr>
          <w:rStyle w:val="FootnoteReference"/>
        </w:rPr>
        <w:footnoteRef/>
      </w:r>
      <w:r>
        <w:t xml:space="preserve"> </w:t>
      </w:r>
      <w:r w:rsidRPr="00FA54C2">
        <w:rPr>
          <w:sz w:val="18"/>
          <w:szCs w:val="18"/>
        </w:rPr>
        <w:t>Leaked report of Jesse Bird Inquiry to the ABC</w:t>
      </w:r>
      <w:r>
        <w:t xml:space="preserve"> </w:t>
      </w:r>
      <w:sdt>
        <w:sdtPr>
          <w:id w:val="-1825110185"/>
          <w:citation/>
        </w:sdtPr>
        <w:sdtEndPr/>
        <w:sdtContent>
          <w:r w:rsidR="00CE363A">
            <w:fldChar w:fldCharType="begin"/>
          </w:r>
          <w:r w:rsidR="00CE363A">
            <w:instrText xml:space="preserve"> CITATION Atk17 \l 3081 </w:instrText>
          </w:r>
          <w:r w:rsidR="00CE363A">
            <w:fldChar w:fldCharType="separate"/>
          </w:r>
          <w:r w:rsidR="00D30D0A">
            <w:rPr>
              <w:noProof/>
            </w:rPr>
            <w:t>(Atkin, 2017)</w:t>
          </w:r>
          <w:r w:rsidR="00CE363A">
            <w:fldChar w:fldCharType="end"/>
          </w:r>
        </w:sdtContent>
      </w:sdt>
    </w:p>
  </w:footnote>
  <w:footnote w:id="10">
    <w:p w14:paraId="312EEC77" w14:textId="4C5C3195" w:rsidR="00162D63" w:rsidRDefault="00162D63" w:rsidP="005F087B">
      <w:pPr>
        <w:pStyle w:val="FootnoteText"/>
      </w:pPr>
      <w:r w:rsidRPr="005F087B">
        <w:rPr>
          <w:rStyle w:val="FootnoteReference"/>
          <w:sz w:val="18"/>
          <w:szCs w:val="18"/>
        </w:rPr>
        <w:footnoteRef/>
      </w:r>
      <w:r w:rsidRPr="005F087B">
        <w:rPr>
          <w:sz w:val="18"/>
          <w:szCs w:val="18"/>
        </w:rPr>
        <w:t xml:space="preserve"> </w:t>
      </w:r>
      <w:r w:rsidR="00CE363A">
        <w:rPr>
          <w:i/>
          <w:sz w:val="18"/>
          <w:szCs w:val="18"/>
          <w:lang w:eastAsia="en-AU"/>
        </w:rPr>
        <w:t xml:space="preserve">Statement of Principles </w:t>
      </w:r>
      <w:r w:rsidR="00CE363A" w:rsidRPr="00122ED4">
        <w:rPr>
          <w:sz w:val="18"/>
          <w:szCs w:val="18"/>
          <w:lang w:eastAsia="en-AU"/>
        </w:rPr>
        <w:t>(</w:t>
      </w:r>
      <w:proofErr w:type="spellStart"/>
      <w:r w:rsidR="00CE363A" w:rsidRPr="00122ED4">
        <w:rPr>
          <w:sz w:val="18"/>
          <w:szCs w:val="18"/>
          <w:lang w:eastAsia="en-AU"/>
        </w:rPr>
        <w:t>Cth</w:t>
      </w:r>
      <w:proofErr w:type="spellEnd"/>
      <w:r w:rsidR="00CE363A" w:rsidRPr="00122ED4">
        <w:rPr>
          <w:sz w:val="18"/>
          <w:szCs w:val="18"/>
          <w:lang w:eastAsia="en-AU"/>
        </w:rPr>
        <w:t>).</w:t>
      </w:r>
    </w:p>
  </w:footnote>
  <w:footnote w:id="11">
    <w:p w14:paraId="25F46598" w14:textId="372BB64C" w:rsidR="00755BA0" w:rsidRPr="00530EE3" w:rsidRDefault="00755BA0" w:rsidP="005F087B">
      <w:pPr>
        <w:spacing w:after="0" w:line="240" w:lineRule="auto"/>
        <w:rPr>
          <w:sz w:val="18"/>
          <w:szCs w:val="18"/>
          <w:lang w:eastAsia="en-AU"/>
        </w:rPr>
      </w:pPr>
      <w:r w:rsidRPr="00530EE3">
        <w:rPr>
          <w:rStyle w:val="FootnoteReference"/>
          <w:sz w:val="18"/>
          <w:szCs w:val="18"/>
        </w:rPr>
        <w:footnoteRef/>
      </w:r>
      <w:r w:rsidRPr="00530EE3">
        <w:rPr>
          <w:sz w:val="18"/>
          <w:szCs w:val="18"/>
        </w:rPr>
        <w:t xml:space="preserve"> </w:t>
      </w:r>
      <w:sdt>
        <w:sdtPr>
          <w:rPr>
            <w:sz w:val="18"/>
            <w:szCs w:val="18"/>
            <w:lang w:eastAsia="en-AU"/>
          </w:rPr>
          <w:id w:val="-199243396"/>
          <w:citation/>
        </w:sdtPr>
        <w:sdtEndPr/>
        <w:sdtContent>
          <w:r w:rsidRPr="00530EE3">
            <w:rPr>
              <w:sz w:val="18"/>
              <w:szCs w:val="18"/>
              <w:lang w:eastAsia="en-AU"/>
            </w:rPr>
            <w:fldChar w:fldCharType="begin"/>
          </w:r>
          <w:r w:rsidRPr="00530EE3">
            <w:rPr>
              <w:sz w:val="18"/>
              <w:szCs w:val="18"/>
              <w:lang w:eastAsia="en-AU"/>
            </w:rPr>
            <w:instrText xml:space="preserve"> CITATION Kon15 \l 3081 </w:instrText>
          </w:r>
          <w:r w:rsidRPr="00530EE3">
            <w:rPr>
              <w:sz w:val="18"/>
              <w:szCs w:val="18"/>
              <w:lang w:eastAsia="en-AU"/>
            </w:rPr>
            <w:fldChar w:fldCharType="separate"/>
          </w:r>
          <w:r w:rsidR="00D30D0A" w:rsidRPr="00D30D0A">
            <w:rPr>
              <w:noProof/>
              <w:sz w:val="18"/>
              <w:szCs w:val="18"/>
              <w:lang w:eastAsia="en-AU"/>
            </w:rPr>
            <w:t>(Konecky, Meyer, Kimbrel, &amp; Morissette, 2015)</w:t>
          </w:r>
          <w:r w:rsidRPr="00530EE3">
            <w:rPr>
              <w:sz w:val="18"/>
              <w:szCs w:val="18"/>
              <w:lang w:eastAsia="en-AU"/>
            </w:rPr>
            <w:fldChar w:fldCharType="end"/>
          </w:r>
        </w:sdtContent>
      </w:sdt>
    </w:p>
  </w:footnote>
  <w:footnote w:id="12">
    <w:p w14:paraId="774D207F" w14:textId="6DC74F4F" w:rsidR="00755BA0" w:rsidRPr="00530EE3" w:rsidRDefault="00755BA0" w:rsidP="005F087B">
      <w:pPr>
        <w:pStyle w:val="FootnoteText"/>
        <w:rPr>
          <w:sz w:val="18"/>
          <w:szCs w:val="18"/>
        </w:rPr>
      </w:pPr>
      <w:r w:rsidRPr="00530EE3">
        <w:rPr>
          <w:rStyle w:val="FootnoteReference"/>
          <w:sz w:val="18"/>
          <w:szCs w:val="18"/>
        </w:rPr>
        <w:footnoteRef/>
      </w:r>
      <w:r w:rsidRPr="00530EE3">
        <w:rPr>
          <w:sz w:val="18"/>
          <w:szCs w:val="18"/>
        </w:rPr>
        <w:t xml:space="preserve"> </w:t>
      </w:r>
      <w:sdt>
        <w:sdtPr>
          <w:rPr>
            <w:sz w:val="18"/>
            <w:szCs w:val="18"/>
          </w:rPr>
          <w:id w:val="1925454990"/>
          <w:citation/>
        </w:sdtPr>
        <w:sdtEndPr/>
        <w:sdtContent>
          <w:r w:rsidR="00D159B6" w:rsidRPr="00530EE3">
            <w:rPr>
              <w:sz w:val="18"/>
              <w:szCs w:val="18"/>
            </w:rPr>
            <w:fldChar w:fldCharType="begin"/>
          </w:r>
          <w:r w:rsidR="00D159B6" w:rsidRPr="00530EE3">
            <w:rPr>
              <w:sz w:val="18"/>
              <w:szCs w:val="18"/>
            </w:rPr>
            <w:instrText xml:space="preserve"> CITATION Car13 \l 3081 </w:instrText>
          </w:r>
          <w:r w:rsidR="00D159B6" w:rsidRPr="00530EE3">
            <w:rPr>
              <w:sz w:val="18"/>
              <w:szCs w:val="18"/>
            </w:rPr>
            <w:fldChar w:fldCharType="separate"/>
          </w:r>
          <w:r w:rsidR="00D30D0A" w:rsidRPr="00D30D0A">
            <w:rPr>
              <w:noProof/>
              <w:sz w:val="18"/>
              <w:szCs w:val="18"/>
            </w:rPr>
            <w:t>(Carmassi, et al., 2013)</w:t>
          </w:r>
          <w:r w:rsidR="00D159B6" w:rsidRPr="00530EE3">
            <w:rPr>
              <w:sz w:val="18"/>
              <w:szCs w:val="18"/>
            </w:rPr>
            <w:fldChar w:fldCharType="end"/>
          </w:r>
        </w:sdtContent>
      </w:sdt>
    </w:p>
  </w:footnote>
  <w:footnote w:id="13">
    <w:p w14:paraId="7F59F8DB" w14:textId="64282562" w:rsidR="00D159B6" w:rsidRPr="00530EE3" w:rsidRDefault="00D159B6" w:rsidP="005F087B">
      <w:pPr>
        <w:pStyle w:val="FootnoteText"/>
        <w:rPr>
          <w:sz w:val="18"/>
          <w:szCs w:val="18"/>
        </w:rPr>
      </w:pPr>
      <w:r w:rsidRPr="00530EE3">
        <w:rPr>
          <w:rStyle w:val="FootnoteReference"/>
          <w:sz w:val="18"/>
          <w:szCs w:val="18"/>
        </w:rPr>
        <w:footnoteRef/>
      </w:r>
      <w:r w:rsidRPr="00530EE3">
        <w:rPr>
          <w:sz w:val="18"/>
          <w:szCs w:val="18"/>
        </w:rPr>
        <w:t xml:space="preserve"> </w:t>
      </w:r>
      <w:sdt>
        <w:sdtPr>
          <w:rPr>
            <w:sz w:val="18"/>
            <w:szCs w:val="18"/>
          </w:rPr>
          <w:id w:val="-972367001"/>
          <w:citation/>
        </w:sdtPr>
        <w:sdtEndPr/>
        <w:sdtContent>
          <w:r w:rsidRPr="00530EE3">
            <w:rPr>
              <w:sz w:val="18"/>
              <w:szCs w:val="18"/>
            </w:rPr>
            <w:fldChar w:fldCharType="begin"/>
          </w:r>
          <w:r w:rsidRPr="00530EE3">
            <w:rPr>
              <w:sz w:val="18"/>
              <w:szCs w:val="18"/>
            </w:rPr>
            <w:instrText xml:space="preserve"> CITATION Car13 \l 3081 </w:instrText>
          </w:r>
          <w:r w:rsidRPr="00530EE3">
            <w:rPr>
              <w:sz w:val="18"/>
              <w:szCs w:val="18"/>
            </w:rPr>
            <w:fldChar w:fldCharType="separate"/>
          </w:r>
          <w:r w:rsidR="00D30D0A" w:rsidRPr="00D30D0A">
            <w:rPr>
              <w:noProof/>
              <w:sz w:val="18"/>
              <w:szCs w:val="18"/>
            </w:rPr>
            <w:t>(Carmassi, et al., 2013)</w:t>
          </w:r>
          <w:r w:rsidRPr="00530EE3">
            <w:rPr>
              <w:sz w:val="18"/>
              <w:szCs w:val="18"/>
            </w:rPr>
            <w:fldChar w:fldCharType="end"/>
          </w:r>
        </w:sdtContent>
      </w:sdt>
    </w:p>
  </w:footnote>
  <w:footnote w:id="14">
    <w:p w14:paraId="769C081B" w14:textId="59AD8AFC" w:rsidR="00530EE3" w:rsidRPr="00530EE3" w:rsidRDefault="00530EE3" w:rsidP="005F087B">
      <w:pPr>
        <w:pStyle w:val="FootnoteText"/>
        <w:rPr>
          <w:sz w:val="18"/>
          <w:szCs w:val="18"/>
        </w:rPr>
      </w:pPr>
      <w:r w:rsidRPr="00530EE3">
        <w:rPr>
          <w:rStyle w:val="FootnoteReference"/>
          <w:sz w:val="18"/>
          <w:szCs w:val="18"/>
        </w:rPr>
        <w:footnoteRef/>
      </w:r>
      <w:r w:rsidRPr="00530EE3">
        <w:rPr>
          <w:sz w:val="18"/>
          <w:szCs w:val="18"/>
        </w:rPr>
        <w:t xml:space="preserve"> </w:t>
      </w:r>
      <w:sdt>
        <w:sdtPr>
          <w:rPr>
            <w:sz w:val="18"/>
            <w:szCs w:val="18"/>
          </w:rPr>
          <w:id w:val="-19013318"/>
          <w:citation/>
        </w:sdtPr>
        <w:sdtEndPr/>
        <w:sdtContent>
          <w:r w:rsidRPr="00530EE3">
            <w:rPr>
              <w:sz w:val="18"/>
              <w:szCs w:val="18"/>
            </w:rPr>
            <w:fldChar w:fldCharType="begin"/>
          </w:r>
          <w:r w:rsidRPr="00530EE3">
            <w:rPr>
              <w:sz w:val="18"/>
              <w:szCs w:val="18"/>
            </w:rPr>
            <w:instrText xml:space="preserve"> CITATION Hog14 \l 3081 </w:instrText>
          </w:r>
          <w:r w:rsidRPr="00530EE3">
            <w:rPr>
              <w:sz w:val="18"/>
              <w:szCs w:val="18"/>
            </w:rPr>
            <w:fldChar w:fldCharType="separate"/>
          </w:r>
          <w:r w:rsidR="00D30D0A" w:rsidRPr="00D30D0A">
            <w:rPr>
              <w:noProof/>
              <w:sz w:val="18"/>
              <w:szCs w:val="18"/>
            </w:rPr>
            <w:t>(Hoge, Riviere, Wilk, Herrell, &amp; Weathers, 2014)</w:t>
          </w:r>
          <w:r w:rsidRPr="00530EE3">
            <w:rPr>
              <w:sz w:val="18"/>
              <w:szCs w:val="18"/>
            </w:rPr>
            <w:fldChar w:fldCharType="end"/>
          </w:r>
        </w:sdtContent>
      </w:sdt>
    </w:p>
  </w:footnote>
  <w:footnote w:id="15">
    <w:p w14:paraId="4BC984DC" w14:textId="1A95BE10" w:rsidR="00530EE3" w:rsidRPr="00530EE3" w:rsidRDefault="00530EE3" w:rsidP="005F087B">
      <w:pPr>
        <w:pStyle w:val="FootnoteText"/>
        <w:rPr>
          <w:sz w:val="18"/>
          <w:szCs w:val="18"/>
        </w:rPr>
      </w:pPr>
      <w:r w:rsidRPr="00530EE3">
        <w:rPr>
          <w:rStyle w:val="FootnoteReference"/>
          <w:sz w:val="18"/>
          <w:szCs w:val="18"/>
        </w:rPr>
        <w:footnoteRef/>
      </w:r>
      <w:r w:rsidRPr="00530EE3">
        <w:rPr>
          <w:sz w:val="18"/>
          <w:szCs w:val="18"/>
        </w:rPr>
        <w:t xml:space="preserve"> Ibid.</w:t>
      </w:r>
    </w:p>
  </w:footnote>
  <w:footnote w:id="16">
    <w:p w14:paraId="58840BF6" w14:textId="1F05CB5F" w:rsidR="00530EE3" w:rsidRPr="000F11E9" w:rsidRDefault="00530EE3" w:rsidP="000F11E9">
      <w:pPr>
        <w:spacing w:after="0" w:line="240" w:lineRule="auto"/>
        <w:rPr>
          <w:i/>
          <w:sz w:val="18"/>
          <w:szCs w:val="18"/>
        </w:rPr>
      </w:pPr>
      <w:r w:rsidRPr="000F11E9">
        <w:rPr>
          <w:rStyle w:val="FootnoteReference"/>
          <w:sz w:val="18"/>
          <w:szCs w:val="18"/>
        </w:rPr>
        <w:footnoteRef/>
      </w:r>
      <w:r w:rsidRPr="000F11E9">
        <w:rPr>
          <w:sz w:val="18"/>
          <w:szCs w:val="18"/>
        </w:rPr>
        <w:t xml:space="preserve"> Ibid. </w:t>
      </w:r>
      <w:r w:rsidR="001A221A" w:rsidRPr="000F11E9">
        <w:rPr>
          <w:sz w:val="18"/>
          <w:szCs w:val="18"/>
        </w:rPr>
        <w:t xml:space="preserve">echoed in </w:t>
      </w:r>
      <w:sdt>
        <w:sdtPr>
          <w:rPr>
            <w:sz w:val="18"/>
            <w:szCs w:val="18"/>
          </w:rPr>
          <w:id w:val="-1372068474"/>
          <w:citation/>
        </w:sdtPr>
        <w:sdtEndPr/>
        <w:sdtContent>
          <w:r w:rsidR="001A221A" w:rsidRPr="000F11E9">
            <w:rPr>
              <w:sz w:val="18"/>
              <w:szCs w:val="18"/>
            </w:rPr>
            <w:fldChar w:fldCharType="begin"/>
          </w:r>
          <w:r w:rsidR="001A221A" w:rsidRPr="000F11E9">
            <w:rPr>
              <w:sz w:val="18"/>
              <w:szCs w:val="18"/>
            </w:rPr>
            <w:instrText xml:space="preserve"> CITATION Gui16 \l 3081 </w:instrText>
          </w:r>
          <w:r w:rsidR="001A221A" w:rsidRPr="000F11E9">
            <w:rPr>
              <w:sz w:val="18"/>
              <w:szCs w:val="18"/>
            </w:rPr>
            <w:fldChar w:fldCharType="separate"/>
          </w:r>
          <w:r w:rsidR="00D30D0A" w:rsidRPr="00D30D0A">
            <w:rPr>
              <w:noProof/>
              <w:sz w:val="18"/>
              <w:szCs w:val="18"/>
            </w:rPr>
            <w:t>(Guina, Welton, Broderick, Correll, &amp; Peirson, 2016)</w:t>
          </w:r>
          <w:r w:rsidR="001A221A" w:rsidRPr="000F11E9">
            <w:rPr>
              <w:sz w:val="18"/>
              <w:szCs w:val="18"/>
            </w:rPr>
            <w:fldChar w:fldCharType="end"/>
          </w:r>
        </w:sdtContent>
      </w:sdt>
      <w:sdt>
        <w:sdtPr>
          <w:rPr>
            <w:sz w:val="18"/>
            <w:szCs w:val="18"/>
          </w:rPr>
          <w:id w:val="349533414"/>
          <w:citation/>
        </w:sdtPr>
        <w:sdtEndPr/>
        <w:sdtContent>
          <w:r w:rsidR="001A221A" w:rsidRPr="000F11E9">
            <w:rPr>
              <w:sz w:val="18"/>
              <w:szCs w:val="18"/>
            </w:rPr>
            <w:fldChar w:fldCharType="begin"/>
          </w:r>
          <w:r w:rsidR="001A221A" w:rsidRPr="000F11E9">
            <w:rPr>
              <w:sz w:val="18"/>
              <w:szCs w:val="18"/>
              <w:lang w:eastAsia="en-AU"/>
            </w:rPr>
            <w:instrText xml:space="preserve"> CITATION Kil13 \l 3081 </w:instrText>
          </w:r>
          <w:r w:rsidR="001A221A" w:rsidRPr="000F11E9">
            <w:rPr>
              <w:sz w:val="18"/>
              <w:szCs w:val="18"/>
            </w:rPr>
            <w:fldChar w:fldCharType="separate"/>
          </w:r>
          <w:r w:rsidR="00D30D0A">
            <w:rPr>
              <w:noProof/>
              <w:sz w:val="18"/>
              <w:szCs w:val="18"/>
              <w:lang w:eastAsia="en-AU"/>
            </w:rPr>
            <w:t xml:space="preserve"> </w:t>
          </w:r>
          <w:r w:rsidR="00D30D0A" w:rsidRPr="00D30D0A">
            <w:rPr>
              <w:noProof/>
              <w:sz w:val="18"/>
              <w:szCs w:val="18"/>
              <w:lang w:eastAsia="en-AU"/>
            </w:rPr>
            <w:t>(Kilpatrick, et al., 2013)</w:t>
          </w:r>
          <w:r w:rsidR="001A221A" w:rsidRPr="000F11E9">
            <w:rPr>
              <w:sz w:val="18"/>
              <w:szCs w:val="18"/>
            </w:rPr>
            <w:fldChar w:fldCharType="end"/>
          </w:r>
        </w:sdtContent>
      </w:sdt>
      <w:sdt>
        <w:sdtPr>
          <w:rPr>
            <w:sz w:val="18"/>
            <w:szCs w:val="18"/>
          </w:rPr>
          <w:id w:val="-1179586284"/>
          <w:citation/>
        </w:sdtPr>
        <w:sdtEndPr/>
        <w:sdtContent>
          <w:r w:rsidR="001A221A" w:rsidRPr="000F11E9">
            <w:rPr>
              <w:sz w:val="18"/>
              <w:szCs w:val="18"/>
            </w:rPr>
            <w:fldChar w:fldCharType="begin"/>
          </w:r>
          <w:r w:rsidR="001A221A" w:rsidRPr="000F11E9">
            <w:rPr>
              <w:sz w:val="18"/>
              <w:szCs w:val="18"/>
            </w:rPr>
            <w:instrText xml:space="preserve"> CITATION For11 \l 3081 </w:instrText>
          </w:r>
          <w:r w:rsidR="001A221A" w:rsidRPr="000F11E9">
            <w:rPr>
              <w:sz w:val="18"/>
              <w:szCs w:val="18"/>
            </w:rPr>
            <w:fldChar w:fldCharType="separate"/>
          </w:r>
          <w:r w:rsidR="00D30D0A">
            <w:rPr>
              <w:noProof/>
              <w:sz w:val="18"/>
              <w:szCs w:val="18"/>
            </w:rPr>
            <w:t xml:space="preserve"> </w:t>
          </w:r>
          <w:r w:rsidR="00D30D0A" w:rsidRPr="00D30D0A">
            <w:rPr>
              <w:noProof/>
              <w:sz w:val="18"/>
              <w:szCs w:val="18"/>
            </w:rPr>
            <w:t>(Forbes &amp; Flecher, 2011)</w:t>
          </w:r>
          <w:r w:rsidR="001A221A" w:rsidRPr="000F11E9">
            <w:rPr>
              <w:sz w:val="18"/>
              <w:szCs w:val="18"/>
            </w:rPr>
            <w:fldChar w:fldCharType="end"/>
          </w:r>
        </w:sdtContent>
      </w:sdt>
      <w:sdt>
        <w:sdtPr>
          <w:rPr>
            <w:sz w:val="18"/>
            <w:szCs w:val="18"/>
          </w:rPr>
          <w:id w:val="588962315"/>
          <w:citation/>
        </w:sdtPr>
        <w:sdtEndPr/>
        <w:sdtContent>
          <w:r w:rsidR="001A221A" w:rsidRPr="000F11E9">
            <w:rPr>
              <w:sz w:val="18"/>
              <w:szCs w:val="18"/>
            </w:rPr>
            <w:fldChar w:fldCharType="begin"/>
          </w:r>
          <w:r w:rsidR="001A221A" w:rsidRPr="000F11E9">
            <w:rPr>
              <w:sz w:val="18"/>
              <w:szCs w:val="18"/>
            </w:rPr>
            <w:instrText xml:space="preserve"> CITATION Kon15 \l 3081 </w:instrText>
          </w:r>
          <w:r w:rsidR="001A221A" w:rsidRPr="000F11E9">
            <w:rPr>
              <w:sz w:val="18"/>
              <w:szCs w:val="18"/>
            </w:rPr>
            <w:fldChar w:fldCharType="separate"/>
          </w:r>
          <w:r w:rsidR="00D30D0A">
            <w:rPr>
              <w:noProof/>
              <w:sz w:val="18"/>
              <w:szCs w:val="18"/>
            </w:rPr>
            <w:t xml:space="preserve"> </w:t>
          </w:r>
          <w:r w:rsidR="00D30D0A" w:rsidRPr="00D30D0A">
            <w:rPr>
              <w:noProof/>
              <w:sz w:val="18"/>
              <w:szCs w:val="18"/>
            </w:rPr>
            <w:t>(Konecky, Meyer, Kimbrel, &amp; Morissette, 2015)</w:t>
          </w:r>
          <w:r w:rsidR="001A221A" w:rsidRPr="000F11E9">
            <w:rPr>
              <w:sz w:val="18"/>
              <w:szCs w:val="18"/>
            </w:rPr>
            <w:fldChar w:fldCharType="end"/>
          </w:r>
        </w:sdtContent>
      </w:sdt>
    </w:p>
  </w:footnote>
  <w:footnote w:id="17">
    <w:p w14:paraId="6FDBFD08" w14:textId="52EA90D4" w:rsidR="000F11E9" w:rsidRPr="00AE4B0D" w:rsidRDefault="000F11E9" w:rsidP="000F11E9">
      <w:pPr>
        <w:pStyle w:val="FootnoteText"/>
      </w:pPr>
      <w:r w:rsidRPr="000F11E9">
        <w:rPr>
          <w:rStyle w:val="FootnoteReference"/>
          <w:sz w:val="18"/>
          <w:szCs w:val="18"/>
        </w:rPr>
        <w:footnoteRef/>
      </w:r>
      <w:r w:rsidRPr="000F11E9">
        <w:rPr>
          <w:sz w:val="18"/>
          <w:szCs w:val="18"/>
        </w:rPr>
        <w:t xml:space="preserve"> </w:t>
      </w:r>
      <w:r w:rsidR="00AE4B0D">
        <w:rPr>
          <w:i/>
          <w:sz w:val="18"/>
          <w:szCs w:val="18"/>
        </w:rPr>
        <w:t xml:space="preserve">Statement of Principles No. 82 of 2014 </w:t>
      </w:r>
      <w:r w:rsidR="00AE4B0D">
        <w:rPr>
          <w:sz w:val="18"/>
          <w:szCs w:val="18"/>
        </w:rPr>
        <w:t>(</w:t>
      </w:r>
      <w:proofErr w:type="spellStart"/>
      <w:r w:rsidR="00AE4B0D">
        <w:rPr>
          <w:sz w:val="18"/>
          <w:szCs w:val="18"/>
        </w:rPr>
        <w:t>Cth</w:t>
      </w:r>
      <w:proofErr w:type="spellEnd"/>
      <w:r w:rsidR="00AE4B0D">
        <w:rPr>
          <w:sz w:val="18"/>
          <w:szCs w:val="18"/>
        </w:rPr>
        <w:t>.)</w:t>
      </w:r>
    </w:p>
  </w:footnote>
  <w:footnote w:id="18">
    <w:p w14:paraId="3327EE73" w14:textId="5F1152F5" w:rsidR="00816853" w:rsidRPr="005F087B" w:rsidRDefault="00816853"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444816283"/>
          <w:citation/>
        </w:sdtPr>
        <w:sdtEndPr/>
        <w:sdtContent>
          <w:r w:rsidRPr="005F087B">
            <w:rPr>
              <w:sz w:val="18"/>
              <w:szCs w:val="18"/>
            </w:rPr>
            <w:fldChar w:fldCharType="begin"/>
          </w:r>
          <w:r w:rsidRPr="005F087B">
            <w:rPr>
              <w:sz w:val="18"/>
              <w:szCs w:val="18"/>
            </w:rPr>
            <w:instrText xml:space="preserve"> CITATION Hog14 \l 3081 </w:instrText>
          </w:r>
          <w:r w:rsidRPr="005F087B">
            <w:rPr>
              <w:sz w:val="18"/>
              <w:szCs w:val="18"/>
            </w:rPr>
            <w:fldChar w:fldCharType="separate"/>
          </w:r>
          <w:r w:rsidR="00D30D0A" w:rsidRPr="00D30D0A">
            <w:rPr>
              <w:noProof/>
              <w:sz w:val="18"/>
              <w:szCs w:val="18"/>
            </w:rPr>
            <w:t>(Hoge, Riviere, Wilk, Herrell, &amp; Weathers, 2014)</w:t>
          </w:r>
          <w:r w:rsidRPr="005F087B">
            <w:rPr>
              <w:sz w:val="18"/>
              <w:szCs w:val="18"/>
            </w:rPr>
            <w:fldChar w:fldCharType="end"/>
          </w:r>
        </w:sdtContent>
      </w:sdt>
    </w:p>
  </w:footnote>
  <w:footnote w:id="19">
    <w:p w14:paraId="2F659E43" w14:textId="62D7C2C3" w:rsidR="003D1F25" w:rsidRPr="005F087B" w:rsidRDefault="003D1F25"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1068535060"/>
          <w:citation/>
        </w:sdtPr>
        <w:sdtEndPr/>
        <w:sdtContent>
          <w:r w:rsidRPr="005F087B">
            <w:rPr>
              <w:sz w:val="18"/>
              <w:szCs w:val="18"/>
            </w:rPr>
            <w:fldChar w:fldCharType="begin"/>
          </w:r>
          <w:r w:rsidRPr="005F087B">
            <w:rPr>
              <w:sz w:val="18"/>
              <w:szCs w:val="18"/>
            </w:rPr>
            <w:instrText xml:space="preserve"> CITATION Res12 \l 3081 </w:instrText>
          </w:r>
          <w:r w:rsidRPr="005F087B">
            <w:rPr>
              <w:sz w:val="18"/>
              <w:szCs w:val="18"/>
            </w:rPr>
            <w:fldChar w:fldCharType="separate"/>
          </w:r>
          <w:r w:rsidR="00D30D0A" w:rsidRPr="00D30D0A">
            <w:rPr>
              <w:noProof/>
              <w:sz w:val="18"/>
              <w:szCs w:val="18"/>
            </w:rPr>
            <w:t>(Resick, et al., 2012)</w:t>
          </w:r>
          <w:r w:rsidRPr="005F087B">
            <w:rPr>
              <w:sz w:val="18"/>
              <w:szCs w:val="18"/>
            </w:rPr>
            <w:fldChar w:fldCharType="end"/>
          </w:r>
        </w:sdtContent>
      </w:sdt>
    </w:p>
  </w:footnote>
  <w:footnote w:id="20">
    <w:p w14:paraId="580D1F2A" w14:textId="6AD387F2" w:rsidR="003D1F25" w:rsidRPr="005F087B" w:rsidRDefault="003D1F25"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2007469516"/>
          <w:citation/>
        </w:sdtPr>
        <w:sdtEndPr/>
        <w:sdtContent>
          <w:r w:rsidRPr="005F087B">
            <w:rPr>
              <w:sz w:val="18"/>
              <w:szCs w:val="18"/>
            </w:rPr>
            <w:fldChar w:fldCharType="begin"/>
          </w:r>
          <w:r w:rsidRPr="005F087B">
            <w:rPr>
              <w:sz w:val="18"/>
              <w:szCs w:val="18"/>
            </w:rPr>
            <w:instrText xml:space="preserve"> CITATION Her92 \l 3081 </w:instrText>
          </w:r>
          <w:r w:rsidRPr="005F087B">
            <w:rPr>
              <w:sz w:val="18"/>
              <w:szCs w:val="18"/>
            </w:rPr>
            <w:fldChar w:fldCharType="separate"/>
          </w:r>
          <w:r w:rsidR="00D30D0A" w:rsidRPr="00D30D0A">
            <w:rPr>
              <w:noProof/>
              <w:sz w:val="18"/>
              <w:szCs w:val="18"/>
            </w:rPr>
            <w:t>(Herman, 1992)</w:t>
          </w:r>
          <w:r w:rsidRPr="005F087B">
            <w:rPr>
              <w:sz w:val="18"/>
              <w:szCs w:val="18"/>
            </w:rPr>
            <w:fldChar w:fldCharType="end"/>
          </w:r>
        </w:sdtContent>
      </w:sdt>
    </w:p>
  </w:footnote>
  <w:footnote w:id="21">
    <w:p w14:paraId="5CFA066C" w14:textId="37B72E9F" w:rsidR="003D1F25" w:rsidRPr="005F087B" w:rsidRDefault="003D1F25"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570850595"/>
          <w:citation/>
        </w:sdtPr>
        <w:sdtEndPr/>
        <w:sdtContent>
          <w:r w:rsidRPr="005F087B">
            <w:rPr>
              <w:sz w:val="18"/>
              <w:szCs w:val="18"/>
            </w:rPr>
            <w:fldChar w:fldCharType="begin"/>
          </w:r>
          <w:r w:rsidRPr="005F087B">
            <w:rPr>
              <w:sz w:val="18"/>
              <w:szCs w:val="18"/>
            </w:rPr>
            <w:instrText xml:space="preserve">CITATION Cou08 \l 3081 </w:instrText>
          </w:r>
          <w:r w:rsidRPr="005F087B">
            <w:rPr>
              <w:sz w:val="18"/>
              <w:szCs w:val="18"/>
            </w:rPr>
            <w:fldChar w:fldCharType="separate"/>
          </w:r>
          <w:r w:rsidR="00D30D0A" w:rsidRPr="00D30D0A">
            <w:rPr>
              <w:noProof/>
              <w:sz w:val="18"/>
              <w:szCs w:val="18"/>
            </w:rPr>
            <w:t>(Courtois, 2008)</w:t>
          </w:r>
          <w:r w:rsidRPr="005F087B">
            <w:rPr>
              <w:sz w:val="18"/>
              <w:szCs w:val="18"/>
            </w:rPr>
            <w:fldChar w:fldCharType="end"/>
          </w:r>
        </w:sdtContent>
      </w:sdt>
      <w:r w:rsidRPr="005F087B">
        <w:rPr>
          <w:sz w:val="18"/>
          <w:szCs w:val="18"/>
        </w:rPr>
        <w:t xml:space="preserve">, 412. </w:t>
      </w:r>
    </w:p>
  </w:footnote>
  <w:footnote w:id="22">
    <w:p w14:paraId="27B4582B" w14:textId="0A6B1082" w:rsidR="003D1F25" w:rsidRPr="005F087B" w:rsidRDefault="003D1F25" w:rsidP="005F087B">
      <w:pPr>
        <w:pStyle w:val="FootnoteText"/>
        <w:rPr>
          <w:sz w:val="18"/>
          <w:szCs w:val="18"/>
        </w:rPr>
      </w:pPr>
      <w:r w:rsidRPr="005F087B">
        <w:rPr>
          <w:rStyle w:val="FootnoteReference"/>
          <w:sz w:val="18"/>
          <w:szCs w:val="18"/>
        </w:rPr>
        <w:footnoteRef/>
      </w:r>
      <w:r w:rsidRPr="005F087B">
        <w:rPr>
          <w:sz w:val="18"/>
          <w:szCs w:val="18"/>
        </w:rPr>
        <w:t xml:space="preserve"> </w:t>
      </w:r>
      <w:sdt>
        <w:sdtPr>
          <w:rPr>
            <w:sz w:val="18"/>
            <w:szCs w:val="18"/>
          </w:rPr>
          <w:id w:val="-849948993"/>
          <w:citation/>
        </w:sdtPr>
        <w:sdtEndPr/>
        <w:sdtContent>
          <w:r w:rsidRPr="005F087B">
            <w:rPr>
              <w:sz w:val="18"/>
              <w:szCs w:val="18"/>
            </w:rPr>
            <w:fldChar w:fldCharType="begin"/>
          </w:r>
          <w:r w:rsidRPr="005F087B">
            <w:rPr>
              <w:sz w:val="18"/>
              <w:szCs w:val="18"/>
            </w:rPr>
            <w:instrText xml:space="preserve"> CITATION MAr12 \l 3081 </w:instrText>
          </w:r>
          <w:r w:rsidRPr="005F087B">
            <w:rPr>
              <w:sz w:val="18"/>
              <w:szCs w:val="18"/>
            </w:rPr>
            <w:fldChar w:fldCharType="separate"/>
          </w:r>
          <w:r w:rsidR="00D30D0A" w:rsidRPr="00D30D0A">
            <w:rPr>
              <w:noProof/>
              <w:sz w:val="18"/>
              <w:szCs w:val="18"/>
            </w:rPr>
            <w:t>(Cloitre, Petkova, Wang, &amp; Feihan, 2012)</w:t>
          </w:r>
          <w:r w:rsidRPr="005F087B">
            <w:rPr>
              <w:sz w:val="18"/>
              <w:szCs w:val="18"/>
            </w:rPr>
            <w:fldChar w:fldCharType="end"/>
          </w:r>
        </w:sdtContent>
      </w:sdt>
    </w:p>
  </w:footnote>
  <w:footnote w:id="23">
    <w:p w14:paraId="1801A172" w14:textId="77F872A1" w:rsidR="007F175C" w:rsidRDefault="007F175C" w:rsidP="005F087B">
      <w:pPr>
        <w:pStyle w:val="FootnoteText"/>
      </w:pPr>
      <w:r w:rsidRPr="005F087B">
        <w:rPr>
          <w:rStyle w:val="FootnoteReference"/>
          <w:sz w:val="18"/>
          <w:szCs w:val="18"/>
        </w:rPr>
        <w:footnoteRef/>
      </w:r>
      <w:r w:rsidRPr="005F087B">
        <w:rPr>
          <w:sz w:val="18"/>
          <w:szCs w:val="18"/>
        </w:rPr>
        <w:t xml:space="preserve"> </w:t>
      </w:r>
      <w:sdt>
        <w:sdtPr>
          <w:rPr>
            <w:sz w:val="18"/>
            <w:szCs w:val="18"/>
          </w:rPr>
          <w:id w:val="-972133282"/>
          <w:citation/>
        </w:sdtPr>
        <w:sdtEndPr/>
        <w:sdtContent>
          <w:r w:rsidRPr="005F087B">
            <w:rPr>
              <w:sz w:val="18"/>
              <w:szCs w:val="18"/>
            </w:rPr>
            <w:fldChar w:fldCharType="begin"/>
          </w:r>
          <w:r w:rsidRPr="005F087B">
            <w:rPr>
              <w:sz w:val="18"/>
              <w:szCs w:val="18"/>
            </w:rPr>
            <w:instrText xml:space="preserve"> CITATION Gro10 \l 3081 </w:instrText>
          </w:r>
          <w:r w:rsidRPr="005F087B">
            <w:rPr>
              <w:sz w:val="18"/>
              <w:szCs w:val="18"/>
            </w:rPr>
            <w:fldChar w:fldCharType="separate"/>
          </w:r>
          <w:r w:rsidR="00D30D0A" w:rsidRPr="00D30D0A">
            <w:rPr>
              <w:noProof/>
              <w:sz w:val="18"/>
              <w:szCs w:val="18"/>
            </w:rPr>
            <w:t>(Gross, 2010)</w:t>
          </w:r>
          <w:r w:rsidRPr="005F087B">
            <w:rPr>
              <w:sz w:val="18"/>
              <w:szCs w:val="18"/>
            </w:rPr>
            <w:fldChar w:fldCharType="end"/>
          </w:r>
        </w:sdtContent>
      </w:sdt>
    </w:p>
  </w:footnote>
  <w:footnote w:id="24">
    <w:p w14:paraId="72ADD82E" w14:textId="024DC71C" w:rsidR="00267DA8" w:rsidRPr="00AE4B0D" w:rsidRDefault="00267DA8">
      <w:pPr>
        <w:pStyle w:val="FootnoteText"/>
      </w:pPr>
      <w:r>
        <w:rPr>
          <w:rStyle w:val="FootnoteReference"/>
        </w:rPr>
        <w:footnoteRef/>
      </w:r>
      <w:r>
        <w:t xml:space="preserve"> </w:t>
      </w:r>
      <w:r w:rsidR="00AE4B0D">
        <w:rPr>
          <w:i/>
        </w:rPr>
        <w:t xml:space="preserve">Statement of Principles </w:t>
      </w:r>
      <w:r w:rsidR="00AE4B0D">
        <w:t>(</w:t>
      </w:r>
      <w:proofErr w:type="spellStart"/>
      <w:r w:rsidR="00AE4B0D">
        <w:t>Cth</w:t>
      </w:r>
      <w:proofErr w:type="spellEnd"/>
      <w:r w:rsidR="00AE4B0D">
        <w:t>).</w:t>
      </w:r>
    </w:p>
  </w:footnote>
  <w:footnote w:id="25">
    <w:p w14:paraId="278CEECD" w14:textId="57EBF41E" w:rsidR="000C2F9B" w:rsidRDefault="000C2F9B">
      <w:pPr>
        <w:pStyle w:val="FootnoteText"/>
      </w:pPr>
      <w:r>
        <w:rPr>
          <w:rStyle w:val="FootnoteReference"/>
        </w:rPr>
        <w:footnoteRef/>
      </w:r>
      <w:r>
        <w:t xml:space="preserve"> </w:t>
      </w:r>
      <w:sdt>
        <w:sdtPr>
          <w:id w:val="1003088129"/>
          <w:citation/>
        </w:sdtPr>
        <w:sdtEndPr/>
        <w:sdtContent>
          <w:r>
            <w:fldChar w:fldCharType="begin"/>
          </w:r>
          <w:r>
            <w:instrText xml:space="preserve"> CITATION Gui16 \l 3081 </w:instrText>
          </w:r>
          <w:r>
            <w:fldChar w:fldCharType="separate"/>
          </w:r>
          <w:r w:rsidR="00D30D0A">
            <w:rPr>
              <w:noProof/>
            </w:rPr>
            <w:t>(Guina, Welton, Broderick, Correll, &amp; Peirson, 2016)</w:t>
          </w:r>
          <w:r>
            <w:fldChar w:fldCharType="end"/>
          </w:r>
        </w:sdtContent>
      </w:sdt>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0DC"/>
    <w:multiLevelType w:val="hybridMultilevel"/>
    <w:tmpl w:val="E1EA6400"/>
    <w:lvl w:ilvl="0" w:tplc="CD0CE01E">
      <w:start w:val="3"/>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E12F2A"/>
    <w:multiLevelType w:val="hybridMultilevel"/>
    <w:tmpl w:val="15D62178"/>
    <w:lvl w:ilvl="0" w:tplc="76C4C3E0">
      <w:numFmt w:val="bullet"/>
      <w:lvlText w:val="-"/>
      <w:lvlJc w:val="left"/>
      <w:pPr>
        <w:ind w:left="420" w:hanging="360"/>
      </w:pPr>
      <w:rPr>
        <w:rFonts w:ascii="Arial" w:eastAsia="Times New Roman"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3B54366C"/>
    <w:multiLevelType w:val="hybridMultilevel"/>
    <w:tmpl w:val="78C4685E"/>
    <w:lvl w:ilvl="0" w:tplc="CD0CE01E">
      <w:start w:val="3"/>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15:restartNumberingAfterBreak="0">
    <w:nsid w:val="5084255A"/>
    <w:multiLevelType w:val="hybridMultilevel"/>
    <w:tmpl w:val="2D046D12"/>
    <w:lvl w:ilvl="0" w:tplc="76C4C3E0">
      <w:numFmt w:val="bullet"/>
      <w:lvlText w:val="-"/>
      <w:lvlJc w:val="left"/>
      <w:pPr>
        <w:ind w:left="420" w:hanging="360"/>
      </w:pPr>
      <w:rPr>
        <w:rFonts w:ascii="Arial" w:eastAsia="Times New Roman" w:hAnsi="Arial" w:cs="Arial" w:hint="default"/>
      </w:rPr>
    </w:lvl>
    <w:lvl w:ilvl="1" w:tplc="254E65AA">
      <w:start w:val="1"/>
      <w:numFmt w:val="bullet"/>
      <w:lvlText w:val="o"/>
      <w:lvlJc w:val="left"/>
      <w:pPr>
        <w:ind w:left="1440" w:hanging="360"/>
      </w:pPr>
      <w:rPr>
        <w:rFonts w:ascii="Courier New" w:hAnsi="Courier New" w:cs="Courier New" w:hint="default"/>
        <w:color w:val="auto"/>
      </w:rPr>
    </w:lvl>
    <w:lvl w:ilvl="2" w:tplc="E4C4F1C6">
      <w:start w:val="1"/>
      <w:numFmt w:val="bullet"/>
      <w:lvlText w:val=""/>
      <w:lvlJc w:val="left"/>
      <w:pPr>
        <w:ind w:left="2160" w:hanging="360"/>
      </w:pPr>
      <w:rPr>
        <w:rFonts w:ascii="Wingdings" w:hAnsi="Wingdings"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585DB0"/>
    <w:multiLevelType w:val="hybridMultilevel"/>
    <w:tmpl w:val="A238C96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555734"/>
    <w:multiLevelType w:val="multilevel"/>
    <w:tmpl w:val="829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56"/>
    <w:rsid w:val="000176BF"/>
    <w:rsid w:val="00037491"/>
    <w:rsid w:val="0004070B"/>
    <w:rsid w:val="000C2F9B"/>
    <w:rsid w:val="000D4C0E"/>
    <w:rsid w:val="000F11E9"/>
    <w:rsid w:val="00115FB8"/>
    <w:rsid w:val="00117D61"/>
    <w:rsid w:val="00122ED4"/>
    <w:rsid w:val="00146595"/>
    <w:rsid w:val="00162D63"/>
    <w:rsid w:val="001800B2"/>
    <w:rsid w:val="001A1FE6"/>
    <w:rsid w:val="001A221A"/>
    <w:rsid w:val="001B2A64"/>
    <w:rsid w:val="001D27D1"/>
    <w:rsid w:val="0020152F"/>
    <w:rsid w:val="0022681C"/>
    <w:rsid w:val="00231185"/>
    <w:rsid w:val="002448A9"/>
    <w:rsid w:val="00247419"/>
    <w:rsid w:val="00267DA8"/>
    <w:rsid w:val="0027070C"/>
    <w:rsid w:val="00280C93"/>
    <w:rsid w:val="002A526F"/>
    <w:rsid w:val="002B195C"/>
    <w:rsid w:val="002B701F"/>
    <w:rsid w:val="002C2A59"/>
    <w:rsid w:val="002D6B8E"/>
    <w:rsid w:val="003134F6"/>
    <w:rsid w:val="003242E2"/>
    <w:rsid w:val="00336DD3"/>
    <w:rsid w:val="003402C5"/>
    <w:rsid w:val="00355608"/>
    <w:rsid w:val="00382450"/>
    <w:rsid w:val="003942E6"/>
    <w:rsid w:val="003A0DF1"/>
    <w:rsid w:val="003C1DBC"/>
    <w:rsid w:val="003C78C5"/>
    <w:rsid w:val="003D1F25"/>
    <w:rsid w:val="003E2BDE"/>
    <w:rsid w:val="003F0534"/>
    <w:rsid w:val="004104B7"/>
    <w:rsid w:val="00410AC8"/>
    <w:rsid w:val="00437934"/>
    <w:rsid w:val="0046355B"/>
    <w:rsid w:val="00470803"/>
    <w:rsid w:val="0047091D"/>
    <w:rsid w:val="00473CA0"/>
    <w:rsid w:val="004830B0"/>
    <w:rsid w:val="004B1653"/>
    <w:rsid w:val="005062CC"/>
    <w:rsid w:val="00510E9B"/>
    <w:rsid w:val="00513BBB"/>
    <w:rsid w:val="00530EE3"/>
    <w:rsid w:val="00567342"/>
    <w:rsid w:val="00570A67"/>
    <w:rsid w:val="005852D6"/>
    <w:rsid w:val="0059016F"/>
    <w:rsid w:val="005D59BB"/>
    <w:rsid w:val="005E4FC8"/>
    <w:rsid w:val="005E5372"/>
    <w:rsid w:val="005F087B"/>
    <w:rsid w:val="006123EC"/>
    <w:rsid w:val="00653D40"/>
    <w:rsid w:val="00655671"/>
    <w:rsid w:val="00656959"/>
    <w:rsid w:val="00683BCB"/>
    <w:rsid w:val="006B3F18"/>
    <w:rsid w:val="006B7ED9"/>
    <w:rsid w:val="006D44A6"/>
    <w:rsid w:val="006D650E"/>
    <w:rsid w:val="007144F9"/>
    <w:rsid w:val="007231F4"/>
    <w:rsid w:val="00730E4C"/>
    <w:rsid w:val="00755BA0"/>
    <w:rsid w:val="0078184E"/>
    <w:rsid w:val="007A1A8F"/>
    <w:rsid w:val="007F0DF1"/>
    <w:rsid w:val="007F175C"/>
    <w:rsid w:val="00802220"/>
    <w:rsid w:val="00810850"/>
    <w:rsid w:val="00816853"/>
    <w:rsid w:val="00830671"/>
    <w:rsid w:val="00853455"/>
    <w:rsid w:val="00875317"/>
    <w:rsid w:val="00875EF1"/>
    <w:rsid w:val="008E53E6"/>
    <w:rsid w:val="008F1E20"/>
    <w:rsid w:val="009419F3"/>
    <w:rsid w:val="0094776C"/>
    <w:rsid w:val="00962147"/>
    <w:rsid w:val="00975320"/>
    <w:rsid w:val="0097733D"/>
    <w:rsid w:val="00990701"/>
    <w:rsid w:val="00992DB2"/>
    <w:rsid w:val="009A5F26"/>
    <w:rsid w:val="009C70D0"/>
    <w:rsid w:val="009C72BB"/>
    <w:rsid w:val="009D13BF"/>
    <w:rsid w:val="009F2D27"/>
    <w:rsid w:val="00A10225"/>
    <w:rsid w:val="00A56141"/>
    <w:rsid w:val="00A5730D"/>
    <w:rsid w:val="00A6635B"/>
    <w:rsid w:val="00A87C92"/>
    <w:rsid w:val="00AB7916"/>
    <w:rsid w:val="00AC15A5"/>
    <w:rsid w:val="00AD6A8D"/>
    <w:rsid w:val="00AE4B0D"/>
    <w:rsid w:val="00AE639E"/>
    <w:rsid w:val="00AF255C"/>
    <w:rsid w:val="00AF714F"/>
    <w:rsid w:val="00B006CB"/>
    <w:rsid w:val="00B107DD"/>
    <w:rsid w:val="00B16DA7"/>
    <w:rsid w:val="00B25885"/>
    <w:rsid w:val="00B678EB"/>
    <w:rsid w:val="00B80B0E"/>
    <w:rsid w:val="00B942EE"/>
    <w:rsid w:val="00BB4248"/>
    <w:rsid w:val="00BC2680"/>
    <w:rsid w:val="00BD088D"/>
    <w:rsid w:val="00BD3C73"/>
    <w:rsid w:val="00BD4CB5"/>
    <w:rsid w:val="00C01E33"/>
    <w:rsid w:val="00C144F7"/>
    <w:rsid w:val="00C2151F"/>
    <w:rsid w:val="00C22556"/>
    <w:rsid w:val="00C52035"/>
    <w:rsid w:val="00C71EB7"/>
    <w:rsid w:val="00CD34FB"/>
    <w:rsid w:val="00CE363A"/>
    <w:rsid w:val="00D01F07"/>
    <w:rsid w:val="00D124B3"/>
    <w:rsid w:val="00D12CA3"/>
    <w:rsid w:val="00D159B6"/>
    <w:rsid w:val="00D15C18"/>
    <w:rsid w:val="00D179EA"/>
    <w:rsid w:val="00D30D0A"/>
    <w:rsid w:val="00D4063E"/>
    <w:rsid w:val="00D474EA"/>
    <w:rsid w:val="00D61BB8"/>
    <w:rsid w:val="00D773D1"/>
    <w:rsid w:val="00D91CFA"/>
    <w:rsid w:val="00D929BD"/>
    <w:rsid w:val="00DC7231"/>
    <w:rsid w:val="00DD4099"/>
    <w:rsid w:val="00DF008C"/>
    <w:rsid w:val="00E4406C"/>
    <w:rsid w:val="00E549C2"/>
    <w:rsid w:val="00E61A3D"/>
    <w:rsid w:val="00E7798F"/>
    <w:rsid w:val="00E84DDF"/>
    <w:rsid w:val="00E8796A"/>
    <w:rsid w:val="00E87D63"/>
    <w:rsid w:val="00EB3A79"/>
    <w:rsid w:val="00ED5741"/>
    <w:rsid w:val="00F12A5F"/>
    <w:rsid w:val="00F15903"/>
    <w:rsid w:val="00F2183D"/>
    <w:rsid w:val="00F2527A"/>
    <w:rsid w:val="00F52D1D"/>
    <w:rsid w:val="00F54CDC"/>
    <w:rsid w:val="00F77E4C"/>
    <w:rsid w:val="00F93562"/>
    <w:rsid w:val="00FA54C2"/>
    <w:rsid w:val="00FD0034"/>
    <w:rsid w:val="00FD7C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B245A"/>
  <w15:chartTrackingRefBased/>
  <w15:docId w15:val="{A4F83A01-4523-4D33-87BA-E24A53CB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0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7091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7091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91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7091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47091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E5372"/>
    <w:pPr>
      <w:ind w:left="720"/>
      <w:contextualSpacing/>
    </w:pPr>
  </w:style>
  <w:style w:type="paragraph" w:customStyle="1" w:styleId="xmsonormal">
    <w:name w:val="x_msonormal"/>
    <w:basedOn w:val="Normal"/>
    <w:rsid w:val="002707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7070C"/>
    <w:rPr>
      <w:color w:val="0000FF"/>
      <w:u w:val="single"/>
    </w:rPr>
  </w:style>
  <w:style w:type="character" w:customStyle="1" w:styleId="UnresolvedMention">
    <w:name w:val="Unresolved Mention"/>
    <w:basedOn w:val="DefaultParagraphFont"/>
    <w:uiPriority w:val="99"/>
    <w:semiHidden/>
    <w:unhideWhenUsed/>
    <w:rsid w:val="00382450"/>
    <w:rPr>
      <w:color w:val="808080"/>
      <w:shd w:val="clear" w:color="auto" w:fill="E6E6E6"/>
    </w:rPr>
  </w:style>
  <w:style w:type="character" w:customStyle="1" w:styleId="Heading1Char">
    <w:name w:val="Heading 1 Char"/>
    <w:basedOn w:val="DefaultParagraphFont"/>
    <w:link w:val="Heading1"/>
    <w:uiPriority w:val="9"/>
    <w:rsid w:val="002B701F"/>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2B70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701F"/>
    <w:rPr>
      <w:i/>
      <w:iCs/>
      <w:color w:val="4472C4" w:themeColor="accent1"/>
    </w:rPr>
  </w:style>
  <w:style w:type="paragraph" w:styleId="FootnoteText">
    <w:name w:val="footnote text"/>
    <w:basedOn w:val="Normal"/>
    <w:link w:val="FootnoteTextChar"/>
    <w:uiPriority w:val="99"/>
    <w:semiHidden/>
    <w:unhideWhenUsed/>
    <w:rsid w:val="00714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4F9"/>
    <w:rPr>
      <w:sz w:val="20"/>
      <w:szCs w:val="20"/>
    </w:rPr>
  </w:style>
  <w:style w:type="character" w:styleId="FootnoteReference">
    <w:name w:val="footnote reference"/>
    <w:basedOn w:val="DefaultParagraphFont"/>
    <w:uiPriority w:val="99"/>
    <w:semiHidden/>
    <w:unhideWhenUsed/>
    <w:rsid w:val="007144F9"/>
    <w:rPr>
      <w:vertAlign w:val="superscript"/>
    </w:rPr>
  </w:style>
  <w:style w:type="character" w:styleId="FollowedHyperlink">
    <w:name w:val="FollowedHyperlink"/>
    <w:basedOn w:val="DefaultParagraphFont"/>
    <w:uiPriority w:val="99"/>
    <w:semiHidden/>
    <w:unhideWhenUsed/>
    <w:rsid w:val="003942E6"/>
    <w:rPr>
      <w:color w:val="954F72" w:themeColor="followedHyperlink"/>
      <w:u w:val="single"/>
    </w:rPr>
  </w:style>
  <w:style w:type="paragraph" w:styleId="Bibliography">
    <w:name w:val="Bibliography"/>
    <w:basedOn w:val="Normal"/>
    <w:next w:val="Normal"/>
    <w:uiPriority w:val="37"/>
    <w:unhideWhenUsed/>
    <w:rsid w:val="0034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908">
      <w:bodyDiv w:val="1"/>
      <w:marLeft w:val="0"/>
      <w:marRight w:val="0"/>
      <w:marTop w:val="0"/>
      <w:marBottom w:val="0"/>
      <w:divBdr>
        <w:top w:val="none" w:sz="0" w:space="0" w:color="auto"/>
        <w:left w:val="none" w:sz="0" w:space="0" w:color="auto"/>
        <w:bottom w:val="none" w:sz="0" w:space="0" w:color="auto"/>
        <w:right w:val="none" w:sz="0" w:space="0" w:color="auto"/>
      </w:divBdr>
    </w:div>
    <w:div w:id="55401382">
      <w:bodyDiv w:val="1"/>
      <w:marLeft w:val="0"/>
      <w:marRight w:val="0"/>
      <w:marTop w:val="0"/>
      <w:marBottom w:val="0"/>
      <w:divBdr>
        <w:top w:val="none" w:sz="0" w:space="0" w:color="auto"/>
        <w:left w:val="none" w:sz="0" w:space="0" w:color="auto"/>
        <w:bottom w:val="none" w:sz="0" w:space="0" w:color="auto"/>
        <w:right w:val="none" w:sz="0" w:space="0" w:color="auto"/>
      </w:divBdr>
    </w:div>
    <w:div w:id="78720480">
      <w:bodyDiv w:val="1"/>
      <w:marLeft w:val="0"/>
      <w:marRight w:val="0"/>
      <w:marTop w:val="0"/>
      <w:marBottom w:val="0"/>
      <w:divBdr>
        <w:top w:val="none" w:sz="0" w:space="0" w:color="auto"/>
        <w:left w:val="none" w:sz="0" w:space="0" w:color="auto"/>
        <w:bottom w:val="none" w:sz="0" w:space="0" w:color="auto"/>
        <w:right w:val="none" w:sz="0" w:space="0" w:color="auto"/>
      </w:divBdr>
    </w:div>
    <w:div w:id="155003462">
      <w:bodyDiv w:val="1"/>
      <w:marLeft w:val="0"/>
      <w:marRight w:val="0"/>
      <w:marTop w:val="0"/>
      <w:marBottom w:val="0"/>
      <w:divBdr>
        <w:top w:val="none" w:sz="0" w:space="0" w:color="auto"/>
        <w:left w:val="none" w:sz="0" w:space="0" w:color="auto"/>
        <w:bottom w:val="none" w:sz="0" w:space="0" w:color="auto"/>
        <w:right w:val="none" w:sz="0" w:space="0" w:color="auto"/>
      </w:divBdr>
    </w:div>
    <w:div w:id="159659266">
      <w:bodyDiv w:val="1"/>
      <w:marLeft w:val="0"/>
      <w:marRight w:val="0"/>
      <w:marTop w:val="0"/>
      <w:marBottom w:val="0"/>
      <w:divBdr>
        <w:top w:val="none" w:sz="0" w:space="0" w:color="auto"/>
        <w:left w:val="none" w:sz="0" w:space="0" w:color="auto"/>
        <w:bottom w:val="none" w:sz="0" w:space="0" w:color="auto"/>
        <w:right w:val="none" w:sz="0" w:space="0" w:color="auto"/>
      </w:divBdr>
    </w:div>
    <w:div w:id="173498127">
      <w:bodyDiv w:val="1"/>
      <w:marLeft w:val="0"/>
      <w:marRight w:val="0"/>
      <w:marTop w:val="0"/>
      <w:marBottom w:val="0"/>
      <w:divBdr>
        <w:top w:val="none" w:sz="0" w:space="0" w:color="auto"/>
        <w:left w:val="none" w:sz="0" w:space="0" w:color="auto"/>
        <w:bottom w:val="none" w:sz="0" w:space="0" w:color="auto"/>
        <w:right w:val="none" w:sz="0" w:space="0" w:color="auto"/>
      </w:divBdr>
    </w:div>
    <w:div w:id="225846391">
      <w:bodyDiv w:val="1"/>
      <w:marLeft w:val="0"/>
      <w:marRight w:val="0"/>
      <w:marTop w:val="0"/>
      <w:marBottom w:val="0"/>
      <w:divBdr>
        <w:top w:val="none" w:sz="0" w:space="0" w:color="auto"/>
        <w:left w:val="none" w:sz="0" w:space="0" w:color="auto"/>
        <w:bottom w:val="none" w:sz="0" w:space="0" w:color="auto"/>
        <w:right w:val="none" w:sz="0" w:space="0" w:color="auto"/>
      </w:divBdr>
    </w:div>
    <w:div w:id="227956082">
      <w:bodyDiv w:val="1"/>
      <w:marLeft w:val="0"/>
      <w:marRight w:val="0"/>
      <w:marTop w:val="0"/>
      <w:marBottom w:val="0"/>
      <w:divBdr>
        <w:top w:val="none" w:sz="0" w:space="0" w:color="auto"/>
        <w:left w:val="none" w:sz="0" w:space="0" w:color="auto"/>
        <w:bottom w:val="none" w:sz="0" w:space="0" w:color="auto"/>
        <w:right w:val="none" w:sz="0" w:space="0" w:color="auto"/>
      </w:divBdr>
    </w:div>
    <w:div w:id="230772152">
      <w:bodyDiv w:val="1"/>
      <w:marLeft w:val="0"/>
      <w:marRight w:val="0"/>
      <w:marTop w:val="0"/>
      <w:marBottom w:val="0"/>
      <w:divBdr>
        <w:top w:val="none" w:sz="0" w:space="0" w:color="auto"/>
        <w:left w:val="none" w:sz="0" w:space="0" w:color="auto"/>
        <w:bottom w:val="none" w:sz="0" w:space="0" w:color="auto"/>
        <w:right w:val="none" w:sz="0" w:space="0" w:color="auto"/>
      </w:divBdr>
    </w:div>
    <w:div w:id="290596104">
      <w:bodyDiv w:val="1"/>
      <w:marLeft w:val="0"/>
      <w:marRight w:val="0"/>
      <w:marTop w:val="0"/>
      <w:marBottom w:val="0"/>
      <w:divBdr>
        <w:top w:val="none" w:sz="0" w:space="0" w:color="auto"/>
        <w:left w:val="none" w:sz="0" w:space="0" w:color="auto"/>
        <w:bottom w:val="none" w:sz="0" w:space="0" w:color="auto"/>
        <w:right w:val="none" w:sz="0" w:space="0" w:color="auto"/>
      </w:divBdr>
    </w:div>
    <w:div w:id="302008925">
      <w:bodyDiv w:val="1"/>
      <w:marLeft w:val="0"/>
      <w:marRight w:val="0"/>
      <w:marTop w:val="0"/>
      <w:marBottom w:val="0"/>
      <w:divBdr>
        <w:top w:val="none" w:sz="0" w:space="0" w:color="auto"/>
        <w:left w:val="none" w:sz="0" w:space="0" w:color="auto"/>
        <w:bottom w:val="none" w:sz="0" w:space="0" w:color="auto"/>
        <w:right w:val="none" w:sz="0" w:space="0" w:color="auto"/>
      </w:divBdr>
    </w:div>
    <w:div w:id="305817600">
      <w:bodyDiv w:val="1"/>
      <w:marLeft w:val="0"/>
      <w:marRight w:val="0"/>
      <w:marTop w:val="0"/>
      <w:marBottom w:val="0"/>
      <w:divBdr>
        <w:top w:val="none" w:sz="0" w:space="0" w:color="auto"/>
        <w:left w:val="none" w:sz="0" w:space="0" w:color="auto"/>
        <w:bottom w:val="none" w:sz="0" w:space="0" w:color="auto"/>
        <w:right w:val="none" w:sz="0" w:space="0" w:color="auto"/>
      </w:divBdr>
    </w:div>
    <w:div w:id="311175593">
      <w:bodyDiv w:val="1"/>
      <w:marLeft w:val="0"/>
      <w:marRight w:val="0"/>
      <w:marTop w:val="0"/>
      <w:marBottom w:val="0"/>
      <w:divBdr>
        <w:top w:val="none" w:sz="0" w:space="0" w:color="auto"/>
        <w:left w:val="none" w:sz="0" w:space="0" w:color="auto"/>
        <w:bottom w:val="none" w:sz="0" w:space="0" w:color="auto"/>
        <w:right w:val="none" w:sz="0" w:space="0" w:color="auto"/>
      </w:divBdr>
    </w:div>
    <w:div w:id="348945401">
      <w:bodyDiv w:val="1"/>
      <w:marLeft w:val="0"/>
      <w:marRight w:val="0"/>
      <w:marTop w:val="0"/>
      <w:marBottom w:val="0"/>
      <w:divBdr>
        <w:top w:val="none" w:sz="0" w:space="0" w:color="auto"/>
        <w:left w:val="none" w:sz="0" w:space="0" w:color="auto"/>
        <w:bottom w:val="none" w:sz="0" w:space="0" w:color="auto"/>
        <w:right w:val="none" w:sz="0" w:space="0" w:color="auto"/>
      </w:divBdr>
    </w:div>
    <w:div w:id="373773876">
      <w:bodyDiv w:val="1"/>
      <w:marLeft w:val="0"/>
      <w:marRight w:val="0"/>
      <w:marTop w:val="0"/>
      <w:marBottom w:val="0"/>
      <w:divBdr>
        <w:top w:val="none" w:sz="0" w:space="0" w:color="auto"/>
        <w:left w:val="none" w:sz="0" w:space="0" w:color="auto"/>
        <w:bottom w:val="none" w:sz="0" w:space="0" w:color="auto"/>
        <w:right w:val="none" w:sz="0" w:space="0" w:color="auto"/>
      </w:divBdr>
    </w:div>
    <w:div w:id="487013024">
      <w:bodyDiv w:val="1"/>
      <w:marLeft w:val="0"/>
      <w:marRight w:val="0"/>
      <w:marTop w:val="0"/>
      <w:marBottom w:val="0"/>
      <w:divBdr>
        <w:top w:val="none" w:sz="0" w:space="0" w:color="auto"/>
        <w:left w:val="none" w:sz="0" w:space="0" w:color="auto"/>
        <w:bottom w:val="none" w:sz="0" w:space="0" w:color="auto"/>
        <w:right w:val="none" w:sz="0" w:space="0" w:color="auto"/>
      </w:divBdr>
    </w:div>
    <w:div w:id="505562412">
      <w:bodyDiv w:val="1"/>
      <w:marLeft w:val="0"/>
      <w:marRight w:val="0"/>
      <w:marTop w:val="0"/>
      <w:marBottom w:val="0"/>
      <w:divBdr>
        <w:top w:val="none" w:sz="0" w:space="0" w:color="auto"/>
        <w:left w:val="none" w:sz="0" w:space="0" w:color="auto"/>
        <w:bottom w:val="none" w:sz="0" w:space="0" w:color="auto"/>
        <w:right w:val="none" w:sz="0" w:space="0" w:color="auto"/>
      </w:divBdr>
    </w:div>
    <w:div w:id="545220210">
      <w:bodyDiv w:val="1"/>
      <w:marLeft w:val="0"/>
      <w:marRight w:val="0"/>
      <w:marTop w:val="0"/>
      <w:marBottom w:val="0"/>
      <w:divBdr>
        <w:top w:val="none" w:sz="0" w:space="0" w:color="auto"/>
        <w:left w:val="none" w:sz="0" w:space="0" w:color="auto"/>
        <w:bottom w:val="none" w:sz="0" w:space="0" w:color="auto"/>
        <w:right w:val="none" w:sz="0" w:space="0" w:color="auto"/>
      </w:divBdr>
    </w:div>
    <w:div w:id="587033399">
      <w:bodyDiv w:val="1"/>
      <w:marLeft w:val="0"/>
      <w:marRight w:val="0"/>
      <w:marTop w:val="0"/>
      <w:marBottom w:val="0"/>
      <w:divBdr>
        <w:top w:val="none" w:sz="0" w:space="0" w:color="auto"/>
        <w:left w:val="none" w:sz="0" w:space="0" w:color="auto"/>
        <w:bottom w:val="none" w:sz="0" w:space="0" w:color="auto"/>
        <w:right w:val="none" w:sz="0" w:space="0" w:color="auto"/>
      </w:divBdr>
    </w:div>
    <w:div w:id="590164246">
      <w:bodyDiv w:val="1"/>
      <w:marLeft w:val="0"/>
      <w:marRight w:val="0"/>
      <w:marTop w:val="0"/>
      <w:marBottom w:val="0"/>
      <w:divBdr>
        <w:top w:val="none" w:sz="0" w:space="0" w:color="auto"/>
        <w:left w:val="none" w:sz="0" w:space="0" w:color="auto"/>
        <w:bottom w:val="none" w:sz="0" w:space="0" w:color="auto"/>
        <w:right w:val="none" w:sz="0" w:space="0" w:color="auto"/>
      </w:divBdr>
    </w:div>
    <w:div w:id="630019286">
      <w:bodyDiv w:val="1"/>
      <w:marLeft w:val="0"/>
      <w:marRight w:val="0"/>
      <w:marTop w:val="0"/>
      <w:marBottom w:val="0"/>
      <w:divBdr>
        <w:top w:val="none" w:sz="0" w:space="0" w:color="auto"/>
        <w:left w:val="none" w:sz="0" w:space="0" w:color="auto"/>
        <w:bottom w:val="none" w:sz="0" w:space="0" w:color="auto"/>
        <w:right w:val="none" w:sz="0" w:space="0" w:color="auto"/>
      </w:divBdr>
    </w:div>
    <w:div w:id="657617318">
      <w:bodyDiv w:val="1"/>
      <w:marLeft w:val="0"/>
      <w:marRight w:val="0"/>
      <w:marTop w:val="0"/>
      <w:marBottom w:val="0"/>
      <w:divBdr>
        <w:top w:val="none" w:sz="0" w:space="0" w:color="auto"/>
        <w:left w:val="none" w:sz="0" w:space="0" w:color="auto"/>
        <w:bottom w:val="none" w:sz="0" w:space="0" w:color="auto"/>
        <w:right w:val="none" w:sz="0" w:space="0" w:color="auto"/>
      </w:divBdr>
    </w:div>
    <w:div w:id="661080370">
      <w:bodyDiv w:val="1"/>
      <w:marLeft w:val="0"/>
      <w:marRight w:val="0"/>
      <w:marTop w:val="0"/>
      <w:marBottom w:val="0"/>
      <w:divBdr>
        <w:top w:val="none" w:sz="0" w:space="0" w:color="auto"/>
        <w:left w:val="none" w:sz="0" w:space="0" w:color="auto"/>
        <w:bottom w:val="none" w:sz="0" w:space="0" w:color="auto"/>
        <w:right w:val="none" w:sz="0" w:space="0" w:color="auto"/>
      </w:divBdr>
    </w:div>
    <w:div w:id="690372773">
      <w:bodyDiv w:val="1"/>
      <w:marLeft w:val="0"/>
      <w:marRight w:val="0"/>
      <w:marTop w:val="0"/>
      <w:marBottom w:val="0"/>
      <w:divBdr>
        <w:top w:val="none" w:sz="0" w:space="0" w:color="auto"/>
        <w:left w:val="none" w:sz="0" w:space="0" w:color="auto"/>
        <w:bottom w:val="none" w:sz="0" w:space="0" w:color="auto"/>
        <w:right w:val="none" w:sz="0" w:space="0" w:color="auto"/>
      </w:divBdr>
    </w:div>
    <w:div w:id="722098059">
      <w:bodyDiv w:val="1"/>
      <w:marLeft w:val="0"/>
      <w:marRight w:val="0"/>
      <w:marTop w:val="0"/>
      <w:marBottom w:val="0"/>
      <w:divBdr>
        <w:top w:val="none" w:sz="0" w:space="0" w:color="auto"/>
        <w:left w:val="none" w:sz="0" w:space="0" w:color="auto"/>
        <w:bottom w:val="none" w:sz="0" w:space="0" w:color="auto"/>
        <w:right w:val="none" w:sz="0" w:space="0" w:color="auto"/>
      </w:divBdr>
    </w:div>
    <w:div w:id="754516670">
      <w:bodyDiv w:val="1"/>
      <w:marLeft w:val="0"/>
      <w:marRight w:val="0"/>
      <w:marTop w:val="0"/>
      <w:marBottom w:val="0"/>
      <w:divBdr>
        <w:top w:val="none" w:sz="0" w:space="0" w:color="auto"/>
        <w:left w:val="none" w:sz="0" w:space="0" w:color="auto"/>
        <w:bottom w:val="none" w:sz="0" w:space="0" w:color="auto"/>
        <w:right w:val="none" w:sz="0" w:space="0" w:color="auto"/>
      </w:divBdr>
    </w:div>
    <w:div w:id="780149222">
      <w:bodyDiv w:val="1"/>
      <w:marLeft w:val="0"/>
      <w:marRight w:val="0"/>
      <w:marTop w:val="0"/>
      <w:marBottom w:val="0"/>
      <w:divBdr>
        <w:top w:val="none" w:sz="0" w:space="0" w:color="auto"/>
        <w:left w:val="none" w:sz="0" w:space="0" w:color="auto"/>
        <w:bottom w:val="none" w:sz="0" w:space="0" w:color="auto"/>
        <w:right w:val="none" w:sz="0" w:space="0" w:color="auto"/>
      </w:divBdr>
    </w:div>
    <w:div w:id="785854244">
      <w:bodyDiv w:val="1"/>
      <w:marLeft w:val="0"/>
      <w:marRight w:val="0"/>
      <w:marTop w:val="0"/>
      <w:marBottom w:val="0"/>
      <w:divBdr>
        <w:top w:val="none" w:sz="0" w:space="0" w:color="auto"/>
        <w:left w:val="none" w:sz="0" w:space="0" w:color="auto"/>
        <w:bottom w:val="none" w:sz="0" w:space="0" w:color="auto"/>
        <w:right w:val="none" w:sz="0" w:space="0" w:color="auto"/>
      </w:divBdr>
    </w:div>
    <w:div w:id="803548142">
      <w:bodyDiv w:val="1"/>
      <w:marLeft w:val="0"/>
      <w:marRight w:val="0"/>
      <w:marTop w:val="0"/>
      <w:marBottom w:val="0"/>
      <w:divBdr>
        <w:top w:val="none" w:sz="0" w:space="0" w:color="auto"/>
        <w:left w:val="none" w:sz="0" w:space="0" w:color="auto"/>
        <w:bottom w:val="none" w:sz="0" w:space="0" w:color="auto"/>
        <w:right w:val="none" w:sz="0" w:space="0" w:color="auto"/>
      </w:divBdr>
    </w:div>
    <w:div w:id="810295347">
      <w:bodyDiv w:val="1"/>
      <w:marLeft w:val="0"/>
      <w:marRight w:val="0"/>
      <w:marTop w:val="0"/>
      <w:marBottom w:val="0"/>
      <w:divBdr>
        <w:top w:val="none" w:sz="0" w:space="0" w:color="auto"/>
        <w:left w:val="none" w:sz="0" w:space="0" w:color="auto"/>
        <w:bottom w:val="none" w:sz="0" w:space="0" w:color="auto"/>
        <w:right w:val="none" w:sz="0" w:space="0" w:color="auto"/>
      </w:divBdr>
    </w:div>
    <w:div w:id="822552884">
      <w:bodyDiv w:val="1"/>
      <w:marLeft w:val="0"/>
      <w:marRight w:val="0"/>
      <w:marTop w:val="0"/>
      <w:marBottom w:val="0"/>
      <w:divBdr>
        <w:top w:val="none" w:sz="0" w:space="0" w:color="auto"/>
        <w:left w:val="none" w:sz="0" w:space="0" w:color="auto"/>
        <w:bottom w:val="none" w:sz="0" w:space="0" w:color="auto"/>
        <w:right w:val="none" w:sz="0" w:space="0" w:color="auto"/>
      </w:divBdr>
    </w:div>
    <w:div w:id="829373049">
      <w:bodyDiv w:val="1"/>
      <w:marLeft w:val="0"/>
      <w:marRight w:val="0"/>
      <w:marTop w:val="0"/>
      <w:marBottom w:val="0"/>
      <w:divBdr>
        <w:top w:val="none" w:sz="0" w:space="0" w:color="auto"/>
        <w:left w:val="none" w:sz="0" w:space="0" w:color="auto"/>
        <w:bottom w:val="none" w:sz="0" w:space="0" w:color="auto"/>
        <w:right w:val="none" w:sz="0" w:space="0" w:color="auto"/>
      </w:divBdr>
    </w:div>
    <w:div w:id="912470560">
      <w:bodyDiv w:val="1"/>
      <w:marLeft w:val="0"/>
      <w:marRight w:val="0"/>
      <w:marTop w:val="0"/>
      <w:marBottom w:val="0"/>
      <w:divBdr>
        <w:top w:val="none" w:sz="0" w:space="0" w:color="auto"/>
        <w:left w:val="none" w:sz="0" w:space="0" w:color="auto"/>
        <w:bottom w:val="none" w:sz="0" w:space="0" w:color="auto"/>
        <w:right w:val="none" w:sz="0" w:space="0" w:color="auto"/>
      </w:divBdr>
    </w:div>
    <w:div w:id="948052957">
      <w:bodyDiv w:val="1"/>
      <w:marLeft w:val="0"/>
      <w:marRight w:val="0"/>
      <w:marTop w:val="0"/>
      <w:marBottom w:val="0"/>
      <w:divBdr>
        <w:top w:val="none" w:sz="0" w:space="0" w:color="auto"/>
        <w:left w:val="none" w:sz="0" w:space="0" w:color="auto"/>
        <w:bottom w:val="none" w:sz="0" w:space="0" w:color="auto"/>
        <w:right w:val="none" w:sz="0" w:space="0" w:color="auto"/>
      </w:divBdr>
    </w:div>
    <w:div w:id="1012337898">
      <w:bodyDiv w:val="1"/>
      <w:marLeft w:val="0"/>
      <w:marRight w:val="0"/>
      <w:marTop w:val="0"/>
      <w:marBottom w:val="0"/>
      <w:divBdr>
        <w:top w:val="none" w:sz="0" w:space="0" w:color="auto"/>
        <w:left w:val="none" w:sz="0" w:space="0" w:color="auto"/>
        <w:bottom w:val="none" w:sz="0" w:space="0" w:color="auto"/>
        <w:right w:val="none" w:sz="0" w:space="0" w:color="auto"/>
      </w:divBdr>
    </w:div>
    <w:div w:id="1049690221">
      <w:bodyDiv w:val="1"/>
      <w:marLeft w:val="0"/>
      <w:marRight w:val="0"/>
      <w:marTop w:val="0"/>
      <w:marBottom w:val="0"/>
      <w:divBdr>
        <w:top w:val="none" w:sz="0" w:space="0" w:color="auto"/>
        <w:left w:val="none" w:sz="0" w:space="0" w:color="auto"/>
        <w:bottom w:val="none" w:sz="0" w:space="0" w:color="auto"/>
        <w:right w:val="none" w:sz="0" w:space="0" w:color="auto"/>
      </w:divBdr>
    </w:div>
    <w:div w:id="1058632671">
      <w:bodyDiv w:val="1"/>
      <w:marLeft w:val="0"/>
      <w:marRight w:val="0"/>
      <w:marTop w:val="0"/>
      <w:marBottom w:val="0"/>
      <w:divBdr>
        <w:top w:val="none" w:sz="0" w:space="0" w:color="auto"/>
        <w:left w:val="none" w:sz="0" w:space="0" w:color="auto"/>
        <w:bottom w:val="none" w:sz="0" w:space="0" w:color="auto"/>
        <w:right w:val="none" w:sz="0" w:space="0" w:color="auto"/>
      </w:divBdr>
    </w:div>
    <w:div w:id="1071387763">
      <w:bodyDiv w:val="1"/>
      <w:marLeft w:val="0"/>
      <w:marRight w:val="0"/>
      <w:marTop w:val="0"/>
      <w:marBottom w:val="0"/>
      <w:divBdr>
        <w:top w:val="none" w:sz="0" w:space="0" w:color="auto"/>
        <w:left w:val="none" w:sz="0" w:space="0" w:color="auto"/>
        <w:bottom w:val="none" w:sz="0" w:space="0" w:color="auto"/>
        <w:right w:val="none" w:sz="0" w:space="0" w:color="auto"/>
      </w:divBdr>
    </w:div>
    <w:div w:id="1104962366">
      <w:bodyDiv w:val="1"/>
      <w:marLeft w:val="0"/>
      <w:marRight w:val="0"/>
      <w:marTop w:val="0"/>
      <w:marBottom w:val="0"/>
      <w:divBdr>
        <w:top w:val="none" w:sz="0" w:space="0" w:color="auto"/>
        <w:left w:val="none" w:sz="0" w:space="0" w:color="auto"/>
        <w:bottom w:val="none" w:sz="0" w:space="0" w:color="auto"/>
        <w:right w:val="none" w:sz="0" w:space="0" w:color="auto"/>
      </w:divBdr>
    </w:div>
    <w:div w:id="1112557156">
      <w:bodyDiv w:val="1"/>
      <w:marLeft w:val="0"/>
      <w:marRight w:val="0"/>
      <w:marTop w:val="0"/>
      <w:marBottom w:val="0"/>
      <w:divBdr>
        <w:top w:val="none" w:sz="0" w:space="0" w:color="auto"/>
        <w:left w:val="none" w:sz="0" w:space="0" w:color="auto"/>
        <w:bottom w:val="none" w:sz="0" w:space="0" w:color="auto"/>
        <w:right w:val="none" w:sz="0" w:space="0" w:color="auto"/>
      </w:divBdr>
    </w:div>
    <w:div w:id="1139112539">
      <w:bodyDiv w:val="1"/>
      <w:marLeft w:val="0"/>
      <w:marRight w:val="0"/>
      <w:marTop w:val="0"/>
      <w:marBottom w:val="0"/>
      <w:divBdr>
        <w:top w:val="none" w:sz="0" w:space="0" w:color="auto"/>
        <w:left w:val="none" w:sz="0" w:space="0" w:color="auto"/>
        <w:bottom w:val="none" w:sz="0" w:space="0" w:color="auto"/>
        <w:right w:val="none" w:sz="0" w:space="0" w:color="auto"/>
      </w:divBdr>
    </w:div>
    <w:div w:id="1158153322">
      <w:bodyDiv w:val="1"/>
      <w:marLeft w:val="0"/>
      <w:marRight w:val="0"/>
      <w:marTop w:val="0"/>
      <w:marBottom w:val="0"/>
      <w:divBdr>
        <w:top w:val="none" w:sz="0" w:space="0" w:color="auto"/>
        <w:left w:val="none" w:sz="0" w:space="0" w:color="auto"/>
        <w:bottom w:val="none" w:sz="0" w:space="0" w:color="auto"/>
        <w:right w:val="none" w:sz="0" w:space="0" w:color="auto"/>
      </w:divBdr>
    </w:div>
    <w:div w:id="1162355080">
      <w:bodyDiv w:val="1"/>
      <w:marLeft w:val="0"/>
      <w:marRight w:val="0"/>
      <w:marTop w:val="0"/>
      <w:marBottom w:val="0"/>
      <w:divBdr>
        <w:top w:val="none" w:sz="0" w:space="0" w:color="auto"/>
        <w:left w:val="none" w:sz="0" w:space="0" w:color="auto"/>
        <w:bottom w:val="none" w:sz="0" w:space="0" w:color="auto"/>
        <w:right w:val="none" w:sz="0" w:space="0" w:color="auto"/>
      </w:divBdr>
    </w:div>
    <w:div w:id="1174344585">
      <w:bodyDiv w:val="1"/>
      <w:marLeft w:val="0"/>
      <w:marRight w:val="0"/>
      <w:marTop w:val="0"/>
      <w:marBottom w:val="0"/>
      <w:divBdr>
        <w:top w:val="none" w:sz="0" w:space="0" w:color="auto"/>
        <w:left w:val="none" w:sz="0" w:space="0" w:color="auto"/>
        <w:bottom w:val="none" w:sz="0" w:space="0" w:color="auto"/>
        <w:right w:val="none" w:sz="0" w:space="0" w:color="auto"/>
      </w:divBdr>
    </w:div>
    <w:div w:id="1195311817">
      <w:bodyDiv w:val="1"/>
      <w:marLeft w:val="0"/>
      <w:marRight w:val="0"/>
      <w:marTop w:val="0"/>
      <w:marBottom w:val="0"/>
      <w:divBdr>
        <w:top w:val="none" w:sz="0" w:space="0" w:color="auto"/>
        <w:left w:val="none" w:sz="0" w:space="0" w:color="auto"/>
        <w:bottom w:val="none" w:sz="0" w:space="0" w:color="auto"/>
        <w:right w:val="none" w:sz="0" w:space="0" w:color="auto"/>
      </w:divBdr>
    </w:div>
    <w:div w:id="1214539274">
      <w:bodyDiv w:val="1"/>
      <w:marLeft w:val="0"/>
      <w:marRight w:val="0"/>
      <w:marTop w:val="0"/>
      <w:marBottom w:val="0"/>
      <w:divBdr>
        <w:top w:val="none" w:sz="0" w:space="0" w:color="auto"/>
        <w:left w:val="none" w:sz="0" w:space="0" w:color="auto"/>
        <w:bottom w:val="none" w:sz="0" w:space="0" w:color="auto"/>
        <w:right w:val="none" w:sz="0" w:space="0" w:color="auto"/>
      </w:divBdr>
    </w:div>
    <w:div w:id="1230071782">
      <w:bodyDiv w:val="1"/>
      <w:marLeft w:val="0"/>
      <w:marRight w:val="0"/>
      <w:marTop w:val="0"/>
      <w:marBottom w:val="0"/>
      <w:divBdr>
        <w:top w:val="none" w:sz="0" w:space="0" w:color="auto"/>
        <w:left w:val="none" w:sz="0" w:space="0" w:color="auto"/>
        <w:bottom w:val="none" w:sz="0" w:space="0" w:color="auto"/>
        <w:right w:val="none" w:sz="0" w:space="0" w:color="auto"/>
      </w:divBdr>
    </w:div>
    <w:div w:id="1240098515">
      <w:bodyDiv w:val="1"/>
      <w:marLeft w:val="0"/>
      <w:marRight w:val="0"/>
      <w:marTop w:val="0"/>
      <w:marBottom w:val="0"/>
      <w:divBdr>
        <w:top w:val="none" w:sz="0" w:space="0" w:color="auto"/>
        <w:left w:val="none" w:sz="0" w:space="0" w:color="auto"/>
        <w:bottom w:val="none" w:sz="0" w:space="0" w:color="auto"/>
        <w:right w:val="none" w:sz="0" w:space="0" w:color="auto"/>
      </w:divBdr>
    </w:div>
    <w:div w:id="1252204940">
      <w:bodyDiv w:val="1"/>
      <w:marLeft w:val="0"/>
      <w:marRight w:val="0"/>
      <w:marTop w:val="0"/>
      <w:marBottom w:val="0"/>
      <w:divBdr>
        <w:top w:val="none" w:sz="0" w:space="0" w:color="auto"/>
        <w:left w:val="none" w:sz="0" w:space="0" w:color="auto"/>
        <w:bottom w:val="none" w:sz="0" w:space="0" w:color="auto"/>
        <w:right w:val="none" w:sz="0" w:space="0" w:color="auto"/>
      </w:divBdr>
    </w:div>
    <w:div w:id="1259093986">
      <w:bodyDiv w:val="1"/>
      <w:marLeft w:val="0"/>
      <w:marRight w:val="0"/>
      <w:marTop w:val="0"/>
      <w:marBottom w:val="0"/>
      <w:divBdr>
        <w:top w:val="none" w:sz="0" w:space="0" w:color="auto"/>
        <w:left w:val="none" w:sz="0" w:space="0" w:color="auto"/>
        <w:bottom w:val="none" w:sz="0" w:space="0" w:color="auto"/>
        <w:right w:val="none" w:sz="0" w:space="0" w:color="auto"/>
      </w:divBdr>
    </w:div>
    <w:div w:id="1305506309">
      <w:bodyDiv w:val="1"/>
      <w:marLeft w:val="0"/>
      <w:marRight w:val="0"/>
      <w:marTop w:val="0"/>
      <w:marBottom w:val="0"/>
      <w:divBdr>
        <w:top w:val="none" w:sz="0" w:space="0" w:color="auto"/>
        <w:left w:val="none" w:sz="0" w:space="0" w:color="auto"/>
        <w:bottom w:val="none" w:sz="0" w:space="0" w:color="auto"/>
        <w:right w:val="none" w:sz="0" w:space="0" w:color="auto"/>
      </w:divBdr>
    </w:div>
    <w:div w:id="1309900447">
      <w:bodyDiv w:val="1"/>
      <w:marLeft w:val="0"/>
      <w:marRight w:val="0"/>
      <w:marTop w:val="0"/>
      <w:marBottom w:val="0"/>
      <w:divBdr>
        <w:top w:val="none" w:sz="0" w:space="0" w:color="auto"/>
        <w:left w:val="none" w:sz="0" w:space="0" w:color="auto"/>
        <w:bottom w:val="none" w:sz="0" w:space="0" w:color="auto"/>
        <w:right w:val="none" w:sz="0" w:space="0" w:color="auto"/>
      </w:divBdr>
    </w:div>
    <w:div w:id="1310789951">
      <w:bodyDiv w:val="1"/>
      <w:marLeft w:val="0"/>
      <w:marRight w:val="0"/>
      <w:marTop w:val="0"/>
      <w:marBottom w:val="0"/>
      <w:divBdr>
        <w:top w:val="none" w:sz="0" w:space="0" w:color="auto"/>
        <w:left w:val="none" w:sz="0" w:space="0" w:color="auto"/>
        <w:bottom w:val="none" w:sz="0" w:space="0" w:color="auto"/>
        <w:right w:val="none" w:sz="0" w:space="0" w:color="auto"/>
      </w:divBdr>
    </w:div>
    <w:div w:id="1315599624">
      <w:bodyDiv w:val="1"/>
      <w:marLeft w:val="0"/>
      <w:marRight w:val="0"/>
      <w:marTop w:val="0"/>
      <w:marBottom w:val="0"/>
      <w:divBdr>
        <w:top w:val="none" w:sz="0" w:space="0" w:color="auto"/>
        <w:left w:val="none" w:sz="0" w:space="0" w:color="auto"/>
        <w:bottom w:val="none" w:sz="0" w:space="0" w:color="auto"/>
        <w:right w:val="none" w:sz="0" w:space="0" w:color="auto"/>
      </w:divBdr>
    </w:div>
    <w:div w:id="1343360283">
      <w:bodyDiv w:val="1"/>
      <w:marLeft w:val="0"/>
      <w:marRight w:val="0"/>
      <w:marTop w:val="0"/>
      <w:marBottom w:val="0"/>
      <w:divBdr>
        <w:top w:val="none" w:sz="0" w:space="0" w:color="auto"/>
        <w:left w:val="none" w:sz="0" w:space="0" w:color="auto"/>
        <w:bottom w:val="none" w:sz="0" w:space="0" w:color="auto"/>
        <w:right w:val="none" w:sz="0" w:space="0" w:color="auto"/>
      </w:divBdr>
    </w:div>
    <w:div w:id="1352756015">
      <w:bodyDiv w:val="1"/>
      <w:marLeft w:val="0"/>
      <w:marRight w:val="0"/>
      <w:marTop w:val="0"/>
      <w:marBottom w:val="0"/>
      <w:divBdr>
        <w:top w:val="none" w:sz="0" w:space="0" w:color="auto"/>
        <w:left w:val="none" w:sz="0" w:space="0" w:color="auto"/>
        <w:bottom w:val="none" w:sz="0" w:space="0" w:color="auto"/>
        <w:right w:val="none" w:sz="0" w:space="0" w:color="auto"/>
      </w:divBdr>
    </w:div>
    <w:div w:id="1362589974">
      <w:bodyDiv w:val="1"/>
      <w:marLeft w:val="0"/>
      <w:marRight w:val="0"/>
      <w:marTop w:val="0"/>
      <w:marBottom w:val="0"/>
      <w:divBdr>
        <w:top w:val="none" w:sz="0" w:space="0" w:color="auto"/>
        <w:left w:val="none" w:sz="0" w:space="0" w:color="auto"/>
        <w:bottom w:val="none" w:sz="0" w:space="0" w:color="auto"/>
        <w:right w:val="none" w:sz="0" w:space="0" w:color="auto"/>
      </w:divBdr>
    </w:div>
    <w:div w:id="1384985893">
      <w:bodyDiv w:val="1"/>
      <w:marLeft w:val="0"/>
      <w:marRight w:val="0"/>
      <w:marTop w:val="0"/>
      <w:marBottom w:val="0"/>
      <w:divBdr>
        <w:top w:val="none" w:sz="0" w:space="0" w:color="auto"/>
        <w:left w:val="none" w:sz="0" w:space="0" w:color="auto"/>
        <w:bottom w:val="none" w:sz="0" w:space="0" w:color="auto"/>
        <w:right w:val="none" w:sz="0" w:space="0" w:color="auto"/>
      </w:divBdr>
    </w:div>
    <w:div w:id="1393699893">
      <w:bodyDiv w:val="1"/>
      <w:marLeft w:val="0"/>
      <w:marRight w:val="0"/>
      <w:marTop w:val="0"/>
      <w:marBottom w:val="0"/>
      <w:divBdr>
        <w:top w:val="none" w:sz="0" w:space="0" w:color="auto"/>
        <w:left w:val="none" w:sz="0" w:space="0" w:color="auto"/>
        <w:bottom w:val="none" w:sz="0" w:space="0" w:color="auto"/>
        <w:right w:val="none" w:sz="0" w:space="0" w:color="auto"/>
      </w:divBdr>
    </w:div>
    <w:div w:id="1398429700">
      <w:bodyDiv w:val="1"/>
      <w:marLeft w:val="0"/>
      <w:marRight w:val="0"/>
      <w:marTop w:val="0"/>
      <w:marBottom w:val="0"/>
      <w:divBdr>
        <w:top w:val="none" w:sz="0" w:space="0" w:color="auto"/>
        <w:left w:val="none" w:sz="0" w:space="0" w:color="auto"/>
        <w:bottom w:val="none" w:sz="0" w:space="0" w:color="auto"/>
        <w:right w:val="none" w:sz="0" w:space="0" w:color="auto"/>
      </w:divBdr>
    </w:div>
    <w:div w:id="1410083457">
      <w:bodyDiv w:val="1"/>
      <w:marLeft w:val="0"/>
      <w:marRight w:val="0"/>
      <w:marTop w:val="0"/>
      <w:marBottom w:val="0"/>
      <w:divBdr>
        <w:top w:val="none" w:sz="0" w:space="0" w:color="auto"/>
        <w:left w:val="none" w:sz="0" w:space="0" w:color="auto"/>
        <w:bottom w:val="none" w:sz="0" w:space="0" w:color="auto"/>
        <w:right w:val="none" w:sz="0" w:space="0" w:color="auto"/>
      </w:divBdr>
    </w:div>
    <w:div w:id="1483428855">
      <w:bodyDiv w:val="1"/>
      <w:marLeft w:val="0"/>
      <w:marRight w:val="0"/>
      <w:marTop w:val="0"/>
      <w:marBottom w:val="0"/>
      <w:divBdr>
        <w:top w:val="none" w:sz="0" w:space="0" w:color="auto"/>
        <w:left w:val="none" w:sz="0" w:space="0" w:color="auto"/>
        <w:bottom w:val="none" w:sz="0" w:space="0" w:color="auto"/>
        <w:right w:val="none" w:sz="0" w:space="0" w:color="auto"/>
      </w:divBdr>
    </w:div>
    <w:div w:id="1500579643">
      <w:bodyDiv w:val="1"/>
      <w:marLeft w:val="0"/>
      <w:marRight w:val="0"/>
      <w:marTop w:val="0"/>
      <w:marBottom w:val="0"/>
      <w:divBdr>
        <w:top w:val="none" w:sz="0" w:space="0" w:color="auto"/>
        <w:left w:val="none" w:sz="0" w:space="0" w:color="auto"/>
        <w:bottom w:val="none" w:sz="0" w:space="0" w:color="auto"/>
        <w:right w:val="none" w:sz="0" w:space="0" w:color="auto"/>
      </w:divBdr>
    </w:div>
    <w:div w:id="1512182663">
      <w:bodyDiv w:val="1"/>
      <w:marLeft w:val="0"/>
      <w:marRight w:val="0"/>
      <w:marTop w:val="0"/>
      <w:marBottom w:val="0"/>
      <w:divBdr>
        <w:top w:val="none" w:sz="0" w:space="0" w:color="auto"/>
        <w:left w:val="none" w:sz="0" w:space="0" w:color="auto"/>
        <w:bottom w:val="none" w:sz="0" w:space="0" w:color="auto"/>
        <w:right w:val="none" w:sz="0" w:space="0" w:color="auto"/>
      </w:divBdr>
    </w:div>
    <w:div w:id="1588726688">
      <w:bodyDiv w:val="1"/>
      <w:marLeft w:val="0"/>
      <w:marRight w:val="0"/>
      <w:marTop w:val="0"/>
      <w:marBottom w:val="0"/>
      <w:divBdr>
        <w:top w:val="none" w:sz="0" w:space="0" w:color="auto"/>
        <w:left w:val="none" w:sz="0" w:space="0" w:color="auto"/>
        <w:bottom w:val="none" w:sz="0" w:space="0" w:color="auto"/>
        <w:right w:val="none" w:sz="0" w:space="0" w:color="auto"/>
      </w:divBdr>
    </w:div>
    <w:div w:id="1593199751">
      <w:bodyDiv w:val="1"/>
      <w:marLeft w:val="0"/>
      <w:marRight w:val="0"/>
      <w:marTop w:val="0"/>
      <w:marBottom w:val="0"/>
      <w:divBdr>
        <w:top w:val="none" w:sz="0" w:space="0" w:color="auto"/>
        <w:left w:val="none" w:sz="0" w:space="0" w:color="auto"/>
        <w:bottom w:val="none" w:sz="0" w:space="0" w:color="auto"/>
        <w:right w:val="none" w:sz="0" w:space="0" w:color="auto"/>
      </w:divBdr>
    </w:div>
    <w:div w:id="1678271889">
      <w:bodyDiv w:val="1"/>
      <w:marLeft w:val="0"/>
      <w:marRight w:val="0"/>
      <w:marTop w:val="0"/>
      <w:marBottom w:val="0"/>
      <w:divBdr>
        <w:top w:val="none" w:sz="0" w:space="0" w:color="auto"/>
        <w:left w:val="none" w:sz="0" w:space="0" w:color="auto"/>
        <w:bottom w:val="none" w:sz="0" w:space="0" w:color="auto"/>
        <w:right w:val="none" w:sz="0" w:space="0" w:color="auto"/>
      </w:divBdr>
    </w:div>
    <w:div w:id="1686320319">
      <w:bodyDiv w:val="1"/>
      <w:marLeft w:val="0"/>
      <w:marRight w:val="0"/>
      <w:marTop w:val="0"/>
      <w:marBottom w:val="0"/>
      <w:divBdr>
        <w:top w:val="none" w:sz="0" w:space="0" w:color="auto"/>
        <w:left w:val="none" w:sz="0" w:space="0" w:color="auto"/>
        <w:bottom w:val="none" w:sz="0" w:space="0" w:color="auto"/>
        <w:right w:val="none" w:sz="0" w:space="0" w:color="auto"/>
      </w:divBdr>
    </w:div>
    <w:div w:id="1716082984">
      <w:bodyDiv w:val="1"/>
      <w:marLeft w:val="0"/>
      <w:marRight w:val="0"/>
      <w:marTop w:val="0"/>
      <w:marBottom w:val="0"/>
      <w:divBdr>
        <w:top w:val="none" w:sz="0" w:space="0" w:color="auto"/>
        <w:left w:val="none" w:sz="0" w:space="0" w:color="auto"/>
        <w:bottom w:val="none" w:sz="0" w:space="0" w:color="auto"/>
        <w:right w:val="none" w:sz="0" w:space="0" w:color="auto"/>
      </w:divBdr>
    </w:div>
    <w:div w:id="1724451320">
      <w:bodyDiv w:val="1"/>
      <w:marLeft w:val="0"/>
      <w:marRight w:val="0"/>
      <w:marTop w:val="0"/>
      <w:marBottom w:val="0"/>
      <w:divBdr>
        <w:top w:val="none" w:sz="0" w:space="0" w:color="auto"/>
        <w:left w:val="none" w:sz="0" w:space="0" w:color="auto"/>
        <w:bottom w:val="none" w:sz="0" w:space="0" w:color="auto"/>
        <w:right w:val="none" w:sz="0" w:space="0" w:color="auto"/>
      </w:divBdr>
    </w:div>
    <w:div w:id="1745880260">
      <w:bodyDiv w:val="1"/>
      <w:marLeft w:val="0"/>
      <w:marRight w:val="0"/>
      <w:marTop w:val="0"/>
      <w:marBottom w:val="0"/>
      <w:divBdr>
        <w:top w:val="none" w:sz="0" w:space="0" w:color="auto"/>
        <w:left w:val="none" w:sz="0" w:space="0" w:color="auto"/>
        <w:bottom w:val="none" w:sz="0" w:space="0" w:color="auto"/>
        <w:right w:val="none" w:sz="0" w:space="0" w:color="auto"/>
      </w:divBdr>
    </w:div>
    <w:div w:id="1776098736">
      <w:bodyDiv w:val="1"/>
      <w:marLeft w:val="0"/>
      <w:marRight w:val="0"/>
      <w:marTop w:val="0"/>
      <w:marBottom w:val="0"/>
      <w:divBdr>
        <w:top w:val="none" w:sz="0" w:space="0" w:color="auto"/>
        <w:left w:val="none" w:sz="0" w:space="0" w:color="auto"/>
        <w:bottom w:val="none" w:sz="0" w:space="0" w:color="auto"/>
        <w:right w:val="none" w:sz="0" w:space="0" w:color="auto"/>
      </w:divBdr>
    </w:div>
    <w:div w:id="1794402522">
      <w:bodyDiv w:val="1"/>
      <w:marLeft w:val="0"/>
      <w:marRight w:val="0"/>
      <w:marTop w:val="0"/>
      <w:marBottom w:val="0"/>
      <w:divBdr>
        <w:top w:val="none" w:sz="0" w:space="0" w:color="auto"/>
        <w:left w:val="none" w:sz="0" w:space="0" w:color="auto"/>
        <w:bottom w:val="none" w:sz="0" w:space="0" w:color="auto"/>
        <w:right w:val="none" w:sz="0" w:space="0" w:color="auto"/>
      </w:divBdr>
    </w:div>
    <w:div w:id="1806727783">
      <w:bodyDiv w:val="1"/>
      <w:marLeft w:val="0"/>
      <w:marRight w:val="0"/>
      <w:marTop w:val="0"/>
      <w:marBottom w:val="0"/>
      <w:divBdr>
        <w:top w:val="none" w:sz="0" w:space="0" w:color="auto"/>
        <w:left w:val="none" w:sz="0" w:space="0" w:color="auto"/>
        <w:bottom w:val="none" w:sz="0" w:space="0" w:color="auto"/>
        <w:right w:val="none" w:sz="0" w:space="0" w:color="auto"/>
      </w:divBdr>
    </w:div>
    <w:div w:id="1840537690">
      <w:bodyDiv w:val="1"/>
      <w:marLeft w:val="0"/>
      <w:marRight w:val="0"/>
      <w:marTop w:val="0"/>
      <w:marBottom w:val="0"/>
      <w:divBdr>
        <w:top w:val="none" w:sz="0" w:space="0" w:color="auto"/>
        <w:left w:val="none" w:sz="0" w:space="0" w:color="auto"/>
        <w:bottom w:val="none" w:sz="0" w:space="0" w:color="auto"/>
        <w:right w:val="none" w:sz="0" w:space="0" w:color="auto"/>
      </w:divBdr>
    </w:div>
    <w:div w:id="1857697805">
      <w:bodyDiv w:val="1"/>
      <w:marLeft w:val="0"/>
      <w:marRight w:val="0"/>
      <w:marTop w:val="0"/>
      <w:marBottom w:val="0"/>
      <w:divBdr>
        <w:top w:val="none" w:sz="0" w:space="0" w:color="auto"/>
        <w:left w:val="none" w:sz="0" w:space="0" w:color="auto"/>
        <w:bottom w:val="none" w:sz="0" w:space="0" w:color="auto"/>
        <w:right w:val="none" w:sz="0" w:space="0" w:color="auto"/>
      </w:divBdr>
    </w:div>
    <w:div w:id="1901134349">
      <w:bodyDiv w:val="1"/>
      <w:marLeft w:val="0"/>
      <w:marRight w:val="0"/>
      <w:marTop w:val="0"/>
      <w:marBottom w:val="0"/>
      <w:divBdr>
        <w:top w:val="none" w:sz="0" w:space="0" w:color="auto"/>
        <w:left w:val="none" w:sz="0" w:space="0" w:color="auto"/>
        <w:bottom w:val="none" w:sz="0" w:space="0" w:color="auto"/>
        <w:right w:val="none" w:sz="0" w:space="0" w:color="auto"/>
      </w:divBdr>
    </w:div>
    <w:div w:id="1903559996">
      <w:bodyDiv w:val="1"/>
      <w:marLeft w:val="0"/>
      <w:marRight w:val="0"/>
      <w:marTop w:val="0"/>
      <w:marBottom w:val="0"/>
      <w:divBdr>
        <w:top w:val="none" w:sz="0" w:space="0" w:color="auto"/>
        <w:left w:val="none" w:sz="0" w:space="0" w:color="auto"/>
        <w:bottom w:val="none" w:sz="0" w:space="0" w:color="auto"/>
        <w:right w:val="none" w:sz="0" w:space="0" w:color="auto"/>
      </w:divBdr>
    </w:div>
    <w:div w:id="1906797882">
      <w:bodyDiv w:val="1"/>
      <w:marLeft w:val="0"/>
      <w:marRight w:val="0"/>
      <w:marTop w:val="0"/>
      <w:marBottom w:val="0"/>
      <w:divBdr>
        <w:top w:val="none" w:sz="0" w:space="0" w:color="auto"/>
        <w:left w:val="none" w:sz="0" w:space="0" w:color="auto"/>
        <w:bottom w:val="none" w:sz="0" w:space="0" w:color="auto"/>
        <w:right w:val="none" w:sz="0" w:space="0" w:color="auto"/>
      </w:divBdr>
    </w:div>
    <w:div w:id="1907916226">
      <w:bodyDiv w:val="1"/>
      <w:marLeft w:val="0"/>
      <w:marRight w:val="0"/>
      <w:marTop w:val="0"/>
      <w:marBottom w:val="0"/>
      <w:divBdr>
        <w:top w:val="none" w:sz="0" w:space="0" w:color="auto"/>
        <w:left w:val="none" w:sz="0" w:space="0" w:color="auto"/>
        <w:bottom w:val="none" w:sz="0" w:space="0" w:color="auto"/>
        <w:right w:val="none" w:sz="0" w:space="0" w:color="auto"/>
      </w:divBdr>
    </w:div>
    <w:div w:id="1922255938">
      <w:bodyDiv w:val="1"/>
      <w:marLeft w:val="0"/>
      <w:marRight w:val="0"/>
      <w:marTop w:val="0"/>
      <w:marBottom w:val="0"/>
      <w:divBdr>
        <w:top w:val="none" w:sz="0" w:space="0" w:color="auto"/>
        <w:left w:val="none" w:sz="0" w:space="0" w:color="auto"/>
        <w:bottom w:val="none" w:sz="0" w:space="0" w:color="auto"/>
        <w:right w:val="none" w:sz="0" w:space="0" w:color="auto"/>
      </w:divBdr>
    </w:div>
    <w:div w:id="1930891068">
      <w:bodyDiv w:val="1"/>
      <w:marLeft w:val="0"/>
      <w:marRight w:val="0"/>
      <w:marTop w:val="0"/>
      <w:marBottom w:val="0"/>
      <w:divBdr>
        <w:top w:val="none" w:sz="0" w:space="0" w:color="auto"/>
        <w:left w:val="none" w:sz="0" w:space="0" w:color="auto"/>
        <w:bottom w:val="none" w:sz="0" w:space="0" w:color="auto"/>
        <w:right w:val="none" w:sz="0" w:space="0" w:color="auto"/>
      </w:divBdr>
    </w:div>
    <w:div w:id="1932422276">
      <w:bodyDiv w:val="1"/>
      <w:marLeft w:val="0"/>
      <w:marRight w:val="0"/>
      <w:marTop w:val="0"/>
      <w:marBottom w:val="0"/>
      <w:divBdr>
        <w:top w:val="none" w:sz="0" w:space="0" w:color="auto"/>
        <w:left w:val="none" w:sz="0" w:space="0" w:color="auto"/>
        <w:bottom w:val="none" w:sz="0" w:space="0" w:color="auto"/>
        <w:right w:val="none" w:sz="0" w:space="0" w:color="auto"/>
      </w:divBdr>
    </w:div>
    <w:div w:id="1941141635">
      <w:bodyDiv w:val="1"/>
      <w:marLeft w:val="0"/>
      <w:marRight w:val="0"/>
      <w:marTop w:val="0"/>
      <w:marBottom w:val="0"/>
      <w:divBdr>
        <w:top w:val="none" w:sz="0" w:space="0" w:color="auto"/>
        <w:left w:val="none" w:sz="0" w:space="0" w:color="auto"/>
        <w:bottom w:val="none" w:sz="0" w:space="0" w:color="auto"/>
        <w:right w:val="none" w:sz="0" w:space="0" w:color="auto"/>
      </w:divBdr>
    </w:div>
    <w:div w:id="1941570755">
      <w:bodyDiv w:val="1"/>
      <w:marLeft w:val="0"/>
      <w:marRight w:val="0"/>
      <w:marTop w:val="0"/>
      <w:marBottom w:val="0"/>
      <w:divBdr>
        <w:top w:val="none" w:sz="0" w:space="0" w:color="auto"/>
        <w:left w:val="none" w:sz="0" w:space="0" w:color="auto"/>
        <w:bottom w:val="none" w:sz="0" w:space="0" w:color="auto"/>
        <w:right w:val="none" w:sz="0" w:space="0" w:color="auto"/>
      </w:divBdr>
    </w:div>
    <w:div w:id="1964994653">
      <w:bodyDiv w:val="1"/>
      <w:marLeft w:val="0"/>
      <w:marRight w:val="0"/>
      <w:marTop w:val="0"/>
      <w:marBottom w:val="0"/>
      <w:divBdr>
        <w:top w:val="none" w:sz="0" w:space="0" w:color="auto"/>
        <w:left w:val="none" w:sz="0" w:space="0" w:color="auto"/>
        <w:bottom w:val="none" w:sz="0" w:space="0" w:color="auto"/>
        <w:right w:val="none" w:sz="0" w:space="0" w:color="auto"/>
      </w:divBdr>
    </w:div>
    <w:div w:id="1993633128">
      <w:bodyDiv w:val="1"/>
      <w:marLeft w:val="0"/>
      <w:marRight w:val="0"/>
      <w:marTop w:val="0"/>
      <w:marBottom w:val="0"/>
      <w:divBdr>
        <w:top w:val="none" w:sz="0" w:space="0" w:color="auto"/>
        <w:left w:val="none" w:sz="0" w:space="0" w:color="auto"/>
        <w:bottom w:val="none" w:sz="0" w:space="0" w:color="auto"/>
        <w:right w:val="none" w:sz="0" w:space="0" w:color="auto"/>
      </w:divBdr>
    </w:div>
    <w:div w:id="1996640196">
      <w:bodyDiv w:val="1"/>
      <w:marLeft w:val="0"/>
      <w:marRight w:val="0"/>
      <w:marTop w:val="0"/>
      <w:marBottom w:val="0"/>
      <w:divBdr>
        <w:top w:val="none" w:sz="0" w:space="0" w:color="auto"/>
        <w:left w:val="none" w:sz="0" w:space="0" w:color="auto"/>
        <w:bottom w:val="none" w:sz="0" w:space="0" w:color="auto"/>
        <w:right w:val="none" w:sz="0" w:space="0" w:color="auto"/>
      </w:divBdr>
    </w:div>
    <w:div w:id="1998342618">
      <w:bodyDiv w:val="1"/>
      <w:marLeft w:val="0"/>
      <w:marRight w:val="0"/>
      <w:marTop w:val="0"/>
      <w:marBottom w:val="0"/>
      <w:divBdr>
        <w:top w:val="none" w:sz="0" w:space="0" w:color="auto"/>
        <w:left w:val="none" w:sz="0" w:space="0" w:color="auto"/>
        <w:bottom w:val="none" w:sz="0" w:space="0" w:color="auto"/>
        <w:right w:val="none" w:sz="0" w:space="0" w:color="auto"/>
      </w:divBdr>
    </w:div>
    <w:div w:id="2031176722">
      <w:bodyDiv w:val="1"/>
      <w:marLeft w:val="0"/>
      <w:marRight w:val="0"/>
      <w:marTop w:val="0"/>
      <w:marBottom w:val="0"/>
      <w:divBdr>
        <w:top w:val="none" w:sz="0" w:space="0" w:color="auto"/>
        <w:left w:val="none" w:sz="0" w:space="0" w:color="auto"/>
        <w:bottom w:val="none" w:sz="0" w:space="0" w:color="auto"/>
        <w:right w:val="none" w:sz="0" w:space="0" w:color="auto"/>
      </w:divBdr>
    </w:div>
    <w:div w:id="2040158917">
      <w:bodyDiv w:val="1"/>
      <w:marLeft w:val="0"/>
      <w:marRight w:val="0"/>
      <w:marTop w:val="0"/>
      <w:marBottom w:val="0"/>
      <w:divBdr>
        <w:top w:val="none" w:sz="0" w:space="0" w:color="auto"/>
        <w:left w:val="none" w:sz="0" w:space="0" w:color="auto"/>
        <w:bottom w:val="none" w:sz="0" w:space="0" w:color="auto"/>
        <w:right w:val="none" w:sz="0" w:space="0" w:color="auto"/>
      </w:divBdr>
    </w:div>
    <w:div w:id="2044935937">
      <w:bodyDiv w:val="1"/>
      <w:marLeft w:val="0"/>
      <w:marRight w:val="0"/>
      <w:marTop w:val="0"/>
      <w:marBottom w:val="0"/>
      <w:divBdr>
        <w:top w:val="none" w:sz="0" w:space="0" w:color="auto"/>
        <w:left w:val="none" w:sz="0" w:space="0" w:color="auto"/>
        <w:bottom w:val="none" w:sz="0" w:space="0" w:color="auto"/>
        <w:right w:val="none" w:sz="0" w:space="0" w:color="auto"/>
      </w:divBdr>
    </w:div>
    <w:div w:id="2057702150">
      <w:bodyDiv w:val="1"/>
      <w:marLeft w:val="0"/>
      <w:marRight w:val="0"/>
      <w:marTop w:val="0"/>
      <w:marBottom w:val="0"/>
      <w:divBdr>
        <w:top w:val="none" w:sz="0" w:space="0" w:color="auto"/>
        <w:left w:val="none" w:sz="0" w:space="0" w:color="auto"/>
        <w:bottom w:val="none" w:sz="0" w:space="0" w:color="auto"/>
        <w:right w:val="none" w:sz="0" w:space="0" w:color="auto"/>
      </w:divBdr>
    </w:div>
    <w:div w:id="2064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Gui16</b:Tag>
    <b:SourceType>JournalArticle</b:SourceType>
    <b:Guid>{B9F188AC-A16D-44EA-8800-D090982BF15C}</b:Guid>
    <b:Title>DSM-5 Criteria and Its Implications for Diagnosing PTSD in Military Service Members and Veterans</b:Title>
    <b:Year>2016</b:Year>
    <b:Author>
      <b:Author>
        <b:NameList>
          <b:Person>
            <b:Last>Guina</b:Last>
            <b:First>Jeffrey</b:First>
          </b:Person>
          <b:Person>
            <b:Last>Welton</b:Last>
            <b:First>Randon</b:First>
          </b:Person>
          <b:Person>
            <b:Last>Broderick</b:Last>
            <b:First>Pamela</b:First>
          </b:Person>
          <b:Person>
            <b:Last>Correll</b:Last>
            <b:First>Terry</b:First>
          </b:Person>
          <b:Person>
            <b:Last>Peirson</b:Last>
            <b:First>Ryan</b:First>
          </b:Person>
        </b:NameList>
      </b:Author>
    </b:Author>
    <b:JournalName>Current Pyschiatry Reports</b:JournalName>
    <b:Pages>18-43</b:Pages>
    <b:RefOrder>1</b:RefOrder>
  </b:Source>
  <b:Source>
    <b:Tag>Hog14</b:Tag>
    <b:SourceType>JournalArticle</b:SourceType>
    <b:Guid>{B124E49F-72DC-4138-818C-4B836445B681}</b:Guid>
    <b:Author>
      <b:Author>
        <b:NameList>
          <b:Person>
            <b:Last>Hoge</b:Last>
            <b:First>Charles</b:First>
          </b:Person>
          <b:Person>
            <b:Last>Riviere</b:Last>
            <b:First>Lyndon</b:First>
          </b:Person>
          <b:Person>
            <b:Last>Wilk</b:Last>
            <b:First>Joshua</b:First>
          </b:Person>
          <b:Person>
            <b:Last>Herrell</b:Last>
            <b:First>Richard</b:First>
          </b:Person>
          <b:Person>
            <b:Last>Weathers</b:Last>
            <b:First>Frank</b:First>
          </b:Person>
        </b:NameList>
      </b:Author>
    </b:Author>
    <b:Title>The prevalence of post-traumatic stress disorder (PTSD) in US combat soldiers: a head-to-head comparison of DSM-5 versus DSM-IV-TR symptom criteria with the PTSD checklist</b:Title>
    <b:JournalName>Lancet Psychiatry</b:JournalName>
    <b:Year>2014</b:Year>
    <b:Pages>269-277</b:Pages>
    <b:RefOrder>2</b:RefOrder>
  </b:Source>
  <b:Source>
    <b:Tag>Car13</b:Tag>
    <b:SourceType>JournalArticle</b:SourceType>
    <b:Guid>{179301E2-AC1B-4B1F-9BEA-328C1BFF010B}</b:Guid>
    <b:Author>
      <b:Author>
        <b:NameList>
          <b:Person>
            <b:Last>Carmassi</b:Last>
            <b:First>C</b:First>
          </b:Person>
          <b:Person>
            <b:Last>Akiskal</b:Last>
            <b:First>H</b:First>
          </b:Person>
          <b:Person>
            <b:Last>Akiskal</b:Last>
            <b:First>K,</b:First>
            <b:Middle>Yong, S</b:Middle>
          </b:Person>
          <b:Person>
            <b:Last>Stratta</b:Last>
            <b:First>P</b:First>
          </b:Person>
          <b:Person>
            <b:Last>Calderani</b:Last>
            <b:First>E</b:First>
          </b:Person>
          <b:Person>
            <b:Last>Massimetti</b:Last>
            <b:First>E</b:First>
          </b:Person>
          <b:Person>
            <b:Last>Rossi</b:Last>
            <b:First>A</b:First>
          </b:Person>
          <b:Person>
            <b:Last>Dell'Osso</b:Last>
            <b:First>L</b:First>
          </b:Person>
        </b:NameList>
      </b:Author>
    </b:Author>
    <b:Title>Post-traumatic stress disorder in DSM-5: Estimates of prevalence and criteria comparison versus DSM-IV-TR in a non-clinical sample of earthquake survivors</b:Title>
    <b:JournalName>Journal of Affective Disorders</b:JournalName>
    <b:Year>2013</b:Year>
    <b:Pages>843-848</b:Pages>
    <b:RefOrder>3</b:RefOrder>
  </b:Source>
  <b:Source>
    <b:Tag>Kon15</b:Tag>
    <b:SourceType>JournalArticle</b:SourceType>
    <b:Guid>{030B51C1-8FD3-4204-A144-72281492B074}</b:Guid>
    <b:Title>The Structure of DSM-5 Posttraumatic Stress Disorder Symptoms in War Veterans</b:Title>
    <b:Year>2015</b:Year>
    <b:Author>
      <b:Author>
        <b:NameList>
          <b:Person>
            <b:Last>Konecky</b:Last>
            <b:First>Brian</b:First>
          </b:Person>
          <b:Person>
            <b:Last>Meyer</b:Last>
            <b:First>Eric</b:First>
          </b:Person>
          <b:Person>
            <b:Last>Kimbrel</b:Last>
            <b:First>Nathan</b:First>
          </b:Person>
          <b:Person>
            <b:Last>Morissette</b:Last>
            <b:First>Sandra</b:First>
          </b:Person>
        </b:NameList>
      </b:Author>
    </b:Author>
    <b:JournalName>Anxiety, Stress and Coping</b:JournalName>
    <b:Pages>497-506</b:Pages>
    <b:RefOrder>4</b:RefOrder>
  </b:Source>
  <b:Source>
    <b:Tag>Wil93</b:Tag>
    <b:SourceType>JournalArticle</b:SourceType>
    <b:Guid>{60FE22F1-1416-458D-B4D4-EAB7521CE381}</b:Guid>
    <b:Author>
      <b:Author>
        <b:NameList>
          <b:Person>
            <b:Last>William</b:Last>
            <b:First>Anthony</b:First>
          </b:Person>
        </b:NameList>
      </b:Author>
    </b:Author>
    <b:Title>Recovery from Mental Illness: The Guiding Vision of the Mental Health Service System in the 1990</b:Title>
    <b:JournalName>Psychosocial Rehabilitation Journal</b:JournalName>
    <b:Year>1993</b:Year>
    <b:Pages>17-24</b:Pages>
    <b:RefOrder>5</b:RefOrder>
  </b:Source>
  <b:Source>
    <b:Tag>Lin13</b:Tag>
    <b:SourceType>JournalArticle</b:SourceType>
    <b:Guid>{2758A6ED-3634-4730-B8BA-9F5D3F0422C5}</b:Guid>
    <b:Author>
      <b:Author>
        <b:NameList>
          <b:Person>
            <b:Last>Linz</b:Last>
            <b:First>Sheila</b:First>
          </b:Person>
          <b:Person>
            <b:Last>Sturm</b:Last>
            <b:First>Bonnie</b:First>
          </b:Person>
        </b:NameList>
      </b:Author>
    </b:Author>
    <b:Title>The Phenomenon of Social Isolation in the Severely Mentally Ill</b:Title>
    <b:JournalName>Perspectives of Psychiatric Care</b:JournalName>
    <b:Year>2013</b:Year>
    <b:Pages>243-254</b:Pages>
    <b:RefOrder>6</b:RefOrder>
  </b:Source>
  <b:Source>
    <b:Tag>Lev17</b:Tag>
    <b:SourceType>JournalArticle</b:SourceType>
    <b:Guid>{53113F15-1C9B-4EE5-A3BF-FBC83699D49B}</b:Guid>
    <b:Author>
      <b:Author>
        <b:NameList>
          <b:Person>
            <b:Last>Levula</b:Last>
            <b:First>Andrew</b:First>
          </b:Person>
          <b:Person>
            <b:Last>Harre</b:Last>
            <b:First>Michael</b:First>
          </b:Person>
          <b:Person>
            <b:Last>Wilson</b:Last>
            <b:First>Andrew</b:First>
          </b:Person>
        </b:NameList>
      </b:Author>
    </b:Author>
    <b:Title>Social network factors as mediators of mental health and psychological distress</b:Title>
    <b:JournalName>International Journal of Social Psychiatry</b:JournalName>
    <b:Year>2017</b:Year>
    <b:Pages>235-243</b:Pages>
    <b:RefOrder>7</b:RefOrder>
  </b:Source>
  <b:Source>
    <b:Tag>Res12</b:Tag>
    <b:SourceType>JournalArticle</b:SourceType>
    <b:Guid>{E2B73337-8871-4890-BFDF-E856CF9504C3}</b:Guid>
    <b:Author>
      <b:Author>
        <b:NameList>
          <b:Person>
            <b:Last>Resick</b:Last>
            <b:First>Patricia</b:First>
          </b:Person>
          <b:Person>
            <b:Last>Bovin</b:Last>
            <b:First>Michelle</b:First>
          </b:Person>
          <b:Person>
            <b:Last>Calloway</b:Last>
            <b:First>Amber</b:First>
          </b:Person>
          <b:Person>
            <b:Last>Dick</b:Last>
            <b:First>Alexandra</b:First>
          </b:Person>
          <b:Person>
            <b:Last>King</b:Last>
            <b:First>Matthew</b:First>
          </b:Person>
          <b:Person>
            <b:Last>Mitchell</b:Last>
            <b:First>Karen</b:First>
          </b:Person>
          <b:Person>
            <b:Last>Suvak</b:Last>
            <b:First>Michael</b:First>
          </b:Person>
          <b:Person>
            <b:Last>Wells</b:Last>
            <b:First>Stephanie</b:First>
          </b:Person>
          <b:Person>
            <b:Last>Stirman</b:Last>
            <b:First>Shannon</b:First>
          </b:Person>
          <b:Person>
            <b:Last>WOlf</b:Last>
            <b:First>Erika</b:First>
          </b:Person>
        </b:NameList>
      </b:Author>
    </b:Author>
    <b:Title>A critical evaluation of the complex PTSD literature: Implications for DSM‐5*</b:Title>
    <b:JournalName>Journal of Traumatic Stress</b:JournalName>
    <b:Year>2012</b:Year>
    <b:Pages>241-251</b:Pages>
    <b:RefOrder>8</b:RefOrder>
  </b:Source>
  <b:Source>
    <b:Tag>Cla16</b:Tag>
    <b:SourceType>ArticleInAPeriodical</b:SourceType>
    <b:Guid>{3098EDEE-C3BB-417D-A81F-E004DF84D0A9}</b:Guid>
    <b:Title>Bringing the war home: the rising disability claims of Afghanistan war vets</b:Title>
    <b:Year>2016</b:Year>
    <b:Author>
      <b:Author>
        <b:NameList>
          <b:Person>
            <b:Last>Clarke</b:Last>
            <b:First>Philip</b:First>
          </b:Person>
        </b:NameList>
      </b:Author>
    </b:Author>
    <b:PeriodicalTitle>The Conversation </b:PeriodicalTitle>
    <b:Month>March</b:Month>
    <b:Day>17</b:Day>
    <b:RefOrder>9</b:RefOrder>
  </b:Source>
  <b:Source>
    <b:Tag>For11</b:Tag>
    <b:SourceType>JournalArticle</b:SourceType>
    <b:Guid>{B35B2FB9-F46D-4DE3-AF99-39270B2457E6}</b:Guid>
    <b:Title>Requiring both avoidance and emotional numbing in DSM-V Ptsd: will it help?</b:Title>
    <b:Year>2011</b:Year>
    <b:Pages>483-486</b:Pages>
    <b:Author>
      <b:Author>
        <b:NameList>
          <b:Person>
            <b:Last>Forbes</b:Last>
            <b:First>D</b:First>
          </b:Person>
          <b:Person>
            <b:Last>Flecher</b:Last>
            <b:First>S,</b:First>
            <b:Middle>Lockwood E et al.</b:Middle>
          </b:Person>
        </b:NameList>
      </b:Author>
    </b:Author>
    <b:JournalName>Journal of Affective Disorders</b:JournalName>
    <b:RefOrder>10</b:RefOrder>
  </b:Source>
  <b:Source>
    <b:Tag>Kil13</b:Tag>
    <b:SourceType>JournalArticle</b:SourceType>
    <b:Guid>{220FB147-3F65-4CCA-AA63-0535E2A33781}</b:Guid>
    <b:Author>
      <b:Author>
        <b:NameList>
          <b:Person>
            <b:Last>Kilpatrick</b:Last>
            <b:First>DG</b:First>
          </b:Person>
          <b:Person>
            <b:Last>HS</b:Last>
            <b:First>Resnick</b:First>
          </b:Person>
          <b:Person>
            <b:Last>ME</b:Last>
            <b:First>Milanak</b:First>
          </b:Person>
          <b:Person>
            <b:Last>M</b:Last>
            <b:First>Miller</b:First>
          </b:Person>
          <b:Person>
            <b:Last>K</b:Last>
            <b:First>Keyes</b:First>
          </b:Person>
          <b:Person>
            <b:Last>M</b:Last>
            <b:First>Friedman</b:First>
          </b:Person>
        </b:NameList>
      </b:Author>
    </b:Author>
    <b:Title>National Estimates of Exposure to Traumatic Events and PTSD prevalence using DSM-IV and DSM-5 criteria</b:Title>
    <b:JournalName>Journal of Traumatic Stress</b:JournalName>
    <b:Year>2013</b:Year>
    <b:Pages>537-547</b:Pages>
    <b:RefOrder>11</b:RefOrder>
  </b:Source>
  <b:Source>
    <b:Tag>Her92</b:Tag>
    <b:SourceType>JournalArticle</b:SourceType>
    <b:Guid>{57A13B47-B062-4604-9BAC-041939C45F5A}</b:Guid>
    <b:Author>
      <b:Author>
        <b:NameList>
          <b:Person>
            <b:Last>Herman</b:Last>
            <b:First>Judith</b:First>
          </b:Person>
        </b:NameList>
      </b:Author>
    </b:Author>
    <b:Title>Complex PTSD: A syndrome in survivors of prolonged and repeated trauma</b:Title>
    <b:JournalName>Journal of Traumatic Stress</b:JournalName>
    <b:Year>1992</b:Year>
    <b:Pages>377-391</b:Pages>
    <b:RefOrder>12</b:RefOrder>
  </b:Source>
  <b:Source>
    <b:Tag>Cou08</b:Tag>
    <b:SourceType>JournalArticle</b:SourceType>
    <b:Guid>{9D7DA087-79BD-41E4-BB94-B0584A268C49}</b:Guid>
    <b:Author>
      <b:Author>
        <b:NameList>
          <b:Person>
            <b:Last>Courtois</b:Last>
            <b:First>Christine</b:First>
          </b:Person>
        </b:NameList>
      </b:Author>
    </b:Author>
    <b:Title>Complex trauma, complex reactions: Assessment and treatment.</b:Title>
    <b:JournalName>Psychological Trauma: Theory, Research, Practice, and Policy</b:JournalName>
    <b:Year>2008</b:Year>
    <b:Pages>86-100</b:Pages>
    <b:RefOrder>13</b:RefOrder>
  </b:Source>
  <b:Source>
    <b:Tag>MAr12</b:Tag>
    <b:SourceType>JournalArticle</b:SourceType>
    <b:Guid>{D6AE8D4F-0E94-46AA-A329-41B8919C3716}</b:Guid>
    <b:Author>
      <b:Author>
        <b:NameList>
          <b:Person>
            <b:Last>Cloitre</b:Last>
            <b:First>Marylene</b:First>
          </b:Person>
          <b:Person>
            <b:Last>Petkova</b:Last>
            <b:First>Eva</b:First>
          </b:Person>
          <b:Person>
            <b:Last>Wang</b:Last>
            <b:First>Jing</b:First>
          </b:Person>
          <b:Person>
            <b:Last>Feihan</b:Last>
            <b:First>Lu</b:First>
          </b:Person>
        </b:NameList>
      </b:Author>
    </b:Author>
    <b:Title>An examination of the influence of a sequential treatment on the course and impact of dissociation among women with ptsd related to childhood abuse</b:Title>
    <b:JournalName>Journal of Depression and Anxiety</b:JournalName>
    <b:Year>2012</b:Year>
    <b:Pages>709-717</b:Pages>
    <b:RefOrder>14</b:RefOrder>
  </b:Source>
  <b:Source>
    <b:Tag>Gro10</b:Tag>
    <b:SourceType>Book</b:SourceType>
    <b:Guid>{5D9075FE-0578-465E-9BD6-0D60C738C280}</b:Guid>
    <b:Author>
      <b:Author>
        <b:NameList>
          <b:Person>
            <b:Last>Gross</b:Last>
            <b:First>Michael</b:First>
          </b:Person>
        </b:NameList>
      </b:Author>
    </b:Author>
    <b:Title>Moral Dilemmas of Modern War: Torture, Assassination, and Blackmail in an Age of Asymmetric Conflict</b:Title>
    <b:Year>2010</b:Year>
    <b:City>Cambridge </b:City>
    <b:Publisher>Cambridge University Press</b:Publisher>
    <b:RefOrder>15</b:RefOrder>
  </b:Source>
  <b:Source>
    <b:Tag>Cre08</b:Tag>
    <b:SourceType>Book</b:SourceType>
    <b:Guid>{60B26673-5D20-4FF2-B53F-4AA7B6C9DB42}</b:Guid>
    <b:Author>
      <b:Author>
        <b:NameList>
          <b:Person>
            <b:Last>Creyke</b:Last>
            <b:First>Robyn</b:First>
          </b:Person>
          <b:Person>
            <b:Last>Sutherland</b:Last>
            <b:First>Peter</b:First>
          </b:Person>
        </b:NameList>
      </b:Author>
    </b:Author>
    <b:Title>Veterans' Entitlements and Military Compensation Law Australia 2nd ed.</b:Title>
    <b:Year>2008</b:Year>
    <b:City>Canberra </b:City>
    <b:Publisher>Federation Press</b:Publisher>
    <b:RefOrder>16</b:RefOrder>
  </b:Source>
  <b:Source>
    <b:Tag>Atk17</b:Tag>
    <b:SourceType>ArticleInAPeriodical</b:SourceType>
    <b:Guid>{963CE81C-2575-4268-B205-5ADDD173B309}</b:Guid>
    <b:Title>Jesse Bird: Department of Veterans' Affairs failed suicidal veteran, inquiry finds</b:Title>
    <b:Year>2017</b:Year>
    <b:Month>October</b:Month>
    <b:Day>15</b:Day>
    <b:Author>
      <b:Author>
        <b:NameList>
          <b:Person>
            <b:Last>Atkin</b:Last>
            <b:First>Michael</b:First>
          </b:Person>
        </b:NameList>
      </b:Author>
    </b:Author>
    <b:PeriodicalTitle>ABC News</b:PeriodicalTitle>
    <b:RefOrder>17</b:RefOrder>
  </b:Source>
</b:Sources>
</file>

<file path=customXml/itemProps1.xml><?xml version="1.0" encoding="utf-8"?>
<ds:datastoreItem xmlns:ds="http://schemas.openxmlformats.org/officeDocument/2006/customXml" ds:itemID="{A156DEC5-DA2D-4ED9-96F3-E1640EB1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E9B61E6D.dotm</Template>
  <TotalTime>2</TotalTime>
  <Pages>7</Pages>
  <Words>3319</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Submission 51 - Olivia Pursey - Compensation and Rehabilitation for Veterans - Public inquiry</vt:lpstr>
    </vt:vector>
  </TitlesOfParts>
  <Company>Olivia Pursey</Company>
  <LinksUpToDate>false</LinksUpToDate>
  <CharactersWithSpaces>21992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Olivia Pursey - Compensation and Rehabilitation for Veterans - Public inquiry</dc:title>
  <dc:subject/>
  <dc:creator>Olivia Pursey</dc:creator>
  <cp:keywords/>
  <dc:description/>
  <cp:lastModifiedBy>Alston, Chris</cp:lastModifiedBy>
  <cp:revision>4</cp:revision>
  <dcterms:created xsi:type="dcterms:W3CDTF">2018-06-03T02:05:00Z</dcterms:created>
  <dcterms:modified xsi:type="dcterms:W3CDTF">2018-06-28T04:15:00Z</dcterms:modified>
</cp:coreProperties>
</file>