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2FE68" w14:textId="77777777" w:rsidR="0075636E" w:rsidRPr="00AB1FA5" w:rsidRDefault="00836008" w:rsidP="008F3761">
      <w:pPr>
        <w:jc w:val="both"/>
        <w:rPr>
          <w:rFonts w:ascii="Century Gothic" w:hAnsi="Century Gothic"/>
        </w:rPr>
      </w:pPr>
      <w:r w:rsidRPr="00AB1FA5">
        <w:rPr>
          <w:rFonts w:ascii="Century Gothic" w:hAnsi="Century Gothic"/>
          <w:noProof/>
          <w:lang w:val="en-AU" w:eastAsia="en-AU"/>
        </w:rPr>
        <w:drawing>
          <wp:inline distT="0" distB="0" distL="0" distR="0" wp14:anchorId="2F1302B8" wp14:editId="075C1C6C">
            <wp:extent cx="5943600" cy="17265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726565"/>
                    </a:xfrm>
                    <a:prstGeom prst="rect">
                      <a:avLst/>
                    </a:prstGeom>
                  </pic:spPr>
                </pic:pic>
              </a:graphicData>
            </a:graphic>
          </wp:inline>
        </w:drawing>
      </w:r>
      <w:r w:rsidR="0075636E" w:rsidRPr="00AB1FA5">
        <w:rPr>
          <w:rFonts w:ascii="Century Gothic" w:hAnsi="Century Gothic"/>
        </w:rPr>
        <w:tab/>
      </w:r>
      <w:r w:rsidR="0075636E" w:rsidRPr="00AB1FA5">
        <w:rPr>
          <w:rFonts w:ascii="Century Gothic" w:hAnsi="Century Gothic"/>
        </w:rPr>
        <w:tab/>
      </w:r>
      <w:r w:rsidR="0075636E" w:rsidRPr="00AB1FA5">
        <w:rPr>
          <w:rFonts w:ascii="Century Gothic" w:hAnsi="Century Gothic"/>
        </w:rPr>
        <w:tab/>
      </w:r>
      <w:r w:rsidR="0075636E" w:rsidRPr="00AB1FA5">
        <w:rPr>
          <w:rFonts w:ascii="Century Gothic" w:hAnsi="Century Gothic"/>
        </w:rPr>
        <w:tab/>
      </w:r>
    </w:p>
    <w:p w14:paraId="7FC6CECB" w14:textId="77777777" w:rsidR="0075636E" w:rsidRPr="00AB1FA5" w:rsidRDefault="0075636E" w:rsidP="008F3761">
      <w:pPr>
        <w:jc w:val="both"/>
        <w:rPr>
          <w:rFonts w:ascii="Century Gothic" w:hAnsi="Century Gothic"/>
        </w:rPr>
      </w:pPr>
    </w:p>
    <w:p w14:paraId="08F83AFC" w14:textId="77777777" w:rsidR="0075636E" w:rsidRPr="00AB1FA5" w:rsidRDefault="0075636E" w:rsidP="008F3761">
      <w:pPr>
        <w:jc w:val="both"/>
        <w:rPr>
          <w:rFonts w:ascii="Century Gothic" w:hAnsi="Century Gothic"/>
        </w:rPr>
      </w:pPr>
    </w:p>
    <w:p w14:paraId="35FB8521" w14:textId="77777777" w:rsidR="0075636E" w:rsidRPr="00AB1FA5" w:rsidRDefault="0075636E" w:rsidP="008F3761">
      <w:pPr>
        <w:jc w:val="both"/>
        <w:rPr>
          <w:rFonts w:ascii="Century Gothic" w:hAnsi="Century Gothic"/>
          <w:b/>
          <w:color w:val="7F7F7F" w:themeColor="text1" w:themeTint="80"/>
          <w:sz w:val="28"/>
          <w:szCs w:val="28"/>
          <w:lang w:val="en-AU"/>
        </w:rPr>
      </w:pPr>
    </w:p>
    <w:p w14:paraId="0D2F0394" w14:textId="77777777" w:rsidR="004B6E08" w:rsidRPr="00AB1FA5" w:rsidRDefault="004B6E08" w:rsidP="004824F4">
      <w:pPr>
        <w:jc w:val="right"/>
        <w:rPr>
          <w:rFonts w:ascii="Century Gothic" w:hAnsi="Century Gothic"/>
          <w:b/>
          <w:color w:val="7F7F7F" w:themeColor="text1" w:themeTint="80"/>
          <w:sz w:val="28"/>
          <w:szCs w:val="28"/>
          <w:lang w:val="en-GB"/>
        </w:rPr>
      </w:pPr>
    </w:p>
    <w:p w14:paraId="5FA90E45" w14:textId="77777777" w:rsidR="00B07E10" w:rsidRPr="00AB1FA5" w:rsidRDefault="00B56DDB" w:rsidP="004824F4">
      <w:pPr>
        <w:jc w:val="right"/>
        <w:rPr>
          <w:rFonts w:ascii="Century Gothic" w:hAnsi="Century Gothic"/>
          <w:b/>
          <w:color w:val="7F7F7F" w:themeColor="text1" w:themeTint="80"/>
          <w:sz w:val="28"/>
          <w:szCs w:val="28"/>
          <w:lang w:val="en-GB"/>
        </w:rPr>
      </w:pPr>
      <w:r w:rsidRPr="00AB1FA5">
        <w:rPr>
          <w:rFonts w:ascii="Century Gothic" w:hAnsi="Century Gothic"/>
          <w:b/>
          <w:color w:val="7F7F7F" w:themeColor="text1" w:themeTint="80"/>
          <w:sz w:val="28"/>
          <w:szCs w:val="28"/>
          <w:lang w:val="en-GB"/>
        </w:rPr>
        <w:t xml:space="preserve">National Disability Agreement Review </w:t>
      </w:r>
      <w:r w:rsidR="00666150" w:rsidRPr="00AB1FA5">
        <w:rPr>
          <w:rFonts w:ascii="Century Gothic" w:hAnsi="Century Gothic"/>
          <w:b/>
          <w:color w:val="7F7F7F" w:themeColor="text1" w:themeTint="80"/>
          <w:sz w:val="28"/>
          <w:szCs w:val="28"/>
          <w:lang w:val="en-GB"/>
        </w:rPr>
        <w:t xml:space="preserve">– </w:t>
      </w:r>
      <w:r w:rsidRPr="00AB1FA5">
        <w:rPr>
          <w:rFonts w:ascii="Century Gothic" w:hAnsi="Century Gothic"/>
          <w:b/>
          <w:color w:val="7F7F7F" w:themeColor="text1" w:themeTint="80"/>
          <w:sz w:val="28"/>
          <w:szCs w:val="28"/>
          <w:lang w:val="en-GB"/>
        </w:rPr>
        <w:t>Issues</w:t>
      </w:r>
      <w:r w:rsidR="00666150" w:rsidRPr="00AB1FA5">
        <w:rPr>
          <w:rFonts w:ascii="Century Gothic" w:hAnsi="Century Gothic"/>
          <w:b/>
          <w:color w:val="7F7F7F" w:themeColor="text1" w:themeTint="80"/>
          <w:sz w:val="28"/>
          <w:szCs w:val="28"/>
          <w:lang w:val="en-GB"/>
        </w:rPr>
        <w:t xml:space="preserve"> Paper</w:t>
      </w:r>
      <w:r w:rsidR="009C09BD" w:rsidRPr="00AB1FA5">
        <w:rPr>
          <w:rFonts w:ascii="Century Gothic" w:hAnsi="Century Gothic"/>
          <w:b/>
          <w:color w:val="7F7F7F" w:themeColor="text1" w:themeTint="80"/>
          <w:sz w:val="28"/>
          <w:szCs w:val="28"/>
          <w:lang w:val="en-GB"/>
        </w:rPr>
        <w:t>:</w:t>
      </w:r>
    </w:p>
    <w:p w14:paraId="73954E2C" w14:textId="77777777" w:rsidR="00762430" w:rsidRPr="00AB1FA5" w:rsidRDefault="009C09BD" w:rsidP="004824F4">
      <w:pPr>
        <w:jc w:val="right"/>
        <w:rPr>
          <w:rFonts w:ascii="Century Gothic" w:hAnsi="Century Gothic"/>
          <w:b/>
          <w:color w:val="7F7F7F" w:themeColor="text1" w:themeTint="80"/>
          <w:sz w:val="24"/>
          <w:szCs w:val="24"/>
          <w:lang w:val="en-GB"/>
        </w:rPr>
      </w:pPr>
      <w:r w:rsidRPr="00AB1FA5">
        <w:rPr>
          <w:rFonts w:ascii="Century Gothic" w:hAnsi="Century Gothic"/>
          <w:b/>
          <w:color w:val="7F7F7F" w:themeColor="text1" w:themeTint="80"/>
          <w:sz w:val="28"/>
          <w:szCs w:val="28"/>
        </w:rPr>
        <w:t xml:space="preserve">Submission to the </w:t>
      </w:r>
      <w:r w:rsidR="00666150" w:rsidRPr="00AB1FA5">
        <w:rPr>
          <w:rFonts w:ascii="Century Gothic" w:hAnsi="Century Gothic"/>
          <w:b/>
          <w:color w:val="7F7F7F" w:themeColor="text1" w:themeTint="80"/>
          <w:sz w:val="28"/>
          <w:szCs w:val="28"/>
        </w:rPr>
        <w:t>Australian Government Productivity Commission</w:t>
      </w:r>
    </w:p>
    <w:p w14:paraId="41E4D769" w14:textId="77777777" w:rsidR="0075636E" w:rsidRPr="00AB1FA5" w:rsidRDefault="0075636E" w:rsidP="004824F4">
      <w:pPr>
        <w:jc w:val="right"/>
        <w:rPr>
          <w:rFonts w:ascii="Century Gothic" w:hAnsi="Century Gothic"/>
          <w:color w:val="7F7F7F" w:themeColor="text1" w:themeTint="80"/>
          <w:sz w:val="24"/>
          <w:szCs w:val="24"/>
        </w:rPr>
      </w:pPr>
      <w:r w:rsidRPr="00AB1FA5">
        <w:rPr>
          <w:rFonts w:ascii="Century Gothic" w:hAnsi="Century Gothic"/>
          <w:color w:val="7F7F7F" w:themeColor="text1" w:themeTint="80"/>
          <w:sz w:val="24"/>
          <w:szCs w:val="24"/>
        </w:rPr>
        <w:t xml:space="preserve"> </w:t>
      </w:r>
      <w:r w:rsidR="00B56DDB" w:rsidRPr="00AB1FA5">
        <w:rPr>
          <w:rFonts w:ascii="Century Gothic" w:hAnsi="Century Gothic"/>
          <w:color w:val="7F7F7F" w:themeColor="text1" w:themeTint="80"/>
          <w:sz w:val="24"/>
          <w:szCs w:val="24"/>
        </w:rPr>
        <w:t>24 August 2018</w:t>
      </w:r>
    </w:p>
    <w:p w14:paraId="0328A081" w14:textId="77777777" w:rsidR="00EA1BBC" w:rsidRPr="00AB1FA5" w:rsidRDefault="00EA1BBC" w:rsidP="008F3761">
      <w:pPr>
        <w:jc w:val="both"/>
        <w:rPr>
          <w:rFonts w:ascii="Century Gothic" w:hAnsi="Century Gothic"/>
          <w:sz w:val="24"/>
          <w:szCs w:val="24"/>
        </w:rPr>
      </w:pPr>
    </w:p>
    <w:p w14:paraId="48A221AC" w14:textId="77777777" w:rsidR="0075636E" w:rsidRPr="00AB1FA5" w:rsidRDefault="0075636E" w:rsidP="008F3761">
      <w:pPr>
        <w:jc w:val="both"/>
        <w:rPr>
          <w:rFonts w:ascii="Century Gothic" w:hAnsi="Century Gothic"/>
        </w:rPr>
      </w:pPr>
    </w:p>
    <w:p w14:paraId="0EF28ECB" w14:textId="77777777" w:rsidR="0075636E" w:rsidRPr="00AB1FA5" w:rsidRDefault="0075636E" w:rsidP="008F3761">
      <w:pPr>
        <w:jc w:val="both"/>
        <w:rPr>
          <w:rFonts w:ascii="Century Gothic" w:hAnsi="Century Gothic"/>
          <w:b/>
          <w:bCs/>
          <w:lang w:val="en-AU"/>
        </w:rPr>
      </w:pPr>
      <w:r w:rsidRPr="00AB1FA5">
        <w:rPr>
          <w:rFonts w:ascii="Century Gothic" w:hAnsi="Century Gothic"/>
          <w:b/>
          <w:bCs/>
          <w:lang w:val="en-AU"/>
        </w:rPr>
        <w:t xml:space="preserve">From: </w:t>
      </w:r>
      <w:r w:rsidRPr="00AB1FA5">
        <w:rPr>
          <w:rFonts w:ascii="Century Gothic" w:hAnsi="Century Gothic"/>
          <w:bCs/>
          <w:lang w:val="en-AU"/>
        </w:rPr>
        <w:t>James O’Brien</w:t>
      </w:r>
    </w:p>
    <w:p w14:paraId="0A5CBAEC" w14:textId="77777777" w:rsidR="0075636E" w:rsidRPr="00AB1FA5" w:rsidRDefault="0075636E" w:rsidP="008F3761">
      <w:pPr>
        <w:jc w:val="both"/>
        <w:rPr>
          <w:rFonts w:ascii="Century Gothic" w:hAnsi="Century Gothic"/>
          <w:b/>
          <w:bCs/>
          <w:lang w:val="en-AU"/>
        </w:rPr>
      </w:pPr>
      <w:r w:rsidRPr="00AB1FA5">
        <w:rPr>
          <w:rFonts w:ascii="Century Gothic" w:hAnsi="Century Gothic"/>
          <w:b/>
          <w:bCs/>
          <w:lang w:val="en-AU"/>
        </w:rPr>
        <w:t>President</w:t>
      </w:r>
    </w:p>
    <w:p w14:paraId="227B938D" w14:textId="77777777" w:rsidR="0075636E" w:rsidRPr="00AB1FA5" w:rsidRDefault="0075636E" w:rsidP="008F3761">
      <w:pPr>
        <w:jc w:val="both"/>
        <w:rPr>
          <w:rFonts w:ascii="Century Gothic" w:hAnsi="Century Gothic"/>
          <w:b/>
          <w:bCs/>
          <w:i/>
        </w:rPr>
      </w:pPr>
      <w:proofErr w:type="spellStart"/>
      <w:r w:rsidRPr="00AB1FA5">
        <w:rPr>
          <w:rFonts w:ascii="Century Gothic" w:hAnsi="Century Gothic"/>
          <w:b/>
          <w:bCs/>
          <w:i/>
        </w:rPr>
        <w:t>Prader</w:t>
      </w:r>
      <w:proofErr w:type="spellEnd"/>
      <w:r w:rsidRPr="00AB1FA5">
        <w:rPr>
          <w:rFonts w:ascii="Century Gothic" w:hAnsi="Century Gothic"/>
          <w:b/>
          <w:bCs/>
          <w:i/>
        </w:rPr>
        <w:t>-Willi Syndrome Australia</w:t>
      </w:r>
    </w:p>
    <w:p w14:paraId="79D85B51" w14:textId="6B757731" w:rsidR="0075636E" w:rsidRPr="00AB1FA5" w:rsidRDefault="00523B76" w:rsidP="008F3761">
      <w:pPr>
        <w:jc w:val="both"/>
        <w:rPr>
          <w:rFonts w:ascii="Century Gothic" w:hAnsi="Century Gothic"/>
          <w:lang w:val="en-AU"/>
        </w:rPr>
      </w:pPr>
      <w:r>
        <w:rPr>
          <w:rFonts w:ascii="Century Gothic" w:hAnsi="Century Gothic"/>
          <w:b/>
          <w:lang w:val="en-AU"/>
        </w:rPr>
        <w:t xml:space="preserve"> </w:t>
      </w:r>
      <w:bookmarkStart w:id="0" w:name="_GoBack"/>
      <w:bookmarkEnd w:id="0"/>
    </w:p>
    <w:p w14:paraId="7C341D1F" w14:textId="77777777" w:rsidR="0075636E" w:rsidRPr="00AB1FA5" w:rsidRDefault="0075636E" w:rsidP="008F3761">
      <w:pPr>
        <w:jc w:val="both"/>
        <w:rPr>
          <w:rFonts w:ascii="Century Gothic" w:hAnsi="Century Gothic"/>
          <w:lang w:val="en-AU"/>
        </w:rPr>
      </w:pPr>
      <w:r w:rsidRPr="00AB1FA5">
        <w:rPr>
          <w:rFonts w:ascii="Century Gothic" w:hAnsi="Century Gothic"/>
          <w:b/>
          <w:lang w:val="en-AU"/>
        </w:rPr>
        <w:t>e</w:t>
      </w:r>
      <w:r w:rsidRPr="00AB1FA5">
        <w:rPr>
          <w:rFonts w:ascii="Century Gothic" w:hAnsi="Century Gothic"/>
          <w:lang w:val="en-AU"/>
        </w:rPr>
        <w:t>. info@pws.org.au</w:t>
      </w:r>
    </w:p>
    <w:p w14:paraId="764E2146" w14:textId="77777777" w:rsidR="0075636E" w:rsidRPr="00AB1FA5" w:rsidRDefault="0075636E" w:rsidP="008F3761">
      <w:pPr>
        <w:jc w:val="both"/>
        <w:rPr>
          <w:rFonts w:ascii="Century Gothic" w:hAnsi="Century Gothic"/>
          <w:lang w:val="en-AU"/>
        </w:rPr>
      </w:pPr>
      <w:r w:rsidRPr="00AB1FA5">
        <w:rPr>
          <w:rFonts w:ascii="Century Gothic" w:hAnsi="Century Gothic"/>
          <w:b/>
          <w:lang w:val="en-AU"/>
        </w:rPr>
        <w:t>w.</w:t>
      </w:r>
      <w:r w:rsidRPr="00AB1FA5">
        <w:rPr>
          <w:rFonts w:ascii="Century Gothic" w:hAnsi="Century Gothic"/>
          <w:lang w:val="en-AU"/>
        </w:rPr>
        <w:t xml:space="preserve"> www.pws.org.au</w:t>
      </w:r>
    </w:p>
    <w:p w14:paraId="2E5F73BD" w14:textId="77777777" w:rsidR="00B07E10" w:rsidRPr="00AB1FA5" w:rsidRDefault="00B07E10" w:rsidP="008F3761">
      <w:pPr>
        <w:jc w:val="both"/>
        <w:rPr>
          <w:rFonts w:ascii="Century Gothic" w:hAnsi="Century Gothic"/>
          <w:lang w:val="en-AU"/>
        </w:rPr>
      </w:pPr>
      <w:r w:rsidRPr="00AB1FA5">
        <w:rPr>
          <w:rFonts w:ascii="Century Gothic" w:hAnsi="Century Gothic"/>
          <w:bCs/>
        </w:rPr>
        <w:t>Mailing address: PO Box 92 Kew, Vic 3101 </w:t>
      </w:r>
    </w:p>
    <w:p w14:paraId="1EE7F680" w14:textId="77777777" w:rsidR="0075636E" w:rsidRPr="00AB1FA5" w:rsidRDefault="0075636E" w:rsidP="00BD0834">
      <w:pPr>
        <w:rPr>
          <w:rFonts w:ascii="Century Gothic" w:hAnsi="Century Gothic"/>
        </w:rPr>
      </w:pPr>
      <w:r w:rsidRPr="00AB1FA5">
        <w:rPr>
          <w:rFonts w:ascii="Century Gothic" w:hAnsi="Century Gothic"/>
        </w:rPr>
        <w:t>ABN 13 100 005 561</w:t>
      </w:r>
      <w:r w:rsidRPr="00AB1FA5">
        <w:rPr>
          <w:rFonts w:ascii="Century Gothic" w:hAnsi="Century Gothic"/>
        </w:rPr>
        <w:br/>
      </w:r>
      <w:r w:rsidR="00762430" w:rsidRPr="00AB1FA5">
        <w:rPr>
          <w:rFonts w:ascii="Century Gothic" w:hAnsi="Century Gothic"/>
        </w:rPr>
        <w:t>Registered:</w:t>
      </w:r>
      <w:r w:rsidRPr="00AB1FA5">
        <w:rPr>
          <w:rFonts w:ascii="Century Gothic" w:hAnsi="Century Gothic"/>
        </w:rPr>
        <w:t xml:space="preserve"> A0040590E</w:t>
      </w:r>
    </w:p>
    <w:p w14:paraId="43E84200" w14:textId="77777777" w:rsidR="0075636E" w:rsidRPr="00AB1FA5" w:rsidRDefault="0075636E" w:rsidP="008F3761">
      <w:pPr>
        <w:jc w:val="both"/>
        <w:rPr>
          <w:rFonts w:ascii="Century Gothic" w:hAnsi="Century Gothic"/>
          <w:lang w:val="en-AU"/>
        </w:rPr>
        <w:sectPr w:rsidR="0075636E" w:rsidRPr="00AB1FA5" w:rsidSect="00C547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4038C800" w14:textId="77777777" w:rsidR="00B07E10" w:rsidRPr="00AB1FA5" w:rsidRDefault="008D7FF7" w:rsidP="004F35A0">
      <w:pPr>
        <w:pStyle w:val="NoSpacing"/>
        <w:numPr>
          <w:ilvl w:val="0"/>
          <w:numId w:val="16"/>
        </w:numPr>
        <w:spacing w:after="240"/>
        <w:jc w:val="both"/>
        <w:rPr>
          <w:rFonts w:ascii="Century Gothic" w:hAnsi="Century Gothic"/>
          <w:b/>
          <w:color w:val="0081C6"/>
        </w:rPr>
      </w:pPr>
      <w:r w:rsidRPr="00AB1FA5">
        <w:rPr>
          <w:rFonts w:ascii="Century Gothic" w:hAnsi="Century Gothic"/>
          <w:b/>
          <w:color w:val="0081C6"/>
        </w:rPr>
        <w:lastRenderedPageBreak/>
        <w:t>Introduction</w:t>
      </w:r>
    </w:p>
    <w:p w14:paraId="5D5D8536" w14:textId="77777777" w:rsidR="000B1BE2" w:rsidRPr="00AB1FA5" w:rsidRDefault="004D44BC" w:rsidP="009A4781">
      <w:pPr>
        <w:jc w:val="both"/>
        <w:rPr>
          <w:rFonts w:ascii="Century Gothic" w:hAnsi="Century Gothic"/>
          <w:sz w:val="20"/>
          <w:szCs w:val="20"/>
        </w:rPr>
      </w:pPr>
      <w:r w:rsidRPr="00AB1FA5">
        <w:rPr>
          <w:rFonts w:ascii="Century Gothic" w:hAnsi="Century Gothic"/>
          <w:sz w:val="20"/>
          <w:szCs w:val="20"/>
        </w:rPr>
        <w:t xml:space="preserve">I represent people who have </w:t>
      </w:r>
      <w:proofErr w:type="spellStart"/>
      <w:r w:rsidRPr="00AB1FA5">
        <w:rPr>
          <w:rFonts w:ascii="Century Gothic" w:hAnsi="Century Gothic"/>
          <w:sz w:val="20"/>
          <w:szCs w:val="20"/>
        </w:rPr>
        <w:t>Prader</w:t>
      </w:r>
      <w:proofErr w:type="spellEnd"/>
      <w:r w:rsidRPr="00AB1FA5">
        <w:rPr>
          <w:rFonts w:ascii="Century Gothic" w:hAnsi="Century Gothic"/>
          <w:sz w:val="20"/>
          <w:szCs w:val="20"/>
        </w:rPr>
        <w:t xml:space="preserve">-Willi Syndrome </w:t>
      </w:r>
      <w:r w:rsidR="00645C78" w:rsidRPr="00AB1FA5">
        <w:rPr>
          <w:rFonts w:ascii="Century Gothic" w:hAnsi="Century Gothic"/>
          <w:sz w:val="20"/>
          <w:szCs w:val="20"/>
        </w:rPr>
        <w:t>(PWS</w:t>
      </w:r>
      <w:r w:rsidR="00700A17" w:rsidRPr="00AB1FA5">
        <w:rPr>
          <w:rFonts w:ascii="Century Gothic" w:hAnsi="Century Gothic"/>
          <w:sz w:val="20"/>
          <w:szCs w:val="20"/>
        </w:rPr>
        <w:t xml:space="preserve">), their parents and supporters. Many people with PWS </w:t>
      </w:r>
      <w:r w:rsidR="00684DF0" w:rsidRPr="00AB1FA5">
        <w:rPr>
          <w:rFonts w:ascii="Century Gothic" w:hAnsi="Century Gothic"/>
          <w:sz w:val="20"/>
          <w:szCs w:val="20"/>
        </w:rPr>
        <w:t xml:space="preserve">have a variety of complex disability </w:t>
      </w:r>
      <w:r w:rsidR="000225A8">
        <w:rPr>
          <w:rFonts w:ascii="Century Gothic" w:hAnsi="Century Gothic"/>
          <w:sz w:val="20"/>
          <w:szCs w:val="20"/>
        </w:rPr>
        <w:t xml:space="preserve">and health </w:t>
      </w:r>
      <w:r w:rsidR="00684DF0" w:rsidRPr="00AB1FA5">
        <w:rPr>
          <w:rFonts w:ascii="Century Gothic" w:hAnsi="Century Gothic"/>
          <w:sz w:val="20"/>
          <w:szCs w:val="20"/>
        </w:rPr>
        <w:t>needs</w:t>
      </w:r>
      <w:r w:rsidR="00700A17" w:rsidRPr="00AB1FA5">
        <w:rPr>
          <w:rFonts w:ascii="Century Gothic" w:hAnsi="Century Gothic"/>
          <w:sz w:val="20"/>
          <w:szCs w:val="20"/>
        </w:rPr>
        <w:t>.</w:t>
      </w:r>
      <w:r w:rsidR="00645C78" w:rsidRPr="00AB1FA5">
        <w:rPr>
          <w:rFonts w:ascii="Century Gothic" w:hAnsi="Century Gothic"/>
          <w:sz w:val="20"/>
          <w:szCs w:val="20"/>
        </w:rPr>
        <w:t xml:space="preserve"> </w:t>
      </w:r>
      <w:r w:rsidR="00A95E1B" w:rsidRPr="00AB1FA5">
        <w:rPr>
          <w:rFonts w:ascii="Century Gothic" w:hAnsi="Century Gothic"/>
          <w:sz w:val="20"/>
          <w:szCs w:val="20"/>
        </w:rPr>
        <w:t>We welcome the opportunity to contribute to this very important consultation</w:t>
      </w:r>
      <w:r w:rsidR="00645C78" w:rsidRPr="00AB1FA5">
        <w:rPr>
          <w:rStyle w:val="FootnoteReference"/>
          <w:rFonts w:ascii="Century Gothic" w:hAnsi="Century Gothic"/>
          <w:sz w:val="20"/>
          <w:szCs w:val="20"/>
        </w:rPr>
        <w:footnoteReference w:id="1"/>
      </w:r>
      <w:r w:rsidR="00A95E1B" w:rsidRPr="00AB1FA5">
        <w:rPr>
          <w:rFonts w:ascii="Century Gothic" w:hAnsi="Century Gothic"/>
          <w:sz w:val="20"/>
          <w:szCs w:val="20"/>
        </w:rPr>
        <w:t xml:space="preserve"> at the invitation of </w:t>
      </w:r>
      <w:r w:rsidR="00684DF0" w:rsidRPr="00AB1FA5">
        <w:rPr>
          <w:rFonts w:ascii="Century Gothic" w:hAnsi="Century Gothic"/>
          <w:sz w:val="20"/>
          <w:szCs w:val="20"/>
        </w:rPr>
        <w:t>the Australian Government Productivity Commission</w:t>
      </w:r>
      <w:r w:rsidR="00A95E1B" w:rsidRPr="00AB1FA5">
        <w:rPr>
          <w:rFonts w:ascii="Century Gothic" w:hAnsi="Century Gothic"/>
          <w:color w:val="7F7F7F" w:themeColor="text1" w:themeTint="80"/>
          <w:sz w:val="20"/>
          <w:szCs w:val="20"/>
        </w:rPr>
        <w:t>.</w:t>
      </w:r>
    </w:p>
    <w:p w14:paraId="67CC40F5" w14:textId="4B724C30" w:rsidR="004D44BC" w:rsidRPr="00AB1FA5" w:rsidRDefault="004D44BC" w:rsidP="009A4781">
      <w:pPr>
        <w:jc w:val="both"/>
        <w:rPr>
          <w:rFonts w:ascii="Century Gothic" w:hAnsi="Century Gothic"/>
          <w:sz w:val="20"/>
          <w:szCs w:val="20"/>
        </w:rPr>
      </w:pPr>
      <w:r w:rsidRPr="00AB1FA5">
        <w:rPr>
          <w:rFonts w:ascii="Century Gothic" w:hAnsi="Century Gothic"/>
          <w:sz w:val="20"/>
          <w:szCs w:val="20"/>
        </w:rPr>
        <w:t>I will provide a general explanation about PWS to improve your</w:t>
      </w:r>
      <w:r w:rsidR="00643DC4">
        <w:rPr>
          <w:rFonts w:ascii="Century Gothic" w:hAnsi="Century Gothic"/>
          <w:sz w:val="20"/>
          <w:szCs w:val="20"/>
        </w:rPr>
        <w:t xml:space="preserve"> understanding, and respond to </w:t>
      </w:r>
      <w:r w:rsidRPr="00AB1FA5">
        <w:rPr>
          <w:rFonts w:ascii="Century Gothic" w:hAnsi="Century Gothic"/>
          <w:sz w:val="20"/>
          <w:szCs w:val="20"/>
        </w:rPr>
        <w:t xml:space="preserve">the specific issues </w:t>
      </w:r>
      <w:r w:rsidR="00A95E1B" w:rsidRPr="00AB1FA5">
        <w:rPr>
          <w:rFonts w:ascii="Century Gothic" w:hAnsi="Century Gothic"/>
          <w:sz w:val="20"/>
          <w:szCs w:val="20"/>
        </w:rPr>
        <w:t xml:space="preserve">and questions </w:t>
      </w:r>
      <w:r w:rsidRPr="00AB1FA5">
        <w:rPr>
          <w:rFonts w:ascii="Century Gothic" w:hAnsi="Century Gothic"/>
          <w:sz w:val="20"/>
          <w:szCs w:val="20"/>
        </w:rPr>
        <w:t>raised in the Paper</w:t>
      </w:r>
      <w:r w:rsidR="00BB7B0D" w:rsidRPr="00AB1FA5">
        <w:rPr>
          <w:rFonts w:ascii="Century Gothic" w:hAnsi="Century Gothic"/>
          <w:sz w:val="20"/>
          <w:szCs w:val="20"/>
        </w:rPr>
        <w:t>,</w:t>
      </w:r>
      <w:r w:rsidR="00645C78" w:rsidRPr="00AB1FA5">
        <w:rPr>
          <w:rFonts w:ascii="Century Gothic" w:hAnsi="Century Gothic"/>
          <w:sz w:val="20"/>
          <w:szCs w:val="20"/>
        </w:rPr>
        <w:t xml:space="preserve"> from the PWS perspective</w:t>
      </w:r>
      <w:r w:rsidRPr="00AB1FA5">
        <w:rPr>
          <w:rFonts w:ascii="Century Gothic" w:hAnsi="Century Gothic"/>
          <w:sz w:val="20"/>
          <w:szCs w:val="20"/>
        </w:rPr>
        <w:t>.</w:t>
      </w:r>
    </w:p>
    <w:p w14:paraId="21E4D6C4" w14:textId="684C50B0" w:rsidR="00A10674" w:rsidRPr="00AB1FA5" w:rsidRDefault="004D3F9A" w:rsidP="009A4781">
      <w:pPr>
        <w:jc w:val="both"/>
        <w:rPr>
          <w:rFonts w:ascii="Century Gothic" w:hAnsi="Century Gothic"/>
          <w:color w:val="7F7F7F" w:themeColor="text1" w:themeTint="80"/>
          <w:sz w:val="20"/>
          <w:szCs w:val="20"/>
        </w:rPr>
      </w:pPr>
      <w:r w:rsidRPr="00AB1FA5">
        <w:rPr>
          <w:rFonts w:ascii="Century Gothic" w:hAnsi="Century Gothic"/>
          <w:noProof/>
          <w:sz w:val="20"/>
          <w:szCs w:val="20"/>
          <w:lang w:val="en-AU" w:eastAsia="en-AU"/>
        </w:rPr>
        <mc:AlternateContent>
          <mc:Choice Requires="wps">
            <w:drawing>
              <wp:anchor distT="91440" distB="91440" distL="114300" distR="114300" simplePos="0" relativeHeight="251659264" behindDoc="0" locked="0" layoutInCell="1" allowOverlap="1" wp14:anchorId="73BB0AF6" wp14:editId="69A07441">
                <wp:simplePos x="0" y="0"/>
                <wp:positionH relativeFrom="page">
                  <wp:posOffset>1352550</wp:posOffset>
                </wp:positionH>
                <wp:positionV relativeFrom="paragraph">
                  <wp:posOffset>1340485</wp:posOffset>
                </wp:positionV>
                <wp:extent cx="4524375" cy="105219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052195"/>
                        </a:xfrm>
                        <a:prstGeom prst="rect">
                          <a:avLst/>
                        </a:prstGeom>
                        <a:noFill/>
                        <a:ln w="9525">
                          <a:noFill/>
                          <a:miter lim="800000"/>
                          <a:headEnd/>
                          <a:tailEnd/>
                        </a:ln>
                      </wps:spPr>
                      <wps:txbx>
                        <w:txbxContent>
                          <w:p w14:paraId="7C46787E" w14:textId="77777777" w:rsidR="00290025" w:rsidRPr="00642541" w:rsidRDefault="00290025" w:rsidP="004D3F9A">
                            <w:pPr>
                              <w:pBdr>
                                <w:top w:val="single" w:sz="24" w:space="8" w:color="5B9BD5" w:themeColor="accent1"/>
                                <w:bottom w:val="single" w:sz="24" w:space="8" w:color="5B9BD5" w:themeColor="accent1"/>
                              </w:pBdr>
                              <w:spacing w:after="0"/>
                              <w:rPr>
                                <w:i/>
                                <w:iCs/>
                                <w:color w:val="0081C6"/>
                                <w:sz w:val="24"/>
                              </w:rPr>
                            </w:pPr>
                            <w:r w:rsidRPr="00642541">
                              <w:rPr>
                                <w:rFonts w:ascii="Century Gothic" w:hAnsi="Century Gothic"/>
                                <w:i/>
                                <w:color w:val="0081C6"/>
                                <w:sz w:val="20"/>
                                <w:szCs w:val="20"/>
                              </w:rPr>
                              <w:t>‘BEST PRACTICE GUIDELINES FOR STANDARD OF CARE IN PWS’ have been published</w:t>
                            </w:r>
                            <w:r>
                              <w:rPr>
                                <w:rFonts w:ascii="Century Gothic" w:hAnsi="Century Gothic"/>
                                <w:i/>
                                <w:color w:val="0081C6"/>
                                <w:sz w:val="20"/>
                                <w:szCs w:val="20"/>
                              </w:rPr>
                              <w:t>,</w:t>
                            </w:r>
                            <w:r w:rsidRPr="00642541">
                              <w:rPr>
                                <w:rFonts w:ascii="Century Gothic" w:hAnsi="Century Gothic"/>
                                <w:i/>
                                <w:color w:val="0081C6"/>
                                <w:sz w:val="20"/>
                                <w:szCs w:val="20"/>
                              </w:rPr>
                              <w:t xml:space="preserve"> for use internationally.  More successful outcomes are achieved when service providers, educators and others adopt the specialist skills and techniques needed to support people with PWS</w:t>
                            </w:r>
                            <w:r>
                              <w:rPr>
                                <w:rFonts w:ascii="Century Gothic" w:hAnsi="Century Gothic"/>
                                <w:i/>
                                <w:color w:val="0081C6"/>
                                <w:sz w:val="20"/>
                                <w:szCs w:val="20"/>
                              </w:rPr>
                              <w:t>.</w:t>
                            </w:r>
                            <w:r w:rsidRPr="00642541">
                              <w:rPr>
                                <w:rFonts w:ascii="Century Gothic" w:hAnsi="Century Gothic"/>
                                <w:i/>
                                <w:color w:val="0081C6"/>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type w14:anchorId="73BB0AF6" id="_x0000_t202" coordsize="21600,21600" o:spt="202" path="m0,0l0,21600,21600,21600,21600,0xe">
                <v:stroke joinstyle="miter"/>
                <v:path gradientshapeok="t" o:connecttype="rect"/>
              </v:shapetype>
              <v:shape id="Text Box 2" o:spid="_x0000_s1026" type="#_x0000_t202" style="position:absolute;left:0;text-align:left;margin-left:106.5pt;margin-top:105.55pt;width:356.25pt;height:82.8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" filled="f" stroked="f">
                <v:textbox style="mso-fit-shape-to-text:t">
                  <w:txbxContent>
                    <w:p w14:paraId="7C46787E" w14:textId="77777777" w:rsidR="00290025" w:rsidRPr="00642541" w:rsidRDefault="00290025" w:rsidP="004D3F9A">
                      <w:pPr>
                        <w:pBdr>
                          <w:top w:val="single" w:sz="24" w:space="8" w:color="5B9BD5" w:themeColor="accent1"/>
                          <w:bottom w:val="single" w:sz="24" w:space="8" w:color="5B9BD5" w:themeColor="accent1"/>
                        </w:pBdr>
                        <w:spacing w:after="0"/>
                        <w:rPr>
                          <w:i/>
                          <w:iCs/>
                          <w:color w:val="0081C6"/>
                          <w:sz w:val="24"/>
                        </w:rPr>
                      </w:pPr>
                      <w:r w:rsidRPr="00642541">
                        <w:rPr>
                          <w:rFonts w:ascii="Century Gothic" w:hAnsi="Century Gothic"/>
                          <w:i/>
                          <w:color w:val="0081C6"/>
                          <w:sz w:val="20"/>
                          <w:szCs w:val="20"/>
                        </w:rPr>
                        <w:t>‘BEST PRACTICE GUIDELINES FOR STANDARD OF CARE IN PWS’ have been published</w:t>
                      </w:r>
                      <w:r>
                        <w:rPr>
                          <w:rFonts w:ascii="Century Gothic" w:hAnsi="Century Gothic"/>
                          <w:i/>
                          <w:color w:val="0081C6"/>
                          <w:sz w:val="20"/>
                          <w:szCs w:val="20"/>
                        </w:rPr>
                        <w:t>,</w:t>
                      </w:r>
                      <w:r w:rsidRPr="00642541">
                        <w:rPr>
                          <w:rFonts w:ascii="Century Gothic" w:hAnsi="Century Gothic"/>
                          <w:i/>
                          <w:color w:val="0081C6"/>
                          <w:sz w:val="20"/>
                          <w:szCs w:val="20"/>
                        </w:rPr>
                        <w:t xml:space="preserve"> for use internationally.  More successful outcomes are achieved when service providers, educators and others adopt the specialist skills and techniques needed to support people with PWS</w:t>
                      </w:r>
                      <w:r>
                        <w:rPr>
                          <w:rFonts w:ascii="Century Gothic" w:hAnsi="Century Gothic"/>
                          <w:i/>
                          <w:color w:val="0081C6"/>
                          <w:sz w:val="20"/>
                          <w:szCs w:val="20"/>
                        </w:rPr>
                        <w:t>.</w:t>
                      </w:r>
                      <w:r w:rsidRPr="00642541">
                        <w:rPr>
                          <w:rFonts w:ascii="Century Gothic" w:hAnsi="Century Gothic"/>
                          <w:i/>
                          <w:color w:val="0081C6"/>
                          <w:sz w:val="20"/>
                          <w:szCs w:val="20"/>
                        </w:rPr>
                        <w:t xml:space="preserve">  </w:t>
                      </w:r>
                    </w:p>
                  </w:txbxContent>
                </v:textbox>
                <w10:wrap type="topAndBottom" anchorx="page"/>
              </v:shape>
            </w:pict>
          </mc:Fallback>
        </mc:AlternateContent>
      </w:r>
      <w:proofErr w:type="spellStart"/>
      <w:r w:rsidR="004D44BC" w:rsidRPr="00AB1FA5">
        <w:rPr>
          <w:rFonts w:ascii="Century Gothic" w:hAnsi="Century Gothic"/>
          <w:sz w:val="20"/>
          <w:szCs w:val="20"/>
        </w:rPr>
        <w:t>Prader</w:t>
      </w:r>
      <w:proofErr w:type="spellEnd"/>
      <w:r w:rsidR="004D44BC" w:rsidRPr="00AB1FA5">
        <w:rPr>
          <w:rFonts w:ascii="Century Gothic" w:hAnsi="Century Gothic"/>
          <w:sz w:val="20"/>
          <w:szCs w:val="20"/>
        </w:rPr>
        <w:t>-Willi syndrome</w:t>
      </w:r>
      <w:r w:rsidR="00A95E1B" w:rsidRPr="00AB1FA5">
        <w:rPr>
          <w:rFonts w:ascii="Century Gothic" w:hAnsi="Century Gothic"/>
          <w:sz w:val="20"/>
          <w:szCs w:val="20"/>
        </w:rPr>
        <w:t xml:space="preserve"> (PWS)</w:t>
      </w:r>
      <w:r w:rsidR="004D44BC" w:rsidRPr="00AB1FA5">
        <w:rPr>
          <w:rFonts w:ascii="Century Gothic" w:hAnsi="Century Gothic"/>
          <w:sz w:val="20"/>
          <w:szCs w:val="20"/>
        </w:rPr>
        <w:t xml:space="preserve"> is </w:t>
      </w:r>
      <w:r w:rsidR="000B1BE2" w:rsidRPr="00AB1FA5">
        <w:rPr>
          <w:rFonts w:ascii="Century Gothic" w:hAnsi="Century Gothic"/>
          <w:sz w:val="20"/>
          <w:szCs w:val="20"/>
        </w:rPr>
        <w:t>a rare</w:t>
      </w:r>
      <w:r w:rsidR="00A95E1B" w:rsidRPr="00AB1FA5">
        <w:rPr>
          <w:rFonts w:ascii="Century Gothic" w:hAnsi="Century Gothic"/>
          <w:sz w:val="20"/>
          <w:szCs w:val="20"/>
        </w:rPr>
        <w:t>,</w:t>
      </w:r>
      <w:r w:rsidR="000B1BE2" w:rsidRPr="00AB1FA5">
        <w:rPr>
          <w:rFonts w:ascii="Century Gothic" w:hAnsi="Century Gothic"/>
          <w:sz w:val="20"/>
          <w:szCs w:val="20"/>
        </w:rPr>
        <w:t xml:space="preserve"> life-threatening condition</w:t>
      </w:r>
      <w:r w:rsidR="00A95E1B" w:rsidRPr="00AB1FA5">
        <w:rPr>
          <w:rFonts w:ascii="Century Gothic" w:hAnsi="Century Gothic"/>
          <w:sz w:val="20"/>
          <w:szCs w:val="20"/>
        </w:rPr>
        <w:t>.</w:t>
      </w:r>
      <w:r w:rsidR="000B1BE2" w:rsidRPr="00AB1FA5">
        <w:rPr>
          <w:rFonts w:ascii="Century Gothic" w:hAnsi="Century Gothic"/>
          <w:sz w:val="20"/>
          <w:szCs w:val="20"/>
        </w:rPr>
        <w:t xml:space="preserve"> </w:t>
      </w:r>
      <w:r w:rsidR="00A95E1B" w:rsidRPr="00AB1FA5">
        <w:rPr>
          <w:rFonts w:ascii="Century Gothic" w:hAnsi="Century Gothic"/>
          <w:sz w:val="20"/>
          <w:szCs w:val="20"/>
        </w:rPr>
        <w:t xml:space="preserve">It is </w:t>
      </w:r>
      <w:r w:rsidR="004D44BC" w:rsidRPr="00AB1FA5">
        <w:rPr>
          <w:rFonts w:ascii="Century Gothic" w:hAnsi="Century Gothic"/>
          <w:sz w:val="20"/>
          <w:szCs w:val="20"/>
        </w:rPr>
        <w:t>a complex, multistage genetic disorder affecting multiple systems in the body. It significantly impacts on behavior, learning, mental and physical health</w:t>
      </w:r>
      <w:r w:rsidR="003A7670" w:rsidRPr="00AB1FA5">
        <w:rPr>
          <w:rFonts w:ascii="Century Gothic" w:hAnsi="Century Gothic"/>
          <w:sz w:val="20"/>
          <w:szCs w:val="20"/>
        </w:rPr>
        <w:t xml:space="preserve"> of children and adults. </w:t>
      </w:r>
      <w:r w:rsidR="00304463" w:rsidRPr="00AB1FA5">
        <w:rPr>
          <w:rFonts w:ascii="Century Gothic" w:hAnsi="Century Gothic"/>
          <w:sz w:val="20"/>
          <w:szCs w:val="20"/>
        </w:rPr>
        <w:t xml:space="preserve">People with PWS cannot </w:t>
      </w:r>
      <w:r w:rsidR="00290025" w:rsidRPr="00AB1FA5">
        <w:rPr>
          <w:rFonts w:ascii="Century Gothic" w:hAnsi="Century Gothic"/>
          <w:sz w:val="20"/>
          <w:szCs w:val="20"/>
        </w:rPr>
        <w:t xml:space="preserve">successfully </w:t>
      </w:r>
      <w:r w:rsidR="00304463" w:rsidRPr="00AB1FA5">
        <w:rPr>
          <w:rFonts w:ascii="Century Gothic" w:hAnsi="Century Gothic"/>
          <w:sz w:val="20"/>
          <w:szCs w:val="20"/>
        </w:rPr>
        <w:t>live independently</w:t>
      </w:r>
      <w:r w:rsidR="00EA35A9">
        <w:rPr>
          <w:rFonts w:ascii="Century Gothic" w:hAnsi="Century Gothic"/>
          <w:sz w:val="20"/>
          <w:szCs w:val="20"/>
        </w:rPr>
        <w:t xml:space="preserve"> without supports</w:t>
      </w:r>
      <w:r w:rsidR="00290025" w:rsidRPr="00AB1FA5">
        <w:rPr>
          <w:rFonts w:ascii="Century Gothic" w:hAnsi="Century Gothic"/>
          <w:sz w:val="20"/>
          <w:szCs w:val="20"/>
        </w:rPr>
        <w:t>,</w:t>
      </w:r>
      <w:r w:rsidR="00304463" w:rsidRPr="00AB1FA5">
        <w:rPr>
          <w:rFonts w:ascii="Century Gothic" w:hAnsi="Century Gothic"/>
          <w:sz w:val="20"/>
          <w:szCs w:val="20"/>
        </w:rPr>
        <w:t xml:space="preserve"> and </w:t>
      </w:r>
      <w:r w:rsidR="00C618D4" w:rsidRPr="00AB1FA5">
        <w:rPr>
          <w:rFonts w:ascii="Century Gothic" w:hAnsi="Century Gothic"/>
          <w:sz w:val="20"/>
          <w:szCs w:val="20"/>
        </w:rPr>
        <w:t xml:space="preserve">may occasionally engage in </w:t>
      </w:r>
      <w:r w:rsidR="00304463" w:rsidRPr="00AB1FA5">
        <w:rPr>
          <w:rFonts w:ascii="Century Gothic" w:hAnsi="Century Gothic"/>
          <w:sz w:val="20"/>
          <w:szCs w:val="20"/>
        </w:rPr>
        <w:t>open employment</w:t>
      </w:r>
      <w:r w:rsidR="00C618D4" w:rsidRPr="00AB1FA5">
        <w:rPr>
          <w:rFonts w:ascii="Century Gothic" w:hAnsi="Century Gothic"/>
          <w:sz w:val="20"/>
          <w:szCs w:val="20"/>
        </w:rPr>
        <w:t xml:space="preserve">, but only </w:t>
      </w:r>
      <w:r w:rsidR="00EA35A9">
        <w:rPr>
          <w:rFonts w:ascii="Century Gothic" w:hAnsi="Century Gothic"/>
          <w:sz w:val="20"/>
          <w:szCs w:val="20"/>
        </w:rPr>
        <w:t>with considerable support.</w:t>
      </w:r>
    </w:p>
    <w:p w14:paraId="630FD5EC" w14:textId="77777777" w:rsidR="000225A8" w:rsidRDefault="00983BE4" w:rsidP="006C7E17">
      <w:pPr>
        <w:jc w:val="both"/>
        <w:rPr>
          <w:rFonts w:ascii="Century Gothic" w:hAnsi="Century Gothic"/>
          <w:sz w:val="20"/>
          <w:szCs w:val="20"/>
        </w:rPr>
      </w:pPr>
      <w:r w:rsidRPr="00AB1FA5">
        <w:rPr>
          <w:rFonts w:ascii="Century Gothic" w:hAnsi="Century Gothic"/>
          <w:sz w:val="20"/>
          <w:szCs w:val="20"/>
        </w:rPr>
        <w:t>P</w:t>
      </w:r>
      <w:r w:rsidR="004D44BC" w:rsidRPr="00AB1FA5">
        <w:rPr>
          <w:rFonts w:ascii="Century Gothic" w:hAnsi="Century Gothic"/>
          <w:sz w:val="20"/>
          <w:szCs w:val="20"/>
        </w:rPr>
        <w:t xml:space="preserve">eople with PWS typically die young, due to complications associated with obesity. </w:t>
      </w:r>
      <w:r w:rsidRPr="00AB1FA5">
        <w:rPr>
          <w:rFonts w:ascii="Century Gothic" w:hAnsi="Century Gothic"/>
          <w:i/>
          <w:sz w:val="20"/>
          <w:szCs w:val="20"/>
        </w:rPr>
        <w:t>However,</w:t>
      </w:r>
      <w:r w:rsidRPr="00AB1FA5">
        <w:rPr>
          <w:rFonts w:ascii="Century Gothic" w:hAnsi="Century Gothic"/>
          <w:sz w:val="20"/>
          <w:szCs w:val="20"/>
        </w:rPr>
        <w:t xml:space="preserve"> w</w:t>
      </w:r>
      <w:r w:rsidR="004D44BC" w:rsidRPr="00AB1FA5">
        <w:rPr>
          <w:rFonts w:ascii="Century Gothic" w:hAnsi="Century Gothic"/>
          <w:sz w:val="20"/>
          <w:szCs w:val="20"/>
        </w:rPr>
        <w:t xml:space="preserve">hen PWS is managed properly, people with the condition can be expected to lead a more ordinary life and live longer. </w:t>
      </w:r>
    </w:p>
    <w:p w14:paraId="718EABD4" w14:textId="1B5839F7" w:rsidR="006C7E17" w:rsidRPr="00AB1FA5" w:rsidRDefault="006C7E17" w:rsidP="006C7E17">
      <w:pPr>
        <w:jc w:val="both"/>
        <w:rPr>
          <w:rFonts w:ascii="Century Gothic" w:hAnsi="Century Gothic"/>
          <w:sz w:val="20"/>
          <w:szCs w:val="20"/>
        </w:rPr>
      </w:pPr>
      <w:r w:rsidRPr="00AB1FA5">
        <w:rPr>
          <w:rFonts w:ascii="Century Gothic" w:hAnsi="Century Gothic"/>
          <w:sz w:val="20"/>
          <w:szCs w:val="20"/>
        </w:rPr>
        <w:t>In order to manage the complexity of PWS, it is essential that all the service systems know their support role. It is essential that the mainstream and disability services deliver a cohesive and holistic framework of support where there are no gaps for the disabled person to stumble or fall. Already we are seeing one service system trying to pass off responsibility to another. And whilst the services argue backwards and forwards, the person with PWS gets poor service and lives with added risk. In the case of PWS, a failure in one support service will inevitably exacerbate PWS problems, and the sufferer will begin to make demands on another service</w:t>
      </w:r>
      <w:r w:rsidR="008851A8" w:rsidRPr="00AB1FA5">
        <w:rPr>
          <w:rFonts w:ascii="Century Gothic" w:hAnsi="Century Gothic"/>
          <w:sz w:val="20"/>
          <w:szCs w:val="20"/>
        </w:rPr>
        <w:t xml:space="preserve"> (</w:t>
      </w:r>
      <w:r w:rsidR="00EA35A9" w:rsidRPr="00AB1FA5">
        <w:rPr>
          <w:rFonts w:ascii="Century Gothic" w:hAnsi="Century Gothic"/>
          <w:sz w:val="20"/>
          <w:szCs w:val="20"/>
        </w:rPr>
        <w:t>e.g.</w:t>
      </w:r>
      <w:r w:rsidR="008851A8" w:rsidRPr="00AB1FA5">
        <w:rPr>
          <w:rFonts w:ascii="Century Gothic" w:hAnsi="Century Gothic"/>
          <w:sz w:val="20"/>
          <w:szCs w:val="20"/>
        </w:rPr>
        <w:t xml:space="preserve"> from hospital to police</w:t>
      </w:r>
      <w:r w:rsidR="00276EA7" w:rsidRPr="00AB1FA5">
        <w:rPr>
          <w:rFonts w:ascii="Century Gothic" w:hAnsi="Century Gothic"/>
          <w:sz w:val="20"/>
          <w:szCs w:val="20"/>
        </w:rPr>
        <w:t>, or from a Commonwealth service to a State one</w:t>
      </w:r>
      <w:r w:rsidR="008851A8" w:rsidRPr="00AB1FA5">
        <w:rPr>
          <w:rFonts w:ascii="Century Gothic" w:hAnsi="Century Gothic"/>
          <w:sz w:val="20"/>
          <w:szCs w:val="20"/>
        </w:rPr>
        <w:t>)</w:t>
      </w:r>
      <w:r w:rsidRPr="00AB1FA5">
        <w:rPr>
          <w:rFonts w:ascii="Century Gothic" w:hAnsi="Century Gothic"/>
          <w:sz w:val="20"/>
          <w:szCs w:val="20"/>
        </w:rPr>
        <w:t xml:space="preserve">. So, whilst one sector may think it is efficient and saving money by pushing a PWS client away, they are only escalating the problem and putting a greater drain on the public purse </w:t>
      </w:r>
      <w:r w:rsidR="008851A8" w:rsidRPr="00AB1FA5">
        <w:rPr>
          <w:rFonts w:ascii="Century Gothic" w:hAnsi="Century Gothic"/>
          <w:sz w:val="20"/>
          <w:szCs w:val="20"/>
        </w:rPr>
        <w:t>through unnecessary use of</w:t>
      </w:r>
      <w:r w:rsidRPr="00AB1FA5">
        <w:rPr>
          <w:rFonts w:ascii="Century Gothic" w:hAnsi="Century Gothic"/>
          <w:sz w:val="20"/>
          <w:szCs w:val="20"/>
        </w:rPr>
        <w:t xml:space="preserve"> another sector. </w:t>
      </w:r>
    </w:p>
    <w:p w14:paraId="0962CFD7" w14:textId="77777777" w:rsidR="00381BE7" w:rsidRPr="00AB1FA5" w:rsidRDefault="006C7E17" w:rsidP="00C40585">
      <w:pPr>
        <w:jc w:val="both"/>
        <w:rPr>
          <w:rFonts w:ascii="Century Gothic" w:hAnsi="Century Gothic"/>
          <w:sz w:val="20"/>
          <w:szCs w:val="20"/>
        </w:rPr>
      </w:pPr>
      <w:r w:rsidRPr="00AB1FA5">
        <w:rPr>
          <w:rFonts w:ascii="Century Gothic" w:hAnsi="Century Gothic"/>
          <w:sz w:val="20"/>
          <w:szCs w:val="20"/>
        </w:rPr>
        <w:t xml:space="preserve">In short, the changes to the National Disability Agreement (NDA) </w:t>
      </w:r>
      <w:r w:rsidR="00337494" w:rsidRPr="00AB1FA5">
        <w:rPr>
          <w:rFonts w:ascii="Century Gothic" w:hAnsi="Century Gothic"/>
          <w:sz w:val="20"/>
          <w:szCs w:val="20"/>
        </w:rPr>
        <w:t>should</w:t>
      </w:r>
      <w:r w:rsidRPr="00AB1FA5">
        <w:rPr>
          <w:rFonts w:ascii="Century Gothic" w:hAnsi="Century Gothic"/>
          <w:sz w:val="20"/>
          <w:szCs w:val="20"/>
        </w:rPr>
        <w:t xml:space="preserve"> </w:t>
      </w:r>
      <w:proofErr w:type="spellStart"/>
      <w:r w:rsidR="008851A8" w:rsidRPr="00AB1FA5">
        <w:rPr>
          <w:rFonts w:ascii="Century Gothic" w:hAnsi="Century Gothic"/>
          <w:sz w:val="20"/>
          <w:szCs w:val="20"/>
        </w:rPr>
        <w:t>recognise</w:t>
      </w:r>
      <w:proofErr w:type="spellEnd"/>
      <w:r w:rsidR="008851A8" w:rsidRPr="00AB1FA5">
        <w:rPr>
          <w:rFonts w:ascii="Century Gothic" w:hAnsi="Century Gothic"/>
          <w:sz w:val="20"/>
          <w:szCs w:val="20"/>
        </w:rPr>
        <w:t xml:space="preserve"> that PWS is not like other disabilities. Funding and support models that are regarded as adequate for other types of intellectual disabilities will not be sophisticated enough for supporting people with PWS.  </w:t>
      </w:r>
      <w:r w:rsidR="00337494" w:rsidRPr="00AB1FA5">
        <w:rPr>
          <w:rFonts w:ascii="Century Gothic" w:hAnsi="Century Gothic"/>
          <w:sz w:val="20"/>
          <w:szCs w:val="20"/>
        </w:rPr>
        <w:t xml:space="preserve">Therefore, </w:t>
      </w:r>
      <w:r w:rsidR="00C40585" w:rsidRPr="00AB1FA5">
        <w:rPr>
          <w:rFonts w:ascii="Century Gothic" w:hAnsi="Century Gothic"/>
          <w:sz w:val="20"/>
          <w:szCs w:val="20"/>
        </w:rPr>
        <w:t>a contemporary and enduring ND Agreement should contain elements that close</w:t>
      </w:r>
      <w:r w:rsidRPr="00AB1FA5">
        <w:rPr>
          <w:rFonts w:ascii="Century Gothic" w:hAnsi="Century Gothic"/>
          <w:sz w:val="20"/>
          <w:szCs w:val="20"/>
        </w:rPr>
        <w:t xml:space="preserve"> gaps in service</w:t>
      </w:r>
      <w:r w:rsidR="00F905AE" w:rsidRPr="00AB1FA5">
        <w:rPr>
          <w:rFonts w:ascii="Century Gothic" w:hAnsi="Century Gothic"/>
          <w:sz w:val="20"/>
          <w:szCs w:val="20"/>
        </w:rPr>
        <w:t xml:space="preserve"> responsibilities</w:t>
      </w:r>
      <w:r w:rsidRPr="00AB1FA5">
        <w:rPr>
          <w:rFonts w:ascii="Century Gothic" w:hAnsi="Century Gothic"/>
          <w:sz w:val="20"/>
          <w:szCs w:val="20"/>
        </w:rPr>
        <w:t xml:space="preserve"> to those with PWS. </w:t>
      </w:r>
      <w:r w:rsidR="00C40585" w:rsidRPr="00AB1FA5">
        <w:rPr>
          <w:rFonts w:ascii="Century Gothic" w:hAnsi="Century Gothic"/>
          <w:sz w:val="20"/>
          <w:szCs w:val="20"/>
        </w:rPr>
        <w:t>A new</w:t>
      </w:r>
      <w:r w:rsidRPr="00AB1FA5">
        <w:rPr>
          <w:rFonts w:ascii="Century Gothic" w:hAnsi="Century Gothic"/>
          <w:sz w:val="20"/>
          <w:szCs w:val="20"/>
        </w:rPr>
        <w:t xml:space="preserve"> NDA must ensure that there is a clear and speedy resolution pathway for people with complex disabilities who </w:t>
      </w:r>
      <w:r w:rsidR="003F22FC" w:rsidRPr="00AB1FA5">
        <w:rPr>
          <w:rFonts w:ascii="Century Gothic" w:hAnsi="Century Gothic"/>
          <w:sz w:val="20"/>
          <w:szCs w:val="20"/>
        </w:rPr>
        <w:t xml:space="preserve">do not have the cognitive </w:t>
      </w:r>
      <w:r w:rsidR="003F22FC" w:rsidRPr="00AB1FA5">
        <w:rPr>
          <w:rFonts w:ascii="Century Gothic" w:hAnsi="Century Gothic"/>
          <w:sz w:val="20"/>
          <w:szCs w:val="20"/>
        </w:rPr>
        <w:lastRenderedPageBreak/>
        <w:t>capacity to negotiate the support system</w:t>
      </w:r>
      <w:r w:rsidR="008851A8" w:rsidRPr="00AB1FA5">
        <w:rPr>
          <w:rFonts w:ascii="Century Gothic" w:hAnsi="Century Gothic"/>
          <w:sz w:val="20"/>
          <w:szCs w:val="20"/>
        </w:rPr>
        <w:t xml:space="preserve">. People with PWS are further disadvantaged </w:t>
      </w:r>
      <w:r w:rsidR="003F22FC" w:rsidRPr="00AB1FA5">
        <w:rPr>
          <w:rFonts w:ascii="Century Gothic" w:hAnsi="Century Gothic"/>
          <w:sz w:val="20"/>
          <w:szCs w:val="20"/>
        </w:rPr>
        <w:t xml:space="preserve">when there are </w:t>
      </w:r>
      <w:r w:rsidR="008851A8" w:rsidRPr="00AB1FA5">
        <w:rPr>
          <w:rFonts w:ascii="Century Gothic" w:hAnsi="Century Gothic"/>
          <w:sz w:val="20"/>
          <w:szCs w:val="20"/>
        </w:rPr>
        <w:t>unmanaged gaps in holistic service provision</w:t>
      </w:r>
      <w:r w:rsidR="00381BE7" w:rsidRPr="00AB1FA5">
        <w:rPr>
          <w:rFonts w:ascii="Century Gothic" w:hAnsi="Century Gothic"/>
          <w:sz w:val="20"/>
          <w:szCs w:val="20"/>
        </w:rPr>
        <w:t xml:space="preserve">. </w:t>
      </w:r>
    </w:p>
    <w:p w14:paraId="2ECC2D45" w14:textId="77777777" w:rsidR="006C7E17" w:rsidRPr="00AB1FA5" w:rsidRDefault="000225A8" w:rsidP="00C40585">
      <w:pPr>
        <w:jc w:val="both"/>
        <w:rPr>
          <w:rFonts w:ascii="Century Gothic" w:hAnsi="Century Gothic"/>
          <w:color w:val="7F7F7F" w:themeColor="text1" w:themeTint="80"/>
          <w:sz w:val="20"/>
          <w:szCs w:val="20"/>
        </w:rPr>
      </w:pPr>
      <w:r>
        <w:rPr>
          <w:rFonts w:ascii="Century Gothic" w:hAnsi="Century Gothic"/>
          <w:sz w:val="20"/>
          <w:szCs w:val="20"/>
        </w:rPr>
        <w:t>T</w:t>
      </w:r>
      <w:r w:rsidR="00381BE7" w:rsidRPr="00AB1FA5">
        <w:rPr>
          <w:rFonts w:ascii="Century Gothic" w:hAnsi="Century Gothic"/>
          <w:sz w:val="20"/>
          <w:szCs w:val="20"/>
        </w:rPr>
        <w:t>he heart of this study is the aim to promote the wellbeing of people with disability</w:t>
      </w:r>
      <w:r>
        <w:rPr>
          <w:rFonts w:ascii="Century Gothic" w:hAnsi="Century Gothic"/>
          <w:sz w:val="20"/>
          <w:szCs w:val="20"/>
        </w:rPr>
        <w:t>. Therefore,</w:t>
      </w:r>
      <w:r w:rsidR="008851A8" w:rsidRPr="00AB1FA5">
        <w:rPr>
          <w:rFonts w:ascii="Century Gothic" w:hAnsi="Century Gothic"/>
          <w:sz w:val="20"/>
          <w:szCs w:val="20"/>
        </w:rPr>
        <w:t xml:space="preserve"> </w:t>
      </w:r>
      <w:r w:rsidR="00381BE7" w:rsidRPr="00AB1FA5">
        <w:rPr>
          <w:rFonts w:ascii="Century Gothic" w:hAnsi="Century Gothic"/>
          <w:sz w:val="20"/>
          <w:szCs w:val="20"/>
        </w:rPr>
        <w:t xml:space="preserve">an improved NDA needs to address </w:t>
      </w:r>
      <w:r w:rsidR="003F22FC" w:rsidRPr="00AB1FA5">
        <w:rPr>
          <w:rFonts w:ascii="Century Gothic" w:hAnsi="Century Gothic"/>
          <w:sz w:val="20"/>
          <w:szCs w:val="20"/>
        </w:rPr>
        <w:t>a</w:t>
      </w:r>
      <w:r w:rsidR="00381BE7" w:rsidRPr="00AB1FA5">
        <w:rPr>
          <w:rFonts w:ascii="Century Gothic" w:hAnsi="Century Gothic"/>
          <w:sz w:val="20"/>
          <w:szCs w:val="20"/>
        </w:rPr>
        <w:t>ny</w:t>
      </w:r>
      <w:r w:rsidR="003F22FC" w:rsidRPr="00AB1FA5">
        <w:rPr>
          <w:rFonts w:ascii="Century Gothic" w:hAnsi="Century Gothic"/>
          <w:sz w:val="20"/>
          <w:szCs w:val="20"/>
        </w:rPr>
        <w:t xml:space="preserve"> lack of willingness by authorities to </w:t>
      </w:r>
      <w:r w:rsidR="00337494" w:rsidRPr="00AB1FA5">
        <w:rPr>
          <w:rFonts w:ascii="Century Gothic" w:hAnsi="Century Gothic"/>
          <w:sz w:val="20"/>
          <w:szCs w:val="20"/>
        </w:rPr>
        <w:t>work in a collaborative manner</w:t>
      </w:r>
      <w:r w:rsidR="00381BE7" w:rsidRPr="00AB1FA5">
        <w:rPr>
          <w:rFonts w:ascii="Century Gothic" w:hAnsi="Century Gothic"/>
          <w:sz w:val="20"/>
          <w:szCs w:val="20"/>
        </w:rPr>
        <w:t xml:space="preserve"> devoid of</w:t>
      </w:r>
      <w:r w:rsidR="00337494" w:rsidRPr="00AB1FA5">
        <w:rPr>
          <w:rFonts w:ascii="Century Gothic" w:hAnsi="Century Gothic"/>
          <w:sz w:val="20"/>
          <w:szCs w:val="20"/>
        </w:rPr>
        <w:t xml:space="preserve"> demarcation disputes, </w:t>
      </w:r>
      <w:r w:rsidR="00381BE7" w:rsidRPr="00AB1FA5">
        <w:rPr>
          <w:rFonts w:ascii="Century Gothic" w:hAnsi="Century Gothic"/>
          <w:sz w:val="20"/>
          <w:szCs w:val="20"/>
        </w:rPr>
        <w:t xml:space="preserve">and </w:t>
      </w:r>
      <w:r w:rsidR="003F22FC" w:rsidRPr="00AB1FA5">
        <w:rPr>
          <w:rFonts w:ascii="Century Gothic" w:hAnsi="Century Gothic"/>
          <w:sz w:val="20"/>
          <w:szCs w:val="20"/>
        </w:rPr>
        <w:t>without burdening the disabled person</w:t>
      </w:r>
      <w:r w:rsidR="00276EA7" w:rsidRPr="00AB1FA5">
        <w:rPr>
          <w:rFonts w:ascii="Century Gothic" w:hAnsi="Century Gothic"/>
          <w:sz w:val="20"/>
          <w:szCs w:val="20"/>
        </w:rPr>
        <w:t xml:space="preserve">, their families and </w:t>
      </w:r>
      <w:proofErr w:type="spellStart"/>
      <w:r w:rsidR="00276EA7" w:rsidRPr="00AB1FA5">
        <w:rPr>
          <w:rFonts w:ascii="Century Gothic" w:hAnsi="Century Gothic"/>
          <w:sz w:val="20"/>
          <w:szCs w:val="20"/>
        </w:rPr>
        <w:t>carers</w:t>
      </w:r>
      <w:proofErr w:type="spellEnd"/>
      <w:r w:rsidR="003F22FC" w:rsidRPr="00AB1FA5">
        <w:rPr>
          <w:rFonts w:ascii="Century Gothic" w:hAnsi="Century Gothic"/>
          <w:sz w:val="20"/>
          <w:szCs w:val="20"/>
        </w:rPr>
        <w:t>.</w:t>
      </w:r>
      <w:r w:rsidR="006C7E17" w:rsidRPr="00AB1FA5">
        <w:rPr>
          <w:rFonts w:ascii="Century Gothic" w:hAnsi="Century Gothic"/>
          <w:sz w:val="20"/>
          <w:szCs w:val="20"/>
        </w:rPr>
        <w:t xml:space="preserve"> </w:t>
      </w:r>
    </w:p>
    <w:p w14:paraId="69F17273" w14:textId="77777777" w:rsidR="008D7FF7" w:rsidRPr="00AB1FA5" w:rsidRDefault="008D7FF7" w:rsidP="004F35A0">
      <w:pPr>
        <w:pStyle w:val="NoSpacing"/>
        <w:numPr>
          <w:ilvl w:val="0"/>
          <w:numId w:val="16"/>
        </w:numPr>
        <w:spacing w:after="240"/>
        <w:jc w:val="both"/>
        <w:rPr>
          <w:rFonts w:ascii="Century Gothic" w:hAnsi="Century Gothic"/>
          <w:b/>
          <w:color w:val="0081C6"/>
        </w:rPr>
      </w:pPr>
      <w:r w:rsidRPr="00AB1FA5">
        <w:rPr>
          <w:rFonts w:ascii="Century Gothic" w:hAnsi="Century Gothic"/>
          <w:b/>
          <w:color w:val="0081C6"/>
        </w:rPr>
        <w:t>Purpose</w:t>
      </w:r>
    </w:p>
    <w:p w14:paraId="6EC0A36E" w14:textId="77777777" w:rsidR="00A10674" w:rsidRPr="00AB1FA5" w:rsidRDefault="00B61C07" w:rsidP="001912FF">
      <w:pPr>
        <w:jc w:val="both"/>
        <w:rPr>
          <w:rFonts w:ascii="Century Gothic" w:hAnsi="Century Gothic"/>
          <w:sz w:val="20"/>
          <w:szCs w:val="20"/>
        </w:rPr>
      </w:pPr>
      <w:r w:rsidRPr="00AB1FA5">
        <w:rPr>
          <w:rFonts w:ascii="Century Gothic" w:hAnsi="Century Gothic"/>
          <w:sz w:val="20"/>
          <w:szCs w:val="20"/>
        </w:rPr>
        <w:t xml:space="preserve">The feedback provided in this submission refers to </w:t>
      </w:r>
      <w:r w:rsidR="008832A0" w:rsidRPr="00AB1FA5">
        <w:rPr>
          <w:rFonts w:ascii="Century Gothic" w:hAnsi="Century Gothic"/>
          <w:sz w:val="20"/>
          <w:szCs w:val="20"/>
        </w:rPr>
        <w:t>the review being undertaken of the National Disability Agreement (NDA), and in particular whether any changes are needed to the NDA in the context of contemporary policy settings.</w:t>
      </w:r>
    </w:p>
    <w:p w14:paraId="6F4AA440" w14:textId="77777777" w:rsidR="00F70EA1" w:rsidRPr="00AB1FA5" w:rsidRDefault="001912FF" w:rsidP="004F35A0">
      <w:pPr>
        <w:pStyle w:val="NoSpacing"/>
        <w:numPr>
          <w:ilvl w:val="0"/>
          <w:numId w:val="16"/>
        </w:numPr>
        <w:spacing w:after="240"/>
        <w:jc w:val="both"/>
        <w:rPr>
          <w:rFonts w:ascii="Century Gothic" w:hAnsi="Century Gothic"/>
          <w:b/>
          <w:color w:val="0081C6"/>
        </w:rPr>
      </w:pPr>
      <w:r w:rsidRPr="00AB1FA5">
        <w:rPr>
          <w:rFonts w:ascii="Century Gothic" w:hAnsi="Century Gothic"/>
          <w:b/>
          <w:color w:val="0081C6"/>
        </w:rPr>
        <w:t>Response</w:t>
      </w:r>
    </w:p>
    <w:p w14:paraId="1D8C1DAB" w14:textId="77777777" w:rsidR="00F905AE" w:rsidRPr="00AB1FA5" w:rsidRDefault="00F905AE" w:rsidP="00F905AE">
      <w:pPr>
        <w:autoSpaceDE w:val="0"/>
        <w:autoSpaceDN w:val="0"/>
        <w:adjustRightInd w:val="0"/>
        <w:spacing w:after="0" w:line="240" w:lineRule="auto"/>
        <w:rPr>
          <w:rFonts w:ascii="Century Gothic" w:hAnsi="Century Gothic" w:cs="Arial"/>
          <w:color w:val="000000"/>
          <w:sz w:val="20"/>
          <w:szCs w:val="20"/>
        </w:rPr>
      </w:pPr>
      <w:r w:rsidRPr="00AB1FA5">
        <w:rPr>
          <w:rFonts w:ascii="Century Gothic" w:hAnsi="Century Gothic" w:cs="Arial"/>
          <w:i/>
          <w:iCs/>
          <w:color w:val="000000"/>
          <w:sz w:val="20"/>
          <w:szCs w:val="20"/>
        </w:rPr>
        <w:t xml:space="preserve">What framework and assessment criteria should be used to review the NDA?  </w:t>
      </w:r>
    </w:p>
    <w:p w14:paraId="235AEAAF" w14:textId="77777777" w:rsidR="00166536" w:rsidRPr="00AB1FA5" w:rsidRDefault="00166536" w:rsidP="00166536">
      <w:pPr>
        <w:shd w:val="clear" w:color="auto" w:fill="FFFFFF"/>
        <w:spacing w:after="0" w:line="240" w:lineRule="auto"/>
        <w:ind w:left="360"/>
        <w:rPr>
          <w:rFonts w:ascii="Century Gothic" w:eastAsia="Times New Roman" w:hAnsi="Century Gothic" w:cs="Helvetica"/>
          <w:color w:val="222222"/>
          <w:sz w:val="20"/>
          <w:szCs w:val="20"/>
        </w:rPr>
      </w:pPr>
    </w:p>
    <w:p w14:paraId="71EA12F0" w14:textId="5B1F14E2" w:rsidR="00C06BE0" w:rsidRPr="00AB1FA5" w:rsidRDefault="008A33E6" w:rsidP="00166536">
      <w:pPr>
        <w:shd w:val="clear" w:color="auto" w:fill="FFFFFF"/>
        <w:spacing w:after="0" w:line="240" w:lineRule="auto"/>
        <w:ind w:left="360"/>
        <w:rPr>
          <w:rFonts w:ascii="Century Gothic" w:eastAsia="Times New Roman" w:hAnsi="Century Gothic" w:cs="Helvetica"/>
          <w:color w:val="222222"/>
          <w:sz w:val="20"/>
          <w:szCs w:val="20"/>
        </w:rPr>
      </w:pPr>
      <w:r w:rsidRPr="00AB1FA5">
        <w:rPr>
          <w:rFonts w:ascii="Century Gothic" w:eastAsia="Times New Roman" w:hAnsi="Century Gothic" w:cs="Helvetica"/>
          <w:color w:val="222222"/>
          <w:sz w:val="20"/>
          <w:szCs w:val="20"/>
        </w:rPr>
        <w:t>The outcomes and outputs of the NDA are still valid. These should guide the</w:t>
      </w:r>
      <w:r w:rsidR="00893741" w:rsidRPr="00AB1FA5">
        <w:rPr>
          <w:rFonts w:ascii="Century Gothic" w:eastAsia="Times New Roman" w:hAnsi="Century Gothic" w:cs="Helvetica"/>
          <w:color w:val="222222"/>
          <w:sz w:val="20"/>
          <w:szCs w:val="20"/>
        </w:rPr>
        <w:t xml:space="preserve"> scope of</w:t>
      </w:r>
      <w:r w:rsidRPr="00AB1FA5">
        <w:rPr>
          <w:rFonts w:ascii="Century Gothic" w:eastAsia="Times New Roman" w:hAnsi="Century Gothic" w:cs="Helvetica"/>
          <w:color w:val="222222"/>
          <w:sz w:val="20"/>
          <w:szCs w:val="20"/>
        </w:rPr>
        <w:t xml:space="preserve"> assessment criteria. Members of the PWSA have experienced adverse consequences of the many gaps that exist between the NDIS model and reality. For example, mental health service refusing to admit a pa</w:t>
      </w:r>
      <w:r w:rsidR="00893741" w:rsidRPr="00AB1FA5">
        <w:rPr>
          <w:rFonts w:ascii="Century Gothic" w:eastAsia="Times New Roman" w:hAnsi="Century Gothic" w:cs="Helvetica"/>
          <w:color w:val="222222"/>
          <w:sz w:val="20"/>
          <w:szCs w:val="20"/>
        </w:rPr>
        <w:t>rticipant,</w:t>
      </w:r>
      <w:r w:rsidRPr="00AB1FA5">
        <w:rPr>
          <w:rFonts w:ascii="Century Gothic" w:eastAsia="Times New Roman" w:hAnsi="Century Gothic" w:cs="Helvetica"/>
          <w:color w:val="222222"/>
          <w:sz w:val="20"/>
          <w:szCs w:val="20"/>
        </w:rPr>
        <w:t xml:space="preserve"> </w:t>
      </w:r>
      <w:r w:rsidR="00C06BE0" w:rsidRPr="00AB1FA5">
        <w:rPr>
          <w:rFonts w:ascii="Century Gothic" w:eastAsia="Times New Roman" w:hAnsi="Century Gothic" w:cs="Helvetica"/>
          <w:color w:val="222222"/>
          <w:sz w:val="20"/>
          <w:szCs w:val="20"/>
        </w:rPr>
        <w:t xml:space="preserve">deeming </w:t>
      </w:r>
      <w:r w:rsidR="00444F9E" w:rsidRPr="00AB1FA5">
        <w:rPr>
          <w:rFonts w:ascii="Century Gothic" w:eastAsia="Times New Roman" w:hAnsi="Century Gothic" w:cs="Helvetica"/>
          <w:color w:val="222222"/>
          <w:sz w:val="20"/>
          <w:szCs w:val="20"/>
        </w:rPr>
        <w:t>the psychotic</w:t>
      </w:r>
      <w:r w:rsidR="00C06BE0" w:rsidRPr="00AB1FA5">
        <w:rPr>
          <w:rFonts w:ascii="Century Gothic" w:eastAsia="Times New Roman" w:hAnsi="Century Gothic" w:cs="Helvetica"/>
          <w:color w:val="222222"/>
          <w:sz w:val="20"/>
          <w:szCs w:val="20"/>
        </w:rPr>
        <w:t xml:space="preserve"> </w:t>
      </w:r>
      <w:proofErr w:type="spellStart"/>
      <w:r w:rsidR="00C06BE0" w:rsidRPr="00AB1FA5">
        <w:rPr>
          <w:rFonts w:ascii="Century Gothic" w:eastAsia="Times New Roman" w:hAnsi="Century Gothic" w:cs="Helvetica"/>
          <w:color w:val="222222"/>
          <w:sz w:val="20"/>
          <w:szCs w:val="20"/>
        </w:rPr>
        <w:t>behaviour</w:t>
      </w:r>
      <w:proofErr w:type="spellEnd"/>
      <w:r w:rsidR="00C06BE0" w:rsidRPr="00AB1FA5">
        <w:rPr>
          <w:rFonts w:ascii="Century Gothic" w:eastAsia="Times New Roman" w:hAnsi="Century Gothic" w:cs="Helvetica"/>
          <w:color w:val="222222"/>
          <w:sz w:val="20"/>
          <w:szCs w:val="20"/>
        </w:rPr>
        <w:t xml:space="preserve"> to be due </w:t>
      </w:r>
      <w:r w:rsidR="00444F9E">
        <w:rPr>
          <w:rFonts w:ascii="Century Gothic" w:eastAsia="Times New Roman" w:hAnsi="Century Gothic" w:cs="Helvetica"/>
          <w:color w:val="222222"/>
          <w:sz w:val="20"/>
          <w:szCs w:val="20"/>
        </w:rPr>
        <w:t>to an</w:t>
      </w:r>
      <w:r w:rsidR="00C06BE0" w:rsidRPr="00AB1FA5">
        <w:rPr>
          <w:rFonts w:ascii="Century Gothic" w:eastAsia="Times New Roman" w:hAnsi="Century Gothic" w:cs="Helvetica"/>
          <w:color w:val="222222"/>
          <w:sz w:val="20"/>
          <w:szCs w:val="20"/>
        </w:rPr>
        <w:t xml:space="preserve"> intellectual disability rather than </w:t>
      </w:r>
      <w:r w:rsidR="00444F9E">
        <w:rPr>
          <w:rFonts w:ascii="Century Gothic" w:eastAsia="Times New Roman" w:hAnsi="Century Gothic" w:cs="Helvetica"/>
          <w:color w:val="222222"/>
          <w:sz w:val="20"/>
          <w:szCs w:val="20"/>
        </w:rPr>
        <w:t>the</w:t>
      </w:r>
      <w:r w:rsidR="00893741" w:rsidRPr="00AB1FA5">
        <w:rPr>
          <w:rFonts w:ascii="Century Gothic" w:eastAsia="Times New Roman" w:hAnsi="Century Gothic" w:cs="Helvetica"/>
          <w:color w:val="222222"/>
          <w:sz w:val="20"/>
          <w:szCs w:val="20"/>
        </w:rPr>
        <w:t xml:space="preserve"> </w:t>
      </w:r>
      <w:r w:rsidR="00444F9E">
        <w:rPr>
          <w:rFonts w:ascii="Century Gothic" w:eastAsia="Times New Roman" w:hAnsi="Century Gothic" w:cs="Helvetica"/>
          <w:color w:val="222222"/>
          <w:sz w:val="20"/>
          <w:szCs w:val="20"/>
        </w:rPr>
        <w:t xml:space="preserve">mental illness </w:t>
      </w:r>
      <w:r w:rsidR="00893741" w:rsidRPr="00AB1FA5">
        <w:rPr>
          <w:rFonts w:ascii="Century Gothic" w:eastAsia="Times New Roman" w:hAnsi="Century Gothic" w:cs="Helvetica"/>
          <w:color w:val="222222"/>
          <w:sz w:val="20"/>
          <w:szCs w:val="20"/>
        </w:rPr>
        <w:t>which was subsequently</w:t>
      </w:r>
      <w:r w:rsidR="00C06BE0" w:rsidRPr="00AB1FA5">
        <w:rPr>
          <w:rFonts w:ascii="Century Gothic" w:eastAsia="Times New Roman" w:hAnsi="Century Gothic" w:cs="Helvetica"/>
          <w:color w:val="222222"/>
          <w:sz w:val="20"/>
          <w:szCs w:val="20"/>
        </w:rPr>
        <w:t xml:space="preserve"> diagnosed a few days later. Or, home modifications not being </w:t>
      </w:r>
      <w:r w:rsidR="00893741" w:rsidRPr="00AB1FA5">
        <w:rPr>
          <w:rFonts w:ascii="Century Gothic" w:eastAsia="Times New Roman" w:hAnsi="Century Gothic" w:cs="Helvetica"/>
          <w:color w:val="222222"/>
          <w:sz w:val="20"/>
          <w:szCs w:val="20"/>
        </w:rPr>
        <w:t>made for a participant</w:t>
      </w:r>
      <w:r w:rsidR="00C06BE0" w:rsidRPr="00AB1FA5">
        <w:rPr>
          <w:rFonts w:ascii="Century Gothic" w:eastAsia="Times New Roman" w:hAnsi="Century Gothic" w:cs="Helvetica"/>
          <w:color w:val="222222"/>
          <w:sz w:val="20"/>
          <w:szCs w:val="20"/>
        </w:rPr>
        <w:t xml:space="preserve"> whilst NDIS </w:t>
      </w:r>
      <w:r w:rsidR="00444F9E">
        <w:rPr>
          <w:rFonts w:ascii="Century Gothic" w:eastAsia="Times New Roman" w:hAnsi="Century Gothic" w:cs="Helvetica"/>
          <w:color w:val="222222"/>
          <w:sz w:val="20"/>
          <w:szCs w:val="20"/>
        </w:rPr>
        <w:t xml:space="preserve">argues </w:t>
      </w:r>
      <w:r w:rsidR="00C06BE0" w:rsidRPr="00AB1FA5">
        <w:rPr>
          <w:rFonts w:ascii="Century Gothic" w:eastAsia="Times New Roman" w:hAnsi="Century Gothic" w:cs="Helvetica"/>
          <w:color w:val="222222"/>
          <w:sz w:val="20"/>
          <w:szCs w:val="20"/>
        </w:rPr>
        <w:t>landlord</w:t>
      </w:r>
      <w:r w:rsidR="000225A8">
        <w:rPr>
          <w:rFonts w:ascii="Century Gothic" w:eastAsia="Times New Roman" w:hAnsi="Century Gothic" w:cs="Helvetica"/>
          <w:color w:val="222222"/>
          <w:sz w:val="20"/>
          <w:szCs w:val="20"/>
        </w:rPr>
        <w:t>’s</w:t>
      </w:r>
      <w:r w:rsidR="00C06BE0" w:rsidRPr="00AB1FA5">
        <w:rPr>
          <w:rFonts w:ascii="Century Gothic" w:eastAsia="Times New Roman" w:hAnsi="Century Gothic" w:cs="Helvetica"/>
          <w:color w:val="222222"/>
          <w:sz w:val="20"/>
          <w:szCs w:val="20"/>
        </w:rPr>
        <w:t xml:space="preserve"> responsibility (</w:t>
      </w:r>
      <w:proofErr w:type="spellStart"/>
      <w:r w:rsidR="00C06BE0" w:rsidRPr="00AB1FA5">
        <w:rPr>
          <w:rFonts w:ascii="Century Gothic" w:eastAsia="Times New Roman" w:hAnsi="Century Gothic" w:cs="Helvetica"/>
          <w:color w:val="222222"/>
          <w:sz w:val="20"/>
          <w:szCs w:val="20"/>
        </w:rPr>
        <w:t>ie</w:t>
      </w:r>
      <w:proofErr w:type="spellEnd"/>
      <w:r w:rsidR="00C06BE0" w:rsidRPr="00AB1FA5">
        <w:rPr>
          <w:rFonts w:ascii="Century Gothic" w:eastAsia="Times New Roman" w:hAnsi="Century Gothic" w:cs="Helvetica"/>
          <w:color w:val="222222"/>
          <w:sz w:val="20"/>
          <w:szCs w:val="20"/>
        </w:rPr>
        <w:t xml:space="preserve"> public housing) but the state government says it</w:t>
      </w:r>
      <w:r w:rsidR="00893741" w:rsidRPr="00AB1FA5">
        <w:rPr>
          <w:rFonts w:ascii="Century Gothic" w:eastAsia="Times New Roman" w:hAnsi="Century Gothic" w:cs="Helvetica"/>
          <w:color w:val="222222"/>
          <w:sz w:val="20"/>
          <w:szCs w:val="20"/>
        </w:rPr>
        <w:t>’</w:t>
      </w:r>
      <w:r w:rsidR="00C06BE0" w:rsidRPr="00AB1FA5">
        <w:rPr>
          <w:rFonts w:ascii="Century Gothic" w:eastAsia="Times New Roman" w:hAnsi="Century Gothic" w:cs="Helvetica"/>
          <w:color w:val="222222"/>
          <w:sz w:val="20"/>
          <w:szCs w:val="20"/>
        </w:rPr>
        <w:t>s an NDIS cost.</w:t>
      </w:r>
    </w:p>
    <w:p w14:paraId="3BE57973" w14:textId="77777777" w:rsidR="00C06BE0" w:rsidRPr="00AB1FA5" w:rsidRDefault="00C06BE0" w:rsidP="00166536">
      <w:pPr>
        <w:shd w:val="clear" w:color="auto" w:fill="FFFFFF"/>
        <w:spacing w:after="0" w:line="240" w:lineRule="auto"/>
        <w:ind w:left="360"/>
        <w:rPr>
          <w:rFonts w:ascii="Century Gothic" w:eastAsia="Times New Roman" w:hAnsi="Century Gothic" w:cs="Helvetica"/>
          <w:color w:val="222222"/>
          <w:sz w:val="20"/>
          <w:szCs w:val="20"/>
        </w:rPr>
      </w:pPr>
    </w:p>
    <w:p w14:paraId="6D70F8C8" w14:textId="77777777" w:rsidR="00893741" w:rsidRPr="00AB1FA5" w:rsidRDefault="00893741" w:rsidP="00893741">
      <w:pPr>
        <w:shd w:val="clear" w:color="auto" w:fill="FFFFFF"/>
        <w:spacing w:after="0" w:line="240" w:lineRule="auto"/>
        <w:ind w:left="360"/>
        <w:rPr>
          <w:rFonts w:ascii="Century Gothic" w:eastAsia="Times New Roman" w:hAnsi="Century Gothic" w:cs="Helvetica"/>
          <w:color w:val="222222"/>
          <w:sz w:val="20"/>
          <w:szCs w:val="20"/>
        </w:rPr>
      </w:pPr>
      <w:r w:rsidRPr="00AB1FA5">
        <w:rPr>
          <w:rFonts w:ascii="Century Gothic" w:eastAsia="Times New Roman" w:hAnsi="Century Gothic" w:cs="Helvetica"/>
          <w:color w:val="222222"/>
          <w:sz w:val="20"/>
          <w:szCs w:val="20"/>
        </w:rPr>
        <w:t xml:space="preserve">The concept of respite for </w:t>
      </w:r>
      <w:proofErr w:type="spellStart"/>
      <w:r w:rsidRPr="00AB1FA5">
        <w:rPr>
          <w:rFonts w:ascii="Century Gothic" w:eastAsia="Times New Roman" w:hAnsi="Century Gothic" w:cs="Helvetica"/>
          <w:color w:val="222222"/>
          <w:sz w:val="20"/>
          <w:szCs w:val="20"/>
        </w:rPr>
        <w:t>carers</w:t>
      </w:r>
      <w:proofErr w:type="spellEnd"/>
      <w:r w:rsidRPr="00AB1FA5">
        <w:rPr>
          <w:rFonts w:ascii="Century Gothic" w:eastAsia="Times New Roman" w:hAnsi="Century Gothic" w:cs="Helvetica"/>
          <w:color w:val="222222"/>
          <w:sz w:val="20"/>
          <w:szCs w:val="20"/>
        </w:rPr>
        <w:t xml:space="preserve"> has been left out of the NDIS. Within the disability context</w:t>
      </w:r>
      <w:r w:rsidR="000225A8">
        <w:rPr>
          <w:rFonts w:ascii="Century Gothic" w:eastAsia="Times New Roman" w:hAnsi="Century Gothic" w:cs="Helvetica"/>
          <w:color w:val="222222"/>
          <w:sz w:val="20"/>
          <w:szCs w:val="20"/>
        </w:rPr>
        <w:t>,</w:t>
      </w:r>
      <w:r w:rsidRPr="00AB1FA5">
        <w:rPr>
          <w:rFonts w:ascii="Century Gothic" w:eastAsia="Times New Roman" w:hAnsi="Century Gothic" w:cs="Helvetica"/>
          <w:color w:val="222222"/>
          <w:sz w:val="20"/>
          <w:szCs w:val="20"/>
        </w:rPr>
        <w:t xml:space="preserve"> </w:t>
      </w:r>
      <w:r w:rsidR="000225A8">
        <w:rPr>
          <w:rFonts w:ascii="Century Gothic" w:eastAsia="Times New Roman" w:hAnsi="Century Gothic" w:cs="Helvetica"/>
          <w:color w:val="222222"/>
          <w:sz w:val="20"/>
          <w:szCs w:val="20"/>
        </w:rPr>
        <w:t>r</w:t>
      </w:r>
      <w:r w:rsidRPr="00AB1FA5">
        <w:rPr>
          <w:rFonts w:ascii="Century Gothic" w:eastAsia="Times New Roman" w:hAnsi="Century Gothic" w:cs="Helvetica"/>
          <w:color w:val="222222"/>
          <w:sz w:val="20"/>
          <w:szCs w:val="20"/>
        </w:rPr>
        <w:t>espite is highly valued, as evidenced by its inclusion in the NDA in the first place. PWS is a very complex condition, with many behavioral challenges. As such, families need to be able to access respite services.</w:t>
      </w:r>
    </w:p>
    <w:p w14:paraId="2204FFDA" w14:textId="77777777" w:rsidR="00893741" w:rsidRPr="00AB1FA5" w:rsidRDefault="00893741" w:rsidP="00166536">
      <w:pPr>
        <w:shd w:val="clear" w:color="auto" w:fill="FFFFFF"/>
        <w:spacing w:after="0" w:line="240" w:lineRule="auto"/>
        <w:ind w:left="360"/>
        <w:rPr>
          <w:rFonts w:ascii="Century Gothic" w:eastAsia="Times New Roman" w:hAnsi="Century Gothic" w:cs="Helvetica"/>
          <w:color w:val="222222"/>
          <w:sz w:val="20"/>
          <w:szCs w:val="20"/>
        </w:rPr>
      </w:pPr>
    </w:p>
    <w:p w14:paraId="34D816F4" w14:textId="77777777" w:rsidR="00893741" w:rsidRPr="00AB1FA5" w:rsidRDefault="00893741" w:rsidP="00166536">
      <w:pPr>
        <w:shd w:val="clear" w:color="auto" w:fill="FFFFFF"/>
        <w:spacing w:after="0" w:line="240" w:lineRule="auto"/>
        <w:ind w:left="360"/>
        <w:rPr>
          <w:rFonts w:ascii="Century Gothic" w:eastAsia="Times New Roman" w:hAnsi="Century Gothic" w:cs="Helvetica"/>
          <w:color w:val="222222"/>
          <w:sz w:val="20"/>
          <w:szCs w:val="20"/>
        </w:rPr>
      </w:pPr>
      <w:r w:rsidRPr="00AB1FA5">
        <w:rPr>
          <w:rFonts w:ascii="Century Gothic" w:eastAsia="Times New Roman" w:hAnsi="Century Gothic" w:cs="Helvetica"/>
          <w:color w:val="222222"/>
          <w:sz w:val="20"/>
          <w:szCs w:val="20"/>
        </w:rPr>
        <w:t xml:space="preserve">In short, State governments have stepped back too quickly from disability assistance, leaving vulnerable citizens and families in difficult and risky situations. </w:t>
      </w:r>
    </w:p>
    <w:p w14:paraId="60F5506D" w14:textId="77777777" w:rsidR="00442A5F" w:rsidRPr="00AB1FA5" w:rsidRDefault="00442A5F" w:rsidP="00166536">
      <w:pPr>
        <w:shd w:val="clear" w:color="auto" w:fill="FFFFFF"/>
        <w:spacing w:after="0" w:line="240" w:lineRule="auto"/>
        <w:ind w:left="360"/>
        <w:rPr>
          <w:rFonts w:ascii="Century Gothic" w:eastAsia="Times New Roman" w:hAnsi="Century Gothic" w:cs="Helvetica"/>
          <w:color w:val="222222"/>
          <w:sz w:val="20"/>
          <w:szCs w:val="20"/>
        </w:rPr>
      </w:pPr>
    </w:p>
    <w:p w14:paraId="3E1B51DF" w14:textId="5441956D" w:rsidR="00893741" w:rsidRPr="00AB1FA5" w:rsidRDefault="00893741" w:rsidP="00166536">
      <w:pPr>
        <w:shd w:val="clear" w:color="auto" w:fill="FFFFFF"/>
        <w:spacing w:after="0" w:line="240" w:lineRule="auto"/>
        <w:ind w:left="360"/>
        <w:rPr>
          <w:rFonts w:ascii="Century Gothic" w:eastAsia="Times New Roman" w:hAnsi="Century Gothic" w:cs="Helvetica"/>
          <w:color w:val="222222"/>
          <w:sz w:val="20"/>
          <w:szCs w:val="20"/>
        </w:rPr>
      </w:pPr>
      <w:r w:rsidRPr="00AB1FA5">
        <w:rPr>
          <w:rFonts w:ascii="Century Gothic" w:eastAsia="Times New Roman" w:hAnsi="Century Gothic" w:cs="Helvetica"/>
          <w:color w:val="222222"/>
          <w:sz w:val="20"/>
          <w:szCs w:val="20"/>
        </w:rPr>
        <w:t>Any new framework must be able to identify shortfalls</w:t>
      </w:r>
      <w:r w:rsidR="000225A8">
        <w:rPr>
          <w:rFonts w:ascii="Century Gothic" w:eastAsia="Times New Roman" w:hAnsi="Century Gothic" w:cs="Helvetica"/>
          <w:color w:val="222222"/>
          <w:sz w:val="20"/>
          <w:szCs w:val="20"/>
        </w:rPr>
        <w:t>. It must</w:t>
      </w:r>
      <w:r w:rsidRPr="00AB1FA5">
        <w:rPr>
          <w:rFonts w:ascii="Century Gothic" w:eastAsia="Times New Roman" w:hAnsi="Century Gothic" w:cs="Helvetica"/>
          <w:color w:val="222222"/>
          <w:sz w:val="20"/>
          <w:szCs w:val="20"/>
        </w:rPr>
        <w:t xml:space="preserve"> make State governments and territories accountable </w:t>
      </w:r>
      <w:r w:rsidR="000225A8">
        <w:rPr>
          <w:rFonts w:ascii="Century Gothic" w:eastAsia="Times New Roman" w:hAnsi="Century Gothic" w:cs="Helvetica"/>
          <w:color w:val="222222"/>
          <w:sz w:val="20"/>
          <w:szCs w:val="20"/>
        </w:rPr>
        <w:t xml:space="preserve">for covering shortfalls, </w:t>
      </w:r>
      <w:r w:rsidR="00444F9E" w:rsidRPr="00AB1FA5">
        <w:rPr>
          <w:rFonts w:ascii="Century Gothic" w:eastAsia="Times New Roman" w:hAnsi="Century Gothic" w:cs="Helvetica"/>
          <w:color w:val="222222"/>
          <w:sz w:val="20"/>
          <w:szCs w:val="20"/>
        </w:rPr>
        <w:t>until</w:t>
      </w:r>
      <w:r w:rsidRPr="00AB1FA5">
        <w:rPr>
          <w:rFonts w:ascii="Century Gothic" w:eastAsia="Times New Roman" w:hAnsi="Century Gothic" w:cs="Helvetica"/>
          <w:color w:val="222222"/>
          <w:sz w:val="20"/>
          <w:szCs w:val="20"/>
        </w:rPr>
        <w:t xml:space="preserve"> the NDIS proves itself as </w:t>
      </w:r>
      <w:r w:rsidR="00442A5F" w:rsidRPr="00AB1FA5">
        <w:rPr>
          <w:rFonts w:ascii="Century Gothic" w:eastAsia="Times New Roman" w:hAnsi="Century Gothic" w:cs="Helvetica"/>
          <w:color w:val="222222"/>
          <w:sz w:val="20"/>
          <w:szCs w:val="20"/>
        </w:rPr>
        <w:t>a scheme that can take a holistic approach to support and care of disabled citizens.</w:t>
      </w:r>
    </w:p>
    <w:p w14:paraId="39209D8C" w14:textId="77777777" w:rsidR="00893741" w:rsidRPr="00AB1FA5" w:rsidRDefault="00893741" w:rsidP="00166536">
      <w:pPr>
        <w:shd w:val="clear" w:color="auto" w:fill="FFFFFF"/>
        <w:spacing w:after="0" w:line="240" w:lineRule="auto"/>
        <w:ind w:left="360"/>
        <w:rPr>
          <w:rFonts w:ascii="Century Gothic" w:eastAsia="Times New Roman" w:hAnsi="Century Gothic" w:cs="Helvetica"/>
          <w:color w:val="222222"/>
          <w:sz w:val="20"/>
          <w:szCs w:val="20"/>
        </w:rPr>
      </w:pPr>
    </w:p>
    <w:p w14:paraId="3348CCEA" w14:textId="77777777" w:rsidR="00F905AE" w:rsidRPr="00AB1FA5" w:rsidRDefault="00F905AE" w:rsidP="00166536">
      <w:pPr>
        <w:shd w:val="clear" w:color="auto" w:fill="FFFFFF"/>
        <w:spacing w:after="0" w:line="240" w:lineRule="auto"/>
        <w:ind w:left="360"/>
        <w:rPr>
          <w:rFonts w:ascii="Century Gothic" w:eastAsia="Times New Roman" w:hAnsi="Century Gothic" w:cs="Helvetica"/>
          <w:color w:val="222222"/>
          <w:sz w:val="20"/>
          <w:szCs w:val="20"/>
        </w:rPr>
      </w:pPr>
    </w:p>
    <w:p w14:paraId="0AEA0AAC" w14:textId="52F1F4C1" w:rsidR="00F905AE" w:rsidRPr="00AB1FA5" w:rsidRDefault="00444F9E" w:rsidP="00AB1FA5">
      <w:pPr>
        <w:autoSpaceDE w:val="0"/>
        <w:autoSpaceDN w:val="0"/>
        <w:adjustRightInd w:val="0"/>
        <w:spacing w:after="0" w:line="240" w:lineRule="auto"/>
        <w:rPr>
          <w:rFonts w:ascii="Century Gothic" w:hAnsi="Century Gothic" w:cs="Arial"/>
          <w:i/>
          <w:iCs/>
          <w:color w:val="000000"/>
          <w:sz w:val="20"/>
          <w:szCs w:val="20"/>
        </w:rPr>
      </w:pPr>
      <w:r w:rsidRPr="00AB1FA5">
        <w:rPr>
          <w:rFonts w:ascii="Century Gothic" w:hAnsi="Century Gothic" w:cs="Arial"/>
          <w:i/>
          <w:iCs/>
          <w:color w:val="000000"/>
          <w:sz w:val="20"/>
          <w:szCs w:val="20"/>
        </w:rPr>
        <w:t>Considering</w:t>
      </w:r>
      <w:r w:rsidR="00F905AE" w:rsidRPr="00AB1FA5">
        <w:rPr>
          <w:rFonts w:ascii="Century Gothic" w:hAnsi="Century Gothic" w:cs="Arial"/>
          <w:i/>
          <w:iCs/>
          <w:color w:val="000000"/>
          <w:sz w:val="20"/>
          <w:szCs w:val="20"/>
        </w:rPr>
        <w:t xml:space="preserve"> developments in </w:t>
      </w:r>
      <w:r>
        <w:rPr>
          <w:rFonts w:ascii="Century Gothic" w:hAnsi="Century Gothic" w:cs="Arial"/>
          <w:i/>
          <w:iCs/>
          <w:color w:val="000000"/>
          <w:sz w:val="20"/>
          <w:szCs w:val="20"/>
        </w:rPr>
        <w:t xml:space="preserve">the </w:t>
      </w:r>
      <w:r w:rsidR="00F905AE" w:rsidRPr="00AB1FA5">
        <w:rPr>
          <w:rFonts w:ascii="Century Gothic" w:hAnsi="Century Gothic" w:cs="Arial"/>
          <w:i/>
          <w:iCs/>
          <w:color w:val="000000"/>
          <w:sz w:val="20"/>
          <w:szCs w:val="20"/>
        </w:rPr>
        <w:t>disability policy landscape and intergovernmental funding arrangements, is an NDA still required?</w:t>
      </w:r>
    </w:p>
    <w:p w14:paraId="4FA81DE8" w14:textId="77777777" w:rsidR="00893741" w:rsidRPr="00AB1FA5" w:rsidRDefault="00893741" w:rsidP="00F905AE">
      <w:pPr>
        <w:shd w:val="clear" w:color="auto" w:fill="FFFFFF"/>
        <w:spacing w:after="0" w:line="240" w:lineRule="auto"/>
        <w:ind w:left="360"/>
        <w:rPr>
          <w:rFonts w:ascii="Century Gothic" w:eastAsia="Times New Roman" w:hAnsi="Century Gothic" w:cs="Helvetica"/>
          <w:color w:val="222222"/>
          <w:sz w:val="20"/>
          <w:szCs w:val="20"/>
        </w:rPr>
      </w:pPr>
    </w:p>
    <w:p w14:paraId="7F903AAC" w14:textId="77777777" w:rsidR="00B747BA" w:rsidRPr="00AB1FA5" w:rsidRDefault="00893741" w:rsidP="00B747BA">
      <w:pPr>
        <w:shd w:val="clear" w:color="auto" w:fill="FFFFFF"/>
        <w:spacing w:after="0" w:line="240" w:lineRule="auto"/>
        <w:ind w:left="360"/>
        <w:rPr>
          <w:rFonts w:ascii="Century Gothic" w:eastAsia="Times New Roman" w:hAnsi="Century Gothic" w:cs="Helvetica"/>
          <w:color w:val="222222"/>
          <w:sz w:val="20"/>
          <w:szCs w:val="20"/>
        </w:rPr>
      </w:pPr>
      <w:r w:rsidRPr="00AB1FA5">
        <w:rPr>
          <w:rFonts w:ascii="Century Gothic" w:eastAsia="Times New Roman" w:hAnsi="Century Gothic" w:cs="Helvetica"/>
          <w:color w:val="222222"/>
          <w:sz w:val="20"/>
          <w:szCs w:val="20"/>
        </w:rPr>
        <w:t xml:space="preserve">Yes, an NDA is still required. </w:t>
      </w:r>
      <w:r w:rsidR="00B747BA" w:rsidRPr="00AB1FA5">
        <w:rPr>
          <w:rFonts w:ascii="Century Gothic" w:eastAsia="Times New Roman" w:hAnsi="Century Gothic" w:cs="Helvetica"/>
          <w:color w:val="222222"/>
          <w:sz w:val="20"/>
          <w:szCs w:val="20"/>
        </w:rPr>
        <w:t xml:space="preserve">Over and above service delivery, there are commitments in the NDA that need to remain in place to ensure disabled people get the support they need. </w:t>
      </w:r>
      <w:r w:rsidR="003F7FBF">
        <w:rPr>
          <w:rFonts w:ascii="Century Gothic" w:eastAsia="Times New Roman" w:hAnsi="Century Gothic" w:cs="Helvetica"/>
          <w:color w:val="222222"/>
          <w:sz w:val="20"/>
          <w:szCs w:val="20"/>
        </w:rPr>
        <w:t>For example, a</w:t>
      </w:r>
      <w:r w:rsidR="003F4D6A" w:rsidRPr="00AB1FA5">
        <w:rPr>
          <w:rFonts w:ascii="Century Gothic" w:eastAsia="Times New Roman" w:hAnsi="Century Gothic" w:cs="Helvetica"/>
          <w:color w:val="222222"/>
          <w:sz w:val="20"/>
          <w:szCs w:val="20"/>
        </w:rPr>
        <w:t xml:space="preserve"> gap identified by PWSA is that there is no accommodation prov</w:t>
      </w:r>
      <w:r w:rsidR="00533147" w:rsidRPr="00AB1FA5">
        <w:rPr>
          <w:rFonts w:ascii="Century Gothic" w:eastAsia="Times New Roman" w:hAnsi="Century Gothic" w:cs="Helvetica"/>
          <w:color w:val="222222"/>
          <w:sz w:val="20"/>
          <w:szCs w:val="20"/>
        </w:rPr>
        <w:t>i</w:t>
      </w:r>
      <w:r w:rsidR="003F4D6A" w:rsidRPr="00AB1FA5">
        <w:rPr>
          <w:rFonts w:ascii="Century Gothic" w:eastAsia="Times New Roman" w:hAnsi="Century Gothic" w:cs="Helvetica"/>
          <w:color w:val="222222"/>
          <w:sz w:val="20"/>
          <w:szCs w:val="20"/>
        </w:rPr>
        <w:t xml:space="preserve">der of last resort. This service is critical to ensure disabled people with challenging </w:t>
      </w:r>
      <w:proofErr w:type="spellStart"/>
      <w:r w:rsidR="003F4D6A" w:rsidRPr="00AB1FA5">
        <w:rPr>
          <w:rFonts w:ascii="Century Gothic" w:eastAsia="Times New Roman" w:hAnsi="Century Gothic" w:cs="Helvetica"/>
          <w:color w:val="222222"/>
          <w:sz w:val="20"/>
          <w:szCs w:val="20"/>
        </w:rPr>
        <w:t>behaviours</w:t>
      </w:r>
      <w:proofErr w:type="spellEnd"/>
      <w:r w:rsidR="003F4D6A" w:rsidRPr="00AB1FA5">
        <w:rPr>
          <w:rFonts w:ascii="Century Gothic" w:eastAsia="Times New Roman" w:hAnsi="Century Gothic" w:cs="Helvetica"/>
          <w:color w:val="222222"/>
          <w:sz w:val="20"/>
          <w:szCs w:val="20"/>
        </w:rPr>
        <w:t xml:space="preserve"> do not end up in the justice system. </w:t>
      </w:r>
      <w:r w:rsidR="0084567A">
        <w:rPr>
          <w:rFonts w:ascii="Century Gothic" w:eastAsia="Times New Roman" w:hAnsi="Century Gothic" w:cs="Helvetica"/>
          <w:color w:val="222222"/>
          <w:sz w:val="20"/>
          <w:szCs w:val="20"/>
        </w:rPr>
        <w:t xml:space="preserve">Also, the Productivity Commission identified gaps in roles and responsibilities for improving the interface between NDIS and mainstream services. </w:t>
      </w:r>
      <w:r w:rsidR="003F4D6A" w:rsidRPr="00AB1FA5">
        <w:rPr>
          <w:rFonts w:ascii="Century Gothic" w:eastAsia="Times New Roman" w:hAnsi="Century Gothic" w:cs="Helvetica"/>
          <w:color w:val="222222"/>
          <w:sz w:val="20"/>
          <w:szCs w:val="20"/>
        </w:rPr>
        <w:t xml:space="preserve">As such, all governments must continue working together to ensure </w:t>
      </w:r>
      <w:r w:rsidR="000225A8">
        <w:rPr>
          <w:rFonts w:ascii="Century Gothic" w:eastAsia="Times New Roman" w:hAnsi="Century Gothic" w:cs="Helvetica"/>
          <w:color w:val="222222"/>
          <w:sz w:val="20"/>
          <w:szCs w:val="20"/>
        </w:rPr>
        <w:t>relevant</w:t>
      </w:r>
      <w:r w:rsidR="003F4D6A" w:rsidRPr="00AB1FA5">
        <w:rPr>
          <w:rFonts w:ascii="Century Gothic" w:eastAsia="Times New Roman" w:hAnsi="Century Gothic" w:cs="Helvetica"/>
          <w:color w:val="222222"/>
          <w:sz w:val="20"/>
          <w:szCs w:val="20"/>
        </w:rPr>
        <w:t xml:space="preserve"> service</w:t>
      </w:r>
      <w:r w:rsidR="000225A8">
        <w:rPr>
          <w:rFonts w:ascii="Century Gothic" w:eastAsia="Times New Roman" w:hAnsi="Century Gothic" w:cs="Helvetica"/>
          <w:color w:val="222222"/>
          <w:sz w:val="20"/>
          <w:szCs w:val="20"/>
        </w:rPr>
        <w:t>s are</w:t>
      </w:r>
      <w:r w:rsidR="003F4D6A" w:rsidRPr="00AB1FA5">
        <w:rPr>
          <w:rFonts w:ascii="Century Gothic" w:eastAsia="Times New Roman" w:hAnsi="Century Gothic" w:cs="Helvetica"/>
          <w:color w:val="222222"/>
          <w:sz w:val="20"/>
          <w:szCs w:val="20"/>
        </w:rPr>
        <w:t xml:space="preserve"> in place. The NDIS cannot do it alone. Therefore, it is important that</w:t>
      </w:r>
      <w:r w:rsidR="00B747BA" w:rsidRPr="00AB1FA5">
        <w:rPr>
          <w:rFonts w:ascii="Century Gothic" w:eastAsia="Times New Roman" w:hAnsi="Century Gothic" w:cs="Helvetica"/>
          <w:color w:val="222222"/>
          <w:sz w:val="20"/>
          <w:szCs w:val="20"/>
        </w:rPr>
        <w:t>:</w:t>
      </w:r>
    </w:p>
    <w:p w14:paraId="5B27E02E" w14:textId="77777777" w:rsidR="00B747BA" w:rsidRPr="00AB1FA5" w:rsidRDefault="00413E27" w:rsidP="00B747BA">
      <w:pPr>
        <w:pStyle w:val="ListParagraph"/>
        <w:numPr>
          <w:ilvl w:val="0"/>
          <w:numId w:val="17"/>
        </w:numPr>
        <w:autoSpaceDE w:val="0"/>
        <w:autoSpaceDN w:val="0"/>
        <w:adjustRightInd w:val="0"/>
        <w:spacing w:after="0" w:line="240" w:lineRule="auto"/>
        <w:rPr>
          <w:rFonts w:ascii="Century Gothic" w:hAnsi="Century Gothic" w:cs="Corbel"/>
          <w:color w:val="000000"/>
          <w:sz w:val="20"/>
          <w:szCs w:val="20"/>
        </w:rPr>
      </w:pPr>
      <w:r w:rsidRPr="00AB1FA5">
        <w:rPr>
          <w:rFonts w:ascii="Century Gothic" w:hAnsi="Century Gothic" w:cs="Corbel"/>
          <w:color w:val="000000"/>
          <w:sz w:val="20"/>
          <w:szCs w:val="20"/>
        </w:rPr>
        <w:t>p</w:t>
      </w:r>
      <w:r w:rsidR="00B747BA" w:rsidRPr="00AB1FA5">
        <w:rPr>
          <w:rFonts w:ascii="Century Gothic" w:hAnsi="Century Gothic" w:cs="Corbel"/>
          <w:color w:val="000000"/>
          <w:sz w:val="20"/>
          <w:szCs w:val="20"/>
        </w:rPr>
        <w:t xml:space="preserve">arties work co-operatively together </w:t>
      </w:r>
    </w:p>
    <w:p w14:paraId="23D01CC1" w14:textId="77777777" w:rsidR="00B747BA" w:rsidRPr="00AB1FA5" w:rsidRDefault="00413E27" w:rsidP="00B747BA">
      <w:pPr>
        <w:pStyle w:val="ListParagraph"/>
        <w:numPr>
          <w:ilvl w:val="0"/>
          <w:numId w:val="17"/>
        </w:numPr>
        <w:autoSpaceDE w:val="0"/>
        <w:autoSpaceDN w:val="0"/>
        <w:adjustRightInd w:val="0"/>
        <w:spacing w:after="0" w:line="240" w:lineRule="auto"/>
        <w:rPr>
          <w:rFonts w:ascii="Century Gothic" w:hAnsi="Century Gothic" w:cs="Corbel"/>
          <w:color w:val="000000"/>
          <w:sz w:val="20"/>
          <w:szCs w:val="20"/>
        </w:rPr>
      </w:pPr>
      <w:r w:rsidRPr="00AB1FA5">
        <w:rPr>
          <w:rFonts w:ascii="Century Gothic" w:hAnsi="Century Gothic" w:cs="Corbel"/>
          <w:color w:val="000000"/>
          <w:sz w:val="20"/>
          <w:szCs w:val="20"/>
        </w:rPr>
        <w:lastRenderedPageBreak/>
        <w:t>p</w:t>
      </w:r>
      <w:r w:rsidR="00B747BA" w:rsidRPr="00AB1FA5">
        <w:rPr>
          <w:rFonts w:ascii="Century Gothic" w:hAnsi="Century Gothic" w:cs="Corbel"/>
          <w:color w:val="000000"/>
          <w:sz w:val="20"/>
          <w:szCs w:val="20"/>
        </w:rPr>
        <w:t xml:space="preserve">arties be accountable to the community for </w:t>
      </w:r>
      <w:proofErr w:type="spellStart"/>
      <w:r w:rsidR="00B747BA" w:rsidRPr="00AB1FA5">
        <w:rPr>
          <w:rFonts w:ascii="Century Gothic" w:hAnsi="Century Gothic" w:cs="Corbel"/>
          <w:color w:val="000000"/>
          <w:sz w:val="20"/>
          <w:szCs w:val="20"/>
        </w:rPr>
        <w:t>maximising</w:t>
      </w:r>
      <w:proofErr w:type="spellEnd"/>
      <w:r w:rsidR="00B747BA" w:rsidRPr="00AB1FA5">
        <w:rPr>
          <w:rFonts w:ascii="Century Gothic" w:hAnsi="Century Gothic" w:cs="Corbel"/>
          <w:color w:val="000000"/>
          <w:sz w:val="20"/>
          <w:szCs w:val="20"/>
        </w:rPr>
        <w:t xml:space="preserve"> the contribution from their areas of responsibility </w:t>
      </w:r>
    </w:p>
    <w:p w14:paraId="01EBDC01" w14:textId="77777777" w:rsidR="00B747BA" w:rsidRPr="00AB1FA5" w:rsidRDefault="00413E27" w:rsidP="00B747BA">
      <w:pPr>
        <w:pStyle w:val="ListParagraph"/>
        <w:numPr>
          <w:ilvl w:val="0"/>
          <w:numId w:val="17"/>
        </w:numPr>
        <w:autoSpaceDE w:val="0"/>
        <w:autoSpaceDN w:val="0"/>
        <w:adjustRightInd w:val="0"/>
        <w:spacing w:after="0" w:line="240" w:lineRule="auto"/>
        <w:rPr>
          <w:rFonts w:ascii="Century Gothic" w:hAnsi="Century Gothic" w:cs="Corbel"/>
          <w:color w:val="000000"/>
          <w:sz w:val="20"/>
          <w:szCs w:val="20"/>
        </w:rPr>
      </w:pPr>
      <w:r w:rsidRPr="00AB1FA5">
        <w:rPr>
          <w:rFonts w:ascii="Century Gothic" w:hAnsi="Century Gothic" w:cs="Corbel"/>
          <w:color w:val="000000"/>
          <w:sz w:val="20"/>
          <w:szCs w:val="20"/>
        </w:rPr>
        <w:t>p</w:t>
      </w:r>
      <w:r w:rsidR="00B747BA" w:rsidRPr="00AB1FA5">
        <w:rPr>
          <w:rFonts w:ascii="Century Gothic" w:hAnsi="Century Gothic" w:cs="Corbel"/>
          <w:color w:val="000000"/>
          <w:sz w:val="20"/>
          <w:szCs w:val="20"/>
        </w:rPr>
        <w:t xml:space="preserve">ublic leadership actively promotes the rights of individuals with disability </w:t>
      </w:r>
    </w:p>
    <w:p w14:paraId="5063B534" w14:textId="77777777" w:rsidR="006C3981" w:rsidRPr="00AB1FA5" w:rsidRDefault="00413E27" w:rsidP="006C3981">
      <w:pPr>
        <w:pStyle w:val="ListParagraph"/>
        <w:numPr>
          <w:ilvl w:val="0"/>
          <w:numId w:val="17"/>
        </w:numPr>
        <w:autoSpaceDE w:val="0"/>
        <w:autoSpaceDN w:val="0"/>
        <w:adjustRightInd w:val="0"/>
        <w:spacing w:after="0" w:line="240" w:lineRule="auto"/>
        <w:rPr>
          <w:rFonts w:ascii="Century Gothic" w:hAnsi="Century Gothic" w:cs="Corbel"/>
          <w:color w:val="000000"/>
          <w:sz w:val="20"/>
          <w:szCs w:val="20"/>
        </w:rPr>
      </w:pPr>
      <w:r w:rsidRPr="00AB1FA5">
        <w:rPr>
          <w:rFonts w:ascii="Century Gothic" w:hAnsi="Century Gothic" w:cs="Corbel"/>
          <w:color w:val="000000"/>
          <w:sz w:val="20"/>
          <w:szCs w:val="20"/>
        </w:rPr>
        <w:t>a</w:t>
      </w:r>
      <w:r w:rsidR="00B747BA" w:rsidRPr="00AB1FA5">
        <w:rPr>
          <w:rFonts w:ascii="Century Gothic" w:hAnsi="Century Gothic" w:cs="Corbel"/>
          <w:color w:val="000000"/>
          <w:sz w:val="20"/>
          <w:szCs w:val="20"/>
        </w:rPr>
        <w:t xml:space="preserve">ll governments </w:t>
      </w:r>
      <w:proofErr w:type="spellStart"/>
      <w:r w:rsidR="00B747BA" w:rsidRPr="00AB1FA5">
        <w:rPr>
          <w:rFonts w:ascii="Century Gothic" w:hAnsi="Century Gothic" w:cs="Corbel"/>
          <w:color w:val="000000"/>
          <w:sz w:val="20"/>
          <w:szCs w:val="20"/>
        </w:rPr>
        <w:t>recognise</w:t>
      </w:r>
      <w:proofErr w:type="spellEnd"/>
      <w:r w:rsidR="00B747BA" w:rsidRPr="00AB1FA5">
        <w:rPr>
          <w:rFonts w:ascii="Century Gothic" w:hAnsi="Century Gothic" w:cs="Corbel"/>
          <w:color w:val="000000"/>
          <w:sz w:val="20"/>
          <w:szCs w:val="20"/>
        </w:rPr>
        <w:t xml:space="preserve"> that achieving improved outcomes for people with disability, their families and their </w:t>
      </w:r>
      <w:proofErr w:type="spellStart"/>
      <w:r w:rsidR="00B747BA" w:rsidRPr="00AB1FA5">
        <w:rPr>
          <w:rFonts w:ascii="Century Gothic" w:hAnsi="Century Gothic" w:cs="Corbel"/>
          <w:color w:val="000000"/>
          <w:sz w:val="20"/>
          <w:szCs w:val="20"/>
        </w:rPr>
        <w:t>carers</w:t>
      </w:r>
      <w:proofErr w:type="spellEnd"/>
      <w:r w:rsidR="00B747BA" w:rsidRPr="00AB1FA5">
        <w:rPr>
          <w:rFonts w:ascii="Century Gothic" w:hAnsi="Century Gothic" w:cs="Corbel"/>
          <w:color w:val="000000"/>
          <w:sz w:val="20"/>
          <w:szCs w:val="20"/>
        </w:rPr>
        <w:t xml:space="preserve">, is contingent upon the effective coordination of efforts across government services </w:t>
      </w:r>
    </w:p>
    <w:p w14:paraId="1C2B777E" w14:textId="77777777" w:rsidR="006C3981" w:rsidRPr="00AB1FA5" w:rsidRDefault="006C3981" w:rsidP="006C3981">
      <w:pPr>
        <w:pStyle w:val="ListParagraph"/>
        <w:numPr>
          <w:ilvl w:val="0"/>
          <w:numId w:val="17"/>
        </w:numPr>
        <w:autoSpaceDE w:val="0"/>
        <w:autoSpaceDN w:val="0"/>
        <w:adjustRightInd w:val="0"/>
        <w:spacing w:after="0" w:line="240" w:lineRule="auto"/>
        <w:rPr>
          <w:rFonts w:ascii="Century Gothic" w:hAnsi="Century Gothic" w:cs="Corbel"/>
          <w:color w:val="000000"/>
          <w:sz w:val="20"/>
          <w:szCs w:val="20"/>
        </w:rPr>
      </w:pPr>
      <w:r w:rsidRPr="00AB1FA5">
        <w:rPr>
          <w:rFonts w:ascii="Century Gothic" w:hAnsi="Century Gothic" w:cs="Corbel"/>
          <w:color w:val="000000"/>
          <w:sz w:val="20"/>
          <w:szCs w:val="20"/>
        </w:rPr>
        <w:t>the</w:t>
      </w:r>
      <w:r w:rsidR="00413E27" w:rsidRPr="00AB1FA5">
        <w:rPr>
          <w:rFonts w:ascii="Century Gothic" w:hAnsi="Century Gothic" w:cs="Corbel"/>
          <w:color w:val="000000"/>
          <w:sz w:val="20"/>
          <w:szCs w:val="20"/>
        </w:rPr>
        <w:t>re is</w:t>
      </w:r>
      <w:r w:rsidRPr="00AB1FA5">
        <w:rPr>
          <w:rFonts w:ascii="Century Gothic" w:hAnsi="Century Gothic" w:cs="Corbel"/>
          <w:color w:val="000000"/>
          <w:sz w:val="20"/>
          <w:szCs w:val="20"/>
        </w:rPr>
        <w:t xml:space="preserve"> provision of disability </w:t>
      </w:r>
      <w:r w:rsidRPr="006C3981">
        <w:rPr>
          <w:rFonts w:ascii="Century Gothic" w:hAnsi="Century Gothic" w:cs="Corbel"/>
          <w:color w:val="000000"/>
          <w:sz w:val="20"/>
          <w:szCs w:val="20"/>
        </w:rPr>
        <w:t>workforce and sector development</w:t>
      </w:r>
      <w:r w:rsidRPr="00AB1FA5">
        <w:rPr>
          <w:rFonts w:ascii="Century Gothic" w:hAnsi="Century Gothic" w:cs="Corbel"/>
          <w:color w:val="000000"/>
          <w:sz w:val="20"/>
          <w:szCs w:val="20"/>
        </w:rPr>
        <w:t xml:space="preserve"> relevant to the local context</w:t>
      </w:r>
      <w:r w:rsidRPr="006C3981">
        <w:rPr>
          <w:rFonts w:ascii="Century Gothic" w:hAnsi="Century Gothic" w:cs="Corbel"/>
          <w:color w:val="000000"/>
          <w:sz w:val="20"/>
          <w:szCs w:val="20"/>
        </w:rPr>
        <w:t xml:space="preserve"> </w:t>
      </w:r>
    </w:p>
    <w:p w14:paraId="4A93E0F5" w14:textId="77777777" w:rsidR="00B747BA" w:rsidRPr="00AB1FA5" w:rsidRDefault="00413E27" w:rsidP="006C3981">
      <w:pPr>
        <w:pStyle w:val="ListParagraph"/>
        <w:numPr>
          <w:ilvl w:val="0"/>
          <w:numId w:val="17"/>
        </w:numPr>
        <w:autoSpaceDE w:val="0"/>
        <w:autoSpaceDN w:val="0"/>
        <w:adjustRightInd w:val="0"/>
        <w:spacing w:after="0" w:line="240" w:lineRule="auto"/>
        <w:rPr>
          <w:rFonts w:ascii="Century Gothic" w:hAnsi="Century Gothic" w:cs="Corbel"/>
          <w:color w:val="000000"/>
          <w:sz w:val="20"/>
          <w:szCs w:val="20"/>
        </w:rPr>
      </w:pPr>
      <w:r w:rsidRPr="00AB1FA5">
        <w:rPr>
          <w:rFonts w:ascii="Century Gothic" w:hAnsi="Century Gothic" w:cs="Corbel"/>
          <w:color w:val="000000"/>
          <w:sz w:val="20"/>
          <w:szCs w:val="20"/>
        </w:rPr>
        <w:t xml:space="preserve">there is local </w:t>
      </w:r>
      <w:r w:rsidR="006C3981" w:rsidRPr="00AB1FA5">
        <w:rPr>
          <w:rFonts w:ascii="Century Gothic" w:hAnsi="Century Gothic" w:cs="Corbel"/>
          <w:color w:val="000000"/>
          <w:sz w:val="20"/>
          <w:szCs w:val="20"/>
        </w:rPr>
        <w:t>invest</w:t>
      </w:r>
      <w:r w:rsidRPr="00AB1FA5">
        <w:rPr>
          <w:rFonts w:ascii="Century Gothic" w:hAnsi="Century Gothic" w:cs="Corbel"/>
          <w:color w:val="000000"/>
          <w:sz w:val="20"/>
          <w:szCs w:val="20"/>
        </w:rPr>
        <w:t>ment</w:t>
      </w:r>
      <w:r w:rsidR="006C3981" w:rsidRPr="00AB1FA5">
        <w:rPr>
          <w:rFonts w:ascii="Century Gothic" w:hAnsi="Century Gothic" w:cs="Corbel"/>
          <w:color w:val="000000"/>
          <w:sz w:val="20"/>
          <w:szCs w:val="20"/>
        </w:rPr>
        <w:t xml:space="preserve"> in initiatives to support nationally agreed policy priorities </w:t>
      </w:r>
    </w:p>
    <w:p w14:paraId="2629FC16" w14:textId="77777777" w:rsidR="00442A5F" w:rsidRDefault="00442A5F" w:rsidP="00F905AE">
      <w:pPr>
        <w:shd w:val="clear" w:color="auto" w:fill="FFFFFF"/>
        <w:spacing w:after="0" w:line="240" w:lineRule="auto"/>
        <w:ind w:left="360"/>
        <w:rPr>
          <w:rFonts w:ascii="Century Gothic" w:eastAsia="Times New Roman" w:hAnsi="Century Gothic" w:cs="Helvetica"/>
          <w:color w:val="222222"/>
          <w:sz w:val="20"/>
          <w:szCs w:val="20"/>
        </w:rPr>
      </w:pPr>
    </w:p>
    <w:p w14:paraId="29A8B83B" w14:textId="77777777" w:rsidR="00FE248B" w:rsidRDefault="003F7FBF" w:rsidP="00F905AE">
      <w:pPr>
        <w:shd w:val="clear" w:color="auto" w:fill="FFFFFF"/>
        <w:spacing w:after="0" w:line="240" w:lineRule="auto"/>
        <w:ind w:left="360"/>
        <w:rPr>
          <w:rFonts w:ascii="Century Gothic" w:eastAsia="Times New Roman" w:hAnsi="Century Gothic" w:cs="Helvetica"/>
          <w:color w:val="222222"/>
          <w:sz w:val="20"/>
          <w:szCs w:val="20"/>
        </w:rPr>
      </w:pPr>
      <w:r>
        <w:rPr>
          <w:rFonts w:ascii="Century Gothic" w:eastAsia="Times New Roman" w:hAnsi="Century Gothic" w:cs="Helvetica"/>
          <w:color w:val="222222"/>
          <w:sz w:val="20"/>
          <w:szCs w:val="20"/>
        </w:rPr>
        <w:t xml:space="preserve">Another looming risk is that the NDIS has not adequately </w:t>
      </w:r>
      <w:proofErr w:type="spellStart"/>
      <w:r>
        <w:rPr>
          <w:rFonts w:ascii="Century Gothic" w:eastAsia="Times New Roman" w:hAnsi="Century Gothic" w:cs="Helvetica"/>
          <w:color w:val="222222"/>
          <w:sz w:val="20"/>
          <w:szCs w:val="20"/>
        </w:rPr>
        <w:t>recognised</w:t>
      </w:r>
      <w:proofErr w:type="spellEnd"/>
      <w:r>
        <w:rPr>
          <w:rFonts w:ascii="Century Gothic" w:eastAsia="Times New Roman" w:hAnsi="Century Gothic" w:cs="Helvetica"/>
          <w:color w:val="222222"/>
          <w:sz w:val="20"/>
          <w:szCs w:val="20"/>
        </w:rPr>
        <w:t xml:space="preserve"> that some participants need minimum ‘maintenance’ funding. That is their complex disability is not going to go away. Their capability may increase somewhat, but not enough to change the required maintenance funding. </w:t>
      </w:r>
    </w:p>
    <w:p w14:paraId="33B24097" w14:textId="77777777" w:rsidR="00FE248B" w:rsidRPr="00FE248B" w:rsidRDefault="00FE248B" w:rsidP="00F905AE">
      <w:pPr>
        <w:shd w:val="clear" w:color="auto" w:fill="FFFFFF"/>
        <w:spacing w:after="0" w:line="240" w:lineRule="auto"/>
        <w:ind w:left="360"/>
        <w:rPr>
          <w:rFonts w:ascii="Century Gothic" w:eastAsia="Times New Roman" w:hAnsi="Century Gothic" w:cs="Helvetica"/>
          <w:color w:val="222222"/>
          <w:sz w:val="20"/>
          <w:szCs w:val="20"/>
        </w:rPr>
      </w:pPr>
    </w:p>
    <w:p w14:paraId="33B88CBE" w14:textId="48B06F7F" w:rsidR="003F7FBF" w:rsidRPr="00AB1FA5" w:rsidRDefault="003F7FBF" w:rsidP="00F905AE">
      <w:pPr>
        <w:shd w:val="clear" w:color="auto" w:fill="FFFFFF"/>
        <w:spacing w:after="0" w:line="240" w:lineRule="auto"/>
        <w:ind w:left="360"/>
        <w:rPr>
          <w:rFonts w:ascii="Century Gothic" w:eastAsia="Times New Roman" w:hAnsi="Century Gothic" w:cs="Helvetica"/>
          <w:color w:val="222222"/>
          <w:sz w:val="20"/>
          <w:szCs w:val="20"/>
        </w:rPr>
      </w:pPr>
      <w:r w:rsidRPr="00FE248B">
        <w:rPr>
          <w:rFonts w:ascii="Century Gothic" w:eastAsia="Times New Roman" w:hAnsi="Century Gothic" w:cs="Helvetica"/>
          <w:color w:val="222222"/>
          <w:sz w:val="20"/>
          <w:szCs w:val="20"/>
        </w:rPr>
        <w:t xml:space="preserve">The States and Territories should therefore be advocating for their citizens to make sure that the NDIS does not cut plan funding based on assumptions that stability of complex </w:t>
      </w:r>
      <w:proofErr w:type="spellStart"/>
      <w:r w:rsidRPr="00FE248B">
        <w:rPr>
          <w:rFonts w:ascii="Century Gothic" w:eastAsia="Times New Roman" w:hAnsi="Century Gothic" w:cs="Helvetica"/>
          <w:color w:val="222222"/>
          <w:sz w:val="20"/>
          <w:szCs w:val="20"/>
        </w:rPr>
        <w:t>behaviours</w:t>
      </w:r>
      <w:proofErr w:type="spellEnd"/>
      <w:r w:rsidRPr="00FE248B">
        <w:rPr>
          <w:rFonts w:ascii="Century Gothic" w:eastAsia="Times New Roman" w:hAnsi="Century Gothic" w:cs="Helvetica"/>
          <w:color w:val="222222"/>
          <w:sz w:val="20"/>
          <w:szCs w:val="20"/>
        </w:rPr>
        <w:t xml:space="preserve"> is a newly acquired capability.</w:t>
      </w:r>
      <w:r>
        <w:rPr>
          <w:rFonts w:ascii="Century Gothic" w:eastAsia="Times New Roman" w:hAnsi="Century Gothic" w:cs="Helvetica"/>
          <w:color w:val="222222"/>
          <w:sz w:val="20"/>
          <w:szCs w:val="20"/>
        </w:rPr>
        <w:t xml:space="preserve"> </w:t>
      </w:r>
      <w:r w:rsidR="0077185E">
        <w:rPr>
          <w:rFonts w:ascii="Century Gothic" w:eastAsia="Times New Roman" w:hAnsi="Century Gothic" w:cs="Helvetica"/>
          <w:color w:val="222222"/>
          <w:sz w:val="20"/>
          <w:szCs w:val="20"/>
        </w:rPr>
        <w:t>When s</w:t>
      </w:r>
      <w:r>
        <w:rPr>
          <w:rFonts w:ascii="Century Gothic" w:eastAsia="Times New Roman" w:hAnsi="Century Gothic" w:cs="Helvetica"/>
          <w:color w:val="222222"/>
          <w:sz w:val="20"/>
          <w:szCs w:val="20"/>
        </w:rPr>
        <w:t xml:space="preserve">tability is </w:t>
      </w:r>
      <w:r w:rsidR="0077185E">
        <w:rPr>
          <w:rFonts w:ascii="Century Gothic" w:eastAsia="Times New Roman" w:hAnsi="Century Gothic" w:cs="Helvetica"/>
          <w:color w:val="222222"/>
          <w:sz w:val="20"/>
          <w:szCs w:val="20"/>
        </w:rPr>
        <w:t>achieved, it is</w:t>
      </w:r>
      <w:r>
        <w:rPr>
          <w:rFonts w:ascii="Century Gothic" w:eastAsia="Times New Roman" w:hAnsi="Century Gothic" w:cs="Helvetica"/>
          <w:color w:val="222222"/>
          <w:sz w:val="20"/>
          <w:szCs w:val="20"/>
        </w:rPr>
        <w:t xml:space="preserve"> because of the scaffolding of supports</w:t>
      </w:r>
      <w:r w:rsidR="0077185E">
        <w:rPr>
          <w:rFonts w:ascii="Century Gothic" w:eastAsia="Times New Roman" w:hAnsi="Century Gothic" w:cs="Helvetica"/>
          <w:color w:val="222222"/>
          <w:sz w:val="20"/>
          <w:szCs w:val="20"/>
        </w:rPr>
        <w:t xml:space="preserve">. The scaffold </w:t>
      </w:r>
      <w:r>
        <w:rPr>
          <w:rFonts w:ascii="Century Gothic" w:eastAsia="Times New Roman" w:hAnsi="Century Gothic" w:cs="Helvetica"/>
          <w:color w:val="222222"/>
          <w:sz w:val="20"/>
          <w:szCs w:val="20"/>
        </w:rPr>
        <w:t xml:space="preserve">should not be dismantled and put the participant at risk. </w:t>
      </w:r>
    </w:p>
    <w:p w14:paraId="49FC2A11" w14:textId="77777777" w:rsidR="00893741" w:rsidRPr="00AB1FA5" w:rsidRDefault="00893741" w:rsidP="00F905AE">
      <w:pPr>
        <w:shd w:val="clear" w:color="auto" w:fill="FFFFFF"/>
        <w:spacing w:after="0" w:line="240" w:lineRule="auto"/>
        <w:ind w:left="360"/>
        <w:rPr>
          <w:rFonts w:ascii="Century Gothic" w:eastAsia="Times New Roman" w:hAnsi="Century Gothic" w:cs="Helvetica"/>
          <w:color w:val="222222"/>
          <w:sz w:val="20"/>
          <w:szCs w:val="20"/>
        </w:rPr>
      </w:pPr>
    </w:p>
    <w:p w14:paraId="69E6AE3B" w14:textId="77777777" w:rsidR="00F905AE" w:rsidRPr="00D52E53" w:rsidRDefault="00F905AE" w:rsidP="00D52E53">
      <w:pPr>
        <w:autoSpaceDE w:val="0"/>
        <w:autoSpaceDN w:val="0"/>
        <w:adjustRightInd w:val="0"/>
        <w:spacing w:after="0" w:line="240" w:lineRule="auto"/>
        <w:rPr>
          <w:rFonts w:ascii="Century Gothic" w:hAnsi="Century Gothic" w:cs="Arial"/>
          <w:i/>
          <w:iCs/>
          <w:color w:val="000000"/>
          <w:sz w:val="20"/>
          <w:szCs w:val="20"/>
        </w:rPr>
      </w:pPr>
      <w:r w:rsidRPr="00D52E53">
        <w:rPr>
          <w:rFonts w:ascii="Century Gothic" w:hAnsi="Century Gothic" w:cs="Arial"/>
          <w:i/>
          <w:iCs/>
          <w:color w:val="000000"/>
          <w:sz w:val="20"/>
          <w:szCs w:val="20"/>
        </w:rPr>
        <w:t>If so, how can the NDA remain policy relevant in an evolving policy environment?</w:t>
      </w:r>
    </w:p>
    <w:p w14:paraId="51B70864" w14:textId="77777777" w:rsidR="00442A5F" w:rsidRPr="00AB1FA5" w:rsidRDefault="00442A5F" w:rsidP="00F905AE">
      <w:pPr>
        <w:shd w:val="clear" w:color="auto" w:fill="FFFFFF"/>
        <w:spacing w:after="0" w:line="240" w:lineRule="auto"/>
        <w:ind w:left="360"/>
        <w:rPr>
          <w:rFonts w:ascii="Century Gothic" w:eastAsia="Times New Roman" w:hAnsi="Century Gothic" w:cs="Helvetica"/>
          <w:color w:val="222222"/>
          <w:sz w:val="20"/>
          <w:szCs w:val="20"/>
        </w:rPr>
      </w:pPr>
      <w:r w:rsidRPr="00AB1FA5">
        <w:rPr>
          <w:rFonts w:ascii="Century Gothic" w:eastAsia="Times New Roman" w:hAnsi="Century Gothic" w:cs="Helvetica"/>
          <w:color w:val="222222"/>
          <w:sz w:val="20"/>
          <w:szCs w:val="20"/>
        </w:rPr>
        <w:t>The NDA must cover those aspects of disability support that the NDIS is not</w:t>
      </w:r>
      <w:r w:rsidR="0077185E">
        <w:rPr>
          <w:rFonts w:ascii="Century Gothic" w:eastAsia="Times New Roman" w:hAnsi="Century Gothic" w:cs="Helvetica"/>
          <w:color w:val="222222"/>
          <w:sz w:val="20"/>
          <w:szCs w:val="20"/>
        </w:rPr>
        <w:t>,</w:t>
      </w:r>
      <w:r w:rsidRPr="00AB1FA5">
        <w:rPr>
          <w:rFonts w:ascii="Century Gothic" w:eastAsia="Times New Roman" w:hAnsi="Century Gothic" w:cs="Helvetica"/>
          <w:color w:val="222222"/>
          <w:sz w:val="20"/>
          <w:szCs w:val="20"/>
        </w:rPr>
        <w:t xml:space="preserve"> whether through design or incompetence. The NDA can be subject to review more frequently</w:t>
      </w:r>
      <w:r w:rsidR="0077185E">
        <w:rPr>
          <w:rFonts w:ascii="Century Gothic" w:eastAsia="Times New Roman" w:hAnsi="Century Gothic" w:cs="Helvetica"/>
          <w:color w:val="222222"/>
          <w:sz w:val="20"/>
          <w:szCs w:val="20"/>
        </w:rPr>
        <w:t>,</w:t>
      </w:r>
      <w:r w:rsidRPr="00AB1FA5">
        <w:rPr>
          <w:rFonts w:ascii="Century Gothic" w:eastAsia="Times New Roman" w:hAnsi="Century Gothic" w:cs="Helvetica"/>
          <w:color w:val="222222"/>
          <w:sz w:val="20"/>
          <w:szCs w:val="20"/>
        </w:rPr>
        <w:t xml:space="preserve"> say every two years and adapt to the changing disability landscape.</w:t>
      </w:r>
    </w:p>
    <w:p w14:paraId="75C9C0F0" w14:textId="77777777" w:rsidR="00442A5F" w:rsidRPr="00AB1FA5" w:rsidRDefault="00442A5F" w:rsidP="00F905AE">
      <w:pPr>
        <w:shd w:val="clear" w:color="auto" w:fill="FFFFFF"/>
        <w:spacing w:after="0" w:line="240" w:lineRule="auto"/>
        <w:ind w:left="360"/>
        <w:rPr>
          <w:rFonts w:ascii="Century Gothic" w:eastAsia="Times New Roman" w:hAnsi="Century Gothic" w:cs="Helvetica"/>
          <w:color w:val="222222"/>
          <w:sz w:val="20"/>
          <w:szCs w:val="20"/>
        </w:rPr>
      </w:pPr>
    </w:p>
    <w:p w14:paraId="57FBA482" w14:textId="77777777" w:rsidR="00413E27" w:rsidRPr="00D52E53" w:rsidRDefault="00F905AE" w:rsidP="00D52E53">
      <w:pPr>
        <w:autoSpaceDE w:val="0"/>
        <w:autoSpaceDN w:val="0"/>
        <w:adjustRightInd w:val="0"/>
        <w:spacing w:after="0" w:line="240" w:lineRule="auto"/>
        <w:rPr>
          <w:rFonts w:ascii="Century Gothic" w:hAnsi="Century Gothic" w:cs="Arial"/>
          <w:i/>
          <w:iCs/>
          <w:color w:val="000000"/>
          <w:sz w:val="20"/>
          <w:szCs w:val="20"/>
        </w:rPr>
      </w:pPr>
      <w:r w:rsidRPr="00D52E53">
        <w:rPr>
          <w:rFonts w:ascii="Century Gothic" w:hAnsi="Century Gothic" w:cs="Arial"/>
          <w:i/>
          <w:iCs/>
          <w:color w:val="000000"/>
          <w:sz w:val="20"/>
          <w:szCs w:val="20"/>
        </w:rPr>
        <w:t xml:space="preserve">What should be the purpose of the NDA? </w:t>
      </w:r>
    </w:p>
    <w:p w14:paraId="6BE2E9AA" w14:textId="77777777" w:rsidR="00413E27" w:rsidRPr="00040A7F" w:rsidRDefault="00413E27" w:rsidP="00F905AE">
      <w:pPr>
        <w:shd w:val="clear" w:color="auto" w:fill="FFFFFF"/>
        <w:spacing w:after="0" w:line="240" w:lineRule="auto"/>
        <w:ind w:left="360"/>
        <w:rPr>
          <w:rFonts w:ascii="Century Gothic" w:eastAsia="Times New Roman" w:hAnsi="Century Gothic" w:cs="Helvetica"/>
          <w:color w:val="222222"/>
          <w:sz w:val="20"/>
          <w:szCs w:val="20"/>
        </w:rPr>
      </w:pPr>
      <w:r w:rsidRPr="00040A7F">
        <w:rPr>
          <w:rFonts w:ascii="Century Gothic" w:eastAsia="Times New Roman" w:hAnsi="Century Gothic" w:cs="Helvetica"/>
          <w:color w:val="222222"/>
          <w:sz w:val="20"/>
          <w:szCs w:val="20"/>
        </w:rPr>
        <w:t>The NDA should be an accountability mechanism</w:t>
      </w:r>
      <w:r w:rsidR="003F7FBF" w:rsidRPr="00040A7F">
        <w:rPr>
          <w:rFonts w:ascii="Century Gothic" w:eastAsia="Times New Roman" w:hAnsi="Century Gothic" w:cs="Helvetica"/>
          <w:color w:val="222222"/>
          <w:sz w:val="20"/>
          <w:szCs w:val="20"/>
        </w:rPr>
        <w:t xml:space="preserve"> (but not the only one)</w:t>
      </w:r>
      <w:r w:rsidRPr="00040A7F">
        <w:rPr>
          <w:rFonts w:ascii="Century Gothic" w:eastAsia="Times New Roman" w:hAnsi="Century Gothic" w:cs="Helvetica"/>
          <w:color w:val="222222"/>
          <w:sz w:val="20"/>
          <w:szCs w:val="20"/>
        </w:rPr>
        <w:t xml:space="preserve">, so that State and Territory governments remain focused on getting an effective, holistic support system in place for the disabled. </w:t>
      </w:r>
      <w:r w:rsidR="0077185E">
        <w:rPr>
          <w:rFonts w:ascii="Century Gothic" w:eastAsia="Times New Roman" w:hAnsi="Century Gothic" w:cs="Helvetica"/>
          <w:color w:val="222222"/>
          <w:sz w:val="20"/>
          <w:szCs w:val="20"/>
        </w:rPr>
        <w:t>State</w:t>
      </w:r>
      <w:r w:rsidRPr="00040A7F">
        <w:rPr>
          <w:rFonts w:ascii="Century Gothic" w:eastAsia="Times New Roman" w:hAnsi="Century Gothic" w:cs="Helvetica"/>
          <w:color w:val="222222"/>
          <w:sz w:val="20"/>
          <w:szCs w:val="20"/>
        </w:rPr>
        <w:t xml:space="preserve"> governments should be delivering on </w:t>
      </w:r>
      <w:r w:rsidR="003F7FBF" w:rsidRPr="00040A7F">
        <w:rPr>
          <w:rFonts w:ascii="Century Gothic" w:eastAsia="Times New Roman" w:hAnsi="Century Gothic" w:cs="Helvetica"/>
          <w:color w:val="222222"/>
          <w:sz w:val="20"/>
          <w:szCs w:val="20"/>
        </w:rPr>
        <w:t>improving mainstream service acceptance of disabled people.</w:t>
      </w:r>
      <w:r w:rsidR="00040A7F" w:rsidRPr="00040A7F">
        <w:rPr>
          <w:rFonts w:ascii="Century Gothic" w:eastAsia="Times New Roman" w:hAnsi="Century Gothic" w:cs="Helvetica"/>
          <w:color w:val="222222"/>
          <w:sz w:val="20"/>
          <w:szCs w:val="20"/>
        </w:rPr>
        <w:t xml:space="preserve"> For example, the NDA should provide a foundation for ensuring that States and Territories respond to resourcing needs for ILC </w:t>
      </w:r>
      <w:r w:rsidR="00040A7F">
        <w:rPr>
          <w:rFonts w:ascii="Century Gothic" w:eastAsia="Times New Roman" w:hAnsi="Century Gothic" w:cs="Helvetica"/>
          <w:color w:val="222222"/>
          <w:sz w:val="20"/>
          <w:szCs w:val="20"/>
        </w:rPr>
        <w:t>activities</w:t>
      </w:r>
      <w:r w:rsidR="00040A7F" w:rsidRPr="00040A7F">
        <w:rPr>
          <w:rFonts w:ascii="Century Gothic" w:eastAsia="Times New Roman" w:hAnsi="Century Gothic" w:cs="Helvetica"/>
          <w:color w:val="222222"/>
          <w:sz w:val="20"/>
          <w:szCs w:val="20"/>
        </w:rPr>
        <w:t xml:space="preserve">. </w:t>
      </w:r>
      <w:r w:rsidRPr="00040A7F">
        <w:rPr>
          <w:rFonts w:ascii="Century Gothic" w:eastAsia="Times New Roman" w:hAnsi="Century Gothic" w:cs="Helvetica"/>
          <w:color w:val="222222"/>
          <w:sz w:val="20"/>
          <w:szCs w:val="20"/>
        </w:rPr>
        <w:t xml:space="preserve"> </w:t>
      </w:r>
    </w:p>
    <w:p w14:paraId="7B2B01CF" w14:textId="77777777" w:rsidR="00413E27" w:rsidRPr="00AB1FA5" w:rsidRDefault="00413E27" w:rsidP="00F905AE">
      <w:pPr>
        <w:shd w:val="clear" w:color="auto" w:fill="FFFFFF"/>
        <w:spacing w:after="0" w:line="240" w:lineRule="auto"/>
        <w:ind w:left="360"/>
        <w:rPr>
          <w:rFonts w:ascii="Century Gothic" w:eastAsia="Times New Roman" w:hAnsi="Century Gothic" w:cs="Helvetica"/>
          <w:i/>
          <w:color w:val="222222"/>
          <w:sz w:val="20"/>
          <w:szCs w:val="20"/>
        </w:rPr>
      </w:pPr>
    </w:p>
    <w:p w14:paraId="3BF1677F" w14:textId="77777777" w:rsidR="00413E27" w:rsidRPr="00D52E53" w:rsidRDefault="00F905AE" w:rsidP="00D52E53">
      <w:pPr>
        <w:autoSpaceDE w:val="0"/>
        <w:autoSpaceDN w:val="0"/>
        <w:adjustRightInd w:val="0"/>
        <w:spacing w:after="0" w:line="240" w:lineRule="auto"/>
        <w:rPr>
          <w:rFonts w:ascii="Century Gothic" w:hAnsi="Century Gothic" w:cs="Arial"/>
          <w:i/>
          <w:iCs/>
          <w:color w:val="000000"/>
          <w:sz w:val="20"/>
          <w:szCs w:val="20"/>
        </w:rPr>
      </w:pPr>
      <w:r w:rsidRPr="00D52E53">
        <w:rPr>
          <w:rFonts w:ascii="Century Gothic" w:hAnsi="Century Gothic" w:cs="Arial"/>
          <w:i/>
          <w:iCs/>
          <w:color w:val="000000"/>
          <w:sz w:val="20"/>
          <w:szCs w:val="20"/>
        </w:rPr>
        <w:t xml:space="preserve">Is it an effective accountability mechanism for government actions relating to disability? </w:t>
      </w:r>
    </w:p>
    <w:p w14:paraId="371C525F" w14:textId="77777777" w:rsidR="007A4D6E" w:rsidRDefault="00413E27" w:rsidP="00F905AE">
      <w:pPr>
        <w:shd w:val="clear" w:color="auto" w:fill="FFFFFF"/>
        <w:spacing w:after="0" w:line="240" w:lineRule="auto"/>
        <w:ind w:left="360"/>
        <w:rPr>
          <w:rFonts w:ascii="Century Gothic" w:eastAsia="Times New Roman" w:hAnsi="Century Gothic" w:cs="Helvetica"/>
          <w:color w:val="222222"/>
          <w:sz w:val="20"/>
          <w:szCs w:val="20"/>
        </w:rPr>
      </w:pPr>
      <w:r w:rsidRPr="00AB1FA5">
        <w:rPr>
          <w:rFonts w:ascii="Century Gothic" w:eastAsia="Times New Roman" w:hAnsi="Century Gothic" w:cs="Helvetica"/>
          <w:color w:val="222222"/>
          <w:sz w:val="20"/>
          <w:szCs w:val="20"/>
        </w:rPr>
        <w:t xml:space="preserve">Apparently not. </w:t>
      </w:r>
      <w:r w:rsidR="002F444D" w:rsidRPr="00AB1FA5">
        <w:rPr>
          <w:rFonts w:ascii="Century Gothic" w:eastAsia="Times New Roman" w:hAnsi="Century Gothic" w:cs="Helvetica"/>
          <w:color w:val="222222"/>
          <w:sz w:val="20"/>
          <w:szCs w:val="20"/>
        </w:rPr>
        <w:t>Despite the NDA being in place, t</w:t>
      </w:r>
      <w:r w:rsidRPr="00AB1FA5">
        <w:rPr>
          <w:rFonts w:ascii="Century Gothic" w:eastAsia="Times New Roman" w:hAnsi="Century Gothic" w:cs="Helvetica"/>
          <w:color w:val="222222"/>
          <w:sz w:val="20"/>
          <w:szCs w:val="20"/>
        </w:rPr>
        <w:t xml:space="preserve">here are gaps in the NDIS, </w:t>
      </w:r>
      <w:r w:rsidR="002F444D" w:rsidRPr="00AB1FA5">
        <w:rPr>
          <w:rFonts w:ascii="Century Gothic" w:eastAsia="Times New Roman" w:hAnsi="Century Gothic" w:cs="Helvetica"/>
          <w:color w:val="222222"/>
          <w:sz w:val="20"/>
          <w:szCs w:val="20"/>
        </w:rPr>
        <w:t>for which</w:t>
      </w:r>
      <w:r w:rsidRPr="00AB1FA5">
        <w:rPr>
          <w:rFonts w:ascii="Century Gothic" w:eastAsia="Times New Roman" w:hAnsi="Century Gothic" w:cs="Helvetica"/>
          <w:color w:val="222222"/>
          <w:sz w:val="20"/>
          <w:szCs w:val="20"/>
        </w:rPr>
        <w:t xml:space="preserve"> the States </w:t>
      </w:r>
      <w:r w:rsidR="0077185E">
        <w:rPr>
          <w:rFonts w:ascii="Century Gothic" w:eastAsia="Times New Roman" w:hAnsi="Century Gothic" w:cs="Helvetica"/>
          <w:color w:val="222222"/>
          <w:sz w:val="20"/>
          <w:szCs w:val="20"/>
        </w:rPr>
        <w:t>seem</w:t>
      </w:r>
      <w:r w:rsidRPr="00AB1FA5">
        <w:rPr>
          <w:rFonts w:ascii="Century Gothic" w:eastAsia="Times New Roman" w:hAnsi="Century Gothic" w:cs="Helvetica"/>
          <w:color w:val="222222"/>
          <w:sz w:val="20"/>
          <w:szCs w:val="20"/>
        </w:rPr>
        <w:t xml:space="preserve"> not</w:t>
      </w:r>
      <w:r w:rsidR="0077185E">
        <w:rPr>
          <w:rFonts w:ascii="Century Gothic" w:eastAsia="Times New Roman" w:hAnsi="Century Gothic" w:cs="Helvetica"/>
          <w:color w:val="222222"/>
          <w:sz w:val="20"/>
          <w:szCs w:val="20"/>
        </w:rPr>
        <w:t xml:space="preserve"> to be</w:t>
      </w:r>
      <w:r w:rsidRPr="00AB1FA5">
        <w:rPr>
          <w:rFonts w:ascii="Century Gothic" w:eastAsia="Times New Roman" w:hAnsi="Century Gothic" w:cs="Helvetica"/>
          <w:color w:val="222222"/>
          <w:sz w:val="20"/>
          <w:szCs w:val="20"/>
        </w:rPr>
        <w:t xml:space="preserve"> </w:t>
      </w:r>
      <w:r w:rsidR="002F444D" w:rsidRPr="00AB1FA5">
        <w:rPr>
          <w:rFonts w:ascii="Century Gothic" w:eastAsia="Times New Roman" w:hAnsi="Century Gothic" w:cs="Helvetica"/>
          <w:color w:val="222222"/>
          <w:sz w:val="20"/>
          <w:szCs w:val="20"/>
        </w:rPr>
        <w:t xml:space="preserve">proactively </w:t>
      </w:r>
      <w:r w:rsidRPr="00AB1FA5">
        <w:rPr>
          <w:rFonts w:ascii="Century Gothic" w:eastAsia="Times New Roman" w:hAnsi="Century Gothic" w:cs="Helvetica"/>
          <w:color w:val="222222"/>
          <w:sz w:val="20"/>
          <w:szCs w:val="20"/>
        </w:rPr>
        <w:t xml:space="preserve">seeking solutions. An example is adequate funding for complex participants with cognitive impairments. </w:t>
      </w:r>
      <w:r w:rsidR="007A4D6E">
        <w:rPr>
          <w:rFonts w:ascii="Century Gothic" w:eastAsia="Times New Roman" w:hAnsi="Century Gothic" w:cs="Helvetica"/>
          <w:color w:val="222222"/>
          <w:sz w:val="20"/>
          <w:szCs w:val="20"/>
        </w:rPr>
        <w:t xml:space="preserve">Such participants need case workers for when a crisis arises. Support co-ordination is not adequate. Complex participants need closer involvement of a consistent worker. </w:t>
      </w:r>
    </w:p>
    <w:p w14:paraId="5490DB2E" w14:textId="77777777" w:rsidR="007A4D6E" w:rsidRDefault="007A4D6E" w:rsidP="00F905AE">
      <w:pPr>
        <w:shd w:val="clear" w:color="auto" w:fill="FFFFFF"/>
        <w:spacing w:after="0" w:line="240" w:lineRule="auto"/>
        <w:ind w:left="360"/>
        <w:rPr>
          <w:rFonts w:ascii="Century Gothic" w:eastAsia="Times New Roman" w:hAnsi="Century Gothic" w:cs="Helvetica"/>
          <w:color w:val="222222"/>
          <w:sz w:val="20"/>
          <w:szCs w:val="20"/>
        </w:rPr>
      </w:pPr>
    </w:p>
    <w:p w14:paraId="5435574A" w14:textId="1AF58BF3" w:rsidR="003F7FBF" w:rsidRDefault="00413E27" w:rsidP="00F905AE">
      <w:pPr>
        <w:shd w:val="clear" w:color="auto" w:fill="FFFFFF"/>
        <w:spacing w:after="0" w:line="240" w:lineRule="auto"/>
        <w:ind w:left="360"/>
        <w:rPr>
          <w:rFonts w:ascii="Century Gothic" w:eastAsia="Times New Roman" w:hAnsi="Century Gothic" w:cs="Helvetica"/>
          <w:color w:val="222222"/>
          <w:sz w:val="20"/>
          <w:szCs w:val="20"/>
        </w:rPr>
      </w:pPr>
      <w:r w:rsidRPr="00AB1FA5">
        <w:rPr>
          <w:rFonts w:ascii="Century Gothic" w:eastAsia="Times New Roman" w:hAnsi="Century Gothic" w:cs="Helvetica"/>
          <w:color w:val="222222"/>
          <w:sz w:val="20"/>
          <w:szCs w:val="20"/>
        </w:rPr>
        <w:t>There is a widely held perception across the sector that the NDIS has not adequately allowed for complex participants who require a lot of administrative support, over and above face-to-face support. This view is held by providers and participant’s families alike</w:t>
      </w:r>
      <w:r w:rsidR="003F7FBF">
        <w:rPr>
          <w:rFonts w:ascii="Century Gothic" w:eastAsia="Times New Roman" w:hAnsi="Century Gothic" w:cs="Helvetica"/>
          <w:color w:val="222222"/>
          <w:sz w:val="20"/>
          <w:szCs w:val="20"/>
        </w:rPr>
        <w:t>.</w:t>
      </w:r>
      <w:r w:rsidRPr="00AB1FA5">
        <w:rPr>
          <w:rFonts w:ascii="Century Gothic" w:eastAsia="Times New Roman" w:hAnsi="Century Gothic" w:cs="Helvetica"/>
          <w:color w:val="222222"/>
          <w:sz w:val="20"/>
          <w:szCs w:val="20"/>
        </w:rPr>
        <w:t xml:space="preserve"> </w:t>
      </w:r>
      <w:r w:rsidR="0077185E">
        <w:rPr>
          <w:rFonts w:ascii="Century Gothic" w:eastAsia="Times New Roman" w:hAnsi="Century Gothic" w:cs="Helvetica"/>
          <w:color w:val="222222"/>
          <w:sz w:val="20"/>
          <w:szCs w:val="20"/>
        </w:rPr>
        <w:t>P</w:t>
      </w:r>
      <w:r w:rsidRPr="00AB1FA5">
        <w:rPr>
          <w:rFonts w:ascii="Century Gothic" w:eastAsia="Times New Roman" w:hAnsi="Century Gothic" w:cs="Helvetica"/>
          <w:color w:val="222222"/>
          <w:sz w:val="20"/>
          <w:szCs w:val="20"/>
        </w:rPr>
        <w:t>articipants</w:t>
      </w:r>
      <w:r w:rsidR="0077185E">
        <w:rPr>
          <w:rFonts w:ascii="Century Gothic" w:eastAsia="Times New Roman" w:hAnsi="Century Gothic" w:cs="Helvetica"/>
          <w:color w:val="222222"/>
          <w:sz w:val="20"/>
          <w:szCs w:val="20"/>
        </w:rPr>
        <w:t xml:space="preserve"> with PWS can barely</w:t>
      </w:r>
      <w:r w:rsidR="002F444D" w:rsidRPr="00AB1FA5">
        <w:rPr>
          <w:rFonts w:ascii="Century Gothic" w:eastAsia="Times New Roman" w:hAnsi="Century Gothic" w:cs="Helvetica"/>
          <w:color w:val="222222"/>
          <w:sz w:val="20"/>
          <w:szCs w:val="20"/>
        </w:rPr>
        <w:t xml:space="preserve"> understand or evaluate what appropriate support services are, and cannot exercise enough choice and control over significant expenditures in their life. Therefore</w:t>
      </w:r>
      <w:r w:rsidR="0077185E">
        <w:rPr>
          <w:rFonts w:ascii="Century Gothic" w:eastAsia="Times New Roman" w:hAnsi="Century Gothic" w:cs="Helvetica"/>
          <w:color w:val="222222"/>
          <w:sz w:val="20"/>
          <w:szCs w:val="20"/>
        </w:rPr>
        <w:t>,</w:t>
      </w:r>
      <w:r w:rsidR="002F444D" w:rsidRPr="00AB1FA5">
        <w:rPr>
          <w:rFonts w:ascii="Century Gothic" w:eastAsia="Times New Roman" w:hAnsi="Century Gothic" w:cs="Helvetica"/>
          <w:color w:val="222222"/>
          <w:sz w:val="20"/>
          <w:szCs w:val="20"/>
        </w:rPr>
        <w:t xml:space="preserve"> someone else </w:t>
      </w:r>
      <w:r w:rsidR="000E0914" w:rsidRPr="00AB1FA5">
        <w:rPr>
          <w:rFonts w:ascii="Century Gothic" w:eastAsia="Times New Roman" w:hAnsi="Century Gothic" w:cs="Helvetica"/>
          <w:color w:val="222222"/>
          <w:sz w:val="20"/>
          <w:szCs w:val="20"/>
        </w:rPr>
        <w:t>must</w:t>
      </w:r>
      <w:r w:rsidR="002F444D" w:rsidRPr="00AB1FA5">
        <w:rPr>
          <w:rFonts w:ascii="Century Gothic" w:eastAsia="Times New Roman" w:hAnsi="Century Gothic" w:cs="Helvetica"/>
          <w:color w:val="222222"/>
          <w:sz w:val="20"/>
          <w:szCs w:val="20"/>
        </w:rPr>
        <w:t xml:space="preserve"> be paid to hold a duty-of-care role</w:t>
      </w:r>
      <w:r w:rsidR="007A4D6E">
        <w:rPr>
          <w:rFonts w:ascii="Century Gothic" w:eastAsia="Times New Roman" w:hAnsi="Century Gothic" w:cs="Helvetica"/>
          <w:color w:val="222222"/>
          <w:sz w:val="20"/>
          <w:szCs w:val="20"/>
        </w:rPr>
        <w:t>,</w:t>
      </w:r>
      <w:r w:rsidR="002F444D" w:rsidRPr="00AB1FA5">
        <w:rPr>
          <w:rFonts w:ascii="Century Gothic" w:eastAsia="Times New Roman" w:hAnsi="Century Gothic" w:cs="Helvetica"/>
          <w:color w:val="222222"/>
          <w:sz w:val="20"/>
          <w:szCs w:val="20"/>
        </w:rPr>
        <w:t xml:space="preserve"> and exercise </w:t>
      </w:r>
      <w:proofErr w:type="spellStart"/>
      <w:r w:rsidR="002F444D" w:rsidRPr="00AB1FA5">
        <w:rPr>
          <w:rFonts w:ascii="Century Gothic" w:eastAsia="Times New Roman" w:hAnsi="Century Gothic" w:cs="Helvetica"/>
          <w:color w:val="222222"/>
          <w:sz w:val="20"/>
          <w:szCs w:val="20"/>
        </w:rPr>
        <w:t>judgement</w:t>
      </w:r>
      <w:proofErr w:type="spellEnd"/>
      <w:r w:rsidR="002F444D" w:rsidRPr="00AB1FA5">
        <w:rPr>
          <w:rFonts w:ascii="Century Gothic" w:eastAsia="Times New Roman" w:hAnsi="Century Gothic" w:cs="Helvetica"/>
          <w:color w:val="222222"/>
          <w:sz w:val="20"/>
          <w:szCs w:val="20"/>
        </w:rPr>
        <w:t xml:space="preserve"> in the best interests of that participant.</w:t>
      </w:r>
      <w:r w:rsidR="003F7FBF">
        <w:rPr>
          <w:rFonts w:ascii="Century Gothic" w:eastAsia="Times New Roman" w:hAnsi="Century Gothic" w:cs="Helvetica"/>
          <w:color w:val="222222"/>
          <w:sz w:val="20"/>
          <w:szCs w:val="20"/>
        </w:rPr>
        <w:t xml:space="preserve"> In addition, complex clients often need more skillful staff to assist them with their </w:t>
      </w:r>
      <w:r w:rsidR="000E0914">
        <w:rPr>
          <w:rFonts w:ascii="Century Gothic" w:eastAsia="Times New Roman" w:hAnsi="Century Gothic" w:cs="Helvetica"/>
          <w:color w:val="222222"/>
          <w:sz w:val="20"/>
          <w:szCs w:val="20"/>
        </w:rPr>
        <w:t xml:space="preserve">activities of </w:t>
      </w:r>
      <w:r w:rsidR="003F7FBF">
        <w:rPr>
          <w:rFonts w:ascii="Century Gothic" w:eastAsia="Times New Roman" w:hAnsi="Century Gothic" w:cs="Helvetica"/>
          <w:color w:val="222222"/>
          <w:sz w:val="20"/>
          <w:szCs w:val="20"/>
        </w:rPr>
        <w:t xml:space="preserve">daily life and community access activities. </w:t>
      </w:r>
      <w:r w:rsidR="00216386">
        <w:rPr>
          <w:rFonts w:ascii="Century Gothic" w:eastAsia="Times New Roman" w:hAnsi="Century Gothic" w:cs="Helvetica"/>
          <w:color w:val="222222"/>
          <w:sz w:val="20"/>
          <w:szCs w:val="20"/>
        </w:rPr>
        <w:t xml:space="preserve">Furthermore, overseas experience has demonstrated that individuals with complex needs invariably require more highly qualified support staff. </w:t>
      </w:r>
      <w:r w:rsidR="003F7FBF">
        <w:rPr>
          <w:rFonts w:ascii="Century Gothic" w:eastAsia="Times New Roman" w:hAnsi="Century Gothic" w:cs="Helvetica"/>
          <w:color w:val="222222"/>
          <w:sz w:val="20"/>
          <w:szCs w:val="20"/>
        </w:rPr>
        <w:t>And yet the current funding model constrains paying higher wages for higher quality staff, as it would reduce hours of service overall.</w:t>
      </w:r>
    </w:p>
    <w:p w14:paraId="1D629B16" w14:textId="77777777" w:rsidR="00413E27" w:rsidRPr="00AB1FA5" w:rsidRDefault="003F7FBF" w:rsidP="00F905AE">
      <w:pPr>
        <w:shd w:val="clear" w:color="auto" w:fill="FFFFFF"/>
        <w:spacing w:after="0" w:line="240" w:lineRule="auto"/>
        <w:ind w:left="360"/>
        <w:rPr>
          <w:rFonts w:ascii="Century Gothic" w:eastAsia="Times New Roman" w:hAnsi="Century Gothic" w:cs="Helvetica"/>
          <w:color w:val="222222"/>
          <w:sz w:val="20"/>
          <w:szCs w:val="20"/>
        </w:rPr>
      </w:pPr>
      <w:r>
        <w:rPr>
          <w:rFonts w:ascii="Century Gothic" w:eastAsia="Times New Roman" w:hAnsi="Century Gothic" w:cs="Helvetica"/>
          <w:color w:val="222222"/>
          <w:sz w:val="20"/>
          <w:szCs w:val="20"/>
        </w:rPr>
        <w:lastRenderedPageBreak/>
        <w:t xml:space="preserve"> </w:t>
      </w:r>
      <w:r w:rsidR="002F444D" w:rsidRPr="00AB1FA5">
        <w:rPr>
          <w:rFonts w:ascii="Century Gothic" w:eastAsia="Times New Roman" w:hAnsi="Century Gothic" w:cs="Helvetica"/>
          <w:color w:val="222222"/>
          <w:sz w:val="20"/>
          <w:szCs w:val="20"/>
        </w:rPr>
        <w:t xml:space="preserve"> </w:t>
      </w:r>
      <w:r w:rsidR="00413E27" w:rsidRPr="00AB1FA5">
        <w:rPr>
          <w:rFonts w:ascii="Century Gothic" w:eastAsia="Times New Roman" w:hAnsi="Century Gothic" w:cs="Helvetica"/>
          <w:color w:val="222222"/>
          <w:sz w:val="20"/>
          <w:szCs w:val="20"/>
        </w:rPr>
        <w:t xml:space="preserve"> </w:t>
      </w:r>
    </w:p>
    <w:p w14:paraId="6AE44F5D" w14:textId="77777777" w:rsidR="00413E27" w:rsidRDefault="00413E27" w:rsidP="00F905AE">
      <w:pPr>
        <w:shd w:val="clear" w:color="auto" w:fill="FFFFFF"/>
        <w:spacing w:after="0" w:line="240" w:lineRule="auto"/>
        <w:ind w:left="360"/>
        <w:rPr>
          <w:rFonts w:ascii="Century Gothic" w:eastAsia="Times New Roman" w:hAnsi="Century Gothic" w:cs="Helvetica"/>
          <w:i/>
          <w:color w:val="222222"/>
          <w:sz w:val="20"/>
          <w:szCs w:val="20"/>
        </w:rPr>
      </w:pPr>
    </w:p>
    <w:p w14:paraId="53C5A1B6" w14:textId="77777777" w:rsidR="0077185E" w:rsidRPr="00AB1FA5" w:rsidRDefault="0077185E" w:rsidP="00F905AE">
      <w:pPr>
        <w:shd w:val="clear" w:color="auto" w:fill="FFFFFF"/>
        <w:spacing w:after="0" w:line="240" w:lineRule="auto"/>
        <w:ind w:left="360"/>
        <w:rPr>
          <w:rFonts w:ascii="Century Gothic" w:eastAsia="Times New Roman" w:hAnsi="Century Gothic" w:cs="Helvetica"/>
          <w:i/>
          <w:color w:val="222222"/>
          <w:sz w:val="20"/>
          <w:szCs w:val="20"/>
        </w:rPr>
      </w:pPr>
    </w:p>
    <w:p w14:paraId="5FD9B7EE" w14:textId="77777777" w:rsidR="00533147" w:rsidRPr="00346BBA" w:rsidRDefault="00F905AE" w:rsidP="00346BBA">
      <w:pPr>
        <w:autoSpaceDE w:val="0"/>
        <w:autoSpaceDN w:val="0"/>
        <w:adjustRightInd w:val="0"/>
        <w:spacing w:after="0" w:line="240" w:lineRule="auto"/>
        <w:rPr>
          <w:rFonts w:ascii="Century Gothic" w:hAnsi="Century Gothic" w:cs="Arial"/>
          <w:i/>
          <w:iCs/>
          <w:color w:val="000000"/>
          <w:sz w:val="20"/>
          <w:szCs w:val="20"/>
        </w:rPr>
      </w:pPr>
      <w:r w:rsidRPr="00346BBA">
        <w:rPr>
          <w:rFonts w:ascii="Century Gothic" w:hAnsi="Century Gothic" w:cs="Arial"/>
          <w:i/>
          <w:iCs/>
          <w:color w:val="000000"/>
          <w:sz w:val="20"/>
          <w:szCs w:val="20"/>
        </w:rPr>
        <w:t xml:space="preserve">What should be the scope of the NDA? Should it continue to cover all people with disability? </w:t>
      </w:r>
    </w:p>
    <w:p w14:paraId="3E72061E" w14:textId="77777777" w:rsidR="002F444D" w:rsidRPr="00AB1FA5" w:rsidRDefault="002F444D" w:rsidP="00F905AE">
      <w:pPr>
        <w:shd w:val="clear" w:color="auto" w:fill="FFFFFF"/>
        <w:spacing w:after="0" w:line="240" w:lineRule="auto"/>
        <w:ind w:left="360"/>
        <w:rPr>
          <w:rFonts w:ascii="Century Gothic" w:eastAsia="Times New Roman" w:hAnsi="Century Gothic" w:cs="Helvetica"/>
          <w:color w:val="222222"/>
          <w:sz w:val="20"/>
          <w:szCs w:val="20"/>
        </w:rPr>
      </w:pPr>
      <w:r w:rsidRPr="00AB1FA5">
        <w:rPr>
          <w:rFonts w:ascii="Century Gothic" w:eastAsia="Times New Roman" w:hAnsi="Century Gothic" w:cs="Helvetica"/>
          <w:color w:val="222222"/>
          <w:sz w:val="20"/>
          <w:szCs w:val="20"/>
        </w:rPr>
        <w:t xml:space="preserve">Yes. If an NDA is not in place, people with disabilities who are not eligible for the NDIS will be left without any support. </w:t>
      </w:r>
    </w:p>
    <w:p w14:paraId="376192E0" w14:textId="77777777" w:rsidR="00533147" w:rsidRPr="00AB1FA5" w:rsidRDefault="00533147" w:rsidP="00F905AE">
      <w:pPr>
        <w:shd w:val="clear" w:color="auto" w:fill="FFFFFF"/>
        <w:spacing w:after="0" w:line="240" w:lineRule="auto"/>
        <w:ind w:left="360"/>
        <w:rPr>
          <w:rFonts w:ascii="Century Gothic" w:eastAsia="Times New Roman" w:hAnsi="Century Gothic" w:cs="Helvetica"/>
          <w:i/>
          <w:color w:val="222222"/>
          <w:sz w:val="20"/>
          <w:szCs w:val="20"/>
        </w:rPr>
      </w:pPr>
    </w:p>
    <w:p w14:paraId="354C7D62" w14:textId="77777777" w:rsidR="00F905AE" w:rsidRPr="00346BBA" w:rsidRDefault="00F905AE" w:rsidP="00346BBA">
      <w:pPr>
        <w:autoSpaceDE w:val="0"/>
        <w:autoSpaceDN w:val="0"/>
        <w:adjustRightInd w:val="0"/>
        <w:spacing w:after="0" w:line="240" w:lineRule="auto"/>
        <w:rPr>
          <w:rFonts w:ascii="Century Gothic" w:hAnsi="Century Gothic" w:cs="Arial"/>
          <w:i/>
          <w:iCs/>
          <w:color w:val="000000"/>
          <w:sz w:val="20"/>
          <w:szCs w:val="20"/>
        </w:rPr>
      </w:pPr>
      <w:r w:rsidRPr="00346BBA">
        <w:rPr>
          <w:rFonts w:ascii="Century Gothic" w:hAnsi="Century Gothic" w:cs="Arial"/>
          <w:i/>
          <w:iCs/>
          <w:color w:val="000000"/>
          <w:sz w:val="20"/>
          <w:szCs w:val="20"/>
        </w:rPr>
        <w:t>What services should it cover (such as specialist disability services and/or mainstream services, including mental health, healthcare, aged care, education, transport, housing and justice)?</w:t>
      </w:r>
    </w:p>
    <w:p w14:paraId="5272E28E" w14:textId="3855E6E2" w:rsidR="00533147" w:rsidRPr="00AB1FA5" w:rsidRDefault="00533147" w:rsidP="00F905AE">
      <w:pPr>
        <w:shd w:val="clear" w:color="auto" w:fill="FFFFFF"/>
        <w:spacing w:after="0" w:line="240" w:lineRule="auto"/>
        <w:ind w:left="360"/>
        <w:rPr>
          <w:rFonts w:ascii="Century Gothic" w:eastAsia="Times New Roman" w:hAnsi="Century Gothic" w:cs="Helvetica"/>
          <w:color w:val="222222"/>
          <w:sz w:val="20"/>
          <w:szCs w:val="20"/>
        </w:rPr>
      </w:pPr>
      <w:r w:rsidRPr="00AB1FA5">
        <w:rPr>
          <w:rFonts w:ascii="Century Gothic" w:eastAsia="Times New Roman" w:hAnsi="Century Gothic" w:cs="Helvetica"/>
          <w:color w:val="222222"/>
          <w:sz w:val="20"/>
          <w:szCs w:val="20"/>
        </w:rPr>
        <w:t xml:space="preserve">Yes, the NDA should cover all the above services. For aged care, it only needs to cover the transition of disabled people </w:t>
      </w:r>
      <w:r w:rsidR="00B70E17">
        <w:rPr>
          <w:rFonts w:ascii="Century Gothic" w:eastAsia="Times New Roman" w:hAnsi="Century Gothic" w:cs="Helvetica"/>
          <w:color w:val="222222"/>
          <w:sz w:val="20"/>
          <w:szCs w:val="20"/>
        </w:rPr>
        <w:t>who have not been accepted into the NDIS prior to</w:t>
      </w:r>
      <w:r w:rsidR="0077185E">
        <w:rPr>
          <w:rFonts w:ascii="Century Gothic" w:eastAsia="Times New Roman" w:hAnsi="Century Gothic" w:cs="Helvetica"/>
          <w:color w:val="222222"/>
          <w:sz w:val="20"/>
          <w:szCs w:val="20"/>
        </w:rPr>
        <w:t xml:space="preserve"> 65 years old </w:t>
      </w:r>
      <w:r w:rsidRPr="00AB1FA5">
        <w:rPr>
          <w:rFonts w:ascii="Century Gothic" w:eastAsia="Times New Roman" w:hAnsi="Century Gothic" w:cs="Helvetica"/>
          <w:color w:val="222222"/>
          <w:sz w:val="20"/>
          <w:szCs w:val="20"/>
        </w:rPr>
        <w:t>into an appropriate support arrangement.</w:t>
      </w:r>
    </w:p>
    <w:p w14:paraId="1C6A4624" w14:textId="77777777" w:rsidR="004F35A0" w:rsidRPr="00AB1FA5" w:rsidRDefault="004F35A0" w:rsidP="00533147">
      <w:pPr>
        <w:shd w:val="clear" w:color="auto" w:fill="FFFFFF"/>
        <w:spacing w:after="0" w:line="240" w:lineRule="auto"/>
        <w:rPr>
          <w:rFonts w:ascii="Century Gothic" w:eastAsia="Times New Roman" w:hAnsi="Century Gothic" w:cs="Helvetica"/>
          <w:i/>
          <w:color w:val="222222"/>
          <w:sz w:val="20"/>
          <w:szCs w:val="20"/>
        </w:rPr>
      </w:pPr>
    </w:p>
    <w:p w14:paraId="3411A3C7" w14:textId="77777777" w:rsidR="00F905AE" w:rsidRPr="00346BBA" w:rsidRDefault="00F905AE" w:rsidP="00346BBA">
      <w:pPr>
        <w:autoSpaceDE w:val="0"/>
        <w:autoSpaceDN w:val="0"/>
        <w:adjustRightInd w:val="0"/>
        <w:spacing w:after="0" w:line="240" w:lineRule="auto"/>
        <w:rPr>
          <w:rFonts w:ascii="Century Gothic" w:hAnsi="Century Gothic" w:cs="Arial"/>
          <w:i/>
          <w:iCs/>
          <w:color w:val="000000"/>
          <w:sz w:val="20"/>
          <w:szCs w:val="20"/>
        </w:rPr>
      </w:pPr>
      <w:r w:rsidRPr="00346BBA">
        <w:rPr>
          <w:rFonts w:ascii="Century Gothic" w:hAnsi="Century Gothic" w:cs="Arial"/>
          <w:i/>
          <w:iCs/>
          <w:color w:val="000000"/>
          <w:sz w:val="20"/>
          <w:szCs w:val="20"/>
        </w:rPr>
        <w:t>Are the objectives, outcomes and outputs of the NDA relevant in the context of contemporary policy settings? Are they clear and consistent?</w:t>
      </w:r>
    </w:p>
    <w:p w14:paraId="23C4D4D3" w14:textId="77777777" w:rsidR="002F444D" w:rsidRPr="00346BBA" w:rsidRDefault="002F444D" w:rsidP="00346BBA">
      <w:pPr>
        <w:shd w:val="clear" w:color="auto" w:fill="FFFFFF"/>
        <w:spacing w:after="0" w:line="240" w:lineRule="auto"/>
        <w:ind w:left="360"/>
        <w:rPr>
          <w:rFonts w:ascii="Century Gothic" w:eastAsia="Times New Roman" w:hAnsi="Century Gothic" w:cs="Helvetica"/>
          <w:color w:val="222222"/>
          <w:sz w:val="20"/>
          <w:szCs w:val="20"/>
        </w:rPr>
      </w:pPr>
      <w:r w:rsidRPr="00346BBA">
        <w:rPr>
          <w:rFonts w:ascii="Century Gothic" w:eastAsia="Times New Roman" w:hAnsi="Century Gothic" w:cs="Helvetica"/>
          <w:color w:val="222222"/>
          <w:sz w:val="20"/>
          <w:szCs w:val="20"/>
        </w:rPr>
        <w:t>As above.</w:t>
      </w:r>
    </w:p>
    <w:p w14:paraId="512559B9" w14:textId="77777777" w:rsidR="00533147" w:rsidRPr="00AB1FA5" w:rsidRDefault="00533147" w:rsidP="00F905AE">
      <w:pPr>
        <w:pStyle w:val="NoSpacing"/>
        <w:jc w:val="both"/>
        <w:rPr>
          <w:rFonts w:ascii="Century Gothic" w:hAnsi="Century Gothic"/>
          <w:i/>
          <w:sz w:val="20"/>
          <w:szCs w:val="20"/>
        </w:rPr>
      </w:pPr>
    </w:p>
    <w:p w14:paraId="20EFFB74" w14:textId="77777777" w:rsidR="00F905AE" w:rsidRPr="00346BBA" w:rsidRDefault="00F905AE" w:rsidP="00346BBA">
      <w:pPr>
        <w:autoSpaceDE w:val="0"/>
        <w:autoSpaceDN w:val="0"/>
        <w:adjustRightInd w:val="0"/>
        <w:spacing w:after="0" w:line="240" w:lineRule="auto"/>
        <w:rPr>
          <w:rFonts w:ascii="Century Gothic" w:hAnsi="Century Gothic" w:cs="Arial"/>
          <w:i/>
          <w:iCs/>
          <w:color w:val="000000"/>
          <w:sz w:val="20"/>
          <w:szCs w:val="20"/>
        </w:rPr>
      </w:pPr>
      <w:r w:rsidRPr="00346BBA">
        <w:rPr>
          <w:rFonts w:ascii="Century Gothic" w:hAnsi="Century Gothic" w:cs="Arial"/>
          <w:i/>
          <w:iCs/>
          <w:color w:val="000000"/>
          <w:sz w:val="20"/>
          <w:szCs w:val="20"/>
        </w:rPr>
        <w:t>To what extent should the outcomes be aspirational (worked towards but not necessarily achieved within a specified time period), versus achievable within a defined period?</w:t>
      </w:r>
    </w:p>
    <w:p w14:paraId="318E6489" w14:textId="77777777" w:rsidR="002F444D" w:rsidRPr="00346BBA" w:rsidRDefault="002F444D" w:rsidP="00346BBA">
      <w:pPr>
        <w:shd w:val="clear" w:color="auto" w:fill="FFFFFF"/>
        <w:spacing w:after="0" w:line="240" w:lineRule="auto"/>
        <w:ind w:left="360"/>
        <w:rPr>
          <w:rFonts w:ascii="Century Gothic" w:eastAsia="Times New Roman" w:hAnsi="Century Gothic" w:cs="Helvetica"/>
          <w:color w:val="222222"/>
          <w:sz w:val="20"/>
          <w:szCs w:val="20"/>
        </w:rPr>
      </w:pPr>
      <w:r w:rsidRPr="00346BBA">
        <w:rPr>
          <w:rFonts w:ascii="Century Gothic" w:eastAsia="Times New Roman" w:hAnsi="Century Gothic" w:cs="Helvetica"/>
          <w:color w:val="222222"/>
          <w:sz w:val="20"/>
          <w:szCs w:val="20"/>
        </w:rPr>
        <w:t>There should be interim, achievable and measureable outcomes. Otherwise the outcomes are just motherhood statements, for which there is little tangible evidence of any change in practice.</w:t>
      </w:r>
    </w:p>
    <w:p w14:paraId="3EB3BBFA" w14:textId="77777777" w:rsidR="002F444D" w:rsidRPr="00346BBA" w:rsidRDefault="002F444D" w:rsidP="00F905AE">
      <w:pPr>
        <w:pStyle w:val="NoSpacing"/>
        <w:jc w:val="both"/>
        <w:rPr>
          <w:rFonts w:ascii="Century Gothic" w:eastAsia="Times New Roman" w:hAnsi="Century Gothic" w:cs="Helvetica"/>
          <w:color w:val="222222"/>
          <w:sz w:val="20"/>
          <w:szCs w:val="20"/>
        </w:rPr>
      </w:pPr>
    </w:p>
    <w:p w14:paraId="103F485B" w14:textId="77777777" w:rsidR="00533147" w:rsidRPr="00AB1FA5" w:rsidRDefault="00533147" w:rsidP="00F905AE">
      <w:pPr>
        <w:pStyle w:val="NoSpacing"/>
        <w:jc w:val="both"/>
        <w:rPr>
          <w:rFonts w:ascii="Century Gothic" w:hAnsi="Century Gothic"/>
          <w:i/>
          <w:sz w:val="20"/>
          <w:szCs w:val="20"/>
        </w:rPr>
      </w:pPr>
    </w:p>
    <w:p w14:paraId="66C77910" w14:textId="77777777" w:rsidR="003E4135" w:rsidRPr="00346BBA" w:rsidRDefault="00F905AE" w:rsidP="00F905AE">
      <w:pPr>
        <w:pStyle w:val="NoSpacing"/>
        <w:jc w:val="both"/>
        <w:rPr>
          <w:rFonts w:ascii="Century Gothic" w:hAnsi="Century Gothic" w:cs="Arial"/>
          <w:i/>
          <w:iCs/>
          <w:color w:val="000000"/>
          <w:sz w:val="20"/>
          <w:szCs w:val="20"/>
        </w:rPr>
      </w:pPr>
      <w:r w:rsidRPr="00346BBA">
        <w:rPr>
          <w:rFonts w:ascii="Century Gothic" w:hAnsi="Century Gothic" w:cs="Arial"/>
          <w:i/>
          <w:iCs/>
          <w:color w:val="000000"/>
          <w:sz w:val="20"/>
          <w:szCs w:val="20"/>
        </w:rPr>
        <w:t>Should there be specific performance measures linked to the outputs and if so, what should they be?</w:t>
      </w:r>
    </w:p>
    <w:p w14:paraId="0D7C48E3" w14:textId="77777777" w:rsidR="0072546C" w:rsidRPr="007A4D6E" w:rsidRDefault="0072546C" w:rsidP="007A4D6E">
      <w:pPr>
        <w:shd w:val="clear" w:color="auto" w:fill="FFFFFF"/>
        <w:spacing w:after="0" w:line="240" w:lineRule="auto"/>
        <w:ind w:left="360"/>
        <w:rPr>
          <w:rFonts w:ascii="Century Gothic" w:eastAsia="Times New Roman" w:hAnsi="Century Gothic" w:cs="Helvetica"/>
          <w:color w:val="222222"/>
          <w:sz w:val="20"/>
          <w:szCs w:val="20"/>
        </w:rPr>
      </w:pPr>
      <w:r w:rsidRPr="007A4D6E">
        <w:rPr>
          <w:rFonts w:ascii="Century Gothic" w:eastAsia="Times New Roman" w:hAnsi="Century Gothic" w:cs="Helvetica"/>
          <w:color w:val="222222"/>
          <w:sz w:val="20"/>
          <w:szCs w:val="20"/>
        </w:rPr>
        <w:t xml:space="preserve">The existing performance measures should continue. But there are some glaring omissions that need to be added. Key subgroup data </w:t>
      </w:r>
      <w:r w:rsidR="00B9716F" w:rsidRPr="007A4D6E">
        <w:rPr>
          <w:rFonts w:ascii="Century Gothic" w:eastAsia="Times New Roman" w:hAnsi="Century Gothic" w:cs="Helvetica"/>
          <w:color w:val="222222"/>
          <w:sz w:val="20"/>
          <w:szCs w:val="20"/>
        </w:rPr>
        <w:t xml:space="preserve">for the existing measures </w:t>
      </w:r>
      <w:r w:rsidRPr="007A4D6E">
        <w:rPr>
          <w:rFonts w:ascii="Century Gothic" w:eastAsia="Times New Roman" w:hAnsi="Century Gothic" w:cs="Helvetica"/>
          <w:color w:val="222222"/>
          <w:sz w:val="20"/>
          <w:szCs w:val="20"/>
        </w:rPr>
        <w:t>needs to be collected</w:t>
      </w:r>
      <w:r w:rsidR="00B9716F" w:rsidRPr="007A4D6E">
        <w:rPr>
          <w:rFonts w:ascii="Century Gothic" w:eastAsia="Times New Roman" w:hAnsi="Century Gothic" w:cs="Helvetica"/>
          <w:color w:val="222222"/>
          <w:sz w:val="20"/>
          <w:szCs w:val="20"/>
        </w:rPr>
        <w:t>,</w:t>
      </w:r>
      <w:r w:rsidRPr="007A4D6E">
        <w:rPr>
          <w:rFonts w:ascii="Century Gothic" w:eastAsia="Times New Roman" w:hAnsi="Century Gothic" w:cs="Helvetica"/>
          <w:color w:val="222222"/>
          <w:sz w:val="20"/>
          <w:szCs w:val="20"/>
        </w:rPr>
        <w:t xml:space="preserve"> and progress reported against: </w:t>
      </w:r>
    </w:p>
    <w:p w14:paraId="7404D96B" w14:textId="77777777" w:rsidR="0072546C" w:rsidRDefault="0072546C" w:rsidP="0072546C">
      <w:pPr>
        <w:pStyle w:val="NoSpacing"/>
        <w:numPr>
          <w:ilvl w:val="0"/>
          <w:numId w:val="18"/>
        </w:numPr>
        <w:jc w:val="both"/>
        <w:rPr>
          <w:rFonts w:ascii="Century Gothic" w:hAnsi="Century Gothic"/>
          <w:sz w:val="20"/>
          <w:szCs w:val="20"/>
        </w:rPr>
      </w:pPr>
      <w:r>
        <w:rPr>
          <w:rFonts w:ascii="Century Gothic" w:hAnsi="Century Gothic"/>
          <w:sz w:val="20"/>
          <w:szCs w:val="20"/>
        </w:rPr>
        <w:t>People whose disability is primarily a cognitive impairment (in contrast to those who have only a physical or sensory impairment), and</w:t>
      </w:r>
    </w:p>
    <w:p w14:paraId="7915DD79" w14:textId="77777777" w:rsidR="0072546C" w:rsidRDefault="00D961C4" w:rsidP="0072546C">
      <w:pPr>
        <w:pStyle w:val="NoSpacing"/>
        <w:numPr>
          <w:ilvl w:val="0"/>
          <w:numId w:val="18"/>
        </w:numPr>
        <w:jc w:val="both"/>
        <w:rPr>
          <w:rFonts w:ascii="Century Gothic" w:hAnsi="Century Gothic"/>
          <w:sz w:val="20"/>
          <w:szCs w:val="20"/>
        </w:rPr>
      </w:pPr>
      <w:r>
        <w:rPr>
          <w:rFonts w:ascii="Century Gothic" w:hAnsi="Century Gothic"/>
          <w:sz w:val="20"/>
          <w:szCs w:val="20"/>
        </w:rPr>
        <w:t xml:space="preserve">Each </w:t>
      </w:r>
      <w:r w:rsidR="0072546C">
        <w:rPr>
          <w:rFonts w:ascii="Century Gothic" w:hAnsi="Century Gothic"/>
          <w:sz w:val="20"/>
          <w:szCs w:val="20"/>
        </w:rPr>
        <w:t xml:space="preserve">measure for </w:t>
      </w:r>
      <w:proofErr w:type="spellStart"/>
      <w:r w:rsidR="0072546C">
        <w:rPr>
          <w:rFonts w:ascii="Century Gothic" w:hAnsi="Century Gothic"/>
          <w:sz w:val="20"/>
          <w:szCs w:val="20"/>
        </w:rPr>
        <w:t>carers</w:t>
      </w:r>
      <w:proofErr w:type="spellEnd"/>
      <w:r w:rsidR="0072546C">
        <w:rPr>
          <w:rFonts w:ascii="Century Gothic" w:hAnsi="Century Gothic"/>
          <w:sz w:val="20"/>
          <w:szCs w:val="20"/>
        </w:rPr>
        <w:t xml:space="preserve"> needs to </w:t>
      </w:r>
      <w:r w:rsidR="0072546C" w:rsidRPr="00D961C4">
        <w:rPr>
          <w:rFonts w:ascii="Century Gothic" w:hAnsi="Century Gothic"/>
          <w:i/>
          <w:sz w:val="20"/>
          <w:szCs w:val="20"/>
        </w:rPr>
        <w:t>distinguish between</w:t>
      </w:r>
      <w:r w:rsidR="0072546C">
        <w:rPr>
          <w:rFonts w:ascii="Century Gothic" w:hAnsi="Century Gothic"/>
          <w:sz w:val="20"/>
          <w:szCs w:val="20"/>
        </w:rPr>
        <w:t xml:space="preserve"> paid and unpaid </w:t>
      </w:r>
      <w:proofErr w:type="spellStart"/>
      <w:r w:rsidR="0072546C">
        <w:rPr>
          <w:rFonts w:ascii="Century Gothic" w:hAnsi="Century Gothic"/>
          <w:sz w:val="20"/>
          <w:szCs w:val="20"/>
        </w:rPr>
        <w:t>carers</w:t>
      </w:r>
      <w:proofErr w:type="spellEnd"/>
      <w:r w:rsidR="001E2FD6">
        <w:rPr>
          <w:rFonts w:ascii="Century Gothic" w:hAnsi="Century Gothic"/>
          <w:sz w:val="20"/>
          <w:szCs w:val="20"/>
        </w:rPr>
        <w:t xml:space="preserve">. Their views are likely to be quite different and need to be </w:t>
      </w:r>
      <w:proofErr w:type="spellStart"/>
      <w:r w:rsidR="001E2FD6">
        <w:rPr>
          <w:rFonts w:ascii="Century Gothic" w:hAnsi="Century Gothic"/>
          <w:sz w:val="20"/>
          <w:szCs w:val="20"/>
        </w:rPr>
        <w:t>recognised</w:t>
      </w:r>
      <w:proofErr w:type="spellEnd"/>
      <w:r>
        <w:rPr>
          <w:rFonts w:ascii="Century Gothic" w:hAnsi="Century Gothic"/>
          <w:sz w:val="20"/>
          <w:szCs w:val="20"/>
        </w:rPr>
        <w:t>, and identify any actions arising</w:t>
      </w:r>
      <w:r w:rsidR="001E2FD6">
        <w:rPr>
          <w:rFonts w:ascii="Century Gothic" w:hAnsi="Century Gothic"/>
          <w:sz w:val="20"/>
          <w:szCs w:val="20"/>
        </w:rPr>
        <w:t>.</w:t>
      </w:r>
    </w:p>
    <w:p w14:paraId="56DE51AF" w14:textId="77777777" w:rsidR="00D961C4" w:rsidRDefault="0072546C" w:rsidP="001E2FD6">
      <w:pPr>
        <w:pStyle w:val="NoSpacing"/>
        <w:jc w:val="both"/>
        <w:rPr>
          <w:rFonts w:ascii="Century Gothic" w:hAnsi="Century Gothic"/>
          <w:sz w:val="20"/>
          <w:szCs w:val="20"/>
        </w:rPr>
      </w:pPr>
      <w:r>
        <w:rPr>
          <w:rFonts w:ascii="Century Gothic" w:hAnsi="Century Gothic"/>
          <w:sz w:val="20"/>
          <w:szCs w:val="20"/>
        </w:rPr>
        <w:t xml:space="preserve"> </w:t>
      </w:r>
    </w:p>
    <w:p w14:paraId="29F0819D" w14:textId="77777777" w:rsidR="0072546C" w:rsidRPr="007A4D6E" w:rsidRDefault="001E2FD6" w:rsidP="007A4D6E">
      <w:pPr>
        <w:shd w:val="clear" w:color="auto" w:fill="FFFFFF"/>
        <w:spacing w:after="0" w:line="240" w:lineRule="auto"/>
        <w:ind w:left="360"/>
        <w:rPr>
          <w:rFonts w:ascii="Century Gothic" w:eastAsia="Times New Roman" w:hAnsi="Century Gothic" w:cs="Helvetica"/>
          <w:color w:val="222222"/>
          <w:sz w:val="20"/>
          <w:szCs w:val="20"/>
        </w:rPr>
      </w:pPr>
      <w:r w:rsidRPr="007A4D6E">
        <w:rPr>
          <w:rFonts w:ascii="Century Gothic" w:eastAsia="Times New Roman" w:hAnsi="Century Gothic" w:cs="Helvetica"/>
          <w:color w:val="222222"/>
          <w:sz w:val="20"/>
          <w:szCs w:val="20"/>
        </w:rPr>
        <w:t>New performance measures need to be:</w:t>
      </w:r>
    </w:p>
    <w:p w14:paraId="0AA9321D" w14:textId="77777777" w:rsidR="001E2FD6" w:rsidRDefault="001E2FD6" w:rsidP="001E2FD6">
      <w:pPr>
        <w:pStyle w:val="NoSpacing"/>
        <w:numPr>
          <w:ilvl w:val="0"/>
          <w:numId w:val="19"/>
        </w:numPr>
        <w:jc w:val="both"/>
        <w:rPr>
          <w:rFonts w:ascii="Century Gothic" w:hAnsi="Century Gothic"/>
          <w:sz w:val="20"/>
          <w:szCs w:val="20"/>
        </w:rPr>
      </w:pPr>
      <w:r w:rsidRPr="001E2FD6">
        <w:rPr>
          <w:rFonts w:ascii="Century Gothic" w:hAnsi="Century Gothic"/>
          <w:sz w:val="20"/>
          <w:szCs w:val="20"/>
        </w:rPr>
        <w:t xml:space="preserve">proportion of </w:t>
      </w:r>
      <w:r>
        <w:rPr>
          <w:rFonts w:ascii="Century Gothic" w:hAnsi="Century Gothic"/>
          <w:sz w:val="20"/>
          <w:szCs w:val="20"/>
        </w:rPr>
        <w:t>parents/guardians/</w:t>
      </w:r>
      <w:hyperlink r:id="rId15" w:history="1">
        <w:r w:rsidRPr="001A240A">
          <w:rPr>
            <w:rStyle w:val="Hyperlink"/>
            <w:rFonts w:ascii="Century Gothic" w:hAnsi="Century Gothic"/>
            <w:sz w:val="20"/>
            <w:szCs w:val="20"/>
          </w:rPr>
          <w:t xml:space="preserve">supportive </w:t>
        </w:r>
        <w:r w:rsidR="001A240A" w:rsidRPr="001A240A">
          <w:rPr>
            <w:rStyle w:val="Hyperlink"/>
            <w:rFonts w:ascii="Century Gothic" w:hAnsi="Century Gothic"/>
            <w:sz w:val="20"/>
            <w:szCs w:val="20"/>
          </w:rPr>
          <w:t>attorney</w:t>
        </w:r>
      </w:hyperlink>
      <w:r w:rsidR="001A240A">
        <w:rPr>
          <w:rFonts w:ascii="Century Gothic" w:hAnsi="Century Gothic"/>
          <w:sz w:val="20"/>
          <w:szCs w:val="20"/>
        </w:rPr>
        <w:t xml:space="preserve">s/alternative </w:t>
      </w:r>
      <w:r>
        <w:rPr>
          <w:rFonts w:ascii="Century Gothic" w:hAnsi="Century Gothic"/>
          <w:sz w:val="20"/>
          <w:szCs w:val="20"/>
        </w:rPr>
        <w:t>decision</w:t>
      </w:r>
      <w:r w:rsidR="001A240A">
        <w:rPr>
          <w:rFonts w:ascii="Century Gothic" w:hAnsi="Century Gothic"/>
          <w:sz w:val="20"/>
          <w:szCs w:val="20"/>
        </w:rPr>
        <w:t xml:space="preserve"> </w:t>
      </w:r>
      <w:r>
        <w:rPr>
          <w:rFonts w:ascii="Century Gothic" w:hAnsi="Century Gothic"/>
          <w:sz w:val="20"/>
          <w:szCs w:val="20"/>
        </w:rPr>
        <w:t>makers</w:t>
      </w:r>
      <w:r w:rsidRPr="001E2FD6">
        <w:rPr>
          <w:rFonts w:ascii="Century Gothic" w:hAnsi="Century Gothic"/>
          <w:sz w:val="20"/>
          <w:szCs w:val="20"/>
        </w:rPr>
        <w:t xml:space="preserve"> </w:t>
      </w:r>
      <w:r w:rsidR="001A240A">
        <w:rPr>
          <w:rFonts w:ascii="Century Gothic" w:hAnsi="Century Gothic"/>
          <w:sz w:val="20"/>
          <w:szCs w:val="20"/>
        </w:rPr>
        <w:t>for</w:t>
      </w:r>
      <w:r w:rsidRPr="001E2FD6">
        <w:rPr>
          <w:rFonts w:ascii="Century Gothic" w:hAnsi="Century Gothic"/>
          <w:sz w:val="20"/>
          <w:szCs w:val="20"/>
        </w:rPr>
        <w:t xml:space="preserve"> people with disability who are satisfied with the range of services available, and with the adequacy and quality of services provided, to the person with disability and to the </w:t>
      </w:r>
      <w:proofErr w:type="spellStart"/>
      <w:r w:rsidRPr="001E2FD6">
        <w:rPr>
          <w:rFonts w:ascii="Century Gothic" w:hAnsi="Century Gothic"/>
          <w:sz w:val="20"/>
          <w:szCs w:val="20"/>
        </w:rPr>
        <w:t>carer</w:t>
      </w:r>
      <w:proofErr w:type="spellEnd"/>
      <w:r w:rsidR="001A240A">
        <w:rPr>
          <w:rFonts w:ascii="Century Gothic" w:hAnsi="Century Gothic"/>
          <w:sz w:val="20"/>
          <w:szCs w:val="20"/>
        </w:rPr>
        <w:t xml:space="preserve"> (whether paid or not), and</w:t>
      </w:r>
    </w:p>
    <w:p w14:paraId="17F4405B" w14:textId="77777777" w:rsidR="001A240A" w:rsidRDefault="001A240A" w:rsidP="001A240A">
      <w:pPr>
        <w:pStyle w:val="NoSpacing"/>
        <w:numPr>
          <w:ilvl w:val="0"/>
          <w:numId w:val="19"/>
        </w:numPr>
        <w:jc w:val="both"/>
        <w:rPr>
          <w:rFonts w:ascii="Century Gothic" w:hAnsi="Century Gothic"/>
          <w:sz w:val="20"/>
          <w:szCs w:val="20"/>
        </w:rPr>
      </w:pPr>
      <w:r>
        <w:rPr>
          <w:rFonts w:ascii="Century Gothic" w:hAnsi="Century Gothic"/>
          <w:sz w:val="20"/>
          <w:szCs w:val="20"/>
        </w:rPr>
        <w:t xml:space="preserve">proportion of disabled adults </w:t>
      </w:r>
      <w:r w:rsidRPr="001A240A">
        <w:rPr>
          <w:rFonts w:ascii="Century Gothic" w:hAnsi="Century Gothic"/>
          <w:sz w:val="20"/>
          <w:szCs w:val="20"/>
        </w:rPr>
        <w:t>liv</w:t>
      </w:r>
      <w:r>
        <w:rPr>
          <w:rFonts w:ascii="Century Gothic" w:hAnsi="Century Gothic"/>
          <w:sz w:val="20"/>
          <w:szCs w:val="20"/>
        </w:rPr>
        <w:t>ing</w:t>
      </w:r>
      <w:r w:rsidRPr="001A240A">
        <w:rPr>
          <w:rFonts w:ascii="Century Gothic" w:hAnsi="Century Gothic"/>
          <w:sz w:val="20"/>
          <w:szCs w:val="20"/>
        </w:rPr>
        <w:t xml:space="preserve"> as independently as possible</w:t>
      </w:r>
      <w:r>
        <w:rPr>
          <w:rFonts w:ascii="Century Gothic" w:hAnsi="Century Gothic"/>
          <w:sz w:val="20"/>
          <w:szCs w:val="20"/>
        </w:rPr>
        <w:t>, (key sub group data for those with cognitive impairments) in suitable supported living arrangements outside the parental home</w:t>
      </w:r>
    </w:p>
    <w:p w14:paraId="105590EB" w14:textId="77777777" w:rsidR="0072546C" w:rsidRPr="0072546C" w:rsidRDefault="0072546C" w:rsidP="00F905AE">
      <w:pPr>
        <w:pStyle w:val="NoSpacing"/>
        <w:jc w:val="both"/>
        <w:rPr>
          <w:rFonts w:ascii="Century Gothic" w:hAnsi="Century Gothic"/>
          <w:sz w:val="20"/>
          <w:szCs w:val="20"/>
        </w:rPr>
      </w:pPr>
    </w:p>
    <w:p w14:paraId="3DA54124" w14:textId="77777777" w:rsidR="00B43F92" w:rsidRPr="00346BBA" w:rsidRDefault="00F905AE" w:rsidP="00F905AE">
      <w:pPr>
        <w:pStyle w:val="NoSpacing"/>
        <w:jc w:val="both"/>
        <w:rPr>
          <w:rFonts w:ascii="Century Gothic" w:hAnsi="Century Gothic" w:cs="Arial"/>
          <w:i/>
          <w:iCs/>
          <w:color w:val="000000"/>
          <w:sz w:val="20"/>
          <w:szCs w:val="20"/>
        </w:rPr>
      </w:pPr>
      <w:r w:rsidRPr="00346BBA">
        <w:rPr>
          <w:rFonts w:ascii="Century Gothic" w:hAnsi="Century Gothic" w:cs="Arial"/>
          <w:i/>
          <w:iCs/>
          <w:color w:val="000000"/>
          <w:sz w:val="20"/>
          <w:szCs w:val="20"/>
        </w:rPr>
        <w:t xml:space="preserve">In light of the changing policy landscape (particularly with respect to the NDIS), do the roles and responsibilities of Governments in the NDA need to change? </w:t>
      </w:r>
    </w:p>
    <w:p w14:paraId="07C0DDA5" w14:textId="32C50C01" w:rsidR="00D52E53" w:rsidRPr="00346BBA" w:rsidRDefault="00D52E53" w:rsidP="00346BBA">
      <w:pPr>
        <w:shd w:val="clear" w:color="auto" w:fill="FFFFFF"/>
        <w:spacing w:after="0" w:line="240" w:lineRule="auto"/>
        <w:ind w:left="360"/>
        <w:rPr>
          <w:rFonts w:ascii="Century Gothic" w:eastAsia="Times New Roman" w:hAnsi="Century Gothic" w:cs="Helvetica"/>
          <w:color w:val="222222"/>
          <w:sz w:val="20"/>
          <w:szCs w:val="20"/>
        </w:rPr>
      </w:pPr>
      <w:r w:rsidRPr="00346BBA">
        <w:rPr>
          <w:rFonts w:ascii="Century Gothic" w:eastAsia="Times New Roman" w:hAnsi="Century Gothic" w:cs="Helvetica"/>
          <w:color w:val="222222"/>
          <w:sz w:val="20"/>
          <w:szCs w:val="20"/>
        </w:rPr>
        <w:t>It seems that the main changes would be a matter of emphasis. That is, State and Territory governments should still be holding the same responsibilities, but the focus would be on mainstream services, NDI</w:t>
      </w:r>
      <w:r w:rsidR="00B63462">
        <w:rPr>
          <w:rFonts w:ascii="Century Gothic" w:eastAsia="Times New Roman" w:hAnsi="Century Gothic" w:cs="Helvetica"/>
          <w:color w:val="222222"/>
          <w:sz w:val="20"/>
          <w:szCs w:val="20"/>
        </w:rPr>
        <w:t>S gaps and</w:t>
      </w:r>
      <w:r w:rsidRPr="00346BBA">
        <w:rPr>
          <w:rFonts w:ascii="Century Gothic" w:eastAsia="Times New Roman" w:hAnsi="Century Gothic" w:cs="Helvetica"/>
          <w:color w:val="222222"/>
          <w:sz w:val="20"/>
          <w:szCs w:val="20"/>
        </w:rPr>
        <w:t xml:space="preserve"> disabled people who are not eligible for the NDIS (rather than direct disability services to the NDIS funded cohort).</w:t>
      </w:r>
    </w:p>
    <w:p w14:paraId="0D03B512" w14:textId="77777777" w:rsidR="00D52E53" w:rsidRDefault="00D52E53" w:rsidP="00F905AE">
      <w:pPr>
        <w:pStyle w:val="NoSpacing"/>
        <w:jc w:val="both"/>
        <w:rPr>
          <w:rFonts w:ascii="Century Gothic" w:hAnsi="Century Gothic"/>
          <w:sz w:val="20"/>
          <w:szCs w:val="20"/>
        </w:rPr>
      </w:pPr>
    </w:p>
    <w:p w14:paraId="62463ADE" w14:textId="77777777" w:rsidR="00B43F92" w:rsidRPr="00346BBA" w:rsidRDefault="00D52E53" w:rsidP="00F905AE">
      <w:pPr>
        <w:pStyle w:val="NoSpacing"/>
        <w:jc w:val="both"/>
        <w:rPr>
          <w:rFonts w:ascii="Century Gothic" w:hAnsi="Century Gothic" w:cs="Arial"/>
          <w:i/>
          <w:iCs/>
          <w:color w:val="000000"/>
          <w:sz w:val="20"/>
          <w:szCs w:val="20"/>
        </w:rPr>
      </w:pPr>
      <w:r>
        <w:rPr>
          <w:rFonts w:ascii="Century Gothic" w:hAnsi="Century Gothic"/>
          <w:sz w:val="20"/>
          <w:szCs w:val="20"/>
        </w:rPr>
        <w:lastRenderedPageBreak/>
        <w:t xml:space="preserve"> </w:t>
      </w:r>
      <w:r w:rsidR="00F905AE" w:rsidRPr="00346BBA">
        <w:rPr>
          <w:rFonts w:ascii="Century Gothic" w:hAnsi="Century Gothic" w:cs="Arial"/>
          <w:i/>
          <w:iCs/>
          <w:color w:val="000000"/>
          <w:sz w:val="20"/>
          <w:szCs w:val="20"/>
        </w:rPr>
        <w:t xml:space="preserve">What role should the NDA play in assigning responsibilities for all disability services between governments? </w:t>
      </w:r>
    </w:p>
    <w:p w14:paraId="3B4D53DB" w14:textId="77777777" w:rsidR="00B43F92" w:rsidRPr="00346BBA" w:rsidRDefault="00B43F92" w:rsidP="00346BBA">
      <w:pPr>
        <w:shd w:val="clear" w:color="auto" w:fill="FFFFFF"/>
        <w:spacing w:after="0" w:line="240" w:lineRule="auto"/>
        <w:ind w:left="360"/>
        <w:rPr>
          <w:rFonts w:ascii="Century Gothic" w:eastAsia="Times New Roman" w:hAnsi="Century Gothic" w:cs="Helvetica"/>
          <w:color w:val="222222"/>
          <w:sz w:val="20"/>
          <w:szCs w:val="20"/>
        </w:rPr>
      </w:pPr>
      <w:r w:rsidRPr="00346BBA">
        <w:rPr>
          <w:rFonts w:ascii="Century Gothic" w:eastAsia="Times New Roman" w:hAnsi="Century Gothic" w:cs="Helvetica"/>
          <w:color w:val="222222"/>
          <w:sz w:val="20"/>
          <w:szCs w:val="20"/>
        </w:rPr>
        <w:t xml:space="preserve">As above. </w:t>
      </w:r>
    </w:p>
    <w:p w14:paraId="2096C00B" w14:textId="77777777" w:rsidR="00B43F92" w:rsidRPr="00AB1FA5" w:rsidRDefault="00B43F92" w:rsidP="00F905AE">
      <w:pPr>
        <w:pStyle w:val="NoSpacing"/>
        <w:jc w:val="both"/>
        <w:rPr>
          <w:rFonts w:ascii="Century Gothic" w:hAnsi="Century Gothic"/>
          <w:i/>
          <w:sz w:val="20"/>
          <w:szCs w:val="20"/>
        </w:rPr>
      </w:pPr>
    </w:p>
    <w:p w14:paraId="52522469" w14:textId="77777777" w:rsidR="00F905AE" w:rsidRPr="00346BBA" w:rsidRDefault="00F905AE" w:rsidP="00F905AE">
      <w:pPr>
        <w:pStyle w:val="NoSpacing"/>
        <w:jc w:val="both"/>
        <w:rPr>
          <w:rFonts w:ascii="Century Gothic" w:hAnsi="Century Gothic" w:cs="Arial"/>
          <w:i/>
          <w:iCs/>
          <w:color w:val="000000"/>
          <w:sz w:val="20"/>
          <w:szCs w:val="20"/>
        </w:rPr>
      </w:pPr>
      <w:r w:rsidRPr="00346BBA">
        <w:rPr>
          <w:rFonts w:ascii="Century Gothic" w:hAnsi="Century Gothic" w:cs="Arial"/>
          <w:i/>
          <w:iCs/>
          <w:color w:val="000000"/>
          <w:sz w:val="20"/>
          <w:szCs w:val="20"/>
        </w:rPr>
        <w:t>Should the roles and responsibilities of mainstream services to people with a disability be more clearly outlined in a national agreement?</w:t>
      </w:r>
    </w:p>
    <w:p w14:paraId="344BB5C0" w14:textId="77777777" w:rsidR="00EC0F10" w:rsidRPr="00346BBA" w:rsidRDefault="00D52E53" w:rsidP="00346BBA">
      <w:pPr>
        <w:shd w:val="clear" w:color="auto" w:fill="FFFFFF"/>
        <w:spacing w:after="0" w:line="240" w:lineRule="auto"/>
        <w:ind w:left="360"/>
        <w:rPr>
          <w:rFonts w:ascii="Century Gothic" w:eastAsia="Times New Roman" w:hAnsi="Century Gothic" w:cs="Helvetica"/>
          <w:color w:val="222222"/>
          <w:sz w:val="20"/>
          <w:szCs w:val="20"/>
        </w:rPr>
      </w:pPr>
      <w:r w:rsidRPr="00346BBA">
        <w:rPr>
          <w:rFonts w:ascii="Century Gothic" w:eastAsia="Times New Roman" w:hAnsi="Century Gothic" w:cs="Helvetica"/>
          <w:color w:val="222222"/>
          <w:sz w:val="20"/>
          <w:szCs w:val="20"/>
        </w:rPr>
        <w:t>Yes.</w:t>
      </w:r>
    </w:p>
    <w:p w14:paraId="578845EA" w14:textId="77777777" w:rsidR="00EC0F10" w:rsidRPr="00AB1FA5" w:rsidRDefault="00EC0F10" w:rsidP="00F905AE">
      <w:pPr>
        <w:pStyle w:val="NoSpacing"/>
        <w:jc w:val="both"/>
        <w:rPr>
          <w:rFonts w:ascii="Century Gothic" w:hAnsi="Century Gothic"/>
          <w:i/>
          <w:sz w:val="20"/>
          <w:szCs w:val="20"/>
        </w:rPr>
      </w:pPr>
    </w:p>
    <w:p w14:paraId="21EF0092" w14:textId="77777777" w:rsidR="00F905AE" w:rsidRPr="00346BBA" w:rsidRDefault="00F905AE" w:rsidP="00F905AE">
      <w:pPr>
        <w:pStyle w:val="NoSpacing"/>
        <w:jc w:val="both"/>
        <w:rPr>
          <w:rFonts w:ascii="Century Gothic" w:hAnsi="Century Gothic" w:cs="Arial"/>
          <w:i/>
          <w:iCs/>
          <w:color w:val="000000"/>
          <w:sz w:val="20"/>
          <w:szCs w:val="20"/>
        </w:rPr>
      </w:pPr>
      <w:r w:rsidRPr="00346BBA">
        <w:rPr>
          <w:rFonts w:ascii="Century Gothic" w:hAnsi="Century Gothic" w:cs="Arial"/>
          <w:i/>
          <w:iCs/>
          <w:color w:val="000000"/>
          <w:sz w:val="20"/>
          <w:szCs w:val="20"/>
        </w:rPr>
        <w:t>Where are the main gaps in services outside the NDIS? What are the problem areas?</w:t>
      </w:r>
    </w:p>
    <w:p w14:paraId="68F59D5B" w14:textId="77777777" w:rsidR="00B43F92" w:rsidRPr="00346BBA" w:rsidRDefault="00B43F92" w:rsidP="00346BBA">
      <w:pPr>
        <w:shd w:val="clear" w:color="auto" w:fill="FFFFFF"/>
        <w:spacing w:after="0" w:line="240" w:lineRule="auto"/>
        <w:ind w:left="360"/>
        <w:rPr>
          <w:rFonts w:ascii="Century Gothic" w:eastAsia="Times New Roman" w:hAnsi="Century Gothic" w:cs="Helvetica"/>
          <w:color w:val="222222"/>
          <w:sz w:val="20"/>
          <w:szCs w:val="20"/>
        </w:rPr>
      </w:pPr>
      <w:r w:rsidRPr="00346BBA">
        <w:rPr>
          <w:rFonts w:ascii="Century Gothic" w:eastAsia="Times New Roman" w:hAnsi="Century Gothic" w:cs="Helvetica"/>
          <w:color w:val="222222"/>
          <w:sz w:val="20"/>
          <w:szCs w:val="20"/>
        </w:rPr>
        <w:t xml:space="preserve">PWSA is not familiar with that situation since the severity of PWS means that in all probability, all sufferers will have a funded NDIS experience. </w:t>
      </w:r>
    </w:p>
    <w:p w14:paraId="31A28E5E" w14:textId="77777777" w:rsidR="00B43F92" w:rsidRPr="00346BBA" w:rsidRDefault="00B43F92" w:rsidP="00346BBA">
      <w:pPr>
        <w:shd w:val="clear" w:color="auto" w:fill="FFFFFF"/>
        <w:spacing w:after="0" w:line="240" w:lineRule="auto"/>
        <w:ind w:left="360"/>
        <w:rPr>
          <w:rFonts w:ascii="Century Gothic" w:eastAsia="Times New Roman" w:hAnsi="Century Gothic" w:cs="Helvetica"/>
          <w:color w:val="222222"/>
          <w:sz w:val="20"/>
          <w:szCs w:val="20"/>
        </w:rPr>
      </w:pPr>
    </w:p>
    <w:p w14:paraId="443C6B9D" w14:textId="77777777" w:rsidR="00F905AE" w:rsidRPr="00346BBA" w:rsidRDefault="00F905AE" w:rsidP="00F905AE">
      <w:pPr>
        <w:pStyle w:val="NoSpacing"/>
        <w:jc w:val="both"/>
        <w:rPr>
          <w:rFonts w:ascii="Century Gothic" w:hAnsi="Century Gothic" w:cs="Arial"/>
          <w:i/>
          <w:iCs/>
          <w:color w:val="000000"/>
          <w:sz w:val="20"/>
          <w:szCs w:val="20"/>
        </w:rPr>
      </w:pPr>
      <w:r w:rsidRPr="00346BBA">
        <w:rPr>
          <w:rFonts w:ascii="Century Gothic" w:hAnsi="Century Gothic" w:cs="Arial"/>
          <w:i/>
          <w:iCs/>
          <w:color w:val="000000"/>
          <w:sz w:val="20"/>
          <w:szCs w:val="20"/>
        </w:rPr>
        <w:t>To what extent does the NDIS (for example, through the provision of ILC activities and Local Area Coordinators) cater to people outside the NDIS?</w:t>
      </w:r>
    </w:p>
    <w:p w14:paraId="5CF93A1A" w14:textId="77777777" w:rsidR="00B43F92" w:rsidRPr="00346BBA" w:rsidRDefault="00B43F92" w:rsidP="00346BBA">
      <w:pPr>
        <w:shd w:val="clear" w:color="auto" w:fill="FFFFFF"/>
        <w:spacing w:after="0" w:line="240" w:lineRule="auto"/>
        <w:ind w:left="360"/>
        <w:rPr>
          <w:rFonts w:ascii="Century Gothic" w:eastAsia="Times New Roman" w:hAnsi="Century Gothic" w:cs="Helvetica"/>
          <w:color w:val="222222"/>
          <w:sz w:val="20"/>
          <w:szCs w:val="20"/>
        </w:rPr>
      </w:pPr>
      <w:r w:rsidRPr="00346BBA">
        <w:rPr>
          <w:rFonts w:ascii="Century Gothic" w:eastAsia="Times New Roman" w:hAnsi="Century Gothic" w:cs="Helvetica"/>
          <w:color w:val="222222"/>
          <w:sz w:val="20"/>
          <w:szCs w:val="20"/>
        </w:rPr>
        <w:t xml:space="preserve">Disappointingly, PWSA has seen little evidence of ILC activity, or beneficial outcomes in mainstream services that increase the inclusion of people with PWS. </w:t>
      </w:r>
    </w:p>
    <w:p w14:paraId="6036F001" w14:textId="77777777" w:rsidR="00B43F92" w:rsidRPr="00AB1FA5" w:rsidRDefault="00B43F92" w:rsidP="00F905AE">
      <w:pPr>
        <w:pStyle w:val="NoSpacing"/>
        <w:jc w:val="both"/>
        <w:rPr>
          <w:rFonts w:ascii="Century Gothic" w:hAnsi="Century Gothic"/>
          <w:i/>
          <w:sz w:val="20"/>
          <w:szCs w:val="20"/>
        </w:rPr>
      </w:pPr>
    </w:p>
    <w:p w14:paraId="36A23A2B" w14:textId="77777777" w:rsidR="00F905AE" w:rsidRPr="00346BBA" w:rsidRDefault="00F905AE" w:rsidP="00F905AE">
      <w:pPr>
        <w:pStyle w:val="NoSpacing"/>
        <w:jc w:val="both"/>
        <w:rPr>
          <w:rFonts w:ascii="Century Gothic" w:hAnsi="Century Gothic" w:cs="Arial"/>
          <w:i/>
          <w:iCs/>
          <w:color w:val="000000"/>
          <w:sz w:val="20"/>
          <w:szCs w:val="20"/>
        </w:rPr>
      </w:pPr>
      <w:r w:rsidRPr="00346BBA">
        <w:rPr>
          <w:rFonts w:ascii="Century Gothic" w:hAnsi="Century Gothic" w:cs="Arial"/>
          <w:i/>
          <w:iCs/>
          <w:color w:val="000000"/>
          <w:sz w:val="20"/>
          <w:szCs w:val="20"/>
        </w:rPr>
        <w:t>What role could the NDA play in assigning responsibilities for addressing service gaps identified in the current arrangements?</w:t>
      </w:r>
    </w:p>
    <w:p w14:paraId="089E5B5E" w14:textId="77777777" w:rsidR="00791CFF" w:rsidRPr="00346BBA" w:rsidRDefault="00791CFF" w:rsidP="00346BBA">
      <w:pPr>
        <w:shd w:val="clear" w:color="auto" w:fill="FFFFFF"/>
        <w:spacing w:after="0" w:line="240" w:lineRule="auto"/>
        <w:ind w:left="360"/>
        <w:rPr>
          <w:rFonts w:ascii="Century Gothic" w:eastAsia="Times New Roman" w:hAnsi="Century Gothic" w:cs="Helvetica"/>
          <w:color w:val="222222"/>
          <w:sz w:val="20"/>
          <w:szCs w:val="20"/>
        </w:rPr>
      </w:pPr>
      <w:r w:rsidRPr="00346BBA">
        <w:rPr>
          <w:rFonts w:ascii="Century Gothic" w:eastAsia="Times New Roman" w:hAnsi="Century Gothic" w:cs="Helvetica"/>
          <w:color w:val="222222"/>
          <w:sz w:val="20"/>
          <w:szCs w:val="20"/>
        </w:rPr>
        <w:t>The NDA could play a very significant role in encouraging State and Territory governments to continue to advocate for a more effective NDIS, to fill gaps in NDIS service provision and foster better support in mainstream services for those with cognitive impairments, mental illness and other disabilities.</w:t>
      </w:r>
    </w:p>
    <w:p w14:paraId="3E23CD29" w14:textId="77777777" w:rsidR="00EC0F10" w:rsidRPr="00AB1FA5" w:rsidRDefault="00EC0F10" w:rsidP="00F905AE">
      <w:pPr>
        <w:pStyle w:val="NoSpacing"/>
        <w:jc w:val="both"/>
        <w:rPr>
          <w:rFonts w:ascii="Century Gothic" w:hAnsi="Century Gothic"/>
          <w:i/>
          <w:sz w:val="20"/>
          <w:szCs w:val="20"/>
        </w:rPr>
      </w:pPr>
    </w:p>
    <w:p w14:paraId="6E32793A" w14:textId="1412CFF7" w:rsidR="00EC0F10" w:rsidRPr="00AB1FA5" w:rsidRDefault="00F905AE" w:rsidP="00F905AE">
      <w:pPr>
        <w:pStyle w:val="NoSpacing"/>
        <w:jc w:val="both"/>
        <w:rPr>
          <w:rFonts w:ascii="Century Gothic" w:hAnsi="Century Gothic"/>
          <w:i/>
          <w:sz w:val="20"/>
          <w:szCs w:val="20"/>
        </w:rPr>
      </w:pPr>
      <w:r w:rsidRPr="00346BBA">
        <w:rPr>
          <w:rFonts w:ascii="Century Gothic" w:hAnsi="Century Gothic" w:cs="Arial"/>
          <w:i/>
          <w:iCs/>
          <w:color w:val="000000"/>
          <w:sz w:val="20"/>
          <w:szCs w:val="20"/>
        </w:rPr>
        <w:t>Should the agreement have regard to the way States and Territories are delivering services to people with a disability outside the NDIS (for example, through mainstream services or through specialist</w:t>
      </w:r>
      <w:r w:rsidRPr="00AB1FA5">
        <w:rPr>
          <w:rFonts w:ascii="Century Gothic" w:hAnsi="Century Gothic"/>
          <w:i/>
          <w:sz w:val="20"/>
          <w:szCs w:val="20"/>
        </w:rPr>
        <w:t xml:space="preserve"> disability services)? If so, why?</w:t>
      </w:r>
    </w:p>
    <w:p w14:paraId="216187B4" w14:textId="77777777" w:rsidR="00EC0F10" w:rsidRPr="00346BBA" w:rsidRDefault="00EC0F10" w:rsidP="00346BBA">
      <w:pPr>
        <w:shd w:val="clear" w:color="auto" w:fill="FFFFFF"/>
        <w:spacing w:after="0" w:line="240" w:lineRule="auto"/>
        <w:ind w:left="360"/>
        <w:rPr>
          <w:rFonts w:ascii="Century Gothic" w:eastAsia="Times New Roman" w:hAnsi="Century Gothic" w:cs="Helvetica"/>
          <w:color w:val="222222"/>
          <w:sz w:val="20"/>
          <w:szCs w:val="20"/>
        </w:rPr>
      </w:pPr>
      <w:r w:rsidRPr="00346BBA">
        <w:rPr>
          <w:rFonts w:ascii="Century Gothic" w:eastAsia="Times New Roman" w:hAnsi="Century Gothic" w:cs="Helvetica"/>
          <w:color w:val="222222"/>
          <w:sz w:val="20"/>
          <w:szCs w:val="20"/>
        </w:rPr>
        <w:t>Yes. To date PWSA has seen examples of where mainstream services have not changed their attitudes or practices towards disabled people, leaving them at a disadvantage. There has not been enough commitment by funders of mainstream services to make changes.</w:t>
      </w:r>
    </w:p>
    <w:p w14:paraId="359FD1F1" w14:textId="77777777" w:rsidR="00EC0F10" w:rsidRPr="00346BBA" w:rsidRDefault="00EC0F10" w:rsidP="00346BBA">
      <w:pPr>
        <w:shd w:val="clear" w:color="auto" w:fill="FFFFFF"/>
        <w:spacing w:after="0" w:line="240" w:lineRule="auto"/>
        <w:ind w:left="360"/>
        <w:rPr>
          <w:rFonts w:ascii="Century Gothic" w:eastAsia="Times New Roman" w:hAnsi="Century Gothic" w:cs="Helvetica"/>
          <w:color w:val="222222"/>
          <w:sz w:val="20"/>
          <w:szCs w:val="20"/>
        </w:rPr>
      </w:pPr>
    </w:p>
    <w:p w14:paraId="4754C221" w14:textId="30C0FA78" w:rsidR="00EC0F10" w:rsidRPr="00A57AE8" w:rsidRDefault="00F905AE" w:rsidP="00F905AE">
      <w:pPr>
        <w:pStyle w:val="NoSpacing"/>
        <w:jc w:val="both"/>
        <w:rPr>
          <w:rFonts w:ascii="Century Gothic" w:hAnsi="Century Gothic" w:cs="Arial"/>
          <w:i/>
          <w:iCs/>
          <w:color w:val="000000"/>
          <w:sz w:val="20"/>
          <w:szCs w:val="20"/>
        </w:rPr>
      </w:pPr>
      <w:r w:rsidRPr="00346BBA">
        <w:rPr>
          <w:rFonts w:ascii="Century Gothic" w:hAnsi="Century Gothic" w:cs="Arial"/>
          <w:i/>
          <w:iCs/>
          <w:color w:val="000000"/>
          <w:sz w:val="20"/>
          <w:szCs w:val="20"/>
        </w:rPr>
        <w:t>Does public reporting against the indicators serve to ensure that governments are held accountable for their policies and actions relating to disability? If not, why not, and how could this be improved?</w:t>
      </w:r>
    </w:p>
    <w:p w14:paraId="19A84980" w14:textId="77777777" w:rsidR="00EC0F10" w:rsidRPr="00346BBA" w:rsidRDefault="00EC0F10" w:rsidP="00346BBA">
      <w:pPr>
        <w:shd w:val="clear" w:color="auto" w:fill="FFFFFF"/>
        <w:spacing w:after="0" w:line="240" w:lineRule="auto"/>
        <w:ind w:left="360"/>
        <w:rPr>
          <w:rFonts w:ascii="Century Gothic" w:eastAsia="Times New Roman" w:hAnsi="Century Gothic" w:cs="Helvetica"/>
          <w:color w:val="222222"/>
          <w:sz w:val="20"/>
          <w:szCs w:val="20"/>
        </w:rPr>
      </w:pPr>
      <w:r w:rsidRPr="00346BBA">
        <w:rPr>
          <w:rFonts w:ascii="Century Gothic" w:eastAsia="Times New Roman" w:hAnsi="Century Gothic" w:cs="Helvetica"/>
          <w:color w:val="222222"/>
          <w:sz w:val="20"/>
          <w:szCs w:val="20"/>
        </w:rPr>
        <w:t>No, public reporting is an inadequate means of holding governments accountable. People with disabilities and their supporters are seen as low risk, in terms of any consequences from an adverse report. There needs to be greater consequences than just a ‘ballot box’ risk.</w:t>
      </w:r>
    </w:p>
    <w:p w14:paraId="68188159" w14:textId="77777777" w:rsidR="00EC0F10" w:rsidRPr="00346BBA" w:rsidRDefault="00EC0F10" w:rsidP="00346BBA">
      <w:pPr>
        <w:shd w:val="clear" w:color="auto" w:fill="FFFFFF"/>
        <w:spacing w:after="0" w:line="240" w:lineRule="auto"/>
        <w:ind w:left="360"/>
        <w:rPr>
          <w:rFonts w:ascii="Century Gothic" w:eastAsia="Times New Roman" w:hAnsi="Century Gothic" w:cs="Helvetica"/>
          <w:color w:val="222222"/>
          <w:sz w:val="20"/>
          <w:szCs w:val="20"/>
        </w:rPr>
      </w:pPr>
      <w:r w:rsidRPr="00346BBA">
        <w:rPr>
          <w:rFonts w:ascii="Century Gothic" w:eastAsia="Times New Roman" w:hAnsi="Century Gothic" w:cs="Helvetica"/>
          <w:color w:val="222222"/>
          <w:sz w:val="20"/>
          <w:szCs w:val="20"/>
        </w:rPr>
        <w:t xml:space="preserve"> </w:t>
      </w:r>
    </w:p>
    <w:p w14:paraId="0F2728F9" w14:textId="77777777" w:rsidR="00F905AE" w:rsidRDefault="00F905AE" w:rsidP="00F905AE">
      <w:pPr>
        <w:pStyle w:val="NoSpacing"/>
        <w:jc w:val="both"/>
        <w:rPr>
          <w:rFonts w:ascii="Century Gothic" w:hAnsi="Century Gothic" w:cs="Arial"/>
          <w:i/>
          <w:iCs/>
          <w:color w:val="000000"/>
          <w:sz w:val="20"/>
          <w:szCs w:val="20"/>
        </w:rPr>
      </w:pPr>
      <w:r w:rsidRPr="00346BBA">
        <w:rPr>
          <w:rFonts w:ascii="Century Gothic" w:hAnsi="Century Gothic" w:cs="Arial"/>
          <w:i/>
          <w:iCs/>
          <w:color w:val="000000"/>
          <w:sz w:val="20"/>
          <w:szCs w:val="20"/>
        </w:rPr>
        <w:t xml:space="preserve">Are the criteria for good performance indicators listed in box 2 suitable? </w:t>
      </w:r>
    </w:p>
    <w:p w14:paraId="6C5B92AD" w14:textId="77777777" w:rsidR="00B750E3" w:rsidRPr="00B750E3" w:rsidRDefault="00B750E3" w:rsidP="00B750E3">
      <w:pPr>
        <w:shd w:val="clear" w:color="auto" w:fill="FFFFFF"/>
        <w:spacing w:after="0" w:line="240" w:lineRule="auto"/>
        <w:ind w:left="360"/>
        <w:rPr>
          <w:rFonts w:ascii="Century Gothic" w:eastAsia="Times New Roman" w:hAnsi="Century Gothic" w:cs="Helvetica"/>
          <w:color w:val="222222"/>
          <w:sz w:val="20"/>
          <w:szCs w:val="20"/>
        </w:rPr>
      </w:pPr>
      <w:r w:rsidRPr="00B750E3">
        <w:rPr>
          <w:rFonts w:ascii="Century Gothic" w:eastAsia="Times New Roman" w:hAnsi="Century Gothic" w:cs="Helvetica"/>
          <w:color w:val="222222"/>
          <w:sz w:val="20"/>
          <w:szCs w:val="20"/>
        </w:rPr>
        <w:t>Yes.</w:t>
      </w:r>
    </w:p>
    <w:p w14:paraId="1016D5DC" w14:textId="77777777" w:rsidR="00D52E53" w:rsidRDefault="00D52E53" w:rsidP="00F905AE">
      <w:pPr>
        <w:pStyle w:val="NoSpacing"/>
        <w:jc w:val="both"/>
        <w:rPr>
          <w:rFonts w:ascii="Century Gothic" w:hAnsi="Century Gothic"/>
          <w:i/>
          <w:sz w:val="20"/>
          <w:szCs w:val="20"/>
        </w:rPr>
      </w:pPr>
    </w:p>
    <w:p w14:paraId="571718AF" w14:textId="77777777" w:rsidR="00F905AE" w:rsidRDefault="00F905AE" w:rsidP="00F905AE">
      <w:pPr>
        <w:pStyle w:val="NoSpacing"/>
        <w:jc w:val="both"/>
        <w:rPr>
          <w:rFonts w:ascii="Century Gothic" w:hAnsi="Century Gothic" w:cs="Arial"/>
          <w:i/>
          <w:iCs/>
          <w:color w:val="000000"/>
          <w:sz w:val="20"/>
          <w:szCs w:val="20"/>
        </w:rPr>
      </w:pPr>
      <w:r w:rsidRPr="00346BBA">
        <w:rPr>
          <w:rFonts w:ascii="Century Gothic" w:hAnsi="Century Gothic" w:cs="Arial"/>
          <w:i/>
          <w:iCs/>
          <w:color w:val="000000"/>
          <w:sz w:val="20"/>
          <w:szCs w:val="20"/>
        </w:rPr>
        <w:t>How should the significance of changes in indicators be judged? For example, what magnitude of change in the indicators should be targeted?</w:t>
      </w:r>
    </w:p>
    <w:p w14:paraId="2C1AE185" w14:textId="77777777" w:rsidR="00B750E3" w:rsidRPr="00B750E3" w:rsidRDefault="00B750E3" w:rsidP="00B750E3">
      <w:pPr>
        <w:shd w:val="clear" w:color="auto" w:fill="FFFFFF"/>
        <w:spacing w:after="0" w:line="240" w:lineRule="auto"/>
        <w:ind w:left="360"/>
        <w:rPr>
          <w:rFonts w:ascii="Century Gothic" w:eastAsia="Times New Roman" w:hAnsi="Century Gothic" w:cs="Helvetica"/>
          <w:color w:val="222222"/>
          <w:sz w:val="20"/>
          <w:szCs w:val="20"/>
        </w:rPr>
      </w:pPr>
      <w:r w:rsidRPr="00B750E3">
        <w:rPr>
          <w:rFonts w:ascii="Century Gothic" w:eastAsia="Times New Roman" w:hAnsi="Century Gothic" w:cs="Helvetica"/>
          <w:color w:val="222222"/>
          <w:sz w:val="20"/>
          <w:szCs w:val="20"/>
        </w:rPr>
        <w:t>There should be continuous improvement.</w:t>
      </w:r>
    </w:p>
    <w:p w14:paraId="1E4A6D08" w14:textId="77777777" w:rsidR="00D52E53" w:rsidRDefault="00D52E53" w:rsidP="00F905AE">
      <w:pPr>
        <w:pStyle w:val="NoSpacing"/>
        <w:jc w:val="both"/>
        <w:rPr>
          <w:rFonts w:ascii="Century Gothic" w:hAnsi="Century Gothic"/>
          <w:i/>
          <w:sz w:val="20"/>
          <w:szCs w:val="20"/>
        </w:rPr>
      </w:pPr>
    </w:p>
    <w:p w14:paraId="28458AD9" w14:textId="77777777" w:rsidR="007A4D6E" w:rsidRDefault="00F905AE" w:rsidP="00F905AE">
      <w:pPr>
        <w:pStyle w:val="NoSpacing"/>
        <w:jc w:val="both"/>
        <w:rPr>
          <w:rFonts w:ascii="Century Gothic" w:hAnsi="Century Gothic" w:cs="Arial"/>
          <w:i/>
          <w:iCs/>
          <w:color w:val="000000"/>
          <w:sz w:val="20"/>
          <w:szCs w:val="20"/>
        </w:rPr>
      </w:pPr>
      <w:r w:rsidRPr="00346BBA">
        <w:rPr>
          <w:rFonts w:ascii="Century Gothic" w:hAnsi="Century Gothic" w:cs="Arial"/>
          <w:i/>
          <w:iCs/>
          <w:color w:val="000000"/>
          <w:sz w:val="20"/>
          <w:szCs w:val="20"/>
        </w:rPr>
        <w:t xml:space="preserve">What level of disaggregation should the indicators provide? </w:t>
      </w:r>
    </w:p>
    <w:p w14:paraId="0EEC707D" w14:textId="77777777" w:rsidR="00F905AE" w:rsidRDefault="007A4D6E" w:rsidP="007A4D6E">
      <w:pPr>
        <w:shd w:val="clear" w:color="auto" w:fill="FFFFFF"/>
        <w:spacing w:after="0" w:line="240" w:lineRule="auto"/>
        <w:ind w:left="360"/>
        <w:rPr>
          <w:rFonts w:ascii="Century Gothic" w:eastAsia="Times New Roman" w:hAnsi="Century Gothic" w:cs="Helvetica"/>
          <w:color w:val="222222"/>
          <w:sz w:val="20"/>
          <w:szCs w:val="20"/>
        </w:rPr>
      </w:pPr>
      <w:r>
        <w:rPr>
          <w:rFonts w:ascii="Century Gothic" w:eastAsia="Times New Roman" w:hAnsi="Century Gothic" w:cs="Helvetica"/>
          <w:color w:val="222222"/>
          <w:sz w:val="20"/>
          <w:szCs w:val="20"/>
        </w:rPr>
        <w:t>T</w:t>
      </w:r>
      <w:r w:rsidR="00F905AE" w:rsidRPr="007A4D6E">
        <w:rPr>
          <w:rFonts w:ascii="Century Gothic" w:eastAsia="Times New Roman" w:hAnsi="Century Gothic" w:cs="Helvetica"/>
          <w:color w:val="222222"/>
          <w:sz w:val="20"/>
          <w:szCs w:val="20"/>
        </w:rPr>
        <w:t xml:space="preserve">hey </w:t>
      </w:r>
      <w:r>
        <w:rPr>
          <w:rFonts w:ascii="Century Gothic" w:eastAsia="Times New Roman" w:hAnsi="Century Gothic" w:cs="Helvetica"/>
          <w:color w:val="222222"/>
          <w:sz w:val="20"/>
          <w:szCs w:val="20"/>
        </w:rPr>
        <w:t xml:space="preserve">should </w:t>
      </w:r>
      <w:r w:rsidR="00F905AE" w:rsidRPr="007A4D6E">
        <w:rPr>
          <w:rFonts w:ascii="Century Gothic" w:eastAsia="Times New Roman" w:hAnsi="Century Gothic" w:cs="Helvetica"/>
          <w:color w:val="222222"/>
          <w:sz w:val="20"/>
          <w:szCs w:val="20"/>
        </w:rPr>
        <w:t>be articulated at the national or jurisdictional level</w:t>
      </w:r>
      <w:r>
        <w:rPr>
          <w:rFonts w:ascii="Century Gothic" w:eastAsia="Times New Roman" w:hAnsi="Century Gothic" w:cs="Helvetica"/>
          <w:color w:val="222222"/>
          <w:sz w:val="20"/>
          <w:szCs w:val="20"/>
        </w:rPr>
        <w:t>. They s</w:t>
      </w:r>
      <w:r w:rsidR="00F905AE" w:rsidRPr="007A4D6E">
        <w:rPr>
          <w:rFonts w:ascii="Century Gothic" w:eastAsia="Times New Roman" w:hAnsi="Century Gothic" w:cs="Helvetica"/>
          <w:color w:val="222222"/>
          <w:sz w:val="20"/>
          <w:szCs w:val="20"/>
        </w:rPr>
        <w:t xml:space="preserve">hould be disaggregated by </w:t>
      </w:r>
      <w:r>
        <w:rPr>
          <w:rFonts w:ascii="Century Gothic" w:eastAsia="Times New Roman" w:hAnsi="Century Gothic" w:cs="Helvetica"/>
          <w:color w:val="222222"/>
          <w:sz w:val="20"/>
          <w:szCs w:val="20"/>
        </w:rPr>
        <w:t>the</w:t>
      </w:r>
      <w:r w:rsidR="00F905AE" w:rsidRPr="007A4D6E">
        <w:rPr>
          <w:rFonts w:ascii="Century Gothic" w:eastAsia="Times New Roman" w:hAnsi="Century Gothic" w:cs="Helvetica"/>
          <w:color w:val="222222"/>
          <w:sz w:val="20"/>
          <w:szCs w:val="20"/>
        </w:rPr>
        <w:t xml:space="preserve"> nature of </w:t>
      </w:r>
      <w:r>
        <w:rPr>
          <w:rFonts w:ascii="Century Gothic" w:eastAsia="Times New Roman" w:hAnsi="Century Gothic" w:cs="Helvetica"/>
          <w:color w:val="222222"/>
          <w:sz w:val="20"/>
          <w:szCs w:val="20"/>
        </w:rPr>
        <w:t xml:space="preserve">the </w:t>
      </w:r>
      <w:r w:rsidR="00F905AE" w:rsidRPr="007A4D6E">
        <w:rPr>
          <w:rFonts w:ascii="Century Gothic" w:eastAsia="Times New Roman" w:hAnsi="Century Gothic" w:cs="Helvetica"/>
          <w:color w:val="222222"/>
          <w:sz w:val="20"/>
          <w:szCs w:val="20"/>
        </w:rPr>
        <w:t>disability</w:t>
      </w:r>
      <w:r>
        <w:rPr>
          <w:rFonts w:ascii="Century Gothic" w:eastAsia="Times New Roman" w:hAnsi="Century Gothic" w:cs="Helvetica"/>
          <w:color w:val="222222"/>
          <w:sz w:val="20"/>
          <w:szCs w:val="20"/>
        </w:rPr>
        <w:t xml:space="preserve">, </w:t>
      </w:r>
      <w:proofErr w:type="spellStart"/>
      <w:r>
        <w:rPr>
          <w:rFonts w:ascii="Century Gothic" w:eastAsia="Times New Roman" w:hAnsi="Century Gothic" w:cs="Helvetica"/>
          <w:color w:val="222222"/>
          <w:sz w:val="20"/>
          <w:szCs w:val="20"/>
        </w:rPr>
        <w:t>ie</w:t>
      </w:r>
      <w:proofErr w:type="spellEnd"/>
      <w:r>
        <w:rPr>
          <w:rFonts w:ascii="Century Gothic" w:eastAsia="Times New Roman" w:hAnsi="Century Gothic" w:cs="Helvetica"/>
          <w:color w:val="222222"/>
          <w:sz w:val="20"/>
          <w:szCs w:val="20"/>
        </w:rPr>
        <w:t xml:space="preserve"> cognitive impairment or not, and others as described above. </w:t>
      </w:r>
    </w:p>
    <w:p w14:paraId="1FA43418" w14:textId="77777777" w:rsidR="007A4D6E" w:rsidRPr="007A4D6E" w:rsidRDefault="007A4D6E" w:rsidP="007A4D6E">
      <w:pPr>
        <w:shd w:val="clear" w:color="auto" w:fill="FFFFFF"/>
        <w:spacing w:after="0" w:line="240" w:lineRule="auto"/>
        <w:ind w:left="360"/>
        <w:rPr>
          <w:rFonts w:ascii="Century Gothic" w:eastAsia="Times New Roman" w:hAnsi="Century Gothic" w:cs="Helvetica"/>
          <w:color w:val="222222"/>
          <w:sz w:val="20"/>
          <w:szCs w:val="20"/>
        </w:rPr>
      </w:pPr>
    </w:p>
    <w:p w14:paraId="796F3789" w14:textId="77777777" w:rsidR="00B64BE3" w:rsidRDefault="00B64BE3" w:rsidP="00F905AE">
      <w:pPr>
        <w:pStyle w:val="NoSpacing"/>
        <w:jc w:val="both"/>
        <w:rPr>
          <w:rFonts w:ascii="Century Gothic" w:hAnsi="Century Gothic" w:cs="Arial"/>
          <w:i/>
          <w:iCs/>
          <w:color w:val="000000"/>
          <w:sz w:val="20"/>
          <w:szCs w:val="20"/>
        </w:rPr>
      </w:pPr>
    </w:p>
    <w:p w14:paraId="3AB2732A" w14:textId="77777777" w:rsidR="00B64BE3" w:rsidRDefault="00B64BE3" w:rsidP="00F905AE">
      <w:pPr>
        <w:pStyle w:val="NoSpacing"/>
        <w:jc w:val="both"/>
        <w:rPr>
          <w:rFonts w:ascii="Century Gothic" w:hAnsi="Century Gothic" w:cs="Arial"/>
          <w:i/>
          <w:iCs/>
          <w:color w:val="000000"/>
          <w:sz w:val="20"/>
          <w:szCs w:val="20"/>
        </w:rPr>
      </w:pPr>
    </w:p>
    <w:p w14:paraId="6AF8D76A" w14:textId="77777777" w:rsidR="00346BBA" w:rsidRDefault="00F905AE" w:rsidP="00F905AE">
      <w:pPr>
        <w:pStyle w:val="NoSpacing"/>
        <w:jc w:val="both"/>
        <w:rPr>
          <w:rFonts w:ascii="Century Gothic" w:hAnsi="Century Gothic" w:cs="Arial"/>
          <w:i/>
          <w:iCs/>
          <w:color w:val="000000"/>
          <w:sz w:val="20"/>
          <w:szCs w:val="20"/>
        </w:rPr>
      </w:pPr>
      <w:r w:rsidRPr="00346BBA">
        <w:rPr>
          <w:rFonts w:ascii="Century Gothic" w:hAnsi="Century Gothic" w:cs="Arial"/>
          <w:i/>
          <w:iCs/>
          <w:color w:val="000000"/>
          <w:sz w:val="20"/>
          <w:szCs w:val="20"/>
        </w:rPr>
        <w:t xml:space="preserve">How relevant is the current performance reporting framework of the NDA in light of the implementation of the NDIS? </w:t>
      </w:r>
    </w:p>
    <w:p w14:paraId="676CF072" w14:textId="2B77DFCC" w:rsidR="007A4D6E" w:rsidRPr="007A4D6E" w:rsidRDefault="007A4D6E" w:rsidP="007A4D6E">
      <w:pPr>
        <w:shd w:val="clear" w:color="auto" w:fill="FFFFFF"/>
        <w:spacing w:after="0" w:line="240" w:lineRule="auto"/>
        <w:ind w:left="360"/>
        <w:rPr>
          <w:rFonts w:ascii="Century Gothic" w:eastAsia="Times New Roman" w:hAnsi="Century Gothic" w:cs="Helvetica"/>
          <w:color w:val="222222"/>
          <w:sz w:val="20"/>
          <w:szCs w:val="20"/>
        </w:rPr>
      </w:pPr>
      <w:r w:rsidRPr="007A4D6E">
        <w:rPr>
          <w:rFonts w:ascii="Century Gothic" w:eastAsia="Times New Roman" w:hAnsi="Century Gothic" w:cs="Helvetica"/>
          <w:color w:val="222222"/>
          <w:sz w:val="20"/>
          <w:szCs w:val="20"/>
        </w:rPr>
        <w:t>The NDIS will have its own reasons for reporting and may not provide enough key sub-group data, as mentioned above.</w:t>
      </w:r>
      <w:r>
        <w:rPr>
          <w:rFonts w:ascii="Century Gothic" w:eastAsia="Times New Roman" w:hAnsi="Century Gothic" w:cs="Helvetica"/>
          <w:color w:val="222222"/>
          <w:sz w:val="20"/>
          <w:szCs w:val="20"/>
        </w:rPr>
        <w:t xml:space="preserve"> States need additional data to be able to identify where their citizens need additional support, and to identify where they are having success in local initiatives (</w:t>
      </w:r>
      <w:r w:rsidR="00A57AE8">
        <w:rPr>
          <w:rFonts w:ascii="Century Gothic" w:eastAsia="Times New Roman" w:hAnsi="Century Gothic" w:cs="Helvetica"/>
          <w:color w:val="222222"/>
          <w:sz w:val="20"/>
          <w:szCs w:val="20"/>
        </w:rPr>
        <w:t>e.g.</w:t>
      </w:r>
      <w:r>
        <w:rPr>
          <w:rFonts w:ascii="Century Gothic" w:eastAsia="Times New Roman" w:hAnsi="Century Gothic" w:cs="Helvetica"/>
          <w:color w:val="222222"/>
          <w:sz w:val="20"/>
          <w:szCs w:val="20"/>
        </w:rPr>
        <w:t xml:space="preserve"> ensuring an accommodation provider of last resort is in place).</w:t>
      </w:r>
    </w:p>
    <w:p w14:paraId="595137D4" w14:textId="77777777" w:rsidR="00A10674" w:rsidRPr="00AB1FA5" w:rsidRDefault="00A10674" w:rsidP="008F3761">
      <w:pPr>
        <w:pStyle w:val="NoSpacing"/>
        <w:jc w:val="both"/>
        <w:rPr>
          <w:rFonts w:ascii="Century Gothic" w:hAnsi="Century Gothic"/>
          <w:sz w:val="20"/>
          <w:szCs w:val="20"/>
        </w:rPr>
      </w:pPr>
    </w:p>
    <w:p w14:paraId="1BD7A7DE" w14:textId="77777777" w:rsidR="00F70EA1" w:rsidRPr="00AB1FA5" w:rsidRDefault="00F70EA1" w:rsidP="003D6E6E">
      <w:pPr>
        <w:pStyle w:val="NoSpacing"/>
        <w:numPr>
          <w:ilvl w:val="0"/>
          <w:numId w:val="16"/>
        </w:numPr>
        <w:spacing w:after="240"/>
        <w:jc w:val="both"/>
        <w:rPr>
          <w:rFonts w:ascii="Century Gothic" w:hAnsi="Century Gothic"/>
          <w:b/>
          <w:color w:val="0081C6"/>
        </w:rPr>
      </w:pPr>
      <w:r w:rsidRPr="00AB1FA5">
        <w:rPr>
          <w:rFonts w:ascii="Century Gothic" w:hAnsi="Century Gothic"/>
          <w:b/>
          <w:color w:val="0081C6"/>
        </w:rPr>
        <w:t>Conclusion</w:t>
      </w:r>
    </w:p>
    <w:p w14:paraId="3B4FC00C" w14:textId="17113FD3" w:rsidR="00166536" w:rsidRDefault="00166536" w:rsidP="004C23A1">
      <w:pPr>
        <w:pStyle w:val="NoSpacing"/>
        <w:ind w:left="360"/>
        <w:rPr>
          <w:rFonts w:ascii="Century Gothic" w:hAnsi="Century Gothic"/>
          <w:sz w:val="20"/>
          <w:szCs w:val="20"/>
        </w:rPr>
      </w:pPr>
      <w:r w:rsidRPr="00AB1FA5">
        <w:rPr>
          <w:rFonts w:ascii="Century Gothic" w:hAnsi="Century Gothic"/>
          <w:sz w:val="20"/>
          <w:szCs w:val="20"/>
        </w:rPr>
        <w:t xml:space="preserve">The PWSA is very committed to supporting </w:t>
      </w:r>
      <w:r w:rsidR="008A4D01">
        <w:rPr>
          <w:rFonts w:ascii="Century Gothic" w:hAnsi="Century Gothic"/>
          <w:sz w:val="20"/>
          <w:szCs w:val="20"/>
        </w:rPr>
        <w:t>people with PWS</w:t>
      </w:r>
      <w:r w:rsidRPr="00AB1FA5">
        <w:rPr>
          <w:rFonts w:ascii="Century Gothic" w:hAnsi="Century Gothic"/>
          <w:sz w:val="20"/>
          <w:szCs w:val="20"/>
        </w:rPr>
        <w:t xml:space="preserve">. </w:t>
      </w:r>
      <w:r w:rsidR="008A4D01">
        <w:rPr>
          <w:rFonts w:ascii="Century Gothic" w:hAnsi="Century Gothic"/>
          <w:sz w:val="20"/>
          <w:szCs w:val="20"/>
        </w:rPr>
        <w:t xml:space="preserve">Their disability is complex. They will need disability, education, health, mental health, accommodation and social supports throughout their lives. This means a lot of service interfaces and provider education. The supports that people with PWS need are scattered across many sectors and facets of their life. The NDIS alone cannot deliver a holistic support model. </w:t>
      </w:r>
      <w:r w:rsidR="004C23A1">
        <w:rPr>
          <w:rFonts w:ascii="Century Gothic" w:hAnsi="Century Gothic"/>
          <w:sz w:val="20"/>
          <w:szCs w:val="20"/>
        </w:rPr>
        <w:t>Therefore,</w:t>
      </w:r>
      <w:r w:rsidR="008A4D01">
        <w:rPr>
          <w:rFonts w:ascii="Century Gothic" w:hAnsi="Century Gothic"/>
          <w:sz w:val="20"/>
          <w:szCs w:val="20"/>
        </w:rPr>
        <w:t xml:space="preserve"> there needs to be a formal commitment by State and Territory governments to continue to contribute to the support of its disabled citizens in ways that the NDIS will not. A National Disability Agreement is one instrument to ensure that this happens.</w:t>
      </w:r>
    </w:p>
    <w:p w14:paraId="7D876260" w14:textId="77777777" w:rsidR="008A4D01" w:rsidRDefault="008A4D01" w:rsidP="004C23A1">
      <w:pPr>
        <w:pStyle w:val="NoSpacing"/>
        <w:ind w:left="360"/>
        <w:rPr>
          <w:rFonts w:ascii="Century Gothic" w:hAnsi="Century Gothic"/>
          <w:sz w:val="20"/>
          <w:szCs w:val="20"/>
        </w:rPr>
      </w:pPr>
    </w:p>
    <w:p w14:paraId="4DD5EACB" w14:textId="77777777" w:rsidR="008A4D01" w:rsidRDefault="008A4D01" w:rsidP="004C23A1">
      <w:pPr>
        <w:pStyle w:val="NoSpacing"/>
        <w:ind w:left="360"/>
        <w:rPr>
          <w:rFonts w:ascii="Century Gothic" w:hAnsi="Century Gothic"/>
          <w:sz w:val="20"/>
          <w:szCs w:val="20"/>
        </w:rPr>
      </w:pPr>
      <w:r>
        <w:rPr>
          <w:rFonts w:ascii="Century Gothic" w:hAnsi="Century Gothic"/>
          <w:sz w:val="20"/>
          <w:szCs w:val="20"/>
        </w:rPr>
        <w:t>I am happy to discuss these i</w:t>
      </w:r>
      <w:r w:rsidR="00B64BE3">
        <w:rPr>
          <w:rFonts w:ascii="Century Gothic" w:hAnsi="Century Gothic"/>
          <w:sz w:val="20"/>
          <w:szCs w:val="20"/>
        </w:rPr>
        <w:t>ssues</w:t>
      </w:r>
      <w:r>
        <w:rPr>
          <w:rFonts w:ascii="Century Gothic" w:hAnsi="Century Gothic"/>
          <w:sz w:val="20"/>
          <w:szCs w:val="20"/>
        </w:rPr>
        <w:t xml:space="preserve"> with you in more detail if that would be of assistance. </w:t>
      </w:r>
    </w:p>
    <w:p w14:paraId="229D5992" w14:textId="77777777" w:rsidR="008A4D01" w:rsidRDefault="008A4D01" w:rsidP="004C23A1">
      <w:pPr>
        <w:pStyle w:val="NoSpacing"/>
        <w:ind w:left="360"/>
        <w:rPr>
          <w:rFonts w:ascii="Century Gothic" w:hAnsi="Century Gothic"/>
          <w:sz w:val="20"/>
          <w:szCs w:val="20"/>
        </w:rPr>
      </w:pPr>
    </w:p>
    <w:p w14:paraId="0981F821" w14:textId="77777777" w:rsidR="008A4D01" w:rsidRDefault="008A4D01" w:rsidP="003D6E6E">
      <w:pPr>
        <w:pStyle w:val="NoSpacing"/>
        <w:ind w:left="360"/>
        <w:jc w:val="both"/>
        <w:rPr>
          <w:rFonts w:ascii="Century Gothic" w:hAnsi="Century Gothic"/>
          <w:sz w:val="20"/>
          <w:szCs w:val="20"/>
        </w:rPr>
      </w:pPr>
    </w:p>
    <w:p w14:paraId="5A18C568" w14:textId="77777777" w:rsidR="008A4D01" w:rsidRDefault="008A4D01" w:rsidP="003D6E6E">
      <w:pPr>
        <w:pStyle w:val="NoSpacing"/>
        <w:ind w:left="360"/>
        <w:jc w:val="both"/>
        <w:rPr>
          <w:rFonts w:ascii="Century Gothic" w:hAnsi="Century Gothic"/>
          <w:sz w:val="20"/>
          <w:szCs w:val="20"/>
        </w:rPr>
      </w:pPr>
    </w:p>
    <w:p w14:paraId="177AB837" w14:textId="77777777" w:rsidR="004C23A1" w:rsidRDefault="004C23A1" w:rsidP="003D6E6E">
      <w:pPr>
        <w:pStyle w:val="NoSpacing"/>
        <w:ind w:left="360"/>
        <w:jc w:val="both"/>
        <w:rPr>
          <w:rFonts w:ascii="Century Gothic" w:hAnsi="Century Gothic"/>
          <w:sz w:val="20"/>
          <w:szCs w:val="20"/>
        </w:rPr>
      </w:pPr>
    </w:p>
    <w:p w14:paraId="59F9D9CA" w14:textId="77777777" w:rsidR="004C23A1" w:rsidRDefault="004C23A1" w:rsidP="003D6E6E">
      <w:pPr>
        <w:pStyle w:val="NoSpacing"/>
        <w:ind w:left="360"/>
        <w:jc w:val="both"/>
        <w:rPr>
          <w:rFonts w:ascii="Century Gothic" w:hAnsi="Century Gothic"/>
          <w:sz w:val="20"/>
          <w:szCs w:val="20"/>
        </w:rPr>
      </w:pPr>
    </w:p>
    <w:p w14:paraId="035A0233" w14:textId="0BCA3F19" w:rsidR="008A4D01" w:rsidRDefault="008A4D01" w:rsidP="003D6E6E">
      <w:pPr>
        <w:pStyle w:val="NoSpacing"/>
        <w:ind w:left="360"/>
        <w:jc w:val="both"/>
        <w:rPr>
          <w:rFonts w:ascii="Century Gothic" w:hAnsi="Century Gothic"/>
          <w:sz w:val="20"/>
          <w:szCs w:val="20"/>
        </w:rPr>
      </w:pPr>
      <w:r>
        <w:rPr>
          <w:rFonts w:ascii="Century Gothic" w:hAnsi="Century Gothic"/>
          <w:sz w:val="20"/>
          <w:szCs w:val="20"/>
        </w:rPr>
        <w:t>J</w:t>
      </w:r>
      <w:r w:rsidR="004C23A1">
        <w:rPr>
          <w:rFonts w:ascii="Century Gothic" w:hAnsi="Century Gothic"/>
          <w:sz w:val="20"/>
          <w:szCs w:val="20"/>
        </w:rPr>
        <w:t>ames</w:t>
      </w:r>
      <w:r>
        <w:rPr>
          <w:rFonts w:ascii="Century Gothic" w:hAnsi="Century Gothic"/>
          <w:sz w:val="20"/>
          <w:szCs w:val="20"/>
        </w:rPr>
        <w:t xml:space="preserve"> O’Brien</w:t>
      </w:r>
    </w:p>
    <w:p w14:paraId="68E35375" w14:textId="7405A43D" w:rsidR="004C23A1" w:rsidRPr="00AB1FA5" w:rsidRDefault="004C23A1" w:rsidP="003D6E6E">
      <w:pPr>
        <w:pStyle w:val="NoSpacing"/>
        <w:ind w:left="360"/>
        <w:jc w:val="both"/>
        <w:rPr>
          <w:rFonts w:ascii="Century Gothic" w:hAnsi="Century Gothic"/>
          <w:sz w:val="20"/>
          <w:szCs w:val="20"/>
        </w:rPr>
      </w:pPr>
      <w:r>
        <w:rPr>
          <w:rFonts w:ascii="Century Gothic" w:hAnsi="Century Gothic"/>
          <w:sz w:val="20"/>
          <w:szCs w:val="20"/>
        </w:rPr>
        <w:t>President, PWS Australia</w:t>
      </w:r>
    </w:p>
    <w:sectPr w:rsidR="004C23A1" w:rsidRPr="00AB1FA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38406" w14:textId="77777777" w:rsidR="00D13094" w:rsidRDefault="00D13094" w:rsidP="0075636E">
      <w:pPr>
        <w:spacing w:after="0" w:line="240" w:lineRule="auto"/>
      </w:pPr>
      <w:r>
        <w:separator/>
      </w:r>
    </w:p>
  </w:endnote>
  <w:endnote w:type="continuationSeparator" w:id="0">
    <w:p w14:paraId="184DB848" w14:textId="77777777" w:rsidR="00D13094" w:rsidRDefault="00D13094" w:rsidP="00756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183BE" w14:textId="77777777" w:rsidR="00B7577A" w:rsidRDefault="00B75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EEB20" w14:textId="77777777" w:rsidR="00290025" w:rsidRDefault="00290025">
    <w:pPr>
      <w:pStyle w:val="Footer"/>
      <w:rPr>
        <w:rFonts w:ascii="Century Gothic" w:hAnsi="Century Gothic"/>
        <w:sz w:val="18"/>
        <w:szCs w:val="18"/>
      </w:rPr>
    </w:pPr>
    <w:r w:rsidRPr="00B07E10">
      <w:rPr>
        <w:rFonts w:ascii="Century Gothic" w:hAnsi="Century Gothic"/>
      </w:rPr>
      <w:tab/>
    </w:r>
    <w:r w:rsidRPr="00B07E10">
      <w:rPr>
        <w:rFonts w:ascii="Century Gothic" w:hAnsi="Century Gothic"/>
      </w:rPr>
      <w:tab/>
    </w:r>
    <w:hyperlink r:id="rId1" w:history="1">
      <w:r w:rsidRPr="008D2EB3">
        <w:rPr>
          <w:rStyle w:val="Hyperlink"/>
          <w:rFonts w:ascii="Century Gothic" w:hAnsi="Century Gothic"/>
          <w:sz w:val="18"/>
          <w:szCs w:val="18"/>
        </w:rPr>
        <w:t>www.pws.org.au</w:t>
      </w:r>
    </w:hyperlink>
  </w:p>
  <w:p w14:paraId="79AF1D0A" w14:textId="77777777" w:rsidR="00290025" w:rsidRPr="00B07E10" w:rsidRDefault="00290025">
    <w:pPr>
      <w:pStyle w:val="Footer"/>
      <w:rPr>
        <w:rFonts w:ascii="Century Gothic" w:hAnsi="Century Gothic"/>
        <w:sz w:val="18"/>
        <w:szCs w:val="18"/>
      </w:rPr>
    </w:pPr>
    <w:r>
      <w:rPr>
        <w:noProof/>
        <w:lang w:val="en-AU" w:eastAsia="en-AU"/>
      </w:rPr>
      <w:drawing>
        <wp:inline distT="0" distB="0" distL="0" distR="0" wp14:anchorId="664066B8" wp14:editId="4FB17F1A">
          <wp:extent cx="1531088" cy="4447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02865" cy="465619"/>
                  </a:xfrm>
                  <a:prstGeom prst="rect">
                    <a:avLst/>
                  </a:prstGeom>
                </pic:spPr>
              </pic:pic>
            </a:graphicData>
          </a:graphic>
        </wp:inline>
      </w:drawing>
    </w:r>
    <w:r>
      <w:rPr>
        <w:rFonts w:ascii="Century Gothic" w:hAnsi="Century Gothic"/>
        <w:sz w:val="18"/>
        <w:szCs w:val="18"/>
      </w:rPr>
      <w:tab/>
    </w:r>
    <w:r>
      <w:rPr>
        <w:rFonts w:ascii="Century Gothic" w:hAnsi="Century Gothic"/>
        <w:sz w:val="18"/>
        <w:szCs w:val="18"/>
      </w:rPr>
      <w:tab/>
    </w:r>
    <w:r w:rsidRPr="00B07E10">
      <w:rPr>
        <w:rFonts w:ascii="Century Gothic" w:hAnsi="Century Gothic"/>
      </w:rPr>
      <w:fldChar w:fldCharType="begin"/>
    </w:r>
    <w:r w:rsidRPr="00B07E10">
      <w:rPr>
        <w:rFonts w:ascii="Century Gothic" w:hAnsi="Century Gothic"/>
      </w:rPr>
      <w:instrText xml:space="preserve"> PAGE   \* MERGEFORMAT </w:instrText>
    </w:r>
    <w:r w:rsidRPr="00B07E10">
      <w:rPr>
        <w:rFonts w:ascii="Century Gothic" w:hAnsi="Century Gothic"/>
      </w:rPr>
      <w:fldChar w:fldCharType="separate"/>
    </w:r>
    <w:r>
      <w:rPr>
        <w:rFonts w:ascii="Century Gothic" w:hAnsi="Century Gothic"/>
        <w:noProof/>
      </w:rPr>
      <w:t>2</w:t>
    </w:r>
    <w:r w:rsidRPr="00B07E10">
      <w:rPr>
        <w:rFonts w:ascii="Century Gothic" w:hAnsi="Century Gothic"/>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99AA" w14:textId="77777777" w:rsidR="00290025" w:rsidRDefault="00290025" w:rsidP="00C5478E">
    <w:pPr>
      <w:pStyle w:val="Footer"/>
      <w:pBdr>
        <w:top w:val="single" w:sz="4" w:space="1" w:color="D9D9D9" w:themeColor="background1" w:themeShade="D9"/>
      </w:pBdr>
    </w:pPr>
    <w:r>
      <w:tab/>
    </w:r>
    <w:r>
      <w:tab/>
    </w:r>
  </w:p>
  <w:p w14:paraId="152AD4F8" w14:textId="77777777" w:rsidR="00290025" w:rsidRDefault="0029002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4C2A6" w14:textId="77777777" w:rsidR="00290025" w:rsidRDefault="00290025">
    <w:pPr>
      <w:pStyle w:val="Footer"/>
      <w:rPr>
        <w:rFonts w:ascii="Century Gothic" w:hAnsi="Century Gothic"/>
        <w:sz w:val="18"/>
        <w:szCs w:val="18"/>
      </w:rPr>
    </w:pPr>
    <w:r w:rsidRPr="00B07E10">
      <w:rPr>
        <w:rFonts w:ascii="Century Gothic" w:hAnsi="Century Gothic"/>
      </w:rPr>
      <w:tab/>
    </w:r>
    <w:r w:rsidRPr="00B07E10">
      <w:rPr>
        <w:rFonts w:ascii="Century Gothic" w:hAnsi="Century Gothic"/>
      </w:rPr>
      <w:tab/>
    </w:r>
    <w:hyperlink r:id="rId1" w:history="1">
      <w:r w:rsidRPr="008D2EB3">
        <w:rPr>
          <w:rStyle w:val="Hyperlink"/>
          <w:rFonts w:ascii="Century Gothic" w:hAnsi="Century Gothic"/>
          <w:sz w:val="18"/>
          <w:szCs w:val="18"/>
        </w:rPr>
        <w:t>www.pws.org.au</w:t>
      </w:r>
    </w:hyperlink>
  </w:p>
  <w:p w14:paraId="47BC3977" w14:textId="77777777" w:rsidR="00290025" w:rsidRPr="00B07E10" w:rsidRDefault="00290025">
    <w:pPr>
      <w:pStyle w:val="Footer"/>
      <w:rPr>
        <w:rFonts w:ascii="Century Gothic" w:hAnsi="Century Gothic"/>
        <w:sz w:val="18"/>
        <w:szCs w:val="18"/>
      </w:rPr>
    </w:pPr>
    <w:r>
      <w:rPr>
        <w:noProof/>
        <w:lang w:val="en-AU" w:eastAsia="en-AU"/>
      </w:rPr>
      <w:drawing>
        <wp:inline distT="0" distB="0" distL="0" distR="0" wp14:anchorId="6765F59D" wp14:editId="4D8C7AD3">
          <wp:extent cx="1531088" cy="4447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02865" cy="465619"/>
                  </a:xfrm>
                  <a:prstGeom prst="rect">
                    <a:avLst/>
                  </a:prstGeom>
                </pic:spPr>
              </pic:pic>
            </a:graphicData>
          </a:graphic>
        </wp:inline>
      </w:drawing>
    </w:r>
    <w:r>
      <w:rPr>
        <w:rFonts w:ascii="Century Gothic" w:hAnsi="Century Gothic"/>
        <w:sz w:val="18"/>
        <w:szCs w:val="18"/>
      </w:rPr>
      <w:tab/>
    </w:r>
    <w:r>
      <w:rPr>
        <w:rFonts w:ascii="Century Gothic" w:hAnsi="Century Gothic"/>
        <w:sz w:val="18"/>
        <w:szCs w:val="18"/>
      </w:rPr>
      <w:tab/>
    </w:r>
    <w:r w:rsidRPr="00B07E10">
      <w:rPr>
        <w:rFonts w:ascii="Century Gothic" w:hAnsi="Century Gothic"/>
      </w:rPr>
      <w:fldChar w:fldCharType="begin"/>
    </w:r>
    <w:r w:rsidRPr="00B07E10">
      <w:rPr>
        <w:rFonts w:ascii="Century Gothic" w:hAnsi="Century Gothic"/>
      </w:rPr>
      <w:instrText xml:space="preserve"> PAGE   \* MERGEFORMAT </w:instrText>
    </w:r>
    <w:r w:rsidRPr="00B07E10">
      <w:rPr>
        <w:rFonts w:ascii="Century Gothic" w:hAnsi="Century Gothic"/>
      </w:rPr>
      <w:fldChar w:fldCharType="separate"/>
    </w:r>
    <w:r w:rsidR="00523B76">
      <w:rPr>
        <w:rFonts w:ascii="Century Gothic" w:hAnsi="Century Gothic"/>
        <w:noProof/>
      </w:rPr>
      <w:t>7</w:t>
    </w:r>
    <w:r w:rsidRPr="00B07E10">
      <w:rPr>
        <w:rFonts w:ascii="Century Gothic" w:hAnsi="Century Gothic"/>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1B0C2" w14:textId="77777777" w:rsidR="00D13094" w:rsidRDefault="00D13094" w:rsidP="0075636E">
      <w:pPr>
        <w:spacing w:after="0" w:line="240" w:lineRule="auto"/>
      </w:pPr>
      <w:r>
        <w:separator/>
      </w:r>
    </w:p>
  </w:footnote>
  <w:footnote w:type="continuationSeparator" w:id="0">
    <w:p w14:paraId="75F6E95F" w14:textId="77777777" w:rsidR="00D13094" w:rsidRDefault="00D13094" w:rsidP="0075636E">
      <w:pPr>
        <w:spacing w:after="0" w:line="240" w:lineRule="auto"/>
      </w:pPr>
      <w:r>
        <w:continuationSeparator/>
      </w:r>
    </w:p>
  </w:footnote>
  <w:footnote w:id="1">
    <w:p w14:paraId="2150D4FC" w14:textId="77777777" w:rsidR="00290025" w:rsidRDefault="00290025" w:rsidP="00645C78">
      <w:pPr>
        <w:pStyle w:val="FootnoteText"/>
      </w:pPr>
      <w:r>
        <w:rPr>
          <w:rStyle w:val="FootnoteReference"/>
        </w:rPr>
        <w:footnoteRef/>
      </w:r>
      <w:r>
        <w:t xml:space="preserve"> The Issues Paper was available from the web page </w:t>
      </w:r>
      <w:hyperlink r:id="rId1" w:history="1">
        <w:r w:rsidRPr="007665B4">
          <w:rPr>
            <w:rStyle w:val="Hyperlink"/>
          </w:rPr>
          <w:t>http://www.pc.gov.au/inquiries/current/disability-agreement/issues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80375" w14:textId="77777777" w:rsidR="00B7577A" w:rsidRDefault="00B75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BEF57" w14:textId="77777777" w:rsidR="00B7577A" w:rsidRDefault="00B75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B9599" w14:textId="77777777" w:rsidR="00B7577A" w:rsidRDefault="00B75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048"/>
    <w:multiLevelType w:val="hybridMultilevel"/>
    <w:tmpl w:val="F88C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72F5F"/>
    <w:multiLevelType w:val="hybridMultilevel"/>
    <w:tmpl w:val="3768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992D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726F92"/>
    <w:multiLevelType w:val="multilevel"/>
    <w:tmpl w:val="2012BB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CC49BB"/>
    <w:multiLevelType w:val="hybridMultilevel"/>
    <w:tmpl w:val="A14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C68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5E4A21"/>
    <w:multiLevelType w:val="hybridMultilevel"/>
    <w:tmpl w:val="2E306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DB49E2"/>
    <w:multiLevelType w:val="hybridMultilevel"/>
    <w:tmpl w:val="61C2C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4D1D96"/>
    <w:multiLevelType w:val="hybridMultilevel"/>
    <w:tmpl w:val="21EE3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10A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426B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F54846"/>
    <w:multiLevelType w:val="hybridMultilevel"/>
    <w:tmpl w:val="BBAC3A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CD7123"/>
    <w:multiLevelType w:val="hybridMultilevel"/>
    <w:tmpl w:val="475E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F56A9"/>
    <w:multiLevelType w:val="hybridMultilevel"/>
    <w:tmpl w:val="C37AB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DE7415"/>
    <w:multiLevelType w:val="hybridMultilevel"/>
    <w:tmpl w:val="6AB4D7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C85766"/>
    <w:multiLevelType w:val="hybridMultilevel"/>
    <w:tmpl w:val="50D0C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A7105FE"/>
    <w:multiLevelType w:val="hybridMultilevel"/>
    <w:tmpl w:val="FDF8D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2F4A30"/>
    <w:multiLevelType w:val="hybridMultilevel"/>
    <w:tmpl w:val="BDFC1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550863"/>
    <w:multiLevelType w:val="hybridMultilevel"/>
    <w:tmpl w:val="C7AE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18"/>
  </w:num>
  <w:num w:numId="6">
    <w:abstractNumId w:val="1"/>
  </w:num>
  <w:num w:numId="7">
    <w:abstractNumId w:val="13"/>
  </w:num>
  <w:num w:numId="8">
    <w:abstractNumId w:val="7"/>
  </w:num>
  <w:num w:numId="9">
    <w:abstractNumId w:val="6"/>
  </w:num>
  <w:num w:numId="10">
    <w:abstractNumId w:val="17"/>
  </w:num>
  <w:num w:numId="11">
    <w:abstractNumId w:val="15"/>
  </w:num>
  <w:num w:numId="12">
    <w:abstractNumId w:val="12"/>
  </w:num>
  <w:num w:numId="13">
    <w:abstractNumId w:val="4"/>
  </w:num>
  <w:num w:numId="14">
    <w:abstractNumId w:val="3"/>
  </w:num>
  <w:num w:numId="15">
    <w:abstractNumId w:val="5"/>
  </w:num>
  <w:num w:numId="16">
    <w:abstractNumId w:val="9"/>
  </w:num>
  <w:num w:numId="17">
    <w:abstractNumId w:val="16"/>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6E"/>
    <w:rsid w:val="000028E6"/>
    <w:rsid w:val="000146CD"/>
    <w:rsid w:val="00020D19"/>
    <w:rsid w:val="000225A8"/>
    <w:rsid w:val="00030413"/>
    <w:rsid w:val="00030EC7"/>
    <w:rsid w:val="00040A7F"/>
    <w:rsid w:val="00044A32"/>
    <w:rsid w:val="00046D46"/>
    <w:rsid w:val="00054037"/>
    <w:rsid w:val="00073D09"/>
    <w:rsid w:val="0008273E"/>
    <w:rsid w:val="00084E71"/>
    <w:rsid w:val="000A0133"/>
    <w:rsid w:val="000B1BE2"/>
    <w:rsid w:val="000B3E84"/>
    <w:rsid w:val="000C4836"/>
    <w:rsid w:val="000D6227"/>
    <w:rsid w:val="000D7DD5"/>
    <w:rsid w:val="000E0914"/>
    <w:rsid w:val="000E725D"/>
    <w:rsid w:val="000F70A6"/>
    <w:rsid w:val="00105430"/>
    <w:rsid w:val="00126D6F"/>
    <w:rsid w:val="0013627F"/>
    <w:rsid w:val="00136FBE"/>
    <w:rsid w:val="00140A25"/>
    <w:rsid w:val="00142AE8"/>
    <w:rsid w:val="00151371"/>
    <w:rsid w:val="00155459"/>
    <w:rsid w:val="00155D26"/>
    <w:rsid w:val="00166536"/>
    <w:rsid w:val="00174977"/>
    <w:rsid w:val="00180A19"/>
    <w:rsid w:val="00183167"/>
    <w:rsid w:val="00187B61"/>
    <w:rsid w:val="001912FF"/>
    <w:rsid w:val="001A19F3"/>
    <w:rsid w:val="001A240A"/>
    <w:rsid w:val="001A73F1"/>
    <w:rsid w:val="001B0734"/>
    <w:rsid w:val="001B1EB6"/>
    <w:rsid w:val="001C1231"/>
    <w:rsid w:val="001C7AD6"/>
    <w:rsid w:val="001D6AD6"/>
    <w:rsid w:val="001D7CDB"/>
    <w:rsid w:val="001E2FD6"/>
    <w:rsid w:val="001F06CA"/>
    <w:rsid w:val="00204C73"/>
    <w:rsid w:val="00216386"/>
    <w:rsid w:val="002260A8"/>
    <w:rsid w:val="00241779"/>
    <w:rsid w:val="00257F17"/>
    <w:rsid w:val="00270800"/>
    <w:rsid w:val="002734DD"/>
    <w:rsid w:val="00276EA7"/>
    <w:rsid w:val="00290025"/>
    <w:rsid w:val="002B7F3F"/>
    <w:rsid w:val="002E7645"/>
    <w:rsid w:val="002F444D"/>
    <w:rsid w:val="00304463"/>
    <w:rsid w:val="00306F6C"/>
    <w:rsid w:val="003107EC"/>
    <w:rsid w:val="00317AF1"/>
    <w:rsid w:val="0032069D"/>
    <w:rsid w:val="00337494"/>
    <w:rsid w:val="0033774C"/>
    <w:rsid w:val="0034322A"/>
    <w:rsid w:val="003463B7"/>
    <w:rsid w:val="00346BBA"/>
    <w:rsid w:val="003516C7"/>
    <w:rsid w:val="003730DA"/>
    <w:rsid w:val="0037360F"/>
    <w:rsid w:val="00381BE7"/>
    <w:rsid w:val="003A7670"/>
    <w:rsid w:val="003C2DB5"/>
    <w:rsid w:val="003C3992"/>
    <w:rsid w:val="003C40AF"/>
    <w:rsid w:val="003C6158"/>
    <w:rsid w:val="003D10C3"/>
    <w:rsid w:val="003D6E6E"/>
    <w:rsid w:val="003D7B43"/>
    <w:rsid w:val="003E4135"/>
    <w:rsid w:val="003F05B5"/>
    <w:rsid w:val="003F22FC"/>
    <w:rsid w:val="003F4D6A"/>
    <w:rsid w:val="003F7FBF"/>
    <w:rsid w:val="00403F86"/>
    <w:rsid w:val="00413E27"/>
    <w:rsid w:val="00421598"/>
    <w:rsid w:val="004334E4"/>
    <w:rsid w:val="00442A5F"/>
    <w:rsid w:val="00444F9E"/>
    <w:rsid w:val="004510F1"/>
    <w:rsid w:val="00452E8A"/>
    <w:rsid w:val="00463238"/>
    <w:rsid w:val="004824F4"/>
    <w:rsid w:val="00483548"/>
    <w:rsid w:val="004869AF"/>
    <w:rsid w:val="004976C8"/>
    <w:rsid w:val="004B37BD"/>
    <w:rsid w:val="004B6E08"/>
    <w:rsid w:val="004C23A1"/>
    <w:rsid w:val="004D3F9A"/>
    <w:rsid w:val="004D44BC"/>
    <w:rsid w:val="004E6AF9"/>
    <w:rsid w:val="004E6F14"/>
    <w:rsid w:val="004F053D"/>
    <w:rsid w:val="004F35A0"/>
    <w:rsid w:val="00501E40"/>
    <w:rsid w:val="0051471E"/>
    <w:rsid w:val="00515318"/>
    <w:rsid w:val="00523B76"/>
    <w:rsid w:val="00531576"/>
    <w:rsid w:val="00533147"/>
    <w:rsid w:val="0053618F"/>
    <w:rsid w:val="00541A07"/>
    <w:rsid w:val="00541FA6"/>
    <w:rsid w:val="0055266B"/>
    <w:rsid w:val="00575B4C"/>
    <w:rsid w:val="005810E9"/>
    <w:rsid w:val="0058112C"/>
    <w:rsid w:val="00581A6D"/>
    <w:rsid w:val="005A7611"/>
    <w:rsid w:val="005B1708"/>
    <w:rsid w:val="005B549D"/>
    <w:rsid w:val="005C2B52"/>
    <w:rsid w:val="005D1C31"/>
    <w:rsid w:val="005D6BA0"/>
    <w:rsid w:val="005D7BCE"/>
    <w:rsid w:val="005E7536"/>
    <w:rsid w:val="005F4DFD"/>
    <w:rsid w:val="00603994"/>
    <w:rsid w:val="006067EE"/>
    <w:rsid w:val="0061094D"/>
    <w:rsid w:val="00616EA1"/>
    <w:rsid w:val="00634A12"/>
    <w:rsid w:val="006426EF"/>
    <w:rsid w:val="00643DC4"/>
    <w:rsid w:val="00645661"/>
    <w:rsid w:val="00645C78"/>
    <w:rsid w:val="006477C2"/>
    <w:rsid w:val="00650EA1"/>
    <w:rsid w:val="00666150"/>
    <w:rsid w:val="0067056A"/>
    <w:rsid w:val="00684DF0"/>
    <w:rsid w:val="00687207"/>
    <w:rsid w:val="00687E26"/>
    <w:rsid w:val="0069301C"/>
    <w:rsid w:val="006A2F0B"/>
    <w:rsid w:val="006C3981"/>
    <w:rsid w:val="006C7E17"/>
    <w:rsid w:val="006D6E6A"/>
    <w:rsid w:val="006E3230"/>
    <w:rsid w:val="006F53CC"/>
    <w:rsid w:val="00700A17"/>
    <w:rsid w:val="00701D06"/>
    <w:rsid w:val="00706F5D"/>
    <w:rsid w:val="00716B41"/>
    <w:rsid w:val="00720441"/>
    <w:rsid w:val="00721968"/>
    <w:rsid w:val="007226D3"/>
    <w:rsid w:val="0072546C"/>
    <w:rsid w:val="00734CBC"/>
    <w:rsid w:val="0075636E"/>
    <w:rsid w:val="0076144C"/>
    <w:rsid w:val="00762430"/>
    <w:rsid w:val="007638E0"/>
    <w:rsid w:val="007663B8"/>
    <w:rsid w:val="0077185E"/>
    <w:rsid w:val="00775EFF"/>
    <w:rsid w:val="00780CBC"/>
    <w:rsid w:val="00791CFF"/>
    <w:rsid w:val="007A0AFF"/>
    <w:rsid w:val="007A23A2"/>
    <w:rsid w:val="007A4D6E"/>
    <w:rsid w:val="007B48C8"/>
    <w:rsid w:val="007B74BE"/>
    <w:rsid w:val="007C3D00"/>
    <w:rsid w:val="007C5905"/>
    <w:rsid w:val="007D0449"/>
    <w:rsid w:val="007D16B2"/>
    <w:rsid w:val="007E2F81"/>
    <w:rsid w:val="007E32AA"/>
    <w:rsid w:val="007E49BC"/>
    <w:rsid w:val="007E667B"/>
    <w:rsid w:val="007F7B43"/>
    <w:rsid w:val="008068F0"/>
    <w:rsid w:val="00815188"/>
    <w:rsid w:val="00836008"/>
    <w:rsid w:val="00837AA5"/>
    <w:rsid w:val="00841853"/>
    <w:rsid w:val="0084567A"/>
    <w:rsid w:val="00862585"/>
    <w:rsid w:val="008832A0"/>
    <w:rsid w:val="00883628"/>
    <w:rsid w:val="00883D83"/>
    <w:rsid w:val="008851A8"/>
    <w:rsid w:val="00893741"/>
    <w:rsid w:val="008A0740"/>
    <w:rsid w:val="008A33E6"/>
    <w:rsid w:val="008A4D01"/>
    <w:rsid w:val="008B5C73"/>
    <w:rsid w:val="008C4133"/>
    <w:rsid w:val="008D1051"/>
    <w:rsid w:val="008D7FF7"/>
    <w:rsid w:val="008E6D1F"/>
    <w:rsid w:val="008F3761"/>
    <w:rsid w:val="008F43D9"/>
    <w:rsid w:val="008F64AD"/>
    <w:rsid w:val="009036E0"/>
    <w:rsid w:val="00912E5F"/>
    <w:rsid w:val="009336D3"/>
    <w:rsid w:val="00941335"/>
    <w:rsid w:val="0094282B"/>
    <w:rsid w:val="00942936"/>
    <w:rsid w:val="009455B6"/>
    <w:rsid w:val="00950D90"/>
    <w:rsid w:val="00972CEB"/>
    <w:rsid w:val="00976D22"/>
    <w:rsid w:val="0098299A"/>
    <w:rsid w:val="00983BE4"/>
    <w:rsid w:val="009A1486"/>
    <w:rsid w:val="009A4781"/>
    <w:rsid w:val="009A6F15"/>
    <w:rsid w:val="009B543F"/>
    <w:rsid w:val="009C09BD"/>
    <w:rsid w:val="009C47F4"/>
    <w:rsid w:val="009C6855"/>
    <w:rsid w:val="009C6E7D"/>
    <w:rsid w:val="009E06E9"/>
    <w:rsid w:val="009F6CE7"/>
    <w:rsid w:val="00A02795"/>
    <w:rsid w:val="00A10674"/>
    <w:rsid w:val="00A147FE"/>
    <w:rsid w:val="00A17C06"/>
    <w:rsid w:val="00A223D6"/>
    <w:rsid w:val="00A2318A"/>
    <w:rsid w:val="00A37185"/>
    <w:rsid w:val="00A43919"/>
    <w:rsid w:val="00A50D66"/>
    <w:rsid w:val="00A53EEE"/>
    <w:rsid w:val="00A57AE8"/>
    <w:rsid w:val="00A753CF"/>
    <w:rsid w:val="00A76F6A"/>
    <w:rsid w:val="00A95E1B"/>
    <w:rsid w:val="00AA24FF"/>
    <w:rsid w:val="00AA3B32"/>
    <w:rsid w:val="00AA4F48"/>
    <w:rsid w:val="00AB0792"/>
    <w:rsid w:val="00AB1FA5"/>
    <w:rsid w:val="00AB3DE0"/>
    <w:rsid w:val="00AC0A93"/>
    <w:rsid w:val="00AF0B04"/>
    <w:rsid w:val="00AF7532"/>
    <w:rsid w:val="00B001FA"/>
    <w:rsid w:val="00B07E10"/>
    <w:rsid w:val="00B16421"/>
    <w:rsid w:val="00B21BF5"/>
    <w:rsid w:val="00B2786F"/>
    <w:rsid w:val="00B31F6C"/>
    <w:rsid w:val="00B34FC6"/>
    <w:rsid w:val="00B3711E"/>
    <w:rsid w:val="00B3742A"/>
    <w:rsid w:val="00B379D6"/>
    <w:rsid w:val="00B43F92"/>
    <w:rsid w:val="00B54345"/>
    <w:rsid w:val="00B56DDB"/>
    <w:rsid w:val="00B61C07"/>
    <w:rsid w:val="00B63462"/>
    <w:rsid w:val="00B64BE3"/>
    <w:rsid w:val="00B659B1"/>
    <w:rsid w:val="00B6636A"/>
    <w:rsid w:val="00B70E17"/>
    <w:rsid w:val="00B747BA"/>
    <w:rsid w:val="00B750E3"/>
    <w:rsid w:val="00B7577A"/>
    <w:rsid w:val="00B954F7"/>
    <w:rsid w:val="00B9716F"/>
    <w:rsid w:val="00BA1C8A"/>
    <w:rsid w:val="00BA63FA"/>
    <w:rsid w:val="00BB0298"/>
    <w:rsid w:val="00BB3302"/>
    <w:rsid w:val="00BB7B0D"/>
    <w:rsid w:val="00BD0369"/>
    <w:rsid w:val="00BD0834"/>
    <w:rsid w:val="00BE731E"/>
    <w:rsid w:val="00C03F77"/>
    <w:rsid w:val="00C06BE0"/>
    <w:rsid w:val="00C110ED"/>
    <w:rsid w:val="00C1770A"/>
    <w:rsid w:val="00C25689"/>
    <w:rsid w:val="00C303C2"/>
    <w:rsid w:val="00C40585"/>
    <w:rsid w:val="00C440EA"/>
    <w:rsid w:val="00C50065"/>
    <w:rsid w:val="00C5478E"/>
    <w:rsid w:val="00C609AD"/>
    <w:rsid w:val="00C618D4"/>
    <w:rsid w:val="00C7466D"/>
    <w:rsid w:val="00CA4DF8"/>
    <w:rsid w:val="00CB36A3"/>
    <w:rsid w:val="00CC1225"/>
    <w:rsid w:val="00CC1A00"/>
    <w:rsid w:val="00CD3C3B"/>
    <w:rsid w:val="00CE6D14"/>
    <w:rsid w:val="00CF108D"/>
    <w:rsid w:val="00D113D3"/>
    <w:rsid w:val="00D13094"/>
    <w:rsid w:val="00D1335D"/>
    <w:rsid w:val="00D146FA"/>
    <w:rsid w:val="00D305F5"/>
    <w:rsid w:val="00D52E53"/>
    <w:rsid w:val="00D66A70"/>
    <w:rsid w:val="00D731A6"/>
    <w:rsid w:val="00D7351A"/>
    <w:rsid w:val="00D76258"/>
    <w:rsid w:val="00D823E4"/>
    <w:rsid w:val="00D94D87"/>
    <w:rsid w:val="00D961C4"/>
    <w:rsid w:val="00DA5477"/>
    <w:rsid w:val="00DB0B6A"/>
    <w:rsid w:val="00DB1203"/>
    <w:rsid w:val="00DB13AD"/>
    <w:rsid w:val="00DC5418"/>
    <w:rsid w:val="00DC7525"/>
    <w:rsid w:val="00DD6B5A"/>
    <w:rsid w:val="00E20591"/>
    <w:rsid w:val="00E2505D"/>
    <w:rsid w:val="00E34604"/>
    <w:rsid w:val="00E504A4"/>
    <w:rsid w:val="00E5085F"/>
    <w:rsid w:val="00E543DF"/>
    <w:rsid w:val="00E73014"/>
    <w:rsid w:val="00E842EF"/>
    <w:rsid w:val="00E946ED"/>
    <w:rsid w:val="00EA1BBC"/>
    <w:rsid w:val="00EA35A9"/>
    <w:rsid w:val="00EC0F10"/>
    <w:rsid w:val="00EC55EF"/>
    <w:rsid w:val="00ED285C"/>
    <w:rsid w:val="00EE53E9"/>
    <w:rsid w:val="00EE6C16"/>
    <w:rsid w:val="00EF2694"/>
    <w:rsid w:val="00EF35DC"/>
    <w:rsid w:val="00F049B0"/>
    <w:rsid w:val="00F2501D"/>
    <w:rsid w:val="00F3121C"/>
    <w:rsid w:val="00F32087"/>
    <w:rsid w:val="00F4193A"/>
    <w:rsid w:val="00F43985"/>
    <w:rsid w:val="00F44FA7"/>
    <w:rsid w:val="00F57006"/>
    <w:rsid w:val="00F62955"/>
    <w:rsid w:val="00F64509"/>
    <w:rsid w:val="00F70EA1"/>
    <w:rsid w:val="00F77425"/>
    <w:rsid w:val="00F81C17"/>
    <w:rsid w:val="00F905AE"/>
    <w:rsid w:val="00F96E2C"/>
    <w:rsid w:val="00FA112A"/>
    <w:rsid w:val="00FA26AA"/>
    <w:rsid w:val="00FA34EF"/>
    <w:rsid w:val="00FA7980"/>
    <w:rsid w:val="00FB19E5"/>
    <w:rsid w:val="00FB6570"/>
    <w:rsid w:val="00FE09F7"/>
    <w:rsid w:val="00FE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C44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6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36E"/>
  </w:style>
  <w:style w:type="paragraph" w:styleId="Header">
    <w:name w:val="header"/>
    <w:basedOn w:val="Normal"/>
    <w:link w:val="HeaderChar"/>
    <w:uiPriority w:val="99"/>
    <w:unhideWhenUsed/>
    <w:rsid w:val="00756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36E"/>
  </w:style>
  <w:style w:type="paragraph" w:styleId="NoSpacing">
    <w:name w:val="No Spacing"/>
    <w:uiPriority w:val="1"/>
    <w:qFormat/>
    <w:rsid w:val="00F70EA1"/>
    <w:pPr>
      <w:spacing w:after="0" w:line="240" w:lineRule="auto"/>
    </w:pPr>
  </w:style>
  <w:style w:type="paragraph" w:styleId="ListParagraph">
    <w:name w:val="List Paragraph"/>
    <w:basedOn w:val="Normal"/>
    <w:uiPriority w:val="34"/>
    <w:qFormat/>
    <w:rsid w:val="00A10674"/>
    <w:pPr>
      <w:ind w:left="720"/>
      <w:contextualSpacing/>
    </w:pPr>
  </w:style>
  <w:style w:type="paragraph" w:styleId="FootnoteText">
    <w:name w:val="footnote text"/>
    <w:basedOn w:val="Normal"/>
    <w:link w:val="FootnoteTextChar"/>
    <w:uiPriority w:val="99"/>
    <w:semiHidden/>
    <w:unhideWhenUsed/>
    <w:rsid w:val="00D146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6FA"/>
    <w:rPr>
      <w:sz w:val="20"/>
      <w:szCs w:val="20"/>
    </w:rPr>
  </w:style>
  <w:style w:type="character" w:styleId="FootnoteReference">
    <w:name w:val="footnote reference"/>
    <w:basedOn w:val="DefaultParagraphFont"/>
    <w:uiPriority w:val="99"/>
    <w:semiHidden/>
    <w:unhideWhenUsed/>
    <w:rsid w:val="00D146FA"/>
    <w:rPr>
      <w:vertAlign w:val="superscript"/>
    </w:rPr>
  </w:style>
  <w:style w:type="character" w:styleId="Hyperlink">
    <w:name w:val="Hyperlink"/>
    <w:basedOn w:val="DefaultParagraphFont"/>
    <w:uiPriority w:val="99"/>
    <w:unhideWhenUsed/>
    <w:rsid w:val="00044A32"/>
    <w:rPr>
      <w:color w:val="0563C1" w:themeColor="hyperlink"/>
      <w:u w:val="single"/>
    </w:rPr>
  </w:style>
  <w:style w:type="table" w:styleId="TableGrid">
    <w:name w:val="Table Grid"/>
    <w:basedOn w:val="TableNormal"/>
    <w:uiPriority w:val="39"/>
    <w:rsid w:val="00AF0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34"/>
    <w:rPr>
      <w:rFonts w:ascii="Segoe UI" w:hAnsi="Segoe UI" w:cs="Segoe UI"/>
      <w:sz w:val="18"/>
      <w:szCs w:val="18"/>
    </w:rPr>
  </w:style>
  <w:style w:type="paragraph" w:customStyle="1" w:styleId="Default">
    <w:name w:val="Default"/>
    <w:rsid w:val="00F905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85777">
      <w:bodyDiv w:val="1"/>
      <w:marLeft w:val="0"/>
      <w:marRight w:val="0"/>
      <w:marTop w:val="0"/>
      <w:marBottom w:val="0"/>
      <w:divBdr>
        <w:top w:val="none" w:sz="0" w:space="0" w:color="auto"/>
        <w:left w:val="none" w:sz="0" w:space="0" w:color="auto"/>
        <w:bottom w:val="none" w:sz="0" w:space="0" w:color="auto"/>
        <w:right w:val="none" w:sz="0" w:space="0" w:color="auto"/>
      </w:divBdr>
    </w:div>
    <w:div w:id="18438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ublicadvocate.vic.gov.au/power-of-attorney/supportive-attorney-appointment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ws.org.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ws.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c.gov.au/inquiries/current/disability-agreement/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25A29-FA6A-4B0E-9502-14207C444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907B5C42.dotm</Template>
  <TotalTime>0</TotalTime>
  <Pages>7</Pages>
  <Words>2557</Words>
  <Characters>13890</Characters>
  <Application>Microsoft Office Word</Application>
  <DocSecurity>0</DocSecurity>
  <Lines>283</Lines>
  <Paragraphs>104</Paragraphs>
  <ScaleCrop>false</ScaleCrop>
  <HeadingPairs>
    <vt:vector size="2" baseType="variant">
      <vt:variant>
        <vt:lpstr>Title</vt:lpstr>
      </vt:variant>
      <vt:variant>
        <vt:i4>1</vt:i4>
      </vt:variant>
    </vt:vector>
  </HeadingPairs>
  <TitlesOfParts>
    <vt:vector size="1" baseType="lpstr">
      <vt:lpstr>Submission 12 - Prader-Wili Syndrome Australia - National Disability Agreement Review - Commissioned study</vt:lpstr>
    </vt:vector>
  </TitlesOfParts>
  <Manager/>
  <Company/>
  <LinksUpToDate>false</LinksUpToDate>
  <CharactersWithSpaces>16343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Prader-Wili Syndrome Australia - National Disability Agreement Review - Commissioned study</dc:title>
  <dc:subject/>
  <dc:creator/>
  <cp:keywords/>
  <dc:description/>
  <cp:lastModifiedBy/>
  <cp:revision>1</cp:revision>
  <dcterms:created xsi:type="dcterms:W3CDTF">2018-08-22T22:31:00Z</dcterms:created>
  <dcterms:modified xsi:type="dcterms:W3CDTF">2018-08-24T05:08:00Z</dcterms:modified>
</cp:coreProperties>
</file>