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B88F7" w14:textId="77777777" w:rsidR="00E40E55" w:rsidRDefault="00E40E55" w:rsidP="008505F8">
      <w:pPr>
        <w:jc w:val="both"/>
      </w:pPr>
      <w:bookmarkStart w:id="0" w:name="_GoBack"/>
      <w:bookmarkEnd w:id="0"/>
    </w:p>
    <w:tbl>
      <w:tblPr>
        <w:tblStyle w:val="Style1"/>
        <w:tblpPr w:leftFromText="180" w:rightFromText="180" w:vertAnchor="text" w:tblpY="1"/>
        <w:tblW w:w="0" w:type="auto"/>
        <w:tblLayout w:type="fixed"/>
        <w:tblLook w:val="04A0" w:firstRow="1" w:lastRow="0" w:firstColumn="1" w:lastColumn="0" w:noHBand="0" w:noVBand="1"/>
      </w:tblPr>
      <w:tblGrid>
        <w:gridCol w:w="10466"/>
      </w:tblGrid>
      <w:tr w:rsidR="00155837" w:rsidRPr="00155837" w14:paraId="32F2442B" w14:textId="77777777" w:rsidTr="008505F8">
        <w:tc>
          <w:tcPr>
            <w:tcW w:w="10466" w:type="dxa"/>
            <w:tcBorders>
              <w:top w:val="single" w:sz="24" w:space="0" w:color="48B2E8" w:themeColor="accent4"/>
            </w:tcBorders>
            <w:shd w:val="clear" w:color="auto" w:fill="DAEFFA" w:themeFill="accent4" w:themeFillTint="33"/>
          </w:tcPr>
          <w:p w14:paraId="6D515090" w14:textId="77777777" w:rsidR="0021131A" w:rsidRDefault="0021131A" w:rsidP="008505F8">
            <w:pPr>
              <w:jc w:val="both"/>
              <w:rPr>
                <w:sz w:val="18"/>
                <w:szCs w:val="18"/>
              </w:rPr>
            </w:pPr>
            <w:r w:rsidRPr="000468CF">
              <w:rPr>
                <w:b/>
                <w:i/>
                <w:sz w:val="18"/>
                <w:szCs w:val="18"/>
              </w:rPr>
              <w:t>Information Request 5.1</w:t>
            </w:r>
            <w:r w:rsidRPr="000468CF">
              <w:rPr>
                <w:sz w:val="18"/>
                <w:szCs w:val="18"/>
              </w:rPr>
              <w:t xml:space="preserve"> </w:t>
            </w:r>
          </w:p>
          <w:p w14:paraId="4D9D9F3A" w14:textId="12D415B4" w:rsidR="00155837" w:rsidRPr="00155837" w:rsidRDefault="0021131A" w:rsidP="008505F8">
            <w:pPr>
              <w:jc w:val="both"/>
              <w:rPr>
                <w:b/>
              </w:rPr>
            </w:pPr>
            <w:r w:rsidRPr="000468CF">
              <w:rPr>
                <w:sz w:val="18"/>
                <w:szCs w:val="18"/>
              </w:rPr>
              <w:t>The Commission was told that the data record on Sentinel significantly understates the incidence of most types of work health and safety incidents. What aspects of Sentinel contribute to this and what might be done to improve reporting rates?</w:t>
            </w:r>
          </w:p>
        </w:tc>
      </w:tr>
      <w:tr w:rsidR="0021131A" w:rsidRPr="00155837" w14:paraId="5FD5E1B7" w14:textId="77777777" w:rsidTr="00584B34">
        <w:tc>
          <w:tcPr>
            <w:tcW w:w="10466" w:type="dxa"/>
            <w:shd w:val="clear" w:color="auto" w:fill="F2F2F2" w:themeFill="background1" w:themeFillShade="F2"/>
          </w:tcPr>
          <w:p w14:paraId="57FEAA3E" w14:textId="1F47DE13" w:rsidR="0021131A" w:rsidRPr="00155837" w:rsidRDefault="0021131A" w:rsidP="008505F8">
            <w:pPr>
              <w:jc w:val="both"/>
              <w:rPr>
                <w:b/>
              </w:rPr>
            </w:pPr>
            <w:r>
              <w:rPr>
                <w:b/>
              </w:rPr>
              <w:t>RESPONSE</w:t>
            </w:r>
          </w:p>
        </w:tc>
      </w:tr>
      <w:tr w:rsidR="0021131A" w:rsidRPr="00155837" w14:paraId="3CA7086D" w14:textId="77777777" w:rsidTr="00516122">
        <w:tc>
          <w:tcPr>
            <w:tcW w:w="10466" w:type="dxa"/>
          </w:tcPr>
          <w:p w14:paraId="36450064" w14:textId="77777777" w:rsidR="0021131A" w:rsidRPr="000468CF" w:rsidRDefault="0021131A" w:rsidP="008505F8">
            <w:pPr>
              <w:jc w:val="both"/>
              <w:rPr>
                <w:sz w:val="18"/>
                <w:szCs w:val="18"/>
              </w:rPr>
            </w:pPr>
            <w:r w:rsidRPr="000468CF">
              <w:rPr>
                <w:sz w:val="18"/>
                <w:szCs w:val="18"/>
              </w:rPr>
              <w:t>WHS issues:</w:t>
            </w:r>
          </w:p>
          <w:p w14:paraId="102CC310" w14:textId="77777777" w:rsidR="0021131A" w:rsidRPr="000468CF" w:rsidRDefault="0021131A" w:rsidP="008505F8">
            <w:pPr>
              <w:pStyle w:val="ListParagraph"/>
              <w:numPr>
                <w:ilvl w:val="0"/>
                <w:numId w:val="24"/>
              </w:numPr>
              <w:spacing w:before="0" w:after="0"/>
              <w:jc w:val="both"/>
              <w:rPr>
                <w:sz w:val="18"/>
                <w:szCs w:val="18"/>
              </w:rPr>
            </w:pPr>
            <w:r w:rsidRPr="000468CF">
              <w:rPr>
                <w:sz w:val="18"/>
                <w:szCs w:val="18"/>
              </w:rPr>
              <w:t xml:space="preserve">Members have reported concerns they are asked to do things in training and day to day that put them at unnecessary risk. </w:t>
            </w:r>
          </w:p>
          <w:p w14:paraId="20440246" w14:textId="77777777" w:rsidR="0021131A" w:rsidRPr="000468CF" w:rsidRDefault="0021131A" w:rsidP="008505F8">
            <w:pPr>
              <w:pStyle w:val="ListParagraph"/>
              <w:numPr>
                <w:ilvl w:val="0"/>
                <w:numId w:val="24"/>
              </w:numPr>
              <w:spacing w:before="0" w:after="0"/>
              <w:jc w:val="both"/>
              <w:rPr>
                <w:sz w:val="18"/>
                <w:szCs w:val="18"/>
              </w:rPr>
            </w:pPr>
            <w:r w:rsidRPr="000468CF">
              <w:rPr>
                <w:sz w:val="18"/>
                <w:szCs w:val="18"/>
              </w:rPr>
              <w:t xml:space="preserve">This has potential to result in lack of faith in the ADF in terms of responding to potential risks - This may lead to Members under reporting as they do not feel anything is going to be addressed. </w:t>
            </w:r>
          </w:p>
          <w:p w14:paraId="6C17F984" w14:textId="77777777" w:rsidR="0021131A" w:rsidRPr="000468CF" w:rsidRDefault="0021131A" w:rsidP="008505F8">
            <w:pPr>
              <w:jc w:val="both"/>
              <w:rPr>
                <w:sz w:val="18"/>
                <w:szCs w:val="18"/>
              </w:rPr>
            </w:pPr>
          </w:p>
          <w:p w14:paraId="6ECC1EBB" w14:textId="77777777" w:rsidR="0021131A" w:rsidRPr="000468CF" w:rsidRDefault="0021131A" w:rsidP="008505F8">
            <w:pPr>
              <w:jc w:val="both"/>
              <w:rPr>
                <w:sz w:val="18"/>
                <w:szCs w:val="18"/>
              </w:rPr>
            </w:pPr>
            <w:r w:rsidRPr="000468CF">
              <w:rPr>
                <w:sz w:val="18"/>
                <w:szCs w:val="18"/>
              </w:rPr>
              <w:t>Confidentiality:</w:t>
            </w:r>
          </w:p>
          <w:p w14:paraId="27C3EDC9" w14:textId="77777777" w:rsidR="0021131A" w:rsidRPr="000468CF" w:rsidRDefault="0021131A" w:rsidP="008505F8">
            <w:pPr>
              <w:pStyle w:val="ListParagraph"/>
              <w:numPr>
                <w:ilvl w:val="0"/>
                <w:numId w:val="25"/>
              </w:numPr>
              <w:spacing w:before="0" w:after="0"/>
              <w:jc w:val="both"/>
              <w:rPr>
                <w:sz w:val="18"/>
                <w:szCs w:val="18"/>
              </w:rPr>
            </w:pPr>
            <w:r w:rsidRPr="000468CF">
              <w:rPr>
                <w:sz w:val="18"/>
                <w:szCs w:val="18"/>
              </w:rPr>
              <w:t>Would members be more likely to report near miss or other issues should there be an option of reporting confidentially?</w:t>
            </w:r>
          </w:p>
          <w:p w14:paraId="2286099E" w14:textId="77777777" w:rsidR="0021131A" w:rsidRPr="000468CF" w:rsidRDefault="0021131A" w:rsidP="008505F8">
            <w:pPr>
              <w:jc w:val="both"/>
              <w:rPr>
                <w:sz w:val="18"/>
                <w:szCs w:val="18"/>
              </w:rPr>
            </w:pPr>
          </w:p>
          <w:p w14:paraId="0B2BC4D3" w14:textId="77777777" w:rsidR="0021131A" w:rsidRPr="000468CF" w:rsidRDefault="0021131A" w:rsidP="008505F8">
            <w:pPr>
              <w:jc w:val="both"/>
              <w:rPr>
                <w:sz w:val="18"/>
                <w:szCs w:val="18"/>
              </w:rPr>
            </w:pPr>
            <w:r w:rsidRPr="000468CF">
              <w:rPr>
                <w:sz w:val="18"/>
                <w:szCs w:val="18"/>
              </w:rPr>
              <w:t>Are near misses captured by Sentinel?</w:t>
            </w:r>
          </w:p>
          <w:p w14:paraId="292A7EA3" w14:textId="77777777" w:rsidR="0021131A" w:rsidRPr="000468CF" w:rsidRDefault="0021131A" w:rsidP="008505F8">
            <w:pPr>
              <w:pStyle w:val="ListParagraph"/>
              <w:numPr>
                <w:ilvl w:val="0"/>
                <w:numId w:val="25"/>
              </w:numPr>
              <w:spacing w:before="0" w:after="0"/>
              <w:jc w:val="both"/>
              <w:rPr>
                <w:sz w:val="18"/>
                <w:szCs w:val="18"/>
              </w:rPr>
            </w:pPr>
            <w:r w:rsidRPr="000468CF">
              <w:rPr>
                <w:sz w:val="18"/>
                <w:szCs w:val="18"/>
              </w:rPr>
              <w:t>If there is no way to report near miss incident/potential hazards, the ADF are unable to identify risk areas which might help with implementing prevention strategies therefore decreasing overall incident rate.</w:t>
            </w:r>
          </w:p>
          <w:p w14:paraId="5E48FE97" w14:textId="77777777" w:rsidR="0021131A" w:rsidRPr="000468CF" w:rsidRDefault="0021131A" w:rsidP="008505F8">
            <w:pPr>
              <w:pStyle w:val="ListParagraph"/>
              <w:numPr>
                <w:ilvl w:val="0"/>
                <w:numId w:val="25"/>
              </w:numPr>
              <w:spacing w:before="0" w:after="0"/>
              <w:jc w:val="both"/>
              <w:rPr>
                <w:sz w:val="18"/>
                <w:szCs w:val="18"/>
              </w:rPr>
            </w:pPr>
            <w:r w:rsidRPr="000468CF">
              <w:rPr>
                <w:sz w:val="18"/>
                <w:szCs w:val="18"/>
              </w:rPr>
              <w:t>Are injuries/near misses whilst members are on deployment/exercise captured by Sentinel? If not, this will lower the incident rate.</w:t>
            </w:r>
          </w:p>
          <w:p w14:paraId="315BDCB8" w14:textId="77777777" w:rsidR="0021131A" w:rsidRPr="000468CF" w:rsidRDefault="0021131A" w:rsidP="008505F8">
            <w:pPr>
              <w:jc w:val="both"/>
              <w:rPr>
                <w:sz w:val="18"/>
                <w:szCs w:val="18"/>
              </w:rPr>
            </w:pPr>
          </w:p>
          <w:p w14:paraId="2C2F4DF8" w14:textId="77777777" w:rsidR="0021131A" w:rsidRPr="000468CF" w:rsidRDefault="0021131A" w:rsidP="008505F8">
            <w:pPr>
              <w:jc w:val="both"/>
              <w:rPr>
                <w:sz w:val="18"/>
                <w:szCs w:val="18"/>
              </w:rPr>
            </w:pPr>
            <w:r w:rsidRPr="000468CF">
              <w:rPr>
                <w:sz w:val="18"/>
                <w:szCs w:val="18"/>
              </w:rPr>
              <w:t>Education:</w:t>
            </w:r>
          </w:p>
          <w:p w14:paraId="2DCEF5BE" w14:textId="77777777" w:rsidR="0021131A" w:rsidRPr="000468CF" w:rsidRDefault="0021131A" w:rsidP="008505F8">
            <w:pPr>
              <w:pStyle w:val="ListParagraph"/>
              <w:numPr>
                <w:ilvl w:val="0"/>
                <w:numId w:val="25"/>
              </w:numPr>
              <w:spacing w:before="0" w:after="0"/>
              <w:jc w:val="both"/>
              <w:rPr>
                <w:sz w:val="18"/>
                <w:szCs w:val="18"/>
              </w:rPr>
            </w:pPr>
            <w:r w:rsidRPr="000468CF">
              <w:rPr>
                <w:sz w:val="18"/>
                <w:szCs w:val="18"/>
              </w:rPr>
              <w:t xml:space="preserve">Are members encouraged/given time to submit reports? Are they educated regarding the importance of this and shown tangible outcomes from having submitted </w:t>
            </w:r>
            <w:proofErr w:type="gramStart"/>
            <w:r w:rsidRPr="000468CF">
              <w:rPr>
                <w:sz w:val="18"/>
                <w:szCs w:val="18"/>
              </w:rPr>
              <w:t>reports.</w:t>
            </w:r>
            <w:proofErr w:type="gramEnd"/>
            <w:r w:rsidRPr="000468CF">
              <w:rPr>
                <w:sz w:val="18"/>
                <w:szCs w:val="18"/>
              </w:rPr>
              <w:t xml:space="preserve">  If they were to see actions arising </w:t>
            </w:r>
            <w:proofErr w:type="spellStart"/>
            <w:r w:rsidRPr="000468CF">
              <w:rPr>
                <w:sz w:val="18"/>
                <w:szCs w:val="18"/>
              </w:rPr>
              <w:t>form</w:t>
            </w:r>
            <w:proofErr w:type="spellEnd"/>
            <w:r w:rsidRPr="000468CF">
              <w:rPr>
                <w:sz w:val="18"/>
                <w:szCs w:val="18"/>
              </w:rPr>
              <w:t xml:space="preserve"> submitting a report, this may increase compliance.</w:t>
            </w:r>
          </w:p>
          <w:p w14:paraId="77B63AE9" w14:textId="77777777" w:rsidR="0021131A" w:rsidRPr="000468CF" w:rsidRDefault="0021131A" w:rsidP="008505F8">
            <w:pPr>
              <w:jc w:val="both"/>
              <w:rPr>
                <w:sz w:val="18"/>
                <w:szCs w:val="18"/>
              </w:rPr>
            </w:pPr>
          </w:p>
          <w:p w14:paraId="24FEE206" w14:textId="77777777" w:rsidR="0021131A" w:rsidRPr="000468CF" w:rsidRDefault="0021131A" w:rsidP="008505F8">
            <w:pPr>
              <w:jc w:val="both"/>
              <w:rPr>
                <w:sz w:val="18"/>
                <w:szCs w:val="18"/>
              </w:rPr>
            </w:pPr>
            <w:r w:rsidRPr="000468CF">
              <w:rPr>
                <w:sz w:val="18"/>
                <w:szCs w:val="18"/>
              </w:rPr>
              <w:t>Data captured:</w:t>
            </w:r>
          </w:p>
          <w:p w14:paraId="6131D0E0" w14:textId="77777777" w:rsidR="0021131A" w:rsidRPr="000468CF" w:rsidRDefault="0021131A" w:rsidP="008505F8">
            <w:pPr>
              <w:pStyle w:val="ListParagraph"/>
              <w:numPr>
                <w:ilvl w:val="0"/>
                <w:numId w:val="25"/>
              </w:numPr>
              <w:spacing w:before="0" w:after="0"/>
              <w:jc w:val="both"/>
              <w:rPr>
                <w:sz w:val="18"/>
                <w:szCs w:val="18"/>
              </w:rPr>
            </w:pPr>
            <w:r w:rsidRPr="000468CF">
              <w:rPr>
                <w:sz w:val="18"/>
                <w:szCs w:val="18"/>
              </w:rPr>
              <w:t xml:space="preserve">If a member submits an incident report at time of injury, are they able to modify this to capture more details on diagnosis, severity of injury and time lost? This would potentially give more oversight in terms of the injury incidence and severity. </w:t>
            </w:r>
          </w:p>
          <w:p w14:paraId="4F271344" w14:textId="77777777" w:rsidR="0021131A" w:rsidRPr="000468CF" w:rsidRDefault="0021131A" w:rsidP="008505F8">
            <w:pPr>
              <w:pStyle w:val="ListParagraph"/>
              <w:numPr>
                <w:ilvl w:val="0"/>
                <w:numId w:val="25"/>
              </w:numPr>
              <w:spacing w:before="0" w:after="0"/>
              <w:jc w:val="both"/>
              <w:rPr>
                <w:sz w:val="18"/>
                <w:szCs w:val="18"/>
              </w:rPr>
            </w:pPr>
            <w:r w:rsidRPr="000468CF">
              <w:rPr>
                <w:sz w:val="18"/>
                <w:szCs w:val="18"/>
              </w:rPr>
              <w:t>Currently Sentinel relies on members providing correct information regarding the incident and resulting injury. Members may be unaware at time of injury, just how bad it is and/or under report for fear of this impacting their job.</w:t>
            </w:r>
          </w:p>
          <w:p w14:paraId="291AF524" w14:textId="77777777" w:rsidR="0021131A" w:rsidRPr="000468CF" w:rsidRDefault="0021131A" w:rsidP="008505F8">
            <w:pPr>
              <w:pStyle w:val="ListParagraph"/>
              <w:numPr>
                <w:ilvl w:val="0"/>
                <w:numId w:val="25"/>
              </w:numPr>
              <w:spacing w:before="0" w:after="0"/>
              <w:jc w:val="both"/>
              <w:rPr>
                <w:sz w:val="18"/>
                <w:szCs w:val="18"/>
              </w:rPr>
            </w:pPr>
            <w:r w:rsidRPr="000468CF">
              <w:rPr>
                <w:sz w:val="18"/>
                <w:szCs w:val="18"/>
              </w:rPr>
              <w:t xml:space="preserve">Could there be a section of Sentinel that can be updated by THP once a diagnosis has been confirmed – link this to </w:t>
            </w:r>
            <w:proofErr w:type="spellStart"/>
            <w:r w:rsidRPr="000468CF">
              <w:rPr>
                <w:sz w:val="18"/>
                <w:szCs w:val="18"/>
              </w:rPr>
              <w:t>DeHS</w:t>
            </w:r>
            <w:proofErr w:type="spellEnd"/>
            <w:r w:rsidRPr="000468CF">
              <w:rPr>
                <w:sz w:val="18"/>
                <w:szCs w:val="18"/>
              </w:rPr>
              <w:t>?</w:t>
            </w:r>
          </w:p>
          <w:p w14:paraId="2E062430" w14:textId="0A3B2CF7" w:rsidR="0021131A" w:rsidRPr="00155837" w:rsidRDefault="0021131A" w:rsidP="008505F8">
            <w:pPr>
              <w:jc w:val="both"/>
            </w:pPr>
            <w:r w:rsidRPr="000468CF">
              <w:rPr>
                <w:sz w:val="18"/>
                <w:szCs w:val="18"/>
              </w:rPr>
              <w:t>Data capture in Sentinel focuses on a specific event occurring which has led to an injury. If a member has an injury as a result of an accumulation of stressors, how does this get recorded? Could the Sentinel system be amended so that members can initially flag if it is an acute injury or an accumulation and depending on which is flagged, different information is then requested?</w:t>
            </w:r>
          </w:p>
        </w:tc>
      </w:tr>
    </w:tbl>
    <w:p w14:paraId="4FC9616D" w14:textId="3529699B" w:rsidR="008505F8" w:rsidRDefault="008505F8" w:rsidP="008505F8">
      <w:pPr>
        <w:spacing w:before="0" w:after="160" w:line="259" w:lineRule="auto"/>
        <w:jc w:val="both"/>
      </w:pPr>
    </w:p>
    <w:p w14:paraId="10C53CE6" w14:textId="77777777" w:rsidR="008505F8" w:rsidRDefault="008505F8">
      <w:pPr>
        <w:spacing w:before="0" w:after="160" w:line="259" w:lineRule="auto"/>
      </w:pPr>
      <w:r>
        <w:br w:type="page"/>
      </w:r>
    </w:p>
    <w:p w14:paraId="63C26F01" w14:textId="77777777" w:rsidR="0021131A" w:rsidRDefault="0021131A" w:rsidP="008505F8">
      <w:pPr>
        <w:spacing w:before="0" w:after="160" w:line="259" w:lineRule="auto"/>
        <w:jc w:val="both"/>
      </w:pPr>
    </w:p>
    <w:tbl>
      <w:tblPr>
        <w:tblStyle w:val="Style1"/>
        <w:tblpPr w:leftFromText="180" w:rightFromText="180" w:vertAnchor="text" w:tblpY="1"/>
        <w:tblW w:w="0" w:type="auto"/>
        <w:tblLayout w:type="fixed"/>
        <w:tblLook w:val="04A0" w:firstRow="1" w:lastRow="0" w:firstColumn="1" w:lastColumn="0" w:noHBand="0" w:noVBand="1"/>
      </w:tblPr>
      <w:tblGrid>
        <w:gridCol w:w="10466"/>
      </w:tblGrid>
      <w:tr w:rsidR="0021131A" w:rsidRPr="00155837" w14:paraId="06DF3837" w14:textId="77777777" w:rsidTr="008505F8">
        <w:tc>
          <w:tcPr>
            <w:tcW w:w="10466" w:type="dxa"/>
            <w:tcBorders>
              <w:top w:val="single" w:sz="24" w:space="0" w:color="48B2E8" w:themeColor="accent4"/>
              <w:bottom w:val="single" w:sz="4" w:space="0" w:color="48B2E8" w:themeColor="accent4"/>
            </w:tcBorders>
            <w:shd w:val="clear" w:color="auto" w:fill="DAEFFA" w:themeFill="accent4" w:themeFillTint="33"/>
          </w:tcPr>
          <w:p w14:paraId="4D391917" w14:textId="77777777" w:rsidR="0021131A" w:rsidRPr="000468CF" w:rsidRDefault="0021131A" w:rsidP="008505F8">
            <w:pPr>
              <w:jc w:val="both"/>
              <w:rPr>
                <w:b/>
                <w:i/>
                <w:sz w:val="18"/>
                <w:szCs w:val="18"/>
              </w:rPr>
            </w:pPr>
            <w:r w:rsidRPr="000468CF">
              <w:rPr>
                <w:b/>
                <w:i/>
                <w:sz w:val="18"/>
                <w:szCs w:val="18"/>
              </w:rPr>
              <w:t>Information request 6.1</w:t>
            </w:r>
          </w:p>
          <w:p w14:paraId="2284574E" w14:textId="77777777" w:rsidR="0021131A" w:rsidRPr="000468CF" w:rsidRDefault="0021131A" w:rsidP="008505F8">
            <w:pPr>
              <w:jc w:val="both"/>
              <w:rPr>
                <w:sz w:val="18"/>
                <w:szCs w:val="18"/>
              </w:rPr>
            </w:pPr>
            <w:r w:rsidRPr="000468CF">
              <w:rPr>
                <w:sz w:val="18"/>
                <w:szCs w:val="18"/>
              </w:rPr>
              <w:t xml:space="preserve">The Commission is seeking information (both quantitative and qualitative) on return to work outcomes from Australian Defence Force and Department of Veterans’ Affairs rehabilitation programs. </w:t>
            </w:r>
          </w:p>
          <w:p w14:paraId="35DD53A9" w14:textId="4A161DE8" w:rsidR="0021131A" w:rsidRPr="00155837" w:rsidRDefault="0021131A" w:rsidP="008505F8">
            <w:pPr>
              <w:jc w:val="both"/>
              <w:rPr>
                <w:b/>
              </w:rPr>
            </w:pPr>
            <w:r w:rsidRPr="000468CF">
              <w:rPr>
                <w:sz w:val="18"/>
                <w:szCs w:val="18"/>
              </w:rPr>
              <w:t>Areas of particular interest include the appropriateness of comparing return to work outcome measures in military and civilian contexts and what approaches to return to work are affective both in-service and post-service.</w:t>
            </w:r>
          </w:p>
        </w:tc>
      </w:tr>
      <w:tr w:rsidR="0021131A" w:rsidRPr="00155837" w14:paraId="064348E1" w14:textId="77777777" w:rsidTr="008505F8">
        <w:tc>
          <w:tcPr>
            <w:tcW w:w="10466" w:type="dxa"/>
            <w:tcBorders>
              <w:top w:val="single" w:sz="4" w:space="0" w:color="48B2E8" w:themeColor="accent4"/>
            </w:tcBorders>
            <w:shd w:val="clear" w:color="auto" w:fill="F2F2F2" w:themeFill="background1" w:themeFillShade="F2"/>
          </w:tcPr>
          <w:p w14:paraId="3C7C43D6" w14:textId="77777777" w:rsidR="0021131A" w:rsidRPr="00155837" w:rsidRDefault="0021131A" w:rsidP="008505F8">
            <w:pPr>
              <w:jc w:val="both"/>
              <w:rPr>
                <w:b/>
              </w:rPr>
            </w:pPr>
            <w:r>
              <w:rPr>
                <w:b/>
              </w:rPr>
              <w:t>RESPONSE</w:t>
            </w:r>
          </w:p>
        </w:tc>
      </w:tr>
      <w:tr w:rsidR="0021131A" w:rsidRPr="00155837" w14:paraId="712E6748" w14:textId="77777777" w:rsidTr="009D4E47">
        <w:tc>
          <w:tcPr>
            <w:tcW w:w="10466" w:type="dxa"/>
          </w:tcPr>
          <w:p w14:paraId="73DBF62E" w14:textId="77777777" w:rsidR="0021131A" w:rsidRPr="000468CF" w:rsidRDefault="0021131A" w:rsidP="008505F8">
            <w:pPr>
              <w:jc w:val="both"/>
              <w:rPr>
                <w:b/>
                <w:sz w:val="18"/>
                <w:szCs w:val="18"/>
              </w:rPr>
            </w:pPr>
            <w:r w:rsidRPr="000468CF">
              <w:rPr>
                <w:b/>
                <w:sz w:val="18"/>
                <w:szCs w:val="18"/>
              </w:rPr>
              <w:t>ADF outcome measures:</w:t>
            </w:r>
          </w:p>
          <w:p w14:paraId="58802F81" w14:textId="2F62563D" w:rsidR="0021131A" w:rsidRPr="000468CF" w:rsidRDefault="0021131A" w:rsidP="008505F8">
            <w:pPr>
              <w:jc w:val="both"/>
              <w:rPr>
                <w:sz w:val="18"/>
                <w:szCs w:val="18"/>
              </w:rPr>
            </w:pPr>
            <w:r w:rsidRPr="000468CF">
              <w:rPr>
                <w:sz w:val="18"/>
                <w:szCs w:val="18"/>
              </w:rPr>
              <w:t>ADF use standard clinical outcome measures as approved by HWCA (generally OMPQ, DASS) which focus on pain related psychosocial barriers that might impact RTW or current Mental health symptoms of member.   The outcomes of these measures are considered when determining if rehab is required for a member, but they do not directly impact goals (they are either on a RTW programme or medical transition).  Rehab providers can provide some psychosocial support (more so with goal 3) but this is limited</w:t>
            </w:r>
            <w:r w:rsidR="00C34D80">
              <w:rPr>
                <w:sz w:val="18"/>
                <w:szCs w:val="18"/>
              </w:rPr>
              <w:t>.</w:t>
            </w:r>
          </w:p>
          <w:p w14:paraId="48AB5E2D" w14:textId="77777777" w:rsidR="0021131A" w:rsidRPr="000468CF" w:rsidRDefault="0021131A" w:rsidP="008505F8">
            <w:pPr>
              <w:jc w:val="both"/>
              <w:rPr>
                <w:sz w:val="18"/>
                <w:szCs w:val="18"/>
              </w:rPr>
            </w:pPr>
          </w:p>
          <w:p w14:paraId="7148B6EA" w14:textId="77777777" w:rsidR="0021131A" w:rsidRPr="000468CF" w:rsidRDefault="0021131A" w:rsidP="008505F8">
            <w:pPr>
              <w:jc w:val="both"/>
              <w:rPr>
                <w:b/>
                <w:sz w:val="18"/>
                <w:szCs w:val="18"/>
              </w:rPr>
            </w:pPr>
            <w:r w:rsidRPr="000468CF">
              <w:rPr>
                <w:b/>
                <w:sz w:val="18"/>
                <w:szCs w:val="18"/>
              </w:rPr>
              <w:t>DVA outcome measures:</w:t>
            </w:r>
          </w:p>
          <w:p w14:paraId="0D9E35A8" w14:textId="77777777" w:rsidR="0021131A" w:rsidRPr="000468CF" w:rsidRDefault="0021131A" w:rsidP="008505F8">
            <w:pPr>
              <w:jc w:val="both"/>
              <w:rPr>
                <w:sz w:val="18"/>
                <w:szCs w:val="18"/>
              </w:rPr>
            </w:pPr>
            <w:r w:rsidRPr="000468CF">
              <w:rPr>
                <w:sz w:val="18"/>
                <w:szCs w:val="18"/>
              </w:rPr>
              <w:t>Life Satisfaction indicators is a more holistic view.  Allows the veteran to self-report current satisfaction in numerous areas of life and work which can help lead to further discussions regarding current support requirements.  Allows for development of specific goals to address main concerns and may increase engagement of the veteran if they feel they are directing (to some extent) the direction of rehab support, rather than it being dictated to them. Regula</w:t>
            </w:r>
            <w:r>
              <w:rPr>
                <w:sz w:val="18"/>
                <w:szCs w:val="18"/>
              </w:rPr>
              <w:t>r</w:t>
            </w:r>
            <w:r w:rsidRPr="000468CF">
              <w:rPr>
                <w:sz w:val="18"/>
                <w:szCs w:val="18"/>
              </w:rPr>
              <w:t xml:space="preserve"> review of the LSI allows all stakeholders to see how much progress is being made, not just with RTW, but also return to life.</w:t>
            </w:r>
          </w:p>
          <w:p w14:paraId="22D6EEBE" w14:textId="7103E94D" w:rsidR="0021131A" w:rsidRPr="000468CF" w:rsidRDefault="0021131A" w:rsidP="008505F8">
            <w:pPr>
              <w:jc w:val="both"/>
              <w:rPr>
                <w:sz w:val="18"/>
                <w:szCs w:val="18"/>
              </w:rPr>
            </w:pPr>
            <w:r w:rsidRPr="000468CF">
              <w:rPr>
                <w:sz w:val="18"/>
                <w:szCs w:val="18"/>
              </w:rPr>
              <w:t xml:space="preserve"> </w:t>
            </w:r>
          </w:p>
          <w:p w14:paraId="2A91B2FC" w14:textId="77777777" w:rsidR="0021131A" w:rsidRPr="000468CF" w:rsidRDefault="0021131A" w:rsidP="008505F8">
            <w:pPr>
              <w:jc w:val="both"/>
              <w:rPr>
                <w:sz w:val="18"/>
                <w:szCs w:val="18"/>
              </w:rPr>
            </w:pPr>
            <w:r w:rsidRPr="000468CF">
              <w:rPr>
                <w:sz w:val="18"/>
                <w:szCs w:val="18"/>
              </w:rPr>
              <w:t>Comparison of the LSI and clinical outcome measures is not realistic – they look at very different aspects of a persons’ health and wellbeing and are used in very different circumstances.  It may be beneficial for the LSI to be used within ADF rehab programme and widen the scope of rehabilitation to allow for more psychosocial support for members.   In addition, clinical outcomes measures can (and are used) within DVA rehabilitation to monitor specific pain related or mental health concerns.</w:t>
            </w:r>
          </w:p>
          <w:p w14:paraId="4928A352" w14:textId="77777777" w:rsidR="0021131A" w:rsidRPr="000468CF" w:rsidRDefault="0021131A" w:rsidP="008505F8">
            <w:pPr>
              <w:jc w:val="both"/>
              <w:rPr>
                <w:sz w:val="18"/>
                <w:szCs w:val="18"/>
              </w:rPr>
            </w:pPr>
          </w:p>
          <w:p w14:paraId="370E54B6" w14:textId="77777777" w:rsidR="0021131A" w:rsidRPr="000468CF" w:rsidRDefault="0021131A" w:rsidP="008505F8">
            <w:pPr>
              <w:jc w:val="both"/>
              <w:rPr>
                <w:b/>
                <w:sz w:val="18"/>
                <w:szCs w:val="18"/>
              </w:rPr>
            </w:pPr>
            <w:r w:rsidRPr="000468CF">
              <w:rPr>
                <w:b/>
                <w:sz w:val="18"/>
                <w:szCs w:val="18"/>
              </w:rPr>
              <w:t>Successful approaches:</w:t>
            </w:r>
          </w:p>
          <w:p w14:paraId="3BD48E61" w14:textId="77777777" w:rsidR="0021131A" w:rsidRPr="000468CF" w:rsidRDefault="0021131A" w:rsidP="008505F8">
            <w:pPr>
              <w:jc w:val="both"/>
              <w:rPr>
                <w:sz w:val="18"/>
                <w:szCs w:val="18"/>
              </w:rPr>
            </w:pPr>
            <w:r w:rsidRPr="000468CF">
              <w:rPr>
                <w:sz w:val="18"/>
                <w:szCs w:val="18"/>
              </w:rPr>
              <w:t>Early intervention:</w:t>
            </w:r>
          </w:p>
          <w:p w14:paraId="6466E4EB" w14:textId="77777777" w:rsidR="0021131A" w:rsidRPr="000468CF" w:rsidRDefault="0021131A" w:rsidP="008505F8">
            <w:pPr>
              <w:jc w:val="both"/>
              <w:rPr>
                <w:sz w:val="18"/>
                <w:szCs w:val="18"/>
              </w:rPr>
            </w:pPr>
          </w:p>
          <w:p w14:paraId="5A6908BA" w14:textId="77777777" w:rsidR="0021131A" w:rsidRDefault="0021131A" w:rsidP="008505F8">
            <w:pPr>
              <w:jc w:val="both"/>
              <w:rPr>
                <w:sz w:val="18"/>
                <w:szCs w:val="18"/>
              </w:rPr>
            </w:pPr>
            <w:r>
              <w:rPr>
                <w:sz w:val="18"/>
                <w:szCs w:val="18"/>
              </w:rPr>
              <w:t>Data indicates that the risk profile of discharged members dramatically change from primary concerns related to career and financial stability to risks relating to mental health, difficulties adjusting to change/maladaptive coping strategies and ingrained negative injury beliefs.  As a Rehab provider for both ADF and DVA we see significant delays in DVA referring a Member for rehabilitation once they have discharged with an average referral timeframe of over 2 years (over 1500 referrals).   Early intervention (as soon as the member discharges) from DVA could reduce these risks from escalating, with the timely engagement pilot run by DVA showing good results with managing member care and transition.  In addition, it is known that younger veterans, are more at risk of developing significant secondary mental health conditions 1-2 years post discharge, around the same time they are referred – this increases the complexity of any rehabilitation intervention – early intervention may result in these secondary conditions being less severe due to the veteran having rehabilitation support focussed on their needs.</w:t>
            </w:r>
          </w:p>
          <w:p w14:paraId="0A809CFE" w14:textId="77777777" w:rsidR="0021131A" w:rsidRDefault="0021131A" w:rsidP="008505F8">
            <w:pPr>
              <w:jc w:val="both"/>
              <w:rPr>
                <w:sz w:val="18"/>
                <w:szCs w:val="18"/>
              </w:rPr>
            </w:pPr>
          </w:p>
          <w:p w14:paraId="03137273" w14:textId="77777777" w:rsidR="0021131A" w:rsidRDefault="0021131A" w:rsidP="008505F8">
            <w:pPr>
              <w:jc w:val="both"/>
              <w:rPr>
                <w:sz w:val="18"/>
                <w:szCs w:val="18"/>
              </w:rPr>
            </w:pPr>
            <w:r>
              <w:rPr>
                <w:sz w:val="18"/>
                <w:szCs w:val="18"/>
              </w:rPr>
              <w:t>If early intervention assists with managing the veteran’s transition and providing holistic support, it might be assumed that positive outcomes are going to be more likely, including RTW outcomes.</w:t>
            </w:r>
          </w:p>
          <w:p w14:paraId="1C1A65C5" w14:textId="77777777" w:rsidR="0021131A" w:rsidRDefault="0021131A" w:rsidP="008505F8">
            <w:pPr>
              <w:jc w:val="both"/>
              <w:rPr>
                <w:sz w:val="18"/>
                <w:szCs w:val="18"/>
              </w:rPr>
            </w:pPr>
          </w:p>
          <w:p w14:paraId="07B62176" w14:textId="5D64A6DA" w:rsidR="0021131A" w:rsidRPr="00217033" w:rsidRDefault="0021131A" w:rsidP="008505F8">
            <w:pPr>
              <w:jc w:val="both"/>
              <w:rPr>
                <w:sz w:val="18"/>
                <w:szCs w:val="18"/>
              </w:rPr>
            </w:pPr>
            <w:r w:rsidRPr="000468CF">
              <w:rPr>
                <w:sz w:val="18"/>
                <w:szCs w:val="18"/>
              </w:rPr>
              <w:t>The current delay for referral from DVA could negatively impact RTW rates…if a veteran has no support on leaving ADF for over 6 months and is getting income, why are they going to be motivated to engage with rehab and RTW. There needs to be a seamless process for members to continue with rehab from ADF gaol 3 programmes, straight on to a DVA plan.  Veterans need</w:t>
            </w:r>
            <w:r>
              <w:rPr>
                <w:sz w:val="18"/>
                <w:szCs w:val="18"/>
              </w:rPr>
              <w:t xml:space="preserve"> </w:t>
            </w:r>
            <w:r w:rsidRPr="000468CF">
              <w:rPr>
                <w:sz w:val="18"/>
                <w:szCs w:val="18"/>
              </w:rPr>
              <w:t>to have some control over their goals to ensure they feel listened to.  More and more, rehab is becoming prescriptive, rather than holistic which could impact engagement and outcomes.</w:t>
            </w:r>
          </w:p>
        </w:tc>
      </w:tr>
    </w:tbl>
    <w:p w14:paraId="3B0BF95F" w14:textId="77777777" w:rsidR="00217033" w:rsidRDefault="00217033" w:rsidP="008505F8">
      <w:pPr>
        <w:jc w:val="both"/>
      </w:pPr>
    </w:p>
    <w:tbl>
      <w:tblPr>
        <w:tblStyle w:val="Style1"/>
        <w:tblpPr w:leftFromText="180" w:rightFromText="180" w:vertAnchor="text" w:tblpY="1"/>
        <w:tblW w:w="0" w:type="auto"/>
        <w:tblLayout w:type="fixed"/>
        <w:tblLook w:val="04A0" w:firstRow="1" w:lastRow="0" w:firstColumn="1" w:lastColumn="0" w:noHBand="0" w:noVBand="1"/>
      </w:tblPr>
      <w:tblGrid>
        <w:gridCol w:w="10466"/>
      </w:tblGrid>
      <w:tr w:rsidR="0021131A" w:rsidRPr="00155837" w14:paraId="51D81D6B" w14:textId="77777777" w:rsidTr="008505F8">
        <w:tc>
          <w:tcPr>
            <w:tcW w:w="10466" w:type="dxa"/>
            <w:tcBorders>
              <w:top w:val="single" w:sz="24" w:space="0" w:color="48B2E8" w:themeColor="accent4"/>
            </w:tcBorders>
            <w:shd w:val="clear" w:color="auto" w:fill="DAEFFA" w:themeFill="accent4" w:themeFillTint="33"/>
          </w:tcPr>
          <w:p w14:paraId="3B1B2FAB" w14:textId="77777777" w:rsidR="0021131A" w:rsidRPr="000468CF" w:rsidRDefault="0021131A" w:rsidP="008505F8">
            <w:pPr>
              <w:jc w:val="both"/>
              <w:rPr>
                <w:b/>
                <w:i/>
                <w:sz w:val="18"/>
                <w:szCs w:val="18"/>
              </w:rPr>
            </w:pPr>
            <w:r w:rsidRPr="000468CF">
              <w:rPr>
                <w:b/>
                <w:i/>
                <w:sz w:val="18"/>
                <w:szCs w:val="18"/>
              </w:rPr>
              <w:t>Information Request 6.2</w:t>
            </w:r>
          </w:p>
          <w:p w14:paraId="01D13482" w14:textId="1D00992D" w:rsidR="0021131A" w:rsidRPr="00155837" w:rsidRDefault="0021131A" w:rsidP="008505F8">
            <w:pPr>
              <w:jc w:val="both"/>
              <w:rPr>
                <w:b/>
              </w:rPr>
            </w:pPr>
            <w:r w:rsidRPr="000468CF">
              <w:rPr>
                <w:sz w:val="18"/>
                <w:szCs w:val="18"/>
              </w:rPr>
              <w:t>The Commission is seeking further views on the potential use of consumer-directed care for the rehabilitation service providers to veterans on alternatives for providing more tailored, person centred rehabilitation services.</w:t>
            </w:r>
          </w:p>
        </w:tc>
      </w:tr>
      <w:tr w:rsidR="0021131A" w:rsidRPr="00155837" w14:paraId="2FEB5D92" w14:textId="77777777" w:rsidTr="009D4E47">
        <w:tc>
          <w:tcPr>
            <w:tcW w:w="10466" w:type="dxa"/>
            <w:shd w:val="clear" w:color="auto" w:fill="F2F2F2" w:themeFill="background1" w:themeFillShade="F2"/>
          </w:tcPr>
          <w:p w14:paraId="6AED6292" w14:textId="77777777" w:rsidR="0021131A" w:rsidRPr="00155837" w:rsidRDefault="0021131A" w:rsidP="008505F8">
            <w:pPr>
              <w:jc w:val="both"/>
              <w:rPr>
                <w:b/>
              </w:rPr>
            </w:pPr>
            <w:r>
              <w:rPr>
                <w:b/>
              </w:rPr>
              <w:t>RESPONSE</w:t>
            </w:r>
          </w:p>
        </w:tc>
      </w:tr>
      <w:tr w:rsidR="0021131A" w:rsidRPr="00155837" w14:paraId="640E29B8" w14:textId="77777777" w:rsidTr="009D4E47">
        <w:tc>
          <w:tcPr>
            <w:tcW w:w="10466" w:type="dxa"/>
          </w:tcPr>
          <w:p w14:paraId="70FF4C2E" w14:textId="77777777" w:rsidR="0021131A" w:rsidRPr="000468CF" w:rsidRDefault="0021131A" w:rsidP="008505F8">
            <w:pPr>
              <w:pStyle w:val="ListParagraph"/>
              <w:numPr>
                <w:ilvl w:val="0"/>
                <w:numId w:val="26"/>
              </w:numPr>
              <w:spacing w:before="0" w:after="0"/>
              <w:jc w:val="both"/>
              <w:rPr>
                <w:sz w:val="18"/>
                <w:szCs w:val="18"/>
              </w:rPr>
            </w:pPr>
            <w:r w:rsidRPr="000468CF">
              <w:rPr>
                <w:sz w:val="18"/>
                <w:szCs w:val="18"/>
              </w:rPr>
              <w:t>May increase engagement of veterans as they will lead direction of services?</w:t>
            </w:r>
          </w:p>
          <w:p w14:paraId="73717E7B" w14:textId="66E81C4A" w:rsidR="0021131A" w:rsidRPr="00217033" w:rsidRDefault="0021131A" w:rsidP="008505F8">
            <w:pPr>
              <w:pStyle w:val="ListParagraph"/>
              <w:numPr>
                <w:ilvl w:val="0"/>
                <w:numId w:val="26"/>
              </w:numPr>
              <w:spacing w:before="0" w:after="0"/>
              <w:jc w:val="both"/>
              <w:rPr>
                <w:sz w:val="18"/>
                <w:szCs w:val="18"/>
              </w:rPr>
            </w:pPr>
            <w:r w:rsidRPr="000468CF">
              <w:rPr>
                <w:sz w:val="18"/>
                <w:szCs w:val="18"/>
              </w:rPr>
              <w:t>However, may extend the RTW process if members are not motivated to RTW and have “control” of their rehab direction</w:t>
            </w:r>
          </w:p>
        </w:tc>
      </w:tr>
    </w:tbl>
    <w:p w14:paraId="46E2B1F1" w14:textId="0E636D8F" w:rsidR="0021131A" w:rsidRDefault="0021131A" w:rsidP="008505F8">
      <w:pPr>
        <w:jc w:val="both"/>
      </w:pPr>
    </w:p>
    <w:tbl>
      <w:tblPr>
        <w:tblStyle w:val="Style1"/>
        <w:tblpPr w:leftFromText="180" w:rightFromText="180" w:vertAnchor="text" w:tblpY="1"/>
        <w:tblW w:w="0" w:type="auto"/>
        <w:tblLayout w:type="fixed"/>
        <w:tblLook w:val="04A0" w:firstRow="1" w:lastRow="0" w:firstColumn="1" w:lastColumn="0" w:noHBand="0" w:noVBand="1"/>
      </w:tblPr>
      <w:tblGrid>
        <w:gridCol w:w="10466"/>
      </w:tblGrid>
      <w:tr w:rsidR="0021131A" w:rsidRPr="00155837" w14:paraId="08101773" w14:textId="77777777" w:rsidTr="008505F8">
        <w:tc>
          <w:tcPr>
            <w:tcW w:w="10466" w:type="dxa"/>
            <w:tcBorders>
              <w:top w:val="single" w:sz="24" w:space="0" w:color="48B2E8" w:themeColor="accent4"/>
            </w:tcBorders>
            <w:shd w:val="clear" w:color="auto" w:fill="DAEFFA" w:themeFill="accent4" w:themeFillTint="33"/>
          </w:tcPr>
          <w:p w14:paraId="1C9B0F44" w14:textId="77777777" w:rsidR="0021131A" w:rsidRPr="000468CF" w:rsidRDefault="0021131A" w:rsidP="008505F8">
            <w:pPr>
              <w:jc w:val="both"/>
              <w:rPr>
                <w:b/>
                <w:i/>
                <w:sz w:val="18"/>
                <w:szCs w:val="18"/>
              </w:rPr>
            </w:pPr>
            <w:r w:rsidRPr="000468CF">
              <w:rPr>
                <w:b/>
                <w:i/>
                <w:sz w:val="18"/>
                <w:szCs w:val="18"/>
              </w:rPr>
              <w:t>Information request 7.1</w:t>
            </w:r>
          </w:p>
          <w:p w14:paraId="1000C19B" w14:textId="03A5535D" w:rsidR="0021131A" w:rsidRPr="00155837" w:rsidRDefault="0021131A" w:rsidP="008505F8">
            <w:pPr>
              <w:jc w:val="both"/>
              <w:rPr>
                <w:b/>
              </w:rPr>
            </w:pPr>
            <w:r w:rsidRPr="000468CF">
              <w:rPr>
                <w:sz w:val="18"/>
                <w:szCs w:val="18"/>
              </w:rPr>
              <w:t>The commission is seeking feedback on the period of time that Joint Transition Command should have responsibility for providing support to Members and former Members of the Australian Defence Force who require that support.</w:t>
            </w:r>
          </w:p>
        </w:tc>
      </w:tr>
      <w:tr w:rsidR="0021131A" w:rsidRPr="00155837" w14:paraId="47D65136" w14:textId="77777777" w:rsidTr="009D4E47">
        <w:tc>
          <w:tcPr>
            <w:tcW w:w="10466" w:type="dxa"/>
            <w:shd w:val="clear" w:color="auto" w:fill="F2F2F2" w:themeFill="background1" w:themeFillShade="F2"/>
          </w:tcPr>
          <w:p w14:paraId="6C605CD5" w14:textId="77777777" w:rsidR="0021131A" w:rsidRPr="00155837" w:rsidRDefault="0021131A" w:rsidP="008505F8">
            <w:pPr>
              <w:jc w:val="both"/>
              <w:rPr>
                <w:b/>
              </w:rPr>
            </w:pPr>
            <w:r>
              <w:rPr>
                <w:b/>
              </w:rPr>
              <w:t>RESPONSE</w:t>
            </w:r>
          </w:p>
        </w:tc>
      </w:tr>
      <w:tr w:rsidR="0021131A" w:rsidRPr="00155837" w14:paraId="1F97E8E6" w14:textId="77777777" w:rsidTr="009D4E47">
        <w:tc>
          <w:tcPr>
            <w:tcW w:w="10466" w:type="dxa"/>
          </w:tcPr>
          <w:p w14:paraId="5FF30560" w14:textId="77777777" w:rsidR="0021131A" w:rsidRDefault="0021131A" w:rsidP="008505F8">
            <w:pPr>
              <w:jc w:val="both"/>
              <w:rPr>
                <w:sz w:val="18"/>
                <w:szCs w:val="18"/>
              </w:rPr>
            </w:pPr>
            <w:r w:rsidRPr="000468CF">
              <w:rPr>
                <w:sz w:val="18"/>
                <w:szCs w:val="18"/>
              </w:rPr>
              <w:t>Should transition be discussed with members on a regular basis – throughout their service</w:t>
            </w:r>
            <w:r>
              <w:rPr>
                <w:sz w:val="18"/>
                <w:szCs w:val="18"/>
              </w:rPr>
              <w:t xml:space="preserve"> -</w:t>
            </w:r>
            <w:r w:rsidRPr="000468CF">
              <w:rPr>
                <w:sz w:val="18"/>
                <w:szCs w:val="18"/>
              </w:rPr>
              <w:t xml:space="preserve"> rather than </w:t>
            </w:r>
            <w:r>
              <w:rPr>
                <w:sz w:val="18"/>
                <w:szCs w:val="18"/>
              </w:rPr>
              <w:t>waiting until the member is injured/unwell and have to medically discharge? The time is stressful anyway and if they have not previously been exposed to transition discussions, this can be overwhelming.</w:t>
            </w:r>
          </w:p>
          <w:p w14:paraId="092212F6" w14:textId="77777777" w:rsidR="0021131A" w:rsidRDefault="0021131A" w:rsidP="008505F8">
            <w:pPr>
              <w:jc w:val="both"/>
              <w:rPr>
                <w:sz w:val="18"/>
                <w:szCs w:val="18"/>
              </w:rPr>
            </w:pPr>
          </w:p>
          <w:p w14:paraId="7B3E2E19" w14:textId="77777777" w:rsidR="0021131A" w:rsidRDefault="0021131A" w:rsidP="008505F8">
            <w:pPr>
              <w:jc w:val="both"/>
              <w:rPr>
                <w:sz w:val="18"/>
                <w:szCs w:val="18"/>
              </w:rPr>
            </w:pPr>
            <w:r>
              <w:rPr>
                <w:sz w:val="18"/>
                <w:szCs w:val="18"/>
              </w:rPr>
              <w:t>Could there be an annual component that all members have to complete in relation to transitions? Online courses in resume’s etc, face to face meetings with transitions officers to help with RPL for their ADF skills/qualifications?</w:t>
            </w:r>
          </w:p>
          <w:p w14:paraId="1B7B60E8" w14:textId="77777777" w:rsidR="0021131A" w:rsidRDefault="0021131A" w:rsidP="008505F8">
            <w:pPr>
              <w:jc w:val="both"/>
              <w:rPr>
                <w:sz w:val="18"/>
                <w:szCs w:val="18"/>
              </w:rPr>
            </w:pPr>
            <w:r>
              <w:rPr>
                <w:sz w:val="18"/>
                <w:szCs w:val="18"/>
              </w:rPr>
              <w:t>This regular input/discussion about transitioning from defence may mean members are more prepared and make the process less traumatic.</w:t>
            </w:r>
          </w:p>
          <w:p w14:paraId="67416671" w14:textId="77777777" w:rsidR="0021131A" w:rsidRDefault="0021131A" w:rsidP="008505F8">
            <w:pPr>
              <w:jc w:val="both"/>
              <w:rPr>
                <w:sz w:val="18"/>
                <w:szCs w:val="18"/>
              </w:rPr>
            </w:pPr>
          </w:p>
          <w:p w14:paraId="5303E5CD" w14:textId="77777777" w:rsidR="0021131A" w:rsidRDefault="0021131A" w:rsidP="008505F8">
            <w:pPr>
              <w:jc w:val="both"/>
              <w:rPr>
                <w:sz w:val="18"/>
                <w:szCs w:val="18"/>
              </w:rPr>
            </w:pPr>
            <w:r>
              <w:rPr>
                <w:sz w:val="18"/>
                <w:szCs w:val="18"/>
              </w:rPr>
              <w:t>Currently, transition support ends on the day of discharge with delays (as noted above) in getting rehabilitation support from DVA.  With increased mental health presentation identified in members after transition, ongoing support is vital.  The required timeframe is likely to vary from member to member, depending on mode of discharge and health. Members could  be triaged at time of discharge to determine support needs with this being regularly reviewed and support increasing/decreasing as needed.</w:t>
            </w:r>
          </w:p>
          <w:p w14:paraId="5793C0C3" w14:textId="77777777" w:rsidR="0021131A" w:rsidRDefault="0021131A" w:rsidP="008505F8">
            <w:pPr>
              <w:jc w:val="both"/>
              <w:rPr>
                <w:sz w:val="18"/>
                <w:szCs w:val="18"/>
              </w:rPr>
            </w:pPr>
          </w:p>
          <w:p w14:paraId="03F66BF3" w14:textId="556A7B2A" w:rsidR="0021131A" w:rsidRPr="00217033" w:rsidRDefault="0021131A" w:rsidP="008505F8">
            <w:pPr>
              <w:jc w:val="both"/>
              <w:rPr>
                <w:sz w:val="18"/>
                <w:szCs w:val="18"/>
              </w:rPr>
            </w:pPr>
            <w:r>
              <w:rPr>
                <w:sz w:val="18"/>
                <w:szCs w:val="18"/>
              </w:rPr>
              <w:t>Support could be ceased once DVA have referred for rehabilitation (if the member is entitled) or for up to 2 years (highest MH risk timepoint) for those with no DVA claims accepted.</w:t>
            </w:r>
          </w:p>
        </w:tc>
      </w:tr>
    </w:tbl>
    <w:p w14:paraId="176EC824" w14:textId="21CE8C0F" w:rsidR="0021131A" w:rsidRDefault="0021131A" w:rsidP="008505F8">
      <w:pPr>
        <w:jc w:val="both"/>
      </w:pPr>
    </w:p>
    <w:tbl>
      <w:tblPr>
        <w:tblStyle w:val="Style1"/>
        <w:tblpPr w:leftFromText="180" w:rightFromText="180" w:vertAnchor="text" w:tblpY="1"/>
        <w:tblW w:w="0" w:type="auto"/>
        <w:tblLayout w:type="fixed"/>
        <w:tblLook w:val="04A0" w:firstRow="1" w:lastRow="0" w:firstColumn="1" w:lastColumn="0" w:noHBand="0" w:noVBand="1"/>
      </w:tblPr>
      <w:tblGrid>
        <w:gridCol w:w="10466"/>
      </w:tblGrid>
      <w:tr w:rsidR="0021131A" w:rsidRPr="00155837" w14:paraId="463C5E7B" w14:textId="77777777" w:rsidTr="00C34D80">
        <w:tc>
          <w:tcPr>
            <w:tcW w:w="10466" w:type="dxa"/>
            <w:tcBorders>
              <w:top w:val="single" w:sz="24" w:space="0" w:color="48B2E8"/>
            </w:tcBorders>
            <w:shd w:val="clear" w:color="auto" w:fill="DAEFFA" w:themeFill="accent4" w:themeFillTint="33"/>
          </w:tcPr>
          <w:p w14:paraId="1A7B0A94" w14:textId="77777777" w:rsidR="0021131A" w:rsidRPr="000468CF" w:rsidRDefault="0021131A" w:rsidP="008505F8">
            <w:pPr>
              <w:jc w:val="both"/>
              <w:rPr>
                <w:b/>
                <w:i/>
                <w:sz w:val="18"/>
                <w:szCs w:val="18"/>
              </w:rPr>
            </w:pPr>
            <w:r w:rsidRPr="000468CF">
              <w:rPr>
                <w:b/>
                <w:i/>
                <w:sz w:val="18"/>
                <w:szCs w:val="18"/>
              </w:rPr>
              <w:t>Information request 7.2</w:t>
            </w:r>
          </w:p>
          <w:p w14:paraId="7D518470" w14:textId="77777777" w:rsidR="0021131A" w:rsidRPr="000468CF" w:rsidRDefault="0021131A" w:rsidP="008505F8">
            <w:pPr>
              <w:jc w:val="both"/>
              <w:rPr>
                <w:sz w:val="18"/>
                <w:szCs w:val="18"/>
              </w:rPr>
            </w:pPr>
            <w:r w:rsidRPr="000468CF">
              <w:rPr>
                <w:sz w:val="18"/>
                <w:szCs w:val="18"/>
              </w:rPr>
              <w:t>The commission is seeking information to inform the design of the proposed veteran education allowance. In particular:</w:t>
            </w:r>
          </w:p>
          <w:p w14:paraId="3B52B120" w14:textId="77777777" w:rsidR="0021131A" w:rsidRPr="000468CF" w:rsidRDefault="0021131A" w:rsidP="008505F8">
            <w:pPr>
              <w:pStyle w:val="ListParagraph"/>
              <w:numPr>
                <w:ilvl w:val="0"/>
                <w:numId w:val="27"/>
              </w:numPr>
              <w:spacing w:before="0" w:after="0"/>
              <w:jc w:val="both"/>
              <w:rPr>
                <w:sz w:val="18"/>
                <w:szCs w:val="18"/>
              </w:rPr>
            </w:pPr>
            <w:r w:rsidRPr="000468CF">
              <w:rPr>
                <w:sz w:val="18"/>
                <w:szCs w:val="18"/>
              </w:rPr>
              <w:t>At what rate should the veteran allowance be paid?</w:t>
            </w:r>
          </w:p>
          <w:p w14:paraId="6E61FCF4" w14:textId="77777777" w:rsidR="0021131A" w:rsidRPr="000468CF" w:rsidRDefault="0021131A" w:rsidP="008505F8">
            <w:pPr>
              <w:pStyle w:val="ListParagraph"/>
              <w:numPr>
                <w:ilvl w:val="0"/>
                <w:numId w:val="27"/>
              </w:numPr>
              <w:spacing w:before="0" w:after="0"/>
              <w:jc w:val="both"/>
              <w:rPr>
                <w:sz w:val="18"/>
                <w:szCs w:val="18"/>
              </w:rPr>
            </w:pPr>
            <w:r w:rsidRPr="000468CF">
              <w:rPr>
                <w:sz w:val="18"/>
                <w:szCs w:val="18"/>
              </w:rPr>
              <w:t>Should eligibility for the veteran education allowance be contingent having completed minimum period of service? If so, what should that minimum period be?</w:t>
            </w:r>
          </w:p>
          <w:p w14:paraId="26AFEDA3" w14:textId="4031FECC" w:rsidR="0021131A" w:rsidRPr="00155837" w:rsidRDefault="0021131A" w:rsidP="008505F8">
            <w:pPr>
              <w:jc w:val="both"/>
              <w:rPr>
                <w:b/>
              </w:rPr>
            </w:pPr>
            <w:r w:rsidRPr="000468CF">
              <w:rPr>
                <w:sz w:val="18"/>
                <w:szCs w:val="18"/>
              </w:rPr>
              <w:t>Should any other conditions be put on eligibility for the veteran education allowance?</w:t>
            </w:r>
          </w:p>
        </w:tc>
      </w:tr>
      <w:tr w:rsidR="0021131A" w:rsidRPr="00155837" w14:paraId="72D19E29" w14:textId="77777777" w:rsidTr="009D4E47">
        <w:tc>
          <w:tcPr>
            <w:tcW w:w="10466" w:type="dxa"/>
            <w:shd w:val="clear" w:color="auto" w:fill="F2F2F2" w:themeFill="background1" w:themeFillShade="F2"/>
          </w:tcPr>
          <w:p w14:paraId="15016D7A" w14:textId="77777777" w:rsidR="0021131A" w:rsidRPr="00155837" w:rsidRDefault="0021131A" w:rsidP="008505F8">
            <w:pPr>
              <w:jc w:val="both"/>
              <w:rPr>
                <w:b/>
              </w:rPr>
            </w:pPr>
            <w:r>
              <w:rPr>
                <w:b/>
              </w:rPr>
              <w:t>RESPONSE</w:t>
            </w:r>
          </w:p>
        </w:tc>
      </w:tr>
      <w:tr w:rsidR="0021131A" w:rsidRPr="00155837" w14:paraId="0FD2B175" w14:textId="77777777" w:rsidTr="009D4E47">
        <w:tc>
          <w:tcPr>
            <w:tcW w:w="10466" w:type="dxa"/>
          </w:tcPr>
          <w:p w14:paraId="239F2F49" w14:textId="77777777" w:rsidR="0021131A" w:rsidRPr="000468CF" w:rsidRDefault="0021131A" w:rsidP="008505F8">
            <w:pPr>
              <w:jc w:val="both"/>
              <w:rPr>
                <w:sz w:val="18"/>
                <w:szCs w:val="18"/>
              </w:rPr>
            </w:pPr>
            <w:r w:rsidRPr="000468CF">
              <w:rPr>
                <w:sz w:val="18"/>
                <w:szCs w:val="18"/>
              </w:rPr>
              <w:t>How does this initiative differ from the DVA Step Up to Incapacity Payment initiative that commenced in November 2018 and is in place until June 2022? This provides veterans with 100% incapacity payments whilst enrolled in full time education.</w:t>
            </w:r>
          </w:p>
          <w:p w14:paraId="2CE5BA12" w14:textId="77777777" w:rsidR="0021131A" w:rsidRPr="000468CF" w:rsidRDefault="0021131A" w:rsidP="008505F8">
            <w:pPr>
              <w:jc w:val="both"/>
              <w:rPr>
                <w:sz w:val="18"/>
                <w:szCs w:val="18"/>
              </w:rPr>
            </w:pPr>
          </w:p>
          <w:p w14:paraId="04200103" w14:textId="77777777" w:rsidR="0021131A" w:rsidRPr="000468CF" w:rsidRDefault="0021131A" w:rsidP="008505F8">
            <w:pPr>
              <w:jc w:val="both"/>
              <w:rPr>
                <w:b/>
                <w:sz w:val="18"/>
                <w:szCs w:val="18"/>
              </w:rPr>
            </w:pPr>
            <w:r w:rsidRPr="000468CF">
              <w:rPr>
                <w:b/>
                <w:sz w:val="18"/>
                <w:szCs w:val="18"/>
              </w:rPr>
              <w:t>Eligibility:</w:t>
            </w:r>
          </w:p>
          <w:p w14:paraId="7D06DEE4" w14:textId="79BDF202" w:rsidR="0021131A" w:rsidRDefault="0021131A" w:rsidP="008505F8">
            <w:pPr>
              <w:jc w:val="both"/>
              <w:rPr>
                <w:sz w:val="18"/>
                <w:szCs w:val="18"/>
              </w:rPr>
            </w:pPr>
            <w:r w:rsidRPr="000468CF">
              <w:rPr>
                <w:sz w:val="18"/>
                <w:szCs w:val="18"/>
              </w:rPr>
              <w:t xml:space="preserve">Defining eligibility (particularly noting the length of minimum service suggested before being eligible) then discriminates against those who have been medically discharged early in their career.  These members leave with potentially less transferable skills due to inexperience and do not get the CTAS funding for any vocational services either.  This population is known to be at increased </w:t>
            </w:r>
            <w:r w:rsidRPr="000468CF">
              <w:rPr>
                <w:sz w:val="18"/>
                <w:szCs w:val="18"/>
              </w:rPr>
              <w:lastRenderedPageBreak/>
              <w:t>risk of mental health issues 1-2 years post transition, with poorer transition outcomes noted – lack of access to re-training could confound this issue further</w:t>
            </w:r>
          </w:p>
          <w:p w14:paraId="06FA283F" w14:textId="77777777" w:rsidR="008505F8" w:rsidRPr="000468CF" w:rsidRDefault="008505F8" w:rsidP="008505F8">
            <w:pPr>
              <w:jc w:val="both"/>
              <w:rPr>
                <w:sz w:val="18"/>
                <w:szCs w:val="18"/>
              </w:rPr>
            </w:pPr>
          </w:p>
          <w:p w14:paraId="0BA1CC04" w14:textId="77777777" w:rsidR="0021131A" w:rsidRPr="000468CF" w:rsidRDefault="0021131A" w:rsidP="008505F8">
            <w:pPr>
              <w:jc w:val="both"/>
              <w:rPr>
                <w:b/>
                <w:sz w:val="18"/>
                <w:szCs w:val="18"/>
              </w:rPr>
            </w:pPr>
            <w:r w:rsidRPr="000468CF">
              <w:rPr>
                <w:b/>
                <w:sz w:val="18"/>
                <w:szCs w:val="18"/>
              </w:rPr>
              <w:t>Conditions:</w:t>
            </w:r>
          </w:p>
          <w:p w14:paraId="591C5A3E" w14:textId="77777777" w:rsidR="0021131A" w:rsidRPr="000468CF" w:rsidRDefault="0021131A" w:rsidP="008505F8">
            <w:pPr>
              <w:jc w:val="both"/>
              <w:rPr>
                <w:sz w:val="18"/>
                <w:szCs w:val="18"/>
              </w:rPr>
            </w:pPr>
            <w:r w:rsidRPr="000468CF">
              <w:rPr>
                <w:sz w:val="18"/>
                <w:szCs w:val="18"/>
              </w:rPr>
              <w:t>Does there need to be any adjustment to conditions that are currently placed on veterans accessing education through the step up to Incapacity payments initiative:</w:t>
            </w:r>
          </w:p>
          <w:p w14:paraId="2FBEDD7B" w14:textId="77777777" w:rsidR="0021131A" w:rsidRPr="000468CF" w:rsidRDefault="0021131A" w:rsidP="008505F8">
            <w:pPr>
              <w:pStyle w:val="ListParagraph"/>
              <w:numPr>
                <w:ilvl w:val="0"/>
                <w:numId w:val="28"/>
              </w:numPr>
              <w:spacing w:before="0" w:after="0"/>
              <w:jc w:val="both"/>
              <w:rPr>
                <w:sz w:val="18"/>
                <w:szCs w:val="18"/>
              </w:rPr>
            </w:pPr>
            <w:r w:rsidRPr="000468CF">
              <w:rPr>
                <w:sz w:val="18"/>
                <w:szCs w:val="18"/>
              </w:rPr>
              <w:t>Medical clearance for course and post course career</w:t>
            </w:r>
          </w:p>
          <w:p w14:paraId="6EAD779D" w14:textId="051551C5" w:rsidR="0021131A" w:rsidRPr="00217033" w:rsidRDefault="0021131A" w:rsidP="008505F8">
            <w:pPr>
              <w:pStyle w:val="ListParagraph"/>
              <w:numPr>
                <w:ilvl w:val="0"/>
                <w:numId w:val="28"/>
              </w:numPr>
              <w:spacing w:before="0" w:after="0"/>
              <w:jc w:val="both"/>
              <w:rPr>
                <w:sz w:val="18"/>
                <w:szCs w:val="18"/>
              </w:rPr>
            </w:pPr>
            <w:r w:rsidRPr="000468CF">
              <w:rPr>
                <w:sz w:val="18"/>
                <w:szCs w:val="18"/>
              </w:rPr>
              <w:t>Full Vocational Assessment and LMR</w:t>
            </w:r>
          </w:p>
        </w:tc>
      </w:tr>
    </w:tbl>
    <w:p w14:paraId="0BDFE063" w14:textId="20EE8CE1" w:rsidR="0021131A" w:rsidRDefault="0021131A" w:rsidP="008505F8">
      <w:pPr>
        <w:jc w:val="both"/>
      </w:pPr>
    </w:p>
    <w:tbl>
      <w:tblPr>
        <w:tblStyle w:val="Style1"/>
        <w:tblpPr w:leftFromText="180" w:rightFromText="180" w:vertAnchor="text" w:tblpY="1"/>
        <w:tblW w:w="0" w:type="auto"/>
        <w:tblLayout w:type="fixed"/>
        <w:tblLook w:val="04A0" w:firstRow="1" w:lastRow="0" w:firstColumn="1" w:lastColumn="0" w:noHBand="0" w:noVBand="1"/>
      </w:tblPr>
      <w:tblGrid>
        <w:gridCol w:w="10466"/>
      </w:tblGrid>
      <w:tr w:rsidR="0021131A" w:rsidRPr="00155837" w14:paraId="2C3B4B1F" w14:textId="77777777" w:rsidTr="00C34D80">
        <w:tc>
          <w:tcPr>
            <w:tcW w:w="10466" w:type="dxa"/>
            <w:tcBorders>
              <w:top w:val="single" w:sz="24" w:space="0" w:color="48B2E8"/>
            </w:tcBorders>
            <w:shd w:val="clear" w:color="auto" w:fill="DAEFFA" w:themeFill="accent4" w:themeFillTint="33"/>
          </w:tcPr>
          <w:p w14:paraId="2241301E" w14:textId="77777777" w:rsidR="0021131A" w:rsidRPr="000468CF" w:rsidRDefault="0021131A" w:rsidP="008505F8">
            <w:pPr>
              <w:jc w:val="both"/>
              <w:rPr>
                <w:b/>
                <w:i/>
                <w:sz w:val="18"/>
                <w:szCs w:val="18"/>
              </w:rPr>
            </w:pPr>
            <w:r w:rsidRPr="000468CF">
              <w:rPr>
                <w:b/>
                <w:i/>
                <w:sz w:val="18"/>
                <w:szCs w:val="18"/>
              </w:rPr>
              <w:t>Information request 7.3</w:t>
            </w:r>
          </w:p>
          <w:p w14:paraId="4CD1EB43" w14:textId="39DFADC4" w:rsidR="0021131A" w:rsidRPr="00155837" w:rsidRDefault="0021131A" w:rsidP="008505F8">
            <w:pPr>
              <w:jc w:val="both"/>
              <w:rPr>
                <w:b/>
              </w:rPr>
            </w:pPr>
            <w:r w:rsidRPr="000468CF">
              <w:rPr>
                <w:sz w:val="18"/>
                <w:szCs w:val="18"/>
              </w:rPr>
              <w:t>The Commission is seeking further information on the transition needs of members when they leave the Reserves.</w:t>
            </w:r>
          </w:p>
        </w:tc>
      </w:tr>
      <w:tr w:rsidR="0021131A" w:rsidRPr="00155837" w14:paraId="7F6F1A66" w14:textId="77777777" w:rsidTr="009D4E47">
        <w:tc>
          <w:tcPr>
            <w:tcW w:w="10466" w:type="dxa"/>
            <w:shd w:val="clear" w:color="auto" w:fill="F2F2F2" w:themeFill="background1" w:themeFillShade="F2"/>
          </w:tcPr>
          <w:p w14:paraId="79BDBFAC" w14:textId="77777777" w:rsidR="0021131A" w:rsidRPr="00155837" w:rsidRDefault="0021131A" w:rsidP="008505F8">
            <w:pPr>
              <w:jc w:val="both"/>
              <w:rPr>
                <w:b/>
              </w:rPr>
            </w:pPr>
            <w:r>
              <w:rPr>
                <w:b/>
              </w:rPr>
              <w:t>RESPONSE</w:t>
            </w:r>
          </w:p>
        </w:tc>
      </w:tr>
      <w:tr w:rsidR="0021131A" w:rsidRPr="00155837" w14:paraId="2019B650" w14:textId="77777777" w:rsidTr="009D4E47">
        <w:tc>
          <w:tcPr>
            <w:tcW w:w="10466" w:type="dxa"/>
          </w:tcPr>
          <w:p w14:paraId="66A789F1" w14:textId="77777777" w:rsidR="0021131A" w:rsidRPr="000468CF" w:rsidRDefault="0021131A" w:rsidP="008505F8">
            <w:pPr>
              <w:jc w:val="both"/>
              <w:rPr>
                <w:sz w:val="18"/>
                <w:szCs w:val="18"/>
              </w:rPr>
            </w:pPr>
            <w:r w:rsidRPr="000468CF">
              <w:rPr>
                <w:sz w:val="18"/>
                <w:szCs w:val="18"/>
              </w:rPr>
              <w:t xml:space="preserve">Medically discharging Reservists can access support via the ADF Rehabilitation programme and MAY be able to access CTAS depending on qualifying service.  </w:t>
            </w:r>
          </w:p>
          <w:p w14:paraId="6454B111" w14:textId="1DEEB69B" w:rsidR="0021131A" w:rsidRPr="00217033" w:rsidRDefault="0021131A" w:rsidP="008505F8">
            <w:pPr>
              <w:jc w:val="both"/>
              <w:rPr>
                <w:sz w:val="18"/>
                <w:szCs w:val="18"/>
              </w:rPr>
            </w:pPr>
            <w:r w:rsidRPr="000468CF">
              <w:rPr>
                <w:sz w:val="18"/>
                <w:szCs w:val="18"/>
              </w:rPr>
              <w:t>Should all members be referred to a transition assessor and if deemed at risk of failed transition, be provided with counselling/support with addressing medical management/psychosocial barriers?</w:t>
            </w:r>
          </w:p>
        </w:tc>
      </w:tr>
    </w:tbl>
    <w:p w14:paraId="1B424235" w14:textId="65A98590" w:rsidR="0021131A" w:rsidRDefault="0021131A" w:rsidP="008505F8">
      <w:pPr>
        <w:jc w:val="both"/>
      </w:pPr>
    </w:p>
    <w:tbl>
      <w:tblPr>
        <w:tblStyle w:val="Style1"/>
        <w:tblpPr w:leftFromText="180" w:rightFromText="180" w:vertAnchor="text" w:tblpY="1"/>
        <w:tblW w:w="0" w:type="auto"/>
        <w:tblLayout w:type="fixed"/>
        <w:tblLook w:val="04A0" w:firstRow="1" w:lastRow="0" w:firstColumn="1" w:lastColumn="0" w:noHBand="0" w:noVBand="1"/>
      </w:tblPr>
      <w:tblGrid>
        <w:gridCol w:w="10466"/>
      </w:tblGrid>
      <w:tr w:rsidR="0021131A" w:rsidRPr="00155837" w14:paraId="451DA0A1" w14:textId="77777777" w:rsidTr="00C34D80">
        <w:tc>
          <w:tcPr>
            <w:tcW w:w="10466" w:type="dxa"/>
            <w:tcBorders>
              <w:top w:val="single" w:sz="24" w:space="0" w:color="48B2E8"/>
            </w:tcBorders>
            <w:shd w:val="clear" w:color="auto" w:fill="DAEFFA" w:themeFill="accent4" w:themeFillTint="33"/>
          </w:tcPr>
          <w:p w14:paraId="0011A4EA" w14:textId="77777777" w:rsidR="0021131A" w:rsidRPr="000468CF" w:rsidRDefault="0021131A" w:rsidP="008505F8">
            <w:pPr>
              <w:jc w:val="both"/>
              <w:rPr>
                <w:b/>
                <w:i/>
                <w:sz w:val="18"/>
                <w:szCs w:val="18"/>
              </w:rPr>
            </w:pPr>
            <w:r w:rsidRPr="000468CF">
              <w:rPr>
                <w:b/>
                <w:i/>
                <w:sz w:val="18"/>
                <w:szCs w:val="18"/>
              </w:rPr>
              <w:t>Information request 8.2</w:t>
            </w:r>
          </w:p>
          <w:p w14:paraId="4A29EAB3" w14:textId="52C97459" w:rsidR="0021131A" w:rsidRPr="00217033" w:rsidRDefault="0021131A" w:rsidP="008505F8">
            <w:pPr>
              <w:jc w:val="both"/>
              <w:rPr>
                <w:sz w:val="18"/>
                <w:szCs w:val="18"/>
              </w:rPr>
            </w:pPr>
            <w:r w:rsidRPr="000468CF">
              <w:rPr>
                <w:sz w:val="18"/>
                <w:szCs w:val="18"/>
              </w:rPr>
              <w:t>The Commission is seeking participants’ views on whether there is merit in the Specialist Medical Review Council remaining as a standalone organisation, or whether its role should be folded into an augmented Repatriation Medical Authority review process that brings in additional medical specialists.</w:t>
            </w:r>
          </w:p>
        </w:tc>
      </w:tr>
      <w:tr w:rsidR="0021131A" w:rsidRPr="00155837" w14:paraId="799C27F3" w14:textId="77777777" w:rsidTr="009D4E47">
        <w:tc>
          <w:tcPr>
            <w:tcW w:w="10466" w:type="dxa"/>
            <w:shd w:val="clear" w:color="auto" w:fill="F2F2F2" w:themeFill="background1" w:themeFillShade="F2"/>
          </w:tcPr>
          <w:p w14:paraId="1CA824E5" w14:textId="77777777" w:rsidR="0021131A" w:rsidRPr="00155837" w:rsidRDefault="0021131A" w:rsidP="008505F8">
            <w:pPr>
              <w:jc w:val="both"/>
              <w:rPr>
                <w:b/>
              </w:rPr>
            </w:pPr>
            <w:r>
              <w:rPr>
                <w:b/>
              </w:rPr>
              <w:t>RESPONSE</w:t>
            </w:r>
          </w:p>
        </w:tc>
      </w:tr>
      <w:tr w:rsidR="0021131A" w:rsidRPr="00155837" w14:paraId="2E4B8BFB" w14:textId="77777777" w:rsidTr="009D4E47">
        <w:tc>
          <w:tcPr>
            <w:tcW w:w="10466" w:type="dxa"/>
          </w:tcPr>
          <w:p w14:paraId="76B58F68" w14:textId="08C97978" w:rsidR="0021131A" w:rsidRPr="00217033" w:rsidRDefault="0021131A" w:rsidP="008505F8">
            <w:pPr>
              <w:jc w:val="both"/>
              <w:rPr>
                <w:sz w:val="18"/>
                <w:szCs w:val="18"/>
              </w:rPr>
            </w:pPr>
            <w:r w:rsidRPr="000468CF">
              <w:rPr>
                <w:sz w:val="18"/>
                <w:szCs w:val="18"/>
              </w:rPr>
              <w:t>A standalone organisation may be viewed as being more impartial than if the RMA is responsible for doing medical assessment</w:t>
            </w:r>
            <w:r w:rsidR="00217033">
              <w:rPr>
                <w:sz w:val="18"/>
                <w:szCs w:val="18"/>
              </w:rPr>
              <w:t>.</w:t>
            </w:r>
          </w:p>
        </w:tc>
      </w:tr>
    </w:tbl>
    <w:p w14:paraId="4A2762EB" w14:textId="167E0C71" w:rsidR="0021131A" w:rsidRDefault="0021131A" w:rsidP="008505F8">
      <w:pPr>
        <w:jc w:val="both"/>
      </w:pPr>
    </w:p>
    <w:tbl>
      <w:tblPr>
        <w:tblStyle w:val="Style1"/>
        <w:tblpPr w:leftFromText="180" w:rightFromText="180" w:vertAnchor="text" w:tblpY="1"/>
        <w:tblW w:w="0" w:type="auto"/>
        <w:tblLayout w:type="fixed"/>
        <w:tblLook w:val="04A0" w:firstRow="1" w:lastRow="0" w:firstColumn="1" w:lastColumn="0" w:noHBand="0" w:noVBand="1"/>
      </w:tblPr>
      <w:tblGrid>
        <w:gridCol w:w="10466"/>
      </w:tblGrid>
      <w:tr w:rsidR="0021131A" w:rsidRPr="00155837" w14:paraId="71302850" w14:textId="77777777" w:rsidTr="00C34D80">
        <w:tc>
          <w:tcPr>
            <w:tcW w:w="10466" w:type="dxa"/>
            <w:tcBorders>
              <w:top w:val="single" w:sz="24" w:space="0" w:color="48B2E8"/>
            </w:tcBorders>
            <w:shd w:val="clear" w:color="auto" w:fill="DAEFFA" w:themeFill="accent4" w:themeFillTint="33"/>
          </w:tcPr>
          <w:p w14:paraId="342A73D4" w14:textId="77777777" w:rsidR="0021131A" w:rsidRPr="00F47425" w:rsidRDefault="0021131A" w:rsidP="008505F8">
            <w:pPr>
              <w:jc w:val="both"/>
              <w:rPr>
                <w:b/>
                <w:i/>
                <w:sz w:val="18"/>
                <w:szCs w:val="18"/>
              </w:rPr>
            </w:pPr>
            <w:r w:rsidRPr="00F47425">
              <w:rPr>
                <w:b/>
                <w:i/>
                <w:sz w:val="18"/>
                <w:szCs w:val="18"/>
              </w:rPr>
              <w:t>Information Request 12.1</w:t>
            </w:r>
          </w:p>
          <w:p w14:paraId="09CF4FAC" w14:textId="5BAA5418" w:rsidR="0021131A" w:rsidRPr="00155837" w:rsidRDefault="0021131A" w:rsidP="008505F8">
            <w:pPr>
              <w:jc w:val="both"/>
              <w:rPr>
                <w:b/>
              </w:rPr>
            </w:pPr>
            <w:r w:rsidRPr="00F47425">
              <w:rPr>
                <w:sz w:val="18"/>
                <w:szCs w:val="18"/>
              </w:rPr>
              <w:t>What are the costs and benefits of further integration between superannuation insurance benefits and the veteran compensation scheme, and how might this integration be achieved?</w:t>
            </w:r>
          </w:p>
        </w:tc>
      </w:tr>
      <w:tr w:rsidR="0021131A" w:rsidRPr="00155837" w14:paraId="6A55D2CD" w14:textId="77777777" w:rsidTr="009D4E47">
        <w:tc>
          <w:tcPr>
            <w:tcW w:w="10466" w:type="dxa"/>
            <w:shd w:val="clear" w:color="auto" w:fill="F2F2F2" w:themeFill="background1" w:themeFillShade="F2"/>
          </w:tcPr>
          <w:p w14:paraId="5F87730E" w14:textId="77777777" w:rsidR="0021131A" w:rsidRPr="00155837" w:rsidRDefault="0021131A" w:rsidP="008505F8">
            <w:pPr>
              <w:jc w:val="both"/>
              <w:rPr>
                <w:b/>
              </w:rPr>
            </w:pPr>
            <w:r>
              <w:rPr>
                <w:b/>
              </w:rPr>
              <w:t>RESPONSE</w:t>
            </w:r>
          </w:p>
        </w:tc>
      </w:tr>
      <w:tr w:rsidR="0021131A" w:rsidRPr="00155837" w14:paraId="798BD4A7" w14:textId="77777777" w:rsidTr="009D4E47">
        <w:tc>
          <w:tcPr>
            <w:tcW w:w="10466" w:type="dxa"/>
          </w:tcPr>
          <w:p w14:paraId="0A2C4632" w14:textId="77777777" w:rsidR="00217033" w:rsidRDefault="00217033" w:rsidP="008505F8">
            <w:pPr>
              <w:jc w:val="both"/>
              <w:rPr>
                <w:sz w:val="18"/>
                <w:szCs w:val="18"/>
              </w:rPr>
            </w:pPr>
            <w:r>
              <w:rPr>
                <w:sz w:val="18"/>
                <w:szCs w:val="18"/>
              </w:rPr>
              <w:t>A single incapacity payment would allow focus to be on rehabilitation and recovery whilst the veteran is provided financial support with the aim to RTW and RTL. The use of the words “pension” and “entitlements” can suggest an inability to recover and focus on the negative aspects of the injuries.</w:t>
            </w:r>
          </w:p>
          <w:p w14:paraId="5F8DA5DB" w14:textId="77777777" w:rsidR="00217033" w:rsidRDefault="00217033" w:rsidP="008505F8">
            <w:pPr>
              <w:jc w:val="both"/>
              <w:rPr>
                <w:sz w:val="18"/>
                <w:szCs w:val="18"/>
              </w:rPr>
            </w:pPr>
          </w:p>
          <w:p w14:paraId="5820BD84" w14:textId="77777777" w:rsidR="00217033" w:rsidRDefault="00217033" w:rsidP="008505F8">
            <w:pPr>
              <w:jc w:val="both"/>
              <w:rPr>
                <w:sz w:val="18"/>
                <w:szCs w:val="18"/>
              </w:rPr>
            </w:pPr>
            <w:r>
              <w:rPr>
                <w:sz w:val="18"/>
                <w:szCs w:val="18"/>
              </w:rPr>
              <w:t>A single payment would improve clarity for veterans, with one source of income from one party. It would reduce the administrative burden associated with having to lodge claims to multiple parties and undergo assessment by multiple parties.</w:t>
            </w:r>
          </w:p>
          <w:p w14:paraId="7984DFD5" w14:textId="34459A68" w:rsidR="0021131A" w:rsidRPr="00217033" w:rsidRDefault="00217033" w:rsidP="008505F8">
            <w:pPr>
              <w:jc w:val="both"/>
              <w:rPr>
                <w:sz w:val="18"/>
                <w:szCs w:val="18"/>
              </w:rPr>
            </w:pPr>
            <w:r>
              <w:rPr>
                <w:sz w:val="18"/>
                <w:szCs w:val="18"/>
              </w:rPr>
              <w:t>A single payment would require better communication between ADF, DVA and CSC to ensure delays were minimised and entitlements calculated correctly.</w:t>
            </w:r>
          </w:p>
        </w:tc>
      </w:tr>
    </w:tbl>
    <w:p w14:paraId="0D39BC2B" w14:textId="478247A8" w:rsidR="00C34D80" w:rsidRDefault="00C34D80" w:rsidP="008505F8">
      <w:pPr>
        <w:jc w:val="both"/>
      </w:pPr>
    </w:p>
    <w:p w14:paraId="0F5B957B" w14:textId="67C85E81" w:rsidR="00C34D80" w:rsidRDefault="00C34D80" w:rsidP="00C34D80">
      <w:pPr>
        <w:spacing w:before="0" w:after="160" w:line="259" w:lineRule="auto"/>
      </w:pPr>
      <w:r>
        <w:br w:type="page"/>
      </w:r>
    </w:p>
    <w:tbl>
      <w:tblPr>
        <w:tblStyle w:val="Style1"/>
        <w:tblpPr w:leftFromText="180" w:rightFromText="180" w:vertAnchor="text" w:tblpY="1"/>
        <w:tblW w:w="0" w:type="auto"/>
        <w:tblLayout w:type="fixed"/>
        <w:tblLook w:val="04A0" w:firstRow="1" w:lastRow="0" w:firstColumn="1" w:lastColumn="0" w:noHBand="0" w:noVBand="1"/>
      </w:tblPr>
      <w:tblGrid>
        <w:gridCol w:w="10466"/>
      </w:tblGrid>
      <w:tr w:rsidR="0021131A" w:rsidRPr="00155837" w14:paraId="7D046C67" w14:textId="77777777" w:rsidTr="00C34D80">
        <w:tc>
          <w:tcPr>
            <w:tcW w:w="10466" w:type="dxa"/>
            <w:tcBorders>
              <w:top w:val="single" w:sz="24" w:space="0" w:color="48B2E8"/>
            </w:tcBorders>
            <w:shd w:val="clear" w:color="auto" w:fill="DAEFFA" w:themeFill="accent4" w:themeFillTint="33"/>
          </w:tcPr>
          <w:p w14:paraId="2A2196CF" w14:textId="77777777" w:rsidR="00217033" w:rsidRPr="00294DA1" w:rsidRDefault="00217033" w:rsidP="008505F8">
            <w:pPr>
              <w:jc w:val="both"/>
              <w:rPr>
                <w:b/>
                <w:i/>
                <w:sz w:val="18"/>
                <w:szCs w:val="18"/>
              </w:rPr>
            </w:pPr>
            <w:r w:rsidRPr="00294DA1">
              <w:rPr>
                <w:b/>
                <w:i/>
                <w:sz w:val="18"/>
                <w:szCs w:val="18"/>
              </w:rPr>
              <w:lastRenderedPageBreak/>
              <w:t>Information Request 15.1</w:t>
            </w:r>
          </w:p>
          <w:p w14:paraId="65A3406A" w14:textId="77777777" w:rsidR="00217033" w:rsidRPr="00294DA1" w:rsidRDefault="00217033" w:rsidP="008505F8">
            <w:pPr>
              <w:pStyle w:val="InformationRequest"/>
              <w:rPr>
                <w:rFonts w:ascii="Gadugi" w:hAnsi="Gadugi"/>
                <w:i w:val="0"/>
                <w:sz w:val="18"/>
                <w:szCs w:val="18"/>
              </w:rPr>
            </w:pPr>
            <w:r w:rsidRPr="00294DA1">
              <w:rPr>
                <w:rFonts w:ascii="Gadugi" w:hAnsi="Gadugi"/>
                <w:i w:val="0"/>
                <w:sz w:val="18"/>
                <w:szCs w:val="18"/>
              </w:rPr>
              <w:t xml:space="preserve">Given the Gold Card runs counter to a number of key design principles, the Commission is seeking feedback on whether a future system should have a coloured health </w:t>
            </w:r>
            <w:proofErr w:type="spellStart"/>
            <w:r w:rsidRPr="00294DA1">
              <w:rPr>
                <w:rFonts w:ascii="Gadugi" w:hAnsi="Gadugi"/>
                <w:i w:val="0"/>
                <w:sz w:val="18"/>
                <w:szCs w:val="18"/>
              </w:rPr>
              <w:t>card</w:t>
            </w:r>
            <w:proofErr w:type="spellEnd"/>
            <w:r w:rsidRPr="00294DA1">
              <w:rPr>
                <w:rFonts w:ascii="Gadugi" w:hAnsi="Gadugi"/>
                <w:i w:val="0"/>
                <w:sz w:val="18"/>
                <w:szCs w:val="18"/>
              </w:rPr>
              <w:t xml:space="preserve"> system. </w:t>
            </w:r>
            <w:r>
              <w:rPr>
                <w:rFonts w:ascii="Gadugi" w:hAnsi="Gadugi"/>
                <w:i w:val="0"/>
                <w:sz w:val="18"/>
                <w:szCs w:val="18"/>
              </w:rPr>
              <w:t xml:space="preserve"> </w:t>
            </w:r>
            <w:r w:rsidRPr="00294DA1">
              <w:rPr>
                <w:rFonts w:ascii="Gadugi" w:hAnsi="Gadugi"/>
                <w:i w:val="0"/>
                <w:sz w:val="18"/>
                <w:szCs w:val="18"/>
              </w:rPr>
              <w:t xml:space="preserve">If not, what are the other options? </w:t>
            </w:r>
          </w:p>
          <w:p w14:paraId="59D93649" w14:textId="42EB0BB5" w:rsidR="0021131A" w:rsidRPr="00155837" w:rsidRDefault="00217033" w:rsidP="008505F8">
            <w:pPr>
              <w:jc w:val="both"/>
              <w:rPr>
                <w:b/>
              </w:rPr>
            </w:pPr>
            <w:r w:rsidRPr="00294DA1">
              <w:rPr>
                <w:sz w:val="18"/>
                <w:szCs w:val="18"/>
              </w:rPr>
              <w:t>In particular, the Commission is seeking feedback on the benefits and costs of providing the Gold Card to dependants, service pensioners and veterans with qualifying service at age 70.</w:t>
            </w:r>
          </w:p>
        </w:tc>
      </w:tr>
      <w:tr w:rsidR="0021131A" w:rsidRPr="00155837" w14:paraId="2AD4BF35" w14:textId="77777777" w:rsidTr="009D4E47">
        <w:tc>
          <w:tcPr>
            <w:tcW w:w="10466" w:type="dxa"/>
            <w:shd w:val="clear" w:color="auto" w:fill="F2F2F2" w:themeFill="background1" w:themeFillShade="F2"/>
          </w:tcPr>
          <w:p w14:paraId="2DBF9C1D" w14:textId="77777777" w:rsidR="0021131A" w:rsidRPr="00155837" w:rsidRDefault="0021131A" w:rsidP="008505F8">
            <w:pPr>
              <w:jc w:val="both"/>
              <w:rPr>
                <w:b/>
              </w:rPr>
            </w:pPr>
            <w:r>
              <w:rPr>
                <w:b/>
              </w:rPr>
              <w:t>RESPONSE</w:t>
            </w:r>
          </w:p>
        </w:tc>
      </w:tr>
      <w:tr w:rsidR="0021131A" w:rsidRPr="00155837" w14:paraId="3657F3BC" w14:textId="77777777" w:rsidTr="009D4E47">
        <w:tc>
          <w:tcPr>
            <w:tcW w:w="10466" w:type="dxa"/>
          </w:tcPr>
          <w:p w14:paraId="27C3DEF1" w14:textId="77777777" w:rsidR="00217033" w:rsidRDefault="00217033" w:rsidP="008505F8">
            <w:pPr>
              <w:jc w:val="both"/>
              <w:rPr>
                <w:sz w:val="18"/>
                <w:szCs w:val="18"/>
              </w:rPr>
            </w:pPr>
            <w:r w:rsidRPr="00294DA1">
              <w:rPr>
                <w:sz w:val="18"/>
                <w:szCs w:val="18"/>
              </w:rPr>
              <w:t>Should a Gold card entitlement be delayed until retirement age</w:t>
            </w:r>
            <w:r>
              <w:rPr>
                <w:sz w:val="18"/>
                <w:szCs w:val="18"/>
              </w:rPr>
              <w:t xml:space="preserve"> – and then assessed based on need/disability rather than just qualifying service?</w:t>
            </w:r>
          </w:p>
          <w:p w14:paraId="204C8AF6" w14:textId="77777777" w:rsidR="00217033" w:rsidRDefault="00217033" w:rsidP="008505F8">
            <w:pPr>
              <w:jc w:val="both"/>
              <w:rPr>
                <w:sz w:val="18"/>
                <w:szCs w:val="18"/>
              </w:rPr>
            </w:pPr>
            <w:r w:rsidRPr="00294DA1">
              <w:rPr>
                <w:sz w:val="18"/>
                <w:szCs w:val="18"/>
              </w:rPr>
              <w:t xml:space="preserve">Until then, focus is on managing illnesses and injuries and rehabilitation/recovery. </w:t>
            </w:r>
            <w:r>
              <w:rPr>
                <w:sz w:val="18"/>
                <w:szCs w:val="18"/>
              </w:rPr>
              <w:t xml:space="preserve">During this time, </w:t>
            </w:r>
            <w:r w:rsidRPr="00294DA1">
              <w:rPr>
                <w:sz w:val="18"/>
                <w:szCs w:val="18"/>
              </w:rPr>
              <w:t>DVA pay fu</w:t>
            </w:r>
            <w:r>
              <w:rPr>
                <w:sz w:val="18"/>
                <w:szCs w:val="18"/>
              </w:rPr>
              <w:t>l</w:t>
            </w:r>
            <w:r w:rsidRPr="00294DA1">
              <w:rPr>
                <w:sz w:val="18"/>
                <w:szCs w:val="18"/>
              </w:rPr>
              <w:t>l fee for treatment rather than veteran having to pay a gap</w:t>
            </w:r>
            <w:r>
              <w:rPr>
                <w:sz w:val="18"/>
                <w:szCs w:val="18"/>
              </w:rPr>
              <w:t>. This may encourage increased participation in treatment and thus decrease costs of rehab longer term.</w:t>
            </w:r>
          </w:p>
          <w:p w14:paraId="337BB6D1" w14:textId="77777777" w:rsidR="00217033" w:rsidRDefault="00217033" w:rsidP="008505F8">
            <w:pPr>
              <w:jc w:val="both"/>
              <w:rPr>
                <w:sz w:val="18"/>
                <w:szCs w:val="18"/>
              </w:rPr>
            </w:pPr>
          </w:p>
          <w:p w14:paraId="3EB81059" w14:textId="2C21334A" w:rsidR="0021131A" w:rsidRPr="00155837" w:rsidRDefault="00217033" w:rsidP="008505F8">
            <w:pPr>
              <w:jc w:val="both"/>
            </w:pPr>
            <w:r>
              <w:rPr>
                <w:sz w:val="18"/>
                <w:szCs w:val="18"/>
              </w:rPr>
              <w:t>Should Gold cards be limited to the veteran only?</w:t>
            </w:r>
          </w:p>
        </w:tc>
      </w:tr>
    </w:tbl>
    <w:p w14:paraId="7C1F5A54" w14:textId="672E3F1F" w:rsidR="0021131A" w:rsidRDefault="0021131A" w:rsidP="008505F8">
      <w:pPr>
        <w:jc w:val="both"/>
      </w:pPr>
    </w:p>
    <w:tbl>
      <w:tblPr>
        <w:tblStyle w:val="Style1"/>
        <w:tblpPr w:leftFromText="180" w:rightFromText="180" w:vertAnchor="text" w:tblpY="1"/>
        <w:tblW w:w="0" w:type="auto"/>
        <w:tblLayout w:type="fixed"/>
        <w:tblLook w:val="04A0" w:firstRow="1" w:lastRow="0" w:firstColumn="1" w:lastColumn="0" w:noHBand="0" w:noVBand="1"/>
      </w:tblPr>
      <w:tblGrid>
        <w:gridCol w:w="10466"/>
      </w:tblGrid>
      <w:tr w:rsidR="0021131A" w:rsidRPr="00155837" w14:paraId="55727F84" w14:textId="77777777" w:rsidTr="00C34D80">
        <w:tc>
          <w:tcPr>
            <w:tcW w:w="10466" w:type="dxa"/>
            <w:tcBorders>
              <w:top w:val="single" w:sz="24" w:space="0" w:color="48B2E8"/>
            </w:tcBorders>
            <w:shd w:val="clear" w:color="auto" w:fill="DAEFFA" w:themeFill="accent4" w:themeFillTint="33"/>
          </w:tcPr>
          <w:p w14:paraId="3D0A3CE1" w14:textId="77777777" w:rsidR="00217033" w:rsidRPr="0073782A" w:rsidRDefault="00217033" w:rsidP="008505F8">
            <w:pPr>
              <w:jc w:val="both"/>
              <w:rPr>
                <w:b/>
                <w:i/>
                <w:sz w:val="18"/>
                <w:szCs w:val="18"/>
              </w:rPr>
            </w:pPr>
            <w:r w:rsidRPr="0073782A">
              <w:rPr>
                <w:b/>
                <w:i/>
                <w:sz w:val="18"/>
                <w:szCs w:val="18"/>
              </w:rPr>
              <w:t>Information Request 17.1</w:t>
            </w:r>
          </w:p>
          <w:p w14:paraId="36CF9ACD" w14:textId="4CCE6512" w:rsidR="0021131A" w:rsidRPr="00155837" w:rsidRDefault="00217033" w:rsidP="008505F8">
            <w:pPr>
              <w:jc w:val="both"/>
              <w:rPr>
                <w:b/>
              </w:rPr>
            </w:pPr>
            <w:r w:rsidRPr="0073782A">
              <w:rPr>
                <w:sz w:val="18"/>
                <w:szCs w:val="18"/>
              </w:rPr>
              <w:t>The Commission is seeking feedback from participants on how the two scheme approach would work for veterans who currently have claims under multiple Acts. What factors should determine which scheme these veterans are covered by for their future claims? Should these veterans be given a choice of which scheme would cover them going forward?</w:t>
            </w:r>
          </w:p>
        </w:tc>
      </w:tr>
      <w:tr w:rsidR="0021131A" w:rsidRPr="00155837" w14:paraId="2E8306AF" w14:textId="77777777" w:rsidTr="009D4E47">
        <w:tc>
          <w:tcPr>
            <w:tcW w:w="10466" w:type="dxa"/>
            <w:shd w:val="clear" w:color="auto" w:fill="F2F2F2" w:themeFill="background1" w:themeFillShade="F2"/>
          </w:tcPr>
          <w:p w14:paraId="2492CB03" w14:textId="77777777" w:rsidR="0021131A" w:rsidRPr="00155837" w:rsidRDefault="0021131A" w:rsidP="008505F8">
            <w:pPr>
              <w:jc w:val="both"/>
              <w:rPr>
                <w:b/>
              </w:rPr>
            </w:pPr>
            <w:r>
              <w:rPr>
                <w:b/>
              </w:rPr>
              <w:t>RESPONSE</w:t>
            </w:r>
          </w:p>
        </w:tc>
      </w:tr>
      <w:tr w:rsidR="0021131A" w:rsidRPr="00155837" w14:paraId="7FD8AC64" w14:textId="77777777" w:rsidTr="009D4E47">
        <w:tc>
          <w:tcPr>
            <w:tcW w:w="10466" w:type="dxa"/>
          </w:tcPr>
          <w:p w14:paraId="197E3D58" w14:textId="77777777" w:rsidR="00217033" w:rsidRDefault="00217033" w:rsidP="008505F8">
            <w:pPr>
              <w:pStyle w:val="BodyText"/>
              <w:jc w:val="both"/>
              <w:rPr>
                <w:sz w:val="18"/>
                <w:szCs w:val="18"/>
              </w:rPr>
            </w:pPr>
            <w:r>
              <w:rPr>
                <w:sz w:val="18"/>
                <w:szCs w:val="18"/>
              </w:rPr>
              <w:t xml:space="preserve">Current claimants should be given choice (should this have an age limit or be assessed based on likely capacity to gain employment?) </w:t>
            </w:r>
            <w:proofErr w:type="spellStart"/>
            <w:r>
              <w:rPr>
                <w:sz w:val="18"/>
                <w:szCs w:val="18"/>
              </w:rPr>
              <w:t>i.e</w:t>
            </w:r>
            <w:proofErr w:type="spellEnd"/>
            <w:r>
              <w:rPr>
                <w:sz w:val="18"/>
                <w:szCs w:val="18"/>
              </w:rPr>
              <w:t xml:space="preserve"> younger veterans with claims accepted by VEA but should have reasonable success of RTW, then they could be transferred to the new scheme where the focus is rehabilitation and not financial incentives?.</w:t>
            </w:r>
          </w:p>
          <w:p w14:paraId="73A4442F" w14:textId="1B041AC2" w:rsidR="0021131A" w:rsidRPr="00155837" w:rsidRDefault="00217033" w:rsidP="008505F8">
            <w:pPr>
              <w:jc w:val="both"/>
            </w:pPr>
            <w:r>
              <w:rPr>
                <w:sz w:val="18"/>
                <w:szCs w:val="18"/>
              </w:rPr>
              <w:t>They need to be educated on which scheme will be better for them.</w:t>
            </w:r>
          </w:p>
        </w:tc>
      </w:tr>
    </w:tbl>
    <w:p w14:paraId="0E9495A7" w14:textId="77777777" w:rsidR="0021131A" w:rsidRDefault="0021131A" w:rsidP="008505F8">
      <w:pPr>
        <w:jc w:val="both"/>
      </w:pPr>
    </w:p>
    <w:sectPr w:rsidR="0021131A" w:rsidSect="00E40E55">
      <w:headerReference w:type="default" r:id="rId8"/>
      <w:footerReference w:type="default" r:id="rId9"/>
      <w:headerReference w:type="first" r:id="rId10"/>
      <w:footerReference w:type="first" r:id="rId11"/>
      <w:pgSz w:w="11906" w:h="16838"/>
      <w:pgMar w:top="720" w:right="720" w:bottom="1560" w:left="720" w:header="1134"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7653E" w14:textId="77777777" w:rsidR="00AF4906" w:rsidRDefault="00AF4906" w:rsidP="00030E35">
      <w:pPr>
        <w:spacing w:after="0"/>
      </w:pPr>
      <w:r>
        <w:separator/>
      </w:r>
    </w:p>
  </w:endnote>
  <w:endnote w:type="continuationSeparator" w:id="0">
    <w:p w14:paraId="1C45775B" w14:textId="77777777" w:rsidR="00AF4906" w:rsidRDefault="00AF4906" w:rsidP="00030E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B5929" w14:textId="089B2C51" w:rsidR="00D87E09" w:rsidRPr="00E40E55" w:rsidRDefault="00F71A28" w:rsidP="00E40E55">
    <w:pPr>
      <w:pStyle w:val="Footer"/>
      <w:jc w:val="right"/>
      <w:rPr>
        <w:b/>
        <w:noProof/>
        <w:color w:val="1F355E"/>
        <w:sz w:val="18"/>
        <w:szCs w:val="18"/>
      </w:rPr>
    </w:pPr>
    <w:r w:rsidRPr="008734DF">
      <w:rPr>
        <w:b/>
        <w:color w:val="1F355E"/>
        <w:sz w:val="18"/>
        <w:szCs w:val="18"/>
      </w:rPr>
      <w:t xml:space="preserve">Page </w:t>
    </w:r>
    <w:r w:rsidRPr="008734DF">
      <w:rPr>
        <w:b/>
        <w:color w:val="1F355E"/>
        <w:sz w:val="18"/>
        <w:szCs w:val="18"/>
      </w:rPr>
      <w:fldChar w:fldCharType="begin"/>
    </w:r>
    <w:r w:rsidRPr="008734DF">
      <w:rPr>
        <w:b/>
        <w:color w:val="1F355E"/>
        <w:sz w:val="18"/>
        <w:szCs w:val="18"/>
      </w:rPr>
      <w:instrText xml:space="preserve"> PAGE   \* MERGEFORMAT </w:instrText>
    </w:r>
    <w:r w:rsidRPr="008734DF">
      <w:rPr>
        <w:b/>
        <w:color w:val="1F355E"/>
        <w:sz w:val="18"/>
        <w:szCs w:val="18"/>
      </w:rPr>
      <w:fldChar w:fldCharType="separate"/>
    </w:r>
    <w:r w:rsidR="008968F7">
      <w:rPr>
        <w:b/>
        <w:noProof/>
        <w:color w:val="1F355E"/>
        <w:sz w:val="18"/>
        <w:szCs w:val="18"/>
      </w:rPr>
      <w:t>5</w:t>
    </w:r>
    <w:r w:rsidRPr="008734DF">
      <w:rPr>
        <w:b/>
        <w:noProof/>
        <w:color w:val="1F355E"/>
        <w:sz w:val="18"/>
        <w:szCs w:val="18"/>
      </w:rPr>
      <w:fldChar w:fldCharType="end"/>
    </w:r>
    <w:r w:rsidRPr="008734DF">
      <w:rPr>
        <w:b/>
        <w:noProof/>
        <w:color w:val="1F355E"/>
        <w:sz w:val="18"/>
        <w:szCs w:val="18"/>
      </w:rPr>
      <w:t xml:space="preserve"> of </w:t>
    </w:r>
    <w:r w:rsidRPr="008734DF">
      <w:rPr>
        <w:b/>
        <w:noProof/>
        <w:color w:val="1F355E"/>
        <w:sz w:val="18"/>
        <w:szCs w:val="18"/>
      </w:rPr>
      <w:fldChar w:fldCharType="begin"/>
    </w:r>
    <w:r w:rsidRPr="008734DF">
      <w:rPr>
        <w:b/>
        <w:noProof/>
        <w:color w:val="1F355E"/>
        <w:sz w:val="18"/>
        <w:szCs w:val="18"/>
      </w:rPr>
      <w:instrText xml:space="preserve"> NUMPAGES   \* MERGEFORMAT </w:instrText>
    </w:r>
    <w:r w:rsidRPr="008734DF">
      <w:rPr>
        <w:b/>
        <w:noProof/>
        <w:color w:val="1F355E"/>
        <w:sz w:val="18"/>
        <w:szCs w:val="18"/>
      </w:rPr>
      <w:fldChar w:fldCharType="separate"/>
    </w:r>
    <w:r w:rsidR="008968F7">
      <w:rPr>
        <w:b/>
        <w:noProof/>
        <w:color w:val="1F355E"/>
        <w:sz w:val="18"/>
        <w:szCs w:val="18"/>
      </w:rPr>
      <w:t>5</w:t>
    </w:r>
    <w:r w:rsidRPr="008734DF">
      <w:rPr>
        <w:b/>
        <w:noProof/>
        <w:color w:val="1F355E"/>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852F9" w14:textId="77777777" w:rsidR="00A8518D" w:rsidRPr="0012575C" w:rsidRDefault="00A8518D" w:rsidP="00557E72">
    <w:pPr>
      <w:pStyle w:val="Footer"/>
      <w:jc w:val="right"/>
      <w:rPr>
        <w:sz w:val="18"/>
      </w:rPr>
    </w:pPr>
    <w:r w:rsidRPr="0012575C">
      <w:rPr>
        <w:rFonts w:eastAsiaTheme="minorEastAsia"/>
        <w:noProof/>
        <w:sz w:val="18"/>
        <w:lang w:eastAsia="en-AU"/>
      </w:rPr>
      <w:drawing>
        <wp:anchor distT="0" distB="0" distL="114300" distR="114300" simplePos="0" relativeHeight="251675648" behindDoc="1" locked="0" layoutInCell="1" allowOverlap="0" wp14:anchorId="6332412C" wp14:editId="19FB26BB">
          <wp:simplePos x="0" y="0"/>
          <wp:positionH relativeFrom="page">
            <wp:posOffset>0</wp:posOffset>
          </wp:positionH>
          <wp:positionV relativeFrom="page">
            <wp:align>bottom</wp:align>
          </wp:positionV>
          <wp:extent cx="2700000" cy="1119600"/>
          <wp:effectExtent l="0" t="0" r="5715" b="4445"/>
          <wp:wrapTight wrapText="bothSides">
            <wp:wrapPolygon edited="0">
              <wp:start x="0" y="0"/>
              <wp:lineTo x="0" y="21318"/>
              <wp:lineTo x="21493" y="21318"/>
              <wp:lineTo x="21493" y="18010"/>
              <wp:lineTo x="20121" y="16908"/>
              <wp:lineTo x="18902" y="12864"/>
              <wp:lineTo x="18292" y="11762"/>
              <wp:lineTo x="18445" y="9556"/>
              <wp:lineTo x="16463" y="6248"/>
              <wp:lineTo x="14786" y="5146"/>
              <wp:lineTo x="14786" y="1103"/>
              <wp:lineTo x="14481" y="0"/>
              <wp:lineTo x="0" y="0"/>
            </wp:wrapPolygon>
          </wp:wrapTight>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rotWithShape="1">
                  <a:blip r:embed="rId1" cstate="print">
                    <a:extLst>
                      <a:ext uri="{28A0092B-C50C-407E-A947-70E740481C1C}">
                        <a14:useLocalDpi xmlns:a14="http://schemas.microsoft.com/office/drawing/2010/main" val="0"/>
                      </a:ext>
                    </a:extLst>
                  </a:blip>
                  <a:srcRect l="21096" b="14318"/>
                  <a:stretch/>
                </pic:blipFill>
                <pic:spPr>
                  <a:xfrm>
                    <a:off x="0" y="0"/>
                    <a:ext cx="2700000" cy="1119600"/>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Pr="0012575C">
        <w:rPr>
          <w:rStyle w:val="Hyperlink"/>
          <w:sz w:val="18"/>
        </w:rPr>
        <w:t>www.apm.net.au</w:t>
      </w:r>
    </w:hyperlink>
  </w:p>
  <w:p w14:paraId="0E183AD7" w14:textId="0F20F5ED" w:rsidR="00E042AA" w:rsidRPr="00E40E55" w:rsidRDefault="00A8518D" w:rsidP="00E40E55">
    <w:pPr>
      <w:pStyle w:val="Footer"/>
      <w:jc w:val="right"/>
      <w:rPr>
        <w:sz w:val="18"/>
      </w:rPr>
    </w:pPr>
    <w:r w:rsidRPr="0012575C">
      <w:rPr>
        <w:sz w:val="18"/>
      </w:rPr>
      <w:t>Serendipity (WA) Pty Ltd ABN 64 062 160 614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76895" w14:textId="77777777" w:rsidR="00AF4906" w:rsidRDefault="00AF4906" w:rsidP="00030E35">
      <w:pPr>
        <w:spacing w:after="0"/>
      </w:pPr>
      <w:r>
        <w:separator/>
      </w:r>
    </w:p>
  </w:footnote>
  <w:footnote w:type="continuationSeparator" w:id="0">
    <w:p w14:paraId="5DF8A287" w14:textId="77777777" w:rsidR="00AF4906" w:rsidRDefault="00AF4906" w:rsidP="00030E3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A97C0" w14:textId="77777777" w:rsidR="008505F8" w:rsidRPr="008505F8" w:rsidRDefault="008505F8" w:rsidP="008505F8">
    <w:pPr>
      <w:pStyle w:val="Header"/>
      <w:rPr>
        <w:noProof/>
        <w:sz w:val="18"/>
        <w:szCs w:val="18"/>
        <w:lang w:eastAsia="en-AU"/>
      </w:rPr>
    </w:pPr>
    <w:r w:rsidRPr="008505F8">
      <w:rPr>
        <w:noProof/>
        <w:sz w:val="18"/>
        <w:szCs w:val="18"/>
        <w:lang w:eastAsia="en-AU"/>
      </w:rPr>
      <w:t xml:space="preserve">A Better Way to Support Veterans: Productivity </w:t>
    </w:r>
  </w:p>
  <w:p w14:paraId="68C9754E" w14:textId="6C17E3D3" w:rsidR="00A8518D" w:rsidRDefault="008505F8" w:rsidP="008505F8">
    <w:pPr>
      <w:pStyle w:val="Header"/>
      <w:rPr>
        <w:noProof/>
        <w:sz w:val="18"/>
        <w:szCs w:val="18"/>
        <w:lang w:eastAsia="en-AU"/>
      </w:rPr>
    </w:pPr>
    <w:r w:rsidRPr="008505F8">
      <w:rPr>
        <w:noProof/>
        <w:sz w:val="18"/>
        <w:szCs w:val="18"/>
        <w:lang w:eastAsia="en-AU"/>
      </w:rPr>
      <w:t>Commission Draft Report Dec 2018</w:t>
    </w:r>
    <w:r w:rsidR="00A8518D" w:rsidRPr="00F82588">
      <w:rPr>
        <w:noProof/>
        <w:sz w:val="18"/>
        <w:szCs w:val="18"/>
        <w:lang w:eastAsia="en-AU"/>
      </w:rPr>
      <w:drawing>
        <wp:anchor distT="0" distB="0" distL="114300" distR="114300" simplePos="0" relativeHeight="251671552" behindDoc="0" locked="0" layoutInCell="1" allowOverlap="0" wp14:anchorId="6720EB53" wp14:editId="74F0B607">
          <wp:simplePos x="0" y="0"/>
          <wp:positionH relativeFrom="margin">
            <wp:align>right</wp:align>
          </wp:positionH>
          <wp:positionV relativeFrom="page">
            <wp:posOffset>360045</wp:posOffset>
          </wp:positionV>
          <wp:extent cx="934720" cy="568325"/>
          <wp:effectExtent l="0" t="0" r="0" b="317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M_Workcare_14.8.17.jpg"/>
                  <pic:cNvPicPr/>
                </pic:nvPicPr>
                <pic:blipFill>
                  <a:blip r:embed="rId1">
                    <a:extLst>
                      <a:ext uri="{28A0092B-C50C-407E-A947-70E740481C1C}">
                        <a14:useLocalDpi xmlns:a14="http://schemas.microsoft.com/office/drawing/2010/main" val="0"/>
                      </a:ext>
                    </a:extLst>
                  </a:blip>
                  <a:stretch>
                    <a:fillRect/>
                  </a:stretch>
                </pic:blipFill>
                <pic:spPr>
                  <a:xfrm>
                    <a:off x="0" y="0"/>
                    <a:ext cx="935007" cy="568799"/>
                  </a:xfrm>
                  <a:prstGeom prst="rect">
                    <a:avLst/>
                  </a:prstGeom>
                </pic:spPr>
              </pic:pic>
            </a:graphicData>
          </a:graphic>
          <wp14:sizeRelH relativeFrom="margin">
            <wp14:pctWidth>0</wp14:pctWidth>
          </wp14:sizeRelH>
          <wp14:sizeRelV relativeFrom="margin">
            <wp14:pctHeight>0</wp14:pctHeight>
          </wp14:sizeRelV>
        </wp:anchor>
      </w:drawing>
    </w:r>
  </w:p>
  <w:p w14:paraId="6B8C17BA" w14:textId="77777777" w:rsidR="00C34D80" w:rsidRDefault="00C34D80" w:rsidP="008505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7AAAB" w14:textId="77777777" w:rsidR="0021131A" w:rsidRDefault="0021131A" w:rsidP="0021131A">
    <w:pPr>
      <w:pStyle w:val="Heading1"/>
      <w:spacing w:before="0"/>
    </w:pPr>
    <w:r>
      <w:t xml:space="preserve">A Better Way to Support Veterans: Productivity </w:t>
    </w:r>
  </w:p>
  <w:p w14:paraId="7643C242" w14:textId="6F71350B" w:rsidR="00A8518D" w:rsidRDefault="0021131A" w:rsidP="0021131A">
    <w:pPr>
      <w:pStyle w:val="Heading1"/>
      <w:spacing w:before="0"/>
    </w:pPr>
    <w:r>
      <w:t>Commission Draft Report Dec 2018</w:t>
    </w:r>
    <w:r w:rsidR="00A8518D">
      <w:rPr>
        <w:noProof/>
        <w:lang w:eastAsia="en-AU"/>
      </w:rPr>
      <w:drawing>
        <wp:anchor distT="0" distB="0" distL="114300" distR="114300" simplePos="0" relativeHeight="251673600" behindDoc="0" locked="0" layoutInCell="1" allowOverlap="0" wp14:anchorId="20804934" wp14:editId="74850E4E">
          <wp:simplePos x="0" y="0"/>
          <wp:positionH relativeFrom="margin">
            <wp:posOffset>5305425</wp:posOffset>
          </wp:positionH>
          <wp:positionV relativeFrom="page">
            <wp:posOffset>285750</wp:posOffset>
          </wp:positionV>
          <wp:extent cx="1333500" cy="811217"/>
          <wp:effectExtent l="0" t="0" r="0"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PM_Workcare_14.8.17.jpg"/>
                  <pic:cNvPicPr/>
                </pic:nvPicPr>
                <pic:blipFill>
                  <a:blip r:embed="rId1">
                    <a:extLst>
                      <a:ext uri="{28A0092B-C50C-407E-A947-70E740481C1C}">
                        <a14:useLocalDpi xmlns:a14="http://schemas.microsoft.com/office/drawing/2010/main" val="0"/>
                      </a:ext>
                    </a:extLst>
                  </a:blip>
                  <a:stretch>
                    <a:fillRect/>
                  </a:stretch>
                </pic:blipFill>
                <pic:spPr>
                  <a:xfrm>
                    <a:off x="0" y="0"/>
                    <a:ext cx="1333500" cy="81121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12D5"/>
    <w:multiLevelType w:val="multilevel"/>
    <w:tmpl w:val="5312307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Gadugi" w:hAnsi="Gadugi" w:hint="default"/>
      </w:rPr>
    </w:lvl>
    <w:lvl w:ilvl="2">
      <w:start w:val="1"/>
      <w:numFmt w:val="bullet"/>
      <w:lvlText w:val="o"/>
      <w:lvlJc w:val="left"/>
      <w:pPr>
        <w:ind w:left="1071" w:hanging="357"/>
      </w:pPr>
      <w:rPr>
        <w:rFonts w:ascii="Courier New" w:hAnsi="Courier New"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 w15:restartNumberingAfterBreak="0">
    <w:nsid w:val="149B3609"/>
    <w:multiLevelType w:val="multilevel"/>
    <w:tmpl w:val="5312307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Gadugi" w:hAnsi="Gadugi" w:hint="default"/>
      </w:rPr>
    </w:lvl>
    <w:lvl w:ilvl="2">
      <w:start w:val="1"/>
      <w:numFmt w:val="bullet"/>
      <w:lvlText w:val="o"/>
      <w:lvlJc w:val="left"/>
      <w:pPr>
        <w:ind w:left="1071" w:hanging="357"/>
      </w:pPr>
      <w:rPr>
        <w:rFonts w:ascii="Courier New" w:hAnsi="Courier New"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 w15:restartNumberingAfterBreak="0">
    <w:nsid w:val="14C34226"/>
    <w:multiLevelType w:val="hybridMultilevel"/>
    <w:tmpl w:val="F6C2014A"/>
    <w:lvl w:ilvl="0" w:tplc="7DAEDB98">
      <w:start w:val="1"/>
      <w:numFmt w:val="bullet"/>
      <w:lvlText w:val=""/>
      <w:lvlJc w:val="left"/>
      <w:pPr>
        <w:tabs>
          <w:tab w:val="num" w:pos="357"/>
        </w:tabs>
        <w:ind w:left="357" w:hanging="357"/>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E80788"/>
    <w:multiLevelType w:val="multilevel"/>
    <w:tmpl w:val="5312307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Gadugi" w:hAnsi="Gadugi" w:hint="default"/>
      </w:rPr>
    </w:lvl>
    <w:lvl w:ilvl="2">
      <w:start w:val="1"/>
      <w:numFmt w:val="bullet"/>
      <w:lvlText w:val="o"/>
      <w:lvlJc w:val="left"/>
      <w:pPr>
        <w:ind w:left="1071" w:hanging="357"/>
      </w:pPr>
      <w:rPr>
        <w:rFonts w:ascii="Courier New" w:hAnsi="Courier New"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4" w15:restartNumberingAfterBreak="0">
    <w:nsid w:val="1E857AD1"/>
    <w:multiLevelType w:val="multilevel"/>
    <w:tmpl w:val="5312307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Gadugi" w:hAnsi="Gadugi" w:hint="default"/>
      </w:rPr>
    </w:lvl>
    <w:lvl w:ilvl="2">
      <w:start w:val="1"/>
      <w:numFmt w:val="bullet"/>
      <w:lvlText w:val="o"/>
      <w:lvlJc w:val="left"/>
      <w:pPr>
        <w:ind w:left="1071" w:hanging="357"/>
      </w:pPr>
      <w:rPr>
        <w:rFonts w:ascii="Courier New" w:hAnsi="Courier New"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5" w15:restartNumberingAfterBreak="0">
    <w:nsid w:val="1F291846"/>
    <w:multiLevelType w:val="multilevel"/>
    <w:tmpl w:val="5312307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Gadugi" w:hAnsi="Gadugi" w:hint="default"/>
      </w:rPr>
    </w:lvl>
    <w:lvl w:ilvl="2">
      <w:start w:val="1"/>
      <w:numFmt w:val="bullet"/>
      <w:lvlText w:val="o"/>
      <w:lvlJc w:val="left"/>
      <w:pPr>
        <w:ind w:left="1071" w:hanging="357"/>
      </w:pPr>
      <w:rPr>
        <w:rFonts w:ascii="Courier New" w:hAnsi="Courier New"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6" w15:restartNumberingAfterBreak="0">
    <w:nsid w:val="1FE71F2A"/>
    <w:multiLevelType w:val="multilevel"/>
    <w:tmpl w:val="C75A460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Calibri" w:hAnsi="Calibri"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7" w15:restartNumberingAfterBreak="0">
    <w:nsid w:val="22EF5CF6"/>
    <w:multiLevelType w:val="multilevel"/>
    <w:tmpl w:val="5312307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Gadugi" w:hAnsi="Gadugi" w:hint="default"/>
      </w:rPr>
    </w:lvl>
    <w:lvl w:ilvl="2">
      <w:start w:val="1"/>
      <w:numFmt w:val="bullet"/>
      <w:lvlText w:val="o"/>
      <w:lvlJc w:val="left"/>
      <w:pPr>
        <w:ind w:left="1071" w:hanging="357"/>
      </w:pPr>
      <w:rPr>
        <w:rFonts w:ascii="Courier New" w:hAnsi="Courier New"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8" w15:restartNumberingAfterBreak="0">
    <w:nsid w:val="29F00C06"/>
    <w:multiLevelType w:val="multilevel"/>
    <w:tmpl w:val="5312307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Gadugi" w:hAnsi="Gadugi" w:hint="default"/>
      </w:rPr>
    </w:lvl>
    <w:lvl w:ilvl="2">
      <w:start w:val="1"/>
      <w:numFmt w:val="bullet"/>
      <w:lvlText w:val="o"/>
      <w:lvlJc w:val="left"/>
      <w:pPr>
        <w:ind w:left="1071" w:hanging="357"/>
      </w:pPr>
      <w:rPr>
        <w:rFonts w:ascii="Courier New" w:hAnsi="Courier New"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9" w15:restartNumberingAfterBreak="0">
    <w:nsid w:val="396D59F9"/>
    <w:multiLevelType w:val="multilevel"/>
    <w:tmpl w:val="5312307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Gadugi" w:hAnsi="Gadugi" w:hint="default"/>
      </w:rPr>
    </w:lvl>
    <w:lvl w:ilvl="2">
      <w:start w:val="1"/>
      <w:numFmt w:val="bullet"/>
      <w:lvlText w:val="o"/>
      <w:lvlJc w:val="left"/>
      <w:pPr>
        <w:ind w:left="1071" w:hanging="357"/>
      </w:pPr>
      <w:rPr>
        <w:rFonts w:ascii="Courier New" w:hAnsi="Courier New"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0" w15:restartNumberingAfterBreak="0">
    <w:nsid w:val="3D9E1F49"/>
    <w:multiLevelType w:val="multilevel"/>
    <w:tmpl w:val="5312307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Gadugi" w:hAnsi="Gadugi" w:hint="default"/>
      </w:rPr>
    </w:lvl>
    <w:lvl w:ilvl="2">
      <w:start w:val="1"/>
      <w:numFmt w:val="bullet"/>
      <w:lvlText w:val="o"/>
      <w:lvlJc w:val="left"/>
      <w:pPr>
        <w:ind w:left="1071" w:hanging="357"/>
      </w:pPr>
      <w:rPr>
        <w:rFonts w:ascii="Courier New" w:hAnsi="Courier New"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1" w15:restartNumberingAfterBreak="0">
    <w:nsid w:val="42225AAF"/>
    <w:multiLevelType w:val="hybridMultilevel"/>
    <w:tmpl w:val="670E2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626973"/>
    <w:multiLevelType w:val="multilevel"/>
    <w:tmpl w:val="5312307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Gadugi" w:hAnsi="Gadugi" w:hint="default"/>
      </w:rPr>
    </w:lvl>
    <w:lvl w:ilvl="2">
      <w:start w:val="1"/>
      <w:numFmt w:val="bullet"/>
      <w:lvlText w:val="o"/>
      <w:lvlJc w:val="left"/>
      <w:pPr>
        <w:ind w:left="1071" w:hanging="357"/>
      </w:pPr>
      <w:rPr>
        <w:rFonts w:ascii="Courier New" w:hAnsi="Courier New"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3" w15:restartNumberingAfterBreak="0">
    <w:nsid w:val="476B0B88"/>
    <w:multiLevelType w:val="multilevel"/>
    <w:tmpl w:val="5312307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Gadugi" w:hAnsi="Gadugi" w:hint="default"/>
      </w:rPr>
    </w:lvl>
    <w:lvl w:ilvl="2">
      <w:start w:val="1"/>
      <w:numFmt w:val="bullet"/>
      <w:lvlText w:val="o"/>
      <w:lvlJc w:val="left"/>
      <w:pPr>
        <w:ind w:left="1071" w:hanging="357"/>
      </w:pPr>
      <w:rPr>
        <w:rFonts w:ascii="Courier New" w:hAnsi="Courier New"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4" w15:restartNumberingAfterBreak="0">
    <w:nsid w:val="478626D7"/>
    <w:multiLevelType w:val="multilevel"/>
    <w:tmpl w:val="5312307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Gadugi" w:hAnsi="Gadugi" w:hint="default"/>
      </w:rPr>
    </w:lvl>
    <w:lvl w:ilvl="2">
      <w:start w:val="1"/>
      <w:numFmt w:val="bullet"/>
      <w:lvlText w:val="o"/>
      <w:lvlJc w:val="left"/>
      <w:pPr>
        <w:ind w:left="1071" w:hanging="357"/>
      </w:pPr>
      <w:rPr>
        <w:rFonts w:ascii="Courier New" w:hAnsi="Courier New"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5"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6" w15:restartNumberingAfterBreak="0">
    <w:nsid w:val="59EA264C"/>
    <w:multiLevelType w:val="hybridMultilevel"/>
    <w:tmpl w:val="F9C0E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41107A"/>
    <w:multiLevelType w:val="hybridMultilevel"/>
    <w:tmpl w:val="0FC40D5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536BB3"/>
    <w:multiLevelType w:val="hybridMultilevel"/>
    <w:tmpl w:val="23144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1F4399"/>
    <w:multiLevelType w:val="hybridMultilevel"/>
    <w:tmpl w:val="172A2FC4"/>
    <w:lvl w:ilvl="0" w:tplc="0C090005">
      <w:start w:val="1"/>
      <w:numFmt w:val="bullet"/>
      <w:lvlText w:val=""/>
      <w:lvlJc w:val="left"/>
      <w:pPr>
        <w:tabs>
          <w:tab w:val="num" w:pos="357"/>
        </w:tabs>
        <w:ind w:left="357" w:hanging="357"/>
      </w:pPr>
      <w:rPr>
        <w:rFonts w:ascii="Wingdings" w:hAnsi="Wingdings" w:hint="default"/>
        <w:color w:val="auto"/>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F60C35"/>
    <w:multiLevelType w:val="hybridMultilevel"/>
    <w:tmpl w:val="0896C958"/>
    <w:lvl w:ilvl="0" w:tplc="B8869882">
      <w:start w:val="1"/>
      <w:numFmt w:val="bullet"/>
      <w:lvlText w:val=""/>
      <w:lvlJc w:val="left"/>
      <w:pPr>
        <w:ind w:left="286" w:hanging="360"/>
      </w:pPr>
      <w:rPr>
        <w:rFonts w:ascii="Symbol" w:eastAsia="Symbol" w:hAnsi="Symbol" w:cs="Symbol" w:hint="default"/>
        <w:bdr w:val="none" w:sz="0" w:space="0" w:color="auto"/>
      </w:rPr>
    </w:lvl>
    <w:lvl w:ilvl="1" w:tplc="5854FBA6">
      <w:start w:val="1"/>
      <w:numFmt w:val="bullet"/>
      <w:lvlText w:val="o"/>
      <w:lvlJc w:val="left"/>
      <w:pPr>
        <w:ind w:left="1332" w:hanging="360"/>
      </w:pPr>
      <w:rPr>
        <w:rFonts w:ascii="Courier New" w:eastAsia="Courier New" w:hAnsi="Courier New" w:cs="Courier New" w:hint="default"/>
        <w:bdr w:val="none" w:sz="0" w:space="0" w:color="auto"/>
      </w:rPr>
    </w:lvl>
    <w:lvl w:ilvl="2" w:tplc="A030D6E8">
      <w:start w:val="1"/>
      <w:numFmt w:val="bullet"/>
      <w:lvlText w:val=""/>
      <w:lvlJc w:val="left"/>
      <w:pPr>
        <w:ind w:left="2052" w:hanging="360"/>
      </w:pPr>
      <w:rPr>
        <w:rFonts w:ascii="Wingdings" w:eastAsia="Wingdings" w:hAnsi="Wingdings" w:cs="Wingdings" w:hint="default"/>
        <w:bdr w:val="none" w:sz="0" w:space="0" w:color="auto"/>
      </w:rPr>
    </w:lvl>
    <w:lvl w:ilvl="3" w:tplc="1934666A">
      <w:start w:val="1"/>
      <w:numFmt w:val="bullet"/>
      <w:lvlText w:val=""/>
      <w:lvlJc w:val="left"/>
      <w:pPr>
        <w:ind w:left="2772" w:hanging="360"/>
      </w:pPr>
      <w:rPr>
        <w:rFonts w:ascii="Symbol" w:eastAsia="Symbol" w:hAnsi="Symbol" w:cs="Symbol" w:hint="default"/>
        <w:bdr w:val="none" w:sz="0" w:space="0" w:color="auto"/>
      </w:rPr>
    </w:lvl>
    <w:lvl w:ilvl="4" w:tplc="8050E8CA">
      <w:start w:val="1"/>
      <w:numFmt w:val="bullet"/>
      <w:lvlText w:val="o"/>
      <w:lvlJc w:val="left"/>
      <w:pPr>
        <w:ind w:left="3492" w:hanging="360"/>
      </w:pPr>
      <w:rPr>
        <w:rFonts w:ascii="Courier New" w:eastAsia="Courier New" w:hAnsi="Courier New" w:cs="Courier New" w:hint="default"/>
        <w:bdr w:val="none" w:sz="0" w:space="0" w:color="auto"/>
      </w:rPr>
    </w:lvl>
    <w:lvl w:ilvl="5" w:tplc="425068D6">
      <w:start w:val="1"/>
      <w:numFmt w:val="bullet"/>
      <w:lvlText w:val=""/>
      <w:lvlJc w:val="left"/>
      <w:pPr>
        <w:ind w:left="4212" w:hanging="360"/>
      </w:pPr>
      <w:rPr>
        <w:rFonts w:ascii="Wingdings" w:eastAsia="Wingdings" w:hAnsi="Wingdings" w:cs="Wingdings" w:hint="default"/>
        <w:bdr w:val="none" w:sz="0" w:space="0" w:color="auto"/>
      </w:rPr>
    </w:lvl>
    <w:lvl w:ilvl="6" w:tplc="767281EE">
      <w:start w:val="1"/>
      <w:numFmt w:val="bullet"/>
      <w:lvlText w:val=""/>
      <w:lvlJc w:val="left"/>
      <w:pPr>
        <w:ind w:left="4932" w:hanging="360"/>
      </w:pPr>
      <w:rPr>
        <w:rFonts w:ascii="Symbol" w:eastAsia="Symbol" w:hAnsi="Symbol" w:cs="Symbol" w:hint="default"/>
        <w:bdr w:val="none" w:sz="0" w:space="0" w:color="auto"/>
      </w:rPr>
    </w:lvl>
    <w:lvl w:ilvl="7" w:tplc="F7480616">
      <w:start w:val="1"/>
      <w:numFmt w:val="bullet"/>
      <w:lvlText w:val="o"/>
      <w:lvlJc w:val="left"/>
      <w:pPr>
        <w:ind w:left="5652" w:hanging="360"/>
      </w:pPr>
      <w:rPr>
        <w:rFonts w:ascii="Courier New" w:eastAsia="Courier New" w:hAnsi="Courier New" w:cs="Courier New" w:hint="default"/>
        <w:bdr w:val="none" w:sz="0" w:space="0" w:color="auto"/>
      </w:rPr>
    </w:lvl>
    <w:lvl w:ilvl="8" w:tplc="E20A3BA0">
      <w:start w:val="1"/>
      <w:numFmt w:val="bullet"/>
      <w:lvlText w:val=""/>
      <w:lvlJc w:val="left"/>
      <w:pPr>
        <w:ind w:left="6372" w:hanging="360"/>
      </w:pPr>
      <w:rPr>
        <w:rFonts w:ascii="Wingdings" w:eastAsia="Wingdings" w:hAnsi="Wingdings" w:cs="Wingdings" w:hint="default"/>
        <w:bdr w:val="none" w:sz="0" w:space="0" w:color="auto"/>
      </w:rPr>
    </w:lvl>
  </w:abstractNum>
  <w:abstractNum w:abstractNumId="21" w15:restartNumberingAfterBreak="0">
    <w:nsid w:val="69E83550"/>
    <w:multiLevelType w:val="hybridMultilevel"/>
    <w:tmpl w:val="E3F4C32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EE052D3"/>
    <w:multiLevelType w:val="multilevel"/>
    <w:tmpl w:val="5312307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Gadugi" w:hAnsi="Gadugi" w:hint="default"/>
      </w:rPr>
    </w:lvl>
    <w:lvl w:ilvl="2">
      <w:start w:val="1"/>
      <w:numFmt w:val="bullet"/>
      <w:lvlText w:val="o"/>
      <w:lvlJc w:val="left"/>
      <w:pPr>
        <w:ind w:left="1071" w:hanging="357"/>
      </w:pPr>
      <w:rPr>
        <w:rFonts w:ascii="Courier New" w:hAnsi="Courier New"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3" w15:restartNumberingAfterBreak="0">
    <w:nsid w:val="710405AA"/>
    <w:multiLevelType w:val="hybridMultilevel"/>
    <w:tmpl w:val="F066F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3FF5B7F"/>
    <w:multiLevelType w:val="multilevel"/>
    <w:tmpl w:val="5312307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Gadugi" w:hAnsi="Gadugi" w:hint="default"/>
      </w:rPr>
    </w:lvl>
    <w:lvl w:ilvl="2">
      <w:start w:val="1"/>
      <w:numFmt w:val="bullet"/>
      <w:lvlText w:val="o"/>
      <w:lvlJc w:val="left"/>
      <w:pPr>
        <w:ind w:left="1071" w:hanging="357"/>
      </w:pPr>
      <w:rPr>
        <w:rFonts w:ascii="Courier New" w:hAnsi="Courier New"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75062B84"/>
    <w:multiLevelType w:val="hybridMultilevel"/>
    <w:tmpl w:val="5BCC2B1E"/>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6" w15:restartNumberingAfterBreak="0">
    <w:nsid w:val="790217BE"/>
    <w:multiLevelType w:val="multilevel"/>
    <w:tmpl w:val="5312307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Gadugi" w:hAnsi="Gadugi" w:hint="default"/>
      </w:rPr>
    </w:lvl>
    <w:lvl w:ilvl="2">
      <w:start w:val="1"/>
      <w:numFmt w:val="bullet"/>
      <w:lvlText w:val="o"/>
      <w:lvlJc w:val="left"/>
      <w:pPr>
        <w:ind w:left="1071" w:hanging="357"/>
      </w:pPr>
      <w:rPr>
        <w:rFonts w:ascii="Courier New" w:hAnsi="Courier New"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7" w15:restartNumberingAfterBreak="0">
    <w:nsid w:val="7DD535FC"/>
    <w:multiLevelType w:val="multilevel"/>
    <w:tmpl w:val="5312307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Gadugi" w:hAnsi="Gadugi" w:hint="default"/>
      </w:rPr>
    </w:lvl>
    <w:lvl w:ilvl="2">
      <w:start w:val="1"/>
      <w:numFmt w:val="bullet"/>
      <w:lvlText w:val="o"/>
      <w:lvlJc w:val="left"/>
      <w:pPr>
        <w:ind w:left="1071" w:hanging="357"/>
      </w:pPr>
      <w:rPr>
        <w:rFonts w:ascii="Courier New" w:hAnsi="Courier New"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8" w15:restartNumberingAfterBreak="0">
    <w:nsid w:val="7ECB7F5A"/>
    <w:multiLevelType w:val="hybridMultilevel"/>
    <w:tmpl w:val="058C3EA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EEE40EF"/>
    <w:multiLevelType w:val="singleLevel"/>
    <w:tmpl w:val="82043F48"/>
    <w:lvl w:ilvl="0">
      <w:start w:val="1"/>
      <w:numFmt w:val="decimal"/>
      <w:lvlText w:val="%1."/>
      <w:legacy w:legacy="1" w:legacySpace="0" w:legacyIndent="360"/>
      <w:lvlJc w:val="left"/>
      <w:pPr>
        <w:ind w:left="360" w:hanging="360"/>
      </w:pPr>
    </w:lvl>
  </w:abstractNum>
  <w:num w:numId="1">
    <w:abstractNumId w:val="11"/>
  </w:num>
  <w:num w:numId="2">
    <w:abstractNumId w:val="14"/>
  </w:num>
  <w:num w:numId="3">
    <w:abstractNumId w:val="23"/>
  </w:num>
  <w:num w:numId="4">
    <w:abstractNumId w:val="26"/>
  </w:num>
  <w:num w:numId="5">
    <w:abstractNumId w:val="18"/>
  </w:num>
  <w:num w:numId="6">
    <w:abstractNumId w:val="25"/>
  </w:num>
  <w:num w:numId="7">
    <w:abstractNumId w:val="20"/>
  </w:num>
  <w:num w:numId="8">
    <w:abstractNumId w:val="5"/>
  </w:num>
  <w:num w:numId="9">
    <w:abstractNumId w:val="22"/>
  </w:num>
  <w:num w:numId="10">
    <w:abstractNumId w:val="7"/>
  </w:num>
  <w:num w:numId="11">
    <w:abstractNumId w:val="4"/>
  </w:num>
  <w:num w:numId="12">
    <w:abstractNumId w:val="10"/>
  </w:num>
  <w:num w:numId="13">
    <w:abstractNumId w:val="12"/>
  </w:num>
  <w:num w:numId="14">
    <w:abstractNumId w:val="9"/>
  </w:num>
  <w:num w:numId="15">
    <w:abstractNumId w:val="24"/>
  </w:num>
  <w:num w:numId="16">
    <w:abstractNumId w:val="1"/>
  </w:num>
  <w:num w:numId="17">
    <w:abstractNumId w:val="27"/>
  </w:num>
  <w:num w:numId="18">
    <w:abstractNumId w:val="19"/>
  </w:num>
  <w:num w:numId="19">
    <w:abstractNumId w:val="29"/>
  </w:num>
  <w:num w:numId="20">
    <w:abstractNumId w:val="29"/>
    <w:lvlOverride w:ilvl="0">
      <w:lvl w:ilvl="0">
        <w:start w:val="3"/>
        <w:numFmt w:val="decimal"/>
        <w:lvlText w:val="%1."/>
        <w:legacy w:legacy="1" w:legacySpace="0" w:legacyIndent="360"/>
        <w:lvlJc w:val="left"/>
        <w:pPr>
          <w:ind w:left="360" w:hanging="360"/>
        </w:pPr>
      </w:lvl>
    </w:lvlOverride>
  </w:num>
  <w:num w:numId="21">
    <w:abstractNumId w:val="2"/>
  </w:num>
  <w:num w:numId="22">
    <w:abstractNumId w:val="16"/>
  </w:num>
  <w:num w:numId="23">
    <w:abstractNumId w:val="6"/>
  </w:num>
  <w:num w:numId="24">
    <w:abstractNumId w:val="8"/>
  </w:num>
  <w:num w:numId="25">
    <w:abstractNumId w:val="3"/>
  </w:num>
  <w:num w:numId="26">
    <w:abstractNumId w:val="0"/>
  </w:num>
  <w:num w:numId="27">
    <w:abstractNumId w:val="17"/>
  </w:num>
  <w:num w:numId="28">
    <w:abstractNumId w:val="13"/>
  </w:num>
  <w:num w:numId="29">
    <w:abstractNumId w:val="15"/>
  </w:num>
  <w:num w:numId="30">
    <w:abstractNumId w:val="2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0D6"/>
    <w:rsid w:val="00016849"/>
    <w:rsid w:val="00030E35"/>
    <w:rsid w:val="00041A05"/>
    <w:rsid w:val="000616F6"/>
    <w:rsid w:val="00090C93"/>
    <w:rsid w:val="000F5D3E"/>
    <w:rsid w:val="00120E99"/>
    <w:rsid w:val="00123600"/>
    <w:rsid w:val="0012575C"/>
    <w:rsid w:val="001457F9"/>
    <w:rsid w:val="00155837"/>
    <w:rsid w:val="0015597C"/>
    <w:rsid w:val="00191F1C"/>
    <w:rsid w:val="001B1618"/>
    <w:rsid w:val="001D18C1"/>
    <w:rsid w:val="001D39AE"/>
    <w:rsid w:val="001E68DB"/>
    <w:rsid w:val="00201883"/>
    <w:rsid w:val="0021131A"/>
    <w:rsid w:val="00217033"/>
    <w:rsid w:val="00293043"/>
    <w:rsid w:val="002A4963"/>
    <w:rsid w:val="002B2AEE"/>
    <w:rsid w:val="00305658"/>
    <w:rsid w:val="0032426C"/>
    <w:rsid w:val="00325B19"/>
    <w:rsid w:val="0033490E"/>
    <w:rsid w:val="00335A0D"/>
    <w:rsid w:val="00342DB5"/>
    <w:rsid w:val="003442F9"/>
    <w:rsid w:val="00355ECF"/>
    <w:rsid w:val="00380507"/>
    <w:rsid w:val="00384C30"/>
    <w:rsid w:val="003A30C5"/>
    <w:rsid w:val="003A3E74"/>
    <w:rsid w:val="003A5F36"/>
    <w:rsid w:val="003F0A3A"/>
    <w:rsid w:val="003F1A98"/>
    <w:rsid w:val="00401309"/>
    <w:rsid w:val="00460D69"/>
    <w:rsid w:val="00476EEC"/>
    <w:rsid w:val="004859DD"/>
    <w:rsid w:val="00491728"/>
    <w:rsid w:val="004974B7"/>
    <w:rsid w:val="004A6360"/>
    <w:rsid w:val="004E460D"/>
    <w:rsid w:val="004E55B0"/>
    <w:rsid w:val="004F2967"/>
    <w:rsid w:val="005157DD"/>
    <w:rsid w:val="00531EF7"/>
    <w:rsid w:val="00557E72"/>
    <w:rsid w:val="0057023C"/>
    <w:rsid w:val="00570289"/>
    <w:rsid w:val="005907FB"/>
    <w:rsid w:val="005D3543"/>
    <w:rsid w:val="005D73CD"/>
    <w:rsid w:val="005F4D41"/>
    <w:rsid w:val="00601421"/>
    <w:rsid w:val="00601C5F"/>
    <w:rsid w:val="00607FD4"/>
    <w:rsid w:val="00626879"/>
    <w:rsid w:val="006329E0"/>
    <w:rsid w:val="00633D04"/>
    <w:rsid w:val="00682618"/>
    <w:rsid w:val="006855BB"/>
    <w:rsid w:val="006A2C5F"/>
    <w:rsid w:val="006B44AE"/>
    <w:rsid w:val="006C5165"/>
    <w:rsid w:val="006E0527"/>
    <w:rsid w:val="006F64CF"/>
    <w:rsid w:val="0077184E"/>
    <w:rsid w:val="00785F11"/>
    <w:rsid w:val="007955D5"/>
    <w:rsid w:val="007A6992"/>
    <w:rsid w:val="007B01C7"/>
    <w:rsid w:val="007B5A40"/>
    <w:rsid w:val="007E437F"/>
    <w:rsid w:val="0082468C"/>
    <w:rsid w:val="0083016D"/>
    <w:rsid w:val="00840FF3"/>
    <w:rsid w:val="008505F8"/>
    <w:rsid w:val="008734DF"/>
    <w:rsid w:val="008912BD"/>
    <w:rsid w:val="008968F7"/>
    <w:rsid w:val="00896BF4"/>
    <w:rsid w:val="008B029B"/>
    <w:rsid w:val="008C3BB6"/>
    <w:rsid w:val="008C6FC7"/>
    <w:rsid w:val="008E2FBB"/>
    <w:rsid w:val="0091017C"/>
    <w:rsid w:val="009108CD"/>
    <w:rsid w:val="009250EE"/>
    <w:rsid w:val="009351E3"/>
    <w:rsid w:val="0095214A"/>
    <w:rsid w:val="00965F3D"/>
    <w:rsid w:val="00987570"/>
    <w:rsid w:val="00991116"/>
    <w:rsid w:val="009B4985"/>
    <w:rsid w:val="009E20D6"/>
    <w:rsid w:val="009E7967"/>
    <w:rsid w:val="009F1D40"/>
    <w:rsid w:val="00A025C5"/>
    <w:rsid w:val="00A10237"/>
    <w:rsid w:val="00A15B24"/>
    <w:rsid w:val="00A518BE"/>
    <w:rsid w:val="00A8518D"/>
    <w:rsid w:val="00A91600"/>
    <w:rsid w:val="00AA11FA"/>
    <w:rsid w:val="00AB676E"/>
    <w:rsid w:val="00AF4906"/>
    <w:rsid w:val="00B11C7A"/>
    <w:rsid w:val="00B32673"/>
    <w:rsid w:val="00B333EB"/>
    <w:rsid w:val="00B730C8"/>
    <w:rsid w:val="00B7734D"/>
    <w:rsid w:val="00B90EAF"/>
    <w:rsid w:val="00BC62DB"/>
    <w:rsid w:val="00BE0D7F"/>
    <w:rsid w:val="00BE44BA"/>
    <w:rsid w:val="00BF72D6"/>
    <w:rsid w:val="00C030E1"/>
    <w:rsid w:val="00C158EB"/>
    <w:rsid w:val="00C31834"/>
    <w:rsid w:val="00C343DE"/>
    <w:rsid w:val="00C34D80"/>
    <w:rsid w:val="00C35A79"/>
    <w:rsid w:val="00C37387"/>
    <w:rsid w:val="00C41F7E"/>
    <w:rsid w:val="00C9454F"/>
    <w:rsid w:val="00C96292"/>
    <w:rsid w:val="00CA5D39"/>
    <w:rsid w:val="00CC4E47"/>
    <w:rsid w:val="00CF2329"/>
    <w:rsid w:val="00CF3718"/>
    <w:rsid w:val="00D03595"/>
    <w:rsid w:val="00D050A5"/>
    <w:rsid w:val="00D1274C"/>
    <w:rsid w:val="00D202B5"/>
    <w:rsid w:val="00D36E9E"/>
    <w:rsid w:val="00D87E09"/>
    <w:rsid w:val="00D9429E"/>
    <w:rsid w:val="00DF7569"/>
    <w:rsid w:val="00E042AA"/>
    <w:rsid w:val="00E22AA2"/>
    <w:rsid w:val="00E40E55"/>
    <w:rsid w:val="00E45FAD"/>
    <w:rsid w:val="00E73457"/>
    <w:rsid w:val="00E861F8"/>
    <w:rsid w:val="00EA4160"/>
    <w:rsid w:val="00F02D31"/>
    <w:rsid w:val="00F073F2"/>
    <w:rsid w:val="00F13D27"/>
    <w:rsid w:val="00F305B5"/>
    <w:rsid w:val="00F63595"/>
    <w:rsid w:val="00F71A28"/>
    <w:rsid w:val="00F71B59"/>
    <w:rsid w:val="00F82588"/>
    <w:rsid w:val="00F860F9"/>
    <w:rsid w:val="00FA100F"/>
    <w:rsid w:val="00FA563C"/>
    <w:rsid w:val="00FC0DD0"/>
    <w:rsid w:val="00FC6426"/>
    <w:rsid w:val="00FD060E"/>
    <w:rsid w:val="00FD178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5ED079EC"/>
  <w15:docId w15:val="{0AA221BD-7B9D-48E1-B081-35841D72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2DB"/>
    <w:pPr>
      <w:spacing w:before="60" w:after="60" w:line="240" w:lineRule="auto"/>
    </w:pPr>
    <w:rPr>
      <w:rFonts w:ascii="Gadugi" w:hAnsi="Gadugi"/>
      <w:sz w:val="20"/>
    </w:rPr>
  </w:style>
  <w:style w:type="paragraph" w:styleId="Heading1">
    <w:name w:val="heading 1"/>
    <w:basedOn w:val="Normal"/>
    <w:next w:val="Normal"/>
    <w:link w:val="Heading1Char"/>
    <w:uiPriority w:val="9"/>
    <w:qFormat/>
    <w:rsid w:val="00CF3718"/>
    <w:pPr>
      <w:keepNext/>
      <w:keepLines/>
      <w:spacing w:before="120" w:after="0"/>
      <w:outlineLvl w:val="0"/>
    </w:pPr>
    <w:rPr>
      <w:rFonts w:eastAsiaTheme="majorEastAsia" w:cstheme="majorBidi"/>
      <w:b/>
      <w:color w:val="1F355E" w:themeColor="accent2"/>
      <w:sz w:val="32"/>
      <w:szCs w:val="32"/>
    </w:rPr>
  </w:style>
  <w:style w:type="paragraph" w:styleId="Heading2">
    <w:name w:val="heading 2"/>
    <w:basedOn w:val="Normal"/>
    <w:next w:val="Normal"/>
    <w:link w:val="Heading2Char"/>
    <w:uiPriority w:val="9"/>
    <w:unhideWhenUsed/>
    <w:qFormat/>
    <w:rsid w:val="00355ECF"/>
    <w:pPr>
      <w:keepNext/>
      <w:keepLines/>
      <w:spacing w:before="40" w:after="0"/>
      <w:outlineLvl w:val="1"/>
    </w:pPr>
    <w:rPr>
      <w:rFonts w:eastAsiaTheme="majorEastAsia" w:cstheme="majorBidi"/>
      <w:b/>
      <w:color w:val="48B2E8" w:themeColor="accent4"/>
      <w:sz w:val="26"/>
      <w:szCs w:val="26"/>
    </w:rPr>
  </w:style>
  <w:style w:type="paragraph" w:styleId="Heading3">
    <w:name w:val="heading 3"/>
    <w:basedOn w:val="Normal"/>
    <w:next w:val="Normal"/>
    <w:link w:val="Heading3Char"/>
    <w:uiPriority w:val="9"/>
    <w:unhideWhenUsed/>
    <w:qFormat/>
    <w:rsid w:val="00030E35"/>
    <w:pPr>
      <w:keepNext/>
      <w:keepLines/>
      <w:spacing w:before="40" w:after="0"/>
      <w:outlineLvl w:val="2"/>
    </w:pPr>
    <w:rPr>
      <w:rFonts w:eastAsiaTheme="majorEastAsia" w:cstheme="majorBidi"/>
      <w:b/>
      <w:color w:val="1F355E" w:themeColor="accent2"/>
      <w:sz w:val="24"/>
      <w:szCs w:val="24"/>
    </w:rPr>
  </w:style>
  <w:style w:type="paragraph" w:styleId="Heading4">
    <w:name w:val="heading 4"/>
    <w:basedOn w:val="Normal"/>
    <w:next w:val="Normal"/>
    <w:link w:val="Heading4Char"/>
    <w:uiPriority w:val="9"/>
    <w:unhideWhenUsed/>
    <w:qFormat/>
    <w:rsid w:val="00A025C5"/>
    <w:pPr>
      <w:keepNext/>
      <w:keepLines/>
      <w:spacing w:before="40" w:after="0"/>
      <w:outlineLvl w:val="3"/>
    </w:pPr>
    <w:rPr>
      <w:rFonts w:eastAsiaTheme="majorEastAsia" w:cstheme="majorBidi"/>
      <w:i/>
      <w:iCs/>
      <w:color w:val="48B2E8" w:themeColor="accent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718"/>
    <w:rPr>
      <w:rFonts w:ascii="Gadugi" w:eastAsiaTheme="majorEastAsia" w:hAnsi="Gadugi" w:cstheme="majorBidi"/>
      <w:b/>
      <w:color w:val="1F355E" w:themeColor="accent2"/>
      <w:sz w:val="32"/>
      <w:szCs w:val="32"/>
    </w:rPr>
  </w:style>
  <w:style w:type="table" w:styleId="TableGrid">
    <w:name w:val="Table Grid"/>
    <w:aliases w:val="Table Style 1"/>
    <w:basedOn w:val="TableNormal"/>
    <w:uiPriority w:val="39"/>
    <w:rsid w:val="002B2AEE"/>
    <w:pPr>
      <w:spacing w:after="0" w:line="240" w:lineRule="auto"/>
    </w:pPr>
    <w:rPr>
      <w:rFonts w:ascii="Gadugi" w:hAnsi="Gadugi"/>
    </w:rPr>
    <w:tblPr>
      <w:tblBorders>
        <w:bottom w:val="single" w:sz="4" w:space="0" w:color="B3B2B1" w:themeColor="text2"/>
        <w:insideH w:val="single" w:sz="4" w:space="0" w:color="B3B2B1" w:themeColor="text2"/>
      </w:tblBorders>
    </w:tblPr>
    <w:tcPr>
      <w:shd w:val="clear" w:color="auto" w:fill="auto"/>
    </w:tcPr>
    <w:tblStylePr w:type="firstRow">
      <w:rPr>
        <w:b/>
        <w:i w:val="0"/>
        <w:u w:val="none"/>
      </w:rPr>
      <w:tblPr/>
      <w:tcPr>
        <w:shd w:val="clear" w:color="auto" w:fill="F2F2F2" w:themeFill="background1" w:themeFillShade="F2"/>
      </w:tcPr>
    </w:tblStylePr>
  </w:style>
  <w:style w:type="table" w:customStyle="1" w:styleId="GridTable5Dark-Accent11">
    <w:name w:val="Grid Table 5 Dark - Accent 11"/>
    <w:basedOn w:val="TableNormal"/>
    <w:uiPriority w:val="50"/>
    <w:rsid w:val="006268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B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9E1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9E1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9E1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9E16" w:themeFill="accent1"/>
      </w:tcPr>
    </w:tblStylePr>
    <w:tblStylePr w:type="band1Vert">
      <w:tblPr/>
      <w:tcPr>
        <w:shd w:val="clear" w:color="auto" w:fill="FFD7A1" w:themeFill="accent1" w:themeFillTint="66"/>
      </w:tcPr>
    </w:tblStylePr>
    <w:tblStylePr w:type="band1Horz">
      <w:tblPr/>
      <w:tcPr>
        <w:shd w:val="clear" w:color="auto" w:fill="FFD7A1" w:themeFill="accent1" w:themeFillTint="66"/>
      </w:tcPr>
    </w:tblStylePr>
  </w:style>
  <w:style w:type="character" w:customStyle="1" w:styleId="Heading2Char">
    <w:name w:val="Heading 2 Char"/>
    <w:basedOn w:val="DefaultParagraphFont"/>
    <w:link w:val="Heading2"/>
    <w:uiPriority w:val="9"/>
    <w:rsid w:val="00355ECF"/>
    <w:rPr>
      <w:rFonts w:ascii="Gadugi" w:eastAsiaTheme="majorEastAsia" w:hAnsi="Gadugi" w:cstheme="majorBidi"/>
      <w:b/>
      <w:color w:val="48B2E8" w:themeColor="accent4"/>
      <w:sz w:val="26"/>
      <w:szCs w:val="26"/>
    </w:rPr>
  </w:style>
  <w:style w:type="character" w:customStyle="1" w:styleId="Heading3Char">
    <w:name w:val="Heading 3 Char"/>
    <w:basedOn w:val="DefaultParagraphFont"/>
    <w:link w:val="Heading3"/>
    <w:uiPriority w:val="9"/>
    <w:rsid w:val="00030E35"/>
    <w:rPr>
      <w:rFonts w:ascii="Gadugi" w:eastAsiaTheme="majorEastAsia" w:hAnsi="Gadugi" w:cstheme="majorBidi"/>
      <w:b/>
      <w:color w:val="1F355E" w:themeColor="accent2"/>
      <w:sz w:val="24"/>
      <w:szCs w:val="24"/>
    </w:rPr>
  </w:style>
  <w:style w:type="paragraph" w:styleId="Header">
    <w:name w:val="header"/>
    <w:basedOn w:val="Normal"/>
    <w:link w:val="HeaderChar"/>
    <w:uiPriority w:val="99"/>
    <w:unhideWhenUsed/>
    <w:rsid w:val="00030E35"/>
    <w:pPr>
      <w:tabs>
        <w:tab w:val="center" w:pos="4513"/>
        <w:tab w:val="right" w:pos="9026"/>
      </w:tabs>
      <w:spacing w:after="0"/>
    </w:pPr>
  </w:style>
  <w:style w:type="character" w:customStyle="1" w:styleId="HeaderChar">
    <w:name w:val="Header Char"/>
    <w:basedOn w:val="DefaultParagraphFont"/>
    <w:link w:val="Header"/>
    <w:uiPriority w:val="99"/>
    <w:rsid w:val="00030E35"/>
    <w:rPr>
      <w:rFonts w:ascii="Gadugi" w:hAnsi="Gadugi"/>
    </w:rPr>
  </w:style>
  <w:style w:type="paragraph" w:styleId="Footer">
    <w:name w:val="footer"/>
    <w:basedOn w:val="Normal"/>
    <w:link w:val="FooterChar"/>
    <w:uiPriority w:val="99"/>
    <w:unhideWhenUsed/>
    <w:rsid w:val="00030E35"/>
    <w:pPr>
      <w:tabs>
        <w:tab w:val="center" w:pos="4513"/>
        <w:tab w:val="right" w:pos="9026"/>
      </w:tabs>
      <w:spacing w:after="0"/>
    </w:pPr>
  </w:style>
  <w:style w:type="character" w:customStyle="1" w:styleId="FooterChar">
    <w:name w:val="Footer Char"/>
    <w:basedOn w:val="DefaultParagraphFont"/>
    <w:link w:val="Footer"/>
    <w:uiPriority w:val="99"/>
    <w:rsid w:val="00030E35"/>
    <w:rPr>
      <w:rFonts w:ascii="Gadugi" w:hAnsi="Gadugi"/>
    </w:rPr>
  </w:style>
  <w:style w:type="table" w:customStyle="1" w:styleId="GridTable5Dark-Accent21">
    <w:name w:val="Grid Table 5 Dark - Accent 21"/>
    <w:basedOn w:val="TableNormal"/>
    <w:uiPriority w:val="50"/>
    <w:rsid w:val="00030E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D2E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F355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F355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F355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F355E" w:themeFill="accent2"/>
      </w:tcPr>
    </w:tblStylePr>
    <w:tblStylePr w:type="band1Vert">
      <w:tblPr/>
      <w:tcPr>
        <w:shd w:val="clear" w:color="auto" w:fill="8BA6D8" w:themeFill="accent2" w:themeFillTint="66"/>
      </w:tcPr>
    </w:tblStylePr>
    <w:tblStylePr w:type="band1Horz">
      <w:tblPr/>
      <w:tcPr>
        <w:shd w:val="clear" w:color="auto" w:fill="8BA6D8" w:themeFill="accent2" w:themeFillTint="66"/>
      </w:tcPr>
    </w:tblStylePr>
  </w:style>
  <w:style w:type="table" w:customStyle="1" w:styleId="GridTable5Dark1">
    <w:name w:val="Grid Table 5 Dark1"/>
    <w:basedOn w:val="TableNormal"/>
    <w:uiPriority w:val="50"/>
    <w:rsid w:val="00030E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BalloonText">
    <w:name w:val="Balloon Text"/>
    <w:basedOn w:val="Normal"/>
    <w:link w:val="BalloonTextChar"/>
    <w:uiPriority w:val="99"/>
    <w:semiHidden/>
    <w:unhideWhenUsed/>
    <w:rsid w:val="00030E3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E35"/>
    <w:rPr>
      <w:rFonts w:ascii="Segoe UI" w:hAnsi="Segoe UI" w:cs="Segoe UI"/>
      <w:sz w:val="18"/>
      <w:szCs w:val="18"/>
    </w:rPr>
  </w:style>
  <w:style w:type="table" w:customStyle="1" w:styleId="GridTable41">
    <w:name w:val="Grid Table 41"/>
    <w:basedOn w:val="TableNormal"/>
    <w:uiPriority w:val="49"/>
    <w:rsid w:val="00C35A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C35A7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9E7967"/>
    <w:pPr>
      <w:spacing w:after="0" w:line="240" w:lineRule="auto"/>
    </w:pPr>
    <w:rPr>
      <w:rFonts w:ascii="Gadugi" w:hAnsi="Gadugi"/>
      <w:sz w:val="20"/>
    </w:rPr>
  </w:style>
  <w:style w:type="table" w:customStyle="1" w:styleId="GridTable5Dark-Accent31">
    <w:name w:val="Grid Table 5 Dark - Accent 31"/>
    <w:basedOn w:val="TableNormal"/>
    <w:uiPriority w:val="50"/>
    <w:rsid w:val="006855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8E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008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008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008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008C" w:themeFill="accent3"/>
      </w:tcPr>
    </w:tblStylePr>
    <w:tblStylePr w:type="band1Vert">
      <w:tblPr/>
      <w:tcPr>
        <w:shd w:val="clear" w:color="auto" w:fill="FF91D2" w:themeFill="accent3" w:themeFillTint="66"/>
      </w:tcPr>
    </w:tblStylePr>
    <w:tblStylePr w:type="band1Horz">
      <w:tblPr/>
      <w:tcPr>
        <w:shd w:val="clear" w:color="auto" w:fill="FF91D2" w:themeFill="accent3" w:themeFillTint="66"/>
      </w:tcPr>
    </w:tblStylePr>
  </w:style>
  <w:style w:type="table" w:customStyle="1" w:styleId="GridTable5Dark-Accent41">
    <w:name w:val="Grid Table 5 Dark - Accent 41"/>
    <w:basedOn w:val="TableNormal"/>
    <w:uiPriority w:val="50"/>
    <w:rsid w:val="00355EC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FF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B2E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B2E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B2E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B2E8" w:themeFill="accent4"/>
      </w:tcPr>
    </w:tblStylePr>
    <w:tblStylePr w:type="band1Vert">
      <w:tblPr/>
      <w:tcPr>
        <w:shd w:val="clear" w:color="auto" w:fill="B5DFF5" w:themeFill="accent4" w:themeFillTint="66"/>
      </w:tcPr>
    </w:tblStylePr>
    <w:tblStylePr w:type="band1Horz">
      <w:tblPr/>
      <w:tcPr>
        <w:shd w:val="clear" w:color="auto" w:fill="B5DFF5" w:themeFill="accent4" w:themeFillTint="66"/>
      </w:tcPr>
    </w:tblStylePr>
  </w:style>
  <w:style w:type="character" w:customStyle="1" w:styleId="Heading4Char">
    <w:name w:val="Heading 4 Char"/>
    <w:basedOn w:val="DefaultParagraphFont"/>
    <w:link w:val="Heading4"/>
    <w:uiPriority w:val="9"/>
    <w:rsid w:val="00A025C5"/>
    <w:rPr>
      <w:rFonts w:ascii="Gadugi" w:eastAsiaTheme="majorEastAsia" w:hAnsi="Gadugi" w:cstheme="majorBidi"/>
      <w:i/>
      <w:iCs/>
      <w:color w:val="48B2E8" w:themeColor="accent4"/>
      <w:sz w:val="20"/>
    </w:rPr>
  </w:style>
  <w:style w:type="character" w:styleId="IntenseEmphasis">
    <w:name w:val="Intense Emphasis"/>
    <w:basedOn w:val="DefaultParagraphFont"/>
    <w:uiPriority w:val="21"/>
    <w:qFormat/>
    <w:rsid w:val="006A2C5F"/>
    <w:rPr>
      <w:i/>
      <w:iCs/>
      <w:color w:val="48B2E8" w:themeColor="accent4"/>
    </w:rPr>
  </w:style>
  <w:style w:type="paragraph" w:styleId="IntenseQuote">
    <w:name w:val="Intense Quote"/>
    <w:basedOn w:val="Normal"/>
    <w:next w:val="Normal"/>
    <w:link w:val="IntenseQuoteChar"/>
    <w:uiPriority w:val="30"/>
    <w:qFormat/>
    <w:rsid w:val="006A2C5F"/>
    <w:pPr>
      <w:pBdr>
        <w:top w:val="single" w:sz="4" w:space="10" w:color="48B2E8" w:themeColor="accent4"/>
        <w:bottom w:val="single" w:sz="4" w:space="10" w:color="48B2E8" w:themeColor="accent4"/>
      </w:pBdr>
      <w:spacing w:before="360" w:after="360"/>
      <w:ind w:left="864" w:right="864"/>
      <w:jc w:val="center"/>
    </w:pPr>
    <w:rPr>
      <w:i/>
      <w:iCs/>
      <w:color w:val="48B2E8" w:themeColor="accent4"/>
    </w:rPr>
  </w:style>
  <w:style w:type="character" w:customStyle="1" w:styleId="IntenseQuoteChar">
    <w:name w:val="Intense Quote Char"/>
    <w:basedOn w:val="DefaultParagraphFont"/>
    <w:link w:val="IntenseQuote"/>
    <w:uiPriority w:val="30"/>
    <w:rsid w:val="006A2C5F"/>
    <w:rPr>
      <w:rFonts w:ascii="Gadugi" w:hAnsi="Gadugi"/>
      <w:i/>
      <w:iCs/>
      <w:color w:val="48B2E8" w:themeColor="accent4"/>
      <w:sz w:val="20"/>
    </w:rPr>
  </w:style>
  <w:style w:type="character" w:styleId="IntenseReference">
    <w:name w:val="Intense Reference"/>
    <w:basedOn w:val="DefaultParagraphFont"/>
    <w:uiPriority w:val="32"/>
    <w:qFormat/>
    <w:rsid w:val="006A2C5F"/>
    <w:rPr>
      <w:b/>
      <w:bCs/>
      <w:smallCaps/>
      <w:color w:val="48B2E8" w:themeColor="accent4"/>
      <w:spacing w:val="5"/>
    </w:rPr>
  </w:style>
  <w:style w:type="paragraph" w:styleId="Title">
    <w:name w:val="Title"/>
    <w:basedOn w:val="Normal"/>
    <w:next w:val="Normal"/>
    <w:link w:val="TitleChar"/>
    <w:uiPriority w:val="10"/>
    <w:qFormat/>
    <w:rsid w:val="00601421"/>
    <w:pPr>
      <w:spacing w:before="240" w:after="0"/>
      <w:contextualSpacing/>
    </w:pPr>
    <w:rPr>
      <w:rFonts w:eastAsiaTheme="majorEastAsia" w:cstheme="majorBidi"/>
      <w:b/>
      <w:color w:val="1F355E" w:themeColor="accent2"/>
      <w:spacing w:val="-10"/>
      <w:kern w:val="28"/>
      <w:sz w:val="44"/>
      <w:szCs w:val="56"/>
    </w:rPr>
  </w:style>
  <w:style w:type="character" w:customStyle="1" w:styleId="TitleChar">
    <w:name w:val="Title Char"/>
    <w:basedOn w:val="DefaultParagraphFont"/>
    <w:link w:val="Title"/>
    <w:uiPriority w:val="10"/>
    <w:rsid w:val="00601421"/>
    <w:rPr>
      <w:rFonts w:ascii="Gadugi" w:eastAsiaTheme="majorEastAsia" w:hAnsi="Gadugi" w:cstheme="majorBidi"/>
      <w:b/>
      <w:color w:val="1F355E" w:themeColor="accent2"/>
      <w:spacing w:val="-10"/>
      <w:kern w:val="28"/>
      <w:sz w:val="44"/>
      <w:szCs w:val="56"/>
    </w:rPr>
  </w:style>
  <w:style w:type="table" w:customStyle="1" w:styleId="TableGridLight1">
    <w:name w:val="Table Grid Light1"/>
    <w:aliases w:val="Table Style 2"/>
    <w:basedOn w:val="TableNormal"/>
    <w:uiPriority w:val="40"/>
    <w:rsid w:val="00CF2329"/>
    <w:pPr>
      <w:spacing w:after="0" w:line="240" w:lineRule="auto"/>
    </w:pPr>
    <w:rPr>
      <w:rFonts w:ascii="Gadugi" w:hAnsi="Gadugi"/>
    </w:rPr>
    <w:tblPr>
      <w:tblBorders>
        <w:bottom w:val="single" w:sz="4" w:space="0" w:color="B3B2B1" w:themeColor="text2"/>
        <w:insideH w:val="single" w:sz="4" w:space="0" w:color="B3B2B1" w:themeColor="text2"/>
      </w:tblBorders>
    </w:tblPr>
    <w:tblStylePr w:type="firstRow">
      <w:tblPr/>
      <w:tcPr>
        <w:tcBorders>
          <w:top w:val="single" w:sz="36" w:space="0" w:color="48B2E8" w:themeColor="accent4"/>
          <w:bottom w:val="nil"/>
        </w:tcBorders>
      </w:tcPr>
    </w:tblStylePr>
    <w:tblStylePr w:type="firstCol">
      <w:tblPr/>
      <w:tcPr>
        <w:shd w:val="clear" w:color="auto" w:fill="EFEFEF" w:themeFill="text2" w:themeFillTint="33"/>
      </w:tcPr>
    </w:tblStylePr>
  </w:style>
  <w:style w:type="character" w:styleId="PlaceholderText">
    <w:name w:val="Placeholder Text"/>
    <w:basedOn w:val="DefaultParagraphFont"/>
    <w:uiPriority w:val="99"/>
    <w:semiHidden/>
    <w:rsid w:val="0012575C"/>
    <w:rPr>
      <w:color w:val="808080"/>
    </w:rPr>
  </w:style>
  <w:style w:type="character" w:styleId="Hyperlink">
    <w:name w:val="Hyperlink"/>
    <w:basedOn w:val="DefaultParagraphFont"/>
    <w:uiPriority w:val="99"/>
    <w:unhideWhenUsed/>
    <w:rsid w:val="0012575C"/>
    <w:rPr>
      <w:color w:val="0563C1" w:themeColor="hyperlink"/>
      <w:u w:val="single"/>
    </w:rPr>
  </w:style>
  <w:style w:type="character" w:customStyle="1" w:styleId="UnresolvedMention1">
    <w:name w:val="Unresolved Mention1"/>
    <w:basedOn w:val="DefaultParagraphFont"/>
    <w:uiPriority w:val="99"/>
    <w:semiHidden/>
    <w:unhideWhenUsed/>
    <w:rsid w:val="0012575C"/>
    <w:rPr>
      <w:color w:val="808080"/>
      <w:shd w:val="clear" w:color="auto" w:fill="E6E6E6"/>
    </w:rPr>
  </w:style>
  <w:style w:type="paragraph" w:styleId="ListParagraph">
    <w:name w:val="List Paragraph"/>
    <w:basedOn w:val="Normal"/>
    <w:uiPriority w:val="34"/>
    <w:qFormat/>
    <w:rsid w:val="00A518BE"/>
    <w:pPr>
      <w:ind w:left="720"/>
      <w:contextualSpacing/>
    </w:pPr>
  </w:style>
  <w:style w:type="character" w:customStyle="1" w:styleId="DateFormat">
    <w:name w:val="Date Format"/>
    <w:basedOn w:val="DefaultParagraphFont"/>
    <w:uiPriority w:val="1"/>
    <w:rsid w:val="00CC4E47"/>
    <w:rPr>
      <w:rFonts w:ascii="Gadugi" w:hAnsi="Gadugi"/>
      <w:sz w:val="28"/>
    </w:rPr>
  </w:style>
  <w:style w:type="table" w:customStyle="1" w:styleId="Table3">
    <w:name w:val="Table 3"/>
    <w:basedOn w:val="TableNormal"/>
    <w:uiPriority w:val="99"/>
    <w:rsid w:val="00B730C8"/>
    <w:pPr>
      <w:spacing w:after="0" w:line="240" w:lineRule="auto"/>
    </w:pPr>
    <w:rPr>
      <w:rFonts w:ascii="Gadugi" w:hAnsi="Gadugi"/>
    </w:rPr>
    <w:tblPr>
      <w:tblBorders>
        <w:bottom w:val="single" w:sz="4" w:space="0" w:color="B3B2B1" w:themeColor="text2"/>
        <w:insideH w:val="single" w:sz="4" w:space="0" w:color="B3B2B1" w:themeColor="text2"/>
      </w:tblBorders>
    </w:tblPr>
    <w:tblStylePr w:type="firstCol">
      <w:tblPr/>
      <w:tcPr>
        <w:shd w:val="clear" w:color="auto" w:fill="EFEFEF" w:themeFill="text2" w:themeFillTint="33"/>
      </w:tcPr>
    </w:tblStylePr>
  </w:style>
  <w:style w:type="table" w:customStyle="1" w:styleId="Table4">
    <w:name w:val="Table 4"/>
    <w:basedOn w:val="TableNormal"/>
    <w:uiPriority w:val="99"/>
    <w:rsid w:val="00325B19"/>
    <w:pPr>
      <w:spacing w:after="0" w:line="240" w:lineRule="auto"/>
    </w:pPr>
    <w:rPr>
      <w:rFonts w:ascii="Gadugi" w:hAnsi="Gadugi"/>
    </w:rPr>
    <w:tblPr>
      <w:tblBorders>
        <w:bottom w:val="single" w:sz="4" w:space="0" w:color="B3B2B1" w:themeColor="text2"/>
        <w:insideH w:val="single" w:sz="4" w:space="0" w:color="B3B2B1" w:themeColor="text2"/>
      </w:tblBorders>
    </w:tblPr>
    <w:tblStylePr w:type="firstRow">
      <w:rPr>
        <w:b/>
      </w:rPr>
      <w:tblPr/>
      <w:tcPr>
        <w:shd w:val="clear" w:color="auto" w:fill="EFEFEF" w:themeFill="text2" w:themeFillTint="33"/>
      </w:tcPr>
    </w:tblStylePr>
    <w:tblStylePr w:type="firstCol">
      <w:rPr>
        <w:b/>
      </w:rPr>
      <w:tblPr/>
      <w:tcPr>
        <w:shd w:val="clear" w:color="auto" w:fill="EFEFEF" w:themeFill="text2" w:themeFillTint="33"/>
      </w:tcPr>
    </w:tblStylePr>
  </w:style>
  <w:style w:type="table" w:customStyle="1" w:styleId="Style1">
    <w:name w:val="Style1"/>
    <w:basedOn w:val="TableNormal"/>
    <w:uiPriority w:val="99"/>
    <w:rsid w:val="00B730C8"/>
    <w:pPr>
      <w:spacing w:after="0" w:line="240" w:lineRule="auto"/>
    </w:pPr>
    <w:rPr>
      <w:rFonts w:ascii="Gadugi" w:hAnsi="Gadugi"/>
    </w:rPr>
    <w:tblPr>
      <w:tblBorders>
        <w:bottom w:val="single" w:sz="4" w:space="0" w:color="B3B2B1" w:themeColor="text2"/>
        <w:insideH w:val="single" w:sz="4" w:space="0" w:color="B3B2B1" w:themeColor="text2"/>
      </w:tblBorders>
    </w:tblPr>
    <w:tcPr>
      <w:shd w:val="clear" w:color="auto" w:fill="auto"/>
    </w:tcPr>
  </w:style>
  <w:style w:type="paragraph" w:customStyle="1" w:styleId="InformationRequest">
    <w:name w:val="Information Request"/>
    <w:basedOn w:val="Normal"/>
    <w:next w:val="BodyText"/>
    <w:rsid w:val="0021131A"/>
    <w:pPr>
      <w:keepLines/>
      <w:spacing w:before="120" w:after="0" w:line="280" w:lineRule="atLeast"/>
      <w:jc w:val="both"/>
    </w:pPr>
    <w:rPr>
      <w:rFonts w:ascii="Arial" w:eastAsia="Times New Roman" w:hAnsi="Arial" w:cs="Times New Roman"/>
      <w:i/>
      <w:sz w:val="22"/>
      <w:szCs w:val="20"/>
      <w:lang w:eastAsia="en-AU"/>
    </w:rPr>
  </w:style>
  <w:style w:type="paragraph" w:styleId="BodyText">
    <w:name w:val="Body Text"/>
    <w:basedOn w:val="Normal"/>
    <w:link w:val="BodyTextChar"/>
    <w:uiPriority w:val="99"/>
    <w:semiHidden/>
    <w:unhideWhenUsed/>
    <w:rsid w:val="0021131A"/>
    <w:pPr>
      <w:spacing w:after="120"/>
    </w:pPr>
  </w:style>
  <w:style w:type="character" w:customStyle="1" w:styleId="BodyTextChar">
    <w:name w:val="Body Text Char"/>
    <w:basedOn w:val="DefaultParagraphFont"/>
    <w:link w:val="BodyText"/>
    <w:uiPriority w:val="99"/>
    <w:semiHidden/>
    <w:rsid w:val="0021131A"/>
    <w:rPr>
      <w:rFonts w:ascii="Gadugi" w:hAnsi="Gadugi"/>
      <w:sz w:val="20"/>
    </w:rPr>
  </w:style>
  <w:style w:type="paragraph" w:styleId="ListBullet">
    <w:name w:val="List Bullet"/>
    <w:basedOn w:val="BodyText"/>
    <w:qFormat/>
    <w:rsid w:val="0021131A"/>
    <w:pPr>
      <w:numPr>
        <w:numId w:val="29"/>
      </w:numPr>
      <w:spacing w:before="120" w:after="0" w:line="300" w:lineRule="atLeast"/>
      <w:jc w:val="both"/>
    </w:pPr>
    <w:rPr>
      <w:rFonts w:ascii="Times New Roman" w:eastAsia="Times New Roman" w:hAnsi="Times New Roman" w:cs="Times New Roman"/>
      <w:sz w:val="24"/>
      <w:szCs w:val="20"/>
      <w:lang w:eastAsia="en-AU"/>
    </w:rPr>
  </w:style>
  <w:style w:type="character" w:styleId="Strong">
    <w:name w:val="Strong"/>
    <w:basedOn w:val="DefaultParagraphFont"/>
    <w:uiPriority w:val="22"/>
    <w:qFormat/>
    <w:rsid w:val="0021131A"/>
    <w:rPr>
      <w:b/>
      <w:bCs/>
    </w:rPr>
  </w:style>
  <w:style w:type="paragraph" w:styleId="FootnoteText">
    <w:name w:val="footnote text"/>
    <w:basedOn w:val="Normal"/>
    <w:link w:val="FootnoteTextChar"/>
    <w:unhideWhenUsed/>
    <w:rsid w:val="0021131A"/>
    <w:pPr>
      <w:spacing w:before="0" w:after="0"/>
    </w:pPr>
    <w:rPr>
      <w:szCs w:val="20"/>
    </w:rPr>
  </w:style>
  <w:style w:type="character" w:customStyle="1" w:styleId="FootnoteTextChar">
    <w:name w:val="Footnote Text Char"/>
    <w:basedOn w:val="DefaultParagraphFont"/>
    <w:link w:val="FootnoteText"/>
    <w:rsid w:val="0021131A"/>
    <w:rPr>
      <w:rFonts w:ascii="Gadugi" w:hAnsi="Gadugi"/>
      <w:sz w:val="20"/>
      <w:szCs w:val="20"/>
    </w:rPr>
  </w:style>
  <w:style w:type="character" w:styleId="FootnoteReference">
    <w:name w:val="footnote reference"/>
    <w:basedOn w:val="DefaultParagraphFont"/>
    <w:semiHidden/>
    <w:rsid w:val="0021131A"/>
    <w:rPr>
      <w:rFonts w:ascii="Times New Roman" w:hAnsi="Times New Roman"/>
      <w:position w:val="6"/>
      <w:sz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pm.net.au"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 APM">
      <a:dk1>
        <a:srgbClr val="000000"/>
      </a:dk1>
      <a:lt1>
        <a:srgbClr val="FFFFFF"/>
      </a:lt1>
      <a:dk2>
        <a:srgbClr val="B3B2B1"/>
      </a:dk2>
      <a:lt2>
        <a:srgbClr val="F3F3F3"/>
      </a:lt2>
      <a:accent1>
        <a:srgbClr val="FF9E16"/>
      </a:accent1>
      <a:accent2>
        <a:srgbClr val="1F355E"/>
      </a:accent2>
      <a:accent3>
        <a:srgbClr val="EC008C"/>
      </a:accent3>
      <a:accent4>
        <a:srgbClr val="48B2E8"/>
      </a:accent4>
      <a:accent5>
        <a:srgbClr val="00A19B"/>
      </a:accent5>
      <a:accent6>
        <a:srgbClr val="A4D55D"/>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46A3D-87B8-49CD-B6FF-18BDA8AB1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2024</Words>
  <Characters>11542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Submission DR219 - Advanced Personnel Management (APM) - Compensation and Rehabilitation for Veterans - Public inquiry</vt:lpstr>
    </vt:vector>
  </TitlesOfParts>
  <Company>Advanced Personnel Management (APM)</Company>
  <LinksUpToDate>false</LinksUpToDate>
  <CharactersWithSpaces>13539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DR219 - Advanced Personnel Management (APM) - Compensation and Rehabilitation for Veterans - Public inquiry</dc:title>
  <dc:subject/>
  <dc:creator>Advanced Personnel Management (APM)</dc:creator>
  <cp:keywords/>
  <dc:description/>
  <cp:lastModifiedBy>Productivity Commission</cp:lastModifiedBy>
  <cp:revision>2</cp:revision>
  <dcterms:created xsi:type="dcterms:W3CDTF">2019-02-07T04:47:00Z</dcterms:created>
  <dcterms:modified xsi:type="dcterms:W3CDTF">2019-02-19T22:29:00Z</dcterms:modified>
</cp:coreProperties>
</file>