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6"/>
        <w:gridCol w:w="2673"/>
        <w:gridCol w:w="3011"/>
      </w:tblGrid>
      <w:tr w:rsidR="00A809E6" w:rsidRPr="00A809E6" w14:paraId="12AA72D1" w14:textId="77777777" w:rsidTr="00A809E6">
        <w:tc>
          <w:tcPr>
            <w:tcW w:w="3336" w:type="dxa"/>
          </w:tcPr>
          <w:p w14:paraId="0F3AD695" w14:textId="5A7AA2FC" w:rsidR="009B1F88" w:rsidRPr="00A809E6" w:rsidRDefault="009B1F88" w:rsidP="000358E1">
            <w:pPr>
              <w:jc w:val="center"/>
              <w:rPr>
                <w:rFonts w:asciiTheme="minorHAnsi" w:hAnsiTheme="minorHAnsi" w:cstheme="minorHAnsi"/>
                <w:b/>
              </w:rPr>
            </w:pPr>
            <w:r w:rsidRPr="00A809E6">
              <w:rPr>
                <w:rFonts w:asciiTheme="minorHAnsi" w:hAnsiTheme="minorHAnsi"/>
                <w:noProof/>
                <w:sz w:val="22"/>
                <w:szCs w:val="22"/>
                <w:lang w:eastAsia="en-AU"/>
              </w:rPr>
              <w:drawing>
                <wp:inline distT="0" distB="0" distL="0" distR="0" wp14:anchorId="2DCB9249" wp14:editId="3EE6943E">
                  <wp:extent cx="1957443" cy="318135"/>
                  <wp:effectExtent l="12700" t="0" r="11430" b="113665"/>
                  <wp:docPr id="6" name="Picture 0" descr="NATSILMH web banner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TSILMH web banner final.jpg"/>
                          <pic:cNvPicPr/>
                        </pic:nvPicPr>
                        <pic:blipFill>
                          <a:blip r:embed="rId14"/>
                          <a:stretch>
                            <a:fillRect/>
                          </a:stretch>
                        </pic:blipFill>
                        <pic:spPr>
                          <a:xfrm>
                            <a:off x="0" y="0"/>
                            <a:ext cx="2137738" cy="347438"/>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c>
        <w:tc>
          <w:tcPr>
            <w:tcW w:w="2613" w:type="dxa"/>
          </w:tcPr>
          <w:p w14:paraId="5F46D484" w14:textId="265F88B8" w:rsidR="009B1F88" w:rsidRPr="00A809E6" w:rsidRDefault="00E8339A" w:rsidP="000358E1">
            <w:pPr>
              <w:jc w:val="center"/>
              <w:rPr>
                <w:rFonts w:asciiTheme="minorHAnsi" w:hAnsiTheme="minorHAnsi" w:cstheme="minorHAnsi"/>
                <w:sz w:val="16"/>
                <w:szCs w:val="16"/>
              </w:rPr>
            </w:pPr>
            <w:r w:rsidRPr="00A809E6">
              <w:rPr>
                <w:rFonts w:asciiTheme="minorHAnsi" w:hAnsiTheme="minorHAnsi" w:cstheme="minorHAnsi"/>
                <w:noProof/>
                <w:sz w:val="16"/>
                <w:szCs w:val="16"/>
                <w:lang w:eastAsia="en-AU"/>
              </w:rPr>
              <w:drawing>
                <wp:inline distT="0" distB="0" distL="0" distR="0" wp14:anchorId="5F4BD1ED" wp14:editId="352D4FEA">
                  <wp:extent cx="1560243" cy="426308"/>
                  <wp:effectExtent l="0" t="0" r="0" b="0"/>
                  <wp:docPr id="3" name="Picture 3" descr="S:\10 DESIGN AND PROMO\Artwork, Logo, Promo Products\IAHA Logo Files\IAHA Corporate Logo\IAHA_LOGO_STANDARD_WHITE_PE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10 DESIGN AND PROMO\Artwork, Logo, Promo Products\IAHA Logo Files\IAHA Corporate Logo\IAHA_LOGO_STANDARD_WHITE_PETAL.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74041" cy="457401"/>
                          </a:xfrm>
                          <a:prstGeom prst="rect">
                            <a:avLst/>
                          </a:prstGeom>
                          <a:noFill/>
                          <a:ln>
                            <a:noFill/>
                          </a:ln>
                        </pic:spPr>
                      </pic:pic>
                    </a:graphicData>
                  </a:graphic>
                </wp:inline>
              </w:drawing>
            </w:r>
          </w:p>
        </w:tc>
        <w:tc>
          <w:tcPr>
            <w:tcW w:w="3061" w:type="dxa"/>
          </w:tcPr>
          <w:p w14:paraId="3B53A33F" w14:textId="16C70C17" w:rsidR="009B1F88" w:rsidRPr="00A809E6" w:rsidRDefault="00A809E6" w:rsidP="000358E1">
            <w:pPr>
              <w:jc w:val="center"/>
              <w:rPr>
                <w:rFonts w:asciiTheme="minorHAnsi" w:hAnsiTheme="minorHAnsi" w:cstheme="minorHAnsi"/>
                <w:sz w:val="16"/>
                <w:szCs w:val="16"/>
              </w:rPr>
            </w:pPr>
            <w:r w:rsidRPr="00A809E6">
              <w:rPr>
                <w:rFonts w:asciiTheme="minorHAnsi" w:hAnsiTheme="minorHAnsi"/>
                <w:noProof/>
                <w:sz w:val="16"/>
                <w:szCs w:val="16"/>
                <w:lang w:eastAsia="en-AU"/>
              </w:rPr>
              <w:drawing>
                <wp:inline distT="0" distB="0" distL="0" distR="0" wp14:anchorId="02E0BAEF" wp14:editId="77D8CD54">
                  <wp:extent cx="1638294" cy="371527"/>
                  <wp:effectExtent l="0" t="0" r="635" b="0"/>
                  <wp:docPr id="8" name="Picture 1" descr="Description: Description: Macintosh HD:Users:kerry:Desktop:AIP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Description: Description: Macintosh HD:Users:kerry:Desktop:AIPA logo.jpg"/>
                          <pic:cNvPicPr>
                            <a:picLocks noChangeAspect="1" noChangeArrowheads="1"/>
                          </pic:cNvPicPr>
                        </pic:nvPicPr>
                        <pic:blipFill>
                          <a:blip r:embed="rId16" cstate="print">
                            <a:alphaModFix amt="75000"/>
                            <a:extLst>
                              <a:ext uri="{28A0092B-C50C-407E-A947-70E740481C1C}">
                                <a14:useLocalDpi xmlns:a14="http://schemas.microsoft.com/office/drawing/2010/main" val="0"/>
                              </a:ext>
                            </a:extLst>
                          </a:blip>
                          <a:srcRect/>
                          <a:stretch>
                            <a:fillRect/>
                          </a:stretch>
                        </pic:blipFill>
                        <pic:spPr bwMode="auto">
                          <a:xfrm>
                            <a:off x="0" y="0"/>
                            <a:ext cx="1684942" cy="382106"/>
                          </a:xfrm>
                          <a:prstGeom prst="rect">
                            <a:avLst/>
                          </a:prstGeom>
                          <a:noFill/>
                          <a:ln>
                            <a:noFill/>
                          </a:ln>
                        </pic:spPr>
                      </pic:pic>
                    </a:graphicData>
                  </a:graphic>
                </wp:inline>
              </w:drawing>
            </w:r>
            <w:r w:rsidR="009B1F88" w:rsidRPr="00A809E6">
              <w:rPr>
                <w:rFonts w:asciiTheme="minorHAnsi" w:hAnsiTheme="minorHAnsi" w:cstheme="minorHAnsi"/>
                <w:sz w:val="16"/>
                <w:szCs w:val="16"/>
              </w:rPr>
              <w:t xml:space="preserve"> </w:t>
            </w:r>
          </w:p>
        </w:tc>
      </w:tr>
    </w:tbl>
    <w:p w14:paraId="7DAAC99A" w14:textId="77777777" w:rsidR="009B1F88" w:rsidRPr="00A809E6" w:rsidRDefault="009B1F88" w:rsidP="000358E1">
      <w:pPr>
        <w:jc w:val="center"/>
        <w:rPr>
          <w:rFonts w:asciiTheme="minorHAnsi" w:hAnsiTheme="minorHAnsi" w:cstheme="minorHAnsi"/>
          <w:b/>
        </w:rPr>
      </w:pPr>
    </w:p>
    <w:p w14:paraId="15D347E2" w14:textId="77777777" w:rsidR="009B1F88" w:rsidRPr="00A809E6" w:rsidRDefault="009B1F88" w:rsidP="000358E1">
      <w:pPr>
        <w:jc w:val="center"/>
        <w:rPr>
          <w:rFonts w:asciiTheme="minorHAnsi" w:hAnsiTheme="minorHAnsi" w:cstheme="minorHAnsi"/>
          <w:b/>
        </w:rPr>
      </w:pPr>
    </w:p>
    <w:p w14:paraId="7620698E" w14:textId="6D277FA8" w:rsidR="00CF7474" w:rsidRPr="00A809E6" w:rsidRDefault="00A71AAF" w:rsidP="000358E1">
      <w:pPr>
        <w:jc w:val="center"/>
        <w:rPr>
          <w:rFonts w:asciiTheme="minorHAnsi" w:hAnsiTheme="minorHAnsi" w:cstheme="minorHAnsi"/>
          <w:b/>
          <w:sz w:val="28"/>
          <w:szCs w:val="28"/>
        </w:rPr>
      </w:pPr>
      <w:r w:rsidRPr="00A809E6">
        <w:rPr>
          <w:rFonts w:asciiTheme="minorHAnsi" w:hAnsiTheme="minorHAnsi" w:cstheme="minorHAnsi"/>
          <w:b/>
          <w:sz w:val="28"/>
          <w:szCs w:val="28"/>
        </w:rPr>
        <w:t xml:space="preserve">The National Aboriginal and Torres Strait Islander Leadership in Mental Health (NATSILMH), Indigenous Allied Health Australia (IAHA) and Australian Indigenous Psychologists Association (AIPA) Submission to the Productivity Commission’s </w:t>
      </w:r>
      <w:r w:rsidRPr="00A809E6">
        <w:rPr>
          <w:rFonts w:asciiTheme="minorHAnsi" w:hAnsiTheme="minorHAnsi" w:cstheme="minorHAnsi"/>
          <w:b/>
          <w:i/>
          <w:sz w:val="28"/>
          <w:szCs w:val="28"/>
        </w:rPr>
        <w:t>Review of the Social and Economic Benefits of Improving Mental Health</w:t>
      </w:r>
      <w:r w:rsidRPr="00A809E6">
        <w:rPr>
          <w:rFonts w:asciiTheme="minorHAnsi" w:hAnsiTheme="minorHAnsi" w:cstheme="minorHAnsi"/>
          <w:b/>
          <w:sz w:val="28"/>
          <w:szCs w:val="28"/>
        </w:rPr>
        <w:t>.</w:t>
      </w:r>
    </w:p>
    <w:p w14:paraId="547E60CC" w14:textId="77777777" w:rsidR="009C0A07" w:rsidRPr="00A809E6" w:rsidRDefault="009C0A07" w:rsidP="00B549AE">
      <w:pPr>
        <w:rPr>
          <w:rFonts w:asciiTheme="minorHAnsi" w:hAnsiTheme="minorHAnsi" w:cstheme="minorHAnsi"/>
          <w:b/>
          <w:sz w:val="16"/>
          <w:szCs w:val="16"/>
        </w:rPr>
      </w:pPr>
    </w:p>
    <w:p w14:paraId="090B85B2" w14:textId="14AA9265" w:rsidR="009B1F88" w:rsidRPr="00A809E6" w:rsidRDefault="009B1F88" w:rsidP="00A71AAF">
      <w:pPr>
        <w:jc w:val="center"/>
        <w:rPr>
          <w:rFonts w:asciiTheme="minorHAnsi" w:hAnsiTheme="minorHAnsi" w:cstheme="minorHAnsi"/>
          <w:b/>
        </w:rPr>
      </w:pPr>
      <w:r w:rsidRPr="00A809E6">
        <w:rPr>
          <w:rFonts w:asciiTheme="minorHAnsi" w:hAnsiTheme="minorHAnsi" w:cstheme="minorHAnsi"/>
          <w:b/>
        </w:rPr>
        <w:t>Recommendations</w:t>
      </w:r>
    </w:p>
    <w:p w14:paraId="4B5B2284" w14:textId="77777777" w:rsidR="009B1F88" w:rsidRPr="00A809E6" w:rsidRDefault="009B1F88" w:rsidP="009B1F88">
      <w:pPr>
        <w:pStyle w:val="NormalWeb"/>
        <w:spacing w:before="0" w:beforeAutospacing="0" w:after="0" w:afterAutospacing="0"/>
        <w:rPr>
          <w:rFonts w:asciiTheme="minorHAnsi" w:hAnsiTheme="minorHAnsi" w:cstheme="minorHAnsi"/>
          <w:sz w:val="22"/>
          <w:szCs w:val="22"/>
        </w:rPr>
      </w:pPr>
      <w:bookmarkStart w:id="0" w:name="_GoBack"/>
      <w:bookmarkEnd w:id="0"/>
    </w:p>
    <w:p w14:paraId="11787BF7" w14:textId="01D45F5D" w:rsidR="009B1F88" w:rsidRPr="00A809E6" w:rsidRDefault="009B1F88" w:rsidP="009B1F88">
      <w:pPr>
        <w:pStyle w:val="NormalWeb"/>
        <w:spacing w:before="0" w:beforeAutospacing="0" w:after="0" w:afterAutospacing="0"/>
        <w:rPr>
          <w:rFonts w:asciiTheme="minorHAnsi" w:hAnsiTheme="minorHAnsi" w:cstheme="minorHAnsi"/>
          <w:sz w:val="22"/>
          <w:szCs w:val="22"/>
        </w:rPr>
      </w:pPr>
      <w:r w:rsidRPr="00A809E6">
        <w:rPr>
          <w:rFonts w:asciiTheme="minorHAnsi" w:hAnsiTheme="minorHAnsi" w:cstheme="minorHAnsi"/>
          <w:b/>
          <w:sz w:val="22"/>
          <w:szCs w:val="22"/>
        </w:rPr>
        <w:t>Recommendation 1</w:t>
      </w:r>
      <w:r w:rsidRPr="00A809E6">
        <w:rPr>
          <w:rFonts w:asciiTheme="minorHAnsi" w:hAnsiTheme="minorHAnsi" w:cstheme="minorHAnsi"/>
          <w:sz w:val="22"/>
          <w:szCs w:val="22"/>
        </w:rPr>
        <w:t>: The new Indigenous Productivity Commissioner role should report each year to Parliament (coincident with the PM’s ‘Closing the Gap Report’) on Aboriginal and Torres Strait Islander health expenditure overall, including mental health expenditure, but considering both public and private expenditure and level of need, and as a specific input to closing the health and life expectancy gap</w:t>
      </w:r>
    </w:p>
    <w:p w14:paraId="6F8BF5CE" w14:textId="77777777" w:rsidR="009B1F88" w:rsidRPr="00A809E6" w:rsidRDefault="009B1F88">
      <w:pPr>
        <w:pStyle w:val="NormalWeb"/>
        <w:spacing w:before="0" w:beforeAutospacing="0" w:after="0" w:afterAutospacing="0"/>
        <w:rPr>
          <w:rFonts w:asciiTheme="minorHAnsi" w:hAnsiTheme="minorHAnsi" w:cstheme="minorHAnsi"/>
          <w:sz w:val="16"/>
          <w:szCs w:val="16"/>
        </w:rPr>
      </w:pPr>
    </w:p>
    <w:p w14:paraId="56387C89" w14:textId="77777777" w:rsidR="009B1F88" w:rsidRPr="00A809E6" w:rsidRDefault="009B1F88" w:rsidP="00A809E6">
      <w:pPr>
        <w:pStyle w:val="NormalWeb"/>
        <w:spacing w:before="0" w:beforeAutospacing="0" w:after="0" w:afterAutospacing="0"/>
        <w:rPr>
          <w:rFonts w:asciiTheme="minorHAnsi" w:hAnsiTheme="minorHAnsi" w:cstheme="minorHAnsi"/>
          <w:b/>
          <w:sz w:val="22"/>
          <w:szCs w:val="22"/>
        </w:rPr>
      </w:pPr>
      <w:r w:rsidRPr="00A809E6">
        <w:rPr>
          <w:rFonts w:asciiTheme="minorHAnsi" w:hAnsiTheme="minorHAnsi" w:cstheme="minorHAnsi"/>
          <w:b/>
          <w:sz w:val="22"/>
          <w:szCs w:val="22"/>
        </w:rPr>
        <w:t xml:space="preserve">Recommendation 2: </w:t>
      </w:r>
      <w:r w:rsidRPr="00A809E6">
        <w:rPr>
          <w:rFonts w:asciiTheme="minorHAnsi" w:hAnsiTheme="minorHAnsi" w:cstheme="minorHAnsi"/>
          <w:sz w:val="22"/>
          <w:szCs w:val="22"/>
        </w:rPr>
        <w:t>That Australian governments commit to gather, disaggregate, and publish Aboriginal and Torres Strait Islander mental health expenditure data across the mainstream and Indigenous-specific parts of the mental health system, with particular focus on primary mental health care, by 30 June 2020.</w:t>
      </w:r>
      <w:r w:rsidRPr="00A809E6">
        <w:rPr>
          <w:rFonts w:asciiTheme="minorHAnsi" w:hAnsiTheme="minorHAnsi" w:cstheme="minorHAnsi"/>
          <w:b/>
          <w:sz w:val="22"/>
          <w:szCs w:val="22"/>
        </w:rPr>
        <w:t xml:space="preserve"> </w:t>
      </w:r>
    </w:p>
    <w:p w14:paraId="500E6A63" w14:textId="77777777" w:rsidR="009B1F88" w:rsidRPr="00A809E6" w:rsidRDefault="009B1F88">
      <w:pPr>
        <w:pStyle w:val="NormalWeb"/>
        <w:spacing w:before="0" w:beforeAutospacing="0" w:after="0" w:afterAutospacing="0"/>
        <w:rPr>
          <w:rFonts w:asciiTheme="minorHAnsi" w:hAnsiTheme="minorHAnsi" w:cstheme="minorHAnsi"/>
          <w:sz w:val="16"/>
          <w:szCs w:val="16"/>
        </w:rPr>
      </w:pPr>
    </w:p>
    <w:p w14:paraId="541430E7" w14:textId="77777777" w:rsidR="009B1F88" w:rsidRPr="00A809E6" w:rsidRDefault="009B1F88" w:rsidP="00A809E6">
      <w:pPr>
        <w:pStyle w:val="NormalWeb"/>
        <w:spacing w:before="0" w:beforeAutospacing="0" w:after="0" w:afterAutospacing="0"/>
        <w:rPr>
          <w:rFonts w:asciiTheme="minorHAnsi" w:hAnsiTheme="minorHAnsi" w:cstheme="minorHAnsi"/>
          <w:i/>
          <w:sz w:val="22"/>
          <w:szCs w:val="22"/>
        </w:rPr>
      </w:pPr>
      <w:r w:rsidRPr="00A809E6">
        <w:rPr>
          <w:rFonts w:asciiTheme="minorHAnsi" w:hAnsiTheme="minorHAnsi" w:cstheme="minorHAnsi"/>
          <w:b/>
          <w:sz w:val="22"/>
          <w:szCs w:val="22"/>
        </w:rPr>
        <w:t xml:space="preserve">Recommendation 3: </w:t>
      </w:r>
      <w:r w:rsidRPr="00A809E6">
        <w:rPr>
          <w:rFonts w:asciiTheme="minorHAnsi" w:hAnsiTheme="minorHAnsi" w:cstheme="minorHAnsi"/>
          <w:sz w:val="22"/>
          <w:szCs w:val="22"/>
        </w:rPr>
        <w:t xml:space="preserve">That Australian governments increase Aboriginal and Torres Strait Islander primary mental health expenditure to a quantum equivalent to 3 times per capita non-Indigenous spending starting in the 2020-21 financial year. Increased investment should by 30 June 2020 be used to </w:t>
      </w:r>
      <w:r w:rsidRPr="00A809E6">
        <w:rPr>
          <w:rFonts w:asciiTheme="minorHAnsi" w:hAnsiTheme="minorHAnsi" w:cstheme="minorHAnsi"/>
          <w:noProof/>
          <w:sz w:val="22"/>
          <w:szCs w:val="22"/>
        </w:rPr>
        <w:t>cost and fund an implementation strategy for t</w:t>
      </w:r>
      <w:r w:rsidRPr="00A809E6">
        <w:rPr>
          <w:rFonts w:asciiTheme="minorHAnsi" w:hAnsiTheme="minorHAnsi" w:cstheme="minorHAnsi"/>
          <w:sz w:val="22"/>
          <w:szCs w:val="22"/>
        </w:rPr>
        <w:t>he</w:t>
      </w:r>
      <w:r w:rsidRPr="00A809E6">
        <w:rPr>
          <w:rStyle w:val="apple-converted-space"/>
          <w:rFonts w:asciiTheme="minorHAnsi" w:hAnsiTheme="minorHAnsi" w:cstheme="minorHAnsi"/>
          <w:sz w:val="22"/>
          <w:szCs w:val="22"/>
        </w:rPr>
        <w:t xml:space="preserve"> 2017 </w:t>
      </w:r>
      <w:r w:rsidRPr="00A809E6">
        <w:rPr>
          <w:rStyle w:val="Emphasis"/>
          <w:rFonts w:asciiTheme="minorHAnsi" w:hAnsiTheme="minorHAnsi" w:cstheme="minorHAnsi"/>
          <w:sz w:val="22"/>
          <w:szCs w:val="22"/>
        </w:rPr>
        <w:t>National Strategic Framework for Aboriginal and Torres Strait Islander Peoples’ Mental Health and Social and Emotional Wellbeing</w:t>
      </w:r>
      <w:r w:rsidRPr="00A809E6">
        <w:rPr>
          <w:rFonts w:asciiTheme="minorHAnsi" w:hAnsiTheme="minorHAnsi" w:cstheme="minorHAnsi"/>
          <w:sz w:val="22"/>
          <w:szCs w:val="22"/>
          <w:shd w:val="clear" w:color="auto" w:fill="FBE4D5" w:themeFill="accent2" w:themeFillTint="33"/>
        </w:rPr>
        <w:t xml:space="preserve"> </w:t>
      </w:r>
      <w:r w:rsidRPr="00A809E6">
        <w:rPr>
          <w:rFonts w:asciiTheme="minorHAnsi" w:hAnsiTheme="minorHAnsi" w:cstheme="minorHAnsi"/>
          <w:sz w:val="22"/>
          <w:szCs w:val="22"/>
        </w:rPr>
        <w:t xml:space="preserve">within the </w:t>
      </w:r>
      <w:r w:rsidRPr="00A809E6">
        <w:rPr>
          <w:rFonts w:asciiTheme="minorHAnsi" w:hAnsiTheme="minorHAnsi" w:cstheme="minorHAnsi"/>
          <w:i/>
          <w:sz w:val="22"/>
          <w:szCs w:val="22"/>
        </w:rPr>
        <w:t xml:space="preserve">Fifth National Mental Health Plan </w:t>
      </w:r>
      <w:r w:rsidRPr="00A809E6">
        <w:rPr>
          <w:rFonts w:asciiTheme="minorHAnsi" w:hAnsiTheme="minorHAnsi" w:cstheme="minorHAnsi"/>
          <w:sz w:val="22"/>
          <w:szCs w:val="22"/>
        </w:rPr>
        <w:t xml:space="preserve">implementation process; and the development of a dedicated Indigenous suicide prevention strategy and fully funded implementation plan based on the 2013 </w:t>
      </w:r>
      <w:r w:rsidRPr="00A809E6">
        <w:rPr>
          <w:rFonts w:asciiTheme="minorHAnsi" w:hAnsiTheme="minorHAnsi" w:cstheme="minorHAnsi"/>
          <w:i/>
          <w:sz w:val="22"/>
          <w:szCs w:val="22"/>
        </w:rPr>
        <w:t>National Aboriginal and Torres Strait Islander Suicide Prevention Strategy.</w:t>
      </w:r>
    </w:p>
    <w:p w14:paraId="45D9C6EE" w14:textId="77777777" w:rsidR="009B1F88" w:rsidRPr="00A809E6" w:rsidRDefault="009B1F88">
      <w:pPr>
        <w:rPr>
          <w:rFonts w:asciiTheme="minorHAnsi" w:hAnsiTheme="minorHAnsi" w:cstheme="minorHAnsi"/>
          <w:sz w:val="16"/>
          <w:szCs w:val="16"/>
          <w:lang w:val="en-US"/>
        </w:rPr>
      </w:pPr>
    </w:p>
    <w:p w14:paraId="4EB16231" w14:textId="77777777" w:rsidR="009B1F88" w:rsidRPr="00A809E6" w:rsidRDefault="009B1F88" w:rsidP="00A809E6">
      <w:pPr>
        <w:rPr>
          <w:rFonts w:asciiTheme="minorHAnsi" w:hAnsiTheme="minorHAnsi" w:cstheme="minorHAnsi"/>
          <w:b/>
          <w:sz w:val="22"/>
          <w:szCs w:val="22"/>
          <w:lang w:val="en-US"/>
        </w:rPr>
      </w:pPr>
      <w:r w:rsidRPr="00A809E6">
        <w:rPr>
          <w:rFonts w:asciiTheme="minorHAnsi" w:hAnsiTheme="minorHAnsi" w:cstheme="minorHAnsi"/>
          <w:b/>
          <w:sz w:val="22"/>
          <w:szCs w:val="22"/>
          <w:lang w:val="en-US"/>
        </w:rPr>
        <w:t xml:space="preserve">Recommendation 4: </w:t>
      </w:r>
      <w:r w:rsidRPr="00A809E6">
        <w:rPr>
          <w:rFonts w:asciiTheme="minorHAnsi" w:hAnsiTheme="minorHAnsi" w:cstheme="minorHAnsi"/>
          <w:sz w:val="22"/>
          <w:szCs w:val="22"/>
          <w:lang w:val="en-US"/>
        </w:rPr>
        <w:t xml:space="preserve">The Australian Government should ensure </w:t>
      </w:r>
      <w:r w:rsidRPr="00A809E6">
        <w:rPr>
          <w:rFonts w:asciiTheme="minorHAnsi" w:hAnsiTheme="minorHAnsi" w:cstheme="minorHAnsi"/>
          <w:sz w:val="22"/>
          <w:szCs w:val="22"/>
        </w:rPr>
        <w:t>Aboriginal Community Controlled Health Services (ACCHSs)</w:t>
      </w:r>
      <w:r w:rsidRPr="00A809E6">
        <w:rPr>
          <w:rFonts w:asciiTheme="minorHAnsi" w:hAnsiTheme="minorHAnsi" w:cstheme="minorHAnsi"/>
          <w:sz w:val="22"/>
          <w:szCs w:val="22"/>
          <w:lang w:val="en-US"/>
        </w:rPr>
        <w:t xml:space="preserve"> are positioned as preferred providers of mental health services in Aboriginal and Torres Strait Islander communities, and PHN funds for Aboriginal and Torres Strait Islander mental health and suicide prevention should be allocated to ACCHSs unless it can be clearly demonstrated that alternative arrangements can produce better results in terms of access to services and service outcomes.</w:t>
      </w:r>
    </w:p>
    <w:p w14:paraId="4BDA35D6" w14:textId="77777777" w:rsidR="009B1F88" w:rsidRPr="00A809E6" w:rsidRDefault="009B1F88">
      <w:pPr>
        <w:pStyle w:val="NormalWeb"/>
        <w:spacing w:before="0" w:beforeAutospacing="0" w:after="0" w:afterAutospacing="0"/>
        <w:rPr>
          <w:rFonts w:asciiTheme="minorHAnsi" w:hAnsiTheme="minorHAnsi" w:cstheme="minorHAnsi"/>
          <w:sz w:val="22"/>
          <w:szCs w:val="22"/>
        </w:rPr>
      </w:pPr>
    </w:p>
    <w:p w14:paraId="0D504383" w14:textId="77777777" w:rsidR="009B1F88" w:rsidRPr="00A809E6" w:rsidRDefault="009B1F88" w:rsidP="00A809E6">
      <w:pPr>
        <w:rPr>
          <w:rFonts w:asciiTheme="minorHAnsi" w:hAnsiTheme="minorHAnsi" w:cstheme="minorHAnsi"/>
          <w:sz w:val="22"/>
          <w:szCs w:val="22"/>
        </w:rPr>
      </w:pPr>
      <w:r w:rsidRPr="00A809E6">
        <w:rPr>
          <w:rFonts w:asciiTheme="minorHAnsi" w:hAnsiTheme="minorHAnsi" w:cstheme="minorHAnsi"/>
          <w:b/>
          <w:sz w:val="22"/>
          <w:szCs w:val="22"/>
          <w:lang w:val="en-US"/>
        </w:rPr>
        <w:t xml:space="preserve">Recommendation 5: </w:t>
      </w:r>
      <w:r w:rsidRPr="00A809E6">
        <w:rPr>
          <w:rFonts w:asciiTheme="minorHAnsi" w:hAnsiTheme="minorHAnsi" w:cstheme="minorHAnsi"/>
          <w:sz w:val="22"/>
          <w:szCs w:val="22"/>
          <w:lang w:val="en-US"/>
        </w:rPr>
        <w:t xml:space="preserve">By 30 June 2019, the Australian Government should retrospectively account for the approximate $100 million </w:t>
      </w:r>
      <w:r w:rsidRPr="00A809E6">
        <w:rPr>
          <w:rFonts w:asciiTheme="minorHAnsi" w:hAnsiTheme="minorHAnsi" w:cstheme="minorHAnsi"/>
          <w:sz w:val="22"/>
          <w:szCs w:val="22"/>
        </w:rPr>
        <w:t xml:space="preserve">Indigenous-specific mental health and suicide prevention expenditure allocated to Primary Health Networks </w:t>
      </w:r>
      <w:r w:rsidRPr="00A809E6">
        <w:rPr>
          <w:rFonts w:asciiTheme="minorHAnsi" w:hAnsiTheme="minorHAnsi" w:cstheme="minorHAnsi"/>
          <w:sz w:val="22"/>
          <w:szCs w:val="22"/>
          <w:lang w:val="en-US"/>
        </w:rPr>
        <w:t>since 2015.</w:t>
      </w:r>
      <w:r w:rsidRPr="00A809E6">
        <w:rPr>
          <w:rFonts w:asciiTheme="minorHAnsi" w:hAnsiTheme="minorHAnsi" w:cstheme="minorHAnsi"/>
          <w:b/>
          <w:sz w:val="22"/>
          <w:szCs w:val="22"/>
          <w:lang w:val="en-US"/>
        </w:rPr>
        <w:t xml:space="preserve"> </w:t>
      </w:r>
      <w:r w:rsidRPr="00A809E6">
        <w:rPr>
          <w:rFonts w:asciiTheme="minorHAnsi" w:hAnsiTheme="minorHAnsi" w:cstheme="minorHAnsi"/>
          <w:sz w:val="22"/>
          <w:szCs w:val="22"/>
        </w:rPr>
        <w:t>This includes:</w:t>
      </w:r>
    </w:p>
    <w:p w14:paraId="5B3ABA3A" w14:textId="77777777" w:rsidR="009B1F88" w:rsidRPr="00A809E6" w:rsidRDefault="009B1F88" w:rsidP="00A809E6">
      <w:pPr>
        <w:pStyle w:val="ListParagraph"/>
        <w:numPr>
          <w:ilvl w:val="0"/>
          <w:numId w:val="21"/>
        </w:numPr>
        <w:rPr>
          <w:rFonts w:asciiTheme="minorHAnsi" w:hAnsiTheme="minorHAnsi" w:cstheme="minorHAnsi"/>
          <w:sz w:val="22"/>
          <w:szCs w:val="22"/>
          <w:lang w:val="en-US"/>
        </w:rPr>
      </w:pPr>
      <w:r w:rsidRPr="00A809E6">
        <w:rPr>
          <w:rFonts w:asciiTheme="minorHAnsi" w:hAnsiTheme="minorHAnsi" w:cstheme="minorHAnsi"/>
          <w:sz w:val="22"/>
          <w:szCs w:val="22"/>
          <w:lang w:val="en-US"/>
        </w:rPr>
        <w:t>The quantum allocated per region</w:t>
      </w:r>
    </w:p>
    <w:p w14:paraId="77072167" w14:textId="77777777" w:rsidR="009B1F88" w:rsidRPr="00A809E6" w:rsidRDefault="009B1F88" w:rsidP="00A809E6">
      <w:pPr>
        <w:pStyle w:val="ListParagraph"/>
        <w:numPr>
          <w:ilvl w:val="0"/>
          <w:numId w:val="21"/>
        </w:numPr>
        <w:rPr>
          <w:rFonts w:asciiTheme="minorHAnsi" w:hAnsiTheme="minorHAnsi" w:cstheme="minorHAnsi"/>
          <w:sz w:val="22"/>
          <w:szCs w:val="22"/>
          <w:lang w:val="en-US"/>
        </w:rPr>
      </w:pPr>
      <w:r w:rsidRPr="00A809E6">
        <w:rPr>
          <w:rFonts w:asciiTheme="minorHAnsi" w:hAnsiTheme="minorHAnsi" w:cstheme="minorHAnsi"/>
          <w:sz w:val="22"/>
          <w:szCs w:val="22"/>
          <w:lang w:val="en-US"/>
        </w:rPr>
        <w:t>How the quantum was allocated (processes)</w:t>
      </w:r>
    </w:p>
    <w:p w14:paraId="6799608E" w14:textId="77777777" w:rsidR="009B1F88" w:rsidRPr="00A809E6" w:rsidRDefault="009B1F88" w:rsidP="00A809E6">
      <w:pPr>
        <w:pStyle w:val="ListParagraph"/>
        <w:numPr>
          <w:ilvl w:val="0"/>
          <w:numId w:val="21"/>
        </w:numPr>
        <w:rPr>
          <w:rFonts w:asciiTheme="minorHAnsi" w:hAnsiTheme="minorHAnsi" w:cstheme="minorHAnsi"/>
          <w:sz w:val="22"/>
          <w:szCs w:val="22"/>
          <w:lang w:val="en-US"/>
        </w:rPr>
      </w:pPr>
      <w:r w:rsidRPr="00A809E6">
        <w:rPr>
          <w:rFonts w:asciiTheme="minorHAnsi" w:hAnsiTheme="minorHAnsi" w:cstheme="minorHAnsi"/>
          <w:sz w:val="22"/>
          <w:szCs w:val="22"/>
          <w:lang w:val="en-US"/>
        </w:rPr>
        <w:t>The services being funded by these funds and their locations</w:t>
      </w:r>
    </w:p>
    <w:p w14:paraId="021A1669" w14:textId="77777777" w:rsidR="009B1F88" w:rsidRPr="00A809E6" w:rsidRDefault="009B1F88" w:rsidP="00A809E6">
      <w:pPr>
        <w:pStyle w:val="ListParagraph"/>
        <w:numPr>
          <w:ilvl w:val="0"/>
          <w:numId w:val="21"/>
        </w:numPr>
        <w:rPr>
          <w:rFonts w:asciiTheme="minorHAnsi" w:hAnsiTheme="minorHAnsi" w:cstheme="minorHAnsi"/>
          <w:sz w:val="22"/>
          <w:szCs w:val="22"/>
          <w:lang w:val="en-US"/>
        </w:rPr>
      </w:pPr>
      <w:r w:rsidRPr="00A809E6">
        <w:rPr>
          <w:rFonts w:asciiTheme="minorHAnsi" w:hAnsiTheme="minorHAnsi" w:cstheme="minorHAnsi"/>
          <w:sz w:val="22"/>
          <w:szCs w:val="22"/>
          <w:lang w:val="en-US"/>
        </w:rPr>
        <w:t xml:space="preserve">The number of ACCHSs and Aboriginal and Torres Strait Islander organisations receiving funds, and the quantum, compared to mainstream providers </w:t>
      </w:r>
    </w:p>
    <w:p w14:paraId="3DDA600F" w14:textId="77777777" w:rsidR="009B1F88" w:rsidRPr="00A809E6" w:rsidRDefault="009B1F88" w:rsidP="00A809E6">
      <w:pPr>
        <w:pStyle w:val="ListParagraph"/>
        <w:numPr>
          <w:ilvl w:val="0"/>
          <w:numId w:val="21"/>
        </w:numPr>
        <w:rPr>
          <w:rFonts w:asciiTheme="minorHAnsi" w:hAnsiTheme="minorHAnsi" w:cstheme="minorHAnsi"/>
          <w:sz w:val="22"/>
          <w:szCs w:val="22"/>
          <w:lang w:val="en-US"/>
        </w:rPr>
      </w:pPr>
      <w:r w:rsidRPr="00A809E6">
        <w:rPr>
          <w:rFonts w:asciiTheme="minorHAnsi" w:hAnsiTheme="minorHAnsi" w:cstheme="minorHAnsi"/>
          <w:sz w:val="22"/>
          <w:szCs w:val="22"/>
          <w:lang w:val="en-US"/>
        </w:rPr>
        <w:t xml:space="preserve">The value for money (positive, measurable outcomes) being achieved through this expenditure. </w:t>
      </w:r>
    </w:p>
    <w:p w14:paraId="7DA3F5D7" w14:textId="77777777" w:rsidR="009B1F88" w:rsidRPr="00A809E6" w:rsidRDefault="009B1F88" w:rsidP="00A809E6">
      <w:pPr>
        <w:rPr>
          <w:rFonts w:asciiTheme="minorHAnsi" w:hAnsiTheme="minorHAnsi" w:cstheme="minorHAnsi"/>
          <w:b/>
          <w:sz w:val="22"/>
          <w:szCs w:val="22"/>
          <w:lang w:val="en-US"/>
        </w:rPr>
      </w:pPr>
    </w:p>
    <w:p w14:paraId="161B3A82" w14:textId="77777777" w:rsidR="009B1F88" w:rsidRPr="00A809E6" w:rsidRDefault="009B1F88" w:rsidP="00A809E6">
      <w:pPr>
        <w:rPr>
          <w:rFonts w:asciiTheme="minorHAnsi" w:hAnsiTheme="minorHAnsi" w:cstheme="minorHAnsi"/>
          <w:sz w:val="22"/>
          <w:szCs w:val="22"/>
        </w:rPr>
      </w:pPr>
      <w:r w:rsidRPr="00A809E6">
        <w:rPr>
          <w:rFonts w:asciiTheme="minorHAnsi" w:hAnsiTheme="minorHAnsi" w:cstheme="minorHAnsi"/>
          <w:b/>
          <w:sz w:val="22"/>
          <w:szCs w:val="22"/>
          <w:lang w:val="en-US"/>
        </w:rPr>
        <w:lastRenderedPageBreak/>
        <w:t xml:space="preserve">Recommendation 6: </w:t>
      </w:r>
      <w:r w:rsidRPr="00A809E6">
        <w:rPr>
          <w:rFonts w:asciiTheme="minorHAnsi" w:hAnsiTheme="minorHAnsi" w:cstheme="minorHAnsi"/>
          <w:sz w:val="22"/>
          <w:szCs w:val="22"/>
          <w:lang w:val="en-US"/>
        </w:rPr>
        <w:t xml:space="preserve">By 30 June 2019, Aboriginal and Torres Strait Islander mental health and community leaders should co-design with the Australian Government a reporting framework that accounts for </w:t>
      </w:r>
      <w:r w:rsidRPr="00A809E6">
        <w:rPr>
          <w:rFonts w:asciiTheme="minorHAnsi" w:hAnsiTheme="minorHAnsi" w:cstheme="minorHAnsi"/>
          <w:sz w:val="22"/>
          <w:szCs w:val="22"/>
        </w:rPr>
        <w:t>Indigenous specific mental health and suicide prevention expenditure allocated to Primary Health Networks on an annual basis. This includes:</w:t>
      </w:r>
    </w:p>
    <w:p w14:paraId="2DA05B61" w14:textId="77777777" w:rsidR="009B1F88" w:rsidRPr="00A809E6" w:rsidRDefault="009B1F88" w:rsidP="00A809E6">
      <w:pPr>
        <w:pStyle w:val="ListParagraph"/>
        <w:numPr>
          <w:ilvl w:val="0"/>
          <w:numId w:val="21"/>
        </w:numPr>
        <w:rPr>
          <w:rFonts w:asciiTheme="minorHAnsi" w:hAnsiTheme="minorHAnsi" w:cstheme="minorHAnsi"/>
          <w:sz w:val="22"/>
          <w:szCs w:val="22"/>
          <w:lang w:val="en-US"/>
        </w:rPr>
      </w:pPr>
      <w:r w:rsidRPr="00A809E6">
        <w:rPr>
          <w:rFonts w:asciiTheme="minorHAnsi" w:hAnsiTheme="minorHAnsi" w:cstheme="minorHAnsi"/>
          <w:sz w:val="22"/>
          <w:szCs w:val="22"/>
          <w:lang w:val="en-US"/>
        </w:rPr>
        <w:t>The quantum allocated per region</w:t>
      </w:r>
    </w:p>
    <w:p w14:paraId="7BDE5D05" w14:textId="77777777" w:rsidR="009B1F88" w:rsidRPr="00A809E6" w:rsidRDefault="009B1F88" w:rsidP="00A809E6">
      <w:pPr>
        <w:pStyle w:val="ListParagraph"/>
        <w:numPr>
          <w:ilvl w:val="0"/>
          <w:numId w:val="21"/>
        </w:numPr>
        <w:rPr>
          <w:rFonts w:asciiTheme="minorHAnsi" w:hAnsiTheme="minorHAnsi" w:cstheme="minorHAnsi"/>
          <w:sz w:val="22"/>
          <w:szCs w:val="22"/>
          <w:lang w:val="en-US"/>
        </w:rPr>
      </w:pPr>
      <w:r w:rsidRPr="00A809E6">
        <w:rPr>
          <w:rFonts w:asciiTheme="minorHAnsi" w:hAnsiTheme="minorHAnsi" w:cstheme="minorHAnsi"/>
          <w:sz w:val="22"/>
          <w:szCs w:val="22"/>
          <w:lang w:val="en-US"/>
        </w:rPr>
        <w:t>How the quantum was allocated (processes)</w:t>
      </w:r>
    </w:p>
    <w:p w14:paraId="1CA37F48" w14:textId="77777777" w:rsidR="009B1F88" w:rsidRPr="00A809E6" w:rsidRDefault="009B1F88" w:rsidP="00A809E6">
      <w:pPr>
        <w:pStyle w:val="ListParagraph"/>
        <w:numPr>
          <w:ilvl w:val="0"/>
          <w:numId w:val="21"/>
        </w:numPr>
        <w:rPr>
          <w:rFonts w:asciiTheme="minorHAnsi" w:hAnsiTheme="minorHAnsi" w:cstheme="minorHAnsi"/>
          <w:sz w:val="22"/>
          <w:szCs w:val="22"/>
          <w:lang w:val="en-US"/>
        </w:rPr>
      </w:pPr>
      <w:r w:rsidRPr="00A809E6">
        <w:rPr>
          <w:rFonts w:asciiTheme="minorHAnsi" w:hAnsiTheme="minorHAnsi" w:cstheme="minorHAnsi"/>
          <w:sz w:val="22"/>
          <w:szCs w:val="22"/>
          <w:lang w:val="en-US"/>
        </w:rPr>
        <w:t>The services being funded by these funds and their locations</w:t>
      </w:r>
    </w:p>
    <w:p w14:paraId="4756A760" w14:textId="77777777" w:rsidR="009B1F88" w:rsidRPr="00A809E6" w:rsidRDefault="009B1F88" w:rsidP="00A809E6">
      <w:pPr>
        <w:pStyle w:val="ListParagraph"/>
        <w:numPr>
          <w:ilvl w:val="0"/>
          <w:numId w:val="21"/>
        </w:numPr>
        <w:rPr>
          <w:rFonts w:asciiTheme="minorHAnsi" w:hAnsiTheme="minorHAnsi" w:cstheme="minorHAnsi"/>
          <w:sz w:val="22"/>
          <w:szCs w:val="22"/>
          <w:lang w:val="en-US"/>
        </w:rPr>
      </w:pPr>
      <w:r w:rsidRPr="00A809E6">
        <w:rPr>
          <w:rFonts w:asciiTheme="minorHAnsi" w:hAnsiTheme="minorHAnsi" w:cstheme="minorHAnsi"/>
          <w:sz w:val="22"/>
          <w:szCs w:val="22"/>
          <w:lang w:val="en-US"/>
        </w:rPr>
        <w:t xml:space="preserve">The number of ACCHSs and Aboriginal and Torres Strait Islander organisations receiving funds, and the quantum, compared to mainstream providers </w:t>
      </w:r>
    </w:p>
    <w:p w14:paraId="625FECE2" w14:textId="77777777" w:rsidR="009B1F88" w:rsidRPr="00A809E6" w:rsidRDefault="009B1F88" w:rsidP="00A809E6">
      <w:pPr>
        <w:pStyle w:val="ListParagraph"/>
        <w:numPr>
          <w:ilvl w:val="0"/>
          <w:numId w:val="21"/>
        </w:numPr>
        <w:rPr>
          <w:rFonts w:asciiTheme="minorHAnsi" w:hAnsiTheme="minorHAnsi" w:cstheme="minorHAnsi"/>
          <w:sz w:val="22"/>
          <w:szCs w:val="22"/>
          <w:lang w:val="en-US"/>
        </w:rPr>
      </w:pPr>
      <w:r w:rsidRPr="00A809E6">
        <w:rPr>
          <w:rFonts w:asciiTheme="minorHAnsi" w:hAnsiTheme="minorHAnsi" w:cstheme="minorHAnsi"/>
          <w:sz w:val="22"/>
          <w:szCs w:val="22"/>
          <w:lang w:val="en-US"/>
        </w:rPr>
        <w:t>The cultural safety of these services</w:t>
      </w:r>
    </w:p>
    <w:p w14:paraId="150F803B" w14:textId="77777777" w:rsidR="009B1F88" w:rsidRPr="00A809E6" w:rsidRDefault="009B1F88" w:rsidP="00A809E6">
      <w:pPr>
        <w:pStyle w:val="ListParagraph"/>
        <w:numPr>
          <w:ilvl w:val="0"/>
          <w:numId w:val="21"/>
        </w:numPr>
        <w:rPr>
          <w:rFonts w:asciiTheme="minorHAnsi" w:hAnsiTheme="minorHAnsi" w:cstheme="minorHAnsi"/>
          <w:sz w:val="22"/>
          <w:szCs w:val="22"/>
          <w:lang w:val="en-US"/>
        </w:rPr>
      </w:pPr>
      <w:r w:rsidRPr="00A809E6">
        <w:rPr>
          <w:rFonts w:asciiTheme="minorHAnsi" w:hAnsiTheme="minorHAnsi" w:cstheme="minorHAnsi"/>
          <w:sz w:val="22"/>
          <w:szCs w:val="22"/>
          <w:lang w:val="en-US"/>
        </w:rPr>
        <w:t xml:space="preserve">The value for money (positive, measurable outcomes) being achieved through this expenditure. </w:t>
      </w:r>
    </w:p>
    <w:p w14:paraId="0EB72104" w14:textId="77777777" w:rsidR="009B1F88" w:rsidRPr="00A809E6" w:rsidRDefault="009B1F88" w:rsidP="00A809E6">
      <w:pPr>
        <w:pStyle w:val="ListParagraph"/>
        <w:ind w:left="360"/>
        <w:rPr>
          <w:rFonts w:asciiTheme="minorHAnsi" w:hAnsiTheme="minorHAnsi" w:cstheme="minorHAnsi"/>
          <w:sz w:val="16"/>
          <w:szCs w:val="16"/>
          <w:lang w:val="en-US"/>
        </w:rPr>
      </w:pPr>
    </w:p>
    <w:p w14:paraId="227A582B" w14:textId="77777777" w:rsidR="009B1F88" w:rsidRPr="00A809E6" w:rsidRDefault="009B1F88" w:rsidP="00A809E6">
      <w:pPr>
        <w:rPr>
          <w:rFonts w:asciiTheme="minorHAnsi" w:hAnsiTheme="minorHAnsi" w:cstheme="minorHAnsi"/>
          <w:sz w:val="22"/>
          <w:szCs w:val="22"/>
        </w:rPr>
      </w:pPr>
      <w:r w:rsidRPr="00A809E6">
        <w:rPr>
          <w:rFonts w:asciiTheme="minorHAnsi" w:hAnsiTheme="minorHAnsi" w:cstheme="minorHAnsi"/>
          <w:b/>
          <w:sz w:val="22"/>
          <w:szCs w:val="22"/>
          <w:lang w:val="en-US"/>
        </w:rPr>
        <w:t xml:space="preserve">Recommendation 7: </w:t>
      </w:r>
      <w:r w:rsidRPr="00A809E6">
        <w:rPr>
          <w:rFonts w:asciiTheme="minorHAnsi" w:hAnsiTheme="minorHAnsi" w:cstheme="minorHAnsi"/>
          <w:sz w:val="22"/>
          <w:szCs w:val="22"/>
        </w:rPr>
        <w:t>That the new Indigenous Productivity Commissioner, within the broader current inquiry, completes a cost-benefit analysis of increased investment in Aboriginal and Torres Strait Islander primary health care (to equity based on need) accounting for the costs associated with a range of social challenges associated with untreated Aboriginal and Torres Strait Islander mental health challenges, in addition to the additional costs to the mental health system.</w:t>
      </w:r>
    </w:p>
    <w:p w14:paraId="14BF9EDD" w14:textId="77777777" w:rsidR="00A71AAF" w:rsidRPr="00A809E6" w:rsidRDefault="00A71AAF" w:rsidP="00A809E6">
      <w:pPr>
        <w:rPr>
          <w:rFonts w:asciiTheme="minorHAnsi" w:hAnsiTheme="minorHAnsi" w:cstheme="minorHAnsi"/>
          <w:sz w:val="22"/>
          <w:szCs w:val="22"/>
        </w:rPr>
      </w:pPr>
    </w:p>
    <w:p w14:paraId="5741E5F7" w14:textId="163E4E0C" w:rsidR="009B1F88" w:rsidRPr="00A809E6" w:rsidRDefault="009B1F88" w:rsidP="00A809E6">
      <w:pPr>
        <w:rPr>
          <w:rFonts w:asciiTheme="minorHAnsi" w:hAnsiTheme="minorHAnsi" w:cstheme="minorHAnsi"/>
          <w:sz w:val="22"/>
          <w:szCs w:val="22"/>
        </w:rPr>
      </w:pPr>
      <w:r w:rsidRPr="00A809E6">
        <w:rPr>
          <w:rFonts w:asciiTheme="minorHAnsi" w:hAnsiTheme="minorHAnsi" w:cstheme="minorHAnsi"/>
          <w:b/>
          <w:sz w:val="22"/>
          <w:szCs w:val="22"/>
        </w:rPr>
        <w:t>Recommendation 8:</w:t>
      </w:r>
      <w:r w:rsidRPr="00A809E6">
        <w:rPr>
          <w:rFonts w:asciiTheme="minorHAnsi" w:hAnsiTheme="minorHAnsi" w:cstheme="minorHAnsi"/>
          <w:sz w:val="22"/>
          <w:szCs w:val="22"/>
        </w:rPr>
        <w:t xml:space="preserve"> That the new Indigenous Productivity Commissioner considers reinvestment opportunities in Indigenous-specific primary mental health care for the costs associated with a range of social challenges associated with untreated Aboriginal and Torres Strait Islander mental health challenges within the context of the current inquiry.</w:t>
      </w:r>
    </w:p>
    <w:p w14:paraId="6F44D30F" w14:textId="3E61E933" w:rsidR="00A71AAF" w:rsidRPr="00A809E6" w:rsidRDefault="00A71AAF" w:rsidP="00A809E6">
      <w:pPr>
        <w:rPr>
          <w:rFonts w:asciiTheme="minorHAnsi" w:hAnsiTheme="minorHAnsi" w:cstheme="minorHAnsi"/>
          <w:sz w:val="22"/>
          <w:szCs w:val="22"/>
        </w:rPr>
      </w:pPr>
    </w:p>
    <w:p w14:paraId="4D3C2204" w14:textId="57B755ED" w:rsidR="00A71AAF" w:rsidRPr="00A809E6" w:rsidRDefault="00A71AAF" w:rsidP="00A809E6">
      <w:pPr>
        <w:rPr>
          <w:rFonts w:asciiTheme="minorHAnsi" w:hAnsiTheme="minorHAnsi" w:cstheme="minorHAnsi"/>
          <w:sz w:val="22"/>
          <w:szCs w:val="22"/>
        </w:rPr>
      </w:pPr>
      <w:r w:rsidRPr="00A809E6">
        <w:rPr>
          <w:rFonts w:asciiTheme="minorHAnsi" w:hAnsiTheme="minorHAnsi" w:cstheme="minorHAnsi"/>
          <w:sz w:val="22"/>
          <w:szCs w:val="22"/>
        </w:rPr>
        <w:t>-------------------------------------------------------------------------------------------------------------------------------------</w:t>
      </w:r>
    </w:p>
    <w:p w14:paraId="7AA539A9" w14:textId="77777777" w:rsidR="009B1F88" w:rsidRPr="00A809E6" w:rsidRDefault="009B1F88" w:rsidP="000E07D8">
      <w:pPr>
        <w:rPr>
          <w:rFonts w:asciiTheme="minorHAnsi" w:hAnsiTheme="minorHAnsi" w:cstheme="minorHAnsi"/>
          <w:b/>
        </w:rPr>
      </w:pPr>
    </w:p>
    <w:p w14:paraId="35BED863" w14:textId="65795455" w:rsidR="000E07D8" w:rsidRPr="00A809E6" w:rsidRDefault="000E07D8" w:rsidP="000E07D8">
      <w:pPr>
        <w:rPr>
          <w:rFonts w:asciiTheme="minorHAnsi" w:hAnsiTheme="minorHAnsi" w:cstheme="minorHAnsi"/>
          <w:b/>
        </w:rPr>
      </w:pPr>
      <w:r w:rsidRPr="00A809E6">
        <w:rPr>
          <w:rFonts w:asciiTheme="minorHAnsi" w:hAnsiTheme="minorHAnsi" w:cstheme="minorHAnsi"/>
          <w:b/>
        </w:rPr>
        <w:t>Introduction</w:t>
      </w:r>
    </w:p>
    <w:p w14:paraId="758030F1" w14:textId="77777777" w:rsidR="000E07D8" w:rsidRPr="00A809E6" w:rsidRDefault="000E07D8" w:rsidP="000E07D8">
      <w:pPr>
        <w:rPr>
          <w:rFonts w:asciiTheme="minorHAnsi" w:hAnsiTheme="minorHAnsi" w:cstheme="minorHAnsi"/>
          <w:b/>
        </w:rPr>
      </w:pPr>
    </w:p>
    <w:p w14:paraId="6E91A6D5" w14:textId="3BAE2E5B" w:rsidR="00BA3BC3" w:rsidRPr="00A809E6" w:rsidRDefault="000E07D8" w:rsidP="00BA3BC3">
      <w:pPr>
        <w:rPr>
          <w:rFonts w:asciiTheme="minorHAnsi" w:hAnsiTheme="minorHAnsi" w:cstheme="minorHAnsi"/>
          <w:sz w:val="22"/>
          <w:szCs w:val="22"/>
        </w:rPr>
      </w:pPr>
      <w:r w:rsidRPr="00A809E6">
        <w:rPr>
          <w:rFonts w:asciiTheme="minorHAnsi" w:hAnsiTheme="minorHAnsi" w:cstheme="minorHAnsi"/>
          <w:sz w:val="22"/>
          <w:szCs w:val="22"/>
        </w:rPr>
        <w:t xml:space="preserve">The National Aboriginal and Torres Strait Islander Leadership in Mental Health (NATSILMH), Indigenous Allied Health Australia (IAHA) and the Australian Indigenous Psychologists Association (AIPA) welcome the opportunity to provide a submission to the Productivity Commission’s </w:t>
      </w:r>
      <w:r w:rsidRPr="00A809E6">
        <w:rPr>
          <w:rFonts w:asciiTheme="minorHAnsi" w:hAnsiTheme="minorHAnsi" w:cstheme="minorHAnsi"/>
          <w:i/>
          <w:sz w:val="22"/>
          <w:szCs w:val="22"/>
        </w:rPr>
        <w:t>Review of the Social and Economic Benefits of Improving Mental Health</w:t>
      </w:r>
      <w:r w:rsidR="00A71AAF" w:rsidRPr="00A809E6">
        <w:rPr>
          <w:rFonts w:asciiTheme="minorHAnsi" w:hAnsiTheme="minorHAnsi" w:cstheme="minorHAnsi"/>
          <w:sz w:val="22"/>
          <w:szCs w:val="22"/>
        </w:rPr>
        <w:t xml:space="preserve"> in the Aboriginal and Torres Strait Islander population</w:t>
      </w:r>
      <w:r w:rsidRPr="00A809E6">
        <w:rPr>
          <w:rFonts w:asciiTheme="minorHAnsi" w:hAnsiTheme="minorHAnsi" w:cstheme="minorHAnsi"/>
          <w:sz w:val="22"/>
          <w:szCs w:val="22"/>
        </w:rPr>
        <w:t>.</w:t>
      </w:r>
      <w:r w:rsidR="00BA3BC3" w:rsidRPr="00A809E6">
        <w:rPr>
          <w:rFonts w:asciiTheme="minorHAnsi" w:hAnsiTheme="minorHAnsi" w:cstheme="minorHAnsi"/>
          <w:sz w:val="22"/>
          <w:szCs w:val="22"/>
        </w:rPr>
        <w:t xml:space="preserve"> Further information about our organisations can be found in an Appendix to this submission.</w:t>
      </w:r>
    </w:p>
    <w:p w14:paraId="4C3F2408" w14:textId="3BB22679" w:rsidR="00A71AAF" w:rsidRPr="00A809E6" w:rsidRDefault="00A71AAF" w:rsidP="00BA3BC3">
      <w:pPr>
        <w:rPr>
          <w:highlight w:val="yellow"/>
        </w:rPr>
      </w:pPr>
    </w:p>
    <w:p w14:paraId="1F01B90C" w14:textId="247D4AF3" w:rsidR="0053050E" w:rsidRPr="00A809E6" w:rsidRDefault="000E07D8" w:rsidP="000E07D8">
      <w:pPr>
        <w:rPr>
          <w:rFonts w:asciiTheme="minorHAnsi" w:hAnsiTheme="minorHAnsi" w:cstheme="minorHAnsi"/>
          <w:sz w:val="22"/>
          <w:szCs w:val="22"/>
        </w:rPr>
      </w:pPr>
      <w:r w:rsidRPr="00A809E6">
        <w:rPr>
          <w:rFonts w:asciiTheme="minorHAnsi" w:hAnsiTheme="minorHAnsi" w:cstheme="minorHAnsi"/>
          <w:sz w:val="22"/>
          <w:szCs w:val="22"/>
        </w:rPr>
        <w:t>Aboriginal and Torres Strait Islander people experience health inequities across a range of health and wellbeing measures in the context of the effects of colonisation, intergenerational trauma, systemic and other forms of racism. Despite improvement in the life expectancy of Aboriginal and Torres Strait Islander people, the gap in life expectancy remains significant (8.6 years less for males; 7.8 less for females</w:t>
      </w:r>
      <w:r w:rsidR="0053050E" w:rsidRPr="00A809E6">
        <w:rPr>
          <w:rStyle w:val="EndnoteReference"/>
          <w:rFonts w:asciiTheme="minorHAnsi" w:hAnsiTheme="minorHAnsi" w:cstheme="minorHAnsi"/>
          <w:sz w:val="22"/>
          <w:szCs w:val="22"/>
        </w:rPr>
        <w:endnoteReference w:id="1"/>
      </w:r>
      <w:r w:rsidR="0053050E" w:rsidRPr="00A809E6">
        <w:rPr>
          <w:rFonts w:asciiTheme="minorHAnsi" w:hAnsiTheme="minorHAnsi" w:cstheme="minorHAnsi"/>
          <w:sz w:val="22"/>
          <w:szCs w:val="22"/>
        </w:rPr>
        <w:t xml:space="preserve">). Aboriginal and Torres Strait Islander people also experience higher rates of a number of health conditions. </w:t>
      </w:r>
    </w:p>
    <w:p w14:paraId="0AF80641" w14:textId="68149160" w:rsidR="0053050E" w:rsidRPr="00A809E6" w:rsidRDefault="0053050E" w:rsidP="000E07D8">
      <w:pPr>
        <w:rPr>
          <w:rFonts w:asciiTheme="minorHAnsi" w:hAnsiTheme="minorHAnsi" w:cstheme="minorHAnsi"/>
          <w:sz w:val="22"/>
          <w:szCs w:val="22"/>
        </w:rPr>
      </w:pPr>
    </w:p>
    <w:p w14:paraId="7819FEB1" w14:textId="6E63D9A5" w:rsidR="0053050E" w:rsidRPr="00A809E6" w:rsidRDefault="0053050E" w:rsidP="000E07D8">
      <w:pPr>
        <w:rPr>
          <w:rFonts w:asciiTheme="minorHAnsi" w:hAnsiTheme="minorHAnsi" w:cstheme="minorHAnsi"/>
          <w:sz w:val="22"/>
          <w:szCs w:val="22"/>
        </w:rPr>
      </w:pPr>
      <w:r w:rsidRPr="00A809E6">
        <w:rPr>
          <w:rFonts w:asciiTheme="minorHAnsi" w:hAnsiTheme="minorHAnsi" w:cstheme="minorHAnsi"/>
          <w:sz w:val="22"/>
          <w:szCs w:val="22"/>
        </w:rPr>
        <w:t>The economic benefits of addressing the burden of mental health difficulties and inequity are varied and include increased economic participation and taxation revenue through ongoing and more stable employment through meaningful careers in health, savings through increased efficiencies</w:t>
      </w:r>
      <w:r w:rsidR="00ED789F">
        <w:rPr>
          <w:rFonts w:asciiTheme="minorHAnsi" w:hAnsiTheme="minorHAnsi" w:cstheme="minorHAnsi"/>
          <w:sz w:val="22"/>
          <w:szCs w:val="22"/>
        </w:rPr>
        <w:t xml:space="preserve"> and effective treatment</w:t>
      </w:r>
      <w:r w:rsidRPr="00A809E6">
        <w:rPr>
          <w:rFonts w:asciiTheme="minorHAnsi" w:hAnsiTheme="minorHAnsi" w:cstheme="minorHAnsi"/>
          <w:sz w:val="22"/>
          <w:szCs w:val="22"/>
        </w:rPr>
        <w:t xml:space="preserve"> in the health care system and enabling the direction of funding toward primary prevention and primary care from more expensive services such as tertiary and crisis services and/or constraining the need for further increases.</w:t>
      </w:r>
    </w:p>
    <w:p w14:paraId="25371E7E" w14:textId="77777777" w:rsidR="0053050E" w:rsidRPr="00A809E6" w:rsidRDefault="0053050E" w:rsidP="00B549AE">
      <w:pPr>
        <w:rPr>
          <w:rFonts w:asciiTheme="minorHAnsi" w:hAnsiTheme="minorHAnsi" w:cstheme="minorHAnsi"/>
          <w:sz w:val="22"/>
          <w:szCs w:val="22"/>
        </w:rPr>
      </w:pPr>
    </w:p>
    <w:p w14:paraId="0F5467D3" w14:textId="0CF66E6E" w:rsidR="0053050E" w:rsidRPr="00A809E6" w:rsidRDefault="0053050E" w:rsidP="00B549AE">
      <w:pPr>
        <w:rPr>
          <w:rFonts w:asciiTheme="minorHAnsi" w:hAnsiTheme="minorHAnsi" w:cstheme="minorHAnsi"/>
          <w:sz w:val="22"/>
          <w:szCs w:val="22"/>
        </w:rPr>
      </w:pPr>
      <w:r w:rsidRPr="00A809E6">
        <w:rPr>
          <w:rFonts w:asciiTheme="minorHAnsi" w:hAnsiTheme="minorHAnsi" w:cstheme="minorHAnsi"/>
          <w:sz w:val="22"/>
          <w:szCs w:val="22"/>
        </w:rPr>
        <w:t xml:space="preserve">But when considering the social and economic costs of mental health difficulties in the </w:t>
      </w:r>
      <w:r w:rsidRPr="00A809E6">
        <w:rPr>
          <w:rFonts w:asciiTheme="minorHAnsi" w:hAnsiTheme="minorHAnsi" w:cstheme="minorHAnsi"/>
          <w:sz w:val="22"/>
          <w:szCs w:val="22"/>
          <w:shd w:val="clear" w:color="auto" w:fill="FFFFFF"/>
        </w:rPr>
        <w:t xml:space="preserve">Aboriginal and Torres Strait Islander </w:t>
      </w:r>
      <w:r w:rsidRPr="00A809E6">
        <w:rPr>
          <w:rFonts w:asciiTheme="minorHAnsi" w:hAnsiTheme="minorHAnsi" w:cstheme="minorHAnsi"/>
          <w:sz w:val="22"/>
          <w:szCs w:val="22"/>
        </w:rPr>
        <w:t xml:space="preserve">population, a necessary starting point - prior to any consideration of social </w:t>
      </w:r>
      <w:r w:rsidRPr="00A809E6">
        <w:rPr>
          <w:rFonts w:asciiTheme="minorHAnsi" w:hAnsiTheme="minorHAnsi" w:cstheme="minorHAnsi"/>
          <w:sz w:val="22"/>
          <w:szCs w:val="22"/>
        </w:rPr>
        <w:lastRenderedPageBreak/>
        <w:t xml:space="preserve">and cost benefits from more efficient, or additional, expenditure, is existing health-system wide inequity in health expenditure. </w:t>
      </w:r>
    </w:p>
    <w:p w14:paraId="341FCAD7" w14:textId="77777777" w:rsidR="0053050E" w:rsidRPr="00A809E6" w:rsidRDefault="0053050E" w:rsidP="00B549AE">
      <w:pPr>
        <w:rPr>
          <w:rFonts w:asciiTheme="minorHAnsi" w:hAnsiTheme="minorHAnsi" w:cstheme="minorHAnsi"/>
          <w:sz w:val="16"/>
          <w:szCs w:val="16"/>
        </w:rPr>
      </w:pPr>
    </w:p>
    <w:p w14:paraId="42B574FE" w14:textId="64F71C71" w:rsidR="0053050E" w:rsidRPr="00A809E6" w:rsidRDefault="0053050E" w:rsidP="00B549AE">
      <w:pPr>
        <w:rPr>
          <w:rFonts w:asciiTheme="minorHAnsi" w:hAnsiTheme="minorHAnsi" w:cstheme="minorHAnsi"/>
          <w:b/>
          <w:sz w:val="22"/>
          <w:szCs w:val="22"/>
        </w:rPr>
      </w:pPr>
      <w:r w:rsidRPr="00A809E6">
        <w:rPr>
          <w:rFonts w:asciiTheme="minorHAnsi" w:hAnsiTheme="minorHAnsi" w:cstheme="minorHAnsi"/>
          <w:b/>
          <w:sz w:val="22"/>
          <w:szCs w:val="22"/>
        </w:rPr>
        <w:t>Part 1: The overall picture</w:t>
      </w:r>
    </w:p>
    <w:p w14:paraId="15B05636" w14:textId="77777777" w:rsidR="00BA3BC3" w:rsidRPr="00A809E6" w:rsidRDefault="00BA3BC3" w:rsidP="00B549AE">
      <w:pPr>
        <w:rPr>
          <w:rFonts w:asciiTheme="minorHAnsi" w:hAnsiTheme="minorHAnsi" w:cstheme="minorHAnsi"/>
          <w:b/>
          <w:sz w:val="22"/>
          <w:szCs w:val="22"/>
        </w:rPr>
      </w:pPr>
    </w:p>
    <w:p w14:paraId="2EB3119F" w14:textId="61C45425" w:rsidR="0053050E" w:rsidRPr="00A809E6" w:rsidRDefault="0053050E" w:rsidP="00B549AE">
      <w:pPr>
        <w:rPr>
          <w:rFonts w:asciiTheme="minorHAnsi" w:hAnsiTheme="minorHAnsi" w:cstheme="minorHAnsi"/>
          <w:i/>
          <w:sz w:val="22"/>
          <w:szCs w:val="22"/>
        </w:rPr>
      </w:pPr>
      <w:r w:rsidRPr="00A809E6">
        <w:rPr>
          <w:rFonts w:asciiTheme="minorHAnsi" w:hAnsiTheme="minorHAnsi" w:cstheme="minorHAnsi"/>
          <w:i/>
          <w:sz w:val="22"/>
          <w:szCs w:val="22"/>
        </w:rPr>
        <w:t>National Aboriginal and Torres Strait Islander Leadership in Mental Health</w:t>
      </w:r>
    </w:p>
    <w:p w14:paraId="46561AC6" w14:textId="77777777" w:rsidR="0053050E" w:rsidRPr="00A809E6" w:rsidRDefault="0053050E" w:rsidP="00B549AE">
      <w:pPr>
        <w:rPr>
          <w:rFonts w:asciiTheme="minorHAnsi" w:hAnsiTheme="minorHAnsi" w:cstheme="minorHAnsi"/>
          <w:b/>
          <w:sz w:val="16"/>
          <w:szCs w:val="16"/>
        </w:rPr>
      </w:pPr>
    </w:p>
    <w:p w14:paraId="704E0A59" w14:textId="770B1AE0" w:rsidR="0053050E" w:rsidRPr="00A809E6" w:rsidRDefault="0053050E" w:rsidP="00B549AE">
      <w:pPr>
        <w:pStyle w:val="ListParagraph"/>
        <w:numPr>
          <w:ilvl w:val="0"/>
          <w:numId w:val="14"/>
        </w:numPr>
        <w:rPr>
          <w:rFonts w:asciiTheme="minorHAnsi" w:eastAsiaTheme="minorHAnsi" w:hAnsiTheme="minorHAnsi" w:cstheme="minorHAnsi"/>
          <w:i/>
          <w:sz w:val="22"/>
          <w:szCs w:val="22"/>
        </w:rPr>
      </w:pPr>
      <w:r w:rsidRPr="00A809E6">
        <w:rPr>
          <w:rFonts w:asciiTheme="minorHAnsi" w:hAnsiTheme="minorHAnsi" w:cstheme="minorHAnsi"/>
          <w:i/>
          <w:sz w:val="22"/>
          <w:szCs w:val="22"/>
        </w:rPr>
        <w:t xml:space="preserve">The fundamental inequity – Indigenous-specific primary health care spending </w:t>
      </w:r>
    </w:p>
    <w:p w14:paraId="7CEFF229" w14:textId="77777777" w:rsidR="0053050E" w:rsidRPr="00A809E6" w:rsidRDefault="0053050E" w:rsidP="00B549AE">
      <w:pPr>
        <w:rPr>
          <w:rFonts w:asciiTheme="minorHAnsi" w:hAnsiTheme="minorHAnsi" w:cstheme="minorHAnsi"/>
          <w:sz w:val="16"/>
          <w:szCs w:val="16"/>
        </w:rPr>
      </w:pPr>
    </w:p>
    <w:p w14:paraId="1C2A1C96" w14:textId="034F0FC0" w:rsidR="0053050E" w:rsidRPr="00A809E6" w:rsidRDefault="0053050E" w:rsidP="00B549AE">
      <w:pPr>
        <w:rPr>
          <w:rFonts w:asciiTheme="minorHAnsi" w:hAnsiTheme="minorHAnsi" w:cstheme="minorHAnsi"/>
          <w:sz w:val="22"/>
          <w:szCs w:val="22"/>
        </w:rPr>
      </w:pPr>
      <w:r w:rsidRPr="00A809E6">
        <w:rPr>
          <w:rFonts w:asciiTheme="minorHAnsi" w:hAnsiTheme="minorHAnsi" w:cstheme="minorHAnsi"/>
          <w:sz w:val="22"/>
          <w:szCs w:val="22"/>
        </w:rPr>
        <w:t xml:space="preserve">It is a basic principle of equity in the health system that funding follows need. As such, health expenditure on population groups with higher levels of health need </w:t>
      </w:r>
      <w:r w:rsidR="00ED789F">
        <w:rPr>
          <w:rFonts w:asciiTheme="minorHAnsi" w:hAnsiTheme="minorHAnsi" w:cstheme="minorHAnsi"/>
          <w:sz w:val="22"/>
          <w:szCs w:val="22"/>
        </w:rPr>
        <w:t>should be</w:t>
      </w:r>
      <w:r w:rsidR="00ED789F" w:rsidRPr="00A809E6">
        <w:rPr>
          <w:rFonts w:asciiTheme="minorHAnsi" w:hAnsiTheme="minorHAnsi" w:cstheme="minorHAnsi"/>
          <w:sz w:val="22"/>
          <w:szCs w:val="22"/>
        </w:rPr>
        <w:t xml:space="preserve"> </w:t>
      </w:r>
      <w:r w:rsidRPr="00A809E6">
        <w:rPr>
          <w:rFonts w:asciiTheme="minorHAnsi" w:hAnsiTheme="minorHAnsi" w:cstheme="minorHAnsi"/>
          <w:sz w:val="22"/>
          <w:szCs w:val="22"/>
        </w:rPr>
        <w:t>proportionately higher. It is uncontroversial, for example, to spend more on the health of the elderly compared to that of young adults because of the former’s often greater and more complex health needs. Comparing differences in populations’ health status with differences in population per capita health expenditure can let us know how well this basic principle of equity in health expenditure is being observed</w:t>
      </w:r>
      <w:r w:rsidRPr="00A809E6">
        <w:rPr>
          <w:rStyle w:val="EndnoteReference"/>
          <w:rFonts w:asciiTheme="minorHAnsi" w:hAnsiTheme="minorHAnsi" w:cstheme="minorHAnsi"/>
          <w:sz w:val="22"/>
          <w:szCs w:val="22"/>
        </w:rPr>
        <w:endnoteReference w:id="2"/>
      </w:r>
      <w:r w:rsidRPr="00A809E6">
        <w:rPr>
          <w:rFonts w:asciiTheme="minorHAnsi" w:hAnsiTheme="minorHAnsi" w:cstheme="minorHAnsi"/>
          <w:sz w:val="22"/>
          <w:szCs w:val="22"/>
        </w:rPr>
        <w:t xml:space="preserve">. </w:t>
      </w:r>
    </w:p>
    <w:p w14:paraId="16976C8E" w14:textId="77777777" w:rsidR="0053050E" w:rsidRPr="00A809E6" w:rsidRDefault="0053050E" w:rsidP="00B549AE">
      <w:pPr>
        <w:rPr>
          <w:rFonts w:asciiTheme="minorHAnsi" w:hAnsiTheme="minorHAnsi" w:cstheme="minorHAnsi"/>
          <w:sz w:val="16"/>
          <w:szCs w:val="16"/>
        </w:rPr>
      </w:pPr>
    </w:p>
    <w:p w14:paraId="06218CB4" w14:textId="501F8831" w:rsidR="00ED789F" w:rsidRPr="00A809E6" w:rsidRDefault="0053050E" w:rsidP="00ED789F">
      <w:pPr>
        <w:rPr>
          <w:rFonts w:asciiTheme="minorHAnsi" w:hAnsiTheme="minorHAnsi" w:cstheme="minorHAnsi"/>
          <w:sz w:val="22"/>
          <w:szCs w:val="22"/>
        </w:rPr>
      </w:pPr>
      <w:r w:rsidRPr="00A809E6">
        <w:rPr>
          <w:rFonts w:asciiTheme="minorHAnsi" w:hAnsiTheme="minorHAnsi" w:cstheme="minorHAnsi"/>
          <w:sz w:val="22"/>
          <w:szCs w:val="22"/>
        </w:rPr>
        <w:t>The Australian Institute of Health and Welfare (AIHW) estimates that the overall Aboriginal and Torres Strait Islander burden of disease is around 2.3 times greater than the non-Indigenous burden.</w:t>
      </w:r>
      <w:r w:rsidRPr="00A809E6">
        <w:rPr>
          <w:rStyle w:val="EndnoteReference"/>
          <w:rFonts w:asciiTheme="minorHAnsi" w:hAnsiTheme="minorHAnsi" w:cstheme="minorHAnsi"/>
          <w:sz w:val="22"/>
          <w:szCs w:val="22"/>
        </w:rPr>
        <w:endnoteReference w:id="3"/>
      </w:r>
      <w:r w:rsidRPr="00A809E6">
        <w:rPr>
          <w:rFonts w:asciiTheme="minorHAnsi" w:hAnsiTheme="minorHAnsi" w:cstheme="minorHAnsi"/>
          <w:sz w:val="22"/>
          <w:szCs w:val="22"/>
        </w:rPr>
        <w:t xml:space="preserve">  Using this as the basis for a broad needs index then, equitable health expenditure per Aboriginal and Torres Strait Islander person should be about 2.3 times spent per non-Indigenous person.</w:t>
      </w:r>
      <w:r w:rsidR="00ED789F" w:rsidRPr="00ED789F">
        <w:rPr>
          <w:rFonts w:asciiTheme="minorHAnsi" w:hAnsiTheme="minorHAnsi" w:cstheme="minorHAnsi"/>
          <w:sz w:val="22"/>
          <w:szCs w:val="22"/>
        </w:rPr>
        <w:t xml:space="preserve"> </w:t>
      </w:r>
      <w:r w:rsidR="00ED789F">
        <w:rPr>
          <w:rFonts w:asciiTheme="minorHAnsi" w:hAnsiTheme="minorHAnsi" w:cstheme="minorHAnsi"/>
          <w:sz w:val="22"/>
          <w:szCs w:val="22"/>
        </w:rPr>
        <w:t>That level of expenditure would be expected to reduce as improvements in health occur.</w:t>
      </w:r>
    </w:p>
    <w:p w14:paraId="1C54DD7B" w14:textId="77777777" w:rsidR="0053050E" w:rsidRPr="00A809E6" w:rsidRDefault="0053050E" w:rsidP="00B549AE">
      <w:pPr>
        <w:rPr>
          <w:rFonts w:asciiTheme="minorHAnsi" w:hAnsiTheme="minorHAnsi" w:cstheme="minorHAnsi"/>
          <w:sz w:val="22"/>
          <w:szCs w:val="22"/>
        </w:rPr>
      </w:pPr>
    </w:p>
    <w:p w14:paraId="7EC16FBA" w14:textId="2EE06224" w:rsidR="0053050E" w:rsidRDefault="0053050E" w:rsidP="00B549AE">
      <w:pPr>
        <w:widowControl w:val="0"/>
        <w:autoSpaceDE w:val="0"/>
        <w:autoSpaceDN w:val="0"/>
        <w:adjustRightInd w:val="0"/>
        <w:rPr>
          <w:rFonts w:asciiTheme="minorHAnsi" w:hAnsiTheme="minorHAnsi" w:cstheme="minorHAnsi"/>
          <w:sz w:val="22"/>
          <w:szCs w:val="22"/>
        </w:rPr>
      </w:pPr>
      <w:r w:rsidRPr="00A809E6">
        <w:rPr>
          <w:rFonts w:asciiTheme="minorHAnsi" w:hAnsiTheme="minorHAnsi" w:cstheme="minorHAnsi"/>
          <w:sz w:val="22"/>
          <w:szCs w:val="22"/>
        </w:rPr>
        <w:t>Australia’s primary health care system is market-based: GPs and health professionals operate as sole traders, and/or general practices employ them in, and otherwise operate as, small businesses. In relation to this market, the Commonwealth takes the national lead in ensuring primary health care is accessible to all by:</w:t>
      </w:r>
    </w:p>
    <w:p w14:paraId="7121D41E" w14:textId="77777777" w:rsidR="00A809E6" w:rsidRPr="00A809E6" w:rsidRDefault="00A809E6" w:rsidP="00B549AE">
      <w:pPr>
        <w:widowControl w:val="0"/>
        <w:autoSpaceDE w:val="0"/>
        <w:autoSpaceDN w:val="0"/>
        <w:adjustRightInd w:val="0"/>
        <w:rPr>
          <w:rFonts w:asciiTheme="minorHAnsi" w:hAnsiTheme="minorHAnsi" w:cstheme="minorHAnsi"/>
          <w:sz w:val="22"/>
          <w:szCs w:val="22"/>
        </w:rPr>
      </w:pPr>
    </w:p>
    <w:p w14:paraId="5DE82DAD" w14:textId="77777777" w:rsidR="0053050E" w:rsidRPr="00A809E6" w:rsidRDefault="0053050E" w:rsidP="00B549AE">
      <w:pPr>
        <w:pStyle w:val="ListParagraph"/>
        <w:widowControl w:val="0"/>
        <w:numPr>
          <w:ilvl w:val="0"/>
          <w:numId w:val="15"/>
        </w:numPr>
        <w:autoSpaceDE w:val="0"/>
        <w:autoSpaceDN w:val="0"/>
        <w:adjustRightInd w:val="0"/>
        <w:rPr>
          <w:rFonts w:asciiTheme="minorHAnsi" w:hAnsiTheme="minorHAnsi" w:cstheme="minorHAnsi"/>
          <w:sz w:val="22"/>
          <w:szCs w:val="22"/>
        </w:rPr>
      </w:pPr>
      <w:r w:rsidRPr="00A809E6">
        <w:rPr>
          <w:rFonts w:asciiTheme="minorHAnsi" w:hAnsiTheme="minorHAnsi" w:cstheme="minorHAnsi"/>
          <w:sz w:val="22"/>
          <w:szCs w:val="22"/>
        </w:rPr>
        <w:t>Subsidising customer costs (i.e. through the Medicare Benefits Schedule (MBS), supported by Pharmaceutical Benefits Schedule (PBS)).</w:t>
      </w:r>
    </w:p>
    <w:p w14:paraId="2F2D3079" w14:textId="77777777" w:rsidR="0053050E" w:rsidRPr="00A809E6" w:rsidRDefault="0053050E" w:rsidP="00B549AE">
      <w:pPr>
        <w:pStyle w:val="ListParagraph"/>
        <w:widowControl w:val="0"/>
        <w:numPr>
          <w:ilvl w:val="0"/>
          <w:numId w:val="15"/>
        </w:numPr>
        <w:autoSpaceDE w:val="0"/>
        <w:autoSpaceDN w:val="0"/>
        <w:adjustRightInd w:val="0"/>
        <w:rPr>
          <w:rFonts w:asciiTheme="minorHAnsi" w:hAnsiTheme="minorHAnsi" w:cstheme="minorHAnsi"/>
          <w:sz w:val="22"/>
          <w:szCs w:val="22"/>
        </w:rPr>
      </w:pPr>
      <w:r w:rsidRPr="00A809E6">
        <w:rPr>
          <w:rFonts w:asciiTheme="minorHAnsi" w:hAnsiTheme="minorHAnsi" w:cstheme="minorHAnsi"/>
          <w:sz w:val="22"/>
          <w:szCs w:val="22"/>
        </w:rPr>
        <w:t>Addressing market failure including, of relevance to this submission, by funding Indigenous-specific primary health care services (IPHCOs) including Aboriginal Community Controlled Health Services (ACCHSs) – particularly in remote areas that find it harder to attract GPs, or in areas with income-poor populations.</w:t>
      </w:r>
    </w:p>
    <w:p w14:paraId="73A957A3" w14:textId="77777777" w:rsidR="0053050E" w:rsidRPr="00A809E6" w:rsidRDefault="0053050E" w:rsidP="00B549AE">
      <w:pPr>
        <w:rPr>
          <w:rFonts w:asciiTheme="minorHAnsi" w:hAnsiTheme="minorHAnsi" w:cstheme="minorHAnsi"/>
          <w:sz w:val="16"/>
          <w:szCs w:val="16"/>
        </w:rPr>
      </w:pPr>
    </w:p>
    <w:p w14:paraId="66AA4FE9" w14:textId="39D38952" w:rsidR="0053050E" w:rsidRDefault="0053050E" w:rsidP="00C54DFC">
      <w:pPr>
        <w:rPr>
          <w:rFonts w:asciiTheme="minorHAnsi" w:hAnsiTheme="minorHAnsi" w:cstheme="minorHAnsi"/>
          <w:sz w:val="22"/>
          <w:szCs w:val="22"/>
        </w:rPr>
      </w:pPr>
      <w:r w:rsidRPr="00A809E6">
        <w:rPr>
          <w:rFonts w:asciiTheme="minorHAnsi" w:hAnsiTheme="minorHAnsi" w:cstheme="minorHAnsi"/>
          <w:sz w:val="22"/>
          <w:szCs w:val="22"/>
        </w:rPr>
        <w:t xml:space="preserve">Yet 2013-14 health expenditure levels (the latest data available) reported in the Commonwealth Government’s 2017 </w:t>
      </w:r>
      <w:r w:rsidRPr="00A809E6">
        <w:rPr>
          <w:rFonts w:asciiTheme="minorHAnsi" w:hAnsiTheme="minorHAnsi" w:cstheme="minorHAnsi"/>
          <w:i/>
          <w:sz w:val="22"/>
          <w:szCs w:val="22"/>
        </w:rPr>
        <w:t>Aboriginal and Torres Strait Islander Health Performance Framework</w:t>
      </w:r>
      <w:r w:rsidRPr="00A809E6">
        <w:rPr>
          <w:rFonts w:asciiTheme="minorHAnsi" w:hAnsiTheme="minorHAnsi" w:cstheme="minorHAnsi"/>
          <w:sz w:val="22"/>
          <w:szCs w:val="22"/>
        </w:rPr>
        <w:t xml:space="preserve"> show there are significant ‘equity shortfalls’ in Commonwealth primary health care expenditure – as summarised in Table 1 below. This indicates:</w:t>
      </w:r>
    </w:p>
    <w:p w14:paraId="0347E389" w14:textId="77777777" w:rsidR="00A809E6" w:rsidRPr="00A809E6" w:rsidRDefault="00A809E6" w:rsidP="00C54DFC">
      <w:pPr>
        <w:rPr>
          <w:rFonts w:asciiTheme="minorHAnsi" w:hAnsiTheme="minorHAnsi" w:cstheme="minorHAnsi"/>
          <w:sz w:val="22"/>
          <w:szCs w:val="22"/>
        </w:rPr>
      </w:pPr>
    </w:p>
    <w:p w14:paraId="2EC87FE0" w14:textId="48C7DABA" w:rsidR="0053050E" w:rsidRPr="00A809E6" w:rsidRDefault="0053050E" w:rsidP="006C0F55">
      <w:pPr>
        <w:pStyle w:val="ListParagraph"/>
        <w:widowControl w:val="0"/>
        <w:numPr>
          <w:ilvl w:val="0"/>
          <w:numId w:val="15"/>
        </w:numPr>
        <w:autoSpaceDE w:val="0"/>
        <w:autoSpaceDN w:val="0"/>
        <w:adjustRightInd w:val="0"/>
        <w:rPr>
          <w:rFonts w:asciiTheme="minorHAnsi" w:hAnsiTheme="minorHAnsi" w:cstheme="minorHAnsi"/>
          <w:sz w:val="22"/>
          <w:szCs w:val="22"/>
        </w:rPr>
      </w:pPr>
      <w:r w:rsidRPr="00A809E6">
        <w:rPr>
          <w:rFonts w:asciiTheme="minorHAnsi" w:hAnsiTheme="minorHAnsi" w:cstheme="minorHAnsi"/>
          <w:sz w:val="22"/>
          <w:szCs w:val="22"/>
        </w:rPr>
        <w:t>Aboriginal and Torres Strait Islander people have significantly lower access to, or choose to use, the primary health care market – as indicated by lower MBS and PBS expenditure.</w:t>
      </w:r>
    </w:p>
    <w:p w14:paraId="5CDE933C" w14:textId="77777777" w:rsidR="0053050E" w:rsidRPr="00A809E6" w:rsidRDefault="0053050E" w:rsidP="006C0F55">
      <w:pPr>
        <w:pStyle w:val="ListParagraph"/>
        <w:widowControl w:val="0"/>
        <w:numPr>
          <w:ilvl w:val="0"/>
          <w:numId w:val="15"/>
        </w:numPr>
        <w:autoSpaceDE w:val="0"/>
        <w:autoSpaceDN w:val="0"/>
        <w:adjustRightInd w:val="0"/>
        <w:rPr>
          <w:rFonts w:asciiTheme="minorHAnsi" w:hAnsiTheme="minorHAnsi" w:cstheme="minorHAnsi"/>
          <w:sz w:val="22"/>
          <w:szCs w:val="22"/>
        </w:rPr>
      </w:pPr>
      <w:r w:rsidRPr="00A809E6">
        <w:rPr>
          <w:rFonts w:asciiTheme="minorHAnsi" w:hAnsiTheme="minorHAnsi" w:cstheme="minorHAnsi"/>
          <w:sz w:val="22"/>
          <w:szCs w:val="22"/>
        </w:rPr>
        <w:t>The above is - to some degree - compensated for by the provision of ‘community health services’ (including IPHCOs and ACCHSs) with expenditure above general population level.</w:t>
      </w:r>
    </w:p>
    <w:p w14:paraId="61C33CFC" w14:textId="77777777" w:rsidR="0053050E" w:rsidRPr="00A809E6" w:rsidRDefault="0053050E" w:rsidP="006C0F55">
      <w:pPr>
        <w:pStyle w:val="ListParagraph"/>
        <w:widowControl w:val="0"/>
        <w:numPr>
          <w:ilvl w:val="0"/>
          <w:numId w:val="15"/>
        </w:numPr>
        <w:autoSpaceDE w:val="0"/>
        <w:autoSpaceDN w:val="0"/>
        <w:adjustRightInd w:val="0"/>
        <w:rPr>
          <w:rFonts w:asciiTheme="minorHAnsi" w:hAnsiTheme="minorHAnsi" w:cstheme="minorHAnsi"/>
          <w:sz w:val="22"/>
          <w:szCs w:val="22"/>
        </w:rPr>
      </w:pPr>
      <w:r w:rsidRPr="00A809E6">
        <w:rPr>
          <w:rFonts w:asciiTheme="minorHAnsi" w:hAnsiTheme="minorHAnsi" w:cstheme="minorHAnsi"/>
          <w:sz w:val="22"/>
          <w:szCs w:val="22"/>
        </w:rPr>
        <w:t>But that despite the above, a significant primary health care equity gap remains.</w:t>
      </w:r>
    </w:p>
    <w:p w14:paraId="1A0787BC" w14:textId="77777777" w:rsidR="0053050E" w:rsidRPr="00A809E6" w:rsidRDefault="0053050E" w:rsidP="00C54DFC">
      <w:pPr>
        <w:rPr>
          <w:rFonts w:asciiTheme="minorHAnsi" w:hAnsiTheme="minorHAnsi" w:cstheme="minorHAnsi"/>
          <w:sz w:val="22"/>
          <w:szCs w:val="22"/>
        </w:rPr>
      </w:pPr>
    </w:p>
    <w:p w14:paraId="2DEEF843" w14:textId="361EF899" w:rsidR="0053050E" w:rsidRPr="00A809E6" w:rsidRDefault="0053050E" w:rsidP="00C54DFC">
      <w:pPr>
        <w:rPr>
          <w:rFonts w:asciiTheme="minorHAnsi" w:hAnsiTheme="minorHAnsi" w:cstheme="minorHAnsi"/>
          <w:sz w:val="22"/>
          <w:szCs w:val="22"/>
        </w:rPr>
      </w:pPr>
      <w:r w:rsidRPr="00A809E6">
        <w:rPr>
          <w:rFonts w:asciiTheme="minorHAnsi" w:hAnsiTheme="minorHAnsi" w:cstheme="minorHAnsi"/>
          <w:sz w:val="22"/>
          <w:szCs w:val="22"/>
        </w:rPr>
        <w:t>In sum, the Commonwealth’s stewardship of primary health care (despite additional ‘Closing the Gap’ investment since 2009) is failing to ensure Aboriginal and Torres Strait Islander people receive equitable primary health care expenditure: in fact, only 61 per cent of what their additional need dictates. In other words, there is a 39 per cent primary health expenditure ‘equity gap’ to close.</w:t>
      </w:r>
    </w:p>
    <w:p w14:paraId="43B6E853" w14:textId="77777777" w:rsidR="0053050E" w:rsidRPr="00A809E6" w:rsidRDefault="0053050E" w:rsidP="00B549AE">
      <w:pPr>
        <w:widowControl w:val="0"/>
        <w:autoSpaceDE w:val="0"/>
        <w:autoSpaceDN w:val="0"/>
        <w:adjustRightInd w:val="0"/>
        <w:rPr>
          <w:rFonts w:asciiTheme="minorHAnsi" w:hAnsiTheme="minorHAnsi" w:cstheme="minorHAnsi"/>
          <w:sz w:val="22"/>
          <w:szCs w:val="22"/>
        </w:rPr>
      </w:pPr>
    </w:p>
    <w:p w14:paraId="1260D142" w14:textId="5D33D60E" w:rsidR="0053050E" w:rsidRPr="00A809E6" w:rsidRDefault="0053050E" w:rsidP="00B549AE">
      <w:pPr>
        <w:widowControl w:val="0"/>
        <w:autoSpaceDE w:val="0"/>
        <w:autoSpaceDN w:val="0"/>
        <w:adjustRightInd w:val="0"/>
        <w:rPr>
          <w:rFonts w:asciiTheme="minorHAnsi" w:hAnsiTheme="minorHAnsi" w:cstheme="minorHAnsi"/>
          <w:sz w:val="22"/>
          <w:szCs w:val="22"/>
        </w:rPr>
      </w:pPr>
      <w:r w:rsidRPr="00A809E6">
        <w:rPr>
          <w:rFonts w:asciiTheme="minorHAnsi" w:hAnsiTheme="minorHAnsi" w:cstheme="minorHAnsi"/>
          <w:sz w:val="22"/>
          <w:szCs w:val="22"/>
        </w:rPr>
        <w:t>This is what this submission identifies as the</w:t>
      </w:r>
      <w:r w:rsidRPr="00A809E6">
        <w:rPr>
          <w:rFonts w:asciiTheme="minorHAnsi" w:hAnsiTheme="minorHAnsi" w:cstheme="minorHAnsi"/>
          <w:b/>
          <w:sz w:val="22"/>
          <w:szCs w:val="22"/>
        </w:rPr>
        <w:t xml:space="preserve"> fundamental inequity</w:t>
      </w:r>
      <w:r w:rsidRPr="00A809E6">
        <w:rPr>
          <w:rFonts w:asciiTheme="minorHAnsi" w:hAnsiTheme="minorHAnsi" w:cstheme="minorHAnsi"/>
          <w:sz w:val="22"/>
          <w:szCs w:val="22"/>
        </w:rPr>
        <w:t xml:space="preserve"> in Aboriginal and Torres Strait Islander health expenditure overall: in relation to prevention-oriented primary health care services.</w:t>
      </w:r>
    </w:p>
    <w:p w14:paraId="195C00D2" w14:textId="79984384" w:rsidR="0053050E" w:rsidRPr="00A809E6" w:rsidRDefault="0053050E" w:rsidP="00B549AE">
      <w:pPr>
        <w:widowControl w:val="0"/>
        <w:autoSpaceDE w:val="0"/>
        <w:autoSpaceDN w:val="0"/>
        <w:adjustRightInd w:val="0"/>
        <w:rPr>
          <w:rFonts w:asciiTheme="minorHAnsi" w:hAnsiTheme="minorHAnsi" w:cstheme="minorHAnsi"/>
          <w:sz w:val="22"/>
          <w:szCs w:val="22"/>
        </w:rPr>
      </w:pPr>
    </w:p>
    <w:p w14:paraId="274889B3" w14:textId="28A7B413" w:rsidR="0053050E" w:rsidRPr="00A809E6" w:rsidRDefault="0053050E" w:rsidP="00B549AE">
      <w:pPr>
        <w:jc w:val="center"/>
        <w:rPr>
          <w:rFonts w:asciiTheme="minorHAnsi" w:hAnsiTheme="minorHAnsi" w:cstheme="minorHAnsi"/>
          <w:b/>
          <w:sz w:val="22"/>
          <w:szCs w:val="22"/>
          <w:shd w:val="clear" w:color="auto" w:fill="FFFFFF"/>
        </w:rPr>
      </w:pPr>
      <w:r w:rsidRPr="00A809E6">
        <w:rPr>
          <w:rFonts w:asciiTheme="minorHAnsi" w:hAnsiTheme="minorHAnsi" w:cstheme="minorHAnsi"/>
          <w:b/>
          <w:sz w:val="22"/>
          <w:szCs w:val="22"/>
          <w:shd w:val="clear" w:color="auto" w:fill="FFFFFF"/>
        </w:rPr>
        <w:t>Table 1: 2013-14 Commonwealth expenditure on Aboriginal and Torres Strait Islander primary health care</w:t>
      </w:r>
      <w:r w:rsidRPr="00A809E6">
        <w:rPr>
          <w:rStyle w:val="EndnoteReference"/>
          <w:rFonts w:asciiTheme="minorHAnsi" w:hAnsiTheme="minorHAnsi" w:cstheme="minorHAnsi"/>
          <w:b/>
          <w:sz w:val="22"/>
          <w:szCs w:val="22"/>
          <w:shd w:val="clear" w:color="auto" w:fill="FFFFFF"/>
        </w:rPr>
        <w:endnoteReference w:id="4"/>
      </w:r>
    </w:p>
    <w:p w14:paraId="24D75EC3" w14:textId="77777777" w:rsidR="0053050E" w:rsidRPr="00A809E6" w:rsidRDefault="0053050E" w:rsidP="00B549AE">
      <w:pPr>
        <w:rPr>
          <w:rFonts w:asciiTheme="minorHAnsi" w:hAnsiTheme="minorHAnsi" w:cstheme="minorHAnsi"/>
          <w:sz w:val="10"/>
          <w:szCs w:val="10"/>
          <w:shd w:val="clear" w:color="auto" w:fill="FFFFFF"/>
        </w:rPr>
      </w:pPr>
    </w:p>
    <w:tbl>
      <w:tblPr>
        <w:tblStyle w:val="TableGrid"/>
        <w:tblW w:w="8789" w:type="dxa"/>
        <w:tblInd w:w="-5" w:type="dxa"/>
        <w:tblLook w:val="04A0" w:firstRow="1" w:lastRow="0" w:firstColumn="1" w:lastColumn="0" w:noHBand="0" w:noVBand="1"/>
      </w:tblPr>
      <w:tblGrid>
        <w:gridCol w:w="1843"/>
        <w:gridCol w:w="1247"/>
        <w:gridCol w:w="1371"/>
        <w:gridCol w:w="1303"/>
        <w:gridCol w:w="1343"/>
        <w:gridCol w:w="1682"/>
      </w:tblGrid>
      <w:tr w:rsidR="0053050E" w:rsidRPr="00A809E6" w14:paraId="2955EE21" w14:textId="77777777" w:rsidTr="004D75ED">
        <w:tc>
          <w:tcPr>
            <w:tcW w:w="1843" w:type="dxa"/>
            <w:vAlign w:val="center"/>
          </w:tcPr>
          <w:p w14:paraId="755B244C" w14:textId="77777777" w:rsidR="0053050E" w:rsidRPr="00A809E6" w:rsidRDefault="0053050E" w:rsidP="00B549AE">
            <w:pPr>
              <w:jc w:val="center"/>
              <w:rPr>
                <w:rFonts w:asciiTheme="minorHAnsi" w:hAnsiTheme="minorHAnsi" w:cstheme="minorHAnsi"/>
                <w:sz w:val="18"/>
                <w:szCs w:val="18"/>
              </w:rPr>
            </w:pPr>
          </w:p>
        </w:tc>
        <w:tc>
          <w:tcPr>
            <w:tcW w:w="1247" w:type="dxa"/>
            <w:vAlign w:val="center"/>
          </w:tcPr>
          <w:p w14:paraId="448C600F" w14:textId="77777777" w:rsidR="0053050E" w:rsidRPr="00A809E6" w:rsidRDefault="0053050E" w:rsidP="00B549AE">
            <w:pPr>
              <w:jc w:val="center"/>
              <w:rPr>
                <w:rFonts w:asciiTheme="minorHAnsi" w:hAnsiTheme="minorHAnsi" w:cstheme="minorHAnsi"/>
                <w:sz w:val="18"/>
                <w:szCs w:val="18"/>
                <w:shd w:val="clear" w:color="auto" w:fill="FFFFFF"/>
              </w:rPr>
            </w:pPr>
            <w:r w:rsidRPr="00A809E6">
              <w:rPr>
                <w:rFonts w:asciiTheme="minorHAnsi" w:hAnsiTheme="minorHAnsi" w:cstheme="minorHAnsi"/>
                <w:sz w:val="18"/>
                <w:szCs w:val="18"/>
                <w:shd w:val="clear" w:color="auto" w:fill="FFFFFF"/>
              </w:rPr>
              <w:t>Per capita expenditure:</w:t>
            </w:r>
          </w:p>
          <w:p w14:paraId="584E0161" w14:textId="77777777" w:rsidR="0053050E" w:rsidRPr="00A809E6" w:rsidRDefault="0053050E" w:rsidP="00B549AE">
            <w:pPr>
              <w:jc w:val="center"/>
              <w:rPr>
                <w:rFonts w:asciiTheme="minorHAnsi" w:hAnsiTheme="minorHAnsi" w:cstheme="minorHAnsi"/>
                <w:sz w:val="18"/>
                <w:szCs w:val="18"/>
                <w:shd w:val="clear" w:color="auto" w:fill="FFFFFF"/>
              </w:rPr>
            </w:pPr>
            <w:r w:rsidRPr="00A809E6">
              <w:rPr>
                <w:rFonts w:asciiTheme="minorHAnsi" w:hAnsiTheme="minorHAnsi" w:cstheme="minorHAnsi"/>
                <w:sz w:val="18"/>
                <w:szCs w:val="18"/>
              </w:rPr>
              <w:t>Indigenous</w:t>
            </w:r>
          </w:p>
        </w:tc>
        <w:tc>
          <w:tcPr>
            <w:tcW w:w="1371" w:type="dxa"/>
            <w:vAlign w:val="center"/>
          </w:tcPr>
          <w:p w14:paraId="4397CF96" w14:textId="77777777" w:rsidR="0053050E" w:rsidRPr="00A809E6" w:rsidRDefault="0053050E" w:rsidP="00B549AE">
            <w:pPr>
              <w:jc w:val="center"/>
              <w:rPr>
                <w:rFonts w:asciiTheme="minorHAnsi" w:hAnsiTheme="minorHAnsi" w:cstheme="minorHAnsi"/>
                <w:sz w:val="18"/>
                <w:szCs w:val="18"/>
                <w:shd w:val="clear" w:color="auto" w:fill="FFFFFF"/>
              </w:rPr>
            </w:pPr>
          </w:p>
          <w:p w14:paraId="3203962B" w14:textId="77777777" w:rsidR="0053050E" w:rsidRPr="00A809E6" w:rsidRDefault="0053050E" w:rsidP="00B549AE">
            <w:pPr>
              <w:jc w:val="center"/>
              <w:rPr>
                <w:rFonts w:asciiTheme="minorHAnsi" w:hAnsiTheme="minorHAnsi" w:cstheme="minorHAnsi"/>
                <w:sz w:val="18"/>
                <w:szCs w:val="18"/>
                <w:shd w:val="clear" w:color="auto" w:fill="FFFFFF"/>
              </w:rPr>
            </w:pPr>
            <w:r w:rsidRPr="00A809E6">
              <w:rPr>
                <w:rFonts w:asciiTheme="minorHAnsi" w:hAnsiTheme="minorHAnsi" w:cstheme="minorHAnsi"/>
                <w:sz w:val="18"/>
                <w:szCs w:val="18"/>
                <w:shd w:val="clear" w:color="auto" w:fill="FFFFFF"/>
              </w:rPr>
              <w:t>Per capita expenditure:</w:t>
            </w:r>
          </w:p>
          <w:p w14:paraId="4EA4BFF2" w14:textId="77777777" w:rsidR="0053050E" w:rsidRPr="00A809E6" w:rsidRDefault="0053050E" w:rsidP="00B549AE">
            <w:pPr>
              <w:jc w:val="center"/>
              <w:rPr>
                <w:rFonts w:asciiTheme="minorHAnsi" w:hAnsiTheme="minorHAnsi" w:cstheme="minorHAnsi"/>
                <w:sz w:val="18"/>
                <w:szCs w:val="18"/>
                <w:shd w:val="clear" w:color="auto" w:fill="FFFFFF"/>
              </w:rPr>
            </w:pPr>
            <w:r w:rsidRPr="00A809E6">
              <w:rPr>
                <w:rFonts w:asciiTheme="minorHAnsi" w:hAnsiTheme="minorHAnsi" w:cstheme="minorHAnsi"/>
                <w:sz w:val="18"/>
                <w:szCs w:val="18"/>
              </w:rPr>
              <w:t>Non-Indigenous</w:t>
            </w:r>
          </w:p>
        </w:tc>
        <w:tc>
          <w:tcPr>
            <w:tcW w:w="1303" w:type="dxa"/>
            <w:vAlign w:val="center"/>
          </w:tcPr>
          <w:p w14:paraId="216475F7" w14:textId="77777777" w:rsidR="0053050E" w:rsidRPr="00A809E6" w:rsidRDefault="0053050E" w:rsidP="00B549AE">
            <w:pPr>
              <w:jc w:val="center"/>
              <w:rPr>
                <w:rFonts w:asciiTheme="minorHAnsi" w:hAnsiTheme="minorHAnsi" w:cstheme="minorHAnsi"/>
                <w:sz w:val="18"/>
                <w:szCs w:val="18"/>
              </w:rPr>
            </w:pPr>
            <w:r w:rsidRPr="00A809E6">
              <w:rPr>
                <w:rFonts w:asciiTheme="minorHAnsi" w:hAnsiTheme="minorHAnsi" w:cstheme="minorHAnsi"/>
                <w:sz w:val="18"/>
                <w:szCs w:val="18"/>
              </w:rPr>
              <w:t>Equitable health expenditure per $1 spent on a non-Indigenous person is:</w:t>
            </w:r>
          </w:p>
        </w:tc>
        <w:tc>
          <w:tcPr>
            <w:tcW w:w="1343" w:type="dxa"/>
            <w:vAlign w:val="center"/>
          </w:tcPr>
          <w:p w14:paraId="260E5069" w14:textId="77777777" w:rsidR="0053050E" w:rsidRPr="00A809E6" w:rsidRDefault="0053050E" w:rsidP="00B549AE">
            <w:pPr>
              <w:jc w:val="center"/>
              <w:rPr>
                <w:rFonts w:asciiTheme="minorHAnsi" w:hAnsiTheme="minorHAnsi" w:cstheme="minorHAnsi"/>
                <w:sz w:val="18"/>
                <w:szCs w:val="18"/>
              </w:rPr>
            </w:pPr>
            <w:r w:rsidRPr="00A809E6">
              <w:rPr>
                <w:rFonts w:asciiTheme="minorHAnsi" w:hAnsiTheme="minorHAnsi" w:cstheme="minorHAnsi"/>
                <w:sz w:val="18"/>
                <w:szCs w:val="18"/>
              </w:rPr>
              <w:t>Indigenous</w:t>
            </w:r>
            <w:r w:rsidRPr="00A809E6">
              <w:rPr>
                <w:rFonts w:asciiTheme="minorHAnsi" w:hAnsiTheme="minorHAnsi" w:cstheme="minorHAnsi"/>
                <w:sz w:val="18"/>
                <w:szCs w:val="18"/>
                <w:shd w:val="clear" w:color="auto" w:fill="FFFFFF"/>
              </w:rPr>
              <w:t xml:space="preserve"> expenditure per $1 spent on non-Indigenous person</w:t>
            </w:r>
            <w:r w:rsidRPr="00A809E6">
              <w:rPr>
                <w:rFonts w:asciiTheme="minorHAnsi" w:hAnsiTheme="minorHAnsi" w:cstheme="minorHAnsi"/>
                <w:sz w:val="18"/>
                <w:szCs w:val="18"/>
              </w:rPr>
              <w:t>:</w:t>
            </w:r>
          </w:p>
        </w:tc>
        <w:tc>
          <w:tcPr>
            <w:tcW w:w="1682" w:type="dxa"/>
            <w:shd w:val="clear" w:color="auto" w:fill="D9E2F3" w:themeFill="accent1" w:themeFillTint="33"/>
            <w:vAlign w:val="center"/>
          </w:tcPr>
          <w:p w14:paraId="0E2F9128" w14:textId="77777777" w:rsidR="0053050E" w:rsidRPr="00A809E6" w:rsidRDefault="0053050E" w:rsidP="00B549AE">
            <w:pPr>
              <w:jc w:val="center"/>
              <w:rPr>
                <w:rFonts w:asciiTheme="minorHAnsi" w:hAnsiTheme="minorHAnsi" w:cstheme="minorHAnsi"/>
                <w:b/>
                <w:sz w:val="18"/>
                <w:szCs w:val="18"/>
              </w:rPr>
            </w:pPr>
            <w:r w:rsidRPr="00A809E6">
              <w:rPr>
                <w:rFonts w:asciiTheme="minorHAnsi" w:hAnsiTheme="minorHAnsi" w:cstheme="minorHAnsi"/>
                <w:b/>
                <w:sz w:val="18"/>
                <w:szCs w:val="18"/>
                <w:shd w:val="clear" w:color="auto" w:fill="D9E2F3" w:themeFill="accent1" w:themeFillTint="33"/>
              </w:rPr>
              <w:t xml:space="preserve">Actual spend </w:t>
            </w:r>
            <w:r w:rsidRPr="00A809E6">
              <w:rPr>
                <w:rFonts w:asciiTheme="minorHAnsi" w:hAnsiTheme="minorHAnsi" w:cstheme="minorHAnsi"/>
                <w:b/>
                <w:sz w:val="18"/>
                <w:szCs w:val="18"/>
              </w:rPr>
              <w:t>as percentage of equitable spend is:</w:t>
            </w:r>
          </w:p>
          <w:p w14:paraId="51E06A2C" w14:textId="77777777" w:rsidR="0053050E" w:rsidRPr="00A809E6" w:rsidRDefault="0053050E" w:rsidP="00B549AE">
            <w:pPr>
              <w:jc w:val="center"/>
              <w:rPr>
                <w:rFonts w:asciiTheme="minorHAnsi" w:hAnsiTheme="minorHAnsi" w:cstheme="minorHAnsi"/>
                <w:b/>
                <w:sz w:val="18"/>
                <w:szCs w:val="18"/>
              </w:rPr>
            </w:pPr>
          </w:p>
        </w:tc>
      </w:tr>
      <w:tr w:rsidR="0053050E" w:rsidRPr="00A809E6" w14:paraId="5E5F28E9" w14:textId="77777777" w:rsidTr="004D75ED">
        <w:tc>
          <w:tcPr>
            <w:tcW w:w="1843" w:type="dxa"/>
            <w:vAlign w:val="center"/>
          </w:tcPr>
          <w:p w14:paraId="609D4127" w14:textId="77777777" w:rsidR="0053050E" w:rsidRPr="00A809E6" w:rsidRDefault="0053050E" w:rsidP="00B549AE">
            <w:pPr>
              <w:jc w:val="center"/>
              <w:rPr>
                <w:rFonts w:asciiTheme="minorHAnsi" w:hAnsiTheme="minorHAnsi" w:cstheme="minorHAnsi"/>
                <w:sz w:val="18"/>
                <w:szCs w:val="18"/>
              </w:rPr>
            </w:pPr>
            <w:r w:rsidRPr="00A809E6">
              <w:rPr>
                <w:rFonts w:asciiTheme="minorHAnsi" w:hAnsiTheme="minorHAnsi" w:cstheme="minorHAnsi"/>
                <w:sz w:val="18"/>
                <w:szCs w:val="18"/>
              </w:rPr>
              <w:t>Commonwealth primary health care expenditure on medical services, including those paid for through the Medicare Benefits Schedule (MBS)</w:t>
            </w:r>
          </w:p>
        </w:tc>
        <w:tc>
          <w:tcPr>
            <w:tcW w:w="1247" w:type="dxa"/>
            <w:vAlign w:val="center"/>
          </w:tcPr>
          <w:p w14:paraId="0BD954DB" w14:textId="77777777" w:rsidR="0053050E" w:rsidRPr="00A809E6" w:rsidRDefault="0053050E" w:rsidP="00B549AE">
            <w:pPr>
              <w:jc w:val="center"/>
              <w:rPr>
                <w:rFonts w:asciiTheme="minorHAnsi" w:hAnsiTheme="minorHAnsi" w:cstheme="minorHAnsi"/>
                <w:sz w:val="18"/>
                <w:szCs w:val="18"/>
              </w:rPr>
            </w:pPr>
            <w:r w:rsidRPr="00A809E6">
              <w:rPr>
                <w:rFonts w:asciiTheme="minorHAnsi" w:hAnsiTheme="minorHAnsi" w:cstheme="minorHAnsi"/>
                <w:sz w:val="18"/>
                <w:szCs w:val="18"/>
              </w:rPr>
              <w:t>$271</w:t>
            </w:r>
          </w:p>
        </w:tc>
        <w:tc>
          <w:tcPr>
            <w:tcW w:w="1371" w:type="dxa"/>
            <w:vAlign w:val="center"/>
          </w:tcPr>
          <w:p w14:paraId="2B990750" w14:textId="77777777" w:rsidR="0053050E" w:rsidRPr="00A809E6" w:rsidRDefault="0053050E" w:rsidP="00B549AE">
            <w:pPr>
              <w:jc w:val="center"/>
              <w:rPr>
                <w:rFonts w:asciiTheme="minorHAnsi" w:hAnsiTheme="minorHAnsi" w:cstheme="minorHAnsi"/>
                <w:sz w:val="18"/>
                <w:szCs w:val="18"/>
              </w:rPr>
            </w:pPr>
            <w:r w:rsidRPr="00A809E6">
              <w:rPr>
                <w:rFonts w:asciiTheme="minorHAnsi" w:hAnsiTheme="minorHAnsi" w:cstheme="minorHAnsi"/>
                <w:sz w:val="18"/>
                <w:szCs w:val="18"/>
              </w:rPr>
              <w:t>$302</w:t>
            </w:r>
          </w:p>
        </w:tc>
        <w:tc>
          <w:tcPr>
            <w:tcW w:w="1303" w:type="dxa"/>
            <w:vMerge w:val="restart"/>
            <w:vAlign w:val="center"/>
          </w:tcPr>
          <w:p w14:paraId="28BA52EB" w14:textId="77777777" w:rsidR="0053050E" w:rsidRPr="00A809E6" w:rsidRDefault="0053050E" w:rsidP="00B549AE">
            <w:pPr>
              <w:rPr>
                <w:rFonts w:asciiTheme="minorHAnsi" w:hAnsiTheme="minorHAnsi" w:cstheme="minorHAnsi"/>
                <w:sz w:val="18"/>
                <w:szCs w:val="18"/>
              </w:rPr>
            </w:pPr>
          </w:p>
          <w:p w14:paraId="0F0BC675" w14:textId="77777777" w:rsidR="0053050E" w:rsidRPr="00A809E6" w:rsidRDefault="0053050E" w:rsidP="00B549AE">
            <w:pPr>
              <w:jc w:val="center"/>
              <w:rPr>
                <w:rFonts w:asciiTheme="minorHAnsi" w:hAnsiTheme="minorHAnsi" w:cstheme="minorHAnsi"/>
                <w:sz w:val="18"/>
                <w:szCs w:val="18"/>
              </w:rPr>
            </w:pPr>
            <w:r w:rsidRPr="00A809E6">
              <w:rPr>
                <w:rFonts w:asciiTheme="minorHAnsi" w:hAnsiTheme="minorHAnsi" w:cstheme="minorHAnsi"/>
                <w:sz w:val="18"/>
                <w:szCs w:val="18"/>
              </w:rPr>
              <w:t>$2.30</w:t>
            </w:r>
          </w:p>
          <w:p w14:paraId="51C93C1D" w14:textId="77777777" w:rsidR="0053050E" w:rsidRPr="00A809E6" w:rsidRDefault="0053050E" w:rsidP="00B549AE">
            <w:pPr>
              <w:jc w:val="center"/>
              <w:rPr>
                <w:rFonts w:asciiTheme="minorHAnsi" w:hAnsiTheme="minorHAnsi" w:cstheme="minorHAnsi"/>
                <w:sz w:val="18"/>
                <w:szCs w:val="18"/>
              </w:rPr>
            </w:pPr>
          </w:p>
        </w:tc>
        <w:tc>
          <w:tcPr>
            <w:tcW w:w="1343" w:type="dxa"/>
            <w:vAlign w:val="center"/>
          </w:tcPr>
          <w:p w14:paraId="3013F48F" w14:textId="77777777" w:rsidR="0053050E" w:rsidRPr="00A809E6" w:rsidRDefault="0053050E" w:rsidP="00B549AE">
            <w:pPr>
              <w:jc w:val="center"/>
              <w:rPr>
                <w:rFonts w:asciiTheme="minorHAnsi" w:hAnsiTheme="minorHAnsi" w:cstheme="minorHAnsi"/>
                <w:sz w:val="18"/>
                <w:szCs w:val="18"/>
              </w:rPr>
            </w:pPr>
            <w:r w:rsidRPr="00A809E6">
              <w:rPr>
                <w:rFonts w:asciiTheme="minorHAnsi" w:hAnsiTheme="minorHAnsi" w:cstheme="minorHAnsi"/>
                <w:sz w:val="18"/>
                <w:szCs w:val="18"/>
              </w:rPr>
              <w:t>$0.90</w:t>
            </w:r>
          </w:p>
        </w:tc>
        <w:tc>
          <w:tcPr>
            <w:tcW w:w="1682" w:type="dxa"/>
            <w:shd w:val="clear" w:color="auto" w:fill="D9E2F3" w:themeFill="accent1" w:themeFillTint="33"/>
            <w:vAlign w:val="center"/>
          </w:tcPr>
          <w:p w14:paraId="0899EB7E" w14:textId="77777777" w:rsidR="0053050E" w:rsidRPr="00A809E6" w:rsidRDefault="0053050E" w:rsidP="00B549AE">
            <w:pPr>
              <w:jc w:val="center"/>
              <w:rPr>
                <w:rFonts w:asciiTheme="minorHAnsi" w:hAnsiTheme="minorHAnsi" w:cstheme="minorHAnsi"/>
                <w:b/>
                <w:sz w:val="18"/>
                <w:szCs w:val="18"/>
              </w:rPr>
            </w:pPr>
            <w:r w:rsidRPr="00A809E6">
              <w:rPr>
                <w:rFonts w:asciiTheme="minorHAnsi" w:hAnsiTheme="minorHAnsi" w:cstheme="minorHAnsi"/>
                <w:b/>
                <w:sz w:val="18"/>
                <w:szCs w:val="18"/>
              </w:rPr>
              <w:t>39%</w:t>
            </w:r>
          </w:p>
          <w:p w14:paraId="13EBF693" w14:textId="77777777" w:rsidR="0053050E" w:rsidRPr="00A809E6" w:rsidRDefault="0053050E" w:rsidP="00B549AE">
            <w:pPr>
              <w:jc w:val="center"/>
              <w:rPr>
                <w:rFonts w:asciiTheme="minorHAnsi" w:hAnsiTheme="minorHAnsi" w:cstheme="minorHAnsi"/>
                <w:b/>
                <w:sz w:val="18"/>
                <w:szCs w:val="18"/>
              </w:rPr>
            </w:pPr>
            <w:r w:rsidRPr="00A809E6">
              <w:rPr>
                <w:rFonts w:asciiTheme="minorHAnsi" w:hAnsiTheme="minorHAnsi" w:cstheme="minorHAnsi"/>
                <w:b/>
                <w:sz w:val="18"/>
                <w:szCs w:val="18"/>
              </w:rPr>
              <w:t>(Shortfall 61%)</w:t>
            </w:r>
          </w:p>
        </w:tc>
      </w:tr>
      <w:tr w:rsidR="0053050E" w:rsidRPr="00A809E6" w14:paraId="47B85AAA" w14:textId="77777777" w:rsidTr="004D75ED">
        <w:tc>
          <w:tcPr>
            <w:tcW w:w="1843" w:type="dxa"/>
            <w:vAlign w:val="center"/>
          </w:tcPr>
          <w:p w14:paraId="03B165BD" w14:textId="77777777" w:rsidR="0053050E" w:rsidRPr="00A809E6" w:rsidRDefault="0053050E" w:rsidP="00B549AE">
            <w:pPr>
              <w:jc w:val="center"/>
              <w:rPr>
                <w:rFonts w:asciiTheme="minorHAnsi" w:hAnsiTheme="minorHAnsi" w:cstheme="minorHAnsi"/>
                <w:sz w:val="18"/>
                <w:szCs w:val="18"/>
              </w:rPr>
            </w:pPr>
            <w:r w:rsidRPr="00A809E6">
              <w:rPr>
                <w:rFonts w:asciiTheme="minorHAnsi" w:hAnsiTheme="minorHAnsi" w:cstheme="minorHAnsi"/>
                <w:sz w:val="18"/>
                <w:szCs w:val="18"/>
              </w:rPr>
              <w:t xml:space="preserve">Commonwealth Pharmaceutical Benefits Schedule (PBS)expenditure in the primary care sector </w:t>
            </w:r>
          </w:p>
        </w:tc>
        <w:tc>
          <w:tcPr>
            <w:tcW w:w="1247" w:type="dxa"/>
            <w:vAlign w:val="center"/>
          </w:tcPr>
          <w:p w14:paraId="4798B723" w14:textId="77777777" w:rsidR="0053050E" w:rsidRPr="00A809E6" w:rsidRDefault="0053050E" w:rsidP="00B549AE">
            <w:pPr>
              <w:jc w:val="center"/>
              <w:rPr>
                <w:rFonts w:asciiTheme="minorHAnsi" w:hAnsiTheme="minorHAnsi" w:cstheme="minorHAnsi"/>
                <w:sz w:val="18"/>
                <w:szCs w:val="18"/>
              </w:rPr>
            </w:pPr>
            <w:r w:rsidRPr="00A809E6">
              <w:rPr>
                <w:rFonts w:asciiTheme="minorHAnsi" w:hAnsiTheme="minorHAnsi" w:cstheme="minorHAnsi"/>
                <w:sz w:val="18"/>
                <w:szCs w:val="18"/>
              </w:rPr>
              <w:t>$471</w:t>
            </w:r>
          </w:p>
        </w:tc>
        <w:tc>
          <w:tcPr>
            <w:tcW w:w="1371" w:type="dxa"/>
            <w:vAlign w:val="center"/>
          </w:tcPr>
          <w:p w14:paraId="48B68B63" w14:textId="77777777" w:rsidR="0053050E" w:rsidRPr="00A809E6" w:rsidRDefault="0053050E" w:rsidP="00B549AE">
            <w:pPr>
              <w:jc w:val="center"/>
              <w:rPr>
                <w:rFonts w:asciiTheme="minorHAnsi" w:hAnsiTheme="minorHAnsi" w:cstheme="minorHAnsi"/>
                <w:sz w:val="18"/>
                <w:szCs w:val="18"/>
              </w:rPr>
            </w:pPr>
            <w:r w:rsidRPr="00A809E6">
              <w:rPr>
                <w:rFonts w:asciiTheme="minorHAnsi" w:hAnsiTheme="minorHAnsi" w:cstheme="minorHAnsi"/>
                <w:sz w:val="18"/>
                <w:szCs w:val="18"/>
              </w:rPr>
              <w:t>$741</w:t>
            </w:r>
          </w:p>
        </w:tc>
        <w:tc>
          <w:tcPr>
            <w:tcW w:w="1303" w:type="dxa"/>
            <w:vMerge/>
            <w:vAlign w:val="center"/>
          </w:tcPr>
          <w:p w14:paraId="1E0E2E5B" w14:textId="77777777" w:rsidR="0053050E" w:rsidRPr="00A809E6" w:rsidRDefault="0053050E" w:rsidP="00B549AE">
            <w:pPr>
              <w:jc w:val="center"/>
              <w:rPr>
                <w:rFonts w:asciiTheme="minorHAnsi" w:hAnsiTheme="minorHAnsi" w:cstheme="minorHAnsi"/>
                <w:sz w:val="18"/>
                <w:szCs w:val="18"/>
              </w:rPr>
            </w:pPr>
          </w:p>
        </w:tc>
        <w:tc>
          <w:tcPr>
            <w:tcW w:w="1343" w:type="dxa"/>
            <w:vAlign w:val="center"/>
          </w:tcPr>
          <w:p w14:paraId="21152749" w14:textId="77777777" w:rsidR="0053050E" w:rsidRPr="00A809E6" w:rsidRDefault="0053050E" w:rsidP="00B549AE">
            <w:pPr>
              <w:jc w:val="center"/>
              <w:rPr>
                <w:rFonts w:asciiTheme="minorHAnsi" w:hAnsiTheme="minorHAnsi" w:cstheme="minorHAnsi"/>
                <w:sz w:val="18"/>
                <w:szCs w:val="18"/>
              </w:rPr>
            </w:pPr>
            <w:r w:rsidRPr="00A809E6">
              <w:rPr>
                <w:rFonts w:asciiTheme="minorHAnsi" w:hAnsiTheme="minorHAnsi" w:cstheme="minorHAnsi"/>
                <w:sz w:val="18"/>
                <w:szCs w:val="18"/>
              </w:rPr>
              <w:t>$0.63</w:t>
            </w:r>
          </w:p>
        </w:tc>
        <w:tc>
          <w:tcPr>
            <w:tcW w:w="1682" w:type="dxa"/>
            <w:shd w:val="clear" w:color="auto" w:fill="D9E2F3" w:themeFill="accent1" w:themeFillTint="33"/>
            <w:vAlign w:val="center"/>
          </w:tcPr>
          <w:p w14:paraId="4390E746" w14:textId="77777777" w:rsidR="0053050E" w:rsidRPr="00A809E6" w:rsidRDefault="0053050E" w:rsidP="00B549AE">
            <w:pPr>
              <w:jc w:val="center"/>
              <w:rPr>
                <w:rFonts w:asciiTheme="minorHAnsi" w:hAnsiTheme="minorHAnsi" w:cstheme="minorHAnsi"/>
                <w:b/>
                <w:sz w:val="18"/>
                <w:szCs w:val="18"/>
              </w:rPr>
            </w:pPr>
            <w:r w:rsidRPr="00A809E6">
              <w:rPr>
                <w:rFonts w:asciiTheme="minorHAnsi" w:hAnsiTheme="minorHAnsi" w:cstheme="minorHAnsi"/>
                <w:b/>
                <w:sz w:val="18"/>
                <w:szCs w:val="18"/>
              </w:rPr>
              <w:t>27%</w:t>
            </w:r>
          </w:p>
          <w:p w14:paraId="29053469" w14:textId="77777777" w:rsidR="0053050E" w:rsidRPr="00A809E6" w:rsidRDefault="0053050E" w:rsidP="00B549AE">
            <w:pPr>
              <w:jc w:val="center"/>
              <w:rPr>
                <w:rFonts w:asciiTheme="minorHAnsi" w:hAnsiTheme="minorHAnsi" w:cstheme="minorHAnsi"/>
                <w:b/>
                <w:sz w:val="18"/>
                <w:szCs w:val="18"/>
              </w:rPr>
            </w:pPr>
            <w:r w:rsidRPr="00A809E6">
              <w:rPr>
                <w:rFonts w:asciiTheme="minorHAnsi" w:hAnsiTheme="minorHAnsi" w:cstheme="minorHAnsi"/>
                <w:b/>
                <w:sz w:val="18"/>
                <w:szCs w:val="18"/>
              </w:rPr>
              <w:t>(Shortfall 73%)</w:t>
            </w:r>
          </w:p>
        </w:tc>
      </w:tr>
      <w:tr w:rsidR="0053050E" w:rsidRPr="00A809E6" w14:paraId="741E994B" w14:textId="77777777" w:rsidTr="004D75ED">
        <w:tc>
          <w:tcPr>
            <w:tcW w:w="1843" w:type="dxa"/>
            <w:vAlign w:val="center"/>
          </w:tcPr>
          <w:p w14:paraId="067B0048" w14:textId="77777777" w:rsidR="0053050E" w:rsidRPr="00A809E6" w:rsidRDefault="0053050E" w:rsidP="00B549AE">
            <w:pPr>
              <w:jc w:val="center"/>
              <w:rPr>
                <w:rFonts w:asciiTheme="minorHAnsi" w:hAnsiTheme="minorHAnsi" w:cstheme="minorHAnsi"/>
                <w:sz w:val="18"/>
                <w:szCs w:val="18"/>
              </w:rPr>
            </w:pPr>
            <w:r w:rsidRPr="00A809E6">
              <w:rPr>
                <w:rFonts w:asciiTheme="minorHAnsi" w:hAnsiTheme="minorHAnsi" w:cstheme="minorHAnsi"/>
                <w:sz w:val="18"/>
                <w:szCs w:val="18"/>
              </w:rPr>
              <w:t>Commonwealth expenditure on community health services</w:t>
            </w:r>
          </w:p>
        </w:tc>
        <w:tc>
          <w:tcPr>
            <w:tcW w:w="1247" w:type="dxa"/>
            <w:vAlign w:val="center"/>
          </w:tcPr>
          <w:p w14:paraId="37C67970" w14:textId="77777777" w:rsidR="0053050E" w:rsidRPr="00A809E6" w:rsidRDefault="0053050E" w:rsidP="00B549AE">
            <w:pPr>
              <w:jc w:val="center"/>
              <w:rPr>
                <w:rFonts w:asciiTheme="minorHAnsi" w:hAnsiTheme="minorHAnsi" w:cstheme="minorHAnsi"/>
                <w:sz w:val="18"/>
                <w:szCs w:val="18"/>
              </w:rPr>
            </w:pPr>
            <w:r w:rsidRPr="00A809E6">
              <w:rPr>
                <w:rFonts w:asciiTheme="minorHAnsi" w:hAnsiTheme="minorHAnsi" w:cstheme="minorHAnsi"/>
                <w:sz w:val="18"/>
                <w:szCs w:val="18"/>
              </w:rPr>
              <w:t>$1114</w:t>
            </w:r>
          </w:p>
        </w:tc>
        <w:tc>
          <w:tcPr>
            <w:tcW w:w="1371" w:type="dxa"/>
            <w:vAlign w:val="center"/>
          </w:tcPr>
          <w:p w14:paraId="542D88C4" w14:textId="77777777" w:rsidR="0053050E" w:rsidRPr="00A809E6" w:rsidRDefault="0053050E" w:rsidP="00B549AE">
            <w:pPr>
              <w:jc w:val="center"/>
              <w:rPr>
                <w:rFonts w:asciiTheme="minorHAnsi" w:hAnsiTheme="minorHAnsi" w:cstheme="minorHAnsi"/>
                <w:sz w:val="18"/>
                <w:szCs w:val="18"/>
              </w:rPr>
            </w:pPr>
            <w:r w:rsidRPr="00A809E6">
              <w:rPr>
                <w:rFonts w:asciiTheme="minorHAnsi" w:hAnsiTheme="minorHAnsi" w:cstheme="minorHAnsi"/>
                <w:sz w:val="18"/>
                <w:szCs w:val="18"/>
              </w:rPr>
              <w:t>$312</w:t>
            </w:r>
          </w:p>
        </w:tc>
        <w:tc>
          <w:tcPr>
            <w:tcW w:w="1303" w:type="dxa"/>
            <w:vMerge/>
            <w:vAlign w:val="center"/>
          </w:tcPr>
          <w:p w14:paraId="71E4A130" w14:textId="77777777" w:rsidR="0053050E" w:rsidRPr="00A809E6" w:rsidRDefault="0053050E" w:rsidP="00B549AE">
            <w:pPr>
              <w:jc w:val="center"/>
              <w:rPr>
                <w:rFonts w:asciiTheme="minorHAnsi" w:hAnsiTheme="minorHAnsi" w:cstheme="minorHAnsi"/>
                <w:sz w:val="18"/>
                <w:szCs w:val="18"/>
              </w:rPr>
            </w:pPr>
          </w:p>
        </w:tc>
        <w:tc>
          <w:tcPr>
            <w:tcW w:w="1343" w:type="dxa"/>
            <w:vAlign w:val="center"/>
          </w:tcPr>
          <w:p w14:paraId="6B08B468" w14:textId="77777777" w:rsidR="0053050E" w:rsidRPr="00A809E6" w:rsidRDefault="0053050E" w:rsidP="00B549AE">
            <w:pPr>
              <w:jc w:val="center"/>
              <w:rPr>
                <w:rFonts w:asciiTheme="minorHAnsi" w:hAnsiTheme="minorHAnsi" w:cstheme="minorHAnsi"/>
                <w:sz w:val="18"/>
                <w:szCs w:val="18"/>
              </w:rPr>
            </w:pPr>
            <w:r w:rsidRPr="00A809E6">
              <w:rPr>
                <w:rFonts w:asciiTheme="minorHAnsi" w:hAnsiTheme="minorHAnsi" w:cstheme="minorHAnsi"/>
                <w:sz w:val="18"/>
                <w:szCs w:val="18"/>
              </w:rPr>
              <w:t>$3.60</w:t>
            </w:r>
          </w:p>
        </w:tc>
        <w:tc>
          <w:tcPr>
            <w:tcW w:w="1682" w:type="dxa"/>
            <w:shd w:val="clear" w:color="auto" w:fill="D9E2F3" w:themeFill="accent1" w:themeFillTint="33"/>
            <w:vAlign w:val="center"/>
          </w:tcPr>
          <w:p w14:paraId="47FDF14B" w14:textId="77777777" w:rsidR="0053050E" w:rsidRPr="00A809E6" w:rsidRDefault="0053050E" w:rsidP="00B549AE">
            <w:pPr>
              <w:jc w:val="center"/>
              <w:rPr>
                <w:rFonts w:asciiTheme="minorHAnsi" w:hAnsiTheme="minorHAnsi" w:cstheme="minorHAnsi"/>
                <w:b/>
                <w:sz w:val="18"/>
                <w:szCs w:val="18"/>
              </w:rPr>
            </w:pPr>
            <w:r w:rsidRPr="00A809E6">
              <w:rPr>
                <w:rFonts w:asciiTheme="minorHAnsi" w:hAnsiTheme="minorHAnsi" w:cstheme="minorHAnsi"/>
                <w:b/>
                <w:sz w:val="18"/>
                <w:szCs w:val="18"/>
              </w:rPr>
              <w:t>157%</w:t>
            </w:r>
          </w:p>
        </w:tc>
      </w:tr>
      <w:tr w:rsidR="0053050E" w:rsidRPr="00A809E6" w14:paraId="59968ED6" w14:textId="77777777" w:rsidTr="004D75ED">
        <w:tc>
          <w:tcPr>
            <w:tcW w:w="1843" w:type="dxa"/>
            <w:vAlign w:val="center"/>
          </w:tcPr>
          <w:p w14:paraId="54EBC449" w14:textId="77777777" w:rsidR="0053050E" w:rsidRPr="00A809E6" w:rsidRDefault="0053050E" w:rsidP="00B549AE">
            <w:pPr>
              <w:jc w:val="center"/>
              <w:rPr>
                <w:rFonts w:asciiTheme="minorHAnsi" w:hAnsiTheme="minorHAnsi" w:cstheme="minorHAnsi"/>
                <w:sz w:val="18"/>
                <w:szCs w:val="18"/>
              </w:rPr>
            </w:pPr>
            <w:r w:rsidRPr="00A809E6">
              <w:rPr>
                <w:rFonts w:asciiTheme="minorHAnsi" w:hAnsiTheme="minorHAnsi" w:cstheme="minorHAnsi"/>
                <w:sz w:val="18"/>
                <w:szCs w:val="18"/>
              </w:rPr>
              <w:t>Total Commonwealth expenditure on primary health care (including the above)</w:t>
            </w:r>
          </w:p>
        </w:tc>
        <w:tc>
          <w:tcPr>
            <w:tcW w:w="1247" w:type="dxa"/>
            <w:vAlign w:val="center"/>
          </w:tcPr>
          <w:p w14:paraId="73D6100A" w14:textId="538CF636" w:rsidR="0053050E" w:rsidRPr="00A809E6" w:rsidRDefault="0053050E" w:rsidP="00B549AE">
            <w:pPr>
              <w:jc w:val="center"/>
              <w:rPr>
                <w:rFonts w:asciiTheme="minorHAnsi" w:hAnsiTheme="minorHAnsi" w:cstheme="minorHAnsi"/>
                <w:sz w:val="18"/>
                <w:szCs w:val="18"/>
              </w:rPr>
            </w:pPr>
            <w:r w:rsidRPr="00A809E6">
              <w:rPr>
                <w:rFonts w:asciiTheme="minorHAnsi" w:hAnsiTheme="minorHAnsi" w:cstheme="minorHAnsi"/>
                <w:sz w:val="18"/>
                <w:szCs w:val="18"/>
              </w:rPr>
              <w:t>$3,496</w:t>
            </w:r>
          </w:p>
        </w:tc>
        <w:tc>
          <w:tcPr>
            <w:tcW w:w="1371" w:type="dxa"/>
            <w:vAlign w:val="center"/>
          </w:tcPr>
          <w:p w14:paraId="76324292" w14:textId="61CE4AF5" w:rsidR="0053050E" w:rsidRPr="00A809E6" w:rsidRDefault="0053050E" w:rsidP="00B549AE">
            <w:pPr>
              <w:jc w:val="center"/>
              <w:rPr>
                <w:rFonts w:asciiTheme="minorHAnsi" w:hAnsiTheme="minorHAnsi" w:cstheme="minorHAnsi"/>
                <w:sz w:val="18"/>
                <w:szCs w:val="18"/>
              </w:rPr>
            </w:pPr>
            <w:r w:rsidRPr="00A809E6">
              <w:rPr>
                <w:rFonts w:asciiTheme="minorHAnsi" w:hAnsiTheme="minorHAnsi" w:cstheme="minorHAnsi"/>
                <w:sz w:val="18"/>
                <w:szCs w:val="18"/>
              </w:rPr>
              <w:t>$2,451</w:t>
            </w:r>
          </w:p>
        </w:tc>
        <w:tc>
          <w:tcPr>
            <w:tcW w:w="1303" w:type="dxa"/>
            <w:vMerge/>
            <w:vAlign w:val="center"/>
          </w:tcPr>
          <w:p w14:paraId="0130CD75" w14:textId="77777777" w:rsidR="0053050E" w:rsidRPr="00A809E6" w:rsidRDefault="0053050E" w:rsidP="00B549AE">
            <w:pPr>
              <w:jc w:val="center"/>
              <w:rPr>
                <w:rFonts w:asciiTheme="minorHAnsi" w:hAnsiTheme="minorHAnsi" w:cstheme="minorHAnsi"/>
                <w:sz w:val="18"/>
                <w:szCs w:val="18"/>
              </w:rPr>
            </w:pPr>
          </w:p>
        </w:tc>
        <w:tc>
          <w:tcPr>
            <w:tcW w:w="1343" w:type="dxa"/>
            <w:vAlign w:val="center"/>
          </w:tcPr>
          <w:p w14:paraId="4846C311" w14:textId="421E94EF" w:rsidR="0053050E" w:rsidRPr="00A809E6" w:rsidRDefault="0053050E" w:rsidP="00B549AE">
            <w:pPr>
              <w:jc w:val="center"/>
              <w:rPr>
                <w:rFonts w:asciiTheme="minorHAnsi" w:hAnsiTheme="minorHAnsi" w:cstheme="minorHAnsi"/>
                <w:sz w:val="18"/>
                <w:szCs w:val="18"/>
              </w:rPr>
            </w:pPr>
            <w:r w:rsidRPr="00A809E6">
              <w:rPr>
                <w:rFonts w:asciiTheme="minorHAnsi" w:hAnsiTheme="minorHAnsi" w:cstheme="minorHAnsi"/>
                <w:sz w:val="18"/>
                <w:szCs w:val="18"/>
              </w:rPr>
              <w:t>$1.42</w:t>
            </w:r>
          </w:p>
        </w:tc>
        <w:tc>
          <w:tcPr>
            <w:tcW w:w="1682" w:type="dxa"/>
            <w:shd w:val="clear" w:color="auto" w:fill="D9E2F3" w:themeFill="accent1" w:themeFillTint="33"/>
            <w:vAlign w:val="center"/>
          </w:tcPr>
          <w:p w14:paraId="5DB63A8B" w14:textId="2A447F4D" w:rsidR="0053050E" w:rsidRPr="00A809E6" w:rsidRDefault="0053050E" w:rsidP="00B549AE">
            <w:pPr>
              <w:jc w:val="center"/>
              <w:rPr>
                <w:rFonts w:asciiTheme="minorHAnsi" w:hAnsiTheme="minorHAnsi" w:cstheme="minorHAnsi"/>
                <w:b/>
                <w:sz w:val="18"/>
                <w:szCs w:val="18"/>
              </w:rPr>
            </w:pPr>
            <w:r w:rsidRPr="00A809E6">
              <w:rPr>
                <w:rFonts w:asciiTheme="minorHAnsi" w:hAnsiTheme="minorHAnsi" w:cstheme="minorHAnsi"/>
                <w:b/>
                <w:sz w:val="18"/>
                <w:szCs w:val="18"/>
              </w:rPr>
              <w:t>61%</w:t>
            </w:r>
          </w:p>
          <w:p w14:paraId="32F0C3DC" w14:textId="20D464B9" w:rsidR="0053050E" w:rsidRPr="00A809E6" w:rsidRDefault="0053050E" w:rsidP="00B549AE">
            <w:pPr>
              <w:jc w:val="center"/>
              <w:rPr>
                <w:rFonts w:asciiTheme="minorHAnsi" w:hAnsiTheme="minorHAnsi" w:cstheme="minorHAnsi"/>
                <w:b/>
                <w:sz w:val="18"/>
                <w:szCs w:val="18"/>
              </w:rPr>
            </w:pPr>
            <w:r w:rsidRPr="00A809E6">
              <w:rPr>
                <w:rFonts w:asciiTheme="minorHAnsi" w:hAnsiTheme="minorHAnsi" w:cstheme="minorHAnsi"/>
                <w:b/>
                <w:sz w:val="18"/>
                <w:szCs w:val="18"/>
              </w:rPr>
              <w:t>(Shortfall 39%)</w:t>
            </w:r>
          </w:p>
        </w:tc>
      </w:tr>
    </w:tbl>
    <w:p w14:paraId="7FF27F41" w14:textId="77777777" w:rsidR="0053050E" w:rsidRPr="00A809E6" w:rsidRDefault="0053050E" w:rsidP="00C54DFC">
      <w:pPr>
        <w:widowControl w:val="0"/>
        <w:autoSpaceDE w:val="0"/>
        <w:autoSpaceDN w:val="0"/>
        <w:adjustRightInd w:val="0"/>
        <w:jc w:val="center"/>
        <w:rPr>
          <w:rFonts w:asciiTheme="minorHAnsi" w:hAnsiTheme="minorHAnsi" w:cstheme="minorHAnsi"/>
          <w:sz w:val="16"/>
          <w:szCs w:val="16"/>
          <w:highlight w:val="yellow"/>
        </w:rPr>
      </w:pPr>
      <w:r w:rsidRPr="00A809E6">
        <w:rPr>
          <w:rFonts w:asciiTheme="minorHAnsi" w:hAnsiTheme="minorHAnsi" w:cstheme="minorHAnsi"/>
          <w:sz w:val="16"/>
          <w:szCs w:val="16"/>
        </w:rPr>
        <w:t xml:space="preserve">All data - Commonwealth Government’s 2017 </w:t>
      </w:r>
      <w:r w:rsidRPr="00A809E6">
        <w:rPr>
          <w:rFonts w:asciiTheme="minorHAnsi" w:hAnsiTheme="minorHAnsi" w:cstheme="minorHAnsi"/>
          <w:i/>
          <w:sz w:val="16"/>
          <w:szCs w:val="16"/>
        </w:rPr>
        <w:t>Aboriginal and Torres Strait Islander Health Performance Framework</w:t>
      </w:r>
      <w:r w:rsidRPr="00A809E6">
        <w:rPr>
          <w:rFonts w:asciiTheme="minorHAnsi" w:hAnsiTheme="minorHAnsi" w:cstheme="minorHAnsi"/>
          <w:sz w:val="16"/>
          <w:szCs w:val="16"/>
        </w:rPr>
        <w:t>, p.191.</w:t>
      </w:r>
    </w:p>
    <w:p w14:paraId="1508E6D0" w14:textId="77777777" w:rsidR="0053050E" w:rsidRPr="00A809E6" w:rsidRDefault="0053050E" w:rsidP="00C54DFC">
      <w:pPr>
        <w:pStyle w:val="ListParagraph"/>
        <w:widowControl w:val="0"/>
        <w:autoSpaceDE w:val="0"/>
        <w:autoSpaceDN w:val="0"/>
        <w:adjustRightInd w:val="0"/>
        <w:ind w:left="360"/>
        <w:rPr>
          <w:rFonts w:asciiTheme="minorHAnsi" w:hAnsiTheme="minorHAnsi" w:cstheme="minorHAnsi"/>
          <w:sz w:val="22"/>
          <w:szCs w:val="22"/>
        </w:rPr>
      </w:pPr>
    </w:p>
    <w:p w14:paraId="2D260DFE" w14:textId="77777777" w:rsidR="0053050E" w:rsidRPr="00A809E6" w:rsidRDefault="0053050E" w:rsidP="009B1F88">
      <w:pPr>
        <w:rPr>
          <w:rFonts w:asciiTheme="minorHAnsi" w:hAnsiTheme="minorHAnsi" w:cstheme="minorHAnsi"/>
          <w:sz w:val="22"/>
          <w:szCs w:val="22"/>
        </w:rPr>
      </w:pPr>
      <w:r w:rsidRPr="00A809E6">
        <w:rPr>
          <w:rFonts w:asciiTheme="minorHAnsi" w:hAnsiTheme="minorHAnsi" w:cstheme="minorHAnsi"/>
          <w:sz w:val="22"/>
          <w:szCs w:val="22"/>
        </w:rPr>
        <w:t>In addition, it should be noted that the above consideration does not include private (out of pocket) health expenditure including on health insurance. Among Aboriginal and Torres Strait Islander people in non-remote areas, in 2012-13, 20 per cent of adults had private health insurance, compared with 57 per cent of all adults (i.e. in the total population)</w:t>
      </w:r>
      <w:r w:rsidRPr="00A809E6">
        <w:rPr>
          <w:rStyle w:val="EndnoteReference"/>
          <w:rFonts w:asciiTheme="minorHAnsi" w:hAnsiTheme="minorHAnsi" w:cstheme="minorHAnsi"/>
          <w:sz w:val="22"/>
          <w:szCs w:val="22"/>
        </w:rPr>
        <w:endnoteReference w:id="5"/>
      </w:r>
      <w:r w:rsidRPr="00A809E6">
        <w:rPr>
          <w:rFonts w:asciiTheme="minorHAnsi" w:hAnsiTheme="minorHAnsi" w:cstheme="minorHAnsi"/>
          <w:sz w:val="22"/>
          <w:szCs w:val="22"/>
        </w:rPr>
        <w:t xml:space="preserve">. </w:t>
      </w:r>
    </w:p>
    <w:p w14:paraId="27F39913" w14:textId="77777777" w:rsidR="0053050E" w:rsidRPr="00A809E6" w:rsidRDefault="0053050E" w:rsidP="009B1F88">
      <w:pPr>
        <w:widowControl w:val="0"/>
        <w:autoSpaceDE w:val="0"/>
        <w:autoSpaceDN w:val="0"/>
        <w:adjustRightInd w:val="0"/>
        <w:rPr>
          <w:rFonts w:asciiTheme="minorHAnsi" w:hAnsiTheme="minorHAnsi" w:cstheme="minorHAnsi"/>
          <w:sz w:val="16"/>
          <w:szCs w:val="16"/>
        </w:rPr>
      </w:pPr>
    </w:p>
    <w:p w14:paraId="47443289" w14:textId="77777777" w:rsidR="0053050E" w:rsidRPr="00A809E6" w:rsidRDefault="0053050E" w:rsidP="009B1F88">
      <w:pPr>
        <w:rPr>
          <w:rFonts w:asciiTheme="minorHAnsi" w:hAnsiTheme="minorHAnsi" w:cstheme="minorHAnsi"/>
          <w:sz w:val="22"/>
          <w:szCs w:val="22"/>
        </w:rPr>
      </w:pPr>
      <w:r w:rsidRPr="00A809E6">
        <w:rPr>
          <w:rFonts w:asciiTheme="minorHAnsi" w:hAnsiTheme="minorHAnsi" w:cstheme="minorHAnsi"/>
          <w:sz w:val="22"/>
          <w:szCs w:val="22"/>
        </w:rPr>
        <w:t>In closing this section, the authors agree with the AMA’s Indigenous Health Report Card 2018 that the long-standing failure of Australian governments to provide equitable levels of health funding is ‘a primary example of a stubborn form of institutional racism that still challenges Aboriginal and Torres Strait Islander population health’</w:t>
      </w:r>
      <w:r w:rsidRPr="00A809E6">
        <w:rPr>
          <w:rStyle w:val="EndnoteReference"/>
          <w:rFonts w:asciiTheme="minorHAnsi" w:hAnsiTheme="minorHAnsi" w:cstheme="minorHAnsi"/>
          <w:sz w:val="22"/>
          <w:szCs w:val="22"/>
        </w:rPr>
        <w:endnoteReference w:id="6"/>
      </w:r>
      <w:r w:rsidRPr="00A809E6">
        <w:rPr>
          <w:rFonts w:asciiTheme="minorHAnsi" w:hAnsiTheme="minorHAnsi" w:cstheme="minorHAnsi"/>
          <w:sz w:val="22"/>
          <w:szCs w:val="22"/>
        </w:rPr>
        <w:t xml:space="preserve"> including mental health. They also support the Report Card’s Recommendation 1 for the adoption of needs-based Aboriginal and Torres Strait Islander health expenditure targets based on at least 2.3 times per capita that of the non-Indigenous population.</w:t>
      </w:r>
      <w:r w:rsidRPr="00A809E6">
        <w:rPr>
          <w:rStyle w:val="EndnoteReference"/>
          <w:rFonts w:asciiTheme="minorHAnsi" w:hAnsiTheme="minorHAnsi" w:cstheme="minorHAnsi"/>
          <w:sz w:val="22"/>
          <w:szCs w:val="22"/>
        </w:rPr>
        <w:endnoteReference w:id="7"/>
      </w:r>
    </w:p>
    <w:p w14:paraId="0F378E0D" w14:textId="77777777" w:rsidR="0053050E" w:rsidRPr="00A809E6" w:rsidRDefault="0053050E" w:rsidP="00B549AE">
      <w:pPr>
        <w:widowControl w:val="0"/>
        <w:autoSpaceDE w:val="0"/>
        <w:autoSpaceDN w:val="0"/>
        <w:adjustRightInd w:val="0"/>
        <w:rPr>
          <w:rFonts w:asciiTheme="minorHAnsi" w:hAnsiTheme="minorHAnsi" w:cstheme="minorHAnsi"/>
          <w:sz w:val="16"/>
          <w:szCs w:val="16"/>
        </w:rPr>
      </w:pPr>
    </w:p>
    <w:p w14:paraId="61515260" w14:textId="77777777" w:rsidR="0053050E" w:rsidRPr="00A809E6" w:rsidRDefault="0053050E" w:rsidP="00B549AE">
      <w:pPr>
        <w:pStyle w:val="ListParagraph"/>
        <w:numPr>
          <w:ilvl w:val="0"/>
          <w:numId w:val="14"/>
        </w:numPr>
        <w:rPr>
          <w:rFonts w:asciiTheme="minorHAnsi" w:hAnsiTheme="minorHAnsi" w:cstheme="minorHAnsi"/>
          <w:i/>
          <w:sz w:val="22"/>
          <w:szCs w:val="22"/>
        </w:rPr>
      </w:pPr>
      <w:r w:rsidRPr="00A809E6">
        <w:rPr>
          <w:rFonts w:asciiTheme="minorHAnsi" w:hAnsiTheme="minorHAnsi" w:cstheme="minorHAnsi"/>
          <w:i/>
          <w:sz w:val="22"/>
          <w:szCs w:val="22"/>
        </w:rPr>
        <w:t>The distorting effect of the fundamental inequity on other spending</w:t>
      </w:r>
    </w:p>
    <w:p w14:paraId="07D21BEC" w14:textId="77777777" w:rsidR="0053050E" w:rsidRPr="00A809E6" w:rsidRDefault="0053050E" w:rsidP="00B549AE">
      <w:pPr>
        <w:rPr>
          <w:rFonts w:asciiTheme="minorHAnsi" w:hAnsiTheme="minorHAnsi" w:cstheme="minorHAnsi"/>
          <w:sz w:val="16"/>
          <w:szCs w:val="16"/>
        </w:rPr>
      </w:pPr>
    </w:p>
    <w:p w14:paraId="2285E78E" w14:textId="77F0C2F4" w:rsidR="0053050E" w:rsidRDefault="0053050E" w:rsidP="00B549AE">
      <w:pPr>
        <w:rPr>
          <w:rFonts w:asciiTheme="minorHAnsi" w:hAnsiTheme="minorHAnsi" w:cstheme="minorHAnsi"/>
          <w:sz w:val="22"/>
          <w:szCs w:val="22"/>
        </w:rPr>
      </w:pPr>
      <w:r w:rsidRPr="00A809E6">
        <w:rPr>
          <w:rFonts w:asciiTheme="minorHAnsi" w:hAnsiTheme="minorHAnsi" w:cstheme="minorHAnsi"/>
          <w:sz w:val="22"/>
          <w:szCs w:val="22"/>
        </w:rPr>
        <w:t>As a direct result of the underspend on primary health care, the following is reported:</w:t>
      </w:r>
    </w:p>
    <w:p w14:paraId="6A73EFB8" w14:textId="77777777" w:rsidR="00A809E6" w:rsidRPr="00A809E6" w:rsidRDefault="00A809E6" w:rsidP="00B549AE">
      <w:pPr>
        <w:rPr>
          <w:rFonts w:asciiTheme="minorHAnsi" w:hAnsiTheme="minorHAnsi" w:cstheme="minorHAnsi"/>
          <w:sz w:val="22"/>
          <w:szCs w:val="22"/>
        </w:rPr>
      </w:pPr>
    </w:p>
    <w:p w14:paraId="0610FC9E" w14:textId="44B40056" w:rsidR="0053050E" w:rsidRPr="00A809E6" w:rsidRDefault="0053050E" w:rsidP="00B549AE">
      <w:pPr>
        <w:pStyle w:val="ListParagraph"/>
        <w:numPr>
          <w:ilvl w:val="0"/>
          <w:numId w:val="13"/>
        </w:numPr>
        <w:rPr>
          <w:rFonts w:asciiTheme="minorHAnsi" w:hAnsiTheme="minorHAnsi" w:cstheme="minorHAnsi"/>
          <w:sz w:val="22"/>
          <w:szCs w:val="22"/>
        </w:rPr>
      </w:pPr>
      <w:r w:rsidRPr="00A809E6">
        <w:rPr>
          <w:rFonts w:asciiTheme="minorHAnsi" w:hAnsiTheme="minorHAnsi" w:cstheme="minorHAnsi"/>
          <w:sz w:val="22"/>
          <w:szCs w:val="22"/>
        </w:rPr>
        <w:t xml:space="preserve">For Aboriginal and Torres Strait Islander peoples, expenditure on hospital-based health care is </w:t>
      </w:r>
      <w:r w:rsidRPr="00A809E6">
        <w:rPr>
          <w:rFonts w:asciiTheme="minorHAnsi" w:hAnsiTheme="minorHAnsi" w:cstheme="minorHAnsi"/>
          <w:b/>
          <w:sz w:val="22"/>
          <w:szCs w:val="22"/>
        </w:rPr>
        <w:t>six times higher</w:t>
      </w:r>
      <w:r w:rsidRPr="00A809E6">
        <w:rPr>
          <w:rFonts w:asciiTheme="minorHAnsi" w:hAnsiTheme="minorHAnsi" w:cstheme="minorHAnsi"/>
          <w:sz w:val="22"/>
          <w:szCs w:val="22"/>
        </w:rPr>
        <w:t xml:space="preserve"> than expenditure on prevention-oriented general practitioner (GP) and other medical practitioner health care</w:t>
      </w:r>
      <w:r w:rsidRPr="00A809E6">
        <w:rPr>
          <w:rStyle w:val="EndnoteReference"/>
          <w:rFonts w:asciiTheme="minorHAnsi" w:hAnsiTheme="minorHAnsi" w:cstheme="minorHAnsi"/>
          <w:sz w:val="22"/>
          <w:szCs w:val="22"/>
        </w:rPr>
        <w:endnoteReference w:id="8"/>
      </w:r>
      <w:r w:rsidRPr="00A809E6">
        <w:rPr>
          <w:rFonts w:asciiTheme="minorHAnsi" w:hAnsiTheme="minorHAnsi" w:cstheme="minorHAnsi"/>
          <w:sz w:val="22"/>
          <w:szCs w:val="22"/>
        </w:rPr>
        <w:t>. This compares with just twice as high for the non-Indigenous population</w:t>
      </w:r>
      <w:r w:rsidRPr="00A809E6">
        <w:rPr>
          <w:rStyle w:val="EndnoteReference"/>
          <w:rFonts w:asciiTheme="minorHAnsi" w:hAnsiTheme="minorHAnsi" w:cstheme="minorHAnsi"/>
          <w:sz w:val="22"/>
          <w:szCs w:val="22"/>
        </w:rPr>
        <w:endnoteReference w:id="9"/>
      </w:r>
      <w:r w:rsidRPr="00A809E6">
        <w:rPr>
          <w:rFonts w:asciiTheme="minorHAnsi" w:hAnsiTheme="minorHAnsi" w:cstheme="minorHAnsi"/>
          <w:sz w:val="22"/>
          <w:szCs w:val="22"/>
        </w:rPr>
        <w:t xml:space="preserve">. </w:t>
      </w:r>
    </w:p>
    <w:p w14:paraId="54B7FE8E" w14:textId="487DCF5D" w:rsidR="0053050E" w:rsidRPr="00A809E6" w:rsidRDefault="0053050E" w:rsidP="00B549AE">
      <w:pPr>
        <w:pStyle w:val="ListParagraph"/>
        <w:numPr>
          <w:ilvl w:val="0"/>
          <w:numId w:val="13"/>
        </w:numPr>
        <w:rPr>
          <w:rFonts w:asciiTheme="minorHAnsi" w:hAnsiTheme="minorHAnsi" w:cstheme="minorHAnsi"/>
          <w:sz w:val="22"/>
          <w:szCs w:val="22"/>
        </w:rPr>
      </w:pPr>
      <w:r w:rsidRPr="00A809E6">
        <w:rPr>
          <w:rFonts w:asciiTheme="minorHAnsi" w:hAnsiTheme="minorHAnsi" w:cstheme="minorHAnsi"/>
          <w:sz w:val="22"/>
          <w:szCs w:val="22"/>
        </w:rPr>
        <w:t xml:space="preserve">The States and Territories, who shoulder the greater responsibility for hospitals and ‘secondary’ services, combined spend </w:t>
      </w:r>
      <w:r w:rsidRPr="00A809E6">
        <w:rPr>
          <w:rFonts w:asciiTheme="minorHAnsi" w:hAnsiTheme="minorHAnsi" w:cstheme="minorHAnsi"/>
          <w:b/>
          <w:sz w:val="22"/>
          <w:szCs w:val="22"/>
        </w:rPr>
        <w:t>roughly two health dollars per Aboriginal and Torres Strait Islander person for every dollar spent per non-Indigenous person</w:t>
      </w:r>
      <w:r w:rsidRPr="00A809E6">
        <w:rPr>
          <w:rStyle w:val="EndnoteReference"/>
          <w:rFonts w:asciiTheme="minorHAnsi" w:hAnsiTheme="minorHAnsi" w:cstheme="minorHAnsi"/>
          <w:sz w:val="22"/>
          <w:szCs w:val="22"/>
        </w:rPr>
        <w:endnoteReference w:id="10"/>
      </w:r>
      <w:r w:rsidRPr="00A809E6">
        <w:rPr>
          <w:rFonts w:asciiTheme="minorHAnsi" w:hAnsiTheme="minorHAnsi" w:cstheme="minorHAnsi"/>
          <w:sz w:val="22"/>
          <w:szCs w:val="22"/>
        </w:rPr>
        <w:t xml:space="preserve">. </w:t>
      </w:r>
    </w:p>
    <w:p w14:paraId="31AD8087" w14:textId="77777777" w:rsidR="0053050E" w:rsidRPr="00A809E6" w:rsidRDefault="0053050E" w:rsidP="00B549AE">
      <w:pPr>
        <w:rPr>
          <w:rFonts w:asciiTheme="minorHAnsi" w:hAnsiTheme="minorHAnsi" w:cstheme="minorHAnsi"/>
          <w:sz w:val="16"/>
          <w:szCs w:val="16"/>
        </w:rPr>
      </w:pPr>
    </w:p>
    <w:p w14:paraId="682886F1" w14:textId="49A9BA17" w:rsidR="0053050E" w:rsidRPr="00A809E6" w:rsidRDefault="0053050E" w:rsidP="00B549AE">
      <w:pPr>
        <w:rPr>
          <w:rFonts w:asciiTheme="minorHAnsi" w:hAnsiTheme="minorHAnsi" w:cstheme="minorHAnsi"/>
          <w:sz w:val="22"/>
          <w:szCs w:val="22"/>
        </w:rPr>
      </w:pPr>
      <w:r w:rsidRPr="00A809E6">
        <w:rPr>
          <w:rFonts w:asciiTheme="minorHAnsi" w:hAnsiTheme="minorHAnsi" w:cstheme="minorHAnsi"/>
          <w:sz w:val="22"/>
          <w:szCs w:val="22"/>
        </w:rPr>
        <w:t xml:space="preserve">Aboriginal and Torres Strait Islander people are, receiving closer to equitable spending at the State and Territory level (about 87 per cent of equitable levels based on the 2.3 x needs index) in part because of a three-fold excess in avoidable hospital admissions. But </w:t>
      </w:r>
      <w:r w:rsidRPr="00A809E6">
        <w:rPr>
          <w:rFonts w:asciiTheme="minorHAnsi" w:hAnsiTheme="minorHAnsi" w:cstheme="minorHAnsi"/>
          <w:b/>
          <w:sz w:val="22"/>
          <w:szCs w:val="22"/>
        </w:rPr>
        <w:t>this comparatively higher ‘additional’ expenditure is, to a significant degree, required because of the fundamental inequity in primary health care spending.</w:t>
      </w:r>
      <w:r w:rsidRPr="00A809E6">
        <w:rPr>
          <w:rFonts w:asciiTheme="minorHAnsi" w:hAnsiTheme="minorHAnsi" w:cstheme="minorHAnsi"/>
          <w:sz w:val="22"/>
          <w:szCs w:val="22"/>
        </w:rPr>
        <w:t xml:space="preserve"> For example, a 2014 ten-year study-report tracked health system use by 180 Aboriginal people with diabetes in remote Northern Territory communities. It reported that </w:t>
      </w:r>
      <w:r w:rsidRPr="00A809E6">
        <w:rPr>
          <w:rFonts w:asciiTheme="minorHAnsi" w:hAnsiTheme="minorHAnsi" w:cstheme="minorHAnsi"/>
          <w:sz w:val="22"/>
          <w:szCs w:val="22"/>
          <w:shd w:val="clear" w:color="auto" w:fill="FFFFFF"/>
        </w:rPr>
        <w:t>investing $1 in medium-level primary care could save $12.90 in hospitalisation costs for this cohort</w:t>
      </w:r>
      <w:r w:rsidRPr="00A809E6">
        <w:rPr>
          <w:rStyle w:val="EndnoteReference"/>
          <w:rFonts w:asciiTheme="minorHAnsi" w:hAnsiTheme="minorHAnsi" w:cstheme="minorHAnsi"/>
          <w:sz w:val="22"/>
          <w:szCs w:val="22"/>
          <w:shd w:val="clear" w:color="auto" w:fill="FFFFFF"/>
        </w:rPr>
        <w:endnoteReference w:id="11"/>
      </w:r>
      <w:r w:rsidRPr="00A809E6">
        <w:rPr>
          <w:rFonts w:asciiTheme="minorHAnsi" w:hAnsiTheme="minorHAnsi" w:cstheme="minorHAnsi"/>
          <w:sz w:val="22"/>
          <w:szCs w:val="22"/>
          <w:shd w:val="clear" w:color="auto" w:fill="FFFFFF"/>
        </w:rPr>
        <w:t>. Or in other words, and reversing the logic, without that $1 invested in primary health care, additional costs would inevitably accrue.</w:t>
      </w:r>
      <w:r w:rsidRPr="00A809E6">
        <w:rPr>
          <w:rFonts w:asciiTheme="minorHAnsi" w:hAnsiTheme="minorHAnsi" w:cstheme="minorHAnsi"/>
          <w:sz w:val="22"/>
          <w:szCs w:val="22"/>
        </w:rPr>
        <w:t xml:space="preserve"> </w:t>
      </w:r>
    </w:p>
    <w:p w14:paraId="75CDCBD3" w14:textId="77777777" w:rsidR="0053050E" w:rsidRPr="00A809E6" w:rsidRDefault="0053050E" w:rsidP="00B549AE">
      <w:pPr>
        <w:rPr>
          <w:rFonts w:asciiTheme="minorHAnsi" w:hAnsiTheme="minorHAnsi" w:cstheme="minorHAnsi"/>
          <w:sz w:val="16"/>
          <w:szCs w:val="16"/>
        </w:rPr>
      </w:pPr>
    </w:p>
    <w:p w14:paraId="73115CA7" w14:textId="77777777" w:rsidR="0053050E" w:rsidRPr="00A809E6" w:rsidRDefault="0053050E" w:rsidP="00B549AE">
      <w:pPr>
        <w:rPr>
          <w:rFonts w:asciiTheme="minorHAnsi" w:hAnsiTheme="minorHAnsi" w:cstheme="minorHAnsi"/>
          <w:sz w:val="22"/>
          <w:szCs w:val="22"/>
        </w:rPr>
      </w:pPr>
      <w:r w:rsidRPr="00A809E6">
        <w:rPr>
          <w:rFonts w:asciiTheme="minorHAnsi" w:hAnsiTheme="minorHAnsi" w:cstheme="minorHAnsi"/>
          <w:sz w:val="22"/>
          <w:szCs w:val="22"/>
        </w:rPr>
        <w:t xml:space="preserve">Indeed, expenditure on hospital and secondary services can serve to mask the </w:t>
      </w:r>
      <w:r w:rsidRPr="00A809E6">
        <w:rPr>
          <w:rFonts w:asciiTheme="minorHAnsi" w:hAnsiTheme="minorHAnsi" w:cstheme="minorHAnsi"/>
          <w:b/>
          <w:sz w:val="22"/>
          <w:szCs w:val="22"/>
        </w:rPr>
        <w:t>fundamental inequity</w:t>
      </w:r>
      <w:r w:rsidRPr="00A809E6">
        <w:rPr>
          <w:rFonts w:asciiTheme="minorHAnsi" w:hAnsiTheme="minorHAnsi" w:cstheme="minorHAnsi"/>
          <w:sz w:val="22"/>
          <w:szCs w:val="22"/>
        </w:rPr>
        <w:t xml:space="preserve"> in the health system: in relation to primary health care. Our first recommendation is aimed at the Productivity Commission itself and is based on a recommendation in the AMA’s Indigenous Health Report Card 2018.</w:t>
      </w:r>
    </w:p>
    <w:p w14:paraId="7C1C6E5F" w14:textId="77777777" w:rsidR="0053050E" w:rsidRPr="00A809E6" w:rsidRDefault="0053050E" w:rsidP="00B549AE">
      <w:pPr>
        <w:rPr>
          <w:rFonts w:asciiTheme="minorHAnsi" w:hAnsiTheme="minorHAnsi" w:cstheme="minorHAnsi"/>
          <w:sz w:val="16"/>
          <w:szCs w:val="16"/>
        </w:rPr>
      </w:pPr>
    </w:p>
    <w:tbl>
      <w:tblPr>
        <w:tblStyle w:val="TableGrid"/>
        <w:tblW w:w="0" w:type="auto"/>
        <w:tblLook w:val="04A0" w:firstRow="1" w:lastRow="0" w:firstColumn="1" w:lastColumn="0" w:noHBand="0" w:noVBand="1"/>
      </w:tblPr>
      <w:tblGrid>
        <w:gridCol w:w="9020"/>
      </w:tblGrid>
      <w:tr w:rsidR="0053050E" w:rsidRPr="00A809E6" w14:paraId="7FDC6F77" w14:textId="77777777" w:rsidTr="001045CA">
        <w:tc>
          <w:tcPr>
            <w:tcW w:w="10450" w:type="dxa"/>
            <w:tcBorders>
              <w:top w:val="nil"/>
              <w:left w:val="nil"/>
              <w:bottom w:val="nil"/>
              <w:right w:val="nil"/>
            </w:tcBorders>
            <w:shd w:val="clear" w:color="auto" w:fill="FBE4D5" w:themeFill="accent2" w:themeFillTint="33"/>
          </w:tcPr>
          <w:p w14:paraId="69C32E84" w14:textId="77777777" w:rsidR="0053050E" w:rsidRPr="00A809E6" w:rsidRDefault="0053050E" w:rsidP="00B549AE">
            <w:pPr>
              <w:shd w:val="clear" w:color="auto" w:fill="FBE4D5" w:themeFill="accent2" w:themeFillTint="33"/>
              <w:rPr>
                <w:rFonts w:asciiTheme="minorHAnsi" w:hAnsiTheme="minorHAnsi" w:cstheme="minorHAnsi"/>
                <w:sz w:val="22"/>
                <w:szCs w:val="22"/>
              </w:rPr>
            </w:pPr>
            <w:r w:rsidRPr="00A809E6">
              <w:rPr>
                <w:rFonts w:asciiTheme="minorHAnsi" w:hAnsiTheme="minorHAnsi" w:cstheme="minorHAnsi"/>
                <w:sz w:val="22"/>
                <w:szCs w:val="22"/>
              </w:rPr>
              <w:t>Recommendation 1: The new Indigenous Productivity Commissioner role should report each year to Parliament (coincident with the PM’s ‘Closing the Gap Report’) on Aboriginal and Torres Strait Islander health expenditure overall, including mental health expenditure, but considering both public and private expenditure and level of need, and as a specific input to closing the health and life expectancy gap.</w:t>
            </w:r>
            <w:r w:rsidRPr="00A809E6">
              <w:rPr>
                <w:rStyle w:val="EndnoteReference"/>
                <w:rFonts w:asciiTheme="minorHAnsi" w:hAnsiTheme="minorHAnsi" w:cstheme="minorHAnsi"/>
                <w:sz w:val="22"/>
                <w:szCs w:val="22"/>
              </w:rPr>
              <w:endnoteReference w:id="12"/>
            </w:r>
          </w:p>
        </w:tc>
      </w:tr>
    </w:tbl>
    <w:p w14:paraId="46AD2F8D" w14:textId="77777777" w:rsidR="0053050E" w:rsidRPr="00A809E6" w:rsidRDefault="0053050E" w:rsidP="00B549AE">
      <w:pPr>
        <w:rPr>
          <w:rFonts w:asciiTheme="minorHAnsi" w:hAnsiTheme="minorHAnsi" w:cstheme="minorHAnsi"/>
          <w:sz w:val="16"/>
          <w:szCs w:val="16"/>
        </w:rPr>
      </w:pPr>
    </w:p>
    <w:p w14:paraId="7D060FDB" w14:textId="7565C67B" w:rsidR="0053050E" w:rsidRPr="00A809E6" w:rsidRDefault="0053050E" w:rsidP="00B549AE">
      <w:pPr>
        <w:rPr>
          <w:rFonts w:asciiTheme="minorHAnsi" w:hAnsiTheme="minorHAnsi" w:cstheme="minorHAnsi"/>
          <w:i/>
          <w:sz w:val="22"/>
          <w:szCs w:val="22"/>
        </w:rPr>
      </w:pPr>
      <w:r w:rsidRPr="00A809E6">
        <w:rPr>
          <w:rFonts w:asciiTheme="minorHAnsi" w:hAnsiTheme="minorHAnsi" w:cstheme="minorHAnsi"/>
          <w:i/>
          <w:sz w:val="22"/>
          <w:szCs w:val="22"/>
        </w:rPr>
        <w:t>3. The mental health system</w:t>
      </w:r>
    </w:p>
    <w:p w14:paraId="6C9B4A61" w14:textId="77777777" w:rsidR="0053050E" w:rsidRPr="00A809E6" w:rsidRDefault="0053050E" w:rsidP="00B549AE">
      <w:pPr>
        <w:rPr>
          <w:rFonts w:asciiTheme="minorHAnsi" w:hAnsiTheme="minorHAnsi" w:cstheme="minorHAnsi"/>
          <w:sz w:val="16"/>
          <w:szCs w:val="16"/>
        </w:rPr>
      </w:pPr>
    </w:p>
    <w:p w14:paraId="1C8154F7" w14:textId="316E94DB" w:rsidR="0053050E" w:rsidRPr="00A809E6" w:rsidRDefault="0053050E" w:rsidP="00B549AE">
      <w:pPr>
        <w:rPr>
          <w:rFonts w:asciiTheme="minorHAnsi" w:hAnsiTheme="minorHAnsi" w:cstheme="minorHAnsi"/>
          <w:sz w:val="22"/>
          <w:szCs w:val="22"/>
        </w:rPr>
      </w:pPr>
      <w:r w:rsidRPr="00A809E6">
        <w:rPr>
          <w:rFonts w:asciiTheme="minorHAnsi" w:hAnsiTheme="minorHAnsi" w:cstheme="minorHAnsi"/>
          <w:sz w:val="22"/>
          <w:szCs w:val="22"/>
        </w:rPr>
        <w:t xml:space="preserve">We began our submission with discussion about the health system overall because we believe the mental health system </w:t>
      </w:r>
      <w:r w:rsidRPr="00A809E6">
        <w:rPr>
          <w:rFonts w:asciiTheme="minorHAnsi" w:hAnsiTheme="minorHAnsi" w:cstheme="minorHAnsi"/>
          <w:b/>
          <w:sz w:val="22"/>
          <w:szCs w:val="22"/>
        </w:rPr>
        <w:t>precisely mirrors this situation.</w:t>
      </w:r>
      <w:r w:rsidRPr="00A809E6">
        <w:rPr>
          <w:rFonts w:asciiTheme="minorHAnsi" w:hAnsiTheme="minorHAnsi" w:cstheme="minorHAnsi"/>
          <w:sz w:val="22"/>
          <w:szCs w:val="22"/>
        </w:rPr>
        <w:t xml:space="preserve"> Yet expenditure on Aboriginal and Torres Strait Islander mental health is, at the moment, almost impossible to quantify. In the absence of expenditure data, the signs and patterns associated with a significant underspend on Aboriginal and Torres Strait Islander primary mental health care point to a similar underspend in relation to Aboriginal and Torres Strait Islander primary mental health care.</w:t>
      </w:r>
    </w:p>
    <w:p w14:paraId="28A54699" w14:textId="77777777" w:rsidR="0053050E" w:rsidRPr="00A809E6" w:rsidRDefault="0053050E" w:rsidP="00B549AE">
      <w:pPr>
        <w:rPr>
          <w:rFonts w:asciiTheme="minorHAnsi" w:hAnsiTheme="minorHAnsi" w:cstheme="minorHAnsi"/>
          <w:sz w:val="16"/>
          <w:szCs w:val="16"/>
        </w:rPr>
      </w:pPr>
    </w:p>
    <w:p w14:paraId="67921E44" w14:textId="11416DA0" w:rsidR="0053050E" w:rsidRPr="00A809E6" w:rsidRDefault="0053050E" w:rsidP="00A809E6">
      <w:pPr>
        <w:pStyle w:val="ListParagraph"/>
        <w:numPr>
          <w:ilvl w:val="0"/>
          <w:numId w:val="40"/>
        </w:numPr>
        <w:rPr>
          <w:rFonts w:asciiTheme="minorHAnsi" w:hAnsiTheme="minorHAnsi" w:cstheme="minorHAnsi"/>
          <w:sz w:val="22"/>
          <w:szCs w:val="22"/>
        </w:rPr>
      </w:pPr>
      <w:r w:rsidRPr="00A809E6">
        <w:rPr>
          <w:rFonts w:asciiTheme="minorHAnsi" w:hAnsiTheme="minorHAnsi" w:cstheme="minorHAnsi"/>
          <w:i/>
          <w:sz w:val="22"/>
          <w:szCs w:val="22"/>
        </w:rPr>
        <w:t>Assessing relative need</w:t>
      </w:r>
    </w:p>
    <w:p w14:paraId="75A76A74" w14:textId="77777777" w:rsidR="0053050E" w:rsidRPr="00A809E6" w:rsidRDefault="0053050E" w:rsidP="00B549AE">
      <w:pPr>
        <w:rPr>
          <w:rFonts w:asciiTheme="minorHAnsi" w:hAnsiTheme="minorHAnsi" w:cstheme="minorHAnsi"/>
          <w:sz w:val="16"/>
          <w:szCs w:val="16"/>
        </w:rPr>
      </w:pPr>
    </w:p>
    <w:p w14:paraId="32ABD80E" w14:textId="5F7FDFDA" w:rsidR="0053050E" w:rsidRPr="00A809E6" w:rsidRDefault="0053050E" w:rsidP="00EB68C4">
      <w:pPr>
        <w:autoSpaceDE w:val="0"/>
        <w:autoSpaceDN w:val="0"/>
        <w:adjustRightInd w:val="0"/>
        <w:rPr>
          <w:rFonts w:asciiTheme="minorHAnsi" w:hAnsiTheme="minorHAnsi" w:cstheme="minorHAnsi"/>
          <w:sz w:val="22"/>
          <w:szCs w:val="22"/>
          <w:lang w:val="en-US"/>
        </w:rPr>
      </w:pPr>
      <w:r w:rsidRPr="00A809E6">
        <w:rPr>
          <w:rFonts w:asciiTheme="minorHAnsi" w:hAnsiTheme="minorHAnsi" w:cstheme="minorHAnsi"/>
          <w:i/>
          <w:noProof/>
          <w:sz w:val="22"/>
          <w:szCs w:val="22"/>
          <w:lang w:eastAsia="en-AU"/>
        </w:rPr>
        <w:lastRenderedPageBreak/>
        <mc:AlternateContent>
          <mc:Choice Requires="wps">
            <w:drawing>
              <wp:anchor distT="0" distB="0" distL="114300" distR="114300" simplePos="0" relativeHeight="251662336" behindDoc="0" locked="0" layoutInCell="1" allowOverlap="1" wp14:anchorId="0E6E244B" wp14:editId="75C739C4">
                <wp:simplePos x="0" y="0"/>
                <wp:positionH relativeFrom="column">
                  <wp:posOffset>3089189</wp:posOffset>
                </wp:positionH>
                <wp:positionV relativeFrom="paragraph">
                  <wp:posOffset>-11670</wp:posOffset>
                </wp:positionV>
                <wp:extent cx="2685415" cy="3688492"/>
                <wp:effectExtent l="0" t="0" r="6985" b="762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85415" cy="3688492"/>
                        </a:xfrm>
                        <a:prstGeom prst="rect">
                          <a:avLst/>
                        </a:prstGeom>
                        <a:solidFill>
                          <a:schemeClr val="lt1">
                            <a:lumMod val="100000"/>
                            <a:lumOff val="0"/>
                          </a:schemeClr>
                        </a:solidFill>
                        <a:ln w="6350">
                          <a:solidFill>
                            <a:srgbClr val="000000"/>
                          </a:solidFill>
                          <a:miter lim="800000"/>
                          <a:headEnd/>
                          <a:tailEnd/>
                        </a:ln>
                      </wps:spPr>
                      <wps:txbx>
                        <w:txbxContent>
                          <w:p w14:paraId="06EDAED7" w14:textId="77777777" w:rsidR="00BA3BC3" w:rsidRPr="00C54DFC" w:rsidRDefault="00BA3BC3" w:rsidP="00C54DFC">
                            <w:pPr>
                              <w:shd w:val="clear" w:color="auto" w:fill="DEEAF6" w:themeFill="accent5" w:themeFillTint="33"/>
                              <w:jc w:val="center"/>
                              <w:rPr>
                                <w:rFonts w:asciiTheme="minorHAnsi" w:hAnsiTheme="minorHAnsi" w:cstheme="minorHAnsi"/>
                                <w:b/>
                                <w:i/>
                                <w:sz w:val="22"/>
                                <w:szCs w:val="22"/>
                              </w:rPr>
                            </w:pPr>
                            <w:r w:rsidRPr="00C54DFC">
                              <w:rPr>
                                <w:rFonts w:asciiTheme="minorHAnsi" w:hAnsiTheme="minorHAnsi" w:cstheme="minorHAnsi"/>
                                <w:b/>
                                <w:i/>
                                <w:sz w:val="22"/>
                                <w:szCs w:val="22"/>
                              </w:rPr>
                              <w:t>Note from the authors</w:t>
                            </w:r>
                          </w:p>
                          <w:p w14:paraId="6759307D" w14:textId="77777777" w:rsidR="00BA3BC3" w:rsidRPr="00C54DFC" w:rsidRDefault="00BA3BC3" w:rsidP="00C54DFC">
                            <w:pPr>
                              <w:shd w:val="clear" w:color="auto" w:fill="DEEAF6" w:themeFill="accent5" w:themeFillTint="33"/>
                              <w:jc w:val="center"/>
                              <w:rPr>
                                <w:rFonts w:asciiTheme="minorHAnsi" w:hAnsiTheme="minorHAnsi" w:cstheme="minorHAnsi"/>
                                <w:i/>
                                <w:sz w:val="16"/>
                                <w:szCs w:val="16"/>
                              </w:rPr>
                            </w:pPr>
                          </w:p>
                          <w:p w14:paraId="63A62910" w14:textId="58400823" w:rsidR="00BA3BC3" w:rsidRDefault="00BA3BC3" w:rsidP="00C54DFC">
                            <w:pPr>
                              <w:shd w:val="clear" w:color="auto" w:fill="DEEAF6" w:themeFill="accent5" w:themeFillTint="33"/>
                              <w:jc w:val="center"/>
                              <w:rPr>
                                <w:rFonts w:asciiTheme="minorHAnsi" w:hAnsiTheme="minorHAnsi" w:cstheme="minorHAnsi"/>
                                <w:i/>
                                <w:sz w:val="22"/>
                                <w:szCs w:val="22"/>
                              </w:rPr>
                            </w:pPr>
                            <w:r>
                              <w:rPr>
                                <w:rFonts w:asciiTheme="minorHAnsi" w:hAnsiTheme="minorHAnsi" w:cstheme="minorHAnsi"/>
                                <w:i/>
                                <w:sz w:val="22"/>
                                <w:szCs w:val="22"/>
                              </w:rPr>
                              <w:t xml:space="preserve">In assessing relative Aboriginal and Torres Strait Islander mental health need, we would like to make clear that the majority of mental health difficulties – at least those that are excess to the rates reported in the non-Indigenous population - are considered by us to require, and to a significant degree are preventable with equitable access to primary mental health care. Because of the potential misuse and misunderstanding of data on mental health difficulties, and as an exercise of Indigenous data sovereignty, we request that any further reference to data quoted from this submission should include an explanation that the excess of Indigenous mental health difficulties are potentially preventable and require equitable access to primary health care. </w:t>
                            </w:r>
                          </w:p>
                          <w:p w14:paraId="78823C1A" w14:textId="77777777" w:rsidR="00BA3BC3" w:rsidRDefault="00BA3B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E6E244B" id="_x0000_t202" coordsize="21600,21600" o:spt="202" path="m,l,21600r21600,l21600,xe">
                <v:stroke joinstyle="miter"/>
                <v:path gradientshapeok="t" o:connecttype="rect"/>
              </v:shapetype>
              <v:shape id="Text Box 1" o:spid="_x0000_s1026" type="#_x0000_t202" style="position:absolute;margin-left:243.25pt;margin-top:-.9pt;width:211.45pt;height:290.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" fillcolor="white [3201]" strokeweight=".5pt">
                <v:path arrowok="t"/>
                <v:textbox>
                  <w:txbxContent>
                    <w:p w14:paraId="06EDAED7" w14:textId="77777777" w:rsidR="00BA3BC3" w:rsidRPr="00C54DFC" w:rsidRDefault="00BA3BC3" w:rsidP="00C54DFC">
                      <w:pPr>
                        <w:shd w:val="clear" w:color="auto" w:fill="DEEAF6" w:themeFill="accent5" w:themeFillTint="33"/>
                        <w:jc w:val="center"/>
                        <w:rPr>
                          <w:rFonts w:asciiTheme="minorHAnsi" w:hAnsiTheme="minorHAnsi" w:cstheme="minorHAnsi"/>
                          <w:b/>
                          <w:i/>
                          <w:sz w:val="22"/>
                          <w:szCs w:val="22"/>
                        </w:rPr>
                      </w:pPr>
                      <w:r w:rsidRPr="00C54DFC">
                        <w:rPr>
                          <w:rFonts w:asciiTheme="minorHAnsi" w:hAnsiTheme="minorHAnsi" w:cstheme="minorHAnsi"/>
                          <w:b/>
                          <w:i/>
                          <w:sz w:val="22"/>
                          <w:szCs w:val="22"/>
                        </w:rPr>
                        <w:t>Note from the authors</w:t>
                      </w:r>
                    </w:p>
                    <w:p w14:paraId="6759307D" w14:textId="77777777" w:rsidR="00BA3BC3" w:rsidRPr="00C54DFC" w:rsidRDefault="00BA3BC3" w:rsidP="00C54DFC">
                      <w:pPr>
                        <w:shd w:val="clear" w:color="auto" w:fill="DEEAF6" w:themeFill="accent5" w:themeFillTint="33"/>
                        <w:jc w:val="center"/>
                        <w:rPr>
                          <w:rFonts w:asciiTheme="minorHAnsi" w:hAnsiTheme="minorHAnsi" w:cstheme="minorHAnsi"/>
                          <w:i/>
                          <w:sz w:val="16"/>
                          <w:szCs w:val="16"/>
                        </w:rPr>
                      </w:pPr>
                    </w:p>
                    <w:p w14:paraId="63A62910" w14:textId="58400823" w:rsidR="00BA3BC3" w:rsidRDefault="00BA3BC3" w:rsidP="00C54DFC">
                      <w:pPr>
                        <w:shd w:val="clear" w:color="auto" w:fill="DEEAF6" w:themeFill="accent5" w:themeFillTint="33"/>
                        <w:jc w:val="center"/>
                        <w:rPr>
                          <w:rFonts w:asciiTheme="minorHAnsi" w:hAnsiTheme="minorHAnsi" w:cstheme="minorHAnsi"/>
                          <w:i/>
                          <w:sz w:val="22"/>
                          <w:szCs w:val="22"/>
                        </w:rPr>
                      </w:pPr>
                      <w:r>
                        <w:rPr>
                          <w:rFonts w:asciiTheme="minorHAnsi" w:hAnsiTheme="minorHAnsi" w:cstheme="minorHAnsi"/>
                          <w:i/>
                          <w:sz w:val="22"/>
                          <w:szCs w:val="22"/>
                        </w:rPr>
                        <w:t xml:space="preserve">In assessing relative Aboriginal and Torres Strait Islander mental health need, we would like to make clear that the majority of mental health difficulties – at least those that are excess to the rates reported in the non-Indigenous population - are considered by us to require, and to a significant degree are preventable with equitable access to primary mental health care. Because of the potential misuse and misunderstanding of data on mental health difficulties, and as an exercise of Indigenous data sovereignty, we request that any further reference to data quoted from this submission should include an explanation that the excess of Indigenous mental health difficulties are potentially preventable and require equitable access to primary health care. </w:t>
                      </w:r>
                    </w:p>
                    <w:p w14:paraId="78823C1A" w14:textId="77777777" w:rsidR="00BA3BC3" w:rsidRDefault="00BA3BC3"/>
                  </w:txbxContent>
                </v:textbox>
                <w10:wrap type="square"/>
              </v:shape>
            </w:pict>
          </mc:Fallback>
        </mc:AlternateContent>
      </w:r>
      <w:r w:rsidRPr="00A809E6">
        <w:rPr>
          <w:rFonts w:asciiTheme="minorHAnsi" w:hAnsiTheme="minorHAnsi" w:cstheme="minorHAnsi"/>
          <w:sz w:val="22"/>
          <w:szCs w:val="22"/>
        </w:rPr>
        <w:t xml:space="preserve">The abovementioned AIHW burden of disease study reported that in 2011 combined multiple chronic disease groups were the leading causes of the Aboriginal and Torres Strait Islander health gap. However, </w:t>
      </w:r>
      <w:r w:rsidRPr="00A809E6">
        <w:rPr>
          <w:rFonts w:asciiTheme="minorHAnsi" w:hAnsiTheme="minorHAnsi" w:cstheme="minorHAnsi"/>
          <w:sz w:val="22"/>
          <w:szCs w:val="22"/>
          <w:lang w:val="en-US"/>
        </w:rPr>
        <w:t>mental health and substance use disorders (which are considered a single disease group) represented 19 per cent of the Aboriginal and Torres Strait Islander burden; and 14 per cent of the health ‘gap’ with non-Indigenous people</w:t>
      </w:r>
      <w:r w:rsidRPr="00A809E6">
        <w:rPr>
          <w:rStyle w:val="EndnoteReference"/>
          <w:rFonts w:asciiTheme="minorHAnsi" w:hAnsiTheme="minorHAnsi" w:cstheme="minorHAnsi"/>
          <w:sz w:val="22"/>
          <w:szCs w:val="22"/>
        </w:rPr>
        <w:endnoteReference w:id="13"/>
      </w:r>
      <w:r w:rsidRPr="00A809E6">
        <w:rPr>
          <w:rFonts w:asciiTheme="minorHAnsi" w:hAnsiTheme="minorHAnsi" w:cstheme="minorHAnsi"/>
          <w:sz w:val="22"/>
          <w:szCs w:val="22"/>
          <w:lang w:val="en-US"/>
        </w:rPr>
        <w:t>. This was the largest contribution of any single disease group to the Aboriginal and Torres Strait Islander burden of disease.</w:t>
      </w:r>
    </w:p>
    <w:p w14:paraId="058C6AEE" w14:textId="77777777" w:rsidR="0053050E" w:rsidRPr="00A809E6" w:rsidRDefault="0053050E" w:rsidP="00EB68C4">
      <w:pPr>
        <w:autoSpaceDE w:val="0"/>
        <w:autoSpaceDN w:val="0"/>
        <w:adjustRightInd w:val="0"/>
        <w:rPr>
          <w:rFonts w:asciiTheme="minorHAnsi" w:eastAsiaTheme="minorHAnsi" w:hAnsiTheme="minorHAnsi" w:cstheme="minorHAnsi"/>
          <w:sz w:val="22"/>
          <w:szCs w:val="22"/>
          <w:lang w:val="en-US"/>
        </w:rPr>
      </w:pPr>
    </w:p>
    <w:p w14:paraId="43D879F5" w14:textId="64F20C62" w:rsidR="0053050E" w:rsidRPr="00A809E6" w:rsidRDefault="0053050E" w:rsidP="00FE0E96">
      <w:pPr>
        <w:autoSpaceDE w:val="0"/>
        <w:autoSpaceDN w:val="0"/>
        <w:adjustRightInd w:val="0"/>
        <w:rPr>
          <w:rFonts w:asciiTheme="minorHAnsi" w:hAnsiTheme="minorHAnsi" w:cstheme="minorHAnsi"/>
          <w:sz w:val="22"/>
          <w:szCs w:val="22"/>
        </w:rPr>
      </w:pPr>
      <w:r w:rsidRPr="00A809E6">
        <w:rPr>
          <w:rFonts w:asciiTheme="minorHAnsi" w:hAnsiTheme="minorHAnsi" w:cstheme="minorHAnsi"/>
          <w:sz w:val="22"/>
          <w:szCs w:val="22"/>
          <w:lang w:val="en-US"/>
        </w:rPr>
        <w:t>This picture is replicated within data</w:t>
      </w:r>
      <w:r w:rsidR="00A5452D">
        <w:rPr>
          <w:rFonts w:asciiTheme="minorHAnsi" w:hAnsiTheme="minorHAnsi" w:cstheme="minorHAnsi"/>
          <w:sz w:val="22"/>
          <w:szCs w:val="22"/>
          <w:lang w:val="en-US"/>
        </w:rPr>
        <w:t xml:space="preserve"> from</w:t>
      </w:r>
      <w:r w:rsidRPr="00A809E6">
        <w:rPr>
          <w:rFonts w:asciiTheme="minorHAnsi" w:hAnsiTheme="minorHAnsi" w:cstheme="minorHAnsi"/>
          <w:sz w:val="22"/>
          <w:szCs w:val="22"/>
          <w:lang w:val="en-US"/>
        </w:rPr>
        <w:t xml:space="preserve"> other sources. </w:t>
      </w:r>
      <w:r w:rsidRPr="00A809E6">
        <w:rPr>
          <w:rFonts w:asciiTheme="minorHAnsi" w:hAnsiTheme="minorHAnsi" w:cstheme="minorHAnsi"/>
          <w:sz w:val="22"/>
          <w:szCs w:val="22"/>
        </w:rPr>
        <w:t>In the 2014-15 ABS Aboriginal and Torres Strait Islander social survey, for example, 29 per cent of respondents self-reported a diagnosed mental health condition: depression; anxiety; behavioural or emotional problems; and/or harmful use of, or dependence on drugs or alcohol over their lifetime</w:t>
      </w:r>
      <w:r w:rsidRPr="00A809E6">
        <w:rPr>
          <w:rFonts w:asciiTheme="minorHAnsi" w:hAnsiTheme="minorHAnsi" w:cstheme="minorHAnsi"/>
          <w:vertAlign w:val="superscript"/>
        </w:rPr>
        <w:endnoteReference w:id="14"/>
      </w:r>
      <w:r w:rsidRPr="00A809E6">
        <w:rPr>
          <w:rFonts w:asciiTheme="minorHAnsi" w:hAnsiTheme="minorHAnsi" w:cstheme="minorHAnsi"/>
          <w:sz w:val="22"/>
          <w:szCs w:val="22"/>
        </w:rPr>
        <w:t xml:space="preserve">. </w:t>
      </w:r>
    </w:p>
    <w:p w14:paraId="62CB7A4D" w14:textId="05271BDA" w:rsidR="0053050E" w:rsidRPr="00A809E6" w:rsidRDefault="0053050E" w:rsidP="00C54DFC">
      <w:pPr>
        <w:pStyle w:val="NormalWeb"/>
        <w:spacing w:before="0" w:beforeAutospacing="0" w:after="0" w:afterAutospacing="0"/>
        <w:rPr>
          <w:rFonts w:asciiTheme="minorHAnsi" w:hAnsiTheme="minorHAnsi" w:cstheme="minorHAnsi"/>
          <w:sz w:val="22"/>
          <w:szCs w:val="22"/>
          <w:lang w:val="en-US"/>
        </w:rPr>
      </w:pPr>
      <w:r w:rsidRPr="00A809E6">
        <w:rPr>
          <w:rFonts w:asciiTheme="minorHAnsi" w:hAnsiTheme="minorHAnsi" w:cstheme="minorHAnsi"/>
          <w:sz w:val="22"/>
          <w:szCs w:val="22"/>
          <w:lang w:val="en-US"/>
        </w:rPr>
        <w:t xml:space="preserve">Indeed, the AIHW burden of disease study estimates the </w:t>
      </w:r>
      <w:r w:rsidRPr="00A809E6">
        <w:rPr>
          <w:rFonts w:asciiTheme="minorHAnsi" w:hAnsiTheme="minorHAnsi" w:cstheme="minorHAnsi"/>
          <w:sz w:val="22"/>
          <w:szCs w:val="22"/>
        </w:rPr>
        <w:t xml:space="preserve">Aboriginal and Torres Strait Islander burden of mental health and substance abuse disorders to be </w:t>
      </w:r>
      <w:r w:rsidRPr="00A809E6">
        <w:rPr>
          <w:rFonts w:asciiTheme="minorHAnsi" w:hAnsiTheme="minorHAnsi" w:cstheme="minorHAnsi"/>
          <w:b/>
          <w:sz w:val="22"/>
          <w:szCs w:val="22"/>
        </w:rPr>
        <w:t>2.4 times greater</w:t>
      </w:r>
      <w:r w:rsidRPr="00A809E6">
        <w:rPr>
          <w:rFonts w:asciiTheme="minorHAnsi" w:hAnsiTheme="minorHAnsi" w:cstheme="minorHAnsi"/>
          <w:sz w:val="22"/>
          <w:szCs w:val="22"/>
        </w:rPr>
        <w:t xml:space="preserve"> than the non-Indigenous burden</w:t>
      </w:r>
      <w:r w:rsidRPr="00A809E6">
        <w:rPr>
          <w:rFonts w:asciiTheme="minorHAnsi" w:hAnsiTheme="minorHAnsi" w:cstheme="minorHAnsi"/>
          <w:sz w:val="22"/>
          <w:szCs w:val="22"/>
          <w:lang w:val="en-US"/>
        </w:rPr>
        <w:t>.</w:t>
      </w:r>
      <w:r w:rsidRPr="00A809E6">
        <w:rPr>
          <w:rStyle w:val="EndnoteReference"/>
          <w:rFonts w:asciiTheme="minorHAnsi" w:hAnsiTheme="minorHAnsi" w:cstheme="minorHAnsi"/>
          <w:sz w:val="22"/>
          <w:szCs w:val="22"/>
          <w:lang w:val="en-US"/>
        </w:rPr>
        <w:endnoteReference w:id="15"/>
      </w:r>
      <w:r w:rsidRPr="00A809E6">
        <w:rPr>
          <w:rFonts w:asciiTheme="minorHAnsi" w:hAnsiTheme="minorHAnsi" w:cstheme="minorHAnsi"/>
          <w:sz w:val="22"/>
          <w:szCs w:val="22"/>
          <w:lang w:val="en-US"/>
        </w:rPr>
        <w:t xml:space="preserve"> Within this estimate, the burden of alcohol </w:t>
      </w:r>
      <w:r w:rsidRPr="00A809E6">
        <w:rPr>
          <w:rFonts w:asciiTheme="minorHAnsi" w:hAnsiTheme="minorHAnsi" w:cstheme="minorHAnsi"/>
          <w:sz w:val="22"/>
          <w:szCs w:val="22"/>
        </w:rPr>
        <w:t xml:space="preserve">disorders was </w:t>
      </w:r>
      <w:r w:rsidRPr="00A809E6">
        <w:rPr>
          <w:rFonts w:asciiTheme="minorHAnsi" w:hAnsiTheme="minorHAnsi" w:cstheme="minorHAnsi"/>
          <w:b/>
          <w:sz w:val="22"/>
          <w:szCs w:val="22"/>
        </w:rPr>
        <w:t>5 times greater</w:t>
      </w:r>
      <w:r w:rsidRPr="00A809E6">
        <w:rPr>
          <w:rFonts w:asciiTheme="minorHAnsi" w:hAnsiTheme="minorHAnsi" w:cstheme="minorHAnsi"/>
          <w:sz w:val="22"/>
          <w:szCs w:val="22"/>
        </w:rPr>
        <w:t xml:space="preserve">, intellectual disability </w:t>
      </w:r>
      <w:r w:rsidRPr="00A809E6">
        <w:rPr>
          <w:rFonts w:asciiTheme="minorHAnsi" w:hAnsiTheme="minorHAnsi" w:cstheme="minorHAnsi"/>
          <w:b/>
          <w:sz w:val="22"/>
          <w:szCs w:val="22"/>
        </w:rPr>
        <w:t>3.4 times</w:t>
      </w:r>
      <w:r w:rsidRPr="00A809E6">
        <w:rPr>
          <w:rFonts w:asciiTheme="minorHAnsi" w:hAnsiTheme="minorHAnsi" w:cstheme="minorHAnsi"/>
          <w:sz w:val="22"/>
          <w:szCs w:val="22"/>
        </w:rPr>
        <w:t xml:space="preserve"> </w:t>
      </w:r>
      <w:r w:rsidRPr="00A809E6">
        <w:rPr>
          <w:rFonts w:asciiTheme="minorHAnsi" w:hAnsiTheme="minorHAnsi" w:cstheme="minorHAnsi"/>
          <w:b/>
          <w:sz w:val="22"/>
          <w:szCs w:val="22"/>
        </w:rPr>
        <w:t>greater</w:t>
      </w:r>
      <w:r w:rsidRPr="00A809E6">
        <w:rPr>
          <w:rFonts w:asciiTheme="minorHAnsi" w:hAnsiTheme="minorHAnsi" w:cstheme="minorHAnsi"/>
          <w:sz w:val="22"/>
          <w:szCs w:val="22"/>
        </w:rPr>
        <w:t xml:space="preserve">, conduct disorder </w:t>
      </w:r>
      <w:r w:rsidRPr="00A809E6">
        <w:rPr>
          <w:rFonts w:asciiTheme="minorHAnsi" w:hAnsiTheme="minorHAnsi" w:cstheme="minorHAnsi"/>
          <w:b/>
          <w:sz w:val="22"/>
          <w:szCs w:val="22"/>
        </w:rPr>
        <w:t>3.4 times greater</w:t>
      </w:r>
      <w:r w:rsidRPr="00A809E6">
        <w:rPr>
          <w:rFonts w:asciiTheme="minorHAnsi" w:hAnsiTheme="minorHAnsi" w:cstheme="minorHAnsi"/>
          <w:sz w:val="22"/>
          <w:szCs w:val="22"/>
        </w:rPr>
        <w:t xml:space="preserve"> and schizophrenia </w:t>
      </w:r>
      <w:r w:rsidRPr="00A809E6">
        <w:rPr>
          <w:rFonts w:asciiTheme="minorHAnsi" w:hAnsiTheme="minorHAnsi" w:cstheme="minorHAnsi"/>
          <w:b/>
          <w:sz w:val="22"/>
          <w:szCs w:val="22"/>
        </w:rPr>
        <w:t>3.3 times</w:t>
      </w:r>
      <w:r w:rsidRPr="00A809E6">
        <w:rPr>
          <w:rFonts w:asciiTheme="minorHAnsi" w:hAnsiTheme="minorHAnsi" w:cstheme="minorHAnsi"/>
          <w:sz w:val="22"/>
          <w:szCs w:val="22"/>
        </w:rPr>
        <w:t xml:space="preserve"> </w:t>
      </w:r>
      <w:r w:rsidRPr="00A809E6">
        <w:rPr>
          <w:rFonts w:asciiTheme="minorHAnsi" w:hAnsiTheme="minorHAnsi" w:cstheme="minorHAnsi"/>
          <w:b/>
          <w:sz w:val="22"/>
          <w:szCs w:val="22"/>
        </w:rPr>
        <w:t>greater</w:t>
      </w:r>
      <w:r w:rsidRPr="00A809E6">
        <w:rPr>
          <w:rFonts w:asciiTheme="minorHAnsi" w:hAnsiTheme="minorHAnsi" w:cstheme="minorHAnsi"/>
          <w:sz w:val="22"/>
          <w:szCs w:val="22"/>
        </w:rPr>
        <w:t>.</w:t>
      </w:r>
      <w:r w:rsidRPr="00A809E6">
        <w:rPr>
          <w:rStyle w:val="EndnoteReference"/>
          <w:rFonts w:cstheme="minorHAnsi"/>
          <w:szCs w:val="22"/>
        </w:rPr>
        <w:endnoteReference w:id="16"/>
      </w:r>
      <w:r w:rsidRPr="00A809E6">
        <w:rPr>
          <w:rFonts w:asciiTheme="minorHAnsi" w:hAnsiTheme="minorHAnsi" w:cstheme="minorHAnsi"/>
          <w:sz w:val="22"/>
          <w:szCs w:val="22"/>
        </w:rPr>
        <w:t xml:space="preserve"> </w:t>
      </w:r>
      <w:r w:rsidRPr="00A809E6">
        <w:rPr>
          <w:rFonts w:asciiTheme="minorHAnsi" w:hAnsiTheme="minorHAnsi" w:cstheme="minorHAnsi"/>
          <w:sz w:val="22"/>
          <w:szCs w:val="22"/>
          <w:lang w:val="en-US"/>
        </w:rPr>
        <w:t xml:space="preserve">But it should be noted that otherwise the overall 2.4 times greater rate estimate accounts for clinically identifiable conditions only, and </w:t>
      </w:r>
      <w:r w:rsidRPr="00A809E6">
        <w:rPr>
          <w:rFonts w:asciiTheme="minorHAnsi" w:hAnsiTheme="minorHAnsi" w:cstheme="minorHAnsi"/>
          <w:b/>
          <w:sz w:val="22"/>
          <w:szCs w:val="22"/>
          <w:lang w:val="en-US"/>
        </w:rPr>
        <w:t>excludes psychological distress self-harm and suicidal behaviours</w:t>
      </w:r>
      <w:r w:rsidRPr="00A809E6">
        <w:rPr>
          <w:rStyle w:val="EndnoteReference"/>
          <w:rFonts w:asciiTheme="minorHAnsi" w:hAnsiTheme="minorHAnsi" w:cstheme="minorHAnsi"/>
          <w:sz w:val="22"/>
          <w:szCs w:val="22"/>
          <w:lang w:val="en-US"/>
        </w:rPr>
        <w:endnoteReference w:id="17"/>
      </w:r>
      <w:r w:rsidRPr="00A809E6">
        <w:rPr>
          <w:rFonts w:asciiTheme="minorHAnsi" w:hAnsiTheme="minorHAnsi" w:cstheme="minorHAnsi"/>
          <w:sz w:val="22"/>
          <w:szCs w:val="22"/>
          <w:lang w:val="en-US"/>
        </w:rPr>
        <w:t xml:space="preserve">. </w:t>
      </w:r>
    </w:p>
    <w:p w14:paraId="331FD50F" w14:textId="77777777" w:rsidR="0053050E" w:rsidRPr="00A809E6" w:rsidRDefault="0053050E" w:rsidP="00C54DFC">
      <w:pPr>
        <w:pStyle w:val="NormalWeb"/>
        <w:spacing w:before="0" w:beforeAutospacing="0" w:after="0" w:afterAutospacing="0"/>
        <w:rPr>
          <w:rFonts w:asciiTheme="minorHAnsi" w:hAnsiTheme="minorHAnsi" w:cstheme="minorHAnsi"/>
          <w:sz w:val="22"/>
          <w:szCs w:val="22"/>
        </w:rPr>
      </w:pPr>
    </w:p>
    <w:p w14:paraId="673D684E" w14:textId="79FB4457" w:rsidR="0053050E" w:rsidRDefault="0053050E" w:rsidP="00FE0E96">
      <w:pPr>
        <w:autoSpaceDE w:val="0"/>
        <w:autoSpaceDN w:val="0"/>
        <w:adjustRightInd w:val="0"/>
        <w:rPr>
          <w:rFonts w:asciiTheme="minorHAnsi" w:hAnsiTheme="minorHAnsi" w:cstheme="minorHAnsi"/>
          <w:sz w:val="22"/>
          <w:szCs w:val="22"/>
          <w:lang w:val="en-US"/>
        </w:rPr>
      </w:pPr>
      <w:r w:rsidRPr="00A809E6">
        <w:rPr>
          <w:rFonts w:asciiTheme="minorHAnsi" w:hAnsiTheme="minorHAnsi" w:cstheme="minorHAnsi"/>
          <w:sz w:val="22"/>
          <w:szCs w:val="22"/>
          <w:lang w:val="en-US"/>
        </w:rPr>
        <w:t>Prevalence of these latter three mental health difficulties are discussed below:</w:t>
      </w:r>
    </w:p>
    <w:p w14:paraId="3779C500" w14:textId="77777777" w:rsidR="00A809E6" w:rsidRPr="00A809E6" w:rsidRDefault="00A809E6" w:rsidP="00FE0E96">
      <w:pPr>
        <w:autoSpaceDE w:val="0"/>
        <w:autoSpaceDN w:val="0"/>
        <w:adjustRightInd w:val="0"/>
        <w:rPr>
          <w:rFonts w:asciiTheme="minorHAnsi" w:hAnsiTheme="minorHAnsi" w:cstheme="minorHAnsi"/>
          <w:sz w:val="22"/>
          <w:szCs w:val="22"/>
          <w:lang w:val="en-US"/>
        </w:rPr>
      </w:pPr>
    </w:p>
    <w:p w14:paraId="0D5D3E63" w14:textId="0970603E" w:rsidR="0053050E" w:rsidRPr="00A809E6" w:rsidRDefault="0053050E" w:rsidP="00C54DFC">
      <w:pPr>
        <w:pStyle w:val="ListParagraph"/>
        <w:numPr>
          <w:ilvl w:val="0"/>
          <w:numId w:val="13"/>
        </w:numPr>
        <w:rPr>
          <w:rFonts w:asciiTheme="minorHAnsi" w:hAnsiTheme="minorHAnsi" w:cstheme="minorHAnsi"/>
          <w:sz w:val="22"/>
          <w:szCs w:val="22"/>
        </w:rPr>
      </w:pPr>
      <w:r w:rsidRPr="00A809E6">
        <w:rPr>
          <w:rFonts w:asciiTheme="minorHAnsi" w:hAnsiTheme="minorHAnsi" w:cstheme="minorHAnsi"/>
          <w:sz w:val="22"/>
          <w:szCs w:val="22"/>
        </w:rPr>
        <w:t xml:space="preserve">The 2012-13 ABS national Aboriginal and Torres Strait Islander health survey reported the proportion of Aboriginal and Torres Strait Islander adults assessed using the K-5 with high/very high levels of psychological distress in about 30 per cent of Aboriginal and Torres Strait Islander respondents: </w:t>
      </w:r>
      <w:r w:rsidRPr="00A809E6">
        <w:rPr>
          <w:rFonts w:asciiTheme="minorHAnsi" w:hAnsiTheme="minorHAnsi" w:cstheme="minorHAnsi"/>
          <w:b/>
          <w:sz w:val="22"/>
          <w:szCs w:val="22"/>
        </w:rPr>
        <w:t>2.7 times the rate</w:t>
      </w:r>
      <w:r w:rsidRPr="00A809E6">
        <w:rPr>
          <w:rFonts w:asciiTheme="minorHAnsi" w:hAnsiTheme="minorHAnsi" w:cstheme="minorHAnsi"/>
          <w:sz w:val="22"/>
          <w:szCs w:val="22"/>
        </w:rPr>
        <w:t xml:space="preserve"> of their non-Indigenous peers</w:t>
      </w:r>
      <w:r w:rsidRPr="00A809E6">
        <w:rPr>
          <w:vertAlign w:val="superscript"/>
        </w:rPr>
        <w:endnoteReference w:id="18"/>
      </w:r>
      <w:r w:rsidRPr="00A809E6">
        <w:rPr>
          <w:rFonts w:asciiTheme="minorHAnsi" w:hAnsiTheme="minorHAnsi" w:cstheme="minorHAnsi"/>
          <w:sz w:val="22"/>
          <w:szCs w:val="22"/>
          <w:vertAlign w:val="superscript"/>
        </w:rPr>
        <w:t>.</w:t>
      </w:r>
      <w:r w:rsidRPr="00A809E6">
        <w:rPr>
          <w:rFonts w:asciiTheme="minorHAnsi" w:hAnsiTheme="minorHAnsi" w:cstheme="minorHAnsi"/>
          <w:sz w:val="22"/>
          <w:szCs w:val="22"/>
        </w:rPr>
        <w:t xml:space="preserve"> </w:t>
      </w:r>
    </w:p>
    <w:p w14:paraId="4D2F028D" w14:textId="3728D77B" w:rsidR="0053050E" w:rsidRPr="00A809E6" w:rsidRDefault="0053050E" w:rsidP="00C54DFC">
      <w:pPr>
        <w:pStyle w:val="ListParagraph"/>
        <w:numPr>
          <w:ilvl w:val="0"/>
          <w:numId w:val="13"/>
        </w:numPr>
        <w:autoSpaceDE w:val="0"/>
        <w:autoSpaceDN w:val="0"/>
        <w:adjustRightInd w:val="0"/>
        <w:rPr>
          <w:rFonts w:asciiTheme="minorHAnsi" w:hAnsiTheme="minorHAnsi" w:cstheme="minorHAnsi"/>
          <w:sz w:val="22"/>
          <w:szCs w:val="22"/>
        </w:rPr>
      </w:pPr>
      <w:r w:rsidRPr="00A809E6">
        <w:rPr>
          <w:rFonts w:asciiTheme="minorHAnsi" w:hAnsiTheme="minorHAnsi" w:cstheme="minorHAnsi"/>
          <w:sz w:val="22"/>
          <w:szCs w:val="22"/>
        </w:rPr>
        <w:t xml:space="preserve">Over 2011-15, the Aboriginal and Torres Strait Islander suicide rate was </w:t>
      </w:r>
      <w:r w:rsidRPr="00A809E6">
        <w:rPr>
          <w:rFonts w:asciiTheme="minorHAnsi" w:hAnsiTheme="minorHAnsi" w:cstheme="minorHAnsi"/>
          <w:b/>
          <w:sz w:val="22"/>
          <w:szCs w:val="22"/>
        </w:rPr>
        <w:t>2.1 times the rate</w:t>
      </w:r>
      <w:r w:rsidRPr="00A809E6">
        <w:rPr>
          <w:rFonts w:asciiTheme="minorHAnsi" w:hAnsiTheme="minorHAnsi" w:cstheme="minorHAnsi"/>
          <w:sz w:val="22"/>
          <w:szCs w:val="22"/>
        </w:rPr>
        <w:t xml:space="preserve"> of non-Indigenous people.</w:t>
      </w:r>
      <w:r w:rsidRPr="00A809E6">
        <w:rPr>
          <w:rStyle w:val="EndnoteReference"/>
          <w:rFonts w:asciiTheme="minorHAnsi" w:hAnsiTheme="minorHAnsi" w:cstheme="minorHAnsi"/>
          <w:sz w:val="22"/>
          <w:szCs w:val="22"/>
        </w:rPr>
        <w:endnoteReference w:id="19"/>
      </w:r>
    </w:p>
    <w:p w14:paraId="1F81C9F8" w14:textId="34DF62ED" w:rsidR="0053050E" w:rsidRPr="00A809E6" w:rsidRDefault="0053050E" w:rsidP="00C54DFC">
      <w:pPr>
        <w:pStyle w:val="ListParagraph"/>
        <w:numPr>
          <w:ilvl w:val="0"/>
          <w:numId w:val="13"/>
        </w:numPr>
        <w:autoSpaceDE w:val="0"/>
        <w:autoSpaceDN w:val="0"/>
        <w:adjustRightInd w:val="0"/>
        <w:rPr>
          <w:rFonts w:asciiTheme="minorHAnsi" w:hAnsiTheme="minorHAnsi" w:cstheme="minorHAnsi"/>
          <w:sz w:val="22"/>
          <w:szCs w:val="22"/>
        </w:rPr>
      </w:pPr>
      <w:r w:rsidRPr="00A809E6">
        <w:rPr>
          <w:rFonts w:asciiTheme="minorHAnsi" w:hAnsiTheme="minorHAnsi" w:cstheme="minorHAnsi"/>
          <w:sz w:val="22"/>
          <w:szCs w:val="22"/>
        </w:rPr>
        <w:t xml:space="preserve">The AIHW burden of disease study further reported that suicide and self-harm contributed an additional (we calculate) </w:t>
      </w:r>
      <w:r w:rsidRPr="00A809E6">
        <w:rPr>
          <w:rFonts w:asciiTheme="minorHAnsi" w:hAnsiTheme="minorHAnsi" w:cstheme="minorHAnsi"/>
          <w:b/>
          <w:sz w:val="22"/>
          <w:szCs w:val="22"/>
        </w:rPr>
        <w:t>five per cent</w:t>
      </w:r>
      <w:r w:rsidRPr="00A809E6">
        <w:rPr>
          <w:rFonts w:asciiTheme="minorHAnsi" w:hAnsiTheme="minorHAnsi" w:cstheme="minorHAnsi"/>
          <w:sz w:val="22"/>
          <w:szCs w:val="22"/>
        </w:rPr>
        <w:t xml:space="preserve"> or so to the Aboriginal and Torres Strait Islander burden of disease. (Our calculations are based on suicide and self-harm accounting for 30 percent of the ‘injuries’ category within the burden of disease study, which, in turn, total contributed 15 per cent to the overall disease burden</w:t>
      </w:r>
      <w:r w:rsidRPr="00A809E6">
        <w:rPr>
          <w:rStyle w:val="EndnoteReference"/>
          <w:rFonts w:asciiTheme="minorHAnsi" w:hAnsiTheme="minorHAnsi" w:cstheme="minorHAnsi"/>
          <w:sz w:val="22"/>
          <w:szCs w:val="22"/>
          <w:lang w:val="en-US"/>
        </w:rPr>
        <w:endnoteReference w:id="20"/>
      </w:r>
      <w:r w:rsidRPr="00A809E6">
        <w:rPr>
          <w:rFonts w:asciiTheme="minorHAnsi" w:hAnsiTheme="minorHAnsi" w:cstheme="minorHAnsi"/>
          <w:sz w:val="22"/>
          <w:szCs w:val="22"/>
        </w:rPr>
        <w:t xml:space="preserve">.)  </w:t>
      </w:r>
    </w:p>
    <w:p w14:paraId="512DF467" w14:textId="77777777" w:rsidR="0053050E" w:rsidRPr="00A809E6" w:rsidRDefault="0053050E" w:rsidP="00C54DFC">
      <w:pPr>
        <w:pStyle w:val="ListParagraph"/>
        <w:autoSpaceDE w:val="0"/>
        <w:autoSpaceDN w:val="0"/>
        <w:adjustRightInd w:val="0"/>
        <w:ind w:left="360"/>
        <w:rPr>
          <w:rFonts w:asciiTheme="minorHAnsi" w:hAnsiTheme="minorHAnsi" w:cstheme="minorHAnsi"/>
          <w:sz w:val="22"/>
          <w:szCs w:val="22"/>
        </w:rPr>
      </w:pPr>
    </w:p>
    <w:p w14:paraId="662D21C1" w14:textId="327A4FF6" w:rsidR="00BA3BC3" w:rsidRPr="00A809E6" w:rsidRDefault="0053050E" w:rsidP="00C54DFC">
      <w:pPr>
        <w:autoSpaceDE w:val="0"/>
        <w:autoSpaceDN w:val="0"/>
        <w:adjustRightInd w:val="0"/>
        <w:rPr>
          <w:rFonts w:asciiTheme="minorHAnsi" w:hAnsiTheme="minorHAnsi" w:cstheme="minorHAnsi"/>
          <w:sz w:val="22"/>
          <w:szCs w:val="22"/>
        </w:rPr>
      </w:pPr>
      <w:r w:rsidRPr="00A809E6">
        <w:rPr>
          <w:rFonts w:asciiTheme="minorHAnsi" w:hAnsiTheme="minorHAnsi" w:cstheme="minorHAnsi"/>
          <w:sz w:val="22"/>
          <w:szCs w:val="22"/>
        </w:rPr>
        <w:t xml:space="preserve">Taking all the above into account, we </w:t>
      </w:r>
      <w:r w:rsidRPr="00A809E6">
        <w:rPr>
          <w:rFonts w:asciiTheme="minorHAnsi" w:hAnsiTheme="minorHAnsi" w:cstheme="minorHAnsi"/>
          <w:b/>
          <w:sz w:val="22"/>
          <w:szCs w:val="22"/>
        </w:rPr>
        <w:t>conservatively</w:t>
      </w:r>
      <w:r w:rsidRPr="00A809E6">
        <w:rPr>
          <w:rFonts w:asciiTheme="minorHAnsi" w:hAnsiTheme="minorHAnsi" w:cstheme="minorHAnsi"/>
          <w:sz w:val="22"/>
          <w:szCs w:val="22"/>
        </w:rPr>
        <w:t xml:space="preserve"> estimate that the total burden of mental health difficulties to be about </w:t>
      </w:r>
      <w:r w:rsidRPr="00A809E6">
        <w:rPr>
          <w:rFonts w:asciiTheme="minorHAnsi" w:hAnsiTheme="minorHAnsi" w:cstheme="minorHAnsi"/>
          <w:b/>
          <w:sz w:val="22"/>
          <w:szCs w:val="22"/>
        </w:rPr>
        <w:t>3 times greater</w:t>
      </w:r>
      <w:r w:rsidRPr="00A809E6">
        <w:rPr>
          <w:rFonts w:asciiTheme="minorHAnsi" w:hAnsiTheme="minorHAnsi" w:cstheme="minorHAnsi"/>
          <w:sz w:val="22"/>
          <w:szCs w:val="22"/>
        </w:rPr>
        <w:t xml:space="preserve"> in the Aboriginal and Torres Strait Islander population, when compared to the non-Indigenous. This estimate is also used hereon as the basis of a broad Aboriginal and Torres Strait Islander mental health needs index.</w:t>
      </w:r>
    </w:p>
    <w:p w14:paraId="05CE8BF2" w14:textId="77777777" w:rsidR="0053050E" w:rsidRPr="00A809E6" w:rsidRDefault="0053050E" w:rsidP="00B549AE">
      <w:pPr>
        <w:rPr>
          <w:rFonts w:asciiTheme="minorHAnsi" w:hAnsiTheme="minorHAnsi" w:cstheme="minorHAnsi"/>
          <w:sz w:val="16"/>
          <w:szCs w:val="16"/>
        </w:rPr>
      </w:pPr>
    </w:p>
    <w:p w14:paraId="5FDB7D35" w14:textId="70E9161C" w:rsidR="0053050E" w:rsidRPr="00A809E6" w:rsidRDefault="0053050E" w:rsidP="00A809E6">
      <w:pPr>
        <w:pStyle w:val="ListParagraph"/>
        <w:numPr>
          <w:ilvl w:val="0"/>
          <w:numId w:val="40"/>
        </w:numPr>
        <w:rPr>
          <w:rFonts w:asciiTheme="minorHAnsi" w:hAnsiTheme="minorHAnsi" w:cstheme="minorHAnsi"/>
          <w:i/>
          <w:sz w:val="22"/>
          <w:szCs w:val="22"/>
        </w:rPr>
      </w:pPr>
      <w:r w:rsidRPr="00A809E6">
        <w:rPr>
          <w:rFonts w:asciiTheme="minorHAnsi" w:hAnsiTheme="minorHAnsi" w:cstheme="minorHAnsi"/>
          <w:i/>
          <w:sz w:val="22"/>
          <w:szCs w:val="22"/>
        </w:rPr>
        <w:t>Assessing mental health expenditure against relative need</w:t>
      </w:r>
    </w:p>
    <w:p w14:paraId="025F403C" w14:textId="77777777" w:rsidR="0053050E" w:rsidRPr="00A809E6" w:rsidRDefault="0053050E" w:rsidP="00B549AE">
      <w:pPr>
        <w:pStyle w:val="ListParagraph"/>
        <w:ind w:left="360"/>
        <w:rPr>
          <w:rFonts w:asciiTheme="minorHAnsi" w:hAnsiTheme="minorHAnsi" w:cstheme="minorHAnsi"/>
          <w:i/>
          <w:sz w:val="16"/>
          <w:szCs w:val="16"/>
        </w:rPr>
      </w:pPr>
    </w:p>
    <w:p w14:paraId="1B2FF971" w14:textId="55877388" w:rsidR="0053050E" w:rsidRDefault="0053050E" w:rsidP="00B549AE">
      <w:pPr>
        <w:rPr>
          <w:rFonts w:asciiTheme="minorHAnsi" w:hAnsiTheme="minorHAnsi" w:cstheme="minorHAnsi"/>
          <w:sz w:val="22"/>
          <w:szCs w:val="22"/>
        </w:rPr>
      </w:pPr>
      <w:r w:rsidRPr="00A809E6">
        <w:rPr>
          <w:rFonts w:asciiTheme="minorHAnsi" w:hAnsiTheme="minorHAnsi" w:cstheme="minorHAnsi"/>
          <w:sz w:val="22"/>
          <w:szCs w:val="22"/>
        </w:rPr>
        <w:t>The AIHW also estimate the national recurrent expenditure on total population mental health-related services to be around $9.1 billion in 2016–17: about $375 per person</w:t>
      </w:r>
      <w:r w:rsidRPr="00A809E6">
        <w:rPr>
          <w:rStyle w:val="EndnoteReference"/>
          <w:rFonts w:asciiTheme="minorHAnsi" w:hAnsiTheme="minorHAnsi" w:cstheme="minorHAnsi"/>
          <w:sz w:val="22"/>
          <w:szCs w:val="22"/>
        </w:rPr>
        <w:endnoteReference w:id="21"/>
      </w:r>
      <w:r w:rsidRPr="00A809E6">
        <w:rPr>
          <w:rFonts w:asciiTheme="minorHAnsi" w:hAnsiTheme="minorHAnsi" w:cstheme="minorHAnsi"/>
          <w:sz w:val="22"/>
          <w:szCs w:val="22"/>
        </w:rPr>
        <w:t>. Of this:</w:t>
      </w:r>
    </w:p>
    <w:p w14:paraId="4867FCC6" w14:textId="77777777" w:rsidR="00A809E6" w:rsidRPr="00A809E6" w:rsidRDefault="00A809E6" w:rsidP="00B549AE">
      <w:pPr>
        <w:rPr>
          <w:rFonts w:asciiTheme="minorHAnsi" w:hAnsiTheme="minorHAnsi" w:cstheme="minorHAnsi"/>
          <w:sz w:val="22"/>
          <w:szCs w:val="22"/>
        </w:rPr>
      </w:pPr>
    </w:p>
    <w:p w14:paraId="1A812E03" w14:textId="77777777" w:rsidR="0053050E" w:rsidRPr="00A809E6" w:rsidRDefault="0053050E" w:rsidP="00B549AE">
      <w:pPr>
        <w:pStyle w:val="ListParagraph"/>
        <w:numPr>
          <w:ilvl w:val="0"/>
          <w:numId w:val="22"/>
        </w:numPr>
        <w:rPr>
          <w:rFonts w:asciiTheme="minorHAnsi" w:hAnsiTheme="minorHAnsi" w:cstheme="minorHAnsi"/>
          <w:sz w:val="22"/>
          <w:szCs w:val="22"/>
        </w:rPr>
      </w:pPr>
      <w:r w:rsidRPr="00A809E6">
        <w:rPr>
          <w:rFonts w:asciiTheme="minorHAnsi" w:hAnsiTheme="minorHAnsi" w:cstheme="minorHAnsi"/>
          <w:sz w:val="22"/>
          <w:szCs w:val="22"/>
        </w:rPr>
        <w:t xml:space="preserve">State and Territory governments provided about two thirds of expenditure: $5.6 billion. Community mental health care services expenditure totalled $2.1 billion. Costs of public acute hospitals with a specialist psychiatric unit or ward amounted to $2 billion; and costs of public psychiatric hospitals $0.6 billion. </w:t>
      </w:r>
    </w:p>
    <w:p w14:paraId="68CED7EB" w14:textId="77777777" w:rsidR="0053050E" w:rsidRPr="00A809E6" w:rsidRDefault="0053050E" w:rsidP="00B549AE">
      <w:pPr>
        <w:pStyle w:val="ListParagraph"/>
        <w:numPr>
          <w:ilvl w:val="0"/>
          <w:numId w:val="22"/>
        </w:numPr>
        <w:rPr>
          <w:rFonts w:asciiTheme="minorHAnsi" w:hAnsiTheme="minorHAnsi" w:cstheme="minorHAnsi"/>
          <w:sz w:val="22"/>
          <w:szCs w:val="22"/>
          <w:lang w:val="en-GB"/>
        </w:rPr>
      </w:pPr>
      <w:r w:rsidRPr="00A809E6">
        <w:rPr>
          <w:rFonts w:asciiTheme="minorHAnsi" w:hAnsiTheme="minorHAnsi" w:cstheme="minorHAnsi"/>
          <w:sz w:val="22"/>
          <w:szCs w:val="22"/>
        </w:rPr>
        <w:t>The Australian Government provided about one third of expenditure - $3 billion. In 2017-18, this included $1.2 billion / $49 per person, on MBS-subsidised mental health-specific services; and $534 million/ $22 per person on PBS subsidised mental health-related prescriptions.</w:t>
      </w:r>
    </w:p>
    <w:p w14:paraId="623E405D" w14:textId="77777777" w:rsidR="0053050E" w:rsidRPr="00A809E6" w:rsidRDefault="0053050E" w:rsidP="00B549AE">
      <w:pPr>
        <w:pStyle w:val="ListParagraph"/>
        <w:numPr>
          <w:ilvl w:val="0"/>
          <w:numId w:val="21"/>
        </w:numPr>
        <w:rPr>
          <w:rFonts w:asciiTheme="minorHAnsi" w:hAnsiTheme="minorHAnsi" w:cstheme="minorHAnsi"/>
          <w:sz w:val="22"/>
          <w:szCs w:val="22"/>
        </w:rPr>
      </w:pPr>
      <w:r w:rsidRPr="00A809E6">
        <w:rPr>
          <w:rFonts w:asciiTheme="minorHAnsi" w:hAnsiTheme="minorHAnsi" w:cstheme="minorHAnsi"/>
          <w:sz w:val="22"/>
          <w:szCs w:val="22"/>
        </w:rPr>
        <w:t xml:space="preserve"> Private health insurance funds provided $508 million. </w:t>
      </w:r>
    </w:p>
    <w:p w14:paraId="09382281" w14:textId="77777777" w:rsidR="0053050E" w:rsidRPr="00A809E6" w:rsidRDefault="0053050E" w:rsidP="00D2089A">
      <w:pPr>
        <w:pStyle w:val="ListParagraph"/>
        <w:ind w:left="360"/>
        <w:rPr>
          <w:rFonts w:asciiTheme="minorHAnsi" w:hAnsiTheme="minorHAnsi" w:cstheme="minorHAnsi"/>
          <w:sz w:val="16"/>
          <w:szCs w:val="16"/>
        </w:rPr>
      </w:pPr>
    </w:p>
    <w:p w14:paraId="499065DC" w14:textId="58592600" w:rsidR="0053050E" w:rsidRDefault="0053050E" w:rsidP="00B549AE">
      <w:pPr>
        <w:pStyle w:val="NormalWeb"/>
        <w:spacing w:before="0" w:beforeAutospacing="0" w:after="0" w:afterAutospacing="0"/>
        <w:rPr>
          <w:rFonts w:asciiTheme="minorHAnsi" w:hAnsiTheme="minorHAnsi" w:cstheme="minorHAnsi"/>
          <w:sz w:val="22"/>
          <w:szCs w:val="22"/>
        </w:rPr>
      </w:pPr>
      <w:r w:rsidRPr="00A809E6">
        <w:rPr>
          <w:rFonts w:asciiTheme="minorHAnsi" w:hAnsiTheme="minorHAnsi" w:cstheme="minorHAnsi"/>
          <w:sz w:val="22"/>
          <w:szCs w:val="22"/>
        </w:rPr>
        <w:t>Publicly available health expenditure data collections are not disaggregated to capture Aboriginal and Torres Strait Islander expenditure. For example, the National Mental Health Commission (NMHC) in its 2015 Review of Mental Health Services and Programmes was not able to identify Aboriginal and Torres Strait Islander expenditure within mainstream mental health services.</w:t>
      </w:r>
      <w:r w:rsidRPr="00A809E6">
        <w:rPr>
          <w:rStyle w:val="EndnoteReference"/>
          <w:rFonts w:asciiTheme="minorHAnsi" w:hAnsiTheme="minorHAnsi" w:cstheme="minorHAnsi"/>
          <w:sz w:val="22"/>
          <w:szCs w:val="22"/>
        </w:rPr>
        <w:endnoteReference w:id="22"/>
      </w:r>
      <w:r w:rsidRPr="00A809E6">
        <w:rPr>
          <w:rFonts w:asciiTheme="minorHAnsi" w:hAnsiTheme="minorHAnsi" w:cstheme="minorHAnsi"/>
          <w:sz w:val="22"/>
          <w:szCs w:val="22"/>
        </w:rPr>
        <w:t xml:space="preserve"> This has serious implications. How can policy makers and Aboriginal and Torres Strait Islander mental health leaders work effectively in such an information vacuum? This leads to our second recommendation.</w:t>
      </w:r>
    </w:p>
    <w:p w14:paraId="6F13A151" w14:textId="5F20A007" w:rsidR="00A809E6" w:rsidRDefault="00A809E6" w:rsidP="00B549AE">
      <w:pPr>
        <w:pStyle w:val="NormalWeb"/>
        <w:spacing w:before="0" w:beforeAutospacing="0" w:after="0" w:afterAutospacing="0"/>
        <w:rPr>
          <w:rFonts w:asciiTheme="minorHAnsi" w:hAnsiTheme="minorHAnsi" w:cstheme="minorHAnsi"/>
          <w:sz w:val="22"/>
          <w:szCs w:val="22"/>
        </w:rPr>
      </w:pPr>
    </w:p>
    <w:p w14:paraId="01A81346" w14:textId="77777777" w:rsidR="00A809E6" w:rsidRPr="00A809E6" w:rsidRDefault="00A809E6" w:rsidP="00B549AE">
      <w:pPr>
        <w:pStyle w:val="NormalWeb"/>
        <w:spacing w:before="0" w:beforeAutospacing="0" w:after="0" w:afterAutospacing="0"/>
        <w:rPr>
          <w:rFonts w:asciiTheme="minorHAnsi" w:hAnsiTheme="minorHAnsi" w:cstheme="minorHAnsi"/>
          <w:sz w:val="22"/>
          <w:szCs w:val="22"/>
        </w:rPr>
      </w:pPr>
    </w:p>
    <w:p w14:paraId="43A08F33" w14:textId="77777777" w:rsidR="0053050E" w:rsidRPr="00A809E6" w:rsidRDefault="0053050E" w:rsidP="00B549AE">
      <w:pPr>
        <w:pStyle w:val="NormalWeb"/>
        <w:spacing w:before="0" w:beforeAutospacing="0" w:after="0" w:afterAutospacing="0"/>
        <w:rPr>
          <w:rFonts w:asciiTheme="minorHAnsi" w:hAnsiTheme="minorHAnsi" w:cstheme="minorHAnsi"/>
          <w:sz w:val="16"/>
          <w:szCs w:val="16"/>
        </w:rPr>
      </w:pPr>
    </w:p>
    <w:p w14:paraId="01A26F0C" w14:textId="7DC4EF4C" w:rsidR="0053050E" w:rsidRPr="00A809E6" w:rsidRDefault="0053050E" w:rsidP="00A704BE">
      <w:pPr>
        <w:pStyle w:val="NormalWeb"/>
        <w:shd w:val="clear" w:color="auto" w:fill="FBE4D5" w:themeFill="accent2" w:themeFillTint="33"/>
        <w:spacing w:before="0" w:beforeAutospacing="0" w:after="0" w:afterAutospacing="0"/>
        <w:rPr>
          <w:rFonts w:asciiTheme="minorHAnsi" w:hAnsiTheme="minorHAnsi" w:cstheme="minorHAnsi"/>
          <w:b/>
          <w:sz w:val="22"/>
          <w:szCs w:val="22"/>
        </w:rPr>
      </w:pPr>
      <w:r w:rsidRPr="00A809E6">
        <w:rPr>
          <w:rFonts w:asciiTheme="minorHAnsi" w:hAnsiTheme="minorHAnsi" w:cstheme="minorHAnsi"/>
          <w:b/>
          <w:sz w:val="22"/>
          <w:szCs w:val="22"/>
        </w:rPr>
        <w:t xml:space="preserve">Recommendation 2: </w:t>
      </w:r>
      <w:r w:rsidRPr="00A809E6">
        <w:rPr>
          <w:rFonts w:asciiTheme="minorHAnsi" w:hAnsiTheme="minorHAnsi" w:cstheme="minorHAnsi"/>
          <w:sz w:val="22"/>
          <w:szCs w:val="22"/>
        </w:rPr>
        <w:t>That Australian governments commit to gather, disaggregate, and publish Aboriginal and Torres Strait Islander mental health expenditure data across the mainstream and Indigenous-specific parts of the mental health system, with particular focus on primary mental health care, by 30 June 2020.</w:t>
      </w:r>
      <w:r w:rsidRPr="00A809E6">
        <w:rPr>
          <w:rFonts w:asciiTheme="minorHAnsi" w:hAnsiTheme="minorHAnsi" w:cstheme="minorHAnsi"/>
          <w:b/>
          <w:sz w:val="22"/>
          <w:szCs w:val="22"/>
        </w:rPr>
        <w:t xml:space="preserve"> </w:t>
      </w:r>
    </w:p>
    <w:p w14:paraId="4F8AD8D4" w14:textId="77777777" w:rsidR="0053050E" w:rsidRPr="00A809E6" w:rsidRDefault="0053050E" w:rsidP="00B549AE">
      <w:pPr>
        <w:pStyle w:val="NormalWeb"/>
        <w:spacing w:before="0" w:beforeAutospacing="0" w:after="0" w:afterAutospacing="0"/>
        <w:rPr>
          <w:rFonts w:asciiTheme="minorHAnsi" w:hAnsiTheme="minorHAnsi" w:cstheme="minorHAnsi"/>
          <w:sz w:val="16"/>
          <w:szCs w:val="16"/>
        </w:rPr>
      </w:pPr>
    </w:p>
    <w:p w14:paraId="3B972033" w14:textId="0396804D" w:rsidR="0053050E" w:rsidRPr="00A809E6" w:rsidRDefault="0053050E" w:rsidP="00C54DFC">
      <w:pPr>
        <w:pStyle w:val="NormalWeb"/>
        <w:spacing w:before="0" w:beforeAutospacing="0" w:after="0" w:afterAutospacing="0"/>
        <w:rPr>
          <w:rFonts w:asciiTheme="minorHAnsi" w:hAnsiTheme="minorHAnsi" w:cstheme="minorHAnsi"/>
          <w:i/>
          <w:sz w:val="22"/>
          <w:szCs w:val="22"/>
        </w:rPr>
      </w:pPr>
      <w:r w:rsidRPr="00A809E6">
        <w:rPr>
          <w:rFonts w:asciiTheme="minorHAnsi" w:hAnsiTheme="minorHAnsi" w:cstheme="minorHAnsi"/>
          <w:sz w:val="22"/>
          <w:szCs w:val="22"/>
        </w:rPr>
        <w:t>Outside of the mainstream, the NMHC in its 2015 Review identified $123.1 million of Commonwealth grants that were specifically targeted to Aboriginal and Torres Strait Islander mental health in 2012–13, including $56.4 million for substance abuse programmes. The NMHC observed at the time:</w:t>
      </w:r>
      <w:r w:rsidRPr="00A809E6">
        <w:rPr>
          <w:rFonts w:asciiTheme="minorHAnsi" w:hAnsiTheme="minorHAnsi" w:cstheme="minorHAnsi"/>
          <w:i/>
          <w:sz w:val="22"/>
          <w:szCs w:val="22"/>
        </w:rPr>
        <w:t xml:space="preserve"> </w:t>
      </w:r>
      <w:r w:rsidR="00E8339A" w:rsidRPr="00A809E6">
        <w:rPr>
          <w:rFonts w:asciiTheme="minorHAnsi" w:hAnsiTheme="minorHAnsi" w:cstheme="minorHAnsi"/>
          <w:i/>
          <w:sz w:val="22"/>
          <w:szCs w:val="22"/>
        </w:rPr>
        <w:t>t</w:t>
      </w:r>
      <w:r w:rsidRPr="00A809E6">
        <w:rPr>
          <w:rFonts w:asciiTheme="minorHAnsi" w:hAnsiTheme="minorHAnsi" w:cstheme="minorHAnsi"/>
          <w:i/>
          <w:sz w:val="22"/>
          <w:szCs w:val="22"/>
        </w:rPr>
        <w:t>here are minimal funds for prevention and early intervention services.</w:t>
      </w:r>
      <w:r w:rsidRPr="00A809E6">
        <w:rPr>
          <w:rStyle w:val="EndnoteReference"/>
          <w:rFonts w:asciiTheme="minorHAnsi" w:hAnsiTheme="minorHAnsi" w:cstheme="minorHAnsi"/>
          <w:sz w:val="22"/>
          <w:szCs w:val="22"/>
        </w:rPr>
        <w:t xml:space="preserve"> </w:t>
      </w:r>
      <w:r w:rsidRPr="00A809E6">
        <w:rPr>
          <w:rStyle w:val="EndnoteReference"/>
          <w:rFonts w:asciiTheme="minorHAnsi" w:hAnsiTheme="minorHAnsi" w:cstheme="minorHAnsi"/>
          <w:sz w:val="22"/>
          <w:szCs w:val="22"/>
        </w:rPr>
        <w:endnoteReference w:id="23"/>
      </w:r>
      <w:r w:rsidRPr="00A809E6">
        <w:rPr>
          <w:rFonts w:asciiTheme="minorHAnsi" w:hAnsiTheme="minorHAnsi" w:cstheme="minorHAnsi"/>
          <w:sz w:val="22"/>
          <w:szCs w:val="22"/>
        </w:rPr>
        <w:t xml:space="preserve"> </w:t>
      </w:r>
      <w:r w:rsidRPr="00A809E6">
        <w:rPr>
          <w:rFonts w:asciiTheme="minorHAnsi" w:hAnsiTheme="minorHAnsi" w:cstheme="minorHAnsi"/>
          <w:i/>
          <w:sz w:val="22"/>
          <w:szCs w:val="22"/>
        </w:rPr>
        <w:t xml:space="preserve"> </w:t>
      </w:r>
      <w:r w:rsidRPr="00A809E6">
        <w:rPr>
          <w:rFonts w:asciiTheme="minorHAnsi" w:hAnsiTheme="minorHAnsi" w:cstheme="minorHAnsi"/>
          <w:sz w:val="22"/>
          <w:szCs w:val="22"/>
        </w:rPr>
        <w:t>Overall, the NMHC Review emphasised the need to rebalance the mental health system towards relatively inexpensive mental health promotion and prevention and away from expensive services</w:t>
      </w:r>
      <w:r w:rsidRPr="00A809E6">
        <w:rPr>
          <w:rStyle w:val="EndnoteReference"/>
          <w:rFonts w:asciiTheme="minorHAnsi" w:hAnsiTheme="minorHAnsi" w:cstheme="minorHAnsi"/>
          <w:sz w:val="22"/>
          <w:szCs w:val="22"/>
        </w:rPr>
        <w:endnoteReference w:id="24"/>
      </w:r>
      <w:r w:rsidRPr="00A809E6">
        <w:rPr>
          <w:rFonts w:asciiTheme="minorHAnsi" w:hAnsiTheme="minorHAnsi" w:cstheme="minorHAnsi"/>
          <w:sz w:val="22"/>
          <w:szCs w:val="22"/>
        </w:rPr>
        <w:t xml:space="preserve"> – a key message of this submission.</w:t>
      </w:r>
    </w:p>
    <w:p w14:paraId="2FBB24A9" w14:textId="77777777" w:rsidR="0053050E" w:rsidRPr="00A809E6" w:rsidRDefault="0053050E" w:rsidP="00C54DFC">
      <w:pPr>
        <w:pStyle w:val="NormalWeb"/>
        <w:spacing w:before="0" w:beforeAutospacing="0" w:after="0" w:afterAutospacing="0"/>
      </w:pPr>
    </w:p>
    <w:p w14:paraId="397A42F5" w14:textId="77777777" w:rsidR="0053050E" w:rsidRPr="00A809E6" w:rsidRDefault="0053050E" w:rsidP="00B549AE">
      <w:pPr>
        <w:rPr>
          <w:rFonts w:asciiTheme="minorHAnsi" w:hAnsiTheme="minorHAnsi" w:cstheme="minorHAnsi"/>
          <w:sz w:val="22"/>
          <w:szCs w:val="22"/>
        </w:rPr>
      </w:pPr>
      <w:r w:rsidRPr="00A809E6">
        <w:rPr>
          <w:rFonts w:asciiTheme="minorHAnsi" w:hAnsiTheme="minorHAnsi" w:cstheme="minorHAnsi"/>
          <w:sz w:val="22"/>
          <w:szCs w:val="22"/>
        </w:rPr>
        <w:t>In response to the NMHC Review, $85 million in additional Indigenous-specific mental health expenditure was announced over 2016/17 – 2018/19. However, in contrast to the NMHC recommendations, this went to the Primary Health Networks to distribute rather than supporting the ACCHSs,</w:t>
      </w:r>
      <w:r w:rsidRPr="00A809E6">
        <w:rPr>
          <w:rStyle w:val="EndnoteReference"/>
          <w:rFonts w:asciiTheme="minorHAnsi" w:hAnsiTheme="minorHAnsi" w:cstheme="minorHAnsi"/>
          <w:sz w:val="22"/>
          <w:szCs w:val="22"/>
        </w:rPr>
        <w:endnoteReference w:id="25"/>
      </w:r>
      <w:r w:rsidRPr="00A809E6">
        <w:rPr>
          <w:rFonts w:asciiTheme="minorHAnsi" w:hAnsiTheme="minorHAnsi" w:cstheme="minorHAnsi"/>
          <w:sz w:val="22"/>
          <w:szCs w:val="22"/>
        </w:rPr>
        <w:t xml:space="preserve"> a matter we shall return to below. A further $89 million has been provided until 2021-22 but also being channelled through PHNs.</w:t>
      </w:r>
      <w:r w:rsidRPr="00A809E6">
        <w:rPr>
          <w:rStyle w:val="EndnoteReference"/>
          <w:rFonts w:asciiTheme="minorHAnsi" w:hAnsiTheme="minorHAnsi" w:cstheme="minorHAnsi"/>
          <w:sz w:val="22"/>
          <w:szCs w:val="22"/>
        </w:rPr>
        <w:endnoteReference w:id="26"/>
      </w:r>
      <w:r w:rsidRPr="00A809E6">
        <w:rPr>
          <w:rFonts w:asciiTheme="minorHAnsi" w:hAnsiTheme="minorHAnsi" w:cstheme="minorHAnsi"/>
          <w:sz w:val="22"/>
          <w:szCs w:val="22"/>
        </w:rPr>
        <w:t xml:space="preserve"> </w:t>
      </w:r>
    </w:p>
    <w:p w14:paraId="2267897F" w14:textId="77777777" w:rsidR="0053050E" w:rsidRPr="00A809E6" w:rsidRDefault="0053050E" w:rsidP="00B549AE">
      <w:pPr>
        <w:rPr>
          <w:rFonts w:asciiTheme="minorHAnsi" w:hAnsiTheme="minorHAnsi" w:cstheme="minorHAnsi"/>
          <w:sz w:val="16"/>
          <w:szCs w:val="16"/>
        </w:rPr>
      </w:pPr>
    </w:p>
    <w:p w14:paraId="79129477" w14:textId="79069D8F" w:rsidR="0053050E" w:rsidRPr="00A809E6" w:rsidRDefault="0053050E" w:rsidP="00B549AE">
      <w:pPr>
        <w:rPr>
          <w:rFonts w:asciiTheme="minorHAnsi" w:hAnsiTheme="minorHAnsi" w:cstheme="minorHAnsi"/>
          <w:sz w:val="22"/>
          <w:szCs w:val="22"/>
        </w:rPr>
      </w:pPr>
      <w:r w:rsidRPr="00A809E6">
        <w:rPr>
          <w:rFonts w:asciiTheme="minorHAnsi" w:hAnsiTheme="minorHAnsi" w:cstheme="minorHAnsi"/>
          <w:sz w:val="22"/>
          <w:szCs w:val="22"/>
        </w:rPr>
        <w:t>Further, $5.6 million per year was allocated to PHNs over 2017-2021 for the delivery of culturally appropriate suicide prevention services specifically for Aboriginal and Torres Strait Islander people, in addition to about $3 million each to the two Indigenous specific (of 12) PHN suicide prevention trial sites in Darwin and the Kimberly.</w:t>
      </w:r>
    </w:p>
    <w:p w14:paraId="58D6966F" w14:textId="77777777" w:rsidR="0053050E" w:rsidRPr="00A809E6" w:rsidRDefault="0053050E" w:rsidP="00B549AE">
      <w:pPr>
        <w:rPr>
          <w:rFonts w:asciiTheme="minorHAnsi" w:hAnsiTheme="minorHAnsi" w:cstheme="minorHAnsi"/>
          <w:sz w:val="16"/>
          <w:szCs w:val="16"/>
        </w:rPr>
      </w:pPr>
    </w:p>
    <w:p w14:paraId="3B560E3F" w14:textId="0DD7732F" w:rsidR="0053050E" w:rsidRPr="00A809E6" w:rsidRDefault="0053050E" w:rsidP="00B549AE">
      <w:pPr>
        <w:rPr>
          <w:rFonts w:asciiTheme="minorHAnsi" w:hAnsiTheme="minorHAnsi" w:cstheme="minorHAnsi"/>
          <w:sz w:val="22"/>
          <w:szCs w:val="22"/>
        </w:rPr>
      </w:pPr>
      <w:r w:rsidRPr="00A809E6">
        <w:rPr>
          <w:rFonts w:asciiTheme="minorHAnsi" w:hAnsiTheme="minorHAnsi" w:cstheme="minorHAnsi"/>
          <w:sz w:val="22"/>
          <w:szCs w:val="22"/>
        </w:rPr>
        <w:t>While the above is of course welcome, it has not necessarily resulted in equity in mental health spending, and particularly primary mental health spending. Referring again to the 3 times needs ratio we estimated above, about $1125 primary mental health spending per Aboriginal and Torres Strait Islander person per year would be expected in an equitable situation.</w:t>
      </w:r>
    </w:p>
    <w:p w14:paraId="6F6D4C45" w14:textId="77777777" w:rsidR="0053050E" w:rsidRPr="00A809E6" w:rsidRDefault="0053050E" w:rsidP="00B549AE">
      <w:pPr>
        <w:rPr>
          <w:rFonts w:asciiTheme="minorHAnsi" w:hAnsiTheme="minorHAnsi" w:cstheme="minorHAnsi"/>
          <w:sz w:val="16"/>
          <w:szCs w:val="16"/>
        </w:rPr>
      </w:pPr>
    </w:p>
    <w:p w14:paraId="4F13D48C" w14:textId="1D6A8BD9" w:rsidR="0053050E" w:rsidRPr="00A809E6" w:rsidRDefault="0053050E" w:rsidP="00B549AE">
      <w:pPr>
        <w:rPr>
          <w:rFonts w:asciiTheme="minorHAnsi" w:hAnsiTheme="minorHAnsi" w:cstheme="minorHAnsi"/>
          <w:sz w:val="22"/>
          <w:szCs w:val="22"/>
        </w:rPr>
      </w:pPr>
      <w:r w:rsidRPr="00A809E6">
        <w:rPr>
          <w:rFonts w:asciiTheme="minorHAnsi" w:hAnsiTheme="minorHAnsi" w:cstheme="minorHAnsi"/>
          <w:sz w:val="22"/>
          <w:szCs w:val="22"/>
        </w:rPr>
        <w:t xml:space="preserve">As is stands, even without the ability to calculate dollar differences in expenditure, the pattern of mental health service usage by Aboriginal and Torres Strait Islander people provides strong evidence for the need for additional expenditure on Indigenous primary mental health care, as set out in </w:t>
      </w:r>
      <w:r w:rsidRPr="00A809E6">
        <w:rPr>
          <w:rFonts w:asciiTheme="minorHAnsi" w:hAnsiTheme="minorHAnsi" w:cstheme="minorHAnsi"/>
          <w:sz w:val="22"/>
          <w:szCs w:val="22"/>
        </w:rPr>
        <w:lastRenderedPageBreak/>
        <w:t xml:space="preserve">Table 3 below - populated with data from the AIHW’s </w:t>
      </w:r>
      <w:r w:rsidRPr="00A809E6">
        <w:rPr>
          <w:rFonts w:asciiTheme="minorHAnsi" w:hAnsiTheme="minorHAnsi" w:cstheme="minorHAnsi"/>
          <w:i/>
          <w:sz w:val="22"/>
          <w:szCs w:val="22"/>
        </w:rPr>
        <w:t>Aboriginal and Torres Strait Islander Health Performance Framework</w:t>
      </w:r>
      <w:r w:rsidRPr="00A809E6">
        <w:rPr>
          <w:rFonts w:asciiTheme="minorHAnsi" w:hAnsiTheme="minorHAnsi" w:cstheme="minorHAnsi"/>
          <w:sz w:val="22"/>
          <w:szCs w:val="22"/>
        </w:rPr>
        <w:t xml:space="preserve"> </w:t>
      </w:r>
      <w:r w:rsidRPr="00A809E6">
        <w:rPr>
          <w:rFonts w:asciiTheme="minorHAnsi" w:hAnsiTheme="minorHAnsi" w:cstheme="minorHAnsi"/>
          <w:i/>
          <w:sz w:val="22"/>
          <w:szCs w:val="22"/>
        </w:rPr>
        <w:t>2017.</w:t>
      </w:r>
      <w:r w:rsidRPr="00A809E6">
        <w:rPr>
          <w:rFonts w:asciiTheme="minorHAnsi" w:hAnsiTheme="minorHAnsi" w:cstheme="minorHAnsi"/>
          <w:sz w:val="22"/>
          <w:szCs w:val="22"/>
        </w:rPr>
        <w:t xml:space="preserve"> </w:t>
      </w:r>
    </w:p>
    <w:p w14:paraId="46CDE4D6" w14:textId="77777777" w:rsidR="0053050E" w:rsidRPr="00A809E6" w:rsidRDefault="0053050E" w:rsidP="00B549AE">
      <w:pPr>
        <w:rPr>
          <w:rFonts w:asciiTheme="minorHAnsi" w:hAnsiTheme="minorHAnsi" w:cstheme="minorHAnsi"/>
          <w:sz w:val="16"/>
          <w:szCs w:val="16"/>
        </w:rPr>
      </w:pPr>
    </w:p>
    <w:p w14:paraId="63D0C7BF" w14:textId="275E4066" w:rsidR="0053050E" w:rsidRPr="00A809E6" w:rsidRDefault="0053050E" w:rsidP="00A704BE">
      <w:pPr>
        <w:jc w:val="center"/>
        <w:rPr>
          <w:rFonts w:asciiTheme="minorHAnsi" w:hAnsiTheme="minorHAnsi" w:cstheme="minorHAnsi"/>
          <w:b/>
          <w:sz w:val="22"/>
          <w:szCs w:val="22"/>
        </w:rPr>
      </w:pPr>
      <w:r w:rsidRPr="00A809E6">
        <w:rPr>
          <w:rFonts w:asciiTheme="minorHAnsi" w:hAnsiTheme="minorHAnsi" w:cstheme="minorHAnsi"/>
          <w:b/>
          <w:sz w:val="22"/>
          <w:szCs w:val="22"/>
        </w:rPr>
        <w:t>Table 3: Estimating Aboriginal and Torres Strait Islander primary mental health care shortfall according to need on available data</w:t>
      </w:r>
    </w:p>
    <w:p w14:paraId="3FB3E375" w14:textId="77777777" w:rsidR="0053050E" w:rsidRPr="00A809E6" w:rsidRDefault="0053050E" w:rsidP="00A704BE">
      <w:pPr>
        <w:jc w:val="center"/>
        <w:rPr>
          <w:rFonts w:asciiTheme="minorHAnsi" w:hAnsiTheme="minorHAnsi" w:cstheme="minorHAnsi"/>
          <w:b/>
          <w:sz w:val="22"/>
          <w:szCs w:val="22"/>
        </w:rPr>
      </w:pPr>
    </w:p>
    <w:tbl>
      <w:tblPr>
        <w:tblStyle w:val="TableGrid"/>
        <w:tblW w:w="8789" w:type="dxa"/>
        <w:tblLook w:val="04A0" w:firstRow="1" w:lastRow="0" w:firstColumn="1" w:lastColumn="0" w:noHBand="0" w:noVBand="1"/>
      </w:tblPr>
      <w:tblGrid>
        <w:gridCol w:w="1593"/>
        <w:gridCol w:w="3652"/>
        <w:gridCol w:w="1923"/>
        <w:gridCol w:w="1621"/>
      </w:tblGrid>
      <w:tr w:rsidR="0053050E" w:rsidRPr="00A809E6" w14:paraId="721F3ABF" w14:textId="77777777" w:rsidTr="00C54DFC">
        <w:trPr>
          <w:trHeight w:val="768"/>
        </w:trPr>
        <w:tc>
          <w:tcPr>
            <w:tcW w:w="5245" w:type="dxa"/>
            <w:gridSpan w:val="2"/>
            <w:tcBorders>
              <w:top w:val="nil"/>
              <w:left w:val="nil"/>
              <w:bottom w:val="single" w:sz="4" w:space="0" w:color="auto"/>
              <w:right w:val="single" w:sz="4" w:space="0" w:color="auto"/>
            </w:tcBorders>
            <w:vAlign w:val="center"/>
          </w:tcPr>
          <w:p w14:paraId="5B8BDAB4" w14:textId="77777777" w:rsidR="0053050E" w:rsidRPr="00A809E6" w:rsidRDefault="0053050E" w:rsidP="00144F7A">
            <w:pPr>
              <w:jc w:val="center"/>
              <w:rPr>
                <w:rFonts w:asciiTheme="minorHAnsi" w:hAnsiTheme="minorHAnsi" w:cstheme="minorHAnsi"/>
                <w:sz w:val="18"/>
                <w:szCs w:val="18"/>
                <w:shd w:val="clear" w:color="auto" w:fill="FFFFFF"/>
              </w:rPr>
            </w:pPr>
          </w:p>
          <w:p w14:paraId="1F520FF2" w14:textId="77777777" w:rsidR="0053050E" w:rsidRPr="00A809E6" w:rsidRDefault="0053050E" w:rsidP="00144F7A">
            <w:pPr>
              <w:jc w:val="center"/>
              <w:rPr>
                <w:rFonts w:asciiTheme="minorHAnsi" w:hAnsiTheme="minorHAnsi" w:cstheme="minorHAnsi"/>
                <w:sz w:val="18"/>
                <w:szCs w:val="18"/>
                <w:shd w:val="clear" w:color="auto" w:fill="FFFFFF"/>
              </w:rPr>
            </w:pPr>
          </w:p>
        </w:tc>
        <w:tc>
          <w:tcPr>
            <w:tcW w:w="1923" w:type="dxa"/>
            <w:tcBorders>
              <w:left w:val="single" w:sz="4" w:space="0" w:color="auto"/>
              <w:right w:val="single" w:sz="4" w:space="0" w:color="auto"/>
            </w:tcBorders>
            <w:vAlign w:val="center"/>
          </w:tcPr>
          <w:p w14:paraId="2A3A879D" w14:textId="74F8CCDC" w:rsidR="0053050E" w:rsidRPr="00A809E6" w:rsidRDefault="0053050E" w:rsidP="00144F7A">
            <w:pPr>
              <w:jc w:val="center"/>
              <w:rPr>
                <w:rFonts w:asciiTheme="minorHAnsi" w:hAnsiTheme="minorHAnsi" w:cstheme="minorHAnsi"/>
                <w:sz w:val="18"/>
                <w:szCs w:val="18"/>
              </w:rPr>
            </w:pPr>
            <w:r w:rsidRPr="00A809E6">
              <w:rPr>
                <w:rFonts w:asciiTheme="minorHAnsi" w:hAnsiTheme="minorHAnsi" w:cstheme="minorHAnsi"/>
                <w:sz w:val="18"/>
                <w:szCs w:val="18"/>
              </w:rPr>
              <w:t>Indigenous usage expectation based on 3 needs ratio</w:t>
            </w:r>
          </w:p>
        </w:tc>
        <w:tc>
          <w:tcPr>
            <w:tcW w:w="1621" w:type="dxa"/>
            <w:tcBorders>
              <w:top w:val="nil"/>
              <w:left w:val="single" w:sz="4" w:space="0" w:color="auto"/>
              <w:bottom w:val="single" w:sz="4" w:space="0" w:color="auto"/>
              <w:right w:val="nil"/>
            </w:tcBorders>
            <w:shd w:val="clear" w:color="auto" w:fill="auto"/>
            <w:vAlign w:val="center"/>
          </w:tcPr>
          <w:p w14:paraId="22715D91" w14:textId="77777777" w:rsidR="0053050E" w:rsidRPr="00A809E6" w:rsidRDefault="0053050E" w:rsidP="00144F7A">
            <w:pPr>
              <w:jc w:val="center"/>
              <w:rPr>
                <w:rFonts w:asciiTheme="minorHAnsi" w:hAnsiTheme="minorHAnsi" w:cstheme="minorHAnsi"/>
                <w:b/>
                <w:sz w:val="18"/>
                <w:szCs w:val="18"/>
              </w:rPr>
            </w:pPr>
          </w:p>
        </w:tc>
      </w:tr>
      <w:tr w:rsidR="0053050E" w:rsidRPr="00A809E6" w14:paraId="775BD26D" w14:textId="77777777" w:rsidTr="00C54DFC">
        <w:tc>
          <w:tcPr>
            <w:tcW w:w="1593" w:type="dxa"/>
            <w:tcBorders>
              <w:top w:val="single" w:sz="4" w:space="0" w:color="auto"/>
            </w:tcBorders>
            <w:vAlign w:val="center"/>
          </w:tcPr>
          <w:p w14:paraId="331D9EA2" w14:textId="77777777" w:rsidR="0053050E" w:rsidRPr="00A809E6" w:rsidRDefault="0053050E" w:rsidP="00144F7A">
            <w:pPr>
              <w:jc w:val="center"/>
              <w:rPr>
                <w:rFonts w:asciiTheme="minorHAnsi" w:hAnsiTheme="minorHAnsi" w:cstheme="minorHAnsi"/>
                <w:sz w:val="18"/>
                <w:szCs w:val="18"/>
              </w:rPr>
            </w:pPr>
            <w:r w:rsidRPr="00A809E6">
              <w:rPr>
                <w:rFonts w:asciiTheme="minorHAnsi" w:hAnsiTheme="minorHAnsi" w:cstheme="minorHAnsi"/>
                <w:sz w:val="18"/>
                <w:szCs w:val="18"/>
                <w:shd w:val="clear" w:color="auto" w:fill="FFFFFF"/>
              </w:rPr>
              <w:t>Per cent of population accessing MBS subsidised mental health care</w:t>
            </w:r>
          </w:p>
        </w:tc>
        <w:tc>
          <w:tcPr>
            <w:tcW w:w="3652" w:type="dxa"/>
            <w:tcBorders>
              <w:top w:val="single" w:sz="4" w:space="0" w:color="auto"/>
            </w:tcBorders>
            <w:vAlign w:val="center"/>
          </w:tcPr>
          <w:p w14:paraId="125B8066" w14:textId="77777777" w:rsidR="0053050E" w:rsidRPr="00A809E6" w:rsidRDefault="0053050E" w:rsidP="00144F7A">
            <w:pPr>
              <w:jc w:val="center"/>
              <w:rPr>
                <w:rFonts w:asciiTheme="minorHAnsi" w:hAnsiTheme="minorHAnsi" w:cstheme="minorHAnsi"/>
                <w:sz w:val="18"/>
                <w:szCs w:val="18"/>
                <w:shd w:val="clear" w:color="auto" w:fill="FFFFFF"/>
              </w:rPr>
            </w:pPr>
            <w:r w:rsidRPr="00A809E6">
              <w:rPr>
                <w:rFonts w:asciiTheme="minorHAnsi" w:hAnsiTheme="minorHAnsi" w:cstheme="minorHAnsi"/>
                <w:sz w:val="18"/>
                <w:szCs w:val="18"/>
                <w:shd w:val="clear" w:color="auto" w:fill="FFFFFF"/>
              </w:rPr>
              <w:t>10% of Indigenous population</w:t>
            </w:r>
          </w:p>
          <w:p w14:paraId="5B5990D6" w14:textId="77777777" w:rsidR="0053050E" w:rsidRPr="00A809E6" w:rsidRDefault="0053050E" w:rsidP="00144F7A">
            <w:pPr>
              <w:jc w:val="center"/>
              <w:rPr>
                <w:rFonts w:asciiTheme="minorHAnsi" w:hAnsiTheme="minorHAnsi" w:cstheme="minorHAnsi"/>
                <w:sz w:val="18"/>
                <w:szCs w:val="18"/>
                <w:shd w:val="clear" w:color="auto" w:fill="FFFFFF"/>
              </w:rPr>
            </w:pPr>
            <w:r w:rsidRPr="00A809E6">
              <w:rPr>
                <w:rFonts w:asciiTheme="minorHAnsi" w:hAnsiTheme="minorHAnsi" w:cstheme="minorHAnsi"/>
                <w:sz w:val="18"/>
                <w:szCs w:val="18"/>
                <w:shd w:val="clear" w:color="auto" w:fill="FFFFFF"/>
              </w:rPr>
              <w:t>9% of the non-Indigenous population</w:t>
            </w:r>
          </w:p>
        </w:tc>
        <w:tc>
          <w:tcPr>
            <w:tcW w:w="1923" w:type="dxa"/>
            <w:vAlign w:val="center"/>
          </w:tcPr>
          <w:p w14:paraId="16163C09" w14:textId="07F33C84" w:rsidR="0053050E" w:rsidRPr="00A809E6" w:rsidRDefault="0053050E" w:rsidP="00144F7A">
            <w:pPr>
              <w:jc w:val="center"/>
              <w:rPr>
                <w:rFonts w:asciiTheme="minorHAnsi" w:hAnsiTheme="minorHAnsi" w:cstheme="minorHAnsi"/>
                <w:sz w:val="18"/>
                <w:szCs w:val="18"/>
              </w:rPr>
            </w:pPr>
            <w:r w:rsidRPr="00A809E6">
              <w:rPr>
                <w:rFonts w:asciiTheme="minorHAnsi" w:hAnsiTheme="minorHAnsi" w:cstheme="minorHAnsi"/>
                <w:sz w:val="18"/>
                <w:szCs w:val="18"/>
              </w:rPr>
              <w:t>Around 3 times greater non-Indigenous usage - 27% of the Indigenous population -</w:t>
            </w:r>
          </w:p>
          <w:p w14:paraId="6E09D406" w14:textId="0114BD7B" w:rsidR="0053050E" w:rsidRPr="00A809E6" w:rsidRDefault="0053050E" w:rsidP="00144F7A">
            <w:pPr>
              <w:jc w:val="center"/>
              <w:rPr>
                <w:rFonts w:asciiTheme="minorHAnsi" w:hAnsiTheme="minorHAnsi" w:cstheme="minorHAnsi"/>
                <w:sz w:val="18"/>
                <w:szCs w:val="18"/>
              </w:rPr>
            </w:pPr>
          </w:p>
        </w:tc>
        <w:tc>
          <w:tcPr>
            <w:tcW w:w="1621" w:type="dxa"/>
            <w:tcBorders>
              <w:top w:val="single" w:sz="4" w:space="0" w:color="auto"/>
            </w:tcBorders>
            <w:shd w:val="clear" w:color="auto" w:fill="D9E2F3" w:themeFill="accent1" w:themeFillTint="33"/>
            <w:vAlign w:val="center"/>
          </w:tcPr>
          <w:p w14:paraId="0A17D136" w14:textId="13B5C22C" w:rsidR="0053050E" w:rsidRPr="00A809E6" w:rsidRDefault="0053050E" w:rsidP="00144F7A">
            <w:pPr>
              <w:jc w:val="center"/>
              <w:rPr>
                <w:rFonts w:asciiTheme="minorHAnsi" w:hAnsiTheme="minorHAnsi" w:cstheme="minorHAnsi"/>
                <w:b/>
                <w:sz w:val="18"/>
                <w:szCs w:val="18"/>
              </w:rPr>
            </w:pPr>
            <w:r w:rsidRPr="00A809E6">
              <w:rPr>
                <w:rFonts w:asciiTheme="minorHAnsi" w:hAnsiTheme="minorHAnsi" w:cstheme="minorHAnsi"/>
                <w:b/>
                <w:sz w:val="18"/>
                <w:szCs w:val="18"/>
              </w:rPr>
              <w:t>37%</w:t>
            </w:r>
          </w:p>
          <w:p w14:paraId="4EC1AECD" w14:textId="3EE6C516" w:rsidR="0053050E" w:rsidRPr="00A809E6" w:rsidRDefault="0053050E" w:rsidP="00144F7A">
            <w:pPr>
              <w:jc w:val="center"/>
              <w:rPr>
                <w:rFonts w:asciiTheme="minorHAnsi" w:hAnsiTheme="minorHAnsi" w:cstheme="minorHAnsi"/>
                <w:b/>
                <w:sz w:val="18"/>
                <w:szCs w:val="18"/>
              </w:rPr>
            </w:pPr>
            <w:r w:rsidRPr="00A809E6">
              <w:rPr>
                <w:rFonts w:asciiTheme="minorHAnsi" w:hAnsiTheme="minorHAnsi" w:cstheme="minorHAnsi"/>
                <w:b/>
                <w:sz w:val="18"/>
                <w:szCs w:val="18"/>
              </w:rPr>
              <w:t>(Shortfall 63%)</w:t>
            </w:r>
          </w:p>
        </w:tc>
      </w:tr>
      <w:tr w:rsidR="0053050E" w:rsidRPr="00A809E6" w14:paraId="26AFA427" w14:textId="77777777" w:rsidTr="00C54DFC">
        <w:tc>
          <w:tcPr>
            <w:tcW w:w="1593" w:type="dxa"/>
            <w:vAlign w:val="center"/>
          </w:tcPr>
          <w:p w14:paraId="18A48547" w14:textId="77777777" w:rsidR="0053050E" w:rsidRPr="00A809E6" w:rsidRDefault="0053050E" w:rsidP="00144F7A">
            <w:pPr>
              <w:jc w:val="center"/>
              <w:rPr>
                <w:rFonts w:asciiTheme="minorHAnsi" w:hAnsiTheme="minorHAnsi" w:cstheme="minorHAnsi"/>
                <w:sz w:val="18"/>
                <w:szCs w:val="18"/>
              </w:rPr>
            </w:pPr>
            <w:r w:rsidRPr="00A809E6">
              <w:rPr>
                <w:rFonts w:asciiTheme="minorHAnsi" w:hAnsiTheme="minorHAnsi" w:cstheme="minorHAnsi"/>
                <w:sz w:val="18"/>
                <w:szCs w:val="18"/>
              </w:rPr>
              <w:t>GPs managing mental health problems for Indigenous people</w:t>
            </w:r>
          </w:p>
        </w:tc>
        <w:tc>
          <w:tcPr>
            <w:tcW w:w="3652" w:type="dxa"/>
            <w:vAlign w:val="center"/>
          </w:tcPr>
          <w:p w14:paraId="7A99BAFF" w14:textId="77777777" w:rsidR="0053050E" w:rsidRPr="00A809E6" w:rsidRDefault="0053050E" w:rsidP="00144F7A">
            <w:pPr>
              <w:jc w:val="center"/>
              <w:rPr>
                <w:rFonts w:asciiTheme="minorHAnsi" w:hAnsiTheme="minorHAnsi" w:cstheme="minorHAnsi"/>
                <w:sz w:val="18"/>
                <w:szCs w:val="18"/>
              </w:rPr>
            </w:pPr>
            <w:r w:rsidRPr="00A809E6">
              <w:rPr>
                <w:rFonts w:asciiTheme="minorHAnsi" w:hAnsiTheme="minorHAnsi" w:cstheme="minorHAnsi"/>
                <w:sz w:val="18"/>
                <w:szCs w:val="18"/>
              </w:rPr>
              <w:t>Managed at 1.2 times the rate of non-Indigenous people</w:t>
            </w:r>
          </w:p>
        </w:tc>
        <w:tc>
          <w:tcPr>
            <w:tcW w:w="1923" w:type="dxa"/>
            <w:vAlign w:val="center"/>
          </w:tcPr>
          <w:p w14:paraId="76A7D067" w14:textId="1430DF42" w:rsidR="0053050E" w:rsidRPr="00A809E6" w:rsidRDefault="0053050E" w:rsidP="00144F7A">
            <w:pPr>
              <w:jc w:val="center"/>
              <w:rPr>
                <w:rFonts w:asciiTheme="minorHAnsi" w:hAnsiTheme="minorHAnsi" w:cstheme="minorHAnsi"/>
                <w:sz w:val="18"/>
                <w:szCs w:val="18"/>
              </w:rPr>
            </w:pPr>
            <w:r w:rsidRPr="00A809E6">
              <w:rPr>
                <w:rFonts w:asciiTheme="minorHAnsi" w:hAnsiTheme="minorHAnsi" w:cstheme="minorHAnsi"/>
                <w:sz w:val="18"/>
                <w:szCs w:val="18"/>
              </w:rPr>
              <w:t>Should be 3 times greater</w:t>
            </w:r>
          </w:p>
        </w:tc>
        <w:tc>
          <w:tcPr>
            <w:tcW w:w="1621" w:type="dxa"/>
            <w:shd w:val="clear" w:color="auto" w:fill="D9E2F3" w:themeFill="accent1" w:themeFillTint="33"/>
            <w:vAlign w:val="center"/>
          </w:tcPr>
          <w:p w14:paraId="1EF304B8" w14:textId="31F1A40B" w:rsidR="0053050E" w:rsidRPr="00A809E6" w:rsidRDefault="0053050E" w:rsidP="00144F7A">
            <w:pPr>
              <w:jc w:val="center"/>
              <w:rPr>
                <w:rFonts w:asciiTheme="minorHAnsi" w:hAnsiTheme="minorHAnsi" w:cstheme="minorHAnsi"/>
                <w:b/>
                <w:sz w:val="18"/>
                <w:szCs w:val="18"/>
              </w:rPr>
            </w:pPr>
            <w:r w:rsidRPr="00A809E6">
              <w:rPr>
                <w:rFonts w:asciiTheme="minorHAnsi" w:hAnsiTheme="minorHAnsi" w:cstheme="minorHAnsi"/>
                <w:b/>
                <w:sz w:val="18"/>
                <w:szCs w:val="18"/>
              </w:rPr>
              <w:t>40%</w:t>
            </w:r>
          </w:p>
          <w:p w14:paraId="6C08BFB6" w14:textId="1E2F1543" w:rsidR="0053050E" w:rsidRPr="00A809E6" w:rsidRDefault="0053050E" w:rsidP="00144F7A">
            <w:pPr>
              <w:jc w:val="center"/>
              <w:rPr>
                <w:rFonts w:asciiTheme="minorHAnsi" w:hAnsiTheme="minorHAnsi" w:cstheme="minorHAnsi"/>
                <w:b/>
                <w:sz w:val="18"/>
                <w:szCs w:val="18"/>
              </w:rPr>
            </w:pPr>
            <w:r w:rsidRPr="00A809E6">
              <w:rPr>
                <w:rFonts w:asciiTheme="minorHAnsi" w:hAnsiTheme="minorHAnsi" w:cstheme="minorHAnsi"/>
                <w:b/>
                <w:sz w:val="18"/>
                <w:szCs w:val="18"/>
              </w:rPr>
              <w:t>(Shortfall 60%)</w:t>
            </w:r>
          </w:p>
        </w:tc>
      </w:tr>
    </w:tbl>
    <w:p w14:paraId="3B392989" w14:textId="77777777" w:rsidR="0053050E" w:rsidRPr="00A809E6" w:rsidRDefault="0053050E" w:rsidP="00A704BE">
      <w:pPr>
        <w:widowControl w:val="0"/>
        <w:autoSpaceDE w:val="0"/>
        <w:autoSpaceDN w:val="0"/>
        <w:adjustRightInd w:val="0"/>
        <w:rPr>
          <w:rFonts w:asciiTheme="minorHAnsi" w:hAnsiTheme="minorHAnsi" w:cstheme="minorHAnsi"/>
          <w:sz w:val="22"/>
          <w:szCs w:val="22"/>
          <w:highlight w:val="yellow"/>
        </w:rPr>
      </w:pPr>
    </w:p>
    <w:p w14:paraId="1AFB3D8B" w14:textId="3510C265" w:rsidR="0053050E" w:rsidRPr="00A809E6" w:rsidRDefault="0053050E" w:rsidP="006045C3">
      <w:pPr>
        <w:widowControl w:val="0"/>
        <w:autoSpaceDE w:val="0"/>
        <w:autoSpaceDN w:val="0"/>
        <w:adjustRightInd w:val="0"/>
        <w:rPr>
          <w:rFonts w:asciiTheme="minorHAnsi" w:hAnsiTheme="minorHAnsi" w:cstheme="minorHAnsi"/>
          <w:sz w:val="22"/>
          <w:szCs w:val="22"/>
        </w:rPr>
      </w:pPr>
      <w:r w:rsidRPr="00A809E6">
        <w:rPr>
          <w:rFonts w:asciiTheme="minorHAnsi" w:hAnsiTheme="minorHAnsi" w:cstheme="minorHAnsi"/>
          <w:sz w:val="22"/>
          <w:szCs w:val="22"/>
        </w:rPr>
        <w:t>Further, and as might be expected, the usage of hospitals and specialised mental health care services is significantly higher as set out in Table 4.</w:t>
      </w:r>
    </w:p>
    <w:p w14:paraId="3374CFFE" w14:textId="77777777" w:rsidR="0053050E" w:rsidRPr="00A809E6" w:rsidRDefault="0053050E" w:rsidP="00A809E6">
      <w:pPr>
        <w:widowControl w:val="0"/>
        <w:autoSpaceDE w:val="0"/>
        <w:autoSpaceDN w:val="0"/>
        <w:adjustRightInd w:val="0"/>
        <w:rPr>
          <w:rFonts w:asciiTheme="minorHAnsi" w:hAnsiTheme="minorHAnsi" w:cstheme="minorHAnsi"/>
          <w:sz w:val="22"/>
          <w:szCs w:val="22"/>
        </w:rPr>
      </w:pPr>
    </w:p>
    <w:p w14:paraId="235C1C97" w14:textId="77777777" w:rsidR="0053050E" w:rsidRPr="00A809E6" w:rsidRDefault="0053050E" w:rsidP="000358E1">
      <w:pPr>
        <w:jc w:val="center"/>
        <w:rPr>
          <w:rFonts w:asciiTheme="minorHAnsi" w:hAnsiTheme="minorHAnsi" w:cstheme="minorHAnsi"/>
          <w:b/>
          <w:sz w:val="22"/>
          <w:szCs w:val="22"/>
        </w:rPr>
      </w:pPr>
      <w:r w:rsidRPr="00A809E6">
        <w:rPr>
          <w:rFonts w:asciiTheme="minorHAnsi" w:hAnsiTheme="minorHAnsi" w:cstheme="minorHAnsi"/>
          <w:b/>
          <w:sz w:val="22"/>
          <w:szCs w:val="22"/>
        </w:rPr>
        <w:t>Table 4: Estimating Indigenous over-use of hospitals and specialised mental health care according to selected available data</w:t>
      </w:r>
    </w:p>
    <w:tbl>
      <w:tblPr>
        <w:tblStyle w:val="TableGrid"/>
        <w:tblW w:w="8789" w:type="dxa"/>
        <w:tblLook w:val="04A0" w:firstRow="1" w:lastRow="0" w:firstColumn="1" w:lastColumn="0" w:noHBand="0" w:noVBand="1"/>
      </w:tblPr>
      <w:tblGrid>
        <w:gridCol w:w="1696"/>
        <w:gridCol w:w="3686"/>
        <w:gridCol w:w="1786"/>
        <w:gridCol w:w="1621"/>
      </w:tblGrid>
      <w:tr w:rsidR="0053050E" w:rsidRPr="00A809E6" w14:paraId="55F92EFF" w14:textId="77777777" w:rsidTr="00C54DFC">
        <w:tc>
          <w:tcPr>
            <w:tcW w:w="1696" w:type="dxa"/>
            <w:tcBorders>
              <w:top w:val="single" w:sz="4" w:space="0" w:color="auto"/>
            </w:tcBorders>
            <w:vAlign w:val="center"/>
          </w:tcPr>
          <w:p w14:paraId="1FC1941D" w14:textId="77777777" w:rsidR="0053050E" w:rsidRPr="00A809E6" w:rsidRDefault="0053050E" w:rsidP="00144F7A">
            <w:pPr>
              <w:jc w:val="center"/>
              <w:rPr>
                <w:rFonts w:asciiTheme="minorHAnsi" w:hAnsiTheme="minorHAnsi" w:cstheme="minorHAnsi"/>
                <w:sz w:val="18"/>
                <w:szCs w:val="18"/>
              </w:rPr>
            </w:pPr>
            <w:r w:rsidRPr="00A809E6">
              <w:rPr>
                <w:rFonts w:asciiTheme="minorHAnsi" w:hAnsiTheme="minorHAnsi" w:cstheme="minorHAnsi"/>
                <w:sz w:val="18"/>
                <w:szCs w:val="18"/>
                <w:shd w:val="clear" w:color="auto" w:fill="FFFFFF"/>
              </w:rPr>
              <w:t>State and Territory community mental health services</w:t>
            </w:r>
          </w:p>
        </w:tc>
        <w:tc>
          <w:tcPr>
            <w:tcW w:w="3686" w:type="dxa"/>
            <w:tcBorders>
              <w:top w:val="single" w:sz="4" w:space="0" w:color="auto"/>
            </w:tcBorders>
            <w:vAlign w:val="center"/>
          </w:tcPr>
          <w:p w14:paraId="605BEC68" w14:textId="44418C51" w:rsidR="0053050E" w:rsidRPr="00A809E6" w:rsidRDefault="00A5452D" w:rsidP="00144F7A">
            <w:pPr>
              <w:jc w:val="center"/>
              <w:rPr>
                <w:rFonts w:asciiTheme="minorHAnsi" w:hAnsiTheme="minorHAnsi" w:cstheme="minorHAnsi"/>
                <w:sz w:val="18"/>
                <w:szCs w:val="18"/>
                <w:shd w:val="clear" w:color="auto" w:fill="FFFFFF"/>
              </w:rPr>
            </w:pPr>
            <w:r>
              <w:rPr>
                <w:rFonts w:asciiTheme="minorHAnsi" w:hAnsiTheme="minorHAnsi" w:cstheme="minorHAnsi"/>
                <w:sz w:val="18"/>
                <w:szCs w:val="18"/>
              </w:rPr>
              <w:t>Attending</w:t>
            </w:r>
            <w:r w:rsidRPr="00A809E6">
              <w:rPr>
                <w:rFonts w:asciiTheme="minorHAnsi" w:hAnsiTheme="minorHAnsi" w:cstheme="minorHAnsi"/>
                <w:sz w:val="18"/>
                <w:szCs w:val="18"/>
              </w:rPr>
              <w:t xml:space="preserve"> </w:t>
            </w:r>
            <w:r w:rsidR="0053050E" w:rsidRPr="00A809E6">
              <w:rPr>
                <w:rFonts w:asciiTheme="minorHAnsi" w:hAnsiTheme="minorHAnsi" w:cstheme="minorHAnsi"/>
                <w:sz w:val="18"/>
                <w:szCs w:val="18"/>
              </w:rPr>
              <w:t>at 4 times the rate of non-Indigenous people</w:t>
            </w:r>
          </w:p>
        </w:tc>
        <w:tc>
          <w:tcPr>
            <w:tcW w:w="1786" w:type="dxa"/>
            <w:vMerge w:val="restart"/>
            <w:vAlign w:val="center"/>
          </w:tcPr>
          <w:p w14:paraId="418943BF" w14:textId="77777777" w:rsidR="0053050E" w:rsidRPr="00A809E6" w:rsidRDefault="0053050E" w:rsidP="00144F7A">
            <w:pPr>
              <w:jc w:val="center"/>
              <w:rPr>
                <w:rFonts w:asciiTheme="minorHAnsi" w:hAnsiTheme="minorHAnsi" w:cstheme="minorHAnsi"/>
                <w:sz w:val="18"/>
                <w:szCs w:val="18"/>
              </w:rPr>
            </w:pPr>
            <w:r w:rsidRPr="00A809E6">
              <w:rPr>
                <w:rFonts w:asciiTheme="minorHAnsi" w:hAnsiTheme="minorHAnsi" w:cstheme="minorHAnsi"/>
                <w:sz w:val="18"/>
                <w:szCs w:val="18"/>
              </w:rPr>
              <w:t>Expectation:</w:t>
            </w:r>
          </w:p>
          <w:p w14:paraId="49F8DACA" w14:textId="7453F9D1" w:rsidR="0053050E" w:rsidRPr="00A809E6" w:rsidRDefault="0053050E" w:rsidP="00144F7A">
            <w:pPr>
              <w:jc w:val="center"/>
              <w:rPr>
                <w:rFonts w:asciiTheme="minorHAnsi" w:hAnsiTheme="minorHAnsi" w:cstheme="minorHAnsi"/>
                <w:sz w:val="18"/>
                <w:szCs w:val="18"/>
              </w:rPr>
            </w:pPr>
            <w:r w:rsidRPr="00A809E6">
              <w:rPr>
                <w:rFonts w:asciiTheme="minorHAnsi" w:hAnsiTheme="minorHAnsi" w:cstheme="minorHAnsi"/>
                <w:sz w:val="18"/>
                <w:szCs w:val="18"/>
              </w:rPr>
              <w:t xml:space="preserve">Should be 3 times the non-indigenous rate </w:t>
            </w:r>
          </w:p>
        </w:tc>
        <w:tc>
          <w:tcPr>
            <w:tcW w:w="1621" w:type="dxa"/>
            <w:tcBorders>
              <w:top w:val="single" w:sz="4" w:space="0" w:color="auto"/>
            </w:tcBorders>
            <w:shd w:val="clear" w:color="auto" w:fill="D9E2F3" w:themeFill="accent1" w:themeFillTint="33"/>
            <w:vAlign w:val="center"/>
          </w:tcPr>
          <w:p w14:paraId="6AEE6081" w14:textId="54A3C2A2" w:rsidR="0053050E" w:rsidRPr="00A809E6" w:rsidRDefault="0053050E" w:rsidP="00144F7A">
            <w:pPr>
              <w:jc w:val="center"/>
              <w:rPr>
                <w:rFonts w:asciiTheme="minorHAnsi" w:hAnsiTheme="minorHAnsi" w:cstheme="minorHAnsi"/>
                <w:b/>
                <w:sz w:val="18"/>
                <w:szCs w:val="18"/>
              </w:rPr>
            </w:pPr>
            <w:r w:rsidRPr="00A809E6">
              <w:rPr>
                <w:rFonts w:asciiTheme="minorHAnsi" w:hAnsiTheme="minorHAnsi" w:cstheme="minorHAnsi"/>
                <w:b/>
                <w:sz w:val="18"/>
                <w:szCs w:val="18"/>
              </w:rPr>
              <w:t>133% over expectation</w:t>
            </w:r>
          </w:p>
        </w:tc>
      </w:tr>
      <w:tr w:rsidR="0053050E" w:rsidRPr="00A809E6" w14:paraId="7F7F150E" w14:textId="77777777" w:rsidTr="00C54DFC">
        <w:tc>
          <w:tcPr>
            <w:tcW w:w="1696" w:type="dxa"/>
            <w:vAlign w:val="center"/>
          </w:tcPr>
          <w:p w14:paraId="538CC979" w14:textId="77777777" w:rsidR="0053050E" w:rsidRPr="00A809E6" w:rsidRDefault="0053050E" w:rsidP="00144F7A">
            <w:pPr>
              <w:jc w:val="center"/>
              <w:rPr>
                <w:rFonts w:asciiTheme="minorHAnsi" w:hAnsiTheme="minorHAnsi" w:cstheme="minorHAnsi"/>
                <w:sz w:val="18"/>
                <w:szCs w:val="18"/>
              </w:rPr>
            </w:pPr>
            <w:r w:rsidRPr="00A809E6">
              <w:rPr>
                <w:rFonts w:asciiTheme="minorHAnsi" w:hAnsiTheme="minorHAnsi" w:cstheme="minorHAnsi"/>
                <w:sz w:val="18"/>
                <w:szCs w:val="18"/>
              </w:rPr>
              <w:t>Separation rates for specialised mental health care without psychiatric treatment</w:t>
            </w:r>
          </w:p>
        </w:tc>
        <w:tc>
          <w:tcPr>
            <w:tcW w:w="3686" w:type="dxa"/>
            <w:vAlign w:val="center"/>
          </w:tcPr>
          <w:p w14:paraId="5B1A02D1" w14:textId="77777777" w:rsidR="0053050E" w:rsidRPr="00A809E6" w:rsidRDefault="0053050E" w:rsidP="00144F7A">
            <w:pPr>
              <w:jc w:val="center"/>
              <w:rPr>
                <w:rFonts w:asciiTheme="minorHAnsi" w:hAnsiTheme="minorHAnsi" w:cstheme="minorHAnsi"/>
                <w:sz w:val="18"/>
                <w:szCs w:val="18"/>
              </w:rPr>
            </w:pPr>
            <w:r w:rsidRPr="00A809E6">
              <w:rPr>
                <w:rFonts w:asciiTheme="minorHAnsi" w:hAnsiTheme="minorHAnsi" w:cstheme="minorHAnsi"/>
                <w:sz w:val="18"/>
                <w:szCs w:val="18"/>
              </w:rPr>
              <w:t>Occurring at 3 time the non-Indigenous rate</w:t>
            </w:r>
          </w:p>
        </w:tc>
        <w:tc>
          <w:tcPr>
            <w:tcW w:w="1786" w:type="dxa"/>
            <w:vMerge/>
            <w:vAlign w:val="center"/>
          </w:tcPr>
          <w:p w14:paraId="0FEB004B" w14:textId="77777777" w:rsidR="0053050E" w:rsidRPr="00A809E6" w:rsidRDefault="0053050E" w:rsidP="00144F7A">
            <w:pPr>
              <w:jc w:val="center"/>
              <w:rPr>
                <w:rFonts w:asciiTheme="minorHAnsi" w:hAnsiTheme="minorHAnsi" w:cstheme="minorHAnsi"/>
                <w:sz w:val="18"/>
                <w:szCs w:val="18"/>
              </w:rPr>
            </w:pPr>
          </w:p>
        </w:tc>
        <w:tc>
          <w:tcPr>
            <w:tcW w:w="1621" w:type="dxa"/>
            <w:shd w:val="clear" w:color="auto" w:fill="D9E2F3" w:themeFill="accent1" w:themeFillTint="33"/>
            <w:vAlign w:val="center"/>
          </w:tcPr>
          <w:p w14:paraId="4576F418" w14:textId="296E967F" w:rsidR="0053050E" w:rsidRPr="00A809E6" w:rsidRDefault="0053050E" w:rsidP="00144F7A">
            <w:pPr>
              <w:jc w:val="center"/>
              <w:rPr>
                <w:rFonts w:asciiTheme="minorHAnsi" w:hAnsiTheme="minorHAnsi" w:cstheme="minorHAnsi"/>
                <w:b/>
                <w:sz w:val="18"/>
                <w:szCs w:val="18"/>
              </w:rPr>
            </w:pPr>
            <w:r w:rsidRPr="00A809E6">
              <w:rPr>
                <w:rFonts w:asciiTheme="minorHAnsi" w:hAnsiTheme="minorHAnsi" w:cstheme="minorHAnsi"/>
                <w:b/>
                <w:sz w:val="18"/>
                <w:szCs w:val="18"/>
              </w:rPr>
              <w:t>At expectation</w:t>
            </w:r>
          </w:p>
        </w:tc>
      </w:tr>
      <w:tr w:rsidR="0053050E" w:rsidRPr="00A809E6" w14:paraId="3D6241AB" w14:textId="77777777" w:rsidTr="00C54DFC">
        <w:tc>
          <w:tcPr>
            <w:tcW w:w="1696" w:type="dxa"/>
            <w:vAlign w:val="center"/>
          </w:tcPr>
          <w:p w14:paraId="4957C035" w14:textId="77777777" w:rsidR="0053050E" w:rsidRPr="00A809E6" w:rsidRDefault="0053050E" w:rsidP="00144F7A">
            <w:pPr>
              <w:jc w:val="center"/>
              <w:rPr>
                <w:rFonts w:asciiTheme="minorHAnsi" w:hAnsiTheme="minorHAnsi" w:cstheme="minorHAnsi"/>
                <w:sz w:val="18"/>
                <w:szCs w:val="18"/>
              </w:rPr>
            </w:pPr>
            <w:r w:rsidRPr="00A809E6">
              <w:rPr>
                <w:rFonts w:asciiTheme="minorHAnsi" w:hAnsiTheme="minorHAnsi" w:cstheme="minorHAnsi"/>
                <w:sz w:val="18"/>
                <w:szCs w:val="18"/>
              </w:rPr>
              <w:t>As above, with psychiatric treatment</w:t>
            </w:r>
          </w:p>
        </w:tc>
        <w:tc>
          <w:tcPr>
            <w:tcW w:w="3686" w:type="dxa"/>
            <w:vAlign w:val="center"/>
          </w:tcPr>
          <w:p w14:paraId="4675907D" w14:textId="77777777" w:rsidR="0053050E" w:rsidRPr="00A809E6" w:rsidRDefault="0053050E" w:rsidP="00144F7A">
            <w:pPr>
              <w:jc w:val="center"/>
              <w:rPr>
                <w:rFonts w:asciiTheme="minorHAnsi" w:hAnsiTheme="minorHAnsi" w:cstheme="minorHAnsi"/>
                <w:sz w:val="18"/>
                <w:szCs w:val="18"/>
              </w:rPr>
            </w:pPr>
            <w:r w:rsidRPr="00A809E6">
              <w:rPr>
                <w:rFonts w:asciiTheme="minorHAnsi" w:hAnsiTheme="minorHAnsi" w:cstheme="minorHAnsi"/>
                <w:sz w:val="18"/>
                <w:szCs w:val="18"/>
              </w:rPr>
              <w:t>Occurring at 3.3 time the non-Indigenous rate</w:t>
            </w:r>
          </w:p>
        </w:tc>
        <w:tc>
          <w:tcPr>
            <w:tcW w:w="1786" w:type="dxa"/>
            <w:vMerge/>
            <w:vAlign w:val="center"/>
          </w:tcPr>
          <w:p w14:paraId="2734E015" w14:textId="77777777" w:rsidR="0053050E" w:rsidRPr="00A809E6" w:rsidRDefault="0053050E" w:rsidP="00144F7A">
            <w:pPr>
              <w:jc w:val="center"/>
              <w:rPr>
                <w:rFonts w:asciiTheme="minorHAnsi" w:hAnsiTheme="minorHAnsi" w:cstheme="minorHAnsi"/>
                <w:sz w:val="18"/>
                <w:szCs w:val="18"/>
              </w:rPr>
            </w:pPr>
          </w:p>
        </w:tc>
        <w:tc>
          <w:tcPr>
            <w:tcW w:w="1621" w:type="dxa"/>
            <w:shd w:val="clear" w:color="auto" w:fill="D9E2F3" w:themeFill="accent1" w:themeFillTint="33"/>
            <w:vAlign w:val="center"/>
          </w:tcPr>
          <w:p w14:paraId="328542D9" w14:textId="458884F8" w:rsidR="0053050E" w:rsidRPr="00A809E6" w:rsidRDefault="0053050E" w:rsidP="00144F7A">
            <w:pPr>
              <w:jc w:val="center"/>
              <w:rPr>
                <w:rFonts w:asciiTheme="minorHAnsi" w:hAnsiTheme="minorHAnsi" w:cstheme="minorHAnsi"/>
                <w:b/>
                <w:sz w:val="18"/>
                <w:szCs w:val="18"/>
              </w:rPr>
            </w:pPr>
            <w:r w:rsidRPr="00A809E6">
              <w:rPr>
                <w:rFonts w:asciiTheme="minorHAnsi" w:hAnsiTheme="minorHAnsi" w:cstheme="minorHAnsi"/>
                <w:b/>
                <w:sz w:val="18"/>
                <w:szCs w:val="18"/>
              </w:rPr>
              <w:t>110% over expectation</w:t>
            </w:r>
          </w:p>
        </w:tc>
      </w:tr>
      <w:tr w:rsidR="0053050E" w:rsidRPr="00A809E6" w14:paraId="6558F3BE" w14:textId="77777777" w:rsidTr="00C54DFC">
        <w:tc>
          <w:tcPr>
            <w:tcW w:w="1696" w:type="dxa"/>
            <w:vAlign w:val="center"/>
          </w:tcPr>
          <w:p w14:paraId="7D7E17DB" w14:textId="77777777" w:rsidR="0053050E" w:rsidRPr="00A809E6" w:rsidRDefault="0053050E" w:rsidP="00144F7A">
            <w:pPr>
              <w:jc w:val="center"/>
              <w:rPr>
                <w:rFonts w:asciiTheme="minorHAnsi" w:hAnsiTheme="minorHAnsi" w:cstheme="minorHAnsi"/>
                <w:sz w:val="18"/>
                <w:szCs w:val="18"/>
              </w:rPr>
            </w:pPr>
            <w:r w:rsidRPr="00A809E6">
              <w:rPr>
                <w:rFonts w:asciiTheme="minorHAnsi" w:hAnsiTheme="minorHAnsi" w:cstheme="minorHAnsi"/>
                <w:sz w:val="18"/>
                <w:szCs w:val="18"/>
              </w:rPr>
              <w:t>Specialist homelessness services clients with mental health issues</w:t>
            </w:r>
          </w:p>
        </w:tc>
        <w:tc>
          <w:tcPr>
            <w:tcW w:w="3686" w:type="dxa"/>
            <w:vAlign w:val="center"/>
          </w:tcPr>
          <w:p w14:paraId="69662B7C" w14:textId="77777777" w:rsidR="0053050E" w:rsidRPr="00A809E6" w:rsidRDefault="0053050E" w:rsidP="00144F7A">
            <w:pPr>
              <w:jc w:val="center"/>
              <w:rPr>
                <w:rFonts w:asciiTheme="minorHAnsi" w:hAnsiTheme="minorHAnsi" w:cstheme="minorHAnsi"/>
                <w:sz w:val="18"/>
                <w:szCs w:val="18"/>
              </w:rPr>
            </w:pPr>
            <w:r w:rsidRPr="00A809E6">
              <w:rPr>
                <w:rFonts w:asciiTheme="minorHAnsi" w:hAnsiTheme="minorHAnsi" w:cstheme="minorHAnsi"/>
                <w:sz w:val="18"/>
                <w:szCs w:val="18"/>
              </w:rPr>
              <w:t>Indigenous clients reported to have such issues at 6 times the rate of non-indigenous clients</w:t>
            </w:r>
          </w:p>
        </w:tc>
        <w:tc>
          <w:tcPr>
            <w:tcW w:w="1786" w:type="dxa"/>
            <w:vMerge/>
            <w:vAlign w:val="center"/>
          </w:tcPr>
          <w:p w14:paraId="0F9F28DD" w14:textId="77777777" w:rsidR="0053050E" w:rsidRPr="00A809E6" w:rsidRDefault="0053050E" w:rsidP="00144F7A">
            <w:pPr>
              <w:jc w:val="center"/>
              <w:rPr>
                <w:rFonts w:asciiTheme="minorHAnsi" w:hAnsiTheme="minorHAnsi" w:cstheme="minorHAnsi"/>
                <w:sz w:val="18"/>
                <w:szCs w:val="18"/>
              </w:rPr>
            </w:pPr>
          </w:p>
        </w:tc>
        <w:tc>
          <w:tcPr>
            <w:tcW w:w="1621" w:type="dxa"/>
            <w:shd w:val="clear" w:color="auto" w:fill="D9E2F3" w:themeFill="accent1" w:themeFillTint="33"/>
            <w:vAlign w:val="center"/>
          </w:tcPr>
          <w:p w14:paraId="67EF6094" w14:textId="474EB38A" w:rsidR="0053050E" w:rsidRPr="00A809E6" w:rsidRDefault="0053050E" w:rsidP="00144F7A">
            <w:pPr>
              <w:jc w:val="center"/>
              <w:rPr>
                <w:rFonts w:asciiTheme="minorHAnsi" w:hAnsiTheme="minorHAnsi" w:cstheme="minorHAnsi"/>
                <w:b/>
                <w:sz w:val="18"/>
                <w:szCs w:val="18"/>
              </w:rPr>
            </w:pPr>
            <w:r w:rsidRPr="00A809E6">
              <w:rPr>
                <w:rFonts w:asciiTheme="minorHAnsi" w:hAnsiTheme="minorHAnsi" w:cstheme="minorHAnsi"/>
                <w:b/>
                <w:sz w:val="18"/>
                <w:szCs w:val="18"/>
              </w:rPr>
              <w:t>200% over expectation</w:t>
            </w:r>
          </w:p>
        </w:tc>
      </w:tr>
    </w:tbl>
    <w:p w14:paraId="208BA208" w14:textId="750BF608" w:rsidR="0053050E" w:rsidRPr="00A809E6" w:rsidRDefault="0053050E" w:rsidP="00B549AE">
      <w:pPr>
        <w:rPr>
          <w:rFonts w:asciiTheme="minorHAnsi" w:hAnsiTheme="minorHAnsi" w:cstheme="minorHAnsi"/>
          <w:sz w:val="16"/>
          <w:szCs w:val="16"/>
        </w:rPr>
      </w:pPr>
    </w:p>
    <w:p w14:paraId="63DD71BF" w14:textId="77777777" w:rsidR="00BA3BC3" w:rsidRPr="00A809E6" w:rsidRDefault="00BA3BC3" w:rsidP="00BA3BC3">
      <w:pPr>
        <w:pStyle w:val="NormalWeb"/>
        <w:spacing w:before="0" w:beforeAutospacing="0" w:after="0" w:afterAutospacing="0"/>
        <w:rPr>
          <w:rFonts w:asciiTheme="minorHAnsi" w:hAnsiTheme="minorHAnsi" w:cstheme="minorHAnsi"/>
          <w:sz w:val="22"/>
          <w:szCs w:val="22"/>
          <w:lang w:val="en-US"/>
        </w:rPr>
      </w:pPr>
      <w:r w:rsidRPr="0053344A">
        <w:rPr>
          <w:rFonts w:asciiTheme="minorHAnsi" w:hAnsiTheme="minorHAnsi" w:cstheme="minorHAnsi"/>
          <w:sz w:val="22"/>
          <w:szCs w:val="22"/>
        </w:rPr>
        <w:t xml:space="preserve">Further, rates of suicide and self-harm are known to further increase with persons living in rural and remote Australia.  The recent </w:t>
      </w:r>
      <w:r w:rsidRPr="0053344A">
        <w:rPr>
          <w:rFonts w:asciiTheme="minorHAnsi" w:hAnsiTheme="minorHAnsi" w:cstheme="minorHAnsi"/>
          <w:i/>
          <w:sz w:val="22"/>
          <w:szCs w:val="22"/>
        </w:rPr>
        <w:t>Senate Inquiry into the accessibility and quality of mental health services in rural and remote Australia</w:t>
      </w:r>
      <w:r w:rsidRPr="0053344A">
        <w:rPr>
          <w:rFonts w:asciiTheme="minorHAnsi" w:hAnsiTheme="minorHAnsi" w:cstheme="minorHAnsi"/>
          <w:sz w:val="22"/>
          <w:szCs w:val="22"/>
        </w:rPr>
        <w:t xml:space="preserve"> reported that Australians living in rural and remote communities are less likely to seek mental health treatment than persons living in urban areas.</w:t>
      </w:r>
    </w:p>
    <w:p w14:paraId="5FD75B7B" w14:textId="77777777" w:rsidR="00BA3BC3" w:rsidRPr="00A809E6" w:rsidRDefault="00BA3BC3" w:rsidP="00B549AE">
      <w:pPr>
        <w:rPr>
          <w:rFonts w:asciiTheme="minorHAnsi" w:hAnsiTheme="minorHAnsi" w:cstheme="minorHAnsi"/>
          <w:sz w:val="16"/>
          <w:szCs w:val="16"/>
        </w:rPr>
      </w:pPr>
    </w:p>
    <w:p w14:paraId="27D3D6DD" w14:textId="65D95062" w:rsidR="0053050E" w:rsidRPr="00A809E6" w:rsidRDefault="0053050E" w:rsidP="008C66F2">
      <w:pPr>
        <w:pStyle w:val="NormalWeb"/>
        <w:shd w:val="clear" w:color="auto" w:fill="FBE4D5" w:themeFill="accent2" w:themeFillTint="33"/>
        <w:spacing w:before="0" w:beforeAutospacing="0" w:after="0" w:afterAutospacing="0"/>
        <w:rPr>
          <w:rFonts w:asciiTheme="minorHAnsi" w:hAnsiTheme="minorHAnsi" w:cstheme="minorHAnsi"/>
          <w:i/>
          <w:sz w:val="22"/>
          <w:szCs w:val="22"/>
        </w:rPr>
      </w:pPr>
      <w:r w:rsidRPr="00A809E6">
        <w:rPr>
          <w:rFonts w:asciiTheme="minorHAnsi" w:hAnsiTheme="minorHAnsi" w:cstheme="minorHAnsi"/>
          <w:b/>
          <w:sz w:val="22"/>
          <w:szCs w:val="22"/>
        </w:rPr>
        <w:t xml:space="preserve">Recommendation 3: </w:t>
      </w:r>
      <w:r w:rsidRPr="00A809E6">
        <w:rPr>
          <w:rFonts w:asciiTheme="minorHAnsi" w:hAnsiTheme="minorHAnsi" w:cstheme="minorHAnsi"/>
          <w:sz w:val="22"/>
          <w:szCs w:val="22"/>
        </w:rPr>
        <w:t xml:space="preserve">That Australian governments increase Aboriginal and Torres Strait Islander primary mental health expenditure to a quantum equivalent to 3 times per capita non-Indigenous spending starting in the 2020-21 financial year. Increased investment should by </w:t>
      </w:r>
      <w:r w:rsidRPr="00A809E6">
        <w:rPr>
          <w:rFonts w:asciiTheme="minorHAnsi" w:hAnsiTheme="minorHAnsi" w:cstheme="minorHAnsi"/>
          <w:sz w:val="22"/>
          <w:szCs w:val="22"/>
          <w:shd w:val="clear" w:color="auto" w:fill="FBE4D5" w:themeFill="accent2" w:themeFillTint="33"/>
        </w:rPr>
        <w:t>30 June 2020 be</w:t>
      </w:r>
      <w:r w:rsidRPr="00A809E6">
        <w:rPr>
          <w:rFonts w:asciiTheme="minorHAnsi" w:hAnsiTheme="minorHAnsi" w:cstheme="minorHAnsi"/>
          <w:sz w:val="22"/>
          <w:szCs w:val="22"/>
        </w:rPr>
        <w:t xml:space="preserve"> used to </w:t>
      </w:r>
      <w:r w:rsidRPr="00A809E6">
        <w:rPr>
          <w:rFonts w:asciiTheme="minorHAnsi" w:hAnsiTheme="minorHAnsi" w:cstheme="minorHAnsi"/>
          <w:noProof/>
          <w:sz w:val="22"/>
          <w:szCs w:val="22"/>
        </w:rPr>
        <w:t>cost and fund an implementation strategy for t</w:t>
      </w:r>
      <w:r w:rsidRPr="00A809E6">
        <w:rPr>
          <w:rFonts w:asciiTheme="minorHAnsi" w:hAnsiTheme="minorHAnsi" w:cstheme="minorHAnsi"/>
          <w:sz w:val="22"/>
          <w:szCs w:val="22"/>
          <w:shd w:val="clear" w:color="auto" w:fill="FBE4D5" w:themeFill="accent2" w:themeFillTint="33"/>
        </w:rPr>
        <w:t>he</w:t>
      </w:r>
      <w:r w:rsidRPr="00A809E6">
        <w:rPr>
          <w:rStyle w:val="apple-converted-space"/>
          <w:rFonts w:asciiTheme="minorHAnsi" w:hAnsiTheme="minorHAnsi" w:cstheme="minorHAnsi"/>
          <w:sz w:val="22"/>
          <w:szCs w:val="22"/>
          <w:shd w:val="clear" w:color="auto" w:fill="FBE4D5" w:themeFill="accent2" w:themeFillTint="33"/>
        </w:rPr>
        <w:t xml:space="preserve"> 2017 </w:t>
      </w:r>
      <w:r w:rsidRPr="00A809E6">
        <w:rPr>
          <w:rStyle w:val="Emphasis"/>
          <w:rFonts w:asciiTheme="minorHAnsi" w:hAnsiTheme="minorHAnsi" w:cstheme="minorHAnsi"/>
          <w:sz w:val="22"/>
          <w:szCs w:val="22"/>
        </w:rPr>
        <w:t>National Strategic Framework for Aboriginal and Torres Strait Islander Peoples’ Mental Health and Social and Emotional Wellbeing</w:t>
      </w:r>
      <w:r w:rsidRPr="00A809E6">
        <w:rPr>
          <w:rFonts w:asciiTheme="minorHAnsi" w:hAnsiTheme="minorHAnsi" w:cstheme="minorHAnsi"/>
          <w:sz w:val="22"/>
          <w:szCs w:val="22"/>
          <w:shd w:val="clear" w:color="auto" w:fill="FBE4D5" w:themeFill="accent2" w:themeFillTint="33"/>
        </w:rPr>
        <w:t xml:space="preserve"> within the </w:t>
      </w:r>
      <w:r w:rsidRPr="00A809E6">
        <w:rPr>
          <w:rFonts w:asciiTheme="minorHAnsi" w:hAnsiTheme="minorHAnsi" w:cstheme="minorHAnsi"/>
          <w:i/>
          <w:sz w:val="22"/>
          <w:szCs w:val="22"/>
          <w:shd w:val="clear" w:color="auto" w:fill="FBE4D5" w:themeFill="accent2" w:themeFillTint="33"/>
        </w:rPr>
        <w:t xml:space="preserve">Fifth National Mental Health Plan </w:t>
      </w:r>
      <w:r w:rsidRPr="00A809E6">
        <w:rPr>
          <w:rFonts w:asciiTheme="minorHAnsi" w:hAnsiTheme="minorHAnsi" w:cstheme="minorHAnsi"/>
          <w:sz w:val="22"/>
          <w:szCs w:val="22"/>
          <w:shd w:val="clear" w:color="auto" w:fill="FBE4D5" w:themeFill="accent2" w:themeFillTint="33"/>
        </w:rPr>
        <w:t xml:space="preserve">implementation process; and the development of a dedicated Indigenous suicide prevention strategy and fully funded implementation plan based on the 2013 </w:t>
      </w:r>
      <w:r w:rsidRPr="00A809E6">
        <w:rPr>
          <w:rFonts w:asciiTheme="minorHAnsi" w:hAnsiTheme="minorHAnsi" w:cstheme="minorHAnsi"/>
          <w:i/>
          <w:sz w:val="22"/>
          <w:szCs w:val="22"/>
          <w:shd w:val="clear" w:color="auto" w:fill="FBE4D5" w:themeFill="accent2" w:themeFillTint="33"/>
        </w:rPr>
        <w:t>National Aboriginal and Torres Strait Islander Suicide Prevention Strategy.</w:t>
      </w:r>
    </w:p>
    <w:p w14:paraId="04E69A7B" w14:textId="77777777" w:rsidR="0053050E" w:rsidRPr="00A809E6" w:rsidRDefault="0053050E" w:rsidP="00B549AE">
      <w:pPr>
        <w:rPr>
          <w:rFonts w:asciiTheme="minorHAnsi" w:hAnsiTheme="minorHAnsi" w:cstheme="minorHAnsi"/>
          <w:sz w:val="16"/>
          <w:szCs w:val="16"/>
        </w:rPr>
      </w:pPr>
    </w:p>
    <w:p w14:paraId="1DC10B05" w14:textId="16E89380" w:rsidR="0053050E" w:rsidRPr="00A809E6" w:rsidRDefault="0053050E" w:rsidP="00A809E6">
      <w:pPr>
        <w:pStyle w:val="ListParagraph"/>
        <w:numPr>
          <w:ilvl w:val="0"/>
          <w:numId w:val="40"/>
        </w:numPr>
        <w:rPr>
          <w:rFonts w:asciiTheme="minorHAnsi" w:hAnsiTheme="minorHAnsi" w:cstheme="minorHAnsi"/>
          <w:i/>
          <w:sz w:val="22"/>
          <w:szCs w:val="22"/>
        </w:rPr>
      </w:pPr>
      <w:r w:rsidRPr="00A809E6">
        <w:rPr>
          <w:rFonts w:asciiTheme="minorHAnsi" w:hAnsiTheme="minorHAnsi" w:cstheme="minorHAnsi"/>
          <w:i/>
          <w:sz w:val="22"/>
          <w:szCs w:val="22"/>
        </w:rPr>
        <w:t>The role of Indigenous Primary Health Care Services including Aboriginal Community Controlled Health Services</w:t>
      </w:r>
    </w:p>
    <w:p w14:paraId="11D08A59" w14:textId="77777777" w:rsidR="0053050E" w:rsidRPr="00A809E6" w:rsidRDefault="0053050E" w:rsidP="00B549AE">
      <w:pPr>
        <w:pStyle w:val="ListParagraph"/>
        <w:ind w:left="360"/>
        <w:rPr>
          <w:rFonts w:asciiTheme="minorHAnsi" w:hAnsiTheme="minorHAnsi" w:cstheme="minorHAnsi"/>
          <w:i/>
          <w:sz w:val="16"/>
          <w:szCs w:val="16"/>
        </w:rPr>
      </w:pPr>
    </w:p>
    <w:p w14:paraId="08582F68" w14:textId="7558AD00" w:rsidR="0053050E" w:rsidRPr="00A809E6" w:rsidRDefault="0053050E" w:rsidP="00B549AE">
      <w:pPr>
        <w:pStyle w:val="NormalWeb"/>
        <w:spacing w:before="0" w:beforeAutospacing="0" w:after="0" w:afterAutospacing="0"/>
        <w:rPr>
          <w:rFonts w:asciiTheme="minorHAnsi" w:hAnsiTheme="minorHAnsi" w:cstheme="minorHAnsi"/>
          <w:sz w:val="22"/>
          <w:szCs w:val="22"/>
        </w:rPr>
      </w:pPr>
      <w:r w:rsidRPr="00A809E6">
        <w:rPr>
          <w:rFonts w:asciiTheme="minorHAnsi" w:hAnsiTheme="minorHAnsi" w:cstheme="minorHAnsi"/>
          <w:sz w:val="22"/>
          <w:szCs w:val="22"/>
        </w:rPr>
        <w:t xml:space="preserve">As per the broader primary health system ‘market’, the Commonwealth funds primary mental health services in areas of market failure. For Aboriginal and Torres Strait Islander communities, most of the 200 or so Commonwealth-funded Indigenous primary health care organisations, including ACCHSs, provide care in relation to social and emotional wellbeing and mental health issues </w:t>
      </w:r>
      <w:r w:rsidR="00A5452D">
        <w:rPr>
          <w:rFonts w:asciiTheme="minorHAnsi" w:hAnsiTheme="minorHAnsi" w:cstheme="minorHAnsi"/>
          <w:sz w:val="22"/>
          <w:szCs w:val="22"/>
        </w:rPr>
        <w:t xml:space="preserve">with funding provided </w:t>
      </w:r>
      <w:r w:rsidRPr="00A809E6">
        <w:rPr>
          <w:rFonts w:asciiTheme="minorHAnsi" w:hAnsiTheme="minorHAnsi" w:cstheme="minorHAnsi"/>
          <w:sz w:val="22"/>
          <w:szCs w:val="22"/>
        </w:rPr>
        <w:t>through the Department of Health. Further, and - within that total - 100 or so also receive funding from the Department of the Prime Minister and Cabinet through its Social and Emotional Wellbeing Program. According to the Budget Paper for 2018-19, the Department’s Outcome 2, Program 2.3 (Safety and Wellbeing) received $281m in 2018-19</w:t>
      </w:r>
      <w:r w:rsidRPr="00A809E6">
        <w:rPr>
          <w:rStyle w:val="EndnoteReference"/>
          <w:rFonts w:asciiTheme="minorHAnsi" w:hAnsiTheme="minorHAnsi" w:cstheme="minorHAnsi"/>
          <w:sz w:val="22"/>
          <w:szCs w:val="22"/>
        </w:rPr>
        <w:endnoteReference w:id="27"/>
      </w:r>
      <w:r w:rsidRPr="00A809E6">
        <w:rPr>
          <w:rFonts w:asciiTheme="minorHAnsi" w:hAnsiTheme="minorHAnsi" w:cstheme="minorHAnsi"/>
          <w:sz w:val="22"/>
          <w:szCs w:val="22"/>
        </w:rPr>
        <w:t>. Within this sum is included expenditure on the Social and Emotional Wellbeing Program, although how much of this is for the Social and Emotional Wellbeing Program does not appear to be publicly available.</w:t>
      </w:r>
    </w:p>
    <w:p w14:paraId="3A1F6FAA" w14:textId="77777777" w:rsidR="0053050E" w:rsidRPr="00A809E6" w:rsidRDefault="0053050E" w:rsidP="00B549AE">
      <w:pPr>
        <w:pStyle w:val="NormalWeb"/>
        <w:spacing w:before="0" w:beforeAutospacing="0" w:after="0" w:afterAutospacing="0"/>
        <w:rPr>
          <w:rFonts w:asciiTheme="minorHAnsi" w:hAnsiTheme="minorHAnsi" w:cstheme="minorHAnsi"/>
          <w:sz w:val="16"/>
          <w:szCs w:val="16"/>
        </w:rPr>
      </w:pPr>
    </w:p>
    <w:p w14:paraId="630BA027" w14:textId="277118AF" w:rsidR="0053050E" w:rsidRPr="00A809E6" w:rsidRDefault="0053050E" w:rsidP="00C40B6F">
      <w:pPr>
        <w:rPr>
          <w:rFonts w:asciiTheme="minorHAnsi" w:hAnsiTheme="minorHAnsi" w:cstheme="minorHAnsi"/>
          <w:sz w:val="22"/>
          <w:szCs w:val="22"/>
        </w:rPr>
      </w:pPr>
      <w:r w:rsidRPr="00A809E6">
        <w:rPr>
          <w:rFonts w:asciiTheme="minorHAnsi" w:hAnsiTheme="minorHAnsi" w:cstheme="minorHAnsi"/>
          <w:sz w:val="22"/>
          <w:szCs w:val="22"/>
        </w:rPr>
        <w:t xml:space="preserve">Yet despite the above, significant mental health service gaps are reported by these Commonwealth-funded services, and most significantly in relation to mental health service capacity. In 2015-16, about half of these services reported such a gap – effectively, unmet need in Aboriginal and Torres Strait Islander communities </w:t>
      </w:r>
      <w:r w:rsidRPr="00A809E6">
        <w:rPr>
          <w:rStyle w:val="EndnoteReference"/>
          <w:rFonts w:asciiTheme="minorHAnsi" w:hAnsiTheme="minorHAnsi" w:cstheme="minorHAnsi"/>
          <w:sz w:val="22"/>
          <w:szCs w:val="22"/>
        </w:rPr>
        <w:endnoteReference w:id="28"/>
      </w:r>
      <w:r w:rsidRPr="00A809E6">
        <w:rPr>
          <w:rFonts w:asciiTheme="minorHAnsi" w:hAnsiTheme="minorHAnsi" w:cstheme="minorHAnsi"/>
          <w:sz w:val="22"/>
          <w:szCs w:val="22"/>
        </w:rPr>
        <w:t xml:space="preserve">. </w:t>
      </w:r>
    </w:p>
    <w:p w14:paraId="500BD860" w14:textId="77777777" w:rsidR="0053050E" w:rsidRPr="00A809E6" w:rsidRDefault="0053050E" w:rsidP="00C40B6F">
      <w:pPr>
        <w:rPr>
          <w:rFonts w:asciiTheme="minorHAnsi" w:hAnsiTheme="minorHAnsi" w:cstheme="minorHAnsi"/>
          <w:sz w:val="16"/>
          <w:szCs w:val="16"/>
        </w:rPr>
      </w:pPr>
    </w:p>
    <w:p w14:paraId="7178BD67" w14:textId="38CCAFFE" w:rsidR="0053050E" w:rsidRPr="00A809E6" w:rsidRDefault="0053050E" w:rsidP="00C40B6F">
      <w:pPr>
        <w:rPr>
          <w:rFonts w:asciiTheme="minorHAnsi" w:hAnsiTheme="minorHAnsi" w:cstheme="minorHAnsi"/>
          <w:sz w:val="22"/>
          <w:szCs w:val="22"/>
        </w:rPr>
      </w:pPr>
      <w:r w:rsidRPr="00A809E6">
        <w:rPr>
          <w:rFonts w:asciiTheme="minorHAnsi" w:hAnsiTheme="minorHAnsi" w:cstheme="minorHAnsi"/>
          <w:sz w:val="22"/>
          <w:szCs w:val="22"/>
        </w:rPr>
        <w:t>The authors believe a goal of Primary Health Network-commissioning processes (i.e. that utilise the abovementioned additional Indigenous specific mental health and suicide prevention funding provided since 2015) or, indeed, any other PHN-fund allocation process, should be to support Commonwealth-funded Indigenous primary health care organisations, and particularly ACCHSs, to meet these gaps and ensure these services can meet the additional mental health needs in Aboriginal and Torres Strait Islander communities.</w:t>
      </w:r>
    </w:p>
    <w:p w14:paraId="40071327" w14:textId="77777777" w:rsidR="0053050E" w:rsidRPr="00A809E6" w:rsidRDefault="0053050E" w:rsidP="00C40B6F">
      <w:pPr>
        <w:rPr>
          <w:rFonts w:asciiTheme="minorHAnsi" w:hAnsiTheme="minorHAnsi" w:cstheme="minorHAnsi"/>
          <w:sz w:val="22"/>
          <w:szCs w:val="22"/>
        </w:rPr>
      </w:pPr>
    </w:p>
    <w:p w14:paraId="6A768706" w14:textId="7E1C88AE" w:rsidR="0053050E" w:rsidRPr="00A809E6" w:rsidRDefault="0053050E" w:rsidP="00C44429">
      <w:pPr>
        <w:rPr>
          <w:rFonts w:asciiTheme="minorHAnsi" w:hAnsiTheme="minorHAnsi" w:cstheme="minorHAnsi"/>
          <w:sz w:val="22"/>
          <w:szCs w:val="22"/>
          <w:lang w:val="en-US"/>
        </w:rPr>
      </w:pPr>
      <w:r w:rsidRPr="00A809E6">
        <w:rPr>
          <w:rFonts w:asciiTheme="minorHAnsi" w:hAnsiTheme="minorHAnsi" w:cstheme="minorHAnsi"/>
          <w:sz w:val="22"/>
          <w:szCs w:val="22"/>
        </w:rPr>
        <w:t xml:space="preserve">By this, the authors support the placement of ACCHSs, in particular, as the </w:t>
      </w:r>
      <w:r w:rsidRPr="00A809E6">
        <w:rPr>
          <w:rFonts w:asciiTheme="minorHAnsi" w:hAnsiTheme="minorHAnsi" w:cstheme="minorHAnsi"/>
          <w:b/>
          <w:sz w:val="22"/>
          <w:szCs w:val="22"/>
        </w:rPr>
        <w:t>preferred providers</w:t>
      </w:r>
      <w:r w:rsidRPr="00A809E6">
        <w:rPr>
          <w:rFonts w:asciiTheme="minorHAnsi" w:hAnsiTheme="minorHAnsi" w:cstheme="minorHAnsi"/>
          <w:sz w:val="22"/>
          <w:szCs w:val="22"/>
        </w:rPr>
        <w:t xml:space="preserve"> of mental health, suicide prevention and related area services to Aboriginal and Torres Strait Islander communities, wherever it is in the best interest of the Aboriginal and Torres Strait Islander community to do so.</w:t>
      </w:r>
      <w:r w:rsidRPr="00A809E6">
        <w:rPr>
          <w:rFonts w:asciiTheme="minorHAnsi" w:hAnsiTheme="minorHAnsi" w:cstheme="minorHAnsi"/>
          <w:sz w:val="22"/>
          <w:szCs w:val="22"/>
          <w:lang w:val="en-US"/>
        </w:rPr>
        <w:t xml:space="preserve"> This is because ACCHSs provide a more accessible service by being based in Aboriginal and Torres Strait Islander communities and providing a culturally safe service environment and a culturally competent service experience. In contrast, </w:t>
      </w:r>
      <w:r w:rsidR="00A5452D">
        <w:rPr>
          <w:rFonts w:asciiTheme="minorHAnsi" w:hAnsiTheme="minorHAnsi" w:cstheme="minorHAnsi"/>
          <w:sz w:val="22"/>
          <w:szCs w:val="22"/>
          <w:lang w:val="en-US"/>
        </w:rPr>
        <w:t xml:space="preserve">most </w:t>
      </w:r>
      <w:r w:rsidRPr="00A809E6">
        <w:rPr>
          <w:rFonts w:asciiTheme="minorHAnsi" w:hAnsiTheme="minorHAnsi" w:cstheme="minorHAnsi"/>
          <w:sz w:val="22"/>
          <w:szCs w:val="22"/>
          <w:lang w:val="en-US"/>
        </w:rPr>
        <w:t>other services tend to lack these community/ cultural connections that are essential for promoting access to services.</w:t>
      </w:r>
    </w:p>
    <w:p w14:paraId="6026D26F" w14:textId="77777777" w:rsidR="0053050E" w:rsidRPr="00A809E6" w:rsidRDefault="0053050E" w:rsidP="00AE6961">
      <w:pPr>
        <w:rPr>
          <w:rFonts w:asciiTheme="minorHAnsi" w:hAnsiTheme="minorHAnsi" w:cstheme="minorHAnsi"/>
          <w:sz w:val="16"/>
          <w:szCs w:val="16"/>
        </w:rPr>
      </w:pPr>
    </w:p>
    <w:p w14:paraId="4C63E3AF" w14:textId="1A3DE3D9" w:rsidR="0053050E" w:rsidRPr="00A809E6" w:rsidRDefault="0053050E" w:rsidP="00C44429">
      <w:pPr>
        <w:rPr>
          <w:rFonts w:asciiTheme="minorHAnsi" w:hAnsiTheme="minorHAnsi" w:cstheme="minorHAnsi"/>
          <w:sz w:val="22"/>
          <w:szCs w:val="22"/>
          <w:lang w:val="en-US"/>
        </w:rPr>
      </w:pPr>
      <w:r w:rsidRPr="00A809E6">
        <w:rPr>
          <w:rFonts w:asciiTheme="minorHAnsi" w:hAnsiTheme="minorHAnsi" w:cstheme="minorHAnsi"/>
          <w:sz w:val="22"/>
          <w:szCs w:val="22"/>
          <w:lang w:val="en-US"/>
        </w:rPr>
        <w:t>A fundamental public policy principle is the need to maximise the return on investment of public funds - including in relation to mental health services. Yet, competitive tendering processes often utilised by PHNs to maximise the return on investment of public funds only work effectively in the idealised functioning ‘health markets’ which simply don’t exist for Aboriginal and Torres Strait Islander mental health services in many parts of Australia</w:t>
      </w:r>
      <w:r w:rsidR="00A5452D">
        <w:rPr>
          <w:rFonts w:asciiTheme="minorHAnsi" w:hAnsiTheme="minorHAnsi" w:cstheme="minorHAnsi"/>
          <w:sz w:val="22"/>
          <w:szCs w:val="22"/>
          <w:lang w:val="en-US"/>
        </w:rPr>
        <w:t>. This</w:t>
      </w:r>
      <w:r w:rsidRPr="00A809E6">
        <w:rPr>
          <w:rFonts w:asciiTheme="minorHAnsi" w:hAnsiTheme="minorHAnsi" w:cstheme="minorHAnsi"/>
          <w:sz w:val="22"/>
          <w:szCs w:val="22"/>
          <w:lang w:val="en-US"/>
        </w:rPr>
        <w:t xml:space="preserve"> lead</w:t>
      </w:r>
      <w:r w:rsidR="00A5452D">
        <w:rPr>
          <w:rFonts w:asciiTheme="minorHAnsi" w:hAnsiTheme="minorHAnsi" w:cstheme="minorHAnsi"/>
          <w:sz w:val="22"/>
          <w:szCs w:val="22"/>
          <w:lang w:val="en-US"/>
        </w:rPr>
        <w:t>s</w:t>
      </w:r>
      <w:r w:rsidRPr="00A809E6">
        <w:rPr>
          <w:rFonts w:asciiTheme="minorHAnsi" w:hAnsiTheme="minorHAnsi" w:cstheme="minorHAnsi"/>
          <w:sz w:val="22"/>
          <w:szCs w:val="22"/>
          <w:lang w:val="en-US"/>
        </w:rPr>
        <w:t xml:space="preserve"> to further instances of market failure </w:t>
      </w:r>
      <w:r w:rsidR="00A5452D">
        <w:rPr>
          <w:rFonts w:asciiTheme="minorHAnsi" w:hAnsiTheme="minorHAnsi" w:cstheme="minorHAnsi"/>
          <w:sz w:val="22"/>
          <w:szCs w:val="22"/>
          <w:lang w:val="en-US"/>
        </w:rPr>
        <w:t xml:space="preserve">and a shift in patient demand toward services such as </w:t>
      </w:r>
      <w:r w:rsidRPr="00A809E6">
        <w:rPr>
          <w:rFonts w:asciiTheme="minorHAnsi" w:hAnsiTheme="minorHAnsi" w:cstheme="minorHAnsi"/>
          <w:sz w:val="22"/>
          <w:szCs w:val="22"/>
          <w:lang w:val="en-US"/>
        </w:rPr>
        <w:t xml:space="preserve">ACCHS services, </w:t>
      </w:r>
      <w:r w:rsidR="00A5452D">
        <w:rPr>
          <w:rFonts w:asciiTheme="minorHAnsi" w:hAnsiTheme="minorHAnsi" w:cstheme="minorHAnsi"/>
          <w:sz w:val="22"/>
          <w:szCs w:val="22"/>
          <w:lang w:val="en-US"/>
        </w:rPr>
        <w:t xml:space="preserve">which </w:t>
      </w:r>
      <w:r w:rsidRPr="00A809E6">
        <w:rPr>
          <w:rFonts w:asciiTheme="minorHAnsi" w:hAnsiTheme="minorHAnsi" w:cstheme="minorHAnsi"/>
          <w:sz w:val="22"/>
          <w:szCs w:val="22"/>
          <w:lang w:val="en-US"/>
        </w:rPr>
        <w:t>are often underfunded or not funded at all. But even in Aboriginal and Torres Strait Islander communities where competitive tendering processes are possible, competitive tendering will not necessarily maximise the return on investment of public funds. Instead, they will tend to favour organisations that have the best tender application writing skills even though ACCHSs are likely to provide significantly better return on investment by ensuring better access to a range of treatments, and more sustainable outcomes.</w:t>
      </w:r>
      <w:r w:rsidRPr="00A809E6">
        <w:rPr>
          <w:rStyle w:val="EndnoteReference"/>
          <w:rFonts w:asciiTheme="minorHAnsi" w:hAnsiTheme="minorHAnsi" w:cstheme="minorHAnsi"/>
          <w:sz w:val="22"/>
          <w:szCs w:val="22"/>
          <w:lang w:val="en-US"/>
        </w:rPr>
        <w:endnoteReference w:id="29"/>
      </w:r>
      <w:r w:rsidRPr="00A809E6">
        <w:rPr>
          <w:rFonts w:asciiTheme="minorHAnsi" w:hAnsiTheme="minorHAnsi" w:cstheme="minorHAnsi"/>
          <w:sz w:val="22"/>
          <w:szCs w:val="22"/>
          <w:lang w:val="en-US"/>
        </w:rPr>
        <w:t xml:space="preserve"> </w:t>
      </w:r>
    </w:p>
    <w:p w14:paraId="2F2297FA" w14:textId="77777777" w:rsidR="0053050E" w:rsidRPr="00A809E6" w:rsidRDefault="0053050E" w:rsidP="00C40B6F">
      <w:pPr>
        <w:rPr>
          <w:rFonts w:asciiTheme="minorHAnsi" w:hAnsiTheme="minorHAnsi" w:cstheme="minorHAnsi"/>
          <w:sz w:val="16"/>
          <w:szCs w:val="16"/>
          <w:lang w:val="en-US"/>
        </w:rPr>
      </w:pPr>
    </w:p>
    <w:p w14:paraId="5D2D1EC5" w14:textId="4DB01380" w:rsidR="0053050E" w:rsidRPr="00A809E6" w:rsidRDefault="0053050E" w:rsidP="00C40B6F">
      <w:pPr>
        <w:rPr>
          <w:rFonts w:asciiTheme="minorHAnsi" w:hAnsiTheme="minorHAnsi" w:cstheme="minorHAnsi"/>
          <w:sz w:val="22"/>
          <w:szCs w:val="22"/>
          <w:lang w:val="en-US"/>
        </w:rPr>
      </w:pPr>
      <w:r w:rsidRPr="00A809E6">
        <w:rPr>
          <w:rFonts w:asciiTheme="minorHAnsi" w:hAnsiTheme="minorHAnsi" w:cstheme="minorHAnsi"/>
          <w:sz w:val="22"/>
          <w:szCs w:val="22"/>
          <w:lang w:val="en-US"/>
        </w:rPr>
        <w:t>Funds to improve Aboriginal and Torres Strait Islander mental health and wellbeing and reduce suicide rates are limited. There certainly isn't enough funding to support organisations</w:t>
      </w:r>
      <w:r w:rsidR="00E8339A" w:rsidRPr="00A809E6">
        <w:rPr>
          <w:rFonts w:asciiTheme="minorHAnsi" w:hAnsiTheme="minorHAnsi" w:cstheme="minorHAnsi"/>
          <w:sz w:val="22"/>
          <w:szCs w:val="22"/>
          <w:lang w:val="en-US"/>
        </w:rPr>
        <w:t>,</w:t>
      </w:r>
      <w:r w:rsidRPr="00A809E6">
        <w:rPr>
          <w:rFonts w:asciiTheme="minorHAnsi" w:hAnsiTheme="minorHAnsi" w:cstheme="minorHAnsi"/>
          <w:sz w:val="22"/>
          <w:szCs w:val="22"/>
          <w:lang w:val="en-US"/>
        </w:rPr>
        <w:t xml:space="preserve"> which will struggle to be as accessible as ACCHSs, or produce equivalent outcomes to ACCHSs </w:t>
      </w:r>
      <w:r w:rsidR="00E8339A" w:rsidRPr="00A809E6">
        <w:rPr>
          <w:rFonts w:asciiTheme="minorHAnsi" w:hAnsiTheme="minorHAnsi" w:cstheme="minorHAnsi"/>
          <w:sz w:val="22"/>
          <w:szCs w:val="22"/>
          <w:lang w:val="en-US"/>
        </w:rPr>
        <w:t xml:space="preserve">for </w:t>
      </w:r>
      <w:r w:rsidRPr="00A809E6">
        <w:rPr>
          <w:rFonts w:asciiTheme="minorHAnsi" w:hAnsiTheme="minorHAnsi" w:cstheme="minorHAnsi"/>
          <w:sz w:val="22"/>
          <w:szCs w:val="22"/>
          <w:lang w:val="en-US"/>
        </w:rPr>
        <w:t xml:space="preserve">Aboriginal and Torres Strait Islander communities (i.e. will not maximise return on investment). In these circumstances, the well-established procedure of 'preferred provider' should be adopted including by selected tender processes over competitive tendering. By this, ACCHSs should be positioned as preferred providers, and PHN funds for mental health and suicide prevention should be allocated to </w:t>
      </w:r>
      <w:r w:rsidRPr="00A809E6">
        <w:rPr>
          <w:rFonts w:asciiTheme="minorHAnsi" w:hAnsiTheme="minorHAnsi" w:cstheme="minorHAnsi"/>
          <w:sz w:val="22"/>
          <w:szCs w:val="22"/>
          <w:lang w:val="en-US"/>
        </w:rPr>
        <w:lastRenderedPageBreak/>
        <w:t>ACCHSs unless it can be clearly demonstrated that alternative arrangements can produce better results in terms of access to services and service outcomes.</w:t>
      </w:r>
    </w:p>
    <w:p w14:paraId="27025A50" w14:textId="77777777" w:rsidR="0053050E" w:rsidRPr="00A809E6" w:rsidRDefault="0053050E" w:rsidP="00C40B6F">
      <w:pPr>
        <w:rPr>
          <w:rFonts w:asciiTheme="minorHAnsi" w:hAnsiTheme="minorHAnsi" w:cstheme="minorHAnsi"/>
          <w:sz w:val="16"/>
          <w:szCs w:val="16"/>
          <w:lang w:val="en-US"/>
        </w:rPr>
      </w:pPr>
    </w:p>
    <w:p w14:paraId="204F7460" w14:textId="5F780231" w:rsidR="0053050E" w:rsidRPr="00A809E6" w:rsidRDefault="0053050E" w:rsidP="00C40B6F">
      <w:pPr>
        <w:shd w:val="clear" w:color="auto" w:fill="FBE4D5" w:themeFill="accent2" w:themeFillTint="33"/>
        <w:rPr>
          <w:rFonts w:asciiTheme="minorHAnsi" w:hAnsiTheme="minorHAnsi" w:cstheme="minorHAnsi"/>
          <w:b/>
          <w:sz w:val="22"/>
          <w:szCs w:val="22"/>
          <w:lang w:val="en-US"/>
        </w:rPr>
      </w:pPr>
      <w:r w:rsidRPr="00A809E6">
        <w:rPr>
          <w:rFonts w:asciiTheme="minorHAnsi" w:hAnsiTheme="minorHAnsi" w:cstheme="minorHAnsi"/>
          <w:b/>
          <w:sz w:val="22"/>
          <w:szCs w:val="22"/>
          <w:lang w:val="en-US"/>
        </w:rPr>
        <w:t xml:space="preserve">Recommendation 4: </w:t>
      </w:r>
      <w:r w:rsidRPr="00A809E6">
        <w:rPr>
          <w:rFonts w:asciiTheme="minorHAnsi" w:hAnsiTheme="minorHAnsi" w:cstheme="minorHAnsi"/>
          <w:sz w:val="22"/>
          <w:szCs w:val="22"/>
          <w:lang w:val="en-US"/>
        </w:rPr>
        <w:t xml:space="preserve">The Australian Government should ensure </w:t>
      </w:r>
      <w:r w:rsidRPr="00A809E6">
        <w:rPr>
          <w:rFonts w:asciiTheme="minorHAnsi" w:hAnsiTheme="minorHAnsi" w:cstheme="minorHAnsi"/>
          <w:sz w:val="22"/>
          <w:szCs w:val="22"/>
        </w:rPr>
        <w:t>Aboriginal Community Controlled Health Services (ACCHSs)</w:t>
      </w:r>
      <w:r w:rsidRPr="00A809E6">
        <w:rPr>
          <w:rFonts w:asciiTheme="minorHAnsi" w:hAnsiTheme="minorHAnsi" w:cstheme="minorHAnsi"/>
          <w:sz w:val="22"/>
          <w:szCs w:val="22"/>
          <w:lang w:val="en-US"/>
        </w:rPr>
        <w:t xml:space="preserve"> are positioned as preferred providers of mental health services in Aboriginal and Torres Strait Islander communities, and PHN funds for Aboriginal and Torres Strait Islander mental health and suicide prevention should be allocated to ACCHSs unless it can be clearly demonstrated that alternative arrangements can produce better results in terms of access to services and service outcomes.</w:t>
      </w:r>
    </w:p>
    <w:p w14:paraId="23303B07" w14:textId="77777777" w:rsidR="0053050E" w:rsidRPr="00A809E6" w:rsidRDefault="0053050E" w:rsidP="00AE6961">
      <w:pPr>
        <w:rPr>
          <w:sz w:val="16"/>
          <w:szCs w:val="16"/>
          <w:lang w:val="en-US"/>
        </w:rPr>
      </w:pPr>
    </w:p>
    <w:p w14:paraId="0C553F35" w14:textId="2E6A26E7" w:rsidR="0053050E" w:rsidRPr="00A809E6" w:rsidRDefault="0053050E" w:rsidP="000B634D">
      <w:pPr>
        <w:pStyle w:val="NormalWeb"/>
        <w:spacing w:before="0" w:beforeAutospacing="0" w:after="0" w:afterAutospacing="0"/>
        <w:rPr>
          <w:rFonts w:asciiTheme="minorHAnsi" w:hAnsiTheme="minorHAnsi" w:cstheme="minorHAnsi"/>
          <w:sz w:val="22"/>
          <w:szCs w:val="22"/>
        </w:rPr>
      </w:pPr>
      <w:r w:rsidRPr="00A809E6">
        <w:rPr>
          <w:rFonts w:asciiTheme="minorHAnsi" w:hAnsiTheme="minorHAnsi" w:cstheme="minorHAnsi"/>
          <w:sz w:val="22"/>
          <w:szCs w:val="22"/>
        </w:rPr>
        <w:t xml:space="preserve">The authors are also strongly concerned with the accountability of PHNs to the Aboriginal and Torres Strait Islander communities they serve and more broadly, and particularly so in relation to Aboriginal and Torres Strait Islander mental health and suicide prevention. There are 31 PNHs across the country. If the $196 million allocated to them towards Aboriginal and Torres Strait Islander mental health and suicide prevention since 2015 (as discussed above) is averaged out, that means that each PHN has received $6.32 million. But we are not clear </w:t>
      </w:r>
      <w:r w:rsidRPr="0053344A">
        <w:rPr>
          <w:rFonts w:asciiTheme="minorHAnsi" w:hAnsiTheme="minorHAnsi" w:cstheme="minorHAnsi"/>
          <w:sz w:val="22"/>
          <w:szCs w:val="22"/>
        </w:rPr>
        <w:t xml:space="preserve">how this money has been spent, on which organisations, by what processes and with what results. </w:t>
      </w:r>
      <w:r w:rsidR="00A809E6" w:rsidRPr="0053344A">
        <w:rPr>
          <w:rFonts w:asciiTheme="minorHAnsi" w:hAnsiTheme="minorHAnsi" w:cstheme="minorHAnsi"/>
          <w:sz w:val="22"/>
          <w:szCs w:val="22"/>
        </w:rPr>
        <w:t xml:space="preserve">Further, PHN approaches to commissioning or otherwise establishing mental health services in rural and remote areas vary significantly throughout the networks. </w:t>
      </w:r>
      <w:r w:rsidRPr="0053344A">
        <w:rPr>
          <w:rFonts w:asciiTheme="minorHAnsi" w:hAnsiTheme="minorHAnsi" w:cstheme="minorHAnsi"/>
          <w:sz w:val="22"/>
          <w:szCs w:val="22"/>
        </w:rPr>
        <w:t>This leads to our next two recommendations</w:t>
      </w:r>
      <w:r w:rsidRPr="00A809E6">
        <w:rPr>
          <w:rFonts w:asciiTheme="minorHAnsi" w:hAnsiTheme="minorHAnsi" w:cstheme="minorHAnsi"/>
          <w:sz w:val="22"/>
          <w:szCs w:val="22"/>
        </w:rPr>
        <w:t>.</w:t>
      </w:r>
    </w:p>
    <w:p w14:paraId="3D66888E" w14:textId="77777777" w:rsidR="0053050E" w:rsidRPr="00A809E6" w:rsidRDefault="0053050E" w:rsidP="000B634D">
      <w:pPr>
        <w:pStyle w:val="NormalWeb"/>
        <w:spacing w:before="0" w:beforeAutospacing="0" w:after="0" w:afterAutospacing="0"/>
        <w:rPr>
          <w:rFonts w:asciiTheme="minorHAnsi" w:hAnsiTheme="minorHAnsi" w:cstheme="minorHAnsi"/>
          <w:sz w:val="22"/>
          <w:szCs w:val="22"/>
        </w:rPr>
      </w:pPr>
    </w:p>
    <w:p w14:paraId="2191812F" w14:textId="099BD313" w:rsidR="0053050E" w:rsidRPr="00A809E6" w:rsidRDefault="0053050E" w:rsidP="00C956AE">
      <w:pPr>
        <w:shd w:val="clear" w:color="auto" w:fill="FBE4D5" w:themeFill="accent2" w:themeFillTint="33"/>
        <w:rPr>
          <w:rFonts w:asciiTheme="minorHAnsi" w:hAnsiTheme="minorHAnsi" w:cstheme="minorHAnsi"/>
          <w:sz w:val="22"/>
          <w:szCs w:val="22"/>
        </w:rPr>
      </w:pPr>
      <w:r w:rsidRPr="00A809E6">
        <w:rPr>
          <w:rFonts w:asciiTheme="minorHAnsi" w:hAnsiTheme="minorHAnsi" w:cstheme="minorHAnsi"/>
          <w:b/>
          <w:sz w:val="22"/>
          <w:szCs w:val="22"/>
          <w:lang w:val="en-US"/>
        </w:rPr>
        <w:t xml:space="preserve">Recommendation 5: </w:t>
      </w:r>
      <w:r w:rsidRPr="00A809E6">
        <w:rPr>
          <w:rFonts w:asciiTheme="minorHAnsi" w:hAnsiTheme="minorHAnsi" w:cstheme="minorHAnsi"/>
          <w:sz w:val="22"/>
          <w:szCs w:val="22"/>
          <w:lang w:val="en-US"/>
        </w:rPr>
        <w:t xml:space="preserve">By 30 June 2019, the Australian Government should retrospectively account for the approximate $100 million </w:t>
      </w:r>
      <w:r w:rsidRPr="00A809E6">
        <w:rPr>
          <w:rFonts w:asciiTheme="minorHAnsi" w:hAnsiTheme="minorHAnsi" w:cstheme="minorHAnsi"/>
          <w:sz w:val="22"/>
          <w:szCs w:val="22"/>
        </w:rPr>
        <w:t xml:space="preserve">Indigenous-specific mental health and suicide prevention expenditure allocated to Primary Health Networks </w:t>
      </w:r>
      <w:r w:rsidRPr="00A809E6">
        <w:rPr>
          <w:rFonts w:asciiTheme="minorHAnsi" w:hAnsiTheme="minorHAnsi" w:cstheme="minorHAnsi"/>
          <w:sz w:val="22"/>
          <w:szCs w:val="22"/>
          <w:lang w:val="en-US"/>
        </w:rPr>
        <w:t>since 2015.</w:t>
      </w:r>
      <w:r w:rsidRPr="00A809E6">
        <w:rPr>
          <w:rFonts w:asciiTheme="minorHAnsi" w:hAnsiTheme="minorHAnsi" w:cstheme="minorHAnsi"/>
          <w:b/>
          <w:sz w:val="22"/>
          <w:szCs w:val="22"/>
          <w:lang w:val="en-US"/>
        </w:rPr>
        <w:t xml:space="preserve"> </w:t>
      </w:r>
      <w:r w:rsidRPr="00A809E6">
        <w:rPr>
          <w:rFonts w:asciiTheme="minorHAnsi" w:hAnsiTheme="minorHAnsi" w:cstheme="minorHAnsi"/>
          <w:sz w:val="22"/>
          <w:szCs w:val="22"/>
        </w:rPr>
        <w:t>This includes:</w:t>
      </w:r>
    </w:p>
    <w:p w14:paraId="6615BA7E" w14:textId="77777777" w:rsidR="0053050E" w:rsidRPr="00A809E6" w:rsidRDefault="0053050E" w:rsidP="00C956AE">
      <w:pPr>
        <w:pStyle w:val="ListParagraph"/>
        <w:numPr>
          <w:ilvl w:val="0"/>
          <w:numId w:val="21"/>
        </w:numPr>
        <w:shd w:val="clear" w:color="auto" w:fill="FBE4D5" w:themeFill="accent2" w:themeFillTint="33"/>
        <w:rPr>
          <w:rFonts w:asciiTheme="minorHAnsi" w:hAnsiTheme="minorHAnsi" w:cstheme="minorHAnsi"/>
          <w:sz w:val="22"/>
          <w:szCs w:val="22"/>
          <w:lang w:val="en-US"/>
        </w:rPr>
      </w:pPr>
      <w:r w:rsidRPr="00A809E6">
        <w:rPr>
          <w:rFonts w:asciiTheme="minorHAnsi" w:hAnsiTheme="minorHAnsi" w:cstheme="minorHAnsi"/>
          <w:sz w:val="22"/>
          <w:szCs w:val="22"/>
          <w:lang w:val="en-US"/>
        </w:rPr>
        <w:t>The quantum allocated per region</w:t>
      </w:r>
    </w:p>
    <w:p w14:paraId="6AA06C7B" w14:textId="77777777" w:rsidR="0053050E" w:rsidRPr="00A809E6" w:rsidRDefault="0053050E" w:rsidP="00C956AE">
      <w:pPr>
        <w:pStyle w:val="ListParagraph"/>
        <w:numPr>
          <w:ilvl w:val="0"/>
          <w:numId w:val="21"/>
        </w:numPr>
        <w:shd w:val="clear" w:color="auto" w:fill="FBE4D5" w:themeFill="accent2" w:themeFillTint="33"/>
        <w:rPr>
          <w:rFonts w:asciiTheme="minorHAnsi" w:hAnsiTheme="minorHAnsi" w:cstheme="minorHAnsi"/>
          <w:sz w:val="22"/>
          <w:szCs w:val="22"/>
          <w:lang w:val="en-US"/>
        </w:rPr>
      </w:pPr>
      <w:r w:rsidRPr="00A809E6">
        <w:rPr>
          <w:rFonts w:asciiTheme="minorHAnsi" w:hAnsiTheme="minorHAnsi" w:cstheme="minorHAnsi"/>
          <w:sz w:val="22"/>
          <w:szCs w:val="22"/>
          <w:lang w:val="en-US"/>
        </w:rPr>
        <w:t>How the quantum was allocated (processes)</w:t>
      </w:r>
    </w:p>
    <w:p w14:paraId="276E9C6D" w14:textId="77777777" w:rsidR="0053050E" w:rsidRPr="00A809E6" w:rsidRDefault="0053050E" w:rsidP="00C956AE">
      <w:pPr>
        <w:pStyle w:val="ListParagraph"/>
        <w:numPr>
          <w:ilvl w:val="0"/>
          <w:numId w:val="21"/>
        </w:numPr>
        <w:shd w:val="clear" w:color="auto" w:fill="FBE4D5" w:themeFill="accent2" w:themeFillTint="33"/>
        <w:rPr>
          <w:rFonts w:asciiTheme="minorHAnsi" w:hAnsiTheme="minorHAnsi" w:cstheme="minorHAnsi"/>
          <w:sz w:val="22"/>
          <w:szCs w:val="22"/>
          <w:lang w:val="en-US"/>
        </w:rPr>
      </w:pPr>
      <w:r w:rsidRPr="00A809E6">
        <w:rPr>
          <w:rFonts w:asciiTheme="minorHAnsi" w:hAnsiTheme="minorHAnsi" w:cstheme="minorHAnsi"/>
          <w:sz w:val="22"/>
          <w:szCs w:val="22"/>
          <w:lang w:val="en-US"/>
        </w:rPr>
        <w:t>The services being funded by these funds and their locations</w:t>
      </w:r>
    </w:p>
    <w:p w14:paraId="5973D118" w14:textId="39FD363A" w:rsidR="0053050E" w:rsidRPr="00A809E6" w:rsidRDefault="0053050E" w:rsidP="00C956AE">
      <w:pPr>
        <w:pStyle w:val="ListParagraph"/>
        <w:numPr>
          <w:ilvl w:val="0"/>
          <w:numId w:val="21"/>
        </w:numPr>
        <w:shd w:val="clear" w:color="auto" w:fill="FBE4D5" w:themeFill="accent2" w:themeFillTint="33"/>
        <w:rPr>
          <w:rFonts w:asciiTheme="minorHAnsi" w:hAnsiTheme="minorHAnsi" w:cstheme="minorHAnsi"/>
          <w:sz w:val="22"/>
          <w:szCs w:val="22"/>
          <w:lang w:val="en-US"/>
        </w:rPr>
      </w:pPr>
      <w:r w:rsidRPr="00A809E6">
        <w:rPr>
          <w:rFonts w:asciiTheme="minorHAnsi" w:hAnsiTheme="minorHAnsi" w:cstheme="minorHAnsi"/>
          <w:sz w:val="22"/>
          <w:szCs w:val="22"/>
          <w:lang w:val="en-US"/>
        </w:rPr>
        <w:t xml:space="preserve">The number of ACCHSs and Aboriginal and Torres Strait Islander organisations receiving funds, and the quantum, compared to mainstream providers </w:t>
      </w:r>
    </w:p>
    <w:p w14:paraId="4B297B35" w14:textId="77777777" w:rsidR="0053050E" w:rsidRPr="00A809E6" w:rsidRDefault="0053050E" w:rsidP="00C956AE">
      <w:pPr>
        <w:pStyle w:val="ListParagraph"/>
        <w:numPr>
          <w:ilvl w:val="0"/>
          <w:numId w:val="21"/>
        </w:numPr>
        <w:shd w:val="clear" w:color="auto" w:fill="FBE4D5" w:themeFill="accent2" w:themeFillTint="33"/>
        <w:rPr>
          <w:rFonts w:asciiTheme="minorHAnsi" w:hAnsiTheme="minorHAnsi" w:cstheme="minorHAnsi"/>
          <w:sz w:val="22"/>
          <w:szCs w:val="22"/>
          <w:lang w:val="en-US"/>
        </w:rPr>
      </w:pPr>
      <w:r w:rsidRPr="00A809E6">
        <w:rPr>
          <w:rFonts w:asciiTheme="minorHAnsi" w:hAnsiTheme="minorHAnsi" w:cstheme="minorHAnsi"/>
          <w:sz w:val="22"/>
          <w:szCs w:val="22"/>
          <w:lang w:val="en-US"/>
        </w:rPr>
        <w:t xml:space="preserve">The value for money (positive, measurable outcomes) being achieved through this expenditure. </w:t>
      </w:r>
    </w:p>
    <w:p w14:paraId="116872E7" w14:textId="77777777" w:rsidR="0053050E" w:rsidRPr="00A809E6" w:rsidRDefault="0053050E" w:rsidP="00955699">
      <w:pPr>
        <w:shd w:val="clear" w:color="auto" w:fill="FBE4D5" w:themeFill="accent2" w:themeFillTint="33"/>
        <w:rPr>
          <w:rFonts w:asciiTheme="minorHAnsi" w:hAnsiTheme="minorHAnsi" w:cstheme="minorHAnsi"/>
          <w:b/>
          <w:sz w:val="22"/>
          <w:szCs w:val="22"/>
          <w:lang w:val="en-US"/>
        </w:rPr>
      </w:pPr>
    </w:p>
    <w:p w14:paraId="6F0CC8CE" w14:textId="535ACCC1" w:rsidR="0053050E" w:rsidRPr="00A809E6" w:rsidRDefault="0053050E" w:rsidP="00C956AE">
      <w:pPr>
        <w:shd w:val="clear" w:color="auto" w:fill="FBE4D5" w:themeFill="accent2" w:themeFillTint="33"/>
        <w:rPr>
          <w:rFonts w:asciiTheme="minorHAnsi" w:hAnsiTheme="minorHAnsi" w:cstheme="minorHAnsi"/>
          <w:sz w:val="22"/>
          <w:szCs w:val="22"/>
        </w:rPr>
      </w:pPr>
      <w:r w:rsidRPr="00A809E6">
        <w:rPr>
          <w:rFonts w:asciiTheme="minorHAnsi" w:hAnsiTheme="minorHAnsi" w:cstheme="minorHAnsi"/>
          <w:b/>
          <w:sz w:val="22"/>
          <w:szCs w:val="22"/>
          <w:lang w:val="en-US"/>
        </w:rPr>
        <w:t xml:space="preserve">Recommendation 6: </w:t>
      </w:r>
      <w:r w:rsidR="00A5452D">
        <w:rPr>
          <w:rFonts w:asciiTheme="minorHAnsi" w:hAnsiTheme="minorHAnsi" w:cstheme="minorHAnsi"/>
          <w:sz w:val="22"/>
          <w:szCs w:val="22"/>
          <w:lang w:val="en-US"/>
        </w:rPr>
        <w:t>From</w:t>
      </w:r>
      <w:r w:rsidR="00A5452D" w:rsidRPr="00A809E6">
        <w:rPr>
          <w:rFonts w:asciiTheme="minorHAnsi" w:hAnsiTheme="minorHAnsi" w:cstheme="minorHAnsi"/>
          <w:sz w:val="22"/>
          <w:szCs w:val="22"/>
          <w:lang w:val="en-US"/>
        </w:rPr>
        <w:t xml:space="preserve"> </w:t>
      </w:r>
      <w:r w:rsidRPr="00A809E6">
        <w:rPr>
          <w:rFonts w:asciiTheme="minorHAnsi" w:hAnsiTheme="minorHAnsi" w:cstheme="minorHAnsi"/>
          <w:sz w:val="22"/>
          <w:szCs w:val="22"/>
          <w:lang w:val="en-US"/>
        </w:rPr>
        <w:t xml:space="preserve">30 June 2019, Aboriginal and Torres Strait Islander mental health and community leaders should co-design with the Australian Government a reporting framework that accounts for </w:t>
      </w:r>
      <w:r w:rsidRPr="00A809E6">
        <w:rPr>
          <w:rFonts w:asciiTheme="minorHAnsi" w:hAnsiTheme="minorHAnsi" w:cstheme="minorHAnsi"/>
          <w:sz w:val="22"/>
          <w:szCs w:val="22"/>
        </w:rPr>
        <w:t>Indigenous specific mental health and suicide prevention expenditure allocated to Primary Health Networks on an annual basis. This includes:</w:t>
      </w:r>
    </w:p>
    <w:p w14:paraId="58806C36" w14:textId="77777777" w:rsidR="0053050E" w:rsidRPr="00A809E6" w:rsidRDefault="0053050E" w:rsidP="00C956AE">
      <w:pPr>
        <w:pStyle w:val="ListParagraph"/>
        <w:numPr>
          <w:ilvl w:val="0"/>
          <w:numId w:val="21"/>
        </w:numPr>
        <w:shd w:val="clear" w:color="auto" w:fill="FBE4D5" w:themeFill="accent2" w:themeFillTint="33"/>
        <w:rPr>
          <w:rFonts w:asciiTheme="minorHAnsi" w:hAnsiTheme="minorHAnsi" w:cstheme="minorHAnsi"/>
          <w:sz w:val="22"/>
          <w:szCs w:val="22"/>
          <w:lang w:val="en-US"/>
        </w:rPr>
      </w:pPr>
      <w:r w:rsidRPr="00A809E6">
        <w:rPr>
          <w:rFonts w:asciiTheme="minorHAnsi" w:hAnsiTheme="minorHAnsi" w:cstheme="minorHAnsi"/>
          <w:sz w:val="22"/>
          <w:szCs w:val="22"/>
          <w:lang w:val="en-US"/>
        </w:rPr>
        <w:t>The quantum allocated per region</w:t>
      </w:r>
    </w:p>
    <w:p w14:paraId="51C44AAD" w14:textId="77777777" w:rsidR="0053050E" w:rsidRPr="00A809E6" w:rsidRDefault="0053050E" w:rsidP="00C956AE">
      <w:pPr>
        <w:pStyle w:val="ListParagraph"/>
        <w:numPr>
          <w:ilvl w:val="0"/>
          <w:numId w:val="21"/>
        </w:numPr>
        <w:shd w:val="clear" w:color="auto" w:fill="FBE4D5" w:themeFill="accent2" w:themeFillTint="33"/>
        <w:rPr>
          <w:rFonts w:asciiTheme="minorHAnsi" w:hAnsiTheme="minorHAnsi" w:cstheme="minorHAnsi"/>
          <w:sz w:val="22"/>
          <w:szCs w:val="22"/>
          <w:lang w:val="en-US"/>
        </w:rPr>
      </w:pPr>
      <w:r w:rsidRPr="00A809E6">
        <w:rPr>
          <w:rFonts w:asciiTheme="minorHAnsi" w:hAnsiTheme="minorHAnsi" w:cstheme="minorHAnsi"/>
          <w:sz w:val="22"/>
          <w:szCs w:val="22"/>
          <w:lang w:val="en-US"/>
        </w:rPr>
        <w:t>How the quantum was allocated (processes)</w:t>
      </w:r>
    </w:p>
    <w:p w14:paraId="7271C0BC" w14:textId="77777777" w:rsidR="0053050E" w:rsidRPr="00A809E6" w:rsidRDefault="0053050E" w:rsidP="00C956AE">
      <w:pPr>
        <w:pStyle w:val="ListParagraph"/>
        <w:numPr>
          <w:ilvl w:val="0"/>
          <w:numId w:val="21"/>
        </w:numPr>
        <w:shd w:val="clear" w:color="auto" w:fill="FBE4D5" w:themeFill="accent2" w:themeFillTint="33"/>
        <w:rPr>
          <w:rFonts w:asciiTheme="minorHAnsi" w:hAnsiTheme="minorHAnsi" w:cstheme="minorHAnsi"/>
          <w:sz w:val="22"/>
          <w:szCs w:val="22"/>
          <w:lang w:val="en-US"/>
        </w:rPr>
      </w:pPr>
      <w:r w:rsidRPr="00A809E6">
        <w:rPr>
          <w:rFonts w:asciiTheme="minorHAnsi" w:hAnsiTheme="minorHAnsi" w:cstheme="minorHAnsi"/>
          <w:sz w:val="22"/>
          <w:szCs w:val="22"/>
          <w:lang w:val="en-US"/>
        </w:rPr>
        <w:t>The services being funded by these funds and their locations</w:t>
      </w:r>
    </w:p>
    <w:p w14:paraId="10FBF019" w14:textId="656338E1" w:rsidR="0053050E" w:rsidRPr="00A809E6" w:rsidRDefault="0053050E" w:rsidP="00C956AE">
      <w:pPr>
        <w:pStyle w:val="ListParagraph"/>
        <w:numPr>
          <w:ilvl w:val="0"/>
          <w:numId w:val="21"/>
        </w:numPr>
        <w:shd w:val="clear" w:color="auto" w:fill="FBE4D5" w:themeFill="accent2" w:themeFillTint="33"/>
        <w:rPr>
          <w:rFonts w:asciiTheme="minorHAnsi" w:hAnsiTheme="minorHAnsi" w:cstheme="minorHAnsi"/>
          <w:sz w:val="22"/>
          <w:szCs w:val="22"/>
          <w:lang w:val="en-US"/>
        </w:rPr>
      </w:pPr>
      <w:r w:rsidRPr="00A809E6">
        <w:rPr>
          <w:rFonts w:asciiTheme="minorHAnsi" w:hAnsiTheme="minorHAnsi" w:cstheme="minorHAnsi"/>
          <w:sz w:val="22"/>
          <w:szCs w:val="22"/>
          <w:lang w:val="en-US"/>
        </w:rPr>
        <w:t xml:space="preserve">The number of ACCHSs and Aboriginal and Torres Strait Islander organisations receiving funds, and the quantum, compared to mainstream providers </w:t>
      </w:r>
    </w:p>
    <w:p w14:paraId="2C36B60A" w14:textId="77777777" w:rsidR="0053050E" w:rsidRPr="00A809E6" w:rsidRDefault="0053050E" w:rsidP="00C956AE">
      <w:pPr>
        <w:pStyle w:val="ListParagraph"/>
        <w:numPr>
          <w:ilvl w:val="0"/>
          <w:numId w:val="21"/>
        </w:numPr>
        <w:shd w:val="clear" w:color="auto" w:fill="FBE4D5" w:themeFill="accent2" w:themeFillTint="33"/>
        <w:rPr>
          <w:rFonts w:asciiTheme="minorHAnsi" w:hAnsiTheme="minorHAnsi" w:cstheme="minorHAnsi"/>
          <w:sz w:val="22"/>
          <w:szCs w:val="22"/>
          <w:lang w:val="en-US"/>
        </w:rPr>
      </w:pPr>
      <w:r w:rsidRPr="00A809E6">
        <w:rPr>
          <w:rFonts w:asciiTheme="minorHAnsi" w:hAnsiTheme="minorHAnsi" w:cstheme="minorHAnsi"/>
          <w:sz w:val="22"/>
          <w:szCs w:val="22"/>
          <w:lang w:val="en-US"/>
        </w:rPr>
        <w:t>The cultural safety of these services</w:t>
      </w:r>
    </w:p>
    <w:p w14:paraId="49F277FF" w14:textId="77777777" w:rsidR="0053050E" w:rsidRPr="00A809E6" w:rsidRDefault="0053050E" w:rsidP="00C54DFC">
      <w:pPr>
        <w:pStyle w:val="ListParagraph"/>
        <w:numPr>
          <w:ilvl w:val="0"/>
          <w:numId w:val="21"/>
        </w:numPr>
        <w:shd w:val="clear" w:color="auto" w:fill="FBE4D5" w:themeFill="accent2" w:themeFillTint="33"/>
        <w:rPr>
          <w:rFonts w:asciiTheme="minorHAnsi" w:hAnsiTheme="minorHAnsi" w:cstheme="minorHAnsi"/>
          <w:sz w:val="22"/>
          <w:szCs w:val="22"/>
          <w:lang w:val="en-US"/>
        </w:rPr>
      </w:pPr>
      <w:r w:rsidRPr="00A809E6">
        <w:rPr>
          <w:rFonts w:asciiTheme="minorHAnsi" w:hAnsiTheme="minorHAnsi" w:cstheme="minorHAnsi"/>
          <w:sz w:val="22"/>
          <w:szCs w:val="22"/>
          <w:lang w:val="en-US"/>
        </w:rPr>
        <w:t xml:space="preserve">The value for money (positive, measurable outcomes) being achieved through this expenditure. </w:t>
      </w:r>
    </w:p>
    <w:p w14:paraId="71114A61" w14:textId="77777777" w:rsidR="0053050E" w:rsidRPr="00A809E6" w:rsidRDefault="0053050E" w:rsidP="000B634D">
      <w:pPr>
        <w:pStyle w:val="NormalWeb"/>
        <w:spacing w:before="0" w:beforeAutospacing="0" w:after="0" w:afterAutospacing="0"/>
        <w:rPr>
          <w:rFonts w:asciiTheme="minorHAnsi" w:hAnsiTheme="minorHAnsi" w:cstheme="minorHAnsi"/>
          <w:sz w:val="22"/>
          <w:szCs w:val="22"/>
        </w:rPr>
      </w:pPr>
    </w:p>
    <w:p w14:paraId="3F5F6B24" w14:textId="2A89EC34" w:rsidR="0053050E" w:rsidRPr="00A809E6" w:rsidRDefault="0053050E" w:rsidP="000B634D">
      <w:pPr>
        <w:pStyle w:val="NormalWeb"/>
        <w:spacing w:before="0" w:beforeAutospacing="0" w:after="0" w:afterAutospacing="0"/>
        <w:rPr>
          <w:rFonts w:asciiTheme="minorHAnsi" w:hAnsiTheme="minorHAnsi" w:cstheme="minorHAnsi"/>
          <w:i/>
          <w:sz w:val="22"/>
          <w:szCs w:val="22"/>
        </w:rPr>
      </w:pPr>
      <w:r w:rsidRPr="00A809E6">
        <w:rPr>
          <w:rFonts w:asciiTheme="minorHAnsi" w:hAnsiTheme="minorHAnsi" w:cstheme="minorHAnsi"/>
          <w:i/>
          <w:sz w:val="22"/>
          <w:szCs w:val="22"/>
        </w:rPr>
        <w:t>(d) The social and economic costs of not acting</w:t>
      </w:r>
    </w:p>
    <w:p w14:paraId="4A9E2051" w14:textId="77777777" w:rsidR="0053050E" w:rsidRPr="00A809E6" w:rsidRDefault="0053050E" w:rsidP="000B634D">
      <w:pPr>
        <w:pStyle w:val="NormalWeb"/>
        <w:spacing w:before="0" w:beforeAutospacing="0" w:after="0" w:afterAutospacing="0"/>
        <w:rPr>
          <w:rFonts w:asciiTheme="minorHAnsi" w:hAnsiTheme="minorHAnsi" w:cstheme="minorHAnsi"/>
          <w:b/>
          <w:sz w:val="16"/>
          <w:szCs w:val="16"/>
        </w:rPr>
      </w:pPr>
    </w:p>
    <w:p w14:paraId="2F4A8DE8" w14:textId="4A9BB040" w:rsidR="0053050E" w:rsidRPr="00A809E6" w:rsidRDefault="0053050E" w:rsidP="00C82102">
      <w:pPr>
        <w:pStyle w:val="NormalWeb"/>
        <w:spacing w:before="0" w:beforeAutospacing="0" w:after="0" w:afterAutospacing="0"/>
        <w:rPr>
          <w:rFonts w:asciiTheme="minorHAnsi" w:hAnsiTheme="minorHAnsi" w:cstheme="minorHAnsi"/>
          <w:sz w:val="22"/>
          <w:szCs w:val="22"/>
        </w:rPr>
      </w:pPr>
      <w:r w:rsidRPr="00A809E6">
        <w:rPr>
          <w:rFonts w:asciiTheme="minorHAnsi" w:hAnsiTheme="minorHAnsi" w:cstheme="minorHAnsi"/>
          <w:sz w:val="22"/>
          <w:szCs w:val="22"/>
        </w:rPr>
        <w:t xml:space="preserve">Table 5 below summarises a decade’s worth of selected social and cost analyses in relation to mental health issues in the mainstream population and in Aboriginal and Torres Strait Islander communities. Although the figures provided are indicative only </w:t>
      </w:r>
      <w:r w:rsidRPr="00A809E6">
        <w:rPr>
          <w:rFonts w:asciiTheme="minorHAnsi" w:hAnsiTheme="minorHAnsi" w:cstheme="minorHAnsi"/>
          <w:b/>
          <w:sz w:val="22"/>
          <w:szCs w:val="22"/>
        </w:rPr>
        <w:t>and require further analysis</w:t>
      </w:r>
      <w:r w:rsidRPr="00A809E6">
        <w:rPr>
          <w:rFonts w:asciiTheme="minorHAnsi" w:hAnsiTheme="minorHAnsi" w:cstheme="minorHAnsi"/>
          <w:sz w:val="22"/>
          <w:szCs w:val="22"/>
        </w:rPr>
        <w:t xml:space="preserve">, based on these we estimate that potentially each year in Australia around $2 billion is being spent addressing Aboriginal and Torres Strait Islander social and other challenges associated with mental health issues, rather than being invested in primary mental health care.  </w:t>
      </w:r>
    </w:p>
    <w:p w14:paraId="5A32C5E3" w14:textId="77777777" w:rsidR="0053050E" w:rsidRPr="00A809E6" w:rsidRDefault="0053050E" w:rsidP="00C82102">
      <w:pPr>
        <w:pStyle w:val="NormalWeb"/>
        <w:spacing w:before="0" w:beforeAutospacing="0" w:after="0" w:afterAutospacing="0"/>
        <w:rPr>
          <w:rFonts w:asciiTheme="minorHAnsi" w:hAnsiTheme="minorHAnsi" w:cstheme="minorHAnsi"/>
          <w:sz w:val="22"/>
          <w:szCs w:val="22"/>
        </w:rPr>
      </w:pPr>
    </w:p>
    <w:p w14:paraId="68DE6FAD" w14:textId="51C56296" w:rsidR="0053050E" w:rsidRPr="00A809E6" w:rsidRDefault="0053050E" w:rsidP="00C82102">
      <w:pPr>
        <w:pStyle w:val="NormalWeb"/>
        <w:spacing w:before="0" w:beforeAutospacing="0" w:after="0" w:afterAutospacing="0"/>
        <w:rPr>
          <w:rFonts w:asciiTheme="minorHAnsi" w:hAnsiTheme="minorHAnsi" w:cstheme="minorHAnsi"/>
          <w:sz w:val="22"/>
          <w:szCs w:val="22"/>
        </w:rPr>
      </w:pPr>
      <w:r w:rsidRPr="00A809E6">
        <w:rPr>
          <w:rFonts w:asciiTheme="minorHAnsi" w:hAnsiTheme="minorHAnsi" w:cstheme="minorHAnsi"/>
          <w:sz w:val="22"/>
          <w:szCs w:val="22"/>
        </w:rPr>
        <w:lastRenderedPageBreak/>
        <w:t xml:space="preserve">In other words, </w:t>
      </w:r>
      <w:r w:rsidRPr="00A809E6">
        <w:rPr>
          <w:rFonts w:asciiTheme="minorHAnsi" w:hAnsiTheme="minorHAnsi" w:cstheme="minorHAnsi"/>
          <w:b/>
          <w:sz w:val="22"/>
          <w:szCs w:val="22"/>
        </w:rPr>
        <w:t>it is possible that up to an equivalent of 21 per cent of total population Australian government expenditure on mental health (9.1 billion)</w:t>
      </w:r>
      <w:r w:rsidRPr="00A809E6">
        <w:rPr>
          <w:rFonts w:asciiTheme="minorHAnsi" w:hAnsiTheme="minorHAnsi" w:cstheme="minorHAnsi"/>
          <w:sz w:val="22"/>
          <w:szCs w:val="22"/>
        </w:rPr>
        <w:t xml:space="preserve"> is spent dealing with the aftermath of mental health difficulties in the Aboriginal and Torres Strait Islander population rather than on Indigenous specific primary mental health care. While we caution use of these figures without qualification, we suggest that our preliminary analysis provides a strong rationale for further analysis and that significant consideration to be given to reinvestment opportunities, particularly justice reinvestment opportunities, in Indigenous primary mental health care by the Productivity Commission in this inquiry.</w:t>
      </w:r>
    </w:p>
    <w:p w14:paraId="386F345D" w14:textId="77777777" w:rsidR="0053050E" w:rsidRPr="00A809E6" w:rsidRDefault="0053050E" w:rsidP="00A75759">
      <w:pPr>
        <w:rPr>
          <w:rFonts w:asciiTheme="minorHAnsi" w:hAnsiTheme="minorHAnsi" w:cstheme="minorHAnsi"/>
          <w:sz w:val="16"/>
          <w:szCs w:val="16"/>
          <w:lang w:val="en-US"/>
        </w:rPr>
      </w:pPr>
    </w:p>
    <w:p w14:paraId="1D389892" w14:textId="432508BF" w:rsidR="0053050E" w:rsidRPr="00A809E6" w:rsidRDefault="0053050E" w:rsidP="00A75759">
      <w:pPr>
        <w:shd w:val="clear" w:color="auto" w:fill="FBE4D5" w:themeFill="accent2" w:themeFillTint="33"/>
        <w:rPr>
          <w:rFonts w:asciiTheme="minorHAnsi" w:hAnsiTheme="minorHAnsi" w:cstheme="minorHAnsi"/>
          <w:sz w:val="22"/>
          <w:szCs w:val="22"/>
        </w:rPr>
      </w:pPr>
      <w:r w:rsidRPr="00A809E6">
        <w:rPr>
          <w:rFonts w:asciiTheme="minorHAnsi" w:hAnsiTheme="minorHAnsi" w:cstheme="minorHAnsi"/>
          <w:b/>
          <w:sz w:val="22"/>
          <w:szCs w:val="22"/>
          <w:lang w:val="en-US"/>
        </w:rPr>
        <w:t xml:space="preserve">Recommendation 7: </w:t>
      </w:r>
      <w:r w:rsidRPr="00A809E6">
        <w:rPr>
          <w:rFonts w:asciiTheme="minorHAnsi" w:hAnsiTheme="minorHAnsi" w:cstheme="minorHAnsi"/>
          <w:sz w:val="22"/>
          <w:szCs w:val="22"/>
        </w:rPr>
        <w:t>That the new Indigenous Productivity Commissioner, within the broader current inquiry, completes a cost-benefit analysis of increased investment in Aboriginal and Torres Strait Islander primary health care (to equity based on need) accounting for the costs associated with a range of social challenges associated with untreated Aboriginal and Torres Strait Islander mental health challenges, in addition to the additional costs to the mental health system.</w:t>
      </w:r>
    </w:p>
    <w:p w14:paraId="1F41E924" w14:textId="77777777" w:rsidR="0053050E" w:rsidRPr="00A809E6" w:rsidRDefault="0053050E" w:rsidP="00A75759">
      <w:pPr>
        <w:shd w:val="clear" w:color="auto" w:fill="FBE4D5" w:themeFill="accent2" w:themeFillTint="33"/>
        <w:rPr>
          <w:rFonts w:asciiTheme="minorHAnsi" w:hAnsiTheme="minorHAnsi" w:cstheme="minorHAnsi"/>
          <w:sz w:val="22"/>
          <w:szCs w:val="22"/>
        </w:rPr>
      </w:pPr>
    </w:p>
    <w:p w14:paraId="3E99C439" w14:textId="0102F581" w:rsidR="0053050E" w:rsidRPr="00A809E6" w:rsidRDefault="0053050E" w:rsidP="00A75759">
      <w:pPr>
        <w:shd w:val="clear" w:color="auto" w:fill="FBE4D5" w:themeFill="accent2" w:themeFillTint="33"/>
        <w:rPr>
          <w:rFonts w:asciiTheme="minorHAnsi" w:hAnsiTheme="minorHAnsi" w:cstheme="minorHAnsi"/>
          <w:sz w:val="22"/>
          <w:szCs w:val="22"/>
        </w:rPr>
      </w:pPr>
      <w:r w:rsidRPr="00A809E6">
        <w:rPr>
          <w:rFonts w:asciiTheme="minorHAnsi" w:hAnsiTheme="minorHAnsi" w:cstheme="minorHAnsi"/>
          <w:b/>
          <w:sz w:val="22"/>
          <w:szCs w:val="22"/>
        </w:rPr>
        <w:t>Recommendation 8:</w:t>
      </w:r>
      <w:r w:rsidRPr="00A809E6">
        <w:rPr>
          <w:rFonts w:asciiTheme="minorHAnsi" w:hAnsiTheme="minorHAnsi" w:cstheme="minorHAnsi"/>
          <w:sz w:val="22"/>
          <w:szCs w:val="22"/>
        </w:rPr>
        <w:t xml:space="preserve"> That the new Indigenous Productivity Commissioner considers reinvestment opportunities in Indigenous-specific primary mental health care for the costs associated with a range of social challenges associated with untreated Aboriginal and Torres Strait Islander mental health challenges within the context of the current inquiry.</w:t>
      </w:r>
    </w:p>
    <w:p w14:paraId="2C0996C0" w14:textId="77777777" w:rsidR="0053050E" w:rsidRPr="00A809E6" w:rsidRDefault="0053050E" w:rsidP="00C54DFC">
      <w:pPr>
        <w:rPr>
          <w:rFonts w:asciiTheme="minorHAnsi" w:hAnsiTheme="minorHAnsi" w:cstheme="minorHAnsi"/>
          <w:sz w:val="22"/>
          <w:szCs w:val="22"/>
        </w:rPr>
      </w:pPr>
    </w:p>
    <w:p w14:paraId="06E907A4" w14:textId="055E2B54" w:rsidR="0053050E" w:rsidRPr="00A809E6" w:rsidRDefault="0053050E">
      <w:pPr>
        <w:rPr>
          <w:rFonts w:asciiTheme="minorHAnsi" w:hAnsiTheme="minorHAnsi" w:cstheme="minorHAnsi"/>
          <w:sz w:val="22"/>
          <w:szCs w:val="22"/>
        </w:rPr>
        <w:sectPr w:rsidR="0053050E" w:rsidRPr="00A809E6" w:rsidSect="00E95FF1">
          <w:footerReference w:type="even" r:id="rId17"/>
          <w:footerReference w:type="default" r:id="rId18"/>
          <w:pgSz w:w="11900" w:h="16840"/>
          <w:pgMar w:top="1440" w:right="1440" w:bottom="1440" w:left="1440" w:header="708" w:footer="708" w:gutter="0"/>
          <w:cols w:space="708"/>
          <w:docGrid w:linePitch="360"/>
        </w:sectPr>
      </w:pPr>
      <w:r w:rsidRPr="00A809E6">
        <w:rPr>
          <w:rFonts w:asciiTheme="minorHAnsi" w:hAnsiTheme="minorHAnsi" w:cstheme="minorHAnsi"/>
          <w:sz w:val="22"/>
          <w:szCs w:val="22"/>
        </w:rPr>
        <w:t>OVER/</w:t>
      </w:r>
    </w:p>
    <w:p w14:paraId="34D6C16C" w14:textId="77777777" w:rsidR="0053050E" w:rsidRPr="00A809E6" w:rsidRDefault="0053050E" w:rsidP="00DF2C37">
      <w:pPr>
        <w:pStyle w:val="NormalWeb"/>
        <w:spacing w:before="0" w:beforeAutospacing="0" w:after="0" w:afterAutospacing="0"/>
        <w:jc w:val="center"/>
        <w:rPr>
          <w:rFonts w:asciiTheme="minorHAnsi" w:hAnsiTheme="minorHAnsi" w:cstheme="minorHAnsi"/>
          <w:b/>
          <w:sz w:val="22"/>
          <w:szCs w:val="22"/>
        </w:rPr>
      </w:pPr>
      <w:r w:rsidRPr="00A809E6">
        <w:rPr>
          <w:rFonts w:asciiTheme="minorHAnsi" w:hAnsiTheme="minorHAnsi" w:cstheme="minorHAnsi"/>
          <w:b/>
          <w:sz w:val="22"/>
          <w:szCs w:val="22"/>
        </w:rPr>
        <w:lastRenderedPageBreak/>
        <w:t>Table 5 – Summary of selected social and economic costs associated with mental health difficulties with estimates of the potential for reinvestment</w:t>
      </w:r>
    </w:p>
    <w:p w14:paraId="2DC71178" w14:textId="77777777" w:rsidR="0053050E" w:rsidRPr="00A809E6" w:rsidRDefault="0053050E" w:rsidP="00DF2C37">
      <w:pPr>
        <w:pStyle w:val="NormalWeb"/>
        <w:spacing w:before="0" w:beforeAutospacing="0" w:after="0" w:afterAutospacing="0"/>
        <w:jc w:val="center"/>
        <w:rPr>
          <w:rFonts w:asciiTheme="minorHAnsi" w:hAnsiTheme="minorHAnsi" w:cstheme="minorHAnsi"/>
          <w:b/>
          <w:sz w:val="10"/>
          <w:szCs w:val="10"/>
        </w:rPr>
      </w:pPr>
    </w:p>
    <w:tbl>
      <w:tblPr>
        <w:tblStyle w:val="TableGrid"/>
        <w:tblW w:w="0" w:type="auto"/>
        <w:tblLook w:val="04A0" w:firstRow="1" w:lastRow="0" w:firstColumn="1" w:lastColumn="0" w:noHBand="0" w:noVBand="1"/>
      </w:tblPr>
      <w:tblGrid>
        <w:gridCol w:w="2263"/>
        <w:gridCol w:w="2410"/>
        <w:gridCol w:w="3402"/>
        <w:gridCol w:w="2835"/>
        <w:gridCol w:w="3040"/>
      </w:tblGrid>
      <w:tr w:rsidR="0053050E" w:rsidRPr="00A809E6" w14:paraId="27C9C5A1" w14:textId="77777777" w:rsidTr="001C159A">
        <w:tc>
          <w:tcPr>
            <w:tcW w:w="2263" w:type="dxa"/>
            <w:shd w:val="clear" w:color="auto" w:fill="D9E2F3" w:themeFill="accent1" w:themeFillTint="33"/>
          </w:tcPr>
          <w:p w14:paraId="48F5FC23" w14:textId="77777777" w:rsidR="0053050E" w:rsidRPr="00A809E6" w:rsidRDefault="0053050E" w:rsidP="00DF2C37">
            <w:pPr>
              <w:pStyle w:val="NormalWeb"/>
              <w:spacing w:before="0" w:beforeAutospacing="0" w:after="0" w:afterAutospacing="0"/>
              <w:rPr>
                <w:rFonts w:asciiTheme="minorHAnsi" w:hAnsiTheme="minorHAnsi" w:cstheme="minorHAnsi"/>
                <w:sz w:val="18"/>
                <w:szCs w:val="18"/>
              </w:rPr>
            </w:pPr>
            <w:r w:rsidRPr="00A809E6">
              <w:rPr>
                <w:rFonts w:asciiTheme="minorHAnsi" w:hAnsiTheme="minorHAnsi" w:cstheme="minorHAnsi"/>
                <w:sz w:val="18"/>
                <w:szCs w:val="18"/>
              </w:rPr>
              <w:t>Source</w:t>
            </w:r>
          </w:p>
        </w:tc>
        <w:tc>
          <w:tcPr>
            <w:tcW w:w="2410" w:type="dxa"/>
            <w:shd w:val="clear" w:color="auto" w:fill="D9E2F3" w:themeFill="accent1" w:themeFillTint="33"/>
          </w:tcPr>
          <w:p w14:paraId="1FD6B8DD" w14:textId="77777777" w:rsidR="0053050E" w:rsidRPr="00A809E6" w:rsidRDefault="0053050E" w:rsidP="00DF2C37">
            <w:pPr>
              <w:pStyle w:val="NormalWeb"/>
              <w:spacing w:before="0" w:beforeAutospacing="0" w:after="0" w:afterAutospacing="0"/>
              <w:rPr>
                <w:rFonts w:asciiTheme="minorHAnsi" w:hAnsiTheme="minorHAnsi" w:cstheme="minorHAnsi"/>
                <w:sz w:val="18"/>
                <w:szCs w:val="18"/>
              </w:rPr>
            </w:pPr>
            <w:r w:rsidRPr="00A809E6">
              <w:rPr>
                <w:rFonts w:asciiTheme="minorHAnsi" w:hAnsiTheme="minorHAnsi" w:cstheme="minorHAnsi"/>
                <w:sz w:val="18"/>
                <w:szCs w:val="18"/>
              </w:rPr>
              <w:t xml:space="preserve">Social costs/ challenges associated with mental health difficulties </w:t>
            </w:r>
          </w:p>
        </w:tc>
        <w:tc>
          <w:tcPr>
            <w:tcW w:w="3402" w:type="dxa"/>
            <w:shd w:val="clear" w:color="auto" w:fill="D9E2F3" w:themeFill="accent1" w:themeFillTint="33"/>
          </w:tcPr>
          <w:p w14:paraId="0B7EAA37" w14:textId="77777777" w:rsidR="0053050E" w:rsidRPr="00A809E6" w:rsidRDefault="0053050E" w:rsidP="00DF2C37">
            <w:pPr>
              <w:pStyle w:val="NormalWeb"/>
              <w:spacing w:before="0" w:beforeAutospacing="0" w:after="0" w:afterAutospacing="0"/>
              <w:rPr>
                <w:rFonts w:asciiTheme="minorHAnsi" w:hAnsiTheme="minorHAnsi" w:cstheme="minorHAnsi"/>
                <w:sz w:val="18"/>
                <w:szCs w:val="18"/>
              </w:rPr>
            </w:pPr>
            <w:r w:rsidRPr="00A809E6">
              <w:rPr>
                <w:rFonts w:asciiTheme="minorHAnsi" w:hAnsiTheme="minorHAnsi" w:cstheme="minorHAnsi"/>
                <w:sz w:val="18"/>
                <w:szCs w:val="18"/>
              </w:rPr>
              <w:t xml:space="preserve">Connection to mental health </w:t>
            </w:r>
          </w:p>
        </w:tc>
        <w:tc>
          <w:tcPr>
            <w:tcW w:w="2835" w:type="dxa"/>
            <w:shd w:val="clear" w:color="auto" w:fill="D9E2F3" w:themeFill="accent1" w:themeFillTint="33"/>
          </w:tcPr>
          <w:p w14:paraId="1554AEBD" w14:textId="77777777" w:rsidR="0053050E" w:rsidRPr="00A809E6" w:rsidRDefault="0053050E" w:rsidP="00DF2C37">
            <w:pPr>
              <w:pStyle w:val="NormalWeb"/>
              <w:spacing w:before="0" w:beforeAutospacing="0" w:after="0" w:afterAutospacing="0"/>
              <w:rPr>
                <w:rFonts w:asciiTheme="minorHAnsi" w:hAnsiTheme="minorHAnsi" w:cstheme="minorHAnsi"/>
                <w:sz w:val="18"/>
                <w:szCs w:val="18"/>
              </w:rPr>
            </w:pPr>
            <w:r w:rsidRPr="00A809E6">
              <w:rPr>
                <w:rFonts w:asciiTheme="minorHAnsi" w:hAnsiTheme="minorHAnsi" w:cstheme="minorHAnsi"/>
                <w:sz w:val="18"/>
                <w:szCs w:val="18"/>
              </w:rPr>
              <w:t>Economic costs</w:t>
            </w:r>
          </w:p>
        </w:tc>
        <w:tc>
          <w:tcPr>
            <w:tcW w:w="3040" w:type="dxa"/>
            <w:shd w:val="clear" w:color="auto" w:fill="D9E2F3" w:themeFill="accent1" w:themeFillTint="33"/>
          </w:tcPr>
          <w:p w14:paraId="6CC04952" w14:textId="77777777" w:rsidR="0053050E" w:rsidRPr="00A809E6" w:rsidRDefault="0053050E" w:rsidP="00DF2C37">
            <w:pPr>
              <w:pStyle w:val="NormalWeb"/>
              <w:spacing w:before="0" w:beforeAutospacing="0" w:after="0" w:afterAutospacing="0"/>
              <w:rPr>
                <w:rFonts w:asciiTheme="minorHAnsi" w:hAnsiTheme="minorHAnsi" w:cstheme="minorHAnsi"/>
                <w:sz w:val="18"/>
                <w:szCs w:val="18"/>
              </w:rPr>
            </w:pPr>
            <w:r w:rsidRPr="00A809E6">
              <w:rPr>
                <w:rFonts w:asciiTheme="minorHAnsi" w:hAnsiTheme="minorHAnsi" w:cstheme="minorHAnsi"/>
                <w:b/>
                <w:sz w:val="18"/>
                <w:szCs w:val="18"/>
              </w:rPr>
              <w:t>Indicative potential</w:t>
            </w:r>
            <w:r w:rsidRPr="00A809E6">
              <w:rPr>
                <w:rFonts w:asciiTheme="minorHAnsi" w:hAnsiTheme="minorHAnsi" w:cstheme="minorHAnsi"/>
                <w:sz w:val="18"/>
                <w:szCs w:val="18"/>
              </w:rPr>
              <w:t xml:space="preserve"> expenditure available for reinvestment if mental health is addressed prior to becoming associated with a social challenge</w:t>
            </w:r>
          </w:p>
        </w:tc>
      </w:tr>
      <w:tr w:rsidR="0053050E" w:rsidRPr="00A809E6" w14:paraId="5564C969" w14:textId="77777777" w:rsidTr="001C159A">
        <w:tc>
          <w:tcPr>
            <w:tcW w:w="2263" w:type="dxa"/>
            <w:vMerge w:val="restart"/>
          </w:tcPr>
          <w:p w14:paraId="02AF6844" w14:textId="77777777" w:rsidR="0053050E" w:rsidRPr="00A809E6" w:rsidRDefault="0053050E" w:rsidP="00DF2C37">
            <w:pPr>
              <w:pStyle w:val="NormalWeb"/>
              <w:spacing w:before="0" w:beforeAutospacing="0" w:after="0" w:afterAutospacing="0"/>
              <w:rPr>
                <w:rFonts w:asciiTheme="minorHAnsi" w:hAnsiTheme="minorHAnsi" w:cstheme="minorHAnsi"/>
                <w:b/>
                <w:sz w:val="18"/>
                <w:szCs w:val="18"/>
              </w:rPr>
            </w:pPr>
            <w:r w:rsidRPr="00A809E6">
              <w:rPr>
                <w:rFonts w:asciiTheme="minorHAnsi" w:hAnsiTheme="minorHAnsi" w:cstheme="minorHAnsi"/>
                <w:b/>
                <w:sz w:val="18"/>
                <w:szCs w:val="18"/>
              </w:rPr>
              <w:t>Imprisonment</w:t>
            </w:r>
          </w:p>
          <w:p w14:paraId="1E3FA3B7" w14:textId="77777777" w:rsidR="0053050E" w:rsidRPr="00A809E6" w:rsidRDefault="0053050E" w:rsidP="00DF2C37">
            <w:pPr>
              <w:pStyle w:val="NormalWeb"/>
              <w:spacing w:before="0" w:beforeAutospacing="0" w:after="0" w:afterAutospacing="0"/>
              <w:rPr>
                <w:rFonts w:asciiTheme="minorHAnsi" w:hAnsiTheme="minorHAnsi" w:cstheme="minorHAnsi"/>
                <w:sz w:val="18"/>
                <w:szCs w:val="18"/>
              </w:rPr>
            </w:pPr>
            <w:r w:rsidRPr="00A809E6">
              <w:rPr>
                <w:rFonts w:asciiTheme="minorHAnsi" w:hAnsiTheme="minorHAnsi" w:cstheme="minorHAnsi"/>
                <w:sz w:val="18"/>
                <w:szCs w:val="18"/>
              </w:rPr>
              <w:t>2013 - Senate Legal and Constitutional Affairs References Committee report, Value of a justice reinvestment approach to criminal justice in Australia, released in June 2013</w:t>
            </w:r>
            <w:r w:rsidRPr="00A809E6">
              <w:rPr>
                <w:rStyle w:val="EndnoteReference"/>
                <w:rFonts w:asciiTheme="minorHAnsi" w:hAnsiTheme="minorHAnsi" w:cstheme="minorHAnsi"/>
                <w:sz w:val="18"/>
                <w:szCs w:val="18"/>
              </w:rPr>
              <w:endnoteReference w:id="30"/>
            </w:r>
          </w:p>
        </w:tc>
        <w:tc>
          <w:tcPr>
            <w:tcW w:w="2410" w:type="dxa"/>
            <w:vMerge w:val="restart"/>
          </w:tcPr>
          <w:p w14:paraId="5B34EB21" w14:textId="77777777" w:rsidR="0053050E" w:rsidRPr="00A809E6" w:rsidRDefault="0053050E" w:rsidP="00DF2C37">
            <w:pPr>
              <w:rPr>
                <w:rFonts w:asciiTheme="minorHAnsi" w:hAnsiTheme="minorHAnsi" w:cstheme="minorHAnsi"/>
                <w:sz w:val="18"/>
                <w:szCs w:val="18"/>
              </w:rPr>
            </w:pPr>
            <w:r w:rsidRPr="00A809E6">
              <w:rPr>
                <w:rFonts w:asciiTheme="minorHAnsi" w:hAnsiTheme="minorHAnsi" w:cstheme="minorHAnsi"/>
                <w:sz w:val="18"/>
                <w:szCs w:val="18"/>
                <w:shd w:val="clear" w:color="auto" w:fill="FFFFFF"/>
              </w:rPr>
              <w:t>At 30 June 2018, just under</w:t>
            </w:r>
            <w:r w:rsidRPr="00A809E6">
              <w:rPr>
                <w:rFonts w:asciiTheme="minorHAnsi" w:hAnsiTheme="minorHAnsi" w:cstheme="minorHAnsi"/>
                <w:sz w:val="18"/>
                <w:szCs w:val="18"/>
              </w:rPr>
              <w:t xml:space="preserve"> 12,000 Indigenous prisoners; 28 per cent of the total population.</w:t>
            </w:r>
            <w:r w:rsidRPr="00A809E6">
              <w:rPr>
                <w:rStyle w:val="EndnoteReference"/>
                <w:rFonts w:asciiTheme="minorHAnsi" w:hAnsiTheme="minorHAnsi" w:cstheme="minorHAnsi"/>
                <w:sz w:val="18"/>
                <w:szCs w:val="18"/>
              </w:rPr>
              <w:endnoteReference w:id="31"/>
            </w:r>
            <w:r w:rsidRPr="00A809E6">
              <w:rPr>
                <w:rFonts w:asciiTheme="minorHAnsi" w:hAnsiTheme="minorHAnsi" w:cstheme="minorHAnsi"/>
                <w:sz w:val="18"/>
                <w:szCs w:val="18"/>
              </w:rPr>
              <w:t xml:space="preserve">  Median expected sentence time was 1.3 years.</w:t>
            </w:r>
            <w:r w:rsidRPr="00A809E6">
              <w:rPr>
                <w:rStyle w:val="EndnoteReference"/>
                <w:rFonts w:cstheme="minorHAnsi"/>
                <w:szCs w:val="18"/>
              </w:rPr>
              <w:endnoteReference w:id="32"/>
            </w:r>
          </w:p>
          <w:p w14:paraId="0A786101" w14:textId="59A58B83" w:rsidR="0053050E" w:rsidRPr="00A809E6" w:rsidRDefault="0053050E" w:rsidP="00DF2C37">
            <w:pPr>
              <w:pStyle w:val="NormalWeb"/>
              <w:spacing w:before="0" w:after="0"/>
              <w:rPr>
                <w:rFonts w:asciiTheme="minorHAnsi" w:hAnsiTheme="minorHAnsi" w:cstheme="minorHAnsi"/>
                <w:sz w:val="18"/>
                <w:szCs w:val="18"/>
              </w:rPr>
            </w:pPr>
          </w:p>
        </w:tc>
        <w:tc>
          <w:tcPr>
            <w:tcW w:w="3402" w:type="dxa"/>
            <w:vMerge w:val="restart"/>
          </w:tcPr>
          <w:p w14:paraId="472E0C59" w14:textId="77777777" w:rsidR="0053050E" w:rsidRPr="00A809E6" w:rsidRDefault="0053050E" w:rsidP="001C159A">
            <w:pPr>
              <w:pStyle w:val="NormalWeb"/>
              <w:rPr>
                <w:sz w:val="18"/>
                <w:szCs w:val="18"/>
              </w:rPr>
            </w:pPr>
            <w:r w:rsidRPr="00A809E6">
              <w:rPr>
                <w:rFonts w:ascii="Calibri" w:hAnsi="Calibri" w:cs="Calibri"/>
                <w:sz w:val="18"/>
                <w:szCs w:val="18"/>
              </w:rPr>
              <w:t xml:space="preserve">A 2008 survey in Queensland found 72.8 per cent of male and 86 percent of female Indigenous prisoners had suffered from at least one mental health condition in the preceding 12 months. Further, 12.1 per cent of males and 32.3 per cent of females with had PTSD. </w:t>
            </w:r>
            <w:r w:rsidRPr="00A809E6">
              <w:rPr>
                <w:rFonts w:ascii="Calibri" w:hAnsi="Calibri" w:cs="Calibri"/>
                <w:position w:val="10"/>
                <w:sz w:val="18"/>
                <w:szCs w:val="18"/>
              </w:rPr>
              <w:t xml:space="preserve"> </w:t>
            </w:r>
            <w:r w:rsidRPr="00A809E6">
              <w:rPr>
                <w:rFonts w:ascii="Calibri" w:hAnsi="Calibri" w:cs="Calibri"/>
                <w:sz w:val="18"/>
                <w:szCs w:val="18"/>
              </w:rPr>
              <w:t>A 2009 survey of NSW prisoners reported that 54.9 per cent of Indigenous men and 63.3 per cent of women reported an association between drug use and their offence.</w:t>
            </w:r>
          </w:p>
        </w:tc>
        <w:tc>
          <w:tcPr>
            <w:tcW w:w="2835" w:type="dxa"/>
          </w:tcPr>
          <w:p w14:paraId="4C9C99E2" w14:textId="18EA5272" w:rsidR="0053050E" w:rsidRPr="00A809E6" w:rsidRDefault="0053050E" w:rsidP="00DF2C37">
            <w:pPr>
              <w:pStyle w:val="NormalWeb"/>
              <w:spacing w:before="0" w:beforeAutospacing="0" w:after="0" w:afterAutospacing="0"/>
              <w:rPr>
                <w:rFonts w:asciiTheme="minorHAnsi" w:hAnsiTheme="minorHAnsi" w:cstheme="minorHAnsi"/>
                <w:sz w:val="18"/>
                <w:szCs w:val="18"/>
              </w:rPr>
            </w:pPr>
            <w:r w:rsidRPr="00A809E6">
              <w:rPr>
                <w:rFonts w:asciiTheme="minorHAnsi" w:hAnsiTheme="minorHAnsi" w:cstheme="minorHAnsi"/>
                <w:sz w:val="18"/>
                <w:szCs w:val="18"/>
              </w:rPr>
              <w:t>About $100,000 per annum</w:t>
            </w:r>
            <w:r w:rsidRPr="00A809E6">
              <w:rPr>
                <w:rStyle w:val="EndnoteReference"/>
                <w:rFonts w:cstheme="minorHAnsi"/>
                <w:szCs w:val="18"/>
              </w:rPr>
              <w:t xml:space="preserve"> </w:t>
            </w:r>
            <w:r w:rsidRPr="00A809E6">
              <w:rPr>
                <w:rStyle w:val="EndnoteReference"/>
                <w:rFonts w:cstheme="minorHAnsi"/>
                <w:szCs w:val="18"/>
              </w:rPr>
              <w:endnoteReference w:id="33"/>
            </w:r>
            <w:r w:rsidRPr="00A809E6">
              <w:rPr>
                <w:rFonts w:asciiTheme="minorHAnsi" w:hAnsiTheme="minorHAnsi" w:cstheme="minorHAnsi"/>
                <w:sz w:val="18"/>
                <w:szCs w:val="18"/>
              </w:rPr>
              <w:t xml:space="preserve">. </w:t>
            </w:r>
          </w:p>
        </w:tc>
        <w:tc>
          <w:tcPr>
            <w:tcW w:w="3040" w:type="dxa"/>
            <w:vMerge w:val="restart"/>
          </w:tcPr>
          <w:p w14:paraId="2EC84DFE" w14:textId="6AF7ECA3" w:rsidR="0053050E" w:rsidRPr="00A809E6" w:rsidRDefault="0053050E" w:rsidP="00DF2C37">
            <w:pPr>
              <w:pStyle w:val="NormalWeb"/>
              <w:spacing w:before="0" w:beforeAutospacing="0" w:after="0" w:afterAutospacing="0"/>
              <w:rPr>
                <w:rFonts w:asciiTheme="minorHAnsi" w:hAnsiTheme="minorHAnsi" w:cstheme="minorHAnsi"/>
                <w:sz w:val="18"/>
                <w:szCs w:val="18"/>
              </w:rPr>
            </w:pPr>
            <w:r w:rsidRPr="00A809E6">
              <w:rPr>
                <w:rFonts w:asciiTheme="minorHAnsi" w:hAnsiTheme="minorHAnsi" w:cstheme="minorHAnsi"/>
                <w:sz w:val="18"/>
                <w:szCs w:val="18"/>
              </w:rPr>
              <w:t>Based on 12,000 prisoners serving 1.3 years - around $1.2 billion per annum. Assuming 50 per cent are in prison due to untreated mental health difficulties results in a potential  $500-600 million cost association.</w:t>
            </w:r>
          </w:p>
        </w:tc>
      </w:tr>
      <w:tr w:rsidR="0053050E" w:rsidRPr="00A809E6" w14:paraId="2C78511A" w14:textId="77777777" w:rsidTr="001C159A">
        <w:tc>
          <w:tcPr>
            <w:tcW w:w="2263" w:type="dxa"/>
            <w:vMerge/>
          </w:tcPr>
          <w:p w14:paraId="168FAD92" w14:textId="77777777" w:rsidR="0053050E" w:rsidRPr="00A809E6" w:rsidRDefault="0053050E" w:rsidP="00DF2C37">
            <w:pPr>
              <w:pStyle w:val="NormalWeb"/>
              <w:spacing w:before="0" w:beforeAutospacing="0" w:after="0" w:afterAutospacing="0"/>
              <w:rPr>
                <w:rFonts w:asciiTheme="minorHAnsi" w:hAnsiTheme="minorHAnsi" w:cstheme="minorHAnsi"/>
                <w:sz w:val="18"/>
                <w:szCs w:val="18"/>
              </w:rPr>
            </w:pPr>
          </w:p>
        </w:tc>
        <w:tc>
          <w:tcPr>
            <w:tcW w:w="2410" w:type="dxa"/>
            <w:vMerge/>
          </w:tcPr>
          <w:p w14:paraId="21026726" w14:textId="042D5C27" w:rsidR="0053050E" w:rsidRPr="00A809E6" w:rsidRDefault="0053050E" w:rsidP="00DF2C37">
            <w:pPr>
              <w:pStyle w:val="NormalWeb"/>
              <w:spacing w:before="0" w:beforeAutospacing="0" w:after="0" w:afterAutospacing="0"/>
              <w:rPr>
                <w:rFonts w:asciiTheme="minorHAnsi" w:hAnsiTheme="minorHAnsi" w:cstheme="minorHAnsi"/>
                <w:sz w:val="18"/>
                <w:szCs w:val="18"/>
              </w:rPr>
            </w:pPr>
          </w:p>
        </w:tc>
        <w:tc>
          <w:tcPr>
            <w:tcW w:w="3402" w:type="dxa"/>
            <w:vMerge/>
          </w:tcPr>
          <w:p w14:paraId="743BDD9D" w14:textId="77777777" w:rsidR="0053050E" w:rsidRPr="00A809E6" w:rsidRDefault="0053050E" w:rsidP="00DF2C37">
            <w:pPr>
              <w:pStyle w:val="NormalWeb"/>
              <w:spacing w:before="0" w:beforeAutospacing="0" w:after="0" w:afterAutospacing="0"/>
              <w:rPr>
                <w:rFonts w:asciiTheme="minorHAnsi" w:hAnsiTheme="minorHAnsi" w:cstheme="minorHAnsi"/>
                <w:sz w:val="18"/>
                <w:szCs w:val="18"/>
              </w:rPr>
            </w:pPr>
          </w:p>
        </w:tc>
        <w:tc>
          <w:tcPr>
            <w:tcW w:w="2835" w:type="dxa"/>
          </w:tcPr>
          <w:p w14:paraId="37B1D4CF" w14:textId="77777777" w:rsidR="0053050E" w:rsidRPr="00A809E6" w:rsidRDefault="0053050E" w:rsidP="00DF2C37">
            <w:pPr>
              <w:pStyle w:val="NormalWeb"/>
              <w:spacing w:before="0" w:beforeAutospacing="0" w:after="0" w:afterAutospacing="0"/>
              <w:rPr>
                <w:rFonts w:asciiTheme="minorHAnsi" w:hAnsiTheme="minorHAnsi" w:cstheme="minorHAnsi"/>
                <w:sz w:val="18"/>
                <w:szCs w:val="18"/>
              </w:rPr>
            </w:pPr>
            <w:r w:rsidRPr="00A809E6">
              <w:rPr>
                <w:rFonts w:asciiTheme="minorHAnsi" w:hAnsiTheme="minorHAnsi" w:cstheme="minorHAnsi"/>
                <w:sz w:val="18"/>
                <w:szCs w:val="18"/>
              </w:rPr>
              <w:t xml:space="preserve">$624 per day for juvenile detention detainee ($227,760 per annum) </w:t>
            </w:r>
          </w:p>
        </w:tc>
        <w:tc>
          <w:tcPr>
            <w:tcW w:w="3040" w:type="dxa"/>
            <w:vMerge/>
          </w:tcPr>
          <w:p w14:paraId="3C3DDDF2" w14:textId="77777777" w:rsidR="0053050E" w:rsidRPr="00A809E6" w:rsidRDefault="0053050E" w:rsidP="00DF2C37">
            <w:pPr>
              <w:pStyle w:val="NormalWeb"/>
              <w:spacing w:before="0" w:beforeAutospacing="0" w:after="0" w:afterAutospacing="0"/>
              <w:rPr>
                <w:rFonts w:asciiTheme="minorHAnsi" w:hAnsiTheme="minorHAnsi" w:cstheme="minorHAnsi"/>
                <w:sz w:val="18"/>
                <w:szCs w:val="18"/>
              </w:rPr>
            </w:pPr>
          </w:p>
        </w:tc>
      </w:tr>
      <w:tr w:rsidR="0053050E" w:rsidRPr="00A809E6" w14:paraId="13AFD03C" w14:textId="77777777" w:rsidTr="001C159A">
        <w:tc>
          <w:tcPr>
            <w:tcW w:w="2263" w:type="dxa"/>
          </w:tcPr>
          <w:p w14:paraId="1ECC112A" w14:textId="77777777" w:rsidR="0053050E" w:rsidRPr="00A809E6" w:rsidRDefault="0053050E" w:rsidP="00DF2C37">
            <w:pPr>
              <w:pStyle w:val="NormalWeb"/>
              <w:spacing w:before="0" w:beforeAutospacing="0" w:after="0" w:afterAutospacing="0"/>
              <w:rPr>
                <w:rFonts w:asciiTheme="minorHAnsi" w:hAnsiTheme="minorHAnsi" w:cstheme="minorHAnsi"/>
                <w:b/>
                <w:sz w:val="18"/>
                <w:szCs w:val="18"/>
              </w:rPr>
            </w:pPr>
            <w:r w:rsidRPr="00A809E6">
              <w:rPr>
                <w:rFonts w:asciiTheme="minorHAnsi" w:hAnsiTheme="minorHAnsi" w:cstheme="minorHAnsi"/>
                <w:b/>
                <w:sz w:val="18"/>
                <w:szCs w:val="18"/>
              </w:rPr>
              <w:t>Employment/ productivity</w:t>
            </w:r>
          </w:p>
          <w:p w14:paraId="15BB2D03" w14:textId="77777777" w:rsidR="0053050E" w:rsidRPr="00A809E6" w:rsidRDefault="0053050E" w:rsidP="00DF2C37">
            <w:pPr>
              <w:pStyle w:val="NormalWeb"/>
              <w:spacing w:before="0" w:beforeAutospacing="0" w:after="0" w:afterAutospacing="0"/>
              <w:rPr>
                <w:rFonts w:asciiTheme="minorHAnsi" w:hAnsiTheme="minorHAnsi" w:cstheme="minorHAnsi"/>
                <w:sz w:val="18"/>
                <w:szCs w:val="18"/>
              </w:rPr>
            </w:pPr>
            <w:r w:rsidRPr="00A809E6">
              <w:rPr>
                <w:rFonts w:asciiTheme="minorHAnsi" w:hAnsiTheme="minorHAnsi" w:cstheme="minorHAnsi"/>
                <w:sz w:val="18"/>
                <w:szCs w:val="18"/>
              </w:rPr>
              <w:t xml:space="preserve">National Mental Health Commission’s 2015 Review of Mental Health Services and Programs </w:t>
            </w:r>
          </w:p>
        </w:tc>
        <w:tc>
          <w:tcPr>
            <w:tcW w:w="5812" w:type="dxa"/>
            <w:gridSpan w:val="2"/>
          </w:tcPr>
          <w:p w14:paraId="48BA7AC5" w14:textId="77777777" w:rsidR="0053050E" w:rsidRPr="00A809E6" w:rsidRDefault="0053050E" w:rsidP="00DF2C37">
            <w:pPr>
              <w:pStyle w:val="NormalWeb"/>
              <w:spacing w:before="0" w:beforeAutospacing="0" w:after="0" w:afterAutospacing="0"/>
              <w:rPr>
                <w:rFonts w:asciiTheme="minorHAnsi" w:hAnsiTheme="minorHAnsi" w:cstheme="minorHAnsi"/>
                <w:sz w:val="18"/>
                <w:szCs w:val="18"/>
              </w:rPr>
            </w:pPr>
            <w:r w:rsidRPr="00A809E6">
              <w:rPr>
                <w:rFonts w:asciiTheme="minorHAnsi" w:hAnsiTheme="minorHAnsi" w:cstheme="minorHAnsi"/>
                <w:sz w:val="18"/>
                <w:szCs w:val="18"/>
              </w:rPr>
              <w:t>Among the 27 per cent of the 26 per cent of the Indigenous people reported high and very high levels of psychological distress in 2008, 38 per cent were unable to work or carry out their normal activities for significant periods of time because of their feelings.</w:t>
            </w:r>
            <w:r w:rsidRPr="00A809E6">
              <w:rPr>
                <w:rStyle w:val="EndnoteReference"/>
                <w:rFonts w:asciiTheme="minorHAnsi" w:hAnsiTheme="minorHAnsi" w:cstheme="minorHAnsi"/>
                <w:sz w:val="18"/>
                <w:szCs w:val="18"/>
              </w:rPr>
              <w:endnoteReference w:id="34"/>
            </w:r>
          </w:p>
        </w:tc>
        <w:tc>
          <w:tcPr>
            <w:tcW w:w="2835" w:type="dxa"/>
          </w:tcPr>
          <w:p w14:paraId="3504B7A0" w14:textId="77777777" w:rsidR="0053050E" w:rsidRPr="00A809E6" w:rsidRDefault="0053050E" w:rsidP="00DF2C37">
            <w:pPr>
              <w:pStyle w:val="NormalWeb"/>
              <w:spacing w:before="0" w:beforeAutospacing="0" w:after="0" w:afterAutospacing="0"/>
              <w:rPr>
                <w:rFonts w:asciiTheme="minorHAnsi" w:hAnsiTheme="minorHAnsi" w:cstheme="minorHAnsi"/>
                <w:sz w:val="18"/>
                <w:szCs w:val="18"/>
              </w:rPr>
            </w:pPr>
            <w:r w:rsidRPr="00A809E6">
              <w:rPr>
                <w:rFonts w:asciiTheme="minorHAnsi" w:hAnsiTheme="minorHAnsi" w:cstheme="minorHAnsi"/>
                <w:sz w:val="18"/>
                <w:szCs w:val="18"/>
              </w:rPr>
              <w:t>A 2010 report estimated that psychological distress produces a $5.9 billion reduction in Australian employee productivity per annum</w:t>
            </w:r>
            <w:r w:rsidRPr="00A809E6">
              <w:rPr>
                <w:rStyle w:val="EndnoteReference"/>
                <w:rFonts w:asciiTheme="minorHAnsi" w:hAnsiTheme="minorHAnsi" w:cstheme="minorHAnsi"/>
                <w:sz w:val="18"/>
                <w:szCs w:val="18"/>
              </w:rPr>
              <w:endnoteReference w:id="35"/>
            </w:r>
            <w:r w:rsidRPr="00A809E6">
              <w:rPr>
                <w:rFonts w:asciiTheme="minorHAnsi" w:hAnsiTheme="minorHAnsi" w:cstheme="minorHAnsi"/>
                <w:sz w:val="18"/>
                <w:szCs w:val="18"/>
              </w:rPr>
              <w:t>.</w:t>
            </w:r>
          </w:p>
          <w:p w14:paraId="110549B9" w14:textId="77777777" w:rsidR="0053050E" w:rsidRPr="00A809E6" w:rsidRDefault="0053050E" w:rsidP="00DF2C37">
            <w:pPr>
              <w:pStyle w:val="NormalWeb"/>
              <w:spacing w:before="0" w:beforeAutospacing="0" w:after="0" w:afterAutospacing="0"/>
              <w:rPr>
                <w:rFonts w:asciiTheme="minorHAnsi" w:hAnsiTheme="minorHAnsi" w:cstheme="minorHAnsi"/>
                <w:sz w:val="18"/>
                <w:szCs w:val="18"/>
              </w:rPr>
            </w:pPr>
          </w:p>
        </w:tc>
        <w:tc>
          <w:tcPr>
            <w:tcW w:w="3040" w:type="dxa"/>
          </w:tcPr>
          <w:p w14:paraId="12E9F475" w14:textId="77777777" w:rsidR="0053050E" w:rsidRPr="00A809E6" w:rsidRDefault="0053050E" w:rsidP="00DF2C37">
            <w:pPr>
              <w:pStyle w:val="NormalWeb"/>
              <w:spacing w:before="0" w:beforeAutospacing="0" w:after="0" w:afterAutospacing="0"/>
              <w:rPr>
                <w:rFonts w:asciiTheme="minorHAnsi" w:hAnsiTheme="minorHAnsi" w:cstheme="minorHAnsi"/>
                <w:sz w:val="18"/>
                <w:szCs w:val="18"/>
              </w:rPr>
            </w:pPr>
            <w:r w:rsidRPr="00A809E6">
              <w:rPr>
                <w:rFonts w:asciiTheme="minorHAnsi" w:hAnsiTheme="minorHAnsi" w:cstheme="minorHAnsi"/>
                <w:sz w:val="18"/>
                <w:szCs w:val="18"/>
              </w:rPr>
              <w:t xml:space="preserve">$177 million </w:t>
            </w:r>
          </w:p>
          <w:p w14:paraId="3453F376" w14:textId="77777777" w:rsidR="0053050E" w:rsidRPr="00A809E6" w:rsidRDefault="0053050E" w:rsidP="00DF2C37">
            <w:pPr>
              <w:pStyle w:val="NormalWeb"/>
              <w:spacing w:before="0" w:beforeAutospacing="0" w:after="0" w:afterAutospacing="0"/>
              <w:rPr>
                <w:rFonts w:asciiTheme="minorHAnsi" w:hAnsiTheme="minorHAnsi" w:cstheme="minorHAnsi"/>
                <w:sz w:val="18"/>
                <w:szCs w:val="18"/>
              </w:rPr>
            </w:pPr>
            <w:r w:rsidRPr="00A809E6">
              <w:rPr>
                <w:rFonts w:asciiTheme="minorHAnsi" w:hAnsiTheme="minorHAnsi" w:cstheme="minorHAnsi"/>
                <w:sz w:val="18"/>
                <w:szCs w:val="18"/>
              </w:rPr>
              <w:t>(Indigenous population at 3 per cent.)</w:t>
            </w:r>
          </w:p>
        </w:tc>
      </w:tr>
      <w:tr w:rsidR="0053050E" w:rsidRPr="00A809E6" w14:paraId="735BA200" w14:textId="77777777" w:rsidTr="001C159A">
        <w:tc>
          <w:tcPr>
            <w:tcW w:w="2263" w:type="dxa"/>
          </w:tcPr>
          <w:p w14:paraId="5AD44385" w14:textId="77777777" w:rsidR="0053050E" w:rsidRPr="00A809E6" w:rsidRDefault="0053050E" w:rsidP="00DF2C37">
            <w:pPr>
              <w:pStyle w:val="NormalWeb"/>
              <w:spacing w:before="0" w:beforeAutospacing="0" w:after="0" w:afterAutospacing="0"/>
              <w:rPr>
                <w:rFonts w:asciiTheme="minorHAnsi" w:hAnsiTheme="minorHAnsi" w:cstheme="minorHAnsi"/>
                <w:b/>
                <w:sz w:val="18"/>
                <w:szCs w:val="18"/>
              </w:rPr>
            </w:pPr>
            <w:r w:rsidRPr="00A809E6">
              <w:rPr>
                <w:rFonts w:asciiTheme="minorHAnsi" w:hAnsiTheme="minorHAnsi" w:cstheme="minorHAnsi"/>
                <w:b/>
                <w:sz w:val="18"/>
                <w:szCs w:val="18"/>
              </w:rPr>
              <w:t xml:space="preserve">Physical health impacts </w:t>
            </w:r>
          </w:p>
          <w:p w14:paraId="1C2F2839" w14:textId="77777777" w:rsidR="0053050E" w:rsidRPr="00A809E6" w:rsidRDefault="0053050E" w:rsidP="00DF2C37">
            <w:pPr>
              <w:pStyle w:val="NormalWeb"/>
              <w:spacing w:before="0" w:beforeAutospacing="0" w:after="0" w:afterAutospacing="0"/>
              <w:rPr>
                <w:rFonts w:asciiTheme="minorHAnsi" w:hAnsiTheme="minorHAnsi" w:cstheme="minorHAnsi"/>
                <w:sz w:val="18"/>
                <w:szCs w:val="18"/>
              </w:rPr>
            </w:pPr>
            <w:r w:rsidRPr="00A809E6">
              <w:rPr>
                <w:rFonts w:asciiTheme="minorHAnsi" w:hAnsiTheme="minorHAnsi" w:cstheme="minorHAnsi"/>
                <w:sz w:val="18"/>
                <w:szCs w:val="18"/>
              </w:rPr>
              <w:t>2014 ‘Reeve Study’</w:t>
            </w:r>
            <w:r w:rsidRPr="00A809E6">
              <w:rPr>
                <w:rStyle w:val="EndnoteReference"/>
                <w:rFonts w:cstheme="minorHAnsi"/>
                <w:szCs w:val="18"/>
              </w:rPr>
              <w:endnoteReference w:id="36"/>
            </w:r>
          </w:p>
        </w:tc>
        <w:tc>
          <w:tcPr>
            <w:tcW w:w="5812" w:type="dxa"/>
            <w:gridSpan w:val="2"/>
          </w:tcPr>
          <w:p w14:paraId="5826E38E" w14:textId="77777777" w:rsidR="0053050E" w:rsidRPr="00A809E6" w:rsidRDefault="0053050E" w:rsidP="00DF2C37">
            <w:pPr>
              <w:rPr>
                <w:rFonts w:asciiTheme="minorHAnsi" w:hAnsiTheme="minorHAnsi" w:cstheme="minorHAnsi"/>
                <w:sz w:val="18"/>
                <w:szCs w:val="18"/>
                <w:shd w:val="clear" w:color="auto" w:fill="FFFFFF"/>
              </w:rPr>
            </w:pPr>
            <w:r w:rsidRPr="00A809E6">
              <w:rPr>
                <w:rFonts w:asciiTheme="minorHAnsi" w:hAnsiTheme="minorHAnsi" w:cstheme="minorHAnsi"/>
                <w:sz w:val="18"/>
                <w:szCs w:val="18"/>
              </w:rPr>
              <w:t>Serious psychological stress contributes to a range of health problems and may be involved in the development of risk factors for metabolic syndrome, including raised blood glucose’.</w:t>
            </w:r>
          </w:p>
        </w:tc>
        <w:tc>
          <w:tcPr>
            <w:tcW w:w="2835" w:type="dxa"/>
          </w:tcPr>
          <w:p w14:paraId="66F4980C" w14:textId="77777777" w:rsidR="0053050E" w:rsidRPr="00A809E6" w:rsidRDefault="0053050E" w:rsidP="00DF2C37">
            <w:pPr>
              <w:rPr>
                <w:rFonts w:asciiTheme="minorHAnsi" w:hAnsiTheme="minorHAnsi" w:cstheme="minorHAnsi"/>
                <w:sz w:val="18"/>
                <w:szCs w:val="18"/>
              </w:rPr>
            </w:pPr>
            <w:r w:rsidRPr="00A809E6">
              <w:rPr>
                <w:rFonts w:asciiTheme="minorHAnsi" w:hAnsiTheme="minorHAnsi" w:cstheme="minorHAnsi"/>
                <w:sz w:val="18"/>
                <w:szCs w:val="18"/>
                <w:shd w:val="clear" w:color="auto" w:fill="FFFFFF"/>
              </w:rPr>
              <w:t>The total annual cost of type 2 diabetes in Australia was estimated at </w:t>
            </w:r>
            <w:r w:rsidRPr="00A809E6">
              <w:rPr>
                <w:rFonts w:asciiTheme="minorHAnsi" w:hAnsiTheme="minorHAnsi" w:cstheme="minorHAnsi"/>
                <w:bCs/>
                <w:sz w:val="18"/>
                <w:szCs w:val="18"/>
                <w:shd w:val="clear" w:color="auto" w:fill="FFFFFF"/>
              </w:rPr>
              <w:t>$14.6 billion</w:t>
            </w:r>
            <w:r w:rsidRPr="00A809E6">
              <w:rPr>
                <w:rFonts w:asciiTheme="minorHAnsi" w:hAnsiTheme="minorHAnsi" w:cstheme="minorHAnsi"/>
                <w:sz w:val="18"/>
                <w:szCs w:val="18"/>
                <w:shd w:val="clear" w:color="auto" w:fill="FFFFFF"/>
              </w:rPr>
              <w:t> in 2013.</w:t>
            </w:r>
            <w:r w:rsidRPr="00A809E6">
              <w:rPr>
                <w:rStyle w:val="EndnoteReference"/>
                <w:rFonts w:asciiTheme="minorHAnsi" w:hAnsiTheme="minorHAnsi" w:cstheme="minorHAnsi"/>
                <w:sz w:val="18"/>
                <w:szCs w:val="18"/>
                <w:shd w:val="clear" w:color="auto" w:fill="FFFFFF"/>
              </w:rPr>
              <w:endnoteReference w:id="37"/>
            </w:r>
          </w:p>
        </w:tc>
        <w:tc>
          <w:tcPr>
            <w:tcW w:w="3040" w:type="dxa"/>
          </w:tcPr>
          <w:p w14:paraId="5079FFEA" w14:textId="77777777" w:rsidR="0053050E" w:rsidRPr="00A809E6" w:rsidRDefault="0053050E" w:rsidP="00DF2C37">
            <w:pPr>
              <w:pStyle w:val="NormalWeb"/>
              <w:spacing w:before="0" w:beforeAutospacing="0" w:after="0" w:afterAutospacing="0"/>
              <w:rPr>
                <w:rFonts w:asciiTheme="minorHAnsi" w:hAnsiTheme="minorHAnsi" w:cstheme="minorHAnsi"/>
                <w:sz w:val="18"/>
                <w:szCs w:val="18"/>
              </w:rPr>
            </w:pPr>
            <w:r w:rsidRPr="00A809E6">
              <w:rPr>
                <w:rFonts w:asciiTheme="minorHAnsi" w:hAnsiTheme="minorHAnsi" w:cstheme="minorHAnsi"/>
                <w:sz w:val="18"/>
                <w:szCs w:val="18"/>
              </w:rPr>
              <w:t>Significant additional costs to the health system - Indigenous people 3 x more likely to have diabetes.</w:t>
            </w:r>
          </w:p>
        </w:tc>
      </w:tr>
      <w:tr w:rsidR="0053050E" w:rsidRPr="00A809E6" w14:paraId="73B5D846" w14:textId="77777777" w:rsidTr="001C159A">
        <w:tc>
          <w:tcPr>
            <w:tcW w:w="2263" w:type="dxa"/>
          </w:tcPr>
          <w:p w14:paraId="1D62CCB8" w14:textId="77777777" w:rsidR="0053050E" w:rsidRPr="00A809E6" w:rsidRDefault="0053050E" w:rsidP="00DF2C37">
            <w:pPr>
              <w:pStyle w:val="NormalWeb"/>
              <w:spacing w:before="0" w:beforeAutospacing="0" w:after="0" w:afterAutospacing="0"/>
              <w:rPr>
                <w:rFonts w:asciiTheme="minorHAnsi" w:hAnsiTheme="minorHAnsi" w:cstheme="minorHAnsi"/>
                <w:b/>
                <w:sz w:val="18"/>
                <w:szCs w:val="18"/>
              </w:rPr>
            </w:pPr>
            <w:r w:rsidRPr="00A809E6">
              <w:rPr>
                <w:rFonts w:asciiTheme="minorHAnsi" w:hAnsiTheme="minorHAnsi" w:cstheme="minorHAnsi"/>
                <w:b/>
                <w:sz w:val="18"/>
                <w:szCs w:val="18"/>
              </w:rPr>
              <w:t>AOD</w:t>
            </w:r>
          </w:p>
          <w:p w14:paraId="725465EA" w14:textId="77777777" w:rsidR="0053050E" w:rsidRPr="00A809E6" w:rsidRDefault="0053050E" w:rsidP="00DF2C37">
            <w:pPr>
              <w:pStyle w:val="NormalWeb"/>
              <w:spacing w:before="0" w:beforeAutospacing="0" w:after="0" w:afterAutospacing="0"/>
              <w:rPr>
                <w:rFonts w:asciiTheme="minorHAnsi" w:hAnsiTheme="minorHAnsi" w:cstheme="minorHAnsi"/>
                <w:sz w:val="18"/>
                <w:szCs w:val="18"/>
              </w:rPr>
            </w:pPr>
            <w:r w:rsidRPr="00A809E6">
              <w:rPr>
                <w:rFonts w:asciiTheme="minorHAnsi" w:hAnsiTheme="minorHAnsi" w:cstheme="minorHAnsi"/>
                <w:sz w:val="18"/>
                <w:szCs w:val="18"/>
              </w:rPr>
              <w:t>Collins DJ, Lapsley Study, 2008</w:t>
            </w:r>
            <w:r w:rsidRPr="00A809E6">
              <w:rPr>
                <w:rStyle w:val="EndnoteReference"/>
                <w:rFonts w:cstheme="minorHAnsi"/>
                <w:szCs w:val="18"/>
              </w:rPr>
              <w:endnoteReference w:id="38"/>
            </w:r>
            <w:r w:rsidRPr="00A809E6">
              <w:rPr>
                <w:rFonts w:asciiTheme="minorHAnsi" w:hAnsiTheme="minorHAnsi" w:cstheme="minorHAnsi"/>
                <w:sz w:val="18"/>
                <w:szCs w:val="18"/>
              </w:rPr>
              <w:t xml:space="preserve"> </w:t>
            </w:r>
          </w:p>
        </w:tc>
        <w:tc>
          <w:tcPr>
            <w:tcW w:w="2410" w:type="dxa"/>
          </w:tcPr>
          <w:p w14:paraId="2AD6AF41" w14:textId="77777777" w:rsidR="0053050E" w:rsidRPr="00A809E6" w:rsidRDefault="0053050E" w:rsidP="00DF2C37">
            <w:pPr>
              <w:pStyle w:val="NormalWeb"/>
              <w:spacing w:before="0" w:beforeAutospacing="0" w:after="0" w:afterAutospacing="0"/>
              <w:rPr>
                <w:rFonts w:asciiTheme="minorHAnsi" w:hAnsiTheme="minorHAnsi" w:cstheme="minorHAnsi"/>
                <w:sz w:val="18"/>
                <w:szCs w:val="18"/>
              </w:rPr>
            </w:pPr>
            <w:r w:rsidRPr="00A809E6">
              <w:rPr>
                <w:rFonts w:asciiTheme="minorHAnsi" w:hAnsiTheme="minorHAnsi" w:cstheme="minorHAnsi"/>
                <w:sz w:val="18"/>
                <w:szCs w:val="18"/>
              </w:rPr>
              <w:t>A range of social problems and situational trauma is associated with AOD use. 14 per cent of Indigenous men were drinking an average of more than five standard drinks per day in 2011–12;</w:t>
            </w:r>
            <w:r w:rsidRPr="00A809E6">
              <w:rPr>
                <w:rFonts w:asciiTheme="minorHAnsi" w:hAnsiTheme="minorHAnsi" w:cstheme="minorHAnsi"/>
                <w:position w:val="10"/>
                <w:sz w:val="18"/>
                <w:szCs w:val="18"/>
              </w:rPr>
              <w:t xml:space="preserve"> </w:t>
            </w:r>
            <w:r w:rsidRPr="00A809E6">
              <w:rPr>
                <w:rFonts w:asciiTheme="minorHAnsi" w:hAnsiTheme="minorHAnsi" w:cstheme="minorHAnsi"/>
                <w:sz w:val="18"/>
                <w:szCs w:val="18"/>
              </w:rPr>
              <w:t>8.1 per cent were drinking more than seven standard drinks per day</w:t>
            </w:r>
            <w:r w:rsidRPr="00A809E6">
              <w:rPr>
                <w:rStyle w:val="EndnoteReference"/>
                <w:rFonts w:asciiTheme="minorHAnsi" w:hAnsiTheme="minorHAnsi" w:cstheme="minorHAnsi"/>
                <w:sz w:val="18"/>
                <w:szCs w:val="18"/>
              </w:rPr>
              <w:endnoteReference w:id="39"/>
            </w:r>
          </w:p>
        </w:tc>
        <w:tc>
          <w:tcPr>
            <w:tcW w:w="3402" w:type="dxa"/>
          </w:tcPr>
          <w:p w14:paraId="090E2429" w14:textId="77777777" w:rsidR="0053050E" w:rsidRPr="00A809E6" w:rsidRDefault="0053050E" w:rsidP="00DF2C37">
            <w:pPr>
              <w:rPr>
                <w:rFonts w:asciiTheme="minorHAnsi" w:hAnsiTheme="minorHAnsi" w:cstheme="minorHAnsi"/>
                <w:sz w:val="18"/>
                <w:szCs w:val="18"/>
              </w:rPr>
            </w:pPr>
            <w:r w:rsidRPr="00A809E6">
              <w:rPr>
                <w:rFonts w:asciiTheme="minorHAnsi" w:hAnsiTheme="minorHAnsi" w:cstheme="minorHAnsi"/>
                <w:sz w:val="18"/>
                <w:szCs w:val="18"/>
              </w:rPr>
              <w:t>AOD abuse and addiction is both associated with mental health difficulties and trauma, and addiction is a mental health difficulty in its own right</w:t>
            </w:r>
          </w:p>
        </w:tc>
        <w:tc>
          <w:tcPr>
            <w:tcW w:w="2835" w:type="dxa"/>
          </w:tcPr>
          <w:p w14:paraId="7E8E00AC" w14:textId="77777777" w:rsidR="0053050E" w:rsidRPr="00A809E6" w:rsidRDefault="0053050E" w:rsidP="00DF2C37">
            <w:pPr>
              <w:rPr>
                <w:rFonts w:asciiTheme="minorHAnsi" w:hAnsiTheme="minorHAnsi" w:cstheme="minorHAnsi"/>
                <w:sz w:val="18"/>
                <w:szCs w:val="18"/>
              </w:rPr>
            </w:pPr>
            <w:r w:rsidRPr="00A809E6">
              <w:rPr>
                <w:rFonts w:asciiTheme="minorHAnsi" w:hAnsiTheme="minorHAnsi" w:cstheme="minorHAnsi"/>
                <w:sz w:val="18"/>
                <w:szCs w:val="18"/>
              </w:rPr>
              <w:t>$55.2 billion for the whole population</w:t>
            </w:r>
          </w:p>
          <w:p w14:paraId="28BCC723" w14:textId="77777777" w:rsidR="0053050E" w:rsidRPr="00A809E6" w:rsidRDefault="0053050E" w:rsidP="00DF2C37">
            <w:pPr>
              <w:rPr>
                <w:rFonts w:asciiTheme="minorHAnsi" w:hAnsiTheme="minorHAnsi" w:cstheme="minorHAnsi"/>
                <w:sz w:val="18"/>
                <w:szCs w:val="18"/>
              </w:rPr>
            </w:pPr>
          </w:p>
        </w:tc>
        <w:tc>
          <w:tcPr>
            <w:tcW w:w="3040" w:type="dxa"/>
          </w:tcPr>
          <w:p w14:paraId="6D305EE8" w14:textId="77777777" w:rsidR="0053050E" w:rsidRPr="00A809E6" w:rsidRDefault="0053050E" w:rsidP="00DF2C37">
            <w:pPr>
              <w:pStyle w:val="NormalWeb"/>
              <w:spacing w:before="0" w:beforeAutospacing="0" w:after="0" w:afterAutospacing="0"/>
              <w:rPr>
                <w:rFonts w:asciiTheme="minorHAnsi" w:hAnsiTheme="minorHAnsi" w:cstheme="minorHAnsi"/>
                <w:sz w:val="18"/>
                <w:szCs w:val="18"/>
              </w:rPr>
            </w:pPr>
            <w:r w:rsidRPr="00A809E6">
              <w:rPr>
                <w:rFonts w:asciiTheme="minorHAnsi" w:hAnsiTheme="minorHAnsi" w:cstheme="minorHAnsi"/>
                <w:sz w:val="18"/>
                <w:szCs w:val="18"/>
              </w:rPr>
              <w:t>$1.6 billion p.a. (Indigenous population at 3 per cent.)</w:t>
            </w:r>
          </w:p>
        </w:tc>
      </w:tr>
      <w:tr w:rsidR="0053050E" w:rsidRPr="00A809E6" w14:paraId="1B762032" w14:textId="77777777" w:rsidTr="001C159A">
        <w:tc>
          <w:tcPr>
            <w:tcW w:w="2263" w:type="dxa"/>
          </w:tcPr>
          <w:p w14:paraId="2236E826" w14:textId="77777777" w:rsidR="0053050E" w:rsidRPr="00A809E6" w:rsidRDefault="0053050E" w:rsidP="00DF2C37">
            <w:pPr>
              <w:pStyle w:val="NormalWeb"/>
              <w:spacing w:before="0" w:beforeAutospacing="0" w:after="0" w:afterAutospacing="0"/>
              <w:rPr>
                <w:rFonts w:asciiTheme="minorHAnsi" w:hAnsiTheme="minorHAnsi" w:cstheme="minorHAnsi"/>
                <w:sz w:val="18"/>
                <w:szCs w:val="18"/>
              </w:rPr>
            </w:pPr>
            <w:r w:rsidRPr="00A809E6">
              <w:rPr>
                <w:rFonts w:asciiTheme="minorHAnsi" w:hAnsiTheme="minorHAnsi" w:cstheme="minorHAnsi"/>
                <w:sz w:val="18"/>
                <w:szCs w:val="18"/>
              </w:rPr>
              <w:t>KPMG – Economic cost of suicide in Australia 2013</w:t>
            </w:r>
            <w:r w:rsidRPr="00A809E6">
              <w:rPr>
                <w:rStyle w:val="EndnoteReference"/>
                <w:rFonts w:cstheme="minorHAnsi"/>
                <w:szCs w:val="18"/>
              </w:rPr>
              <w:endnoteReference w:id="40"/>
            </w:r>
          </w:p>
        </w:tc>
        <w:tc>
          <w:tcPr>
            <w:tcW w:w="2410" w:type="dxa"/>
          </w:tcPr>
          <w:p w14:paraId="2F74B0E1" w14:textId="77777777" w:rsidR="0053050E" w:rsidRPr="00A809E6" w:rsidRDefault="0053050E" w:rsidP="001C159A">
            <w:pPr>
              <w:rPr>
                <w:rFonts w:asciiTheme="minorHAnsi" w:hAnsiTheme="minorHAnsi" w:cstheme="minorHAnsi"/>
                <w:sz w:val="18"/>
                <w:szCs w:val="18"/>
              </w:rPr>
            </w:pPr>
            <w:r w:rsidRPr="00A809E6">
              <w:rPr>
                <w:rFonts w:asciiTheme="minorHAnsi" w:hAnsiTheme="minorHAnsi" w:cstheme="minorHAnsi"/>
                <w:sz w:val="18"/>
                <w:szCs w:val="18"/>
                <w:shd w:val="clear" w:color="auto" w:fill="FFFFFF"/>
              </w:rPr>
              <w:t>in 2017, 165 Indigenous persons died as a result of suicide </w:t>
            </w:r>
          </w:p>
        </w:tc>
        <w:tc>
          <w:tcPr>
            <w:tcW w:w="3402" w:type="dxa"/>
          </w:tcPr>
          <w:p w14:paraId="2AB26E9F" w14:textId="77777777" w:rsidR="0053050E" w:rsidRPr="00A809E6" w:rsidRDefault="0053050E" w:rsidP="00DF2C37">
            <w:pPr>
              <w:rPr>
                <w:rFonts w:asciiTheme="minorHAnsi" w:hAnsiTheme="minorHAnsi" w:cstheme="minorHAnsi"/>
                <w:sz w:val="18"/>
                <w:szCs w:val="18"/>
              </w:rPr>
            </w:pPr>
            <w:r w:rsidRPr="00A809E6">
              <w:rPr>
                <w:rFonts w:asciiTheme="minorHAnsi" w:hAnsiTheme="minorHAnsi" w:cstheme="minorHAnsi"/>
                <w:sz w:val="18"/>
                <w:szCs w:val="18"/>
              </w:rPr>
              <w:t>Depression is significantly associated with suicide</w:t>
            </w:r>
          </w:p>
        </w:tc>
        <w:tc>
          <w:tcPr>
            <w:tcW w:w="2835" w:type="dxa"/>
          </w:tcPr>
          <w:p w14:paraId="1A4A9D29" w14:textId="77777777" w:rsidR="0053050E" w:rsidRPr="00A809E6" w:rsidRDefault="0053050E" w:rsidP="00DF2C37">
            <w:pPr>
              <w:rPr>
                <w:rFonts w:asciiTheme="minorHAnsi" w:hAnsiTheme="minorHAnsi" w:cstheme="minorHAnsi"/>
                <w:sz w:val="18"/>
                <w:szCs w:val="18"/>
              </w:rPr>
            </w:pPr>
            <w:r w:rsidRPr="00A809E6">
              <w:rPr>
                <w:rFonts w:asciiTheme="minorHAnsi" w:hAnsiTheme="minorHAnsi" w:cstheme="minorHAnsi"/>
                <w:sz w:val="18"/>
                <w:szCs w:val="18"/>
              </w:rPr>
              <w:t>About $650,000 in direct and indirect costs per death (KPMG)</w:t>
            </w:r>
          </w:p>
        </w:tc>
        <w:tc>
          <w:tcPr>
            <w:tcW w:w="3040" w:type="dxa"/>
          </w:tcPr>
          <w:p w14:paraId="3B7BE7BD" w14:textId="77777777" w:rsidR="0053050E" w:rsidRPr="00A809E6" w:rsidRDefault="0053050E" w:rsidP="00DF2C37">
            <w:pPr>
              <w:pStyle w:val="NormalWeb"/>
              <w:spacing w:before="0" w:beforeAutospacing="0" w:after="0" w:afterAutospacing="0"/>
              <w:rPr>
                <w:rFonts w:asciiTheme="minorHAnsi" w:hAnsiTheme="minorHAnsi" w:cstheme="minorHAnsi"/>
                <w:sz w:val="18"/>
                <w:szCs w:val="18"/>
              </w:rPr>
            </w:pPr>
            <w:r w:rsidRPr="00A809E6">
              <w:rPr>
                <w:rFonts w:asciiTheme="minorHAnsi" w:hAnsiTheme="minorHAnsi" w:cstheme="minorHAnsi"/>
                <w:sz w:val="18"/>
                <w:szCs w:val="18"/>
              </w:rPr>
              <w:t>$107 milliion p.a.</w:t>
            </w:r>
          </w:p>
        </w:tc>
      </w:tr>
      <w:tr w:rsidR="0053050E" w:rsidRPr="00A809E6" w14:paraId="485D4588" w14:textId="77777777" w:rsidTr="001C159A">
        <w:tc>
          <w:tcPr>
            <w:tcW w:w="2263" w:type="dxa"/>
          </w:tcPr>
          <w:p w14:paraId="1DBDCC2C" w14:textId="77777777" w:rsidR="0053050E" w:rsidRPr="00A809E6" w:rsidRDefault="0053050E" w:rsidP="00DF2C37">
            <w:pPr>
              <w:pStyle w:val="NormalWeb"/>
              <w:spacing w:before="0" w:beforeAutospacing="0" w:after="0" w:afterAutospacing="0"/>
              <w:rPr>
                <w:rFonts w:asciiTheme="minorHAnsi" w:hAnsiTheme="minorHAnsi" w:cstheme="minorHAnsi"/>
                <w:sz w:val="18"/>
                <w:szCs w:val="18"/>
              </w:rPr>
            </w:pPr>
            <w:r w:rsidRPr="00A809E6">
              <w:rPr>
                <w:rFonts w:asciiTheme="minorHAnsi" w:hAnsiTheme="minorHAnsi" w:cstheme="minorHAnsi"/>
                <w:sz w:val="18"/>
                <w:szCs w:val="18"/>
              </w:rPr>
              <w:t xml:space="preserve">Total </w:t>
            </w:r>
          </w:p>
        </w:tc>
        <w:tc>
          <w:tcPr>
            <w:tcW w:w="2410" w:type="dxa"/>
          </w:tcPr>
          <w:p w14:paraId="154E7BB2" w14:textId="77777777" w:rsidR="0053050E" w:rsidRPr="00A809E6" w:rsidRDefault="0053050E" w:rsidP="00DF2C37">
            <w:pPr>
              <w:rPr>
                <w:rFonts w:asciiTheme="minorHAnsi" w:hAnsiTheme="minorHAnsi" w:cstheme="minorHAnsi"/>
                <w:sz w:val="18"/>
                <w:szCs w:val="18"/>
                <w:shd w:val="clear" w:color="auto" w:fill="FFFFFF"/>
              </w:rPr>
            </w:pPr>
          </w:p>
        </w:tc>
        <w:tc>
          <w:tcPr>
            <w:tcW w:w="3402" w:type="dxa"/>
          </w:tcPr>
          <w:p w14:paraId="7EEC089E" w14:textId="77777777" w:rsidR="0053050E" w:rsidRPr="00A809E6" w:rsidRDefault="0053050E" w:rsidP="00DF2C37">
            <w:pPr>
              <w:rPr>
                <w:rFonts w:asciiTheme="minorHAnsi" w:hAnsiTheme="minorHAnsi" w:cstheme="minorHAnsi"/>
                <w:sz w:val="18"/>
                <w:szCs w:val="18"/>
              </w:rPr>
            </w:pPr>
          </w:p>
        </w:tc>
        <w:tc>
          <w:tcPr>
            <w:tcW w:w="2835" w:type="dxa"/>
          </w:tcPr>
          <w:p w14:paraId="40139500" w14:textId="77777777" w:rsidR="0053050E" w:rsidRPr="00A809E6" w:rsidRDefault="0053050E" w:rsidP="00DF2C37">
            <w:pPr>
              <w:rPr>
                <w:rFonts w:asciiTheme="minorHAnsi" w:hAnsiTheme="minorHAnsi" w:cstheme="minorHAnsi"/>
                <w:sz w:val="18"/>
                <w:szCs w:val="18"/>
              </w:rPr>
            </w:pPr>
          </w:p>
        </w:tc>
        <w:tc>
          <w:tcPr>
            <w:tcW w:w="3040" w:type="dxa"/>
          </w:tcPr>
          <w:p w14:paraId="4A4807BA" w14:textId="77777777" w:rsidR="0053050E" w:rsidRPr="00A809E6" w:rsidRDefault="0053050E" w:rsidP="00DF2C37">
            <w:pPr>
              <w:pStyle w:val="NormalWeb"/>
              <w:spacing w:before="0" w:beforeAutospacing="0" w:after="0" w:afterAutospacing="0"/>
              <w:rPr>
                <w:rFonts w:asciiTheme="minorHAnsi" w:hAnsiTheme="minorHAnsi" w:cstheme="minorHAnsi"/>
                <w:b/>
                <w:sz w:val="18"/>
                <w:szCs w:val="18"/>
              </w:rPr>
            </w:pPr>
            <w:r w:rsidRPr="00A809E6">
              <w:rPr>
                <w:rFonts w:asciiTheme="minorHAnsi" w:hAnsiTheme="minorHAnsi" w:cstheme="minorHAnsi"/>
                <w:b/>
                <w:sz w:val="18"/>
                <w:szCs w:val="18"/>
              </w:rPr>
              <w:t>About 2 billion p.a.</w:t>
            </w:r>
          </w:p>
        </w:tc>
      </w:tr>
    </w:tbl>
    <w:p w14:paraId="3D415FE1" w14:textId="77777777" w:rsidR="0053050E" w:rsidRPr="00A809E6" w:rsidRDefault="0053050E" w:rsidP="00B549AE">
      <w:pPr>
        <w:rPr>
          <w:rFonts w:cstheme="minorHAnsi"/>
          <w:b/>
          <w:sz w:val="22"/>
          <w:szCs w:val="22"/>
        </w:rPr>
        <w:sectPr w:rsidR="0053050E" w:rsidRPr="00A809E6" w:rsidSect="00DF2C37">
          <w:pgSz w:w="16840" w:h="11900" w:orient="landscape"/>
          <w:pgMar w:top="1440" w:right="1440" w:bottom="1440" w:left="1440" w:header="708" w:footer="708" w:gutter="0"/>
          <w:cols w:space="708"/>
          <w:docGrid w:linePitch="360"/>
        </w:sectPr>
      </w:pPr>
    </w:p>
    <w:p w14:paraId="77D05F7C" w14:textId="10A61A1C" w:rsidR="0053050E" w:rsidRPr="00A809E6" w:rsidRDefault="0053050E" w:rsidP="000E07D8">
      <w:pPr>
        <w:rPr>
          <w:rFonts w:asciiTheme="minorHAnsi" w:hAnsiTheme="minorHAnsi" w:cstheme="minorHAnsi"/>
          <w:b/>
          <w:sz w:val="22"/>
          <w:szCs w:val="22"/>
        </w:rPr>
      </w:pPr>
      <w:r w:rsidRPr="00A809E6">
        <w:rPr>
          <w:rFonts w:asciiTheme="minorHAnsi" w:hAnsiTheme="minorHAnsi" w:cstheme="minorHAnsi"/>
          <w:b/>
          <w:sz w:val="22"/>
          <w:szCs w:val="22"/>
        </w:rPr>
        <w:lastRenderedPageBreak/>
        <w:t xml:space="preserve">Part 2: Investing in Workforce development </w:t>
      </w:r>
    </w:p>
    <w:p w14:paraId="4F4469C8" w14:textId="77777777" w:rsidR="00A809E6" w:rsidRPr="00A809E6" w:rsidRDefault="00A809E6" w:rsidP="000E07D8">
      <w:pPr>
        <w:rPr>
          <w:rFonts w:asciiTheme="minorHAnsi" w:hAnsiTheme="minorHAnsi" w:cstheme="minorHAnsi"/>
          <w:b/>
          <w:sz w:val="22"/>
          <w:szCs w:val="22"/>
        </w:rPr>
      </w:pPr>
    </w:p>
    <w:p w14:paraId="1DAD1BCA" w14:textId="4A25963B" w:rsidR="0053050E" w:rsidRPr="00A809E6" w:rsidRDefault="0053050E" w:rsidP="000E07D8">
      <w:pPr>
        <w:rPr>
          <w:rFonts w:asciiTheme="minorHAnsi" w:hAnsiTheme="minorHAnsi" w:cstheme="minorHAnsi"/>
          <w:i/>
          <w:sz w:val="22"/>
          <w:szCs w:val="22"/>
        </w:rPr>
      </w:pPr>
      <w:r w:rsidRPr="00A809E6">
        <w:rPr>
          <w:rFonts w:asciiTheme="minorHAnsi" w:hAnsiTheme="minorHAnsi" w:cstheme="minorHAnsi"/>
          <w:i/>
          <w:sz w:val="22"/>
          <w:szCs w:val="22"/>
        </w:rPr>
        <w:t>Indigenous Allied Health Australia</w:t>
      </w:r>
      <w:r w:rsidR="00A809E6" w:rsidRPr="00A809E6">
        <w:rPr>
          <w:rFonts w:asciiTheme="minorHAnsi" w:hAnsiTheme="minorHAnsi" w:cstheme="minorHAnsi"/>
          <w:i/>
          <w:sz w:val="22"/>
          <w:szCs w:val="22"/>
        </w:rPr>
        <w:t xml:space="preserve"> and Australian Indigenous Psychologists Association</w:t>
      </w:r>
    </w:p>
    <w:p w14:paraId="284DB237" w14:textId="77777777" w:rsidR="0053050E" w:rsidRPr="00A809E6" w:rsidRDefault="0053050E" w:rsidP="000E07D8">
      <w:pPr>
        <w:rPr>
          <w:rFonts w:asciiTheme="minorHAnsi" w:hAnsiTheme="minorHAnsi" w:cstheme="minorHAnsi"/>
          <w:b/>
          <w:sz w:val="22"/>
          <w:szCs w:val="22"/>
        </w:rPr>
      </w:pPr>
    </w:p>
    <w:p w14:paraId="50A7D141" w14:textId="2839349A" w:rsidR="0053050E" w:rsidRPr="00A809E6" w:rsidRDefault="0053050E" w:rsidP="009B1F88">
      <w:pPr>
        <w:rPr>
          <w:rFonts w:asciiTheme="minorHAnsi" w:hAnsiTheme="minorHAnsi" w:cstheme="minorHAnsi"/>
          <w:sz w:val="22"/>
          <w:szCs w:val="22"/>
        </w:rPr>
      </w:pPr>
      <w:r w:rsidRPr="00A809E6">
        <w:rPr>
          <w:rFonts w:asciiTheme="minorHAnsi" w:hAnsiTheme="minorHAnsi" w:cstheme="minorHAnsi"/>
          <w:sz w:val="22"/>
          <w:szCs w:val="22"/>
        </w:rPr>
        <w:t>Developing the Aboriginal and Torres Strait Islander mental health workforce, across professions including psychology, counselling, social work, psychiatry, occupational therapy and others</w:t>
      </w:r>
      <w:r w:rsidR="00E8339A" w:rsidRPr="00A809E6">
        <w:rPr>
          <w:rFonts w:asciiTheme="minorHAnsi" w:hAnsiTheme="minorHAnsi" w:cstheme="minorHAnsi"/>
          <w:sz w:val="22"/>
          <w:szCs w:val="22"/>
        </w:rPr>
        <w:t>, including emerging and peer workforces,</w:t>
      </w:r>
      <w:r w:rsidRPr="00A809E6">
        <w:rPr>
          <w:rFonts w:asciiTheme="minorHAnsi" w:hAnsiTheme="minorHAnsi" w:cstheme="minorHAnsi"/>
          <w:sz w:val="22"/>
          <w:szCs w:val="22"/>
        </w:rPr>
        <w:t xml:space="preserve"> is essential to improving mental health and social and emotional wellbeing outcomes for Aboriginal and Torres Strait Islander peoples. Increasing Aboriginal and Torres Strait Islander employment across the entire mental health and social and emotional wellbeing workforce is </w:t>
      </w:r>
      <w:r w:rsidR="00E8339A" w:rsidRPr="00A809E6">
        <w:rPr>
          <w:rFonts w:asciiTheme="minorHAnsi" w:hAnsiTheme="minorHAnsi" w:cstheme="minorHAnsi"/>
          <w:sz w:val="22"/>
          <w:szCs w:val="22"/>
        </w:rPr>
        <w:t xml:space="preserve">therefore </w:t>
      </w:r>
      <w:r w:rsidRPr="00A809E6">
        <w:rPr>
          <w:rFonts w:asciiTheme="minorHAnsi" w:hAnsiTheme="minorHAnsi" w:cstheme="minorHAnsi"/>
          <w:sz w:val="22"/>
          <w:szCs w:val="22"/>
        </w:rPr>
        <w:t>recognised as a key strategy within the National Strategic Framework for Aboriginal and Torres Strait Islander Peoples Mental Health and Social and Emotional Wellbeing 2017-2023</w:t>
      </w:r>
      <w:r w:rsidRPr="00A809E6">
        <w:rPr>
          <w:rStyle w:val="EndnoteReference"/>
          <w:rFonts w:asciiTheme="minorHAnsi" w:hAnsiTheme="minorHAnsi" w:cstheme="minorHAnsi"/>
          <w:sz w:val="22"/>
          <w:szCs w:val="22"/>
        </w:rPr>
        <w:endnoteReference w:id="41"/>
      </w:r>
      <w:r w:rsidRPr="00A809E6">
        <w:rPr>
          <w:rFonts w:asciiTheme="minorHAnsi" w:hAnsiTheme="minorHAnsi" w:cstheme="minorHAnsi"/>
          <w:sz w:val="22"/>
          <w:szCs w:val="22"/>
        </w:rPr>
        <w:t xml:space="preserve"> and should be a priority focus for the additional investment (and reinvestment) of mental health dollars</w:t>
      </w:r>
      <w:r w:rsidR="0053344A">
        <w:rPr>
          <w:rFonts w:asciiTheme="minorHAnsi" w:hAnsiTheme="minorHAnsi" w:cstheme="minorHAnsi"/>
          <w:sz w:val="22"/>
          <w:szCs w:val="22"/>
        </w:rPr>
        <w:t xml:space="preserve"> available</w:t>
      </w:r>
      <w:r w:rsidRPr="00A809E6">
        <w:rPr>
          <w:rFonts w:asciiTheme="minorHAnsi" w:hAnsiTheme="minorHAnsi" w:cstheme="minorHAnsi"/>
          <w:sz w:val="22"/>
          <w:szCs w:val="22"/>
        </w:rPr>
        <w:t>.</w:t>
      </w:r>
    </w:p>
    <w:p w14:paraId="5B9014FD" w14:textId="0B79C72C" w:rsidR="00E8339A" w:rsidRPr="00A809E6" w:rsidRDefault="00E8339A" w:rsidP="000E07D8">
      <w:pPr>
        <w:spacing w:before="240"/>
        <w:rPr>
          <w:rFonts w:asciiTheme="minorHAnsi" w:hAnsiTheme="minorHAnsi" w:cstheme="minorHAnsi"/>
          <w:sz w:val="22"/>
          <w:szCs w:val="22"/>
        </w:rPr>
      </w:pPr>
      <w:r w:rsidRPr="00A809E6">
        <w:rPr>
          <w:rFonts w:asciiTheme="minorHAnsi" w:hAnsiTheme="minorHAnsi" w:cstheme="minorHAnsi"/>
          <w:sz w:val="22"/>
          <w:szCs w:val="22"/>
        </w:rPr>
        <w:t xml:space="preserve">Outcome 1.1 of the Social and Emotional Wellbeing and Mental Health Framework identifies </w:t>
      </w:r>
      <w:r w:rsidRPr="00A809E6">
        <w:rPr>
          <w:rFonts w:asciiTheme="minorHAnsi" w:hAnsiTheme="minorHAnsi" w:cstheme="minorHAnsi"/>
          <w:i/>
          <w:sz w:val="22"/>
          <w:szCs w:val="22"/>
        </w:rPr>
        <w:t>“career pathways by reducing barriers and pathways to education and training including training for emerging professional workforces accredited workers, paraprofessionals and established professionals and professions</w:t>
      </w:r>
      <w:r w:rsidRPr="00A809E6">
        <w:rPr>
          <w:rFonts w:asciiTheme="minorHAnsi" w:hAnsiTheme="minorHAnsi" w:cstheme="minorHAnsi"/>
          <w:sz w:val="22"/>
          <w:szCs w:val="22"/>
        </w:rPr>
        <w:t xml:space="preserve">” as a key strategy for the development of an effective and empowered mental health and social and emotional wellbeing workforce. It is important, therefore, to consider </w:t>
      </w:r>
      <w:r w:rsidR="00311FB9" w:rsidRPr="00A809E6">
        <w:rPr>
          <w:rFonts w:asciiTheme="minorHAnsi" w:hAnsiTheme="minorHAnsi" w:cstheme="minorHAnsi"/>
          <w:sz w:val="22"/>
          <w:szCs w:val="22"/>
        </w:rPr>
        <w:t xml:space="preserve">both </w:t>
      </w:r>
      <w:r w:rsidRPr="00A809E6">
        <w:rPr>
          <w:rFonts w:asciiTheme="minorHAnsi" w:hAnsiTheme="minorHAnsi" w:cstheme="minorHAnsi"/>
          <w:sz w:val="22"/>
          <w:szCs w:val="22"/>
        </w:rPr>
        <w:t xml:space="preserve">the existing Aboriginal and Torres Strait Islander mental health workforce and areas of need. </w:t>
      </w:r>
    </w:p>
    <w:p w14:paraId="0FEC1495" w14:textId="19692F9D" w:rsidR="0053050E" w:rsidRPr="00A809E6" w:rsidRDefault="0053050E" w:rsidP="000E07D8">
      <w:pPr>
        <w:spacing w:before="240"/>
        <w:rPr>
          <w:rFonts w:asciiTheme="minorHAnsi" w:hAnsiTheme="minorHAnsi" w:cstheme="minorHAnsi"/>
          <w:sz w:val="22"/>
          <w:szCs w:val="22"/>
        </w:rPr>
      </w:pPr>
      <w:r w:rsidRPr="00A809E6">
        <w:rPr>
          <w:rFonts w:asciiTheme="minorHAnsi" w:hAnsiTheme="minorHAnsi" w:cstheme="minorHAnsi"/>
          <w:sz w:val="22"/>
          <w:szCs w:val="22"/>
        </w:rPr>
        <w:t>Aboriginal and Torres Strait Islander people represented 2.8 per cent of the population in the 2016 Census</w:t>
      </w:r>
      <w:r w:rsidR="0026102D" w:rsidRPr="00A809E6">
        <w:rPr>
          <w:rStyle w:val="EndnoteReference"/>
          <w:rFonts w:cstheme="minorHAnsi"/>
          <w:szCs w:val="22"/>
        </w:rPr>
        <w:endnoteReference w:id="42"/>
      </w:r>
      <w:r w:rsidRPr="00A809E6">
        <w:rPr>
          <w:rFonts w:asciiTheme="minorHAnsi" w:hAnsiTheme="minorHAnsi" w:cstheme="minorHAnsi"/>
          <w:sz w:val="22"/>
          <w:szCs w:val="22"/>
        </w:rPr>
        <w:t xml:space="preserve">. Despite </w:t>
      </w:r>
      <w:r w:rsidR="0053344A">
        <w:rPr>
          <w:rFonts w:asciiTheme="minorHAnsi" w:hAnsiTheme="minorHAnsi" w:cstheme="minorHAnsi"/>
          <w:sz w:val="22"/>
          <w:szCs w:val="22"/>
        </w:rPr>
        <w:t>this,</w:t>
      </w:r>
      <w:r w:rsidRPr="00A809E6">
        <w:rPr>
          <w:rFonts w:asciiTheme="minorHAnsi" w:hAnsiTheme="minorHAnsi" w:cstheme="minorHAnsi"/>
          <w:sz w:val="22"/>
          <w:szCs w:val="22"/>
        </w:rPr>
        <w:t xml:space="preserve"> the Aboriginal and Torres Strait Islander health workforce remains under-represented accounting for approximately 1 per cent of the total health workforce and </w:t>
      </w:r>
      <w:r w:rsidR="0053344A">
        <w:rPr>
          <w:rFonts w:asciiTheme="minorHAnsi" w:hAnsiTheme="minorHAnsi" w:cstheme="minorHAnsi"/>
          <w:sz w:val="22"/>
          <w:szCs w:val="22"/>
        </w:rPr>
        <w:t>less than 0.5</w:t>
      </w:r>
      <w:r w:rsidRPr="00A809E6">
        <w:rPr>
          <w:rFonts w:asciiTheme="minorHAnsi" w:hAnsiTheme="minorHAnsi" w:cstheme="minorHAnsi"/>
          <w:sz w:val="22"/>
          <w:szCs w:val="22"/>
        </w:rPr>
        <w:t xml:space="preserve"> per cent </w:t>
      </w:r>
      <w:r w:rsidR="0053344A">
        <w:rPr>
          <w:rFonts w:asciiTheme="minorHAnsi" w:hAnsiTheme="minorHAnsi" w:cstheme="minorHAnsi"/>
          <w:sz w:val="22"/>
          <w:szCs w:val="22"/>
        </w:rPr>
        <w:t>for most</w:t>
      </w:r>
      <w:r w:rsidRPr="00A809E6">
        <w:rPr>
          <w:rFonts w:asciiTheme="minorHAnsi" w:hAnsiTheme="minorHAnsi" w:cstheme="minorHAnsi"/>
          <w:sz w:val="22"/>
          <w:szCs w:val="22"/>
        </w:rPr>
        <w:t xml:space="preserve"> allied health professions. </w:t>
      </w:r>
      <w:r w:rsidR="00E8339A" w:rsidRPr="00A809E6">
        <w:rPr>
          <w:rFonts w:asciiTheme="minorHAnsi" w:hAnsiTheme="minorHAnsi" w:cstheme="minorHAnsi"/>
          <w:sz w:val="22"/>
          <w:szCs w:val="22"/>
        </w:rPr>
        <w:t>According to data in the National Health Workforce Data set, the total number of occupational therapists and psychologists registered in 2016 were 15,928 and 25,219 respectively. Of those registered, 64 occupational therapists and 175 psychologists identified as ‘Australia Born Indigenous’, accounting for 0.4 per cent and 0.69 per cent of the total respective workforces.</w:t>
      </w:r>
      <w:r w:rsidR="0026102D" w:rsidRPr="00A809E6">
        <w:rPr>
          <w:rStyle w:val="EndnoteReference"/>
          <w:rFonts w:cstheme="minorHAnsi"/>
          <w:szCs w:val="22"/>
        </w:rPr>
        <w:endnoteReference w:id="43"/>
      </w:r>
    </w:p>
    <w:p w14:paraId="28F19545" w14:textId="1920025B" w:rsidR="00E8339A" w:rsidRPr="00A809E6" w:rsidRDefault="00E8339A" w:rsidP="00A809E6">
      <w:pPr>
        <w:spacing w:before="240"/>
        <w:rPr>
          <w:rFonts w:asciiTheme="minorHAnsi" w:hAnsiTheme="minorHAnsi" w:cstheme="minorHAnsi"/>
          <w:sz w:val="22"/>
          <w:szCs w:val="22"/>
        </w:rPr>
      </w:pPr>
      <w:r w:rsidRPr="00A809E6">
        <w:rPr>
          <w:rFonts w:asciiTheme="minorHAnsi" w:hAnsiTheme="minorHAnsi" w:cstheme="minorHAnsi"/>
          <w:sz w:val="22"/>
          <w:szCs w:val="22"/>
        </w:rPr>
        <w:t xml:space="preserve">Based on these 2016 figures, a further 393 occupational therapists and 547 psychologists would be required for the workforce to be representative of the 2.8 per cent of the Australian population who identified as Aboriginal and/or Torres Strait Islander in the 2016 census. Taking in to account that the estimated total burden of mental health difficulties </w:t>
      </w:r>
      <w:r w:rsidR="0053344A">
        <w:rPr>
          <w:rFonts w:asciiTheme="minorHAnsi" w:hAnsiTheme="minorHAnsi" w:cstheme="minorHAnsi"/>
          <w:sz w:val="22"/>
          <w:szCs w:val="22"/>
        </w:rPr>
        <w:t>as being</w:t>
      </w:r>
      <w:r w:rsidRPr="00A809E6">
        <w:rPr>
          <w:rFonts w:asciiTheme="minorHAnsi" w:hAnsiTheme="minorHAnsi" w:cstheme="minorHAnsi"/>
          <w:sz w:val="22"/>
          <w:szCs w:val="22"/>
        </w:rPr>
        <w:t xml:space="preserve"> about 3 times greater in the Aboriginal and Torres Strait Islander population, a </w:t>
      </w:r>
      <w:r w:rsidRPr="00A809E6">
        <w:rPr>
          <w:rFonts w:asciiTheme="minorHAnsi" w:hAnsiTheme="minorHAnsi" w:cstheme="minorHAnsi"/>
          <w:b/>
          <w:sz w:val="22"/>
          <w:szCs w:val="22"/>
        </w:rPr>
        <w:t>further threefold increase</w:t>
      </w:r>
      <w:r w:rsidRPr="00A809E6">
        <w:rPr>
          <w:rFonts w:asciiTheme="minorHAnsi" w:hAnsiTheme="minorHAnsi" w:cstheme="minorHAnsi"/>
          <w:sz w:val="22"/>
          <w:szCs w:val="22"/>
        </w:rPr>
        <w:t xml:space="preserve"> would be required for the workforce to be representative of need. </w:t>
      </w:r>
    </w:p>
    <w:p w14:paraId="56F83BCD" w14:textId="4E5FE4DF" w:rsidR="00E8339A" w:rsidRPr="00A809E6" w:rsidRDefault="00E8339A" w:rsidP="00E8339A">
      <w:pPr>
        <w:spacing w:before="240" w:after="240"/>
        <w:rPr>
          <w:rFonts w:asciiTheme="minorHAnsi" w:hAnsiTheme="minorHAnsi" w:cstheme="minorHAnsi"/>
          <w:sz w:val="22"/>
          <w:szCs w:val="22"/>
        </w:rPr>
      </w:pPr>
      <w:r w:rsidRPr="00A809E6">
        <w:rPr>
          <w:rFonts w:asciiTheme="minorHAnsi" w:hAnsiTheme="minorHAnsi" w:cstheme="minorHAnsi"/>
          <w:sz w:val="22"/>
          <w:szCs w:val="22"/>
        </w:rPr>
        <w:t xml:space="preserve">As a self-regulated profession data for the Aboriginal and Torres Strait Islander social work workforce is available </w:t>
      </w:r>
      <w:r w:rsidR="0053344A">
        <w:rPr>
          <w:rFonts w:asciiTheme="minorHAnsi" w:hAnsiTheme="minorHAnsi" w:cstheme="minorHAnsi"/>
          <w:sz w:val="22"/>
          <w:szCs w:val="22"/>
        </w:rPr>
        <w:t xml:space="preserve">only </w:t>
      </w:r>
      <w:r w:rsidRPr="00A809E6">
        <w:rPr>
          <w:rFonts w:asciiTheme="minorHAnsi" w:hAnsiTheme="minorHAnsi" w:cstheme="minorHAnsi"/>
          <w:sz w:val="22"/>
          <w:szCs w:val="22"/>
        </w:rPr>
        <w:t>from the Australian Bureau of Statistics Census data. In 2016, the most recent census for which this data available, 706 social workers identified as Aboriginal and/or Torres Strait Islander accounting for 3.2 per cent of the social worker workforce. While Aboriginal and Torres Strait Islander social workers are comparatively well represented in the workforce, they remain below the workforce required based on need due to the increased burden of mental health difficulties. With increasing</w:t>
      </w:r>
      <w:r w:rsidR="00311FB9" w:rsidRPr="00A809E6">
        <w:rPr>
          <w:rFonts w:asciiTheme="minorHAnsi" w:hAnsiTheme="minorHAnsi" w:cstheme="minorHAnsi"/>
          <w:sz w:val="22"/>
          <w:szCs w:val="22"/>
        </w:rPr>
        <w:t xml:space="preserve"> future</w:t>
      </w:r>
      <w:r w:rsidRPr="00A809E6">
        <w:rPr>
          <w:rFonts w:asciiTheme="minorHAnsi" w:hAnsiTheme="minorHAnsi" w:cstheme="minorHAnsi"/>
          <w:sz w:val="22"/>
          <w:szCs w:val="22"/>
        </w:rPr>
        <w:t xml:space="preserve"> </w:t>
      </w:r>
      <w:r w:rsidR="00311FB9" w:rsidRPr="00A809E6">
        <w:rPr>
          <w:rFonts w:asciiTheme="minorHAnsi" w:hAnsiTheme="minorHAnsi" w:cstheme="minorHAnsi"/>
          <w:sz w:val="22"/>
          <w:szCs w:val="22"/>
        </w:rPr>
        <w:t>demand</w:t>
      </w:r>
      <w:r w:rsidRPr="00A809E6">
        <w:rPr>
          <w:rFonts w:asciiTheme="minorHAnsi" w:hAnsiTheme="minorHAnsi" w:cstheme="minorHAnsi"/>
          <w:sz w:val="22"/>
          <w:szCs w:val="22"/>
        </w:rPr>
        <w:t xml:space="preserve"> for social work services identified, and strong employment growth predicted for the sector, it is important that </w:t>
      </w:r>
      <w:r w:rsidR="0026102D" w:rsidRPr="00A809E6">
        <w:rPr>
          <w:rFonts w:asciiTheme="minorHAnsi" w:hAnsiTheme="minorHAnsi" w:cstheme="minorHAnsi"/>
          <w:sz w:val="22"/>
          <w:szCs w:val="22"/>
        </w:rPr>
        <w:t>recruitment and retention of the</w:t>
      </w:r>
      <w:r w:rsidRPr="00A809E6">
        <w:rPr>
          <w:rFonts w:asciiTheme="minorHAnsi" w:hAnsiTheme="minorHAnsi" w:cstheme="minorHAnsi"/>
          <w:sz w:val="22"/>
          <w:szCs w:val="22"/>
        </w:rPr>
        <w:t xml:space="preserve"> Aboriginal and Torres Strait Islander social work workforce is </w:t>
      </w:r>
      <w:r w:rsidR="0026102D" w:rsidRPr="00A809E6">
        <w:rPr>
          <w:rFonts w:asciiTheme="minorHAnsi" w:hAnsiTheme="minorHAnsi" w:cstheme="minorHAnsi"/>
          <w:sz w:val="22"/>
          <w:szCs w:val="22"/>
        </w:rPr>
        <w:t>a key driver of future growth</w:t>
      </w:r>
      <w:r w:rsidRPr="00A809E6">
        <w:rPr>
          <w:rFonts w:asciiTheme="minorHAnsi" w:hAnsiTheme="minorHAnsi" w:cstheme="minorHAnsi"/>
          <w:sz w:val="22"/>
          <w:szCs w:val="22"/>
        </w:rPr>
        <w:t>.</w:t>
      </w:r>
    </w:p>
    <w:p w14:paraId="37DB45FF" w14:textId="5083DDBC" w:rsidR="00E8339A" w:rsidRPr="00A809E6" w:rsidRDefault="00E8339A" w:rsidP="00311FB9">
      <w:pPr>
        <w:rPr>
          <w:rFonts w:asciiTheme="minorHAnsi" w:hAnsiTheme="minorHAnsi" w:cstheme="minorHAnsi"/>
          <w:sz w:val="22"/>
          <w:szCs w:val="22"/>
        </w:rPr>
      </w:pPr>
      <w:r w:rsidRPr="00A809E6">
        <w:rPr>
          <w:rFonts w:asciiTheme="minorHAnsi" w:hAnsiTheme="minorHAnsi" w:cstheme="minorHAnsi"/>
          <w:sz w:val="22"/>
          <w:szCs w:val="22"/>
        </w:rPr>
        <w:t>While there is no workforce for direct comparison with Aboriginal Mental Health Workers, it is notable that access to culturally safe mental health supports is a significant feature within a range of mental health and social emotional wellbeing policy strategies, including</w:t>
      </w:r>
      <w:r w:rsidRPr="00A809E6">
        <w:t xml:space="preserve"> </w:t>
      </w:r>
      <w:r w:rsidRPr="00A809E6">
        <w:rPr>
          <w:rFonts w:asciiTheme="minorHAnsi" w:hAnsiTheme="minorHAnsi" w:cstheme="minorHAnsi"/>
          <w:sz w:val="22"/>
          <w:szCs w:val="22"/>
        </w:rPr>
        <w:t>the</w:t>
      </w:r>
      <w:r w:rsidRPr="00A809E6">
        <w:t xml:space="preserve"> </w:t>
      </w:r>
      <w:r w:rsidRPr="00A809E6">
        <w:rPr>
          <w:rFonts w:asciiTheme="minorHAnsi" w:hAnsiTheme="minorHAnsi" w:cstheme="minorHAnsi"/>
          <w:i/>
          <w:sz w:val="22"/>
          <w:szCs w:val="22"/>
        </w:rPr>
        <w:t>National Strategic Framework for Aboriginal and Torres Strait Islander Peoples’ Mental Health and Social and Emotional Wellbeing 2017-2023</w:t>
      </w:r>
      <w:r w:rsidRPr="00A809E6">
        <w:rPr>
          <w:rFonts w:asciiTheme="minorHAnsi" w:hAnsiTheme="minorHAnsi" w:cstheme="minorHAnsi"/>
          <w:sz w:val="22"/>
          <w:szCs w:val="22"/>
        </w:rPr>
        <w:t xml:space="preserve">. </w:t>
      </w:r>
      <w:r w:rsidR="0053050E" w:rsidRPr="00A809E6">
        <w:rPr>
          <w:rFonts w:asciiTheme="minorHAnsi" w:hAnsiTheme="minorHAnsi" w:cstheme="minorHAnsi"/>
          <w:sz w:val="22"/>
          <w:szCs w:val="22"/>
        </w:rPr>
        <w:t xml:space="preserve">The Aboriginal and Torres Strait Islander mental health workforce is uniquely </w:t>
      </w:r>
      <w:r w:rsidR="0053050E" w:rsidRPr="00A809E6">
        <w:rPr>
          <w:rFonts w:asciiTheme="minorHAnsi" w:hAnsiTheme="minorHAnsi" w:cstheme="minorHAnsi"/>
          <w:sz w:val="22"/>
          <w:szCs w:val="22"/>
        </w:rPr>
        <w:lastRenderedPageBreak/>
        <w:t>placed to provide culturally safe and responsive, trauma-informed and patient centred care in line with Indigenous worldviews on what constitutes good health</w:t>
      </w:r>
      <w:r w:rsidRPr="00A809E6">
        <w:rPr>
          <w:rFonts w:asciiTheme="minorHAnsi" w:hAnsiTheme="minorHAnsi" w:cstheme="minorHAnsi"/>
          <w:sz w:val="22"/>
          <w:szCs w:val="22"/>
        </w:rPr>
        <w:t xml:space="preserve">. </w:t>
      </w:r>
      <w:r w:rsidR="00311FB9" w:rsidRPr="00A809E6">
        <w:rPr>
          <w:rFonts w:asciiTheme="minorHAnsi" w:hAnsiTheme="minorHAnsi" w:cstheme="minorHAnsi"/>
          <w:sz w:val="22"/>
          <w:szCs w:val="22"/>
        </w:rPr>
        <w:t xml:space="preserve">To date, approximately 270 Aboriginal and Torres Strait Islander people have graduated through Djirruwang Program at Charles Sturt University. </w:t>
      </w:r>
      <w:r w:rsidR="0053344A" w:rsidRPr="0053344A">
        <w:rPr>
          <w:rFonts w:asciiTheme="minorHAnsi" w:hAnsiTheme="minorHAnsi" w:cstheme="minorHAnsi"/>
          <w:sz w:val="22"/>
          <w:szCs w:val="22"/>
        </w:rPr>
        <w:t xml:space="preserve">This university-run and accredited degree produces graduates with crucial skills in areas of high demand yet most employers, including most state governments and the NDIS (through its service funding mechanisms), do not recognise or enable the use of this workforce.  </w:t>
      </w:r>
      <w:r w:rsidR="00311FB9" w:rsidRPr="00A809E6">
        <w:rPr>
          <w:rFonts w:asciiTheme="minorHAnsi" w:hAnsiTheme="minorHAnsi" w:cstheme="minorHAnsi"/>
          <w:sz w:val="22"/>
          <w:szCs w:val="22"/>
        </w:rPr>
        <w:t xml:space="preserve">Expansion - and systems to enable the appropriate utilisation - of this emerging workforce will be significant in supporting established professions to improve access to quality care. </w:t>
      </w:r>
    </w:p>
    <w:p w14:paraId="721908D2" w14:textId="77777777" w:rsidR="00E8339A" w:rsidRPr="00A809E6" w:rsidRDefault="00E8339A" w:rsidP="00E8339A">
      <w:pPr>
        <w:rPr>
          <w:rFonts w:asciiTheme="minorHAnsi" w:hAnsiTheme="minorHAnsi" w:cstheme="minorHAnsi"/>
          <w:sz w:val="22"/>
          <w:szCs w:val="22"/>
        </w:rPr>
      </w:pPr>
    </w:p>
    <w:p w14:paraId="506D2ED8" w14:textId="31476D57" w:rsidR="0053050E" w:rsidRPr="00A809E6" w:rsidRDefault="00E8339A" w:rsidP="000E07D8">
      <w:pPr>
        <w:rPr>
          <w:rFonts w:asciiTheme="minorHAnsi" w:hAnsiTheme="minorHAnsi" w:cstheme="minorHAnsi"/>
          <w:sz w:val="22"/>
          <w:szCs w:val="22"/>
        </w:rPr>
      </w:pPr>
      <w:r w:rsidRPr="00A809E6">
        <w:rPr>
          <w:rFonts w:asciiTheme="minorHAnsi" w:hAnsiTheme="minorHAnsi" w:cstheme="minorHAnsi"/>
          <w:sz w:val="22"/>
          <w:szCs w:val="22"/>
        </w:rPr>
        <w:t>It is important to note that a</w:t>
      </w:r>
      <w:r w:rsidR="0053050E" w:rsidRPr="00A809E6">
        <w:rPr>
          <w:rFonts w:asciiTheme="minorHAnsi" w:hAnsiTheme="minorHAnsi" w:cstheme="minorHAnsi"/>
          <w:sz w:val="22"/>
          <w:szCs w:val="22"/>
        </w:rPr>
        <w:t xml:space="preserve">ccess to health care services is not only determined by proximity, but also the appropriateness and acceptability of services to Aboriginal and Torres Strait Islander people to access them. This was </w:t>
      </w:r>
      <w:r w:rsidRPr="00A809E6">
        <w:rPr>
          <w:rFonts w:asciiTheme="minorHAnsi" w:hAnsiTheme="minorHAnsi" w:cstheme="minorHAnsi"/>
          <w:sz w:val="22"/>
          <w:szCs w:val="22"/>
        </w:rPr>
        <w:t xml:space="preserve">identified </w:t>
      </w:r>
      <w:r w:rsidR="0053050E" w:rsidRPr="00A809E6">
        <w:rPr>
          <w:rFonts w:asciiTheme="minorHAnsi" w:hAnsiTheme="minorHAnsi" w:cstheme="minorHAnsi"/>
          <w:sz w:val="22"/>
          <w:szCs w:val="22"/>
        </w:rPr>
        <w:t>in the recent Inquest into the 13 Deaths of Children and Young Persons in the Kimberley Region</w:t>
      </w:r>
      <w:r w:rsidR="0053050E" w:rsidRPr="00A809E6">
        <w:rPr>
          <w:rStyle w:val="EndnoteReference"/>
          <w:rFonts w:asciiTheme="minorHAnsi" w:hAnsiTheme="minorHAnsi" w:cstheme="minorHAnsi"/>
          <w:sz w:val="22"/>
          <w:szCs w:val="22"/>
        </w:rPr>
        <w:endnoteReference w:id="44"/>
      </w:r>
      <w:r w:rsidR="0053050E" w:rsidRPr="00A809E6">
        <w:rPr>
          <w:rFonts w:asciiTheme="minorHAnsi" w:hAnsiTheme="minorHAnsi" w:cstheme="minorHAnsi"/>
          <w:sz w:val="22"/>
          <w:szCs w:val="22"/>
        </w:rPr>
        <w:t xml:space="preserve"> which stated:</w:t>
      </w:r>
    </w:p>
    <w:p w14:paraId="53679B1F" w14:textId="77777777" w:rsidR="0053050E" w:rsidRPr="00A809E6" w:rsidRDefault="0053050E" w:rsidP="000E07D8">
      <w:pPr>
        <w:rPr>
          <w:rFonts w:asciiTheme="minorHAnsi" w:hAnsiTheme="minorHAnsi" w:cstheme="minorHAnsi"/>
          <w:sz w:val="22"/>
          <w:szCs w:val="22"/>
        </w:rPr>
      </w:pPr>
    </w:p>
    <w:p w14:paraId="07AB0205" w14:textId="48B6E3C1" w:rsidR="0053050E" w:rsidRPr="00A809E6" w:rsidRDefault="0053050E" w:rsidP="000E07D8">
      <w:pPr>
        <w:rPr>
          <w:rFonts w:asciiTheme="minorHAnsi" w:hAnsiTheme="minorHAnsi" w:cstheme="minorHAnsi"/>
          <w:sz w:val="22"/>
          <w:szCs w:val="22"/>
        </w:rPr>
      </w:pPr>
      <w:r w:rsidRPr="00A809E6">
        <w:rPr>
          <w:rFonts w:asciiTheme="minorHAnsi" w:hAnsiTheme="minorHAnsi" w:cstheme="minorHAnsi"/>
          <w:i/>
          <w:sz w:val="22"/>
          <w:szCs w:val="22"/>
        </w:rPr>
        <w:t>“The considerable services already being provided to the region are not enough. They are still being provided from the perspective of mainstream services, that are adapted in an endeavour to fit into a culturally relevant paradigm.”</w:t>
      </w:r>
      <w:r w:rsidRPr="00A809E6">
        <w:rPr>
          <w:rFonts w:asciiTheme="minorHAnsi" w:hAnsiTheme="minorHAnsi" w:cstheme="minorHAnsi"/>
          <w:sz w:val="22"/>
          <w:szCs w:val="22"/>
        </w:rPr>
        <w:t xml:space="preserve"> </w:t>
      </w:r>
    </w:p>
    <w:p w14:paraId="2B4C47BE" w14:textId="77777777" w:rsidR="0053050E" w:rsidRPr="00A809E6" w:rsidRDefault="0053050E" w:rsidP="000E07D8">
      <w:pPr>
        <w:rPr>
          <w:rFonts w:asciiTheme="minorHAnsi" w:hAnsiTheme="minorHAnsi" w:cstheme="minorHAnsi"/>
          <w:sz w:val="22"/>
          <w:szCs w:val="22"/>
        </w:rPr>
      </w:pPr>
    </w:p>
    <w:p w14:paraId="46791C5C" w14:textId="14D061A0" w:rsidR="0053050E" w:rsidRPr="00A809E6" w:rsidRDefault="0053050E" w:rsidP="000E07D8">
      <w:pPr>
        <w:rPr>
          <w:rFonts w:asciiTheme="minorHAnsi" w:hAnsiTheme="minorHAnsi" w:cstheme="minorHAnsi"/>
          <w:sz w:val="22"/>
          <w:szCs w:val="22"/>
        </w:rPr>
      </w:pPr>
      <w:r w:rsidRPr="00A809E6">
        <w:rPr>
          <w:rFonts w:asciiTheme="minorHAnsi" w:hAnsiTheme="minorHAnsi" w:cstheme="minorHAnsi"/>
          <w:sz w:val="22"/>
          <w:szCs w:val="22"/>
        </w:rPr>
        <w:t>Increasing the accessibility and cultural safety of health services improves patient outcomes through earlier and more frequent contact, greater opportunity for preventative and early interventional care, stronger relationships between patients and the health service/health workforce and improved continuity of care. Continuity of care is vital to improving care outcomes. In mental health, continuity of provider can reduce the need for patients to retell and revisit trauma(s), removing a potential access barrier and improving mental health and wellbeing</w:t>
      </w:r>
      <w:r w:rsidRPr="00A809E6">
        <w:rPr>
          <w:rStyle w:val="EndnoteReference"/>
          <w:rFonts w:asciiTheme="minorHAnsi" w:hAnsiTheme="minorHAnsi" w:cstheme="minorHAnsi"/>
          <w:sz w:val="22"/>
          <w:szCs w:val="22"/>
        </w:rPr>
        <w:endnoteReference w:id="45"/>
      </w:r>
      <w:r w:rsidRPr="00A809E6">
        <w:rPr>
          <w:rFonts w:asciiTheme="minorHAnsi" w:hAnsiTheme="minorHAnsi" w:cstheme="minorHAnsi"/>
          <w:sz w:val="22"/>
          <w:szCs w:val="22"/>
        </w:rPr>
        <w:t>. Preventative and ‘upstream’ services in primary care, of which the mental and allied health workforce is a key component, are demonstrated to improve outcomes and are cost effective, particularly when compared with the cost of services provided in the hospital setting.</w:t>
      </w:r>
      <w:r w:rsidR="00E216BE" w:rsidRPr="00A809E6">
        <w:rPr>
          <w:rFonts w:asciiTheme="minorHAnsi" w:hAnsiTheme="minorHAnsi" w:cstheme="minorHAnsi"/>
          <w:sz w:val="22"/>
          <w:szCs w:val="22"/>
        </w:rPr>
        <w:t xml:space="preserve"> Likewise, the peer workforce has been shown to help promote principles of recovery, contribute to better health outcomes and reduce the rate of hospital admissions for service users. Utilisation of the peer workforce can therefore have similar effectiveness in increasing</w:t>
      </w:r>
      <w:r w:rsidR="002026AB" w:rsidRPr="00A809E6">
        <w:rPr>
          <w:rFonts w:asciiTheme="minorHAnsi" w:hAnsiTheme="minorHAnsi" w:cstheme="minorHAnsi"/>
          <w:sz w:val="22"/>
          <w:szCs w:val="22"/>
        </w:rPr>
        <w:t xml:space="preserve"> social and economic</w:t>
      </w:r>
      <w:r w:rsidR="00E216BE" w:rsidRPr="00A809E6">
        <w:rPr>
          <w:rFonts w:asciiTheme="minorHAnsi" w:hAnsiTheme="minorHAnsi" w:cstheme="minorHAnsi"/>
          <w:sz w:val="22"/>
          <w:szCs w:val="22"/>
        </w:rPr>
        <w:t xml:space="preserve"> participation</w:t>
      </w:r>
      <w:r w:rsidR="002026AB" w:rsidRPr="00A809E6">
        <w:rPr>
          <w:rFonts w:asciiTheme="minorHAnsi" w:hAnsiTheme="minorHAnsi" w:cstheme="minorHAnsi"/>
          <w:sz w:val="22"/>
          <w:szCs w:val="22"/>
        </w:rPr>
        <w:t xml:space="preserve"> of individuals with mental health difficulties</w:t>
      </w:r>
      <w:r w:rsidR="00E216BE" w:rsidRPr="00A809E6">
        <w:rPr>
          <w:rFonts w:asciiTheme="minorHAnsi" w:hAnsiTheme="minorHAnsi" w:cstheme="minorHAnsi"/>
          <w:sz w:val="22"/>
          <w:szCs w:val="22"/>
        </w:rPr>
        <w:t xml:space="preserve"> and reduc</w:t>
      </w:r>
      <w:r w:rsidR="002026AB" w:rsidRPr="00A809E6">
        <w:rPr>
          <w:rFonts w:asciiTheme="minorHAnsi" w:hAnsiTheme="minorHAnsi" w:cstheme="minorHAnsi"/>
          <w:sz w:val="22"/>
          <w:szCs w:val="22"/>
        </w:rPr>
        <w:t>e</w:t>
      </w:r>
      <w:r w:rsidR="00E216BE" w:rsidRPr="00A809E6">
        <w:rPr>
          <w:rFonts w:asciiTheme="minorHAnsi" w:hAnsiTheme="minorHAnsi" w:cstheme="minorHAnsi"/>
          <w:sz w:val="22"/>
          <w:szCs w:val="22"/>
        </w:rPr>
        <w:t xml:space="preserve"> the burden on tertiary health care.</w:t>
      </w:r>
      <w:r w:rsidR="0026102D" w:rsidRPr="00A809E6">
        <w:rPr>
          <w:rStyle w:val="EndnoteReference"/>
          <w:rFonts w:cstheme="minorHAnsi"/>
          <w:szCs w:val="22"/>
        </w:rPr>
        <w:endnoteReference w:id="46"/>
      </w:r>
      <w:r w:rsidR="00E216BE" w:rsidRPr="00A809E6">
        <w:rPr>
          <w:rFonts w:asciiTheme="minorHAnsi" w:hAnsiTheme="minorHAnsi" w:cstheme="minorHAnsi"/>
          <w:sz w:val="22"/>
          <w:szCs w:val="22"/>
        </w:rPr>
        <w:t xml:space="preserve"> </w:t>
      </w:r>
    </w:p>
    <w:p w14:paraId="63581CB5" w14:textId="77777777" w:rsidR="0053050E" w:rsidRPr="00A809E6" w:rsidRDefault="0053050E" w:rsidP="000E07D8">
      <w:pPr>
        <w:rPr>
          <w:rFonts w:asciiTheme="minorHAnsi" w:hAnsiTheme="minorHAnsi" w:cstheme="minorHAnsi"/>
          <w:sz w:val="22"/>
          <w:szCs w:val="22"/>
        </w:rPr>
      </w:pPr>
    </w:p>
    <w:p w14:paraId="2F41C526" w14:textId="46522990" w:rsidR="0053050E" w:rsidRPr="00A809E6" w:rsidRDefault="0053050E" w:rsidP="000E07D8">
      <w:pPr>
        <w:rPr>
          <w:rFonts w:asciiTheme="minorHAnsi" w:hAnsiTheme="minorHAnsi" w:cstheme="minorHAnsi"/>
          <w:sz w:val="22"/>
          <w:szCs w:val="22"/>
        </w:rPr>
      </w:pPr>
      <w:r w:rsidRPr="00A809E6">
        <w:rPr>
          <w:rFonts w:asciiTheme="minorHAnsi" w:hAnsiTheme="minorHAnsi" w:cstheme="minorHAnsi"/>
          <w:sz w:val="22"/>
          <w:szCs w:val="22"/>
        </w:rPr>
        <w:t>While increasing the Aboriginal and Torres Strait Islander mental health workforce is a key strategy toward improving the cultural responsiveness of the health care system, it requires complementary action from mainstream health services and professionals. We support the current work of the Australian Health Practitioner Regulation Agency (AHPRA) to recognise the requirement for cultural safety within professional standards and accreditation and encourage further development of a more culturally safe system, as endorsed by health ministers under COAG. Provision of culturally safe and responsive care provides opportunity to improve access to services, experience and subsequently health and wellbeing outcomes. Equally, culturally safe environments to study, train and work will better support the health, wellbeing, recruitment and retention of the Aboriginal and Torres Strait Islander health workforce and thereby be reinforcing.</w:t>
      </w:r>
    </w:p>
    <w:p w14:paraId="59116309" w14:textId="77777777" w:rsidR="0053050E" w:rsidRPr="00A809E6" w:rsidRDefault="0053050E" w:rsidP="000E07D8">
      <w:pPr>
        <w:rPr>
          <w:rFonts w:asciiTheme="minorHAnsi" w:hAnsiTheme="minorHAnsi" w:cstheme="minorHAnsi"/>
          <w:sz w:val="22"/>
          <w:szCs w:val="22"/>
        </w:rPr>
      </w:pPr>
    </w:p>
    <w:p w14:paraId="09350079" w14:textId="0B11356D" w:rsidR="0053050E" w:rsidRPr="00A809E6" w:rsidRDefault="0053050E" w:rsidP="000E07D8">
      <w:pPr>
        <w:rPr>
          <w:rFonts w:asciiTheme="minorHAnsi" w:hAnsiTheme="minorHAnsi" w:cstheme="minorHAnsi"/>
          <w:sz w:val="22"/>
          <w:szCs w:val="22"/>
        </w:rPr>
      </w:pPr>
      <w:r w:rsidRPr="00A809E6">
        <w:rPr>
          <w:rFonts w:asciiTheme="minorHAnsi" w:hAnsiTheme="minorHAnsi" w:cstheme="minorHAnsi"/>
          <w:sz w:val="22"/>
          <w:szCs w:val="22"/>
        </w:rPr>
        <w:t xml:space="preserve">Achieving an increase in the Aboriginal and Torres Strait Islander mental health workforce requires career pathway development, local solutions and appropriate resourcing. Effective models for workforce development exist, however these often remain at the margin of the health and educations systems. For example, Indigenous Allied Health Australia (IAHA), working in partnership with Aboriginal Medical Services Alliance Northern Territory (AMSANT), have developed an innovative project to increase the number of young Aboriginal and Torres Strait Islander people completing Year 12 and entering the health workforce. This model works collaboratively across health disciplines and organisational structures such as health, education, training and employment </w:t>
      </w:r>
      <w:r w:rsidRPr="00A809E6">
        <w:rPr>
          <w:rFonts w:asciiTheme="minorHAnsi" w:hAnsiTheme="minorHAnsi" w:cstheme="minorHAnsi"/>
          <w:sz w:val="22"/>
          <w:szCs w:val="22"/>
        </w:rPr>
        <w:lastRenderedPageBreak/>
        <w:t>to improve and increase high school retention to Year 12 and to promote future career opportunities in health and has shown great promise.</w:t>
      </w:r>
    </w:p>
    <w:p w14:paraId="2E3B5251" w14:textId="77777777" w:rsidR="0053050E" w:rsidRPr="00A809E6" w:rsidRDefault="0053050E" w:rsidP="000E07D8">
      <w:pPr>
        <w:rPr>
          <w:rFonts w:asciiTheme="minorHAnsi" w:hAnsiTheme="minorHAnsi" w:cstheme="minorHAnsi"/>
          <w:sz w:val="22"/>
          <w:szCs w:val="22"/>
        </w:rPr>
      </w:pPr>
    </w:p>
    <w:p w14:paraId="515FE83D" w14:textId="77777777" w:rsidR="0053050E" w:rsidRPr="00A809E6" w:rsidRDefault="0053050E" w:rsidP="000E07D8">
      <w:pPr>
        <w:rPr>
          <w:rFonts w:asciiTheme="minorHAnsi" w:hAnsiTheme="minorHAnsi" w:cstheme="minorHAnsi"/>
          <w:i/>
          <w:sz w:val="22"/>
          <w:szCs w:val="22"/>
        </w:rPr>
      </w:pPr>
      <w:r w:rsidRPr="00A809E6">
        <w:rPr>
          <w:rFonts w:asciiTheme="minorHAnsi" w:hAnsiTheme="minorHAnsi" w:cstheme="minorHAnsi"/>
          <w:sz w:val="22"/>
          <w:szCs w:val="22"/>
        </w:rPr>
        <w:t>Localised workforce development and pathways are also important to addressing distribution issues and the increasing demand for services. The Victorian Allied Health Workforce Research Program</w:t>
      </w:r>
      <w:r w:rsidRPr="00A809E6">
        <w:rPr>
          <w:rStyle w:val="EndnoteReference"/>
          <w:rFonts w:asciiTheme="minorHAnsi" w:hAnsiTheme="minorHAnsi" w:cstheme="minorHAnsi"/>
          <w:sz w:val="22"/>
          <w:szCs w:val="22"/>
        </w:rPr>
        <w:endnoteReference w:id="47"/>
      </w:r>
      <w:r w:rsidRPr="00A809E6">
        <w:rPr>
          <w:rFonts w:asciiTheme="minorHAnsi" w:hAnsiTheme="minorHAnsi" w:cstheme="minorHAnsi"/>
          <w:sz w:val="22"/>
          <w:szCs w:val="22"/>
        </w:rPr>
        <w:t xml:space="preserve"> noted that demand for social workers is </w:t>
      </w:r>
      <w:r w:rsidRPr="00A809E6">
        <w:rPr>
          <w:rFonts w:asciiTheme="minorHAnsi" w:hAnsiTheme="minorHAnsi" w:cstheme="minorHAnsi"/>
          <w:i/>
          <w:sz w:val="22"/>
          <w:szCs w:val="22"/>
        </w:rPr>
        <w:t>“predicted to continue to rise with the ageing population, and increasing policy focus on family violence, disability and mental health support. Future areas of high demand include family violence, aged care, disability, mental health, child protection, and Indigenous mental health. There are existing service gaps in these areas and also in rural areas.”</w:t>
      </w:r>
    </w:p>
    <w:p w14:paraId="675D5488" w14:textId="27F81908" w:rsidR="0053050E" w:rsidRDefault="0053050E" w:rsidP="000E07D8">
      <w:pPr>
        <w:rPr>
          <w:rFonts w:asciiTheme="minorHAnsi" w:hAnsiTheme="minorHAnsi" w:cstheme="minorHAnsi"/>
          <w:sz w:val="22"/>
          <w:szCs w:val="22"/>
        </w:rPr>
      </w:pPr>
      <w:r w:rsidRPr="00A809E6">
        <w:rPr>
          <w:rFonts w:asciiTheme="minorHAnsi" w:hAnsiTheme="minorHAnsi" w:cstheme="minorHAnsi"/>
          <w:sz w:val="22"/>
          <w:szCs w:val="22"/>
        </w:rPr>
        <w:t>Development of local health workforce solutions, as opposed to continued reliance of visiting health services and health workers, may increase the efficiency of health expenditure in several ways including:</w:t>
      </w:r>
    </w:p>
    <w:p w14:paraId="73E50F03" w14:textId="77777777" w:rsidR="00A809E6" w:rsidRPr="00A809E6" w:rsidRDefault="00A809E6" w:rsidP="000E07D8">
      <w:pPr>
        <w:rPr>
          <w:rFonts w:asciiTheme="minorHAnsi" w:hAnsiTheme="minorHAnsi" w:cstheme="minorHAnsi"/>
          <w:sz w:val="22"/>
          <w:szCs w:val="22"/>
        </w:rPr>
      </w:pPr>
    </w:p>
    <w:p w14:paraId="0280E696" w14:textId="77777777" w:rsidR="0053050E" w:rsidRPr="00A809E6" w:rsidRDefault="0053050E" w:rsidP="00A809E6">
      <w:pPr>
        <w:pStyle w:val="ListParagraph"/>
        <w:numPr>
          <w:ilvl w:val="0"/>
          <w:numId w:val="39"/>
        </w:numPr>
        <w:spacing w:after="160" w:line="259" w:lineRule="auto"/>
        <w:rPr>
          <w:rFonts w:asciiTheme="minorHAnsi" w:hAnsiTheme="minorHAnsi" w:cstheme="minorHAnsi"/>
          <w:sz w:val="22"/>
          <w:szCs w:val="22"/>
        </w:rPr>
      </w:pPr>
      <w:r w:rsidRPr="00A809E6">
        <w:rPr>
          <w:rFonts w:asciiTheme="minorHAnsi" w:hAnsiTheme="minorHAnsi" w:cstheme="minorHAnsi"/>
          <w:sz w:val="22"/>
          <w:szCs w:val="22"/>
        </w:rPr>
        <w:t>reduction in administration costs associated with the co-ordination of visiting services;</w:t>
      </w:r>
    </w:p>
    <w:p w14:paraId="261AC1AA" w14:textId="5408DE17" w:rsidR="0053050E" w:rsidRPr="00A809E6" w:rsidRDefault="0053050E" w:rsidP="00A809E6">
      <w:pPr>
        <w:pStyle w:val="ListParagraph"/>
        <w:numPr>
          <w:ilvl w:val="0"/>
          <w:numId w:val="39"/>
        </w:numPr>
        <w:spacing w:after="160" w:line="259" w:lineRule="auto"/>
        <w:rPr>
          <w:rFonts w:asciiTheme="minorHAnsi" w:hAnsiTheme="minorHAnsi" w:cstheme="minorHAnsi"/>
          <w:sz w:val="22"/>
          <w:szCs w:val="22"/>
        </w:rPr>
      </w:pPr>
      <w:r w:rsidRPr="00A809E6">
        <w:rPr>
          <w:rFonts w:asciiTheme="minorHAnsi" w:hAnsiTheme="minorHAnsi" w:cstheme="minorHAnsi"/>
          <w:sz w:val="22"/>
          <w:szCs w:val="22"/>
        </w:rPr>
        <w:t xml:space="preserve">reduction in administration costs associated with recruitment and training to replace higher staff turnover associated with locum staffing or longer-term recruitment of professionals from outside the local region; </w:t>
      </w:r>
      <w:r w:rsidR="00E8339A" w:rsidRPr="00A809E6">
        <w:rPr>
          <w:rFonts w:asciiTheme="minorHAnsi" w:hAnsiTheme="minorHAnsi" w:cstheme="minorHAnsi"/>
          <w:sz w:val="22"/>
          <w:szCs w:val="22"/>
        </w:rPr>
        <w:t>and</w:t>
      </w:r>
    </w:p>
    <w:p w14:paraId="5087C149" w14:textId="0A5A97E0" w:rsidR="0053050E" w:rsidRPr="00A809E6" w:rsidRDefault="0053050E" w:rsidP="0053344A">
      <w:pPr>
        <w:pStyle w:val="ListParagraph"/>
        <w:numPr>
          <w:ilvl w:val="0"/>
          <w:numId w:val="39"/>
        </w:numPr>
        <w:spacing w:after="160" w:line="259" w:lineRule="auto"/>
        <w:rPr>
          <w:rFonts w:asciiTheme="minorHAnsi" w:hAnsiTheme="minorHAnsi" w:cstheme="minorHAnsi"/>
          <w:sz w:val="22"/>
          <w:szCs w:val="22"/>
        </w:rPr>
      </w:pPr>
      <w:r w:rsidRPr="00A809E6">
        <w:rPr>
          <w:rFonts w:asciiTheme="minorHAnsi" w:hAnsiTheme="minorHAnsi" w:cstheme="minorHAnsi"/>
          <w:sz w:val="22"/>
          <w:szCs w:val="22"/>
        </w:rPr>
        <w:t>reduced reliance on financial incentivisation to encourage professionals to move from metropolitan and major regional centres to more remote locations</w:t>
      </w:r>
      <w:r w:rsidR="00E8339A" w:rsidRPr="00A809E6">
        <w:rPr>
          <w:rFonts w:asciiTheme="minorHAnsi" w:hAnsiTheme="minorHAnsi" w:cstheme="minorHAnsi"/>
          <w:sz w:val="22"/>
          <w:szCs w:val="22"/>
        </w:rPr>
        <w:t>.</w:t>
      </w:r>
    </w:p>
    <w:p w14:paraId="030EEF28" w14:textId="7C85FC1E" w:rsidR="0053050E" w:rsidRPr="00A809E6" w:rsidRDefault="0053050E" w:rsidP="000E07D8">
      <w:pPr>
        <w:rPr>
          <w:rFonts w:asciiTheme="minorHAnsi" w:hAnsiTheme="minorHAnsi" w:cstheme="minorHAnsi"/>
          <w:sz w:val="22"/>
          <w:szCs w:val="22"/>
        </w:rPr>
      </w:pPr>
      <w:r w:rsidRPr="00A809E6">
        <w:rPr>
          <w:rFonts w:asciiTheme="minorHAnsi" w:hAnsiTheme="minorHAnsi" w:cstheme="minorHAnsi"/>
          <w:sz w:val="22"/>
          <w:szCs w:val="22"/>
        </w:rPr>
        <w:t>In addition to efficiencies within existing expenditure, developing local health workforce solutions should bolster economic prosperity within communities and regions. In addition to generating taxation, employment of local staff increases the likelihood of money staying within and being spent in the region, thereby increasing other non-health economic opportunities and supporting increased local services and infrastructure.</w:t>
      </w:r>
      <w:r w:rsidRPr="00A809E6">
        <w:rPr>
          <w:rFonts w:asciiTheme="minorHAnsi" w:hAnsiTheme="minorHAnsi" w:cstheme="minorHAnsi"/>
          <w:sz w:val="22"/>
          <w:szCs w:val="22"/>
          <w:vertAlign w:val="superscript"/>
        </w:rPr>
        <w:endnoteReference w:id="48"/>
      </w:r>
      <w:r w:rsidRPr="00A809E6">
        <w:rPr>
          <w:rFonts w:asciiTheme="minorHAnsi" w:hAnsiTheme="minorHAnsi" w:cstheme="minorHAnsi"/>
          <w:sz w:val="22"/>
          <w:szCs w:val="22"/>
        </w:rPr>
        <w:t xml:space="preserve"> The health gains associated with improving local conditions – addressing some of the social determinants of health – will compliment improved access to appropriate health services, as it has been estimated that 34.4 per cent of the health gap is attributable to social determinants.</w:t>
      </w:r>
      <w:r w:rsidRPr="00A809E6">
        <w:rPr>
          <w:rFonts w:asciiTheme="minorHAnsi" w:hAnsiTheme="minorHAnsi" w:cstheme="minorHAnsi"/>
          <w:sz w:val="22"/>
          <w:szCs w:val="22"/>
          <w:vertAlign w:val="superscript"/>
        </w:rPr>
        <w:endnoteReference w:id="49"/>
      </w:r>
    </w:p>
    <w:p w14:paraId="3B25F8BE" w14:textId="77777777" w:rsidR="0053050E" w:rsidRPr="00A809E6" w:rsidRDefault="0053050E" w:rsidP="000E07D8">
      <w:pPr>
        <w:rPr>
          <w:rFonts w:asciiTheme="minorHAnsi" w:hAnsiTheme="minorHAnsi" w:cstheme="minorHAnsi"/>
          <w:sz w:val="22"/>
          <w:szCs w:val="22"/>
        </w:rPr>
      </w:pPr>
    </w:p>
    <w:p w14:paraId="6EF978A4" w14:textId="2DE3470A" w:rsidR="0053050E" w:rsidRPr="00A809E6" w:rsidRDefault="0053050E" w:rsidP="000E07D8">
      <w:pPr>
        <w:rPr>
          <w:rFonts w:asciiTheme="minorHAnsi" w:hAnsiTheme="minorHAnsi" w:cstheme="minorHAnsi"/>
          <w:sz w:val="22"/>
          <w:szCs w:val="22"/>
        </w:rPr>
      </w:pPr>
      <w:r w:rsidRPr="00A809E6">
        <w:rPr>
          <w:rFonts w:asciiTheme="minorHAnsi" w:hAnsiTheme="minorHAnsi" w:cstheme="minorHAnsi"/>
          <w:sz w:val="22"/>
          <w:szCs w:val="22"/>
        </w:rPr>
        <w:t>The Research Program also suggested little evidence that there was a shortage of psychologists; rather, there is a lack of appropriately funded and graded positions within the community to meet the needs of clients. These distribution issues may be further evidenced by 2011 data from NSW, indicating that people from disadvantaged and rural and remote areas were more likely to be treated through medication only, and less likely to receive a mix of services and medications or services only.</w:t>
      </w:r>
      <w:r w:rsidRPr="00A809E6">
        <w:rPr>
          <w:rStyle w:val="EndnoteReference"/>
          <w:rFonts w:asciiTheme="minorHAnsi" w:hAnsiTheme="minorHAnsi" w:cstheme="minorHAnsi"/>
          <w:sz w:val="22"/>
          <w:szCs w:val="22"/>
        </w:rPr>
        <w:endnoteReference w:id="50"/>
      </w:r>
      <w:r w:rsidRPr="00A809E6">
        <w:rPr>
          <w:rFonts w:asciiTheme="minorHAnsi" w:hAnsiTheme="minorHAnsi" w:cstheme="minorHAnsi"/>
          <w:sz w:val="22"/>
          <w:szCs w:val="22"/>
        </w:rPr>
        <w:t xml:space="preserve">  </w:t>
      </w:r>
      <w:r w:rsidR="0053344A" w:rsidRPr="0053344A">
        <w:rPr>
          <w:rFonts w:asciiTheme="minorHAnsi" w:hAnsiTheme="minorHAnsi" w:cstheme="minorHAnsi"/>
          <w:sz w:val="22"/>
          <w:szCs w:val="22"/>
        </w:rPr>
        <w:t xml:space="preserve">Other evidence, produced by the Australian Commission on Safety and Quality in Health Care, has demonstrated a markedly disproportionate use of mental health related medications in rural and remote areas where there is also a shortage of allied health professionals (please refer to the Australian Health Atlas).  </w:t>
      </w:r>
      <w:r w:rsidRPr="00A809E6">
        <w:rPr>
          <w:rFonts w:asciiTheme="minorHAnsi" w:hAnsiTheme="minorHAnsi" w:cstheme="minorHAnsi"/>
          <w:sz w:val="22"/>
          <w:szCs w:val="22"/>
        </w:rPr>
        <w:t xml:space="preserve">Consideration of health care funding and career progression, particularly within the public system, is needed to improve retention rates within the public system and, therefore, increase the availability of these services. Retention of mental health staff within systems and locations is also essential for continuity of care and service uptake, reducing the need for patients to provide detailed histories and retell and relive trauma(s) on multiple occasions, which may otherwise discourage service use. </w:t>
      </w:r>
    </w:p>
    <w:p w14:paraId="1DEDDED2" w14:textId="77777777" w:rsidR="0053050E" w:rsidRPr="00A809E6" w:rsidRDefault="0053050E" w:rsidP="000E07D8">
      <w:pPr>
        <w:rPr>
          <w:rFonts w:asciiTheme="minorHAnsi" w:hAnsiTheme="minorHAnsi" w:cstheme="minorHAnsi"/>
          <w:sz w:val="22"/>
          <w:szCs w:val="22"/>
        </w:rPr>
      </w:pPr>
    </w:p>
    <w:p w14:paraId="739624BD" w14:textId="4989D536" w:rsidR="0053050E" w:rsidRPr="00A809E6" w:rsidRDefault="0053050E" w:rsidP="000E07D8">
      <w:pPr>
        <w:rPr>
          <w:rFonts w:asciiTheme="minorHAnsi" w:hAnsiTheme="minorHAnsi" w:cstheme="minorHAnsi"/>
          <w:sz w:val="22"/>
          <w:szCs w:val="22"/>
        </w:rPr>
      </w:pPr>
      <w:r w:rsidRPr="00A809E6">
        <w:rPr>
          <w:rFonts w:asciiTheme="minorHAnsi" w:hAnsiTheme="minorHAnsi" w:cstheme="minorHAnsi"/>
          <w:sz w:val="22"/>
          <w:szCs w:val="22"/>
        </w:rPr>
        <w:t>In addition to the expense, evidence also suggests that the ‘fly-in fly-out’ model of provision of health services may in fact inhibit the develop of local health service infrastructure in regions or areas with enough capacity and demand to support economically viable services.</w:t>
      </w:r>
      <w:r w:rsidRPr="00A809E6">
        <w:rPr>
          <w:rStyle w:val="EndnoteReference"/>
          <w:rFonts w:asciiTheme="minorHAnsi" w:hAnsiTheme="minorHAnsi" w:cstheme="minorHAnsi"/>
          <w:sz w:val="22"/>
          <w:szCs w:val="22"/>
        </w:rPr>
        <w:endnoteReference w:id="51"/>
      </w:r>
      <w:r w:rsidRPr="00A809E6">
        <w:rPr>
          <w:rFonts w:asciiTheme="minorHAnsi" w:hAnsiTheme="minorHAnsi" w:cstheme="minorHAnsi"/>
          <w:sz w:val="22"/>
          <w:szCs w:val="22"/>
        </w:rPr>
        <w:t xml:space="preserve"> Establishing models of localised health service delivery can improve access through improved proximity and consistency of service availability, particularly in areas with seasonal fluctuations in accessibility, for example due to flooding and road conditions. Supporting more appropriate distribution of the existing and future workforce where adequate numbers exist, and increasing the uptake of available </w:t>
      </w:r>
      <w:r w:rsidRPr="00A809E6">
        <w:rPr>
          <w:rFonts w:asciiTheme="minorHAnsi" w:hAnsiTheme="minorHAnsi" w:cstheme="minorHAnsi"/>
          <w:sz w:val="22"/>
          <w:szCs w:val="22"/>
        </w:rPr>
        <w:lastRenderedPageBreak/>
        <w:t>services, contribute to increased efficiencies or resourcing, including maximising the effectiveness of the tertiary education system.</w:t>
      </w:r>
    </w:p>
    <w:p w14:paraId="47C557ED" w14:textId="77777777" w:rsidR="0053050E" w:rsidRPr="00A809E6" w:rsidRDefault="0053050E" w:rsidP="000E07D8">
      <w:pPr>
        <w:rPr>
          <w:rFonts w:asciiTheme="minorHAnsi" w:hAnsiTheme="minorHAnsi" w:cstheme="minorHAnsi"/>
          <w:sz w:val="22"/>
          <w:szCs w:val="22"/>
        </w:rPr>
      </w:pPr>
    </w:p>
    <w:p w14:paraId="620C4C7C" w14:textId="78CAFABB" w:rsidR="0053050E" w:rsidRPr="00A809E6" w:rsidRDefault="0053050E" w:rsidP="000E07D8">
      <w:pPr>
        <w:rPr>
          <w:rFonts w:asciiTheme="minorHAnsi" w:hAnsiTheme="minorHAnsi" w:cstheme="minorHAnsi"/>
          <w:sz w:val="22"/>
          <w:szCs w:val="22"/>
        </w:rPr>
      </w:pPr>
      <w:r w:rsidRPr="00A809E6">
        <w:rPr>
          <w:rFonts w:asciiTheme="minorHAnsi" w:hAnsiTheme="minorHAnsi" w:cstheme="minorHAnsi"/>
          <w:sz w:val="22"/>
          <w:szCs w:val="22"/>
        </w:rPr>
        <w:t xml:space="preserve">The Workforce Development Program, under the </w:t>
      </w:r>
      <w:r w:rsidRPr="00A809E6">
        <w:rPr>
          <w:rFonts w:asciiTheme="minorHAnsi" w:hAnsiTheme="minorHAnsi" w:cstheme="minorHAnsi"/>
          <w:i/>
          <w:sz w:val="22"/>
          <w:szCs w:val="22"/>
        </w:rPr>
        <w:t>Fifth National Mental Health and Suicide Prevention Plan</w:t>
      </w:r>
      <w:r w:rsidRPr="00A809E6">
        <w:rPr>
          <w:rStyle w:val="EndnoteReference"/>
          <w:rFonts w:asciiTheme="minorHAnsi" w:hAnsiTheme="minorHAnsi" w:cstheme="minorHAnsi"/>
          <w:i/>
          <w:sz w:val="22"/>
          <w:szCs w:val="22"/>
        </w:rPr>
        <w:endnoteReference w:id="52"/>
      </w:r>
      <w:r w:rsidRPr="00A809E6">
        <w:rPr>
          <w:rFonts w:asciiTheme="minorHAnsi" w:hAnsiTheme="minorHAnsi" w:cstheme="minorHAnsi"/>
          <w:sz w:val="22"/>
          <w:szCs w:val="22"/>
        </w:rPr>
        <w:t xml:space="preserve">, includes strategies to attract and retain mental health workers in rural and regional areas. This may include enhanced career pathways and incentives to encourage psychiatrists, psychologists, Aboriginal mental health workers to relocate from urban practice. Such initiatives should include all mental health workers, including peer workers, mental health nurses, occupational therapists and social workers, acknowledging the important role of these professions in mental health and wellbeing care. It is important that consideration is given to how this workforce and model of care can be enhanced through utilisation of traditional healing alongside the biomedical model of treatment. </w:t>
      </w:r>
      <w:r w:rsidRPr="00A809E6">
        <w:rPr>
          <w:rFonts w:asciiTheme="minorHAnsi" w:hAnsiTheme="minorHAnsi" w:cstheme="minorHAnsi"/>
          <w:sz w:val="22"/>
          <w:szCs w:val="22"/>
        </w:rPr>
        <w:br/>
      </w:r>
    </w:p>
    <w:p w14:paraId="0CDF2B8F" w14:textId="50811E6D" w:rsidR="0053050E" w:rsidRPr="00A809E6" w:rsidRDefault="0053050E" w:rsidP="000E07D8">
      <w:pPr>
        <w:rPr>
          <w:rFonts w:asciiTheme="minorHAnsi" w:hAnsiTheme="minorHAnsi" w:cstheme="minorHAnsi"/>
          <w:sz w:val="22"/>
          <w:szCs w:val="22"/>
        </w:rPr>
      </w:pPr>
      <w:r w:rsidRPr="00A809E6">
        <w:rPr>
          <w:rFonts w:asciiTheme="minorHAnsi" w:hAnsiTheme="minorHAnsi" w:cstheme="minorHAnsi"/>
          <w:sz w:val="22"/>
          <w:szCs w:val="22"/>
        </w:rPr>
        <w:t>In addition to the substantial and much needed gains in addressing health and wellbeing inequities, economic benefits arising as a result of increasing the Aboriginal and Torres Strait Islander health workforce include increased economic participation and a reduced burden of ill-health. Australia have an aging population demographic, often will multiple and complex health needs, resulting in increasing demands on the health budget to be supported by - and funded through - a limited workforce and taxation base. The Aboriginal and Torres Strait Islander population in Australia is growing and is – in contrast - younger demographically than the non-Indigenous population, with more tha</w:t>
      </w:r>
      <w:r w:rsidR="00E216BE" w:rsidRPr="00A809E6">
        <w:rPr>
          <w:rFonts w:asciiTheme="minorHAnsi" w:hAnsiTheme="minorHAnsi" w:cstheme="minorHAnsi"/>
          <w:sz w:val="22"/>
          <w:szCs w:val="22"/>
        </w:rPr>
        <w:t>n</w:t>
      </w:r>
      <w:r w:rsidRPr="00A809E6">
        <w:rPr>
          <w:rFonts w:asciiTheme="minorHAnsi" w:hAnsiTheme="minorHAnsi" w:cstheme="minorHAnsi"/>
          <w:sz w:val="22"/>
          <w:szCs w:val="22"/>
        </w:rPr>
        <w:t xml:space="preserve"> half (53%) of Aboriginal and Torres Strait Islander people under the age of 25 in 2016.</w:t>
      </w:r>
      <w:r w:rsidRPr="00A809E6">
        <w:rPr>
          <w:rStyle w:val="EndnoteReference"/>
          <w:rFonts w:asciiTheme="minorHAnsi" w:hAnsiTheme="minorHAnsi" w:cstheme="minorHAnsi"/>
          <w:sz w:val="22"/>
          <w:szCs w:val="22"/>
        </w:rPr>
        <w:endnoteReference w:id="53"/>
      </w:r>
    </w:p>
    <w:p w14:paraId="73409BCE" w14:textId="04792254" w:rsidR="00A809E6" w:rsidRPr="00A809E6" w:rsidRDefault="0053050E" w:rsidP="000E07D8">
      <w:pPr>
        <w:rPr>
          <w:rFonts w:asciiTheme="minorHAnsi" w:hAnsiTheme="minorHAnsi" w:cstheme="minorHAnsi"/>
          <w:sz w:val="22"/>
          <w:szCs w:val="22"/>
        </w:rPr>
      </w:pPr>
      <w:r w:rsidRPr="00A809E6">
        <w:rPr>
          <w:rFonts w:asciiTheme="minorHAnsi" w:hAnsiTheme="minorHAnsi" w:cstheme="minorHAnsi"/>
          <w:sz w:val="22"/>
          <w:szCs w:val="22"/>
        </w:rPr>
        <w:t>Improvements in mental health and social and emotional wellbeing among Aboriginal and Torres Strait Islander people are therefore likely to have increased long-term social participation benefits and a substantial reduction in YLD and DALY’s over the life course. The benefits to increasing the Aboriginal and Torres Strait Islander health workforce are likely to be reinforcing, with meaningful employment demonstrated to be a protective factor for individual mental health.</w:t>
      </w:r>
      <w:r w:rsidRPr="00A809E6">
        <w:rPr>
          <w:rStyle w:val="EndnoteReference"/>
          <w:rFonts w:asciiTheme="minorHAnsi" w:hAnsiTheme="minorHAnsi" w:cstheme="minorHAnsi"/>
          <w:sz w:val="22"/>
          <w:szCs w:val="22"/>
        </w:rPr>
        <w:endnoteReference w:id="54"/>
      </w:r>
      <w:r w:rsidRPr="00A809E6">
        <w:rPr>
          <w:rFonts w:asciiTheme="minorHAnsi" w:hAnsiTheme="minorHAnsi" w:cstheme="minorHAnsi"/>
          <w:sz w:val="22"/>
          <w:szCs w:val="22"/>
        </w:rPr>
        <w:t xml:space="preserve"> With the health workforce already the largest area of employment in Australia, and health care and social assistance predicted to grow by another 250,300 jobs over the five years to May 2023</w:t>
      </w:r>
      <w:r w:rsidRPr="00A809E6">
        <w:rPr>
          <w:rStyle w:val="EndnoteReference"/>
          <w:rFonts w:asciiTheme="minorHAnsi" w:hAnsiTheme="minorHAnsi" w:cstheme="minorHAnsi"/>
          <w:sz w:val="22"/>
          <w:szCs w:val="22"/>
        </w:rPr>
        <w:endnoteReference w:id="55"/>
      </w:r>
      <w:r w:rsidRPr="00A809E6">
        <w:rPr>
          <w:rFonts w:asciiTheme="minorHAnsi" w:hAnsiTheme="minorHAnsi" w:cstheme="minorHAnsi"/>
          <w:sz w:val="22"/>
          <w:szCs w:val="22"/>
        </w:rPr>
        <w:t>, health workforce development addresses a significant area of need and provides individuals with sustainable and long-term employment opportunities.</w:t>
      </w:r>
    </w:p>
    <w:p w14:paraId="5E45E9CE" w14:textId="3B277534" w:rsidR="0053050E" w:rsidRPr="00A809E6" w:rsidRDefault="0053050E" w:rsidP="000E07D8">
      <w:pPr>
        <w:rPr>
          <w:rFonts w:asciiTheme="minorHAnsi" w:hAnsiTheme="minorHAnsi" w:cstheme="minorHAnsi"/>
          <w:sz w:val="22"/>
          <w:szCs w:val="22"/>
        </w:rPr>
      </w:pPr>
    </w:p>
    <w:p w14:paraId="5F56B45F" w14:textId="77777777" w:rsidR="0053050E" w:rsidRPr="00A809E6" w:rsidRDefault="0053050E" w:rsidP="000E07D8">
      <w:pPr>
        <w:rPr>
          <w:rFonts w:asciiTheme="minorHAnsi" w:hAnsiTheme="minorHAnsi" w:cstheme="minorHAnsi"/>
          <w:sz w:val="22"/>
          <w:szCs w:val="22"/>
        </w:rPr>
      </w:pPr>
      <w:r w:rsidRPr="00A809E6">
        <w:rPr>
          <w:rFonts w:asciiTheme="minorHAnsi" w:hAnsiTheme="minorHAnsi" w:cstheme="minorHAnsi"/>
          <w:sz w:val="22"/>
          <w:szCs w:val="22"/>
        </w:rPr>
        <w:t>Approaches to addressing the mental health and social and emotional need to be holistic and designed around Aboriginal and Torres Strait Islander perspectives of health, for example the definition of Aboriginal and Torres Strait Islander health from the 1989 National Aboriginal Health Survey below:</w:t>
      </w:r>
    </w:p>
    <w:p w14:paraId="1C5297BA" w14:textId="77777777" w:rsidR="0053050E" w:rsidRPr="00A809E6" w:rsidRDefault="0053050E" w:rsidP="00A809E6">
      <w:pPr>
        <w:ind w:left="720"/>
        <w:rPr>
          <w:rFonts w:asciiTheme="minorHAnsi" w:hAnsiTheme="minorHAnsi" w:cstheme="minorHAnsi"/>
          <w:sz w:val="22"/>
          <w:szCs w:val="22"/>
        </w:rPr>
      </w:pPr>
    </w:p>
    <w:p w14:paraId="27936DAC" w14:textId="77777777" w:rsidR="0053050E" w:rsidRPr="00A809E6" w:rsidRDefault="0053050E" w:rsidP="00A809E6">
      <w:pPr>
        <w:ind w:left="720"/>
        <w:rPr>
          <w:rFonts w:asciiTheme="minorHAnsi" w:hAnsiTheme="minorHAnsi" w:cstheme="minorHAnsi"/>
          <w:i/>
          <w:sz w:val="22"/>
          <w:szCs w:val="22"/>
        </w:rPr>
      </w:pPr>
      <w:r w:rsidRPr="00A809E6">
        <w:rPr>
          <w:rFonts w:asciiTheme="minorHAnsi" w:hAnsiTheme="minorHAnsi" w:cstheme="minorHAnsi"/>
          <w:i/>
          <w:sz w:val="22"/>
          <w:szCs w:val="22"/>
        </w:rPr>
        <w:t>“not just the physical wellbeing of an individual but refers to the social, emotional and cultural well-being of the whole Community in which each individual is able to achieve their full potential as a human being, thereby bringing about the total well-being of their Community. It is a whole-of-life view and includes the cyclical concept of life-death-life. Health care services should strive to achieve the state where every individual is able to achieve their full potential as a human being and this bring about the total well-being of their community.</w:t>
      </w:r>
      <w:r w:rsidRPr="00A809E6">
        <w:rPr>
          <w:rStyle w:val="EndnoteReference"/>
          <w:rFonts w:asciiTheme="minorHAnsi" w:hAnsiTheme="minorHAnsi" w:cstheme="minorHAnsi"/>
          <w:i/>
          <w:sz w:val="22"/>
          <w:szCs w:val="22"/>
        </w:rPr>
        <w:endnoteReference w:id="56"/>
      </w:r>
      <w:r w:rsidRPr="00A809E6">
        <w:rPr>
          <w:rFonts w:asciiTheme="minorHAnsi" w:hAnsiTheme="minorHAnsi" w:cstheme="minorHAnsi"/>
          <w:i/>
          <w:sz w:val="22"/>
          <w:szCs w:val="22"/>
        </w:rPr>
        <w:t xml:space="preserve">” </w:t>
      </w:r>
    </w:p>
    <w:p w14:paraId="5DE334AD" w14:textId="77777777" w:rsidR="0053050E" w:rsidRPr="00A809E6" w:rsidRDefault="0053050E" w:rsidP="000E07D8">
      <w:pPr>
        <w:rPr>
          <w:rFonts w:asciiTheme="minorHAnsi" w:hAnsiTheme="minorHAnsi" w:cstheme="minorHAnsi"/>
          <w:sz w:val="22"/>
          <w:szCs w:val="22"/>
        </w:rPr>
      </w:pPr>
    </w:p>
    <w:p w14:paraId="7068BED7" w14:textId="77777777" w:rsidR="0053050E" w:rsidRPr="00A809E6" w:rsidRDefault="0053050E" w:rsidP="000E07D8">
      <w:pPr>
        <w:rPr>
          <w:rFonts w:asciiTheme="minorHAnsi" w:hAnsiTheme="minorHAnsi" w:cstheme="minorHAnsi"/>
          <w:sz w:val="22"/>
          <w:szCs w:val="22"/>
        </w:rPr>
      </w:pPr>
      <w:r w:rsidRPr="00A809E6">
        <w:rPr>
          <w:rFonts w:asciiTheme="minorHAnsi" w:hAnsiTheme="minorHAnsi" w:cstheme="minorHAnsi"/>
          <w:sz w:val="22"/>
          <w:szCs w:val="22"/>
        </w:rPr>
        <w:t>This is essential for several reasons including addressing the relationship (co-morbidities) between physical and mental health and appropriate recognition of the relationship between individual mental health and the wellbeing of communities. A social and cultural determinants approach to health, which considers the needs of individuals and communities across health and non-health portfolios including income support, education, employment, housing and the justice system is needed. Investment in the needs of Aboriginal and Torres Strait Islander people should be viewed as being cost-effective and directed through Aboriginal and Torres Strait Islander led and community-</w:t>
      </w:r>
      <w:r w:rsidRPr="00A809E6">
        <w:rPr>
          <w:rFonts w:asciiTheme="minorHAnsi" w:hAnsiTheme="minorHAnsi" w:cstheme="minorHAnsi"/>
          <w:sz w:val="22"/>
          <w:szCs w:val="22"/>
        </w:rPr>
        <w:lastRenderedPageBreak/>
        <w:t>controlled services to increase the effectiveness and efficiency of allocated resources. The need for Aboriginal and Torres Strait Islander leadership is widely recognised, including in the Fifth National Mental Health and Suicide Prevention Plan</w:t>
      </w:r>
      <w:r w:rsidRPr="00A809E6">
        <w:rPr>
          <w:rStyle w:val="EndnoteReference"/>
          <w:rFonts w:asciiTheme="minorHAnsi" w:hAnsiTheme="minorHAnsi" w:cstheme="minorHAnsi"/>
          <w:sz w:val="22"/>
          <w:szCs w:val="22"/>
        </w:rPr>
        <w:endnoteReference w:id="57"/>
      </w:r>
      <w:r w:rsidRPr="00A809E6">
        <w:rPr>
          <w:rFonts w:asciiTheme="minorHAnsi" w:hAnsiTheme="minorHAnsi" w:cstheme="minorHAnsi"/>
          <w:sz w:val="22"/>
          <w:szCs w:val="22"/>
        </w:rPr>
        <w:t xml:space="preserve"> which requires governments to:</w:t>
      </w:r>
    </w:p>
    <w:p w14:paraId="7D6E30D1" w14:textId="77777777" w:rsidR="0053050E" w:rsidRPr="00A809E6" w:rsidRDefault="0053050E" w:rsidP="000E07D8">
      <w:pPr>
        <w:rPr>
          <w:rFonts w:asciiTheme="minorHAnsi" w:hAnsiTheme="minorHAnsi" w:cstheme="minorHAnsi"/>
          <w:sz w:val="22"/>
          <w:szCs w:val="22"/>
        </w:rPr>
      </w:pPr>
      <w:r w:rsidRPr="00A809E6">
        <w:rPr>
          <w:rFonts w:asciiTheme="minorHAnsi" w:hAnsiTheme="minorHAnsi" w:cstheme="minorHAnsi"/>
          <w:sz w:val="22"/>
          <w:szCs w:val="22"/>
        </w:rPr>
        <w:t xml:space="preserve"> </w:t>
      </w:r>
    </w:p>
    <w:p w14:paraId="0753C5BA" w14:textId="77777777" w:rsidR="0053050E" w:rsidRPr="00A809E6" w:rsidRDefault="0053050E" w:rsidP="000E07D8">
      <w:pPr>
        <w:rPr>
          <w:rFonts w:asciiTheme="minorHAnsi" w:hAnsiTheme="minorHAnsi" w:cstheme="minorHAnsi"/>
          <w:i/>
          <w:sz w:val="22"/>
          <w:szCs w:val="22"/>
        </w:rPr>
      </w:pPr>
      <w:r w:rsidRPr="00A809E6">
        <w:rPr>
          <w:rFonts w:asciiTheme="minorHAnsi" w:hAnsiTheme="minorHAnsi" w:cstheme="minorHAnsi"/>
          <w:i/>
          <w:sz w:val="22"/>
          <w:szCs w:val="22"/>
        </w:rPr>
        <w:t>“Improve Aboriginal and Torres Strait Islander access to, and experience with, mental health and wellbeing services in collaboration with ACCHSs and other service providers by: recognising and promoting the importance of Aboriginal and Torres Strait Islander leadership and supporting implementation of the Gayaa Dhuwi (Proud Spirit) Declaration”.</w:t>
      </w:r>
    </w:p>
    <w:p w14:paraId="33D53787" w14:textId="77777777" w:rsidR="0053050E" w:rsidRPr="00A809E6" w:rsidRDefault="0053050E" w:rsidP="000E07D8">
      <w:pPr>
        <w:rPr>
          <w:rFonts w:asciiTheme="minorHAnsi" w:hAnsiTheme="minorHAnsi" w:cstheme="minorHAnsi"/>
          <w:sz w:val="22"/>
          <w:szCs w:val="22"/>
        </w:rPr>
      </w:pPr>
    </w:p>
    <w:p w14:paraId="15C01069" w14:textId="7C3FED4A" w:rsidR="0053050E" w:rsidRPr="00A809E6" w:rsidRDefault="0053050E" w:rsidP="000E07D8">
      <w:pPr>
        <w:rPr>
          <w:rFonts w:asciiTheme="minorHAnsi" w:hAnsiTheme="minorHAnsi" w:cstheme="minorHAnsi"/>
          <w:sz w:val="22"/>
          <w:szCs w:val="22"/>
        </w:rPr>
      </w:pPr>
      <w:r w:rsidRPr="00A809E6">
        <w:rPr>
          <w:rFonts w:asciiTheme="minorHAnsi" w:hAnsiTheme="minorHAnsi" w:cstheme="minorHAnsi"/>
          <w:sz w:val="22"/>
          <w:szCs w:val="22"/>
        </w:rPr>
        <w:t>Empowering community self-determination also increases agency and recognises the inherent strengths and capabilities that exist within communities. Evidence suggests that increased self-determination and agency at the individual and community level is protective of mental health and aids recovery for those with mental ill-health.</w:t>
      </w:r>
    </w:p>
    <w:p w14:paraId="3B7F375B" w14:textId="77777777" w:rsidR="0053050E" w:rsidRPr="00A809E6" w:rsidRDefault="0053050E" w:rsidP="000E07D8">
      <w:pPr>
        <w:rPr>
          <w:rFonts w:asciiTheme="minorHAnsi" w:hAnsiTheme="minorHAnsi" w:cstheme="minorHAnsi"/>
          <w:sz w:val="22"/>
          <w:szCs w:val="22"/>
        </w:rPr>
      </w:pPr>
    </w:p>
    <w:p w14:paraId="044241DF" w14:textId="77777777" w:rsidR="0053050E" w:rsidRPr="00A809E6" w:rsidRDefault="0053050E" w:rsidP="00A809E6">
      <w:pPr>
        <w:ind w:left="720"/>
        <w:rPr>
          <w:rFonts w:asciiTheme="minorHAnsi" w:hAnsiTheme="minorHAnsi" w:cstheme="minorHAnsi"/>
          <w:sz w:val="22"/>
          <w:szCs w:val="22"/>
        </w:rPr>
      </w:pPr>
      <w:r w:rsidRPr="00A809E6">
        <w:rPr>
          <w:rFonts w:asciiTheme="minorHAnsi" w:hAnsiTheme="minorHAnsi" w:cstheme="minorHAnsi"/>
          <w:i/>
          <w:sz w:val="22"/>
          <w:szCs w:val="22"/>
        </w:rPr>
        <w:t>“Our communities and cultures are sources of identity, values and practices that can help protect against suicide. Such strengths provide the foundation for a mix of short, medium, and longer-term action in the face of increasing Indigenous child and youth suicide deaths, and that is required to turn this tragic situation around.”</w:t>
      </w:r>
    </w:p>
    <w:p w14:paraId="7CE5C48D" w14:textId="77777777" w:rsidR="0053050E" w:rsidRPr="00A809E6" w:rsidRDefault="0053050E" w:rsidP="000E07D8">
      <w:pPr>
        <w:pStyle w:val="CommentText"/>
        <w:jc w:val="right"/>
        <w:rPr>
          <w:rFonts w:asciiTheme="minorHAnsi" w:hAnsiTheme="minorHAnsi" w:cstheme="minorHAnsi"/>
          <w:sz w:val="22"/>
          <w:szCs w:val="22"/>
        </w:rPr>
      </w:pPr>
      <w:r w:rsidRPr="00A809E6">
        <w:rPr>
          <w:rFonts w:asciiTheme="minorHAnsi" w:hAnsiTheme="minorHAnsi" w:cstheme="minorHAnsi"/>
          <w:sz w:val="22"/>
          <w:szCs w:val="22"/>
        </w:rPr>
        <w:t>Professor Pat Dudgeon</w:t>
      </w:r>
      <w:r w:rsidRPr="00A809E6">
        <w:rPr>
          <w:rStyle w:val="EndnoteReference"/>
          <w:rFonts w:asciiTheme="minorHAnsi" w:hAnsiTheme="minorHAnsi" w:cstheme="minorHAnsi"/>
          <w:sz w:val="22"/>
          <w:szCs w:val="22"/>
        </w:rPr>
        <w:endnoteReference w:id="58"/>
      </w:r>
    </w:p>
    <w:p w14:paraId="7D81EC63" w14:textId="77777777" w:rsidR="0053050E" w:rsidRPr="00A809E6" w:rsidRDefault="0053050E" w:rsidP="000E07D8">
      <w:pPr>
        <w:rPr>
          <w:rFonts w:asciiTheme="minorHAnsi" w:hAnsiTheme="minorHAnsi" w:cstheme="minorHAnsi"/>
          <w:sz w:val="22"/>
          <w:szCs w:val="22"/>
        </w:rPr>
      </w:pPr>
    </w:p>
    <w:p w14:paraId="15B24C70" w14:textId="357DD9E4" w:rsidR="000E07D8" w:rsidRDefault="0053050E" w:rsidP="000E07D8">
      <w:pPr>
        <w:rPr>
          <w:rFonts w:asciiTheme="minorHAnsi" w:hAnsiTheme="minorHAnsi" w:cstheme="minorHAnsi"/>
          <w:sz w:val="22"/>
          <w:szCs w:val="22"/>
        </w:rPr>
      </w:pPr>
      <w:r w:rsidRPr="00A809E6">
        <w:rPr>
          <w:rFonts w:asciiTheme="minorHAnsi" w:hAnsiTheme="minorHAnsi" w:cstheme="minorHAnsi"/>
          <w:sz w:val="22"/>
          <w:szCs w:val="22"/>
        </w:rPr>
        <w:t xml:space="preserve">This approach is consistent with governments commitment to work in closer partnership with Aboriginal and Torres Strait Islander people as detailed in the December 2018 Council of Australian Governments (COAG) Communique which stated that </w:t>
      </w:r>
      <w:r w:rsidRPr="00A809E6">
        <w:rPr>
          <w:rFonts w:asciiTheme="minorHAnsi" w:hAnsiTheme="minorHAnsi" w:cstheme="minorHAnsi"/>
          <w:i/>
          <w:sz w:val="22"/>
          <w:szCs w:val="22"/>
        </w:rPr>
        <w:t>“COAG recognises that in order to effect real change, governments must work collaboratively and in genuine, formal partnership with Aboriginal and Torres Strait Islander peoples as they are the essential agents of change.”</w:t>
      </w:r>
      <w:r w:rsidRPr="00A809E6">
        <w:rPr>
          <w:rStyle w:val="EndnoteReference"/>
          <w:rFonts w:asciiTheme="minorHAnsi" w:hAnsiTheme="minorHAnsi" w:cstheme="minorHAnsi"/>
          <w:i/>
          <w:sz w:val="22"/>
          <w:szCs w:val="22"/>
        </w:rPr>
        <w:endnoteReference w:id="59"/>
      </w:r>
      <w:r w:rsidRPr="00A809E6">
        <w:rPr>
          <w:rFonts w:asciiTheme="minorHAnsi" w:hAnsiTheme="minorHAnsi" w:cstheme="minorHAnsi"/>
          <w:sz w:val="22"/>
          <w:szCs w:val="22"/>
        </w:rPr>
        <w:t xml:space="preserve"> </w:t>
      </w:r>
      <w:r w:rsidR="000E07D8" w:rsidRPr="00A809E6">
        <w:rPr>
          <w:rFonts w:asciiTheme="minorHAnsi" w:hAnsiTheme="minorHAnsi" w:cstheme="minorHAnsi"/>
          <w:sz w:val="22"/>
          <w:szCs w:val="22"/>
        </w:rPr>
        <w:t xml:space="preserve">This public commitment has led to the recently announced Partnership Agreement on Closing the Gap. While this is promising, ongoing commitment to genuine partnership with Aboriginal and Torres Strait Islander people, communities and organisations is essential and should be foundational to work on improving mental health and social and emotional wellbeing. </w:t>
      </w:r>
    </w:p>
    <w:p w14:paraId="381CE25C" w14:textId="4724B7CB" w:rsidR="00A809E6" w:rsidRDefault="00A809E6" w:rsidP="000E07D8">
      <w:pPr>
        <w:rPr>
          <w:rFonts w:asciiTheme="minorHAnsi" w:hAnsiTheme="minorHAnsi" w:cstheme="minorHAnsi"/>
          <w:sz w:val="22"/>
          <w:szCs w:val="22"/>
        </w:rPr>
      </w:pPr>
    </w:p>
    <w:p w14:paraId="66ABAE73" w14:textId="244E01E5" w:rsidR="00A809E6" w:rsidRPr="00A809E6" w:rsidRDefault="00FF4D40" w:rsidP="00FF4D40">
      <w:pPr>
        <w:jc w:val="center"/>
        <w:rPr>
          <w:rFonts w:asciiTheme="minorHAnsi" w:hAnsiTheme="minorHAnsi" w:cstheme="minorHAnsi"/>
          <w:sz w:val="22"/>
          <w:szCs w:val="22"/>
        </w:rPr>
      </w:pPr>
      <w:r>
        <w:rPr>
          <w:rFonts w:asciiTheme="minorHAnsi" w:hAnsiTheme="minorHAnsi" w:cstheme="minorHAnsi"/>
          <w:sz w:val="22"/>
          <w:szCs w:val="22"/>
        </w:rPr>
        <w:t>END</w:t>
      </w:r>
    </w:p>
    <w:p w14:paraId="5436020D" w14:textId="106B1484" w:rsidR="00BA3BC3" w:rsidRPr="00A809E6" w:rsidRDefault="00BA3BC3" w:rsidP="000E07D8">
      <w:pPr>
        <w:rPr>
          <w:rFonts w:asciiTheme="minorHAnsi" w:hAnsiTheme="minorHAnsi" w:cstheme="minorHAnsi"/>
          <w:sz w:val="22"/>
          <w:szCs w:val="22"/>
        </w:rPr>
      </w:pPr>
    </w:p>
    <w:p w14:paraId="155462B0" w14:textId="77777777" w:rsidR="00BA3BC3" w:rsidRPr="00A809E6" w:rsidRDefault="00BA3BC3">
      <w:pPr>
        <w:rPr>
          <w:rFonts w:asciiTheme="minorHAnsi" w:hAnsiTheme="minorHAnsi" w:cstheme="minorHAnsi"/>
          <w:b/>
          <w:sz w:val="22"/>
          <w:szCs w:val="22"/>
        </w:rPr>
      </w:pPr>
      <w:r w:rsidRPr="00A809E6">
        <w:rPr>
          <w:rFonts w:asciiTheme="minorHAnsi" w:hAnsiTheme="minorHAnsi" w:cstheme="minorHAnsi"/>
          <w:b/>
          <w:sz w:val="22"/>
          <w:szCs w:val="22"/>
        </w:rPr>
        <w:br w:type="page"/>
      </w:r>
    </w:p>
    <w:p w14:paraId="76FED78E" w14:textId="21E97C5B" w:rsidR="00BA3BC3" w:rsidRPr="00A809E6" w:rsidRDefault="00BA3BC3" w:rsidP="00A809E6">
      <w:pPr>
        <w:jc w:val="center"/>
        <w:rPr>
          <w:rFonts w:asciiTheme="minorHAnsi" w:hAnsiTheme="minorHAnsi" w:cstheme="minorHAnsi"/>
          <w:b/>
          <w:sz w:val="22"/>
          <w:szCs w:val="22"/>
        </w:rPr>
      </w:pPr>
      <w:r w:rsidRPr="00A809E6">
        <w:rPr>
          <w:rFonts w:asciiTheme="minorHAnsi" w:hAnsiTheme="minorHAnsi" w:cstheme="minorHAnsi"/>
          <w:b/>
          <w:sz w:val="22"/>
          <w:szCs w:val="22"/>
        </w:rPr>
        <w:lastRenderedPageBreak/>
        <w:t>Appendix – About the authors</w:t>
      </w:r>
    </w:p>
    <w:p w14:paraId="73C81EE9" w14:textId="77777777" w:rsidR="000E07D8" w:rsidRPr="00A809E6" w:rsidRDefault="000E07D8" w:rsidP="000E07D8"/>
    <w:p w14:paraId="6CC83393" w14:textId="77777777" w:rsidR="00BA3BC3" w:rsidRPr="00A809E6" w:rsidRDefault="00BA3BC3" w:rsidP="00BA3BC3">
      <w:pPr>
        <w:numPr>
          <w:ilvl w:val="0"/>
          <w:numId w:val="42"/>
        </w:numPr>
        <w:shd w:val="clear" w:color="auto" w:fill="FFFFFF"/>
        <w:rPr>
          <w:rFonts w:asciiTheme="minorHAnsi" w:hAnsiTheme="minorHAnsi" w:cstheme="minorHAnsi"/>
          <w:sz w:val="22"/>
          <w:szCs w:val="22"/>
        </w:rPr>
      </w:pPr>
      <w:r w:rsidRPr="00A809E6">
        <w:rPr>
          <w:rFonts w:asciiTheme="minorHAnsi" w:hAnsiTheme="minorHAnsi" w:cstheme="minorHAnsi"/>
          <w:sz w:val="22"/>
          <w:szCs w:val="22"/>
        </w:rPr>
        <w:t>NATSILMH was established in November 2013 to provide a leadership platform for Indigenous mental health leaders working mainly in the National, Queensland, New South Wales and Western Australian mental health commissions. All of NATSILMH’s individual members are Indigenous with organisational members including NACHHO, the Aboriginal and Torres Strait Islander Healing Foundation, IAHA and AIPA. As a collective, NATSILMH has expertise is in mental health, social and emotional wellbeing and suicide prevention. It also has great strength in mental health workforce issues.</w:t>
      </w:r>
    </w:p>
    <w:p w14:paraId="576F87A3" w14:textId="77777777" w:rsidR="00BA3BC3" w:rsidRPr="00A809E6" w:rsidRDefault="00BA3BC3" w:rsidP="00BA3BC3">
      <w:pPr>
        <w:shd w:val="clear" w:color="auto" w:fill="FFFFFF"/>
        <w:ind w:left="360"/>
        <w:rPr>
          <w:rFonts w:asciiTheme="minorHAnsi" w:hAnsiTheme="minorHAnsi" w:cstheme="minorHAnsi"/>
          <w:sz w:val="22"/>
          <w:szCs w:val="22"/>
        </w:rPr>
      </w:pPr>
    </w:p>
    <w:p w14:paraId="6CB34E28" w14:textId="03291D48" w:rsidR="00BA3BC3" w:rsidRPr="00A809E6" w:rsidRDefault="00BA3BC3" w:rsidP="00BA3BC3">
      <w:pPr>
        <w:shd w:val="clear" w:color="auto" w:fill="FFFFFF"/>
        <w:ind w:left="360"/>
        <w:rPr>
          <w:rFonts w:asciiTheme="minorHAnsi" w:hAnsiTheme="minorHAnsi" w:cstheme="minorHAnsi"/>
          <w:sz w:val="22"/>
          <w:szCs w:val="22"/>
        </w:rPr>
      </w:pPr>
      <w:r w:rsidRPr="00A809E6">
        <w:rPr>
          <w:rFonts w:asciiTheme="minorHAnsi" w:hAnsiTheme="minorHAnsi" w:cstheme="minorHAnsi"/>
          <w:sz w:val="22"/>
          <w:szCs w:val="22"/>
        </w:rPr>
        <w:t>The proactive 2015 development and launch of the </w:t>
      </w:r>
      <w:r w:rsidRPr="00A809E6">
        <w:rPr>
          <w:rFonts w:asciiTheme="minorHAnsi" w:hAnsiTheme="minorHAnsi" w:cstheme="minorHAnsi"/>
          <w:i/>
          <w:iCs/>
          <w:sz w:val="22"/>
          <w:szCs w:val="22"/>
        </w:rPr>
        <w:t>Gayaa Dhuwi (Proud Spirit) Declaration</w:t>
      </w:r>
      <w:r w:rsidRPr="00A809E6">
        <w:rPr>
          <w:rFonts w:asciiTheme="minorHAnsi" w:hAnsiTheme="minorHAnsi" w:cstheme="minorHAnsi"/>
          <w:sz w:val="22"/>
          <w:szCs w:val="22"/>
        </w:rPr>
        <w:t> is NATSILMH’s signature achievement to date. After extensive lobbying, a watershed moment for NATSILMH was the recognition of the </w:t>
      </w:r>
      <w:r w:rsidRPr="00A809E6">
        <w:rPr>
          <w:rFonts w:asciiTheme="minorHAnsi" w:hAnsiTheme="minorHAnsi" w:cstheme="minorHAnsi"/>
          <w:i/>
          <w:iCs/>
          <w:sz w:val="22"/>
          <w:szCs w:val="22"/>
        </w:rPr>
        <w:t>Gayaa Dhuwi (Proud Spirit) Declaration</w:t>
      </w:r>
      <w:r w:rsidRPr="00A809E6">
        <w:rPr>
          <w:rFonts w:asciiTheme="minorHAnsi" w:hAnsiTheme="minorHAnsi" w:cstheme="minorHAnsi"/>
          <w:sz w:val="22"/>
          <w:szCs w:val="22"/>
        </w:rPr>
        <w:t> in the </w:t>
      </w:r>
      <w:r w:rsidRPr="00A809E6">
        <w:rPr>
          <w:rFonts w:asciiTheme="minorHAnsi" w:hAnsiTheme="minorHAnsi" w:cstheme="minorHAnsi"/>
          <w:i/>
          <w:iCs/>
          <w:sz w:val="22"/>
          <w:szCs w:val="22"/>
        </w:rPr>
        <w:t>Fifth National Mental Health and Suicide Prevention Plan </w:t>
      </w:r>
      <w:r w:rsidRPr="00A809E6">
        <w:rPr>
          <w:rFonts w:asciiTheme="minorHAnsi" w:hAnsiTheme="minorHAnsi" w:cstheme="minorHAnsi"/>
          <w:sz w:val="22"/>
          <w:szCs w:val="22"/>
        </w:rPr>
        <w:t>(Fifth Plan) as providing: </w:t>
      </w:r>
      <w:r w:rsidRPr="00A809E6">
        <w:rPr>
          <w:rFonts w:asciiTheme="minorHAnsi" w:hAnsiTheme="minorHAnsi" w:cstheme="minorHAnsi"/>
          <w:i/>
          <w:iCs/>
          <w:sz w:val="22"/>
          <w:szCs w:val="22"/>
        </w:rPr>
        <w:t>a platform for governments to work collaboratively to achieve the highest attainable standard of mental health and suicide prevention outcomes for Aboriginal and Torres Strait Islander peoples.</w:t>
      </w:r>
      <w:r w:rsidRPr="00A809E6">
        <w:rPr>
          <w:rFonts w:asciiTheme="minorHAnsi" w:hAnsiTheme="minorHAnsi" w:cstheme="minorHAnsi"/>
          <w:sz w:val="22"/>
          <w:szCs w:val="22"/>
        </w:rPr>
        <w:t xml:space="preserve"> NATSILMH helped develop the </w:t>
      </w:r>
      <w:r w:rsidRPr="00A809E6">
        <w:rPr>
          <w:rFonts w:asciiTheme="minorHAnsi" w:hAnsiTheme="minorHAnsi" w:cstheme="minorHAnsi"/>
          <w:i/>
          <w:iCs/>
          <w:sz w:val="22"/>
          <w:szCs w:val="22"/>
        </w:rPr>
        <w:t>National Strategic Framework for Aboriginal and Torres Strait Islander Peoples’ Social and Emotional Wellbeing and Mental Health 2017 - 2023</w:t>
      </w:r>
      <w:r w:rsidRPr="00A809E6">
        <w:rPr>
          <w:rFonts w:asciiTheme="minorHAnsi" w:hAnsiTheme="minorHAnsi" w:cstheme="minorHAnsi"/>
          <w:sz w:val="22"/>
          <w:szCs w:val="22"/>
        </w:rPr>
        <w:t xml:space="preserve"> and continue to advocate for a fully funded implementation plan to be developed within the Fifth Plan implementation process.</w:t>
      </w:r>
    </w:p>
    <w:p w14:paraId="35CA3B7C" w14:textId="77777777" w:rsidR="00BA3BC3" w:rsidRPr="00A809E6" w:rsidRDefault="00BA3BC3" w:rsidP="00BA3BC3">
      <w:pPr>
        <w:shd w:val="clear" w:color="auto" w:fill="FFFFFF"/>
        <w:ind w:left="360"/>
        <w:rPr>
          <w:rFonts w:asciiTheme="minorHAnsi" w:hAnsiTheme="minorHAnsi" w:cstheme="minorHAnsi"/>
          <w:sz w:val="22"/>
          <w:szCs w:val="22"/>
        </w:rPr>
      </w:pPr>
    </w:p>
    <w:p w14:paraId="2A58CDB4" w14:textId="77777777" w:rsidR="00BA3BC3" w:rsidRPr="00A809E6" w:rsidRDefault="00BA3BC3" w:rsidP="00BA3BC3">
      <w:pPr>
        <w:pStyle w:val="ListParagraph"/>
        <w:numPr>
          <w:ilvl w:val="0"/>
          <w:numId w:val="43"/>
        </w:numPr>
        <w:shd w:val="clear" w:color="auto" w:fill="FFFFFF"/>
        <w:rPr>
          <w:rFonts w:asciiTheme="minorHAnsi" w:hAnsiTheme="minorHAnsi" w:cstheme="minorHAnsi"/>
          <w:sz w:val="22"/>
          <w:szCs w:val="22"/>
        </w:rPr>
      </w:pPr>
      <w:r w:rsidRPr="00A809E6">
        <w:rPr>
          <w:rFonts w:asciiTheme="minorHAnsi" w:hAnsiTheme="minorHAnsi" w:cstheme="minorHAnsi"/>
          <w:sz w:val="22"/>
          <w:szCs w:val="22"/>
        </w:rPr>
        <w:t xml:space="preserve">IAHA is a national not for profit, member-based organisation building and supporting the growth and practice of Aboriginal and Torres Strait Islander allied health graduates and students. Since its establishment in 2009, IAHA has grown significantly in terms of profile and membership, with members working in allied health, mental health, social work, social welfare, psychology, counselling, oral health, dentistry, dietetics, occupational therapy, exercise science, exercise physiology, physiotherapy, public health, nutrition, radiography/radiation therapy, pharmacy, paramedics, speech pathology, audiology, optometry, chiropractic, podiatry and osteopathy. </w:t>
      </w:r>
    </w:p>
    <w:p w14:paraId="2BD83B13" w14:textId="77777777" w:rsidR="00BA3BC3" w:rsidRPr="00A809E6" w:rsidRDefault="00BA3BC3" w:rsidP="00BA3BC3">
      <w:pPr>
        <w:pStyle w:val="ListParagraph"/>
        <w:shd w:val="clear" w:color="auto" w:fill="FFFFFF"/>
        <w:ind w:left="360"/>
        <w:rPr>
          <w:rFonts w:asciiTheme="minorHAnsi" w:hAnsiTheme="minorHAnsi" w:cstheme="minorHAnsi"/>
          <w:sz w:val="22"/>
          <w:szCs w:val="22"/>
        </w:rPr>
      </w:pPr>
    </w:p>
    <w:p w14:paraId="215F02B9" w14:textId="77777777" w:rsidR="00BA3BC3" w:rsidRPr="00A809E6" w:rsidRDefault="00BA3BC3" w:rsidP="00BA3BC3">
      <w:pPr>
        <w:pStyle w:val="ListParagraph"/>
        <w:shd w:val="clear" w:color="auto" w:fill="FFFFFF"/>
        <w:ind w:left="360"/>
        <w:rPr>
          <w:rFonts w:asciiTheme="minorHAnsi" w:hAnsiTheme="minorHAnsi" w:cstheme="minorHAnsi"/>
          <w:sz w:val="22"/>
          <w:szCs w:val="22"/>
        </w:rPr>
      </w:pPr>
      <w:r w:rsidRPr="00A809E6">
        <w:rPr>
          <w:rFonts w:asciiTheme="minorHAnsi" w:hAnsiTheme="minorHAnsi" w:cstheme="minorHAnsi"/>
          <w:sz w:val="22"/>
          <w:szCs w:val="22"/>
        </w:rPr>
        <w:t xml:space="preserve">IAHA is a leader in Aboriginal and Torres Strait Islander health and social and emotional wellbeing, including as an organisational member of the NATSILMH. IAHA is represented on a range of significant national, Aboriginal and Torres Strait Islander led campaigns, forums and committees including the Close the Gap Steering Committee and the National Health Leadership Forum. More information on IAHA, including our approach to sustainable workforce development can be found in our </w:t>
      </w:r>
      <w:hyperlink r:id="rId19" w:history="1">
        <w:r w:rsidRPr="00A809E6">
          <w:rPr>
            <w:rFonts w:asciiTheme="minorHAnsi" w:hAnsiTheme="minorHAnsi" w:cstheme="minorHAnsi"/>
            <w:sz w:val="22"/>
            <w:szCs w:val="22"/>
          </w:rPr>
          <w:t>2017-18 Annual Report</w:t>
        </w:r>
      </w:hyperlink>
      <w:r w:rsidRPr="00A809E6">
        <w:rPr>
          <w:rFonts w:asciiTheme="minorHAnsi" w:hAnsiTheme="minorHAnsi" w:cstheme="minorHAnsi"/>
          <w:sz w:val="22"/>
          <w:szCs w:val="22"/>
        </w:rPr>
        <w:t xml:space="preserve"> and </w:t>
      </w:r>
      <w:hyperlink r:id="rId20" w:history="1">
        <w:r w:rsidRPr="00A809E6">
          <w:rPr>
            <w:rFonts w:asciiTheme="minorHAnsi" w:hAnsiTheme="minorHAnsi" w:cstheme="minorHAnsi"/>
            <w:sz w:val="22"/>
            <w:szCs w:val="22"/>
          </w:rPr>
          <w:t>Workforce Development Strategy (2018-2020)</w:t>
        </w:r>
      </w:hyperlink>
      <w:r w:rsidRPr="00A809E6">
        <w:rPr>
          <w:rFonts w:asciiTheme="minorHAnsi" w:hAnsiTheme="minorHAnsi" w:cstheme="minorHAnsi"/>
          <w:sz w:val="22"/>
          <w:szCs w:val="22"/>
        </w:rPr>
        <w:t>.</w:t>
      </w:r>
    </w:p>
    <w:p w14:paraId="54F83D3C" w14:textId="77777777" w:rsidR="00BA3BC3" w:rsidRPr="00A809E6" w:rsidRDefault="00BA3BC3" w:rsidP="00BA3BC3">
      <w:pPr>
        <w:pStyle w:val="ListParagraph"/>
        <w:shd w:val="clear" w:color="auto" w:fill="FFFFFF"/>
        <w:ind w:left="360"/>
        <w:rPr>
          <w:rFonts w:asciiTheme="minorHAnsi" w:hAnsiTheme="minorHAnsi" w:cstheme="minorHAnsi"/>
          <w:sz w:val="22"/>
          <w:szCs w:val="22"/>
        </w:rPr>
      </w:pPr>
    </w:p>
    <w:p w14:paraId="7E333B12" w14:textId="64FC1EC5" w:rsidR="0096719D" w:rsidRPr="0053344A" w:rsidRDefault="00BA3BC3" w:rsidP="00B549AE">
      <w:pPr>
        <w:pStyle w:val="ListParagraph"/>
        <w:numPr>
          <w:ilvl w:val="0"/>
          <w:numId w:val="43"/>
        </w:numPr>
        <w:shd w:val="clear" w:color="auto" w:fill="FFFFFF"/>
        <w:rPr>
          <w:rFonts w:asciiTheme="minorHAnsi" w:hAnsiTheme="minorHAnsi" w:cstheme="minorHAnsi"/>
          <w:sz w:val="22"/>
          <w:szCs w:val="22"/>
        </w:rPr>
      </w:pPr>
      <w:r w:rsidRPr="0053344A">
        <w:rPr>
          <w:rFonts w:asciiTheme="minorHAnsi" w:hAnsiTheme="minorHAnsi" w:cstheme="minorHAnsi"/>
          <w:sz w:val="22"/>
          <w:szCs w:val="22"/>
        </w:rPr>
        <w:t>AIPA is the national body representing Aboriginal and Torres Strait Islander psychologists in Australia.  AIPA was established in 2009.  AIPA is committed to improving the social and emotional well-being and mental health of Aboriginal and Torres Strait Islander peoples by leading the change required to deliver equitable, accessible, sustainable, timely and culturally competent psychological care which respects and promotes their cultural integrity. Furthermore, AIPA is committed to supporting and formally representing the views of Aboriginal and Torres Strait Islander psychologists and students, supporting Indigenous psychologists through undergraduate and post graduate courses, working toward achieving equity within the profession and developing and delivering professional development activities which aim to increase the cultural competence of the mental health workforce, service delivery and the mental health system overall.  There are currently 90 members of AIPA and this is expected to grow exponentially in the next few years.</w:t>
      </w:r>
    </w:p>
    <w:p w14:paraId="373546D4" w14:textId="11668589" w:rsidR="0091370F" w:rsidRDefault="0091370F" w:rsidP="0091370F">
      <w:pPr>
        <w:shd w:val="clear" w:color="auto" w:fill="FFFFFF"/>
        <w:rPr>
          <w:rFonts w:asciiTheme="minorHAnsi" w:hAnsiTheme="minorHAnsi" w:cstheme="minorHAnsi"/>
          <w:sz w:val="22"/>
          <w:szCs w:val="22"/>
          <w:highlight w:val="yellow"/>
        </w:rPr>
      </w:pPr>
    </w:p>
    <w:p w14:paraId="251D98C3" w14:textId="77777777" w:rsidR="0091370F" w:rsidRPr="0053344A" w:rsidRDefault="0091370F" w:rsidP="0053344A">
      <w:pPr>
        <w:shd w:val="clear" w:color="auto" w:fill="FFFFFF"/>
        <w:rPr>
          <w:rFonts w:asciiTheme="minorHAnsi" w:hAnsiTheme="minorHAnsi" w:cstheme="minorHAnsi"/>
          <w:sz w:val="22"/>
          <w:szCs w:val="22"/>
          <w:highlight w:val="yellow"/>
        </w:rPr>
      </w:pPr>
    </w:p>
    <w:sectPr w:rsidR="0091370F" w:rsidRPr="0053344A" w:rsidSect="00A42035">
      <w:footerReference w:type="even" r:id="rId21"/>
      <w:footerReference w:type="default" r:id="rId2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6B7BC3" w14:textId="77777777" w:rsidR="006452B3" w:rsidRDefault="006452B3" w:rsidP="009E527C">
      <w:r>
        <w:separator/>
      </w:r>
    </w:p>
  </w:endnote>
  <w:endnote w:type="continuationSeparator" w:id="0">
    <w:p w14:paraId="65B21AE6" w14:textId="77777777" w:rsidR="006452B3" w:rsidRDefault="006452B3" w:rsidP="009E527C">
      <w:r>
        <w:continuationSeparator/>
      </w:r>
    </w:p>
  </w:endnote>
  <w:endnote w:id="1">
    <w:p w14:paraId="2024B224" w14:textId="77777777" w:rsidR="00BA3BC3" w:rsidRPr="00806909" w:rsidRDefault="00BA3BC3" w:rsidP="0053050E">
      <w:pPr>
        <w:pStyle w:val="EndnoteText"/>
        <w:rPr>
          <w:rFonts w:asciiTheme="minorHAnsi" w:hAnsiTheme="minorHAnsi" w:cstheme="minorHAnsi"/>
          <w:sz w:val="16"/>
          <w:szCs w:val="16"/>
        </w:rPr>
      </w:pPr>
      <w:r w:rsidRPr="00806909">
        <w:rPr>
          <w:rStyle w:val="EndnoteReference"/>
          <w:rFonts w:asciiTheme="minorHAnsi" w:hAnsiTheme="minorHAnsi" w:cstheme="minorHAnsi"/>
          <w:sz w:val="16"/>
          <w:szCs w:val="16"/>
        </w:rPr>
        <w:endnoteRef/>
      </w:r>
      <w:r w:rsidRPr="00806909">
        <w:rPr>
          <w:rFonts w:asciiTheme="minorHAnsi" w:hAnsiTheme="minorHAnsi" w:cstheme="minorHAnsi"/>
          <w:sz w:val="16"/>
          <w:szCs w:val="16"/>
        </w:rPr>
        <w:t xml:space="preserve"> Department of Prime Minister and Cabinet, 2019, Closing the Gap Report 2019</w:t>
      </w:r>
    </w:p>
  </w:endnote>
  <w:endnote w:id="2">
    <w:p w14:paraId="2CA8495C" w14:textId="77777777" w:rsidR="00BA3BC3" w:rsidRPr="0053050E" w:rsidRDefault="00BA3BC3">
      <w:pPr>
        <w:pStyle w:val="EndnoteText"/>
        <w:rPr>
          <w:rFonts w:asciiTheme="minorHAnsi" w:hAnsiTheme="minorHAnsi" w:cstheme="minorHAnsi"/>
          <w:sz w:val="16"/>
          <w:szCs w:val="16"/>
          <w:lang w:val="en-US"/>
        </w:rPr>
      </w:pPr>
      <w:r w:rsidRPr="0053050E">
        <w:rPr>
          <w:rStyle w:val="EndnoteReference"/>
          <w:rFonts w:asciiTheme="minorHAnsi" w:hAnsiTheme="minorHAnsi" w:cstheme="minorHAnsi"/>
          <w:sz w:val="16"/>
          <w:szCs w:val="16"/>
        </w:rPr>
        <w:endnoteRef/>
      </w:r>
      <w:r w:rsidRPr="0053050E">
        <w:rPr>
          <w:rFonts w:asciiTheme="minorHAnsi" w:hAnsiTheme="minorHAnsi" w:cstheme="minorHAnsi"/>
          <w:sz w:val="16"/>
          <w:szCs w:val="16"/>
        </w:rPr>
        <w:t xml:space="preserve"> </w:t>
      </w:r>
      <w:r w:rsidRPr="0053050E">
        <w:rPr>
          <w:rFonts w:asciiTheme="minorHAnsi" w:hAnsiTheme="minorHAnsi" w:cstheme="minorHAnsi"/>
          <w:sz w:val="16"/>
          <w:szCs w:val="16"/>
          <w:lang w:val="en-US"/>
        </w:rPr>
        <w:t>AIHW, ATSIHPF, p191.</w:t>
      </w:r>
    </w:p>
  </w:endnote>
  <w:endnote w:id="3">
    <w:p w14:paraId="4F130CB0" w14:textId="77777777" w:rsidR="00BA3BC3" w:rsidRPr="0053050E" w:rsidRDefault="00BA3BC3">
      <w:pPr>
        <w:pStyle w:val="EndnoteText"/>
        <w:rPr>
          <w:rFonts w:asciiTheme="minorHAnsi" w:hAnsiTheme="minorHAnsi" w:cstheme="minorHAnsi"/>
          <w:sz w:val="16"/>
          <w:szCs w:val="16"/>
        </w:rPr>
      </w:pPr>
      <w:r w:rsidRPr="0053050E">
        <w:rPr>
          <w:rStyle w:val="EndnoteReference"/>
          <w:rFonts w:asciiTheme="minorHAnsi" w:hAnsiTheme="minorHAnsi" w:cstheme="minorHAnsi"/>
          <w:sz w:val="16"/>
          <w:szCs w:val="16"/>
        </w:rPr>
        <w:endnoteRef/>
      </w:r>
      <w:r w:rsidRPr="0053050E">
        <w:rPr>
          <w:rFonts w:asciiTheme="minorHAnsi" w:hAnsiTheme="minorHAnsi" w:cstheme="minorHAnsi"/>
          <w:sz w:val="16"/>
          <w:szCs w:val="16"/>
        </w:rPr>
        <w:t xml:space="preserve"> Australian Institute of Health and Welfare 2016. Australian Burden of Disease Study: Impact and causes of illness and death in Aboriginal and Torres Strait Islander people 2011. Australian Burden of Disease Study series no. 6. Cat. no. BOD 7. Canberra: AIHW, p.viii. </w:t>
      </w:r>
    </w:p>
  </w:endnote>
  <w:endnote w:id="4">
    <w:p w14:paraId="28DA939B" w14:textId="77777777" w:rsidR="00BA3BC3" w:rsidRPr="0053050E" w:rsidRDefault="00BA3BC3">
      <w:pPr>
        <w:pStyle w:val="EndnoteText"/>
        <w:rPr>
          <w:rFonts w:asciiTheme="minorHAnsi" w:hAnsiTheme="minorHAnsi" w:cstheme="minorHAnsi"/>
          <w:sz w:val="16"/>
          <w:szCs w:val="16"/>
        </w:rPr>
      </w:pPr>
      <w:r w:rsidRPr="0053050E">
        <w:rPr>
          <w:rStyle w:val="EndnoteReference"/>
          <w:rFonts w:asciiTheme="minorHAnsi" w:hAnsiTheme="minorHAnsi" w:cstheme="minorHAnsi"/>
          <w:sz w:val="16"/>
          <w:szCs w:val="16"/>
        </w:rPr>
        <w:endnoteRef/>
      </w:r>
      <w:r w:rsidRPr="0053050E">
        <w:rPr>
          <w:rFonts w:asciiTheme="minorHAnsi" w:hAnsiTheme="minorHAnsi" w:cstheme="minorHAnsi"/>
          <w:sz w:val="16"/>
          <w:szCs w:val="16"/>
        </w:rPr>
        <w:t xml:space="preserve"> All figures in Table 1 from </w:t>
      </w:r>
      <w:r w:rsidRPr="0053050E">
        <w:rPr>
          <w:rFonts w:asciiTheme="minorHAnsi" w:hAnsiTheme="minorHAnsi" w:cstheme="minorHAnsi"/>
          <w:color w:val="1A1718"/>
          <w:sz w:val="16"/>
          <w:szCs w:val="16"/>
        </w:rPr>
        <w:t xml:space="preserve">Australian Health Ministers’ Advisory Council 2017. </w:t>
      </w:r>
      <w:r w:rsidRPr="0053050E">
        <w:rPr>
          <w:rFonts w:asciiTheme="minorHAnsi" w:hAnsiTheme="minorHAnsi" w:cstheme="minorHAnsi"/>
          <w:i/>
          <w:iCs/>
          <w:color w:val="1A1718"/>
          <w:sz w:val="16"/>
          <w:szCs w:val="16"/>
        </w:rPr>
        <w:t>Aboriginal and Torres Strait Islander Health Performance Framework 2017 Report</w:t>
      </w:r>
      <w:r w:rsidRPr="0053050E">
        <w:rPr>
          <w:rFonts w:asciiTheme="minorHAnsi" w:hAnsiTheme="minorHAnsi" w:cstheme="minorHAnsi"/>
          <w:color w:val="1A1718"/>
          <w:sz w:val="16"/>
          <w:szCs w:val="16"/>
        </w:rPr>
        <w:t>, AHMAC, Canberra, p.192.</w:t>
      </w:r>
    </w:p>
  </w:endnote>
  <w:endnote w:id="5">
    <w:p w14:paraId="76CC68ED" w14:textId="02F9FC70" w:rsidR="00BA3BC3" w:rsidRPr="00806909" w:rsidRDefault="00BA3BC3" w:rsidP="00806909">
      <w:pPr>
        <w:rPr>
          <w:rFonts w:asciiTheme="minorHAnsi" w:hAnsiTheme="minorHAnsi" w:cstheme="minorHAnsi"/>
          <w:sz w:val="16"/>
          <w:szCs w:val="16"/>
        </w:rPr>
      </w:pPr>
      <w:r w:rsidRPr="00806909">
        <w:rPr>
          <w:rStyle w:val="EndnoteReference"/>
          <w:rFonts w:asciiTheme="minorHAnsi" w:hAnsiTheme="minorHAnsi" w:cstheme="minorHAnsi"/>
          <w:sz w:val="16"/>
          <w:szCs w:val="16"/>
        </w:rPr>
        <w:endnoteRef/>
      </w:r>
      <w:r w:rsidRPr="00806909">
        <w:rPr>
          <w:rFonts w:asciiTheme="minorHAnsi" w:hAnsiTheme="minorHAnsi" w:cstheme="minorHAnsi"/>
          <w:sz w:val="16"/>
          <w:szCs w:val="16"/>
        </w:rPr>
        <w:t xml:space="preserve"> Australian Institute of Health and Welfare 2015. The health and welfare of Australia’s Aboriginal and Torres Strait Islander peoples 2015. Cat. no. IHW 147. Canberra: AIHW, p.150.</w:t>
      </w:r>
    </w:p>
  </w:endnote>
  <w:endnote w:id="6">
    <w:p w14:paraId="1AE23D64" w14:textId="12A3B4C0" w:rsidR="00BA3BC3" w:rsidRPr="00806909" w:rsidRDefault="00BA3BC3" w:rsidP="00806909">
      <w:pPr>
        <w:rPr>
          <w:rFonts w:asciiTheme="minorHAnsi" w:hAnsiTheme="minorHAnsi" w:cstheme="minorHAnsi"/>
          <w:sz w:val="16"/>
          <w:szCs w:val="16"/>
        </w:rPr>
      </w:pPr>
      <w:r w:rsidRPr="00806909">
        <w:rPr>
          <w:rStyle w:val="EndnoteReference"/>
          <w:rFonts w:asciiTheme="minorHAnsi" w:hAnsiTheme="minorHAnsi" w:cstheme="minorHAnsi"/>
          <w:sz w:val="16"/>
          <w:szCs w:val="16"/>
        </w:rPr>
        <w:endnoteRef/>
      </w:r>
      <w:r w:rsidRPr="00806909">
        <w:rPr>
          <w:rFonts w:asciiTheme="minorHAnsi" w:hAnsiTheme="minorHAnsi" w:cstheme="minorHAnsi"/>
          <w:sz w:val="16"/>
          <w:szCs w:val="16"/>
        </w:rPr>
        <w:t xml:space="preserve"> Australian Medical Association 2018. Rebuilding the Closing the Gap Health Strategy: Including a Review of the 2016 and 2017 AMA Indigenous Health Report Card Recommendations. Available online at: </w:t>
      </w:r>
      <w:hyperlink r:id="rId1" w:history="1">
        <w:r w:rsidRPr="00806909">
          <w:rPr>
            <w:rStyle w:val="Hyperlink"/>
            <w:rFonts w:asciiTheme="minorHAnsi" w:hAnsiTheme="minorHAnsi" w:cstheme="minorHAnsi"/>
            <w:sz w:val="16"/>
            <w:szCs w:val="16"/>
          </w:rPr>
          <w:t>https://ama.com.au/system/tdf/documents/2018%20AMA%20Report%20Card%20on%20Indigenous%20Health_1.pdf?file=1&amp;type=node&amp;id=49617</w:t>
        </w:r>
      </w:hyperlink>
    </w:p>
  </w:endnote>
  <w:endnote w:id="7">
    <w:p w14:paraId="7459F161" w14:textId="75FCFB23" w:rsidR="00BA3BC3" w:rsidRPr="0053050E" w:rsidRDefault="00BA3BC3">
      <w:pPr>
        <w:rPr>
          <w:rFonts w:asciiTheme="minorHAnsi" w:hAnsiTheme="minorHAnsi" w:cstheme="minorHAnsi"/>
          <w:sz w:val="16"/>
          <w:szCs w:val="16"/>
        </w:rPr>
      </w:pPr>
      <w:r w:rsidRPr="0053050E">
        <w:rPr>
          <w:rStyle w:val="EndnoteReference"/>
          <w:rFonts w:asciiTheme="minorHAnsi" w:hAnsiTheme="minorHAnsi" w:cstheme="minorHAnsi"/>
          <w:sz w:val="16"/>
          <w:szCs w:val="16"/>
        </w:rPr>
        <w:endnoteRef/>
      </w:r>
      <w:hyperlink r:id="rId2" w:history="1">
        <w:r w:rsidRPr="00806909">
          <w:rPr>
            <w:rStyle w:val="Hyperlink"/>
            <w:rFonts w:asciiTheme="minorHAnsi" w:hAnsiTheme="minorHAnsi" w:cstheme="minorHAnsi"/>
            <w:sz w:val="16"/>
            <w:szCs w:val="16"/>
          </w:rPr>
          <w:t>As</w:t>
        </w:r>
      </w:hyperlink>
      <w:r w:rsidRPr="00806909">
        <w:rPr>
          <w:rStyle w:val="Hyperlink"/>
          <w:rFonts w:asciiTheme="minorHAnsi" w:hAnsiTheme="minorHAnsi" w:cstheme="minorHAnsi"/>
          <w:sz w:val="16"/>
          <w:szCs w:val="16"/>
        </w:rPr>
        <w:t xml:space="preserve"> above</w:t>
      </w:r>
    </w:p>
  </w:endnote>
  <w:endnote w:id="8">
    <w:p w14:paraId="242CFE3E" w14:textId="168E930A" w:rsidR="00BA3BC3" w:rsidRPr="00806909" w:rsidRDefault="00BA3BC3">
      <w:pPr>
        <w:pStyle w:val="EndnoteText"/>
        <w:rPr>
          <w:rFonts w:asciiTheme="minorHAnsi" w:hAnsiTheme="minorHAnsi" w:cstheme="minorHAnsi"/>
          <w:color w:val="1A1718"/>
          <w:sz w:val="16"/>
          <w:szCs w:val="16"/>
        </w:rPr>
      </w:pPr>
      <w:r w:rsidRPr="0053050E">
        <w:rPr>
          <w:rStyle w:val="EndnoteReference"/>
          <w:rFonts w:asciiTheme="minorHAnsi" w:hAnsiTheme="minorHAnsi" w:cstheme="minorHAnsi"/>
          <w:sz w:val="16"/>
          <w:szCs w:val="16"/>
        </w:rPr>
        <w:endnoteRef/>
      </w:r>
      <w:r w:rsidRPr="0053050E">
        <w:rPr>
          <w:rFonts w:asciiTheme="minorHAnsi" w:hAnsiTheme="minorHAnsi" w:cstheme="minorHAnsi"/>
          <w:sz w:val="16"/>
          <w:szCs w:val="16"/>
        </w:rPr>
        <w:t xml:space="preserve"> </w:t>
      </w:r>
      <w:r w:rsidRPr="00806909">
        <w:rPr>
          <w:rFonts w:asciiTheme="minorHAnsi" w:hAnsiTheme="minorHAnsi" w:cstheme="minorHAnsi"/>
          <w:color w:val="1A1718"/>
          <w:sz w:val="16"/>
          <w:szCs w:val="16"/>
        </w:rPr>
        <w:t xml:space="preserve">Australian Health Ministers’ Advisory Council 2017. </w:t>
      </w:r>
      <w:r w:rsidRPr="00806909">
        <w:rPr>
          <w:rFonts w:asciiTheme="minorHAnsi" w:hAnsiTheme="minorHAnsi" w:cstheme="minorHAnsi"/>
          <w:i/>
          <w:iCs/>
          <w:color w:val="1A1718"/>
          <w:sz w:val="16"/>
          <w:szCs w:val="16"/>
        </w:rPr>
        <w:t>Aboriginal and Torres Strait Islander Health Performance Framework 2017 Report</w:t>
      </w:r>
      <w:r w:rsidRPr="00806909">
        <w:rPr>
          <w:rFonts w:asciiTheme="minorHAnsi" w:hAnsiTheme="minorHAnsi" w:cstheme="minorHAnsi"/>
          <w:color w:val="1A1718"/>
          <w:sz w:val="16"/>
          <w:szCs w:val="16"/>
        </w:rPr>
        <w:t>, AHMAC, Canberra, pp.191-2.</w:t>
      </w:r>
    </w:p>
  </w:endnote>
  <w:endnote w:id="9">
    <w:p w14:paraId="6D2258E7" w14:textId="77777777" w:rsidR="00BA3BC3" w:rsidRPr="0053050E" w:rsidRDefault="00BA3BC3">
      <w:pPr>
        <w:pStyle w:val="EndnoteText"/>
        <w:rPr>
          <w:rFonts w:asciiTheme="minorHAnsi" w:hAnsiTheme="minorHAnsi" w:cstheme="minorHAnsi"/>
          <w:sz w:val="16"/>
          <w:szCs w:val="16"/>
        </w:rPr>
      </w:pPr>
      <w:r w:rsidRPr="0053050E">
        <w:rPr>
          <w:rStyle w:val="EndnoteReference"/>
          <w:rFonts w:asciiTheme="minorHAnsi" w:hAnsiTheme="minorHAnsi" w:cstheme="minorHAnsi"/>
          <w:sz w:val="16"/>
          <w:szCs w:val="16"/>
        </w:rPr>
        <w:endnoteRef/>
      </w:r>
      <w:r w:rsidRPr="0053050E">
        <w:rPr>
          <w:rFonts w:asciiTheme="minorHAnsi" w:hAnsiTheme="minorHAnsi" w:cstheme="minorHAnsi"/>
          <w:sz w:val="16"/>
          <w:szCs w:val="16"/>
        </w:rPr>
        <w:t xml:space="preserve"> </w:t>
      </w:r>
      <w:r w:rsidRPr="0053050E">
        <w:rPr>
          <w:rFonts w:asciiTheme="minorHAnsi" w:hAnsiTheme="minorHAnsi" w:cstheme="minorHAnsi"/>
          <w:color w:val="1A1718"/>
          <w:sz w:val="16"/>
          <w:szCs w:val="16"/>
        </w:rPr>
        <w:t>As above.</w:t>
      </w:r>
    </w:p>
  </w:endnote>
  <w:endnote w:id="10">
    <w:p w14:paraId="59B98197" w14:textId="77777777" w:rsidR="00BA3BC3" w:rsidRPr="0053050E" w:rsidRDefault="00BA3BC3">
      <w:pPr>
        <w:pStyle w:val="EndnoteText"/>
        <w:rPr>
          <w:rFonts w:asciiTheme="minorHAnsi" w:hAnsiTheme="minorHAnsi" w:cstheme="minorHAnsi"/>
          <w:sz w:val="16"/>
          <w:szCs w:val="16"/>
        </w:rPr>
      </w:pPr>
      <w:r w:rsidRPr="0053050E">
        <w:rPr>
          <w:rStyle w:val="EndnoteReference"/>
          <w:rFonts w:asciiTheme="minorHAnsi" w:hAnsiTheme="minorHAnsi" w:cstheme="minorHAnsi"/>
          <w:sz w:val="16"/>
          <w:szCs w:val="16"/>
        </w:rPr>
        <w:endnoteRef/>
      </w:r>
      <w:r w:rsidRPr="0053050E">
        <w:rPr>
          <w:rFonts w:asciiTheme="minorHAnsi" w:hAnsiTheme="minorHAnsi" w:cstheme="minorHAnsi"/>
          <w:sz w:val="16"/>
          <w:szCs w:val="16"/>
        </w:rPr>
        <w:t xml:space="preserve"> As above.</w:t>
      </w:r>
    </w:p>
  </w:endnote>
  <w:endnote w:id="11">
    <w:p w14:paraId="3CAD5872" w14:textId="23AE9E7A" w:rsidR="00BA3BC3" w:rsidRPr="0053050E" w:rsidRDefault="00BA3BC3">
      <w:pPr>
        <w:rPr>
          <w:rFonts w:asciiTheme="minorHAnsi" w:hAnsiTheme="minorHAnsi" w:cstheme="minorHAnsi"/>
          <w:sz w:val="16"/>
          <w:szCs w:val="16"/>
        </w:rPr>
      </w:pPr>
      <w:r w:rsidRPr="0053050E">
        <w:rPr>
          <w:rStyle w:val="EndnoteReference"/>
          <w:rFonts w:asciiTheme="minorHAnsi" w:hAnsiTheme="minorHAnsi" w:cstheme="minorHAnsi"/>
          <w:sz w:val="16"/>
          <w:szCs w:val="16"/>
        </w:rPr>
        <w:endnoteRef/>
      </w:r>
      <w:r w:rsidRPr="0053050E">
        <w:rPr>
          <w:rFonts w:asciiTheme="minorHAnsi" w:hAnsiTheme="minorHAnsi" w:cstheme="minorHAnsi"/>
          <w:sz w:val="16"/>
          <w:szCs w:val="16"/>
        </w:rPr>
        <w:t xml:space="preserve"> </w:t>
      </w:r>
      <w:r w:rsidRPr="0053050E">
        <w:rPr>
          <w:rFonts w:asciiTheme="minorHAnsi" w:hAnsiTheme="minorHAnsi" w:cstheme="minorHAnsi"/>
          <w:color w:val="333333"/>
          <w:sz w:val="16"/>
          <w:szCs w:val="16"/>
          <w:shd w:val="clear" w:color="auto" w:fill="FEFEFE"/>
        </w:rPr>
        <w:t xml:space="preserve">Thomas, S., Zhao, Y., Guthridge, S.L. </w:t>
      </w:r>
      <w:r w:rsidRPr="0053050E">
        <w:rPr>
          <w:rFonts w:asciiTheme="minorHAnsi" w:hAnsiTheme="minorHAnsi" w:cstheme="minorHAnsi"/>
          <w:i/>
          <w:color w:val="333333"/>
          <w:sz w:val="16"/>
          <w:szCs w:val="16"/>
          <w:shd w:val="clear" w:color="auto" w:fill="FEFEFE"/>
        </w:rPr>
        <w:t xml:space="preserve">et al. </w:t>
      </w:r>
      <w:r w:rsidRPr="0053050E">
        <w:rPr>
          <w:rFonts w:asciiTheme="minorHAnsi" w:hAnsiTheme="minorHAnsi" w:cstheme="minorHAnsi"/>
          <w:color w:val="333333"/>
          <w:sz w:val="16"/>
          <w:szCs w:val="16"/>
          <w:shd w:val="clear" w:color="auto" w:fill="FEFEFE"/>
        </w:rPr>
        <w:t>2014.  ‘</w:t>
      </w:r>
      <w:r w:rsidRPr="0053050E">
        <w:rPr>
          <w:rFonts w:asciiTheme="minorHAnsi" w:hAnsiTheme="minorHAnsi" w:cstheme="minorHAnsi"/>
          <w:bCs/>
          <w:color w:val="0A0A0A"/>
          <w:sz w:val="16"/>
          <w:szCs w:val="16"/>
        </w:rPr>
        <w:t xml:space="preserve">The cost-effectiveness of primary care for Indigenous Australians with diabetes living in remote Northern Territory communities’, </w:t>
      </w:r>
      <w:r w:rsidRPr="0053050E">
        <w:rPr>
          <w:rStyle w:val="citation"/>
          <w:rFonts w:asciiTheme="minorHAnsi" w:hAnsiTheme="minorHAnsi" w:cstheme="minorHAnsi"/>
          <w:color w:val="333333"/>
          <w:sz w:val="16"/>
          <w:szCs w:val="16"/>
        </w:rPr>
        <w:t>Med J Aust 2014; 200 (11): 658-662.</w:t>
      </w:r>
      <w:r w:rsidRPr="0053050E">
        <w:rPr>
          <w:rStyle w:val="apple-converted-space"/>
          <w:rFonts w:asciiTheme="minorHAnsi" w:hAnsiTheme="minorHAnsi" w:cstheme="minorHAnsi"/>
          <w:color w:val="0A0A0A"/>
          <w:sz w:val="16"/>
          <w:szCs w:val="16"/>
          <w:shd w:val="clear" w:color="auto" w:fill="FEFEFE"/>
        </w:rPr>
        <w:t> </w:t>
      </w:r>
      <w:r w:rsidRPr="0053050E">
        <w:rPr>
          <w:rStyle w:val="doi"/>
          <w:rFonts w:asciiTheme="minorHAnsi" w:hAnsiTheme="minorHAnsi" w:cstheme="minorHAnsi"/>
          <w:color w:val="333333"/>
          <w:sz w:val="16"/>
          <w:szCs w:val="16"/>
        </w:rPr>
        <w:t>doi: 10.5694/mja13.11316</w:t>
      </w:r>
    </w:p>
  </w:endnote>
  <w:endnote w:id="12">
    <w:p w14:paraId="6126D80A" w14:textId="76AB97C8" w:rsidR="00BA3BC3" w:rsidRPr="0053050E" w:rsidRDefault="00BA3BC3">
      <w:pPr>
        <w:pStyle w:val="EndnoteText"/>
        <w:rPr>
          <w:rFonts w:asciiTheme="minorHAnsi" w:hAnsiTheme="minorHAnsi" w:cstheme="minorHAnsi"/>
          <w:sz w:val="16"/>
          <w:szCs w:val="16"/>
          <w:lang w:val="en-US"/>
        </w:rPr>
      </w:pPr>
      <w:r w:rsidRPr="0053050E">
        <w:rPr>
          <w:rStyle w:val="EndnoteReference"/>
          <w:rFonts w:asciiTheme="minorHAnsi" w:hAnsiTheme="minorHAnsi" w:cstheme="minorHAnsi"/>
          <w:sz w:val="16"/>
          <w:szCs w:val="16"/>
        </w:rPr>
        <w:endnoteRef/>
      </w:r>
      <w:r w:rsidRPr="0053050E">
        <w:rPr>
          <w:rFonts w:asciiTheme="minorHAnsi" w:hAnsiTheme="minorHAnsi" w:cstheme="minorHAnsi"/>
          <w:sz w:val="16"/>
          <w:szCs w:val="16"/>
        </w:rPr>
        <w:t xml:space="preserve"> </w:t>
      </w:r>
      <w:r w:rsidRPr="00806909">
        <w:rPr>
          <w:rFonts w:asciiTheme="minorHAnsi" w:hAnsiTheme="minorHAnsi" w:cstheme="minorHAnsi"/>
          <w:sz w:val="16"/>
          <w:szCs w:val="16"/>
        </w:rPr>
        <w:t xml:space="preserve">See fn.8. Australian Medical Association 2018. </w:t>
      </w:r>
    </w:p>
  </w:endnote>
  <w:endnote w:id="13">
    <w:p w14:paraId="2A3AF48A" w14:textId="5FB46652" w:rsidR="00BA3BC3" w:rsidRPr="0053050E" w:rsidRDefault="00BA3BC3">
      <w:pPr>
        <w:pStyle w:val="EndnoteText"/>
        <w:rPr>
          <w:rFonts w:asciiTheme="minorHAnsi" w:hAnsiTheme="minorHAnsi" w:cstheme="minorHAnsi"/>
          <w:sz w:val="16"/>
          <w:szCs w:val="16"/>
          <w:lang w:val="en-US"/>
        </w:rPr>
      </w:pPr>
      <w:r w:rsidRPr="0053050E">
        <w:rPr>
          <w:rStyle w:val="EndnoteReference"/>
          <w:rFonts w:asciiTheme="minorHAnsi" w:hAnsiTheme="minorHAnsi" w:cstheme="minorHAnsi"/>
          <w:sz w:val="16"/>
          <w:szCs w:val="16"/>
        </w:rPr>
        <w:endnoteRef/>
      </w:r>
      <w:r w:rsidRPr="0053050E">
        <w:rPr>
          <w:rFonts w:asciiTheme="minorHAnsi" w:hAnsiTheme="minorHAnsi" w:cstheme="minorHAnsi"/>
          <w:sz w:val="16"/>
          <w:szCs w:val="16"/>
        </w:rPr>
        <w:t xml:space="preserve"> </w:t>
      </w:r>
      <w:r w:rsidRPr="00806909">
        <w:rPr>
          <w:rFonts w:asciiTheme="minorHAnsi" w:hAnsiTheme="minorHAnsi" w:cstheme="minorHAnsi"/>
          <w:sz w:val="16"/>
          <w:szCs w:val="16"/>
        </w:rPr>
        <w:t>Australian Institute of Health and Welfare 2016. Australian Burden of Disease Study: Impact and causes of illness and death in Aboriginal and Torres Strait Islander people 2011. Australian Burden of Disease Study series no. 6. Cat. no. BOD 7. Canberra: AIHW, p.148.</w:t>
      </w:r>
    </w:p>
  </w:endnote>
  <w:endnote w:id="14">
    <w:p w14:paraId="32C4241B" w14:textId="7D027A85" w:rsidR="00BA3BC3" w:rsidRPr="0053050E" w:rsidRDefault="00BA3BC3">
      <w:pPr>
        <w:rPr>
          <w:rFonts w:asciiTheme="minorHAnsi" w:hAnsiTheme="minorHAnsi" w:cstheme="minorHAnsi"/>
          <w:sz w:val="16"/>
          <w:szCs w:val="16"/>
        </w:rPr>
      </w:pPr>
      <w:r w:rsidRPr="00806909">
        <w:rPr>
          <w:rStyle w:val="EndnoteReference"/>
          <w:rFonts w:asciiTheme="minorHAnsi" w:hAnsiTheme="minorHAnsi" w:cstheme="minorHAnsi"/>
          <w:sz w:val="16"/>
          <w:szCs w:val="16"/>
        </w:rPr>
        <w:endnoteRef/>
      </w:r>
      <w:r w:rsidRPr="00806909">
        <w:rPr>
          <w:rFonts w:asciiTheme="minorHAnsi" w:hAnsiTheme="minorHAnsi" w:cstheme="minorHAnsi"/>
          <w:sz w:val="16"/>
          <w:szCs w:val="16"/>
        </w:rPr>
        <w:t xml:space="preserve"> </w:t>
      </w:r>
      <w:r w:rsidRPr="00A809E6">
        <w:rPr>
          <w:rFonts w:asciiTheme="minorHAnsi" w:hAnsiTheme="minorHAnsi" w:cstheme="minorHAnsi"/>
          <w:bCs/>
          <w:color w:val="000000"/>
          <w:sz w:val="16"/>
          <w:szCs w:val="16"/>
          <w:shd w:val="clear" w:color="auto" w:fill="FFFFFF"/>
        </w:rPr>
        <w:t xml:space="preserve">Australian Bureau of Statistics 2016, National Aboriginal and Torres Strait Islander Social Survey, 2014-15. ABS cat no. 4714.0. Published online: </w:t>
      </w:r>
      <w:hyperlink r:id="rId3" w:history="1">
        <w:r w:rsidRPr="00806909">
          <w:rPr>
            <w:rFonts w:asciiTheme="minorHAnsi" w:hAnsiTheme="minorHAnsi" w:cstheme="minorHAnsi"/>
            <w:color w:val="0000FF"/>
            <w:sz w:val="16"/>
            <w:szCs w:val="16"/>
            <w:u w:val="single"/>
          </w:rPr>
          <w:t>https://www.abs.gov.au/ausstats/abs@.nsf/Lookup/by%20Subject/4714.0~2014-15~Feature%20Article~Aboriginal%20and%20Torres%20Strait%20Islander%20people%20with%20a%20mental%20health%20condition%20(Feature%20Article)~10</w:t>
        </w:r>
      </w:hyperlink>
    </w:p>
  </w:endnote>
  <w:endnote w:id="15">
    <w:p w14:paraId="29A9EEB6" w14:textId="4BCE0096" w:rsidR="00BA3BC3" w:rsidRPr="0053050E" w:rsidRDefault="00BA3BC3">
      <w:pPr>
        <w:pStyle w:val="EndnoteText"/>
        <w:rPr>
          <w:rFonts w:asciiTheme="minorHAnsi" w:hAnsiTheme="minorHAnsi" w:cstheme="minorHAnsi"/>
          <w:sz w:val="16"/>
          <w:szCs w:val="16"/>
          <w:lang w:val="en-US"/>
        </w:rPr>
      </w:pPr>
      <w:r w:rsidRPr="0053050E">
        <w:rPr>
          <w:rStyle w:val="EndnoteReference"/>
          <w:rFonts w:asciiTheme="minorHAnsi" w:hAnsiTheme="minorHAnsi" w:cstheme="minorHAnsi"/>
          <w:sz w:val="16"/>
          <w:szCs w:val="16"/>
        </w:rPr>
        <w:endnoteRef/>
      </w:r>
      <w:r w:rsidRPr="0053050E">
        <w:rPr>
          <w:rFonts w:asciiTheme="minorHAnsi" w:hAnsiTheme="minorHAnsi" w:cstheme="minorHAnsi"/>
          <w:sz w:val="16"/>
          <w:szCs w:val="16"/>
        </w:rPr>
        <w:t xml:space="preserve"> </w:t>
      </w:r>
      <w:r w:rsidRPr="00806909">
        <w:rPr>
          <w:rFonts w:asciiTheme="minorHAnsi" w:hAnsiTheme="minorHAnsi" w:cstheme="minorHAnsi"/>
          <w:sz w:val="16"/>
          <w:szCs w:val="16"/>
        </w:rPr>
        <w:t>See fn.15. Australian Institute of Health and Welfare 2016.</w:t>
      </w:r>
    </w:p>
  </w:endnote>
  <w:endnote w:id="16">
    <w:p w14:paraId="773779DB" w14:textId="1FBAB903" w:rsidR="00BA3BC3" w:rsidRPr="0053050E" w:rsidRDefault="00BA3BC3">
      <w:pPr>
        <w:pStyle w:val="EndnoteText"/>
        <w:rPr>
          <w:rFonts w:asciiTheme="minorHAnsi" w:hAnsiTheme="minorHAnsi" w:cstheme="minorHAnsi"/>
          <w:sz w:val="16"/>
          <w:szCs w:val="16"/>
          <w:lang w:val="en-US"/>
        </w:rPr>
      </w:pPr>
      <w:r w:rsidRPr="0053050E">
        <w:rPr>
          <w:rStyle w:val="EndnoteReference"/>
          <w:rFonts w:asciiTheme="minorHAnsi" w:hAnsiTheme="minorHAnsi" w:cstheme="minorHAnsi"/>
          <w:sz w:val="16"/>
          <w:szCs w:val="16"/>
        </w:rPr>
        <w:endnoteRef/>
      </w:r>
      <w:r w:rsidRPr="0053050E">
        <w:rPr>
          <w:rFonts w:asciiTheme="minorHAnsi" w:hAnsiTheme="minorHAnsi" w:cstheme="minorHAnsi"/>
          <w:sz w:val="16"/>
          <w:szCs w:val="16"/>
        </w:rPr>
        <w:t xml:space="preserve"> </w:t>
      </w:r>
      <w:r w:rsidRPr="00806909">
        <w:rPr>
          <w:rFonts w:asciiTheme="minorHAnsi" w:hAnsiTheme="minorHAnsi" w:cstheme="minorHAnsi"/>
          <w:sz w:val="16"/>
          <w:szCs w:val="16"/>
          <w:lang w:val="en-US"/>
        </w:rPr>
        <w:t>As above</w:t>
      </w:r>
    </w:p>
  </w:endnote>
  <w:endnote w:id="17">
    <w:p w14:paraId="264ABA2D" w14:textId="59586707" w:rsidR="00BA3BC3" w:rsidRPr="0053050E" w:rsidRDefault="00BA3BC3">
      <w:pPr>
        <w:pStyle w:val="EndnoteText"/>
        <w:rPr>
          <w:rFonts w:asciiTheme="minorHAnsi" w:hAnsiTheme="minorHAnsi" w:cstheme="minorHAnsi"/>
          <w:sz w:val="16"/>
          <w:szCs w:val="16"/>
          <w:lang w:val="en-US"/>
        </w:rPr>
      </w:pPr>
      <w:r w:rsidRPr="0053050E">
        <w:rPr>
          <w:rStyle w:val="EndnoteReference"/>
          <w:rFonts w:asciiTheme="minorHAnsi" w:hAnsiTheme="minorHAnsi" w:cstheme="minorHAnsi"/>
          <w:sz w:val="16"/>
          <w:szCs w:val="16"/>
        </w:rPr>
        <w:endnoteRef/>
      </w:r>
      <w:r w:rsidRPr="0053050E">
        <w:rPr>
          <w:rFonts w:asciiTheme="minorHAnsi" w:hAnsiTheme="minorHAnsi" w:cstheme="minorHAnsi"/>
          <w:sz w:val="16"/>
          <w:szCs w:val="16"/>
        </w:rPr>
        <w:t xml:space="preserve"> </w:t>
      </w:r>
      <w:r w:rsidRPr="00806909">
        <w:rPr>
          <w:rFonts w:asciiTheme="minorHAnsi" w:hAnsiTheme="minorHAnsi" w:cstheme="minorHAnsi"/>
          <w:sz w:val="16"/>
          <w:szCs w:val="16"/>
          <w:lang w:val="en-US"/>
        </w:rPr>
        <w:t>As above, p.144.</w:t>
      </w:r>
    </w:p>
  </w:endnote>
  <w:endnote w:id="18">
    <w:p w14:paraId="5792F538" w14:textId="4612C7FE" w:rsidR="00BA3BC3" w:rsidRPr="0053050E" w:rsidRDefault="00BA3BC3">
      <w:pPr>
        <w:pStyle w:val="EndnoteText"/>
        <w:rPr>
          <w:rFonts w:asciiTheme="minorHAnsi" w:hAnsiTheme="minorHAnsi" w:cstheme="minorHAnsi"/>
          <w:sz w:val="16"/>
          <w:szCs w:val="16"/>
          <w:lang w:val="en-US"/>
        </w:rPr>
      </w:pPr>
      <w:r w:rsidRPr="0053050E">
        <w:rPr>
          <w:rStyle w:val="EndnoteReference"/>
          <w:rFonts w:asciiTheme="minorHAnsi" w:hAnsiTheme="minorHAnsi" w:cstheme="minorHAnsi"/>
          <w:sz w:val="16"/>
          <w:szCs w:val="16"/>
        </w:rPr>
        <w:endnoteRef/>
      </w:r>
      <w:r w:rsidRPr="0053050E">
        <w:rPr>
          <w:rFonts w:asciiTheme="minorHAnsi" w:hAnsiTheme="minorHAnsi" w:cstheme="minorHAnsi"/>
          <w:sz w:val="16"/>
          <w:szCs w:val="16"/>
        </w:rPr>
        <w:t xml:space="preserve"> </w:t>
      </w:r>
      <w:r w:rsidRPr="00806909">
        <w:rPr>
          <w:rFonts w:asciiTheme="minorHAnsi" w:hAnsiTheme="minorHAnsi" w:cstheme="minorHAnsi"/>
          <w:sz w:val="16"/>
          <w:szCs w:val="16"/>
        </w:rPr>
        <w:t xml:space="preserve">As above, fn.10. </w:t>
      </w:r>
      <w:r w:rsidRPr="00806909">
        <w:rPr>
          <w:rFonts w:asciiTheme="minorHAnsi" w:hAnsiTheme="minorHAnsi" w:cstheme="minorHAnsi"/>
          <w:color w:val="1A1718"/>
          <w:sz w:val="16"/>
          <w:szCs w:val="16"/>
        </w:rPr>
        <w:t>Australian Health Ministers’ Advisory Council 2017.</w:t>
      </w:r>
    </w:p>
  </w:endnote>
  <w:endnote w:id="19">
    <w:p w14:paraId="3BD63D3C" w14:textId="598F3C74" w:rsidR="00BA3BC3" w:rsidRPr="0053050E" w:rsidRDefault="00BA3BC3">
      <w:pPr>
        <w:pStyle w:val="EndnoteText"/>
        <w:rPr>
          <w:rFonts w:asciiTheme="minorHAnsi" w:hAnsiTheme="minorHAnsi" w:cstheme="minorHAnsi"/>
          <w:sz w:val="16"/>
          <w:szCs w:val="16"/>
          <w:lang w:val="en-US"/>
        </w:rPr>
      </w:pPr>
      <w:r w:rsidRPr="0053050E">
        <w:rPr>
          <w:rStyle w:val="EndnoteReference"/>
          <w:rFonts w:asciiTheme="minorHAnsi" w:hAnsiTheme="minorHAnsi" w:cstheme="minorHAnsi"/>
          <w:sz w:val="16"/>
          <w:szCs w:val="16"/>
        </w:rPr>
        <w:endnoteRef/>
      </w:r>
      <w:r w:rsidRPr="0053050E">
        <w:rPr>
          <w:rFonts w:asciiTheme="minorHAnsi" w:hAnsiTheme="minorHAnsi" w:cstheme="minorHAnsi"/>
          <w:sz w:val="16"/>
          <w:szCs w:val="16"/>
        </w:rPr>
        <w:t xml:space="preserve"> </w:t>
      </w:r>
      <w:r w:rsidRPr="00806909">
        <w:rPr>
          <w:rFonts w:asciiTheme="minorHAnsi" w:hAnsiTheme="minorHAnsi" w:cstheme="minorHAnsi"/>
          <w:sz w:val="16"/>
          <w:szCs w:val="16"/>
          <w:lang w:val="en-US"/>
        </w:rPr>
        <w:t>As above</w:t>
      </w:r>
      <w:r w:rsidRPr="0053050E">
        <w:rPr>
          <w:rFonts w:asciiTheme="minorHAnsi" w:hAnsiTheme="minorHAnsi" w:cstheme="minorHAnsi"/>
          <w:sz w:val="16"/>
          <w:szCs w:val="16"/>
          <w:lang w:val="en-US"/>
        </w:rPr>
        <w:t>, p</w:t>
      </w:r>
      <w:r w:rsidRPr="00806909">
        <w:rPr>
          <w:rFonts w:asciiTheme="minorHAnsi" w:hAnsiTheme="minorHAnsi" w:cstheme="minorHAnsi"/>
          <w:sz w:val="16"/>
          <w:szCs w:val="16"/>
          <w:lang w:val="en-US"/>
        </w:rPr>
        <w:t>.</w:t>
      </w:r>
      <w:r w:rsidRPr="0053050E">
        <w:rPr>
          <w:rFonts w:asciiTheme="minorHAnsi" w:hAnsiTheme="minorHAnsi" w:cstheme="minorHAnsi"/>
          <w:sz w:val="16"/>
          <w:szCs w:val="16"/>
          <w:lang w:val="en-US"/>
        </w:rPr>
        <w:t>43</w:t>
      </w:r>
      <w:r w:rsidRPr="00806909">
        <w:rPr>
          <w:rFonts w:asciiTheme="minorHAnsi" w:hAnsiTheme="minorHAnsi" w:cstheme="minorHAnsi"/>
          <w:sz w:val="16"/>
          <w:szCs w:val="16"/>
          <w:lang w:val="en-US"/>
        </w:rPr>
        <w:t>.</w:t>
      </w:r>
    </w:p>
  </w:endnote>
  <w:endnote w:id="20">
    <w:p w14:paraId="24F8031C" w14:textId="670F1E88" w:rsidR="00BA3BC3" w:rsidRPr="0053050E" w:rsidRDefault="00BA3BC3">
      <w:pPr>
        <w:pStyle w:val="EndnoteText"/>
        <w:rPr>
          <w:rFonts w:asciiTheme="minorHAnsi" w:hAnsiTheme="minorHAnsi" w:cstheme="minorHAnsi"/>
          <w:sz w:val="16"/>
          <w:szCs w:val="16"/>
          <w:lang w:val="en-US"/>
        </w:rPr>
      </w:pPr>
      <w:r w:rsidRPr="0053050E">
        <w:rPr>
          <w:rStyle w:val="EndnoteReference"/>
          <w:rFonts w:asciiTheme="minorHAnsi" w:hAnsiTheme="minorHAnsi" w:cstheme="minorHAnsi"/>
          <w:sz w:val="16"/>
          <w:szCs w:val="16"/>
        </w:rPr>
        <w:endnoteRef/>
      </w:r>
      <w:r w:rsidRPr="0053050E">
        <w:rPr>
          <w:rFonts w:asciiTheme="minorHAnsi" w:hAnsiTheme="minorHAnsi" w:cstheme="minorHAnsi"/>
          <w:sz w:val="16"/>
          <w:szCs w:val="16"/>
        </w:rPr>
        <w:t xml:space="preserve"> </w:t>
      </w:r>
      <w:r w:rsidRPr="00806909">
        <w:rPr>
          <w:rFonts w:asciiTheme="minorHAnsi" w:hAnsiTheme="minorHAnsi" w:cstheme="minorHAnsi"/>
          <w:sz w:val="16"/>
          <w:szCs w:val="16"/>
          <w:lang w:val="en-US"/>
        </w:rPr>
        <w:t xml:space="preserve">As above, fn.19. </w:t>
      </w:r>
      <w:r w:rsidRPr="00806909">
        <w:rPr>
          <w:rFonts w:asciiTheme="minorHAnsi" w:hAnsiTheme="minorHAnsi" w:cstheme="minorHAnsi"/>
          <w:sz w:val="16"/>
          <w:szCs w:val="16"/>
        </w:rPr>
        <w:t>Australian Institute of Health and Welfare 2016.</w:t>
      </w:r>
    </w:p>
  </w:endnote>
  <w:endnote w:id="21">
    <w:p w14:paraId="66B3ED79" w14:textId="50AA785A" w:rsidR="00BA3BC3" w:rsidRPr="00806909" w:rsidRDefault="00BA3BC3">
      <w:pPr>
        <w:rPr>
          <w:rFonts w:asciiTheme="minorHAnsi" w:hAnsiTheme="minorHAnsi" w:cstheme="minorHAnsi"/>
          <w:sz w:val="16"/>
          <w:szCs w:val="16"/>
        </w:rPr>
      </w:pPr>
      <w:r w:rsidRPr="00806909">
        <w:rPr>
          <w:rStyle w:val="EndnoteReference"/>
          <w:rFonts w:asciiTheme="minorHAnsi" w:hAnsiTheme="minorHAnsi" w:cstheme="minorHAnsi"/>
          <w:sz w:val="16"/>
          <w:szCs w:val="16"/>
        </w:rPr>
        <w:endnoteRef/>
      </w:r>
      <w:r w:rsidRPr="00806909">
        <w:rPr>
          <w:rFonts w:asciiTheme="minorHAnsi" w:hAnsiTheme="minorHAnsi" w:cstheme="minorHAnsi"/>
          <w:sz w:val="16"/>
          <w:szCs w:val="16"/>
        </w:rPr>
        <w:t xml:space="preserve"> Australian Institute of Health and Welfare 2018, ‘Expenditure on mental health services’ Chapter in </w:t>
      </w:r>
      <w:r w:rsidRPr="00806909">
        <w:rPr>
          <w:rFonts w:asciiTheme="minorHAnsi" w:hAnsiTheme="minorHAnsi" w:cstheme="minorHAnsi"/>
          <w:i/>
          <w:sz w:val="16"/>
          <w:szCs w:val="16"/>
        </w:rPr>
        <w:t>Mental Health Services in Australia</w:t>
      </w:r>
      <w:r w:rsidRPr="00806909">
        <w:rPr>
          <w:rFonts w:asciiTheme="minorHAnsi" w:hAnsiTheme="minorHAnsi" w:cstheme="minorHAnsi"/>
          <w:sz w:val="16"/>
          <w:szCs w:val="16"/>
        </w:rPr>
        <w:t xml:space="preserve">. Published online: </w:t>
      </w:r>
      <w:hyperlink r:id="rId4" w:history="1">
        <w:r w:rsidRPr="00A809E6">
          <w:rPr>
            <w:rStyle w:val="Hyperlink"/>
            <w:rFonts w:asciiTheme="minorHAnsi" w:hAnsiTheme="minorHAnsi" w:cstheme="minorHAnsi"/>
            <w:sz w:val="16"/>
            <w:szCs w:val="16"/>
          </w:rPr>
          <w:t>https://www.aihw.gov.au/getmedia/a188ec24-8542-48a7-8d8f-c20842200b5a/Expenditure-on-mental-health-services-2016-17.pdf.aspx</w:t>
        </w:r>
      </w:hyperlink>
    </w:p>
  </w:endnote>
  <w:endnote w:id="22">
    <w:p w14:paraId="1FAA2BF4" w14:textId="77777777" w:rsidR="00BA3BC3" w:rsidRPr="0053050E" w:rsidRDefault="00BA3BC3">
      <w:pPr>
        <w:pStyle w:val="NormalWeb"/>
        <w:spacing w:before="0" w:beforeAutospacing="0" w:after="0" w:afterAutospacing="0"/>
        <w:rPr>
          <w:rFonts w:asciiTheme="minorHAnsi" w:hAnsiTheme="minorHAnsi" w:cstheme="minorHAnsi"/>
          <w:sz w:val="16"/>
          <w:szCs w:val="16"/>
        </w:rPr>
      </w:pPr>
      <w:r w:rsidRPr="0053050E">
        <w:rPr>
          <w:rStyle w:val="EndnoteReference"/>
          <w:rFonts w:asciiTheme="minorHAnsi" w:hAnsiTheme="minorHAnsi" w:cstheme="minorHAnsi"/>
          <w:sz w:val="16"/>
          <w:szCs w:val="16"/>
        </w:rPr>
        <w:endnoteRef/>
      </w:r>
      <w:r w:rsidRPr="0053050E">
        <w:rPr>
          <w:rFonts w:asciiTheme="minorHAnsi" w:hAnsiTheme="minorHAnsi" w:cstheme="minorHAnsi"/>
          <w:sz w:val="16"/>
          <w:szCs w:val="16"/>
        </w:rPr>
        <w:t xml:space="preserve"> National Mental Health Commission, 2014: Specific Challenges for Aboriginal and Torres Strait Islander People: A Summary of the National Review of Mental Health Programmes and Services. Sydney </w:t>
      </w:r>
    </w:p>
  </w:endnote>
  <w:endnote w:id="23">
    <w:p w14:paraId="5E64DFD1" w14:textId="5D95A109" w:rsidR="00BA3BC3" w:rsidRPr="0053050E" w:rsidRDefault="00BA3BC3">
      <w:pPr>
        <w:pStyle w:val="NormalWeb"/>
        <w:spacing w:before="0" w:beforeAutospacing="0" w:after="0" w:afterAutospacing="0"/>
        <w:rPr>
          <w:rFonts w:asciiTheme="minorHAnsi" w:hAnsiTheme="minorHAnsi" w:cstheme="minorHAnsi"/>
          <w:sz w:val="16"/>
          <w:szCs w:val="16"/>
        </w:rPr>
      </w:pPr>
      <w:r w:rsidRPr="0053050E">
        <w:rPr>
          <w:rStyle w:val="EndnoteReference"/>
          <w:rFonts w:asciiTheme="minorHAnsi" w:hAnsiTheme="minorHAnsi" w:cstheme="minorHAnsi"/>
          <w:sz w:val="16"/>
          <w:szCs w:val="16"/>
        </w:rPr>
        <w:endnoteRef/>
      </w:r>
      <w:r w:rsidRPr="0053050E">
        <w:rPr>
          <w:rFonts w:asciiTheme="minorHAnsi" w:hAnsiTheme="minorHAnsi" w:cstheme="minorHAnsi"/>
          <w:sz w:val="16"/>
          <w:szCs w:val="16"/>
        </w:rPr>
        <w:t xml:space="preserve"> </w:t>
      </w:r>
      <w:r w:rsidRPr="00806909">
        <w:rPr>
          <w:rFonts w:asciiTheme="minorHAnsi" w:hAnsiTheme="minorHAnsi" w:cstheme="minorHAnsi"/>
          <w:sz w:val="16"/>
          <w:szCs w:val="16"/>
        </w:rPr>
        <w:t>As above.</w:t>
      </w:r>
      <w:r w:rsidRPr="0053050E">
        <w:rPr>
          <w:rFonts w:asciiTheme="minorHAnsi" w:hAnsiTheme="minorHAnsi" w:cstheme="minorHAnsi"/>
          <w:sz w:val="16"/>
          <w:szCs w:val="16"/>
        </w:rPr>
        <w:t xml:space="preserve"> </w:t>
      </w:r>
    </w:p>
  </w:endnote>
  <w:endnote w:id="24">
    <w:p w14:paraId="5EEB4D42" w14:textId="1FCD09B0" w:rsidR="00BA3BC3" w:rsidRPr="0053050E" w:rsidRDefault="00BA3BC3">
      <w:pPr>
        <w:pStyle w:val="NormalWeb"/>
        <w:spacing w:before="0" w:beforeAutospacing="0" w:after="0" w:afterAutospacing="0"/>
        <w:rPr>
          <w:rFonts w:asciiTheme="minorHAnsi" w:hAnsiTheme="minorHAnsi" w:cstheme="minorHAnsi"/>
          <w:sz w:val="16"/>
          <w:szCs w:val="16"/>
        </w:rPr>
      </w:pPr>
      <w:r w:rsidRPr="0053050E">
        <w:rPr>
          <w:rStyle w:val="EndnoteReference"/>
          <w:rFonts w:asciiTheme="minorHAnsi" w:hAnsiTheme="minorHAnsi" w:cstheme="minorHAnsi"/>
          <w:sz w:val="16"/>
          <w:szCs w:val="16"/>
        </w:rPr>
        <w:endnoteRef/>
      </w:r>
      <w:r w:rsidRPr="0053050E">
        <w:rPr>
          <w:rFonts w:asciiTheme="minorHAnsi" w:hAnsiTheme="minorHAnsi" w:cstheme="minorHAnsi"/>
          <w:sz w:val="16"/>
          <w:szCs w:val="16"/>
        </w:rPr>
        <w:t xml:space="preserve"> </w:t>
      </w:r>
      <w:r w:rsidRPr="00806909">
        <w:rPr>
          <w:rFonts w:asciiTheme="minorHAnsi" w:hAnsiTheme="minorHAnsi" w:cstheme="minorHAnsi"/>
          <w:sz w:val="16"/>
          <w:szCs w:val="16"/>
        </w:rPr>
        <w:t xml:space="preserve">As above. As above, fn.10. </w:t>
      </w:r>
      <w:r w:rsidRPr="00806909">
        <w:rPr>
          <w:rFonts w:asciiTheme="minorHAnsi" w:hAnsiTheme="minorHAnsi" w:cstheme="minorHAnsi"/>
          <w:color w:val="1A1718"/>
          <w:sz w:val="16"/>
          <w:szCs w:val="16"/>
        </w:rPr>
        <w:t>Australian Health Ministers’ Advisory Council 2017, p.167.</w:t>
      </w:r>
    </w:p>
  </w:endnote>
  <w:endnote w:id="25">
    <w:p w14:paraId="03FFD23E" w14:textId="17F95738" w:rsidR="00BA3BC3" w:rsidRPr="0053050E" w:rsidRDefault="00BA3BC3">
      <w:pPr>
        <w:rPr>
          <w:rFonts w:asciiTheme="minorHAnsi" w:hAnsiTheme="minorHAnsi" w:cstheme="minorHAnsi"/>
          <w:sz w:val="16"/>
          <w:szCs w:val="16"/>
        </w:rPr>
      </w:pPr>
      <w:r w:rsidRPr="0053050E">
        <w:rPr>
          <w:rStyle w:val="EndnoteReference"/>
          <w:rFonts w:asciiTheme="minorHAnsi" w:hAnsiTheme="minorHAnsi" w:cstheme="minorHAnsi"/>
          <w:sz w:val="16"/>
          <w:szCs w:val="16"/>
        </w:rPr>
        <w:endnoteRef/>
      </w:r>
      <w:r w:rsidRPr="0053050E">
        <w:rPr>
          <w:rFonts w:asciiTheme="minorHAnsi" w:hAnsiTheme="minorHAnsi" w:cstheme="minorHAnsi"/>
          <w:sz w:val="16"/>
          <w:szCs w:val="16"/>
        </w:rPr>
        <w:t xml:space="preserve"> </w:t>
      </w:r>
      <w:r w:rsidRPr="00806909">
        <w:rPr>
          <w:rFonts w:asciiTheme="minorHAnsi" w:hAnsiTheme="minorHAnsi" w:cstheme="minorHAnsi"/>
          <w:sz w:val="16"/>
          <w:szCs w:val="16"/>
        </w:rPr>
        <w:t xml:space="preserve">As above. As above, fn.10. </w:t>
      </w:r>
      <w:r w:rsidRPr="00806909">
        <w:rPr>
          <w:rFonts w:asciiTheme="minorHAnsi" w:hAnsiTheme="minorHAnsi" w:cstheme="minorHAnsi"/>
          <w:color w:val="1A1718"/>
          <w:sz w:val="16"/>
          <w:szCs w:val="16"/>
        </w:rPr>
        <w:t>Australian Health Ministers’ Advisory Council 2017, p.167.</w:t>
      </w:r>
    </w:p>
  </w:endnote>
  <w:endnote w:id="26">
    <w:p w14:paraId="08315245" w14:textId="13341D5B" w:rsidR="00BA3BC3" w:rsidRPr="00806909" w:rsidRDefault="00BA3BC3" w:rsidP="00806909">
      <w:pPr>
        <w:pStyle w:val="Heading1"/>
        <w:shd w:val="clear" w:color="auto" w:fill="FAFAFA"/>
        <w:spacing w:before="0"/>
        <w:rPr>
          <w:rFonts w:asciiTheme="minorHAnsi" w:hAnsiTheme="minorHAnsi" w:cstheme="minorHAnsi"/>
          <w:color w:val="000000"/>
          <w:kern w:val="36"/>
          <w:sz w:val="16"/>
          <w:szCs w:val="16"/>
        </w:rPr>
      </w:pPr>
      <w:r w:rsidRPr="00806909">
        <w:rPr>
          <w:rStyle w:val="EndnoteReference"/>
          <w:rFonts w:asciiTheme="minorHAnsi" w:hAnsiTheme="minorHAnsi" w:cstheme="minorHAnsi"/>
          <w:sz w:val="16"/>
          <w:szCs w:val="16"/>
        </w:rPr>
        <w:endnoteRef/>
      </w:r>
      <w:r w:rsidRPr="00806909">
        <w:rPr>
          <w:rFonts w:asciiTheme="minorHAnsi" w:hAnsiTheme="minorHAnsi" w:cstheme="minorHAnsi"/>
          <w:sz w:val="16"/>
          <w:szCs w:val="16"/>
        </w:rPr>
        <w:t xml:space="preserve"> </w:t>
      </w:r>
      <w:r w:rsidRPr="0053344A">
        <w:rPr>
          <w:rFonts w:asciiTheme="minorHAnsi" w:eastAsia="Times New Roman" w:hAnsiTheme="minorHAnsi" w:cstheme="minorHAnsi"/>
          <w:color w:val="1A1718"/>
          <w:sz w:val="16"/>
          <w:szCs w:val="16"/>
        </w:rPr>
        <w:t xml:space="preserve">Hunt, G (Minister for Health) 2019, $1.45 billion to strengthen mental health services and support job security (Media release). </w:t>
      </w:r>
      <w:r>
        <w:rPr>
          <w:rFonts w:asciiTheme="minorHAnsi" w:eastAsia="Times New Roman" w:hAnsiTheme="minorHAnsi" w:cstheme="minorHAnsi"/>
          <w:color w:val="000000"/>
          <w:kern w:val="36"/>
          <w:sz w:val="16"/>
          <w:szCs w:val="16"/>
        </w:rPr>
        <w:t xml:space="preserve">Available oinline: </w:t>
      </w:r>
      <w:hyperlink r:id="rId5" w:history="1">
        <w:r w:rsidRPr="00806909">
          <w:rPr>
            <w:rStyle w:val="Hyperlink"/>
            <w:rFonts w:asciiTheme="minorHAnsi" w:hAnsiTheme="minorHAnsi" w:cstheme="minorHAnsi"/>
            <w:sz w:val="16"/>
            <w:szCs w:val="16"/>
          </w:rPr>
          <w:t>http://www.health.gov.au/internet/ministers/publishing.nsf/Content/health-mediarel-yr2019-hunt008.htm</w:t>
        </w:r>
      </w:hyperlink>
    </w:p>
  </w:endnote>
  <w:endnote w:id="27">
    <w:p w14:paraId="1B3A8F62" w14:textId="4DAAAD55" w:rsidR="00BA3BC3" w:rsidRPr="0053050E" w:rsidRDefault="00BA3BC3">
      <w:pPr>
        <w:rPr>
          <w:rFonts w:asciiTheme="minorHAnsi" w:hAnsiTheme="minorHAnsi" w:cstheme="minorHAnsi"/>
          <w:sz w:val="16"/>
          <w:szCs w:val="16"/>
        </w:rPr>
      </w:pPr>
      <w:r w:rsidRPr="0053050E">
        <w:rPr>
          <w:rStyle w:val="EndnoteReference"/>
          <w:rFonts w:asciiTheme="minorHAnsi" w:hAnsiTheme="minorHAnsi" w:cstheme="minorHAnsi"/>
          <w:sz w:val="16"/>
          <w:szCs w:val="16"/>
        </w:rPr>
        <w:endnoteRef/>
      </w:r>
      <w:r w:rsidRPr="0053050E">
        <w:rPr>
          <w:rFonts w:asciiTheme="minorHAnsi" w:hAnsiTheme="minorHAnsi" w:cstheme="minorHAnsi"/>
          <w:sz w:val="16"/>
          <w:szCs w:val="16"/>
        </w:rPr>
        <w:t xml:space="preserve"> </w:t>
      </w:r>
      <w:r w:rsidRPr="00806909">
        <w:rPr>
          <w:rFonts w:asciiTheme="minorHAnsi" w:hAnsiTheme="minorHAnsi" w:cstheme="minorHAnsi"/>
          <w:sz w:val="16"/>
          <w:szCs w:val="16"/>
        </w:rPr>
        <w:t xml:space="preserve">Commonwealth of Australia 2018, Budget 2018-19, Portfolio Budget Statements 2018-19, Budget Related Paper No 1.14, Prime Minister and Cabinet Portfolio. Available online: </w:t>
      </w:r>
      <w:r w:rsidRPr="00806909">
        <w:rPr>
          <w:rFonts w:asciiTheme="minorHAnsi" w:hAnsiTheme="minorHAnsi" w:cstheme="minorHAnsi"/>
          <w:sz w:val="16"/>
          <w:szCs w:val="16"/>
          <w:lang w:val="en-US" w:eastAsia="en-AU"/>
        </w:rPr>
        <w:t>https://www.aph.gov.au/Parliamentary_Business/Senate.../~/.../health509.pdf</w:t>
      </w:r>
    </w:p>
  </w:endnote>
  <w:endnote w:id="28">
    <w:p w14:paraId="309B5840" w14:textId="77777777" w:rsidR="00BA3BC3" w:rsidRPr="0053050E" w:rsidRDefault="00BA3BC3">
      <w:pPr>
        <w:pStyle w:val="NormalWeb"/>
        <w:spacing w:before="0" w:beforeAutospacing="0" w:after="0" w:afterAutospacing="0"/>
        <w:rPr>
          <w:rFonts w:asciiTheme="minorHAnsi" w:hAnsiTheme="minorHAnsi" w:cstheme="minorHAnsi"/>
          <w:sz w:val="16"/>
          <w:szCs w:val="16"/>
        </w:rPr>
      </w:pPr>
      <w:r w:rsidRPr="0053050E">
        <w:rPr>
          <w:rStyle w:val="EndnoteReference"/>
          <w:rFonts w:asciiTheme="minorHAnsi" w:hAnsiTheme="minorHAnsi" w:cstheme="minorHAnsi"/>
          <w:sz w:val="16"/>
          <w:szCs w:val="16"/>
        </w:rPr>
        <w:endnoteRef/>
      </w:r>
      <w:r w:rsidRPr="0053050E">
        <w:rPr>
          <w:rFonts w:asciiTheme="minorHAnsi" w:hAnsiTheme="minorHAnsi" w:cstheme="minorHAnsi"/>
          <w:sz w:val="16"/>
          <w:szCs w:val="16"/>
        </w:rPr>
        <w:t xml:space="preserve"> Australian Institute of Health and Welfare 2017. Aboriginal and Torres Strait Islander health organisations: Online Services Report—key results 2015–16. Aboriginal and Torres Strait Islander health services report no. 8. Cat. no. IHW 180. Canberra: AIHW. </w:t>
      </w:r>
    </w:p>
  </w:endnote>
  <w:endnote w:id="29">
    <w:p w14:paraId="52956B30" w14:textId="77777777" w:rsidR="00BA3BC3" w:rsidRPr="0053050E" w:rsidRDefault="00BA3BC3">
      <w:pPr>
        <w:rPr>
          <w:rFonts w:asciiTheme="minorHAnsi" w:hAnsiTheme="minorHAnsi" w:cstheme="minorHAnsi"/>
          <w:sz w:val="16"/>
          <w:szCs w:val="16"/>
          <w:lang w:val="en-US"/>
        </w:rPr>
      </w:pPr>
      <w:r w:rsidRPr="0053050E">
        <w:rPr>
          <w:rStyle w:val="EndnoteReference"/>
          <w:rFonts w:asciiTheme="minorHAnsi" w:hAnsiTheme="minorHAnsi" w:cstheme="minorHAnsi"/>
          <w:sz w:val="16"/>
          <w:szCs w:val="16"/>
        </w:rPr>
        <w:endnoteRef/>
      </w:r>
      <w:r w:rsidRPr="0053050E">
        <w:rPr>
          <w:rFonts w:asciiTheme="minorHAnsi" w:hAnsiTheme="minorHAnsi" w:cstheme="minorHAnsi"/>
          <w:sz w:val="16"/>
          <w:szCs w:val="16"/>
        </w:rPr>
        <w:t xml:space="preserve"> </w:t>
      </w:r>
      <w:r w:rsidRPr="0053050E">
        <w:rPr>
          <w:rFonts w:asciiTheme="minorHAnsi" w:hAnsiTheme="minorHAnsi" w:cstheme="minorHAnsi"/>
          <w:color w:val="000000"/>
          <w:sz w:val="16"/>
          <w:szCs w:val="16"/>
          <w:shd w:val="clear" w:color="auto" w:fill="FFFFFF"/>
          <w:lang w:val="en-US"/>
        </w:rPr>
        <w:t>Panaretto K, Wenitong M, Button S and Ring I, ‘Aboriginal community controlled health services: leading the way in primary care’ (2014) 200(11) </w:t>
      </w:r>
      <w:r w:rsidRPr="0053050E">
        <w:rPr>
          <w:rFonts w:asciiTheme="minorHAnsi" w:hAnsiTheme="minorHAnsi" w:cstheme="minorHAnsi"/>
          <w:i/>
          <w:iCs/>
          <w:color w:val="000000"/>
          <w:sz w:val="16"/>
          <w:szCs w:val="16"/>
          <w:lang w:val="en-US"/>
        </w:rPr>
        <w:t>Medical Journal of Australia,</w:t>
      </w:r>
      <w:r w:rsidRPr="0053050E">
        <w:rPr>
          <w:rFonts w:asciiTheme="minorHAnsi" w:hAnsiTheme="minorHAnsi" w:cstheme="minorHAnsi"/>
          <w:color w:val="000000"/>
          <w:sz w:val="16"/>
          <w:szCs w:val="16"/>
          <w:shd w:val="clear" w:color="auto" w:fill="FFFFFF"/>
          <w:lang w:val="en-US"/>
        </w:rPr>
        <w:t> 200 (11) 649; </w:t>
      </w:r>
      <w:r w:rsidRPr="0053050E">
        <w:rPr>
          <w:rFonts w:asciiTheme="minorHAnsi" w:hAnsiTheme="minorHAnsi" w:cstheme="minorHAnsi"/>
          <w:color w:val="000000"/>
          <w:sz w:val="16"/>
          <w:szCs w:val="16"/>
          <w:lang w:val="en-US"/>
        </w:rPr>
        <w:t>Thompson SC, Haynes E, Shahid S, Woods JA, Katzenellengogen, Teng T-H, Davidson PM and Boxall A, 'Effectiveness of primary health care for Aboriginal Australians'. Unpublished literature review commissioned by the Australian Government Department of Health, 2013 as cited in Mackey, P, Boxall, A-M, Partel K (2014) ‘The relative effectiveness of Aboriginal Community Controlled Health Services compared with mainstream health service’, </w:t>
      </w:r>
      <w:r w:rsidRPr="0053050E">
        <w:rPr>
          <w:rFonts w:asciiTheme="minorHAnsi" w:hAnsiTheme="minorHAnsi" w:cstheme="minorHAnsi"/>
          <w:i/>
          <w:iCs/>
          <w:color w:val="000000"/>
          <w:sz w:val="16"/>
          <w:szCs w:val="16"/>
          <w:lang w:val="en-US"/>
        </w:rPr>
        <w:t>Deeble Institute Evidence Brief</w:t>
      </w:r>
      <w:r w:rsidRPr="0053050E">
        <w:rPr>
          <w:rFonts w:asciiTheme="minorHAnsi" w:hAnsiTheme="minorHAnsi" w:cstheme="minorHAnsi"/>
          <w:color w:val="000000"/>
          <w:sz w:val="16"/>
          <w:szCs w:val="16"/>
          <w:lang w:val="en-US"/>
        </w:rPr>
        <w:t>, No 12.</w:t>
      </w:r>
    </w:p>
  </w:endnote>
  <w:endnote w:id="30">
    <w:p w14:paraId="493DE568" w14:textId="77777777" w:rsidR="00BA3BC3" w:rsidRPr="0053050E" w:rsidRDefault="00BA3BC3">
      <w:pPr>
        <w:pStyle w:val="EndnoteText"/>
        <w:rPr>
          <w:rFonts w:asciiTheme="minorHAnsi" w:hAnsiTheme="minorHAnsi" w:cstheme="minorHAnsi"/>
          <w:sz w:val="16"/>
          <w:szCs w:val="16"/>
          <w:lang w:val="en-US"/>
        </w:rPr>
      </w:pPr>
      <w:r w:rsidRPr="0053050E">
        <w:rPr>
          <w:rStyle w:val="EndnoteReference"/>
          <w:rFonts w:asciiTheme="minorHAnsi" w:hAnsiTheme="minorHAnsi" w:cstheme="minorHAnsi"/>
          <w:sz w:val="16"/>
          <w:szCs w:val="16"/>
        </w:rPr>
        <w:endnoteRef/>
      </w:r>
      <w:r w:rsidRPr="0053050E">
        <w:rPr>
          <w:rFonts w:asciiTheme="minorHAnsi" w:hAnsiTheme="minorHAnsi" w:cstheme="minorHAnsi"/>
          <w:sz w:val="16"/>
          <w:szCs w:val="16"/>
        </w:rPr>
        <w:t xml:space="preserve"> The Senate - Legal and Constitutional Affairs References Committee. Value of a justice reinvestment approach to criminal justice in Australia Canberra: Commonwealth of Australia, 2013</w:t>
      </w:r>
    </w:p>
  </w:endnote>
  <w:endnote w:id="31">
    <w:p w14:paraId="66969FDE" w14:textId="0F23E780" w:rsidR="00BA3BC3" w:rsidRPr="0053050E" w:rsidRDefault="00BA3BC3">
      <w:pPr>
        <w:rPr>
          <w:rFonts w:asciiTheme="minorHAnsi" w:hAnsiTheme="minorHAnsi" w:cstheme="minorHAnsi"/>
          <w:sz w:val="16"/>
          <w:szCs w:val="16"/>
        </w:rPr>
      </w:pPr>
      <w:r w:rsidRPr="00806909">
        <w:rPr>
          <w:rStyle w:val="EndnoteReference"/>
          <w:rFonts w:asciiTheme="minorHAnsi" w:hAnsiTheme="minorHAnsi" w:cstheme="minorHAnsi"/>
          <w:sz w:val="16"/>
          <w:szCs w:val="16"/>
        </w:rPr>
        <w:endnoteRef/>
      </w:r>
      <w:r w:rsidRPr="00806909">
        <w:rPr>
          <w:rFonts w:asciiTheme="minorHAnsi" w:hAnsiTheme="minorHAnsi" w:cstheme="minorHAnsi"/>
          <w:sz w:val="16"/>
          <w:szCs w:val="16"/>
        </w:rPr>
        <w:t xml:space="preserve"> </w:t>
      </w:r>
      <w:r w:rsidRPr="00A809E6">
        <w:rPr>
          <w:rFonts w:asciiTheme="minorHAnsi" w:hAnsiTheme="minorHAnsi" w:cstheme="minorHAnsi"/>
          <w:bCs/>
          <w:color w:val="000000"/>
          <w:sz w:val="16"/>
          <w:szCs w:val="16"/>
          <w:shd w:val="clear" w:color="auto" w:fill="FFFFFF"/>
        </w:rPr>
        <w:t xml:space="preserve">Australian Bureau of Statistics 2018, </w:t>
      </w:r>
      <w:r w:rsidRPr="00806909">
        <w:rPr>
          <w:rFonts w:asciiTheme="minorHAnsi" w:hAnsiTheme="minorHAnsi" w:cstheme="minorHAnsi"/>
          <w:bCs/>
          <w:color w:val="000000"/>
          <w:sz w:val="16"/>
          <w:szCs w:val="16"/>
          <w:shd w:val="clear" w:color="auto" w:fill="FFFFFF"/>
        </w:rPr>
        <w:t>Aboriginal</w:t>
      </w:r>
      <w:r w:rsidRPr="00A809E6">
        <w:rPr>
          <w:rFonts w:asciiTheme="minorHAnsi" w:hAnsiTheme="minorHAnsi" w:cstheme="minorHAnsi"/>
          <w:bCs/>
          <w:color w:val="000000"/>
          <w:sz w:val="16"/>
          <w:szCs w:val="16"/>
          <w:shd w:val="clear" w:color="auto" w:fill="FFFFFF"/>
        </w:rPr>
        <w:t xml:space="preserve"> and Torres Strait Islander Prisoner Characteristics Prisoners in Australia, 2018. ABS cat. no. 4517.0 Published online: </w:t>
      </w:r>
      <w:hyperlink r:id="rId6" w:history="1">
        <w:r w:rsidRPr="00806909">
          <w:rPr>
            <w:rStyle w:val="Hyperlink"/>
            <w:rFonts w:asciiTheme="minorHAnsi" w:hAnsiTheme="minorHAnsi" w:cstheme="minorHAnsi"/>
            <w:sz w:val="16"/>
            <w:szCs w:val="16"/>
          </w:rPr>
          <w:t>https://www.abs.gov.au/ausstats/abs@.nsf/Lookup/by%20Subject/4517.0~2018~Main%20Features~Aboriginal%20and%20Torres%20Strait%20Islander%20prisoner%20characteristics%20~13</w:t>
        </w:r>
      </w:hyperlink>
    </w:p>
  </w:endnote>
  <w:endnote w:id="32">
    <w:p w14:paraId="157C20BA" w14:textId="7974E909" w:rsidR="00BA3BC3" w:rsidRPr="00806909" w:rsidRDefault="00BA3BC3">
      <w:pPr>
        <w:rPr>
          <w:rFonts w:asciiTheme="minorHAnsi" w:hAnsiTheme="minorHAnsi" w:cstheme="minorHAnsi"/>
          <w:sz w:val="16"/>
          <w:szCs w:val="16"/>
        </w:rPr>
      </w:pPr>
      <w:r w:rsidRPr="0053050E">
        <w:rPr>
          <w:rStyle w:val="EndnoteReference"/>
          <w:rFonts w:asciiTheme="minorHAnsi" w:hAnsiTheme="minorHAnsi" w:cstheme="minorHAnsi"/>
          <w:sz w:val="16"/>
          <w:szCs w:val="16"/>
        </w:rPr>
        <w:endnoteRef/>
      </w:r>
      <w:r w:rsidRPr="0053050E">
        <w:rPr>
          <w:rFonts w:asciiTheme="minorHAnsi" w:hAnsiTheme="minorHAnsi" w:cstheme="minorHAnsi"/>
          <w:sz w:val="16"/>
          <w:szCs w:val="16"/>
        </w:rPr>
        <w:t xml:space="preserve"> </w:t>
      </w:r>
      <w:r w:rsidRPr="00806909">
        <w:rPr>
          <w:rFonts w:asciiTheme="minorHAnsi" w:hAnsiTheme="minorHAnsi" w:cstheme="minorHAnsi"/>
          <w:sz w:val="16"/>
          <w:szCs w:val="16"/>
        </w:rPr>
        <w:t xml:space="preserve">As above, webpage ‘Sentenced Prisoners’. Available online : </w:t>
      </w:r>
    </w:p>
    <w:p w14:paraId="3B8006BA" w14:textId="0E52B1D0" w:rsidR="00BA3BC3" w:rsidRPr="0053050E" w:rsidRDefault="00394BB4">
      <w:pPr>
        <w:rPr>
          <w:rFonts w:asciiTheme="minorHAnsi" w:hAnsiTheme="minorHAnsi" w:cstheme="minorHAnsi"/>
          <w:sz w:val="16"/>
          <w:szCs w:val="16"/>
        </w:rPr>
      </w:pPr>
      <w:hyperlink r:id="rId7" w:history="1">
        <w:r w:rsidR="00BA3BC3" w:rsidRPr="0053050E">
          <w:rPr>
            <w:rStyle w:val="Hyperlink"/>
            <w:rFonts w:asciiTheme="minorHAnsi" w:hAnsiTheme="minorHAnsi" w:cstheme="minorHAnsi"/>
            <w:sz w:val="16"/>
            <w:szCs w:val="16"/>
          </w:rPr>
          <w:t>https://www.abs.gov.au/ausstats/abs@.nsf/Lookup/by%20Subject/4517.0~2018~Main%20Features~Sentenced%20prisoners~18</w:t>
        </w:r>
      </w:hyperlink>
    </w:p>
  </w:endnote>
  <w:endnote w:id="33">
    <w:p w14:paraId="77EE4FCC" w14:textId="77777777" w:rsidR="00BA3BC3" w:rsidRPr="00806909" w:rsidRDefault="00BA3BC3">
      <w:pPr>
        <w:rPr>
          <w:rFonts w:asciiTheme="minorHAnsi" w:hAnsiTheme="minorHAnsi" w:cstheme="minorHAnsi"/>
          <w:sz w:val="16"/>
          <w:szCs w:val="16"/>
        </w:rPr>
      </w:pPr>
      <w:r w:rsidRPr="00806909">
        <w:rPr>
          <w:rStyle w:val="EndnoteReference"/>
          <w:rFonts w:asciiTheme="minorHAnsi" w:hAnsiTheme="minorHAnsi" w:cstheme="minorHAnsi"/>
          <w:sz w:val="16"/>
          <w:szCs w:val="16"/>
        </w:rPr>
        <w:endnoteRef/>
      </w:r>
      <w:r w:rsidRPr="00806909">
        <w:rPr>
          <w:rFonts w:asciiTheme="minorHAnsi" w:hAnsiTheme="minorHAnsi" w:cstheme="minorHAnsi"/>
          <w:sz w:val="16"/>
          <w:szCs w:val="16"/>
        </w:rPr>
        <w:t xml:space="preserve"> Bushnell A., 2017.Australia’s Criminal Justice Costs: An International Comparison. Melbourne: Institute of Public Affairs. Available oinline: </w:t>
      </w:r>
      <w:hyperlink r:id="rId8" w:history="1">
        <w:r w:rsidRPr="00806909">
          <w:rPr>
            <w:rStyle w:val="Hyperlink"/>
            <w:rFonts w:asciiTheme="minorHAnsi" w:hAnsiTheme="minorHAnsi" w:cstheme="minorHAnsi"/>
            <w:sz w:val="16"/>
            <w:szCs w:val="16"/>
          </w:rPr>
          <w:t>https://ipa.org.au/wp-content/uploads/2017/08/IPA-Report-Australian-Criminal-Justice-Costs-An-International-Comparison.pdf</w:t>
        </w:r>
      </w:hyperlink>
    </w:p>
  </w:endnote>
  <w:endnote w:id="34">
    <w:p w14:paraId="0504FFD2" w14:textId="77777777" w:rsidR="00BA3BC3" w:rsidRPr="0053050E" w:rsidRDefault="00BA3BC3">
      <w:pPr>
        <w:pStyle w:val="NormalWeb"/>
        <w:spacing w:before="0" w:beforeAutospacing="0" w:after="0" w:afterAutospacing="0"/>
        <w:rPr>
          <w:rFonts w:asciiTheme="minorHAnsi" w:hAnsiTheme="minorHAnsi" w:cstheme="minorHAnsi"/>
          <w:sz w:val="16"/>
          <w:szCs w:val="16"/>
        </w:rPr>
      </w:pPr>
      <w:r w:rsidRPr="0053050E">
        <w:rPr>
          <w:rStyle w:val="EndnoteReference"/>
          <w:rFonts w:asciiTheme="minorHAnsi" w:hAnsiTheme="minorHAnsi" w:cstheme="minorHAnsi"/>
          <w:sz w:val="16"/>
          <w:szCs w:val="16"/>
        </w:rPr>
        <w:endnoteRef/>
      </w:r>
      <w:r w:rsidRPr="0053050E">
        <w:rPr>
          <w:rFonts w:asciiTheme="minorHAnsi" w:hAnsiTheme="minorHAnsi" w:cstheme="minorHAnsi"/>
          <w:sz w:val="16"/>
          <w:szCs w:val="16"/>
        </w:rPr>
        <w:t xml:space="preserve"> Australian Bureau of Statistics. The Health and Welfare of Australia's Aboriginal and Torres Strait Islander Peoples. Cat. no. 4704.0. Canberra: ABS, 2010. </w:t>
      </w:r>
    </w:p>
  </w:endnote>
  <w:endnote w:id="35">
    <w:p w14:paraId="2BD6CF24" w14:textId="77777777" w:rsidR="00BA3BC3" w:rsidRPr="0053050E" w:rsidRDefault="00BA3BC3">
      <w:pPr>
        <w:pStyle w:val="NormalWeb"/>
        <w:spacing w:before="0" w:beforeAutospacing="0" w:after="0" w:afterAutospacing="0"/>
        <w:rPr>
          <w:rFonts w:asciiTheme="minorHAnsi" w:hAnsiTheme="minorHAnsi" w:cstheme="minorHAnsi"/>
          <w:sz w:val="16"/>
          <w:szCs w:val="16"/>
        </w:rPr>
      </w:pPr>
      <w:r w:rsidRPr="0053050E">
        <w:rPr>
          <w:rStyle w:val="EndnoteReference"/>
          <w:rFonts w:asciiTheme="minorHAnsi" w:hAnsiTheme="minorHAnsi" w:cstheme="minorHAnsi"/>
          <w:sz w:val="16"/>
          <w:szCs w:val="16"/>
        </w:rPr>
        <w:endnoteRef/>
      </w:r>
      <w:r w:rsidRPr="0053050E">
        <w:rPr>
          <w:rFonts w:asciiTheme="minorHAnsi" w:hAnsiTheme="minorHAnsi" w:cstheme="minorHAnsi"/>
          <w:sz w:val="16"/>
          <w:szCs w:val="16"/>
        </w:rPr>
        <w:t xml:space="preserve"> Doran CM. The costs and benefits of interventions in the area of mental health: a rapid review. Sydney: Check rapid review brokered by the Sax Institute for the Mental Health Commission of NSW, 2013. </w:t>
      </w:r>
    </w:p>
  </w:endnote>
  <w:endnote w:id="36">
    <w:p w14:paraId="6AD5663A" w14:textId="77777777" w:rsidR="00BA3BC3" w:rsidRPr="0053050E" w:rsidRDefault="00BA3BC3">
      <w:pPr>
        <w:pStyle w:val="EndnoteText"/>
        <w:rPr>
          <w:rFonts w:asciiTheme="minorHAnsi" w:hAnsiTheme="minorHAnsi" w:cstheme="minorHAnsi"/>
          <w:sz w:val="16"/>
          <w:szCs w:val="16"/>
          <w:lang w:val="en-US"/>
        </w:rPr>
      </w:pPr>
      <w:r w:rsidRPr="0053050E">
        <w:rPr>
          <w:rStyle w:val="EndnoteReference"/>
          <w:rFonts w:asciiTheme="minorHAnsi" w:hAnsiTheme="minorHAnsi" w:cstheme="minorHAnsi"/>
          <w:sz w:val="16"/>
          <w:szCs w:val="16"/>
        </w:rPr>
        <w:endnoteRef/>
      </w:r>
      <w:r w:rsidRPr="0053050E">
        <w:rPr>
          <w:rFonts w:asciiTheme="minorHAnsi" w:hAnsiTheme="minorHAnsi" w:cstheme="minorHAnsi"/>
          <w:sz w:val="16"/>
          <w:szCs w:val="16"/>
        </w:rPr>
        <w:t xml:space="preserve"> Reeve R, Church J, Haas M, Bradford W, Viney R. Factors that drive the gap in diabetes rates between Aboriginal and non-Aboriginal people in non-remote NSW. Australian and New Zealand Journal of Public Health 2014; 38(5): 459-66.</w:t>
      </w:r>
    </w:p>
  </w:endnote>
  <w:endnote w:id="37">
    <w:p w14:paraId="17BFAA38" w14:textId="77777777" w:rsidR="00BA3BC3" w:rsidRPr="0053050E" w:rsidRDefault="00BA3BC3">
      <w:pPr>
        <w:rPr>
          <w:rFonts w:asciiTheme="minorHAnsi" w:hAnsiTheme="minorHAnsi" w:cstheme="minorHAnsi"/>
          <w:sz w:val="16"/>
          <w:szCs w:val="16"/>
        </w:rPr>
      </w:pPr>
      <w:r w:rsidRPr="0053050E">
        <w:rPr>
          <w:rStyle w:val="EndnoteReference"/>
          <w:rFonts w:asciiTheme="minorHAnsi" w:hAnsiTheme="minorHAnsi" w:cstheme="minorHAnsi"/>
          <w:sz w:val="16"/>
          <w:szCs w:val="16"/>
        </w:rPr>
        <w:endnoteRef/>
      </w:r>
      <w:r w:rsidRPr="0053050E">
        <w:rPr>
          <w:rFonts w:asciiTheme="minorHAnsi" w:hAnsiTheme="minorHAnsi" w:cstheme="minorHAnsi"/>
          <w:sz w:val="16"/>
          <w:szCs w:val="16"/>
        </w:rPr>
        <w:t xml:space="preserve"> </w:t>
      </w:r>
      <w:hyperlink r:id="rId9" w:history="1">
        <w:r w:rsidRPr="0053050E">
          <w:rPr>
            <w:rStyle w:val="Hyperlink"/>
            <w:rFonts w:asciiTheme="minorHAnsi" w:hAnsiTheme="minorHAnsi" w:cstheme="minorHAnsi"/>
            <w:sz w:val="16"/>
            <w:szCs w:val="16"/>
          </w:rPr>
          <w:t>https://static.diabetesaustralia.com.au/s/fileassets/diabetes-australia/e549bdb8-0f80-46f8-b827-35cb4f1b6cd2.pdf</w:t>
        </w:r>
      </w:hyperlink>
    </w:p>
  </w:endnote>
  <w:endnote w:id="38">
    <w:p w14:paraId="2EF1F698" w14:textId="77777777" w:rsidR="00BA3BC3" w:rsidRPr="0053050E" w:rsidRDefault="00BA3BC3">
      <w:pPr>
        <w:pStyle w:val="EndnoteText"/>
        <w:rPr>
          <w:rFonts w:asciiTheme="minorHAnsi" w:hAnsiTheme="minorHAnsi" w:cstheme="minorHAnsi"/>
          <w:sz w:val="16"/>
          <w:szCs w:val="16"/>
          <w:lang w:val="en-US"/>
        </w:rPr>
      </w:pPr>
      <w:r w:rsidRPr="0053050E">
        <w:rPr>
          <w:rStyle w:val="EndnoteReference"/>
          <w:rFonts w:asciiTheme="minorHAnsi" w:hAnsiTheme="minorHAnsi" w:cstheme="minorHAnsi"/>
          <w:sz w:val="16"/>
          <w:szCs w:val="16"/>
        </w:rPr>
        <w:endnoteRef/>
      </w:r>
      <w:r w:rsidRPr="0053050E">
        <w:rPr>
          <w:rFonts w:asciiTheme="minorHAnsi" w:hAnsiTheme="minorHAnsi" w:cstheme="minorHAnsi"/>
          <w:sz w:val="16"/>
          <w:szCs w:val="16"/>
        </w:rPr>
        <w:t xml:space="preserve"> Collins DJ, Lapsley HM. The costs of tobacco, alcohol &amp; illicit drug abuse to Aust. society in 2004–05 Summary. Canberra: Department of Health and Ageing, 2008.</w:t>
      </w:r>
    </w:p>
  </w:endnote>
  <w:endnote w:id="39">
    <w:p w14:paraId="138DED4E" w14:textId="77777777" w:rsidR="00BA3BC3" w:rsidRPr="0053050E" w:rsidRDefault="00BA3BC3">
      <w:pPr>
        <w:pStyle w:val="NormalWeb"/>
        <w:spacing w:before="0" w:beforeAutospacing="0" w:after="0" w:afterAutospacing="0"/>
        <w:rPr>
          <w:rFonts w:asciiTheme="minorHAnsi" w:hAnsiTheme="minorHAnsi" w:cstheme="minorHAnsi"/>
          <w:sz w:val="16"/>
          <w:szCs w:val="16"/>
        </w:rPr>
      </w:pPr>
      <w:r w:rsidRPr="0053050E">
        <w:rPr>
          <w:rStyle w:val="EndnoteReference"/>
          <w:rFonts w:asciiTheme="minorHAnsi" w:hAnsiTheme="minorHAnsi" w:cstheme="minorHAnsi"/>
          <w:sz w:val="16"/>
          <w:szCs w:val="16"/>
        </w:rPr>
        <w:endnoteRef/>
      </w:r>
      <w:r w:rsidRPr="0053050E">
        <w:rPr>
          <w:rFonts w:asciiTheme="minorHAnsi" w:hAnsiTheme="minorHAnsi" w:cstheme="minorHAnsi"/>
          <w:sz w:val="16"/>
          <w:szCs w:val="16"/>
        </w:rPr>
        <w:t xml:space="preserve"> COAG Reform Council. Indigenous Reform 2012–13: Five years of performance. Sydney: CRC, 2014. </w:t>
      </w:r>
    </w:p>
  </w:endnote>
  <w:endnote w:id="40">
    <w:p w14:paraId="46D572C5" w14:textId="77777777" w:rsidR="00BA3BC3" w:rsidRPr="00806909" w:rsidRDefault="00BA3BC3">
      <w:pPr>
        <w:pStyle w:val="EndnoteText"/>
        <w:rPr>
          <w:rFonts w:asciiTheme="minorHAnsi" w:hAnsiTheme="minorHAnsi" w:cstheme="minorHAnsi"/>
          <w:sz w:val="16"/>
          <w:szCs w:val="16"/>
          <w:lang w:val="en-US"/>
        </w:rPr>
      </w:pPr>
      <w:r w:rsidRPr="0053050E">
        <w:rPr>
          <w:rStyle w:val="EndnoteReference"/>
          <w:rFonts w:asciiTheme="minorHAnsi" w:hAnsiTheme="minorHAnsi" w:cstheme="minorHAnsi"/>
          <w:sz w:val="16"/>
          <w:szCs w:val="16"/>
        </w:rPr>
        <w:endnoteRef/>
      </w:r>
      <w:r w:rsidRPr="0053050E">
        <w:rPr>
          <w:rFonts w:asciiTheme="minorHAnsi" w:hAnsiTheme="minorHAnsi" w:cstheme="minorHAnsi"/>
          <w:sz w:val="16"/>
          <w:szCs w:val="16"/>
        </w:rPr>
        <w:t xml:space="preserve"> Collins DJ, Lapsley HM. The costs of tobacco, alcohol &amp; illicit drug abuse to Aust. society in 2004–05 Summary. Canberra: Department of Health and Ageing, 2008.</w:t>
      </w:r>
    </w:p>
  </w:endnote>
  <w:endnote w:id="41">
    <w:p w14:paraId="511398D5" w14:textId="77777777" w:rsidR="00BA3BC3" w:rsidRPr="00806909" w:rsidRDefault="00BA3BC3">
      <w:pPr>
        <w:pStyle w:val="EndnoteText"/>
        <w:rPr>
          <w:rFonts w:asciiTheme="minorHAnsi" w:hAnsiTheme="minorHAnsi" w:cstheme="minorHAnsi"/>
          <w:sz w:val="16"/>
          <w:szCs w:val="16"/>
        </w:rPr>
      </w:pPr>
      <w:r w:rsidRPr="00806909">
        <w:rPr>
          <w:rStyle w:val="EndnoteReference"/>
          <w:rFonts w:asciiTheme="minorHAnsi" w:hAnsiTheme="minorHAnsi" w:cstheme="minorHAnsi"/>
          <w:sz w:val="16"/>
          <w:szCs w:val="16"/>
        </w:rPr>
        <w:endnoteRef/>
      </w:r>
      <w:r w:rsidRPr="00806909">
        <w:rPr>
          <w:rFonts w:asciiTheme="minorHAnsi" w:hAnsiTheme="minorHAnsi" w:cstheme="minorHAnsi"/>
          <w:sz w:val="16"/>
          <w:szCs w:val="16"/>
        </w:rPr>
        <w:t xml:space="preserve"> Commonwealth of Australia 2017. National Strategic Framework for Aboriginal and Torres Strait Islander Peoples’ Mental Health and Social and Emotional Wellbeing. Canberra: Department of the Prime Minister and Cabinet.</w:t>
      </w:r>
    </w:p>
  </w:endnote>
  <w:endnote w:id="42">
    <w:p w14:paraId="56B64267" w14:textId="2AE1E1CA" w:rsidR="00BA3BC3" w:rsidRDefault="00BA3BC3">
      <w:pPr>
        <w:pStyle w:val="EndnoteText"/>
      </w:pPr>
      <w:r>
        <w:rPr>
          <w:rStyle w:val="EndnoteReference"/>
        </w:rPr>
        <w:endnoteRef/>
      </w:r>
      <w:r>
        <w:t xml:space="preserve"> </w:t>
      </w:r>
      <w:r w:rsidRPr="00A809E6">
        <w:rPr>
          <w:rFonts w:asciiTheme="minorHAnsi" w:hAnsiTheme="minorHAnsi" w:cstheme="minorHAnsi"/>
          <w:sz w:val="16"/>
          <w:szCs w:val="16"/>
        </w:rPr>
        <w:t xml:space="preserve">Australian Bureau of Statistics, 2071.0 - Census of Population and Housing: Reflecting Australia - Stories from the Census, 2016  </w:t>
      </w:r>
    </w:p>
  </w:endnote>
  <w:endnote w:id="43">
    <w:p w14:paraId="26889ED3" w14:textId="4686ECB8" w:rsidR="00BA3BC3" w:rsidRDefault="00BA3BC3">
      <w:pPr>
        <w:pStyle w:val="EndnoteText"/>
      </w:pPr>
      <w:r>
        <w:rPr>
          <w:rStyle w:val="EndnoteReference"/>
        </w:rPr>
        <w:endnoteRef/>
      </w:r>
      <w:r w:rsidRPr="00A809E6">
        <w:rPr>
          <w:rFonts w:asciiTheme="minorHAnsi" w:hAnsiTheme="minorHAnsi" w:cstheme="minorHAnsi"/>
          <w:sz w:val="16"/>
          <w:szCs w:val="16"/>
          <w:lang w:val="en-US" w:eastAsia="en-US"/>
        </w:rPr>
        <w:t xml:space="preserve"> </w:t>
      </w:r>
      <w:r>
        <w:rPr>
          <w:rFonts w:asciiTheme="minorHAnsi" w:hAnsiTheme="minorHAnsi" w:cstheme="minorHAnsi"/>
          <w:sz w:val="16"/>
          <w:szCs w:val="16"/>
          <w:lang w:val="en-US" w:eastAsia="en-US"/>
        </w:rPr>
        <w:t xml:space="preserve">Department of Health, </w:t>
      </w:r>
      <w:r w:rsidRPr="00A809E6">
        <w:rPr>
          <w:rFonts w:asciiTheme="minorHAnsi" w:hAnsiTheme="minorHAnsi" w:cstheme="minorHAnsi"/>
          <w:sz w:val="16"/>
          <w:szCs w:val="16"/>
          <w:lang w:val="en-US" w:eastAsia="en-US"/>
        </w:rPr>
        <w:t>National Health Workforce Dataset (NHWDS)</w:t>
      </w:r>
    </w:p>
  </w:endnote>
  <w:endnote w:id="44">
    <w:p w14:paraId="5FCAA193" w14:textId="77777777" w:rsidR="00BA3BC3" w:rsidRPr="00806909" w:rsidRDefault="00BA3BC3">
      <w:pPr>
        <w:pStyle w:val="CommentText"/>
        <w:rPr>
          <w:rFonts w:asciiTheme="minorHAnsi" w:hAnsiTheme="minorHAnsi" w:cstheme="minorHAnsi"/>
          <w:sz w:val="16"/>
          <w:szCs w:val="16"/>
        </w:rPr>
      </w:pPr>
      <w:r w:rsidRPr="00806909">
        <w:rPr>
          <w:rStyle w:val="EndnoteReference"/>
          <w:rFonts w:asciiTheme="minorHAnsi" w:hAnsiTheme="minorHAnsi" w:cstheme="minorHAnsi"/>
          <w:sz w:val="16"/>
          <w:szCs w:val="16"/>
        </w:rPr>
        <w:endnoteRef/>
      </w:r>
      <w:r w:rsidRPr="00806909">
        <w:rPr>
          <w:rFonts w:asciiTheme="minorHAnsi" w:hAnsiTheme="minorHAnsi" w:cstheme="minorHAnsi"/>
          <w:sz w:val="16"/>
          <w:szCs w:val="16"/>
        </w:rPr>
        <w:t xml:space="preserve"> Inquest into the 13 Deaths of Children and Young Persons in the Kimberley Region </w:t>
      </w:r>
      <w:hyperlink r:id="rId10" w:history="1">
        <w:r w:rsidRPr="00806909">
          <w:rPr>
            <w:rStyle w:val="Hyperlink"/>
            <w:rFonts w:asciiTheme="minorHAnsi" w:hAnsiTheme="minorHAnsi" w:cstheme="minorHAnsi"/>
            <w:sz w:val="16"/>
            <w:szCs w:val="16"/>
          </w:rPr>
          <w:t>https://www.coronerscourt.wa.gov.au/_files/inquest-2019/13-Children-and-Young-Persons-in-the-Kimberley-Region-Finding.pdf</w:t>
        </w:r>
      </w:hyperlink>
    </w:p>
  </w:endnote>
  <w:endnote w:id="45">
    <w:p w14:paraId="7BA564E8" w14:textId="77777777" w:rsidR="00BA3BC3" w:rsidRPr="00806909" w:rsidRDefault="00BA3BC3">
      <w:pPr>
        <w:pStyle w:val="EndnoteText"/>
        <w:rPr>
          <w:rFonts w:asciiTheme="minorHAnsi" w:hAnsiTheme="minorHAnsi" w:cstheme="minorHAnsi"/>
          <w:sz w:val="16"/>
          <w:szCs w:val="16"/>
        </w:rPr>
      </w:pPr>
      <w:r w:rsidRPr="00806909">
        <w:rPr>
          <w:rFonts w:asciiTheme="minorHAnsi" w:hAnsiTheme="minorHAnsi" w:cstheme="minorHAnsi"/>
          <w:color w:val="131413"/>
          <w:sz w:val="16"/>
          <w:szCs w:val="16"/>
        </w:rPr>
        <w:endnoteRef/>
      </w:r>
      <w:r w:rsidRPr="00806909">
        <w:rPr>
          <w:rFonts w:asciiTheme="minorHAnsi" w:hAnsiTheme="minorHAnsi" w:cstheme="minorHAnsi"/>
          <w:color w:val="131413"/>
          <w:sz w:val="16"/>
          <w:szCs w:val="16"/>
        </w:rPr>
        <w:t xml:space="preserve"> </w:t>
      </w:r>
      <w:r w:rsidRPr="00806909">
        <w:rPr>
          <w:rFonts w:asciiTheme="minorHAnsi" w:hAnsiTheme="minorHAnsi" w:cstheme="minorHAnsi"/>
          <w:sz w:val="16"/>
          <w:szCs w:val="16"/>
        </w:rPr>
        <w:t xml:space="preserve">Report Accessibility and quality of mental health services in rural and remote Australia, 4 December 2018, </w:t>
      </w:r>
    </w:p>
    <w:p w14:paraId="131D16B0" w14:textId="77777777" w:rsidR="00BA3BC3" w:rsidRPr="00806909" w:rsidRDefault="00BA3BC3">
      <w:pPr>
        <w:pStyle w:val="EndnoteText"/>
        <w:rPr>
          <w:rFonts w:asciiTheme="minorHAnsi" w:hAnsiTheme="minorHAnsi" w:cstheme="minorHAnsi"/>
          <w:sz w:val="16"/>
          <w:szCs w:val="16"/>
        </w:rPr>
      </w:pPr>
      <w:r w:rsidRPr="00806909">
        <w:rPr>
          <w:rFonts w:asciiTheme="minorHAnsi" w:hAnsiTheme="minorHAnsi" w:cstheme="minorHAnsi"/>
          <w:sz w:val="16"/>
          <w:szCs w:val="16"/>
        </w:rPr>
        <w:t>Commonwealth of Australia, ISBN 978-1-76010-860-1</w:t>
      </w:r>
    </w:p>
  </w:endnote>
  <w:endnote w:id="46">
    <w:p w14:paraId="193DEF19" w14:textId="64FE16E7" w:rsidR="00BA3BC3" w:rsidRDefault="00BA3BC3">
      <w:pPr>
        <w:pStyle w:val="EndnoteText"/>
      </w:pPr>
      <w:r>
        <w:rPr>
          <w:rStyle w:val="EndnoteReference"/>
        </w:rPr>
        <w:endnoteRef/>
      </w:r>
      <w:r>
        <w:t xml:space="preserve"> </w:t>
      </w:r>
      <w:r w:rsidRPr="00A809E6">
        <w:rPr>
          <w:rFonts w:asciiTheme="minorHAnsi" w:hAnsiTheme="minorHAnsi" w:cstheme="minorHAnsi"/>
          <w:sz w:val="16"/>
          <w:szCs w:val="16"/>
          <w:lang w:val="en-US" w:eastAsia="en-US"/>
        </w:rPr>
        <w:t>Health Workforce Australia</w:t>
      </w:r>
      <w:r>
        <w:rPr>
          <w:rFonts w:asciiTheme="minorHAnsi" w:hAnsiTheme="minorHAnsi" w:cstheme="minorHAnsi"/>
          <w:sz w:val="16"/>
          <w:szCs w:val="16"/>
          <w:lang w:val="en-US" w:eastAsia="en-US"/>
        </w:rPr>
        <w:t xml:space="preserve">, </w:t>
      </w:r>
      <w:r w:rsidRPr="00A809E6">
        <w:rPr>
          <w:rFonts w:asciiTheme="minorHAnsi" w:hAnsiTheme="minorHAnsi" w:cstheme="minorHAnsi"/>
          <w:sz w:val="16"/>
          <w:szCs w:val="16"/>
          <w:lang w:val="en-US" w:eastAsia="en-US"/>
        </w:rPr>
        <w:t>2014</w:t>
      </w:r>
      <w:r>
        <w:rPr>
          <w:rFonts w:asciiTheme="minorHAnsi" w:hAnsiTheme="minorHAnsi" w:cstheme="minorHAnsi"/>
          <w:sz w:val="16"/>
          <w:szCs w:val="16"/>
          <w:lang w:val="en-US" w:eastAsia="en-US"/>
        </w:rPr>
        <w:t xml:space="preserve">, </w:t>
      </w:r>
      <w:r w:rsidRPr="00A809E6">
        <w:rPr>
          <w:rFonts w:asciiTheme="minorHAnsi" w:hAnsiTheme="minorHAnsi" w:cstheme="minorHAnsi"/>
          <w:sz w:val="16"/>
          <w:szCs w:val="16"/>
          <w:lang w:val="en-US" w:eastAsia="en-US"/>
        </w:rPr>
        <w:t>Mental Health Peer Workforce Study</w:t>
      </w:r>
    </w:p>
  </w:endnote>
  <w:endnote w:id="47">
    <w:p w14:paraId="5DFC21E5" w14:textId="77777777" w:rsidR="00BA3BC3" w:rsidRPr="00806909" w:rsidRDefault="00BA3BC3">
      <w:pPr>
        <w:pStyle w:val="EndnoteText"/>
        <w:rPr>
          <w:rFonts w:asciiTheme="minorHAnsi" w:hAnsiTheme="minorHAnsi" w:cstheme="minorHAnsi"/>
          <w:sz w:val="16"/>
          <w:szCs w:val="16"/>
        </w:rPr>
      </w:pPr>
      <w:r w:rsidRPr="00806909">
        <w:rPr>
          <w:rStyle w:val="EndnoteReference"/>
          <w:rFonts w:asciiTheme="minorHAnsi" w:hAnsiTheme="minorHAnsi" w:cstheme="minorHAnsi"/>
          <w:sz w:val="16"/>
          <w:szCs w:val="16"/>
        </w:rPr>
        <w:endnoteRef/>
      </w:r>
      <w:r w:rsidRPr="00806909">
        <w:rPr>
          <w:rFonts w:asciiTheme="minorHAnsi" w:hAnsiTheme="minorHAnsi" w:cstheme="minorHAnsi"/>
          <w:sz w:val="16"/>
          <w:szCs w:val="16"/>
        </w:rPr>
        <w:t xml:space="preserve"> Allied Health Workforce Research Program, Department of Health &amp; Human Services, State Government of Victoria </w:t>
      </w:r>
      <w:hyperlink r:id="rId11" w:history="1">
        <w:r w:rsidRPr="00806909">
          <w:rPr>
            <w:rStyle w:val="Hyperlink"/>
            <w:rFonts w:asciiTheme="minorHAnsi" w:hAnsiTheme="minorHAnsi" w:cstheme="minorHAnsi"/>
            <w:sz w:val="16"/>
            <w:szCs w:val="16"/>
          </w:rPr>
          <w:t>https://www2.health.vic.gov.au/health-workforce/allied-health-workforce/allied-health-research</w:t>
        </w:r>
      </w:hyperlink>
      <w:r w:rsidRPr="00806909">
        <w:rPr>
          <w:rFonts w:asciiTheme="minorHAnsi" w:hAnsiTheme="minorHAnsi" w:cstheme="minorHAnsi"/>
          <w:sz w:val="16"/>
          <w:szCs w:val="16"/>
        </w:rPr>
        <w:t xml:space="preserve"> </w:t>
      </w:r>
    </w:p>
  </w:endnote>
  <w:endnote w:id="48">
    <w:p w14:paraId="2CAD44BB" w14:textId="77777777" w:rsidR="00BA3BC3" w:rsidRPr="00806909" w:rsidRDefault="00BA3BC3">
      <w:pPr>
        <w:pStyle w:val="EndnoteText"/>
        <w:rPr>
          <w:rFonts w:asciiTheme="minorHAnsi" w:hAnsiTheme="minorHAnsi" w:cstheme="minorHAnsi"/>
          <w:sz w:val="16"/>
          <w:szCs w:val="16"/>
        </w:rPr>
      </w:pPr>
      <w:r w:rsidRPr="00806909">
        <w:rPr>
          <w:rStyle w:val="EndnoteReference"/>
          <w:rFonts w:asciiTheme="minorHAnsi" w:hAnsiTheme="minorHAnsi" w:cstheme="minorHAnsi"/>
          <w:sz w:val="16"/>
          <w:szCs w:val="16"/>
        </w:rPr>
        <w:endnoteRef/>
      </w:r>
      <w:r w:rsidRPr="00806909">
        <w:rPr>
          <w:rFonts w:asciiTheme="minorHAnsi" w:hAnsiTheme="minorHAnsi" w:cstheme="minorHAnsi"/>
          <w:sz w:val="16"/>
          <w:szCs w:val="16"/>
        </w:rPr>
        <w:t xml:space="preserve"> Morris, R. (2012) Scoping Study: Impact of Fly-in Fly-out/Drive-in Drive-out Work Practices on Local Government, Australian Centre of Excellence for Local Government, University of Technology, Sydney. </w:t>
      </w:r>
    </w:p>
  </w:endnote>
  <w:endnote w:id="49">
    <w:p w14:paraId="0E327B0D" w14:textId="77777777" w:rsidR="00BA3BC3" w:rsidRPr="00806909" w:rsidRDefault="00BA3BC3">
      <w:pPr>
        <w:pStyle w:val="EndnoteText"/>
        <w:rPr>
          <w:rFonts w:asciiTheme="minorHAnsi" w:hAnsiTheme="minorHAnsi" w:cstheme="minorHAnsi"/>
          <w:sz w:val="16"/>
          <w:szCs w:val="16"/>
        </w:rPr>
      </w:pPr>
      <w:r w:rsidRPr="00806909">
        <w:rPr>
          <w:rFonts w:asciiTheme="minorHAnsi" w:hAnsiTheme="minorHAnsi" w:cstheme="minorHAnsi"/>
          <w:color w:val="131413"/>
          <w:sz w:val="16"/>
          <w:szCs w:val="16"/>
          <w:vertAlign w:val="superscript"/>
        </w:rPr>
        <w:endnoteRef/>
      </w:r>
      <w:r w:rsidRPr="00806909">
        <w:rPr>
          <w:rFonts w:asciiTheme="minorHAnsi" w:hAnsiTheme="minorHAnsi" w:cstheme="minorHAnsi"/>
          <w:color w:val="131413"/>
          <w:sz w:val="16"/>
          <w:szCs w:val="16"/>
        </w:rPr>
        <w:t xml:space="preserve"> Australian Institute of Health and Welfare 2018. Australia’s health 2018. Australia’s health series no. 16. AUS 221. Canberra: AIHW</w:t>
      </w:r>
    </w:p>
  </w:endnote>
  <w:endnote w:id="50">
    <w:p w14:paraId="41A74F47" w14:textId="77777777" w:rsidR="00BA3BC3" w:rsidRPr="00806909" w:rsidRDefault="00BA3BC3">
      <w:pPr>
        <w:pStyle w:val="EndnoteText"/>
        <w:rPr>
          <w:rFonts w:asciiTheme="minorHAnsi" w:hAnsiTheme="minorHAnsi" w:cstheme="minorHAnsi"/>
          <w:sz w:val="16"/>
          <w:szCs w:val="16"/>
        </w:rPr>
      </w:pPr>
      <w:r w:rsidRPr="00806909">
        <w:rPr>
          <w:rStyle w:val="EndnoteReference"/>
          <w:rFonts w:asciiTheme="minorHAnsi" w:hAnsiTheme="minorHAnsi" w:cstheme="minorHAnsi"/>
          <w:sz w:val="16"/>
          <w:szCs w:val="16"/>
        </w:rPr>
        <w:endnoteRef/>
      </w:r>
      <w:r w:rsidRPr="00806909">
        <w:rPr>
          <w:rFonts w:asciiTheme="minorHAnsi" w:hAnsiTheme="minorHAnsi" w:cstheme="minorHAnsi"/>
          <w:sz w:val="16"/>
          <w:szCs w:val="16"/>
        </w:rPr>
        <w:t xml:space="preserve"> Mental Health Commission of New South Wales, 2016, Data Snapshot - Access to mental health services for people living in NSW, 2011</w:t>
      </w:r>
    </w:p>
  </w:endnote>
  <w:endnote w:id="51">
    <w:p w14:paraId="4A99416A" w14:textId="77777777" w:rsidR="00BA3BC3" w:rsidRPr="00806909" w:rsidRDefault="00BA3BC3">
      <w:pPr>
        <w:pStyle w:val="EndnoteText"/>
        <w:rPr>
          <w:rFonts w:asciiTheme="minorHAnsi" w:hAnsiTheme="minorHAnsi" w:cstheme="minorHAnsi"/>
          <w:sz w:val="16"/>
          <w:szCs w:val="16"/>
        </w:rPr>
      </w:pPr>
      <w:r w:rsidRPr="00806909">
        <w:rPr>
          <w:rStyle w:val="EndnoteReference"/>
          <w:rFonts w:asciiTheme="minorHAnsi" w:hAnsiTheme="minorHAnsi" w:cstheme="minorHAnsi"/>
          <w:sz w:val="16"/>
          <w:szCs w:val="16"/>
        </w:rPr>
        <w:endnoteRef/>
      </w:r>
      <w:r w:rsidRPr="00806909">
        <w:rPr>
          <w:rFonts w:asciiTheme="minorHAnsi" w:hAnsiTheme="minorHAnsi" w:cstheme="minorHAnsi"/>
          <w:sz w:val="16"/>
          <w:szCs w:val="16"/>
        </w:rPr>
        <w:t xml:space="preserve"> Carey et al. BMC Health Services Research (2018) 18:476 </w:t>
      </w:r>
      <w:hyperlink r:id="rId12" w:history="1">
        <w:r w:rsidRPr="00806909">
          <w:rPr>
            <w:rStyle w:val="Hyperlink"/>
            <w:rFonts w:asciiTheme="minorHAnsi" w:hAnsiTheme="minorHAnsi" w:cstheme="minorHAnsi"/>
            <w:sz w:val="16"/>
            <w:szCs w:val="16"/>
          </w:rPr>
          <w:t>https://doi.org/10.1186/s12913-018-3269-5</w:t>
        </w:r>
      </w:hyperlink>
      <w:r w:rsidRPr="00806909">
        <w:rPr>
          <w:rFonts w:asciiTheme="minorHAnsi" w:hAnsiTheme="minorHAnsi" w:cstheme="minorHAnsi"/>
          <w:sz w:val="16"/>
          <w:szCs w:val="16"/>
        </w:rPr>
        <w:t xml:space="preserve"> </w:t>
      </w:r>
    </w:p>
  </w:endnote>
  <w:endnote w:id="52">
    <w:p w14:paraId="746F6B8D" w14:textId="77777777" w:rsidR="00BA3BC3" w:rsidRPr="00806909" w:rsidRDefault="00BA3BC3">
      <w:pPr>
        <w:pStyle w:val="EndnoteText"/>
        <w:rPr>
          <w:rFonts w:asciiTheme="minorHAnsi" w:hAnsiTheme="minorHAnsi" w:cstheme="minorHAnsi"/>
          <w:sz w:val="16"/>
          <w:szCs w:val="16"/>
        </w:rPr>
      </w:pPr>
      <w:r w:rsidRPr="00806909">
        <w:rPr>
          <w:rStyle w:val="EndnoteReference"/>
          <w:rFonts w:asciiTheme="minorHAnsi" w:hAnsiTheme="minorHAnsi" w:cstheme="minorHAnsi"/>
          <w:sz w:val="16"/>
          <w:szCs w:val="16"/>
        </w:rPr>
        <w:endnoteRef/>
      </w:r>
      <w:r w:rsidRPr="00806909">
        <w:rPr>
          <w:rFonts w:asciiTheme="minorHAnsi" w:hAnsiTheme="minorHAnsi" w:cstheme="minorHAnsi"/>
          <w:sz w:val="16"/>
          <w:szCs w:val="16"/>
        </w:rPr>
        <w:t xml:space="preserve"> Department of Health, 2017, The Fifth National Mental Health and Suicide Prevention Plan</w:t>
      </w:r>
    </w:p>
  </w:endnote>
  <w:endnote w:id="53">
    <w:p w14:paraId="717DFD93" w14:textId="77777777" w:rsidR="00BA3BC3" w:rsidRPr="00806909" w:rsidRDefault="00BA3BC3">
      <w:pPr>
        <w:pStyle w:val="EndnoteText"/>
        <w:rPr>
          <w:rFonts w:asciiTheme="minorHAnsi" w:hAnsiTheme="minorHAnsi" w:cstheme="minorHAnsi"/>
          <w:sz w:val="16"/>
          <w:szCs w:val="16"/>
        </w:rPr>
      </w:pPr>
      <w:r w:rsidRPr="00806909">
        <w:rPr>
          <w:rStyle w:val="EndnoteReference"/>
          <w:rFonts w:asciiTheme="minorHAnsi" w:hAnsiTheme="minorHAnsi" w:cstheme="minorHAnsi"/>
          <w:sz w:val="16"/>
          <w:szCs w:val="16"/>
        </w:rPr>
        <w:endnoteRef/>
      </w:r>
      <w:r w:rsidRPr="00806909">
        <w:rPr>
          <w:rFonts w:asciiTheme="minorHAnsi" w:hAnsiTheme="minorHAnsi" w:cstheme="minorHAnsi"/>
          <w:sz w:val="16"/>
          <w:szCs w:val="16"/>
        </w:rPr>
        <w:t xml:space="preserve"> Australian Bureau of Statistics, 2071.0 - Census of Population and Housing: Reflecting Australia - Stories from the Census, 2016  </w:t>
      </w:r>
    </w:p>
  </w:endnote>
  <w:endnote w:id="54">
    <w:p w14:paraId="0975EC43" w14:textId="77777777" w:rsidR="00BA3BC3" w:rsidRPr="00806909" w:rsidRDefault="00BA3BC3">
      <w:pPr>
        <w:pStyle w:val="EndnoteText"/>
        <w:rPr>
          <w:rFonts w:asciiTheme="minorHAnsi" w:hAnsiTheme="minorHAnsi" w:cstheme="minorHAnsi"/>
          <w:sz w:val="16"/>
          <w:szCs w:val="16"/>
        </w:rPr>
      </w:pPr>
      <w:r w:rsidRPr="00806909">
        <w:rPr>
          <w:rStyle w:val="EndnoteReference"/>
          <w:rFonts w:asciiTheme="minorHAnsi" w:hAnsiTheme="minorHAnsi" w:cstheme="minorHAnsi"/>
          <w:sz w:val="16"/>
          <w:szCs w:val="16"/>
        </w:rPr>
        <w:endnoteRef/>
      </w:r>
      <w:r w:rsidRPr="00806909">
        <w:rPr>
          <w:rFonts w:asciiTheme="minorHAnsi" w:hAnsiTheme="minorHAnsi" w:cstheme="minorHAnsi"/>
          <w:sz w:val="16"/>
          <w:szCs w:val="16"/>
        </w:rPr>
        <w:t xml:space="preserve"> Modini, M., Joyce, S., Mykletun, A., Christensen, H., Bryant, R. A., Mitchell, P. B., &amp; Harvey, S. B. (2016). The mental health benefits of employment: Results of a systematic meta-review. Australasian Psychiatry, 24(4), 331–336. https://doi.org/10.1177/1039856215618523</w:t>
      </w:r>
    </w:p>
  </w:endnote>
  <w:endnote w:id="55">
    <w:p w14:paraId="0BF5838F" w14:textId="77777777" w:rsidR="00BA3BC3" w:rsidRPr="00806909" w:rsidRDefault="00BA3BC3">
      <w:pPr>
        <w:pStyle w:val="EndnoteText"/>
        <w:rPr>
          <w:rFonts w:asciiTheme="minorHAnsi" w:hAnsiTheme="minorHAnsi" w:cstheme="minorHAnsi"/>
          <w:sz w:val="16"/>
          <w:szCs w:val="16"/>
        </w:rPr>
      </w:pPr>
      <w:r w:rsidRPr="00806909">
        <w:rPr>
          <w:rStyle w:val="EndnoteReference"/>
          <w:rFonts w:asciiTheme="minorHAnsi" w:hAnsiTheme="minorHAnsi" w:cstheme="minorHAnsi"/>
          <w:sz w:val="16"/>
          <w:szCs w:val="16"/>
        </w:rPr>
        <w:endnoteRef/>
      </w:r>
      <w:r w:rsidRPr="00806909">
        <w:rPr>
          <w:rFonts w:asciiTheme="minorHAnsi" w:hAnsiTheme="minorHAnsi" w:cstheme="minorHAnsi"/>
          <w:sz w:val="16"/>
          <w:szCs w:val="16"/>
        </w:rPr>
        <w:t xml:space="preserve"> Department of Jobs and Small Business, 2018, 2018 Employment Projections - for the five years to May 2023</w:t>
      </w:r>
    </w:p>
  </w:endnote>
  <w:endnote w:id="56">
    <w:p w14:paraId="742B17DC" w14:textId="77777777" w:rsidR="00BA3BC3" w:rsidRPr="00806909" w:rsidRDefault="00BA3BC3">
      <w:pPr>
        <w:pStyle w:val="EndnoteText"/>
        <w:rPr>
          <w:rFonts w:asciiTheme="minorHAnsi" w:hAnsiTheme="minorHAnsi" w:cstheme="minorHAnsi"/>
          <w:sz w:val="16"/>
          <w:szCs w:val="16"/>
        </w:rPr>
      </w:pPr>
      <w:r w:rsidRPr="00806909">
        <w:rPr>
          <w:rStyle w:val="EndnoteReference"/>
          <w:rFonts w:asciiTheme="minorHAnsi" w:hAnsiTheme="minorHAnsi" w:cstheme="minorHAnsi"/>
          <w:sz w:val="16"/>
          <w:szCs w:val="16"/>
        </w:rPr>
        <w:endnoteRef/>
      </w:r>
      <w:r w:rsidRPr="00806909">
        <w:rPr>
          <w:rFonts w:asciiTheme="minorHAnsi" w:hAnsiTheme="minorHAnsi" w:cstheme="minorHAnsi"/>
          <w:sz w:val="16"/>
          <w:szCs w:val="16"/>
        </w:rPr>
        <w:t xml:space="preserve"> National Aboriginal Health Strategy, 1989</w:t>
      </w:r>
    </w:p>
  </w:endnote>
  <w:endnote w:id="57">
    <w:p w14:paraId="343F5573" w14:textId="77777777" w:rsidR="00BA3BC3" w:rsidRPr="00806909" w:rsidRDefault="00BA3BC3">
      <w:pPr>
        <w:pStyle w:val="EndnoteText"/>
        <w:rPr>
          <w:rFonts w:asciiTheme="minorHAnsi" w:hAnsiTheme="minorHAnsi" w:cstheme="minorHAnsi"/>
          <w:sz w:val="16"/>
          <w:szCs w:val="16"/>
        </w:rPr>
      </w:pPr>
      <w:r w:rsidRPr="00806909">
        <w:rPr>
          <w:rStyle w:val="EndnoteReference"/>
          <w:rFonts w:asciiTheme="minorHAnsi" w:hAnsiTheme="minorHAnsi" w:cstheme="minorHAnsi"/>
          <w:sz w:val="16"/>
          <w:szCs w:val="16"/>
        </w:rPr>
        <w:endnoteRef/>
      </w:r>
      <w:r w:rsidRPr="00806909">
        <w:rPr>
          <w:rFonts w:asciiTheme="minorHAnsi" w:hAnsiTheme="minorHAnsi" w:cstheme="minorHAnsi"/>
          <w:sz w:val="16"/>
          <w:szCs w:val="16"/>
        </w:rPr>
        <w:t xml:space="preserve"> Department of Health, 2017, The Fifth National Mental Health and Suicide Prevention Plan</w:t>
      </w:r>
    </w:p>
  </w:endnote>
  <w:endnote w:id="58">
    <w:p w14:paraId="7CBDE06F" w14:textId="77777777" w:rsidR="00BA3BC3" w:rsidRPr="00806909" w:rsidRDefault="00BA3BC3">
      <w:pPr>
        <w:pStyle w:val="EndnoteText"/>
        <w:rPr>
          <w:rFonts w:asciiTheme="minorHAnsi" w:hAnsiTheme="minorHAnsi" w:cstheme="minorHAnsi"/>
          <w:sz w:val="16"/>
          <w:szCs w:val="16"/>
        </w:rPr>
      </w:pPr>
      <w:r w:rsidRPr="00806909">
        <w:rPr>
          <w:rStyle w:val="EndnoteReference"/>
          <w:rFonts w:asciiTheme="minorHAnsi" w:hAnsiTheme="minorHAnsi" w:cstheme="minorHAnsi"/>
          <w:sz w:val="16"/>
          <w:szCs w:val="16"/>
        </w:rPr>
        <w:endnoteRef/>
      </w:r>
      <w:r w:rsidRPr="00806909">
        <w:rPr>
          <w:rFonts w:asciiTheme="minorHAnsi" w:hAnsiTheme="minorHAnsi" w:cstheme="minorHAnsi"/>
          <w:sz w:val="16"/>
          <w:szCs w:val="16"/>
        </w:rPr>
        <w:t xml:space="preserve"> </w:t>
      </w:r>
      <w:r w:rsidRPr="00806909">
        <w:rPr>
          <w:rFonts w:asciiTheme="minorHAnsi" w:hAnsiTheme="minorHAnsi" w:cstheme="minorHAnsi"/>
          <w:color w:val="000000"/>
          <w:sz w:val="16"/>
          <w:szCs w:val="16"/>
        </w:rPr>
        <w:t>Centre of Best Practice in Aboriginal and Torres Strait Islander Suicide Prevention</w:t>
      </w:r>
      <w:r w:rsidRPr="00806909">
        <w:rPr>
          <w:rFonts w:asciiTheme="minorHAnsi" w:hAnsiTheme="minorHAnsi" w:cstheme="minorHAnsi"/>
          <w:sz w:val="16"/>
          <w:szCs w:val="16"/>
        </w:rPr>
        <w:t>, 25 March 2019, Media Release - Indigenous Leaders Call Australian Governments to Action on Indigenous Child and Youth Suicide</w:t>
      </w:r>
    </w:p>
  </w:endnote>
  <w:endnote w:id="59">
    <w:p w14:paraId="1B58035A" w14:textId="77777777" w:rsidR="00BA3BC3" w:rsidRDefault="00BA3BC3">
      <w:pPr>
        <w:pStyle w:val="EndnoteText"/>
      </w:pPr>
      <w:r w:rsidRPr="00806909">
        <w:rPr>
          <w:rStyle w:val="EndnoteReference"/>
          <w:rFonts w:asciiTheme="minorHAnsi" w:hAnsiTheme="minorHAnsi" w:cstheme="minorHAnsi"/>
          <w:sz w:val="16"/>
          <w:szCs w:val="16"/>
        </w:rPr>
        <w:endnoteRef/>
      </w:r>
      <w:r w:rsidRPr="00806909">
        <w:rPr>
          <w:rFonts w:asciiTheme="minorHAnsi" w:hAnsiTheme="minorHAnsi" w:cstheme="minorHAnsi"/>
          <w:sz w:val="16"/>
          <w:szCs w:val="16"/>
        </w:rPr>
        <w:t xml:space="preserve"> Council of Australian Governments, 12 December 2018, COAG Statement on the Closing the Gap Refresh</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636232389"/>
      <w:docPartObj>
        <w:docPartGallery w:val="Page Numbers (Bottom of Page)"/>
        <w:docPartUnique/>
      </w:docPartObj>
    </w:sdtPr>
    <w:sdtEndPr>
      <w:rPr>
        <w:rStyle w:val="PageNumber"/>
      </w:rPr>
    </w:sdtEndPr>
    <w:sdtContent>
      <w:p w14:paraId="0749667F" w14:textId="77777777" w:rsidR="00BA3BC3" w:rsidRDefault="00BA3BC3" w:rsidP="00C279C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EDD41B" w14:textId="77777777" w:rsidR="00BA3BC3" w:rsidRDefault="00BA3BC3" w:rsidP="000B3EF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60677089"/>
      <w:docPartObj>
        <w:docPartGallery w:val="Page Numbers (Bottom of Page)"/>
        <w:docPartUnique/>
      </w:docPartObj>
    </w:sdtPr>
    <w:sdtEndPr>
      <w:rPr>
        <w:rStyle w:val="PageNumber"/>
      </w:rPr>
    </w:sdtEndPr>
    <w:sdtContent>
      <w:p w14:paraId="7705AAD5" w14:textId="4A62D9FF" w:rsidR="00BA3BC3" w:rsidRDefault="00BA3BC3" w:rsidP="00C279C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94BB4">
          <w:rPr>
            <w:rStyle w:val="PageNumber"/>
            <w:noProof/>
          </w:rPr>
          <w:t>1</w:t>
        </w:r>
        <w:r>
          <w:rPr>
            <w:rStyle w:val="PageNumber"/>
          </w:rPr>
          <w:fldChar w:fldCharType="end"/>
        </w:r>
      </w:p>
    </w:sdtContent>
  </w:sdt>
  <w:p w14:paraId="2F77B00E" w14:textId="77777777" w:rsidR="00BA3BC3" w:rsidRDefault="00BA3BC3" w:rsidP="000B3EF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636569597"/>
      <w:docPartObj>
        <w:docPartGallery w:val="Page Numbers (Bottom of Page)"/>
        <w:docPartUnique/>
      </w:docPartObj>
    </w:sdtPr>
    <w:sdtEndPr>
      <w:rPr>
        <w:rStyle w:val="PageNumber"/>
      </w:rPr>
    </w:sdtEndPr>
    <w:sdtContent>
      <w:p w14:paraId="635A1CDA" w14:textId="77777777" w:rsidR="00BA3BC3" w:rsidRDefault="00BA3BC3" w:rsidP="00C279C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11C412" w14:textId="77777777" w:rsidR="00BA3BC3" w:rsidRDefault="00BA3BC3" w:rsidP="000B3EFC">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292039941"/>
      <w:docPartObj>
        <w:docPartGallery w:val="Page Numbers (Bottom of Page)"/>
        <w:docPartUnique/>
      </w:docPartObj>
    </w:sdtPr>
    <w:sdtEndPr>
      <w:rPr>
        <w:rStyle w:val="PageNumber"/>
      </w:rPr>
    </w:sdtEndPr>
    <w:sdtContent>
      <w:p w14:paraId="0B00422C" w14:textId="1B7B620C" w:rsidR="00BA3BC3" w:rsidRDefault="00BA3BC3" w:rsidP="00C279C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51D0B">
          <w:rPr>
            <w:rStyle w:val="PageNumber"/>
            <w:noProof/>
          </w:rPr>
          <w:t>20</w:t>
        </w:r>
        <w:r>
          <w:rPr>
            <w:rStyle w:val="PageNumber"/>
          </w:rPr>
          <w:fldChar w:fldCharType="end"/>
        </w:r>
      </w:p>
    </w:sdtContent>
  </w:sdt>
  <w:p w14:paraId="23F74C48" w14:textId="77777777" w:rsidR="00BA3BC3" w:rsidRDefault="00BA3BC3" w:rsidP="000B3EF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913CDD" w14:textId="77777777" w:rsidR="006452B3" w:rsidRDefault="006452B3" w:rsidP="009E527C">
      <w:r>
        <w:separator/>
      </w:r>
    </w:p>
  </w:footnote>
  <w:footnote w:type="continuationSeparator" w:id="0">
    <w:p w14:paraId="0E55B55E" w14:textId="77777777" w:rsidR="006452B3" w:rsidRDefault="006452B3" w:rsidP="009E52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C51D1"/>
    <w:multiLevelType w:val="multilevel"/>
    <w:tmpl w:val="F54C0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51040"/>
    <w:multiLevelType w:val="hybridMultilevel"/>
    <w:tmpl w:val="183ABE80"/>
    <w:lvl w:ilvl="0" w:tplc="4E1C109A">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857762"/>
    <w:multiLevelType w:val="multilevel"/>
    <w:tmpl w:val="78F01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C805DC"/>
    <w:multiLevelType w:val="hybridMultilevel"/>
    <w:tmpl w:val="D10443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1D5C08"/>
    <w:multiLevelType w:val="multilevel"/>
    <w:tmpl w:val="ED7C6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F6431A"/>
    <w:multiLevelType w:val="multilevel"/>
    <w:tmpl w:val="DE0E5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905B31"/>
    <w:multiLevelType w:val="multilevel"/>
    <w:tmpl w:val="3ABCC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1718C2"/>
    <w:multiLevelType w:val="hybridMultilevel"/>
    <w:tmpl w:val="A5867E26"/>
    <w:lvl w:ilvl="0" w:tplc="F856B434">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651766"/>
    <w:multiLevelType w:val="multilevel"/>
    <w:tmpl w:val="9F4CA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CC66DB"/>
    <w:multiLevelType w:val="hybridMultilevel"/>
    <w:tmpl w:val="6D8648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925399A"/>
    <w:multiLevelType w:val="hybridMultilevel"/>
    <w:tmpl w:val="E97495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807B12"/>
    <w:multiLevelType w:val="multilevel"/>
    <w:tmpl w:val="74E60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2A5084"/>
    <w:multiLevelType w:val="hybridMultilevel"/>
    <w:tmpl w:val="1B0C17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955F04"/>
    <w:multiLevelType w:val="hybridMultilevel"/>
    <w:tmpl w:val="500074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1E154FA"/>
    <w:multiLevelType w:val="multilevel"/>
    <w:tmpl w:val="900E0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ED6D6B"/>
    <w:multiLevelType w:val="hybridMultilevel"/>
    <w:tmpl w:val="F93879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4BF3104"/>
    <w:multiLevelType w:val="hybridMultilevel"/>
    <w:tmpl w:val="4EB62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4D16D7F"/>
    <w:multiLevelType w:val="hybridMultilevel"/>
    <w:tmpl w:val="2E363536"/>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1426A0"/>
    <w:multiLevelType w:val="hybridMultilevel"/>
    <w:tmpl w:val="F1B2CF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D5E7BC4"/>
    <w:multiLevelType w:val="multilevel"/>
    <w:tmpl w:val="C04A5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8957F8"/>
    <w:multiLevelType w:val="hybridMultilevel"/>
    <w:tmpl w:val="35348C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2991CBC"/>
    <w:multiLevelType w:val="hybridMultilevel"/>
    <w:tmpl w:val="076ACB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2A91FA1"/>
    <w:multiLevelType w:val="hybridMultilevel"/>
    <w:tmpl w:val="148EE4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6A7432C"/>
    <w:multiLevelType w:val="hybridMultilevel"/>
    <w:tmpl w:val="753CE4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7C46D74"/>
    <w:multiLevelType w:val="multilevel"/>
    <w:tmpl w:val="A7AC1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DB2F4A"/>
    <w:multiLevelType w:val="hybridMultilevel"/>
    <w:tmpl w:val="BB845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E36664"/>
    <w:multiLevelType w:val="multilevel"/>
    <w:tmpl w:val="CBB09D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A92561"/>
    <w:multiLevelType w:val="hybridMultilevel"/>
    <w:tmpl w:val="60FE7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E2D5819"/>
    <w:multiLevelType w:val="multilevel"/>
    <w:tmpl w:val="EA7E8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954EE8"/>
    <w:multiLevelType w:val="hybridMultilevel"/>
    <w:tmpl w:val="B64C2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5F7D91"/>
    <w:multiLevelType w:val="multilevel"/>
    <w:tmpl w:val="D6FE7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D84486"/>
    <w:multiLevelType w:val="multilevel"/>
    <w:tmpl w:val="1ECAA5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2" w15:restartNumberingAfterBreak="0">
    <w:nsid w:val="59141A85"/>
    <w:multiLevelType w:val="multilevel"/>
    <w:tmpl w:val="07245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196514"/>
    <w:multiLevelType w:val="hybridMultilevel"/>
    <w:tmpl w:val="AC6C42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9B711BA"/>
    <w:multiLevelType w:val="multilevel"/>
    <w:tmpl w:val="9B8CC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D16631"/>
    <w:multiLevelType w:val="hybridMultilevel"/>
    <w:tmpl w:val="BA165B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5F3F3AEB"/>
    <w:multiLevelType w:val="hybridMultilevel"/>
    <w:tmpl w:val="6CB4D7F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69731CF0"/>
    <w:multiLevelType w:val="hybridMultilevel"/>
    <w:tmpl w:val="AA9CA9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D396B9F"/>
    <w:multiLevelType w:val="hybridMultilevel"/>
    <w:tmpl w:val="4E00E9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40B1E09"/>
    <w:multiLevelType w:val="hybridMultilevel"/>
    <w:tmpl w:val="B57ABF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8326A35"/>
    <w:multiLevelType w:val="multilevel"/>
    <w:tmpl w:val="8FD8C10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C5F0FC6"/>
    <w:multiLevelType w:val="hybridMultilevel"/>
    <w:tmpl w:val="6AB071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E1D5FAA"/>
    <w:multiLevelType w:val="multilevel"/>
    <w:tmpl w:val="84A41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19"/>
  </w:num>
  <w:num w:numId="3">
    <w:abstractNumId w:val="0"/>
  </w:num>
  <w:num w:numId="4">
    <w:abstractNumId w:val="11"/>
  </w:num>
  <w:num w:numId="5">
    <w:abstractNumId w:val="2"/>
  </w:num>
  <w:num w:numId="6">
    <w:abstractNumId w:val="6"/>
  </w:num>
  <w:num w:numId="7">
    <w:abstractNumId w:val="5"/>
  </w:num>
  <w:num w:numId="8">
    <w:abstractNumId w:val="32"/>
  </w:num>
  <w:num w:numId="9">
    <w:abstractNumId w:val="14"/>
  </w:num>
  <w:num w:numId="10">
    <w:abstractNumId w:val="30"/>
  </w:num>
  <w:num w:numId="11">
    <w:abstractNumId w:val="41"/>
  </w:num>
  <w:num w:numId="12">
    <w:abstractNumId w:val="16"/>
  </w:num>
  <w:num w:numId="13">
    <w:abstractNumId w:val="12"/>
  </w:num>
  <w:num w:numId="14">
    <w:abstractNumId w:val="13"/>
  </w:num>
  <w:num w:numId="15">
    <w:abstractNumId w:val="10"/>
  </w:num>
  <w:num w:numId="16">
    <w:abstractNumId w:val="39"/>
  </w:num>
  <w:num w:numId="17">
    <w:abstractNumId w:val="36"/>
  </w:num>
  <w:num w:numId="18">
    <w:abstractNumId w:val="15"/>
  </w:num>
  <w:num w:numId="19">
    <w:abstractNumId w:val="9"/>
  </w:num>
  <w:num w:numId="20">
    <w:abstractNumId w:val="21"/>
  </w:num>
  <w:num w:numId="21">
    <w:abstractNumId w:val="37"/>
  </w:num>
  <w:num w:numId="22">
    <w:abstractNumId w:val="27"/>
  </w:num>
  <w:num w:numId="23">
    <w:abstractNumId w:val="34"/>
  </w:num>
  <w:num w:numId="24">
    <w:abstractNumId w:val="8"/>
  </w:num>
  <w:num w:numId="25">
    <w:abstractNumId w:val="28"/>
  </w:num>
  <w:num w:numId="26">
    <w:abstractNumId w:val="40"/>
  </w:num>
  <w:num w:numId="27">
    <w:abstractNumId w:val="35"/>
  </w:num>
  <w:num w:numId="28">
    <w:abstractNumId w:val="29"/>
  </w:num>
  <w:num w:numId="29">
    <w:abstractNumId w:val="23"/>
  </w:num>
  <w:num w:numId="30">
    <w:abstractNumId w:val="33"/>
  </w:num>
  <w:num w:numId="31">
    <w:abstractNumId w:val="4"/>
  </w:num>
  <w:num w:numId="32">
    <w:abstractNumId w:val="24"/>
  </w:num>
  <w:num w:numId="33">
    <w:abstractNumId w:val="42"/>
  </w:num>
  <w:num w:numId="34">
    <w:abstractNumId w:val="18"/>
  </w:num>
  <w:num w:numId="35">
    <w:abstractNumId w:val="26"/>
  </w:num>
  <w:num w:numId="36">
    <w:abstractNumId w:val="25"/>
  </w:num>
  <w:num w:numId="37">
    <w:abstractNumId w:val="22"/>
  </w:num>
  <w:num w:numId="38">
    <w:abstractNumId w:val="1"/>
  </w:num>
  <w:num w:numId="39">
    <w:abstractNumId w:val="17"/>
  </w:num>
  <w:num w:numId="40">
    <w:abstractNumId w:val="7"/>
  </w:num>
  <w:num w:numId="41">
    <w:abstractNumId w:val="3"/>
  </w:num>
  <w:num w:numId="42">
    <w:abstractNumId w:val="31"/>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412"/>
    <w:rsid w:val="00010152"/>
    <w:rsid w:val="000358E1"/>
    <w:rsid w:val="000454AA"/>
    <w:rsid w:val="00052203"/>
    <w:rsid w:val="000B3EFC"/>
    <w:rsid w:val="000B634D"/>
    <w:rsid w:val="000C3E54"/>
    <w:rsid w:val="000E07D8"/>
    <w:rsid w:val="001045CA"/>
    <w:rsid w:val="0010655D"/>
    <w:rsid w:val="00113EF4"/>
    <w:rsid w:val="00120757"/>
    <w:rsid w:val="00126D31"/>
    <w:rsid w:val="00131688"/>
    <w:rsid w:val="00144F7A"/>
    <w:rsid w:val="001544D8"/>
    <w:rsid w:val="001771E3"/>
    <w:rsid w:val="001A28A8"/>
    <w:rsid w:val="001C159A"/>
    <w:rsid w:val="001C6063"/>
    <w:rsid w:val="001F0326"/>
    <w:rsid w:val="00201183"/>
    <w:rsid w:val="002026AB"/>
    <w:rsid w:val="00202A80"/>
    <w:rsid w:val="00204978"/>
    <w:rsid w:val="00226F7C"/>
    <w:rsid w:val="002379D6"/>
    <w:rsid w:val="0026102D"/>
    <w:rsid w:val="00266A09"/>
    <w:rsid w:val="002A557A"/>
    <w:rsid w:val="002C2068"/>
    <w:rsid w:val="002D4EF9"/>
    <w:rsid w:val="00306329"/>
    <w:rsid w:val="003118CF"/>
    <w:rsid w:val="00311FB9"/>
    <w:rsid w:val="00332EE0"/>
    <w:rsid w:val="00333F70"/>
    <w:rsid w:val="00340BF1"/>
    <w:rsid w:val="00342A3B"/>
    <w:rsid w:val="003663CA"/>
    <w:rsid w:val="00370D58"/>
    <w:rsid w:val="0037309D"/>
    <w:rsid w:val="00377DC9"/>
    <w:rsid w:val="00382E74"/>
    <w:rsid w:val="00394BB4"/>
    <w:rsid w:val="003A1F13"/>
    <w:rsid w:val="003E0D28"/>
    <w:rsid w:val="003E7136"/>
    <w:rsid w:val="00407412"/>
    <w:rsid w:val="00411922"/>
    <w:rsid w:val="00413CC7"/>
    <w:rsid w:val="00426B5D"/>
    <w:rsid w:val="00431A2B"/>
    <w:rsid w:val="00440227"/>
    <w:rsid w:val="00441245"/>
    <w:rsid w:val="00451EEF"/>
    <w:rsid w:val="0047400A"/>
    <w:rsid w:val="0047448F"/>
    <w:rsid w:val="0048512E"/>
    <w:rsid w:val="004D455E"/>
    <w:rsid w:val="004D75ED"/>
    <w:rsid w:val="004E732B"/>
    <w:rsid w:val="0050152A"/>
    <w:rsid w:val="005053FD"/>
    <w:rsid w:val="00510BAB"/>
    <w:rsid w:val="00511D7D"/>
    <w:rsid w:val="005267A5"/>
    <w:rsid w:val="0053050E"/>
    <w:rsid w:val="0053344A"/>
    <w:rsid w:val="00535CB6"/>
    <w:rsid w:val="00560CE5"/>
    <w:rsid w:val="005865F7"/>
    <w:rsid w:val="00594982"/>
    <w:rsid w:val="005A3797"/>
    <w:rsid w:val="005D7C74"/>
    <w:rsid w:val="006045C3"/>
    <w:rsid w:val="006452B3"/>
    <w:rsid w:val="00661B8A"/>
    <w:rsid w:val="00682559"/>
    <w:rsid w:val="006B5124"/>
    <w:rsid w:val="006C0F55"/>
    <w:rsid w:val="006E4E56"/>
    <w:rsid w:val="00720C24"/>
    <w:rsid w:val="00721DDD"/>
    <w:rsid w:val="00746407"/>
    <w:rsid w:val="0076219F"/>
    <w:rsid w:val="00783B4D"/>
    <w:rsid w:val="00784A78"/>
    <w:rsid w:val="00795A5E"/>
    <w:rsid w:val="007A1CD2"/>
    <w:rsid w:val="007B11A2"/>
    <w:rsid w:val="007C725F"/>
    <w:rsid w:val="00806909"/>
    <w:rsid w:val="0083412E"/>
    <w:rsid w:val="00852E5B"/>
    <w:rsid w:val="00863AB6"/>
    <w:rsid w:val="00871442"/>
    <w:rsid w:val="00880B26"/>
    <w:rsid w:val="008A50FB"/>
    <w:rsid w:val="008B09A0"/>
    <w:rsid w:val="008C66F2"/>
    <w:rsid w:val="008D0BAB"/>
    <w:rsid w:val="008D7B6E"/>
    <w:rsid w:val="009029A8"/>
    <w:rsid w:val="0091370F"/>
    <w:rsid w:val="00920F0D"/>
    <w:rsid w:val="00921FE9"/>
    <w:rsid w:val="00955699"/>
    <w:rsid w:val="0096719D"/>
    <w:rsid w:val="00994FCC"/>
    <w:rsid w:val="009B1F88"/>
    <w:rsid w:val="009C0A07"/>
    <w:rsid w:val="009E1182"/>
    <w:rsid w:val="009E527C"/>
    <w:rsid w:val="009F13FF"/>
    <w:rsid w:val="009F7881"/>
    <w:rsid w:val="00A0429A"/>
    <w:rsid w:val="00A12242"/>
    <w:rsid w:val="00A139D7"/>
    <w:rsid w:val="00A145B0"/>
    <w:rsid w:val="00A17A39"/>
    <w:rsid w:val="00A34BD0"/>
    <w:rsid w:val="00A40197"/>
    <w:rsid w:val="00A42035"/>
    <w:rsid w:val="00A46945"/>
    <w:rsid w:val="00A5452D"/>
    <w:rsid w:val="00A704BE"/>
    <w:rsid w:val="00A71AAF"/>
    <w:rsid w:val="00A75759"/>
    <w:rsid w:val="00A809E6"/>
    <w:rsid w:val="00A818EC"/>
    <w:rsid w:val="00A8513C"/>
    <w:rsid w:val="00A85FD9"/>
    <w:rsid w:val="00AD1296"/>
    <w:rsid w:val="00AE6961"/>
    <w:rsid w:val="00B02922"/>
    <w:rsid w:val="00B21E91"/>
    <w:rsid w:val="00B308A3"/>
    <w:rsid w:val="00B3462B"/>
    <w:rsid w:val="00B549AE"/>
    <w:rsid w:val="00B66C88"/>
    <w:rsid w:val="00BA3BC3"/>
    <w:rsid w:val="00BB284D"/>
    <w:rsid w:val="00BD1B8D"/>
    <w:rsid w:val="00BE13D7"/>
    <w:rsid w:val="00BE6866"/>
    <w:rsid w:val="00C126B3"/>
    <w:rsid w:val="00C27412"/>
    <w:rsid w:val="00C279CC"/>
    <w:rsid w:val="00C27F5C"/>
    <w:rsid w:val="00C40B6F"/>
    <w:rsid w:val="00C44429"/>
    <w:rsid w:val="00C51D0B"/>
    <w:rsid w:val="00C54DFC"/>
    <w:rsid w:val="00C77CF2"/>
    <w:rsid w:val="00C82102"/>
    <w:rsid w:val="00C86C6A"/>
    <w:rsid w:val="00C956AE"/>
    <w:rsid w:val="00CA4DF6"/>
    <w:rsid w:val="00CC59DE"/>
    <w:rsid w:val="00CD5B13"/>
    <w:rsid w:val="00CF1DEE"/>
    <w:rsid w:val="00CF7474"/>
    <w:rsid w:val="00D00D14"/>
    <w:rsid w:val="00D05431"/>
    <w:rsid w:val="00D06A71"/>
    <w:rsid w:val="00D2089A"/>
    <w:rsid w:val="00D65533"/>
    <w:rsid w:val="00D664B0"/>
    <w:rsid w:val="00D83544"/>
    <w:rsid w:val="00D91F2F"/>
    <w:rsid w:val="00DD7D08"/>
    <w:rsid w:val="00DD7E43"/>
    <w:rsid w:val="00DE5220"/>
    <w:rsid w:val="00DF2C37"/>
    <w:rsid w:val="00DF7F28"/>
    <w:rsid w:val="00E212D6"/>
    <w:rsid w:val="00E216BE"/>
    <w:rsid w:val="00E3373B"/>
    <w:rsid w:val="00E560E1"/>
    <w:rsid w:val="00E72ECB"/>
    <w:rsid w:val="00E82778"/>
    <w:rsid w:val="00E832E2"/>
    <w:rsid w:val="00E8339A"/>
    <w:rsid w:val="00E94EA9"/>
    <w:rsid w:val="00E95FF1"/>
    <w:rsid w:val="00E971D8"/>
    <w:rsid w:val="00EB0640"/>
    <w:rsid w:val="00EB68C4"/>
    <w:rsid w:val="00ED4C96"/>
    <w:rsid w:val="00ED789F"/>
    <w:rsid w:val="00EE17A1"/>
    <w:rsid w:val="00F17858"/>
    <w:rsid w:val="00F33740"/>
    <w:rsid w:val="00F3485D"/>
    <w:rsid w:val="00F671AB"/>
    <w:rsid w:val="00F72D16"/>
    <w:rsid w:val="00F854D1"/>
    <w:rsid w:val="00FA0310"/>
    <w:rsid w:val="00FA1860"/>
    <w:rsid w:val="00FE0E96"/>
    <w:rsid w:val="00FE29DD"/>
    <w:rsid w:val="00FE37D8"/>
    <w:rsid w:val="00FF4D40"/>
    <w:rsid w:val="00FF64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12892"/>
  <w15:docId w15:val="{5C5433B0-6204-AE4A-A916-2CD099C16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AAF"/>
    <w:rPr>
      <w:rFonts w:ascii="Times New Roman" w:eastAsia="Times New Roman" w:hAnsi="Times New Roman" w:cs="Times New Roman"/>
      <w:lang w:val="en-AU"/>
    </w:rPr>
  </w:style>
  <w:style w:type="paragraph" w:styleId="Heading1">
    <w:name w:val="heading 1"/>
    <w:basedOn w:val="Normal"/>
    <w:next w:val="Normal"/>
    <w:link w:val="Heading1Char"/>
    <w:uiPriority w:val="9"/>
    <w:qFormat/>
    <w:rsid w:val="005865F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9029A8"/>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irst level bullet point,List Paragraph1,List Paragraph11,Recommendation,Body text,standard lewis,Bullet point,List Paragraph Number,Bulleted Para,NFP GP Bulleted List,bullet point list,L,Bullet points,Content descriptions,Bullet Point,列"/>
    <w:basedOn w:val="Normal"/>
    <w:link w:val="ListParagraphChar"/>
    <w:uiPriority w:val="34"/>
    <w:qFormat/>
    <w:rsid w:val="0096719D"/>
    <w:pPr>
      <w:ind w:left="720"/>
      <w:contextualSpacing/>
    </w:pPr>
  </w:style>
  <w:style w:type="table" w:styleId="TableGrid">
    <w:name w:val="Table Grid"/>
    <w:basedOn w:val="TableNormal"/>
    <w:uiPriority w:val="39"/>
    <w:rsid w:val="009671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719D"/>
    <w:pPr>
      <w:spacing w:before="100" w:beforeAutospacing="1" w:after="100" w:afterAutospacing="1"/>
    </w:pPr>
  </w:style>
  <w:style w:type="character" w:styleId="CommentReference">
    <w:name w:val="annotation reference"/>
    <w:basedOn w:val="DefaultParagraphFont"/>
    <w:uiPriority w:val="99"/>
    <w:semiHidden/>
    <w:unhideWhenUsed/>
    <w:rsid w:val="00594982"/>
    <w:rPr>
      <w:sz w:val="16"/>
      <w:szCs w:val="16"/>
    </w:rPr>
  </w:style>
  <w:style w:type="paragraph" w:styleId="CommentText">
    <w:name w:val="annotation text"/>
    <w:basedOn w:val="Normal"/>
    <w:link w:val="CommentTextChar"/>
    <w:uiPriority w:val="99"/>
    <w:unhideWhenUsed/>
    <w:rsid w:val="00594982"/>
    <w:rPr>
      <w:sz w:val="20"/>
      <w:szCs w:val="20"/>
      <w:lang w:val="en-US"/>
    </w:rPr>
  </w:style>
  <w:style w:type="character" w:customStyle="1" w:styleId="CommentTextChar">
    <w:name w:val="Comment Text Char"/>
    <w:basedOn w:val="DefaultParagraphFont"/>
    <w:link w:val="CommentText"/>
    <w:uiPriority w:val="99"/>
    <w:rsid w:val="00594982"/>
    <w:rPr>
      <w:rFonts w:ascii="Times New Roman" w:hAnsi="Times New Roman" w:cs="Times New Roman"/>
      <w:sz w:val="20"/>
      <w:szCs w:val="20"/>
      <w:lang w:val="en-US"/>
    </w:rPr>
  </w:style>
  <w:style w:type="character" w:customStyle="1" w:styleId="ListParagraphChar">
    <w:name w:val="List Paragraph Char"/>
    <w:aliases w:val="First level bullet point Char,List Paragraph1 Char,List Paragraph11 Char,Recommendation Char,Body text Char,standard lewis Char,Bullet point Char,List Paragraph Number Char,Bulleted Para Char,NFP GP Bulleted List Char,L Char,列 Char"/>
    <w:link w:val="ListParagraph"/>
    <w:uiPriority w:val="34"/>
    <w:rsid w:val="00594982"/>
  </w:style>
  <w:style w:type="paragraph" w:styleId="BalloonText">
    <w:name w:val="Balloon Text"/>
    <w:basedOn w:val="Normal"/>
    <w:link w:val="BalloonTextChar"/>
    <w:uiPriority w:val="99"/>
    <w:semiHidden/>
    <w:unhideWhenUsed/>
    <w:rsid w:val="00594982"/>
    <w:rPr>
      <w:sz w:val="18"/>
      <w:szCs w:val="18"/>
    </w:rPr>
  </w:style>
  <w:style w:type="character" w:customStyle="1" w:styleId="BalloonTextChar">
    <w:name w:val="Balloon Text Char"/>
    <w:basedOn w:val="DefaultParagraphFont"/>
    <w:link w:val="BalloonText"/>
    <w:uiPriority w:val="99"/>
    <w:semiHidden/>
    <w:rsid w:val="00594982"/>
    <w:rPr>
      <w:rFonts w:ascii="Times New Roman" w:hAnsi="Times New Roman" w:cs="Times New Roman"/>
      <w:sz w:val="18"/>
      <w:szCs w:val="18"/>
    </w:rPr>
  </w:style>
  <w:style w:type="character" w:customStyle="1" w:styleId="apple-converted-space">
    <w:name w:val="apple-converted-space"/>
    <w:basedOn w:val="DefaultParagraphFont"/>
    <w:rsid w:val="00594982"/>
  </w:style>
  <w:style w:type="character" w:styleId="Emphasis">
    <w:name w:val="Emphasis"/>
    <w:basedOn w:val="DefaultParagraphFont"/>
    <w:uiPriority w:val="20"/>
    <w:qFormat/>
    <w:rsid w:val="00594982"/>
    <w:rPr>
      <w:i/>
      <w:iCs/>
    </w:rPr>
  </w:style>
  <w:style w:type="character" w:styleId="EndnoteReference">
    <w:name w:val="endnote reference"/>
    <w:uiPriority w:val="99"/>
    <w:rsid w:val="009E527C"/>
    <w:rPr>
      <w:rFonts w:ascii="Arial" w:hAnsi="Arial"/>
      <w:sz w:val="20"/>
      <w:vertAlign w:val="superscript"/>
    </w:rPr>
  </w:style>
  <w:style w:type="paragraph" w:styleId="EndnoteText">
    <w:name w:val="endnote text"/>
    <w:basedOn w:val="Normal"/>
    <w:link w:val="EndnoteTextChar"/>
    <w:rsid w:val="009E527C"/>
    <w:rPr>
      <w:rFonts w:ascii="Arial" w:hAnsi="Arial"/>
      <w:sz w:val="20"/>
      <w:szCs w:val="20"/>
      <w:lang w:eastAsia="en-AU"/>
    </w:rPr>
  </w:style>
  <w:style w:type="character" w:customStyle="1" w:styleId="EndnoteTextChar">
    <w:name w:val="Endnote Text Char"/>
    <w:basedOn w:val="DefaultParagraphFont"/>
    <w:link w:val="EndnoteText"/>
    <w:rsid w:val="009E527C"/>
    <w:rPr>
      <w:rFonts w:ascii="Arial" w:eastAsia="Times New Roman" w:hAnsi="Arial" w:cs="Times New Roman"/>
      <w:sz w:val="20"/>
      <w:szCs w:val="20"/>
      <w:lang w:val="en-AU" w:eastAsia="en-AU"/>
    </w:rPr>
  </w:style>
  <w:style w:type="character" w:customStyle="1" w:styleId="citation">
    <w:name w:val="citation"/>
    <w:basedOn w:val="DefaultParagraphFont"/>
    <w:rsid w:val="00126D31"/>
  </w:style>
  <w:style w:type="character" w:customStyle="1" w:styleId="doi">
    <w:name w:val="doi"/>
    <w:basedOn w:val="DefaultParagraphFont"/>
    <w:rsid w:val="00126D31"/>
  </w:style>
  <w:style w:type="character" w:styleId="Hyperlink">
    <w:name w:val="Hyperlink"/>
    <w:basedOn w:val="DefaultParagraphFont"/>
    <w:uiPriority w:val="99"/>
    <w:unhideWhenUsed/>
    <w:rsid w:val="002A557A"/>
    <w:rPr>
      <w:color w:val="0000FF"/>
      <w:u w:val="single"/>
    </w:rPr>
  </w:style>
  <w:style w:type="character" w:customStyle="1" w:styleId="Heading3Char">
    <w:name w:val="Heading 3 Char"/>
    <w:basedOn w:val="DefaultParagraphFont"/>
    <w:link w:val="Heading3"/>
    <w:uiPriority w:val="9"/>
    <w:rsid w:val="009029A8"/>
    <w:rPr>
      <w:rFonts w:ascii="Times New Roman" w:eastAsia="Times New Roman" w:hAnsi="Times New Roman" w:cs="Times New Roman"/>
      <w:b/>
      <w:bCs/>
      <w:sz w:val="27"/>
      <w:szCs w:val="27"/>
      <w:lang w:val="en-AU"/>
    </w:rPr>
  </w:style>
  <w:style w:type="character" w:styleId="HTMLCite">
    <w:name w:val="HTML Cite"/>
    <w:basedOn w:val="DefaultParagraphFont"/>
    <w:uiPriority w:val="99"/>
    <w:semiHidden/>
    <w:unhideWhenUsed/>
    <w:rsid w:val="009029A8"/>
    <w:rPr>
      <w:i/>
      <w:iCs/>
    </w:rPr>
  </w:style>
  <w:style w:type="paragraph" w:customStyle="1" w:styleId="action-menu-item">
    <w:name w:val="action-menu-item"/>
    <w:basedOn w:val="Normal"/>
    <w:rsid w:val="009029A8"/>
    <w:pPr>
      <w:spacing w:before="100" w:beforeAutospacing="1" w:after="100" w:afterAutospacing="1"/>
    </w:pPr>
  </w:style>
  <w:style w:type="character" w:customStyle="1" w:styleId="st">
    <w:name w:val="st"/>
    <w:basedOn w:val="DefaultParagraphFont"/>
    <w:rsid w:val="009029A8"/>
  </w:style>
  <w:style w:type="character" w:styleId="FollowedHyperlink">
    <w:name w:val="FollowedHyperlink"/>
    <w:basedOn w:val="DefaultParagraphFont"/>
    <w:uiPriority w:val="99"/>
    <w:semiHidden/>
    <w:unhideWhenUsed/>
    <w:rsid w:val="009029A8"/>
    <w:rPr>
      <w:color w:val="954F72" w:themeColor="followedHyperlink"/>
      <w:u w:val="single"/>
    </w:rPr>
  </w:style>
  <w:style w:type="paragraph" w:styleId="Footer">
    <w:name w:val="footer"/>
    <w:basedOn w:val="Normal"/>
    <w:link w:val="FooterChar"/>
    <w:uiPriority w:val="99"/>
    <w:unhideWhenUsed/>
    <w:rsid w:val="000B3EFC"/>
    <w:pPr>
      <w:tabs>
        <w:tab w:val="center" w:pos="4680"/>
        <w:tab w:val="right" w:pos="9360"/>
      </w:tabs>
    </w:pPr>
  </w:style>
  <w:style w:type="character" w:customStyle="1" w:styleId="FooterChar">
    <w:name w:val="Footer Char"/>
    <w:basedOn w:val="DefaultParagraphFont"/>
    <w:link w:val="Footer"/>
    <w:uiPriority w:val="99"/>
    <w:rsid w:val="000B3EFC"/>
    <w:rPr>
      <w:rFonts w:ascii="Times New Roman" w:eastAsia="Times New Roman" w:hAnsi="Times New Roman" w:cs="Times New Roman"/>
      <w:lang w:val="en-AU"/>
    </w:rPr>
  </w:style>
  <w:style w:type="character" w:styleId="PageNumber">
    <w:name w:val="page number"/>
    <w:basedOn w:val="DefaultParagraphFont"/>
    <w:uiPriority w:val="99"/>
    <w:semiHidden/>
    <w:unhideWhenUsed/>
    <w:rsid w:val="000B3EFC"/>
  </w:style>
  <w:style w:type="paragraph" w:styleId="CommentSubject">
    <w:name w:val="annotation subject"/>
    <w:basedOn w:val="CommentText"/>
    <w:next w:val="CommentText"/>
    <w:link w:val="CommentSubjectChar"/>
    <w:uiPriority w:val="99"/>
    <w:semiHidden/>
    <w:unhideWhenUsed/>
    <w:rsid w:val="009F13FF"/>
    <w:rPr>
      <w:b/>
      <w:bCs/>
      <w:lang w:val="en-AU"/>
    </w:rPr>
  </w:style>
  <w:style w:type="character" w:customStyle="1" w:styleId="CommentSubjectChar">
    <w:name w:val="Comment Subject Char"/>
    <w:basedOn w:val="CommentTextChar"/>
    <w:link w:val="CommentSubject"/>
    <w:uiPriority w:val="99"/>
    <w:semiHidden/>
    <w:rsid w:val="009F13FF"/>
    <w:rPr>
      <w:rFonts w:ascii="Times New Roman" w:eastAsia="Times New Roman" w:hAnsi="Times New Roman" w:cs="Times New Roman"/>
      <w:b/>
      <w:bCs/>
      <w:sz w:val="20"/>
      <w:szCs w:val="20"/>
      <w:lang w:val="en-AU"/>
    </w:rPr>
  </w:style>
  <w:style w:type="paragraph" w:styleId="FootnoteText">
    <w:name w:val="footnote text"/>
    <w:basedOn w:val="Normal"/>
    <w:link w:val="FootnoteTextChar"/>
    <w:uiPriority w:val="99"/>
    <w:unhideWhenUsed/>
    <w:rsid w:val="000E07D8"/>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0E07D8"/>
    <w:rPr>
      <w:sz w:val="20"/>
      <w:szCs w:val="20"/>
      <w:lang w:val="en-AU"/>
    </w:rPr>
  </w:style>
  <w:style w:type="character" w:styleId="FootnoteReference">
    <w:name w:val="footnote reference"/>
    <w:basedOn w:val="DefaultParagraphFont"/>
    <w:uiPriority w:val="99"/>
    <w:semiHidden/>
    <w:unhideWhenUsed/>
    <w:rsid w:val="000E07D8"/>
    <w:rPr>
      <w:vertAlign w:val="superscript"/>
    </w:rPr>
  </w:style>
  <w:style w:type="character" w:customStyle="1" w:styleId="UnresolvedMention1">
    <w:name w:val="Unresolved Mention1"/>
    <w:basedOn w:val="DefaultParagraphFont"/>
    <w:uiPriority w:val="99"/>
    <w:semiHidden/>
    <w:unhideWhenUsed/>
    <w:rsid w:val="005865F7"/>
    <w:rPr>
      <w:color w:val="605E5C"/>
      <w:shd w:val="clear" w:color="auto" w:fill="E1DFDD"/>
    </w:rPr>
  </w:style>
  <w:style w:type="character" w:customStyle="1" w:styleId="Heading1Char">
    <w:name w:val="Heading 1 Char"/>
    <w:basedOn w:val="DefaultParagraphFont"/>
    <w:link w:val="Heading1"/>
    <w:uiPriority w:val="9"/>
    <w:rsid w:val="005865F7"/>
    <w:rPr>
      <w:rFonts w:asciiTheme="majorHAnsi" w:eastAsiaTheme="majorEastAsia" w:hAnsiTheme="majorHAnsi" w:cstheme="majorBidi"/>
      <w:color w:val="2F5496" w:themeColor="accent1" w:themeShade="BF"/>
      <w:sz w:val="32"/>
      <w:szCs w:val="32"/>
      <w:lang w:val="en-AU"/>
    </w:rPr>
  </w:style>
  <w:style w:type="paragraph" w:styleId="Revision">
    <w:name w:val="Revision"/>
    <w:hidden/>
    <w:uiPriority w:val="99"/>
    <w:semiHidden/>
    <w:rsid w:val="00E8339A"/>
    <w:rPr>
      <w:rFonts w:ascii="Times New Roman" w:eastAsia="Times New Roman" w:hAnsi="Times New Roman" w:cs="Times New Roman"/>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29831">
      <w:bodyDiv w:val="1"/>
      <w:marLeft w:val="0"/>
      <w:marRight w:val="0"/>
      <w:marTop w:val="0"/>
      <w:marBottom w:val="0"/>
      <w:divBdr>
        <w:top w:val="none" w:sz="0" w:space="0" w:color="auto"/>
        <w:left w:val="none" w:sz="0" w:space="0" w:color="auto"/>
        <w:bottom w:val="none" w:sz="0" w:space="0" w:color="auto"/>
        <w:right w:val="none" w:sz="0" w:space="0" w:color="auto"/>
      </w:divBdr>
      <w:divsChild>
        <w:div w:id="1675643823">
          <w:marLeft w:val="0"/>
          <w:marRight w:val="0"/>
          <w:marTop w:val="0"/>
          <w:marBottom w:val="0"/>
          <w:divBdr>
            <w:top w:val="none" w:sz="0" w:space="0" w:color="auto"/>
            <w:left w:val="none" w:sz="0" w:space="0" w:color="auto"/>
            <w:bottom w:val="none" w:sz="0" w:space="0" w:color="auto"/>
            <w:right w:val="none" w:sz="0" w:space="0" w:color="auto"/>
          </w:divBdr>
          <w:divsChild>
            <w:div w:id="58556167">
              <w:marLeft w:val="0"/>
              <w:marRight w:val="0"/>
              <w:marTop w:val="0"/>
              <w:marBottom w:val="0"/>
              <w:divBdr>
                <w:top w:val="none" w:sz="0" w:space="0" w:color="auto"/>
                <w:left w:val="none" w:sz="0" w:space="0" w:color="auto"/>
                <w:bottom w:val="none" w:sz="0" w:space="0" w:color="auto"/>
                <w:right w:val="none" w:sz="0" w:space="0" w:color="auto"/>
              </w:divBdr>
              <w:divsChild>
                <w:div w:id="7328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22847">
      <w:bodyDiv w:val="1"/>
      <w:marLeft w:val="0"/>
      <w:marRight w:val="0"/>
      <w:marTop w:val="0"/>
      <w:marBottom w:val="0"/>
      <w:divBdr>
        <w:top w:val="none" w:sz="0" w:space="0" w:color="auto"/>
        <w:left w:val="none" w:sz="0" w:space="0" w:color="auto"/>
        <w:bottom w:val="none" w:sz="0" w:space="0" w:color="auto"/>
        <w:right w:val="none" w:sz="0" w:space="0" w:color="auto"/>
      </w:divBdr>
      <w:divsChild>
        <w:div w:id="1927419943">
          <w:marLeft w:val="0"/>
          <w:marRight w:val="0"/>
          <w:marTop w:val="0"/>
          <w:marBottom w:val="0"/>
          <w:divBdr>
            <w:top w:val="none" w:sz="0" w:space="0" w:color="auto"/>
            <w:left w:val="none" w:sz="0" w:space="0" w:color="auto"/>
            <w:bottom w:val="none" w:sz="0" w:space="0" w:color="auto"/>
            <w:right w:val="none" w:sz="0" w:space="0" w:color="auto"/>
          </w:divBdr>
        </w:div>
        <w:div w:id="1155534091">
          <w:marLeft w:val="45"/>
          <w:marRight w:val="45"/>
          <w:marTop w:val="15"/>
          <w:marBottom w:val="0"/>
          <w:divBdr>
            <w:top w:val="none" w:sz="0" w:space="0" w:color="auto"/>
            <w:left w:val="none" w:sz="0" w:space="0" w:color="auto"/>
            <w:bottom w:val="none" w:sz="0" w:space="0" w:color="auto"/>
            <w:right w:val="none" w:sz="0" w:space="0" w:color="auto"/>
          </w:divBdr>
          <w:divsChild>
            <w:div w:id="1882937892">
              <w:marLeft w:val="0"/>
              <w:marRight w:val="0"/>
              <w:marTop w:val="0"/>
              <w:marBottom w:val="0"/>
              <w:divBdr>
                <w:top w:val="none" w:sz="0" w:space="0" w:color="auto"/>
                <w:left w:val="none" w:sz="0" w:space="0" w:color="auto"/>
                <w:bottom w:val="none" w:sz="0" w:space="0" w:color="auto"/>
                <w:right w:val="none" w:sz="0" w:space="0" w:color="auto"/>
              </w:divBdr>
            </w:div>
          </w:divsChild>
        </w:div>
        <w:div w:id="2082288247">
          <w:marLeft w:val="0"/>
          <w:marRight w:val="0"/>
          <w:marTop w:val="0"/>
          <w:marBottom w:val="0"/>
          <w:divBdr>
            <w:top w:val="none" w:sz="0" w:space="0" w:color="auto"/>
            <w:left w:val="none" w:sz="0" w:space="0" w:color="auto"/>
            <w:bottom w:val="none" w:sz="0" w:space="0" w:color="auto"/>
            <w:right w:val="none" w:sz="0" w:space="0" w:color="auto"/>
          </w:divBdr>
        </w:div>
      </w:divsChild>
    </w:div>
    <w:div w:id="161284669">
      <w:bodyDiv w:val="1"/>
      <w:marLeft w:val="0"/>
      <w:marRight w:val="0"/>
      <w:marTop w:val="0"/>
      <w:marBottom w:val="0"/>
      <w:divBdr>
        <w:top w:val="none" w:sz="0" w:space="0" w:color="auto"/>
        <w:left w:val="none" w:sz="0" w:space="0" w:color="auto"/>
        <w:bottom w:val="none" w:sz="0" w:space="0" w:color="auto"/>
        <w:right w:val="none" w:sz="0" w:space="0" w:color="auto"/>
      </w:divBdr>
    </w:div>
    <w:div w:id="163664788">
      <w:bodyDiv w:val="1"/>
      <w:marLeft w:val="0"/>
      <w:marRight w:val="0"/>
      <w:marTop w:val="0"/>
      <w:marBottom w:val="0"/>
      <w:divBdr>
        <w:top w:val="none" w:sz="0" w:space="0" w:color="auto"/>
        <w:left w:val="none" w:sz="0" w:space="0" w:color="auto"/>
        <w:bottom w:val="none" w:sz="0" w:space="0" w:color="auto"/>
        <w:right w:val="none" w:sz="0" w:space="0" w:color="auto"/>
      </w:divBdr>
    </w:div>
    <w:div w:id="220138550">
      <w:bodyDiv w:val="1"/>
      <w:marLeft w:val="0"/>
      <w:marRight w:val="0"/>
      <w:marTop w:val="0"/>
      <w:marBottom w:val="0"/>
      <w:divBdr>
        <w:top w:val="none" w:sz="0" w:space="0" w:color="auto"/>
        <w:left w:val="none" w:sz="0" w:space="0" w:color="auto"/>
        <w:bottom w:val="none" w:sz="0" w:space="0" w:color="auto"/>
        <w:right w:val="none" w:sz="0" w:space="0" w:color="auto"/>
      </w:divBdr>
      <w:divsChild>
        <w:div w:id="1061173459">
          <w:marLeft w:val="0"/>
          <w:marRight w:val="0"/>
          <w:marTop w:val="0"/>
          <w:marBottom w:val="0"/>
          <w:divBdr>
            <w:top w:val="none" w:sz="0" w:space="0" w:color="auto"/>
            <w:left w:val="none" w:sz="0" w:space="0" w:color="auto"/>
            <w:bottom w:val="none" w:sz="0" w:space="0" w:color="auto"/>
            <w:right w:val="none" w:sz="0" w:space="0" w:color="auto"/>
          </w:divBdr>
          <w:divsChild>
            <w:div w:id="56125882">
              <w:marLeft w:val="0"/>
              <w:marRight w:val="0"/>
              <w:marTop w:val="0"/>
              <w:marBottom w:val="0"/>
              <w:divBdr>
                <w:top w:val="none" w:sz="0" w:space="0" w:color="auto"/>
                <w:left w:val="none" w:sz="0" w:space="0" w:color="auto"/>
                <w:bottom w:val="none" w:sz="0" w:space="0" w:color="auto"/>
                <w:right w:val="none" w:sz="0" w:space="0" w:color="auto"/>
              </w:divBdr>
              <w:divsChild>
                <w:div w:id="195513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059793">
      <w:bodyDiv w:val="1"/>
      <w:marLeft w:val="0"/>
      <w:marRight w:val="0"/>
      <w:marTop w:val="0"/>
      <w:marBottom w:val="0"/>
      <w:divBdr>
        <w:top w:val="none" w:sz="0" w:space="0" w:color="auto"/>
        <w:left w:val="none" w:sz="0" w:space="0" w:color="auto"/>
        <w:bottom w:val="none" w:sz="0" w:space="0" w:color="auto"/>
        <w:right w:val="none" w:sz="0" w:space="0" w:color="auto"/>
      </w:divBdr>
      <w:divsChild>
        <w:div w:id="1881089591">
          <w:marLeft w:val="0"/>
          <w:marRight w:val="0"/>
          <w:marTop w:val="0"/>
          <w:marBottom w:val="0"/>
          <w:divBdr>
            <w:top w:val="none" w:sz="0" w:space="0" w:color="auto"/>
            <w:left w:val="none" w:sz="0" w:space="0" w:color="auto"/>
            <w:bottom w:val="none" w:sz="0" w:space="0" w:color="auto"/>
            <w:right w:val="none" w:sz="0" w:space="0" w:color="auto"/>
          </w:divBdr>
          <w:divsChild>
            <w:div w:id="1142386922">
              <w:marLeft w:val="0"/>
              <w:marRight w:val="0"/>
              <w:marTop w:val="0"/>
              <w:marBottom w:val="0"/>
              <w:divBdr>
                <w:top w:val="none" w:sz="0" w:space="0" w:color="auto"/>
                <w:left w:val="none" w:sz="0" w:space="0" w:color="auto"/>
                <w:bottom w:val="none" w:sz="0" w:space="0" w:color="auto"/>
                <w:right w:val="none" w:sz="0" w:space="0" w:color="auto"/>
              </w:divBdr>
              <w:divsChild>
                <w:div w:id="19663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290052">
      <w:bodyDiv w:val="1"/>
      <w:marLeft w:val="0"/>
      <w:marRight w:val="0"/>
      <w:marTop w:val="0"/>
      <w:marBottom w:val="0"/>
      <w:divBdr>
        <w:top w:val="none" w:sz="0" w:space="0" w:color="auto"/>
        <w:left w:val="none" w:sz="0" w:space="0" w:color="auto"/>
        <w:bottom w:val="none" w:sz="0" w:space="0" w:color="auto"/>
        <w:right w:val="none" w:sz="0" w:space="0" w:color="auto"/>
      </w:divBdr>
      <w:divsChild>
        <w:div w:id="1395739864">
          <w:marLeft w:val="0"/>
          <w:marRight w:val="0"/>
          <w:marTop w:val="0"/>
          <w:marBottom w:val="0"/>
          <w:divBdr>
            <w:top w:val="none" w:sz="0" w:space="0" w:color="auto"/>
            <w:left w:val="none" w:sz="0" w:space="0" w:color="auto"/>
            <w:bottom w:val="none" w:sz="0" w:space="0" w:color="auto"/>
            <w:right w:val="none" w:sz="0" w:space="0" w:color="auto"/>
          </w:divBdr>
          <w:divsChild>
            <w:div w:id="656226924">
              <w:marLeft w:val="0"/>
              <w:marRight w:val="0"/>
              <w:marTop w:val="0"/>
              <w:marBottom w:val="0"/>
              <w:divBdr>
                <w:top w:val="none" w:sz="0" w:space="0" w:color="auto"/>
                <w:left w:val="none" w:sz="0" w:space="0" w:color="auto"/>
                <w:bottom w:val="none" w:sz="0" w:space="0" w:color="auto"/>
                <w:right w:val="none" w:sz="0" w:space="0" w:color="auto"/>
              </w:divBdr>
              <w:divsChild>
                <w:div w:id="178738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113662">
      <w:bodyDiv w:val="1"/>
      <w:marLeft w:val="0"/>
      <w:marRight w:val="0"/>
      <w:marTop w:val="0"/>
      <w:marBottom w:val="0"/>
      <w:divBdr>
        <w:top w:val="none" w:sz="0" w:space="0" w:color="auto"/>
        <w:left w:val="none" w:sz="0" w:space="0" w:color="auto"/>
        <w:bottom w:val="none" w:sz="0" w:space="0" w:color="auto"/>
        <w:right w:val="none" w:sz="0" w:space="0" w:color="auto"/>
      </w:divBdr>
    </w:div>
    <w:div w:id="266936628">
      <w:bodyDiv w:val="1"/>
      <w:marLeft w:val="0"/>
      <w:marRight w:val="0"/>
      <w:marTop w:val="0"/>
      <w:marBottom w:val="0"/>
      <w:divBdr>
        <w:top w:val="none" w:sz="0" w:space="0" w:color="auto"/>
        <w:left w:val="none" w:sz="0" w:space="0" w:color="auto"/>
        <w:bottom w:val="none" w:sz="0" w:space="0" w:color="auto"/>
        <w:right w:val="none" w:sz="0" w:space="0" w:color="auto"/>
      </w:divBdr>
      <w:divsChild>
        <w:div w:id="1725176664">
          <w:marLeft w:val="0"/>
          <w:marRight w:val="0"/>
          <w:marTop w:val="0"/>
          <w:marBottom w:val="0"/>
          <w:divBdr>
            <w:top w:val="none" w:sz="0" w:space="0" w:color="auto"/>
            <w:left w:val="none" w:sz="0" w:space="0" w:color="auto"/>
            <w:bottom w:val="none" w:sz="0" w:space="0" w:color="auto"/>
            <w:right w:val="none" w:sz="0" w:space="0" w:color="auto"/>
          </w:divBdr>
          <w:divsChild>
            <w:div w:id="1240362368">
              <w:marLeft w:val="0"/>
              <w:marRight w:val="0"/>
              <w:marTop w:val="0"/>
              <w:marBottom w:val="0"/>
              <w:divBdr>
                <w:top w:val="none" w:sz="0" w:space="0" w:color="auto"/>
                <w:left w:val="none" w:sz="0" w:space="0" w:color="auto"/>
                <w:bottom w:val="none" w:sz="0" w:space="0" w:color="auto"/>
                <w:right w:val="none" w:sz="0" w:space="0" w:color="auto"/>
              </w:divBdr>
              <w:divsChild>
                <w:div w:id="72241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012585">
      <w:bodyDiv w:val="1"/>
      <w:marLeft w:val="0"/>
      <w:marRight w:val="0"/>
      <w:marTop w:val="0"/>
      <w:marBottom w:val="0"/>
      <w:divBdr>
        <w:top w:val="none" w:sz="0" w:space="0" w:color="auto"/>
        <w:left w:val="none" w:sz="0" w:space="0" w:color="auto"/>
        <w:bottom w:val="none" w:sz="0" w:space="0" w:color="auto"/>
        <w:right w:val="none" w:sz="0" w:space="0" w:color="auto"/>
      </w:divBdr>
    </w:div>
    <w:div w:id="356590381">
      <w:bodyDiv w:val="1"/>
      <w:marLeft w:val="0"/>
      <w:marRight w:val="0"/>
      <w:marTop w:val="0"/>
      <w:marBottom w:val="0"/>
      <w:divBdr>
        <w:top w:val="none" w:sz="0" w:space="0" w:color="auto"/>
        <w:left w:val="none" w:sz="0" w:space="0" w:color="auto"/>
        <w:bottom w:val="none" w:sz="0" w:space="0" w:color="auto"/>
        <w:right w:val="none" w:sz="0" w:space="0" w:color="auto"/>
      </w:divBdr>
    </w:div>
    <w:div w:id="377625601">
      <w:bodyDiv w:val="1"/>
      <w:marLeft w:val="0"/>
      <w:marRight w:val="0"/>
      <w:marTop w:val="0"/>
      <w:marBottom w:val="0"/>
      <w:divBdr>
        <w:top w:val="none" w:sz="0" w:space="0" w:color="auto"/>
        <w:left w:val="none" w:sz="0" w:space="0" w:color="auto"/>
        <w:bottom w:val="none" w:sz="0" w:space="0" w:color="auto"/>
        <w:right w:val="none" w:sz="0" w:space="0" w:color="auto"/>
      </w:divBdr>
    </w:div>
    <w:div w:id="395397645">
      <w:bodyDiv w:val="1"/>
      <w:marLeft w:val="0"/>
      <w:marRight w:val="0"/>
      <w:marTop w:val="0"/>
      <w:marBottom w:val="0"/>
      <w:divBdr>
        <w:top w:val="none" w:sz="0" w:space="0" w:color="auto"/>
        <w:left w:val="none" w:sz="0" w:space="0" w:color="auto"/>
        <w:bottom w:val="none" w:sz="0" w:space="0" w:color="auto"/>
        <w:right w:val="none" w:sz="0" w:space="0" w:color="auto"/>
      </w:divBdr>
      <w:divsChild>
        <w:div w:id="417479608">
          <w:marLeft w:val="0"/>
          <w:marRight w:val="0"/>
          <w:marTop w:val="0"/>
          <w:marBottom w:val="0"/>
          <w:divBdr>
            <w:top w:val="none" w:sz="0" w:space="0" w:color="auto"/>
            <w:left w:val="none" w:sz="0" w:space="0" w:color="auto"/>
            <w:bottom w:val="none" w:sz="0" w:space="0" w:color="auto"/>
            <w:right w:val="none" w:sz="0" w:space="0" w:color="auto"/>
          </w:divBdr>
          <w:divsChild>
            <w:div w:id="824977601">
              <w:marLeft w:val="0"/>
              <w:marRight w:val="0"/>
              <w:marTop w:val="0"/>
              <w:marBottom w:val="0"/>
              <w:divBdr>
                <w:top w:val="none" w:sz="0" w:space="0" w:color="auto"/>
                <w:left w:val="none" w:sz="0" w:space="0" w:color="auto"/>
                <w:bottom w:val="none" w:sz="0" w:space="0" w:color="auto"/>
                <w:right w:val="none" w:sz="0" w:space="0" w:color="auto"/>
              </w:divBdr>
              <w:divsChild>
                <w:div w:id="127575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093419">
      <w:bodyDiv w:val="1"/>
      <w:marLeft w:val="0"/>
      <w:marRight w:val="0"/>
      <w:marTop w:val="0"/>
      <w:marBottom w:val="0"/>
      <w:divBdr>
        <w:top w:val="none" w:sz="0" w:space="0" w:color="auto"/>
        <w:left w:val="none" w:sz="0" w:space="0" w:color="auto"/>
        <w:bottom w:val="none" w:sz="0" w:space="0" w:color="auto"/>
        <w:right w:val="none" w:sz="0" w:space="0" w:color="auto"/>
      </w:divBdr>
    </w:div>
    <w:div w:id="446777847">
      <w:bodyDiv w:val="1"/>
      <w:marLeft w:val="0"/>
      <w:marRight w:val="0"/>
      <w:marTop w:val="0"/>
      <w:marBottom w:val="0"/>
      <w:divBdr>
        <w:top w:val="none" w:sz="0" w:space="0" w:color="auto"/>
        <w:left w:val="none" w:sz="0" w:space="0" w:color="auto"/>
        <w:bottom w:val="none" w:sz="0" w:space="0" w:color="auto"/>
        <w:right w:val="none" w:sz="0" w:space="0" w:color="auto"/>
      </w:divBdr>
      <w:divsChild>
        <w:div w:id="9991343">
          <w:marLeft w:val="0"/>
          <w:marRight w:val="0"/>
          <w:marTop w:val="0"/>
          <w:marBottom w:val="0"/>
          <w:divBdr>
            <w:top w:val="none" w:sz="0" w:space="0" w:color="auto"/>
            <w:left w:val="none" w:sz="0" w:space="0" w:color="auto"/>
            <w:bottom w:val="none" w:sz="0" w:space="0" w:color="auto"/>
            <w:right w:val="none" w:sz="0" w:space="0" w:color="auto"/>
          </w:divBdr>
          <w:divsChild>
            <w:div w:id="984553380">
              <w:marLeft w:val="0"/>
              <w:marRight w:val="0"/>
              <w:marTop w:val="0"/>
              <w:marBottom w:val="0"/>
              <w:divBdr>
                <w:top w:val="none" w:sz="0" w:space="0" w:color="auto"/>
                <w:left w:val="none" w:sz="0" w:space="0" w:color="auto"/>
                <w:bottom w:val="none" w:sz="0" w:space="0" w:color="auto"/>
                <w:right w:val="none" w:sz="0" w:space="0" w:color="auto"/>
              </w:divBdr>
              <w:divsChild>
                <w:div w:id="163834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178752">
      <w:bodyDiv w:val="1"/>
      <w:marLeft w:val="0"/>
      <w:marRight w:val="0"/>
      <w:marTop w:val="0"/>
      <w:marBottom w:val="0"/>
      <w:divBdr>
        <w:top w:val="none" w:sz="0" w:space="0" w:color="auto"/>
        <w:left w:val="none" w:sz="0" w:space="0" w:color="auto"/>
        <w:bottom w:val="none" w:sz="0" w:space="0" w:color="auto"/>
        <w:right w:val="none" w:sz="0" w:space="0" w:color="auto"/>
      </w:divBdr>
      <w:divsChild>
        <w:div w:id="1169713130">
          <w:marLeft w:val="0"/>
          <w:marRight w:val="0"/>
          <w:marTop w:val="0"/>
          <w:marBottom w:val="0"/>
          <w:divBdr>
            <w:top w:val="none" w:sz="0" w:space="0" w:color="auto"/>
            <w:left w:val="none" w:sz="0" w:space="0" w:color="auto"/>
            <w:bottom w:val="none" w:sz="0" w:space="0" w:color="auto"/>
            <w:right w:val="none" w:sz="0" w:space="0" w:color="auto"/>
          </w:divBdr>
          <w:divsChild>
            <w:div w:id="793137867">
              <w:marLeft w:val="0"/>
              <w:marRight w:val="0"/>
              <w:marTop w:val="0"/>
              <w:marBottom w:val="0"/>
              <w:divBdr>
                <w:top w:val="none" w:sz="0" w:space="0" w:color="auto"/>
                <w:left w:val="none" w:sz="0" w:space="0" w:color="auto"/>
                <w:bottom w:val="none" w:sz="0" w:space="0" w:color="auto"/>
                <w:right w:val="none" w:sz="0" w:space="0" w:color="auto"/>
              </w:divBdr>
              <w:divsChild>
                <w:div w:id="1214658748">
                  <w:marLeft w:val="0"/>
                  <w:marRight w:val="0"/>
                  <w:marTop w:val="0"/>
                  <w:marBottom w:val="0"/>
                  <w:divBdr>
                    <w:top w:val="none" w:sz="0" w:space="0" w:color="auto"/>
                    <w:left w:val="none" w:sz="0" w:space="0" w:color="auto"/>
                    <w:bottom w:val="none" w:sz="0" w:space="0" w:color="auto"/>
                    <w:right w:val="none" w:sz="0" w:space="0" w:color="auto"/>
                  </w:divBdr>
                  <w:divsChild>
                    <w:div w:id="87971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798810">
      <w:bodyDiv w:val="1"/>
      <w:marLeft w:val="0"/>
      <w:marRight w:val="0"/>
      <w:marTop w:val="0"/>
      <w:marBottom w:val="0"/>
      <w:divBdr>
        <w:top w:val="none" w:sz="0" w:space="0" w:color="auto"/>
        <w:left w:val="none" w:sz="0" w:space="0" w:color="auto"/>
        <w:bottom w:val="none" w:sz="0" w:space="0" w:color="auto"/>
        <w:right w:val="none" w:sz="0" w:space="0" w:color="auto"/>
      </w:divBdr>
      <w:divsChild>
        <w:div w:id="1311137863">
          <w:marLeft w:val="0"/>
          <w:marRight w:val="0"/>
          <w:marTop w:val="0"/>
          <w:marBottom w:val="0"/>
          <w:divBdr>
            <w:top w:val="none" w:sz="0" w:space="0" w:color="auto"/>
            <w:left w:val="none" w:sz="0" w:space="0" w:color="auto"/>
            <w:bottom w:val="none" w:sz="0" w:space="0" w:color="auto"/>
            <w:right w:val="none" w:sz="0" w:space="0" w:color="auto"/>
          </w:divBdr>
          <w:divsChild>
            <w:div w:id="419639351">
              <w:marLeft w:val="0"/>
              <w:marRight w:val="0"/>
              <w:marTop w:val="0"/>
              <w:marBottom w:val="0"/>
              <w:divBdr>
                <w:top w:val="none" w:sz="0" w:space="0" w:color="auto"/>
                <w:left w:val="none" w:sz="0" w:space="0" w:color="auto"/>
                <w:bottom w:val="none" w:sz="0" w:space="0" w:color="auto"/>
                <w:right w:val="none" w:sz="0" w:space="0" w:color="auto"/>
              </w:divBdr>
              <w:divsChild>
                <w:div w:id="188606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878836">
      <w:bodyDiv w:val="1"/>
      <w:marLeft w:val="0"/>
      <w:marRight w:val="0"/>
      <w:marTop w:val="0"/>
      <w:marBottom w:val="0"/>
      <w:divBdr>
        <w:top w:val="none" w:sz="0" w:space="0" w:color="auto"/>
        <w:left w:val="none" w:sz="0" w:space="0" w:color="auto"/>
        <w:bottom w:val="none" w:sz="0" w:space="0" w:color="auto"/>
        <w:right w:val="none" w:sz="0" w:space="0" w:color="auto"/>
      </w:divBdr>
      <w:divsChild>
        <w:div w:id="965283465">
          <w:marLeft w:val="0"/>
          <w:marRight w:val="0"/>
          <w:marTop w:val="0"/>
          <w:marBottom w:val="0"/>
          <w:divBdr>
            <w:top w:val="none" w:sz="0" w:space="0" w:color="auto"/>
            <w:left w:val="none" w:sz="0" w:space="0" w:color="auto"/>
            <w:bottom w:val="none" w:sz="0" w:space="0" w:color="auto"/>
            <w:right w:val="none" w:sz="0" w:space="0" w:color="auto"/>
          </w:divBdr>
          <w:divsChild>
            <w:div w:id="297885372">
              <w:marLeft w:val="0"/>
              <w:marRight w:val="0"/>
              <w:marTop w:val="0"/>
              <w:marBottom w:val="0"/>
              <w:divBdr>
                <w:top w:val="none" w:sz="0" w:space="0" w:color="auto"/>
                <w:left w:val="none" w:sz="0" w:space="0" w:color="auto"/>
                <w:bottom w:val="none" w:sz="0" w:space="0" w:color="auto"/>
                <w:right w:val="none" w:sz="0" w:space="0" w:color="auto"/>
              </w:divBdr>
              <w:divsChild>
                <w:div w:id="1823353796">
                  <w:marLeft w:val="0"/>
                  <w:marRight w:val="0"/>
                  <w:marTop w:val="0"/>
                  <w:marBottom w:val="0"/>
                  <w:divBdr>
                    <w:top w:val="none" w:sz="0" w:space="0" w:color="auto"/>
                    <w:left w:val="none" w:sz="0" w:space="0" w:color="auto"/>
                    <w:bottom w:val="none" w:sz="0" w:space="0" w:color="auto"/>
                    <w:right w:val="none" w:sz="0" w:space="0" w:color="auto"/>
                  </w:divBdr>
                </w:div>
              </w:divsChild>
            </w:div>
            <w:div w:id="1953050401">
              <w:marLeft w:val="0"/>
              <w:marRight w:val="0"/>
              <w:marTop w:val="0"/>
              <w:marBottom w:val="0"/>
              <w:divBdr>
                <w:top w:val="none" w:sz="0" w:space="0" w:color="auto"/>
                <w:left w:val="none" w:sz="0" w:space="0" w:color="auto"/>
                <w:bottom w:val="none" w:sz="0" w:space="0" w:color="auto"/>
                <w:right w:val="none" w:sz="0" w:space="0" w:color="auto"/>
              </w:divBdr>
              <w:divsChild>
                <w:div w:id="190437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814045">
      <w:bodyDiv w:val="1"/>
      <w:marLeft w:val="0"/>
      <w:marRight w:val="0"/>
      <w:marTop w:val="0"/>
      <w:marBottom w:val="0"/>
      <w:divBdr>
        <w:top w:val="none" w:sz="0" w:space="0" w:color="auto"/>
        <w:left w:val="none" w:sz="0" w:space="0" w:color="auto"/>
        <w:bottom w:val="none" w:sz="0" w:space="0" w:color="auto"/>
        <w:right w:val="none" w:sz="0" w:space="0" w:color="auto"/>
      </w:divBdr>
    </w:div>
    <w:div w:id="578448499">
      <w:bodyDiv w:val="1"/>
      <w:marLeft w:val="0"/>
      <w:marRight w:val="0"/>
      <w:marTop w:val="0"/>
      <w:marBottom w:val="0"/>
      <w:divBdr>
        <w:top w:val="none" w:sz="0" w:space="0" w:color="auto"/>
        <w:left w:val="none" w:sz="0" w:space="0" w:color="auto"/>
        <w:bottom w:val="none" w:sz="0" w:space="0" w:color="auto"/>
        <w:right w:val="none" w:sz="0" w:space="0" w:color="auto"/>
      </w:divBdr>
      <w:divsChild>
        <w:div w:id="178400457">
          <w:marLeft w:val="0"/>
          <w:marRight w:val="0"/>
          <w:marTop w:val="0"/>
          <w:marBottom w:val="0"/>
          <w:divBdr>
            <w:top w:val="none" w:sz="0" w:space="0" w:color="auto"/>
            <w:left w:val="none" w:sz="0" w:space="0" w:color="auto"/>
            <w:bottom w:val="none" w:sz="0" w:space="0" w:color="auto"/>
            <w:right w:val="none" w:sz="0" w:space="0" w:color="auto"/>
          </w:divBdr>
          <w:divsChild>
            <w:div w:id="1564832833">
              <w:marLeft w:val="0"/>
              <w:marRight w:val="0"/>
              <w:marTop w:val="0"/>
              <w:marBottom w:val="0"/>
              <w:divBdr>
                <w:top w:val="none" w:sz="0" w:space="0" w:color="auto"/>
                <w:left w:val="none" w:sz="0" w:space="0" w:color="auto"/>
                <w:bottom w:val="none" w:sz="0" w:space="0" w:color="auto"/>
                <w:right w:val="none" w:sz="0" w:space="0" w:color="auto"/>
              </w:divBdr>
              <w:divsChild>
                <w:div w:id="49997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48627">
      <w:bodyDiv w:val="1"/>
      <w:marLeft w:val="0"/>
      <w:marRight w:val="0"/>
      <w:marTop w:val="0"/>
      <w:marBottom w:val="0"/>
      <w:divBdr>
        <w:top w:val="none" w:sz="0" w:space="0" w:color="auto"/>
        <w:left w:val="none" w:sz="0" w:space="0" w:color="auto"/>
        <w:bottom w:val="none" w:sz="0" w:space="0" w:color="auto"/>
        <w:right w:val="none" w:sz="0" w:space="0" w:color="auto"/>
      </w:divBdr>
    </w:div>
    <w:div w:id="616840690">
      <w:bodyDiv w:val="1"/>
      <w:marLeft w:val="0"/>
      <w:marRight w:val="0"/>
      <w:marTop w:val="0"/>
      <w:marBottom w:val="0"/>
      <w:divBdr>
        <w:top w:val="none" w:sz="0" w:space="0" w:color="auto"/>
        <w:left w:val="none" w:sz="0" w:space="0" w:color="auto"/>
        <w:bottom w:val="none" w:sz="0" w:space="0" w:color="auto"/>
        <w:right w:val="none" w:sz="0" w:space="0" w:color="auto"/>
      </w:divBdr>
    </w:div>
    <w:div w:id="658118475">
      <w:bodyDiv w:val="1"/>
      <w:marLeft w:val="0"/>
      <w:marRight w:val="0"/>
      <w:marTop w:val="0"/>
      <w:marBottom w:val="0"/>
      <w:divBdr>
        <w:top w:val="none" w:sz="0" w:space="0" w:color="auto"/>
        <w:left w:val="none" w:sz="0" w:space="0" w:color="auto"/>
        <w:bottom w:val="none" w:sz="0" w:space="0" w:color="auto"/>
        <w:right w:val="none" w:sz="0" w:space="0" w:color="auto"/>
      </w:divBdr>
    </w:div>
    <w:div w:id="662859582">
      <w:bodyDiv w:val="1"/>
      <w:marLeft w:val="0"/>
      <w:marRight w:val="0"/>
      <w:marTop w:val="0"/>
      <w:marBottom w:val="0"/>
      <w:divBdr>
        <w:top w:val="none" w:sz="0" w:space="0" w:color="auto"/>
        <w:left w:val="none" w:sz="0" w:space="0" w:color="auto"/>
        <w:bottom w:val="none" w:sz="0" w:space="0" w:color="auto"/>
        <w:right w:val="none" w:sz="0" w:space="0" w:color="auto"/>
      </w:divBdr>
    </w:div>
    <w:div w:id="662897035">
      <w:bodyDiv w:val="1"/>
      <w:marLeft w:val="0"/>
      <w:marRight w:val="0"/>
      <w:marTop w:val="0"/>
      <w:marBottom w:val="0"/>
      <w:divBdr>
        <w:top w:val="none" w:sz="0" w:space="0" w:color="auto"/>
        <w:left w:val="none" w:sz="0" w:space="0" w:color="auto"/>
        <w:bottom w:val="none" w:sz="0" w:space="0" w:color="auto"/>
        <w:right w:val="none" w:sz="0" w:space="0" w:color="auto"/>
      </w:divBdr>
      <w:divsChild>
        <w:div w:id="2111196443">
          <w:marLeft w:val="0"/>
          <w:marRight w:val="0"/>
          <w:marTop w:val="0"/>
          <w:marBottom w:val="0"/>
          <w:divBdr>
            <w:top w:val="none" w:sz="0" w:space="0" w:color="auto"/>
            <w:left w:val="none" w:sz="0" w:space="0" w:color="auto"/>
            <w:bottom w:val="none" w:sz="0" w:space="0" w:color="auto"/>
            <w:right w:val="none" w:sz="0" w:space="0" w:color="auto"/>
          </w:divBdr>
        </w:div>
      </w:divsChild>
    </w:div>
    <w:div w:id="748582871">
      <w:bodyDiv w:val="1"/>
      <w:marLeft w:val="0"/>
      <w:marRight w:val="0"/>
      <w:marTop w:val="0"/>
      <w:marBottom w:val="0"/>
      <w:divBdr>
        <w:top w:val="none" w:sz="0" w:space="0" w:color="auto"/>
        <w:left w:val="none" w:sz="0" w:space="0" w:color="auto"/>
        <w:bottom w:val="none" w:sz="0" w:space="0" w:color="auto"/>
        <w:right w:val="none" w:sz="0" w:space="0" w:color="auto"/>
      </w:divBdr>
      <w:divsChild>
        <w:div w:id="1309703338">
          <w:marLeft w:val="0"/>
          <w:marRight w:val="0"/>
          <w:marTop w:val="0"/>
          <w:marBottom w:val="0"/>
          <w:divBdr>
            <w:top w:val="none" w:sz="0" w:space="0" w:color="auto"/>
            <w:left w:val="none" w:sz="0" w:space="0" w:color="auto"/>
            <w:bottom w:val="none" w:sz="0" w:space="0" w:color="auto"/>
            <w:right w:val="none" w:sz="0" w:space="0" w:color="auto"/>
          </w:divBdr>
          <w:divsChild>
            <w:div w:id="797377164">
              <w:marLeft w:val="0"/>
              <w:marRight w:val="0"/>
              <w:marTop w:val="0"/>
              <w:marBottom w:val="0"/>
              <w:divBdr>
                <w:top w:val="none" w:sz="0" w:space="0" w:color="auto"/>
                <w:left w:val="none" w:sz="0" w:space="0" w:color="auto"/>
                <w:bottom w:val="none" w:sz="0" w:space="0" w:color="auto"/>
                <w:right w:val="none" w:sz="0" w:space="0" w:color="auto"/>
              </w:divBdr>
              <w:divsChild>
                <w:div w:id="15132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59458">
      <w:bodyDiv w:val="1"/>
      <w:marLeft w:val="0"/>
      <w:marRight w:val="0"/>
      <w:marTop w:val="0"/>
      <w:marBottom w:val="0"/>
      <w:divBdr>
        <w:top w:val="none" w:sz="0" w:space="0" w:color="auto"/>
        <w:left w:val="none" w:sz="0" w:space="0" w:color="auto"/>
        <w:bottom w:val="none" w:sz="0" w:space="0" w:color="auto"/>
        <w:right w:val="none" w:sz="0" w:space="0" w:color="auto"/>
      </w:divBdr>
    </w:div>
    <w:div w:id="770587932">
      <w:bodyDiv w:val="1"/>
      <w:marLeft w:val="0"/>
      <w:marRight w:val="0"/>
      <w:marTop w:val="0"/>
      <w:marBottom w:val="0"/>
      <w:divBdr>
        <w:top w:val="none" w:sz="0" w:space="0" w:color="auto"/>
        <w:left w:val="none" w:sz="0" w:space="0" w:color="auto"/>
        <w:bottom w:val="none" w:sz="0" w:space="0" w:color="auto"/>
        <w:right w:val="none" w:sz="0" w:space="0" w:color="auto"/>
      </w:divBdr>
      <w:divsChild>
        <w:div w:id="1098788495">
          <w:marLeft w:val="0"/>
          <w:marRight w:val="0"/>
          <w:marTop w:val="0"/>
          <w:marBottom w:val="0"/>
          <w:divBdr>
            <w:top w:val="none" w:sz="0" w:space="0" w:color="auto"/>
            <w:left w:val="none" w:sz="0" w:space="0" w:color="auto"/>
            <w:bottom w:val="none" w:sz="0" w:space="0" w:color="auto"/>
            <w:right w:val="none" w:sz="0" w:space="0" w:color="auto"/>
          </w:divBdr>
          <w:divsChild>
            <w:div w:id="1638798429">
              <w:marLeft w:val="0"/>
              <w:marRight w:val="0"/>
              <w:marTop w:val="0"/>
              <w:marBottom w:val="0"/>
              <w:divBdr>
                <w:top w:val="none" w:sz="0" w:space="0" w:color="auto"/>
                <w:left w:val="none" w:sz="0" w:space="0" w:color="auto"/>
                <w:bottom w:val="none" w:sz="0" w:space="0" w:color="auto"/>
                <w:right w:val="none" w:sz="0" w:space="0" w:color="auto"/>
              </w:divBdr>
              <w:divsChild>
                <w:div w:id="15684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230511">
      <w:bodyDiv w:val="1"/>
      <w:marLeft w:val="0"/>
      <w:marRight w:val="0"/>
      <w:marTop w:val="0"/>
      <w:marBottom w:val="0"/>
      <w:divBdr>
        <w:top w:val="none" w:sz="0" w:space="0" w:color="auto"/>
        <w:left w:val="none" w:sz="0" w:space="0" w:color="auto"/>
        <w:bottom w:val="none" w:sz="0" w:space="0" w:color="auto"/>
        <w:right w:val="none" w:sz="0" w:space="0" w:color="auto"/>
      </w:divBdr>
      <w:divsChild>
        <w:div w:id="850920225">
          <w:marLeft w:val="0"/>
          <w:marRight w:val="0"/>
          <w:marTop w:val="0"/>
          <w:marBottom w:val="0"/>
          <w:divBdr>
            <w:top w:val="none" w:sz="0" w:space="0" w:color="auto"/>
            <w:left w:val="none" w:sz="0" w:space="0" w:color="auto"/>
            <w:bottom w:val="none" w:sz="0" w:space="0" w:color="auto"/>
            <w:right w:val="none" w:sz="0" w:space="0" w:color="auto"/>
          </w:divBdr>
          <w:divsChild>
            <w:div w:id="1266646277">
              <w:marLeft w:val="0"/>
              <w:marRight w:val="0"/>
              <w:marTop w:val="0"/>
              <w:marBottom w:val="0"/>
              <w:divBdr>
                <w:top w:val="none" w:sz="0" w:space="0" w:color="auto"/>
                <w:left w:val="none" w:sz="0" w:space="0" w:color="auto"/>
                <w:bottom w:val="none" w:sz="0" w:space="0" w:color="auto"/>
                <w:right w:val="none" w:sz="0" w:space="0" w:color="auto"/>
              </w:divBdr>
              <w:divsChild>
                <w:div w:id="1487893531">
                  <w:marLeft w:val="0"/>
                  <w:marRight w:val="0"/>
                  <w:marTop w:val="0"/>
                  <w:marBottom w:val="0"/>
                  <w:divBdr>
                    <w:top w:val="none" w:sz="0" w:space="0" w:color="auto"/>
                    <w:left w:val="none" w:sz="0" w:space="0" w:color="auto"/>
                    <w:bottom w:val="none" w:sz="0" w:space="0" w:color="auto"/>
                    <w:right w:val="none" w:sz="0" w:space="0" w:color="auto"/>
                  </w:divBdr>
                </w:div>
              </w:divsChild>
            </w:div>
            <w:div w:id="1420250462">
              <w:marLeft w:val="0"/>
              <w:marRight w:val="0"/>
              <w:marTop w:val="0"/>
              <w:marBottom w:val="0"/>
              <w:divBdr>
                <w:top w:val="none" w:sz="0" w:space="0" w:color="auto"/>
                <w:left w:val="none" w:sz="0" w:space="0" w:color="auto"/>
                <w:bottom w:val="none" w:sz="0" w:space="0" w:color="auto"/>
                <w:right w:val="none" w:sz="0" w:space="0" w:color="auto"/>
              </w:divBdr>
              <w:divsChild>
                <w:div w:id="142391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022102">
          <w:marLeft w:val="0"/>
          <w:marRight w:val="0"/>
          <w:marTop w:val="0"/>
          <w:marBottom w:val="0"/>
          <w:divBdr>
            <w:top w:val="none" w:sz="0" w:space="0" w:color="auto"/>
            <w:left w:val="none" w:sz="0" w:space="0" w:color="auto"/>
            <w:bottom w:val="none" w:sz="0" w:space="0" w:color="auto"/>
            <w:right w:val="none" w:sz="0" w:space="0" w:color="auto"/>
          </w:divBdr>
          <w:divsChild>
            <w:div w:id="1179469037">
              <w:marLeft w:val="0"/>
              <w:marRight w:val="0"/>
              <w:marTop w:val="0"/>
              <w:marBottom w:val="0"/>
              <w:divBdr>
                <w:top w:val="none" w:sz="0" w:space="0" w:color="auto"/>
                <w:left w:val="none" w:sz="0" w:space="0" w:color="auto"/>
                <w:bottom w:val="none" w:sz="0" w:space="0" w:color="auto"/>
                <w:right w:val="none" w:sz="0" w:space="0" w:color="auto"/>
              </w:divBdr>
              <w:divsChild>
                <w:div w:id="37743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437018">
      <w:bodyDiv w:val="1"/>
      <w:marLeft w:val="0"/>
      <w:marRight w:val="0"/>
      <w:marTop w:val="0"/>
      <w:marBottom w:val="0"/>
      <w:divBdr>
        <w:top w:val="none" w:sz="0" w:space="0" w:color="auto"/>
        <w:left w:val="none" w:sz="0" w:space="0" w:color="auto"/>
        <w:bottom w:val="none" w:sz="0" w:space="0" w:color="auto"/>
        <w:right w:val="none" w:sz="0" w:space="0" w:color="auto"/>
      </w:divBdr>
    </w:div>
    <w:div w:id="788745382">
      <w:bodyDiv w:val="1"/>
      <w:marLeft w:val="0"/>
      <w:marRight w:val="0"/>
      <w:marTop w:val="0"/>
      <w:marBottom w:val="0"/>
      <w:divBdr>
        <w:top w:val="none" w:sz="0" w:space="0" w:color="auto"/>
        <w:left w:val="none" w:sz="0" w:space="0" w:color="auto"/>
        <w:bottom w:val="none" w:sz="0" w:space="0" w:color="auto"/>
        <w:right w:val="none" w:sz="0" w:space="0" w:color="auto"/>
      </w:divBdr>
    </w:div>
    <w:div w:id="801188942">
      <w:bodyDiv w:val="1"/>
      <w:marLeft w:val="0"/>
      <w:marRight w:val="0"/>
      <w:marTop w:val="0"/>
      <w:marBottom w:val="0"/>
      <w:divBdr>
        <w:top w:val="none" w:sz="0" w:space="0" w:color="auto"/>
        <w:left w:val="none" w:sz="0" w:space="0" w:color="auto"/>
        <w:bottom w:val="none" w:sz="0" w:space="0" w:color="auto"/>
        <w:right w:val="none" w:sz="0" w:space="0" w:color="auto"/>
      </w:divBdr>
    </w:div>
    <w:div w:id="841166408">
      <w:bodyDiv w:val="1"/>
      <w:marLeft w:val="0"/>
      <w:marRight w:val="0"/>
      <w:marTop w:val="0"/>
      <w:marBottom w:val="0"/>
      <w:divBdr>
        <w:top w:val="none" w:sz="0" w:space="0" w:color="auto"/>
        <w:left w:val="none" w:sz="0" w:space="0" w:color="auto"/>
        <w:bottom w:val="none" w:sz="0" w:space="0" w:color="auto"/>
        <w:right w:val="none" w:sz="0" w:space="0" w:color="auto"/>
      </w:divBdr>
      <w:divsChild>
        <w:div w:id="1173451542">
          <w:marLeft w:val="0"/>
          <w:marRight w:val="0"/>
          <w:marTop w:val="0"/>
          <w:marBottom w:val="0"/>
          <w:divBdr>
            <w:top w:val="none" w:sz="0" w:space="0" w:color="auto"/>
            <w:left w:val="none" w:sz="0" w:space="0" w:color="auto"/>
            <w:bottom w:val="none" w:sz="0" w:space="0" w:color="auto"/>
            <w:right w:val="none" w:sz="0" w:space="0" w:color="auto"/>
          </w:divBdr>
          <w:divsChild>
            <w:div w:id="1267620622">
              <w:marLeft w:val="0"/>
              <w:marRight w:val="0"/>
              <w:marTop w:val="0"/>
              <w:marBottom w:val="0"/>
              <w:divBdr>
                <w:top w:val="none" w:sz="0" w:space="0" w:color="auto"/>
                <w:left w:val="none" w:sz="0" w:space="0" w:color="auto"/>
                <w:bottom w:val="none" w:sz="0" w:space="0" w:color="auto"/>
                <w:right w:val="none" w:sz="0" w:space="0" w:color="auto"/>
              </w:divBdr>
              <w:divsChild>
                <w:div w:id="22866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469819">
      <w:bodyDiv w:val="1"/>
      <w:marLeft w:val="0"/>
      <w:marRight w:val="0"/>
      <w:marTop w:val="0"/>
      <w:marBottom w:val="0"/>
      <w:divBdr>
        <w:top w:val="none" w:sz="0" w:space="0" w:color="auto"/>
        <w:left w:val="none" w:sz="0" w:space="0" w:color="auto"/>
        <w:bottom w:val="none" w:sz="0" w:space="0" w:color="auto"/>
        <w:right w:val="none" w:sz="0" w:space="0" w:color="auto"/>
      </w:divBdr>
      <w:divsChild>
        <w:div w:id="867373559">
          <w:marLeft w:val="0"/>
          <w:marRight w:val="0"/>
          <w:marTop w:val="0"/>
          <w:marBottom w:val="0"/>
          <w:divBdr>
            <w:top w:val="none" w:sz="0" w:space="0" w:color="auto"/>
            <w:left w:val="none" w:sz="0" w:space="0" w:color="auto"/>
            <w:bottom w:val="none" w:sz="0" w:space="0" w:color="auto"/>
            <w:right w:val="none" w:sz="0" w:space="0" w:color="auto"/>
          </w:divBdr>
          <w:divsChild>
            <w:div w:id="245309303">
              <w:marLeft w:val="0"/>
              <w:marRight w:val="0"/>
              <w:marTop w:val="0"/>
              <w:marBottom w:val="0"/>
              <w:divBdr>
                <w:top w:val="none" w:sz="0" w:space="0" w:color="auto"/>
                <w:left w:val="none" w:sz="0" w:space="0" w:color="auto"/>
                <w:bottom w:val="none" w:sz="0" w:space="0" w:color="auto"/>
                <w:right w:val="none" w:sz="0" w:space="0" w:color="auto"/>
              </w:divBdr>
              <w:divsChild>
                <w:div w:id="212946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096177">
      <w:bodyDiv w:val="1"/>
      <w:marLeft w:val="0"/>
      <w:marRight w:val="0"/>
      <w:marTop w:val="0"/>
      <w:marBottom w:val="0"/>
      <w:divBdr>
        <w:top w:val="none" w:sz="0" w:space="0" w:color="auto"/>
        <w:left w:val="none" w:sz="0" w:space="0" w:color="auto"/>
        <w:bottom w:val="none" w:sz="0" w:space="0" w:color="auto"/>
        <w:right w:val="none" w:sz="0" w:space="0" w:color="auto"/>
      </w:divBdr>
      <w:divsChild>
        <w:div w:id="376666949">
          <w:marLeft w:val="0"/>
          <w:marRight w:val="0"/>
          <w:marTop w:val="0"/>
          <w:marBottom w:val="0"/>
          <w:divBdr>
            <w:top w:val="none" w:sz="0" w:space="0" w:color="auto"/>
            <w:left w:val="none" w:sz="0" w:space="0" w:color="auto"/>
            <w:bottom w:val="none" w:sz="0" w:space="0" w:color="auto"/>
            <w:right w:val="none" w:sz="0" w:space="0" w:color="auto"/>
          </w:divBdr>
          <w:divsChild>
            <w:div w:id="1820881291">
              <w:marLeft w:val="0"/>
              <w:marRight w:val="0"/>
              <w:marTop w:val="0"/>
              <w:marBottom w:val="0"/>
              <w:divBdr>
                <w:top w:val="none" w:sz="0" w:space="0" w:color="auto"/>
                <w:left w:val="none" w:sz="0" w:space="0" w:color="auto"/>
                <w:bottom w:val="none" w:sz="0" w:space="0" w:color="auto"/>
                <w:right w:val="none" w:sz="0" w:space="0" w:color="auto"/>
              </w:divBdr>
              <w:divsChild>
                <w:div w:id="170236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671522">
      <w:bodyDiv w:val="1"/>
      <w:marLeft w:val="0"/>
      <w:marRight w:val="0"/>
      <w:marTop w:val="0"/>
      <w:marBottom w:val="0"/>
      <w:divBdr>
        <w:top w:val="none" w:sz="0" w:space="0" w:color="auto"/>
        <w:left w:val="none" w:sz="0" w:space="0" w:color="auto"/>
        <w:bottom w:val="none" w:sz="0" w:space="0" w:color="auto"/>
        <w:right w:val="none" w:sz="0" w:space="0" w:color="auto"/>
      </w:divBdr>
    </w:div>
    <w:div w:id="982929910">
      <w:bodyDiv w:val="1"/>
      <w:marLeft w:val="0"/>
      <w:marRight w:val="0"/>
      <w:marTop w:val="0"/>
      <w:marBottom w:val="0"/>
      <w:divBdr>
        <w:top w:val="none" w:sz="0" w:space="0" w:color="auto"/>
        <w:left w:val="none" w:sz="0" w:space="0" w:color="auto"/>
        <w:bottom w:val="none" w:sz="0" w:space="0" w:color="auto"/>
        <w:right w:val="none" w:sz="0" w:space="0" w:color="auto"/>
      </w:divBdr>
    </w:div>
    <w:div w:id="996804619">
      <w:bodyDiv w:val="1"/>
      <w:marLeft w:val="0"/>
      <w:marRight w:val="0"/>
      <w:marTop w:val="0"/>
      <w:marBottom w:val="0"/>
      <w:divBdr>
        <w:top w:val="none" w:sz="0" w:space="0" w:color="auto"/>
        <w:left w:val="none" w:sz="0" w:space="0" w:color="auto"/>
        <w:bottom w:val="none" w:sz="0" w:space="0" w:color="auto"/>
        <w:right w:val="none" w:sz="0" w:space="0" w:color="auto"/>
      </w:divBdr>
    </w:div>
    <w:div w:id="1015618814">
      <w:bodyDiv w:val="1"/>
      <w:marLeft w:val="0"/>
      <w:marRight w:val="0"/>
      <w:marTop w:val="0"/>
      <w:marBottom w:val="0"/>
      <w:divBdr>
        <w:top w:val="none" w:sz="0" w:space="0" w:color="auto"/>
        <w:left w:val="none" w:sz="0" w:space="0" w:color="auto"/>
        <w:bottom w:val="none" w:sz="0" w:space="0" w:color="auto"/>
        <w:right w:val="none" w:sz="0" w:space="0" w:color="auto"/>
      </w:divBdr>
    </w:div>
    <w:div w:id="1039159668">
      <w:bodyDiv w:val="1"/>
      <w:marLeft w:val="0"/>
      <w:marRight w:val="0"/>
      <w:marTop w:val="0"/>
      <w:marBottom w:val="0"/>
      <w:divBdr>
        <w:top w:val="none" w:sz="0" w:space="0" w:color="auto"/>
        <w:left w:val="none" w:sz="0" w:space="0" w:color="auto"/>
        <w:bottom w:val="none" w:sz="0" w:space="0" w:color="auto"/>
        <w:right w:val="none" w:sz="0" w:space="0" w:color="auto"/>
      </w:divBdr>
    </w:div>
    <w:div w:id="1040132208">
      <w:bodyDiv w:val="1"/>
      <w:marLeft w:val="0"/>
      <w:marRight w:val="0"/>
      <w:marTop w:val="0"/>
      <w:marBottom w:val="0"/>
      <w:divBdr>
        <w:top w:val="none" w:sz="0" w:space="0" w:color="auto"/>
        <w:left w:val="none" w:sz="0" w:space="0" w:color="auto"/>
        <w:bottom w:val="none" w:sz="0" w:space="0" w:color="auto"/>
        <w:right w:val="none" w:sz="0" w:space="0" w:color="auto"/>
      </w:divBdr>
      <w:divsChild>
        <w:div w:id="645167684">
          <w:marLeft w:val="0"/>
          <w:marRight w:val="0"/>
          <w:marTop w:val="0"/>
          <w:marBottom w:val="0"/>
          <w:divBdr>
            <w:top w:val="none" w:sz="0" w:space="0" w:color="auto"/>
            <w:left w:val="none" w:sz="0" w:space="0" w:color="auto"/>
            <w:bottom w:val="none" w:sz="0" w:space="0" w:color="auto"/>
            <w:right w:val="none" w:sz="0" w:space="0" w:color="auto"/>
          </w:divBdr>
          <w:divsChild>
            <w:div w:id="767115046">
              <w:marLeft w:val="0"/>
              <w:marRight w:val="0"/>
              <w:marTop w:val="0"/>
              <w:marBottom w:val="0"/>
              <w:divBdr>
                <w:top w:val="none" w:sz="0" w:space="0" w:color="auto"/>
                <w:left w:val="none" w:sz="0" w:space="0" w:color="auto"/>
                <w:bottom w:val="none" w:sz="0" w:space="0" w:color="auto"/>
                <w:right w:val="none" w:sz="0" w:space="0" w:color="auto"/>
              </w:divBdr>
              <w:divsChild>
                <w:div w:id="50570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260175">
      <w:bodyDiv w:val="1"/>
      <w:marLeft w:val="0"/>
      <w:marRight w:val="0"/>
      <w:marTop w:val="0"/>
      <w:marBottom w:val="0"/>
      <w:divBdr>
        <w:top w:val="none" w:sz="0" w:space="0" w:color="auto"/>
        <w:left w:val="none" w:sz="0" w:space="0" w:color="auto"/>
        <w:bottom w:val="none" w:sz="0" w:space="0" w:color="auto"/>
        <w:right w:val="none" w:sz="0" w:space="0" w:color="auto"/>
      </w:divBdr>
      <w:divsChild>
        <w:div w:id="217326162">
          <w:marLeft w:val="0"/>
          <w:marRight w:val="0"/>
          <w:marTop w:val="0"/>
          <w:marBottom w:val="0"/>
          <w:divBdr>
            <w:top w:val="none" w:sz="0" w:space="0" w:color="auto"/>
            <w:left w:val="none" w:sz="0" w:space="0" w:color="auto"/>
            <w:bottom w:val="none" w:sz="0" w:space="0" w:color="auto"/>
            <w:right w:val="none" w:sz="0" w:space="0" w:color="auto"/>
          </w:divBdr>
          <w:divsChild>
            <w:div w:id="426117311">
              <w:marLeft w:val="0"/>
              <w:marRight w:val="0"/>
              <w:marTop w:val="0"/>
              <w:marBottom w:val="0"/>
              <w:divBdr>
                <w:top w:val="none" w:sz="0" w:space="0" w:color="auto"/>
                <w:left w:val="none" w:sz="0" w:space="0" w:color="auto"/>
                <w:bottom w:val="none" w:sz="0" w:space="0" w:color="auto"/>
                <w:right w:val="none" w:sz="0" w:space="0" w:color="auto"/>
              </w:divBdr>
              <w:divsChild>
                <w:div w:id="89164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785089">
      <w:bodyDiv w:val="1"/>
      <w:marLeft w:val="0"/>
      <w:marRight w:val="0"/>
      <w:marTop w:val="0"/>
      <w:marBottom w:val="0"/>
      <w:divBdr>
        <w:top w:val="none" w:sz="0" w:space="0" w:color="auto"/>
        <w:left w:val="none" w:sz="0" w:space="0" w:color="auto"/>
        <w:bottom w:val="none" w:sz="0" w:space="0" w:color="auto"/>
        <w:right w:val="none" w:sz="0" w:space="0" w:color="auto"/>
      </w:divBdr>
    </w:div>
    <w:div w:id="1102265611">
      <w:bodyDiv w:val="1"/>
      <w:marLeft w:val="0"/>
      <w:marRight w:val="0"/>
      <w:marTop w:val="0"/>
      <w:marBottom w:val="0"/>
      <w:divBdr>
        <w:top w:val="none" w:sz="0" w:space="0" w:color="auto"/>
        <w:left w:val="none" w:sz="0" w:space="0" w:color="auto"/>
        <w:bottom w:val="none" w:sz="0" w:space="0" w:color="auto"/>
        <w:right w:val="none" w:sz="0" w:space="0" w:color="auto"/>
      </w:divBdr>
    </w:div>
    <w:div w:id="1146969056">
      <w:bodyDiv w:val="1"/>
      <w:marLeft w:val="0"/>
      <w:marRight w:val="0"/>
      <w:marTop w:val="0"/>
      <w:marBottom w:val="0"/>
      <w:divBdr>
        <w:top w:val="none" w:sz="0" w:space="0" w:color="auto"/>
        <w:left w:val="none" w:sz="0" w:space="0" w:color="auto"/>
        <w:bottom w:val="none" w:sz="0" w:space="0" w:color="auto"/>
        <w:right w:val="none" w:sz="0" w:space="0" w:color="auto"/>
      </w:divBdr>
    </w:div>
    <w:div w:id="1233001189">
      <w:bodyDiv w:val="1"/>
      <w:marLeft w:val="0"/>
      <w:marRight w:val="0"/>
      <w:marTop w:val="0"/>
      <w:marBottom w:val="0"/>
      <w:divBdr>
        <w:top w:val="none" w:sz="0" w:space="0" w:color="auto"/>
        <w:left w:val="none" w:sz="0" w:space="0" w:color="auto"/>
        <w:bottom w:val="none" w:sz="0" w:space="0" w:color="auto"/>
        <w:right w:val="none" w:sz="0" w:space="0" w:color="auto"/>
      </w:divBdr>
      <w:divsChild>
        <w:div w:id="1937665935">
          <w:marLeft w:val="0"/>
          <w:marRight w:val="0"/>
          <w:marTop w:val="0"/>
          <w:marBottom w:val="0"/>
          <w:divBdr>
            <w:top w:val="none" w:sz="0" w:space="0" w:color="auto"/>
            <w:left w:val="none" w:sz="0" w:space="0" w:color="auto"/>
            <w:bottom w:val="none" w:sz="0" w:space="0" w:color="auto"/>
            <w:right w:val="none" w:sz="0" w:space="0" w:color="auto"/>
          </w:divBdr>
          <w:divsChild>
            <w:div w:id="172038184">
              <w:marLeft w:val="0"/>
              <w:marRight w:val="0"/>
              <w:marTop w:val="0"/>
              <w:marBottom w:val="0"/>
              <w:divBdr>
                <w:top w:val="none" w:sz="0" w:space="0" w:color="auto"/>
                <w:left w:val="none" w:sz="0" w:space="0" w:color="auto"/>
                <w:bottom w:val="none" w:sz="0" w:space="0" w:color="auto"/>
                <w:right w:val="none" w:sz="0" w:space="0" w:color="auto"/>
              </w:divBdr>
              <w:divsChild>
                <w:div w:id="272325395">
                  <w:marLeft w:val="0"/>
                  <w:marRight w:val="0"/>
                  <w:marTop w:val="0"/>
                  <w:marBottom w:val="0"/>
                  <w:divBdr>
                    <w:top w:val="none" w:sz="0" w:space="0" w:color="auto"/>
                    <w:left w:val="none" w:sz="0" w:space="0" w:color="auto"/>
                    <w:bottom w:val="none" w:sz="0" w:space="0" w:color="auto"/>
                    <w:right w:val="none" w:sz="0" w:space="0" w:color="auto"/>
                  </w:divBdr>
                </w:div>
              </w:divsChild>
            </w:div>
            <w:div w:id="601886961">
              <w:marLeft w:val="0"/>
              <w:marRight w:val="0"/>
              <w:marTop w:val="0"/>
              <w:marBottom w:val="0"/>
              <w:divBdr>
                <w:top w:val="none" w:sz="0" w:space="0" w:color="auto"/>
                <w:left w:val="none" w:sz="0" w:space="0" w:color="auto"/>
                <w:bottom w:val="none" w:sz="0" w:space="0" w:color="auto"/>
                <w:right w:val="none" w:sz="0" w:space="0" w:color="auto"/>
              </w:divBdr>
              <w:divsChild>
                <w:div w:id="146566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76207">
          <w:marLeft w:val="0"/>
          <w:marRight w:val="0"/>
          <w:marTop w:val="0"/>
          <w:marBottom w:val="0"/>
          <w:divBdr>
            <w:top w:val="none" w:sz="0" w:space="0" w:color="auto"/>
            <w:left w:val="none" w:sz="0" w:space="0" w:color="auto"/>
            <w:bottom w:val="none" w:sz="0" w:space="0" w:color="auto"/>
            <w:right w:val="none" w:sz="0" w:space="0" w:color="auto"/>
          </w:divBdr>
          <w:divsChild>
            <w:div w:id="1347289115">
              <w:marLeft w:val="0"/>
              <w:marRight w:val="0"/>
              <w:marTop w:val="0"/>
              <w:marBottom w:val="0"/>
              <w:divBdr>
                <w:top w:val="none" w:sz="0" w:space="0" w:color="auto"/>
                <w:left w:val="none" w:sz="0" w:space="0" w:color="auto"/>
                <w:bottom w:val="none" w:sz="0" w:space="0" w:color="auto"/>
                <w:right w:val="none" w:sz="0" w:space="0" w:color="auto"/>
              </w:divBdr>
              <w:divsChild>
                <w:div w:id="1826900145">
                  <w:marLeft w:val="0"/>
                  <w:marRight w:val="0"/>
                  <w:marTop w:val="0"/>
                  <w:marBottom w:val="0"/>
                  <w:divBdr>
                    <w:top w:val="none" w:sz="0" w:space="0" w:color="auto"/>
                    <w:left w:val="none" w:sz="0" w:space="0" w:color="auto"/>
                    <w:bottom w:val="none" w:sz="0" w:space="0" w:color="auto"/>
                    <w:right w:val="none" w:sz="0" w:space="0" w:color="auto"/>
                  </w:divBdr>
                </w:div>
              </w:divsChild>
            </w:div>
            <w:div w:id="935091779">
              <w:marLeft w:val="0"/>
              <w:marRight w:val="0"/>
              <w:marTop w:val="0"/>
              <w:marBottom w:val="0"/>
              <w:divBdr>
                <w:top w:val="none" w:sz="0" w:space="0" w:color="auto"/>
                <w:left w:val="none" w:sz="0" w:space="0" w:color="auto"/>
                <w:bottom w:val="none" w:sz="0" w:space="0" w:color="auto"/>
                <w:right w:val="none" w:sz="0" w:space="0" w:color="auto"/>
              </w:divBdr>
              <w:divsChild>
                <w:div w:id="451941449">
                  <w:marLeft w:val="0"/>
                  <w:marRight w:val="0"/>
                  <w:marTop w:val="0"/>
                  <w:marBottom w:val="0"/>
                  <w:divBdr>
                    <w:top w:val="none" w:sz="0" w:space="0" w:color="auto"/>
                    <w:left w:val="none" w:sz="0" w:space="0" w:color="auto"/>
                    <w:bottom w:val="none" w:sz="0" w:space="0" w:color="auto"/>
                    <w:right w:val="none" w:sz="0" w:space="0" w:color="auto"/>
                  </w:divBdr>
                </w:div>
              </w:divsChild>
            </w:div>
            <w:div w:id="282998704">
              <w:marLeft w:val="0"/>
              <w:marRight w:val="0"/>
              <w:marTop w:val="0"/>
              <w:marBottom w:val="0"/>
              <w:divBdr>
                <w:top w:val="none" w:sz="0" w:space="0" w:color="auto"/>
                <w:left w:val="none" w:sz="0" w:space="0" w:color="auto"/>
                <w:bottom w:val="none" w:sz="0" w:space="0" w:color="auto"/>
                <w:right w:val="none" w:sz="0" w:space="0" w:color="auto"/>
              </w:divBdr>
              <w:divsChild>
                <w:div w:id="1187866415">
                  <w:marLeft w:val="0"/>
                  <w:marRight w:val="0"/>
                  <w:marTop w:val="0"/>
                  <w:marBottom w:val="0"/>
                  <w:divBdr>
                    <w:top w:val="none" w:sz="0" w:space="0" w:color="auto"/>
                    <w:left w:val="none" w:sz="0" w:space="0" w:color="auto"/>
                    <w:bottom w:val="none" w:sz="0" w:space="0" w:color="auto"/>
                    <w:right w:val="none" w:sz="0" w:space="0" w:color="auto"/>
                  </w:divBdr>
                </w:div>
                <w:div w:id="424348664">
                  <w:marLeft w:val="0"/>
                  <w:marRight w:val="0"/>
                  <w:marTop w:val="0"/>
                  <w:marBottom w:val="0"/>
                  <w:divBdr>
                    <w:top w:val="none" w:sz="0" w:space="0" w:color="auto"/>
                    <w:left w:val="none" w:sz="0" w:space="0" w:color="auto"/>
                    <w:bottom w:val="none" w:sz="0" w:space="0" w:color="auto"/>
                    <w:right w:val="none" w:sz="0" w:space="0" w:color="auto"/>
                  </w:divBdr>
                </w:div>
                <w:div w:id="613445434">
                  <w:marLeft w:val="0"/>
                  <w:marRight w:val="0"/>
                  <w:marTop w:val="0"/>
                  <w:marBottom w:val="0"/>
                  <w:divBdr>
                    <w:top w:val="none" w:sz="0" w:space="0" w:color="auto"/>
                    <w:left w:val="none" w:sz="0" w:space="0" w:color="auto"/>
                    <w:bottom w:val="none" w:sz="0" w:space="0" w:color="auto"/>
                    <w:right w:val="none" w:sz="0" w:space="0" w:color="auto"/>
                  </w:divBdr>
                </w:div>
                <w:div w:id="561717461">
                  <w:marLeft w:val="0"/>
                  <w:marRight w:val="0"/>
                  <w:marTop w:val="0"/>
                  <w:marBottom w:val="0"/>
                  <w:divBdr>
                    <w:top w:val="none" w:sz="0" w:space="0" w:color="auto"/>
                    <w:left w:val="none" w:sz="0" w:space="0" w:color="auto"/>
                    <w:bottom w:val="none" w:sz="0" w:space="0" w:color="auto"/>
                    <w:right w:val="none" w:sz="0" w:space="0" w:color="auto"/>
                  </w:divBdr>
                </w:div>
              </w:divsChild>
            </w:div>
            <w:div w:id="1360084088">
              <w:marLeft w:val="0"/>
              <w:marRight w:val="0"/>
              <w:marTop w:val="0"/>
              <w:marBottom w:val="0"/>
              <w:divBdr>
                <w:top w:val="none" w:sz="0" w:space="0" w:color="auto"/>
                <w:left w:val="none" w:sz="0" w:space="0" w:color="auto"/>
                <w:bottom w:val="none" w:sz="0" w:space="0" w:color="auto"/>
                <w:right w:val="none" w:sz="0" w:space="0" w:color="auto"/>
              </w:divBdr>
              <w:divsChild>
                <w:div w:id="71850876">
                  <w:marLeft w:val="0"/>
                  <w:marRight w:val="0"/>
                  <w:marTop w:val="0"/>
                  <w:marBottom w:val="0"/>
                  <w:divBdr>
                    <w:top w:val="none" w:sz="0" w:space="0" w:color="auto"/>
                    <w:left w:val="none" w:sz="0" w:space="0" w:color="auto"/>
                    <w:bottom w:val="none" w:sz="0" w:space="0" w:color="auto"/>
                    <w:right w:val="none" w:sz="0" w:space="0" w:color="auto"/>
                  </w:divBdr>
                </w:div>
              </w:divsChild>
            </w:div>
            <w:div w:id="1839929975">
              <w:marLeft w:val="0"/>
              <w:marRight w:val="0"/>
              <w:marTop w:val="0"/>
              <w:marBottom w:val="0"/>
              <w:divBdr>
                <w:top w:val="none" w:sz="0" w:space="0" w:color="auto"/>
                <w:left w:val="none" w:sz="0" w:space="0" w:color="auto"/>
                <w:bottom w:val="none" w:sz="0" w:space="0" w:color="auto"/>
                <w:right w:val="none" w:sz="0" w:space="0" w:color="auto"/>
              </w:divBdr>
              <w:divsChild>
                <w:div w:id="1879464392">
                  <w:marLeft w:val="0"/>
                  <w:marRight w:val="0"/>
                  <w:marTop w:val="0"/>
                  <w:marBottom w:val="0"/>
                  <w:divBdr>
                    <w:top w:val="none" w:sz="0" w:space="0" w:color="auto"/>
                    <w:left w:val="none" w:sz="0" w:space="0" w:color="auto"/>
                    <w:bottom w:val="none" w:sz="0" w:space="0" w:color="auto"/>
                    <w:right w:val="none" w:sz="0" w:space="0" w:color="auto"/>
                  </w:divBdr>
                </w:div>
              </w:divsChild>
            </w:div>
            <w:div w:id="1570799194">
              <w:marLeft w:val="0"/>
              <w:marRight w:val="0"/>
              <w:marTop w:val="0"/>
              <w:marBottom w:val="0"/>
              <w:divBdr>
                <w:top w:val="none" w:sz="0" w:space="0" w:color="auto"/>
                <w:left w:val="none" w:sz="0" w:space="0" w:color="auto"/>
                <w:bottom w:val="none" w:sz="0" w:space="0" w:color="auto"/>
                <w:right w:val="none" w:sz="0" w:space="0" w:color="auto"/>
              </w:divBdr>
              <w:divsChild>
                <w:div w:id="1163934129">
                  <w:marLeft w:val="0"/>
                  <w:marRight w:val="0"/>
                  <w:marTop w:val="0"/>
                  <w:marBottom w:val="0"/>
                  <w:divBdr>
                    <w:top w:val="none" w:sz="0" w:space="0" w:color="auto"/>
                    <w:left w:val="none" w:sz="0" w:space="0" w:color="auto"/>
                    <w:bottom w:val="none" w:sz="0" w:space="0" w:color="auto"/>
                    <w:right w:val="none" w:sz="0" w:space="0" w:color="auto"/>
                  </w:divBdr>
                </w:div>
              </w:divsChild>
            </w:div>
            <w:div w:id="977105140">
              <w:marLeft w:val="0"/>
              <w:marRight w:val="0"/>
              <w:marTop w:val="0"/>
              <w:marBottom w:val="0"/>
              <w:divBdr>
                <w:top w:val="none" w:sz="0" w:space="0" w:color="auto"/>
                <w:left w:val="none" w:sz="0" w:space="0" w:color="auto"/>
                <w:bottom w:val="none" w:sz="0" w:space="0" w:color="auto"/>
                <w:right w:val="none" w:sz="0" w:space="0" w:color="auto"/>
              </w:divBdr>
              <w:divsChild>
                <w:div w:id="2046984066">
                  <w:marLeft w:val="0"/>
                  <w:marRight w:val="0"/>
                  <w:marTop w:val="0"/>
                  <w:marBottom w:val="0"/>
                  <w:divBdr>
                    <w:top w:val="none" w:sz="0" w:space="0" w:color="auto"/>
                    <w:left w:val="none" w:sz="0" w:space="0" w:color="auto"/>
                    <w:bottom w:val="none" w:sz="0" w:space="0" w:color="auto"/>
                    <w:right w:val="none" w:sz="0" w:space="0" w:color="auto"/>
                  </w:divBdr>
                </w:div>
              </w:divsChild>
            </w:div>
            <w:div w:id="87848450">
              <w:marLeft w:val="0"/>
              <w:marRight w:val="0"/>
              <w:marTop w:val="0"/>
              <w:marBottom w:val="0"/>
              <w:divBdr>
                <w:top w:val="none" w:sz="0" w:space="0" w:color="auto"/>
                <w:left w:val="none" w:sz="0" w:space="0" w:color="auto"/>
                <w:bottom w:val="none" w:sz="0" w:space="0" w:color="auto"/>
                <w:right w:val="none" w:sz="0" w:space="0" w:color="auto"/>
              </w:divBdr>
              <w:divsChild>
                <w:div w:id="1995714313">
                  <w:marLeft w:val="0"/>
                  <w:marRight w:val="0"/>
                  <w:marTop w:val="0"/>
                  <w:marBottom w:val="0"/>
                  <w:divBdr>
                    <w:top w:val="none" w:sz="0" w:space="0" w:color="auto"/>
                    <w:left w:val="none" w:sz="0" w:space="0" w:color="auto"/>
                    <w:bottom w:val="none" w:sz="0" w:space="0" w:color="auto"/>
                    <w:right w:val="none" w:sz="0" w:space="0" w:color="auto"/>
                  </w:divBdr>
                </w:div>
              </w:divsChild>
            </w:div>
            <w:div w:id="29111287">
              <w:marLeft w:val="0"/>
              <w:marRight w:val="0"/>
              <w:marTop w:val="0"/>
              <w:marBottom w:val="0"/>
              <w:divBdr>
                <w:top w:val="none" w:sz="0" w:space="0" w:color="auto"/>
                <w:left w:val="none" w:sz="0" w:space="0" w:color="auto"/>
                <w:bottom w:val="none" w:sz="0" w:space="0" w:color="auto"/>
                <w:right w:val="none" w:sz="0" w:space="0" w:color="auto"/>
              </w:divBdr>
              <w:divsChild>
                <w:div w:id="1651515704">
                  <w:marLeft w:val="0"/>
                  <w:marRight w:val="0"/>
                  <w:marTop w:val="0"/>
                  <w:marBottom w:val="0"/>
                  <w:divBdr>
                    <w:top w:val="none" w:sz="0" w:space="0" w:color="auto"/>
                    <w:left w:val="none" w:sz="0" w:space="0" w:color="auto"/>
                    <w:bottom w:val="none" w:sz="0" w:space="0" w:color="auto"/>
                    <w:right w:val="none" w:sz="0" w:space="0" w:color="auto"/>
                  </w:divBdr>
                </w:div>
              </w:divsChild>
            </w:div>
            <w:div w:id="2055159542">
              <w:marLeft w:val="0"/>
              <w:marRight w:val="0"/>
              <w:marTop w:val="0"/>
              <w:marBottom w:val="0"/>
              <w:divBdr>
                <w:top w:val="none" w:sz="0" w:space="0" w:color="auto"/>
                <w:left w:val="none" w:sz="0" w:space="0" w:color="auto"/>
                <w:bottom w:val="none" w:sz="0" w:space="0" w:color="auto"/>
                <w:right w:val="none" w:sz="0" w:space="0" w:color="auto"/>
              </w:divBdr>
              <w:divsChild>
                <w:div w:id="85885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260729">
          <w:marLeft w:val="0"/>
          <w:marRight w:val="0"/>
          <w:marTop w:val="0"/>
          <w:marBottom w:val="0"/>
          <w:divBdr>
            <w:top w:val="none" w:sz="0" w:space="0" w:color="auto"/>
            <w:left w:val="none" w:sz="0" w:space="0" w:color="auto"/>
            <w:bottom w:val="none" w:sz="0" w:space="0" w:color="auto"/>
            <w:right w:val="none" w:sz="0" w:space="0" w:color="auto"/>
          </w:divBdr>
          <w:divsChild>
            <w:div w:id="1491478677">
              <w:marLeft w:val="0"/>
              <w:marRight w:val="0"/>
              <w:marTop w:val="0"/>
              <w:marBottom w:val="0"/>
              <w:divBdr>
                <w:top w:val="none" w:sz="0" w:space="0" w:color="auto"/>
                <w:left w:val="none" w:sz="0" w:space="0" w:color="auto"/>
                <w:bottom w:val="none" w:sz="0" w:space="0" w:color="auto"/>
                <w:right w:val="none" w:sz="0" w:space="0" w:color="auto"/>
              </w:divBdr>
              <w:divsChild>
                <w:div w:id="159933336">
                  <w:marLeft w:val="0"/>
                  <w:marRight w:val="0"/>
                  <w:marTop w:val="0"/>
                  <w:marBottom w:val="0"/>
                  <w:divBdr>
                    <w:top w:val="none" w:sz="0" w:space="0" w:color="auto"/>
                    <w:left w:val="none" w:sz="0" w:space="0" w:color="auto"/>
                    <w:bottom w:val="none" w:sz="0" w:space="0" w:color="auto"/>
                    <w:right w:val="none" w:sz="0" w:space="0" w:color="auto"/>
                  </w:divBdr>
                </w:div>
              </w:divsChild>
            </w:div>
            <w:div w:id="1973094425">
              <w:marLeft w:val="0"/>
              <w:marRight w:val="0"/>
              <w:marTop w:val="0"/>
              <w:marBottom w:val="0"/>
              <w:divBdr>
                <w:top w:val="none" w:sz="0" w:space="0" w:color="auto"/>
                <w:left w:val="none" w:sz="0" w:space="0" w:color="auto"/>
                <w:bottom w:val="none" w:sz="0" w:space="0" w:color="auto"/>
                <w:right w:val="none" w:sz="0" w:space="0" w:color="auto"/>
              </w:divBdr>
              <w:divsChild>
                <w:div w:id="198897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834627">
          <w:marLeft w:val="0"/>
          <w:marRight w:val="0"/>
          <w:marTop w:val="0"/>
          <w:marBottom w:val="0"/>
          <w:divBdr>
            <w:top w:val="none" w:sz="0" w:space="0" w:color="auto"/>
            <w:left w:val="none" w:sz="0" w:space="0" w:color="auto"/>
            <w:bottom w:val="none" w:sz="0" w:space="0" w:color="auto"/>
            <w:right w:val="none" w:sz="0" w:space="0" w:color="auto"/>
          </w:divBdr>
          <w:divsChild>
            <w:div w:id="364477407">
              <w:marLeft w:val="0"/>
              <w:marRight w:val="0"/>
              <w:marTop w:val="0"/>
              <w:marBottom w:val="0"/>
              <w:divBdr>
                <w:top w:val="none" w:sz="0" w:space="0" w:color="auto"/>
                <w:left w:val="none" w:sz="0" w:space="0" w:color="auto"/>
                <w:bottom w:val="none" w:sz="0" w:space="0" w:color="auto"/>
                <w:right w:val="none" w:sz="0" w:space="0" w:color="auto"/>
              </w:divBdr>
              <w:divsChild>
                <w:div w:id="86116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499013">
      <w:bodyDiv w:val="1"/>
      <w:marLeft w:val="0"/>
      <w:marRight w:val="0"/>
      <w:marTop w:val="0"/>
      <w:marBottom w:val="0"/>
      <w:divBdr>
        <w:top w:val="none" w:sz="0" w:space="0" w:color="auto"/>
        <w:left w:val="none" w:sz="0" w:space="0" w:color="auto"/>
        <w:bottom w:val="none" w:sz="0" w:space="0" w:color="auto"/>
        <w:right w:val="none" w:sz="0" w:space="0" w:color="auto"/>
      </w:divBdr>
      <w:divsChild>
        <w:div w:id="66193781">
          <w:marLeft w:val="0"/>
          <w:marRight w:val="0"/>
          <w:marTop w:val="0"/>
          <w:marBottom w:val="0"/>
          <w:divBdr>
            <w:top w:val="none" w:sz="0" w:space="0" w:color="auto"/>
            <w:left w:val="none" w:sz="0" w:space="0" w:color="auto"/>
            <w:bottom w:val="none" w:sz="0" w:space="0" w:color="auto"/>
            <w:right w:val="none" w:sz="0" w:space="0" w:color="auto"/>
          </w:divBdr>
          <w:divsChild>
            <w:div w:id="152257437">
              <w:marLeft w:val="0"/>
              <w:marRight w:val="0"/>
              <w:marTop w:val="0"/>
              <w:marBottom w:val="0"/>
              <w:divBdr>
                <w:top w:val="none" w:sz="0" w:space="0" w:color="auto"/>
                <w:left w:val="none" w:sz="0" w:space="0" w:color="auto"/>
                <w:bottom w:val="none" w:sz="0" w:space="0" w:color="auto"/>
                <w:right w:val="none" w:sz="0" w:space="0" w:color="auto"/>
              </w:divBdr>
              <w:divsChild>
                <w:div w:id="60824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270081">
      <w:bodyDiv w:val="1"/>
      <w:marLeft w:val="0"/>
      <w:marRight w:val="0"/>
      <w:marTop w:val="0"/>
      <w:marBottom w:val="0"/>
      <w:divBdr>
        <w:top w:val="none" w:sz="0" w:space="0" w:color="auto"/>
        <w:left w:val="none" w:sz="0" w:space="0" w:color="auto"/>
        <w:bottom w:val="none" w:sz="0" w:space="0" w:color="auto"/>
        <w:right w:val="none" w:sz="0" w:space="0" w:color="auto"/>
      </w:divBdr>
      <w:divsChild>
        <w:div w:id="1383820841">
          <w:marLeft w:val="0"/>
          <w:marRight w:val="0"/>
          <w:marTop w:val="0"/>
          <w:marBottom w:val="0"/>
          <w:divBdr>
            <w:top w:val="none" w:sz="0" w:space="0" w:color="auto"/>
            <w:left w:val="none" w:sz="0" w:space="0" w:color="auto"/>
            <w:bottom w:val="none" w:sz="0" w:space="0" w:color="auto"/>
            <w:right w:val="none" w:sz="0" w:space="0" w:color="auto"/>
          </w:divBdr>
        </w:div>
      </w:divsChild>
    </w:div>
    <w:div w:id="1272588148">
      <w:bodyDiv w:val="1"/>
      <w:marLeft w:val="0"/>
      <w:marRight w:val="0"/>
      <w:marTop w:val="0"/>
      <w:marBottom w:val="0"/>
      <w:divBdr>
        <w:top w:val="none" w:sz="0" w:space="0" w:color="auto"/>
        <w:left w:val="none" w:sz="0" w:space="0" w:color="auto"/>
        <w:bottom w:val="none" w:sz="0" w:space="0" w:color="auto"/>
        <w:right w:val="none" w:sz="0" w:space="0" w:color="auto"/>
      </w:divBdr>
      <w:divsChild>
        <w:div w:id="1661694766">
          <w:marLeft w:val="0"/>
          <w:marRight w:val="0"/>
          <w:marTop w:val="0"/>
          <w:marBottom w:val="0"/>
          <w:divBdr>
            <w:top w:val="none" w:sz="0" w:space="0" w:color="auto"/>
            <w:left w:val="none" w:sz="0" w:space="0" w:color="auto"/>
            <w:bottom w:val="none" w:sz="0" w:space="0" w:color="auto"/>
            <w:right w:val="none" w:sz="0" w:space="0" w:color="auto"/>
          </w:divBdr>
          <w:divsChild>
            <w:div w:id="2145194331">
              <w:marLeft w:val="0"/>
              <w:marRight w:val="0"/>
              <w:marTop w:val="0"/>
              <w:marBottom w:val="0"/>
              <w:divBdr>
                <w:top w:val="none" w:sz="0" w:space="0" w:color="auto"/>
                <w:left w:val="none" w:sz="0" w:space="0" w:color="auto"/>
                <w:bottom w:val="none" w:sz="0" w:space="0" w:color="auto"/>
                <w:right w:val="none" w:sz="0" w:space="0" w:color="auto"/>
              </w:divBdr>
              <w:divsChild>
                <w:div w:id="563177738">
                  <w:marLeft w:val="0"/>
                  <w:marRight w:val="0"/>
                  <w:marTop w:val="0"/>
                  <w:marBottom w:val="0"/>
                  <w:divBdr>
                    <w:top w:val="none" w:sz="0" w:space="0" w:color="auto"/>
                    <w:left w:val="none" w:sz="0" w:space="0" w:color="auto"/>
                    <w:bottom w:val="none" w:sz="0" w:space="0" w:color="auto"/>
                    <w:right w:val="none" w:sz="0" w:space="0" w:color="auto"/>
                  </w:divBdr>
                </w:div>
                <w:div w:id="1260285827">
                  <w:marLeft w:val="0"/>
                  <w:marRight w:val="0"/>
                  <w:marTop w:val="0"/>
                  <w:marBottom w:val="0"/>
                  <w:divBdr>
                    <w:top w:val="none" w:sz="0" w:space="0" w:color="auto"/>
                    <w:left w:val="none" w:sz="0" w:space="0" w:color="auto"/>
                    <w:bottom w:val="none" w:sz="0" w:space="0" w:color="auto"/>
                    <w:right w:val="none" w:sz="0" w:space="0" w:color="auto"/>
                  </w:divBdr>
                </w:div>
                <w:div w:id="33287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331825">
      <w:bodyDiv w:val="1"/>
      <w:marLeft w:val="0"/>
      <w:marRight w:val="0"/>
      <w:marTop w:val="0"/>
      <w:marBottom w:val="0"/>
      <w:divBdr>
        <w:top w:val="none" w:sz="0" w:space="0" w:color="auto"/>
        <w:left w:val="none" w:sz="0" w:space="0" w:color="auto"/>
        <w:bottom w:val="none" w:sz="0" w:space="0" w:color="auto"/>
        <w:right w:val="none" w:sz="0" w:space="0" w:color="auto"/>
      </w:divBdr>
      <w:divsChild>
        <w:div w:id="1832066681">
          <w:marLeft w:val="0"/>
          <w:marRight w:val="0"/>
          <w:marTop w:val="0"/>
          <w:marBottom w:val="0"/>
          <w:divBdr>
            <w:top w:val="none" w:sz="0" w:space="0" w:color="auto"/>
            <w:left w:val="none" w:sz="0" w:space="0" w:color="auto"/>
            <w:bottom w:val="none" w:sz="0" w:space="0" w:color="auto"/>
            <w:right w:val="none" w:sz="0" w:space="0" w:color="auto"/>
          </w:divBdr>
          <w:divsChild>
            <w:div w:id="2065174047">
              <w:marLeft w:val="0"/>
              <w:marRight w:val="0"/>
              <w:marTop w:val="0"/>
              <w:marBottom w:val="0"/>
              <w:divBdr>
                <w:top w:val="none" w:sz="0" w:space="0" w:color="auto"/>
                <w:left w:val="none" w:sz="0" w:space="0" w:color="auto"/>
                <w:bottom w:val="none" w:sz="0" w:space="0" w:color="auto"/>
                <w:right w:val="none" w:sz="0" w:space="0" w:color="auto"/>
              </w:divBdr>
              <w:divsChild>
                <w:div w:id="979114586">
                  <w:marLeft w:val="0"/>
                  <w:marRight w:val="0"/>
                  <w:marTop w:val="0"/>
                  <w:marBottom w:val="0"/>
                  <w:divBdr>
                    <w:top w:val="none" w:sz="0" w:space="0" w:color="auto"/>
                    <w:left w:val="none" w:sz="0" w:space="0" w:color="auto"/>
                    <w:bottom w:val="none" w:sz="0" w:space="0" w:color="auto"/>
                    <w:right w:val="none" w:sz="0" w:space="0" w:color="auto"/>
                  </w:divBdr>
                </w:div>
              </w:divsChild>
            </w:div>
            <w:div w:id="1451627881">
              <w:marLeft w:val="0"/>
              <w:marRight w:val="0"/>
              <w:marTop w:val="0"/>
              <w:marBottom w:val="0"/>
              <w:divBdr>
                <w:top w:val="none" w:sz="0" w:space="0" w:color="auto"/>
                <w:left w:val="none" w:sz="0" w:space="0" w:color="auto"/>
                <w:bottom w:val="none" w:sz="0" w:space="0" w:color="auto"/>
                <w:right w:val="none" w:sz="0" w:space="0" w:color="auto"/>
              </w:divBdr>
              <w:divsChild>
                <w:div w:id="8823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701813">
          <w:marLeft w:val="0"/>
          <w:marRight w:val="0"/>
          <w:marTop w:val="0"/>
          <w:marBottom w:val="0"/>
          <w:divBdr>
            <w:top w:val="none" w:sz="0" w:space="0" w:color="auto"/>
            <w:left w:val="none" w:sz="0" w:space="0" w:color="auto"/>
            <w:bottom w:val="none" w:sz="0" w:space="0" w:color="auto"/>
            <w:right w:val="none" w:sz="0" w:space="0" w:color="auto"/>
          </w:divBdr>
          <w:divsChild>
            <w:div w:id="163935237">
              <w:marLeft w:val="0"/>
              <w:marRight w:val="0"/>
              <w:marTop w:val="0"/>
              <w:marBottom w:val="0"/>
              <w:divBdr>
                <w:top w:val="none" w:sz="0" w:space="0" w:color="auto"/>
                <w:left w:val="none" w:sz="0" w:space="0" w:color="auto"/>
                <w:bottom w:val="none" w:sz="0" w:space="0" w:color="auto"/>
                <w:right w:val="none" w:sz="0" w:space="0" w:color="auto"/>
              </w:divBdr>
              <w:divsChild>
                <w:div w:id="35890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384625">
      <w:bodyDiv w:val="1"/>
      <w:marLeft w:val="0"/>
      <w:marRight w:val="0"/>
      <w:marTop w:val="0"/>
      <w:marBottom w:val="0"/>
      <w:divBdr>
        <w:top w:val="none" w:sz="0" w:space="0" w:color="auto"/>
        <w:left w:val="none" w:sz="0" w:space="0" w:color="auto"/>
        <w:bottom w:val="none" w:sz="0" w:space="0" w:color="auto"/>
        <w:right w:val="none" w:sz="0" w:space="0" w:color="auto"/>
      </w:divBdr>
    </w:div>
    <w:div w:id="1362971280">
      <w:bodyDiv w:val="1"/>
      <w:marLeft w:val="0"/>
      <w:marRight w:val="0"/>
      <w:marTop w:val="0"/>
      <w:marBottom w:val="0"/>
      <w:divBdr>
        <w:top w:val="none" w:sz="0" w:space="0" w:color="auto"/>
        <w:left w:val="none" w:sz="0" w:space="0" w:color="auto"/>
        <w:bottom w:val="none" w:sz="0" w:space="0" w:color="auto"/>
        <w:right w:val="none" w:sz="0" w:space="0" w:color="auto"/>
      </w:divBdr>
      <w:divsChild>
        <w:div w:id="411510906">
          <w:marLeft w:val="0"/>
          <w:marRight w:val="0"/>
          <w:marTop w:val="0"/>
          <w:marBottom w:val="0"/>
          <w:divBdr>
            <w:top w:val="none" w:sz="0" w:space="0" w:color="auto"/>
            <w:left w:val="none" w:sz="0" w:space="0" w:color="auto"/>
            <w:bottom w:val="none" w:sz="0" w:space="0" w:color="auto"/>
            <w:right w:val="none" w:sz="0" w:space="0" w:color="auto"/>
          </w:divBdr>
          <w:divsChild>
            <w:div w:id="168058627">
              <w:marLeft w:val="0"/>
              <w:marRight w:val="0"/>
              <w:marTop w:val="0"/>
              <w:marBottom w:val="0"/>
              <w:divBdr>
                <w:top w:val="none" w:sz="0" w:space="0" w:color="auto"/>
                <w:left w:val="none" w:sz="0" w:space="0" w:color="auto"/>
                <w:bottom w:val="none" w:sz="0" w:space="0" w:color="auto"/>
                <w:right w:val="none" w:sz="0" w:space="0" w:color="auto"/>
              </w:divBdr>
              <w:divsChild>
                <w:div w:id="15138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980858">
      <w:bodyDiv w:val="1"/>
      <w:marLeft w:val="0"/>
      <w:marRight w:val="0"/>
      <w:marTop w:val="0"/>
      <w:marBottom w:val="0"/>
      <w:divBdr>
        <w:top w:val="none" w:sz="0" w:space="0" w:color="auto"/>
        <w:left w:val="none" w:sz="0" w:space="0" w:color="auto"/>
        <w:bottom w:val="none" w:sz="0" w:space="0" w:color="auto"/>
        <w:right w:val="none" w:sz="0" w:space="0" w:color="auto"/>
      </w:divBdr>
      <w:divsChild>
        <w:div w:id="1973321268">
          <w:marLeft w:val="0"/>
          <w:marRight w:val="0"/>
          <w:marTop w:val="0"/>
          <w:marBottom w:val="0"/>
          <w:divBdr>
            <w:top w:val="none" w:sz="0" w:space="0" w:color="auto"/>
            <w:left w:val="none" w:sz="0" w:space="0" w:color="auto"/>
            <w:bottom w:val="none" w:sz="0" w:space="0" w:color="auto"/>
            <w:right w:val="none" w:sz="0" w:space="0" w:color="auto"/>
          </w:divBdr>
          <w:divsChild>
            <w:div w:id="1306543866">
              <w:marLeft w:val="0"/>
              <w:marRight w:val="0"/>
              <w:marTop w:val="0"/>
              <w:marBottom w:val="0"/>
              <w:divBdr>
                <w:top w:val="none" w:sz="0" w:space="0" w:color="auto"/>
                <w:left w:val="none" w:sz="0" w:space="0" w:color="auto"/>
                <w:bottom w:val="none" w:sz="0" w:space="0" w:color="auto"/>
                <w:right w:val="none" w:sz="0" w:space="0" w:color="auto"/>
              </w:divBdr>
              <w:divsChild>
                <w:div w:id="91142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2022">
      <w:bodyDiv w:val="1"/>
      <w:marLeft w:val="0"/>
      <w:marRight w:val="0"/>
      <w:marTop w:val="0"/>
      <w:marBottom w:val="0"/>
      <w:divBdr>
        <w:top w:val="none" w:sz="0" w:space="0" w:color="auto"/>
        <w:left w:val="none" w:sz="0" w:space="0" w:color="auto"/>
        <w:bottom w:val="none" w:sz="0" w:space="0" w:color="auto"/>
        <w:right w:val="none" w:sz="0" w:space="0" w:color="auto"/>
      </w:divBdr>
    </w:div>
    <w:div w:id="1431194977">
      <w:bodyDiv w:val="1"/>
      <w:marLeft w:val="0"/>
      <w:marRight w:val="0"/>
      <w:marTop w:val="0"/>
      <w:marBottom w:val="0"/>
      <w:divBdr>
        <w:top w:val="none" w:sz="0" w:space="0" w:color="auto"/>
        <w:left w:val="none" w:sz="0" w:space="0" w:color="auto"/>
        <w:bottom w:val="none" w:sz="0" w:space="0" w:color="auto"/>
        <w:right w:val="none" w:sz="0" w:space="0" w:color="auto"/>
      </w:divBdr>
    </w:div>
    <w:div w:id="1451047606">
      <w:bodyDiv w:val="1"/>
      <w:marLeft w:val="0"/>
      <w:marRight w:val="0"/>
      <w:marTop w:val="0"/>
      <w:marBottom w:val="0"/>
      <w:divBdr>
        <w:top w:val="none" w:sz="0" w:space="0" w:color="auto"/>
        <w:left w:val="none" w:sz="0" w:space="0" w:color="auto"/>
        <w:bottom w:val="none" w:sz="0" w:space="0" w:color="auto"/>
        <w:right w:val="none" w:sz="0" w:space="0" w:color="auto"/>
      </w:divBdr>
    </w:div>
    <w:div w:id="1462112570">
      <w:bodyDiv w:val="1"/>
      <w:marLeft w:val="0"/>
      <w:marRight w:val="0"/>
      <w:marTop w:val="0"/>
      <w:marBottom w:val="0"/>
      <w:divBdr>
        <w:top w:val="none" w:sz="0" w:space="0" w:color="auto"/>
        <w:left w:val="none" w:sz="0" w:space="0" w:color="auto"/>
        <w:bottom w:val="none" w:sz="0" w:space="0" w:color="auto"/>
        <w:right w:val="none" w:sz="0" w:space="0" w:color="auto"/>
      </w:divBdr>
      <w:divsChild>
        <w:div w:id="412901608">
          <w:marLeft w:val="0"/>
          <w:marRight w:val="0"/>
          <w:marTop w:val="0"/>
          <w:marBottom w:val="0"/>
          <w:divBdr>
            <w:top w:val="none" w:sz="0" w:space="0" w:color="auto"/>
            <w:left w:val="none" w:sz="0" w:space="0" w:color="auto"/>
            <w:bottom w:val="none" w:sz="0" w:space="0" w:color="auto"/>
            <w:right w:val="none" w:sz="0" w:space="0" w:color="auto"/>
          </w:divBdr>
          <w:divsChild>
            <w:div w:id="1373655610">
              <w:marLeft w:val="0"/>
              <w:marRight w:val="0"/>
              <w:marTop w:val="0"/>
              <w:marBottom w:val="0"/>
              <w:divBdr>
                <w:top w:val="none" w:sz="0" w:space="0" w:color="auto"/>
                <w:left w:val="none" w:sz="0" w:space="0" w:color="auto"/>
                <w:bottom w:val="none" w:sz="0" w:space="0" w:color="auto"/>
                <w:right w:val="none" w:sz="0" w:space="0" w:color="auto"/>
              </w:divBdr>
              <w:divsChild>
                <w:div w:id="177811762">
                  <w:marLeft w:val="0"/>
                  <w:marRight w:val="0"/>
                  <w:marTop w:val="0"/>
                  <w:marBottom w:val="0"/>
                  <w:divBdr>
                    <w:top w:val="none" w:sz="0" w:space="0" w:color="auto"/>
                    <w:left w:val="none" w:sz="0" w:space="0" w:color="auto"/>
                    <w:bottom w:val="none" w:sz="0" w:space="0" w:color="auto"/>
                    <w:right w:val="none" w:sz="0" w:space="0" w:color="auto"/>
                  </w:divBdr>
                  <w:divsChild>
                    <w:div w:id="51419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937618">
      <w:bodyDiv w:val="1"/>
      <w:marLeft w:val="0"/>
      <w:marRight w:val="0"/>
      <w:marTop w:val="0"/>
      <w:marBottom w:val="0"/>
      <w:divBdr>
        <w:top w:val="none" w:sz="0" w:space="0" w:color="auto"/>
        <w:left w:val="none" w:sz="0" w:space="0" w:color="auto"/>
        <w:bottom w:val="none" w:sz="0" w:space="0" w:color="auto"/>
        <w:right w:val="none" w:sz="0" w:space="0" w:color="auto"/>
      </w:divBdr>
    </w:div>
    <w:div w:id="1491560089">
      <w:bodyDiv w:val="1"/>
      <w:marLeft w:val="0"/>
      <w:marRight w:val="0"/>
      <w:marTop w:val="0"/>
      <w:marBottom w:val="0"/>
      <w:divBdr>
        <w:top w:val="none" w:sz="0" w:space="0" w:color="auto"/>
        <w:left w:val="none" w:sz="0" w:space="0" w:color="auto"/>
        <w:bottom w:val="none" w:sz="0" w:space="0" w:color="auto"/>
        <w:right w:val="none" w:sz="0" w:space="0" w:color="auto"/>
      </w:divBdr>
      <w:divsChild>
        <w:div w:id="1667898619">
          <w:marLeft w:val="0"/>
          <w:marRight w:val="0"/>
          <w:marTop w:val="0"/>
          <w:marBottom w:val="0"/>
          <w:divBdr>
            <w:top w:val="none" w:sz="0" w:space="0" w:color="auto"/>
            <w:left w:val="none" w:sz="0" w:space="0" w:color="auto"/>
            <w:bottom w:val="none" w:sz="0" w:space="0" w:color="auto"/>
            <w:right w:val="none" w:sz="0" w:space="0" w:color="auto"/>
          </w:divBdr>
          <w:divsChild>
            <w:div w:id="1777288359">
              <w:marLeft w:val="0"/>
              <w:marRight w:val="0"/>
              <w:marTop w:val="0"/>
              <w:marBottom w:val="0"/>
              <w:divBdr>
                <w:top w:val="none" w:sz="0" w:space="0" w:color="auto"/>
                <w:left w:val="none" w:sz="0" w:space="0" w:color="auto"/>
                <w:bottom w:val="none" w:sz="0" w:space="0" w:color="auto"/>
                <w:right w:val="none" w:sz="0" w:space="0" w:color="auto"/>
              </w:divBdr>
              <w:divsChild>
                <w:div w:id="48628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058150">
      <w:bodyDiv w:val="1"/>
      <w:marLeft w:val="0"/>
      <w:marRight w:val="0"/>
      <w:marTop w:val="0"/>
      <w:marBottom w:val="0"/>
      <w:divBdr>
        <w:top w:val="none" w:sz="0" w:space="0" w:color="auto"/>
        <w:left w:val="none" w:sz="0" w:space="0" w:color="auto"/>
        <w:bottom w:val="none" w:sz="0" w:space="0" w:color="auto"/>
        <w:right w:val="none" w:sz="0" w:space="0" w:color="auto"/>
      </w:divBdr>
      <w:divsChild>
        <w:div w:id="1125927924">
          <w:marLeft w:val="0"/>
          <w:marRight w:val="0"/>
          <w:marTop w:val="0"/>
          <w:marBottom w:val="0"/>
          <w:divBdr>
            <w:top w:val="none" w:sz="0" w:space="0" w:color="auto"/>
            <w:left w:val="none" w:sz="0" w:space="0" w:color="auto"/>
            <w:bottom w:val="none" w:sz="0" w:space="0" w:color="auto"/>
            <w:right w:val="none" w:sz="0" w:space="0" w:color="auto"/>
          </w:divBdr>
          <w:divsChild>
            <w:div w:id="1922518801">
              <w:marLeft w:val="0"/>
              <w:marRight w:val="0"/>
              <w:marTop w:val="0"/>
              <w:marBottom w:val="0"/>
              <w:divBdr>
                <w:top w:val="none" w:sz="0" w:space="0" w:color="auto"/>
                <w:left w:val="none" w:sz="0" w:space="0" w:color="auto"/>
                <w:bottom w:val="none" w:sz="0" w:space="0" w:color="auto"/>
                <w:right w:val="none" w:sz="0" w:space="0" w:color="auto"/>
              </w:divBdr>
              <w:divsChild>
                <w:div w:id="1934513244">
                  <w:marLeft w:val="0"/>
                  <w:marRight w:val="0"/>
                  <w:marTop w:val="0"/>
                  <w:marBottom w:val="0"/>
                  <w:divBdr>
                    <w:top w:val="none" w:sz="0" w:space="0" w:color="auto"/>
                    <w:left w:val="none" w:sz="0" w:space="0" w:color="auto"/>
                    <w:bottom w:val="none" w:sz="0" w:space="0" w:color="auto"/>
                    <w:right w:val="none" w:sz="0" w:space="0" w:color="auto"/>
                  </w:divBdr>
                </w:div>
              </w:divsChild>
            </w:div>
            <w:div w:id="1512793490">
              <w:marLeft w:val="0"/>
              <w:marRight w:val="0"/>
              <w:marTop w:val="0"/>
              <w:marBottom w:val="0"/>
              <w:divBdr>
                <w:top w:val="none" w:sz="0" w:space="0" w:color="auto"/>
                <w:left w:val="none" w:sz="0" w:space="0" w:color="auto"/>
                <w:bottom w:val="none" w:sz="0" w:space="0" w:color="auto"/>
                <w:right w:val="none" w:sz="0" w:space="0" w:color="auto"/>
              </w:divBdr>
              <w:divsChild>
                <w:div w:id="16315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883444">
          <w:marLeft w:val="0"/>
          <w:marRight w:val="0"/>
          <w:marTop w:val="0"/>
          <w:marBottom w:val="0"/>
          <w:divBdr>
            <w:top w:val="none" w:sz="0" w:space="0" w:color="auto"/>
            <w:left w:val="none" w:sz="0" w:space="0" w:color="auto"/>
            <w:bottom w:val="none" w:sz="0" w:space="0" w:color="auto"/>
            <w:right w:val="none" w:sz="0" w:space="0" w:color="auto"/>
          </w:divBdr>
          <w:divsChild>
            <w:div w:id="282157918">
              <w:marLeft w:val="0"/>
              <w:marRight w:val="0"/>
              <w:marTop w:val="0"/>
              <w:marBottom w:val="0"/>
              <w:divBdr>
                <w:top w:val="none" w:sz="0" w:space="0" w:color="auto"/>
                <w:left w:val="none" w:sz="0" w:space="0" w:color="auto"/>
                <w:bottom w:val="none" w:sz="0" w:space="0" w:color="auto"/>
                <w:right w:val="none" w:sz="0" w:space="0" w:color="auto"/>
              </w:divBdr>
              <w:divsChild>
                <w:div w:id="204073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718129">
      <w:bodyDiv w:val="1"/>
      <w:marLeft w:val="0"/>
      <w:marRight w:val="0"/>
      <w:marTop w:val="0"/>
      <w:marBottom w:val="0"/>
      <w:divBdr>
        <w:top w:val="none" w:sz="0" w:space="0" w:color="auto"/>
        <w:left w:val="none" w:sz="0" w:space="0" w:color="auto"/>
        <w:bottom w:val="none" w:sz="0" w:space="0" w:color="auto"/>
        <w:right w:val="none" w:sz="0" w:space="0" w:color="auto"/>
      </w:divBdr>
    </w:div>
    <w:div w:id="1630088967">
      <w:bodyDiv w:val="1"/>
      <w:marLeft w:val="0"/>
      <w:marRight w:val="0"/>
      <w:marTop w:val="0"/>
      <w:marBottom w:val="0"/>
      <w:divBdr>
        <w:top w:val="none" w:sz="0" w:space="0" w:color="auto"/>
        <w:left w:val="none" w:sz="0" w:space="0" w:color="auto"/>
        <w:bottom w:val="none" w:sz="0" w:space="0" w:color="auto"/>
        <w:right w:val="none" w:sz="0" w:space="0" w:color="auto"/>
      </w:divBdr>
      <w:divsChild>
        <w:div w:id="1661418980">
          <w:marLeft w:val="0"/>
          <w:marRight w:val="0"/>
          <w:marTop w:val="0"/>
          <w:marBottom w:val="0"/>
          <w:divBdr>
            <w:top w:val="none" w:sz="0" w:space="0" w:color="auto"/>
            <w:left w:val="none" w:sz="0" w:space="0" w:color="auto"/>
            <w:bottom w:val="none" w:sz="0" w:space="0" w:color="auto"/>
            <w:right w:val="none" w:sz="0" w:space="0" w:color="auto"/>
          </w:divBdr>
          <w:divsChild>
            <w:div w:id="1769424343">
              <w:marLeft w:val="0"/>
              <w:marRight w:val="0"/>
              <w:marTop w:val="0"/>
              <w:marBottom w:val="0"/>
              <w:divBdr>
                <w:top w:val="none" w:sz="0" w:space="0" w:color="auto"/>
                <w:left w:val="none" w:sz="0" w:space="0" w:color="auto"/>
                <w:bottom w:val="none" w:sz="0" w:space="0" w:color="auto"/>
                <w:right w:val="none" w:sz="0" w:space="0" w:color="auto"/>
              </w:divBdr>
              <w:divsChild>
                <w:div w:id="21627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358056">
      <w:bodyDiv w:val="1"/>
      <w:marLeft w:val="0"/>
      <w:marRight w:val="0"/>
      <w:marTop w:val="0"/>
      <w:marBottom w:val="0"/>
      <w:divBdr>
        <w:top w:val="none" w:sz="0" w:space="0" w:color="auto"/>
        <w:left w:val="none" w:sz="0" w:space="0" w:color="auto"/>
        <w:bottom w:val="none" w:sz="0" w:space="0" w:color="auto"/>
        <w:right w:val="none" w:sz="0" w:space="0" w:color="auto"/>
      </w:divBdr>
    </w:div>
    <w:div w:id="1662612106">
      <w:bodyDiv w:val="1"/>
      <w:marLeft w:val="0"/>
      <w:marRight w:val="0"/>
      <w:marTop w:val="0"/>
      <w:marBottom w:val="0"/>
      <w:divBdr>
        <w:top w:val="none" w:sz="0" w:space="0" w:color="auto"/>
        <w:left w:val="none" w:sz="0" w:space="0" w:color="auto"/>
        <w:bottom w:val="none" w:sz="0" w:space="0" w:color="auto"/>
        <w:right w:val="none" w:sz="0" w:space="0" w:color="auto"/>
      </w:divBdr>
    </w:div>
    <w:div w:id="1678581785">
      <w:bodyDiv w:val="1"/>
      <w:marLeft w:val="0"/>
      <w:marRight w:val="0"/>
      <w:marTop w:val="0"/>
      <w:marBottom w:val="0"/>
      <w:divBdr>
        <w:top w:val="none" w:sz="0" w:space="0" w:color="auto"/>
        <w:left w:val="none" w:sz="0" w:space="0" w:color="auto"/>
        <w:bottom w:val="none" w:sz="0" w:space="0" w:color="auto"/>
        <w:right w:val="none" w:sz="0" w:space="0" w:color="auto"/>
      </w:divBdr>
    </w:div>
    <w:div w:id="1694072239">
      <w:bodyDiv w:val="1"/>
      <w:marLeft w:val="0"/>
      <w:marRight w:val="0"/>
      <w:marTop w:val="0"/>
      <w:marBottom w:val="0"/>
      <w:divBdr>
        <w:top w:val="none" w:sz="0" w:space="0" w:color="auto"/>
        <w:left w:val="none" w:sz="0" w:space="0" w:color="auto"/>
        <w:bottom w:val="none" w:sz="0" w:space="0" w:color="auto"/>
        <w:right w:val="none" w:sz="0" w:space="0" w:color="auto"/>
      </w:divBdr>
      <w:divsChild>
        <w:div w:id="24648001">
          <w:marLeft w:val="0"/>
          <w:marRight w:val="0"/>
          <w:marTop w:val="0"/>
          <w:marBottom w:val="0"/>
          <w:divBdr>
            <w:top w:val="none" w:sz="0" w:space="0" w:color="auto"/>
            <w:left w:val="none" w:sz="0" w:space="0" w:color="auto"/>
            <w:bottom w:val="none" w:sz="0" w:space="0" w:color="auto"/>
            <w:right w:val="none" w:sz="0" w:space="0" w:color="auto"/>
          </w:divBdr>
          <w:divsChild>
            <w:div w:id="511379767">
              <w:marLeft w:val="0"/>
              <w:marRight w:val="0"/>
              <w:marTop w:val="0"/>
              <w:marBottom w:val="0"/>
              <w:divBdr>
                <w:top w:val="none" w:sz="0" w:space="0" w:color="auto"/>
                <w:left w:val="none" w:sz="0" w:space="0" w:color="auto"/>
                <w:bottom w:val="none" w:sz="0" w:space="0" w:color="auto"/>
                <w:right w:val="none" w:sz="0" w:space="0" w:color="auto"/>
              </w:divBdr>
              <w:divsChild>
                <w:div w:id="18089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75554">
      <w:bodyDiv w:val="1"/>
      <w:marLeft w:val="0"/>
      <w:marRight w:val="0"/>
      <w:marTop w:val="0"/>
      <w:marBottom w:val="0"/>
      <w:divBdr>
        <w:top w:val="none" w:sz="0" w:space="0" w:color="auto"/>
        <w:left w:val="none" w:sz="0" w:space="0" w:color="auto"/>
        <w:bottom w:val="none" w:sz="0" w:space="0" w:color="auto"/>
        <w:right w:val="none" w:sz="0" w:space="0" w:color="auto"/>
      </w:divBdr>
    </w:div>
    <w:div w:id="1779258072">
      <w:bodyDiv w:val="1"/>
      <w:marLeft w:val="0"/>
      <w:marRight w:val="0"/>
      <w:marTop w:val="0"/>
      <w:marBottom w:val="0"/>
      <w:divBdr>
        <w:top w:val="none" w:sz="0" w:space="0" w:color="auto"/>
        <w:left w:val="none" w:sz="0" w:space="0" w:color="auto"/>
        <w:bottom w:val="none" w:sz="0" w:space="0" w:color="auto"/>
        <w:right w:val="none" w:sz="0" w:space="0" w:color="auto"/>
      </w:divBdr>
    </w:div>
    <w:div w:id="1786729471">
      <w:bodyDiv w:val="1"/>
      <w:marLeft w:val="0"/>
      <w:marRight w:val="0"/>
      <w:marTop w:val="0"/>
      <w:marBottom w:val="0"/>
      <w:divBdr>
        <w:top w:val="none" w:sz="0" w:space="0" w:color="auto"/>
        <w:left w:val="none" w:sz="0" w:space="0" w:color="auto"/>
        <w:bottom w:val="none" w:sz="0" w:space="0" w:color="auto"/>
        <w:right w:val="none" w:sz="0" w:space="0" w:color="auto"/>
      </w:divBdr>
    </w:div>
    <w:div w:id="1792241233">
      <w:bodyDiv w:val="1"/>
      <w:marLeft w:val="0"/>
      <w:marRight w:val="0"/>
      <w:marTop w:val="0"/>
      <w:marBottom w:val="0"/>
      <w:divBdr>
        <w:top w:val="none" w:sz="0" w:space="0" w:color="auto"/>
        <w:left w:val="none" w:sz="0" w:space="0" w:color="auto"/>
        <w:bottom w:val="none" w:sz="0" w:space="0" w:color="auto"/>
        <w:right w:val="none" w:sz="0" w:space="0" w:color="auto"/>
      </w:divBdr>
      <w:divsChild>
        <w:div w:id="944965682">
          <w:marLeft w:val="0"/>
          <w:marRight w:val="0"/>
          <w:marTop w:val="0"/>
          <w:marBottom w:val="0"/>
          <w:divBdr>
            <w:top w:val="none" w:sz="0" w:space="0" w:color="auto"/>
            <w:left w:val="none" w:sz="0" w:space="0" w:color="auto"/>
            <w:bottom w:val="none" w:sz="0" w:space="0" w:color="auto"/>
            <w:right w:val="none" w:sz="0" w:space="0" w:color="auto"/>
          </w:divBdr>
          <w:divsChild>
            <w:div w:id="1218977362">
              <w:marLeft w:val="0"/>
              <w:marRight w:val="0"/>
              <w:marTop w:val="0"/>
              <w:marBottom w:val="0"/>
              <w:divBdr>
                <w:top w:val="none" w:sz="0" w:space="0" w:color="auto"/>
                <w:left w:val="none" w:sz="0" w:space="0" w:color="auto"/>
                <w:bottom w:val="none" w:sz="0" w:space="0" w:color="auto"/>
                <w:right w:val="none" w:sz="0" w:space="0" w:color="auto"/>
              </w:divBdr>
              <w:divsChild>
                <w:div w:id="177466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739221">
      <w:bodyDiv w:val="1"/>
      <w:marLeft w:val="0"/>
      <w:marRight w:val="0"/>
      <w:marTop w:val="0"/>
      <w:marBottom w:val="0"/>
      <w:divBdr>
        <w:top w:val="none" w:sz="0" w:space="0" w:color="auto"/>
        <w:left w:val="none" w:sz="0" w:space="0" w:color="auto"/>
        <w:bottom w:val="none" w:sz="0" w:space="0" w:color="auto"/>
        <w:right w:val="none" w:sz="0" w:space="0" w:color="auto"/>
      </w:divBdr>
      <w:divsChild>
        <w:div w:id="1500462898">
          <w:marLeft w:val="0"/>
          <w:marRight w:val="0"/>
          <w:marTop w:val="0"/>
          <w:marBottom w:val="0"/>
          <w:divBdr>
            <w:top w:val="none" w:sz="0" w:space="0" w:color="auto"/>
            <w:left w:val="none" w:sz="0" w:space="0" w:color="auto"/>
            <w:bottom w:val="none" w:sz="0" w:space="0" w:color="auto"/>
            <w:right w:val="none" w:sz="0" w:space="0" w:color="auto"/>
          </w:divBdr>
          <w:divsChild>
            <w:div w:id="221910397">
              <w:marLeft w:val="0"/>
              <w:marRight w:val="0"/>
              <w:marTop w:val="0"/>
              <w:marBottom w:val="0"/>
              <w:divBdr>
                <w:top w:val="none" w:sz="0" w:space="0" w:color="auto"/>
                <w:left w:val="none" w:sz="0" w:space="0" w:color="auto"/>
                <w:bottom w:val="none" w:sz="0" w:space="0" w:color="auto"/>
                <w:right w:val="none" w:sz="0" w:space="0" w:color="auto"/>
              </w:divBdr>
              <w:divsChild>
                <w:div w:id="99418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363124">
      <w:bodyDiv w:val="1"/>
      <w:marLeft w:val="0"/>
      <w:marRight w:val="0"/>
      <w:marTop w:val="0"/>
      <w:marBottom w:val="0"/>
      <w:divBdr>
        <w:top w:val="none" w:sz="0" w:space="0" w:color="auto"/>
        <w:left w:val="none" w:sz="0" w:space="0" w:color="auto"/>
        <w:bottom w:val="none" w:sz="0" w:space="0" w:color="auto"/>
        <w:right w:val="none" w:sz="0" w:space="0" w:color="auto"/>
      </w:divBdr>
    </w:div>
    <w:div w:id="1867913378">
      <w:bodyDiv w:val="1"/>
      <w:marLeft w:val="0"/>
      <w:marRight w:val="0"/>
      <w:marTop w:val="0"/>
      <w:marBottom w:val="0"/>
      <w:divBdr>
        <w:top w:val="none" w:sz="0" w:space="0" w:color="auto"/>
        <w:left w:val="none" w:sz="0" w:space="0" w:color="auto"/>
        <w:bottom w:val="none" w:sz="0" w:space="0" w:color="auto"/>
        <w:right w:val="none" w:sz="0" w:space="0" w:color="auto"/>
      </w:divBdr>
      <w:divsChild>
        <w:div w:id="454756585">
          <w:marLeft w:val="0"/>
          <w:marRight w:val="0"/>
          <w:marTop w:val="0"/>
          <w:marBottom w:val="0"/>
          <w:divBdr>
            <w:top w:val="none" w:sz="0" w:space="0" w:color="auto"/>
            <w:left w:val="none" w:sz="0" w:space="0" w:color="auto"/>
            <w:bottom w:val="none" w:sz="0" w:space="0" w:color="auto"/>
            <w:right w:val="none" w:sz="0" w:space="0" w:color="auto"/>
          </w:divBdr>
          <w:divsChild>
            <w:div w:id="2134667786">
              <w:marLeft w:val="0"/>
              <w:marRight w:val="0"/>
              <w:marTop w:val="0"/>
              <w:marBottom w:val="0"/>
              <w:divBdr>
                <w:top w:val="none" w:sz="0" w:space="0" w:color="auto"/>
                <w:left w:val="none" w:sz="0" w:space="0" w:color="auto"/>
                <w:bottom w:val="none" w:sz="0" w:space="0" w:color="auto"/>
                <w:right w:val="none" w:sz="0" w:space="0" w:color="auto"/>
              </w:divBdr>
              <w:divsChild>
                <w:div w:id="1660619186">
                  <w:marLeft w:val="0"/>
                  <w:marRight w:val="0"/>
                  <w:marTop w:val="0"/>
                  <w:marBottom w:val="0"/>
                  <w:divBdr>
                    <w:top w:val="none" w:sz="0" w:space="0" w:color="auto"/>
                    <w:left w:val="none" w:sz="0" w:space="0" w:color="auto"/>
                    <w:bottom w:val="none" w:sz="0" w:space="0" w:color="auto"/>
                    <w:right w:val="none" w:sz="0" w:space="0" w:color="auto"/>
                  </w:divBdr>
                  <w:divsChild>
                    <w:div w:id="116801843">
                      <w:marLeft w:val="0"/>
                      <w:marRight w:val="0"/>
                      <w:marTop w:val="0"/>
                      <w:marBottom w:val="0"/>
                      <w:divBdr>
                        <w:top w:val="none" w:sz="0" w:space="0" w:color="auto"/>
                        <w:left w:val="none" w:sz="0" w:space="0" w:color="auto"/>
                        <w:bottom w:val="none" w:sz="0" w:space="0" w:color="auto"/>
                        <w:right w:val="none" w:sz="0" w:space="0" w:color="auto"/>
                      </w:divBdr>
                      <w:divsChild>
                        <w:div w:id="1081409676">
                          <w:marLeft w:val="0"/>
                          <w:marRight w:val="0"/>
                          <w:marTop w:val="0"/>
                          <w:marBottom w:val="0"/>
                          <w:divBdr>
                            <w:top w:val="none" w:sz="0" w:space="0" w:color="auto"/>
                            <w:left w:val="none" w:sz="0" w:space="0" w:color="auto"/>
                            <w:bottom w:val="none" w:sz="0" w:space="0" w:color="auto"/>
                            <w:right w:val="none" w:sz="0" w:space="0" w:color="auto"/>
                          </w:divBdr>
                          <w:divsChild>
                            <w:div w:id="92577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014618">
      <w:bodyDiv w:val="1"/>
      <w:marLeft w:val="0"/>
      <w:marRight w:val="0"/>
      <w:marTop w:val="0"/>
      <w:marBottom w:val="0"/>
      <w:divBdr>
        <w:top w:val="none" w:sz="0" w:space="0" w:color="auto"/>
        <w:left w:val="none" w:sz="0" w:space="0" w:color="auto"/>
        <w:bottom w:val="none" w:sz="0" w:space="0" w:color="auto"/>
        <w:right w:val="none" w:sz="0" w:space="0" w:color="auto"/>
      </w:divBdr>
      <w:divsChild>
        <w:div w:id="90664524">
          <w:marLeft w:val="0"/>
          <w:marRight w:val="0"/>
          <w:marTop w:val="0"/>
          <w:marBottom w:val="0"/>
          <w:divBdr>
            <w:top w:val="none" w:sz="0" w:space="0" w:color="auto"/>
            <w:left w:val="none" w:sz="0" w:space="0" w:color="auto"/>
            <w:bottom w:val="none" w:sz="0" w:space="0" w:color="auto"/>
            <w:right w:val="none" w:sz="0" w:space="0" w:color="auto"/>
          </w:divBdr>
          <w:divsChild>
            <w:div w:id="2023050152">
              <w:marLeft w:val="0"/>
              <w:marRight w:val="0"/>
              <w:marTop w:val="0"/>
              <w:marBottom w:val="0"/>
              <w:divBdr>
                <w:top w:val="none" w:sz="0" w:space="0" w:color="auto"/>
                <w:left w:val="none" w:sz="0" w:space="0" w:color="auto"/>
                <w:bottom w:val="none" w:sz="0" w:space="0" w:color="auto"/>
                <w:right w:val="none" w:sz="0" w:space="0" w:color="auto"/>
              </w:divBdr>
              <w:divsChild>
                <w:div w:id="76337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409291">
      <w:bodyDiv w:val="1"/>
      <w:marLeft w:val="0"/>
      <w:marRight w:val="0"/>
      <w:marTop w:val="0"/>
      <w:marBottom w:val="0"/>
      <w:divBdr>
        <w:top w:val="none" w:sz="0" w:space="0" w:color="auto"/>
        <w:left w:val="none" w:sz="0" w:space="0" w:color="auto"/>
        <w:bottom w:val="none" w:sz="0" w:space="0" w:color="auto"/>
        <w:right w:val="none" w:sz="0" w:space="0" w:color="auto"/>
      </w:divBdr>
    </w:div>
    <w:div w:id="1935286441">
      <w:bodyDiv w:val="1"/>
      <w:marLeft w:val="0"/>
      <w:marRight w:val="0"/>
      <w:marTop w:val="0"/>
      <w:marBottom w:val="0"/>
      <w:divBdr>
        <w:top w:val="none" w:sz="0" w:space="0" w:color="auto"/>
        <w:left w:val="none" w:sz="0" w:space="0" w:color="auto"/>
        <w:bottom w:val="none" w:sz="0" w:space="0" w:color="auto"/>
        <w:right w:val="none" w:sz="0" w:space="0" w:color="auto"/>
      </w:divBdr>
    </w:div>
    <w:div w:id="1960329508">
      <w:bodyDiv w:val="1"/>
      <w:marLeft w:val="0"/>
      <w:marRight w:val="0"/>
      <w:marTop w:val="0"/>
      <w:marBottom w:val="0"/>
      <w:divBdr>
        <w:top w:val="none" w:sz="0" w:space="0" w:color="auto"/>
        <w:left w:val="none" w:sz="0" w:space="0" w:color="auto"/>
        <w:bottom w:val="none" w:sz="0" w:space="0" w:color="auto"/>
        <w:right w:val="none" w:sz="0" w:space="0" w:color="auto"/>
      </w:divBdr>
      <w:divsChild>
        <w:div w:id="455872583">
          <w:marLeft w:val="0"/>
          <w:marRight w:val="0"/>
          <w:marTop w:val="0"/>
          <w:marBottom w:val="0"/>
          <w:divBdr>
            <w:top w:val="none" w:sz="0" w:space="0" w:color="auto"/>
            <w:left w:val="none" w:sz="0" w:space="0" w:color="auto"/>
            <w:bottom w:val="none" w:sz="0" w:space="0" w:color="auto"/>
            <w:right w:val="none" w:sz="0" w:space="0" w:color="auto"/>
          </w:divBdr>
          <w:divsChild>
            <w:div w:id="450823993">
              <w:marLeft w:val="0"/>
              <w:marRight w:val="0"/>
              <w:marTop w:val="0"/>
              <w:marBottom w:val="0"/>
              <w:divBdr>
                <w:top w:val="none" w:sz="0" w:space="0" w:color="auto"/>
                <w:left w:val="none" w:sz="0" w:space="0" w:color="auto"/>
                <w:bottom w:val="none" w:sz="0" w:space="0" w:color="auto"/>
                <w:right w:val="none" w:sz="0" w:space="0" w:color="auto"/>
              </w:divBdr>
              <w:divsChild>
                <w:div w:id="15546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56445">
      <w:bodyDiv w:val="1"/>
      <w:marLeft w:val="0"/>
      <w:marRight w:val="0"/>
      <w:marTop w:val="0"/>
      <w:marBottom w:val="0"/>
      <w:divBdr>
        <w:top w:val="none" w:sz="0" w:space="0" w:color="auto"/>
        <w:left w:val="none" w:sz="0" w:space="0" w:color="auto"/>
        <w:bottom w:val="none" w:sz="0" w:space="0" w:color="auto"/>
        <w:right w:val="none" w:sz="0" w:space="0" w:color="auto"/>
      </w:divBdr>
      <w:divsChild>
        <w:div w:id="1033767652">
          <w:marLeft w:val="0"/>
          <w:marRight w:val="0"/>
          <w:marTop w:val="0"/>
          <w:marBottom w:val="0"/>
          <w:divBdr>
            <w:top w:val="none" w:sz="0" w:space="0" w:color="auto"/>
            <w:left w:val="none" w:sz="0" w:space="0" w:color="auto"/>
            <w:bottom w:val="none" w:sz="0" w:space="0" w:color="auto"/>
            <w:right w:val="none" w:sz="0" w:space="0" w:color="auto"/>
          </w:divBdr>
          <w:divsChild>
            <w:div w:id="358161265">
              <w:marLeft w:val="0"/>
              <w:marRight w:val="0"/>
              <w:marTop w:val="0"/>
              <w:marBottom w:val="0"/>
              <w:divBdr>
                <w:top w:val="none" w:sz="0" w:space="0" w:color="auto"/>
                <w:left w:val="none" w:sz="0" w:space="0" w:color="auto"/>
                <w:bottom w:val="none" w:sz="0" w:space="0" w:color="auto"/>
                <w:right w:val="none" w:sz="0" w:space="0" w:color="auto"/>
              </w:divBdr>
              <w:divsChild>
                <w:div w:id="1135023893">
                  <w:marLeft w:val="0"/>
                  <w:marRight w:val="0"/>
                  <w:marTop w:val="0"/>
                  <w:marBottom w:val="0"/>
                  <w:divBdr>
                    <w:top w:val="none" w:sz="0" w:space="0" w:color="auto"/>
                    <w:left w:val="none" w:sz="0" w:space="0" w:color="auto"/>
                    <w:bottom w:val="none" w:sz="0" w:space="0" w:color="auto"/>
                    <w:right w:val="none" w:sz="0" w:space="0" w:color="auto"/>
                  </w:divBdr>
                </w:div>
              </w:divsChild>
            </w:div>
            <w:div w:id="328872445">
              <w:marLeft w:val="0"/>
              <w:marRight w:val="0"/>
              <w:marTop w:val="0"/>
              <w:marBottom w:val="0"/>
              <w:divBdr>
                <w:top w:val="none" w:sz="0" w:space="0" w:color="auto"/>
                <w:left w:val="none" w:sz="0" w:space="0" w:color="auto"/>
                <w:bottom w:val="none" w:sz="0" w:space="0" w:color="auto"/>
                <w:right w:val="none" w:sz="0" w:space="0" w:color="auto"/>
              </w:divBdr>
              <w:divsChild>
                <w:div w:id="1603413252">
                  <w:marLeft w:val="0"/>
                  <w:marRight w:val="0"/>
                  <w:marTop w:val="0"/>
                  <w:marBottom w:val="0"/>
                  <w:divBdr>
                    <w:top w:val="none" w:sz="0" w:space="0" w:color="auto"/>
                    <w:left w:val="none" w:sz="0" w:space="0" w:color="auto"/>
                    <w:bottom w:val="none" w:sz="0" w:space="0" w:color="auto"/>
                    <w:right w:val="none" w:sz="0" w:space="0" w:color="auto"/>
                  </w:divBdr>
                </w:div>
              </w:divsChild>
            </w:div>
            <w:div w:id="2062709933">
              <w:marLeft w:val="0"/>
              <w:marRight w:val="0"/>
              <w:marTop w:val="0"/>
              <w:marBottom w:val="0"/>
              <w:divBdr>
                <w:top w:val="none" w:sz="0" w:space="0" w:color="auto"/>
                <w:left w:val="none" w:sz="0" w:space="0" w:color="auto"/>
                <w:bottom w:val="none" w:sz="0" w:space="0" w:color="auto"/>
                <w:right w:val="none" w:sz="0" w:space="0" w:color="auto"/>
              </w:divBdr>
              <w:divsChild>
                <w:div w:id="151337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012357">
          <w:marLeft w:val="0"/>
          <w:marRight w:val="0"/>
          <w:marTop w:val="0"/>
          <w:marBottom w:val="0"/>
          <w:divBdr>
            <w:top w:val="none" w:sz="0" w:space="0" w:color="auto"/>
            <w:left w:val="none" w:sz="0" w:space="0" w:color="auto"/>
            <w:bottom w:val="none" w:sz="0" w:space="0" w:color="auto"/>
            <w:right w:val="none" w:sz="0" w:space="0" w:color="auto"/>
          </w:divBdr>
          <w:divsChild>
            <w:div w:id="1140343226">
              <w:marLeft w:val="0"/>
              <w:marRight w:val="0"/>
              <w:marTop w:val="0"/>
              <w:marBottom w:val="0"/>
              <w:divBdr>
                <w:top w:val="none" w:sz="0" w:space="0" w:color="auto"/>
                <w:left w:val="none" w:sz="0" w:space="0" w:color="auto"/>
                <w:bottom w:val="none" w:sz="0" w:space="0" w:color="auto"/>
                <w:right w:val="none" w:sz="0" w:space="0" w:color="auto"/>
              </w:divBdr>
              <w:divsChild>
                <w:div w:id="239828379">
                  <w:marLeft w:val="0"/>
                  <w:marRight w:val="0"/>
                  <w:marTop w:val="0"/>
                  <w:marBottom w:val="0"/>
                  <w:divBdr>
                    <w:top w:val="none" w:sz="0" w:space="0" w:color="auto"/>
                    <w:left w:val="none" w:sz="0" w:space="0" w:color="auto"/>
                    <w:bottom w:val="none" w:sz="0" w:space="0" w:color="auto"/>
                    <w:right w:val="none" w:sz="0" w:space="0" w:color="auto"/>
                  </w:divBdr>
                  <w:divsChild>
                    <w:div w:id="11660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412801">
      <w:bodyDiv w:val="1"/>
      <w:marLeft w:val="0"/>
      <w:marRight w:val="0"/>
      <w:marTop w:val="0"/>
      <w:marBottom w:val="0"/>
      <w:divBdr>
        <w:top w:val="none" w:sz="0" w:space="0" w:color="auto"/>
        <w:left w:val="none" w:sz="0" w:space="0" w:color="auto"/>
        <w:bottom w:val="none" w:sz="0" w:space="0" w:color="auto"/>
        <w:right w:val="none" w:sz="0" w:space="0" w:color="auto"/>
      </w:divBdr>
    </w:div>
    <w:div w:id="1982533831">
      <w:bodyDiv w:val="1"/>
      <w:marLeft w:val="0"/>
      <w:marRight w:val="0"/>
      <w:marTop w:val="0"/>
      <w:marBottom w:val="0"/>
      <w:divBdr>
        <w:top w:val="none" w:sz="0" w:space="0" w:color="auto"/>
        <w:left w:val="none" w:sz="0" w:space="0" w:color="auto"/>
        <w:bottom w:val="none" w:sz="0" w:space="0" w:color="auto"/>
        <w:right w:val="none" w:sz="0" w:space="0" w:color="auto"/>
      </w:divBdr>
    </w:div>
    <w:div w:id="1983998885">
      <w:bodyDiv w:val="1"/>
      <w:marLeft w:val="0"/>
      <w:marRight w:val="0"/>
      <w:marTop w:val="0"/>
      <w:marBottom w:val="0"/>
      <w:divBdr>
        <w:top w:val="none" w:sz="0" w:space="0" w:color="auto"/>
        <w:left w:val="none" w:sz="0" w:space="0" w:color="auto"/>
        <w:bottom w:val="none" w:sz="0" w:space="0" w:color="auto"/>
        <w:right w:val="none" w:sz="0" w:space="0" w:color="auto"/>
      </w:divBdr>
      <w:divsChild>
        <w:div w:id="369376220">
          <w:marLeft w:val="0"/>
          <w:marRight w:val="0"/>
          <w:marTop w:val="0"/>
          <w:marBottom w:val="0"/>
          <w:divBdr>
            <w:top w:val="none" w:sz="0" w:space="0" w:color="auto"/>
            <w:left w:val="none" w:sz="0" w:space="0" w:color="auto"/>
            <w:bottom w:val="none" w:sz="0" w:space="0" w:color="auto"/>
            <w:right w:val="none" w:sz="0" w:space="0" w:color="auto"/>
          </w:divBdr>
          <w:divsChild>
            <w:div w:id="589704045">
              <w:marLeft w:val="0"/>
              <w:marRight w:val="0"/>
              <w:marTop w:val="0"/>
              <w:marBottom w:val="0"/>
              <w:divBdr>
                <w:top w:val="none" w:sz="0" w:space="0" w:color="auto"/>
                <w:left w:val="none" w:sz="0" w:space="0" w:color="auto"/>
                <w:bottom w:val="none" w:sz="0" w:space="0" w:color="auto"/>
                <w:right w:val="none" w:sz="0" w:space="0" w:color="auto"/>
              </w:divBdr>
              <w:divsChild>
                <w:div w:id="126623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702233">
      <w:bodyDiv w:val="1"/>
      <w:marLeft w:val="0"/>
      <w:marRight w:val="0"/>
      <w:marTop w:val="0"/>
      <w:marBottom w:val="0"/>
      <w:divBdr>
        <w:top w:val="none" w:sz="0" w:space="0" w:color="auto"/>
        <w:left w:val="none" w:sz="0" w:space="0" w:color="auto"/>
        <w:bottom w:val="none" w:sz="0" w:space="0" w:color="auto"/>
        <w:right w:val="none" w:sz="0" w:space="0" w:color="auto"/>
      </w:divBdr>
      <w:divsChild>
        <w:div w:id="692651909">
          <w:marLeft w:val="0"/>
          <w:marRight w:val="0"/>
          <w:marTop w:val="0"/>
          <w:marBottom w:val="0"/>
          <w:divBdr>
            <w:top w:val="none" w:sz="0" w:space="0" w:color="auto"/>
            <w:left w:val="none" w:sz="0" w:space="0" w:color="auto"/>
            <w:bottom w:val="none" w:sz="0" w:space="0" w:color="auto"/>
            <w:right w:val="none" w:sz="0" w:space="0" w:color="auto"/>
          </w:divBdr>
          <w:divsChild>
            <w:div w:id="882644227">
              <w:marLeft w:val="0"/>
              <w:marRight w:val="0"/>
              <w:marTop w:val="0"/>
              <w:marBottom w:val="0"/>
              <w:divBdr>
                <w:top w:val="none" w:sz="0" w:space="0" w:color="auto"/>
                <w:left w:val="none" w:sz="0" w:space="0" w:color="auto"/>
                <w:bottom w:val="none" w:sz="0" w:space="0" w:color="auto"/>
                <w:right w:val="none" w:sz="0" w:space="0" w:color="auto"/>
              </w:divBdr>
              <w:divsChild>
                <w:div w:id="244994205">
                  <w:marLeft w:val="0"/>
                  <w:marRight w:val="0"/>
                  <w:marTop w:val="0"/>
                  <w:marBottom w:val="0"/>
                  <w:divBdr>
                    <w:top w:val="none" w:sz="0" w:space="0" w:color="auto"/>
                    <w:left w:val="none" w:sz="0" w:space="0" w:color="auto"/>
                    <w:bottom w:val="none" w:sz="0" w:space="0" w:color="auto"/>
                    <w:right w:val="none" w:sz="0" w:space="0" w:color="auto"/>
                  </w:divBdr>
                  <w:divsChild>
                    <w:div w:id="41709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423685">
      <w:bodyDiv w:val="1"/>
      <w:marLeft w:val="0"/>
      <w:marRight w:val="0"/>
      <w:marTop w:val="0"/>
      <w:marBottom w:val="0"/>
      <w:divBdr>
        <w:top w:val="none" w:sz="0" w:space="0" w:color="auto"/>
        <w:left w:val="none" w:sz="0" w:space="0" w:color="auto"/>
        <w:bottom w:val="none" w:sz="0" w:space="0" w:color="auto"/>
        <w:right w:val="none" w:sz="0" w:space="0" w:color="auto"/>
      </w:divBdr>
    </w:div>
    <w:div w:id="2061786622">
      <w:bodyDiv w:val="1"/>
      <w:marLeft w:val="0"/>
      <w:marRight w:val="0"/>
      <w:marTop w:val="0"/>
      <w:marBottom w:val="0"/>
      <w:divBdr>
        <w:top w:val="none" w:sz="0" w:space="0" w:color="auto"/>
        <w:left w:val="none" w:sz="0" w:space="0" w:color="auto"/>
        <w:bottom w:val="none" w:sz="0" w:space="0" w:color="auto"/>
        <w:right w:val="none" w:sz="0" w:space="0" w:color="auto"/>
      </w:divBdr>
      <w:divsChild>
        <w:div w:id="1851752373">
          <w:marLeft w:val="0"/>
          <w:marRight w:val="0"/>
          <w:marTop w:val="0"/>
          <w:marBottom w:val="0"/>
          <w:divBdr>
            <w:top w:val="none" w:sz="0" w:space="0" w:color="auto"/>
            <w:left w:val="none" w:sz="0" w:space="0" w:color="auto"/>
            <w:bottom w:val="none" w:sz="0" w:space="0" w:color="auto"/>
            <w:right w:val="none" w:sz="0" w:space="0" w:color="auto"/>
          </w:divBdr>
          <w:divsChild>
            <w:div w:id="2098597108">
              <w:marLeft w:val="0"/>
              <w:marRight w:val="0"/>
              <w:marTop w:val="0"/>
              <w:marBottom w:val="0"/>
              <w:divBdr>
                <w:top w:val="none" w:sz="0" w:space="0" w:color="auto"/>
                <w:left w:val="none" w:sz="0" w:space="0" w:color="auto"/>
                <w:bottom w:val="none" w:sz="0" w:space="0" w:color="auto"/>
                <w:right w:val="none" w:sz="0" w:space="0" w:color="auto"/>
              </w:divBdr>
              <w:divsChild>
                <w:div w:id="16693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981462">
      <w:bodyDiv w:val="1"/>
      <w:marLeft w:val="0"/>
      <w:marRight w:val="0"/>
      <w:marTop w:val="0"/>
      <w:marBottom w:val="0"/>
      <w:divBdr>
        <w:top w:val="none" w:sz="0" w:space="0" w:color="auto"/>
        <w:left w:val="none" w:sz="0" w:space="0" w:color="auto"/>
        <w:bottom w:val="none" w:sz="0" w:space="0" w:color="auto"/>
        <w:right w:val="none" w:sz="0" w:space="0" w:color="auto"/>
      </w:divBdr>
      <w:divsChild>
        <w:div w:id="293145711">
          <w:marLeft w:val="0"/>
          <w:marRight w:val="0"/>
          <w:marTop w:val="0"/>
          <w:marBottom w:val="0"/>
          <w:divBdr>
            <w:top w:val="none" w:sz="0" w:space="0" w:color="auto"/>
            <w:left w:val="none" w:sz="0" w:space="0" w:color="auto"/>
            <w:bottom w:val="none" w:sz="0" w:space="0" w:color="auto"/>
            <w:right w:val="none" w:sz="0" w:space="0" w:color="auto"/>
          </w:divBdr>
          <w:divsChild>
            <w:div w:id="1486702627">
              <w:marLeft w:val="0"/>
              <w:marRight w:val="0"/>
              <w:marTop w:val="0"/>
              <w:marBottom w:val="0"/>
              <w:divBdr>
                <w:top w:val="none" w:sz="0" w:space="0" w:color="auto"/>
                <w:left w:val="none" w:sz="0" w:space="0" w:color="auto"/>
                <w:bottom w:val="none" w:sz="0" w:space="0" w:color="auto"/>
                <w:right w:val="none" w:sz="0" w:space="0" w:color="auto"/>
              </w:divBdr>
              <w:divsChild>
                <w:div w:id="152956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170840">
      <w:bodyDiv w:val="1"/>
      <w:marLeft w:val="0"/>
      <w:marRight w:val="0"/>
      <w:marTop w:val="0"/>
      <w:marBottom w:val="0"/>
      <w:divBdr>
        <w:top w:val="none" w:sz="0" w:space="0" w:color="auto"/>
        <w:left w:val="none" w:sz="0" w:space="0" w:color="auto"/>
        <w:bottom w:val="none" w:sz="0" w:space="0" w:color="auto"/>
        <w:right w:val="none" w:sz="0" w:space="0" w:color="auto"/>
      </w:divBdr>
    </w:div>
    <w:div w:id="2096704467">
      <w:bodyDiv w:val="1"/>
      <w:marLeft w:val="0"/>
      <w:marRight w:val="0"/>
      <w:marTop w:val="0"/>
      <w:marBottom w:val="0"/>
      <w:divBdr>
        <w:top w:val="none" w:sz="0" w:space="0" w:color="auto"/>
        <w:left w:val="none" w:sz="0" w:space="0" w:color="auto"/>
        <w:bottom w:val="none" w:sz="0" w:space="0" w:color="auto"/>
        <w:right w:val="none" w:sz="0" w:space="0" w:color="auto"/>
      </w:divBdr>
      <w:divsChild>
        <w:div w:id="1439060250">
          <w:marLeft w:val="0"/>
          <w:marRight w:val="0"/>
          <w:marTop w:val="0"/>
          <w:marBottom w:val="0"/>
          <w:divBdr>
            <w:top w:val="none" w:sz="0" w:space="0" w:color="auto"/>
            <w:left w:val="none" w:sz="0" w:space="0" w:color="auto"/>
            <w:bottom w:val="none" w:sz="0" w:space="0" w:color="auto"/>
            <w:right w:val="none" w:sz="0" w:space="0" w:color="auto"/>
          </w:divBdr>
          <w:divsChild>
            <w:div w:id="1633319903">
              <w:marLeft w:val="0"/>
              <w:marRight w:val="0"/>
              <w:marTop w:val="0"/>
              <w:marBottom w:val="0"/>
              <w:divBdr>
                <w:top w:val="none" w:sz="0" w:space="0" w:color="auto"/>
                <w:left w:val="none" w:sz="0" w:space="0" w:color="auto"/>
                <w:bottom w:val="none" w:sz="0" w:space="0" w:color="auto"/>
                <w:right w:val="none" w:sz="0" w:space="0" w:color="auto"/>
              </w:divBdr>
              <w:divsChild>
                <w:div w:id="43228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48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http://iaha.com.au/wp-content/uploads/2018/02/IAHA_WFD2018_WEB.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iaha.com.au/wp-content/uploads/2018/12/IAHA_AReport_WEB-FINAL.pdf"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footer" Target="footer4.xml"/></Relationships>
</file>

<file path=word/_rels/endnotes.xml.rels><?xml version="1.0" encoding="UTF-8" standalone="yes"?>
<Relationships xmlns="http://schemas.openxmlformats.org/package/2006/relationships"><Relationship Id="rId8" Type="http://schemas.openxmlformats.org/officeDocument/2006/relationships/hyperlink" Target="https://ipa.org.au/wp-content/uploads/2017/08/IPA-Report-Australian-Criminal-Justice-Costs-An-International-Comparison.pdf" TargetMode="External"/><Relationship Id="rId3" Type="http://schemas.openxmlformats.org/officeDocument/2006/relationships/hyperlink" Target="https://www.abs.gov.au/ausstats/abs@.nsf/Lookup/by%20Subject/4714.0~2014-15~Feature%20Article~Aboriginal%20and%20Torres%20Strait%20Islander%20people%20with%20a%20mental%20health%20condition%20(Feature%20Article)~10" TargetMode="External"/><Relationship Id="rId7" Type="http://schemas.openxmlformats.org/officeDocument/2006/relationships/hyperlink" Target="https://www.abs.gov.au/ausstats/abs@.nsf/Lookup/by%20Subject/4517.0~2018~Main%20Features~Sentenced%20prisoners~18" TargetMode="External"/><Relationship Id="rId12" Type="http://schemas.openxmlformats.org/officeDocument/2006/relationships/hyperlink" Target="https://doi.org/10.1186/s12913-018-3269-5" TargetMode="External"/><Relationship Id="rId2" Type="http://schemas.openxmlformats.org/officeDocument/2006/relationships/hyperlink" Target="https://ama.com.au/system/tdf/documents/2018%20AMA%20Report%20Card%20on%20Indigenous%20Health_1.pdf?file=1&amp;type=node&amp;id=49617" TargetMode="External"/><Relationship Id="rId1" Type="http://schemas.openxmlformats.org/officeDocument/2006/relationships/hyperlink" Target="https://ama.com.au/system/tdf/documents/2018%20AMA%20Report%20Card%20on%20Indigenous%20Health_1.pdf?file=1&amp;type=node&amp;id=49617" TargetMode="External"/><Relationship Id="rId6" Type="http://schemas.openxmlformats.org/officeDocument/2006/relationships/hyperlink" Target="https://www.abs.gov.au/ausstats/abs@.nsf/Lookup/by%20Subject/4517.0~2018~Main%20Features~Aboriginal%20and%20Torres%20Strait%20Islander%20prisoner%20characteristics%20~13" TargetMode="External"/><Relationship Id="rId11" Type="http://schemas.openxmlformats.org/officeDocument/2006/relationships/hyperlink" Target="https://www2.health.vic.gov.au/health-workforce/allied-health-workforce/allied-health-research" TargetMode="External"/><Relationship Id="rId5" Type="http://schemas.openxmlformats.org/officeDocument/2006/relationships/hyperlink" Target="http://www.health.gov.au/internet/ministers/publishing.nsf/Content/health-mediarel-yr2019-hunt008.htm" TargetMode="External"/><Relationship Id="rId10" Type="http://schemas.openxmlformats.org/officeDocument/2006/relationships/hyperlink" Target="https://www.coronerscourt.wa.gov.au/_files/inquest-2019/13-Children-and-Young-Persons-in-the-Kimberley-Region-Finding.pdf" TargetMode="External"/><Relationship Id="rId4" Type="http://schemas.openxmlformats.org/officeDocument/2006/relationships/hyperlink" Target="https://www.aihw.gov.au/getmedia/a188ec24-8542-48a7-8d8f-c20842200b5a/Expenditure-on-mental-health-services-2016-17.pdf.aspx" TargetMode="External"/><Relationship Id="rId9" Type="http://schemas.openxmlformats.org/officeDocument/2006/relationships/hyperlink" Target="https://static.diabetesaustralia.com.au/s/fileassets/diabetes-australia/e549bdb8-0f80-46f8-b827-35cb4f1b6cd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6CF3A-63A7-457C-BB81-A9E83A9FA42B}">
  <ds:schemaRefs>
    <ds:schemaRef ds:uri="http://schemas.microsoft.com/office/2006/metadata/customXsn"/>
  </ds:schemaRefs>
</ds:datastoreItem>
</file>

<file path=customXml/itemProps2.xml><?xml version="1.0" encoding="utf-8"?>
<ds:datastoreItem xmlns:ds="http://schemas.openxmlformats.org/officeDocument/2006/customXml" ds:itemID="{06362B6A-24E2-4B47-AC31-266BCCDDA71B}">
  <ds:schemaRefs>
    <ds:schemaRef ds:uri="http://purl.org/dc/elements/1.1/"/>
    <ds:schemaRef ds:uri="http://schemas.microsoft.com/office/2006/metadata/properties"/>
    <ds:schemaRef ds:uri="3f4bcce7-ac1a-4c9d-aa3e-7e77695652db"/>
    <ds:schemaRef ds:uri="http://purl.org/dc/terms/"/>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7B146CE9-700A-47DA-BD7E-34E8A2E841DB}">
  <ds:schemaRefs>
    <ds:schemaRef ds:uri="http://schemas.microsoft.com/sharepoint/v3/contenttype/forms"/>
  </ds:schemaRefs>
</ds:datastoreItem>
</file>

<file path=customXml/itemProps4.xml><?xml version="1.0" encoding="utf-8"?>
<ds:datastoreItem xmlns:ds="http://schemas.openxmlformats.org/officeDocument/2006/customXml" ds:itemID="{3F1CDCAE-632C-4031-A356-47C3256F0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F07E9D8-593D-47F6-A5FA-9DE51363FA4F}">
  <ds:schemaRefs>
    <ds:schemaRef ds:uri="http://schemas.microsoft.com/sharepoint/events"/>
  </ds:schemaRefs>
</ds:datastoreItem>
</file>

<file path=customXml/itemProps6.xml><?xml version="1.0" encoding="utf-8"?>
<ds:datastoreItem xmlns:ds="http://schemas.openxmlformats.org/officeDocument/2006/customXml" ds:itemID="{4E83DC39-3D20-4C65-9FE0-CF3BA51132F3}">
  <ds:schemaRefs>
    <ds:schemaRef ds:uri="Microsoft.SharePoint.Taxonomy.ContentTypeSync"/>
  </ds:schemaRefs>
</ds:datastoreItem>
</file>

<file path=customXml/itemProps7.xml><?xml version="1.0" encoding="utf-8"?>
<ds:datastoreItem xmlns:ds="http://schemas.openxmlformats.org/officeDocument/2006/customXml" ds:itemID="{57DD9C66-12D0-4290-883E-7C77EA7A8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E056C3FE.dotm</Template>
  <TotalTime>4</TotalTime>
  <Pages>20</Pages>
  <Words>8883</Words>
  <Characters>50638</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Submission 418 - National Aboriginal and Torres Strait Islander Leadership in Mental Health (NATSILMH); Indigenous Allied Health Australia (IAHA) and Australian Indigenous Psychologists Association (AIPA) - Mental Health - Public inquiry</vt:lpstr>
    </vt:vector>
  </TitlesOfParts>
  <Company>National Aboriginal and Torres Strait Islander Leadership in Mental Health (NATSILMH); Indigenous Allied Health Australia (IAHA) and Australian Indigenous Psychologists Association (AIPA)</Company>
  <LinksUpToDate>false</LinksUpToDate>
  <CharactersWithSpaces>59403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418 - National Aboriginal and Torres Strait Islander Leadership in Mental Health (NATSILMH); Indigenous Allied Health Australia (IAHA) and Australian Indigenous Psychologists Association (AIPA) - Mental Health - Public inquiry</dc:title>
  <dc:creator>National Aboriginal and Torres Strait Islander Leadership in Mental Health (NATSILMH); Indigenous Allied Health Australia (IAHA) and Australian Indigenous Psychologists Association (AIPA)</dc:creator>
  <cp:keywords/>
  <cp:lastModifiedBy>Productivity Commission</cp:lastModifiedBy>
  <cp:revision>4</cp:revision>
  <cp:lastPrinted>2019-04-12T05:54:00Z</cp:lastPrinted>
  <dcterms:created xsi:type="dcterms:W3CDTF">2019-04-12T06:56:00Z</dcterms:created>
  <dcterms:modified xsi:type="dcterms:W3CDTF">2019-04-17T23:32:00Z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