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306ED" w14:textId="77777777" w:rsidR="004320BC" w:rsidRDefault="004320BC">
      <w:pPr>
        <w:rPr>
          <w:rFonts w:ascii="Arial" w:hAnsi="Arial" w:cs="Arial"/>
          <w:b/>
          <w:sz w:val="24"/>
          <w:szCs w:val="24"/>
        </w:rPr>
      </w:pPr>
      <w:bookmarkStart w:id="0" w:name="_GoBack"/>
      <w:bookmarkEnd w:id="0"/>
    </w:p>
    <w:p w14:paraId="20AD7D8D" w14:textId="77777777" w:rsidR="004320BC" w:rsidRDefault="00D83FF7">
      <w:pPr>
        <w:rPr>
          <w:rFonts w:ascii="Arial" w:hAnsi="Arial" w:cs="Arial"/>
          <w:b/>
          <w:sz w:val="24"/>
          <w:szCs w:val="24"/>
        </w:rPr>
      </w:pPr>
      <w:r w:rsidRPr="00A814C2">
        <w:rPr>
          <w:rFonts w:ascii="Arial" w:hAnsi="Arial" w:cs="Arial"/>
          <w:b/>
          <w:sz w:val="24"/>
          <w:szCs w:val="24"/>
        </w:rPr>
        <w:t xml:space="preserve">Productivity Commission </w:t>
      </w:r>
      <w:r w:rsidR="004320BC">
        <w:rPr>
          <w:rFonts w:ascii="Arial" w:hAnsi="Arial" w:cs="Arial"/>
          <w:b/>
          <w:sz w:val="24"/>
          <w:szCs w:val="24"/>
        </w:rPr>
        <w:t>Inquiry</w:t>
      </w:r>
    </w:p>
    <w:p w14:paraId="3AB660B1" w14:textId="77777777" w:rsidR="00AA5BEB" w:rsidRPr="00A814C2" w:rsidRDefault="00D83FF7">
      <w:pPr>
        <w:rPr>
          <w:rFonts w:ascii="Arial" w:hAnsi="Arial" w:cs="Arial"/>
          <w:b/>
          <w:sz w:val="24"/>
          <w:szCs w:val="24"/>
        </w:rPr>
      </w:pPr>
      <w:r w:rsidRPr="00A814C2">
        <w:rPr>
          <w:rFonts w:ascii="Arial" w:hAnsi="Arial" w:cs="Arial"/>
          <w:b/>
          <w:sz w:val="24"/>
          <w:szCs w:val="24"/>
        </w:rPr>
        <w:t>Submission: proposed Indigenous Evaluation Strategy</w:t>
      </w:r>
    </w:p>
    <w:p w14:paraId="01A8314F" w14:textId="77777777" w:rsidR="00D83FF7" w:rsidRDefault="00D83FF7">
      <w:pPr>
        <w:rPr>
          <w:rFonts w:ascii="Arial" w:hAnsi="Arial" w:cs="Arial"/>
          <w:sz w:val="24"/>
          <w:szCs w:val="24"/>
        </w:rPr>
      </w:pPr>
      <w:r w:rsidRPr="00A814C2">
        <w:rPr>
          <w:rFonts w:ascii="Arial" w:hAnsi="Arial" w:cs="Arial"/>
          <w:sz w:val="24"/>
          <w:szCs w:val="24"/>
        </w:rPr>
        <w:t xml:space="preserve">Michael Dillon </w:t>
      </w:r>
      <w:r w:rsidR="00C03385" w:rsidRPr="00A814C2">
        <w:rPr>
          <w:rFonts w:ascii="Arial" w:hAnsi="Arial" w:cs="Arial"/>
          <w:sz w:val="24"/>
          <w:szCs w:val="24"/>
        </w:rPr>
        <w:t>Visiting Fellow, ANU</w:t>
      </w:r>
    </w:p>
    <w:p w14:paraId="2C78505C" w14:textId="3E0716E5" w:rsidR="004320BC" w:rsidRPr="00A814C2" w:rsidRDefault="004320BC" w:rsidP="004320BC">
      <w:pPr>
        <w:rPr>
          <w:rFonts w:ascii="Arial" w:hAnsi="Arial" w:cs="Arial"/>
          <w:sz w:val="24"/>
          <w:szCs w:val="24"/>
        </w:rPr>
      </w:pPr>
      <w:r>
        <w:rPr>
          <w:rFonts w:ascii="Arial" w:hAnsi="Arial" w:cs="Arial"/>
          <w:sz w:val="24"/>
          <w:szCs w:val="24"/>
        </w:rPr>
        <w:t>2</w:t>
      </w:r>
      <w:r w:rsidR="00C10ACC">
        <w:rPr>
          <w:rFonts w:ascii="Arial" w:hAnsi="Arial" w:cs="Arial"/>
          <w:sz w:val="24"/>
          <w:szCs w:val="24"/>
        </w:rPr>
        <w:t>3</w:t>
      </w:r>
      <w:r>
        <w:rPr>
          <w:rFonts w:ascii="Arial" w:hAnsi="Arial" w:cs="Arial"/>
          <w:sz w:val="24"/>
          <w:szCs w:val="24"/>
        </w:rPr>
        <w:t xml:space="preserve"> August 2019 </w:t>
      </w:r>
    </w:p>
    <w:p w14:paraId="1EAF96CB" w14:textId="77777777" w:rsidR="004320BC" w:rsidRPr="00A814C2" w:rsidRDefault="004320BC">
      <w:pPr>
        <w:rPr>
          <w:rFonts w:ascii="Arial" w:hAnsi="Arial" w:cs="Arial"/>
          <w:sz w:val="24"/>
          <w:szCs w:val="24"/>
        </w:rPr>
      </w:pPr>
    </w:p>
    <w:p w14:paraId="51389FA8" w14:textId="3BF10CE9" w:rsidR="00D83FF7" w:rsidRPr="00A814C2" w:rsidRDefault="00D83FF7">
      <w:pPr>
        <w:rPr>
          <w:rFonts w:ascii="Arial" w:hAnsi="Arial" w:cs="Arial"/>
          <w:sz w:val="24"/>
          <w:szCs w:val="24"/>
        </w:rPr>
      </w:pPr>
      <w:r w:rsidRPr="00A814C2">
        <w:rPr>
          <w:rFonts w:ascii="Arial" w:hAnsi="Arial" w:cs="Arial"/>
          <w:sz w:val="24"/>
          <w:szCs w:val="24"/>
        </w:rPr>
        <w:t>This brief submission seeks to endorse, reinforce, and in a number of respects extend the submission to the Commission made by</w:t>
      </w:r>
      <w:r w:rsidR="00FA7DDA">
        <w:rPr>
          <w:rFonts w:ascii="Arial" w:hAnsi="Arial" w:cs="Arial"/>
          <w:sz w:val="24"/>
          <w:szCs w:val="24"/>
        </w:rPr>
        <w:t xml:space="preserve"> </w:t>
      </w:r>
      <w:r w:rsidR="009D2A7C">
        <w:rPr>
          <w:rFonts w:ascii="Arial" w:hAnsi="Arial" w:cs="Arial"/>
          <w:sz w:val="24"/>
          <w:szCs w:val="24"/>
        </w:rPr>
        <w:t xml:space="preserve">Professor </w:t>
      </w:r>
      <w:r w:rsidR="00FA7DDA">
        <w:rPr>
          <w:rFonts w:ascii="Arial" w:hAnsi="Arial" w:cs="Arial"/>
          <w:sz w:val="24"/>
          <w:szCs w:val="24"/>
        </w:rPr>
        <w:t>Tony Dreise and colleagues, including myself, all based at</w:t>
      </w:r>
      <w:r w:rsidRPr="00A814C2">
        <w:rPr>
          <w:rFonts w:ascii="Arial" w:hAnsi="Arial" w:cs="Arial"/>
          <w:sz w:val="24"/>
          <w:szCs w:val="24"/>
        </w:rPr>
        <w:t xml:space="preserve"> the Centre for Aboriginal Economic Policy Research</w:t>
      </w:r>
      <w:r w:rsidR="00FA7DDA">
        <w:rPr>
          <w:rFonts w:ascii="Arial" w:hAnsi="Arial" w:cs="Arial"/>
          <w:sz w:val="24"/>
          <w:szCs w:val="24"/>
        </w:rPr>
        <w:t xml:space="preserve"> (CAEPR) at the ANU.</w:t>
      </w:r>
      <w:r w:rsidRPr="00A814C2">
        <w:rPr>
          <w:rFonts w:ascii="Arial" w:hAnsi="Arial" w:cs="Arial"/>
          <w:sz w:val="24"/>
          <w:szCs w:val="24"/>
        </w:rPr>
        <w:t xml:space="preserve"> </w:t>
      </w:r>
    </w:p>
    <w:p w14:paraId="0451D12E" w14:textId="77777777" w:rsidR="002C4645" w:rsidRPr="00A814C2" w:rsidRDefault="002C4645">
      <w:pPr>
        <w:rPr>
          <w:rFonts w:ascii="Arial" w:hAnsi="Arial" w:cs="Arial"/>
          <w:i/>
          <w:sz w:val="24"/>
          <w:szCs w:val="24"/>
        </w:rPr>
      </w:pPr>
    </w:p>
    <w:p w14:paraId="51D2851C" w14:textId="77777777" w:rsidR="003F095A" w:rsidRPr="00A814C2" w:rsidRDefault="003F095A">
      <w:pPr>
        <w:rPr>
          <w:rFonts w:ascii="Arial" w:hAnsi="Arial" w:cs="Arial"/>
          <w:i/>
          <w:sz w:val="24"/>
          <w:szCs w:val="24"/>
        </w:rPr>
      </w:pPr>
      <w:r w:rsidRPr="00A814C2">
        <w:rPr>
          <w:rFonts w:ascii="Arial" w:hAnsi="Arial" w:cs="Arial"/>
          <w:i/>
          <w:sz w:val="24"/>
          <w:szCs w:val="24"/>
        </w:rPr>
        <w:t>Mainstream policies and programs</w:t>
      </w:r>
    </w:p>
    <w:p w14:paraId="1449743E" w14:textId="4C396F00" w:rsidR="00D83FF7" w:rsidRPr="00A814C2" w:rsidRDefault="00D83FF7">
      <w:pPr>
        <w:rPr>
          <w:rFonts w:ascii="Arial" w:hAnsi="Arial" w:cs="Arial"/>
          <w:sz w:val="24"/>
          <w:szCs w:val="24"/>
        </w:rPr>
      </w:pPr>
      <w:r w:rsidRPr="00A814C2">
        <w:rPr>
          <w:rFonts w:ascii="Arial" w:hAnsi="Arial" w:cs="Arial"/>
          <w:sz w:val="24"/>
          <w:szCs w:val="24"/>
        </w:rPr>
        <w:t xml:space="preserve">In particular, I wish to reinforce the points made </w:t>
      </w:r>
      <w:r w:rsidR="00A0741D">
        <w:rPr>
          <w:rFonts w:ascii="Arial" w:hAnsi="Arial" w:cs="Arial"/>
          <w:sz w:val="24"/>
          <w:szCs w:val="24"/>
        </w:rPr>
        <w:t xml:space="preserve">in the Dreise submission </w:t>
      </w:r>
      <w:r w:rsidRPr="00A814C2">
        <w:rPr>
          <w:rFonts w:ascii="Arial" w:hAnsi="Arial" w:cs="Arial"/>
          <w:sz w:val="24"/>
          <w:szCs w:val="24"/>
        </w:rPr>
        <w:t xml:space="preserve">regarding the overarching significance and impact of mainstream policies and programs on Indigenous citizens. While Indigenous specific policies and programs have a variable and more visible footprint across the Indigenous policy domain, mainstream policies and programs are ubiquitous and increasingly represent the primary interface between governments (at all levels) and Indigenous citizens. Importantly the Commonwealth Grants Commission found in its comprehensive 2001 review of Indigenous funding that mainstream services do not meet the needs of Indigenous people to the same extent as they meet the needs of non-Indigenous people. Given the </w:t>
      </w:r>
      <w:r w:rsidR="0085188C" w:rsidRPr="00A814C2">
        <w:rPr>
          <w:rFonts w:ascii="Arial" w:hAnsi="Arial" w:cs="Arial"/>
          <w:sz w:val="24"/>
          <w:szCs w:val="24"/>
        </w:rPr>
        <w:t xml:space="preserve">substantial continuity in institutional structures and frameworks since 2001, it seems unlikely that this conclusion has been reversed in the two decades since it was formulated. The interplay of an increasing footprint for mainstream policies and programs in Indigenous citizens’ lives with the existence of multiple barriers to access faced by Indigenous citizens goes a long way towards identifying at least one of the major structural causes of deep-seated Indigenous disadvantage. Evaluation of the major and significant mainstream policies and programs impacting </w:t>
      </w:r>
      <w:r w:rsidR="008C4821" w:rsidRPr="00A814C2">
        <w:rPr>
          <w:rFonts w:ascii="Arial" w:hAnsi="Arial" w:cs="Arial"/>
          <w:sz w:val="24"/>
          <w:szCs w:val="24"/>
        </w:rPr>
        <w:t>Indigenous</w:t>
      </w:r>
      <w:r w:rsidR="0085188C" w:rsidRPr="00A814C2">
        <w:rPr>
          <w:rFonts w:ascii="Arial" w:hAnsi="Arial" w:cs="Arial"/>
          <w:sz w:val="24"/>
          <w:szCs w:val="24"/>
        </w:rPr>
        <w:t xml:space="preserve"> citizens </w:t>
      </w:r>
      <w:r w:rsidR="009D2A7C">
        <w:rPr>
          <w:rFonts w:ascii="Arial" w:hAnsi="Arial" w:cs="Arial"/>
          <w:sz w:val="24"/>
          <w:szCs w:val="24"/>
        </w:rPr>
        <w:t xml:space="preserve">(and in particular, evaluations of the effect on Indigenous citizens of these </w:t>
      </w:r>
      <w:r w:rsidR="005A04EE">
        <w:rPr>
          <w:rFonts w:ascii="Arial" w:hAnsi="Arial" w:cs="Arial"/>
          <w:sz w:val="24"/>
          <w:szCs w:val="24"/>
        </w:rPr>
        <w:t xml:space="preserve">mainstream </w:t>
      </w:r>
      <w:r w:rsidR="009D2A7C">
        <w:rPr>
          <w:rFonts w:ascii="Arial" w:hAnsi="Arial" w:cs="Arial"/>
          <w:sz w:val="24"/>
          <w:szCs w:val="24"/>
        </w:rPr>
        <w:t xml:space="preserve">policies and programs) </w:t>
      </w:r>
      <w:r w:rsidR="0085188C" w:rsidRPr="00A814C2">
        <w:rPr>
          <w:rFonts w:ascii="Arial" w:hAnsi="Arial" w:cs="Arial"/>
          <w:sz w:val="24"/>
          <w:szCs w:val="24"/>
        </w:rPr>
        <w:t>thus has the potential to both make v</w:t>
      </w:r>
      <w:r w:rsidR="008C4821" w:rsidRPr="00A814C2">
        <w:rPr>
          <w:rFonts w:ascii="Arial" w:hAnsi="Arial" w:cs="Arial"/>
          <w:sz w:val="24"/>
          <w:szCs w:val="24"/>
        </w:rPr>
        <w:t>isible structural access challenges</w:t>
      </w:r>
      <w:r w:rsidR="005A04EE">
        <w:rPr>
          <w:rFonts w:ascii="Arial" w:hAnsi="Arial" w:cs="Arial"/>
          <w:sz w:val="24"/>
          <w:szCs w:val="24"/>
        </w:rPr>
        <w:t>,</w:t>
      </w:r>
      <w:r w:rsidR="008C4821" w:rsidRPr="00A814C2">
        <w:rPr>
          <w:rFonts w:ascii="Arial" w:hAnsi="Arial" w:cs="Arial"/>
          <w:sz w:val="24"/>
          <w:szCs w:val="24"/>
        </w:rPr>
        <w:t xml:space="preserve"> </w:t>
      </w:r>
      <w:r w:rsidR="0085188C" w:rsidRPr="00A814C2">
        <w:rPr>
          <w:rFonts w:ascii="Arial" w:hAnsi="Arial" w:cs="Arial"/>
          <w:sz w:val="24"/>
          <w:szCs w:val="24"/>
        </w:rPr>
        <w:t xml:space="preserve">and point to the policy design features that might start to address these </w:t>
      </w:r>
      <w:r w:rsidR="009D2A7C">
        <w:rPr>
          <w:rFonts w:ascii="Arial" w:hAnsi="Arial" w:cs="Arial"/>
          <w:sz w:val="24"/>
          <w:szCs w:val="24"/>
        </w:rPr>
        <w:t xml:space="preserve">access </w:t>
      </w:r>
      <w:r w:rsidR="0085188C" w:rsidRPr="00A814C2">
        <w:rPr>
          <w:rFonts w:ascii="Arial" w:hAnsi="Arial" w:cs="Arial"/>
          <w:sz w:val="24"/>
          <w:szCs w:val="24"/>
        </w:rPr>
        <w:t>constraints.</w:t>
      </w:r>
      <w:r w:rsidR="008C4821" w:rsidRPr="00A814C2">
        <w:rPr>
          <w:rFonts w:ascii="Arial" w:hAnsi="Arial" w:cs="Arial"/>
          <w:sz w:val="24"/>
          <w:szCs w:val="24"/>
        </w:rPr>
        <w:t xml:space="preserve"> </w:t>
      </w:r>
    </w:p>
    <w:p w14:paraId="62CD2AB7" w14:textId="313F0433" w:rsidR="005A04EE" w:rsidRDefault="009D2A7C">
      <w:pPr>
        <w:rPr>
          <w:rFonts w:ascii="Arial" w:hAnsi="Arial" w:cs="Arial"/>
          <w:sz w:val="24"/>
          <w:szCs w:val="24"/>
        </w:rPr>
      </w:pPr>
      <w:r>
        <w:rPr>
          <w:rFonts w:ascii="Arial" w:hAnsi="Arial" w:cs="Arial"/>
          <w:sz w:val="24"/>
          <w:szCs w:val="24"/>
        </w:rPr>
        <w:t xml:space="preserve">Two further </w:t>
      </w:r>
      <w:r w:rsidR="0086253B">
        <w:rPr>
          <w:rFonts w:ascii="Arial" w:hAnsi="Arial" w:cs="Arial"/>
          <w:sz w:val="24"/>
          <w:szCs w:val="24"/>
        </w:rPr>
        <w:t>potentially</w:t>
      </w:r>
      <w:r>
        <w:rPr>
          <w:rFonts w:ascii="Arial" w:hAnsi="Arial" w:cs="Arial"/>
          <w:sz w:val="24"/>
          <w:szCs w:val="24"/>
        </w:rPr>
        <w:t xml:space="preserve"> important issues </w:t>
      </w:r>
      <w:r w:rsidR="00C10ACC">
        <w:rPr>
          <w:rFonts w:ascii="Arial" w:hAnsi="Arial" w:cs="Arial"/>
          <w:sz w:val="24"/>
          <w:szCs w:val="24"/>
        </w:rPr>
        <w:t xml:space="preserve">related to mainstream policies and programs </w:t>
      </w:r>
      <w:r>
        <w:rPr>
          <w:rFonts w:ascii="Arial" w:hAnsi="Arial" w:cs="Arial"/>
          <w:sz w:val="24"/>
          <w:szCs w:val="24"/>
        </w:rPr>
        <w:t>are worth pointing to and I suggest the Commission give them</w:t>
      </w:r>
      <w:r w:rsidR="0086253B">
        <w:rPr>
          <w:rFonts w:ascii="Arial" w:hAnsi="Arial" w:cs="Arial"/>
          <w:sz w:val="24"/>
          <w:szCs w:val="24"/>
        </w:rPr>
        <w:t xml:space="preserve"> specific attention</w:t>
      </w:r>
      <w:r>
        <w:rPr>
          <w:rFonts w:ascii="Arial" w:hAnsi="Arial" w:cs="Arial"/>
          <w:sz w:val="24"/>
          <w:szCs w:val="24"/>
        </w:rPr>
        <w:t xml:space="preserve">. </w:t>
      </w:r>
    </w:p>
    <w:p w14:paraId="5F3DD295" w14:textId="6875072F" w:rsidR="009D2A7C" w:rsidRDefault="009D2A7C">
      <w:pPr>
        <w:rPr>
          <w:rFonts w:ascii="Arial" w:hAnsi="Arial" w:cs="Arial"/>
          <w:sz w:val="24"/>
          <w:szCs w:val="24"/>
        </w:rPr>
      </w:pPr>
      <w:r>
        <w:rPr>
          <w:rFonts w:ascii="Arial" w:hAnsi="Arial" w:cs="Arial"/>
          <w:sz w:val="24"/>
          <w:szCs w:val="24"/>
        </w:rPr>
        <w:t>First, (as pointed out by Dreise et</w:t>
      </w:r>
      <w:r w:rsidR="00A0741D">
        <w:rPr>
          <w:rFonts w:ascii="Arial" w:hAnsi="Arial" w:cs="Arial"/>
          <w:sz w:val="24"/>
          <w:szCs w:val="24"/>
        </w:rPr>
        <w:t>.</w:t>
      </w:r>
      <w:r>
        <w:rPr>
          <w:rFonts w:ascii="Arial" w:hAnsi="Arial" w:cs="Arial"/>
          <w:sz w:val="24"/>
          <w:szCs w:val="24"/>
        </w:rPr>
        <w:t xml:space="preserve"> al</w:t>
      </w:r>
      <w:r w:rsidR="00A0741D">
        <w:rPr>
          <w:rFonts w:ascii="Arial" w:hAnsi="Arial" w:cs="Arial"/>
          <w:sz w:val="24"/>
          <w:szCs w:val="24"/>
        </w:rPr>
        <w:t>.</w:t>
      </w:r>
      <w:r>
        <w:rPr>
          <w:rFonts w:ascii="Arial" w:hAnsi="Arial" w:cs="Arial"/>
          <w:sz w:val="24"/>
          <w:szCs w:val="24"/>
        </w:rPr>
        <w:t xml:space="preserve">), a very significant proportion of public sector financial support to citizens generally is undertaken via tax expenditures rather than budget expenditures. There is no substantive </w:t>
      </w:r>
      <w:r w:rsidR="00A0741D">
        <w:rPr>
          <w:rFonts w:ascii="Arial" w:hAnsi="Arial" w:cs="Arial"/>
          <w:sz w:val="24"/>
          <w:szCs w:val="24"/>
        </w:rPr>
        <w:t xml:space="preserve">conceptual </w:t>
      </w:r>
      <w:r>
        <w:rPr>
          <w:rFonts w:ascii="Arial" w:hAnsi="Arial" w:cs="Arial"/>
          <w:sz w:val="24"/>
          <w:szCs w:val="24"/>
        </w:rPr>
        <w:t xml:space="preserve">reason to treat them differently in terms of evaluation of their impact on social and economic outcomes. Tax expenditures have much less visibility and in particular, may adversely affect Indigenous and </w:t>
      </w:r>
      <w:r w:rsidR="00221CBA">
        <w:rPr>
          <w:rFonts w:ascii="Arial" w:hAnsi="Arial" w:cs="Arial"/>
          <w:sz w:val="24"/>
          <w:szCs w:val="24"/>
        </w:rPr>
        <w:t>low-income</w:t>
      </w:r>
      <w:r>
        <w:rPr>
          <w:rFonts w:ascii="Arial" w:hAnsi="Arial" w:cs="Arial"/>
          <w:sz w:val="24"/>
          <w:szCs w:val="24"/>
        </w:rPr>
        <w:t xml:space="preserve"> citizens via a process of non-inclusion rather than inclusion. Any whole of </w:t>
      </w:r>
      <w:r w:rsidR="00221CBA">
        <w:rPr>
          <w:rFonts w:ascii="Arial" w:hAnsi="Arial" w:cs="Arial"/>
          <w:sz w:val="24"/>
          <w:szCs w:val="24"/>
        </w:rPr>
        <w:t>Government</w:t>
      </w:r>
      <w:r>
        <w:rPr>
          <w:rFonts w:ascii="Arial" w:hAnsi="Arial" w:cs="Arial"/>
          <w:sz w:val="24"/>
          <w:szCs w:val="24"/>
        </w:rPr>
        <w:t xml:space="preserve"> evaluation strategy that seeks to be </w:t>
      </w:r>
      <w:r>
        <w:rPr>
          <w:rFonts w:ascii="Arial" w:hAnsi="Arial" w:cs="Arial"/>
          <w:sz w:val="24"/>
          <w:szCs w:val="24"/>
        </w:rPr>
        <w:lastRenderedPageBreak/>
        <w:t xml:space="preserve">conceptually coherent will need to include tax </w:t>
      </w:r>
      <w:r w:rsidR="00221CBA">
        <w:rPr>
          <w:rFonts w:ascii="Arial" w:hAnsi="Arial" w:cs="Arial"/>
          <w:sz w:val="24"/>
          <w:szCs w:val="24"/>
        </w:rPr>
        <w:t>expenditures</w:t>
      </w:r>
      <w:r w:rsidR="00A12420">
        <w:rPr>
          <w:rFonts w:ascii="Arial" w:hAnsi="Arial" w:cs="Arial"/>
          <w:sz w:val="24"/>
          <w:szCs w:val="24"/>
        </w:rPr>
        <w:t xml:space="preserve">, </w:t>
      </w:r>
      <w:r>
        <w:rPr>
          <w:rFonts w:ascii="Arial" w:hAnsi="Arial" w:cs="Arial"/>
          <w:sz w:val="24"/>
          <w:szCs w:val="24"/>
        </w:rPr>
        <w:t>and evaluations will need to be designed to assess exclusion as much as inclusion of Indigenous citizens.</w:t>
      </w:r>
      <w:r w:rsidR="0086253B">
        <w:rPr>
          <w:rFonts w:ascii="Arial" w:hAnsi="Arial" w:cs="Arial"/>
          <w:sz w:val="24"/>
          <w:szCs w:val="24"/>
        </w:rPr>
        <w:t xml:space="preserve"> </w:t>
      </w:r>
    </w:p>
    <w:p w14:paraId="44CB1A25" w14:textId="418A7D2F" w:rsidR="0086253B" w:rsidRPr="00A0741D" w:rsidRDefault="0086253B">
      <w:pPr>
        <w:rPr>
          <w:rFonts w:ascii="Arial" w:hAnsi="Arial" w:cs="Arial"/>
          <w:sz w:val="24"/>
          <w:szCs w:val="24"/>
        </w:rPr>
      </w:pPr>
      <w:r>
        <w:rPr>
          <w:rFonts w:ascii="Arial" w:hAnsi="Arial" w:cs="Arial"/>
          <w:sz w:val="24"/>
          <w:szCs w:val="24"/>
        </w:rPr>
        <w:t xml:space="preserve">Second, the significant overlaps in the policy and program </w:t>
      </w:r>
      <w:r w:rsidR="00221CBA">
        <w:rPr>
          <w:rFonts w:ascii="Arial" w:hAnsi="Arial" w:cs="Arial"/>
          <w:sz w:val="24"/>
          <w:szCs w:val="24"/>
        </w:rPr>
        <w:t>engagement</w:t>
      </w:r>
      <w:r>
        <w:rPr>
          <w:rFonts w:ascii="Arial" w:hAnsi="Arial" w:cs="Arial"/>
          <w:sz w:val="24"/>
          <w:szCs w:val="24"/>
        </w:rPr>
        <w:t xml:space="preserve"> </w:t>
      </w:r>
      <w:r w:rsidR="00221CBA">
        <w:rPr>
          <w:rFonts w:ascii="Arial" w:hAnsi="Arial" w:cs="Arial"/>
          <w:sz w:val="24"/>
          <w:szCs w:val="24"/>
        </w:rPr>
        <w:t>of</w:t>
      </w:r>
      <w:r>
        <w:rPr>
          <w:rFonts w:ascii="Arial" w:hAnsi="Arial" w:cs="Arial"/>
          <w:sz w:val="24"/>
          <w:szCs w:val="24"/>
        </w:rPr>
        <w:t xml:space="preserve"> different levels of </w:t>
      </w:r>
      <w:r w:rsidR="00221CBA">
        <w:rPr>
          <w:rFonts w:ascii="Arial" w:hAnsi="Arial" w:cs="Arial"/>
          <w:sz w:val="24"/>
          <w:szCs w:val="24"/>
        </w:rPr>
        <w:t>government</w:t>
      </w:r>
      <w:r>
        <w:rPr>
          <w:rFonts w:ascii="Arial" w:hAnsi="Arial" w:cs="Arial"/>
          <w:sz w:val="24"/>
          <w:szCs w:val="24"/>
        </w:rPr>
        <w:t xml:space="preserve"> raises important issues for evaluation design and process, and particularly for evaluation governance. The </w:t>
      </w:r>
      <w:r w:rsidR="00221CBA">
        <w:rPr>
          <w:rFonts w:ascii="Arial" w:hAnsi="Arial" w:cs="Arial"/>
          <w:sz w:val="24"/>
          <w:szCs w:val="24"/>
        </w:rPr>
        <w:t xml:space="preserve">Productivity </w:t>
      </w:r>
      <w:r>
        <w:rPr>
          <w:rFonts w:ascii="Arial" w:hAnsi="Arial" w:cs="Arial"/>
          <w:sz w:val="24"/>
          <w:szCs w:val="24"/>
        </w:rPr>
        <w:t xml:space="preserve">Commission </w:t>
      </w:r>
      <w:r w:rsidR="00221CBA">
        <w:rPr>
          <w:rFonts w:ascii="Arial" w:hAnsi="Arial" w:cs="Arial"/>
          <w:sz w:val="24"/>
          <w:szCs w:val="24"/>
        </w:rPr>
        <w:t xml:space="preserve">(2018: 275-78) </w:t>
      </w:r>
      <w:r>
        <w:rPr>
          <w:rFonts w:ascii="Arial" w:hAnsi="Arial" w:cs="Arial"/>
          <w:sz w:val="24"/>
          <w:szCs w:val="24"/>
        </w:rPr>
        <w:t>pointed to these overlaps</w:t>
      </w:r>
      <w:r w:rsidR="00221CBA">
        <w:rPr>
          <w:rFonts w:ascii="Arial" w:hAnsi="Arial" w:cs="Arial"/>
          <w:sz w:val="24"/>
          <w:szCs w:val="24"/>
        </w:rPr>
        <w:t xml:space="preserve"> in its report on Horizontal Fiscal Equalisation. It will be important that the Commission gives focussed attention to addressing this issue in devising the </w:t>
      </w:r>
      <w:r w:rsidR="00A0741D">
        <w:rPr>
          <w:rFonts w:ascii="Arial" w:hAnsi="Arial" w:cs="Arial"/>
          <w:sz w:val="24"/>
          <w:szCs w:val="24"/>
        </w:rPr>
        <w:t xml:space="preserve">whole of government </w:t>
      </w:r>
      <w:r w:rsidR="00221CBA">
        <w:rPr>
          <w:rFonts w:ascii="Arial" w:hAnsi="Arial" w:cs="Arial"/>
          <w:sz w:val="24"/>
          <w:szCs w:val="24"/>
        </w:rPr>
        <w:t>Indigenous Evaluation Strategy.</w:t>
      </w:r>
    </w:p>
    <w:p w14:paraId="6A9B0555" w14:textId="77777777" w:rsidR="003F095A" w:rsidRPr="00A814C2" w:rsidRDefault="003F095A">
      <w:pPr>
        <w:rPr>
          <w:rFonts w:ascii="Arial" w:hAnsi="Arial" w:cs="Arial"/>
          <w:i/>
          <w:sz w:val="24"/>
          <w:szCs w:val="24"/>
        </w:rPr>
      </w:pPr>
      <w:r w:rsidRPr="00A814C2">
        <w:rPr>
          <w:rFonts w:ascii="Arial" w:hAnsi="Arial" w:cs="Arial"/>
          <w:i/>
          <w:sz w:val="24"/>
          <w:szCs w:val="24"/>
        </w:rPr>
        <w:t>Strategically significant evaluations</w:t>
      </w:r>
    </w:p>
    <w:p w14:paraId="58288384" w14:textId="7F3ADFBC" w:rsidR="008C4821" w:rsidRDefault="008C4821">
      <w:pPr>
        <w:rPr>
          <w:rFonts w:ascii="Arial" w:hAnsi="Arial" w:cs="Arial"/>
          <w:sz w:val="24"/>
          <w:szCs w:val="24"/>
        </w:rPr>
      </w:pPr>
      <w:r w:rsidRPr="00A814C2">
        <w:rPr>
          <w:rFonts w:ascii="Arial" w:hAnsi="Arial" w:cs="Arial"/>
          <w:sz w:val="24"/>
          <w:szCs w:val="24"/>
        </w:rPr>
        <w:t xml:space="preserve">A second point made by </w:t>
      </w:r>
      <w:r w:rsidR="00FA7DDA">
        <w:rPr>
          <w:rFonts w:ascii="Arial" w:hAnsi="Arial" w:cs="Arial"/>
          <w:sz w:val="24"/>
          <w:szCs w:val="24"/>
        </w:rPr>
        <w:t>Dreise et al.</w:t>
      </w:r>
      <w:r w:rsidR="00FA7DDA" w:rsidRPr="00A814C2">
        <w:rPr>
          <w:rFonts w:ascii="Arial" w:hAnsi="Arial" w:cs="Arial"/>
          <w:sz w:val="24"/>
          <w:szCs w:val="24"/>
        </w:rPr>
        <w:t xml:space="preserve"> </w:t>
      </w:r>
      <w:r w:rsidR="00C03385" w:rsidRPr="00A814C2">
        <w:rPr>
          <w:rFonts w:ascii="Arial" w:hAnsi="Arial" w:cs="Arial"/>
          <w:sz w:val="24"/>
          <w:szCs w:val="24"/>
        </w:rPr>
        <w:t>that I strongly endorse (and which links to the points made above in relation to mainstream programs)</w:t>
      </w:r>
      <w:r w:rsidRPr="00A814C2">
        <w:rPr>
          <w:rFonts w:ascii="Arial" w:hAnsi="Arial" w:cs="Arial"/>
          <w:sz w:val="24"/>
          <w:szCs w:val="24"/>
        </w:rPr>
        <w:t xml:space="preserve"> is the importance of regular independent evaluation of major strategically significant policies and programs if the policy intention is for evaluation to make a difference to economic and social outcomes. A small number of high quality comprehensive evaluations of institutionally significant </w:t>
      </w:r>
      <w:r w:rsidR="00583485" w:rsidRPr="00A814C2">
        <w:rPr>
          <w:rFonts w:ascii="Arial" w:hAnsi="Arial" w:cs="Arial"/>
          <w:sz w:val="24"/>
          <w:szCs w:val="24"/>
        </w:rPr>
        <w:t>policies</w:t>
      </w:r>
      <w:r w:rsidRPr="00A814C2">
        <w:rPr>
          <w:rFonts w:ascii="Arial" w:hAnsi="Arial" w:cs="Arial"/>
          <w:sz w:val="24"/>
          <w:szCs w:val="24"/>
        </w:rPr>
        <w:t xml:space="preserve"> and programs will ultimately have a much greater impact than a multitude of smaller evaluations of marginally significant programs and projects. There is of course a case for </w:t>
      </w:r>
      <w:r w:rsidR="00C10ACC">
        <w:rPr>
          <w:rFonts w:ascii="Arial" w:hAnsi="Arial" w:cs="Arial"/>
          <w:sz w:val="24"/>
          <w:szCs w:val="24"/>
        </w:rPr>
        <w:t xml:space="preserve">proportionate </w:t>
      </w:r>
      <w:r w:rsidRPr="00A814C2">
        <w:rPr>
          <w:rFonts w:ascii="Arial" w:hAnsi="Arial" w:cs="Arial"/>
          <w:sz w:val="24"/>
          <w:szCs w:val="24"/>
        </w:rPr>
        <w:t xml:space="preserve">evaluation or review of all programs, but the trick for policymakers (which in this area appears to include the Productivity Commission itself) is to ensure that over the medium term the bulk of available evaluation resources </w:t>
      </w:r>
      <w:r w:rsidR="00C10ACC">
        <w:rPr>
          <w:rFonts w:ascii="Arial" w:hAnsi="Arial" w:cs="Arial"/>
          <w:sz w:val="24"/>
          <w:szCs w:val="24"/>
        </w:rPr>
        <w:t xml:space="preserve">(both financial and intellectual) is </w:t>
      </w:r>
      <w:r w:rsidRPr="00A814C2">
        <w:rPr>
          <w:rFonts w:ascii="Arial" w:hAnsi="Arial" w:cs="Arial"/>
          <w:sz w:val="24"/>
          <w:szCs w:val="24"/>
        </w:rPr>
        <w:t>focus</w:t>
      </w:r>
      <w:r w:rsidR="00C10ACC">
        <w:rPr>
          <w:rFonts w:ascii="Arial" w:hAnsi="Arial" w:cs="Arial"/>
          <w:sz w:val="24"/>
          <w:szCs w:val="24"/>
        </w:rPr>
        <w:t>ed</w:t>
      </w:r>
      <w:r w:rsidRPr="00A814C2">
        <w:rPr>
          <w:rFonts w:ascii="Arial" w:hAnsi="Arial" w:cs="Arial"/>
          <w:sz w:val="24"/>
          <w:szCs w:val="24"/>
        </w:rPr>
        <w:t xml:space="preserve"> on the</w:t>
      </w:r>
      <w:r w:rsidR="0031083A" w:rsidRPr="00A814C2">
        <w:rPr>
          <w:rFonts w:ascii="Arial" w:hAnsi="Arial" w:cs="Arial"/>
          <w:sz w:val="24"/>
          <w:szCs w:val="24"/>
        </w:rPr>
        <w:t xml:space="preserve"> policy and program </w:t>
      </w:r>
      <w:r w:rsidRPr="00A814C2">
        <w:rPr>
          <w:rFonts w:ascii="Arial" w:hAnsi="Arial" w:cs="Arial"/>
          <w:sz w:val="24"/>
          <w:szCs w:val="24"/>
        </w:rPr>
        <w:t>‘forest’ rather than the ‘trees’.</w:t>
      </w:r>
    </w:p>
    <w:p w14:paraId="10A63738" w14:textId="62D810E6" w:rsidR="007B4035" w:rsidRDefault="007B4035">
      <w:pPr>
        <w:rPr>
          <w:rFonts w:ascii="Arial" w:hAnsi="Arial" w:cs="Arial"/>
          <w:sz w:val="24"/>
          <w:szCs w:val="24"/>
        </w:rPr>
      </w:pPr>
      <w:r>
        <w:rPr>
          <w:rFonts w:ascii="Arial" w:hAnsi="Arial" w:cs="Arial"/>
          <w:sz w:val="24"/>
          <w:szCs w:val="24"/>
        </w:rPr>
        <w:t xml:space="preserve">Of course, ‘strategic significance’ is itself a potentially ambiguous concept. It should not merely be assessed in terms of program logic or notional policy objectives, but in a first best world would also take into account the overarching strategic aspirations of Indigenous interests. In too many cases, (Closing the Gap is perhaps the best example) government has failed to develop and articulate a coherent and comprehensive strategic policy framework that ties policy objectives to resource allocation. In such an environment, to limit evaluations to government specified parameters would itself be a strategic mistake. This of course represents a major challenge given that it is </w:t>
      </w:r>
      <w:r w:rsidR="008774EB">
        <w:rPr>
          <w:rFonts w:ascii="Arial" w:hAnsi="Arial" w:cs="Arial"/>
          <w:sz w:val="24"/>
          <w:szCs w:val="24"/>
        </w:rPr>
        <w:t>government</w:t>
      </w:r>
      <w:r>
        <w:rPr>
          <w:rFonts w:ascii="Arial" w:hAnsi="Arial" w:cs="Arial"/>
          <w:sz w:val="24"/>
          <w:szCs w:val="24"/>
        </w:rPr>
        <w:t xml:space="preserve"> agencies that control the evaluation agenda and process. It reinforces the case (see below) for much greater independence in the selection and development of the Indigenous evaluation agenda.</w:t>
      </w:r>
    </w:p>
    <w:p w14:paraId="6E7B4905" w14:textId="44B74BC0" w:rsidR="007B4035" w:rsidRPr="00A814C2" w:rsidRDefault="007B4035">
      <w:pPr>
        <w:rPr>
          <w:rFonts w:ascii="Arial" w:hAnsi="Arial" w:cs="Arial"/>
          <w:sz w:val="24"/>
          <w:szCs w:val="24"/>
        </w:rPr>
      </w:pPr>
      <w:r>
        <w:rPr>
          <w:rFonts w:ascii="Arial" w:hAnsi="Arial" w:cs="Arial"/>
          <w:sz w:val="24"/>
          <w:szCs w:val="24"/>
        </w:rPr>
        <w:t xml:space="preserve">Another related issue </w:t>
      </w:r>
      <w:r w:rsidR="001672E5">
        <w:rPr>
          <w:rFonts w:ascii="Arial" w:hAnsi="Arial" w:cs="Arial"/>
          <w:sz w:val="24"/>
          <w:szCs w:val="24"/>
        </w:rPr>
        <w:t>(which features most consistently in the work of Professor Jon Altman) is the importance of acknowledging in tangible and substantive ways the reality that Indigenous interests are both heterogeneous and most importantly, ascribe in many cases to values and cosmologies that are fundamentally different to those of the Australian mainstream majority. As a nation we struggle to acknowledge these differences in our policy development, and as a consequence, our evaluation strategies and agendas are potentially compromised and sub-optimal. In other words, there is a need to give substantive attention to cultural difference in devising the Indigenous evaluation Strategy.</w:t>
      </w:r>
    </w:p>
    <w:p w14:paraId="254A3F8A" w14:textId="77777777" w:rsidR="002C4645" w:rsidRPr="00A814C2" w:rsidRDefault="002C4645">
      <w:pPr>
        <w:rPr>
          <w:rFonts w:ascii="Arial" w:hAnsi="Arial" w:cs="Arial"/>
          <w:i/>
          <w:sz w:val="24"/>
          <w:szCs w:val="24"/>
        </w:rPr>
      </w:pPr>
    </w:p>
    <w:p w14:paraId="2C7449C8" w14:textId="77777777" w:rsidR="003F095A" w:rsidRPr="00A814C2" w:rsidRDefault="003F095A">
      <w:pPr>
        <w:rPr>
          <w:rFonts w:ascii="Arial" w:hAnsi="Arial" w:cs="Arial"/>
          <w:i/>
          <w:sz w:val="24"/>
          <w:szCs w:val="24"/>
        </w:rPr>
      </w:pPr>
      <w:r w:rsidRPr="00A814C2">
        <w:rPr>
          <w:rFonts w:ascii="Arial" w:hAnsi="Arial" w:cs="Arial"/>
          <w:i/>
          <w:sz w:val="24"/>
          <w:szCs w:val="24"/>
        </w:rPr>
        <w:lastRenderedPageBreak/>
        <w:t>Transparency</w:t>
      </w:r>
    </w:p>
    <w:p w14:paraId="043F3D6D" w14:textId="49592ED1" w:rsidR="00AE468A" w:rsidRPr="00A814C2" w:rsidRDefault="00D25044">
      <w:pPr>
        <w:rPr>
          <w:rFonts w:ascii="Arial" w:hAnsi="Arial" w:cs="Arial"/>
          <w:sz w:val="24"/>
          <w:szCs w:val="24"/>
        </w:rPr>
      </w:pPr>
      <w:r w:rsidRPr="00A814C2">
        <w:rPr>
          <w:rFonts w:ascii="Arial" w:hAnsi="Arial" w:cs="Arial"/>
          <w:sz w:val="24"/>
          <w:szCs w:val="24"/>
        </w:rPr>
        <w:t xml:space="preserve">A third point made by </w:t>
      </w:r>
      <w:r w:rsidR="00FA7DDA">
        <w:rPr>
          <w:rFonts w:ascii="Arial" w:hAnsi="Arial" w:cs="Arial"/>
          <w:sz w:val="24"/>
          <w:szCs w:val="24"/>
        </w:rPr>
        <w:t>Dreise et al.</w:t>
      </w:r>
      <w:r w:rsidR="00FA7DDA" w:rsidRPr="00A814C2">
        <w:rPr>
          <w:rFonts w:ascii="Arial" w:hAnsi="Arial" w:cs="Arial"/>
          <w:sz w:val="24"/>
          <w:szCs w:val="24"/>
        </w:rPr>
        <w:t xml:space="preserve"> </w:t>
      </w:r>
      <w:r w:rsidRPr="00A814C2">
        <w:rPr>
          <w:rFonts w:ascii="Arial" w:hAnsi="Arial" w:cs="Arial"/>
          <w:sz w:val="24"/>
          <w:szCs w:val="24"/>
        </w:rPr>
        <w:t xml:space="preserve">that I strongly endorse are the points made regarding the importance and necessity of transparency. Indeed, I would go further and suggest that what is required for evaluation to be an effective policy tool (and thus to contribute to better outcomes including in relation to Indigenous exclusion and disadvantage) is a cultural shift within the public sector writ large. Such a transformation would involve a </w:t>
      </w:r>
      <w:r w:rsidR="00AE468A" w:rsidRPr="00A814C2">
        <w:rPr>
          <w:rFonts w:ascii="Arial" w:hAnsi="Arial" w:cs="Arial"/>
          <w:sz w:val="24"/>
          <w:szCs w:val="24"/>
        </w:rPr>
        <w:t xml:space="preserve">structural </w:t>
      </w:r>
      <w:r w:rsidRPr="00A814C2">
        <w:rPr>
          <w:rFonts w:ascii="Arial" w:hAnsi="Arial" w:cs="Arial"/>
          <w:sz w:val="24"/>
          <w:szCs w:val="24"/>
        </w:rPr>
        <w:t xml:space="preserve">shift away from the default mode of secrecy and non-publication and towards what might be termed ‘hyper-transparency’ or ‘dynamic transparency’. By this, I mean that the public sector </w:t>
      </w:r>
      <w:r w:rsidR="00AE468A" w:rsidRPr="00A814C2">
        <w:rPr>
          <w:rFonts w:ascii="Arial" w:hAnsi="Arial" w:cs="Arial"/>
          <w:sz w:val="24"/>
          <w:szCs w:val="24"/>
        </w:rPr>
        <w:t>would need to commit to a much broader openness</w:t>
      </w:r>
      <w:r w:rsidR="00583485">
        <w:rPr>
          <w:rFonts w:ascii="Arial" w:hAnsi="Arial" w:cs="Arial"/>
          <w:sz w:val="24"/>
          <w:szCs w:val="24"/>
        </w:rPr>
        <w:t xml:space="preserve"> as </w:t>
      </w:r>
      <w:r w:rsidR="00583485" w:rsidRPr="00583485">
        <w:rPr>
          <w:rFonts w:ascii="Arial" w:hAnsi="Arial" w:cs="Arial"/>
          <w:sz w:val="24"/>
          <w:szCs w:val="24"/>
          <w:u w:val="single"/>
        </w:rPr>
        <w:t>the default stance for all policies and programs</w:t>
      </w:r>
      <w:r w:rsidR="00AE468A" w:rsidRPr="00A814C2">
        <w:rPr>
          <w:rFonts w:ascii="Arial" w:hAnsi="Arial" w:cs="Arial"/>
          <w:sz w:val="24"/>
          <w:szCs w:val="24"/>
        </w:rPr>
        <w:t>:</w:t>
      </w:r>
    </w:p>
    <w:p w14:paraId="092421D1" w14:textId="77777777" w:rsidR="00D25044" w:rsidRPr="00A814C2" w:rsidRDefault="00AE468A" w:rsidP="00B048C5">
      <w:pPr>
        <w:pStyle w:val="ListParagraph"/>
        <w:numPr>
          <w:ilvl w:val="0"/>
          <w:numId w:val="1"/>
        </w:numPr>
        <w:rPr>
          <w:rFonts w:ascii="Arial" w:hAnsi="Arial" w:cs="Arial"/>
          <w:sz w:val="24"/>
          <w:szCs w:val="24"/>
        </w:rPr>
      </w:pPr>
      <w:r w:rsidRPr="00A814C2">
        <w:rPr>
          <w:rFonts w:ascii="Arial" w:hAnsi="Arial" w:cs="Arial"/>
          <w:sz w:val="24"/>
          <w:szCs w:val="24"/>
        </w:rPr>
        <w:t xml:space="preserve">making policy and program administration and monitoring </w:t>
      </w:r>
      <w:r w:rsidR="00583485">
        <w:rPr>
          <w:rFonts w:ascii="Arial" w:hAnsi="Arial" w:cs="Arial"/>
          <w:sz w:val="24"/>
          <w:szCs w:val="24"/>
        </w:rPr>
        <w:t>‘</w:t>
      </w:r>
      <w:r w:rsidRPr="00A814C2">
        <w:rPr>
          <w:rFonts w:ascii="Arial" w:hAnsi="Arial" w:cs="Arial"/>
          <w:sz w:val="24"/>
          <w:szCs w:val="24"/>
        </w:rPr>
        <w:t>open and transparent</w:t>
      </w:r>
      <w:r w:rsidR="00583485">
        <w:rPr>
          <w:rFonts w:ascii="Arial" w:hAnsi="Arial" w:cs="Arial"/>
          <w:sz w:val="24"/>
          <w:szCs w:val="24"/>
        </w:rPr>
        <w:t>’</w:t>
      </w:r>
      <w:r w:rsidRPr="00A814C2">
        <w:rPr>
          <w:rFonts w:ascii="Arial" w:hAnsi="Arial" w:cs="Arial"/>
          <w:sz w:val="24"/>
          <w:szCs w:val="24"/>
        </w:rPr>
        <w:t>, publishing status reports on key metrics at least quarterly;</w:t>
      </w:r>
    </w:p>
    <w:p w14:paraId="4A3210A3" w14:textId="77777777" w:rsidR="00B048C5" w:rsidRPr="00A814C2" w:rsidRDefault="00B048C5" w:rsidP="00B048C5">
      <w:pPr>
        <w:pStyle w:val="ListParagraph"/>
        <w:numPr>
          <w:ilvl w:val="0"/>
          <w:numId w:val="1"/>
        </w:numPr>
        <w:rPr>
          <w:rFonts w:ascii="Arial" w:hAnsi="Arial" w:cs="Arial"/>
          <w:sz w:val="24"/>
          <w:szCs w:val="24"/>
        </w:rPr>
      </w:pPr>
      <w:r w:rsidRPr="00A814C2">
        <w:rPr>
          <w:rFonts w:ascii="Arial" w:hAnsi="Arial" w:cs="Arial"/>
          <w:sz w:val="24"/>
          <w:szCs w:val="24"/>
        </w:rPr>
        <w:t>publishing more sensitive documents (such as internal audits and the records of departmental audit and risk committees) after a delay, say four years. This would provide time for agencies and ministers to get their house in order, but provide a much stronger incentive on agencies to address substantively any issues/recommendations;</w:t>
      </w:r>
    </w:p>
    <w:p w14:paraId="7DB52284" w14:textId="28246F1E" w:rsidR="00AE468A" w:rsidRPr="00A814C2" w:rsidRDefault="00AE468A" w:rsidP="00B048C5">
      <w:pPr>
        <w:pStyle w:val="ListParagraph"/>
        <w:numPr>
          <w:ilvl w:val="0"/>
          <w:numId w:val="1"/>
        </w:numPr>
        <w:rPr>
          <w:rFonts w:ascii="Arial" w:hAnsi="Arial" w:cs="Arial"/>
          <w:sz w:val="24"/>
          <w:szCs w:val="24"/>
        </w:rPr>
      </w:pPr>
      <w:r w:rsidRPr="00A814C2">
        <w:rPr>
          <w:rFonts w:ascii="Arial" w:hAnsi="Arial" w:cs="Arial"/>
          <w:sz w:val="24"/>
          <w:szCs w:val="24"/>
        </w:rPr>
        <w:t>ensuring key documents and reports (including program monitoring reports, reviews, evaluations etc</w:t>
      </w:r>
      <w:r w:rsidR="00A12420">
        <w:rPr>
          <w:rFonts w:ascii="Arial" w:hAnsi="Arial" w:cs="Arial"/>
          <w:sz w:val="24"/>
          <w:szCs w:val="24"/>
        </w:rPr>
        <w:t>.</w:t>
      </w:r>
      <w:r w:rsidRPr="00A814C2">
        <w:rPr>
          <w:rFonts w:ascii="Arial" w:hAnsi="Arial" w:cs="Arial"/>
          <w:sz w:val="24"/>
          <w:szCs w:val="24"/>
        </w:rPr>
        <w:t>) remain accessible and available to the public for at least ten and preferably twenty years;</w:t>
      </w:r>
    </w:p>
    <w:p w14:paraId="28FA11F9" w14:textId="77777777" w:rsidR="00AE468A" w:rsidRPr="00A814C2" w:rsidRDefault="00B048C5" w:rsidP="00B048C5">
      <w:pPr>
        <w:pStyle w:val="ListParagraph"/>
        <w:numPr>
          <w:ilvl w:val="0"/>
          <w:numId w:val="1"/>
        </w:numPr>
        <w:rPr>
          <w:rFonts w:ascii="Arial" w:hAnsi="Arial" w:cs="Arial"/>
          <w:sz w:val="24"/>
          <w:szCs w:val="24"/>
        </w:rPr>
      </w:pPr>
      <w:r w:rsidRPr="00A814C2">
        <w:rPr>
          <w:rFonts w:ascii="Arial" w:hAnsi="Arial" w:cs="Arial"/>
          <w:sz w:val="24"/>
          <w:szCs w:val="24"/>
        </w:rPr>
        <w:t xml:space="preserve">preparing and </w:t>
      </w:r>
      <w:r w:rsidR="00AE468A" w:rsidRPr="00A814C2">
        <w:rPr>
          <w:rFonts w:ascii="Arial" w:hAnsi="Arial" w:cs="Arial"/>
          <w:sz w:val="24"/>
          <w:szCs w:val="24"/>
        </w:rPr>
        <w:t xml:space="preserve">publishing accessible speeches and other updates summarising policy frameworks, recording significant shifts in policy direction, </w:t>
      </w:r>
      <w:r w:rsidRPr="00A814C2">
        <w:rPr>
          <w:rFonts w:ascii="Arial" w:hAnsi="Arial" w:cs="Arial"/>
          <w:sz w:val="24"/>
          <w:szCs w:val="24"/>
        </w:rPr>
        <w:t xml:space="preserve">reporting progress on policy development on those issues that extend beyond more than one (or even two) terms of government. </w:t>
      </w:r>
    </w:p>
    <w:p w14:paraId="1C904637" w14:textId="77777777" w:rsidR="00B048C5" w:rsidRPr="00A814C2" w:rsidRDefault="00B048C5" w:rsidP="00B048C5">
      <w:pPr>
        <w:rPr>
          <w:rFonts w:ascii="Arial" w:hAnsi="Arial" w:cs="Arial"/>
          <w:sz w:val="24"/>
          <w:szCs w:val="24"/>
        </w:rPr>
      </w:pPr>
      <w:r w:rsidRPr="00A814C2">
        <w:rPr>
          <w:rFonts w:ascii="Arial" w:hAnsi="Arial" w:cs="Arial"/>
          <w:sz w:val="24"/>
          <w:szCs w:val="24"/>
        </w:rPr>
        <w:t>I understand that the immediate reaction to my proposals above will be ‘this will never happen’ and ‘what has it got to do with evaluation?’</w:t>
      </w:r>
    </w:p>
    <w:p w14:paraId="65E26DC4" w14:textId="37C759CE" w:rsidR="003F095A" w:rsidRPr="00A814C2" w:rsidRDefault="00B048C5" w:rsidP="00B048C5">
      <w:pPr>
        <w:rPr>
          <w:rFonts w:ascii="Arial" w:hAnsi="Arial" w:cs="Arial"/>
          <w:sz w:val="24"/>
          <w:szCs w:val="24"/>
        </w:rPr>
      </w:pPr>
      <w:r w:rsidRPr="00A814C2">
        <w:rPr>
          <w:rFonts w:ascii="Arial" w:hAnsi="Arial" w:cs="Arial"/>
          <w:sz w:val="24"/>
          <w:szCs w:val="24"/>
        </w:rPr>
        <w:t xml:space="preserve">My response is that it has everything to do with evaluation. </w:t>
      </w:r>
      <w:r w:rsidR="00B8232A" w:rsidRPr="00A814C2">
        <w:rPr>
          <w:rFonts w:ascii="Arial" w:hAnsi="Arial" w:cs="Arial"/>
          <w:sz w:val="24"/>
          <w:szCs w:val="24"/>
        </w:rPr>
        <w:t xml:space="preserve">At the moment, the lack of policy and program transparency means that evaluations (and performance audits) are effectively the primary way in which the public can access authoritative and reliable </w:t>
      </w:r>
      <w:r w:rsidR="00583485">
        <w:rPr>
          <w:rFonts w:ascii="Arial" w:hAnsi="Arial" w:cs="Arial"/>
          <w:sz w:val="24"/>
          <w:szCs w:val="24"/>
        </w:rPr>
        <w:t xml:space="preserve">detailed </w:t>
      </w:r>
      <w:r w:rsidR="00B8232A" w:rsidRPr="00A814C2">
        <w:rPr>
          <w:rFonts w:ascii="Arial" w:hAnsi="Arial" w:cs="Arial"/>
          <w:sz w:val="24"/>
          <w:szCs w:val="24"/>
        </w:rPr>
        <w:t xml:space="preserve">information on the operations of major policies and programs. </w:t>
      </w:r>
      <w:r w:rsidR="00C10ACC">
        <w:rPr>
          <w:rFonts w:ascii="Arial" w:hAnsi="Arial" w:cs="Arial"/>
          <w:sz w:val="24"/>
          <w:szCs w:val="24"/>
        </w:rPr>
        <w:t xml:space="preserve">I note in passing that over recent years, a number of key ABS surveys have been discontinued, and </w:t>
      </w:r>
      <w:r w:rsidR="00AD78CC">
        <w:rPr>
          <w:rFonts w:ascii="Arial" w:hAnsi="Arial" w:cs="Arial"/>
          <w:sz w:val="24"/>
          <w:szCs w:val="24"/>
        </w:rPr>
        <w:t xml:space="preserve">there have been serious issues with the accuracy fo the </w:t>
      </w:r>
      <w:r w:rsidR="007B4035">
        <w:rPr>
          <w:rFonts w:ascii="Arial" w:hAnsi="Arial" w:cs="Arial"/>
          <w:sz w:val="24"/>
          <w:szCs w:val="24"/>
        </w:rPr>
        <w:t>Indigenous</w:t>
      </w:r>
      <w:r w:rsidR="00AD78CC">
        <w:rPr>
          <w:rFonts w:ascii="Arial" w:hAnsi="Arial" w:cs="Arial"/>
          <w:sz w:val="24"/>
          <w:szCs w:val="24"/>
        </w:rPr>
        <w:t xml:space="preserve"> counts in the five year census. These factors merely work to reinforce the importance of e</w:t>
      </w:r>
      <w:r w:rsidR="007B4035">
        <w:rPr>
          <w:rFonts w:ascii="Arial" w:hAnsi="Arial" w:cs="Arial"/>
          <w:sz w:val="24"/>
          <w:szCs w:val="24"/>
        </w:rPr>
        <w:t>v</w:t>
      </w:r>
      <w:r w:rsidR="00AD78CC">
        <w:rPr>
          <w:rFonts w:ascii="Arial" w:hAnsi="Arial" w:cs="Arial"/>
          <w:sz w:val="24"/>
          <w:szCs w:val="24"/>
        </w:rPr>
        <w:t xml:space="preserve">aluations in facilitating a good understanding of what is going on in particular policy </w:t>
      </w:r>
      <w:r w:rsidR="007B4035">
        <w:rPr>
          <w:rFonts w:ascii="Arial" w:hAnsi="Arial" w:cs="Arial"/>
          <w:sz w:val="24"/>
          <w:szCs w:val="24"/>
        </w:rPr>
        <w:t>sectors</w:t>
      </w:r>
      <w:r w:rsidR="00AD78CC">
        <w:rPr>
          <w:rFonts w:ascii="Arial" w:hAnsi="Arial" w:cs="Arial"/>
          <w:sz w:val="24"/>
          <w:szCs w:val="24"/>
        </w:rPr>
        <w:t>.</w:t>
      </w:r>
      <w:r w:rsidR="007B4035">
        <w:rPr>
          <w:rFonts w:ascii="Arial" w:hAnsi="Arial" w:cs="Arial"/>
          <w:sz w:val="24"/>
          <w:szCs w:val="24"/>
        </w:rPr>
        <w:t xml:space="preserve"> </w:t>
      </w:r>
      <w:r w:rsidRPr="00A814C2">
        <w:rPr>
          <w:rFonts w:ascii="Arial" w:hAnsi="Arial" w:cs="Arial"/>
          <w:sz w:val="24"/>
          <w:szCs w:val="24"/>
        </w:rPr>
        <w:t xml:space="preserve">Unless there is a cultural shift to a more dynamic transparency, </w:t>
      </w:r>
      <w:r w:rsidR="001E430B" w:rsidRPr="00A814C2">
        <w:rPr>
          <w:rFonts w:ascii="Arial" w:hAnsi="Arial" w:cs="Arial"/>
          <w:sz w:val="24"/>
          <w:szCs w:val="24"/>
        </w:rPr>
        <w:t xml:space="preserve">particularly at the level of program monitoring </w:t>
      </w:r>
      <w:r w:rsidR="005479AD" w:rsidRPr="00A814C2">
        <w:rPr>
          <w:rFonts w:ascii="Arial" w:hAnsi="Arial" w:cs="Arial"/>
          <w:sz w:val="24"/>
          <w:szCs w:val="24"/>
        </w:rPr>
        <w:t>and</w:t>
      </w:r>
      <w:r w:rsidR="001E430B" w:rsidRPr="00A814C2">
        <w:rPr>
          <w:rFonts w:ascii="Arial" w:hAnsi="Arial" w:cs="Arial"/>
          <w:sz w:val="24"/>
          <w:szCs w:val="24"/>
        </w:rPr>
        <w:t xml:space="preserve"> administration, </w:t>
      </w:r>
      <w:r w:rsidRPr="00A814C2">
        <w:rPr>
          <w:rFonts w:ascii="Arial" w:hAnsi="Arial" w:cs="Arial"/>
          <w:sz w:val="24"/>
          <w:szCs w:val="24"/>
        </w:rPr>
        <w:t xml:space="preserve">there will be continuing and widespread efforts to undermine the </w:t>
      </w:r>
      <w:r w:rsidR="001E430B" w:rsidRPr="00A814C2">
        <w:rPr>
          <w:rFonts w:ascii="Arial" w:hAnsi="Arial" w:cs="Arial"/>
          <w:sz w:val="24"/>
          <w:szCs w:val="24"/>
        </w:rPr>
        <w:t>potential</w:t>
      </w:r>
      <w:r w:rsidRPr="00A814C2">
        <w:rPr>
          <w:rFonts w:ascii="Arial" w:hAnsi="Arial" w:cs="Arial"/>
          <w:sz w:val="24"/>
          <w:szCs w:val="24"/>
        </w:rPr>
        <w:t xml:space="preserve"> for evaluation to </w:t>
      </w:r>
      <w:r w:rsidR="00B8232A" w:rsidRPr="00A814C2">
        <w:rPr>
          <w:rFonts w:ascii="Arial" w:hAnsi="Arial" w:cs="Arial"/>
          <w:sz w:val="24"/>
          <w:szCs w:val="24"/>
        </w:rPr>
        <w:t>promulgate information that is not in full alignment</w:t>
      </w:r>
      <w:r w:rsidR="00583485">
        <w:rPr>
          <w:rFonts w:ascii="Arial" w:hAnsi="Arial" w:cs="Arial"/>
          <w:sz w:val="24"/>
          <w:szCs w:val="24"/>
        </w:rPr>
        <w:t xml:space="preserve"> with the messaging emerging fro</w:t>
      </w:r>
      <w:r w:rsidR="00B8232A" w:rsidRPr="00A814C2">
        <w:rPr>
          <w:rFonts w:ascii="Arial" w:hAnsi="Arial" w:cs="Arial"/>
          <w:sz w:val="24"/>
          <w:szCs w:val="24"/>
        </w:rPr>
        <w:t xml:space="preserve">m </w:t>
      </w:r>
      <w:r w:rsidR="00583485">
        <w:rPr>
          <w:rFonts w:ascii="Arial" w:hAnsi="Arial" w:cs="Arial"/>
          <w:sz w:val="24"/>
          <w:szCs w:val="24"/>
        </w:rPr>
        <w:t xml:space="preserve">the executive arm of </w:t>
      </w:r>
      <w:r w:rsidR="00B8232A" w:rsidRPr="00A814C2">
        <w:rPr>
          <w:rFonts w:ascii="Arial" w:hAnsi="Arial" w:cs="Arial"/>
          <w:sz w:val="24"/>
          <w:szCs w:val="24"/>
        </w:rPr>
        <w:t xml:space="preserve">government. In turn, the constraints imposed (whether in </w:t>
      </w:r>
      <w:r w:rsidR="003F095A" w:rsidRPr="00A814C2">
        <w:rPr>
          <w:rFonts w:ascii="Arial" w:hAnsi="Arial" w:cs="Arial"/>
          <w:sz w:val="24"/>
          <w:szCs w:val="24"/>
        </w:rPr>
        <w:t xml:space="preserve">the framing of </w:t>
      </w:r>
      <w:r w:rsidR="00B8232A" w:rsidRPr="00A814C2">
        <w:rPr>
          <w:rFonts w:ascii="Arial" w:hAnsi="Arial" w:cs="Arial"/>
          <w:sz w:val="24"/>
          <w:szCs w:val="24"/>
        </w:rPr>
        <w:t xml:space="preserve">terms of reference, in choice of evaluators, or in promulgation of results) will mean that evaluations then fail to </w:t>
      </w:r>
      <w:r w:rsidRPr="00A814C2">
        <w:rPr>
          <w:rFonts w:ascii="Arial" w:hAnsi="Arial" w:cs="Arial"/>
          <w:sz w:val="24"/>
          <w:szCs w:val="24"/>
        </w:rPr>
        <w:t>influence outcomes</w:t>
      </w:r>
      <w:r w:rsidR="00A12420">
        <w:rPr>
          <w:rFonts w:ascii="Arial" w:hAnsi="Arial" w:cs="Arial"/>
          <w:sz w:val="24"/>
          <w:szCs w:val="24"/>
        </w:rPr>
        <w:t xml:space="preserve"> in optimal ways</w:t>
      </w:r>
      <w:r w:rsidR="001E430B" w:rsidRPr="00A814C2">
        <w:rPr>
          <w:rFonts w:ascii="Arial" w:hAnsi="Arial" w:cs="Arial"/>
          <w:sz w:val="24"/>
          <w:szCs w:val="24"/>
        </w:rPr>
        <w:t xml:space="preserve">. </w:t>
      </w:r>
    </w:p>
    <w:p w14:paraId="3A99E47A" w14:textId="7D65D4B9" w:rsidR="005479AD" w:rsidRPr="00A814C2" w:rsidRDefault="001E430B" w:rsidP="00B048C5">
      <w:pPr>
        <w:rPr>
          <w:rFonts w:ascii="Arial" w:hAnsi="Arial" w:cs="Arial"/>
          <w:sz w:val="24"/>
          <w:szCs w:val="24"/>
        </w:rPr>
      </w:pPr>
      <w:r w:rsidRPr="00A814C2">
        <w:rPr>
          <w:rFonts w:ascii="Arial" w:hAnsi="Arial" w:cs="Arial"/>
          <w:sz w:val="24"/>
          <w:szCs w:val="24"/>
        </w:rPr>
        <w:t xml:space="preserve">In response to any suggestion that my proposals are </w:t>
      </w:r>
      <w:r w:rsidR="005479AD" w:rsidRPr="00A814C2">
        <w:rPr>
          <w:rFonts w:ascii="Arial" w:hAnsi="Arial" w:cs="Arial"/>
          <w:sz w:val="24"/>
          <w:szCs w:val="24"/>
        </w:rPr>
        <w:t>politically</w:t>
      </w:r>
      <w:r w:rsidRPr="00A814C2">
        <w:rPr>
          <w:rFonts w:ascii="Arial" w:hAnsi="Arial" w:cs="Arial"/>
          <w:sz w:val="24"/>
          <w:szCs w:val="24"/>
        </w:rPr>
        <w:t xml:space="preserve"> infeasible, I merely respond, well, what does this say about the prospects for effective evaluation? </w:t>
      </w:r>
      <w:r w:rsidR="00995C95">
        <w:rPr>
          <w:rFonts w:ascii="Arial" w:hAnsi="Arial" w:cs="Arial"/>
          <w:sz w:val="24"/>
          <w:szCs w:val="24"/>
        </w:rPr>
        <w:t xml:space="preserve">And </w:t>
      </w:r>
      <w:r w:rsidR="00995C95">
        <w:rPr>
          <w:rFonts w:ascii="Arial" w:hAnsi="Arial" w:cs="Arial"/>
          <w:sz w:val="24"/>
          <w:szCs w:val="24"/>
        </w:rPr>
        <w:lastRenderedPageBreak/>
        <w:t>further, what does it say about the prospects of governments successfully addressing ongoing Indigenous exclusion and disadvantage?</w:t>
      </w:r>
      <w:r w:rsidR="00995C95" w:rsidRPr="00A814C2">
        <w:rPr>
          <w:rFonts w:ascii="Arial" w:hAnsi="Arial" w:cs="Arial"/>
          <w:sz w:val="24"/>
          <w:szCs w:val="24"/>
        </w:rPr>
        <w:t xml:space="preserve"> The</w:t>
      </w:r>
      <w:r w:rsidR="005479AD" w:rsidRPr="00A814C2">
        <w:rPr>
          <w:rFonts w:ascii="Arial" w:hAnsi="Arial" w:cs="Arial"/>
          <w:sz w:val="24"/>
          <w:szCs w:val="24"/>
        </w:rPr>
        <w:t xml:space="preserve"> reality is that the fear of independent and authoritative critique of policy and program performance is the </w:t>
      </w:r>
      <w:r w:rsidR="00583485">
        <w:rPr>
          <w:rFonts w:ascii="Arial" w:hAnsi="Arial" w:cs="Arial"/>
          <w:sz w:val="24"/>
          <w:szCs w:val="24"/>
        </w:rPr>
        <w:t>‘</w:t>
      </w:r>
      <w:r w:rsidR="005479AD" w:rsidRPr="00A814C2">
        <w:rPr>
          <w:rFonts w:ascii="Arial" w:hAnsi="Arial" w:cs="Arial"/>
          <w:sz w:val="24"/>
          <w:szCs w:val="24"/>
        </w:rPr>
        <w:t>elephant in the room</w:t>
      </w:r>
      <w:r w:rsidR="00583485">
        <w:rPr>
          <w:rFonts w:ascii="Arial" w:hAnsi="Arial" w:cs="Arial"/>
          <w:sz w:val="24"/>
          <w:szCs w:val="24"/>
        </w:rPr>
        <w:t>’</w:t>
      </w:r>
      <w:r w:rsidR="005479AD" w:rsidRPr="00A814C2">
        <w:rPr>
          <w:rFonts w:ascii="Arial" w:hAnsi="Arial" w:cs="Arial"/>
          <w:sz w:val="24"/>
          <w:szCs w:val="24"/>
        </w:rPr>
        <w:t xml:space="preserve">. </w:t>
      </w:r>
      <w:r w:rsidR="00B8232A" w:rsidRPr="00A814C2">
        <w:rPr>
          <w:rFonts w:ascii="Arial" w:hAnsi="Arial" w:cs="Arial"/>
          <w:sz w:val="24"/>
          <w:szCs w:val="24"/>
        </w:rPr>
        <w:t>Constructively critical evaluations will become much more feasible if key program and policy metrics are already in the public domain.</w:t>
      </w:r>
    </w:p>
    <w:p w14:paraId="3CDEE1DB" w14:textId="639DA206" w:rsidR="00B048C5" w:rsidRPr="00A814C2" w:rsidRDefault="001E430B" w:rsidP="00B048C5">
      <w:pPr>
        <w:rPr>
          <w:rFonts w:ascii="Arial" w:hAnsi="Arial" w:cs="Arial"/>
          <w:sz w:val="24"/>
          <w:szCs w:val="24"/>
        </w:rPr>
      </w:pPr>
      <w:r w:rsidRPr="00A814C2">
        <w:rPr>
          <w:rFonts w:ascii="Arial" w:hAnsi="Arial" w:cs="Arial"/>
          <w:sz w:val="24"/>
          <w:szCs w:val="24"/>
        </w:rPr>
        <w:t>After all, the operations of the public sector are taxpayer fun</w:t>
      </w:r>
      <w:r w:rsidR="005479AD" w:rsidRPr="00A814C2">
        <w:rPr>
          <w:rFonts w:ascii="Arial" w:hAnsi="Arial" w:cs="Arial"/>
          <w:sz w:val="24"/>
          <w:szCs w:val="24"/>
        </w:rPr>
        <w:t>ded, the executive is formed fro</w:t>
      </w:r>
      <w:r w:rsidRPr="00A814C2">
        <w:rPr>
          <w:rFonts w:ascii="Arial" w:hAnsi="Arial" w:cs="Arial"/>
          <w:sz w:val="24"/>
          <w:szCs w:val="24"/>
        </w:rPr>
        <w:t xml:space="preserve">m elected representatives, our democratic system is based on assumptions of an informed citizenry, and if it is not informed about the operations of its representatives, what does that mean? Representative government is losing the trust of its citizenry across the world. </w:t>
      </w:r>
      <w:r w:rsidR="00221CBA">
        <w:rPr>
          <w:rFonts w:ascii="Arial" w:hAnsi="Arial" w:cs="Arial"/>
          <w:sz w:val="24"/>
          <w:szCs w:val="24"/>
        </w:rPr>
        <w:t xml:space="preserve">Recently, ANZSOG published a report </w:t>
      </w:r>
      <w:r w:rsidR="00A12420">
        <w:rPr>
          <w:rFonts w:ascii="Arial" w:hAnsi="Arial" w:cs="Arial"/>
          <w:sz w:val="24"/>
          <w:szCs w:val="24"/>
        </w:rPr>
        <w:t xml:space="preserve">on the public sector </w:t>
      </w:r>
      <w:r w:rsidR="00221CBA">
        <w:rPr>
          <w:rFonts w:ascii="Arial" w:hAnsi="Arial" w:cs="Arial"/>
          <w:sz w:val="24"/>
          <w:szCs w:val="24"/>
        </w:rPr>
        <w:t xml:space="preserve">that warned of a ‘creeping crisis’ of effectiveness and legitimacy (Noveck &amp; Glover 2019) </w:t>
      </w:r>
      <w:r w:rsidRPr="00A814C2">
        <w:rPr>
          <w:rFonts w:ascii="Arial" w:hAnsi="Arial" w:cs="Arial"/>
          <w:sz w:val="24"/>
          <w:szCs w:val="24"/>
        </w:rPr>
        <w:t xml:space="preserve">It is time for the articulation of ambitious proposals. The Productivity Commission has the independence and status to challenge the stale, defensive and ultimately self-defeating mindsets of </w:t>
      </w:r>
      <w:r w:rsidR="003F095A" w:rsidRPr="00A814C2">
        <w:rPr>
          <w:rFonts w:ascii="Arial" w:hAnsi="Arial" w:cs="Arial"/>
          <w:sz w:val="24"/>
          <w:szCs w:val="24"/>
        </w:rPr>
        <w:t xml:space="preserve">those </w:t>
      </w:r>
      <w:r w:rsidRPr="00A814C2">
        <w:rPr>
          <w:rFonts w:ascii="Arial" w:hAnsi="Arial" w:cs="Arial"/>
          <w:sz w:val="24"/>
          <w:szCs w:val="24"/>
        </w:rPr>
        <w:t xml:space="preserve">public sector insiders who are not prepared to embrace </w:t>
      </w:r>
      <w:r w:rsidR="005479AD" w:rsidRPr="00A814C2">
        <w:rPr>
          <w:rFonts w:ascii="Arial" w:hAnsi="Arial" w:cs="Arial"/>
          <w:sz w:val="24"/>
          <w:szCs w:val="24"/>
        </w:rPr>
        <w:t>innovation</w:t>
      </w:r>
      <w:r w:rsidRPr="00A814C2">
        <w:rPr>
          <w:rFonts w:ascii="Arial" w:hAnsi="Arial" w:cs="Arial"/>
          <w:sz w:val="24"/>
          <w:szCs w:val="24"/>
        </w:rPr>
        <w:t xml:space="preserve"> and change</w:t>
      </w:r>
      <w:r w:rsidR="003F095A" w:rsidRPr="00A814C2">
        <w:rPr>
          <w:rFonts w:ascii="Arial" w:hAnsi="Arial" w:cs="Arial"/>
          <w:sz w:val="24"/>
          <w:szCs w:val="24"/>
        </w:rPr>
        <w:t>, and have forgotten (or perhaps never experienced) the traditions of a public sector prepared to offer ‘frank and fearless’ advice</w:t>
      </w:r>
      <w:r w:rsidRPr="00A814C2">
        <w:rPr>
          <w:rFonts w:ascii="Arial" w:hAnsi="Arial" w:cs="Arial"/>
          <w:sz w:val="24"/>
          <w:szCs w:val="24"/>
        </w:rPr>
        <w:t>.</w:t>
      </w:r>
      <w:r w:rsidR="005479AD" w:rsidRPr="00A814C2">
        <w:rPr>
          <w:rFonts w:ascii="Arial" w:hAnsi="Arial" w:cs="Arial"/>
          <w:sz w:val="24"/>
          <w:szCs w:val="24"/>
        </w:rPr>
        <w:t xml:space="preserve"> </w:t>
      </w:r>
    </w:p>
    <w:p w14:paraId="4D8B579D" w14:textId="77777777" w:rsidR="008822C1" w:rsidRPr="00A814C2" w:rsidRDefault="003F095A" w:rsidP="00B048C5">
      <w:pPr>
        <w:rPr>
          <w:rFonts w:ascii="Arial" w:hAnsi="Arial" w:cs="Arial"/>
          <w:sz w:val="24"/>
          <w:szCs w:val="24"/>
        </w:rPr>
      </w:pPr>
      <w:r w:rsidRPr="00A814C2">
        <w:rPr>
          <w:rFonts w:ascii="Arial" w:hAnsi="Arial" w:cs="Arial"/>
          <w:sz w:val="24"/>
          <w:szCs w:val="24"/>
        </w:rPr>
        <w:t>Of course, it goes without saying that a new dynamic transparency would also</w:t>
      </w:r>
      <w:r w:rsidR="008822C1" w:rsidRPr="00A814C2">
        <w:rPr>
          <w:rFonts w:ascii="Arial" w:hAnsi="Arial" w:cs="Arial"/>
          <w:sz w:val="24"/>
          <w:szCs w:val="24"/>
        </w:rPr>
        <w:t xml:space="preserve">, in relation to all evaluations, </w:t>
      </w:r>
      <w:r w:rsidRPr="00A814C2">
        <w:rPr>
          <w:rFonts w:ascii="Arial" w:hAnsi="Arial" w:cs="Arial"/>
          <w:sz w:val="24"/>
          <w:szCs w:val="24"/>
        </w:rPr>
        <w:t xml:space="preserve">see the public sector commit </w:t>
      </w:r>
      <w:r w:rsidR="008822C1" w:rsidRPr="00A814C2">
        <w:rPr>
          <w:rFonts w:ascii="Arial" w:hAnsi="Arial" w:cs="Arial"/>
          <w:sz w:val="24"/>
          <w:szCs w:val="24"/>
        </w:rPr>
        <w:t>to:</w:t>
      </w:r>
      <w:r w:rsidRPr="00A814C2">
        <w:rPr>
          <w:rFonts w:ascii="Arial" w:hAnsi="Arial" w:cs="Arial"/>
          <w:sz w:val="24"/>
          <w:szCs w:val="24"/>
        </w:rPr>
        <w:t xml:space="preserve"> </w:t>
      </w:r>
    </w:p>
    <w:p w14:paraId="75ACFFB1" w14:textId="77777777" w:rsidR="008822C1" w:rsidRPr="00A814C2" w:rsidRDefault="003F095A" w:rsidP="008822C1">
      <w:pPr>
        <w:pStyle w:val="ListParagraph"/>
        <w:numPr>
          <w:ilvl w:val="0"/>
          <w:numId w:val="2"/>
        </w:numPr>
        <w:rPr>
          <w:rFonts w:ascii="Arial" w:hAnsi="Arial" w:cs="Arial"/>
          <w:sz w:val="24"/>
          <w:szCs w:val="24"/>
        </w:rPr>
      </w:pPr>
      <w:r w:rsidRPr="00A814C2">
        <w:rPr>
          <w:rFonts w:ascii="Arial" w:hAnsi="Arial" w:cs="Arial"/>
          <w:sz w:val="24"/>
          <w:szCs w:val="24"/>
        </w:rPr>
        <w:t xml:space="preserve">publishing </w:t>
      </w:r>
      <w:r w:rsidR="008822C1" w:rsidRPr="00A814C2">
        <w:rPr>
          <w:rFonts w:ascii="Arial" w:hAnsi="Arial" w:cs="Arial"/>
          <w:sz w:val="24"/>
          <w:szCs w:val="24"/>
        </w:rPr>
        <w:t xml:space="preserve">completed evaluations within, say, three months of completion; </w:t>
      </w:r>
    </w:p>
    <w:p w14:paraId="08DA2B74" w14:textId="77777777" w:rsidR="008822C1" w:rsidRPr="00A814C2" w:rsidRDefault="008822C1" w:rsidP="008822C1">
      <w:pPr>
        <w:pStyle w:val="ListParagraph"/>
        <w:numPr>
          <w:ilvl w:val="0"/>
          <w:numId w:val="2"/>
        </w:numPr>
        <w:rPr>
          <w:rFonts w:ascii="Arial" w:hAnsi="Arial" w:cs="Arial"/>
          <w:sz w:val="24"/>
          <w:szCs w:val="24"/>
        </w:rPr>
      </w:pPr>
      <w:r w:rsidRPr="00A814C2">
        <w:rPr>
          <w:rFonts w:ascii="Arial" w:hAnsi="Arial" w:cs="Arial"/>
          <w:sz w:val="24"/>
          <w:szCs w:val="24"/>
        </w:rPr>
        <w:t xml:space="preserve">publishing updates on progress where evaluations are undertaken over extended period; and to </w:t>
      </w:r>
    </w:p>
    <w:p w14:paraId="34C1C840" w14:textId="77777777" w:rsidR="008822C1" w:rsidRPr="00A814C2" w:rsidRDefault="008822C1" w:rsidP="008822C1">
      <w:pPr>
        <w:pStyle w:val="ListParagraph"/>
        <w:numPr>
          <w:ilvl w:val="0"/>
          <w:numId w:val="2"/>
        </w:numPr>
        <w:rPr>
          <w:rFonts w:ascii="Arial" w:hAnsi="Arial" w:cs="Arial"/>
          <w:sz w:val="24"/>
          <w:szCs w:val="24"/>
        </w:rPr>
      </w:pPr>
      <w:r w:rsidRPr="00A814C2">
        <w:rPr>
          <w:rFonts w:ascii="Arial" w:hAnsi="Arial" w:cs="Arial"/>
          <w:sz w:val="24"/>
          <w:szCs w:val="24"/>
        </w:rPr>
        <w:t xml:space="preserve">publishing a formal response to evaluation findings and recommendations within say four months of completion; and </w:t>
      </w:r>
    </w:p>
    <w:p w14:paraId="092C0131" w14:textId="77777777" w:rsidR="003F095A" w:rsidRPr="00A814C2" w:rsidRDefault="008822C1" w:rsidP="008822C1">
      <w:pPr>
        <w:pStyle w:val="ListParagraph"/>
        <w:numPr>
          <w:ilvl w:val="0"/>
          <w:numId w:val="2"/>
        </w:numPr>
        <w:rPr>
          <w:rFonts w:ascii="Arial" w:hAnsi="Arial" w:cs="Arial"/>
          <w:sz w:val="24"/>
          <w:szCs w:val="24"/>
        </w:rPr>
      </w:pPr>
      <w:r w:rsidRPr="00A814C2">
        <w:rPr>
          <w:rFonts w:ascii="Arial" w:hAnsi="Arial" w:cs="Arial"/>
          <w:sz w:val="24"/>
          <w:szCs w:val="24"/>
        </w:rPr>
        <w:t>importantly, to publishing a follow up response on implementation progress twelve months after evaluation completion.</w:t>
      </w:r>
    </w:p>
    <w:p w14:paraId="78366247" w14:textId="7FBB3C60" w:rsidR="005479AD" w:rsidRPr="00A814C2" w:rsidRDefault="008822C1" w:rsidP="00B048C5">
      <w:pPr>
        <w:rPr>
          <w:rFonts w:ascii="Arial" w:hAnsi="Arial" w:cs="Arial"/>
          <w:sz w:val="24"/>
          <w:szCs w:val="24"/>
        </w:rPr>
      </w:pPr>
      <w:r w:rsidRPr="00A814C2">
        <w:rPr>
          <w:rFonts w:ascii="Arial" w:hAnsi="Arial" w:cs="Arial"/>
          <w:sz w:val="24"/>
          <w:szCs w:val="24"/>
        </w:rPr>
        <w:t xml:space="preserve">In relation to the last two dot points above, it is worth noting just how desultory the public sector </w:t>
      </w:r>
      <w:r w:rsidR="00583485">
        <w:rPr>
          <w:rFonts w:ascii="Arial" w:hAnsi="Arial" w:cs="Arial"/>
          <w:sz w:val="24"/>
          <w:szCs w:val="24"/>
        </w:rPr>
        <w:t xml:space="preserve">currently </w:t>
      </w:r>
      <w:r w:rsidRPr="00A814C2">
        <w:rPr>
          <w:rFonts w:ascii="Arial" w:hAnsi="Arial" w:cs="Arial"/>
          <w:sz w:val="24"/>
          <w:szCs w:val="24"/>
        </w:rPr>
        <w:t>is in responding to formal recommendations of the ANAO and Parliamentary Committees</w:t>
      </w:r>
      <w:r w:rsidR="00187F50" w:rsidRPr="00A814C2">
        <w:rPr>
          <w:rFonts w:ascii="Arial" w:hAnsi="Arial" w:cs="Arial"/>
          <w:sz w:val="24"/>
          <w:szCs w:val="24"/>
        </w:rPr>
        <w:t xml:space="preserve">. The ANAO reports (2019: 21-2) that at the end of 2018, there were 338 parliamentary committee reports with outstanding responses, of which 274 reports (or 81 percent) had no response. In relation to </w:t>
      </w:r>
      <w:r w:rsidR="00583485">
        <w:rPr>
          <w:rFonts w:ascii="Arial" w:hAnsi="Arial" w:cs="Arial"/>
          <w:sz w:val="24"/>
          <w:szCs w:val="24"/>
        </w:rPr>
        <w:t xml:space="preserve">formal audit </w:t>
      </w:r>
      <w:r w:rsidR="00187F50" w:rsidRPr="00A814C2">
        <w:rPr>
          <w:rFonts w:ascii="Arial" w:hAnsi="Arial" w:cs="Arial"/>
          <w:sz w:val="24"/>
          <w:szCs w:val="24"/>
        </w:rPr>
        <w:t>recommendations to a number of agencies</w:t>
      </w:r>
      <w:r w:rsidR="00583485">
        <w:rPr>
          <w:rFonts w:ascii="Arial" w:hAnsi="Arial" w:cs="Arial"/>
          <w:sz w:val="24"/>
          <w:szCs w:val="24"/>
        </w:rPr>
        <w:t>,</w:t>
      </w:r>
      <w:r w:rsidR="00187F50" w:rsidRPr="00A814C2">
        <w:rPr>
          <w:rFonts w:ascii="Arial" w:hAnsi="Arial" w:cs="Arial"/>
          <w:sz w:val="24"/>
          <w:szCs w:val="24"/>
        </w:rPr>
        <w:t xml:space="preserve"> there were major failures to implement recommendations, including recommendations </w:t>
      </w:r>
      <w:r w:rsidR="002C4645" w:rsidRPr="00A814C2">
        <w:rPr>
          <w:rFonts w:ascii="Arial" w:hAnsi="Arial" w:cs="Arial"/>
          <w:sz w:val="24"/>
          <w:szCs w:val="24"/>
          <w:u w:val="single"/>
        </w:rPr>
        <w:t>to which agencies had themselves agreed</w:t>
      </w:r>
      <w:r w:rsidR="002C4645" w:rsidRPr="00A814C2">
        <w:rPr>
          <w:rFonts w:ascii="Arial" w:hAnsi="Arial" w:cs="Arial"/>
          <w:sz w:val="24"/>
          <w:szCs w:val="24"/>
        </w:rPr>
        <w:t xml:space="preserve"> (emphasis added)</w:t>
      </w:r>
      <w:r w:rsidRPr="00A814C2">
        <w:rPr>
          <w:rFonts w:ascii="Arial" w:hAnsi="Arial" w:cs="Arial"/>
          <w:sz w:val="24"/>
          <w:szCs w:val="24"/>
        </w:rPr>
        <w:t xml:space="preserve"> (ANAO 2019</w:t>
      </w:r>
      <w:r w:rsidR="00187F50" w:rsidRPr="00A814C2">
        <w:rPr>
          <w:rFonts w:ascii="Arial" w:hAnsi="Arial" w:cs="Arial"/>
          <w:sz w:val="24"/>
          <w:szCs w:val="24"/>
        </w:rPr>
        <w:t>: ch 3</w:t>
      </w:r>
      <w:r w:rsidRPr="00A814C2">
        <w:rPr>
          <w:rFonts w:ascii="Arial" w:hAnsi="Arial" w:cs="Arial"/>
          <w:sz w:val="24"/>
          <w:szCs w:val="24"/>
        </w:rPr>
        <w:t xml:space="preserve">). </w:t>
      </w:r>
      <w:r w:rsidR="00B831B0">
        <w:rPr>
          <w:rFonts w:ascii="Arial" w:hAnsi="Arial" w:cs="Arial"/>
          <w:sz w:val="24"/>
          <w:szCs w:val="24"/>
        </w:rPr>
        <w:t xml:space="preserve">See Dillon (2019) for details of a recent ANAO audit that found that PMC had failed to implement </w:t>
      </w:r>
      <w:r w:rsidR="00B831B0" w:rsidRPr="007B4035">
        <w:rPr>
          <w:rFonts w:ascii="Arial" w:hAnsi="Arial" w:cs="Arial"/>
          <w:sz w:val="24"/>
          <w:szCs w:val="24"/>
          <w:u w:val="single"/>
        </w:rPr>
        <w:t>an agreed recommendation</w:t>
      </w:r>
      <w:r w:rsidR="00B831B0">
        <w:rPr>
          <w:rFonts w:ascii="Arial" w:hAnsi="Arial" w:cs="Arial"/>
          <w:sz w:val="24"/>
          <w:szCs w:val="24"/>
        </w:rPr>
        <w:t xml:space="preserve"> related to strengthening its evaluation activities. </w:t>
      </w:r>
      <w:r w:rsidR="00583485">
        <w:rPr>
          <w:rFonts w:ascii="Arial" w:hAnsi="Arial" w:cs="Arial"/>
          <w:sz w:val="24"/>
          <w:szCs w:val="24"/>
        </w:rPr>
        <w:t>These ANAO findings point</w:t>
      </w:r>
      <w:r w:rsidR="00187F50" w:rsidRPr="00A814C2">
        <w:rPr>
          <w:rFonts w:ascii="Arial" w:hAnsi="Arial" w:cs="Arial"/>
          <w:sz w:val="24"/>
          <w:szCs w:val="24"/>
        </w:rPr>
        <w:t xml:space="preserve"> to the existence of deep-seated cultural issues </w:t>
      </w:r>
      <w:r w:rsidR="00583485">
        <w:rPr>
          <w:rFonts w:ascii="Arial" w:hAnsi="Arial" w:cs="Arial"/>
          <w:sz w:val="24"/>
          <w:szCs w:val="24"/>
        </w:rPr>
        <w:t xml:space="preserve">across the public sector </w:t>
      </w:r>
      <w:r w:rsidR="00187F50" w:rsidRPr="00A814C2">
        <w:rPr>
          <w:rFonts w:ascii="Arial" w:hAnsi="Arial" w:cs="Arial"/>
          <w:sz w:val="24"/>
          <w:szCs w:val="24"/>
        </w:rPr>
        <w:t xml:space="preserve">that will easily translate to the </w:t>
      </w:r>
      <w:r w:rsidR="00583485">
        <w:rPr>
          <w:rFonts w:ascii="Arial" w:hAnsi="Arial" w:cs="Arial"/>
          <w:sz w:val="24"/>
          <w:szCs w:val="24"/>
        </w:rPr>
        <w:t>(non)</w:t>
      </w:r>
      <w:r w:rsidR="00187F50" w:rsidRPr="00A814C2">
        <w:rPr>
          <w:rFonts w:ascii="Arial" w:hAnsi="Arial" w:cs="Arial"/>
          <w:sz w:val="24"/>
          <w:szCs w:val="24"/>
        </w:rPr>
        <w:t>implementation</w:t>
      </w:r>
      <w:r w:rsidR="00583485">
        <w:rPr>
          <w:rFonts w:ascii="Arial" w:hAnsi="Arial" w:cs="Arial"/>
          <w:sz w:val="24"/>
          <w:szCs w:val="24"/>
        </w:rPr>
        <w:t xml:space="preserve"> of evaluation findings, </w:t>
      </w:r>
      <w:r w:rsidR="00187F50" w:rsidRPr="00A814C2">
        <w:rPr>
          <w:rFonts w:ascii="Arial" w:hAnsi="Arial" w:cs="Arial"/>
          <w:sz w:val="24"/>
          <w:szCs w:val="24"/>
        </w:rPr>
        <w:t>especially in areas such as I</w:t>
      </w:r>
      <w:r w:rsidR="00583485">
        <w:rPr>
          <w:rFonts w:ascii="Arial" w:hAnsi="Arial" w:cs="Arial"/>
          <w:sz w:val="24"/>
          <w:szCs w:val="24"/>
        </w:rPr>
        <w:t>ndigenous affairs where there are</w:t>
      </w:r>
      <w:r w:rsidR="00187F50" w:rsidRPr="00A814C2">
        <w:rPr>
          <w:rFonts w:ascii="Arial" w:hAnsi="Arial" w:cs="Arial"/>
          <w:sz w:val="24"/>
          <w:szCs w:val="24"/>
        </w:rPr>
        <w:t xml:space="preserve"> limited advocacy resources directed to</w:t>
      </w:r>
      <w:r w:rsidR="00583485">
        <w:rPr>
          <w:rFonts w:ascii="Arial" w:hAnsi="Arial" w:cs="Arial"/>
          <w:sz w:val="24"/>
          <w:szCs w:val="24"/>
        </w:rPr>
        <w:t xml:space="preserve"> technical public policy issues</w:t>
      </w:r>
      <w:r w:rsidR="00187F50" w:rsidRPr="00A814C2">
        <w:rPr>
          <w:rFonts w:ascii="Arial" w:hAnsi="Arial" w:cs="Arial"/>
          <w:sz w:val="24"/>
          <w:szCs w:val="24"/>
        </w:rPr>
        <w:t>.</w:t>
      </w:r>
      <w:r w:rsidR="00995C95">
        <w:rPr>
          <w:rFonts w:ascii="Arial" w:hAnsi="Arial" w:cs="Arial"/>
          <w:sz w:val="24"/>
          <w:szCs w:val="24"/>
        </w:rPr>
        <w:t xml:space="preserve"> I recommend you read the response of the Secretary of the Department of Prime Minister and Cabinet attached to the ANAO report to assess the severity of pressure that will be applied to agencies into the future for any continuing non-compliance.</w:t>
      </w:r>
    </w:p>
    <w:p w14:paraId="596547CF" w14:textId="77777777" w:rsidR="00187F50" w:rsidRPr="00A814C2" w:rsidRDefault="00187F50" w:rsidP="00B048C5">
      <w:pPr>
        <w:rPr>
          <w:rFonts w:ascii="Arial" w:hAnsi="Arial" w:cs="Arial"/>
          <w:sz w:val="24"/>
          <w:szCs w:val="24"/>
        </w:rPr>
      </w:pPr>
      <w:r w:rsidRPr="00A814C2">
        <w:rPr>
          <w:rFonts w:ascii="Arial" w:hAnsi="Arial" w:cs="Arial"/>
          <w:sz w:val="24"/>
          <w:szCs w:val="24"/>
        </w:rPr>
        <w:lastRenderedPageBreak/>
        <w:t>It follows that in developing a whole</w:t>
      </w:r>
      <w:r w:rsidR="008476A4" w:rsidRPr="00A814C2">
        <w:rPr>
          <w:rFonts w:ascii="Arial" w:hAnsi="Arial" w:cs="Arial"/>
          <w:sz w:val="24"/>
          <w:szCs w:val="24"/>
        </w:rPr>
        <w:t xml:space="preserve"> </w:t>
      </w:r>
      <w:r w:rsidRPr="00A814C2">
        <w:rPr>
          <w:rFonts w:ascii="Arial" w:hAnsi="Arial" w:cs="Arial"/>
          <w:sz w:val="24"/>
          <w:szCs w:val="24"/>
        </w:rPr>
        <w:t xml:space="preserve">of government </w:t>
      </w:r>
      <w:r w:rsidR="008476A4" w:rsidRPr="00A814C2">
        <w:rPr>
          <w:rFonts w:ascii="Arial" w:hAnsi="Arial" w:cs="Arial"/>
          <w:sz w:val="24"/>
          <w:szCs w:val="24"/>
        </w:rPr>
        <w:t>Indigenous</w:t>
      </w:r>
      <w:r w:rsidRPr="00A814C2">
        <w:rPr>
          <w:rFonts w:ascii="Arial" w:hAnsi="Arial" w:cs="Arial"/>
          <w:sz w:val="24"/>
          <w:szCs w:val="24"/>
        </w:rPr>
        <w:t xml:space="preserve"> evaluation strategy, the Commission will need </w:t>
      </w:r>
      <w:r w:rsidR="008476A4" w:rsidRPr="00A814C2">
        <w:rPr>
          <w:rFonts w:ascii="Arial" w:hAnsi="Arial" w:cs="Arial"/>
          <w:sz w:val="24"/>
          <w:szCs w:val="24"/>
        </w:rPr>
        <w:t>to</w:t>
      </w:r>
      <w:r w:rsidRPr="00A814C2">
        <w:rPr>
          <w:rFonts w:ascii="Arial" w:hAnsi="Arial" w:cs="Arial"/>
          <w:sz w:val="24"/>
          <w:szCs w:val="24"/>
        </w:rPr>
        <w:t xml:space="preserve"> give serious consideration to addressing these cultural issues (with more than rhetoric). </w:t>
      </w:r>
      <w:r w:rsidR="008476A4" w:rsidRPr="00A814C2">
        <w:rPr>
          <w:rFonts w:ascii="Arial" w:hAnsi="Arial" w:cs="Arial"/>
          <w:sz w:val="24"/>
          <w:szCs w:val="24"/>
        </w:rPr>
        <w:t>Successful cultural change across the public sector will require</w:t>
      </w:r>
      <w:r w:rsidRPr="00A814C2">
        <w:rPr>
          <w:rFonts w:ascii="Arial" w:hAnsi="Arial" w:cs="Arial"/>
          <w:sz w:val="24"/>
          <w:szCs w:val="24"/>
        </w:rPr>
        <w:t xml:space="preserve"> the introduction of new evaluation governance mechanisms and </w:t>
      </w:r>
      <w:r w:rsidR="008476A4" w:rsidRPr="00A814C2">
        <w:rPr>
          <w:rFonts w:ascii="Arial" w:hAnsi="Arial" w:cs="Arial"/>
          <w:sz w:val="24"/>
          <w:szCs w:val="24"/>
        </w:rPr>
        <w:t>frameworks.</w:t>
      </w:r>
    </w:p>
    <w:p w14:paraId="1D80C085" w14:textId="75CD0907" w:rsidR="008476A4" w:rsidRDefault="008476A4" w:rsidP="00B048C5">
      <w:pPr>
        <w:rPr>
          <w:rFonts w:ascii="Arial" w:hAnsi="Arial" w:cs="Arial"/>
          <w:sz w:val="24"/>
          <w:szCs w:val="24"/>
        </w:rPr>
      </w:pPr>
    </w:p>
    <w:p w14:paraId="6F666C81" w14:textId="77777777" w:rsidR="008476A4" w:rsidRPr="00A814C2" w:rsidRDefault="008476A4" w:rsidP="00B048C5">
      <w:pPr>
        <w:rPr>
          <w:rFonts w:ascii="Arial" w:hAnsi="Arial" w:cs="Arial"/>
          <w:i/>
          <w:sz w:val="24"/>
          <w:szCs w:val="24"/>
        </w:rPr>
      </w:pPr>
      <w:r w:rsidRPr="00A814C2">
        <w:rPr>
          <w:rFonts w:ascii="Arial" w:hAnsi="Arial" w:cs="Arial"/>
          <w:i/>
          <w:sz w:val="24"/>
          <w:szCs w:val="24"/>
        </w:rPr>
        <w:t>Evaluation Governance</w:t>
      </w:r>
    </w:p>
    <w:p w14:paraId="475D87ED" w14:textId="469EC461" w:rsidR="00C03385" w:rsidRPr="00A814C2" w:rsidRDefault="008476A4" w:rsidP="00B048C5">
      <w:pPr>
        <w:rPr>
          <w:rFonts w:ascii="Arial" w:hAnsi="Arial" w:cs="Arial"/>
          <w:sz w:val="24"/>
          <w:szCs w:val="24"/>
        </w:rPr>
      </w:pPr>
      <w:r w:rsidRPr="00A814C2">
        <w:rPr>
          <w:rFonts w:ascii="Arial" w:hAnsi="Arial" w:cs="Arial"/>
          <w:sz w:val="24"/>
          <w:szCs w:val="24"/>
        </w:rPr>
        <w:t xml:space="preserve">The </w:t>
      </w:r>
      <w:r w:rsidR="00FA7DDA">
        <w:rPr>
          <w:rFonts w:ascii="Arial" w:hAnsi="Arial" w:cs="Arial"/>
          <w:sz w:val="24"/>
          <w:szCs w:val="24"/>
        </w:rPr>
        <w:t>Dreise et al.</w:t>
      </w:r>
      <w:r w:rsidR="00FA7DDA" w:rsidRPr="00A814C2">
        <w:rPr>
          <w:rFonts w:ascii="Arial" w:hAnsi="Arial" w:cs="Arial"/>
          <w:sz w:val="24"/>
          <w:szCs w:val="24"/>
        </w:rPr>
        <w:t xml:space="preserve"> </w:t>
      </w:r>
      <w:r w:rsidRPr="00A814C2">
        <w:rPr>
          <w:rFonts w:ascii="Arial" w:hAnsi="Arial" w:cs="Arial"/>
          <w:sz w:val="24"/>
          <w:szCs w:val="24"/>
        </w:rPr>
        <w:t xml:space="preserve">submission argues strongly for much stronger Indigenous engagement in the governance of evaluation across the public sector. I endorse this. </w:t>
      </w:r>
    </w:p>
    <w:p w14:paraId="6A345AB3" w14:textId="77777777" w:rsidR="00C03385" w:rsidRPr="00A814C2" w:rsidRDefault="008476A4" w:rsidP="00B048C5">
      <w:pPr>
        <w:rPr>
          <w:rFonts w:ascii="Arial" w:hAnsi="Arial" w:cs="Arial"/>
          <w:sz w:val="24"/>
          <w:szCs w:val="24"/>
        </w:rPr>
      </w:pPr>
      <w:r w:rsidRPr="00A814C2">
        <w:rPr>
          <w:rFonts w:ascii="Arial" w:hAnsi="Arial" w:cs="Arial"/>
          <w:sz w:val="24"/>
          <w:szCs w:val="24"/>
        </w:rPr>
        <w:t xml:space="preserve">Nevertheless, I am conscious that evaluation of mainstream programs (which in my view is the main game for Indigenous interests) is not amenable to </w:t>
      </w:r>
      <w:r w:rsidR="00C03385" w:rsidRPr="00A814C2">
        <w:rPr>
          <w:rFonts w:ascii="Arial" w:hAnsi="Arial" w:cs="Arial"/>
          <w:sz w:val="24"/>
          <w:szCs w:val="24"/>
        </w:rPr>
        <w:t xml:space="preserve">intensive </w:t>
      </w:r>
      <w:r w:rsidRPr="00A814C2">
        <w:rPr>
          <w:rFonts w:ascii="Arial" w:hAnsi="Arial" w:cs="Arial"/>
          <w:sz w:val="24"/>
          <w:szCs w:val="24"/>
        </w:rPr>
        <w:t xml:space="preserve">Indigenous involvement in all stages of the evaluation process. Accordingly, it is my view that the Commission will need to give serious consideration to a policy framework which allows for Indigenous engagement at an early stage in evaluation topic selection, design, and planning while also meeting the important requirements for independence and transparency. </w:t>
      </w:r>
    </w:p>
    <w:p w14:paraId="7588696E" w14:textId="131B6462" w:rsidR="008476A4" w:rsidRPr="00A814C2" w:rsidRDefault="008476A4" w:rsidP="00B048C5">
      <w:pPr>
        <w:rPr>
          <w:rFonts w:ascii="Arial" w:hAnsi="Arial" w:cs="Arial"/>
          <w:sz w:val="24"/>
          <w:szCs w:val="24"/>
        </w:rPr>
      </w:pPr>
      <w:r w:rsidRPr="00A814C2">
        <w:rPr>
          <w:rFonts w:ascii="Arial" w:hAnsi="Arial" w:cs="Arial"/>
          <w:sz w:val="24"/>
          <w:szCs w:val="24"/>
        </w:rPr>
        <w:t xml:space="preserve">I have not developed a comprehensive and coherent proposal to achieve such an </w:t>
      </w:r>
      <w:r w:rsidR="00C03385" w:rsidRPr="00A814C2">
        <w:rPr>
          <w:rFonts w:ascii="Arial" w:hAnsi="Arial" w:cs="Arial"/>
          <w:sz w:val="24"/>
          <w:szCs w:val="24"/>
        </w:rPr>
        <w:t>outcome</w:t>
      </w:r>
      <w:r w:rsidRPr="00A814C2">
        <w:rPr>
          <w:rFonts w:ascii="Arial" w:hAnsi="Arial" w:cs="Arial"/>
          <w:sz w:val="24"/>
          <w:szCs w:val="24"/>
        </w:rPr>
        <w:t xml:space="preserve">. Nevertheless, my intuition tells me that a part </w:t>
      </w:r>
      <w:r w:rsidR="00C03385" w:rsidRPr="00A814C2">
        <w:rPr>
          <w:rFonts w:ascii="Arial" w:hAnsi="Arial" w:cs="Arial"/>
          <w:sz w:val="24"/>
          <w:szCs w:val="24"/>
        </w:rPr>
        <w:t>of</w:t>
      </w:r>
      <w:r w:rsidRPr="00A814C2">
        <w:rPr>
          <w:rFonts w:ascii="Arial" w:hAnsi="Arial" w:cs="Arial"/>
          <w:sz w:val="24"/>
          <w:szCs w:val="24"/>
        </w:rPr>
        <w:t xml:space="preserve"> the </w:t>
      </w:r>
      <w:r w:rsidR="00C03385" w:rsidRPr="00A814C2">
        <w:rPr>
          <w:rFonts w:ascii="Arial" w:hAnsi="Arial" w:cs="Arial"/>
          <w:sz w:val="24"/>
          <w:szCs w:val="24"/>
        </w:rPr>
        <w:t>solution would be the establishment of a standalone and statutorily independent Indigenous</w:t>
      </w:r>
      <w:r w:rsidRPr="00A814C2">
        <w:rPr>
          <w:rFonts w:ascii="Arial" w:hAnsi="Arial" w:cs="Arial"/>
          <w:sz w:val="24"/>
          <w:szCs w:val="24"/>
        </w:rPr>
        <w:t xml:space="preserve"> evaluation entity</w:t>
      </w:r>
      <w:r w:rsidR="00C03385" w:rsidRPr="00A814C2">
        <w:rPr>
          <w:rFonts w:ascii="Arial" w:hAnsi="Arial" w:cs="Arial"/>
          <w:sz w:val="24"/>
          <w:szCs w:val="24"/>
        </w:rPr>
        <w:t xml:space="preserve">. </w:t>
      </w:r>
      <w:r w:rsidR="00995C95">
        <w:rPr>
          <w:rFonts w:ascii="Arial" w:hAnsi="Arial" w:cs="Arial"/>
          <w:sz w:val="24"/>
          <w:szCs w:val="24"/>
        </w:rPr>
        <w:t xml:space="preserve">Dreise et.al. also advocate consideration of such an entity. </w:t>
      </w:r>
      <w:r w:rsidR="00C03385" w:rsidRPr="00A814C2">
        <w:rPr>
          <w:rFonts w:ascii="Arial" w:hAnsi="Arial" w:cs="Arial"/>
          <w:sz w:val="24"/>
          <w:szCs w:val="24"/>
        </w:rPr>
        <w:t>It would require a remit</w:t>
      </w:r>
      <w:r w:rsidRPr="00A814C2">
        <w:rPr>
          <w:rFonts w:ascii="Arial" w:hAnsi="Arial" w:cs="Arial"/>
          <w:sz w:val="24"/>
          <w:szCs w:val="24"/>
        </w:rPr>
        <w:t xml:space="preserve"> </w:t>
      </w:r>
      <w:r w:rsidR="00C03385" w:rsidRPr="00A814C2">
        <w:rPr>
          <w:rFonts w:ascii="Arial" w:hAnsi="Arial" w:cs="Arial"/>
          <w:sz w:val="24"/>
          <w:szCs w:val="24"/>
        </w:rPr>
        <w:t>to</w:t>
      </w:r>
      <w:r w:rsidRPr="00A814C2">
        <w:rPr>
          <w:rFonts w:ascii="Arial" w:hAnsi="Arial" w:cs="Arial"/>
          <w:sz w:val="24"/>
          <w:szCs w:val="24"/>
        </w:rPr>
        <w:t xml:space="preserve"> </w:t>
      </w:r>
      <w:r w:rsidR="00C03385" w:rsidRPr="00A814C2">
        <w:rPr>
          <w:rFonts w:ascii="Arial" w:hAnsi="Arial" w:cs="Arial"/>
          <w:sz w:val="24"/>
          <w:szCs w:val="24"/>
        </w:rPr>
        <w:t>engage</w:t>
      </w:r>
      <w:r w:rsidRPr="00A814C2">
        <w:rPr>
          <w:rFonts w:ascii="Arial" w:hAnsi="Arial" w:cs="Arial"/>
          <w:sz w:val="24"/>
          <w:szCs w:val="24"/>
        </w:rPr>
        <w:t xml:space="preserve"> with agencies about their forward evaluation programs, to participate </w:t>
      </w:r>
      <w:r w:rsidR="00C03385" w:rsidRPr="00A814C2">
        <w:rPr>
          <w:rFonts w:ascii="Arial" w:hAnsi="Arial" w:cs="Arial"/>
          <w:sz w:val="24"/>
          <w:szCs w:val="24"/>
        </w:rPr>
        <w:t>in evaluation pl</w:t>
      </w:r>
      <w:r w:rsidRPr="00A814C2">
        <w:rPr>
          <w:rFonts w:ascii="Arial" w:hAnsi="Arial" w:cs="Arial"/>
          <w:sz w:val="24"/>
          <w:szCs w:val="24"/>
        </w:rPr>
        <w:t xml:space="preserve">anning where the entity considers there to be tangible </w:t>
      </w:r>
      <w:r w:rsidR="00C03385" w:rsidRPr="00A814C2">
        <w:rPr>
          <w:rFonts w:ascii="Arial" w:hAnsi="Arial" w:cs="Arial"/>
          <w:sz w:val="24"/>
          <w:szCs w:val="24"/>
        </w:rPr>
        <w:t>benefits</w:t>
      </w:r>
      <w:r w:rsidRPr="00A814C2">
        <w:rPr>
          <w:rFonts w:ascii="Arial" w:hAnsi="Arial" w:cs="Arial"/>
          <w:sz w:val="24"/>
          <w:szCs w:val="24"/>
        </w:rPr>
        <w:t xml:space="preserve"> in doing so, and the </w:t>
      </w:r>
      <w:r w:rsidR="00C03385" w:rsidRPr="00A814C2">
        <w:rPr>
          <w:rFonts w:ascii="Arial" w:hAnsi="Arial" w:cs="Arial"/>
          <w:sz w:val="24"/>
          <w:szCs w:val="24"/>
        </w:rPr>
        <w:t>capability</w:t>
      </w:r>
      <w:r w:rsidRPr="00A814C2">
        <w:rPr>
          <w:rFonts w:ascii="Arial" w:hAnsi="Arial" w:cs="Arial"/>
          <w:sz w:val="24"/>
          <w:szCs w:val="24"/>
        </w:rPr>
        <w:t xml:space="preserve"> to recommend changes to proposed terms of reference, </w:t>
      </w:r>
      <w:r w:rsidR="00C03385" w:rsidRPr="00A814C2">
        <w:rPr>
          <w:rFonts w:ascii="Arial" w:hAnsi="Arial" w:cs="Arial"/>
          <w:sz w:val="24"/>
          <w:szCs w:val="24"/>
        </w:rPr>
        <w:t xml:space="preserve">and selection processes. It would also have a remit to follow up with agencies in relation to their responses to evaluations and implementation of recommendations relating to indigenous citizens. The appointment of a Commissioner or Commissioners should be done with Indigenous input and to the extent possible made non-partisan </w:t>
      </w:r>
      <w:r w:rsidR="004320BC" w:rsidRPr="00A814C2">
        <w:rPr>
          <w:rFonts w:ascii="Arial" w:hAnsi="Arial" w:cs="Arial"/>
          <w:sz w:val="24"/>
          <w:szCs w:val="24"/>
        </w:rPr>
        <w:t>to</w:t>
      </w:r>
      <w:r w:rsidR="00C03385" w:rsidRPr="00A814C2">
        <w:rPr>
          <w:rFonts w:ascii="Arial" w:hAnsi="Arial" w:cs="Arial"/>
          <w:sz w:val="24"/>
          <w:szCs w:val="24"/>
        </w:rPr>
        <w:t xml:space="preserve"> ensure independence.</w:t>
      </w:r>
      <w:r w:rsidR="004320BC">
        <w:rPr>
          <w:rFonts w:ascii="Arial" w:hAnsi="Arial" w:cs="Arial"/>
          <w:sz w:val="24"/>
          <w:szCs w:val="24"/>
        </w:rPr>
        <w:t xml:space="preserve"> I encourage the Commission to give these issues serious consideration.</w:t>
      </w:r>
      <w:r w:rsidR="00177454">
        <w:rPr>
          <w:rFonts w:ascii="Arial" w:hAnsi="Arial" w:cs="Arial"/>
          <w:sz w:val="24"/>
          <w:szCs w:val="24"/>
        </w:rPr>
        <w:t xml:space="preserve"> I note that these arguments have a strong resonance with the more mainstream arguments made by Nicholas Gruen in his submission to the APS review (Gruen 2018).</w:t>
      </w:r>
    </w:p>
    <w:p w14:paraId="0D418A17" w14:textId="53E08ACA" w:rsidR="0031083A" w:rsidRPr="00A814C2" w:rsidRDefault="0031083A" w:rsidP="00B048C5">
      <w:pPr>
        <w:rPr>
          <w:rFonts w:ascii="Arial" w:hAnsi="Arial" w:cs="Arial"/>
          <w:sz w:val="24"/>
          <w:szCs w:val="24"/>
        </w:rPr>
      </w:pPr>
      <w:r w:rsidRPr="00A814C2">
        <w:rPr>
          <w:rFonts w:ascii="Arial" w:hAnsi="Arial" w:cs="Arial"/>
          <w:sz w:val="24"/>
          <w:szCs w:val="24"/>
        </w:rPr>
        <w:t xml:space="preserve">Finally, there appears to be need for a comprehensive digital archive of policy relevant public sector information. Such an archive ought to be public, and professionally managed. The quality of digital governance of public sector information is in my view quite poor, and indeed, appears to involve deliberate decisions to make access to information difficult. To take just one random example, obtaining access to the media releases or speeches of a former minister (say Minister </w:t>
      </w:r>
      <w:r w:rsidR="004320BC" w:rsidRPr="00A814C2">
        <w:rPr>
          <w:rFonts w:ascii="Arial" w:hAnsi="Arial" w:cs="Arial"/>
          <w:sz w:val="24"/>
          <w:szCs w:val="24"/>
        </w:rPr>
        <w:t>Scullion</w:t>
      </w:r>
      <w:r w:rsidR="004320BC">
        <w:rPr>
          <w:rFonts w:ascii="Arial" w:hAnsi="Arial" w:cs="Arial"/>
          <w:sz w:val="24"/>
          <w:szCs w:val="24"/>
        </w:rPr>
        <w:t>’s media releases on school attendance</w:t>
      </w:r>
      <w:r w:rsidR="004320BC" w:rsidRPr="00A814C2">
        <w:rPr>
          <w:rFonts w:ascii="Arial" w:hAnsi="Arial" w:cs="Arial"/>
          <w:sz w:val="24"/>
          <w:szCs w:val="24"/>
        </w:rPr>
        <w:t>)</w:t>
      </w:r>
      <w:r w:rsidRPr="00A814C2">
        <w:rPr>
          <w:rFonts w:ascii="Arial" w:hAnsi="Arial" w:cs="Arial"/>
          <w:sz w:val="24"/>
          <w:szCs w:val="24"/>
        </w:rPr>
        <w:t xml:space="preserve"> in the present Government in a searchable format is virtually impossible, while being technically easy and low cost.  My point is that governance in an information </w:t>
      </w:r>
      <w:r w:rsidR="00995C95">
        <w:rPr>
          <w:rFonts w:ascii="Arial" w:hAnsi="Arial" w:cs="Arial"/>
          <w:sz w:val="24"/>
          <w:szCs w:val="24"/>
        </w:rPr>
        <w:t xml:space="preserve">constrained </w:t>
      </w:r>
      <w:r w:rsidRPr="00A814C2">
        <w:rPr>
          <w:rFonts w:ascii="Arial" w:hAnsi="Arial" w:cs="Arial"/>
          <w:sz w:val="24"/>
          <w:szCs w:val="24"/>
        </w:rPr>
        <w:t xml:space="preserve">zone will inevitably be sub-optimal. The public sector can do better. I strongly suggest that the Commission consider recommending ways that will allow better and more efficient access to </w:t>
      </w:r>
      <w:r w:rsidR="004320BC" w:rsidRPr="00A814C2">
        <w:rPr>
          <w:rFonts w:ascii="Arial" w:hAnsi="Arial" w:cs="Arial"/>
          <w:sz w:val="24"/>
          <w:szCs w:val="24"/>
        </w:rPr>
        <w:t>policy</w:t>
      </w:r>
      <w:r w:rsidRPr="00A814C2">
        <w:rPr>
          <w:rFonts w:ascii="Arial" w:hAnsi="Arial" w:cs="Arial"/>
          <w:sz w:val="24"/>
          <w:szCs w:val="24"/>
        </w:rPr>
        <w:t xml:space="preserve"> re</w:t>
      </w:r>
      <w:r w:rsidR="004320BC">
        <w:rPr>
          <w:rFonts w:ascii="Arial" w:hAnsi="Arial" w:cs="Arial"/>
          <w:sz w:val="24"/>
          <w:szCs w:val="24"/>
        </w:rPr>
        <w:t>le</w:t>
      </w:r>
      <w:r w:rsidRPr="00A814C2">
        <w:rPr>
          <w:rFonts w:ascii="Arial" w:hAnsi="Arial" w:cs="Arial"/>
          <w:sz w:val="24"/>
          <w:szCs w:val="24"/>
        </w:rPr>
        <w:t xml:space="preserve">vant information for both </w:t>
      </w:r>
      <w:r w:rsidR="004320BC" w:rsidRPr="00A814C2">
        <w:rPr>
          <w:rFonts w:ascii="Arial" w:hAnsi="Arial" w:cs="Arial"/>
          <w:sz w:val="24"/>
          <w:szCs w:val="24"/>
        </w:rPr>
        <w:t>policymakers</w:t>
      </w:r>
      <w:r w:rsidRPr="00A814C2">
        <w:rPr>
          <w:rFonts w:ascii="Arial" w:hAnsi="Arial" w:cs="Arial"/>
          <w:sz w:val="24"/>
          <w:szCs w:val="24"/>
        </w:rPr>
        <w:t xml:space="preserve"> and the public at large. </w:t>
      </w:r>
    </w:p>
    <w:p w14:paraId="265B41D7" w14:textId="77777777" w:rsidR="005479AD" w:rsidRPr="00A814C2" w:rsidRDefault="005479AD" w:rsidP="00B048C5">
      <w:pPr>
        <w:rPr>
          <w:rFonts w:ascii="Arial" w:hAnsi="Arial" w:cs="Arial"/>
          <w:sz w:val="24"/>
          <w:szCs w:val="24"/>
        </w:rPr>
      </w:pPr>
    </w:p>
    <w:p w14:paraId="15F99266" w14:textId="77777777" w:rsidR="005479AD" w:rsidRPr="00A814C2" w:rsidRDefault="005479AD" w:rsidP="00B048C5">
      <w:pPr>
        <w:rPr>
          <w:rFonts w:ascii="Arial" w:hAnsi="Arial" w:cs="Arial"/>
          <w:b/>
          <w:sz w:val="24"/>
          <w:szCs w:val="24"/>
        </w:rPr>
      </w:pPr>
      <w:r w:rsidRPr="00A814C2">
        <w:rPr>
          <w:rFonts w:ascii="Arial" w:hAnsi="Arial" w:cs="Arial"/>
          <w:b/>
          <w:sz w:val="24"/>
          <w:szCs w:val="24"/>
        </w:rPr>
        <w:t xml:space="preserve">References </w:t>
      </w:r>
    </w:p>
    <w:p w14:paraId="22721CDC" w14:textId="77777777" w:rsidR="005479AD" w:rsidRPr="00A814C2" w:rsidRDefault="005479AD" w:rsidP="00B048C5">
      <w:pPr>
        <w:rPr>
          <w:rFonts w:ascii="Arial" w:hAnsi="Arial" w:cs="Arial"/>
          <w:sz w:val="24"/>
          <w:szCs w:val="24"/>
        </w:rPr>
      </w:pPr>
      <w:r w:rsidRPr="00A814C2">
        <w:rPr>
          <w:rFonts w:ascii="Arial" w:hAnsi="Arial" w:cs="Arial"/>
          <w:sz w:val="24"/>
          <w:szCs w:val="24"/>
        </w:rPr>
        <w:t xml:space="preserve">ANAO (2019). </w:t>
      </w:r>
      <w:r w:rsidRPr="00A814C2">
        <w:rPr>
          <w:rFonts w:ascii="Arial" w:hAnsi="Arial" w:cs="Arial"/>
          <w:i/>
          <w:sz w:val="24"/>
          <w:szCs w:val="24"/>
        </w:rPr>
        <w:t>Implementation of ANAO and Parliamentary Committee Recommendations</w:t>
      </w:r>
      <w:r w:rsidRPr="00A814C2">
        <w:rPr>
          <w:rFonts w:ascii="Arial" w:hAnsi="Arial" w:cs="Arial"/>
          <w:sz w:val="24"/>
          <w:szCs w:val="24"/>
        </w:rPr>
        <w:t>, Auditor-General Report No.6 2019–20</w:t>
      </w:r>
      <w:r w:rsidR="00A814C2">
        <w:rPr>
          <w:rFonts w:ascii="Arial" w:hAnsi="Arial" w:cs="Arial"/>
          <w:sz w:val="24"/>
          <w:szCs w:val="24"/>
        </w:rPr>
        <w:t>, Canberra.</w:t>
      </w:r>
    </w:p>
    <w:p w14:paraId="0EC9FA8B" w14:textId="1356B123" w:rsidR="005479AD" w:rsidRDefault="005479AD" w:rsidP="00B048C5">
      <w:pPr>
        <w:rPr>
          <w:rFonts w:ascii="Arial" w:hAnsi="Arial" w:cs="Arial"/>
          <w:sz w:val="24"/>
          <w:szCs w:val="24"/>
        </w:rPr>
      </w:pPr>
      <w:r w:rsidRPr="00A814C2">
        <w:rPr>
          <w:rFonts w:ascii="Arial" w:hAnsi="Arial" w:cs="Arial"/>
          <w:sz w:val="24"/>
          <w:szCs w:val="24"/>
        </w:rPr>
        <w:t>Commonwealth Grants Commission (2001)</w:t>
      </w:r>
      <w:r w:rsidR="00A814C2">
        <w:rPr>
          <w:rFonts w:ascii="Arial" w:hAnsi="Arial" w:cs="Arial"/>
          <w:sz w:val="24"/>
          <w:szCs w:val="24"/>
        </w:rPr>
        <w:t>.</w:t>
      </w:r>
      <w:r w:rsidRPr="00A814C2">
        <w:rPr>
          <w:rFonts w:ascii="Arial" w:hAnsi="Arial" w:cs="Arial"/>
          <w:sz w:val="24"/>
          <w:szCs w:val="24"/>
        </w:rPr>
        <w:t xml:space="preserve"> </w:t>
      </w:r>
      <w:r w:rsidRPr="00A814C2">
        <w:rPr>
          <w:rFonts w:ascii="Arial" w:hAnsi="Arial" w:cs="Arial"/>
          <w:i/>
          <w:sz w:val="24"/>
          <w:szCs w:val="24"/>
        </w:rPr>
        <w:t>Report on Indigenous Funding</w:t>
      </w:r>
      <w:r w:rsidRPr="00A814C2">
        <w:rPr>
          <w:rFonts w:ascii="Arial" w:hAnsi="Arial" w:cs="Arial"/>
          <w:sz w:val="24"/>
          <w:szCs w:val="24"/>
        </w:rPr>
        <w:t>, Canberra.</w:t>
      </w:r>
      <w:r w:rsidR="0086253B">
        <w:rPr>
          <w:rFonts w:ascii="Arial" w:hAnsi="Arial" w:cs="Arial"/>
          <w:sz w:val="24"/>
          <w:szCs w:val="24"/>
        </w:rPr>
        <w:t xml:space="preserve"> </w:t>
      </w:r>
    </w:p>
    <w:p w14:paraId="7FD65764" w14:textId="570105A8" w:rsidR="00B831B0" w:rsidRDefault="00B831B0" w:rsidP="00B048C5">
      <w:pPr>
        <w:rPr>
          <w:rFonts w:ascii="Arial" w:hAnsi="Arial" w:cs="Arial"/>
          <w:sz w:val="24"/>
          <w:szCs w:val="24"/>
        </w:rPr>
      </w:pPr>
      <w:r>
        <w:rPr>
          <w:rFonts w:ascii="Arial" w:hAnsi="Arial" w:cs="Arial"/>
          <w:sz w:val="24"/>
          <w:szCs w:val="24"/>
        </w:rPr>
        <w:t xml:space="preserve">Dillon MC (2019). ‘Marshmallow and Fudge: evaluation and the Indigenous policy domain’, blog post, </w:t>
      </w:r>
      <w:hyperlink r:id="rId7" w:history="1">
        <w:r w:rsidRPr="00545203">
          <w:rPr>
            <w:rStyle w:val="Hyperlink"/>
            <w:rFonts w:ascii="Arial" w:hAnsi="Arial" w:cs="Arial"/>
            <w:sz w:val="24"/>
            <w:szCs w:val="24"/>
          </w:rPr>
          <w:t>www.refragabledelusions.blogspot.com/2019/07/marshmallow-and-fudge-evaluation-and.html</w:t>
        </w:r>
      </w:hyperlink>
      <w:r>
        <w:rPr>
          <w:rFonts w:ascii="Arial" w:hAnsi="Arial" w:cs="Arial"/>
          <w:sz w:val="24"/>
          <w:szCs w:val="24"/>
        </w:rPr>
        <w:t xml:space="preserve"> </w:t>
      </w:r>
    </w:p>
    <w:p w14:paraId="7672445E" w14:textId="43BC5B92" w:rsidR="00A12420" w:rsidRDefault="00A12420" w:rsidP="00B048C5">
      <w:pPr>
        <w:rPr>
          <w:rFonts w:ascii="Arial" w:hAnsi="Arial" w:cs="Arial"/>
          <w:sz w:val="24"/>
          <w:szCs w:val="24"/>
        </w:rPr>
      </w:pPr>
      <w:r>
        <w:rPr>
          <w:rFonts w:ascii="Arial" w:hAnsi="Arial" w:cs="Arial"/>
          <w:sz w:val="24"/>
          <w:szCs w:val="24"/>
        </w:rPr>
        <w:t>Gruen N</w:t>
      </w:r>
      <w:r w:rsidR="00177454">
        <w:rPr>
          <w:rFonts w:ascii="Arial" w:hAnsi="Arial" w:cs="Arial"/>
          <w:sz w:val="24"/>
          <w:szCs w:val="24"/>
        </w:rPr>
        <w:t>.</w:t>
      </w:r>
      <w:r>
        <w:rPr>
          <w:rFonts w:ascii="Arial" w:hAnsi="Arial" w:cs="Arial"/>
          <w:sz w:val="24"/>
          <w:szCs w:val="24"/>
        </w:rPr>
        <w:t xml:space="preserve"> (2018) ‘The case for an Evaluator General: why we need it and how we can configure it’</w:t>
      </w:r>
      <w:r w:rsidR="00177454">
        <w:rPr>
          <w:rFonts w:ascii="Arial" w:hAnsi="Arial" w:cs="Arial"/>
          <w:sz w:val="24"/>
          <w:szCs w:val="24"/>
        </w:rPr>
        <w:t>, Submission</w:t>
      </w:r>
      <w:r>
        <w:rPr>
          <w:rFonts w:ascii="Arial" w:hAnsi="Arial" w:cs="Arial"/>
          <w:sz w:val="24"/>
          <w:szCs w:val="24"/>
        </w:rPr>
        <w:t xml:space="preserve"> </w:t>
      </w:r>
      <w:r w:rsidR="00177454">
        <w:rPr>
          <w:rFonts w:ascii="Arial" w:hAnsi="Arial" w:cs="Arial"/>
          <w:sz w:val="24"/>
          <w:szCs w:val="24"/>
        </w:rPr>
        <w:t>to</w:t>
      </w:r>
      <w:r>
        <w:rPr>
          <w:rFonts w:ascii="Arial" w:hAnsi="Arial" w:cs="Arial"/>
          <w:sz w:val="24"/>
          <w:szCs w:val="24"/>
        </w:rPr>
        <w:t xml:space="preserve"> the Review of the APS, </w:t>
      </w:r>
      <w:hyperlink r:id="rId8" w:history="1">
        <w:r w:rsidR="00177454" w:rsidRPr="00545203">
          <w:rPr>
            <w:rStyle w:val="Hyperlink"/>
            <w:rFonts w:ascii="Arial" w:hAnsi="Arial" w:cs="Arial"/>
            <w:sz w:val="24"/>
            <w:szCs w:val="24"/>
          </w:rPr>
          <w:t>www.themandarin.com.au/content/uploads/2018/11/Nicholas-Gruen-Evaluator-General-Submission-2018.pdf</w:t>
        </w:r>
      </w:hyperlink>
      <w:r w:rsidR="00177454">
        <w:rPr>
          <w:rFonts w:ascii="Arial" w:hAnsi="Arial" w:cs="Arial"/>
          <w:sz w:val="24"/>
          <w:szCs w:val="24"/>
        </w:rPr>
        <w:t xml:space="preserve"> </w:t>
      </w:r>
    </w:p>
    <w:p w14:paraId="43AB2CC8" w14:textId="4C59E50C" w:rsidR="00221CBA" w:rsidRDefault="00995C95" w:rsidP="00B048C5">
      <w:pPr>
        <w:rPr>
          <w:rFonts w:ascii="Arial" w:hAnsi="Arial" w:cs="Arial"/>
          <w:sz w:val="24"/>
          <w:szCs w:val="24"/>
        </w:rPr>
      </w:pPr>
      <w:r>
        <w:rPr>
          <w:rFonts w:ascii="Arial" w:hAnsi="Arial" w:cs="Arial"/>
          <w:sz w:val="24"/>
          <w:szCs w:val="24"/>
        </w:rPr>
        <w:t>Nov</w:t>
      </w:r>
      <w:r w:rsidR="00221CBA">
        <w:rPr>
          <w:rFonts w:ascii="Arial" w:hAnsi="Arial" w:cs="Arial"/>
          <w:sz w:val="24"/>
          <w:szCs w:val="24"/>
        </w:rPr>
        <w:t xml:space="preserve">eck B &amp; Glover R(2019). </w:t>
      </w:r>
      <w:r w:rsidR="00221CBA" w:rsidRPr="00A0741D">
        <w:rPr>
          <w:rFonts w:ascii="Arial" w:hAnsi="Arial" w:cs="Arial"/>
          <w:i/>
          <w:sz w:val="24"/>
          <w:szCs w:val="24"/>
        </w:rPr>
        <w:t>Today’s problems, Yesterday’s toolkit</w:t>
      </w:r>
      <w:r w:rsidR="00221CBA">
        <w:rPr>
          <w:rFonts w:ascii="Arial" w:hAnsi="Arial" w:cs="Arial"/>
          <w:sz w:val="24"/>
          <w:szCs w:val="24"/>
        </w:rPr>
        <w:t xml:space="preserve">, ANZSOG, </w:t>
      </w:r>
      <w:hyperlink r:id="rId9" w:history="1">
        <w:r w:rsidR="00221CBA" w:rsidRPr="00221CBA">
          <w:rPr>
            <w:rStyle w:val="Hyperlink"/>
            <w:rFonts w:ascii="Arial" w:hAnsi="Arial" w:cs="Arial"/>
            <w:sz w:val="24"/>
            <w:szCs w:val="24"/>
          </w:rPr>
          <w:t>www.anzsog.edu.au/preview-documents/publications-and-brochures/5425-today-s-problems-yesterday-s-toolkit/file</w:t>
        </w:r>
      </w:hyperlink>
      <w:r w:rsidR="00221CBA">
        <w:rPr>
          <w:rFonts w:ascii="Arial" w:hAnsi="Arial" w:cs="Arial"/>
          <w:sz w:val="24"/>
          <w:szCs w:val="24"/>
        </w:rPr>
        <w:t xml:space="preserve"> </w:t>
      </w:r>
    </w:p>
    <w:p w14:paraId="7FF9028A" w14:textId="2B816A96" w:rsidR="0086253B" w:rsidRDefault="0086253B" w:rsidP="00B048C5">
      <w:pPr>
        <w:rPr>
          <w:rFonts w:ascii="Arial" w:hAnsi="Arial" w:cs="Arial"/>
          <w:sz w:val="24"/>
          <w:szCs w:val="24"/>
        </w:rPr>
      </w:pPr>
      <w:r>
        <w:rPr>
          <w:rFonts w:ascii="Arial" w:hAnsi="Arial" w:cs="Arial"/>
          <w:sz w:val="24"/>
          <w:szCs w:val="24"/>
        </w:rPr>
        <w:t xml:space="preserve">Productivity Commission (2018). </w:t>
      </w:r>
      <w:r w:rsidRPr="00A0741D">
        <w:rPr>
          <w:rFonts w:ascii="Arial" w:hAnsi="Arial" w:cs="Arial"/>
          <w:i/>
          <w:sz w:val="24"/>
          <w:szCs w:val="24"/>
        </w:rPr>
        <w:t xml:space="preserve">Horizontal Fiscal </w:t>
      </w:r>
      <w:r w:rsidR="00221CBA" w:rsidRPr="00A0741D">
        <w:rPr>
          <w:rFonts w:ascii="Arial" w:hAnsi="Arial" w:cs="Arial"/>
          <w:i/>
          <w:sz w:val="24"/>
          <w:szCs w:val="24"/>
        </w:rPr>
        <w:t>Equalisation</w:t>
      </w:r>
      <w:r>
        <w:rPr>
          <w:rFonts w:ascii="Arial" w:hAnsi="Arial" w:cs="Arial"/>
          <w:sz w:val="24"/>
          <w:szCs w:val="24"/>
        </w:rPr>
        <w:t xml:space="preserve">, Productivity Commission </w:t>
      </w:r>
      <w:r w:rsidR="00221CBA">
        <w:rPr>
          <w:rFonts w:ascii="Arial" w:hAnsi="Arial" w:cs="Arial"/>
          <w:sz w:val="24"/>
          <w:szCs w:val="24"/>
        </w:rPr>
        <w:t xml:space="preserve">Inquiry </w:t>
      </w:r>
      <w:r>
        <w:rPr>
          <w:rFonts w:ascii="Arial" w:hAnsi="Arial" w:cs="Arial"/>
          <w:sz w:val="24"/>
          <w:szCs w:val="24"/>
        </w:rPr>
        <w:t>Report 88</w:t>
      </w:r>
      <w:r w:rsidR="00221CBA">
        <w:rPr>
          <w:rFonts w:ascii="Arial" w:hAnsi="Arial" w:cs="Arial"/>
          <w:sz w:val="24"/>
          <w:szCs w:val="24"/>
        </w:rPr>
        <w:t>, May 2018, Canberra.</w:t>
      </w:r>
    </w:p>
    <w:sectPr w:rsidR="0086253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78708" w14:textId="77777777" w:rsidR="00793B6B" w:rsidRDefault="00793B6B" w:rsidP="0031083A">
      <w:pPr>
        <w:spacing w:after="0" w:line="240" w:lineRule="auto"/>
      </w:pPr>
      <w:r>
        <w:separator/>
      </w:r>
    </w:p>
  </w:endnote>
  <w:endnote w:type="continuationSeparator" w:id="0">
    <w:p w14:paraId="333B262F" w14:textId="77777777" w:rsidR="00793B6B" w:rsidRDefault="00793B6B" w:rsidP="0031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317433"/>
      <w:docPartObj>
        <w:docPartGallery w:val="Page Numbers (Bottom of Page)"/>
        <w:docPartUnique/>
      </w:docPartObj>
    </w:sdtPr>
    <w:sdtEndPr>
      <w:rPr>
        <w:noProof/>
      </w:rPr>
    </w:sdtEndPr>
    <w:sdtContent>
      <w:p w14:paraId="7E8D72D6" w14:textId="503218D4" w:rsidR="0031083A" w:rsidRDefault="0031083A">
        <w:pPr>
          <w:pStyle w:val="Footer"/>
          <w:jc w:val="right"/>
        </w:pPr>
        <w:r>
          <w:fldChar w:fldCharType="begin"/>
        </w:r>
        <w:r>
          <w:instrText xml:space="preserve"> PAGE   \* MERGEFORMAT </w:instrText>
        </w:r>
        <w:r>
          <w:fldChar w:fldCharType="separate"/>
        </w:r>
        <w:r w:rsidR="00F81E92">
          <w:rPr>
            <w:noProof/>
          </w:rPr>
          <w:t>2</w:t>
        </w:r>
        <w:r>
          <w:rPr>
            <w:noProof/>
          </w:rPr>
          <w:fldChar w:fldCharType="end"/>
        </w:r>
      </w:p>
    </w:sdtContent>
  </w:sdt>
  <w:p w14:paraId="137B7A4D" w14:textId="77777777" w:rsidR="0031083A" w:rsidRDefault="00310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71113" w14:textId="77777777" w:rsidR="00793B6B" w:rsidRDefault="00793B6B" w:rsidP="0031083A">
      <w:pPr>
        <w:spacing w:after="0" w:line="240" w:lineRule="auto"/>
      </w:pPr>
      <w:r>
        <w:separator/>
      </w:r>
    </w:p>
  </w:footnote>
  <w:footnote w:type="continuationSeparator" w:id="0">
    <w:p w14:paraId="435E2433" w14:textId="77777777" w:rsidR="00793B6B" w:rsidRDefault="00793B6B" w:rsidP="003108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089A"/>
    <w:multiLevelType w:val="hybridMultilevel"/>
    <w:tmpl w:val="CEAC2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B744B54"/>
    <w:multiLevelType w:val="hybridMultilevel"/>
    <w:tmpl w:val="C5E8D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F7"/>
    <w:rsid w:val="001672E5"/>
    <w:rsid w:val="00177454"/>
    <w:rsid w:val="00187F50"/>
    <w:rsid w:val="001E430B"/>
    <w:rsid w:val="00215174"/>
    <w:rsid w:val="00221CBA"/>
    <w:rsid w:val="002C4645"/>
    <w:rsid w:val="002E550B"/>
    <w:rsid w:val="0031083A"/>
    <w:rsid w:val="003F095A"/>
    <w:rsid w:val="004320BC"/>
    <w:rsid w:val="00461BDC"/>
    <w:rsid w:val="005479AD"/>
    <w:rsid w:val="00583485"/>
    <w:rsid w:val="005A04EE"/>
    <w:rsid w:val="00717091"/>
    <w:rsid w:val="00793B6B"/>
    <w:rsid w:val="007B4035"/>
    <w:rsid w:val="008476A4"/>
    <w:rsid w:val="0085188C"/>
    <w:rsid w:val="0086253B"/>
    <w:rsid w:val="008774EB"/>
    <w:rsid w:val="008822C1"/>
    <w:rsid w:val="008C4821"/>
    <w:rsid w:val="00995C95"/>
    <w:rsid w:val="009D2A7C"/>
    <w:rsid w:val="00A0741D"/>
    <w:rsid w:val="00A12420"/>
    <w:rsid w:val="00A814C2"/>
    <w:rsid w:val="00AA5BEB"/>
    <w:rsid w:val="00AD78CC"/>
    <w:rsid w:val="00AE468A"/>
    <w:rsid w:val="00B048C5"/>
    <w:rsid w:val="00B8232A"/>
    <w:rsid w:val="00B831B0"/>
    <w:rsid w:val="00C03385"/>
    <w:rsid w:val="00C10ACC"/>
    <w:rsid w:val="00D05A92"/>
    <w:rsid w:val="00D25044"/>
    <w:rsid w:val="00D83FF7"/>
    <w:rsid w:val="00E945C1"/>
    <w:rsid w:val="00F81E92"/>
    <w:rsid w:val="00FA7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C259"/>
  <w15:chartTrackingRefBased/>
  <w15:docId w15:val="{D283034E-EC26-4F7F-9669-005C567C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8C5"/>
    <w:pPr>
      <w:ind w:left="720"/>
      <w:contextualSpacing/>
    </w:pPr>
  </w:style>
  <w:style w:type="paragraph" w:styleId="Header">
    <w:name w:val="header"/>
    <w:basedOn w:val="Normal"/>
    <w:link w:val="HeaderChar"/>
    <w:uiPriority w:val="99"/>
    <w:unhideWhenUsed/>
    <w:rsid w:val="00310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83A"/>
  </w:style>
  <w:style w:type="paragraph" w:styleId="Footer">
    <w:name w:val="footer"/>
    <w:basedOn w:val="Normal"/>
    <w:link w:val="FooterChar"/>
    <w:uiPriority w:val="99"/>
    <w:unhideWhenUsed/>
    <w:rsid w:val="00310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83A"/>
  </w:style>
  <w:style w:type="character" w:styleId="CommentReference">
    <w:name w:val="annotation reference"/>
    <w:basedOn w:val="DefaultParagraphFont"/>
    <w:uiPriority w:val="99"/>
    <w:semiHidden/>
    <w:unhideWhenUsed/>
    <w:rsid w:val="00FA7DDA"/>
    <w:rPr>
      <w:sz w:val="16"/>
      <w:szCs w:val="16"/>
    </w:rPr>
  </w:style>
  <w:style w:type="paragraph" w:styleId="CommentText">
    <w:name w:val="annotation text"/>
    <w:basedOn w:val="Normal"/>
    <w:link w:val="CommentTextChar"/>
    <w:uiPriority w:val="99"/>
    <w:semiHidden/>
    <w:unhideWhenUsed/>
    <w:rsid w:val="00FA7DDA"/>
    <w:pPr>
      <w:spacing w:line="240" w:lineRule="auto"/>
    </w:pPr>
    <w:rPr>
      <w:sz w:val="20"/>
      <w:szCs w:val="20"/>
    </w:rPr>
  </w:style>
  <w:style w:type="character" w:customStyle="1" w:styleId="CommentTextChar">
    <w:name w:val="Comment Text Char"/>
    <w:basedOn w:val="DefaultParagraphFont"/>
    <w:link w:val="CommentText"/>
    <w:uiPriority w:val="99"/>
    <w:semiHidden/>
    <w:rsid w:val="00FA7DDA"/>
    <w:rPr>
      <w:sz w:val="20"/>
      <w:szCs w:val="20"/>
    </w:rPr>
  </w:style>
  <w:style w:type="paragraph" w:styleId="CommentSubject">
    <w:name w:val="annotation subject"/>
    <w:basedOn w:val="CommentText"/>
    <w:next w:val="CommentText"/>
    <w:link w:val="CommentSubjectChar"/>
    <w:uiPriority w:val="99"/>
    <w:semiHidden/>
    <w:unhideWhenUsed/>
    <w:rsid w:val="00FA7DDA"/>
    <w:rPr>
      <w:b/>
      <w:bCs/>
    </w:rPr>
  </w:style>
  <w:style w:type="character" w:customStyle="1" w:styleId="CommentSubjectChar">
    <w:name w:val="Comment Subject Char"/>
    <w:basedOn w:val="CommentTextChar"/>
    <w:link w:val="CommentSubject"/>
    <w:uiPriority w:val="99"/>
    <w:semiHidden/>
    <w:rsid w:val="00FA7DDA"/>
    <w:rPr>
      <w:b/>
      <w:bCs/>
      <w:sz w:val="20"/>
      <w:szCs w:val="20"/>
    </w:rPr>
  </w:style>
  <w:style w:type="paragraph" w:styleId="BalloonText">
    <w:name w:val="Balloon Text"/>
    <w:basedOn w:val="Normal"/>
    <w:link w:val="BalloonTextChar"/>
    <w:uiPriority w:val="99"/>
    <w:semiHidden/>
    <w:unhideWhenUsed/>
    <w:rsid w:val="00FA7D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DDA"/>
    <w:rPr>
      <w:rFonts w:ascii="Segoe UI" w:hAnsi="Segoe UI" w:cs="Segoe UI"/>
      <w:sz w:val="18"/>
      <w:szCs w:val="18"/>
    </w:rPr>
  </w:style>
  <w:style w:type="character" w:styleId="Hyperlink">
    <w:name w:val="Hyperlink"/>
    <w:basedOn w:val="DefaultParagraphFont"/>
    <w:uiPriority w:val="99"/>
    <w:unhideWhenUsed/>
    <w:rsid w:val="00FA7DDA"/>
    <w:rPr>
      <w:color w:val="0563C1" w:themeColor="hyperlink"/>
      <w:u w:val="single"/>
    </w:rPr>
  </w:style>
  <w:style w:type="character" w:styleId="FollowedHyperlink">
    <w:name w:val="FollowedHyperlink"/>
    <w:basedOn w:val="DefaultParagraphFont"/>
    <w:uiPriority w:val="99"/>
    <w:semiHidden/>
    <w:unhideWhenUsed/>
    <w:rsid w:val="00221C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mandarin.com.au/content/uploads/2018/11/Nicholas-Gruen-Evaluator-General-Submission-2018.pdf" TargetMode="External"/><Relationship Id="rId3" Type="http://schemas.openxmlformats.org/officeDocument/2006/relationships/settings" Target="settings.xml"/><Relationship Id="rId7" Type="http://schemas.openxmlformats.org/officeDocument/2006/relationships/hyperlink" Target="http://www.refragabledelusions.blogspot.com/2019/07/marshmallow-and-fudge-evaluation-and.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nzsog.edu.au/preview-documents/publications-and-brochures/5425-today-s-problems-yesterday-s-toolkit/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2487</Words>
  <Characters>14477</Characters>
  <Application>Microsoft Office Word</Application>
  <DocSecurity>0</DocSecurity>
  <Lines>413</Lines>
  <Paragraphs>166</Paragraphs>
  <ScaleCrop>false</ScaleCrop>
  <HeadingPairs>
    <vt:vector size="2" baseType="variant">
      <vt:variant>
        <vt:lpstr>Title</vt:lpstr>
      </vt:variant>
      <vt:variant>
        <vt:i4>1</vt:i4>
      </vt:variant>
    </vt:vector>
  </HeadingPairs>
  <TitlesOfParts>
    <vt:vector size="1" baseType="lpstr">
      <vt:lpstr>Submission 16 - Michael Dillon - Indigenous Evaluation Strategy - Project</vt:lpstr>
    </vt:vector>
  </TitlesOfParts>
  <Company/>
  <LinksUpToDate>false</LinksUpToDate>
  <CharactersWithSpaces>16798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16 - Michael Dillon - Indigenous Evaluation Strategy - Project</dc:title>
  <dc:subject/>
  <dc:creator>Michael Dillon</dc:creator>
  <cp:keywords/>
  <dc:description/>
  <cp:lastModifiedBy>Pimperl, Mark</cp:lastModifiedBy>
  <cp:revision>6</cp:revision>
  <dcterms:created xsi:type="dcterms:W3CDTF">2019-08-22T23:27:00Z</dcterms:created>
  <dcterms:modified xsi:type="dcterms:W3CDTF">2019-08-26T00:16:00Z</dcterms:modified>
</cp:coreProperties>
</file>