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08" w:rsidRDefault="00284C08" w:rsidP="00FA1BEF">
      <w:pPr>
        <w:pStyle w:val="Heading1"/>
        <w:rPr>
          <w:sz w:val="28"/>
          <w:szCs w:val="28"/>
        </w:rPr>
      </w:pPr>
      <w:bookmarkStart w:id="0" w:name="_GoBack"/>
      <w:bookmarkEnd w:id="0"/>
      <w:r w:rsidRPr="00776220">
        <w:rPr>
          <w:sz w:val="28"/>
          <w:szCs w:val="28"/>
        </w:rPr>
        <w:t xml:space="preserve">Comments on Productivity </w:t>
      </w:r>
      <w:r w:rsidR="007D343A" w:rsidRPr="00776220">
        <w:rPr>
          <w:sz w:val="28"/>
          <w:szCs w:val="28"/>
        </w:rPr>
        <w:t>Commission</w:t>
      </w:r>
      <w:r w:rsidRPr="00776220">
        <w:rPr>
          <w:sz w:val="28"/>
          <w:szCs w:val="28"/>
        </w:rPr>
        <w:t xml:space="preserve">, 2020, </w:t>
      </w:r>
      <w:r w:rsidRPr="00776220">
        <w:rPr>
          <w:i/>
          <w:iCs/>
          <w:sz w:val="28"/>
          <w:szCs w:val="28"/>
        </w:rPr>
        <w:t>NASWD Review Interim Report</w:t>
      </w:r>
      <w:r w:rsidRPr="00776220">
        <w:rPr>
          <w:sz w:val="28"/>
          <w:szCs w:val="28"/>
        </w:rPr>
        <w:t xml:space="preserve"> </w:t>
      </w:r>
    </w:p>
    <w:p w:rsidR="00FA0598" w:rsidRPr="00FA0598" w:rsidRDefault="00FA0598" w:rsidP="00B13F33">
      <w:r>
        <w:t>Gerald Burke 2</w:t>
      </w:r>
      <w:r w:rsidR="00B13F33">
        <w:t>3</w:t>
      </w:r>
      <w:r>
        <w:t xml:space="preserve"> July 2020</w:t>
      </w:r>
    </w:p>
    <w:p w:rsidR="00001F7A" w:rsidRDefault="00001F7A" w:rsidP="00FA1BEF">
      <w:pPr>
        <w:pStyle w:val="Text"/>
        <w:spacing w:before="120"/>
        <w:rPr>
          <w:color w:val="000000" w:themeColor="text1"/>
          <w:szCs w:val="19"/>
        </w:rPr>
      </w:pPr>
    </w:p>
    <w:p w:rsidR="00FB7C51" w:rsidRDefault="00284C08" w:rsidP="00FA1BEF">
      <w:pPr>
        <w:pStyle w:val="Text"/>
        <w:spacing w:before="120"/>
        <w:rPr>
          <w:color w:val="000000" w:themeColor="text1"/>
          <w:szCs w:val="19"/>
        </w:rPr>
      </w:pPr>
      <w:r w:rsidRPr="00FB7C51">
        <w:rPr>
          <w:color w:val="000000" w:themeColor="text1"/>
          <w:szCs w:val="19"/>
        </w:rPr>
        <w:t>These comments</w:t>
      </w:r>
      <w:r w:rsidR="00FA1BEF">
        <w:rPr>
          <w:color w:val="000000" w:themeColor="text1"/>
          <w:szCs w:val="19"/>
        </w:rPr>
        <w:t xml:space="preserve"> focus on the information requests</w:t>
      </w:r>
      <w:r w:rsidR="00A03773">
        <w:rPr>
          <w:color w:val="000000" w:themeColor="text1"/>
          <w:szCs w:val="19"/>
        </w:rPr>
        <w:t>:</w:t>
      </w:r>
    </w:p>
    <w:p w:rsidR="00FB7C51" w:rsidRPr="00FB7C51" w:rsidRDefault="00FB7C51" w:rsidP="00630E5B">
      <w:pPr>
        <w:pStyle w:val="Text"/>
        <w:numPr>
          <w:ilvl w:val="0"/>
          <w:numId w:val="13"/>
        </w:numPr>
        <w:spacing w:before="120"/>
        <w:rPr>
          <w:color w:val="000000" w:themeColor="text1"/>
          <w:szCs w:val="19"/>
        </w:rPr>
      </w:pPr>
      <w:r w:rsidRPr="00FB7C51">
        <w:rPr>
          <w:color w:val="000000" w:themeColor="text1"/>
          <w:szCs w:val="19"/>
        </w:rPr>
        <w:t>Role of competition in the VET market and role of public providers</w:t>
      </w:r>
    </w:p>
    <w:p w:rsidR="007D343A" w:rsidRDefault="00FB7C51" w:rsidP="00630E5B">
      <w:pPr>
        <w:pStyle w:val="ListParagraph"/>
        <w:numPr>
          <w:ilvl w:val="0"/>
          <w:numId w:val="13"/>
        </w:numPr>
      </w:pPr>
      <w:r w:rsidRPr="00630E5B">
        <w:rPr>
          <w:szCs w:val="24"/>
        </w:rPr>
        <w:t>Designing a New Intergovernmental agreement—how should it consider other educational sectors, informal training and non</w:t>
      </w:r>
      <w:r w:rsidRPr="00630E5B">
        <w:rPr>
          <w:szCs w:val="24"/>
        </w:rPr>
        <w:noBreakHyphen/>
        <w:t>government funded training?</w:t>
      </w:r>
    </w:p>
    <w:p w:rsidR="00856C55" w:rsidRPr="00044ABF" w:rsidRDefault="00001F7A" w:rsidP="00044ABF">
      <w:pPr>
        <w:pStyle w:val="Text"/>
        <w:spacing w:before="120"/>
        <w:rPr>
          <w:color w:val="000000" w:themeColor="text1"/>
          <w:szCs w:val="19"/>
        </w:rPr>
      </w:pPr>
      <w:r w:rsidRPr="00044ABF">
        <w:rPr>
          <w:color w:val="000000" w:themeColor="text1"/>
          <w:szCs w:val="19"/>
        </w:rPr>
        <w:t xml:space="preserve">Comment is also made on </w:t>
      </w:r>
      <w:r w:rsidR="003C096F" w:rsidRPr="00044ABF">
        <w:rPr>
          <w:color w:val="000000" w:themeColor="text1"/>
          <w:szCs w:val="19"/>
        </w:rPr>
        <w:t xml:space="preserve">government spending of Youth Allowance (Student), </w:t>
      </w:r>
      <w:proofErr w:type="spellStart"/>
      <w:r w:rsidR="003C096F" w:rsidRPr="00044ABF">
        <w:rPr>
          <w:color w:val="000000" w:themeColor="text1"/>
          <w:szCs w:val="19"/>
        </w:rPr>
        <w:t>Austudy</w:t>
      </w:r>
      <w:proofErr w:type="spellEnd"/>
      <w:r w:rsidR="003C096F" w:rsidRPr="00044ABF">
        <w:rPr>
          <w:color w:val="000000" w:themeColor="text1"/>
          <w:szCs w:val="19"/>
        </w:rPr>
        <w:t xml:space="preserve"> and ABSTUDY</w:t>
      </w:r>
      <w:r w:rsidR="00B13F33" w:rsidRPr="00044ABF">
        <w:rPr>
          <w:color w:val="000000" w:themeColor="text1"/>
          <w:szCs w:val="19"/>
        </w:rPr>
        <w:t xml:space="preserve"> which </w:t>
      </w:r>
      <w:r w:rsidR="00822FDF" w:rsidRPr="00044ABF">
        <w:rPr>
          <w:color w:val="000000" w:themeColor="text1"/>
          <w:szCs w:val="19"/>
        </w:rPr>
        <w:t>ha</w:t>
      </w:r>
      <w:r w:rsidRPr="00044ABF">
        <w:rPr>
          <w:color w:val="000000" w:themeColor="text1"/>
          <w:szCs w:val="19"/>
        </w:rPr>
        <w:t>ve</w:t>
      </w:r>
      <w:r w:rsidR="00822FDF" w:rsidRPr="00044ABF">
        <w:rPr>
          <w:color w:val="000000" w:themeColor="text1"/>
          <w:szCs w:val="19"/>
        </w:rPr>
        <w:t xml:space="preserve"> been </w:t>
      </w:r>
      <w:r w:rsidR="00B13F33" w:rsidRPr="00044ABF">
        <w:rPr>
          <w:color w:val="000000" w:themeColor="text1"/>
          <w:szCs w:val="19"/>
        </w:rPr>
        <w:t xml:space="preserve">ignored in </w:t>
      </w:r>
      <w:r w:rsidRPr="00044ABF">
        <w:rPr>
          <w:color w:val="000000" w:themeColor="text1"/>
          <w:szCs w:val="19"/>
        </w:rPr>
        <w:t xml:space="preserve">policy statements and research </w:t>
      </w:r>
      <w:r w:rsidR="00B13F33" w:rsidRPr="00044ABF">
        <w:rPr>
          <w:color w:val="000000" w:themeColor="text1"/>
          <w:szCs w:val="19"/>
        </w:rPr>
        <w:t>recent years.</w:t>
      </w:r>
    </w:p>
    <w:p w:rsidR="0082306E" w:rsidRPr="002A4F19" w:rsidRDefault="00F92562" w:rsidP="000411F0">
      <w:pPr>
        <w:pStyle w:val="Heading1"/>
        <w:numPr>
          <w:ilvl w:val="0"/>
          <w:numId w:val="10"/>
        </w:numPr>
        <w:rPr>
          <w:szCs w:val="24"/>
        </w:rPr>
      </w:pPr>
      <w:r w:rsidRPr="006116F2">
        <w:rPr>
          <w:szCs w:val="24"/>
        </w:rPr>
        <w:t xml:space="preserve">Information Request — Role of competition in the VET market and role of public </w:t>
      </w:r>
      <w:r w:rsidRPr="002A4F19">
        <w:rPr>
          <w:szCs w:val="24"/>
        </w:rPr>
        <w:t>providers</w:t>
      </w:r>
    </w:p>
    <w:p w:rsidR="006A0711" w:rsidRPr="00C04214" w:rsidRDefault="00F92562" w:rsidP="00C04214">
      <w:pPr>
        <w:pStyle w:val="Text"/>
        <w:spacing w:before="120"/>
        <w:rPr>
          <w:color w:val="000000" w:themeColor="text1"/>
          <w:szCs w:val="19"/>
        </w:rPr>
      </w:pPr>
      <w:r w:rsidRPr="00C04214">
        <w:rPr>
          <w:color w:val="000000" w:themeColor="text1"/>
          <w:szCs w:val="19"/>
        </w:rPr>
        <w:t>The Interim finding 2.3 report</w:t>
      </w:r>
      <w:r w:rsidR="004F5387" w:rsidRPr="00C04214">
        <w:rPr>
          <w:color w:val="000000" w:themeColor="text1"/>
          <w:szCs w:val="19"/>
        </w:rPr>
        <w:t>s</w:t>
      </w:r>
      <w:r w:rsidRPr="00C04214">
        <w:rPr>
          <w:color w:val="000000" w:themeColor="text1"/>
          <w:szCs w:val="19"/>
        </w:rPr>
        <w:t xml:space="preserve"> that promotion of the training market has stalled. </w:t>
      </w:r>
      <w:r w:rsidR="00842E7A" w:rsidRPr="00C04214">
        <w:rPr>
          <w:color w:val="000000" w:themeColor="text1"/>
          <w:szCs w:val="19"/>
        </w:rPr>
        <w:t xml:space="preserve">The report advocates measures to promote the training market. Fee regulation </w:t>
      </w:r>
      <w:r w:rsidR="006A0711" w:rsidRPr="00C04214">
        <w:rPr>
          <w:color w:val="000000" w:themeColor="text1"/>
          <w:szCs w:val="19"/>
        </w:rPr>
        <w:t xml:space="preserve">and </w:t>
      </w:r>
      <w:r w:rsidR="00842E7A" w:rsidRPr="00C04214">
        <w:rPr>
          <w:color w:val="000000" w:themeColor="text1"/>
          <w:szCs w:val="19"/>
        </w:rPr>
        <w:t>preferential funding for public providers</w:t>
      </w:r>
      <w:r w:rsidR="006A0711" w:rsidRPr="00C04214">
        <w:rPr>
          <w:color w:val="000000" w:themeColor="text1"/>
          <w:szCs w:val="19"/>
        </w:rPr>
        <w:t xml:space="preserve"> are opposed</w:t>
      </w:r>
      <w:r w:rsidR="00842E7A" w:rsidRPr="00C04214">
        <w:rPr>
          <w:color w:val="000000" w:themeColor="text1"/>
          <w:szCs w:val="19"/>
        </w:rPr>
        <w:t xml:space="preserve">. </w:t>
      </w:r>
    </w:p>
    <w:p w:rsidR="000D4714" w:rsidRPr="00C04214" w:rsidRDefault="003C0E04" w:rsidP="003C0E04">
      <w:pPr>
        <w:pStyle w:val="Text"/>
        <w:spacing w:before="120"/>
        <w:rPr>
          <w:color w:val="000000" w:themeColor="text1"/>
          <w:szCs w:val="19"/>
        </w:rPr>
      </w:pPr>
      <w:r>
        <w:rPr>
          <w:color w:val="000000" w:themeColor="text1"/>
          <w:szCs w:val="19"/>
        </w:rPr>
        <w:t>T</w:t>
      </w:r>
      <w:r w:rsidR="004B2A62" w:rsidRPr="00C04214">
        <w:rPr>
          <w:color w:val="000000" w:themeColor="text1"/>
          <w:szCs w:val="19"/>
        </w:rPr>
        <w:t xml:space="preserve">here needs to be </w:t>
      </w:r>
      <w:r w:rsidR="006A68FE" w:rsidRPr="00C04214">
        <w:rPr>
          <w:color w:val="000000" w:themeColor="text1"/>
          <w:szCs w:val="19"/>
        </w:rPr>
        <w:t xml:space="preserve">a good evidence </w:t>
      </w:r>
      <w:r w:rsidR="004B2A62" w:rsidRPr="00C04214">
        <w:rPr>
          <w:color w:val="000000" w:themeColor="text1"/>
          <w:szCs w:val="19"/>
        </w:rPr>
        <w:t>that the problems</w:t>
      </w:r>
      <w:r w:rsidR="00B37A24" w:rsidRPr="00C04214">
        <w:rPr>
          <w:color w:val="000000" w:themeColor="text1"/>
          <w:szCs w:val="19"/>
        </w:rPr>
        <w:t xml:space="preserve"> </w:t>
      </w:r>
      <w:r w:rsidR="003E4584" w:rsidRPr="00C04214">
        <w:rPr>
          <w:color w:val="000000" w:themeColor="text1"/>
          <w:szCs w:val="19"/>
        </w:rPr>
        <w:t>experienced</w:t>
      </w:r>
      <w:r w:rsidR="006A0711" w:rsidRPr="00C04214">
        <w:rPr>
          <w:color w:val="000000" w:themeColor="text1"/>
          <w:szCs w:val="19"/>
        </w:rPr>
        <w:t xml:space="preserve"> </w:t>
      </w:r>
      <w:r w:rsidR="00985F4C" w:rsidRPr="00C04214">
        <w:rPr>
          <w:color w:val="000000" w:themeColor="text1"/>
          <w:szCs w:val="19"/>
        </w:rPr>
        <w:t xml:space="preserve">in the </w:t>
      </w:r>
      <w:r w:rsidR="004124C8">
        <w:rPr>
          <w:color w:val="000000" w:themeColor="text1"/>
          <w:szCs w:val="19"/>
        </w:rPr>
        <w:t xml:space="preserve">past </w:t>
      </w:r>
      <w:r w:rsidR="00985F4C" w:rsidRPr="00C04214">
        <w:rPr>
          <w:color w:val="000000" w:themeColor="text1"/>
          <w:szCs w:val="19"/>
        </w:rPr>
        <w:t xml:space="preserve">are </w:t>
      </w:r>
      <w:r w:rsidR="004B2A62" w:rsidRPr="00C04214">
        <w:rPr>
          <w:color w:val="000000" w:themeColor="text1"/>
          <w:szCs w:val="19"/>
        </w:rPr>
        <w:t xml:space="preserve">well under control. </w:t>
      </w:r>
      <w:r w:rsidR="00593A02" w:rsidRPr="00C04214">
        <w:rPr>
          <w:color w:val="000000" w:themeColor="text1"/>
          <w:szCs w:val="19"/>
        </w:rPr>
        <w:t>T</w:t>
      </w:r>
      <w:r w:rsidR="000D4714" w:rsidRPr="00C04214">
        <w:rPr>
          <w:color w:val="000000" w:themeColor="text1"/>
          <w:szCs w:val="19"/>
        </w:rPr>
        <w:t xml:space="preserve">he Grattan Institute </w:t>
      </w:r>
      <w:r w:rsidR="00593A02" w:rsidRPr="00C04214">
        <w:rPr>
          <w:color w:val="000000" w:themeColor="text1"/>
          <w:szCs w:val="19"/>
        </w:rPr>
        <w:t>cautioned</w:t>
      </w:r>
      <w:r w:rsidR="000D4714" w:rsidRPr="00C04214">
        <w:rPr>
          <w:color w:val="000000" w:themeColor="text1"/>
          <w:szCs w:val="19"/>
        </w:rPr>
        <w:t>:</w:t>
      </w:r>
    </w:p>
    <w:p w:rsidR="000D4714" w:rsidRPr="00C04214" w:rsidRDefault="000D4714" w:rsidP="00C04214">
      <w:pPr>
        <w:pStyle w:val="Text"/>
        <w:spacing w:before="120"/>
        <w:ind w:left="720"/>
        <w:rPr>
          <w:color w:val="000000" w:themeColor="text1"/>
          <w:szCs w:val="19"/>
        </w:rPr>
      </w:pPr>
      <w:r w:rsidRPr="00C04214">
        <w:rPr>
          <w:color w:val="000000" w:themeColor="text1"/>
          <w:szCs w:val="19"/>
        </w:rPr>
        <w:t>The 2015 Harper Review of competition policy advocated commissioning a diversity of service providers where possible. While this is a sensible idea in theory, execution is everything. The recent examples of both the home insulation (“pink batts”) scheme and vocational education and training reinforce previous experiences: taxpayer funding of for-profit entities to provide services at the behest of individual citizens inherently creates opportunities for poor outcomes, or even fraud that must be carefully managed (Grattan Institute 2016).</w:t>
      </w:r>
    </w:p>
    <w:p w:rsidR="006E2814" w:rsidRPr="00C04214" w:rsidRDefault="003C1821" w:rsidP="008E12AA">
      <w:pPr>
        <w:pStyle w:val="Text"/>
        <w:spacing w:before="120"/>
        <w:rPr>
          <w:color w:val="000000" w:themeColor="text1"/>
          <w:szCs w:val="19"/>
        </w:rPr>
      </w:pPr>
      <w:r w:rsidRPr="00C04214">
        <w:rPr>
          <w:color w:val="000000" w:themeColor="text1"/>
          <w:szCs w:val="19"/>
        </w:rPr>
        <w:t>More careful managing</w:t>
      </w:r>
      <w:r w:rsidR="006F474D">
        <w:rPr>
          <w:color w:val="000000" w:themeColor="text1"/>
          <w:szCs w:val="19"/>
        </w:rPr>
        <w:t xml:space="preserve"> as noted in the report </w:t>
      </w:r>
      <w:r w:rsidR="006E2814" w:rsidRPr="00C04214">
        <w:rPr>
          <w:color w:val="000000" w:themeColor="text1"/>
          <w:szCs w:val="19"/>
        </w:rPr>
        <w:t>has include</w:t>
      </w:r>
      <w:r w:rsidR="00593A02" w:rsidRPr="00C04214">
        <w:rPr>
          <w:color w:val="000000" w:themeColor="text1"/>
          <w:szCs w:val="19"/>
        </w:rPr>
        <w:t xml:space="preserve">d better </w:t>
      </w:r>
      <w:r w:rsidR="006E2814" w:rsidRPr="00C04214">
        <w:rPr>
          <w:color w:val="000000" w:themeColor="text1"/>
          <w:szCs w:val="19"/>
        </w:rPr>
        <w:t>regulation through ASQA and the jurisdictions’</w:t>
      </w:r>
      <w:r w:rsidRPr="00C04214">
        <w:rPr>
          <w:color w:val="000000" w:themeColor="text1"/>
          <w:szCs w:val="19"/>
        </w:rPr>
        <w:t xml:space="preserve"> contracts with RTOs</w:t>
      </w:r>
      <w:r w:rsidR="006E2814" w:rsidRPr="00C04214">
        <w:rPr>
          <w:color w:val="000000" w:themeColor="text1"/>
          <w:szCs w:val="19"/>
        </w:rPr>
        <w:t>. Better consumer information</w:t>
      </w:r>
      <w:r w:rsidRPr="00C04214">
        <w:rPr>
          <w:color w:val="000000" w:themeColor="text1"/>
          <w:szCs w:val="19"/>
        </w:rPr>
        <w:t>,</w:t>
      </w:r>
      <w:r w:rsidR="00593A02" w:rsidRPr="00C04214">
        <w:rPr>
          <w:color w:val="000000" w:themeColor="text1"/>
          <w:szCs w:val="19"/>
        </w:rPr>
        <w:t xml:space="preserve"> career advice </w:t>
      </w:r>
      <w:r w:rsidR="006E2814" w:rsidRPr="00C04214">
        <w:rPr>
          <w:color w:val="000000" w:themeColor="text1"/>
          <w:szCs w:val="19"/>
        </w:rPr>
        <w:t xml:space="preserve">and new assessment models involving independent assessment of competency are foreshadowed. These are good developments though implementation of new </w:t>
      </w:r>
      <w:r w:rsidR="00593A02" w:rsidRPr="00C04214">
        <w:rPr>
          <w:color w:val="000000" w:themeColor="text1"/>
          <w:szCs w:val="19"/>
        </w:rPr>
        <w:t>forms of a</w:t>
      </w:r>
      <w:r w:rsidR="006E2814" w:rsidRPr="00C04214">
        <w:rPr>
          <w:color w:val="000000" w:themeColor="text1"/>
          <w:szCs w:val="19"/>
        </w:rPr>
        <w:t>ssessmen</w:t>
      </w:r>
      <w:r w:rsidR="007853FC">
        <w:rPr>
          <w:color w:val="000000" w:themeColor="text1"/>
          <w:szCs w:val="19"/>
        </w:rPr>
        <w:t>t</w:t>
      </w:r>
      <w:r w:rsidR="007853FC" w:rsidRPr="007853FC">
        <w:rPr>
          <w:color w:val="000000" w:themeColor="text1"/>
          <w:szCs w:val="19"/>
        </w:rPr>
        <w:t xml:space="preserve"> </w:t>
      </w:r>
      <w:r w:rsidR="006F474D">
        <w:rPr>
          <w:color w:val="000000" w:themeColor="text1"/>
          <w:szCs w:val="19"/>
        </w:rPr>
        <w:t xml:space="preserve">may be slow </w:t>
      </w:r>
      <w:r w:rsidR="007853FC" w:rsidRPr="00C04214">
        <w:rPr>
          <w:color w:val="000000" w:themeColor="text1"/>
          <w:szCs w:val="19"/>
        </w:rPr>
        <w:t>and the effectiveness of better consumer information will need to be demonstrated</w:t>
      </w:r>
      <w:r w:rsidR="006E2814" w:rsidRPr="007853FC">
        <w:rPr>
          <w:rStyle w:val="FootnoteReference"/>
          <w:rFonts w:asciiTheme="minorHAnsi" w:eastAsiaTheme="minorEastAsia" w:hAnsiTheme="minorHAnsi" w:cstheme="minorBidi"/>
          <w:sz w:val="22"/>
          <w:szCs w:val="22"/>
          <w:lang w:eastAsia="zh-CN"/>
        </w:rPr>
        <w:footnoteReference w:id="1"/>
      </w:r>
      <w:r w:rsidR="007853FC">
        <w:rPr>
          <w:color w:val="000000" w:themeColor="text1"/>
          <w:szCs w:val="19"/>
        </w:rPr>
        <w:t>.</w:t>
      </w:r>
      <w:r w:rsidR="006E2814" w:rsidRPr="00C04214">
        <w:rPr>
          <w:color w:val="000000" w:themeColor="text1"/>
          <w:szCs w:val="19"/>
        </w:rPr>
        <w:t xml:space="preserve"> </w:t>
      </w:r>
    </w:p>
    <w:p w:rsidR="003E4584" w:rsidRPr="009D0AB7" w:rsidRDefault="00985F4C" w:rsidP="00CB4B7C">
      <w:pPr>
        <w:pStyle w:val="Heading3"/>
        <w:rPr>
          <w:szCs w:val="19"/>
        </w:rPr>
      </w:pPr>
      <w:r w:rsidRPr="00C20BFB">
        <w:rPr>
          <w:szCs w:val="19"/>
        </w:rPr>
        <w:t>Rel</w:t>
      </w:r>
      <w:r w:rsidR="009D0AB7">
        <w:rPr>
          <w:szCs w:val="19"/>
        </w:rPr>
        <w:t xml:space="preserve">ated </w:t>
      </w:r>
      <w:r w:rsidRPr="00C20BFB">
        <w:rPr>
          <w:szCs w:val="19"/>
        </w:rPr>
        <w:t>issues:</w:t>
      </w:r>
      <w:r w:rsidR="009D0AB7">
        <w:rPr>
          <w:szCs w:val="19"/>
        </w:rPr>
        <w:t xml:space="preserve"> </w:t>
      </w:r>
      <w:r w:rsidR="00CB4B7C">
        <w:rPr>
          <w:szCs w:val="19"/>
        </w:rPr>
        <w:t>n</w:t>
      </w:r>
      <w:r w:rsidR="003E4584" w:rsidRPr="009D0AB7">
        <w:rPr>
          <w:szCs w:val="19"/>
        </w:rPr>
        <w:t>umber of providers</w:t>
      </w:r>
      <w:r w:rsidR="00DF1013" w:rsidRPr="009D0AB7">
        <w:rPr>
          <w:szCs w:val="19"/>
        </w:rPr>
        <w:t xml:space="preserve"> and churn</w:t>
      </w:r>
    </w:p>
    <w:p w:rsidR="002E7070" w:rsidRPr="00C04214" w:rsidRDefault="006B2649" w:rsidP="007853FC">
      <w:pPr>
        <w:pStyle w:val="Text"/>
        <w:spacing w:before="120"/>
        <w:rPr>
          <w:color w:val="000000" w:themeColor="text1"/>
          <w:szCs w:val="19"/>
        </w:rPr>
      </w:pPr>
      <w:r w:rsidRPr="00C04214">
        <w:rPr>
          <w:color w:val="000000" w:themeColor="text1"/>
          <w:szCs w:val="19"/>
        </w:rPr>
        <w:t xml:space="preserve">As noted in the Interim report there are around 3800 VET </w:t>
      </w:r>
      <w:r w:rsidR="00BF4F31" w:rsidRPr="00C04214">
        <w:rPr>
          <w:color w:val="000000" w:themeColor="text1"/>
          <w:szCs w:val="19"/>
        </w:rPr>
        <w:t>providers</w:t>
      </w:r>
      <w:r w:rsidRPr="00C04214">
        <w:rPr>
          <w:color w:val="000000" w:themeColor="text1"/>
          <w:szCs w:val="19"/>
        </w:rPr>
        <w:t>.</w:t>
      </w:r>
      <w:r w:rsidR="002E7070" w:rsidRPr="00C04214">
        <w:rPr>
          <w:color w:val="000000" w:themeColor="text1"/>
          <w:szCs w:val="19"/>
        </w:rPr>
        <w:t xml:space="preserve"> In </w:t>
      </w:r>
      <w:r w:rsidR="008E12AA" w:rsidRPr="00C04214">
        <w:rPr>
          <w:color w:val="000000" w:themeColor="text1"/>
          <w:szCs w:val="19"/>
        </w:rPr>
        <w:t>contrast,</w:t>
      </w:r>
      <w:r w:rsidR="002E7070" w:rsidRPr="00C04214">
        <w:rPr>
          <w:color w:val="000000" w:themeColor="text1"/>
          <w:szCs w:val="19"/>
        </w:rPr>
        <w:t xml:space="preserve"> there are </w:t>
      </w:r>
      <w:r w:rsidR="008E12AA" w:rsidRPr="00C04214">
        <w:rPr>
          <w:color w:val="000000" w:themeColor="text1"/>
          <w:szCs w:val="19"/>
        </w:rPr>
        <w:t>170</w:t>
      </w:r>
      <w:r w:rsidR="002E7070" w:rsidRPr="00C04214">
        <w:rPr>
          <w:color w:val="000000" w:themeColor="text1"/>
          <w:szCs w:val="19"/>
        </w:rPr>
        <w:t xml:space="preserve"> higher education providers including 37 public universities where around 90 per cent of students are enrolled.</w:t>
      </w:r>
    </w:p>
    <w:p w:rsidR="006B2649" w:rsidRPr="00C20BFB" w:rsidRDefault="006B2649" w:rsidP="00044ABF">
      <w:pPr>
        <w:spacing w:before="120"/>
        <w:rPr>
          <w:rFonts w:ascii="Trebuchet MS" w:hAnsi="Trebuchet MS"/>
          <w:sz w:val="19"/>
          <w:szCs w:val="19"/>
        </w:rPr>
      </w:pPr>
      <w:r w:rsidRPr="007853FC">
        <w:rPr>
          <w:rFonts w:ascii="Trebuchet MS" w:eastAsia="Times New Roman" w:hAnsi="Trebuchet MS" w:cs="Times New Roman"/>
          <w:color w:val="000000" w:themeColor="text1"/>
          <w:sz w:val="19"/>
          <w:szCs w:val="19"/>
          <w:lang w:eastAsia="en-US"/>
        </w:rPr>
        <w:t xml:space="preserve">ASQA </w:t>
      </w:r>
      <w:r w:rsidR="006A0711" w:rsidRPr="007853FC">
        <w:rPr>
          <w:rFonts w:ascii="Trebuchet MS" w:eastAsia="Times New Roman" w:hAnsi="Trebuchet MS" w:cs="Times New Roman"/>
          <w:color w:val="000000" w:themeColor="text1"/>
          <w:sz w:val="19"/>
          <w:szCs w:val="19"/>
          <w:lang w:eastAsia="en-US"/>
        </w:rPr>
        <w:t>(</w:t>
      </w:r>
      <w:r w:rsidRPr="007853FC">
        <w:rPr>
          <w:rFonts w:ascii="Trebuchet MS" w:eastAsia="Times New Roman" w:hAnsi="Trebuchet MS" w:cs="Times New Roman"/>
          <w:color w:val="000000" w:themeColor="text1"/>
          <w:sz w:val="19"/>
          <w:szCs w:val="19"/>
          <w:lang w:eastAsia="en-US"/>
        </w:rPr>
        <w:t>2018</w:t>
      </w:r>
      <w:r w:rsidR="006A0711" w:rsidRPr="007853FC">
        <w:rPr>
          <w:rFonts w:ascii="Trebuchet MS" w:eastAsia="Times New Roman" w:hAnsi="Trebuchet MS" w:cs="Times New Roman"/>
          <w:color w:val="000000" w:themeColor="text1"/>
          <w:sz w:val="19"/>
          <w:szCs w:val="19"/>
          <w:lang w:eastAsia="en-US"/>
        </w:rPr>
        <w:t>)</w:t>
      </w:r>
      <w:r w:rsidRPr="007853FC">
        <w:rPr>
          <w:rFonts w:ascii="Trebuchet MS" w:eastAsia="Times New Roman" w:hAnsi="Trebuchet MS" w:cs="Times New Roman"/>
          <w:color w:val="000000" w:themeColor="text1"/>
          <w:sz w:val="19"/>
          <w:szCs w:val="19"/>
          <w:lang w:eastAsia="en-US"/>
        </w:rPr>
        <w:t xml:space="preserve"> </w:t>
      </w:r>
      <w:r w:rsidR="007853FC">
        <w:rPr>
          <w:rFonts w:ascii="Trebuchet MS" w:eastAsia="Times New Roman" w:hAnsi="Trebuchet MS" w:cs="Times New Roman"/>
          <w:color w:val="000000" w:themeColor="text1"/>
          <w:sz w:val="19"/>
          <w:szCs w:val="19"/>
          <w:lang w:eastAsia="en-US"/>
        </w:rPr>
        <w:t>i</w:t>
      </w:r>
      <w:r w:rsidR="00044ABF">
        <w:rPr>
          <w:rFonts w:ascii="Trebuchet MS" w:eastAsia="Times New Roman" w:hAnsi="Trebuchet MS" w:cs="Times New Roman"/>
          <w:color w:val="000000" w:themeColor="text1"/>
          <w:sz w:val="19"/>
          <w:szCs w:val="19"/>
          <w:lang w:eastAsia="en-US"/>
        </w:rPr>
        <w:t>n</w:t>
      </w:r>
      <w:r w:rsidR="007853FC">
        <w:rPr>
          <w:rFonts w:ascii="Trebuchet MS" w:eastAsia="Times New Roman" w:hAnsi="Trebuchet MS" w:cs="Times New Roman"/>
          <w:color w:val="000000" w:themeColor="text1"/>
          <w:sz w:val="19"/>
          <w:szCs w:val="19"/>
          <w:lang w:eastAsia="en-US"/>
        </w:rPr>
        <w:t xml:space="preserve"> a submission to </w:t>
      </w:r>
      <w:r w:rsidR="00044ABF">
        <w:rPr>
          <w:rFonts w:ascii="Trebuchet MS" w:eastAsia="Times New Roman" w:hAnsi="Trebuchet MS" w:cs="Times New Roman"/>
          <w:color w:val="000000" w:themeColor="text1"/>
          <w:sz w:val="19"/>
          <w:szCs w:val="19"/>
          <w:lang w:eastAsia="en-US"/>
        </w:rPr>
        <w:t xml:space="preserve">the </w:t>
      </w:r>
      <w:r w:rsidR="007853FC">
        <w:rPr>
          <w:rFonts w:ascii="Trebuchet MS" w:eastAsia="Times New Roman" w:hAnsi="Trebuchet MS" w:cs="Times New Roman"/>
          <w:color w:val="000000" w:themeColor="text1"/>
          <w:sz w:val="19"/>
          <w:szCs w:val="19"/>
          <w:lang w:eastAsia="en-US"/>
        </w:rPr>
        <w:t xml:space="preserve">Braithwaite </w:t>
      </w:r>
      <w:r w:rsidR="00044ABF">
        <w:rPr>
          <w:rFonts w:ascii="Trebuchet MS" w:eastAsia="Times New Roman" w:hAnsi="Trebuchet MS" w:cs="Times New Roman"/>
          <w:color w:val="000000" w:themeColor="text1"/>
          <w:sz w:val="19"/>
          <w:szCs w:val="19"/>
          <w:lang w:eastAsia="en-US"/>
        </w:rPr>
        <w:t xml:space="preserve">review </w:t>
      </w:r>
      <w:r w:rsidR="007853FC">
        <w:rPr>
          <w:rFonts w:ascii="Trebuchet MS" w:eastAsia="Times New Roman" w:hAnsi="Trebuchet MS" w:cs="Times New Roman"/>
          <w:color w:val="000000" w:themeColor="text1"/>
          <w:sz w:val="19"/>
          <w:szCs w:val="19"/>
          <w:lang w:eastAsia="en-US"/>
        </w:rPr>
        <w:t xml:space="preserve">(2018) </w:t>
      </w:r>
      <w:r w:rsidRPr="007853FC">
        <w:rPr>
          <w:rFonts w:ascii="Trebuchet MS" w:eastAsia="Times New Roman" w:hAnsi="Trebuchet MS" w:cs="Times New Roman"/>
          <w:color w:val="000000" w:themeColor="text1"/>
          <w:sz w:val="19"/>
          <w:szCs w:val="19"/>
          <w:lang w:eastAsia="en-US"/>
        </w:rPr>
        <w:t>commented on th</w:t>
      </w:r>
      <w:r w:rsidR="002E7070" w:rsidRPr="007853FC">
        <w:rPr>
          <w:rFonts w:ascii="Trebuchet MS" w:eastAsia="Times New Roman" w:hAnsi="Trebuchet MS" w:cs="Times New Roman"/>
          <w:color w:val="000000" w:themeColor="text1"/>
          <w:sz w:val="19"/>
          <w:szCs w:val="19"/>
          <w:lang w:eastAsia="en-US"/>
        </w:rPr>
        <w:t>is</w:t>
      </w:r>
      <w:r w:rsidR="006A0711" w:rsidRPr="00C20BFB">
        <w:rPr>
          <w:rFonts w:ascii="Trebuchet MS" w:hAnsi="Trebuchet MS"/>
          <w:sz w:val="19"/>
          <w:szCs w:val="19"/>
        </w:rPr>
        <w:t>:</w:t>
      </w:r>
    </w:p>
    <w:p w:rsidR="006B2649" w:rsidRPr="00C20BFB" w:rsidRDefault="006B2649" w:rsidP="00C20BFB">
      <w:pPr>
        <w:pStyle w:val="Text"/>
        <w:spacing w:before="120"/>
        <w:ind w:left="720"/>
        <w:rPr>
          <w:color w:val="000000" w:themeColor="text1"/>
          <w:szCs w:val="19"/>
        </w:rPr>
      </w:pPr>
      <w:r w:rsidRPr="00C20BFB">
        <w:rPr>
          <w:color w:val="000000" w:themeColor="text1"/>
          <w:szCs w:val="19"/>
        </w:rPr>
        <w:lastRenderedPageBreak/>
        <w:t xml:space="preserve">Whilst the total number of RTOs has been reasonably stable in recent years, there is a considerable churn of provider registrations with around 350 applications for initial VET registration in 2016-17, mergers and acquisitions, and providers exiting the market. A large part of ASQA’s regulatory effort is committed to market entry testing and verification (initial and compliance audits) and provider closure processes.  </w:t>
      </w:r>
    </w:p>
    <w:p w:rsidR="006B2649" w:rsidRPr="00C20BFB" w:rsidRDefault="006B2649" w:rsidP="00C04214">
      <w:pPr>
        <w:pStyle w:val="Text"/>
        <w:spacing w:before="120" w:after="160"/>
        <w:ind w:left="720"/>
        <w:rPr>
          <w:color w:val="000000" w:themeColor="text1"/>
          <w:szCs w:val="19"/>
        </w:rPr>
      </w:pPr>
      <w:r w:rsidRPr="00C20BFB">
        <w:rPr>
          <w:color w:val="000000" w:themeColor="text1"/>
          <w:szCs w:val="19"/>
        </w:rPr>
        <w:t>NCVER analysis concludes that, in 2014, there were three times as many VET students as students in higher education but 35 times more VET providers than higher education providers.</w:t>
      </w:r>
      <w:r w:rsidR="006A0711" w:rsidRPr="00C20BFB">
        <w:rPr>
          <w:color w:val="000000" w:themeColor="text1"/>
          <w:szCs w:val="19"/>
        </w:rPr>
        <w:t xml:space="preserve"> </w:t>
      </w:r>
      <w:r w:rsidRPr="00C20BFB">
        <w:rPr>
          <w:color w:val="000000" w:themeColor="text1"/>
          <w:szCs w:val="19"/>
        </w:rPr>
        <w:t xml:space="preserve">In 2014, the top 100 VET providers accounted for around 50 per cent of the total student population, while almost 2000 VET providers reported 100 or fewer students. </w:t>
      </w:r>
    </w:p>
    <w:p w:rsidR="00B15766" w:rsidRPr="00C20BFB" w:rsidRDefault="004124C8" w:rsidP="004124C8">
      <w:pPr>
        <w:rPr>
          <w:rFonts w:ascii="Trebuchet MS" w:hAnsi="Trebuchet MS"/>
          <w:sz w:val="19"/>
          <w:szCs w:val="19"/>
        </w:rPr>
      </w:pPr>
      <w:r>
        <w:rPr>
          <w:rFonts w:ascii="Trebuchet MS" w:hAnsi="Trebuchet MS"/>
          <w:sz w:val="19"/>
          <w:szCs w:val="19"/>
        </w:rPr>
        <w:t>T</w:t>
      </w:r>
      <w:r w:rsidR="00B15766" w:rsidRPr="00C20BFB">
        <w:rPr>
          <w:rFonts w:ascii="Trebuchet MS" w:hAnsi="Trebuchet MS"/>
          <w:sz w:val="19"/>
          <w:szCs w:val="19"/>
        </w:rPr>
        <w:t xml:space="preserve">he annual churn of providers in VET </w:t>
      </w:r>
      <w:r>
        <w:rPr>
          <w:rFonts w:ascii="Trebuchet MS" w:hAnsi="Trebuchet MS"/>
          <w:sz w:val="19"/>
          <w:szCs w:val="19"/>
        </w:rPr>
        <w:t>was</w:t>
      </w:r>
      <w:r w:rsidR="00B15766" w:rsidRPr="00C20BFB">
        <w:rPr>
          <w:rFonts w:ascii="Trebuchet MS" w:hAnsi="Trebuchet MS"/>
          <w:sz w:val="19"/>
          <w:szCs w:val="19"/>
        </w:rPr>
        <w:t xml:space="preserve"> larger than the total </w:t>
      </w:r>
      <w:r w:rsidR="00C04214">
        <w:rPr>
          <w:rFonts w:ascii="Trebuchet MS" w:hAnsi="Trebuchet MS"/>
          <w:sz w:val="19"/>
          <w:szCs w:val="19"/>
        </w:rPr>
        <w:t xml:space="preserve">of </w:t>
      </w:r>
      <w:r w:rsidR="00035BAA" w:rsidRPr="00C20BFB">
        <w:rPr>
          <w:rFonts w:ascii="Trebuchet MS" w:hAnsi="Trebuchet MS"/>
          <w:sz w:val="19"/>
          <w:szCs w:val="19"/>
        </w:rPr>
        <w:t xml:space="preserve">providers in </w:t>
      </w:r>
      <w:r w:rsidR="00B15766" w:rsidRPr="00C20BFB">
        <w:rPr>
          <w:rFonts w:ascii="Trebuchet MS" w:hAnsi="Trebuchet MS"/>
          <w:sz w:val="19"/>
          <w:szCs w:val="19"/>
        </w:rPr>
        <w:t>higher education.</w:t>
      </w:r>
    </w:p>
    <w:p w:rsidR="00DF1013" w:rsidRPr="003C0E04" w:rsidRDefault="00DF1013" w:rsidP="00587A82">
      <w:pPr>
        <w:pStyle w:val="Heading3"/>
      </w:pPr>
      <w:r w:rsidRPr="003C0E04">
        <w:t>Instability of funding and staff quality</w:t>
      </w:r>
    </w:p>
    <w:p w:rsidR="003E5873" w:rsidRPr="00C20BFB" w:rsidRDefault="00C46667" w:rsidP="00044ABF">
      <w:pPr>
        <w:pStyle w:val="Text"/>
        <w:spacing w:before="120"/>
        <w:rPr>
          <w:color w:val="000000" w:themeColor="text1"/>
          <w:szCs w:val="19"/>
        </w:rPr>
      </w:pPr>
      <w:r w:rsidRPr="00C20BFB">
        <w:rPr>
          <w:color w:val="000000" w:themeColor="text1"/>
          <w:szCs w:val="19"/>
        </w:rPr>
        <w:t xml:space="preserve">A related matter is instability </w:t>
      </w:r>
      <w:r w:rsidR="00776220" w:rsidRPr="00C20BFB">
        <w:rPr>
          <w:color w:val="000000" w:themeColor="text1"/>
          <w:szCs w:val="19"/>
        </w:rPr>
        <w:t xml:space="preserve">in </w:t>
      </w:r>
      <w:r w:rsidR="009F62C2" w:rsidRPr="00C20BFB">
        <w:rPr>
          <w:color w:val="000000" w:themeColor="text1"/>
          <w:szCs w:val="19"/>
        </w:rPr>
        <w:t>staffing. A</w:t>
      </w:r>
      <w:r w:rsidR="004124C8">
        <w:rPr>
          <w:color w:val="000000" w:themeColor="text1"/>
          <w:szCs w:val="19"/>
        </w:rPr>
        <w:t>n</w:t>
      </w:r>
      <w:r w:rsidR="009F62C2" w:rsidRPr="00C20BFB">
        <w:rPr>
          <w:color w:val="000000" w:themeColor="text1"/>
          <w:szCs w:val="19"/>
        </w:rPr>
        <w:t xml:space="preserve"> example was the entitlement scheme in Victoria. S</w:t>
      </w:r>
      <w:r w:rsidRPr="00C20BFB">
        <w:rPr>
          <w:color w:val="000000" w:themeColor="text1"/>
          <w:szCs w:val="19"/>
        </w:rPr>
        <w:t>tudent numbers</w:t>
      </w:r>
      <w:r w:rsidR="00353CDE" w:rsidRPr="00C20BFB">
        <w:rPr>
          <w:color w:val="000000" w:themeColor="text1"/>
          <w:szCs w:val="19"/>
        </w:rPr>
        <w:t xml:space="preserve"> with private providers</w:t>
      </w:r>
      <w:r w:rsidR="00561881" w:rsidRPr="00C20BFB">
        <w:rPr>
          <w:color w:val="000000" w:themeColor="text1"/>
          <w:szCs w:val="19"/>
        </w:rPr>
        <w:t xml:space="preserve"> </w:t>
      </w:r>
      <w:r w:rsidR="00933A95" w:rsidRPr="00C20BFB">
        <w:rPr>
          <w:color w:val="000000" w:themeColor="text1"/>
          <w:szCs w:val="19"/>
        </w:rPr>
        <w:t xml:space="preserve">in Victoria </w:t>
      </w:r>
      <w:r w:rsidR="00561881" w:rsidRPr="00C20BFB">
        <w:rPr>
          <w:color w:val="000000" w:themeColor="text1"/>
          <w:szCs w:val="19"/>
        </w:rPr>
        <w:t>grew 400</w:t>
      </w:r>
      <w:r w:rsidR="00353CDE" w:rsidRPr="00C20BFB">
        <w:rPr>
          <w:color w:val="000000" w:themeColor="text1"/>
          <w:szCs w:val="19"/>
        </w:rPr>
        <w:t xml:space="preserve"> </w:t>
      </w:r>
      <w:r w:rsidR="00561881" w:rsidRPr="00C20BFB">
        <w:rPr>
          <w:color w:val="000000" w:themeColor="text1"/>
          <w:szCs w:val="19"/>
        </w:rPr>
        <w:t xml:space="preserve">per cent </w:t>
      </w:r>
      <w:r w:rsidR="00575351" w:rsidRPr="00C20BFB">
        <w:rPr>
          <w:color w:val="000000" w:themeColor="text1"/>
          <w:szCs w:val="19"/>
        </w:rPr>
        <w:t>200</w:t>
      </w:r>
      <w:r w:rsidR="00561881" w:rsidRPr="00C20BFB">
        <w:rPr>
          <w:color w:val="000000" w:themeColor="text1"/>
          <w:szCs w:val="19"/>
        </w:rPr>
        <w:t>8</w:t>
      </w:r>
      <w:r w:rsidR="00575351" w:rsidRPr="00C20BFB">
        <w:rPr>
          <w:color w:val="000000" w:themeColor="text1"/>
          <w:szCs w:val="19"/>
        </w:rPr>
        <w:t xml:space="preserve"> to 2012</w:t>
      </w:r>
      <w:r w:rsidR="004124C8">
        <w:rPr>
          <w:color w:val="000000" w:themeColor="text1"/>
          <w:szCs w:val="19"/>
        </w:rPr>
        <w:t xml:space="preserve">, </w:t>
      </w:r>
      <w:r w:rsidR="004124C8" w:rsidRPr="00C20BFB">
        <w:rPr>
          <w:color w:val="000000" w:themeColor="text1"/>
          <w:szCs w:val="19"/>
        </w:rPr>
        <w:t>from 50,000 to over 250,000</w:t>
      </w:r>
      <w:r w:rsidR="004124C8">
        <w:rPr>
          <w:color w:val="000000" w:themeColor="text1"/>
          <w:szCs w:val="19"/>
        </w:rPr>
        <w:t xml:space="preserve"> (NCVER 2018b). There was later a </w:t>
      </w:r>
      <w:r w:rsidR="009B2ECD" w:rsidRPr="00C20BFB">
        <w:rPr>
          <w:color w:val="000000" w:themeColor="text1"/>
          <w:szCs w:val="19"/>
        </w:rPr>
        <w:t xml:space="preserve">decline </w:t>
      </w:r>
      <w:r w:rsidR="00E97EE5" w:rsidRPr="00C20BFB">
        <w:rPr>
          <w:color w:val="000000" w:themeColor="text1"/>
          <w:szCs w:val="19"/>
        </w:rPr>
        <w:t xml:space="preserve">in students in </w:t>
      </w:r>
      <w:r w:rsidR="002727A3" w:rsidRPr="00C20BFB">
        <w:rPr>
          <w:color w:val="000000" w:themeColor="text1"/>
          <w:szCs w:val="19"/>
        </w:rPr>
        <w:t xml:space="preserve">both </w:t>
      </w:r>
      <w:r w:rsidR="009B2ECD" w:rsidRPr="00C20BFB">
        <w:rPr>
          <w:color w:val="000000" w:themeColor="text1"/>
          <w:szCs w:val="19"/>
        </w:rPr>
        <w:t>public and private providers</w:t>
      </w:r>
      <w:r w:rsidR="00E97EE5" w:rsidRPr="00C20BFB">
        <w:rPr>
          <w:color w:val="000000" w:themeColor="text1"/>
          <w:szCs w:val="19"/>
        </w:rPr>
        <w:t xml:space="preserve">. </w:t>
      </w:r>
      <w:r w:rsidR="008E12AA">
        <w:rPr>
          <w:color w:val="000000" w:themeColor="text1"/>
          <w:szCs w:val="19"/>
        </w:rPr>
        <w:t>S</w:t>
      </w:r>
      <w:r w:rsidR="00561881" w:rsidRPr="00C20BFB">
        <w:rPr>
          <w:color w:val="000000" w:themeColor="text1"/>
          <w:szCs w:val="19"/>
        </w:rPr>
        <w:t>taff quality</w:t>
      </w:r>
      <w:r w:rsidR="006A68FE" w:rsidRPr="00C20BFB">
        <w:rPr>
          <w:color w:val="000000" w:themeColor="text1"/>
          <w:szCs w:val="19"/>
        </w:rPr>
        <w:t xml:space="preserve"> and </w:t>
      </w:r>
      <w:r w:rsidR="00C04214">
        <w:rPr>
          <w:color w:val="000000" w:themeColor="text1"/>
          <w:szCs w:val="19"/>
        </w:rPr>
        <w:t xml:space="preserve">the </w:t>
      </w:r>
      <w:r w:rsidR="006A68FE" w:rsidRPr="00C20BFB">
        <w:rPr>
          <w:color w:val="000000" w:themeColor="text1"/>
          <w:szCs w:val="19"/>
        </w:rPr>
        <w:t xml:space="preserve">training </w:t>
      </w:r>
      <w:r w:rsidR="008E12AA">
        <w:rPr>
          <w:color w:val="000000" w:themeColor="text1"/>
          <w:szCs w:val="19"/>
        </w:rPr>
        <w:t xml:space="preserve">they </w:t>
      </w:r>
      <w:r w:rsidR="00C04214">
        <w:rPr>
          <w:color w:val="000000" w:themeColor="text1"/>
          <w:szCs w:val="19"/>
        </w:rPr>
        <w:t xml:space="preserve">provided would have been </w:t>
      </w:r>
      <w:r w:rsidR="00985F4C" w:rsidRPr="00C20BFB">
        <w:rPr>
          <w:color w:val="000000" w:themeColor="text1"/>
          <w:szCs w:val="19"/>
        </w:rPr>
        <w:t>seriously affected</w:t>
      </w:r>
      <w:r w:rsidR="006A68FE" w:rsidRPr="00C20BFB">
        <w:rPr>
          <w:color w:val="000000" w:themeColor="text1"/>
          <w:szCs w:val="19"/>
        </w:rPr>
        <w:t xml:space="preserve"> by </w:t>
      </w:r>
      <w:r w:rsidR="00E97EE5" w:rsidRPr="00C20BFB">
        <w:rPr>
          <w:color w:val="000000" w:themeColor="text1"/>
          <w:szCs w:val="19"/>
        </w:rPr>
        <w:t>this</w:t>
      </w:r>
      <w:r w:rsidR="006A68FE" w:rsidRPr="00C20BFB">
        <w:rPr>
          <w:color w:val="000000" w:themeColor="text1"/>
          <w:szCs w:val="19"/>
        </w:rPr>
        <w:t>.</w:t>
      </w:r>
      <w:r w:rsidR="00933A95" w:rsidRPr="00C20BFB">
        <w:rPr>
          <w:color w:val="000000" w:themeColor="text1"/>
          <w:szCs w:val="19"/>
        </w:rPr>
        <w:t xml:space="preserve"> </w:t>
      </w:r>
      <w:r w:rsidR="00E97EE5" w:rsidRPr="00C20BFB">
        <w:rPr>
          <w:color w:val="000000" w:themeColor="text1"/>
          <w:szCs w:val="19"/>
        </w:rPr>
        <w:t>This issue sits alongside</w:t>
      </w:r>
      <w:r w:rsidR="004124C8">
        <w:rPr>
          <w:color w:val="000000" w:themeColor="text1"/>
          <w:szCs w:val="19"/>
        </w:rPr>
        <w:t xml:space="preserve"> </w:t>
      </w:r>
      <w:r w:rsidR="00E97EE5" w:rsidRPr="00C20BFB">
        <w:rPr>
          <w:color w:val="000000" w:themeColor="text1"/>
          <w:szCs w:val="19"/>
        </w:rPr>
        <w:t>the rorts of that period</w:t>
      </w:r>
      <w:r w:rsidR="00C04214">
        <w:rPr>
          <w:color w:val="000000" w:themeColor="text1"/>
          <w:szCs w:val="19"/>
        </w:rPr>
        <w:t xml:space="preserve"> (Mackenzie 2015)</w:t>
      </w:r>
      <w:r w:rsidR="00E97EE5" w:rsidRPr="00C20BFB">
        <w:rPr>
          <w:color w:val="000000" w:themeColor="text1"/>
          <w:szCs w:val="19"/>
        </w:rPr>
        <w:t>.</w:t>
      </w:r>
    </w:p>
    <w:p w:rsidR="00FB446B" w:rsidRPr="00C20BFB" w:rsidRDefault="00561881" w:rsidP="00FA1BEF">
      <w:pPr>
        <w:pStyle w:val="Text"/>
        <w:spacing w:before="120"/>
        <w:rPr>
          <w:szCs w:val="19"/>
        </w:rPr>
      </w:pPr>
      <w:r w:rsidRPr="00C20BFB">
        <w:rPr>
          <w:color w:val="000000" w:themeColor="text1"/>
          <w:szCs w:val="19"/>
        </w:rPr>
        <w:t xml:space="preserve">It is difficult </w:t>
      </w:r>
      <w:r w:rsidR="00E97EE5" w:rsidRPr="00C20BFB">
        <w:rPr>
          <w:color w:val="000000" w:themeColor="text1"/>
          <w:szCs w:val="19"/>
        </w:rPr>
        <w:t xml:space="preserve">to give evidence on </w:t>
      </w:r>
      <w:r w:rsidRPr="00C20BFB">
        <w:rPr>
          <w:color w:val="000000" w:themeColor="text1"/>
          <w:szCs w:val="19"/>
        </w:rPr>
        <w:t>staffing</w:t>
      </w:r>
      <w:r w:rsidR="00933A95" w:rsidRPr="00C20BFB">
        <w:rPr>
          <w:color w:val="000000" w:themeColor="text1"/>
          <w:szCs w:val="19"/>
        </w:rPr>
        <w:t xml:space="preserve">. </w:t>
      </w:r>
      <w:r w:rsidR="00FA1BEF">
        <w:rPr>
          <w:color w:val="000000" w:themeColor="text1"/>
          <w:szCs w:val="19"/>
        </w:rPr>
        <w:t>T</w:t>
      </w:r>
      <w:r w:rsidRPr="00C20BFB">
        <w:rPr>
          <w:color w:val="000000" w:themeColor="text1"/>
          <w:szCs w:val="19"/>
        </w:rPr>
        <w:t>here is no</w:t>
      </w:r>
      <w:r w:rsidR="00CE6E0E">
        <w:rPr>
          <w:color w:val="000000" w:themeColor="text1"/>
          <w:szCs w:val="19"/>
        </w:rPr>
        <w:t xml:space="preserve"> regular collection </w:t>
      </w:r>
      <w:r w:rsidRPr="00C20BFB">
        <w:rPr>
          <w:color w:val="000000" w:themeColor="text1"/>
          <w:szCs w:val="19"/>
        </w:rPr>
        <w:t>for VET</w:t>
      </w:r>
      <w:r w:rsidR="00FA1BEF">
        <w:rPr>
          <w:color w:val="000000" w:themeColor="text1"/>
          <w:szCs w:val="19"/>
        </w:rPr>
        <w:t xml:space="preserve"> though </w:t>
      </w:r>
      <w:r w:rsidR="00CB4B7C">
        <w:rPr>
          <w:color w:val="000000" w:themeColor="text1"/>
          <w:szCs w:val="19"/>
        </w:rPr>
        <w:t xml:space="preserve">staff </w:t>
      </w:r>
      <w:r w:rsidR="00FA1BEF">
        <w:rPr>
          <w:color w:val="000000" w:themeColor="text1"/>
          <w:szCs w:val="19"/>
        </w:rPr>
        <w:t>data for schools and higher education are provided annually</w:t>
      </w:r>
      <w:r w:rsidR="00DF1013" w:rsidRPr="00C20BFB">
        <w:rPr>
          <w:color w:val="000000" w:themeColor="text1"/>
          <w:szCs w:val="19"/>
        </w:rPr>
        <w:t>.</w:t>
      </w:r>
      <w:r w:rsidR="003A417A" w:rsidRPr="00C20BFB">
        <w:rPr>
          <w:color w:val="000000" w:themeColor="text1"/>
          <w:szCs w:val="19"/>
        </w:rPr>
        <w:t xml:space="preserve"> </w:t>
      </w:r>
      <w:r w:rsidR="00FB446B" w:rsidRPr="00C20BFB">
        <w:rPr>
          <w:color w:val="000000" w:themeColor="text1"/>
          <w:szCs w:val="19"/>
        </w:rPr>
        <w:t>The Productivity Commission</w:t>
      </w:r>
      <w:r w:rsidR="006A0711" w:rsidRPr="00C20BFB">
        <w:rPr>
          <w:color w:val="000000" w:themeColor="text1"/>
          <w:szCs w:val="19"/>
        </w:rPr>
        <w:t xml:space="preserve"> </w:t>
      </w:r>
      <w:r w:rsidR="00FA1BEF">
        <w:rPr>
          <w:color w:val="000000" w:themeColor="text1"/>
          <w:szCs w:val="19"/>
        </w:rPr>
        <w:t xml:space="preserve">in 2011 </w:t>
      </w:r>
      <w:r w:rsidR="006A0711" w:rsidRPr="00C20BFB">
        <w:rPr>
          <w:color w:val="000000" w:themeColor="text1"/>
          <w:szCs w:val="19"/>
        </w:rPr>
        <w:t xml:space="preserve">studied </w:t>
      </w:r>
      <w:r w:rsidR="00FB446B" w:rsidRPr="00C20BFB">
        <w:rPr>
          <w:color w:val="000000" w:themeColor="text1"/>
          <w:szCs w:val="19"/>
        </w:rPr>
        <w:t>staff in vocational education</w:t>
      </w:r>
      <w:r w:rsidR="003A417A" w:rsidRPr="00C20BFB">
        <w:rPr>
          <w:color w:val="000000" w:themeColor="text1"/>
          <w:szCs w:val="19"/>
        </w:rPr>
        <w:t xml:space="preserve"> and</w:t>
      </w:r>
      <w:r w:rsidR="00FB446B" w:rsidRPr="00C20BFB">
        <w:rPr>
          <w:color w:val="000000" w:themeColor="text1"/>
          <w:szCs w:val="19"/>
        </w:rPr>
        <w:t xml:space="preserve"> commente</w:t>
      </w:r>
      <w:r w:rsidR="00FB446B" w:rsidRPr="00C20BFB">
        <w:rPr>
          <w:szCs w:val="19"/>
        </w:rPr>
        <w:t xml:space="preserve">d: </w:t>
      </w:r>
    </w:p>
    <w:p w:rsidR="00FB446B" w:rsidRPr="00C20BFB" w:rsidRDefault="00225A71" w:rsidP="00FB446B">
      <w:pPr>
        <w:pStyle w:val="Text"/>
        <w:spacing w:before="120"/>
        <w:ind w:left="720"/>
        <w:rPr>
          <w:szCs w:val="19"/>
        </w:rPr>
      </w:pPr>
      <w:r w:rsidRPr="00C20BFB">
        <w:rPr>
          <w:noProof/>
          <w:szCs w:val="19"/>
        </w:rPr>
        <w:t>L</w:t>
      </w:r>
      <w:r w:rsidR="00FB446B" w:rsidRPr="00C20BFB">
        <w:rPr>
          <w:noProof/>
          <w:szCs w:val="19"/>
        </w:rPr>
        <w:t xml:space="preserve">ack of quality workforce data is an obstacle to effective VET policy making at the jurisdictional and national levels and workforce planning at local and industry sector levels. It also hinders efforts to improve the capacity and capability of the workforce </w:t>
      </w:r>
      <w:r w:rsidR="00FB446B" w:rsidRPr="00C20BFB">
        <w:rPr>
          <w:szCs w:val="19"/>
        </w:rPr>
        <w:t>(PC 2011).</w:t>
      </w:r>
    </w:p>
    <w:p w:rsidR="00FB446B" w:rsidRDefault="00353CDE" w:rsidP="009314D5">
      <w:pPr>
        <w:pStyle w:val="Text"/>
        <w:spacing w:before="120"/>
        <w:rPr>
          <w:color w:val="000000" w:themeColor="text1"/>
          <w:szCs w:val="19"/>
        </w:rPr>
      </w:pPr>
      <w:r>
        <w:rPr>
          <w:color w:val="000000" w:themeColor="text1"/>
          <w:szCs w:val="19"/>
        </w:rPr>
        <w:t>The</w:t>
      </w:r>
      <w:r w:rsidR="00561881">
        <w:rPr>
          <w:color w:val="000000" w:themeColor="text1"/>
          <w:szCs w:val="19"/>
        </w:rPr>
        <w:t xml:space="preserve"> expansion and later contraction may have</w:t>
      </w:r>
      <w:r>
        <w:rPr>
          <w:color w:val="000000" w:themeColor="text1"/>
          <w:szCs w:val="19"/>
        </w:rPr>
        <w:t xml:space="preserve"> </w:t>
      </w:r>
      <w:r w:rsidR="00967BC2">
        <w:rPr>
          <w:color w:val="000000" w:themeColor="text1"/>
          <w:szCs w:val="19"/>
        </w:rPr>
        <w:t>contributed to the</w:t>
      </w:r>
      <w:r w:rsidR="00B768C0">
        <w:rPr>
          <w:color w:val="000000" w:themeColor="text1"/>
          <w:szCs w:val="19"/>
        </w:rPr>
        <w:t xml:space="preserve"> increase </w:t>
      </w:r>
      <w:r w:rsidR="00967BC2">
        <w:rPr>
          <w:color w:val="000000" w:themeColor="text1"/>
          <w:szCs w:val="19"/>
        </w:rPr>
        <w:t xml:space="preserve">in </w:t>
      </w:r>
      <w:proofErr w:type="spellStart"/>
      <w:r w:rsidR="00967BC2">
        <w:rPr>
          <w:color w:val="000000" w:themeColor="text1"/>
          <w:szCs w:val="19"/>
        </w:rPr>
        <w:t>casuali</w:t>
      </w:r>
      <w:r>
        <w:rPr>
          <w:color w:val="000000" w:themeColor="text1"/>
          <w:szCs w:val="19"/>
        </w:rPr>
        <w:t>s</w:t>
      </w:r>
      <w:r w:rsidR="00967BC2">
        <w:rPr>
          <w:color w:val="000000" w:themeColor="text1"/>
          <w:szCs w:val="19"/>
        </w:rPr>
        <w:t>ation</w:t>
      </w:r>
      <w:proofErr w:type="spellEnd"/>
      <w:r w:rsidR="00967BC2">
        <w:rPr>
          <w:color w:val="000000" w:themeColor="text1"/>
          <w:szCs w:val="19"/>
        </w:rPr>
        <w:t xml:space="preserve"> reported </w:t>
      </w:r>
      <w:r w:rsidR="00FB446B" w:rsidRPr="003A417A">
        <w:rPr>
          <w:color w:val="000000" w:themeColor="text1"/>
          <w:szCs w:val="19"/>
        </w:rPr>
        <w:t xml:space="preserve">(Knight et al 2020). Nearly </w:t>
      </w:r>
      <w:r w:rsidR="006A68FE">
        <w:rPr>
          <w:color w:val="000000" w:themeColor="text1"/>
          <w:szCs w:val="19"/>
        </w:rPr>
        <w:t xml:space="preserve">50 per cent </w:t>
      </w:r>
      <w:r w:rsidR="00561881">
        <w:rPr>
          <w:color w:val="000000" w:themeColor="text1"/>
          <w:szCs w:val="19"/>
        </w:rPr>
        <w:t xml:space="preserve">of </w:t>
      </w:r>
      <w:r w:rsidR="00FB446B" w:rsidRPr="003A417A">
        <w:rPr>
          <w:color w:val="000000" w:themeColor="text1"/>
          <w:szCs w:val="19"/>
        </w:rPr>
        <w:t>trainers and assessors are part-time, but over 60 per cent in TAFE. About 50 per cent are casual or contract</w:t>
      </w:r>
      <w:r w:rsidR="006A68FE">
        <w:rPr>
          <w:color w:val="000000" w:themeColor="text1"/>
          <w:szCs w:val="19"/>
        </w:rPr>
        <w:t>,</w:t>
      </w:r>
      <w:r w:rsidR="00FB446B" w:rsidRPr="003A417A">
        <w:rPr>
          <w:color w:val="000000" w:themeColor="text1"/>
          <w:szCs w:val="19"/>
        </w:rPr>
        <w:t xml:space="preserve"> over 60 per cent in TAFE. </w:t>
      </w:r>
      <w:proofErr w:type="spellStart"/>
      <w:r w:rsidR="00B768C0">
        <w:rPr>
          <w:color w:val="000000" w:themeColor="text1"/>
          <w:szCs w:val="19"/>
        </w:rPr>
        <w:t>C</w:t>
      </w:r>
      <w:r w:rsidR="00FB446B" w:rsidRPr="003A417A">
        <w:rPr>
          <w:color w:val="000000" w:themeColor="text1"/>
          <w:szCs w:val="19"/>
        </w:rPr>
        <w:t>asualisation</w:t>
      </w:r>
      <w:proofErr w:type="spellEnd"/>
      <w:r w:rsidR="00FB446B" w:rsidRPr="003A417A">
        <w:rPr>
          <w:color w:val="000000" w:themeColor="text1"/>
          <w:szCs w:val="19"/>
        </w:rPr>
        <w:t xml:space="preserve"> is higher than in </w:t>
      </w:r>
      <w:r w:rsidR="00DF1013" w:rsidRPr="003A417A">
        <w:rPr>
          <w:color w:val="000000" w:themeColor="text1"/>
          <w:szCs w:val="19"/>
        </w:rPr>
        <w:t>the last collec</w:t>
      </w:r>
      <w:r w:rsidR="00967BC2">
        <w:rPr>
          <w:color w:val="000000" w:themeColor="text1"/>
          <w:szCs w:val="19"/>
        </w:rPr>
        <w:t>t</w:t>
      </w:r>
      <w:r w:rsidR="00DF1013" w:rsidRPr="003A417A">
        <w:rPr>
          <w:color w:val="000000" w:themeColor="text1"/>
          <w:szCs w:val="19"/>
        </w:rPr>
        <w:t xml:space="preserve">ion in </w:t>
      </w:r>
      <w:r w:rsidR="00FB446B" w:rsidRPr="003A417A">
        <w:rPr>
          <w:color w:val="000000" w:themeColor="text1"/>
          <w:szCs w:val="19"/>
        </w:rPr>
        <w:t>2008 and higher than the rate for the whole national workforce (Guthrie 20</w:t>
      </w:r>
      <w:r w:rsidR="009314D5">
        <w:rPr>
          <w:color w:val="000000" w:themeColor="text1"/>
          <w:szCs w:val="19"/>
        </w:rPr>
        <w:t>10</w:t>
      </w:r>
      <w:r w:rsidR="001D420F">
        <w:rPr>
          <w:color w:val="000000" w:themeColor="text1"/>
          <w:szCs w:val="19"/>
        </w:rPr>
        <w:t>,</w:t>
      </w:r>
      <w:r w:rsidR="00FB446B" w:rsidRPr="003A417A">
        <w:rPr>
          <w:color w:val="000000" w:themeColor="text1"/>
          <w:szCs w:val="19"/>
        </w:rPr>
        <w:t xml:space="preserve"> Gilfillan 2018). </w:t>
      </w:r>
      <w:r w:rsidR="00630E5B">
        <w:rPr>
          <w:color w:val="000000" w:themeColor="text1"/>
          <w:szCs w:val="19"/>
        </w:rPr>
        <w:t>I</w:t>
      </w:r>
      <w:r w:rsidR="00B768C0">
        <w:rPr>
          <w:color w:val="000000" w:themeColor="text1"/>
          <w:szCs w:val="19"/>
        </w:rPr>
        <w:t>ncidentally</w:t>
      </w:r>
      <w:r w:rsidR="00CE6E0E">
        <w:rPr>
          <w:color w:val="000000" w:themeColor="text1"/>
          <w:szCs w:val="19"/>
        </w:rPr>
        <w:t>,</w:t>
      </w:r>
      <w:r w:rsidR="00B768C0">
        <w:rPr>
          <w:color w:val="000000" w:themeColor="text1"/>
          <w:szCs w:val="19"/>
        </w:rPr>
        <w:t xml:space="preserve"> </w:t>
      </w:r>
      <w:r w:rsidR="006A68FE">
        <w:rPr>
          <w:color w:val="000000" w:themeColor="text1"/>
          <w:szCs w:val="19"/>
        </w:rPr>
        <w:t>th</w:t>
      </w:r>
      <w:r w:rsidR="00B15766">
        <w:rPr>
          <w:color w:val="000000" w:themeColor="text1"/>
          <w:szCs w:val="19"/>
        </w:rPr>
        <w:t>is</w:t>
      </w:r>
      <w:r w:rsidR="006A68FE">
        <w:rPr>
          <w:color w:val="000000" w:themeColor="text1"/>
          <w:szCs w:val="19"/>
        </w:rPr>
        <w:t xml:space="preserve"> use of casuals means that </w:t>
      </w:r>
      <w:r w:rsidR="00B768C0">
        <w:rPr>
          <w:color w:val="000000" w:themeColor="text1"/>
          <w:szCs w:val="19"/>
        </w:rPr>
        <w:t>c</w:t>
      </w:r>
      <w:r w:rsidR="00933A95">
        <w:rPr>
          <w:color w:val="000000" w:themeColor="text1"/>
          <w:szCs w:val="19"/>
        </w:rPr>
        <w:t>ost estimates of teaching based on full-time staff may not bear much relationship to actual costs</w:t>
      </w:r>
      <w:r w:rsidR="006A68FE">
        <w:rPr>
          <w:color w:val="000000" w:themeColor="text1"/>
          <w:szCs w:val="19"/>
        </w:rPr>
        <w:t>.</w:t>
      </w:r>
      <w:r w:rsidR="00792E0A">
        <w:rPr>
          <w:color w:val="000000" w:themeColor="text1"/>
          <w:szCs w:val="19"/>
        </w:rPr>
        <w:t xml:space="preserve"> </w:t>
      </w:r>
    </w:p>
    <w:p w:rsidR="00630E5B" w:rsidRPr="00630E5B" w:rsidRDefault="00792E0A" w:rsidP="009314D5">
      <w:pPr>
        <w:pStyle w:val="Text"/>
        <w:spacing w:before="120"/>
        <w:rPr>
          <w:color w:val="000000" w:themeColor="text1"/>
          <w:szCs w:val="19"/>
        </w:rPr>
      </w:pPr>
      <w:r>
        <w:rPr>
          <w:color w:val="000000" w:themeColor="text1"/>
          <w:szCs w:val="19"/>
        </w:rPr>
        <w:t xml:space="preserve">These issues are </w:t>
      </w:r>
      <w:r w:rsidR="007A36A0">
        <w:rPr>
          <w:color w:val="000000" w:themeColor="text1"/>
          <w:szCs w:val="19"/>
        </w:rPr>
        <w:t xml:space="preserve">complementary </w:t>
      </w:r>
      <w:r>
        <w:rPr>
          <w:color w:val="000000" w:themeColor="text1"/>
          <w:szCs w:val="19"/>
        </w:rPr>
        <w:t xml:space="preserve">to the concerns about the qualifications of vocational teachers as discussed by </w:t>
      </w:r>
      <w:r w:rsidRPr="00CE6E0E">
        <w:rPr>
          <w:color w:val="000000" w:themeColor="text1"/>
          <w:szCs w:val="19"/>
        </w:rPr>
        <w:t>Harris (2020)</w:t>
      </w:r>
      <w:r w:rsidR="00FA0598" w:rsidRPr="00CE6E0E">
        <w:rPr>
          <w:color w:val="000000" w:themeColor="text1"/>
          <w:szCs w:val="19"/>
        </w:rPr>
        <w:t>,</w:t>
      </w:r>
      <w:r w:rsidR="00FA0598" w:rsidRPr="00CE6E0E">
        <w:rPr>
          <w:rFonts w:cs="NimbusSanL-Regu"/>
          <w:szCs w:val="19"/>
        </w:rPr>
        <w:t xml:space="preserve"> </w:t>
      </w:r>
      <w:r w:rsidR="00FA0598" w:rsidRPr="00630E5B">
        <w:rPr>
          <w:color w:val="000000" w:themeColor="text1"/>
          <w:szCs w:val="19"/>
        </w:rPr>
        <w:t>Smith and Yasukawa 2017)</w:t>
      </w:r>
      <w:r>
        <w:rPr>
          <w:color w:val="000000" w:themeColor="text1"/>
          <w:szCs w:val="19"/>
        </w:rPr>
        <w:t>.</w:t>
      </w:r>
      <w:r w:rsidR="00630E5B" w:rsidRPr="00630E5B">
        <w:rPr>
          <w:color w:val="000000" w:themeColor="text1"/>
          <w:szCs w:val="19"/>
        </w:rPr>
        <w:t xml:space="preserve"> </w:t>
      </w:r>
      <w:r w:rsidR="004124C8">
        <w:rPr>
          <w:color w:val="000000" w:themeColor="text1"/>
          <w:szCs w:val="19"/>
        </w:rPr>
        <w:t xml:space="preserve">Dr </w:t>
      </w:r>
      <w:r w:rsidR="00630E5B" w:rsidRPr="00630E5B">
        <w:rPr>
          <w:color w:val="000000" w:themeColor="text1"/>
          <w:szCs w:val="19"/>
        </w:rPr>
        <w:t>Anne Jones</w:t>
      </w:r>
      <w:r w:rsidR="00630E5B">
        <w:rPr>
          <w:color w:val="000000" w:themeColor="text1"/>
          <w:szCs w:val="19"/>
        </w:rPr>
        <w:t>,</w:t>
      </w:r>
      <w:r w:rsidR="00630E5B" w:rsidRPr="00630E5B">
        <w:rPr>
          <w:color w:val="000000" w:themeColor="text1"/>
          <w:szCs w:val="19"/>
        </w:rPr>
        <w:t xml:space="preserve"> former head of </w:t>
      </w:r>
      <w:r w:rsidR="00350237">
        <w:rPr>
          <w:color w:val="000000" w:themeColor="text1"/>
          <w:szCs w:val="19"/>
        </w:rPr>
        <w:t>VET</w:t>
      </w:r>
      <w:r w:rsidR="00630E5B" w:rsidRPr="00630E5B">
        <w:rPr>
          <w:color w:val="000000" w:themeColor="text1"/>
          <w:szCs w:val="19"/>
        </w:rPr>
        <w:t xml:space="preserve"> at </w:t>
      </w:r>
      <w:r w:rsidR="00350237">
        <w:rPr>
          <w:color w:val="000000" w:themeColor="text1"/>
          <w:szCs w:val="19"/>
        </w:rPr>
        <w:t xml:space="preserve">the dual sector </w:t>
      </w:r>
      <w:r w:rsidR="00630E5B" w:rsidRPr="00630E5B">
        <w:rPr>
          <w:color w:val="000000" w:themeColor="text1"/>
          <w:szCs w:val="19"/>
        </w:rPr>
        <w:t>Victoria University</w:t>
      </w:r>
      <w:r w:rsidR="00630E5B">
        <w:rPr>
          <w:color w:val="000000" w:themeColor="text1"/>
          <w:szCs w:val="19"/>
        </w:rPr>
        <w:t>,</w:t>
      </w:r>
      <w:r w:rsidR="00630E5B" w:rsidRPr="00630E5B">
        <w:rPr>
          <w:color w:val="000000" w:themeColor="text1"/>
          <w:szCs w:val="19"/>
        </w:rPr>
        <w:t xml:space="preserve"> puts this in the context of the introduction of </w:t>
      </w:r>
      <w:r w:rsidR="00F16F2C" w:rsidRPr="00630E5B">
        <w:rPr>
          <w:color w:val="000000" w:themeColor="text1"/>
          <w:szCs w:val="19"/>
        </w:rPr>
        <w:t>competency-based</w:t>
      </w:r>
      <w:r w:rsidR="00630E5B" w:rsidRPr="00630E5B">
        <w:rPr>
          <w:color w:val="000000" w:themeColor="text1"/>
          <w:szCs w:val="19"/>
        </w:rPr>
        <w:t xml:space="preserve"> training in the 1990s: </w:t>
      </w:r>
    </w:p>
    <w:p w:rsidR="00630E5B" w:rsidRPr="00630E5B" w:rsidRDefault="00630E5B" w:rsidP="00630E5B">
      <w:pPr>
        <w:pStyle w:val="Text"/>
        <w:spacing w:before="120"/>
        <w:ind w:left="720"/>
        <w:rPr>
          <w:color w:val="000000" w:themeColor="text1"/>
          <w:szCs w:val="19"/>
        </w:rPr>
      </w:pPr>
      <w:r w:rsidRPr="00630E5B">
        <w:rPr>
          <w:color w:val="000000" w:themeColor="text1"/>
          <w:szCs w:val="19"/>
        </w:rPr>
        <w:t>Curriculum was replaced by training packages, learning outcomes became elements of competence, assessment criteria became performance criteria, and responsibility for the development of qualifications was transferred from educators to industry. In the early days policymakers, industry stakeholders and even educators believed that training package documentation could be so explicit that anyone with minimal training could deliver and assess. … the preparation needed to deliver vocational education was reduced from a bachelor or postgraduate teaching qualification to what is now a certificate IV qualification (Jones 2018).</w:t>
      </w:r>
    </w:p>
    <w:p w:rsidR="003A417A" w:rsidRPr="003C096F" w:rsidRDefault="003A417A" w:rsidP="00587A82">
      <w:pPr>
        <w:pStyle w:val="Heading3"/>
      </w:pPr>
      <w:r w:rsidRPr="003C096F">
        <w:lastRenderedPageBreak/>
        <w:t>Large and stable providers</w:t>
      </w:r>
    </w:p>
    <w:p w:rsidR="00513C7F" w:rsidRPr="00150759" w:rsidRDefault="00B15766" w:rsidP="00044ABF">
      <w:pPr>
        <w:kinsoku w:val="0"/>
        <w:overflowPunct w:val="0"/>
        <w:autoSpaceDE w:val="0"/>
        <w:autoSpaceDN w:val="0"/>
        <w:adjustRightInd w:val="0"/>
        <w:spacing w:after="0" w:line="314" w:lineRule="exact"/>
        <w:ind w:left="40"/>
        <w:rPr>
          <w:rFonts w:cstheme="minorHAnsi"/>
          <w:i/>
          <w:iCs/>
        </w:rPr>
      </w:pPr>
      <w:r>
        <w:rPr>
          <w:rFonts w:cstheme="minorHAnsi"/>
        </w:rPr>
        <w:t>T</w:t>
      </w:r>
      <w:r w:rsidR="00150759">
        <w:rPr>
          <w:rFonts w:cstheme="minorHAnsi"/>
        </w:rPr>
        <w:t xml:space="preserve">here is a range of reasons for wanting stable and large providers. The </w:t>
      </w:r>
      <w:r w:rsidR="002727A3">
        <w:rPr>
          <w:rFonts w:cstheme="minorHAnsi"/>
        </w:rPr>
        <w:t xml:space="preserve">key </w:t>
      </w:r>
      <w:r w:rsidR="00967BC2">
        <w:rPr>
          <w:rFonts w:cstheme="minorHAnsi"/>
        </w:rPr>
        <w:t xml:space="preserve">findings of a </w:t>
      </w:r>
      <w:r w:rsidR="003A417A" w:rsidRPr="003A417A">
        <w:rPr>
          <w:rFonts w:cstheme="minorHAnsi"/>
        </w:rPr>
        <w:t>study on disadvantaged students in VET</w:t>
      </w:r>
      <w:r w:rsidR="00933A95">
        <w:rPr>
          <w:rFonts w:cstheme="minorHAnsi"/>
        </w:rPr>
        <w:t xml:space="preserve"> by </w:t>
      </w:r>
      <w:r w:rsidR="00513C7F" w:rsidRPr="003A417A">
        <w:rPr>
          <w:rFonts w:cstheme="minorHAnsi"/>
        </w:rPr>
        <w:t>Lamb et al (2018</w:t>
      </w:r>
      <w:r w:rsidR="00513C7F" w:rsidRPr="00B15766">
        <w:rPr>
          <w:rFonts w:cstheme="minorHAnsi"/>
          <w:i/>
          <w:iCs/>
        </w:rPr>
        <w:t>)</w:t>
      </w:r>
      <w:r w:rsidRPr="00B15766">
        <w:rPr>
          <w:rFonts w:cstheme="minorHAnsi"/>
          <w:i/>
          <w:iCs/>
        </w:rPr>
        <w:t>,</w:t>
      </w:r>
      <w:r w:rsidR="00C46667" w:rsidRPr="00B15766">
        <w:rPr>
          <w:rFonts w:cstheme="minorHAnsi"/>
          <w:i/>
          <w:iCs/>
        </w:rPr>
        <w:t xml:space="preserve"> Improving participation and success in VET for disadvantaged learners</w:t>
      </w:r>
      <w:r w:rsidR="00150759">
        <w:rPr>
          <w:rFonts w:cstheme="minorHAnsi"/>
          <w:i/>
          <w:iCs/>
        </w:rPr>
        <w:t xml:space="preserve"> </w:t>
      </w:r>
      <w:r w:rsidR="00A84C25">
        <w:rPr>
          <w:rFonts w:cstheme="minorHAnsi"/>
        </w:rPr>
        <w:t>add s</w:t>
      </w:r>
      <w:r w:rsidR="00150759" w:rsidRPr="00150759">
        <w:rPr>
          <w:rFonts w:cstheme="minorHAnsi"/>
        </w:rPr>
        <w:t xml:space="preserve">upport </w:t>
      </w:r>
      <w:r w:rsidR="00A84C25">
        <w:rPr>
          <w:rFonts w:cstheme="minorHAnsi"/>
        </w:rPr>
        <w:t xml:space="preserve">to </w:t>
      </w:r>
      <w:r w:rsidR="00150759" w:rsidRPr="00150759">
        <w:rPr>
          <w:rFonts w:cstheme="minorHAnsi"/>
        </w:rPr>
        <w:t>this</w:t>
      </w:r>
      <w:r w:rsidRPr="00150759">
        <w:rPr>
          <w:rFonts w:cstheme="minorHAnsi"/>
          <w:i/>
          <w:iCs/>
        </w:rPr>
        <w:t xml:space="preserve">. </w:t>
      </w:r>
    </w:p>
    <w:p w:rsidR="00513C7F" w:rsidRPr="004D756E" w:rsidRDefault="00513C7F" w:rsidP="003E4584">
      <w:pPr>
        <w:numPr>
          <w:ilvl w:val="0"/>
          <w:numId w:val="8"/>
        </w:numPr>
        <w:tabs>
          <w:tab w:val="left" w:pos="402"/>
        </w:tabs>
        <w:kinsoku w:val="0"/>
        <w:overflowPunct w:val="0"/>
        <w:autoSpaceDE w:val="0"/>
        <w:autoSpaceDN w:val="0"/>
        <w:adjustRightInd w:val="0"/>
        <w:spacing w:before="79" w:after="0" w:line="326" w:lineRule="auto"/>
        <w:ind w:left="402" w:right="356"/>
        <w:rPr>
          <w:rFonts w:ascii="Trebuchet MS" w:hAnsi="Trebuchet MS" w:cstheme="minorHAnsi"/>
          <w:sz w:val="18"/>
          <w:szCs w:val="18"/>
        </w:rPr>
      </w:pPr>
      <w:r w:rsidRPr="004D756E">
        <w:rPr>
          <w:rFonts w:ascii="Trebuchet MS" w:hAnsi="Trebuchet MS" w:cstheme="minorHAnsi"/>
          <w:sz w:val="18"/>
          <w:szCs w:val="18"/>
        </w:rPr>
        <w:t>Supporting disadvantaged learners is successful when it is an institution-wide commitment. The institute should have a defined set of initiatives in place, such as providing learning support and matching more experienced staff with high-need learners, rather than relying on ad hoc practices.</w:t>
      </w:r>
    </w:p>
    <w:p w:rsidR="00513C7F" w:rsidRPr="004D756E" w:rsidRDefault="00513C7F" w:rsidP="003E4584">
      <w:pPr>
        <w:numPr>
          <w:ilvl w:val="0"/>
          <w:numId w:val="8"/>
        </w:numPr>
        <w:tabs>
          <w:tab w:val="left" w:pos="402"/>
        </w:tabs>
        <w:kinsoku w:val="0"/>
        <w:overflowPunct w:val="0"/>
        <w:autoSpaceDE w:val="0"/>
        <w:autoSpaceDN w:val="0"/>
        <w:adjustRightInd w:val="0"/>
        <w:spacing w:before="79" w:after="0" w:line="326" w:lineRule="auto"/>
        <w:ind w:left="402" w:right="356"/>
        <w:rPr>
          <w:rFonts w:ascii="Trebuchet MS" w:hAnsi="Trebuchet MS" w:cstheme="minorHAnsi"/>
          <w:sz w:val="18"/>
          <w:szCs w:val="18"/>
        </w:rPr>
      </w:pPr>
      <w:r w:rsidRPr="004D756E">
        <w:rPr>
          <w:rFonts w:ascii="Trebuchet MS" w:hAnsi="Trebuchet MS" w:cstheme="minorHAnsi"/>
          <w:sz w:val="18"/>
          <w:szCs w:val="18"/>
        </w:rPr>
        <w:t>Building strong relationships with employers and other service agencies in the community is important but requires adequate resourcing. These relationships, which help training providers gain a better understanding of the local community, the types of disadvantaged learners within it, and the available employment and labour market opportunities, enable them to better support their</w:t>
      </w:r>
      <w:r w:rsidRPr="004D756E">
        <w:rPr>
          <w:rFonts w:ascii="Trebuchet MS" w:hAnsi="Trebuchet MS" w:cstheme="minorHAnsi"/>
          <w:spacing w:val="5"/>
          <w:sz w:val="18"/>
          <w:szCs w:val="18"/>
        </w:rPr>
        <w:t xml:space="preserve"> </w:t>
      </w:r>
      <w:r w:rsidRPr="004D756E">
        <w:rPr>
          <w:rFonts w:ascii="Trebuchet MS" w:hAnsi="Trebuchet MS" w:cstheme="minorHAnsi"/>
          <w:sz w:val="18"/>
          <w:szCs w:val="18"/>
        </w:rPr>
        <w:t>students.</w:t>
      </w:r>
    </w:p>
    <w:p w:rsidR="00513C7F" w:rsidRPr="004D756E" w:rsidRDefault="00513C7F" w:rsidP="00513C7F">
      <w:pPr>
        <w:numPr>
          <w:ilvl w:val="0"/>
          <w:numId w:val="8"/>
        </w:numPr>
        <w:tabs>
          <w:tab w:val="left" w:pos="403"/>
        </w:tabs>
        <w:kinsoku w:val="0"/>
        <w:overflowPunct w:val="0"/>
        <w:autoSpaceDE w:val="0"/>
        <w:autoSpaceDN w:val="0"/>
        <w:adjustRightInd w:val="0"/>
        <w:spacing w:before="79" w:after="0" w:line="326" w:lineRule="auto"/>
        <w:ind w:left="402" w:right="356"/>
        <w:rPr>
          <w:rFonts w:ascii="Trebuchet MS" w:hAnsi="Trebuchet MS" w:cstheme="minorHAnsi"/>
          <w:sz w:val="18"/>
          <w:szCs w:val="18"/>
        </w:rPr>
      </w:pPr>
      <w:r w:rsidRPr="004D756E">
        <w:rPr>
          <w:rFonts w:ascii="Trebuchet MS" w:hAnsi="Trebuchet MS" w:cstheme="minorHAnsi"/>
          <w:sz w:val="18"/>
          <w:szCs w:val="18"/>
        </w:rPr>
        <w:t>While diverse groups of disadvantaged learners are widely offered support, it is necessary to customise the support to the individual, particularly for culturally and linguistically diverse (CALD) learners and learners with low levels of prior educational attainment. Support includes tailored services to the individual’s specific learning needs, such as extra literacy and numeracy support, as well as promoting the benefits of specific outreach programs in the</w:t>
      </w:r>
      <w:r w:rsidRPr="004D756E">
        <w:rPr>
          <w:rFonts w:ascii="Trebuchet MS" w:hAnsi="Trebuchet MS" w:cstheme="minorHAnsi"/>
          <w:spacing w:val="2"/>
          <w:sz w:val="18"/>
          <w:szCs w:val="18"/>
        </w:rPr>
        <w:t xml:space="preserve"> </w:t>
      </w:r>
      <w:r w:rsidRPr="004D756E">
        <w:rPr>
          <w:rFonts w:ascii="Trebuchet MS" w:hAnsi="Trebuchet MS" w:cstheme="minorHAnsi"/>
          <w:sz w:val="18"/>
          <w:szCs w:val="18"/>
        </w:rPr>
        <w:t>community.</w:t>
      </w:r>
    </w:p>
    <w:p w:rsidR="00513C7F" w:rsidRPr="004D756E" w:rsidRDefault="00513C7F" w:rsidP="00513C7F">
      <w:pPr>
        <w:numPr>
          <w:ilvl w:val="0"/>
          <w:numId w:val="8"/>
        </w:numPr>
        <w:tabs>
          <w:tab w:val="left" w:pos="403"/>
        </w:tabs>
        <w:kinsoku w:val="0"/>
        <w:overflowPunct w:val="0"/>
        <w:autoSpaceDE w:val="0"/>
        <w:autoSpaceDN w:val="0"/>
        <w:adjustRightInd w:val="0"/>
        <w:spacing w:before="79" w:after="0" w:line="326" w:lineRule="auto"/>
        <w:ind w:left="402" w:right="490" w:hanging="283"/>
        <w:rPr>
          <w:rFonts w:ascii="Trebuchet MS" w:hAnsi="Trebuchet MS" w:cstheme="minorHAnsi"/>
          <w:sz w:val="18"/>
          <w:szCs w:val="18"/>
        </w:rPr>
      </w:pPr>
      <w:r w:rsidRPr="004D756E">
        <w:rPr>
          <w:rFonts w:ascii="Trebuchet MS" w:hAnsi="Trebuchet MS" w:cstheme="minorHAnsi"/>
          <w:sz w:val="18"/>
          <w:szCs w:val="18"/>
        </w:rPr>
        <w:t>The development of regional frameworks that coordinate relationships between local community groups, VET providers and regional labour markets would likely benefit all involved. Collaboration helps to develop a comprehensive and coherent approach to the engagement of disadvantaged learners and may help to strengthen the relationship between VET completion and relevant job</w:t>
      </w:r>
      <w:r w:rsidRPr="004D756E">
        <w:rPr>
          <w:rFonts w:ascii="Trebuchet MS" w:hAnsi="Trebuchet MS" w:cstheme="minorHAnsi"/>
          <w:spacing w:val="-11"/>
          <w:sz w:val="18"/>
          <w:szCs w:val="18"/>
        </w:rPr>
        <w:t xml:space="preserve"> </w:t>
      </w:r>
      <w:r w:rsidRPr="004D756E">
        <w:rPr>
          <w:rFonts w:ascii="Trebuchet MS" w:hAnsi="Trebuchet MS" w:cstheme="minorHAnsi"/>
          <w:sz w:val="18"/>
          <w:szCs w:val="18"/>
        </w:rPr>
        <w:t>opportunities.</w:t>
      </w:r>
    </w:p>
    <w:p w:rsidR="00D57119" w:rsidRPr="006116F2" w:rsidRDefault="002F4A23" w:rsidP="004D756E">
      <w:pPr>
        <w:pStyle w:val="Heading1"/>
        <w:numPr>
          <w:ilvl w:val="0"/>
          <w:numId w:val="10"/>
        </w:numPr>
        <w:rPr>
          <w:szCs w:val="24"/>
        </w:rPr>
      </w:pPr>
      <w:r w:rsidRPr="006116F2">
        <w:rPr>
          <w:szCs w:val="24"/>
        </w:rPr>
        <w:t>Information request — Designing a New Intergovernmental agreement—how should it consider other educational sectors, informal training and non</w:t>
      </w:r>
      <w:r w:rsidRPr="006116F2">
        <w:rPr>
          <w:szCs w:val="24"/>
        </w:rPr>
        <w:noBreakHyphen/>
        <w:t>government funded training?</w:t>
      </w:r>
      <w:r w:rsidR="004124C8">
        <w:rPr>
          <w:szCs w:val="24"/>
        </w:rPr>
        <w:t xml:space="preserve"> </w:t>
      </w:r>
      <w:r w:rsidR="006116F2" w:rsidRPr="006116F2">
        <w:rPr>
          <w:szCs w:val="24"/>
        </w:rPr>
        <w:t>(C</w:t>
      </w:r>
      <w:r w:rsidR="00B768C0" w:rsidRPr="006116F2">
        <w:rPr>
          <w:szCs w:val="24"/>
        </w:rPr>
        <w:t xml:space="preserve">omment on subsidies and fees is </w:t>
      </w:r>
      <w:r w:rsidR="005B7936" w:rsidRPr="006116F2">
        <w:rPr>
          <w:szCs w:val="24"/>
        </w:rPr>
        <w:t>included here</w:t>
      </w:r>
      <w:r w:rsidR="00294C98" w:rsidRPr="006116F2">
        <w:rPr>
          <w:szCs w:val="24"/>
        </w:rPr>
        <w:t>)</w:t>
      </w:r>
      <w:r w:rsidR="00D20000" w:rsidRPr="006116F2">
        <w:rPr>
          <w:szCs w:val="24"/>
        </w:rPr>
        <w:t xml:space="preserve"> </w:t>
      </w:r>
    </w:p>
    <w:p w:rsidR="009C593F" w:rsidRPr="004213CA" w:rsidRDefault="00024B1E" w:rsidP="00F16F2C">
      <w:pPr>
        <w:pStyle w:val="Text"/>
        <w:spacing w:before="120"/>
        <w:rPr>
          <w:rFonts w:eastAsiaTheme="minorEastAsia" w:cstheme="minorBidi"/>
          <w:szCs w:val="19"/>
          <w:lang w:eastAsia="zh-CN"/>
        </w:rPr>
      </w:pPr>
      <w:r w:rsidRPr="004213CA">
        <w:rPr>
          <w:rFonts w:eastAsiaTheme="minorEastAsia" w:cstheme="minorBidi"/>
          <w:szCs w:val="19"/>
          <w:lang w:eastAsia="zh-CN"/>
        </w:rPr>
        <w:t xml:space="preserve">For VET the arrangements </w:t>
      </w:r>
      <w:r w:rsidR="00B15766" w:rsidRPr="004213CA">
        <w:rPr>
          <w:rFonts w:eastAsiaTheme="minorEastAsia" w:cstheme="minorBidi"/>
          <w:szCs w:val="19"/>
          <w:lang w:eastAsia="zh-CN"/>
        </w:rPr>
        <w:t xml:space="preserve">for fees and subsidies </w:t>
      </w:r>
      <w:r w:rsidRPr="004213CA">
        <w:rPr>
          <w:rFonts w:eastAsiaTheme="minorEastAsia" w:cstheme="minorBidi"/>
          <w:szCs w:val="19"/>
          <w:lang w:eastAsia="zh-CN"/>
        </w:rPr>
        <w:t>differ</w:t>
      </w:r>
      <w:r w:rsidR="00150759">
        <w:rPr>
          <w:rFonts w:eastAsiaTheme="minorEastAsia" w:cstheme="minorBidi"/>
          <w:szCs w:val="19"/>
          <w:lang w:eastAsia="zh-CN"/>
        </w:rPr>
        <w:t xml:space="preserve"> considerably</w:t>
      </w:r>
      <w:r w:rsidRPr="004213CA">
        <w:rPr>
          <w:rFonts w:eastAsiaTheme="minorEastAsia" w:cstheme="minorBidi"/>
          <w:szCs w:val="19"/>
          <w:lang w:eastAsia="zh-CN"/>
        </w:rPr>
        <w:t xml:space="preserve"> across states </w:t>
      </w:r>
      <w:r w:rsidR="00B15766" w:rsidRPr="004213CA">
        <w:rPr>
          <w:rFonts w:eastAsiaTheme="minorEastAsia" w:cstheme="minorBidi"/>
          <w:szCs w:val="19"/>
          <w:lang w:eastAsia="zh-CN"/>
        </w:rPr>
        <w:t>as detailed in the Interim Report</w:t>
      </w:r>
      <w:r w:rsidRPr="004213CA">
        <w:rPr>
          <w:rFonts w:eastAsiaTheme="minorEastAsia" w:cstheme="minorBidi"/>
          <w:szCs w:val="19"/>
          <w:lang w:eastAsia="zh-CN"/>
        </w:rPr>
        <w:t>.</w:t>
      </w:r>
    </w:p>
    <w:p w:rsidR="009C593F" w:rsidRPr="004213CA" w:rsidRDefault="00024B1E" w:rsidP="0068418E">
      <w:pPr>
        <w:pStyle w:val="Text"/>
        <w:spacing w:before="120"/>
        <w:rPr>
          <w:rFonts w:eastAsiaTheme="minorEastAsia" w:cstheme="minorBidi"/>
          <w:szCs w:val="19"/>
          <w:lang w:eastAsia="zh-CN"/>
        </w:rPr>
      </w:pPr>
      <w:r w:rsidRPr="004213CA">
        <w:rPr>
          <w:rFonts w:eastAsiaTheme="minorEastAsia" w:cstheme="minorBidi"/>
          <w:szCs w:val="19"/>
          <w:lang w:eastAsia="zh-CN"/>
        </w:rPr>
        <w:t xml:space="preserve">The interim report </w:t>
      </w:r>
      <w:r w:rsidR="009C593F" w:rsidRPr="004213CA">
        <w:rPr>
          <w:rFonts w:eastAsiaTheme="minorEastAsia" w:cstheme="minorBidi"/>
          <w:szCs w:val="19"/>
          <w:lang w:eastAsia="zh-CN"/>
        </w:rPr>
        <w:t xml:space="preserve">defines price for </w:t>
      </w:r>
      <w:r w:rsidR="00513CEF" w:rsidRPr="004213CA">
        <w:rPr>
          <w:rFonts w:eastAsiaTheme="minorEastAsia" w:cstheme="minorBidi"/>
          <w:szCs w:val="19"/>
          <w:lang w:eastAsia="zh-CN"/>
        </w:rPr>
        <w:t>government-supported</w:t>
      </w:r>
      <w:r w:rsidR="009C593F" w:rsidRPr="004213CA">
        <w:rPr>
          <w:rFonts w:eastAsiaTheme="minorEastAsia" w:cstheme="minorBidi"/>
          <w:szCs w:val="19"/>
          <w:lang w:eastAsia="zh-CN"/>
        </w:rPr>
        <w:t xml:space="preserve"> training as the combined value of the subsidy and the fee</w:t>
      </w:r>
      <w:r w:rsidR="00413BD1" w:rsidRPr="004213CA">
        <w:rPr>
          <w:rFonts w:eastAsiaTheme="minorEastAsia" w:cstheme="minorBidi"/>
          <w:szCs w:val="19"/>
          <w:lang w:eastAsia="zh-CN"/>
        </w:rPr>
        <w:t>.</w:t>
      </w:r>
      <w:r w:rsidR="007612A0" w:rsidRPr="004213CA">
        <w:rPr>
          <w:rFonts w:eastAsiaTheme="minorEastAsia" w:cstheme="minorBidi"/>
          <w:szCs w:val="19"/>
          <w:lang w:eastAsia="zh-CN"/>
        </w:rPr>
        <w:t xml:space="preserve"> </w:t>
      </w:r>
      <w:r w:rsidR="00E97EE5" w:rsidRPr="004213CA">
        <w:rPr>
          <w:rFonts w:eastAsiaTheme="minorEastAsia" w:cstheme="minorBidi"/>
          <w:szCs w:val="19"/>
          <w:lang w:eastAsia="zh-CN"/>
        </w:rPr>
        <w:t>It says</w:t>
      </w:r>
      <w:r w:rsidR="0068418E">
        <w:rPr>
          <w:rFonts w:eastAsiaTheme="minorEastAsia" w:cstheme="minorBidi"/>
          <w:szCs w:val="19"/>
          <w:lang w:eastAsia="zh-CN"/>
        </w:rPr>
        <w:t>:</w:t>
      </w:r>
    </w:p>
    <w:p w:rsidR="00413BD1" w:rsidRDefault="00413BD1" w:rsidP="00413BD1">
      <w:pPr>
        <w:pStyle w:val="Text"/>
        <w:spacing w:before="120"/>
        <w:ind w:left="720"/>
      </w:pPr>
      <w:r>
        <w:t xml:space="preserve">Subsidies for courses are primarily </w:t>
      </w:r>
      <w:r w:rsidRPr="00413BD1">
        <w:rPr>
          <w:rFonts w:asciiTheme="minorHAnsi" w:eastAsiaTheme="minorEastAsia" w:hAnsiTheme="minorHAnsi" w:cstheme="minorBidi"/>
          <w:sz w:val="22"/>
          <w:szCs w:val="22"/>
          <w:lang w:eastAsia="zh-CN"/>
        </w:rPr>
        <w:t>intended</w:t>
      </w:r>
      <w:r>
        <w:t xml:space="preserve"> to encourage the take up of training in priority occupations (based on skill lists) or by students facing disadvantage. Subsidies are paid to RTOs to allow them to deliver training with lower fees for students, including for courses that may not be viable without the subsidy (box 4.1) (p.130).</w:t>
      </w:r>
    </w:p>
    <w:p w:rsidR="00150759" w:rsidRDefault="00044ABF" w:rsidP="00A84C25">
      <w:pPr>
        <w:pStyle w:val="Text"/>
        <w:spacing w:before="120"/>
      </w:pPr>
      <w:r>
        <w:t>If the objective is</w:t>
      </w:r>
      <w:r w:rsidR="000F2A3B">
        <w:t xml:space="preserve"> a </w:t>
      </w:r>
      <w:r>
        <w:t>lower fee the</w:t>
      </w:r>
      <w:r w:rsidR="000F2A3B">
        <w:t xml:space="preserve"> </w:t>
      </w:r>
      <w:r>
        <w:t xml:space="preserve">case </w:t>
      </w:r>
      <w:r w:rsidR="00150759">
        <w:t>for setting</w:t>
      </w:r>
      <w:r w:rsidR="000F2A3B">
        <w:t xml:space="preserve"> that </w:t>
      </w:r>
      <w:r>
        <w:t>fee</w:t>
      </w:r>
      <w:r w:rsidR="00150759">
        <w:t xml:space="preserve"> </w:t>
      </w:r>
      <w:r>
        <w:t xml:space="preserve">directly could be discussed. I realise that would </w:t>
      </w:r>
      <w:r w:rsidR="000F2A3B">
        <w:t xml:space="preserve">have to be reconciled </w:t>
      </w:r>
      <w:r>
        <w:t>with Recommendation</w:t>
      </w:r>
      <w:r w:rsidR="000F2A3B">
        <w:t xml:space="preserve"> 6.2</w:t>
      </w:r>
      <w:r w:rsidR="00150759">
        <w:t>.</w:t>
      </w:r>
    </w:p>
    <w:p w:rsidR="009D0AB7" w:rsidRDefault="00536D69" w:rsidP="000F2A3B">
      <w:pPr>
        <w:pStyle w:val="Text"/>
        <w:spacing w:before="120"/>
      </w:pPr>
      <w:r>
        <w:t>I</w:t>
      </w:r>
      <w:r w:rsidR="000A1A84">
        <w:t xml:space="preserve">n Victoria </w:t>
      </w:r>
      <w:r w:rsidR="0021086B">
        <w:t>t</w:t>
      </w:r>
      <w:r w:rsidR="00527CAB">
        <w:t xml:space="preserve">he </w:t>
      </w:r>
      <w:r w:rsidR="00413BD1">
        <w:t>greatest concern</w:t>
      </w:r>
      <w:r w:rsidR="00E63575">
        <w:t xml:space="preserve"> </w:t>
      </w:r>
      <w:r w:rsidR="00150759">
        <w:t xml:space="preserve">with the entitlement </w:t>
      </w:r>
      <w:r w:rsidR="008B5B28">
        <w:t xml:space="preserve">was </w:t>
      </w:r>
      <w:r w:rsidR="00413BD1">
        <w:t>the opportunistic providers that offered course</w:t>
      </w:r>
      <w:r w:rsidR="00E63575">
        <w:t>s</w:t>
      </w:r>
      <w:r w:rsidR="00413BD1">
        <w:t xml:space="preserve"> </w:t>
      </w:r>
      <w:r w:rsidR="000A1A84">
        <w:t>without fees</w:t>
      </w:r>
      <w:r w:rsidR="00E16D63">
        <w:t xml:space="preserve"> and</w:t>
      </w:r>
      <w:r w:rsidR="00527CAB">
        <w:t xml:space="preserve"> </w:t>
      </w:r>
      <w:r w:rsidR="000F2A3B">
        <w:t xml:space="preserve">who provided </w:t>
      </w:r>
      <w:r w:rsidR="000A1A84">
        <w:t>other inducements</w:t>
      </w:r>
      <w:r w:rsidR="009D0AB7">
        <w:t xml:space="preserve"> (Burke and </w:t>
      </w:r>
      <w:proofErr w:type="spellStart"/>
      <w:r w:rsidR="009D0AB7">
        <w:t>Veenker</w:t>
      </w:r>
      <w:proofErr w:type="spellEnd"/>
      <w:r w:rsidR="009D0AB7">
        <w:t xml:space="preserve"> 2011</w:t>
      </w:r>
      <w:r w:rsidR="004D756E">
        <w:t>, Mackenzie 2015</w:t>
      </w:r>
      <w:r w:rsidR="009D0AB7">
        <w:t>)</w:t>
      </w:r>
      <w:r w:rsidR="000A1A84">
        <w:t>.</w:t>
      </w:r>
      <w:r w:rsidR="004D756E">
        <w:t xml:space="preserve"> </w:t>
      </w:r>
      <w:r w:rsidR="00527CAB">
        <w:t xml:space="preserve">As discussed in the </w:t>
      </w:r>
      <w:r>
        <w:t xml:space="preserve">PC </w:t>
      </w:r>
      <w:r w:rsidR="00527CAB">
        <w:t>report s</w:t>
      </w:r>
      <w:r w:rsidR="009D0AB7">
        <w:t xml:space="preserve">ome states have set </w:t>
      </w:r>
      <w:r>
        <w:t xml:space="preserve">non-zero </w:t>
      </w:r>
      <w:r w:rsidR="004D756E">
        <w:t>f</w:t>
      </w:r>
      <w:r w:rsidR="009D0AB7">
        <w:t xml:space="preserve">ees to ensure </w:t>
      </w:r>
      <w:r w:rsidR="00527CAB">
        <w:t>‘</w:t>
      </w:r>
      <w:r w:rsidR="009D0AB7">
        <w:t>skin in the game</w:t>
      </w:r>
      <w:r>
        <w:t>’</w:t>
      </w:r>
      <w:r w:rsidR="009D0AB7">
        <w:t xml:space="preserve">. </w:t>
      </w:r>
    </w:p>
    <w:p w:rsidR="00413BD1" w:rsidRDefault="00527CAB" w:rsidP="00702158">
      <w:pPr>
        <w:pStyle w:val="Text"/>
        <w:spacing w:before="120"/>
      </w:pPr>
      <w:r>
        <w:t>Cases of providers charging high fees did not come to light at the start of the enti</w:t>
      </w:r>
      <w:r w:rsidR="00624BD9">
        <w:t>t</w:t>
      </w:r>
      <w:r>
        <w:t>lement</w:t>
      </w:r>
      <w:r w:rsidR="00536D69">
        <w:t>.</w:t>
      </w:r>
      <w:r>
        <w:t xml:space="preserve"> They came with VET FEE-HELP where the upfront money came from the government.</w:t>
      </w:r>
    </w:p>
    <w:p w:rsidR="00E63575" w:rsidRDefault="00E63575" w:rsidP="00633120">
      <w:pPr>
        <w:pStyle w:val="Text"/>
        <w:spacing w:before="120"/>
      </w:pPr>
      <w:r>
        <w:lastRenderedPageBreak/>
        <w:t xml:space="preserve">The Commission reviews circumstances where setting fees might inhibit good resource allocation. </w:t>
      </w:r>
      <w:r w:rsidR="00633120">
        <w:t>I</w:t>
      </w:r>
      <w:r w:rsidR="00624BD9">
        <w:t xml:space="preserve">t </w:t>
      </w:r>
      <w:r w:rsidR="00536D69">
        <w:t>does seem that evidence is lacking on the extent of such effects</w:t>
      </w:r>
      <w:r w:rsidR="00CE6DF8">
        <w:t>:</w:t>
      </w:r>
    </w:p>
    <w:p w:rsidR="00471826" w:rsidRDefault="00946B0A" w:rsidP="00536D69">
      <w:pPr>
        <w:pStyle w:val="Text"/>
        <w:spacing w:before="120" w:after="120"/>
        <w:ind w:left="720"/>
        <w:rPr>
          <w:rFonts w:asciiTheme="minorHAnsi" w:eastAsiaTheme="minorEastAsia" w:hAnsiTheme="minorHAnsi" w:cstheme="minorBidi"/>
          <w:color w:val="FF0000"/>
          <w:sz w:val="22"/>
          <w:szCs w:val="22"/>
          <w:lang w:eastAsia="zh-CN"/>
        </w:rPr>
      </w:pPr>
      <w:r>
        <w:t>T</w:t>
      </w:r>
      <w:r w:rsidR="007612A0">
        <w:t>he Commission lacks essential information to assess the relative merits of the different approaches. Ordinarily, information on the structure of the market, the behaviour of participants and outcomes would permit analysis of the relative merits of States’ and Territories’ approaches. However, there is little readily</w:t>
      </w:r>
      <w:r w:rsidR="007612A0">
        <w:noBreakHyphen/>
        <w:t>available information on prices and student fees in less regulated jurisdictions (PC 2020 p.</w:t>
      </w:r>
      <w:r>
        <w:t>1</w:t>
      </w:r>
      <w:r w:rsidR="007612A0">
        <w:t>48</w:t>
      </w:r>
      <w:r w:rsidR="00164CB7">
        <w:t>.</w:t>
      </w:r>
      <w:r w:rsidR="007612A0">
        <w:t>)</w:t>
      </w:r>
    </w:p>
    <w:p w:rsidR="009B3CDB" w:rsidRDefault="008B5B28" w:rsidP="000F2A3B">
      <w:pPr>
        <w:pStyle w:val="Text"/>
        <w:spacing w:before="120"/>
      </w:pPr>
      <w:r>
        <w:t>Given the lack of information</w:t>
      </w:r>
      <w:r w:rsidR="000F2A3B">
        <w:t>,</w:t>
      </w:r>
      <w:r>
        <w:t xml:space="preserve"> </w:t>
      </w:r>
      <w:r w:rsidR="000F2A3B">
        <w:t>and the objective of lower fees in some areas to encourage enrolment, the recommendation that g</w:t>
      </w:r>
      <w:r w:rsidR="00E63575">
        <w:t>overnments should not cap the prices of VET courses</w:t>
      </w:r>
      <w:r w:rsidR="00E63575" w:rsidRPr="00E63575">
        <w:t xml:space="preserve"> </w:t>
      </w:r>
      <w:r w:rsidR="006F474D">
        <w:t xml:space="preserve">might be given </w:t>
      </w:r>
      <w:r w:rsidR="00E63575">
        <w:t xml:space="preserve">further </w:t>
      </w:r>
      <w:r w:rsidR="006F474D">
        <w:t>consideration</w:t>
      </w:r>
      <w:r w:rsidR="00E63575">
        <w:t>.</w:t>
      </w:r>
      <w:r w:rsidR="00A15E0B">
        <w:t xml:space="preserve"> </w:t>
      </w:r>
    </w:p>
    <w:p w:rsidR="00772046" w:rsidRDefault="009D0AB7" w:rsidP="00587A82">
      <w:pPr>
        <w:pStyle w:val="Heading3"/>
        <w:rPr>
          <w:lang w:eastAsia="en-AU"/>
        </w:rPr>
      </w:pPr>
      <w:r>
        <w:t>Setting the subsid</w:t>
      </w:r>
      <w:r w:rsidR="001A1F3A">
        <w:t>ies</w:t>
      </w:r>
      <w:r w:rsidR="00772046">
        <w:rPr>
          <w:lang w:eastAsia="en-AU"/>
        </w:rPr>
        <w:t xml:space="preserve"> </w:t>
      </w:r>
    </w:p>
    <w:p w:rsidR="001A0BFE" w:rsidRDefault="001A0BFE" w:rsidP="00A84C25">
      <w:pPr>
        <w:pStyle w:val="BodyText"/>
        <w:rPr>
          <w:lang w:eastAsia="en-AU"/>
        </w:rPr>
      </w:pPr>
      <w:r>
        <w:rPr>
          <w:lang w:eastAsia="en-AU"/>
        </w:rPr>
        <w:t xml:space="preserve">It does seem that </w:t>
      </w:r>
      <w:r w:rsidR="004D756E">
        <w:rPr>
          <w:lang w:eastAsia="en-AU"/>
        </w:rPr>
        <w:t xml:space="preserve">the starting point of </w:t>
      </w:r>
      <w:r>
        <w:rPr>
          <w:lang w:eastAsia="en-AU"/>
        </w:rPr>
        <w:t>any move to</w:t>
      </w:r>
      <w:r w:rsidR="007E47E2">
        <w:rPr>
          <w:lang w:eastAsia="en-AU"/>
        </w:rPr>
        <w:t xml:space="preserve">wards </w:t>
      </w:r>
      <w:r>
        <w:rPr>
          <w:lang w:eastAsia="en-AU"/>
        </w:rPr>
        <w:t xml:space="preserve">a national system </w:t>
      </w:r>
      <w:r w:rsidR="004D756E">
        <w:rPr>
          <w:lang w:eastAsia="en-AU"/>
        </w:rPr>
        <w:t xml:space="preserve">will </w:t>
      </w:r>
      <w:r w:rsidR="00624BD9">
        <w:rPr>
          <w:lang w:eastAsia="en-AU"/>
        </w:rPr>
        <w:t xml:space="preserve">be </w:t>
      </w:r>
      <w:r>
        <w:rPr>
          <w:lang w:eastAsia="en-AU"/>
        </w:rPr>
        <w:t>estimate</w:t>
      </w:r>
      <w:r w:rsidR="00536D69">
        <w:rPr>
          <w:lang w:eastAsia="en-AU"/>
        </w:rPr>
        <w:t>s</w:t>
      </w:r>
      <w:r>
        <w:rPr>
          <w:lang w:eastAsia="en-AU"/>
        </w:rPr>
        <w:t xml:space="preserve"> of costs for standard provision and</w:t>
      </w:r>
      <w:r w:rsidR="00A84C25">
        <w:rPr>
          <w:lang w:eastAsia="en-AU"/>
        </w:rPr>
        <w:t xml:space="preserve"> for </w:t>
      </w:r>
      <w:r>
        <w:rPr>
          <w:lang w:eastAsia="en-AU"/>
        </w:rPr>
        <w:t>loadings and concessions.</w:t>
      </w:r>
    </w:p>
    <w:p w:rsidR="00DF09AD" w:rsidRDefault="00527CAB" w:rsidP="00E16D63">
      <w:pPr>
        <w:pStyle w:val="BodyText"/>
        <w:rPr>
          <w:lang w:eastAsia="en-AU"/>
        </w:rPr>
      </w:pPr>
      <w:r>
        <w:rPr>
          <w:lang w:eastAsia="en-AU"/>
        </w:rPr>
        <w:t xml:space="preserve">I am sceptical of our capacity to </w:t>
      </w:r>
      <w:r w:rsidR="0060707B">
        <w:rPr>
          <w:lang w:eastAsia="en-AU"/>
        </w:rPr>
        <w:t>improve our forecasts</w:t>
      </w:r>
      <w:r>
        <w:rPr>
          <w:lang w:eastAsia="en-AU"/>
        </w:rPr>
        <w:t xml:space="preserve"> </w:t>
      </w:r>
      <w:r w:rsidR="0060707B">
        <w:rPr>
          <w:lang w:eastAsia="en-AU"/>
        </w:rPr>
        <w:t xml:space="preserve">of </w:t>
      </w:r>
      <w:r w:rsidR="004D756E">
        <w:rPr>
          <w:lang w:eastAsia="en-AU"/>
        </w:rPr>
        <w:t>labour force needs</w:t>
      </w:r>
      <w:r w:rsidR="0060707B">
        <w:rPr>
          <w:lang w:eastAsia="en-AU"/>
        </w:rPr>
        <w:t xml:space="preserve"> well enough</w:t>
      </w:r>
      <w:r w:rsidR="004D756E">
        <w:rPr>
          <w:lang w:eastAsia="en-AU"/>
        </w:rPr>
        <w:t xml:space="preserve"> to justify </w:t>
      </w:r>
      <w:r w:rsidR="005B3558">
        <w:rPr>
          <w:lang w:eastAsia="en-AU"/>
        </w:rPr>
        <w:t xml:space="preserve">many </w:t>
      </w:r>
      <w:r w:rsidR="00624BD9">
        <w:rPr>
          <w:lang w:eastAsia="en-AU"/>
        </w:rPr>
        <w:t>variations from a set share of estimated costs.</w:t>
      </w:r>
    </w:p>
    <w:p w:rsidR="00527CAB" w:rsidRDefault="00624BD9" w:rsidP="00E16D63">
      <w:pPr>
        <w:pStyle w:val="BodyText"/>
        <w:rPr>
          <w:lang w:eastAsia="en-AU"/>
        </w:rPr>
      </w:pPr>
      <w:r>
        <w:rPr>
          <w:lang w:eastAsia="en-AU"/>
        </w:rPr>
        <w:t>O</w:t>
      </w:r>
      <w:r w:rsidR="004D756E">
        <w:rPr>
          <w:lang w:eastAsia="en-AU"/>
        </w:rPr>
        <w:t xml:space="preserve">ver a long time </w:t>
      </w:r>
      <w:r w:rsidR="00A75E91">
        <w:rPr>
          <w:lang w:eastAsia="en-AU"/>
        </w:rPr>
        <w:t xml:space="preserve">only a minority of VET graduates other than trade apprentices gain immediate employment </w:t>
      </w:r>
      <w:r w:rsidR="00DF09AD">
        <w:rPr>
          <w:lang w:eastAsia="en-AU"/>
        </w:rPr>
        <w:t xml:space="preserve">even </w:t>
      </w:r>
      <w:r w:rsidR="00A75E91">
        <w:rPr>
          <w:lang w:eastAsia="en-AU"/>
        </w:rPr>
        <w:t>at the 2</w:t>
      </w:r>
      <w:r w:rsidR="00E16D63">
        <w:rPr>
          <w:lang w:eastAsia="en-AU"/>
        </w:rPr>
        <w:t>-</w:t>
      </w:r>
      <w:r w:rsidR="00A75E91">
        <w:rPr>
          <w:lang w:eastAsia="en-AU"/>
        </w:rPr>
        <w:t>digit level of the occupation they have trained for (</w:t>
      </w:r>
      <w:proofErr w:type="spellStart"/>
      <w:r w:rsidR="00633120">
        <w:rPr>
          <w:lang w:eastAsia="en-AU"/>
        </w:rPr>
        <w:t>Karmel</w:t>
      </w:r>
      <w:proofErr w:type="spellEnd"/>
      <w:r w:rsidR="00633120">
        <w:rPr>
          <w:lang w:eastAsia="en-AU"/>
        </w:rPr>
        <w:t xml:space="preserve"> et al 2008, </w:t>
      </w:r>
      <w:r w:rsidR="00A75E91">
        <w:rPr>
          <w:lang w:eastAsia="en-AU"/>
        </w:rPr>
        <w:t>NCVER 2019</w:t>
      </w:r>
      <w:r w:rsidR="0068418E">
        <w:rPr>
          <w:lang w:eastAsia="en-AU"/>
        </w:rPr>
        <w:t>c</w:t>
      </w:r>
      <w:r w:rsidR="00A75E91">
        <w:rPr>
          <w:lang w:eastAsia="en-AU"/>
        </w:rPr>
        <w:t>).</w:t>
      </w:r>
      <w:r w:rsidR="00536D69">
        <w:rPr>
          <w:lang w:eastAsia="en-AU"/>
        </w:rPr>
        <w:t xml:space="preserve"> Broadening the training as argued by </w:t>
      </w:r>
      <w:proofErr w:type="spellStart"/>
      <w:r w:rsidR="00536D69">
        <w:rPr>
          <w:lang w:eastAsia="en-AU"/>
        </w:rPr>
        <w:t>Wheelahan</w:t>
      </w:r>
      <w:proofErr w:type="spellEnd"/>
      <w:r w:rsidR="00536D69">
        <w:rPr>
          <w:lang w:eastAsia="en-AU"/>
        </w:rPr>
        <w:t xml:space="preserve"> et al (2015) </w:t>
      </w:r>
      <w:r w:rsidR="00DF09AD">
        <w:rPr>
          <w:lang w:eastAsia="en-AU"/>
        </w:rPr>
        <w:t xml:space="preserve">seems a </w:t>
      </w:r>
      <w:r w:rsidR="00536D69">
        <w:rPr>
          <w:lang w:eastAsia="en-AU"/>
        </w:rPr>
        <w:t>better option</w:t>
      </w:r>
      <w:r w:rsidR="004D756E">
        <w:rPr>
          <w:lang w:eastAsia="en-AU"/>
        </w:rPr>
        <w:t xml:space="preserve"> than striving after better forecasting and </w:t>
      </w:r>
      <w:r w:rsidR="0060707B">
        <w:rPr>
          <w:lang w:eastAsia="en-AU"/>
        </w:rPr>
        <w:t xml:space="preserve">more finely calibrated </w:t>
      </w:r>
      <w:r w:rsidR="004D756E">
        <w:rPr>
          <w:lang w:eastAsia="en-AU"/>
        </w:rPr>
        <w:t>subsidies</w:t>
      </w:r>
      <w:r w:rsidR="00536D69">
        <w:rPr>
          <w:lang w:eastAsia="en-AU"/>
        </w:rPr>
        <w:t>.</w:t>
      </w:r>
    </w:p>
    <w:p w:rsidR="00CE6DF8" w:rsidRPr="00F01A7C" w:rsidRDefault="000411F0" w:rsidP="006879F1">
      <w:pPr>
        <w:pStyle w:val="Heading3"/>
      </w:pPr>
      <w:r>
        <w:t>S</w:t>
      </w:r>
      <w:r w:rsidR="00D20000">
        <w:t>chools</w:t>
      </w:r>
      <w:r w:rsidR="005D4EF1">
        <w:t xml:space="preserve"> </w:t>
      </w:r>
      <w:r w:rsidR="004D756E">
        <w:t xml:space="preserve">and </w:t>
      </w:r>
      <w:r>
        <w:t>equity</w:t>
      </w:r>
    </w:p>
    <w:p w:rsidR="00ED6390" w:rsidRDefault="0060707B" w:rsidP="00D20000">
      <w:pPr>
        <w:pStyle w:val="Text"/>
        <w:spacing w:before="120"/>
        <w:rPr>
          <w:rFonts w:asciiTheme="minorHAnsi" w:eastAsiaTheme="minorEastAsia" w:hAnsiTheme="minorHAnsi" w:cstheme="minorBidi"/>
          <w:sz w:val="22"/>
          <w:szCs w:val="22"/>
          <w:lang w:eastAsia="zh-CN"/>
        </w:rPr>
      </w:pPr>
      <w:r>
        <w:rPr>
          <w:rFonts w:asciiTheme="minorHAnsi" w:eastAsiaTheme="minorEastAsia" w:hAnsiTheme="minorHAnsi" w:cstheme="minorBidi"/>
          <w:sz w:val="22"/>
          <w:szCs w:val="22"/>
          <w:lang w:eastAsia="zh-CN"/>
        </w:rPr>
        <w:t xml:space="preserve">The report says on p.123: </w:t>
      </w:r>
    </w:p>
    <w:p w:rsidR="0060707B" w:rsidRDefault="0060707B" w:rsidP="00ED6390">
      <w:pPr>
        <w:pStyle w:val="Text"/>
        <w:spacing w:before="120"/>
        <w:ind w:left="720"/>
      </w:pPr>
      <w:r>
        <w:t>The VET funding system lies between the fully subsidised public school and the generally</w:t>
      </w:r>
      <w:r w:rsidDel="006313A8">
        <w:t xml:space="preserve"> </w:t>
      </w:r>
      <w:r>
        <w:t>heavily subsidised higher education systems.</w:t>
      </w:r>
    </w:p>
    <w:p w:rsidR="00A15E0B" w:rsidRPr="00D35CBE" w:rsidRDefault="00ED6390" w:rsidP="00D35CBE">
      <w:pPr>
        <w:pStyle w:val="Text"/>
        <w:spacing w:before="120"/>
      </w:pPr>
      <w:r>
        <w:t xml:space="preserve">An issue that could be discussed further is why </w:t>
      </w:r>
      <w:r w:rsidR="00E0436B">
        <w:t>most students in certificates I-III in VET pay tuition fees</w:t>
      </w:r>
      <w:r>
        <w:t xml:space="preserve"> while secondary students in government schools pay no</w:t>
      </w:r>
      <w:r w:rsidR="00D35CBE">
        <w:t xml:space="preserve"> tuition</w:t>
      </w:r>
      <w:r>
        <w:t xml:space="preserve"> fees. A comparison of socio-economic status suggests that a smaller proportion of </w:t>
      </w:r>
      <w:r w:rsidR="006F474D">
        <w:t xml:space="preserve">VET </w:t>
      </w:r>
      <w:r>
        <w:t xml:space="preserve">students are in the most advantaged </w:t>
      </w:r>
      <w:r w:rsidR="0042204F">
        <w:rPr>
          <w:rFonts w:asciiTheme="minorHAnsi" w:eastAsiaTheme="minorEastAsia" w:hAnsiTheme="minorHAnsi" w:cstheme="minorBidi"/>
          <w:sz w:val="22"/>
          <w:szCs w:val="22"/>
          <w:lang w:eastAsia="zh-CN"/>
        </w:rPr>
        <w:t xml:space="preserve">socio-economic </w:t>
      </w:r>
      <w:r w:rsidR="0042204F" w:rsidRPr="00D35CBE">
        <w:t>quartile.</w:t>
      </w:r>
      <w:r w:rsidR="00197B74" w:rsidRPr="00D35CBE">
        <w:t xml:space="preserve"> </w:t>
      </w:r>
      <w:r w:rsidR="00D35CBE" w:rsidRPr="00D35CBE">
        <w:t>Perhaps</w:t>
      </w:r>
      <w:r w:rsidR="00D35CBE">
        <w:t xml:space="preserve"> the move to Free TAFE has been affected by this comparison.</w:t>
      </w:r>
    </w:p>
    <w:p w:rsidR="0042204F" w:rsidRDefault="00ED6390" w:rsidP="00A84C25">
      <w:pPr>
        <w:pStyle w:val="Text"/>
        <w:spacing w:before="120"/>
        <w:rPr>
          <w:sz w:val="16"/>
        </w:rPr>
      </w:pPr>
      <w:r>
        <w:t>Incidentally</w:t>
      </w:r>
      <w:r w:rsidR="00624BD9">
        <w:t>,</w:t>
      </w:r>
      <w:r>
        <w:t xml:space="preserve"> </w:t>
      </w:r>
      <w:r w:rsidR="00A15E0B">
        <w:t xml:space="preserve">NCVER </w:t>
      </w:r>
      <w:r w:rsidR="00E16D63">
        <w:t xml:space="preserve">and the Department of Education, Skills and Employment </w:t>
      </w:r>
      <w:r w:rsidR="00A15E0B">
        <w:t>report annually on the distribution of VET students using the I</w:t>
      </w:r>
      <w:r w:rsidR="00A15E0B" w:rsidRPr="00CB5E47">
        <w:t>ndex of Relative Socio-Economic Disadvantage (IRSD)</w:t>
      </w:r>
      <w:r>
        <w:t>,</w:t>
      </w:r>
      <w:r w:rsidR="00624BD9">
        <w:t xml:space="preserve"> an </w:t>
      </w:r>
      <w:r w:rsidR="00A15E0B" w:rsidRPr="00CB5E47">
        <w:t>index in the SEIFA suite</w:t>
      </w:r>
      <w:r w:rsidR="00A15E0B">
        <w:t>.</w:t>
      </w:r>
      <w:r w:rsidR="00624BD9">
        <w:t xml:space="preserve"> Schools and higher education also report using SEIFA. </w:t>
      </w:r>
      <w:r w:rsidR="00A15E0B">
        <w:t xml:space="preserve">The Productivity Commission </w:t>
      </w:r>
      <w:r w:rsidR="001B282E">
        <w:t xml:space="preserve">Report on Government Services </w:t>
      </w:r>
      <w:r w:rsidR="00A84C25">
        <w:t xml:space="preserve">(2020b) has not used </w:t>
      </w:r>
      <w:r w:rsidR="00CD218B">
        <w:t>indicators of socio-economic background</w:t>
      </w:r>
      <w:r w:rsidR="00624BD9">
        <w:t>.</w:t>
      </w:r>
    </w:p>
    <w:p w:rsidR="0056514B" w:rsidRDefault="0056514B" w:rsidP="00587A82">
      <w:pPr>
        <w:pStyle w:val="Heading3"/>
      </w:pPr>
      <w:r w:rsidRPr="0072353A">
        <w:t xml:space="preserve">Higher </w:t>
      </w:r>
      <w:r w:rsidR="006116F2">
        <w:t>education</w:t>
      </w:r>
      <w:r w:rsidR="00587A82">
        <w:t xml:space="preserve"> --</w:t>
      </w:r>
      <w:r w:rsidR="005F5FEF">
        <w:t xml:space="preserve"> </w:t>
      </w:r>
      <w:r w:rsidR="00CD218B">
        <w:t xml:space="preserve">effectiveness </w:t>
      </w:r>
    </w:p>
    <w:p w:rsidR="0056514B" w:rsidRPr="00A15E0B" w:rsidRDefault="00424133" w:rsidP="00F16F2C">
      <w:pPr>
        <w:pStyle w:val="Text"/>
        <w:spacing w:before="120"/>
      </w:pPr>
      <w:r w:rsidRPr="00A15E0B">
        <w:t>The</w:t>
      </w:r>
      <w:r w:rsidR="00292352" w:rsidRPr="00A15E0B">
        <w:t xml:space="preserve"> </w:t>
      </w:r>
      <w:r w:rsidR="00CD218B">
        <w:t xml:space="preserve">report </w:t>
      </w:r>
      <w:r w:rsidR="00292352" w:rsidRPr="00A15E0B">
        <w:t xml:space="preserve">suggests some of the funding arrangements in higher education </w:t>
      </w:r>
      <w:r w:rsidR="00CD218B">
        <w:t xml:space="preserve">might </w:t>
      </w:r>
      <w:r w:rsidR="00292352" w:rsidRPr="00A15E0B">
        <w:t>lead to less than optimal outcomes.</w:t>
      </w:r>
      <w:r w:rsidRPr="00A15E0B">
        <w:t xml:space="preserve"> </w:t>
      </w:r>
      <w:r w:rsidR="00E0436B" w:rsidRPr="00A15E0B">
        <w:t>Overall,</w:t>
      </w:r>
      <w:r w:rsidR="00292352" w:rsidRPr="00A15E0B">
        <w:t xml:space="preserve"> there does </w:t>
      </w:r>
      <w:r w:rsidRPr="00A15E0B">
        <w:t>not appear to be evidence</w:t>
      </w:r>
      <w:r w:rsidR="00292352" w:rsidRPr="00A15E0B">
        <w:t xml:space="preserve"> for this</w:t>
      </w:r>
      <w:r w:rsidR="007455FF" w:rsidRPr="00A15E0B">
        <w:t>.</w:t>
      </w:r>
      <w:r w:rsidRPr="00A15E0B">
        <w:t xml:space="preserve"> </w:t>
      </w:r>
      <w:r w:rsidR="0056514B" w:rsidRPr="00A15E0B">
        <w:t>If we take the system as a whole pre</w:t>
      </w:r>
      <w:r w:rsidR="00F16F2C">
        <w:t>-</w:t>
      </w:r>
      <w:r w:rsidR="0056514B" w:rsidRPr="00A15E0B">
        <w:t>COVID 19 Australian Universities appear</w:t>
      </w:r>
      <w:r w:rsidR="00CD218B">
        <w:t>ed</w:t>
      </w:r>
      <w:r w:rsidR="0056514B" w:rsidRPr="00A15E0B">
        <w:t xml:space="preserve"> to perform well. Two recent findings:</w:t>
      </w:r>
    </w:p>
    <w:p w:rsidR="00FE1A5E" w:rsidRPr="00A15E0B" w:rsidRDefault="00FE1A5E" w:rsidP="00CD218B">
      <w:pPr>
        <w:pStyle w:val="Text"/>
        <w:spacing w:before="120"/>
      </w:pPr>
      <w:r w:rsidRPr="00A15E0B">
        <w:t xml:space="preserve">UNIVERSITAS 21 </w:t>
      </w:r>
      <w:r w:rsidR="00CD218B">
        <w:t>reports on</w:t>
      </w:r>
      <w:r w:rsidRPr="00A15E0B">
        <w:t xml:space="preserve"> rankings of higher education </w:t>
      </w:r>
      <w:r w:rsidRPr="00CD218B">
        <w:rPr>
          <w:u w:val="single"/>
        </w:rPr>
        <w:t>systems</w:t>
      </w:r>
      <w:r w:rsidRPr="00A15E0B">
        <w:t xml:space="preserve">: </w:t>
      </w:r>
    </w:p>
    <w:p w:rsidR="00FE1A5E" w:rsidRPr="00A15E0B" w:rsidRDefault="00FE1A5E" w:rsidP="006A0405">
      <w:pPr>
        <w:pStyle w:val="Text"/>
        <w:spacing w:before="120"/>
        <w:ind w:left="720"/>
      </w:pPr>
      <w:r w:rsidRPr="00A15E0B">
        <w:t xml:space="preserve">Countries were graded on four modules, resources, output, connectivity and environment. Australia, where not-for-profit universities dominate the system, came tenth of fifty countries in the overall rankings but it was second to the US on environment: A well-designed policy environment is needed to ensure that resources are used well. A consensus is emerging that the </w:t>
      </w:r>
      <w:r w:rsidRPr="00A15E0B">
        <w:lastRenderedPageBreak/>
        <w:t>preferred environment is one where institutions are allowed considerable autonomy tempered by external monitoring and competition (Williams &amp; Leahy, 2018).</w:t>
      </w:r>
    </w:p>
    <w:p w:rsidR="00801635" w:rsidRPr="00A15E0B" w:rsidRDefault="00E16D63" w:rsidP="001B282E">
      <w:pPr>
        <w:pStyle w:val="Text"/>
        <w:spacing w:before="120"/>
      </w:pPr>
      <w:r>
        <w:t>T</w:t>
      </w:r>
      <w:r w:rsidR="001D7F14" w:rsidRPr="00A15E0B">
        <w:t xml:space="preserve">he </w:t>
      </w:r>
      <w:r w:rsidR="00801635" w:rsidRPr="00A15E0B">
        <w:t>publicly funded</w:t>
      </w:r>
      <w:r w:rsidR="007A036D" w:rsidRPr="00A15E0B">
        <w:t xml:space="preserve"> and </w:t>
      </w:r>
      <w:r w:rsidR="00801635" w:rsidRPr="00A15E0B">
        <w:t xml:space="preserve">not-for profit </w:t>
      </w:r>
      <w:r w:rsidR="00FB354E" w:rsidRPr="00A15E0B">
        <w:t xml:space="preserve">Australian </w:t>
      </w:r>
      <w:r w:rsidR="00801635" w:rsidRPr="00A15E0B">
        <w:t xml:space="preserve">higher education providers are seen </w:t>
      </w:r>
      <w:r w:rsidR="00FB354E" w:rsidRPr="00A15E0B">
        <w:t xml:space="preserve">here </w:t>
      </w:r>
      <w:r w:rsidR="00801635" w:rsidRPr="00A15E0B">
        <w:t>to be in a competitive environment</w:t>
      </w:r>
      <w:r w:rsidR="0031610F" w:rsidRPr="00A15E0B">
        <w:t xml:space="preserve"> </w:t>
      </w:r>
      <w:r w:rsidR="00CD218B">
        <w:t>—</w:t>
      </w:r>
      <w:r w:rsidR="001B282E">
        <w:t xml:space="preserve">which includes </w:t>
      </w:r>
      <w:r w:rsidR="00CD218B">
        <w:t xml:space="preserve">pursuit of the many </w:t>
      </w:r>
      <w:r>
        <w:t xml:space="preserve">different international </w:t>
      </w:r>
      <w:r w:rsidR="00CD218B">
        <w:t>rankings</w:t>
      </w:r>
      <w:r w:rsidR="00801635" w:rsidRPr="00A15E0B">
        <w:t>.</w:t>
      </w:r>
    </w:p>
    <w:p w:rsidR="0056514B" w:rsidRPr="00A15E0B" w:rsidRDefault="0056514B" w:rsidP="00CD218B">
      <w:pPr>
        <w:pStyle w:val="Text"/>
        <w:spacing w:before="120"/>
      </w:pPr>
      <w:r w:rsidRPr="00A15E0B">
        <w:t xml:space="preserve">The universities have autonomy in the use of funds and can cross subsidise including to research. This the </w:t>
      </w:r>
      <w:r w:rsidR="00CD218B">
        <w:t xml:space="preserve">interim report </w:t>
      </w:r>
      <w:r w:rsidRPr="00A15E0B">
        <w:t>suggests might undermine labour market outcomes (p.290). That is a possibility though it does not seem to have occurred recently:</w:t>
      </w:r>
    </w:p>
    <w:p w:rsidR="0056514B" w:rsidRPr="00A15E0B" w:rsidRDefault="0056514B" w:rsidP="006A0405">
      <w:pPr>
        <w:pStyle w:val="Text"/>
        <w:spacing w:before="120"/>
        <w:ind w:left="720"/>
      </w:pPr>
      <w:r w:rsidRPr="00A15E0B">
        <w:t xml:space="preserve">When the Bradley review was published, 40 professional and managerial occupations typically filled by graduates were on the Government's skill shortage list...Additional student places were created in all skill shortage occupations that can be matched with enrolment data during the demand‐driven period…By the time the demand‐driven system ended, only five professional or managerial occupations remained in skill shortage (Norton 2019, Norton &amp; </w:t>
      </w:r>
      <w:proofErr w:type="spellStart"/>
      <w:r w:rsidRPr="00A15E0B">
        <w:t>Cherastidtham</w:t>
      </w:r>
      <w:proofErr w:type="spellEnd"/>
      <w:r w:rsidRPr="00A15E0B">
        <w:t xml:space="preserve"> 2018, Section 9.2). </w:t>
      </w:r>
    </w:p>
    <w:p w:rsidR="00CD218B" w:rsidRDefault="005F5FEF" w:rsidP="00587A82">
      <w:pPr>
        <w:pStyle w:val="Heading3"/>
      </w:pPr>
      <w:r>
        <w:t>H</w:t>
      </w:r>
      <w:r w:rsidR="00587A82">
        <w:t xml:space="preserve">igher education -- </w:t>
      </w:r>
      <w:r>
        <w:t>equity</w:t>
      </w:r>
    </w:p>
    <w:p w:rsidR="00B962CA" w:rsidRDefault="00E16D63" w:rsidP="00E16D63">
      <w:pPr>
        <w:pStyle w:val="Text"/>
        <w:spacing w:before="120"/>
        <w:rPr>
          <w:szCs w:val="19"/>
        </w:rPr>
      </w:pPr>
      <w:r>
        <w:t>V</w:t>
      </w:r>
      <w:r w:rsidR="005F5FEF">
        <w:t>ET</w:t>
      </w:r>
      <w:r w:rsidR="00CD218B">
        <w:t xml:space="preserve"> caters for </w:t>
      </w:r>
      <w:r w:rsidR="003F1D4F">
        <w:t xml:space="preserve">many </w:t>
      </w:r>
      <w:r w:rsidR="005F5FEF">
        <w:t xml:space="preserve">more students in all the equity groups than higher education </w:t>
      </w:r>
      <w:r w:rsidR="00F16F2C">
        <w:t>and</w:t>
      </w:r>
      <w:r w:rsidR="005F5FEF">
        <w:t xml:space="preserve"> many more students over 40</w:t>
      </w:r>
      <w:r w:rsidR="004213CA">
        <w:t xml:space="preserve"> years old.</w:t>
      </w:r>
      <w:r w:rsidR="00CD218B">
        <w:t xml:space="preserve"> </w:t>
      </w:r>
      <w:r w:rsidR="005F5FEF">
        <w:t xml:space="preserve">The numbers of Indigenous </w:t>
      </w:r>
      <w:r>
        <w:t xml:space="preserve">students </w:t>
      </w:r>
      <w:r w:rsidR="005F5FEF">
        <w:t xml:space="preserve">in </w:t>
      </w:r>
      <w:r w:rsidR="00B962CA">
        <w:t>T</w:t>
      </w:r>
      <w:r w:rsidR="005F5FEF">
        <w:t>otal VET is seven times that of higher education</w:t>
      </w:r>
      <w:r w:rsidR="004213CA">
        <w:t>.</w:t>
      </w:r>
      <w:r w:rsidR="005F5FEF">
        <w:t xml:space="preserve"> Yet very </w:t>
      </w:r>
      <w:r w:rsidR="00F16F2C">
        <w:t>strangely,</w:t>
      </w:r>
      <w:r w:rsidR="005F5FEF">
        <w:t xml:space="preserve"> research in equity in higher education appears to have a much higher profile than </w:t>
      </w:r>
      <w:r w:rsidR="004213CA">
        <w:t xml:space="preserve">research in </w:t>
      </w:r>
      <w:r w:rsidR="005F5FEF">
        <w:t xml:space="preserve">VET. </w:t>
      </w:r>
      <w:r w:rsidR="004213CA">
        <w:t xml:space="preserve">Part of the reason might be the </w:t>
      </w:r>
      <w:r w:rsidR="004213CA" w:rsidRPr="00033B45">
        <w:rPr>
          <w:szCs w:val="19"/>
        </w:rPr>
        <w:t>Higher Education Participation and</w:t>
      </w:r>
      <w:r w:rsidR="004213CA">
        <w:rPr>
          <w:szCs w:val="19"/>
        </w:rPr>
        <w:t xml:space="preserve"> Partnerships Program (HEPPP</w:t>
      </w:r>
      <w:r w:rsidR="00F16F2C">
        <w:rPr>
          <w:szCs w:val="19"/>
        </w:rPr>
        <w:t>), which</w:t>
      </w:r>
      <w:r w:rsidR="004213CA">
        <w:rPr>
          <w:szCs w:val="19"/>
        </w:rPr>
        <w:t xml:space="preserve"> provides over </w:t>
      </w:r>
      <w:r w:rsidR="004213CA" w:rsidRPr="00A86E23">
        <w:rPr>
          <w:szCs w:val="19"/>
        </w:rPr>
        <w:t xml:space="preserve">$6m </w:t>
      </w:r>
      <w:r w:rsidR="004213CA">
        <w:rPr>
          <w:szCs w:val="19"/>
        </w:rPr>
        <w:t xml:space="preserve">annually </w:t>
      </w:r>
      <w:r w:rsidR="004213CA" w:rsidRPr="00A86E23">
        <w:rPr>
          <w:szCs w:val="19"/>
        </w:rPr>
        <w:t xml:space="preserve">for research </w:t>
      </w:r>
      <w:r w:rsidR="004213CA">
        <w:rPr>
          <w:szCs w:val="19"/>
        </w:rPr>
        <w:t xml:space="preserve">with the </w:t>
      </w:r>
      <w:r w:rsidR="004213CA" w:rsidRPr="00A86E23">
        <w:rPr>
          <w:szCs w:val="19"/>
        </w:rPr>
        <w:t xml:space="preserve">largest element </w:t>
      </w:r>
      <w:r w:rsidR="004213CA">
        <w:rPr>
          <w:szCs w:val="19"/>
        </w:rPr>
        <w:t>going to the National Centre for Student Equity in Higher Education</w:t>
      </w:r>
      <w:r w:rsidR="004213CA" w:rsidRPr="00153FD3">
        <w:rPr>
          <w:szCs w:val="19"/>
        </w:rPr>
        <w:t xml:space="preserve">. </w:t>
      </w:r>
      <w:r w:rsidR="004213CA">
        <w:rPr>
          <w:szCs w:val="19"/>
        </w:rPr>
        <w:t xml:space="preserve">The centre </w:t>
      </w:r>
      <w:r w:rsidR="004213CA" w:rsidRPr="00153FD3">
        <w:rPr>
          <w:szCs w:val="19"/>
        </w:rPr>
        <w:t>undertakes research, administers a competitive research grants program and an equity fellows program (NCSEHE 2019</w:t>
      </w:r>
      <w:r w:rsidR="004213CA">
        <w:rPr>
          <w:szCs w:val="19"/>
        </w:rPr>
        <w:t>, 2020</w:t>
      </w:r>
      <w:r w:rsidR="004213CA" w:rsidRPr="00153FD3">
        <w:rPr>
          <w:szCs w:val="19"/>
        </w:rPr>
        <w:t>)</w:t>
      </w:r>
      <w:r w:rsidR="004213CA">
        <w:rPr>
          <w:szCs w:val="19"/>
        </w:rPr>
        <w:t>.</w:t>
      </w:r>
    </w:p>
    <w:p w:rsidR="001B282E" w:rsidRDefault="00B962CA" w:rsidP="001B282E">
      <w:pPr>
        <w:pStyle w:val="Text"/>
        <w:spacing w:before="120"/>
        <w:rPr>
          <w:szCs w:val="19"/>
        </w:rPr>
      </w:pPr>
      <w:r>
        <w:rPr>
          <w:szCs w:val="19"/>
        </w:rPr>
        <w:t xml:space="preserve">There is now nothing similar in </w:t>
      </w:r>
      <w:r w:rsidR="00E16D63">
        <w:rPr>
          <w:szCs w:val="19"/>
        </w:rPr>
        <w:t>V</w:t>
      </w:r>
      <w:r>
        <w:rPr>
          <w:szCs w:val="19"/>
        </w:rPr>
        <w:t>ET</w:t>
      </w:r>
      <w:r w:rsidR="00E16D63">
        <w:rPr>
          <w:szCs w:val="19"/>
        </w:rPr>
        <w:t xml:space="preserve">. </w:t>
      </w:r>
      <w:r w:rsidR="001B282E">
        <w:rPr>
          <w:szCs w:val="19"/>
        </w:rPr>
        <w:t xml:space="preserve">Research on equity got added focus and some support from the </w:t>
      </w:r>
      <w:r w:rsidR="001B282E" w:rsidRPr="00153FD3">
        <w:rPr>
          <w:szCs w:val="19"/>
        </w:rPr>
        <w:t xml:space="preserve">National VET Equity </w:t>
      </w:r>
      <w:r w:rsidR="001B282E">
        <w:rPr>
          <w:szCs w:val="19"/>
        </w:rPr>
        <w:t>A</w:t>
      </w:r>
      <w:r w:rsidR="001B282E" w:rsidRPr="00153FD3">
        <w:rPr>
          <w:szCs w:val="19"/>
        </w:rPr>
        <w:t xml:space="preserve">dvisory Council </w:t>
      </w:r>
      <w:r w:rsidR="001B282E">
        <w:rPr>
          <w:szCs w:val="19"/>
        </w:rPr>
        <w:t>(NVEAC) in operation 2009 to 2014</w:t>
      </w:r>
      <w:r w:rsidR="001B282E" w:rsidRPr="00866F5C">
        <w:rPr>
          <w:szCs w:val="19"/>
        </w:rPr>
        <w:t>.</w:t>
      </w:r>
      <w:r w:rsidR="001B282E" w:rsidRPr="00153FD3">
        <w:rPr>
          <w:szCs w:val="19"/>
        </w:rPr>
        <w:t xml:space="preserve"> </w:t>
      </w:r>
      <w:r w:rsidR="001B282E">
        <w:rPr>
          <w:szCs w:val="19"/>
        </w:rPr>
        <w:t>It commissioned a range of reports and a major review of equity in VET (Rothman et al 2013).</w:t>
      </w:r>
      <w:r w:rsidR="001B282E" w:rsidRPr="00153FD3">
        <w:rPr>
          <w:szCs w:val="19"/>
        </w:rPr>
        <w:t xml:space="preserve"> </w:t>
      </w:r>
    </w:p>
    <w:p w:rsidR="006116F2" w:rsidRDefault="006116F2" w:rsidP="00276DC6">
      <w:pPr>
        <w:pStyle w:val="Heading3"/>
      </w:pPr>
      <w:r w:rsidRPr="006116F2">
        <w:t>Community</w:t>
      </w:r>
      <w:r>
        <w:t xml:space="preserve"> </w:t>
      </w:r>
      <w:r w:rsidR="00276DC6">
        <w:t xml:space="preserve">providers </w:t>
      </w:r>
    </w:p>
    <w:p w:rsidR="00F16F2C" w:rsidRDefault="00276DC6" w:rsidP="0028703B">
      <w:pPr>
        <w:pStyle w:val="Text"/>
        <w:rPr>
          <w:szCs w:val="19"/>
        </w:rPr>
      </w:pPr>
      <w:r>
        <w:rPr>
          <w:szCs w:val="19"/>
        </w:rPr>
        <w:t>Community providers cater for a small proportion of total students but have a more important role for older and less advantaged persons. The</w:t>
      </w:r>
      <w:r w:rsidR="0028703B">
        <w:rPr>
          <w:szCs w:val="19"/>
        </w:rPr>
        <w:t>ir</w:t>
      </w:r>
      <w:r>
        <w:rPr>
          <w:szCs w:val="19"/>
        </w:rPr>
        <w:t xml:space="preserve"> not-for profit status could get further attention. In an interesting change of heart somewhat similar to Terry Moran in Australia, Julian Le Grand </w:t>
      </w:r>
      <w:r w:rsidR="006835F5" w:rsidRPr="00276DC6">
        <w:rPr>
          <w:szCs w:val="19"/>
        </w:rPr>
        <w:t xml:space="preserve">chief adviser to Tony Blair in 2003-05 </w:t>
      </w:r>
      <w:r>
        <w:rPr>
          <w:szCs w:val="19"/>
        </w:rPr>
        <w:t>has moved from supporting market provision to support for mutual companies</w:t>
      </w:r>
      <w:r w:rsidR="00F16F2C" w:rsidRPr="00F16F2C">
        <w:rPr>
          <w:szCs w:val="19"/>
        </w:rPr>
        <w:t xml:space="preserve"> </w:t>
      </w:r>
      <w:r w:rsidR="00F16F2C">
        <w:rPr>
          <w:szCs w:val="19"/>
        </w:rPr>
        <w:t>(Moran 2017,</w:t>
      </w:r>
      <w:r w:rsidR="00F16F2C" w:rsidRPr="00F16F2C">
        <w:rPr>
          <w:szCs w:val="19"/>
        </w:rPr>
        <w:t xml:space="preserve"> </w:t>
      </w:r>
      <w:r w:rsidR="00F16F2C" w:rsidRPr="00276DC6">
        <w:rPr>
          <w:szCs w:val="19"/>
        </w:rPr>
        <w:t>Le Grand &amp; Roberts 2018</w:t>
      </w:r>
      <w:r w:rsidR="00F73BBA">
        <w:rPr>
          <w:szCs w:val="19"/>
        </w:rPr>
        <w:t>)</w:t>
      </w:r>
      <w:r>
        <w:rPr>
          <w:szCs w:val="19"/>
        </w:rPr>
        <w:t>.</w:t>
      </w:r>
      <w:r w:rsidRPr="00276DC6">
        <w:rPr>
          <w:szCs w:val="19"/>
        </w:rPr>
        <w:t xml:space="preserve"> </w:t>
      </w:r>
      <w:r w:rsidR="00DE6E27">
        <w:rPr>
          <w:szCs w:val="19"/>
        </w:rPr>
        <w:t xml:space="preserve">Le Grand </w:t>
      </w:r>
      <w:r w:rsidRPr="00276DC6">
        <w:rPr>
          <w:szCs w:val="19"/>
        </w:rPr>
        <w:t>reflects</w:t>
      </w:r>
      <w:r w:rsidR="00A84C25">
        <w:rPr>
          <w:szCs w:val="19"/>
        </w:rPr>
        <w:t>:</w:t>
      </w:r>
    </w:p>
    <w:p w:rsidR="00276DC6" w:rsidRPr="00276DC6" w:rsidRDefault="00276DC6" w:rsidP="00F16F2C">
      <w:pPr>
        <w:pStyle w:val="Text"/>
        <w:ind w:left="720"/>
        <w:rPr>
          <w:szCs w:val="19"/>
        </w:rPr>
      </w:pPr>
      <w:r w:rsidRPr="00276DC6">
        <w:rPr>
          <w:szCs w:val="19"/>
        </w:rPr>
        <w:t xml:space="preserve">“The 1980s we can view as a period of state failure …Then in the 1990s … everyone believed the market was the answer in one form or </w:t>
      </w:r>
      <w:r w:rsidR="00F16F2C" w:rsidRPr="00276DC6">
        <w:rPr>
          <w:szCs w:val="19"/>
        </w:rPr>
        <w:t>another</w:t>
      </w:r>
      <w:r w:rsidR="00F16F2C">
        <w:rPr>
          <w:szCs w:val="19"/>
        </w:rPr>
        <w:t>..</w:t>
      </w:r>
      <w:r w:rsidR="00F16F2C" w:rsidRPr="00276DC6">
        <w:rPr>
          <w:szCs w:val="19"/>
        </w:rPr>
        <w:t>.maybe</w:t>
      </w:r>
      <w:r w:rsidRPr="00276DC6">
        <w:rPr>
          <w:szCs w:val="19"/>
        </w:rPr>
        <w:t xml:space="preserve"> there ought to be some form of alternative to either the state or the market” (Williams, 2017).</w:t>
      </w:r>
    </w:p>
    <w:p w:rsidR="00251BA9" w:rsidRDefault="00251BA9" w:rsidP="006879F1">
      <w:pPr>
        <w:pStyle w:val="Heading3"/>
      </w:pPr>
      <w:r>
        <w:t>Employers</w:t>
      </w:r>
      <w:r w:rsidR="00DE3CBD">
        <w:t>’</w:t>
      </w:r>
      <w:r w:rsidR="00FB354E">
        <w:t xml:space="preserve"> </w:t>
      </w:r>
      <w:r w:rsidR="00BC3380">
        <w:t>expenditure</w:t>
      </w:r>
    </w:p>
    <w:p w:rsidR="00783AA1" w:rsidRDefault="00783AA1" w:rsidP="00BC3380">
      <w:pPr>
        <w:shd w:val="clear" w:color="auto" w:fill="FFFFFF"/>
        <w:spacing w:before="120" w:line="300" w:lineRule="exact"/>
        <w:rPr>
          <w:rFonts w:cstheme="minorHAnsi"/>
        </w:rPr>
      </w:pPr>
      <w:r w:rsidRPr="00783AA1">
        <w:rPr>
          <w:rFonts w:ascii="Trebuchet MS" w:eastAsia="Times New Roman" w:hAnsi="Trebuchet MS" w:cs="Times New Roman"/>
          <w:sz w:val="19"/>
          <w:szCs w:val="20"/>
          <w:lang w:eastAsia="en-US"/>
        </w:rPr>
        <w:t>Employer expenditure on training was a focus of government policy in the late 1980s and early 1990s. Dawkins (1988) stressed the importance of training in industry and the need for industry to pay more</w:t>
      </w:r>
      <w:r>
        <w:rPr>
          <w:rFonts w:ascii="Trebuchet MS" w:eastAsia="Times New Roman" w:hAnsi="Trebuchet MS" w:cs="Times New Roman"/>
          <w:sz w:val="19"/>
          <w:szCs w:val="20"/>
          <w:lang w:eastAsia="en-US"/>
        </w:rPr>
        <w:t>.</w:t>
      </w:r>
      <w:r>
        <w:rPr>
          <w:rFonts w:cstheme="minorHAnsi"/>
        </w:rPr>
        <w:t xml:space="preserve"> He introduced the short-lived training guarantee</w:t>
      </w:r>
      <w:r w:rsidR="00BC3380">
        <w:rPr>
          <w:rFonts w:cstheme="minorHAnsi"/>
        </w:rPr>
        <w:t xml:space="preserve"> (Fraser 1996).</w:t>
      </w:r>
    </w:p>
    <w:p w:rsidR="00630916" w:rsidRDefault="00DD387B" w:rsidP="00A15E0B">
      <w:pPr>
        <w:pStyle w:val="Text"/>
        <w:spacing w:before="120"/>
      </w:pPr>
      <w:r>
        <w:t xml:space="preserve">It is </w:t>
      </w:r>
      <w:r w:rsidR="00F16F2C">
        <w:t>clear</w:t>
      </w:r>
      <w:r>
        <w:t xml:space="preserve"> </w:t>
      </w:r>
      <w:r w:rsidR="00AF116A">
        <w:t>that employer expenditure is large and that it is divided between in-house trainers and purchasing formal (with qualifications) and non-formal (structured</w:t>
      </w:r>
      <w:r>
        <w:t>/unaccredited</w:t>
      </w:r>
      <w:r w:rsidR="00AF116A">
        <w:t xml:space="preserve">) </w:t>
      </w:r>
      <w:r w:rsidR="0031610F">
        <w:t xml:space="preserve">training </w:t>
      </w:r>
      <w:r w:rsidR="00AF116A">
        <w:t xml:space="preserve">from </w:t>
      </w:r>
      <w:r w:rsidR="00567698">
        <w:t xml:space="preserve">external </w:t>
      </w:r>
      <w:r w:rsidR="00AF116A">
        <w:t xml:space="preserve">training providers. </w:t>
      </w:r>
    </w:p>
    <w:p w:rsidR="00DD387B" w:rsidRPr="00AF116A" w:rsidRDefault="00F16F2C" w:rsidP="00F16F2C">
      <w:pPr>
        <w:pStyle w:val="Text"/>
        <w:spacing w:before="120"/>
      </w:pPr>
      <w:r>
        <w:lastRenderedPageBreak/>
        <w:t>Employer expenditure to RTOs could be expected to be largely on fee-for-service. T</w:t>
      </w:r>
      <w:r w:rsidRPr="00AF116A">
        <w:t xml:space="preserve">here were over 300 million hours of training in fee-for-service courses </w:t>
      </w:r>
      <w:r>
        <w:t xml:space="preserve">in 2018 </w:t>
      </w:r>
      <w:r w:rsidRPr="00AF116A">
        <w:t>(NCVER 2019</w:t>
      </w:r>
      <w:r>
        <w:t xml:space="preserve">). </w:t>
      </w:r>
      <w:r w:rsidR="00AF116A" w:rsidRPr="00AF116A">
        <w:t>If fees were (only) $5 per</w:t>
      </w:r>
      <w:r w:rsidR="00AF116A">
        <w:t xml:space="preserve"> hour</w:t>
      </w:r>
      <w:r w:rsidR="00AF116A" w:rsidRPr="00AF116A">
        <w:t xml:space="preserve"> we get an estimated fee revenue of $1500 million</w:t>
      </w:r>
      <w:r w:rsidR="00567698">
        <w:t>.</w:t>
      </w:r>
    </w:p>
    <w:p w:rsidR="00AF116A" w:rsidRPr="00AF116A" w:rsidRDefault="00F16F2C" w:rsidP="00F73BBA">
      <w:pPr>
        <w:pStyle w:val="Text"/>
        <w:spacing w:before="120"/>
      </w:pPr>
      <w:r>
        <w:t>We do</w:t>
      </w:r>
      <w:r w:rsidR="00F73BBA">
        <w:t xml:space="preserve"> not </w:t>
      </w:r>
      <w:r>
        <w:t>know how much comes from employers. Some indication is given by a</w:t>
      </w:r>
      <w:r w:rsidR="0031610F">
        <w:t xml:space="preserve">n </w:t>
      </w:r>
      <w:r w:rsidR="00AF116A" w:rsidRPr="00AF116A">
        <w:t xml:space="preserve">ABS household survey of </w:t>
      </w:r>
      <w:r w:rsidR="00AF116A" w:rsidRPr="00A15E0B">
        <w:t>Work-Related Training</w:t>
      </w:r>
      <w:r w:rsidR="00F73BBA">
        <w:t>. It</w:t>
      </w:r>
      <w:r w:rsidR="00AF116A" w:rsidRPr="00AF116A">
        <w:t xml:space="preserve"> shows that 40 per cent of persons aged 15-74 participated in work related training: about 20 per cent formal (towards a qualification) and 20 per cent non-formal (structured). It reports the variation by occupation and industry, age, sex, qualifications, labour force status, socioeconomic status and remoteness. About 85 per cent </w:t>
      </w:r>
      <w:r w:rsidR="00E45C93">
        <w:t xml:space="preserve">of persons receiving training </w:t>
      </w:r>
      <w:r w:rsidR="0031610F">
        <w:t xml:space="preserve">said they </w:t>
      </w:r>
      <w:r w:rsidR="00AF116A" w:rsidRPr="00AF116A">
        <w:t>did not bear any costs for their most recent training (ABS 2017</w:t>
      </w:r>
      <w:r w:rsidR="00124032">
        <w:t>)</w:t>
      </w:r>
      <w:r w:rsidR="00EA77A6">
        <w:t>.</w:t>
      </w:r>
    </w:p>
    <w:p w:rsidR="001D5D66" w:rsidRDefault="001D5D66" w:rsidP="0068418E">
      <w:pPr>
        <w:pStyle w:val="Text"/>
        <w:spacing w:before="120"/>
      </w:pPr>
      <w:r w:rsidRPr="00AF116A">
        <w:t>NCVER’s</w:t>
      </w:r>
      <w:r w:rsidR="002B6506">
        <w:t xml:space="preserve"> </w:t>
      </w:r>
      <w:r w:rsidRPr="00AF116A">
        <w:t>survey of employers’ interactions with the VET system shows that about 50 per cent of employers use the VET system</w:t>
      </w:r>
      <w:r w:rsidR="00E45C93">
        <w:t xml:space="preserve"> </w:t>
      </w:r>
      <w:r w:rsidR="00E45C93" w:rsidRPr="00AF116A">
        <w:t>(NCVER 2019).</w:t>
      </w:r>
      <w:r w:rsidRPr="00AF116A">
        <w:t xml:space="preserve"> TAFE is the main provider for apprentices/trainees</w:t>
      </w:r>
      <w:r w:rsidR="0031610F">
        <w:t>, p</w:t>
      </w:r>
      <w:r w:rsidRPr="00AF116A">
        <w:t xml:space="preserve">rivate providers </w:t>
      </w:r>
      <w:r w:rsidR="00F73BBA">
        <w:t xml:space="preserve">have the major role </w:t>
      </w:r>
      <w:r w:rsidRPr="00AF116A">
        <w:t>for nationally recognised training</w:t>
      </w:r>
      <w:r w:rsidR="00E45C93">
        <w:t>.</w:t>
      </w:r>
      <w:r w:rsidRPr="00AF116A">
        <w:t xml:space="preserve"> For unaccredited</w:t>
      </w:r>
      <w:r w:rsidR="0031610F">
        <w:t xml:space="preserve">, </w:t>
      </w:r>
      <w:r w:rsidR="00DD387B">
        <w:t>non-formal</w:t>
      </w:r>
      <w:r w:rsidR="0031610F">
        <w:t xml:space="preserve">, </w:t>
      </w:r>
      <w:r w:rsidRPr="00AF116A">
        <w:t xml:space="preserve">training </w:t>
      </w:r>
      <w:r w:rsidR="002B6506">
        <w:t xml:space="preserve">less than half </w:t>
      </w:r>
      <w:r w:rsidR="00F73BBA">
        <w:t xml:space="preserve">employers </w:t>
      </w:r>
      <w:r w:rsidRPr="00AF116A">
        <w:t>use</w:t>
      </w:r>
      <w:r w:rsidR="002B6506">
        <w:t>d</w:t>
      </w:r>
      <w:r w:rsidRPr="00AF116A">
        <w:t xml:space="preserve"> external providers and scarcely any used TAFE.</w:t>
      </w:r>
      <w:r w:rsidR="00DD387B" w:rsidRPr="00DD387B">
        <w:t xml:space="preserve"> </w:t>
      </w:r>
      <w:r w:rsidRPr="00AF116A">
        <w:t xml:space="preserve">Research studies on employer training confirm the greater use </w:t>
      </w:r>
      <w:r w:rsidR="0031610F">
        <w:t xml:space="preserve">by employers </w:t>
      </w:r>
      <w:r w:rsidRPr="00AF116A">
        <w:t>of non-TAFE providers (Smith</w:t>
      </w:r>
      <w:r w:rsidR="0068418E">
        <w:t xml:space="preserve">, Smith </w:t>
      </w:r>
      <w:r w:rsidRPr="00AF116A">
        <w:t>et al 2017, Shah 2017)</w:t>
      </w:r>
      <w:r w:rsidR="004B64E6" w:rsidRPr="00AF116A">
        <w:t>.</w:t>
      </w:r>
    </w:p>
    <w:p w:rsidR="00DD387B" w:rsidRPr="00A15E0B" w:rsidRDefault="00DD387B" w:rsidP="00F73BBA">
      <w:pPr>
        <w:pStyle w:val="Text"/>
        <w:spacing w:before="120"/>
      </w:pPr>
      <w:r w:rsidRPr="00AF116A">
        <w:t>The lack of information on employer expenditure may be one of the reasons why a major policy 30 years ago is now neglected</w:t>
      </w:r>
      <w:r w:rsidR="00FC2F7F">
        <w:t xml:space="preserve"> (Dawkins 1988)</w:t>
      </w:r>
      <w:r w:rsidR="00F73BBA">
        <w:rPr>
          <w:sz w:val="16"/>
        </w:rPr>
        <w:t>.</w:t>
      </w:r>
      <w:r w:rsidRPr="00AF116A">
        <w:t xml:space="preserve"> However a sign of renewed interest in employer expenditure</w:t>
      </w:r>
      <w:r w:rsidRPr="00A15E0B">
        <w:t xml:space="preserve"> might be implied in the VET Roadmap (COAG 2020). In summary point 6 it says: </w:t>
      </w:r>
    </w:p>
    <w:p w:rsidR="00DD387B" w:rsidRDefault="00DD387B" w:rsidP="006F474D">
      <w:pPr>
        <w:pStyle w:val="Text"/>
        <w:spacing w:before="120"/>
        <w:ind w:left="720"/>
      </w:pPr>
      <w:r w:rsidRPr="00A15E0B">
        <w:t xml:space="preserve">Government VET investment supports economic and social priorities and complements the investment of industry and learners’ and ‘The system has agreed principles for </w:t>
      </w:r>
      <w:r w:rsidRPr="00805609">
        <w:rPr>
          <w:u w:val="single"/>
        </w:rPr>
        <w:t>shared investment in VET by governments, industry and learner’</w:t>
      </w:r>
      <w:r w:rsidR="00805609">
        <w:rPr>
          <w:u w:val="single"/>
        </w:rPr>
        <w:t xml:space="preserve"> </w:t>
      </w:r>
      <w:r w:rsidR="00805609" w:rsidRPr="00805609">
        <w:t>(my emphasis)</w:t>
      </w:r>
      <w:r w:rsidR="006F474D" w:rsidRPr="00805609">
        <w:t>.</w:t>
      </w:r>
    </w:p>
    <w:p w:rsidR="008D2F03" w:rsidRDefault="008D2F03" w:rsidP="008D2F03">
      <w:pPr>
        <w:pStyle w:val="Heading6"/>
        <w:spacing w:before="120"/>
      </w:pPr>
      <w:r>
        <w:t>Incentives</w:t>
      </w:r>
    </w:p>
    <w:p w:rsidR="008D2F03" w:rsidRDefault="008D2F03" w:rsidP="0028703B">
      <w:pPr>
        <w:spacing w:before="120" w:after="0" w:line="300" w:lineRule="exact"/>
        <w:rPr>
          <w:rFonts w:ascii="Trebuchet MS" w:eastAsia="Times New Roman" w:hAnsi="Trebuchet MS" w:cs="Times New Roman"/>
          <w:sz w:val="19"/>
          <w:szCs w:val="19"/>
          <w:lang w:eastAsia="en-US"/>
        </w:rPr>
      </w:pPr>
      <w:r>
        <w:rPr>
          <w:rFonts w:ascii="Trebuchet MS" w:eastAsia="Times New Roman" w:hAnsi="Trebuchet MS" w:cs="Times New Roman"/>
          <w:sz w:val="19"/>
          <w:szCs w:val="19"/>
          <w:lang w:eastAsia="en-US"/>
        </w:rPr>
        <w:t xml:space="preserve">When employer expenditure was last </w:t>
      </w:r>
      <w:r w:rsidR="0028703B">
        <w:rPr>
          <w:rFonts w:ascii="Trebuchet MS" w:eastAsia="Times New Roman" w:hAnsi="Trebuchet MS" w:cs="Times New Roman"/>
          <w:sz w:val="19"/>
          <w:szCs w:val="19"/>
          <w:lang w:eastAsia="en-US"/>
        </w:rPr>
        <w:t xml:space="preserve">surveyed </w:t>
      </w:r>
      <w:r>
        <w:rPr>
          <w:rFonts w:ascii="Trebuchet MS" w:eastAsia="Times New Roman" w:hAnsi="Trebuchet MS" w:cs="Times New Roman"/>
          <w:sz w:val="19"/>
          <w:szCs w:val="19"/>
          <w:lang w:eastAsia="en-US"/>
        </w:rPr>
        <w:t xml:space="preserve">nearly 20 years ago government incentives for the employment of apprentices offset about 10 per cent of </w:t>
      </w:r>
      <w:r w:rsidR="00F73BBA">
        <w:rPr>
          <w:rFonts w:ascii="Trebuchet MS" w:eastAsia="Times New Roman" w:hAnsi="Trebuchet MS" w:cs="Times New Roman"/>
          <w:sz w:val="19"/>
          <w:szCs w:val="19"/>
          <w:lang w:eastAsia="en-US"/>
        </w:rPr>
        <w:t xml:space="preserve">estimated </w:t>
      </w:r>
      <w:r>
        <w:rPr>
          <w:rFonts w:ascii="Trebuchet MS" w:eastAsia="Times New Roman" w:hAnsi="Trebuchet MS" w:cs="Times New Roman"/>
          <w:sz w:val="19"/>
          <w:szCs w:val="19"/>
          <w:lang w:eastAsia="en-US"/>
        </w:rPr>
        <w:t>total employer expenditure</w:t>
      </w:r>
      <w:r w:rsidR="00F73BBA" w:rsidRPr="00164CB7">
        <w:rPr>
          <w:rStyle w:val="FootnoteReference"/>
          <w:sz w:val="16"/>
        </w:rPr>
        <w:footnoteReference w:id="2"/>
      </w:r>
      <w:r w:rsidR="00F73BBA" w:rsidRPr="00164CB7">
        <w:rPr>
          <w:rStyle w:val="FootnoteReference"/>
          <w:sz w:val="16"/>
        </w:rPr>
        <w:t>.</w:t>
      </w:r>
      <w:r>
        <w:rPr>
          <w:rFonts w:ascii="Trebuchet MS" w:eastAsia="Times New Roman" w:hAnsi="Trebuchet MS" w:cs="Times New Roman"/>
          <w:sz w:val="19"/>
          <w:szCs w:val="19"/>
          <w:lang w:eastAsia="en-US"/>
        </w:rPr>
        <w:t>.</w:t>
      </w:r>
    </w:p>
    <w:p w:rsidR="008D2F03" w:rsidRPr="003D74C1" w:rsidRDefault="008D2F03" w:rsidP="0028703B">
      <w:pPr>
        <w:spacing w:before="120" w:after="0" w:line="300" w:lineRule="exact"/>
        <w:rPr>
          <w:rFonts w:ascii="Trebuchet MS" w:eastAsia="Times New Roman" w:hAnsi="Trebuchet MS" w:cs="Times New Roman"/>
          <w:sz w:val="19"/>
          <w:szCs w:val="20"/>
          <w:lang w:eastAsia="en-US"/>
        </w:rPr>
      </w:pPr>
      <w:r>
        <w:rPr>
          <w:rFonts w:ascii="Trebuchet MS" w:eastAsia="Times New Roman" w:hAnsi="Trebuchet MS" w:cs="Times New Roman"/>
          <w:sz w:val="19"/>
          <w:szCs w:val="20"/>
          <w:lang w:eastAsia="en-US"/>
        </w:rPr>
        <w:t xml:space="preserve">The </w:t>
      </w:r>
      <w:r w:rsidR="0028703B">
        <w:rPr>
          <w:rFonts w:ascii="Trebuchet MS" w:eastAsia="Times New Roman" w:hAnsi="Trebuchet MS" w:cs="Times New Roman"/>
          <w:sz w:val="19"/>
          <w:szCs w:val="20"/>
          <w:lang w:eastAsia="en-US"/>
        </w:rPr>
        <w:t xml:space="preserve">interim report </w:t>
      </w:r>
      <w:r>
        <w:rPr>
          <w:rFonts w:ascii="Trebuchet MS" w:eastAsia="Times New Roman" w:hAnsi="Trebuchet MS" w:cs="Times New Roman"/>
          <w:sz w:val="19"/>
          <w:szCs w:val="20"/>
          <w:lang w:eastAsia="en-US"/>
        </w:rPr>
        <w:t xml:space="preserve">considers incentives and suggests </w:t>
      </w:r>
      <w:r w:rsidRPr="003D74C1">
        <w:rPr>
          <w:rFonts w:ascii="Trebuchet MS" w:eastAsia="Times New Roman" w:hAnsi="Trebuchet MS" w:cs="Times New Roman"/>
          <w:sz w:val="19"/>
          <w:szCs w:val="20"/>
          <w:lang w:eastAsia="en-US"/>
        </w:rPr>
        <w:t>moving away from, or complementing</w:t>
      </w:r>
      <w:r w:rsidR="00C608C3">
        <w:rPr>
          <w:rFonts w:ascii="Trebuchet MS" w:eastAsia="Times New Roman" w:hAnsi="Trebuchet MS" w:cs="Times New Roman"/>
          <w:sz w:val="19"/>
          <w:szCs w:val="20"/>
          <w:lang w:eastAsia="en-US"/>
        </w:rPr>
        <w:t xml:space="preserve"> them</w:t>
      </w:r>
      <w:r w:rsidRPr="003D74C1">
        <w:rPr>
          <w:rFonts w:ascii="Trebuchet MS" w:eastAsia="Times New Roman" w:hAnsi="Trebuchet MS" w:cs="Times New Roman"/>
          <w:sz w:val="19"/>
          <w:szCs w:val="20"/>
          <w:lang w:eastAsia="en-US"/>
        </w:rPr>
        <w:t xml:space="preserve"> by using other approaches, including mentoring and pastoral care (PC</w:t>
      </w:r>
      <w:r>
        <w:rPr>
          <w:rFonts w:ascii="Trebuchet MS" w:eastAsia="Times New Roman" w:hAnsi="Trebuchet MS" w:cs="Times New Roman"/>
          <w:sz w:val="19"/>
          <w:szCs w:val="20"/>
          <w:lang w:eastAsia="en-US"/>
        </w:rPr>
        <w:t xml:space="preserve"> 2020a</w:t>
      </w:r>
      <w:r w:rsidRPr="003D74C1">
        <w:rPr>
          <w:rFonts w:ascii="Trebuchet MS" w:eastAsia="Times New Roman" w:hAnsi="Trebuchet MS" w:cs="Times New Roman"/>
          <w:sz w:val="19"/>
          <w:szCs w:val="20"/>
          <w:lang w:eastAsia="en-US"/>
        </w:rPr>
        <w:t xml:space="preserve"> p.2). </w:t>
      </w:r>
    </w:p>
    <w:p w:rsidR="008D2F03" w:rsidRPr="003D74C1" w:rsidRDefault="00C608C3" w:rsidP="00F73BBA">
      <w:pPr>
        <w:spacing w:before="120" w:after="0" w:line="300" w:lineRule="exact"/>
        <w:rPr>
          <w:rFonts w:ascii="Trebuchet MS" w:eastAsia="Times New Roman" w:hAnsi="Trebuchet MS" w:cs="Times New Roman"/>
          <w:sz w:val="19"/>
          <w:szCs w:val="20"/>
          <w:lang w:eastAsia="en-US"/>
        </w:rPr>
      </w:pPr>
      <w:r>
        <w:rPr>
          <w:rFonts w:ascii="Trebuchet MS" w:eastAsia="Times New Roman" w:hAnsi="Trebuchet MS" w:cs="Times New Roman"/>
          <w:sz w:val="19"/>
          <w:szCs w:val="20"/>
          <w:lang w:eastAsia="en-US"/>
        </w:rPr>
        <w:t xml:space="preserve">Reservations or opposition </w:t>
      </w:r>
      <w:r w:rsidR="0028703B">
        <w:rPr>
          <w:rFonts w:ascii="Trebuchet MS" w:eastAsia="Times New Roman" w:hAnsi="Trebuchet MS" w:cs="Times New Roman"/>
          <w:sz w:val="19"/>
          <w:szCs w:val="20"/>
          <w:lang w:eastAsia="en-US"/>
        </w:rPr>
        <w:t xml:space="preserve">to incentives </w:t>
      </w:r>
      <w:r>
        <w:rPr>
          <w:rFonts w:ascii="Trebuchet MS" w:eastAsia="Times New Roman" w:hAnsi="Trebuchet MS" w:cs="Times New Roman"/>
          <w:sz w:val="19"/>
          <w:szCs w:val="20"/>
          <w:lang w:eastAsia="en-US"/>
        </w:rPr>
        <w:t xml:space="preserve">was expressed in </w:t>
      </w:r>
      <w:r w:rsidR="008D2F03" w:rsidRPr="003D74C1">
        <w:rPr>
          <w:rFonts w:ascii="Trebuchet MS" w:eastAsia="Times New Roman" w:hAnsi="Trebuchet MS" w:cs="Times New Roman"/>
          <w:sz w:val="19"/>
          <w:szCs w:val="20"/>
          <w:lang w:eastAsia="en-US"/>
        </w:rPr>
        <w:t xml:space="preserve">the reports by Kirby (1985), </w:t>
      </w:r>
      <w:proofErr w:type="spellStart"/>
      <w:r w:rsidR="008D2F03" w:rsidRPr="003D74C1">
        <w:rPr>
          <w:rFonts w:ascii="Trebuchet MS" w:eastAsia="Times New Roman" w:hAnsi="Trebuchet MS" w:cs="Times New Roman"/>
          <w:sz w:val="19"/>
          <w:szCs w:val="20"/>
          <w:lang w:eastAsia="en-US"/>
        </w:rPr>
        <w:t>Deveson</w:t>
      </w:r>
      <w:proofErr w:type="spellEnd"/>
      <w:r w:rsidR="008D2F03" w:rsidRPr="003D74C1">
        <w:rPr>
          <w:rFonts w:ascii="Trebuchet MS" w:eastAsia="Times New Roman" w:hAnsi="Trebuchet MS" w:cs="Times New Roman"/>
          <w:sz w:val="19"/>
          <w:szCs w:val="20"/>
          <w:lang w:eastAsia="en-US"/>
        </w:rPr>
        <w:t xml:space="preserve"> (1990), Carmichael (1992) and McDowell (2011)</w:t>
      </w:r>
      <w:r>
        <w:rPr>
          <w:rFonts w:ascii="Trebuchet MS" w:eastAsia="Times New Roman" w:hAnsi="Trebuchet MS" w:cs="Times New Roman"/>
          <w:sz w:val="19"/>
          <w:szCs w:val="20"/>
          <w:lang w:eastAsia="en-US"/>
        </w:rPr>
        <w:t xml:space="preserve"> and in (Burke 2019).</w:t>
      </w:r>
    </w:p>
    <w:p w:rsidR="0023792B" w:rsidRPr="00A15E0B" w:rsidRDefault="0023792B" w:rsidP="006F474D">
      <w:pPr>
        <w:pStyle w:val="Heading3"/>
      </w:pPr>
      <w:r w:rsidRPr="00A15E0B">
        <w:lastRenderedPageBreak/>
        <w:t>Domestic students</w:t>
      </w:r>
      <w:r w:rsidR="007A695A">
        <w:t>’</w:t>
      </w:r>
      <w:r w:rsidRPr="00A15E0B">
        <w:t xml:space="preserve"> </w:t>
      </w:r>
      <w:r w:rsidR="00DE3CBD">
        <w:t>fees</w:t>
      </w:r>
    </w:p>
    <w:p w:rsidR="0023792B" w:rsidRPr="00A15E0B" w:rsidRDefault="0023792B" w:rsidP="00DE6E27">
      <w:pPr>
        <w:pStyle w:val="Text"/>
        <w:spacing w:before="120"/>
      </w:pPr>
      <w:r w:rsidRPr="00A15E0B">
        <w:t xml:space="preserve">Domestic </w:t>
      </w:r>
      <w:r w:rsidR="005B19E0" w:rsidRPr="00A15E0B">
        <w:t>students’</w:t>
      </w:r>
      <w:r w:rsidRPr="00A15E0B">
        <w:t xml:space="preserve"> fees and charges paid to public providers for government</w:t>
      </w:r>
      <w:r w:rsidR="00DE6E27">
        <w:t>-</w:t>
      </w:r>
      <w:r w:rsidRPr="00A15E0B">
        <w:t xml:space="preserve">supported places were reported up to 2017 when they totalled almost $500 million. </w:t>
      </w:r>
      <w:r w:rsidR="00DE6E27">
        <w:t>Domestic students will also pay for some part of fee-for service</w:t>
      </w:r>
      <w:r w:rsidRPr="00A15E0B">
        <w:t>.</w:t>
      </w:r>
    </w:p>
    <w:p w:rsidR="0023792B" w:rsidRPr="00A15E0B" w:rsidRDefault="0023792B" w:rsidP="006F474D">
      <w:pPr>
        <w:pStyle w:val="Heading3"/>
      </w:pPr>
      <w:r w:rsidRPr="00A15E0B">
        <w:t>International students</w:t>
      </w:r>
      <w:r w:rsidR="007A695A">
        <w:t>’</w:t>
      </w:r>
      <w:r w:rsidR="005B7936" w:rsidRPr="00A15E0B">
        <w:t xml:space="preserve"> </w:t>
      </w:r>
      <w:r w:rsidR="006F474D">
        <w:t>fees</w:t>
      </w:r>
    </w:p>
    <w:p w:rsidR="002E6551" w:rsidRDefault="002E6551" w:rsidP="006F474D">
      <w:pPr>
        <w:pStyle w:val="Text"/>
        <w:spacing w:before="120"/>
      </w:pPr>
      <w:r>
        <w:t>Following reviews of overseas aid in 1985 tertiary institutions could charge fees with the minimum to be the full-economic cost and the student numbers to be unlimited. Universities were fastest to tak</w:t>
      </w:r>
      <w:r w:rsidR="0031610F">
        <w:t>e part (</w:t>
      </w:r>
      <w:proofErr w:type="spellStart"/>
      <w:r w:rsidR="0031610F">
        <w:t>Marginson</w:t>
      </w:r>
      <w:proofErr w:type="spellEnd"/>
      <w:r w:rsidR="0031610F">
        <w:t xml:space="preserve"> 1993)</w:t>
      </w:r>
      <w:r w:rsidR="00FB6D74">
        <w:t>.</w:t>
      </w:r>
    </w:p>
    <w:p w:rsidR="002E6551" w:rsidRPr="00A15E0B" w:rsidRDefault="002E6551" w:rsidP="007A695A">
      <w:pPr>
        <w:pStyle w:val="Text"/>
        <w:spacing w:before="120"/>
      </w:pPr>
      <w:r>
        <w:t xml:space="preserve">There were about 25,000 international </w:t>
      </w:r>
      <w:r w:rsidR="007A695A">
        <w:t xml:space="preserve">enrolments </w:t>
      </w:r>
      <w:r>
        <w:t>i</w:t>
      </w:r>
      <w:r w:rsidRPr="00910FD2">
        <w:t xml:space="preserve">n </w:t>
      </w:r>
      <w:r>
        <w:t>vocational education in 1995</w:t>
      </w:r>
      <w:r w:rsidR="00FB6D74">
        <w:t xml:space="preserve">, </w:t>
      </w:r>
      <w:r>
        <w:t>50,000 in 2005</w:t>
      </w:r>
      <w:r w:rsidR="0031610F">
        <w:t xml:space="preserve"> and by</w:t>
      </w:r>
      <w:r>
        <w:t xml:space="preserve"> 2010 over </w:t>
      </w:r>
      <w:r w:rsidRPr="00A15E0B">
        <w:t xml:space="preserve">200,000. Most were with private providers. The growth was fuelled by the </w:t>
      </w:r>
      <w:r w:rsidR="0023792B" w:rsidRPr="00A15E0B">
        <w:t>v</w:t>
      </w:r>
      <w:r w:rsidR="00F56E4E" w:rsidRPr="00A15E0B">
        <w:t xml:space="preserve">ery </w:t>
      </w:r>
      <w:r w:rsidRPr="00A15E0B">
        <w:t xml:space="preserve">easy access to permanent migration for those who held a qualification on a list of occupations in demand. Reviewing this Baird (2010) found: </w:t>
      </w:r>
    </w:p>
    <w:p w:rsidR="002E6551" w:rsidRPr="00A15E0B" w:rsidRDefault="002E6551" w:rsidP="00805609">
      <w:pPr>
        <w:pStyle w:val="Text"/>
        <w:spacing w:before="120"/>
        <w:ind w:left="720"/>
      </w:pPr>
      <w:r w:rsidRPr="00A15E0B">
        <w:t>… frequent allegations of vertical integration of agents, providers, employers and landlords, exploiting international students anxious to achieve permanent migration. In some cases students appear to collude with these people for mutual gain. In such cases this usually results in poor education outcomes, poor living conditions, low pay, poor working conditions and visa conditions being breached by students working more than 20 hours a week to be able to afford to be here. Australians would not want such dubious, if not illegal, practices in their community (Baird 2010 p.7).</w:t>
      </w:r>
    </w:p>
    <w:p w:rsidR="0028703B" w:rsidRDefault="002E6551" w:rsidP="00A15E0B">
      <w:pPr>
        <w:pStyle w:val="Text"/>
        <w:spacing w:before="120"/>
      </w:pPr>
      <w:r w:rsidRPr="00A15E0B">
        <w:t>Migration lists</w:t>
      </w:r>
      <w:r w:rsidR="005B19E0" w:rsidRPr="00A15E0B">
        <w:t xml:space="preserve"> and conditions </w:t>
      </w:r>
      <w:r w:rsidRPr="00A15E0B">
        <w:t xml:space="preserve">were amended and many occupations linked with vocational education removed. International student enrolments in vocational education fell 35 per cent to 2013. </w:t>
      </w:r>
    </w:p>
    <w:p w:rsidR="002E6551" w:rsidRPr="00A15E0B" w:rsidRDefault="002E6551" w:rsidP="00A15E0B">
      <w:pPr>
        <w:pStyle w:val="Text"/>
        <w:spacing w:before="120"/>
      </w:pPr>
      <w:r w:rsidRPr="00A15E0B">
        <w:t xml:space="preserve">Since then easing visa conditions have included provision for graduates to work in Australia for 18 months (shorter than for university graduates) if the training relates to </w:t>
      </w:r>
      <w:r w:rsidR="00AF33FC" w:rsidRPr="00A15E0B">
        <w:t xml:space="preserve">a </w:t>
      </w:r>
      <w:r w:rsidRPr="00A15E0B">
        <w:t xml:space="preserve">skilled occupation. The numbers of students surged — from 130,000 in 2013 to 280,000 in 2019 (DESE 2020). </w:t>
      </w:r>
      <w:r w:rsidR="00AE6ED8" w:rsidRPr="00A15E0B">
        <w:t>But a</w:t>
      </w:r>
      <w:r w:rsidRPr="00A15E0B">
        <w:t>buse has again occurred with a sharp increase in the number of providers after 2014 and in providers subsequently deregistered (Rizvi 2019).</w:t>
      </w:r>
    </w:p>
    <w:p w:rsidR="002E6551" w:rsidRPr="00A15E0B" w:rsidRDefault="002E6551" w:rsidP="007A695A">
      <w:pPr>
        <w:pStyle w:val="Text"/>
        <w:spacing w:before="120"/>
      </w:pPr>
      <w:r w:rsidRPr="00A15E0B">
        <w:t>The total of fee revenues were nearly $2.0 billion for 2018-19 (ABS 2019).</w:t>
      </w:r>
      <w:r w:rsidR="00DE6E27">
        <w:t xml:space="preserve"> In addition there was s</w:t>
      </w:r>
      <w:r w:rsidRPr="00A15E0B">
        <w:t xml:space="preserve">pending on </w:t>
      </w:r>
      <w:r w:rsidR="00DE6E27">
        <w:t>g</w:t>
      </w:r>
      <w:r w:rsidRPr="00A15E0B">
        <w:t xml:space="preserve">oods and </w:t>
      </w:r>
      <w:r w:rsidR="00DE6E27">
        <w:t>s</w:t>
      </w:r>
      <w:r w:rsidRPr="00A15E0B">
        <w:t>ervices in Australia by vocational international students</w:t>
      </w:r>
      <w:r w:rsidR="00DE6E27">
        <w:t>,</w:t>
      </w:r>
      <w:r w:rsidRPr="00A15E0B">
        <w:t xml:space="preserve"> estimated </w:t>
      </w:r>
      <w:r w:rsidR="00C20F76" w:rsidRPr="00A15E0B">
        <w:t xml:space="preserve">at nearly </w:t>
      </w:r>
      <w:r w:rsidRPr="00A15E0B">
        <w:t>$5.0 billion for 2018-19.</w:t>
      </w:r>
      <w:r w:rsidR="0028703B">
        <w:t xml:space="preserve"> </w:t>
      </w:r>
      <w:r w:rsidR="007A695A">
        <w:t>T</w:t>
      </w:r>
      <w:r w:rsidRPr="00A15E0B">
        <w:t xml:space="preserve">raining services </w:t>
      </w:r>
      <w:r w:rsidR="007A695A">
        <w:t xml:space="preserve">are also provided </w:t>
      </w:r>
      <w:r w:rsidRPr="00A15E0B">
        <w:t>off-shore and in 2017 yielded $76 million to public providers (NCVER 2018</w:t>
      </w:r>
      <w:r w:rsidR="007371DD">
        <w:t>a</w:t>
      </w:r>
      <w:r w:rsidRPr="00A15E0B">
        <w:t>).</w:t>
      </w:r>
    </w:p>
    <w:p w:rsidR="002E6551" w:rsidRPr="00A15E0B" w:rsidRDefault="002E6551" w:rsidP="00A15E0B">
      <w:pPr>
        <w:pStyle w:val="Text"/>
        <w:spacing w:before="120"/>
      </w:pPr>
      <w:r w:rsidRPr="00A15E0B">
        <w:t xml:space="preserve">Recently 75 per cent of international students in vocational education </w:t>
      </w:r>
      <w:r w:rsidR="00F56E4E" w:rsidRPr="00A15E0B">
        <w:t>wer</w:t>
      </w:r>
      <w:r w:rsidRPr="00A15E0B">
        <w:t>e enrolled with private providers. In higher education only about 10 per cent are with private providers (NCVER, 2019, DE</w:t>
      </w:r>
      <w:r w:rsidR="002B6506" w:rsidRPr="00A15E0B">
        <w:t>SE</w:t>
      </w:r>
      <w:r w:rsidRPr="00A15E0B">
        <w:t>, 2019</w:t>
      </w:r>
      <w:r w:rsidR="00BC5375" w:rsidRPr="00A15E0B">
        <w:t>b</w:t>
      </w:r>
      <w:r w:rsidRPr="00A15E0B">
        <w:t xml:space="preserve">). </w:t>
      </w:r>
    </w:p>
    <w:p w:rsidR="002E6551" w:rsidRDefault="00EE39C4" w:rsidP="00DE6E27">
      <w:pPr>
        <w:pStyle w:val="Text"/>
        <w:spacing w:before="120"/>
      </w:pPr>
      <w:r>
        <w:t>I</w:t>
      </w:r>
      <w:r w:rsidR="002E6551">
        <w:t xml:space="preserve">nternational </w:t>
      </w:r>
      <w:r>
        <w:t>education has</w:t>
      </w:r>
      <w:r w:rsidR="002E6551">
        <w:t xml:space="preserve"> </w:t>
      </w:r>
      <w:r w:rsidR="00FB6D74">
        <w:t xml:space="preserve">been affected </w:t>
      </w:r>
      <w:r>
        <w:t xml:space="preserve">by </w:t>
      </w:r>
      <w:r w:rsidR="002E6551">
        <w:t>C</w:t>
      </w:r>
      <w:r w:rsidR="00DF3401">
        <w:t>OVID</w:t>
      </w:r>
      <w:r w:rsidR="002E6551">
        <w:t>-19</w:t>
      </w:r>
      <w:r w:rsidR="00AF33FC">
        <w:t xml:space="preserve"> </w:t>
      </w:r>
      <w:r w:rsidR="00DF3401">
        <w:t xml:space="preserve">though </w:t>
      </w:r>
      <w:r w:rsidR="00DE6E27">
        <w:t xml:space="preserve">the effects are not clear and appear </w:t>
      </w:r>
      <w:r w:rsidR="00AF33FC">
        <w:t>less in vocational education than in higher education</w:t>
      </w:r>
      <w:r w:rsidR="00A02FEB">
        <w:t xml:space="preserve"> (DESE 2020)</w:t>
      </w:r>
      <w:r w:rsidR="002E6551">
        <w:t xml:space="preserve">. </w:t>
      </w:r>
    </w:p>
    <w:p w:rsidR="00424133" w:rsidRPr="009F36EC" w:rsidRDefault="00536D69" w:rsidP="00856C55">
      <w:pPr>
        <w:pStyle w:val="Heading1"/>
        <w:numPr>
          <w:ilvl w:val="0"/>
          <w:numId w:val="10"/>
        </w:numPr>
        <w:rPr>
          <w:szCs w:val="24"/>
        </w:rPr>
      </w:pPr>
      <w:r w:rsidRPr="009F36EC">
        <w:rPr>
          <w:szCs w:val="24"/>
        </w:rPr>
        <w:t>Neglected</w:t>
      </w:r>
      <w:r w:rsidR="00856C55">
        <w:rPr>
          <w:szCs w:val="24"/>
        </w:rPr>
        <w:t xml:space="preserve"> equity </w:t>
      </w:r>
      <w:r w:rsidRPr="009F36EC">
        <w:rPr>
          <w:szCs w:val="24"/>
        </w:rPr>
        <w:t>spending:</w:t>
      </w:r>
      <w:r w:rsidR="00492AE5" w:rsidRPr="009F36EC">
        <w:rPr>
          <w:szCs w:val="24"/>
        </w:rPr>
        <w:t xml:space="preserve"> </w:t>
      </w:r>
      <w:r w:rsidR="002B6506" w:rsidRPr="009F36EC">
        <w:rPr>
          <w:szCs w:val="24"/>
        </w:rPr>
        <w:t xml:space="preserve">Means tested </w:t>
      </w:r>
      <w:r w:rsidR="00FB354E" w:rsidRPr="009F36EC">
        <w:rPr>
          <w:szCs w:val="24"/>
        </w:rPr>
        <w:t>student income support</w:t>
      </w:r>
      <w:r w:rsidR="00477A6C" w:rsidRPr="009F36EC">
        <w:rPr>
          <w:szCs w:val="24"/>
        </w:rPr>
        <w:t xml:space="preserve"> </w:t>
      </w:r>
    </w:p>
    <w:p w:rsidR="00FB6D74" w:rsidRPr="00A15E0B" w:rsidRDefault="00C62D61" w:rsidP="00F1203A">
      <w:pPr>
        <w:pStyle w:val="Text"/>
        <w:spacing w:before="120"/>
      </w:pPr>
      <w:r w:rsidRPr="00A15E0B">
        <w:t xml:space="preserve">Means tested Commonwealth assistance to full-time tertiary students has been available since the Whitlam years. </w:t>
      </w:r>
      <w:r w:rsidR="00492AE5">
        <w:t xml:space="preserve">The programs are Youth Allowance (Student), </w:t>
      </w:r>
      <w:proofErr w:type="spellStart"/>
      <w:r w:rsidR="00492AE5">
        <w:t>Austudy</w:t>
      </w:r>
      <w:proofErr w:type="spellEnd"/>
      <w:r w:rsidR="00492AE5">
        <w:t xml:space="preserve"> and ABSTUDY</w:t>
      </w:r>
      <w:r w:rsidR="00F1203A">
        <w:t>.</w:t>
      </w:r>
      <w:r w:rsidR="00492AE5">
        <w:t xml:space="preserve"> </w:t>
      </w:r>
      <w:r w:rsidR="00492AE5" w:rsidRPr="00A15E0B">
        <w:t xml:space="preserve">The outlays are not included in NCVER </w:t>
      </w:r>
      <w:r w:rsidR="00492AE5" w:rsidRPr="00492AE5">
        <w:rPr>
          <w:i/>
          <w:iCs/>
        </w:rPr>
        <w:t>Government funding of VET</w:t>
      </w:r>
      <w:r w:rsidR="00492AE5" w:rsidRPr="00A15E0B">
        <w:t xml:space="preserve"> (2019a)</w:t>
      </w:r>
      <w:r w:rsidR="00492AE5">
        <w:t>.</w:t>
      </w:r>
      <w:r w:rsidR="00DE6E27">
        <w:t xml:space="preserve"> </w:t>
      </w:r>
      <w:r w:rsidR="00492AE5">
        <w:t xml:space="preserve">They are </w:t>
      </w:r>
      <w:r w:rsidR="00FB6D74" w:rsidRPr="00A15E0B">
        <w:t xml:space="preserve">mentioned but not discussed by Joyce (2019). </w:t>
      </w:r>
      <w:r w:rsidR="00492AE5">
        <w:t xml:space="preserve">They are </w:t>
      </w:r>
      <w:r w:rsidR="00492AE5" w:rsidRPr="00A15E0B">
        <w:t>discussed</w:t>
      </w:r>
      <w:r w:rsidR="00C5295F">
        <w:t xml:space="preserve"> in</w:t>
      </w:r>
      <w:r w:rsidR="00492AE5" w:rsidRPr="00A15E0B">
        <w:t xml:space="preserve"> Burke (2016, 2018).</w:t>
      </w:r>
    </w:p>
    <w:p w:rsidR="002E6551" w:rsidRPr="00A15E0B" w:rsidRDefault="002E6551" w:rsidP="00F1203A">
      <w:pPr>
        <w:pStyle w:val="Text"/>
        <w:spacing w:before="120"/>
      </w:pPr>
      <w:r w:rsidRPr="00A15E0B">
        <w:lastRenderedPageBreak/>
        <w:t xml:space="preserve">The number of students assisted in higher education and in vocational education was provided by the Department of Social Services up to 2015-16 but since then only the total for all tertiary students is reported (DSS 2019). </w:t>
      </w:r>
      <w:r w:rsidR="00DE6E27">
        <w:t xml:space="preserve">The last data showed </w:t>
      </w:r>
      <w:r w:rsidR="009D4B85">
        <w:t xml:space="preserve">for Youth Allowance and </w:t>
      </w:r>
      <w:proofErr w:type="spellStart"/>
      <w:r w:rsidR="009D4B85">
        <w:t>Austudy</w:t>
      </w:r>
      <w:proofErr w:type="spellEnd"/>
      <w:r w:rsidR="002B6506" w:rsidRPr="00A15E0B">
        <w:t xml:space="preserve"> 200,000 students </w:t>
      </w:r>
      <w:r w:rsidR="00DE6E27">
        <w:t xml:space="preserve">in higher education </w:t>
      </w:r>
      <w:r w:rsidR="002B6506" w:rsidRPr="00A15E0B">
        <w:t>(over</w:t>
      </w:r>
      <w:r w:rsidR="00292352" w:rsidRPr="00A15E0B">
        <w:t xml:space="preserve"> </w:t>
      </w:r>
      <w:r w:rsidRPr="00A15E0B">
        <w:t>30 per cent of full-time eligible students) and 50,000 students in vocational education</w:t>
      </w:r>
      <w:r w:rsidR="00AE6ED8" w:rsidRPr="00A15E0B">
        <w:t xml:space="preserve"> (</w:t>
      </w:r>
      <w:r w:rsidRPr="00A15E0B">
        <w:t>about 20 per cent of full-time vocational students</w:t>
      </w:r>
      <w:r w:rsidR="00AE6ED8" w:rsidRPr="00A15E0B">
        <w:t>)</w:t>
      </w:r>
      <w:r w:rsidRPr="00A15E0B">
        <w:t>. On a pro rata basis the outlay on vocational students in 2018 would be around $430 million. About 10,000 students received ABSTUDY perhaps half in vocational education even though the numbers of Indigenous students in total vocational education are seven times the number in higher education.</w:t>
      </w:r>
    </w:p>
    <w:p w:rsidR="002E6551" w:rsidRPr="00A15E0B" w:rsidRDefault="002E6551" w:rsidP="002E6551">
      <w:pPr>
        <w:pStyle w:val="Text"/>
        <w:spacing w:before="120"/>
      </w:pPr>
      <w:r w:rsidRPr="00A15E0B">
        <w:t xml:space="preserve">Higher education students on student income support can also get a Student Start-Up Loan (about $2000 a year) but vocational students cannot. From 2018 Diploma students in vocational education can access student assistance only if attending a provider approved for VET student loans but this restriction does not affect students on certificate courses. </w:t>
      </w:r>
    </w:p>
    <w:p w:rsidR="002E6551" w:rsidRPr="00A15E0B" w:rsidRDefault="002E6551" w:rsidP="0028703B">
      <w:pPr>
        <w:pStyle w:val="Text"/>
        <w:spacing w:before="120"/>
      </w:pPr>
      <w:r w:rsidRPr="00A15E0B">
        <w:t>Investigation is needed of why a</w:t>
      </w:r>
      <w:r w:rsidR="0028703B">
        <w:t xml:space="preserve">n apparently </w:t>
      </w:r>
      <w:r w:rsidRPr="00A15E0B">
        <w:t>smaller proportion of full-time vocational students access these benefits given the greater proportion from less advantaged backgrounds</w:t>
      </w:r>
      <w:r w:rsidRPr="009D4B85">
        <w:rPr>
          <w:rStyle w:val="FootnoteReference"/>
          <w:rFonts w:asciiTheme="minorHAnsi" w:eastAsiaTheme="minorEastAsia" w:hAnsiTheme="minorHAnsi" w:cstheme="minorBidi"/>
          <w:sz w:val="22"/>
          <w:szCs w:val="22"/>
          <w:lang w:eastAsia="zh-CN"/>
        </w:rPr>
        <w:footnoteReference w:id="3"/>
      </w:r>
      <w:r w:rsidRPr="009D4B85">
        <w:rPr>
          <w:rStyle w:val="FootnoteReference"/>
          <w:rFonts w:asciiTheme="minorHAnsi" w:eastAsiaTheme="minorEastAsia" w:hAnsiTheme="minorHAnsi" w:cstheme="minorBidi"/>
          <w:sz w:val="22"/>
          <w:szCs w:val="22"/>
          <w:lang w:eastAsia="zh-CN"/>
        </w:rPr>
        <w:t>.</w:t>
      </w:r>
      <w:r w:rsidR="009D4B85">
        <w:rPr>
          <w:rFonts w:asciiTheme="minorHAnsi" w:eastAsiaTheme="minorEastAsia" w:hAnsiTheme="minorHAnsi" w:cstheme="minorBidi"/>
          <w:sz w:val="22"/>
          <w:szCs w:val="22"/>
          <w:lang w:eastAsia="zh-CN"/>
        </w:rPr>
        <w:t xml:space="preserve">. </w:t>
      </w:r>
      <w:r w:rsidRPr="009D4B85">
        <w:rPr>
          <w:rStyle w:val="FootnoteReference"/>
          <w:rFonts w:asciiTheme="minorHAnsi" w:eastAsiaTheme="minorEastAsia" w:hAnsiTheme="minorHAnsi" w:cstheme="minorBidi"/>
          <w:sz w:val="22"/>
          <w:szCs w:val="22"/>
          <w:lang w:eastAsia="zh-CN"/>
        </w:rPr>
        <w:t xml:space="preserve"> </w:t>
      </w:r>
      <w:r w:rsidRPr="00A15E0B">
        <w:t>Possible reasons are uncertainty as to full-time status, the tendency for TAFE staff to think of their students as part-time and be unaware of benefits available to full time students</w:t>
      </w:r>
      <w:r w:rsidR="0023792B" w:rsidRPr="00A15E0B">
        <w:t>,</w:t>
      </w:r>
      <w:r w:rsidRPr="00A15E0B">
        <w:t xml:space="preserve"> and the low number of counsellors in VET.</w:t>
      </w:r>
    </w:p>
    <w:p w:rsidR="002E6551" w:rsidRPr="00A15E0B" w:rsidRDefault="002E6551" w:rsidP="000E1A98">
      <w:pPr>
        <w:pStyle w:val="Text"/>
        <w:spacing w:before="120"/>
      </w:pPr>
      <w:r w:rsidRPr="00A15E0B">
        <w:t>There seems to be no recent research on how these forms of financial assistance affect vocational students (</w:t>
      </w:r>
      <w:proofErr w:type="spellStart"/>
      <w:r w:rsidRPr="00A15E0B">
        <w:t>Karmel</w:t>
      </w:r>
      <w:proofErr w:type="spellEnd"/>
      <w:r w:rsidRPr="00A15E0B">
        <w:t xml:space="preserve"> 2013). In part this may be due to the lack of information on the outlays and on the recipients.</w:t>
      </w:r>
    </w:p>
    <w:p w:rsidR="002E6551" w:rsidRPr="00A15E0B" w:rsidRDefault="002E6551" w:rsidP="00A15E0B">
      <w:pPr>
        <w:pStyle w:val="Text"/>
        <w:spacing w:before="120"/>
      </w:pPr>
      <w:r w:rsidRPr="00A15E0B">
        <w:t>Bradley (2008) had recommended</w:t>
      </w:r>
      <w:r w:rsidR="00164CB7">
        <w:t>:</w:t>
      </w:r>
    </w:p>
    <w:p w:rsidR="002E6551" w:rsidRPr="00A15E0B" w:rsidRDefault="002E6551" w:rsidP="00164CB7">
      <w:pPr>
        <w:pStyle w:val="Text"/>
        <w:spacing w:before="120"/>
        <w:ind w:left="720"/>
      </w:pPr>
      <w:r w:rsidRPr="00A15E0B">
        <w:t>That the Australian Government undertake a regular process of triennial review of the income support system to assess the overall effectiveness of the support payments in reducing financial barriers to participation of students in need.</w:t>
      </w:r>
    </w:p>
    <w:p w:rsidR="002E6551" w:rsidRPr="00A15E0B" w:rsidRDefault="002E6551" w:rsidP="002E6551">
      <w:pPr>
        <w:pStyle w:val="Text"/>
        <w:spacing w:before="120"/>
      </w:pPr>
      <w:r w:rsidRPr="00A15E0B">
        <w:t>This has not happened.</w:t>
      </w:r>
    </w:p>
    <w:p w:rsidR="002E6551" w:rsidRPr="00A15E0B" w:rsidRDefault="002E6551" w:rsidP="00951397">
      <w:pPr>
        <w:pStyle w:val="Text"/>
        <w:spacing w:before="120"/>
      </w:pPr>
      <w:r w:rsidRPr="00A15E0B">
        <w:t xml:space="preserve">The Group of Eight joined </w:t>
      </w:r>
      <w:r w:rsidR="00951397">
        <w:t xml:space="preserve">last year </w:t>
      </w:r>
      <w:r w:rsidRPr="00A15E0B">
        <w:t>with the Australian Council of Social Services to advoc</w:t>
      </w:r>
      <w:r w:rsidR="003748AB" w:rsidRPr="00A15E0B">
        <w:t xml:space="preserve">ate improved student assistance. </w:t>
      </w:r>
      <w:r w:rsidRPr="00A15E0B">
        <w:t>TAFE Directors Association have joined the initiative (TDA 2019).</w:t>
      </w:r>
    </w:p>
    <w:p w:rsidR="00951397" w:rsidRDefault="00951397">
      <w:pPr>
        <w:rPr>
          <w:rFonts w:eastAsiaTheme="majorEastAsia" w:cstheme="minorHAnsi"/>
          <w:bCs/>
          <w:sz w:val="24"/>
          <w:szCs w:val="24"/>
        </w:rPr>
      </w:pPr>
    </w:p>
    <w:p w:rsidR="000E1A98" w:rsidRPr="00226314" w:rsidRDefault="000E1A98" w:rsidP="00CA2BF5">
      <w:pPr>
        <w:pStyle w:val="Heading2"/>
        <w:rPr>
          <w:rFonts w:cstheme="minorHAnsi"/>
          <w:b w:val="0"/>
          <w:bCs/>
          <w:szCs w:val="24"/>
        </w:rPr>
      </w:pPr>
      <w:r w:rsidRPr="00226314">
        <w:rPr>
          <w:rFonts w:cstheme="minorHAnsi"/>
          <w:b w:val="0"/>
          <w:bCs/>
          <w:szCs w:val="24"/>
        </w:rPr>
        <w:t>References</w:t>
      </w:r>
    </w:p>
    <w:p w:rsidR="005B19E0" w:rsidRPr="00CE6E0E" w:rsidRDefault="005B19E0"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ABS, 2003, Employer Training Expenditure and Practices Australia 2001-02, Cat No 6362.0.</w:t>
      </w:r>
    </w:p>
    <w:p w:rsidR="002168BE" w:rsidRPr="00CE6E0E" w:rsidRDefault="002168BE"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ABS 2017, Work–Related Training and Adult Learning, Australia, 2016-17, Cat No 4234.0.</w:t>
      </w:r>
    </w:p>
    <w:p w:rsidR="002168BE" w:rsidRPr="00CE6E0E" w:rsidRDefault="002168BE"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ABS, 2019, International Trade: Supplementary Information, Financial Year 2018-19 Cat No. 5368.0.55.004</w:t>
      </w:r>
    </w:p>
    <w:p w:rsidR="003E4584" w:rsidRDefault="003E4584"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ASQA 2018, Australian Skills Quality Authority’s submission to the Review of the National Vocational Education and Training Regulator Act 2011.</w:t>
      </w:r>
    </w:p>
    <w:p w:rsidR="00C5295F" w:rsidRPr="00C5295F" w:rsidRDefault="00C5295F" w:rsidP="00C5295F">
      <w:pPr>
        <w:spacing w:before="120" w:line="240" w:lineRule="auto"/>
        <w:ind w:left="426" w:hanging="426"/>
        <w:rPr>
          <w:rFonts w:ascii="Trebuchet MS" w:hAnsi="Trebuchet MS" w:cstheme="minorHAnsi"/>
          <w:sz w:val="18"/>
          <w:szCs w:val="18"/>
        </w:rPr>
      </w:pPr>
      <w:r w:rsidRPr="00C5295F">
        <w:rPr>
          <w:rFonts w:ascii="Trebuchet MS" w:hAnsi="Trebuchet MS" w:cstheme="minorHAnsi"/>
          <w:sz w:val="18"/>
          <w:szCs w:val="18"/>
        </w:rPr>
        <w:t xml:space="preserve">Baird, B, 2010 </w:t>
      </w:r>
      <w:r w:rsidRPr="00C5295F">
        <w:rPr>
          <w:rFonts w:ascii="Trebuchet MS" w:hAnsi="Trebuchet MS" w:cstheme="minorHAnsi"/>
          <w:i/>
          <w:iCs/>
          <w:sz w:val="18"/>
          <w:szCs w:val="18"/>
        </w:rPr>
        <w:t>Stronger, simpler, smarter ESOS: supporting international students</w:t>
      </w:r>
      <w:r w:rsidRPr="00C5295F">
        <w:rPr>
          <w:rFonts w:ascii="Trebuchet MS" w:hAnsi="Trebuchet MS" w:cstheme="minorHAnsi"/>
          <w:i/>
          <w:iCs/>
          <w:color w:val="222222"/>
          <w:sz w:val="18"/>
          <w:szCs w:val="18"/>
        </w:rPr>
        <w:t xml:space="preserve"> Review of the Education Services for Overseas Students (ESOS) Act 2000,</w:t>
      </w:r>
      <w:r w:rsidRPr="00C5295F">
        <w:rPr>
          <w:rFonts w:ascii="Trebuchet MS" w:hAnsi="Trebuchet MS" w:cstheme="minorHAnsi"/>
          <w:sz w:val="18"/>
          <w:szCs w:val="18"/>
        </w:rPr>
        <w:t xml:space="preserve"> Department of Education and Training, Canberra.</w:t>
      </w:r>
    </w:p>
    <w:p w:rsidR="00BC5375" w:rsidRPr="00CE6E0E" w:rsidRDefault="00BC5375"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Bradley, D., Noonan, P., Nugent, H. and Scales, B. 2008b</w:t>
      </w:r>
      <w:r w:rsidRPr="00C5295F">
        <w:rPr>
          <w:rFonts w:ascii="Trebuchet MS" w:hAnsi="Trebuchet MS"/>
          <w:i/>
          <w:iCs/>
          <w:sz w:val="18"/>
          <w:szCs w:val="18"/>
        </w:rPr>
        <w:t>, Review of Australian Higher Education: Final Report</w:t>
      </w:r>
      <w:r w:rsidRPr="00CE6E0E">
        <w:rPr>
          <w:rFonts w:ascii="Trebuchet MS" w:hAnsi="Trebuchet MS"/>
          <w:sz w:val="18"/>
          <w:szCs w:val="18"/>
        </w:rPr>
        <w:t>, Canberra.</w:t>
      </w:r>
    </w:p>
    <w:p w:rsidR="00BC5375" w:rsidRPr="00CE6E0E" w:rsidRDefault="00BC5375"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lastRenderedPageBreak/>
        <w:t>Braithwaite, V. 2018, All eyes on quality: Review of the National Vocational Education and Training Regulator Act 2011t</w:t>
      </w:r>
      <w:r w:rsidR="005B19E0" w:rsidRPr="00CE6E0E">
        <w:rPr>
          <w:rFonts w:ascii="Trebuchet MS" w:hAnsi="Trebuchet MS"/>
          <w:sz w:val="18"/>
          <w:szCs w:val="18"/>
        </w:rPr>
        <w:t>, Australian</w:t>
      </w:r>
      <w:r w:rsidRPr="00CE6E0E">
        <w:rPr>
          <w:rFonts w:ascii="Trebuchet MS" w:hAnsi="Trebuchet MS"/>
          <w:sz w:val="18"/>
          <w:szCs w:val="18"/>
        </w:rPr>
        <w:t xml:space="preserve"> Government, Canberra.</w:t>
      </w:r>
    </w:p>
    <w:p w:rsidR="0045177F" w:rsidRPr="00CE6E0E" w:rsidRDefault="005C0E1C"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Burke, G 2016, Data on total investment in VET: what should be collected, NCVER, Adelaide.</w:t>
      </w:r>
    </w:p>
    <w:p w:rsidR="00E55A0F" w:rsidRDefault="00E55A0F"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Burke G 2018, Changes in funding in Australian vocational education and their effects, Vocational Education for the 21st Century: A series of policy discussion papers, LH Martin Institute, The University of Melbourne. </w:t>
      </w:r>
    </w:p>
    <w:p w:rsidR="00C608C3" w:rsidRPr="00C608C3" w:rsidRDefault="00C608C3" w:rsidP="007371DD">
      <w:pPr>
        <w:spacing w:before="120" w:after="120" w:line="240" w:lineRule="auto"/>
        <w:ind w:left="425" w:hanging="425"/>
        <w:rPr>
          <w:rFonts w:ascii="Trebuchet MS" w:hAnsi="Trebuchet MS"/>
          <w:sz w:val="18"/>
          <w:szCs w:val="18"/>
        </w:rPr>
      </w:pPr>
      <w:r w:rsidRPr="00C608C3">
        <w:rPr>
          <w:rStyle w:val="Hyperlink"/>
          <w:sz w:val="18"/>
          <w:szCs w:val="18"/>
        </w:rPr>
        <w:t>Burke G 2019,</w:t>
      </w:r>
      <w:r w:rsidRPr="00C608C3">
        <w:rPr>
          <w:rFonts w:ascii="Trebuchet MS" w:hAnsi="Trebuchet MS" w:cstheme="minorHAnsi"/>
          <w:sz w:val="18"/>
          <w:szCs w:val="18"/>
        </w:rPr>
        <w:t>Employer incentives may not be the most cost-effective or fair way of boosting apprenticeship numbers</w:t>
      </w:r>
      <w:r w:rsidRPr="00C608C3">
        <w:rPr>
          <w:rFonts w:ascii="Trebuchet MS" w:hAnsi="Trebuchet MS" w:cstheme="minorHAnsi"/>
          <w:i/>
          <w:iCs/>
          <w:sz w:val="18"/>
          <w:szCs w:val="18"/>
        </w:rPr>
        <w:t>, The Conversation May 16</w:t>
      </w:r>
      <w:r>
        <w:rPr>
          <w:rFonts w:ascii="Trebuchet MS" w:hAnsi="Trebuchet MS" w:cstheme="minorHAnsi"/>
          <w:i/>
          <w:iCs/>
          <w:sz w:val="18"/>
          <w:szCs w:val="18"/>
        </w:rPr>
        <w:t>.</w:t>
      </w:r>
    </w:p>
    <w:p w:rsidR="005C0E1C" w:rsidRPr="00CE6E0E" w:rsidRDefault="005C0E1C"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Burke G &amp; </w:t>
      </w:r>
      <w:proofErr w:type="spellStart"/>
      <w:r w:rsidRPr="00CE6E0E">
        <w:rPr>
          <w:rFonts w:ascii="Trebuchet MS" w:hAnsi="Trebuchet MS"/>
          <w:sz w:val="18"/>
          <w:szCs w:val="18"/>
        </w:rPr>
        <w:t>Veenker</w:t>
      </w:r>
      <w:proofErr w:type="spellEnd"/>
      <w:r w:rsidRPr="00CE6E0E">
        <w:rPr>
          <w:rFonts w:ascii="Trebuchet MS" w:hAnsi="Trebuchet MS"/>
          <w:sz w:val="18"/>
          <w:szCs w:val="18"/>
        </w:rPr>
        <w:t xml:space="preserve"> P 2011, Public Response to the Essential Services Commission’s VET Fee and Funding Review Report and Recommendations, Department of Education and Early Childhood Development, Melbourne.</w:t>
      </w:r>
    </w:p>
    <w:p w:rsidR="0007518D" w:rsidRPr="00CE6E0E" w:rsidRDefault="0007518D"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COAG 2020, Vocational Education and Training Reform Roadmap, Consultation Draft, Senior Officials Network.</w:t>
      </w:r>
    </w:p>
    <w:p w:rsidR="00FB354E" w:rsidRPr="00CE6E0E" w:rsidRDefault="00FB354E" w:rsidP="00CE6E0E">
      <w:pPr>
        <w:spacing w:before="120" w:after="120" w:line="240" w:lineRule="auto"/>
        <w:ind w:left="425" w:hanging="425"/>
      </w:pPr>
      <w:r w:rsidRPr="00CE6E0E">
        <w:rPr>
          <w:rFonts w:ascii="Trebuchet MS" w:hAnsi="Trebuchet MS"/>
          <w:sz w:val="18"/>
          <w:szCs w:val="18"/>
        </w:rPr>
        <w:t>Carmichael</w:t>
      </w:r>
      <w:r w:rsidRPr="00CE6E0E">
        <w:t xml:space="preserve"> L (Chair), 1992, The Australian Vocational Certificate Training System, National Board of Employment Education and Training, Canberra.</w:t>
      </w:r>
    </w:p>
    <w:p w:rsidR="00CD42B6" w:rsidRPr="00CE6E0E" w:rsidRDefault="00CD42B6"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Dawkins J, 1988, Industry Training in Australia: The need for change, Department of Employment, Education and Training, Canberra.</w:t>
      </w:r>
    </w:p>
    <w:p w:rsidR="00435A1B" w:rsidRDefault="00435A1B"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Department of Education, Skills and Employment (DESE) 2019</w:t>
      </w:r>
      <w:r w:rsidRPr="00CE6E0E">
        <w:t>, Selected Higher Education Statistics, Canberra</w:t>
      </w:r>
      <w:r w:rsidRPr="00CE6E0E">
        <w:rPr>
          <w:rFonts w:ascii="Trebuchet MS" w:hAnsi="Trebuchet MS"/>
          <w:sz w:val="18"/>
          <w:szCs w:val="18"/>
        </w:rPr>
        <w:t>.</w:t>
      </w:r>
    </w:p>
    <w:p w:rsidR="00C5295F" w:rsidRPr="00C5295F" w:rsidRDefault="00C5295F" w:rsidP="00C5295F">
      <w:pPr>
        <w:spacing w:before="120" w:after="120" w:line="240" w:lineRule="auto"/>
        <w:ind w:left="425" w:hanging="425"/>
        <w:rPr>
          <w:rFonts w:ascii="Arial" w:eastAsia="Times New Roman" w:hAnsi="Arial" w:cs="Arial"/>
          <w:b/>
          <w:bCs/>
          <w:color w:val="3B1C43"/>
          <w:kern w:val="36"/>
          <w:sz w:val="27"/>
          <w:szCs w:val="27"/>
        </w:rPr>
      </w:pPr>
      <w:r w:rsidRPr="00C5295F">
        <w:rPr>
          <w:rFonts w:ascii="Trebuchet MS" w:hAnsi="Trebuchet MS"/>
          <w:sz w:val="18"/>
          <w:szCs w:val="18"/>
        </w:rPr>
        <w:t xml:space="preserve">DESE 2020, </w:t>
      </w:r>
      <w:bookmarkStart w:id="1" w:name="mainContent"/>
      <w:bookmarkEnd w:id="1"/>
      <w:r w:rsidRPr="00C5295F">
        <w:rPr>
          <w:rFonts w:ascii="Trebuchet MS" w:hAnsi="Trebuchet MS"/>
          <w:sz w:val="18"/>
          <w:szCs w:val="18"/>
        </w:rPr>
        <w:t>International Student Data</w:t>
      </w:r>
      <w:r>
        <w:rPr>
          <w:rFonts w:ascii="Trebuchet MS" w:hAnsi="Trebuchet MS"/>
          <w:sz w:val="18"/>
          <w:szCs w:val="18"/>
        </w:rPr>
        <w:t>, basic p</w:t>
      </w:r>
      <w:r w:rsidRPr="00C5295F">
        <w:rPr>
          <w:rFonts w:ascii="Trebuchet MS" w:hAnsi="Trebuchet MS"/>
          <w:sz w:val="18"/>
          <w:szCs w:val="18"/>
        </w:rPr>
        <w:t>ivot table</w:t>
      </w:r>
      <w:r>
        <w:rPr>
          <w:rFonts w:ascii="Trebuchet MS" w:hAnsi="Trebuchet MS"/>
          <w:sz w:val="18"/>
          <w:szCs w:val="18"/>
        </w:rPr>
        <w:t xml:space="preserve"> 2017-2020.</w:t>
      </w:r>
      <w:r>
        <w:rPr>
          <w:rFonts w:ascii="Arial" w:eastAsia="Times New Roman" w:hAnsi="Arial" w:cs="Arial"/>
          <w:b/>
          <w:bCs/>
          <w:color w:val="3B1C43"/>
          <w:kern w:val="36"/>
          <w:sz w:val="27"/>
          <w:szCs w:val="27"/>
        </w:rPr>
        <w:t xml:space="preserve"> </w:t>
      </w:r>
    </w:p>
    <w:p w:rsidR="00C62D61" w:rsidRPr="00CE6E0E" w:rsidRDefault="00C62D61"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Department of Social Services (DSS) 2019, </w:t>
      </w:r>
      <w:r w:rsidRPr="00CE6E0E">
        <w:t>Annual Report 2018-19</w:t>
      </w:r>
      <w:r w:rsidRPr="00CE6E0E">
        <w:rPr>
          <w:rFonts w:ascii="Trebuchet MS" w:hAnsi="Trebuchet MS"/>
          <w:sz w:val="18"/>
          <w:szCs w:val="18"/>
        </w:rPr>
        <w:t>, DSS, Canberra.</w:t>
      </w:r>
    </w:p>
    <w:p w:rsidR="00EF7072" w:rsidRPr="00CE6E0E" w:rsidRDefault="00251BA9" w:rsidP="00CE6E0E">
      <w:pPr>
        <w:spacing w:before="120" w:after="120" w:line="240" w:lineRule="auto"/>
        <w:ind w:left="425" w:hanging="425"/>
        <w:rPr>
          <w:rFonts w:ascii="Trebuchet MS" w:hAnsi="Trebuchet MS"/>
          <w:sz w:val="18"/>
          <w:szCs w:val="18"/>
        </w:rPr>
      </w:pPr>
      <w:proofErr w:type="spellStart"/>
      <w:r w:rsidRPr="00CE6E0E">
        <w:rPr>
          <w:rFonts w:ascii="Trebuchet MS" w:hAnsi="Trebuchet MS"/>
          <w:sz w:val="18"/>
          <w:szCs w:val="18"/>
        </w:rPr>
        <w:t>Deveson</w:t>
      </w:r>
      <w:proofErr w:type="spellEnd"/>
      <w:r w:rsidRPr="00CE6E0E">
        <w:rPr>
          <w:rFonts w:ascii="Trebuchet MS" w:hAnsi="Trebuchet MS"/>
          <w:sz w:val="18"/>
          <w:szCs w:val="18"/>
        </w:rPr>
        <w:t xml:space="preserve">, I (Chair) 1990, Training costs of award restructuring: report of the Training Costs Review Committee, </w:t>
      </w:r>
      <w:r w:rsidR="00EF7072" w:rsidRPr="00CE6E0E">
        <w:rPr>
          <w:rFonts w:ascii="Trebuchet MS" w:hAnsi="Trebuchet MS"/>
          <w:sz w:val="18"/>
          <w:szCs w:val="18"/>
        </w:rPr>
        <w:t>Department of</w:t>
      </w:r>
      <w:r w:rsidRPr="00CE6E0E">
        <w:rPr>
          <w:rFonts w:ascii="Trebuchet MS" w:hAnsi="Trebuchet MS"/>
          <w:sz w:val="18"/>
          <w:szCs w:val="18"/>
        </w:rPr>
        <w:t xml:space="preserve"> Employment</w:t>
      </w:r>
      <w:r w:rsidR="00EF7072" w:rsidRPr="00CE6E0E">
        <w:rPr>
          <w:rFonts w:ascii="Trebuchet MS" w:hAnsi="Trebuchet MS"/>
          <w:sz w:val="18"/>
          <w:szCs w:val="18"/>
        </w:rPr>
        <w:t xml:space="preserve"> Education</w:t>
      </w:r>
      <w:r w:rsidRPr="00CE6E0E">
        <w:rPr>
          <w:rFonts w:ascii="Trebuchet MS" w:hAnsi="Trebuchet MS"/>
          <w:sz w:val="18"/>
          <w:szCs w:val="18"/>
        </w:rPr>
        <w:t xml:space="preserve"> and </w:t>
      </w:r>
      <w:r w:rsidR="00EF7072" w:rsidRPr="00CE6E0E">
        <w:rPr>
          <w:rFonts w:ascii="Trebuchet MS" w:hAnsi="Trebuchet MS"/>
          <w:sz w:val="18"/>
          <w:szCs w:val="18"/>
        </w:rPr>
        <w:t>Skills</w:t>
      </w:r>
      <w:r w:rsidRPr="00CE6E0E">
        <w:rPr>
          <w:rFonts w:ascii="Trebuchet MS" w:hAnsi="Trebuchet MS"/>
          <w:sz w:val="18"/>
          <w:szCs w:val="18"/>
        </w:rPr>
        <w:t xml:space="preserve"> Canberra.</w:t>
      </w:r>
    </w:p>
    <w:p w:rsidR="00BC3380" w:rsidRPr="00BC3380" w:rsidRDefault="00BC3380" w:rsidP="00CE6E0E">
      <w:pPr>
        <w:spacing w:before="120" w:after="120" w:line="240" w:lineRule="auto"/>
        <w:ind w:left="425" w:hanging="425"/>
        <w:rPr>
          <w:rFonts w:ascii="Trebuchet MS" w:hAnsi="Trebuchet MS"/>
          <w:sz w:val="18"/>
          <w:szCs w:val="18"/>
        </w:rPr>
      </w:pPr>
      <w:r w:rsidRPr="00BC3380">
        <w:rPr>
          <w:rFonts w:ascii="Trebuchet MS" w:hAnsi="Trebuchet MS" w:cs="Optima"/>
          <w:sz w:val="18"/>
          <w:szCs w:val="18"/>
        </w:rPr>
        <w:t>Fraser D 1996,</w:t>
      </w:r>
      <w:r w:rsidRPr="00BC3380">
        <w:rPr>
          <w:rFonts w:ascii="Trebuchet MS" w:hAnsi="Trebuchet MS" w:cs="Optima"/>
          <w:i/>
          <w:iCs/>
          <w:sz w:val="18"/>
          <w:szCs w:val="18"/>
        </w:rPr>
        <w:t xml:space="preserve"> The Training Guarantee: Its Impact and Legacy 1990-1994 Main Report</w:t>
      </w:r>
      <w:r w:rsidRPr="00BC3380">
        <w:rPr>
          <w:rFonts w:ascii="Trebuchet MS" w:hAnsi="Trebuchet MS" w:cs="Optima"/>
          <w:sz w:val="18"/>
          <w:szCs w:val="18"/>
        </w:rPr>
        <w:t>, Department of Employment, Education, and Youth Affairs, Canberra</w:t>
      </w:r>
    </w:p>
    <w:p w:rsidR="00EF7072" w:rsidRPr="00CE6E0E" w:rsidRDefault="00EF7072"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Gilfillan, G, 2018, Characteristics and use of casual employees in Australia, Parliamentary Library, Canberra.</w:t>
      </w:r>
    </w:p>
    <w:p w:rsidR="004B2A62" w:rsidRPr="00CE6E0E" w:rsidRDefault="004B2A62" w:rsidP="00CE6E0E">
      <w:pPr>
        <w:spacing w:before="120" w:after="120" w:line="240" w:lineRule="auto"/>
        <w:ind w:left="425" w:hanging="425"/>
        <w:rPr>
          <w:rFonts w:ascii="Trebuchet MS" w:hAnsi="Trebuchet MS"/>
          <w:sz w:val="18"/>
          <w:szCs w:val="18"/>
        </w:rPr>
      </w:pPr>
      <w:bookmarkStart w:id="2" w:name="Title"/>
      <w:bookmarkStart w:id="3" w:name="TitleOfPublication"/>
      <w:bookmarkEnd w:id="2"/>
      <w:bookmarkEnd w:id="3"/>
      <w:r w:rsidRPr="00CE6E0E">
        <w:rPr>
          <w:rFonts w:ascii="Trebuchet MS" w:hAnsi="Trebuchet MS"/>
          <w:sz w:val="18"/>
          <w:szCs w:val="18"/>
        </w:rPr>
        <w:t>Grattan Institute 2016, Orange Book 2016, Priorities for the next Commonwealth Government Melbourne.</w:t>
      </w:r>
    </w:p>
    <w:p w:rsidR="00EF7072" w:rsidRPr="00CE6E0E" w:rsidRDefault="00EF7072"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Guthrie, H (editor) 2010, Vocational education and training workforce data 2008: A compendium, NCVER, Adelaide</w:t>
      </w:r>
      <w:r w:rsidR="00FA0598" w:rsidRPr="00CE6E0E">
        <w:rPr>
          <w:rFonts w:ascii="Trebuchet MS" w:hAnsi="Trebuchet MS"/>
          <w:sz w:val="18"/>
          <w:szCs w:val="18"/>
        </w:rPr>
        <w:t>.</w:t>
      </w:r>
    </w:p>
    <w:p w:rsidR="00FA0598" w:rsidRPr="00CE6E0E" w:rsidRDefault="00FA0598"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Jones A, 2018, </w:t>
      </w:r>
      <w:hyperlink r:id="rId8" w:tgtFrame="_blank" w:history="1">
        <w:r w:rsidRPr="00CE6E0E">
          <w:rPr>
            <w:rFonts w:ascii="Trebuchet MS" w:hAnsi="Trebuchet MS"/>
            <w:sz w:val="18"/>
            <w:szCs w:val="18"/>
          </w:rPr>
          <w:t>Vocational education for the twenty-first century</w:t>
        </w:r>
      </w:hyperlink>
      <w:r w:rsidRPr="00CE6E0E">
        <w:rPr>
          <w:rFonts w:ascii="Trebuchet MS" w:hAnsi="Trebuchet MS"/>
          <w:sz w:val="18"/>
          <w:szCs w:val="18"/>
        </w:rPr>
        <w:t xml:space="preserve">, LH Martin Institute, The University of Melbourne. </w:t>
      </w:r>
    </w:p>
    <w:p w:rsidR="006D74E5" w:rsidRPr="00CE6E0E" w:rsidRDefault="006D74E5"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Joyce, S</w:t>
      </w:r>
      <w:r w:rsidR="00AA17D8" w:rsidRPr="00CE6E0E">
        <w:rPr>
          <w:rFonts w:ascii="Trebuchet MS" w:hAnsi="Trebuchet MS"/>
          <w:sz w:val="18"/>
          <w:szCs w:val="18"/>
        </w:rPr>
        <w:t>,</w:t>
      </w:r>
      <w:r w:rsidRPr="00CE6E0E">
        <w:rPr>
          <w:rFonts w:ascii="Trebuchet MS" w:hAnsi="Trebuchet MS"/>
          <w:sz w:val="18"/>
          <w:szCs w:val="18"/>
        </w:rPr>
        <w:t xml:space="preserve"> 2019, Strengthening Skills, Expert Review of Australia’s Vocational Education and Training System, Department of Education and Training.</w:t>
      </w:r>
    </w:p>
    <w:p w:rsidR="00F13613" w:rsidRPr="00CE6E0E" w:rsidRDefault="00F13613" w:rsidP="00CE6E0E">
      <w:pPr>
        <w:spacing w:before="120" w:after="120" w:line="240" w:lineRule="auto"/>
        <w:ind w:left="425" w:hanging="425"/>
        <w:rPr>
          <w:rFonts w:ascii="Trebuchet MS" w:hAnsi="Trebuchet MS"/>
          <w:sz w:val="18"/>
          <w:szCs w:val="18"/>
        </w:rPr>
      </w:pPr>
      <w:proofErr w:type="spellStart"/>
      <w:r w:rsidRPr="00CE6E0E">
        <w:rPr>
          <w:rFonts w:ascii="Trebuchet MS" w:hAnsi="Trebuchet MS"/>
          <w:sz w:val="18"/>
          <w:szCs w:val="18"/>
        </w:rPr>
        <w:t>Karmel</w:t>
      </w:r>
      <w:proofErr w:type="spellEnd"/>
      <w:r w:rsidRPr="00CE6E0E">
        <w:rPr>
          <w:rFonts w:ascii="Trebuchet MS" w:hAnsi="Trebuchet MS"/>
          <w:sz w:val="18"/>
          <w:szCs w:val="18"/>
        </w:rPr>
        <w:t xml:space="preserve"> T, 2009</w:t>
      </w:r>
      <w:r w:rsidRPr="0021755F">
        <w:rPr>
          <w:rFonts w:ascii="Trebuchet MS" w:hAnsi="Trebuchet MS"/>
          <w:i/>
          <w:iCs/>
          <w:sz w:val="18"/>
          <w:szCs w:val="18"/>
        </w:rPr>
        <w:t>, Reflections on the tertiary education sector in Australia</w:t>
      </w:r>
      <w:r w:rsidRPr="00CE6E0E">
        <w:rPr>
          <w:rFonts w:ascii="Trebuchet MS" w:hAnsi="Trebuchet MS"/>
          <w:sz w:val="18"/>
          <w:szCs w:val="18"/>
        </w:rPr>
        <w:t>, NCVER Adelaide</w:t>
      </w:r>
      <w:r w:rsidR="00EF7072" w:rsidRPr="00CE6E0E">
        <w:rPr>
          <w:rFonts w:ascii="Trebuchet MS" w:hAnsi="Trebuchet MS"/>
          <w:sz w:val="18"/>
          <w:szCs w:val="18"/>
        </w:rPr>
        <w:t>.</w:t>
      </w:r>
    </w:p>
    <w:p w:rsidR="00EF7072" w:rsidRPr="00CE6E0E" w:rsidRDefault="00EF7072" w:rsidP="00CE6E0E">
      <w:pPr>
        <w:spacing w:before="120" w:after="120" w:line="240" w:lineRule="auto"/>
        <w:ind w:left="425" w:hanging="425"/>
        <w:rPr>
          <w:rFonts w:ascii="Trebuchet MS" w:hAnsi="Trebuchet MS"/>
          <w:sz w:val="18"/>
          <w:szCs w:val="18"/>
        </w:rPr>
      </w:pPr>
      <w:proofErr w:type="spellStart"/>
      <w:r w:rsidRPr="00CE6E0E">
        <w:rPr>
          <w:rFonts w:ascii="Trebuchet MS" w:hAnsi="Trebuchet MS"/>
          <w:sz w:val="18"/>
          <w:szCs w:val="18"/>
        </w:rPr>
        <w:t>Karmel</w:t>
      </w:r>
      <w:proofErr w:type="spellEnd"/>
      <w:r w:rsidRPr="00CE6E0E">
        <w:rPr>
          <w:rFonts w:ascii="Trebuchet MS" w:hAnsi="Trebuchet MS"/>
          <w:sz w:val="18"/>
          <w:szCs w:val="18"/>
        </w:rPr>
        <w:t>, T, 2013</w:t>
      </w:r>
      <w:r w:rsidRPr="0021755F">
        <w:rPr>
          <w:rFonts w:ascii="Trebuchet MS" w:hAnsi="Trebuchet MS"/>
          <w:i/>
          <w:iCs/>
          <w:sz w:val="18"/>
          <w:szCs w:val="18"/>
        </w:rPr>
        <w:t>, Student income support and education and training participation in Australia</w:t>
      </w:r>
      <w:r w:rsidRPr="00CE6E0E">
        <w:rPr>
          <w:rFonts w:ascii="Trebuchet MS" w:hAnsi="Trebuchet MS"/>
          <w:sz w:val="18"/>
          <w:szCs w:val="18"/>
        </w:rPr>
        <w:t>, Research Overview, NCVER Adelaide</w:t>
      </w:r>
    </w:p>
    <w:p w:rsidR="007371DD" w:rsidRPr="0021755F" w:rsidRDefault="007371DD" w:rsidP="007371DD">
      <w:pPr>
        <w:spacing w:before="120" w:after="120" w:line="240" w:lineRule="auto"/>
        <w:ind w:left="425" w:hanging="425"/>
        <w:rPr>
          <w:rFonts w:ascii="Trebuchet MS" w:hAnsi="Trebuchet MS"/>
          <w:sz w:val="18"/>
          <w:szCs w:val="18"/>
        </w:rPr>
      </w:pPr>
      <w:proofErr w:type="spellStart"/>
      <w:r w:rsidRPr="0021755F">
        <w:rPr>
          <w:rFonts w:ascii="Trebuchet MS" w:hAnsi="Trebuchet MS" w:cstheme="minorHAnsi"/>
          <w:color w:val="222222"/>
          <w:sz w:val="18"/>
          <w:szCs w:val="18"/>
        </w:rPr>
        <w:t>Karmel</w:t>
      </w:r>
      <w:proofErr w:type="spellEnd"/>
      <w:r w:rsidRPr="0021755F">
        <w:rPr>
          <w:rFonts w:ascii="Trebuchet MS" w:hAnsi="Trebuchet MS" w:cstheme="minorHAnsi"/>
          <w:color w:val="222222"/>
          <w:sz w:val="18"/>
          <w:szCs w:val="18"/>
        </w:rPr>
        <w:t xml:space="preserve">, T &amp; </w:t>
      </w:r>
      <w:proofErr w:type="spellStart"/>
      <w:r w:rsidRPr="0021755F">
        <w:rPr>
          <w:rFonts w:ascii="Trebuchet MS" w:hAnsi="Trebuchet MS" w:cstheme="minorHAnsi"/>
          <w:color w:val="222222"/>
          <w:sz w:val="18"/>
          <w:szCs w:val="18"/>
        </w:rPr>
        <w:t>Mlotkowski</w:t>
      </w:r>
      <w:proofErr w:type="spellEnd"/>
      <w:r w:rsidRPr="0021755F">
        <w:rPr>
          <w:rFonts w:ascii="Trebuchet MS" w:hAnsi="Trebuchet MS" w:cstheme="minorHAnsi"/>
          <w:color w:val="222222"/>
          <w:sz w:val="18"/>
          <w:szCs w:val="18"/>
        </w:rPr>
        <w:t xml:space="preserve">, P &amp; </w:t>
      </w:r>
      <w:proofErr w:type="spellStart"/>
      <w:r w:rsidRPr="0021755F">
        <w:rPr>
          <w:rFonts w:ascii="Trebuchet MS" w:hAnsi="Trebuchet MS" w:cstheme="minorHAnsi"/>
          <w:color w:val="222222"/>
          <w:sz w:val="18"/>
          <w:szCs w:val="18"/>
        </w:rPr>
        <w:t>Awodeyi</w:t>
      </w:r>
      <w:proofErr w:type="spellEnd"/>
      <w:r w:rsidRPr="0021755F">
        <w:rPr>
          <w:rFonts w:ascii="Trebuchet MS" w:hAnsi="Trebuchet MS" w:cstheme="minorHAnsi"/>
          <w:color w:val="222222"/>
          <w:sz w:val="18"/>
          <w:szCs w:val="18"/>
        </w:rPr>
        <w:t xml:space="preserve"> T 2008</w:t>
      </w:r>
      <w:r w:rsidRPr="0021755F">
        <w:rPr>
          <w:rFonts w:ascii="Trebuchet MS" w:hAnsi="Trebuchet MS" w:cstheme="minorHAnsi"/>
          <w:i/>
          <w:iCs/>
          <w:color w:val="222222"/>
          <w:sz w:val="18"/>
          <w:szCs w:val="18"/>
        </w:rPr>
        <w:t>, Is VET Vocational</w:t>
      </w:r>
      <w:r w:rsidRPr="0021755F">
        <w:rPr>
          <w:rFonts w:ascii="Trebuchet MS" w:hAnsi="Trebuchet MS" w:cstheme="minorHAnsi"/>
          <w:color w:val="222222"/>
          <w:sz w:val="18"/>
          <w:szCs w:val="18"/>
        </w:rPr>
        <w:t xml:space="preserve">, </w:t>
      </w:r>
      <w:r w:rsidRPr="0021755F">
        <w:rPr>
          <w:rFonts w:ascii="Trebuchet MS" w:hAnsi="Trebuchet MS" w:cstheme="minorHAnsi"/>
          <w:i/>
          <w:iCs/>
          <w:color w:val="222222"/>
          <w:sz w:val="18"/>
          <w:szCs w:val="18"/>
        </w:rPr>
        <w:t xml:space="preserve">The relevance of training to the occupations of vocational </w:t>
      </w:r>
      <w:r w:rsidRPr="0021755F">
        <w:rPr>
          <w:rFonts w:ascii="Trebuchet MS" w:hAnsi="Trebuchet MS"/>
          <w:sz w:val="18"/>
          <w:szCs w:val="18"/>
        </w:rPr>
        <w:t>education and training graduates, NCVER, Adelaide</w:t>
      </w:r>
    </w:p>
    <w:p w:rsidR="00251BA9" w:rsidRPr="007371DD" w:rsidRDefault="00442BCF" w:rsidP="00CE6E0E">
      <w:pPr>
        <w:spacing w:before="120" w:after="120" w:line="240" w:lineRule="auto"/>
        <w:ind w:left="425" w:hanging="425"/>
        <w:rPr>
          <w:rFonts w:ascii="Trebuchet MS" w:hAnsi="Trebuchet MS"/>
          <w:sz w:val="18"/>
          <w:szCs w:val="18"/>
        </w:rPr>
      </w:pPr>
      <w:r w:rsidRPr="007371DD">
        <w:rPr>
          <w:rFonts w:ascii="Trebuchet MS" w:hAnsi="Trebuchet MS"/>
          <w:sz w:val="18"/>
          <w:szCs w:val="18"/>
        </w:rPr>
        <w:t>K</w:t>
      </w:r>
      <w:r w:rsidR="00251BA9" w:rsidRPr="007371DD">
        <w:rPr>
          <w:rFonts w:ascii="Trebuchet MS" w:hAnsi="Trebuchet MS"/>
          <w:sz w:val="18"/>
          <w:szCs w:val="18"/>
        </w:rPr>
        <w:t>irby, P (Chair) 1985, Report of the Committee of Inquiry into Labour Market Programs, Canberra.</w:t>
      </w:r>
    </w:p>
    <w:p w:rsidR="002215AF" w:rsidRPr="007371DD" w:rsidRDefault="002215AF" w:rsidP="002215AF">
      <w:pPr>
        <w:shd w:val="clear" w:color="auto" w:fill="FFFFFF"/>
        <w:spacing w:line="240" w:lineRule="auto"/>
        <w:ind w:left="720" w:hanging="720"/>
        <w:rPr>
          <w:rFonts w:ascii="Trebuchet MS" w:hAnsi="Trebuchet MS"/>
          <w:i/>
          <w:iCs/>
          <w:sz w:val="18"/>
          <w:szCs w:val="18"/>
        </w:rPr>
      </w:pPr>
      <w:r w:rsidRPr="007371DD">
        <w:rPr>
          <w:rFonts w:ascii="Trebuchet MS" w:hAnsi="Trebuchet MS"/>
          <w:sz w:val="18"/>
          <w:szCs w:val="18"/>
        </w:rPr>
        <w:t>Knight, B 2011</w:t>
      </w:r>
      <w:r w:rsidRPr="007371DD">
        <w:rPr>
          <w:rFonts w:ascii="Trebuchet MS" w:hAnsi="Trebuchet MS"/>
          <w:i/>
          <w:iCs/>
          <w:sz w:val="18"/>
          <w:szCs w:val="18"/>
        </w:rPr>
        <w:t>, ‘</w:t>
      </w:r>
      <w:r w:rsidRPr="007371DD">
        <w:rPr>
          <w:rFonts w:ascii="Trebuchet MS" w:hAnsi="Trebuchet MS"/>
          <w:sz w:val="18"/>
          <w:szCs w:val="18"/>
        </w:rPr>
        <w:t>Government financial support’</w:t>
      </w:r>
      <w:r w:rsidRPr="007371DD">
        <w:rPr>
          <w:rFonts w:ascii="Trebuchet MS" w:hAnsi="Trebuchet MS"/>
          <w:i/>
          <w:iCs/>
          <w:sz w:val="18"/>
          <w:szCs w:val="18"/>
        </w:rPr>
        <w:t>, NCVER, Overview of the Australian apprenticeship and traineeship system Report 1, NCVER Adelaide.</w:t>
      </w:r>
    </w:p>
    <w:p w:rsidR="00442BCF" w:rsidRPr="00CE6E0E" w:rsidRDefault="00442BCF"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Knight B, </w:t>
      </w:r>
      <w:proofErr w:type="spellStart"/>
      <w:r w:rsidRPr="00CE6E0E">
        <w:rPr>
          <w:rFonts w:ascii="Trebuchet MS" w:hAnsi="Trebuchet MS"/>
          <w:sz w:val="18"/>
          <w:szCs w:val="18"/>
        </w:rPr>
        <w:t>Karmel</w:t>
      </w:r>
      <w:proofErr w:type="spellEnd"/>
      <w:r w:rsidRPr="00CE6E0E">
        <w:rPr>
          <w:rFonts w:ascii="Trebuchet MS" w:hAnsi="Trebuchet MS"/>
          <w:sz w:val="18"/>
          <w:szCs w:val="18"/>
        </w:rPr>
        <w:t xml:space="preserve"> T &amp; Guthrie H, 2011, ‘The efficiency of the apprenticeship and traineeship system’, </w:t>
      </w:r>
      <w:proofErr w:type="spellStart"/>
      <w:r w:rsidRPr="00CE6E0E">
        <w:rPr>
          <w:rFonts w:ascii="Trebuchet MS" w:hAnsi="Trebuchet MS"/>
          <w:sz w:val="18"/>
          <w:szCs w:val="18"/>
        </w:rPr>
        <w:t>NCVER,Report</w:t>
      </w:r>
      <w:proofErr w:type="spellEnd"/>
      <w:r w:rsidRPr="00CE6E0E">
        <w:rPr>
          <w:rFonts w:ascii="Trebuchet MS" w:hAnsi="Trebuchet MS"/>
          <w:sz w:val="18"/>
          <w:szCs w:val="18"/>
        </w:rPr>
        <w:t xml:space="preserve"> 2, Adelaide. </w:t>
      </w:r>
    </w:p>
    <w:p w:rsidR="00EF7072" w:rsidRPr="00CE6E0E" w:rsidRDefault="00EF7072"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Knight, G, White I &amp; </w:t>
      </w:r>
      <w:proofErr w:type="spellStart"/>
      <w:r w:rsidRPr="00CE6E0E">
        <w:rPr>
          <w:rFonts w:ascii="Trebuchet MS" w:hAnsi="Trebuchet MS"/>
          <w:sz w:val="18"/>
          <w:szCs w:val="18"/>
        </w:rPr>
        <w:t>Granfield</w:t>
      </w:r>
      <w:proofErr w:type="spellEnd"/>
      <w:r w:rsidRPr="00CE6E0E">
        <w:rPr>
          <w:rFonts w:ascii="Trebuchet MS" w:hAnsi="Trebuchet MS"/>
          <w:sz w:val="18"/>
          <w:szCs w:val="18"/>
        </w:rPr>
        <w:t>, P, 2020</w:t>
      </w:r>
      <w:r w:rsidRPr="0021755F">
        <w:rPr>
          <w:rFonts w:ascii="Trebuchet MS" w:hAnsi="Trebuchet MS"/>
          <w:i/>
          <w:iCs/>
          <w:sz w:val="18"/>
          <w:szCs w:val="18"/>
        </w:rPr>
        <w:t xml:space="preserve">, Understanding the Australian Vocational Education and Training workforce, </w:t>
      </w:r>
      <w:r w:rsidRPr="00CE6E0E">
        <w:rPr>
          <w:rFonts w:ascii="Trebuchet MS" w:hAnsi="Trebuchet MS"/>
          <w:sz w:val="18"/>
          <w:szCs w:val="18"/>
        </w:rPr>
        <w:t>NCVER, Adelaide.</w:t>
      </w:r>
    </w:p>
    <w:p w:rsidR="00513C7F" w:rsidRPr="00CE6E0E" w:rsidRDefault="00513C7F"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Lamb, S, </w:t>
      </w:r>
      <w:proofErr w:type="spellStart"/>
      <w:r w:rsidRPr="00CE6E0E">
        <w:rPr>
          <w:rFonts w:ascii="Trebuchet MS" w:hAnsi="Trebuchet MS"/>
          <w:sz w:val="18"/>
          <w:szCs w:val="18"/>
        </w:rPr>
        <w:t>Maire</w:t>
      </w:r>
      <w:proofErr w:type="spellEnd"/>
      <w:r w:rsidRPr="00CE6E0E">
        <w:rPr>
          <w:rFonts w:ascii="Trebuchet MS" w:hAnsi="Trebuchet MS"/>
          <w:sz w:val="18"/>
          <w:szCs w:val="18"/>
        </w:rPr>
        <w:t xml:space="preserve">, Q, </w:t>
      </w:r>
      <w:proofErr w:type="spellStart"/>
      <w:r w:rsidRPr="00CE6E0E">
        <w:rPr>
          <w:rFonts w:ascii="Trebuchet MS" w:hAnsi="Trebuchet MS"/>
          <w:sz w:val="18"/>
          <w:szCs w:val="18"/>
        </w:rPr>
        <w:t>Walstab</w:t>
      </w:r>
      <w:proofErr w:type="spellEnd"/>
      <w:r w:rsidRPr="00CE6E0E">
        <w:rPr>
          <w:rFonts w:ascii="Trebuchet MS" w:hAnsi="Trebuchet MS"/>
          <w:sz w:val="18"/>
          <w:szCs w:val="18"/>
        </w:rPr>
        <w:t xml:space="preserve">, A, Newman, G, </w:t>
      </w:r>
      <w:proofErr w:type="spellStart"/>
      <w:r w:rsidRPr="00CE6E0E">
        <w:rPr>
          <w:rFonts w:ascii="Trebuchet MS" w:hAnsi="Trebuchet MS"/>
          <w:sz w:val="18"/>
          <w:szCs w:val="18"/>
        </w:rPr>
        <w:t>Doecke</w:t>
      </w:r>
      <w:proofErr w:type="spellEnd"/>
      <w:r w:rsidRPr="00CE6E0E">
        <w:rPr>
          <w:rFonts w:ascii="Trebuchet MS" w:hAnsi="Trebuchet MS"/>
          <w:sz w:val="18"/>
          <w:szCs w:val="18"/>
        </w:rPr>
        <w:t xml:space="preserve">, E &amp; Davies, M 2018, </w:t>
      </w:r>
      <w:r w:rsidRPr="007371DD">
        <w:rPr>
          <w:rFonts w:ascii="Trebuchet MS" w:hAnsi="Trebuchet MS"/>
          <w:i/>
          <w:iCs/>
          <w:sz w:val="18"/>
          <w:szCs w:val="18"/>
        </w:rPr>
        <w:t xml:space="preserve">Improving participation and success in VET for disadvantaged learners, </w:t>
      </w:r>
      <w:r w:rsidRPr="00CE6E0E">
        <w:rPr>
          <w:rFonts w:ascii="Trebuchet MS" w:hAnsi="Trebuchet MS"/>
          <w:sz w:val="18"/>
          <w:szCs w:val="18"/>
        </w:rPr>
        <w:t>NCVER, Adelaide.</w:t>
      </w:r>
    </w:p>
    <w:p w:rsidR="006835F5" w:rsidRPr="006835F5" w:rsidRDefault="006835F5" w:rsidP="006835F5">
      <w:pPr>
        <w:shd w:val="clear" w:color="auto" w:fill="FFFFFF"/>
        <w:spacing w:line="240" w:lineRule="auto"/>
        <w:ind w:left="720" w:hanging="720"/>
        <w:rPr>
          <w:rFonts w:ascii="Trebuchet MS" w:hAnsi="Trebuchet MS" w:cs="Calibri"/>
          <w:sz w:val="18"/>
          <w:szCs w:val="18"/>
        </w:rPr>
      </w:pPr>
      <w:r w:rsidRPr="006835F5">
        <w:rPr>
          <w:rFonts w:ascii="Trebuchet MS" w:hAnsi="Trebuchet MS" w:cs="Calibri"/>
          <w:sz w:val="18"/>
          <w:szCs w:val="18"/>
        </w:rPr>
        <w:t xml:space="preserve">Le Grand, J and Roberts, J 2018, The public service mutual: theories of motivational advantage, </w:t>
      </w:r>
      <w:r w:rsidRPr="006835F5">
        <w:rPr>
          <w:rFonts w:ascii="Trebuchet MS" w:hAnsi="Trebuchet MS" w:cs="Calibri"/>
          <w:i/>
          <w:iCs/>
          <w:sz w:val="18"/>
          <w:szCs w:val="18"/>
        </w:rPr>
        <w:t xml:space="preserve">Public Administration Review </w:t>
      </w:r>
      <w:r w:rsidRPr="006835F5">
        <w:rPr>
          <w:rFonts w:ascii="Trebuchet MS" w:hAnsi="Trebuchet MS" w:cs="Calibri"/>
          <w:sz w:val="18"/>
          <w:szCs w:val="18"/>
        </w:rPr>
        <w:t>Jan/Feb.</w:t>
      </w:r>
    </w:p>
    <w:p w:rsidR="00FB354E" w:rsidRPr="00CE6E0E" w:rsidRDefault="00FB354E"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lastRenderedPageBreak/>
        <w:t>McDowell, J (Chair) 2011, Apprenticeships for the 21st Century: Expert Panel Paper, Department of Industry, Canberra</w:t>
      </w:r>
    </w:p>
    <w:p w:rsidR="00ED5916" w:rsidRPr="00CE6E0E" w:rsidRDefault="00ED5916"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Mackenzie B (Chair), (2015), Final Report of the VET Funding Review, Department of Education and Training, Melbourne.</w:t>
      </w:r>
    </w:p>
    <w:p w:rsidR="003F194D" w:rsidRPr="00CE6E0E" w:rsidRDefault="003F194D" w:rsidP="00CE6E0E">
      <w:pPr>
        <w:spacing w:before="120" w:after="120" w:line="240" w:lineRule="auto"/>
        <w:ind w:left="425" w:hanging="425"/>
        <w:rPr>
          <w:rFonts w:ascii="Trebuchet MS" w:hAnsi="Trebuchet MS"/>
          <w:sz w:val="18"/>
          <w:szCs w:val="18"/>
        </w:rPr>
      </w:pPr>
      <w:proofErr w:type="spellStart"/>
      <w:r w:rsidRPr="00CE6E0E">
        <w:rPr>
          <w:rFonts w:ascii="Trebuchet MS" w:hAnsi="Trebuchet MS"/>
          <w:sz w:val="18"/>
          <w:szCs w:val="18"/>
        </w:rPr>
        <w:t>Marginson</w:t>
      </w:r>
      <w:proofErr w:type="spellEnd"/>
      <w:r w:rsidRPr="00CE6E0E">
        <w:rPr>
          <w:rFonts w:ascii="Trebuchet MS" w:hAnsi="Trebuchet MS"/>
          <w:sz w:val="18"/>
          <w:szCs w:val="18"/>
        </w:rPr>
        <w:t>, S, 1993, Education and Public Policy in Australia, CUP, Melbourne.</w:t>
      </w:r>
    </w:p>
    <w:p w:rsidR="00F13613" w:rsidRPr="00CE6E0E" w:rsidRDefault="00F13613"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Moran, T 2017, ‘Back in the Game’ IPAA Victoria Fellows’ Oration, retrieved from //cpd.org.au/</w:t>
      </w:r>
      <w:proofErr w:type="spellStart"/>
      <w:r w:rsidRPr="00CE6E0E">
        <w:rPr>
          <w:rFonts w:ascii="Trebuchet MS" w:hAnsi="Trebuchet MS"/>
          <w:sz w:val="18"/>
          <w:szCs w:val="18"/>
        </w:rPr>
        <w:t>wp</w:t>
      </w:r>
      <w:proofErr w:type="spellEnd"/>
      <w:r w:rsidRPr="00CE6E0E">
        <w:rPr>
          <w:rFonts w:ascii="Trebuchet MS" w:hAnsi="Trebuchet MS"/>
          <w:sz w:val="18"/>
          <w:szCs w:val="18"/>
        </w:rPr>
        <w:t>- content/uploads/2017/11/Terry-Moran-AC-IPAA-Victoria-Oration-21-November-2017.pdf.</w:t>
      </w:r>
    </w:p>
    <w:p w:rsidR="004213CA" w:rsidRPr="004213CA" w:rsidRDefault="004213CA" w:rsidP="00CE6E0E">
      <w:pPr>
        <w:spacing w:before="120" w:after="120" w:line="240" w:lineRule="auto"/>
        <w:ind w:left="425" w:hanging="425"/>
        <w:rPr>
          <w:rFonts w:ascii="Trebuchet MS" w:hAnsi="Trebuchet MS"/>
          <w:sz w:val="18"/>
          <w:szCs w:val="18"/>
        </w:rPr>
      </w:pPr>
      <w:r w:rsidRPr="004213CA">
        <w:rPr>
          <w:rFonts w:ascii="Trebuchet MS" w:hAnsi="Trebuchet MS" w:cstheme="minorHAnsi"/>
          <w:color w:val="222222"/>
          <w:sz w:val="18"/>
          <w:szCs w:val="18"/>
        </w:rPr>
        <w:t xml:space="preserve">National Centre for Student Equity in Higher Education (NCSEHE) 2020, </w:t>
      </w:r>
      <w:r w:rsidRPr="004213CA">
        <w:rPr>
          <w:rFonts w:ascii="Trebuchet MS" w:hAnsi="Trebuchet MS" w:cstheme="minorHAnsi"/>
          <w:i/>
          <w:iCs/>
          <w:color w:val="222222"/>
          <w:sz w:val="18"/>
          <w:szCs w:val="18"/>
        </w:rPr>
        <w:t>Equity Insights: New Developments in Higher Education</w:t>
      </w:r>
      <w:r w:rsidRPr="004213CA">
        <w:rPr>
          <w:rFonts w:ascii="Trebuchet MS" w:hAnsi="Trebuchet MS" w:cstheme="minorHAnsi"/>
          <w:color w:val="222222"/>
          <w:sz w:val="18"/>
          <w:szCs w:val="18"/>
        </w:rPr>
        <w:t>, Perth</w:t>
      </w:r>
    </w:p>
    <w:p w:rsidR="00080A5A" w:rsidRPr="00CE6E0E" w:rsidRDefault="00080A5A"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NCVER 2018</w:t>
      </w:r>
      <w:r w:rsidR="00C04214" w:rsidRPr="00CE6E0E">
        <w:rPr>
          <w:rFonts w:ascii="Trebuchet MS" w:hAnsi="Trebuchet MS"/>
          <w:sz w:val="18"/>
          <w:szCs w:val="18"/>
        </w:rPr>
        <w:t>a</w:t>
      </w:r>
      <w:r w:rsidRPr="00CE6E0E">
        <w:rPr>
          <w:rFonts w:ascii="Trebuchet MS" w:hAnsi="Trebuchet MS"/>
          <w:sz w:val="18"/>
          <w:szCs w:val="18"/>
        </w:rPr>
        <w:t xml:space="preserve">, </w:t>
      </w:r>
      <w:r w:rsidRPr="007371DD">
        <w:rPr>
          <w:rFonts w:ascii="Trebuchet MS" w:hAnsi="Trebuchet MS"/>
          <w:i/>
          <w:iCs/>
          <w:sz w:val="18"/>
          <w:szCs w:val="18"/>
        </w:rPr>
        <w:t>Financial information 2017,</w:t>
      </w:r>
      <w:r w:rsidRPr="00CE6E0E">
        <w:rPr>
          <w:rFonts w:ascii="Trebuchet MS" w:hAnsi="Trebuchet MS"/>
          <w:sz w:val="18"/>
          <w:szCs w:val="18"/>
        </w:rPr>
        <w:t xml:space="preserve"> Adelaide.</w:t>
      </w:r>
    </w:p>
    <w:p w:rsidR="00EE39C4" w:rsidRPr="00CE6E0E" w:rsidRDefault="00EE39C4"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NCVER 2019, </w:t>
      </w:r>
      <w:r w:rsidRPr="007371DD">
        <w:rPr>
          <w:rFonts w:ascii="Trebuchet MS" w:hAnsi="Trebuchet MS"/>
          <w:i/>
          <w:iCs/>
          <w:sz w:val="18"/>
          <w:szCs w:val="18"/>
        </w:rPr>
        <w:t>Employers’ use and views of the VET system 2019</w:t>
      </w:r>
    </w:p>
    <w:p w:rsidR="00FB6D74" w:rsidRPr="00CE6E0E" w:rsidRDefault="00FB6D74"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NCVER 2019a, </w:t>
      </w:r>
      <w:r w:rsidRPr="007371DD">
        <w:rPr>
          <w:rFonts w:ascii="Trebuchet MS" w:hAnsi="Trebuchet MS"/>
          <w:i/>
          <w:iCs/>
          <w:sz w:val="18"/>
          <w:szCs w:val="18"/>
        </w:rPr>
        <w:t>Government funding of VET 2018</w:t>
      </w:r>
      <w:r w:rsidRPr="00CE6E0E">
        <w:rPr>
          <w:rFonts w:ascii="Trebuchet MS" w:hAnsi="Trebuchet MS"/>
          <w:sz w:val="18"/>
          <w:szCs w:val="18"/>
        </w:rPr>
        <w:t>, NCVER Adelaide</w:t>
      </w:r>
    </w:p>
    <w:p w:rsidR="00342029" w:rsidRPr="00CE6E0E" w:rsidRDefault="00342029"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NCVER 2019</w:t>
      </w:r>
      <w:r w:rsidR="00FB6D74" w:rsidRPr="00CE6E0E">
        <w:rPr>
          <w:rFonts w:ascii="Trebuchet MS" w:hAnsi="Trebuchet MS"/>
          <w:sz w:val="18"/>
          <w:szCs w:val="18"/>
        </w:rPr>
        <w:t>b</w:t>
      </w:r>
      <w:r w:rsidRPr="00CE6E0E">
        <w:rPr>
          <w:rFonts w:ascii="Trebuchet MS" w:hAnsi="Trebuchet MS"/>
          <w:sz w:val="18"/>
          <w:szCs w:val="18"/>
        </w:rPr>
        <w:t xml:space="preserve">, </w:t>
      </w:r>
      <w:r w:rsidRPr="00A66061">
        <w:rPr>
          <w:rFonts w:ascii="Trebuchet MS" w:hAnsi="Trebuchet MS"/>
          <w:i/>
          <w:iCs/>
          <w:sz w:val="18"/>
          <w:szCs w:val="18"/>
        </w:rPr>
        <w:t>Total VET students and courses 2018</w:t>
      </w:r>
      <w:r w:rsidRPr="00CE6E0E">
        <w:rPr>
          <w:rFonts w:ascii="Trebuchet MS" w:hAnsi="Trebuchet MS"/>
          <w:sz w:val="18"/>
          <w:szCs w:val="18"/>
        </w:rPr>
        <w:t>, NCVER, Adelaide</w:t>
      </w:r>
    </w:p>
    <w:p w:rsidR="00A75E91" w:rsidRPr="00CE6E0E" w:rsidRDefault="00A75E91"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NCVER 2019c.</w:t>
      </w:r>
      <w:r w:rsidR="005B3558" w:rsidRPr="00CE6E0E">
        <w:rPr>
          <w:rFonts w:ascii="Trebuchet MS" w:hAnsi="Trebuchet MS"/>
          <w:sz w:val="18"/>
          <w:szCs w:val="18"/>
        </w:rPr>
        <w:t xml:space="preserve"> </w:t>
      </w:r>
      <w:r w:rsidR="005B3558" w:rsidRPr="00A66061">
        <w:rPr>
          <w:rFonts w:ascii="Trebuchet MS" w:hAnsi="Trebuchet MS"/>
          <w:i/>
          <w:iCs/>
          <w:sz w:val="18"/>
          <w:szCs w:val="18"/>
        </w:rPr>
        <w:t>VET student outcomes 2019,</w:t>
      </w:r>
      <w:r w:rsidR="005B3558" w:rsidRPr="00CE6E0E">
        <w:rPr>
          <w:rFonts w:ascii="Trebuchet MS" w:hAnsi="Trebuchet MS"/>
          <w:sz w:val="18"/>
          <w:szCs w:val="18"/>
        </w:rPr>
        <w:t xml:space="preserve"> NCVER Adelaide</w:t>
      </w:r>
    </w:p>
    <w:p w:rsidR="002168BE" w:rsidRPr="00CE6E0E" w:rsidRDefault="002168BE"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Norton A 2019, </w:t>
      </w:r>
      <w:r w:rsidRPr="00B96D8D">
        <w:rPr>
          <w:rFonts w:ascii="Trebuchet MS" w:hAnsi="Trebuchet MS"/>
          <w:i/>
          <w:iCs/>
          <w:sz w:val="18"/>
          <w:szCs w:val="18"/>
        </w:rPr>
        <w:t>Distributing Student Places in Australian Higher Education</w:t>
      </w:r>
      <w:r w:rsidRPr="00CE6E0E">
        <w:rPr>
          <w:rFonts w:ascii="Trebuchet MS" w:hAnsi="Trebuchet MS"/>
          <w:sz w:val="18"/>
          <w:szCs w:val="18"/>
        </w:rPr>
        <w:t xml:space="preserve">, </w:t>
      </w:r>
      <w:r w:rsidRPr="00A66061">
        <w:rPr>
          <w:rFonts w:ascii="Trebuchet MS" w:hAnsi="Trebuchet MS"/>
          <w:i/>
          <w:iCs/>
          <w:sz w:val="18"/>
          <w:szCs w:val="18"/>
        </w:rPr>
        <w:t>Australian Economic Review</w:t>
      </w:r>
      <w:r w:rsidRPr="00CE6E0E">
        <w:rPr>
          <w:rFonts w:ascii="Trebuchet MS" w:hAnsi="Trebuchet MS"/>
          <w:sz w:val="18"/>
          <w:szCs w:val="18"/>
        </w:rPr>
        <w:t xml:space="preserve"> No 52.</w:t>
      </w:r>
    </w:p>
    <w:p w:rsidR="002168BE" w:rsidRPr="00CE6E0E" w:rsidRDefault="002168BE"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Norton A</w:t>
      </w:r>
      <w:r w:rsidR="00080A5A" w:rsidRPr="00CE6E0E">
        <w:rPr>
          <w:rFonts w:ascii="Trebuchet MS" w:hAnsi="Trebuchet MS"/>
          <w:sz w:val="18"/>
          <w:szCs w:val="18"/>
        </w:rPr>
        <w:t>,</w:t>
      </w:r>
      <w:r w:rsidR="005C0E1C" w:rsidRPr="00CE6E0E">
        <w:rPr>
          <w:rFonts w:ascii="Trebuchet MS" w:hAnsi="Trebuchet MS"/>
          <w:sz w:val="18"/>
          <w:szCs w:val="18"/>
        </w:rPr>
        <w:t xml:space="preserve"> </w:t>
      </w:r>
      <w:r w:rsidR="00567698" w:rsidRPr="00CE6E0E">
        <w:rPr>
          <w:rFonts w:ascii="Trebuchet MS" w:hAnsi="Trebuchet MS"/>
          <w:sz w:val="18"/>
          <w:szCs w:val="18"/>
        </w:rPr>
        <w:t xml:space="preserve">&amp; </w:t>
      </w:r>
      <w:proofErr w:type="spellStart"/>
      <w:r w:rsidR="00567698" w:rsidRPr="00CE6E0E">
        <w:rPr>
          <w:rFonts w:ascii="Trebuchet MS" w:hAnsi="Trebuchet MS"/>
          <w:sz w:val="18"/>
          <w:szCs w:val="18"/>
        </w:rPr>
        <w:t>Cherastidtham</w:t>
      </w:r>
      <w:proofErr w:type="spellEnd"/>
      <w:r w:rsidRPr="00CE6E0E">
        <w:rPr>
          <w:rFonts w:ascii="Trebuchet MS" w:hAnsi="Trebuchet MS"/>
          <w:sz w:val="18"/>
          <w:szCs w:val="18"/>
        </w:rPr>
        <w:t xml:space="preserve"> I 2018, </w:t>
      </w:r>
      <w:r w:rsidRPr="00B96D8D">
        <w:rPr>
          <w:rFonts w:ascii="Trebuchet MS" w:hAnsi="Trebuchet MS"/>
          <w:i/>
          <w:iCs/>
          <w:sz w:val="18"/>
          <w:szCs w:val="18"/>
        </w:rPr>
        <w:t>Mapping Australian higher education 2018</w:t>
      </w:r>
      <w:r w:rsidRPr="00CE6E0E">
        <w:rPr>
          <w:rFonts w:ascii="Trebuchet MS" w:hAnsi="Trebuchet MS"/>
          <w:sz w:val="18"/>
          <w:szCs w:val="18"/>
        </w:rPr>
        <w:t>, Grattan Institute.</w:t>
      </w:r>
    </w:p>
    <w:p w:rsidR="00CD2F42" w:rsidRPr="00CE6E0E" w:rsidRDefault="00CD2F42"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Productivity Commission (PC), 2011, </w:t>
      </w:r>
      <w:r w:rsidRPr="00A66061">
        <w:rPr>
          <w:rFonts w:ascii="Trebuchet MS" w:hAnsi="Trebuchet MS"/>
          <w:i/>
          <w:iCs/>
          <w:sz w:val="18"/>
          <w:szCs w:val="18"/>
        </w:rPr>
        <w:t>Vocational Education and Training Workforce</w:t>
      </w:r>
      <w:r w:rsidRPr="00CE6E0E">
        <w:rPr>
          <w:rFonts w:ascii="Trebuchet MS" w:hAnsi="Trebuchet MS"/>
          <w:sz w:val="18"/>
          <w:szCs w:val="18"/>
        </w:rPr>
        <w:t xml:space="preserve">. </w:t>
      </w:r>
    </w:p>
    <w:p w:rsidR="00E56F02" w:rsidRPr="00CE6E0E" w:rsidRDefault="00E56F02"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P</w:t>
      </w:r>
      <w:r w:rsidR="00CD2F42" w:rsidRPr="00CE6E0E">
        <w:rPr>
          <w:rFonts w:ascii="Trebuchet MS" w:hAnsi="Trebuchet MS"/>
          <w:sz w:val="18"/>
          <w:szCs w:val="18"/>
        </w:rPr>
        <w:t>C</w:t>
      </w:r>
      <w:r w:rsidRPr="00CE6E0E">
        <w:rPr>
          <w:rFonts w:ascii="Trebuchet MS" w:hAnsi="Trebuchet MS"/>
          <w:sz w:val="18"/>
          <w:szCs w:val="18"/>
        </w:rPr>
        <w:t>, 2020</w:t>
      </w:r>
      <w:r w:rsidR="001054AA" w:rsidRPr="00CE6E0E">
        <w:rPr>
          <w:rFonts w:ascii="Trebuchet MS" w:hAnsi="Trebuchet MS"/>
          <w:sz w:val="18"/>
          <w:szCs w:val="18"/>
        </w:rPr>
        <w:t>a</w:t>
      </w:r>
      <w:r w:rsidRPr="00CE6E0E">
        <w:rPr>
          <w:rFonts w:ascii="Trebuchet MS" w:hAnsi="Trebuchet MS"/>
          <w:sz w:val="18"/>
          <w:szCs w:val="18"/>
        </w:rPr>
        <w:t xml:space="preserve">, </w:t>
      </w:r>
      <w:r w:rsidRPr="00A66061">
        <w:rPr>
          <w:rFonts w:ascii="Trebuchet MS" w:hAnsi="Trebuchet MS"/>
          <w:i/>
          <w:iCs/>
          <w:sz w:val="18"/>
          <w:szCs w:val="18"/>
        </w:rPr>
        <w:t>National Agreement for Skills and Workforce Development Review, Interim Report</w:t>
      </w:r>
      <w:r w:rsidRPr="00CE6E0E">
        <w:rPr>
          <w:rFonts w:ascii="Trebuchet MS" w:hAnsi="Trebuchet MS"/>
          <w:sz w:val="18"/>
          <w:szCs w:val="18"/>
        </w:rPr>
        <w:t>.</w:t>
      </w:r>
    </w:p>
    <w:p w:rsidR="001054AA" w:rsidRPr="00CE6E0E" w:rsidRDefault="001054AA"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PC, 2020b, </w:t>
      </w:r>
      <w:r w:rsidRPr="00A66061">
        <w:rPr>
          <w:rFonts w:ascii="Trebuchet MS" w:hAnsi="Trebuchet MS"/>
          <w:i/>
          <w:iCs/>
          <w:sz w:val="18"/>
          <w:szCs w:val="18"/>
        </w:rPr>
        <w:t>Report on Government Services 2020</w:t>
      </w:r>
      <w:r w:rsidR="00624BD9">
        <w:rPr>
          <w:rFonts w:ascii="Trebuchet MS" w:hAnsi="Trebuchet MS"/>
          <w:i/>
          <w:iCs/>
          <w:sz w:val="18"/>
          <w:szCs w:val="18"/>
        </w:rPr>
        <w:t>.</w:t>
      </w:r>
    </w:p>
    <w:p w:rsidR="001B282E" w:rsidRPr="008F31A9" w:rsidRDefault="001B282E" w:rsidP="001B282E">
      <w:pPr>
        <w:spacing w:before="120" w:line="240" w:lineRule="auto"/>
        <w:ind w:left="426" w:hanging="426"/>
        <w:rPr>
          <w:rFonts w:ascii="Trebuchet MS" w:hAnsi="Trebuchet MS"/>
          <w:sz w:val="18"/>
          <w:szCs w:val="18"/>
        </w:rPr>
      </w:pPr>
      <w:r w:rsidRPr="008F31A9">
        <w:rPr>
          <w:rFonts w:ascii="Trebuchet MS" w:hAnsi="Trebuchet MS"/>
          <w:sz w:val="18"/>
          <w:szCs w:val="18"/>
        </w:rPr>
        <w:t>Rothman, S, Shah, C, Underwood, C, McMillan, J, Brown, J, &amp; McKenzie, P 2013,</w:t>
      </w:r>
      <w:r w:rsidRPr="008F31A9">
        <w:rPr>
          <w:rFonts w:ascii="Trebuchet MS" w:hAnsi="Trebuchet MS" w:cs="ArnoPro"/>
          <w:i/>
          <w:iCs/>
          <w:sz w:val="18"/>
          <w:szCs w:val="18"/>
        </w:rPr>
        <w:t>National Report on Social Equity in VET 2013</w:t>
      </w:r>
      <w:r w:rsidRPr="008F31A9">
        <w:rPr>
          <w:rFonts w:ascii="Trebuchet MS" w:hAnsi="Trebuchet MS" w:cs="ArnoPro"/>
          <w:sz w:val="18"/>
          <w:szCs w:val="18"/>
        </w:rPr>
        <w:t>, Melbourne, National VET Equity Advisory Council.</w:t>
      </w:r>
    </w:p>
    <w:p w:rsidR="00BC5375" w:rsidRPr="008F31A9" w:rsidRDefault="00BC5375" w:rsidP="00CE6E0E">
      <w:pPr>
        <w:spacing w:before="120" w:after="120" w:line="240" w:lineRule="auto"/>
        <w:ind w:left="425" w:hanging="425"/>
        <w:rPr>
          <w:rFonts w:ascii="Trebuchet MS" w:hAnsi="Trebuchet MS"/>
          <w:sz w:val="18"/>
          <w:szCs w:val="18"/>
        </w:rPr>
      </w:pPr>
      <w:r w:rsidRPr="008F31A9">
        <w:rPr>
          <w:rFonts w:ascii="Trebuchet MS" w:hAnsi="Trebuchet MS"/>
          <w:sz w:val="18"/>
          <w:szCs w:val="18"/>
        </w:rPr>
        <w:t xml:space="preserve">Rizvi, A 2019, </w:t>
      </w:r>
      <w:r w:rsidRPr="008F31A9">
        <w:rPr>
          <w:rFonts w:ascii="Trebuchet MS" w:hAnsi="Trebuchet MS"/>
          <w:i/>
          <w:iCs/>
          <w:sz w:val="18"/>
          <w:szCs w:val="18"/>
        </w:rPr>
        <w:t>Re-emergence of dodgy VET Colleges</w:t>
      </w:r>
      <w:r w:rsidRPr="008F31A9">
        <w:rPr>
          <w:rFonts w:ascii="Trebuchet MS" w:hAnsi="Trebuchet MS"/>
          <w:sz w:val="18"/>
          <w:szCs w:val="18"/>
        </w:rPr>
        <w:t xml:space="preserve">, </w:t>
      </w:r>
      <w:hyperlink r:id="rId9" w:history="1">
        <w:r w:rsidRPr="008F31A9">
          <w:rPr>
            <w:rFonts w:ascii="Trebuchet MS" w:hAnsi="Trebuchet MS"/>
            <w:sz w:val="18"/>
            <w:szCs w:val="18"/>
          </w:rPr>
          <w:t>johnmenadue.com/</w:t>
        </w:r>
        <w:proofErr w:type="spellStart"/>
        <w:r w:rsidRPr="008F31A9">
          <w:rPr>
            <w:rFonts w:ascii="Trebuchet MS" w:hAnsi="Trebuchet MS"/>
            <w:sz w:val="18"/>
            <w:szCs w:val="18"/>
          </w:rPr>
          <w:t>abul</w:t>
        </w:r>
        <w:proofErr w:type="spellEnd"/>
        <w:r w:rsidRPr="008F31A9">
          <w:rPr>
            <w:rFonts w:ascii="Trebuchet MS" w:hAnsi="Trebuchet MS"/>
            <w:sz w:val="18"/>
            <w:szCs w:val="18"/>
          </w:rPr>
          <w:t>-</w:t>
        </w:r>
        <w:proofErr w:type="spellStart"/>
        <w:r w:rsidRPr="008F31A9">
          <w:rPr>
            <w:rFonts w:ascii="Trebuchet MS" w:hAnsi="Trebuchet MS"/>
            <w:sz w:val="18"/>
            <w:szCs w:val="18"/>
          </w:rPr>
          <w:t>rizvi</w:t>
        </w:r>
        <w:proofErr w:type="spellEnd"/>
        <w:r w:rsidRPr="008F31A9">
          <w:rPr>
            <w:rFonts w:ascii="Trebuchet MS" w:hAnsi="Trebuchet MS"/>
            <w:sz w:val="18"/>
            <w:szCs w:val="18"/>
          </w:rPr>
          <w:t>-re-emergence-of-dodgy-vet-colleges.</w:t>
        </w:r>
      </w:hyperlink>
    </w:p>
    <w:p w:rsidR="00342029" w:rsidRPr="00CE6E0E" w:rsidRDefault="00342029"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Shah C 2017, </w:t>
      </w:r>
      <w:r w:rsidRPr="00A66061">
        <w:rPr>
          <w:rFonts w:ascii="Trebuchet MS" w:hAnsi="Trebuchet MS"/>
          <w:i/>
          <w:iCs/>
          <w:sz w:val="18"/>
          <w:szCs w:val="18"/>
        </w:rPr>
        <w:t>Employer-supported training in Australia: participation, demand and supply</w:t>
      </w:r>
      <w:r w:rsidRPr="00CE6E0E">
        <w:rPr>
          <w:rFonts w:ascii="Trebuchet MS" w:hAnsi="Trebuchet MS"/>
          <w:sz w:val="18"/>
          <w:szCs w:val="18"/>
        </w:rPr>
        <w:t>, NCVER Adelaide.</w:t>
      </w:r>
    </w:p>
    <w:p w:rsidR="00FD7CA7" w:rsidRPr="00CE6E0E" w:rsidRDefault="00FD7CA7"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Skills Australia 2011 </w:t>
      </w:r>
      <w:r w:rsidRPr="008F31A9">
        <w:rPr>
          <w:rFonts w:ascii="Trebuchet MS" w:hAnsi="Trebuchet MS"/>
          <w:i/>
          <w:iCs/>
          <w:sz w:val="18"/>
          <w:szCs w:val="18"/>
        </w:rPr>
        <w:t>Skills for prosperity, A roadmap for vocational education and training</w:t>
      </w:r>
      <w:r w:rsidRPr="00CE6E0E">
        <w:rPr>
          <w:rFonts w:ascii="Trebuchet MS" w:hAnsi="Trebuchet MS"/>
          <w:sz w:val="18"/>
          <w:szCs w:val="18"/>
        </w:rPr>
        <w:t>, Canberra.</w:t>
      </w:r>
    </w:p>
    <w:p w:rsidR="00342029" w:rsidRPr="00CE6E0E" w:rsidRDefault="00342029"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Smith, A, Burke, G, Long, M &amp; </w:t>
      </w:r>
      <w:proofErr w:type="spellStart"/>
      <w:r w:rsidRPr="00CE6E0E">
        <w:rPr>
          <w:rFonts w:ascii="Trebuchet MS" w:hAnsi="Trebuchet MS"/>
          <w:sz w:val="18"/>
          <w:szCs w:val="18"/>
        </w:rPr>
        <w:t>Dumbrell</w:t>
      </w:r>
      <w:proofErr w:type="spellEnd"/>
      <w:r w:rsidRPr="00CE6E0E">
        <w:rPr>
          <w:rFonts w:ascii="Trebuchet MS" w:hAnsi="Trebuchet MS"/>
          <w:sz w:val="18"/>
          <w:szCs w:val="18"/>
        </w:rPr>
        <w:t xml:space="preserve">, T, 2008, </w:t>
      </w:r>
      <w:r w:rsidRPr="008F31A9">
        <w:rPr>
          <w:rFonts w:ascii="Trebuchet MS" w:hAnsi="Trebuchet MS"/>
          <w:i/>
          <w:iCs/>
          <w:sz w:val="18"/>
          <w:szCs w:val="18"/>
        </w:rPr>
        <w:t>Approaches to measuring and understanding employer training expenditure,</w:t>
      </w:r>
      <w:r w:rsidRPr="00CE6E0E">
        <w:rPr>
          <w:rFonts w:ascii="Trebuchet MS" w:hAnsi="Trebuchet MS"/>
          <w:sz w:val="18"/>
          <w:szCs w:val="18"/>
        </w:rPr>
        <w:t xml:space="preserve"> NCVER, Adelaide..</w:t>
      </w:r>
    </w:p>
    <w:p w:rsidR="00342029" w:rsidRPr="00CE6E0E" w:rsidRDefault="00342029"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Smith, E, Smith, A, Tuck, J &amp; Callan, V 2017</w:t>
      </w:r>
      <w:r w:rsidRPr="008F31A9">
        <w:rPr>
          <w:rFonts w:ascii="Trebuchet MS" w:hAnsi="Trebuchet MS"/>
          <w:i/>
          <w:iCs/>
          <w:sz w:val="18"/>
          <w:szCs w:val="18"/>
        </w:rPr>
        <w:t xml:space="preserve">, Continuity and change: employers’ training practices and partnerships with training providers, </w:t>
      </w:r>
      <w:r w:rsidRPr="00CE6E0E">
        <w:rPr>
          <w:rFonts w:ascii="Trebuchet MS" w:hAnsi="Trebuchet MS"/>
          <w:sz w:val="18"/>
          <w:szCs w:val="18"/>
        </w:rPr>
        <w:t>NCVER, Adelaide</w:t>
      </w:r>
      <w:r w:rsidR="00FA0598" w:rsidRPr="00CE6E0E">
        <w:rPr>
          <w:rFonts w:ascii="Trebuchet MS" w:hAnsi="Trebuchet MS"/>
          <w:sz w:val="18"/>
          <w:szCs w:val="18"/>
        </w:rPr>
        <w:t>.</w:t>
      </w:r>
    </w:p>
    <w:p w:rsidR="00FA0598" w:rsidRPr="00CE6E0E" w:rsidRDefault="00FA0598"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Smith, E, &amp; Yasukawa, K 2017, </w:t>
      </w:r>
      <w:hyperlink r:id="rId10" w:history="1">
        <w:r w:rsidRPr="00CE6E0E">
          <w:rPr>
            <w:rFonts w:ascii="Trebuchet MS" w:hAnsi="Trebuchet MS"/>
            <w:sz w:val="18"/>
            <w:szCs w:val="18"/>
          </w:rPr>
          <w:t>'What makes a good VET teacher?: views of Australian VET teachers and students'</w:t>
        </w:r>
      </w:hyperlink>
      <w:r w:rsidRPr="00CE6E0E">
        <w:rPr>
          <w:rFonts w:ascii="Trebuchet MS" w:hAnsi="Trebuchet MS"/>
          <w:sz w:val="18"/>
          <w:szCs w:val="18"/>
        </w:rPr>
        <w:t xml:space="preserve">, </w:t>
      </w:r>
      <w:r w:rsidRPr="00B96D8D">
        <w:rPr>
          <w:rFonts w:ascii="Trebuchet MS" w:hAnsi="Trebuchet MS"/>
          <w:i/>
          <w:iCs/>
          <w:sz w:val="18"/>
          <w:szCs w:val="18"/>
        </w:rPr>
        <w:t>International Journal of Training Research</w:t>
      </w:r>
      <w:r w:rsidRPr="00CE6E0E">
        <w:rPr>
          <w:rFonts w:ascii="Trebuchet MS" w:hAnsi="Trebuchet MS"/>
          <w:sz w:val="18"/>
          <w:szCs w:val="18"/>
        </w:rPr>
        <w:t>, vol. 15, no. 1, pp. 23-40.</w:t>
      </w:r>
    </w:p>
    <w:p w:rsidR="003748AB" w:rsidRPr="00CE6E0E" w:rsidRDefault="003748AB"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TAFE Directors Association (TDA) 2019, </w:t>
      </w:r>
      <w:r w:rsidRPr="008F31A9">
        <w:rPr>
          <w:rFonts w:ascii="Trebuchet MS" w:hAnsi="Trebuchet MS"/>
          <w:i/>
          <w:iCs/>
          <w:sz w:val="18"/>
          <w:szCs w:val="18"/>
        </w:rPr>
        <w:t xml:space="preserve">TDA Newsletter </w:t>
      </w:r>
      <w:r w:rsidRPr="00CE6E0E">
        <w:rPr>
          <w:rFonts w:ascii="Trebuchet MS" w:hAnsi="Trebuchet MS"/>
          <w:sz w:val="18"/>
          <w:szCs w:val="18"/>
        </w:rPr>
        <w:t>December 9.</w:t>
      </w:r>
    </w:p>
    <w:p w:rsidR="0007518D" w:rsidRPr="00CE6E0E" w:rsidRDefault="0007518D"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UK Commission for Employment and Skills (UK) 2014, </w:t>
      </w:r>
      <w:r w:rsidRPr="008F31A9">
        <w:rPr>
          <w:rFonts w:ascii="Trebuchet MS" w:hAnsi="Trebuchet MS"/>
          <w:i/>
          <w:iCs/>
          <w:sz w:val="18"/>
          <w:szCs w:val="18"/>
        </w:rPr>
        <w:t>Employer Skills Survey 2013</w:t>
      </w:r>
      <w:r w:rsidRPr="00CE6E0E">
        <w:rPr>
          <w:rFonts w:ascii="Trebuchet MS" w:hAnsi="Trebuchet MS"/>
          <w:sz w:val="18"/>
          <w:szCs w:val="18"/>
        </w:rPr>
        <w:t>: UK Results.</w:t>
      </w:r>
    </w:p>
    <w:p w:rsidR="007A7A70" w:rsidRPr="00CE6E0E" w:rsidRDefault="007A7A70" w:rsidP="00CE6E0E">
      <w:pPr>
        <w:spacing w:before="120" w:after="120" w:line="240" w:lineRule="auto"/>
        <w:ind w:left="425" w:hanging="425"/>
        <w:rPr>
          <w:rFonts w:ascii="Trebuchet MS" w:hAnsi="Trebuchet MS"/>
          <w:sz w:val="18"/>
          <w:szCs w:val="18"/>
        </w:rPr>
      </w:pPr>
      <w:proofErr w:type="spellStart"/>
      <w:r w:rsidRPr="00CE6E0E">
        <w:rPr>
          <w:rFonts w:ascii="Trebuchet MS" w:hAnsi="Trebuchet MS"/>
          <w:sz w:val="18"/>
          <w:szCs w:val="18"/>
        </w:rPr>
        <w:t>Wheelahan</w:t>
      </w:r>
      <w:proofErr w:type="spellEnd"/>
      <w:r w:rsidRPr="00CE6E0E">
        <w:rPr>
          <w:rFonts w:ascii="Trebuchet MS" w:hAnsi="Trebuchet MS"/>
          <w:sz w:val="18"/>
          <w:szCs w:val="18"/>
        </w:rPr>
        <w:t>,</w:t>
      </w:r>
      <w:r w:rsidR="00B62991">
        <w:rPr>
          <w:rFonts w:ascii="Trebuchet MS" w:hAnsi="Trebuchet MS"/>
          <w:sz w:val="18"/>
          <w:szCs w:val="18"/>
        </w:rPr>
        <w:t xml:space="preserve"> </w:t>
      </w:r>
      <w:r w:rsidRPr="00CE6E0E">
        <w:rPr>
          <w:rFonts w:ascii="Trebuchet MS" w:hAnsi="Trebuchet MS"/>
          <w:sz w:val="18"/>
          <w:szCs w:val="18"/>
        </w:rPr>
        <w:t>L</w:t>
      </w:r>
      <w:bookmarkStart w:id="4" w:name="_Toc416260888"/>
      <w:r w:rsidRPr="00CE6E0E">
        <w:rPr>
          <w:rFonts w:ascii="Trebuchet MS" w:hAnsi="Trebuchet MS"/>
          <w:sz w:val="18"/>
          <w:szCs w:val="18"/>
        </w:rPr>
        <w:t>,</w:t>
      </w:r>
      <w:bookmarkStart w:id="5" w:name="_Toc416260889"/>
      <w:bookmarkEnd w:id="4"/>
      <w:r w:rsidRPr="00CE6E0E">
        <w:rPr>
          <w:rFonts w:ascii="Trebuchet MS" w:hAnsi="Trebuchet MS"/>
          <w:sz w:val="18"/>
          <w:szCs w:val="18"/>
        </w:rPr>
        <w:t xml:space="preserve"> </w:t>
      </w:r>
      <w:proofErr w:type="spellStart"/>
      <w:r w:rsidRPr="00CE6E0E">
        <w:rPr>
          <w:rFonts w:ascii="Trebuchet MS" w:hAnsi="Trebuchet MS"/>
          <w:sz w:val="18"/>
          <w:szCs w:val="18"/>
        </w:rPr>
        <w:t>Buchanan</w:t>
      </w:r>
      <w:bookmarkEnd w:id="5"/>
      <w:r w:rsidRPr="00CE6E0E">
        <w:rPr>
          <w:rFonts w:ascii="Trebuchet MS" w:hAnsi="Trebuchet MS"/>
          <w:sz w:val="18"/>
          <w:szCs w:val="18"/>
        </w:rPr>
        <w:t>,J</w:t>
      </w:r>
      <w:proofErr w:type="spellEnd"/>
      <w:r w:rsidRPr="00CE6E0E">
        <w:rPr>
          <w:rFonts w:ascii="Trebuchet MS" w:hAnsi="Trebuchet MS"/>
          <w:sz w:val="18"/>
          <w:szCs w:val="18"/>
        </w:rPr>
        <w:t xml:space="preserve">, &amp; Yu, S 2015, </w:t>
      </w:r>
      <w:r w:rsidRPr="00A66061">
        <w:rPr>
          <w:rFonts w:ascii="Trebuchet MS" w:hAnsi="Trebuchet MS"/>
          <w:i/>
          <w:iCs/>
          <w:sz w:val="18"/>
          <w:szCs w:val="18"/>
        </w:rPr>
        <w:t>Linking qualifications and the labour market through capabilities and vocational streams</w:t>
      </w:r>
      <w:r w:rsidRPr="00CE6E0E">
        <w:rPr>
          <w:rFonts w:ascii="Trebuchet MS" w:hAnsi="Trebuchet MS"/>
          <w:sz w:val="18"/>
          <w:szCs w:val="18"/>
        </w:rPr>
        <w:t xml:space="preserve">, NCVER, Adelaide. </w:t>
      </w:r>
    </w:p>
    <w:p w:rsidR="00F13613" w:rsidRPr="00CE6E0E" w:rsidRDefault="00F13613" w:rsidP="00A66061">
      <w:pPr>
        <w:spacing w:before="120" w:after="120" w:line="240" w:lineRule="auto"/>
        <w:ind w:left="425" w:hanging="425"/>
        <w:rPr>
          <w:rFonts w:ascii="Trebuchet MS" w:hAnsi="Trebuchet MS"/>
          <w:sz w:val="18"/>
          <w:szCs w:val="18"/>
        </w:rPr>
      </w:pPr>
      <w:r w:rsidRPr="00CE6E0E">
        <w:rPr>
          <w:rFonts w:ascii="Trebuchet MS" w:hAnsi="Trebuchet MS"/>
          <w:sz w:val="18"/>
          <w:szCs w:val="18"/>
        </w:rPr>
        <w:t>Williams R &amp; Leahy A (2018)</w:t>
      </w:r>
      <w:r w:rsidR="00FA0598" w:rsidRPr="00CE6E0E">
        <w:rPr>
          <w:rFonts w:ascii="Trebuchet MS" w:hAnsi="Trebuchet MS"/>
          <w:sz w:val="18"/>
          <w:szCs w:val="18"/>
        </w:rPr>
        <w:t>,</w:t>
      </w:r>
      <w:r w:rsidRPr="00CE6E0E">
        <w:rPr>
          <w:rFonts w:ascii="Trebuchet MS" w:hAnsi="Trebuchet MS"/>
          <w:sz w:val="18"/>
          <w:szCs w:val="18"/>
        </w:rPr>
        <w:t xml:space="preserve"> </w:t>
      </w:r>
      <w:r w:rsidRPr="00A66061">
        <w:rPr>
          <w:rFonts w:ascii="Trebuchet MS" w:hAnsi="Trebuchet MS"/>
          <w:i/>
          <w:iCs/>
          <w:sz w:val="18"/>
          <w:szCs w:val="18"/>
        </w:rPr>
        <w:t>U21 Ranking of National Higher Education Systems</w:t>
      </w:r>
      <w:r w:rsidR="00A66061">
        <w:rPr>
          <w:rFonts w:ascii="Trebuchet MS" w:hAnsi="Trebuchet MS"/>
          <w:i/>
          <w:iCs/>
          <w:sz w:val="18"/>
          <w:szCs w:val="18"/>
        </w:rPr>
        <w:t>,</w:t>
      </w:r>
      <w:r w:rsidRPr="00CE6E0E">
        <w:rPr>
          <w:rFonts w:ascii="Trebuchet MS" w:hAnsi="Trebuchet MS"/>
          <w:sz w:val="18"/>
          <w:szCs w:val="18"/>
        </w:rPr>
        <w:t xml:space="preserve"> Birmingham</w:t>
      </w:r>
      <w:r w:rsidR="00C43BB2" w:rsidRPr="00CE6E0E">
        <w:rPr>
          <w:rFonts w:ascii="Trebuchet MS" w:hAnsi="Trebuchet MS"/>
          <w:sz w:val="18"/>
          <w:szCs w:val="18"/>
        </w:rPr>
        <w:t>,</w:t>
      </w:r>
      <w:r w:rsidRPr="00CE6E0E">
        <w:rPr>
          <w:rFonts w:ascii="Trebuchet MS" w:hAnsi="Trebuchet MS"/>
          <w:sz w:val="18"/>
          <w:szCs w:val="18"/>
        </w:rPr>
        <w:t xml:space="preserve"> UNIVERSITAS.21.</w:t>
      </w:r>
    </w:p>
    <w:p w:rsidR="00FC7454" w:rsidRPr="00CE6E0E" w:rsidRDefault="00F13613" w:rsidP="00CE6E0E">
      <w:pP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Williams W 2017, </w:t>
      </w:r>
      <w:r w:rsidRPr="008F31A9">
        <w:rPr>
          <w:rFonts w:ascii="Trebuchet MS" w:hAnsi="Trebuchet MS"/>
          <w:i/>
          <w:iCs/>
          <w:sz w:val="18"/>
          <w:szCs w:val="18"/>
        </w:rPr>
        <w:t>Growth of the Hybrid Economy</w:t>
      </w:r>
      <w:r w:rsidRPr="00CE6E0E">
        <w:rPr>
          <w:rFonts w:ascii="Trebuchet MS" w:hAnsi="Trebuchet MS"/>
          <w:sz w:val="18"/>
          <w:szCs w:val="18"/>
        </w:rPr>
        <w:t xml:space="preserve">, </w:t>
      </w:r>
      <w:proofErr w:type="spellStart"/>
      <w:r w:rsidRPr="00CE6E0E">
        <w:rPr>
          <w:rFonts w:ascii="Trebuchet MS" w:hAnsi="Trebuchet MS"/>
          <w:sz w:val="18"/>
          <w:szCs w:val="18"/>
        </w:rPr>
        <w:t>Probono</w:t>
      </w:r>
      <w:proofErr w:type="spellEnd"/>
      <w:r w:rsidRPr="00CE6E0E">
        <w:rPr>
          <w:rFonts w:ascii="Trebuchet MS" w:hAnsi="Trebuchet MS"/>
          <w:sz w:val="18"/>
          <w:szCs w:val="18"/>
        </w:rPr>
        <w:t xml:space="preserve"> Australia, Melbourne.</w:t>
      </w:r>
    </w:p>
    <w:p w:rsidR="0007518D" w:rsidRPr="00CE6E0E" w:rsidRDefault="0007518D" w:rsidP="00CE6E0E">
      <w:pPr>
        <w:pBdr>
          <w:bottom w:val="single" w:sz="12" w:space="1" w:color="auto"/>
        </w:pBdr>
        <w:spacing w:before="120" w:after="120" w:line="240" w:lineRule="auto"/>
        <w:ind w:left="425" w:hanging="425"/>
        <w:rPr>
          <w:rFonts w:ascii="Trebuchet MS" w:hAnsi="Trebuchet MS"/>
          <w:sz w:val="18"/>
          <w:szCs w:val="18"/>
        </w:rPr>
      </w:pPr>
      <w:r w:rsidRPr="00CE6E0E">
        <w:rPr>
          <w:rFonts w:ascii="Trebuchet MS" w:hAnsi="Trebuchet MS"/>
          <w:sz w:val="18"/>
          <w:szCs w:val="18"/>
        </w:rPr>
        <w:t xml:space="preserve">Wiseman J and Parry E, 2017, </w:t>
      </w:r>
      <w:r w:rsidRPr="00CE6E0E">
        <w:rPr>
          <w:rFonts w:ascii="Trebuchet MS" w:hAnsi="Trebuchet MS" w:cstheme="minorHAnsi"/>
          <w:i/>
          <w:iCs/>
          <w:sz w:val="18"/>
          <w:szCs w:val="18"/>
        </w:rPr>
        <w:t>Continuing vocational training survey: CVTS 5</w:t>
      </w:r>
      <w:r w:rsidRPr="00CE6E0E">
        <w:rPr>
          <w:rFonts w:ascii="Trebuchet MS" w:hAnsi="Trebuchet MS"/>
          <w:i/>
          <w:iCs/>
          <w:sz w:val="18"/>
          <w:szCs w:val="18"/>
        </w:rPr>
        <w:t>,</w:t>
      </w:r>
      <w:r w:rsidRPr="00CE6E0E">
        <w:rPr>
          <w:rFonts w:ascii="Trebuchet MS" w:hAnsi="Trebuchet MS"/>
          <w:sz w:val="18"/>
          <w:szCs w:val="18"/>
        </w:rPr>
        <w:t xml:space="preserve"> Department for Education, London.</w:t>
      </w:r>
    </w:p>
    <w:p w:rsidR="009D4B85" w:rsidRDefault="009D4B85" w:rsidP="008F31A9">
      <w:pPr>
        <w:rPr>
          <w:rFonts w:ascii="Trebuchet MS" w:hAnsi="Trebuchet MS"/>
          <w:b/>
          <w:bCs/>
          <w:sz w:val="19"/>
          <w:szCs w:val="19"/>
        </w:rPr>
      </w:pPr>
    </w:p>
    <w:p w:rsidR="00CA2BF5" w:rsidRPr="006720A4" w:rsidRDefault="00CA2BF5" w:rsidP="0028703B">
      <w:pPr>
        <w:rPr>
          <w:rFonts w:ascii="Trebuchet MS" w:hAnsi="Trebuchet MS"/>
          <w:sz w:val="19"/>
          <w:szCs w:val="19"/>
        </w:rPr>
      </w:pPr>
      <w:r w:rsidRPr="008F31A9">
        <w:rPr>
          <w:rFonts w:ascii="Trebuchet MS" w:hAnsi="Trebuchet MS"/>
          <w:b/>
          <w:bCs/>
          <w:sz w:val="19"/>
          <w:szCs w:val="19"/>
        </w:rPr>
        <w:t>Gerald Burke</w:t>
      </w:r>
      <w:r w:rsidR="008F31A9">
        <w:rPr>
          <w:rFonts w:ascii="Trebuchet MS" w:hAnsi="Trebuchet MS"/>
          <w:sz w:val="19"/>
          <w:szCs w:val="19"/>
        </w:rPr>
        <w:t>: A</w:t>
      </w:r>
      <w:r w:rsidRPr="008F31A9">
        <w:rPr>
          <w:rFonts w:ascii="Trebuchet MS" w:hAnsi="Trebuchet MS"/>
          <w:sz w:val="19"/>
          <w:szCs w:val="19"/>
        </w:rPr>
        <w:t xml:space="preserve">djunct </w:t>
      </w:r>
      <w:r w:rsidRPr="006720A4">
        <w:rPr>
          <w:rFonts w:ascii="Trebuchet MS" w:hAnsi="Trebuchet MS"/>
          <w:sz w:val="19"/>
          <w:szCs w:val="19"/>
        </w:rPr>
        <w:t xml:space="preserve">professor at Monash University and honorary principal fellow at the University of Melbourne. </w:t>
      </w:r>
      <w:r w:rsidR="008F31A9" w:rsidRPr="006720A4">
        <w:rPr>
          <w:rFonts w:ascii="Trebuchet MS" w:hAnsi="Trebuchet MS"/>
          <w:sz w:val="19"/>
          <w:szCs w:val="19"/>
        </w:rPr>
        <w:t>F</w:t>
      </w:r>
      <w:r w:rsidRPr="006720A4">
        <w:rPr>
          <w:rFonts w:ascii="Trebuchet MS" w:hAnsi="Trebuchet MS"/>
          <w:sz w:val="19"/>
          <w:szCs w:val="19"/>
        </w:rPr>
        <w:t>ormerly director of the Monash University-ACER Centre for the Economics of Education and Training, member of Skills Australia</w:t>
      </w:r>
      <w:r w:rsidR="00707F30" w:rsidRPr="006720A4">
        <w:rPr>
          <w:rFonts w:ascii="Trebuchet MS" w:hAnsi="Trebuchet MS"/>
          <w:sz w:val="19"/>
          <w:szCs w:val="19"/>
        </w:rPr>
        <w:t>/</w:t>
      </w:r>
      <w:r w:rsidRPr="006720A4">
        <w:rPr>
          <w:rFonts w:ascii="Trebuchet MS" w:hAnsi="Trebuchet MS"/>
          <w:sz w:val="19"/>
          <w:szCs w:val="19"/>
        </w:rPr>
        <w:t xml:space="preserve">Australian Workforce and Productivity Agency, chair of the Victorian Qualifications Authority, member of the Victorian Registrations and Qualifications Authority and member in 2011 of Victorian Minister’s panel </w:t>
      </w:r>
      <w:r w:rsidR="0028703B">
        <w:rPr>
          <w:rFonts w:ascii="Trebuchet MS" w:hAnsi="Trebuchet MS"/>
          <w:sz w:val="19"/>
          <w:szCs w:val="19"/>
        </w:rPr>
        <w:t xml:space="preserve">for </w:t>
      </w:r>
      <w:r w:rsidRPr="006720A4">
        <w:rPr>
          <w:rFonts w:ascii="Trebuchet MS" w:hAnsi="Trebuchet MS"/>
          <w:sz w:val="19"/>
          <w:szCs w:val="19"/>
        </w:rPr>
        <w:t>public consultations on a review of fees and funding for vocational education</w:t>
      </w:r>
      <w:r w:rsidR="00707F30" w:rsidRPr="006720A4">
        <w:rPr>
          <w:rFonts w:ascii="Trebuchet MS" w:hAnsi="Trebuchet MS"/>
          <w:sz w:val="19"/>
          <w:szCs w:val="19"/>
        </w:rPr>
        <w:t>.</w:t>
      </w:r>
    </w:p>
    <w:sectPr w:rsidR="00CA2BF5" w:rsidRPr="006720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A9" w:rsidRDefault="009B00A9" w:rsidP="004E7800">
      <w:pPr>
        <w:spacing w:after="0" w:line="240" w:lineRule="auto"/>
      </w:pPr>
      <w:r>
        <w:separator/>
      </w:r>
    </w:p>
  </w:endnote>
  <w:endnote w:type="continuationSeparator" w:id="0">
    <w:p w:rsidR="009B00A9" w:rsidRDefault="009B00A9" w:rsidP="004E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no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821073"/>
      <w:docPartObj>
        <w:docPartGallery w:val="Page Numbers (Bottom of Page)"/>
        <w:docPartUnique/>
      </w:docPartObj>
    </w:sdtPr>
    <w:sdtEndPr>
      <w:rPr>
        <w:noProof/>
      </w:rPr>
    </w:sdtEndPr>
    <w:sdtContent>
      <w:p w:rsidR="009B00A9" w:rsidRDefault="009B00A9">
        <w:pPr>
          <w:pStyle w:val="Footer"/>
          <w:jc w:val="right"/>
        </w:pPr>
        <w:r>
          <w:fldChar w:fldCharType="begin"/>
        </w:r>
        <w:r>
          <w:instrText xml:space="preserve"> PAGE   \* MERGEFORMAT </w:instrText>
        </w:r>
        <w:r>
          <w:fldChar w:fldCharType="separate"/>
        </w:r>
        <w:r w:rsidR="00456CFE">
          <w:rPr>
            <w:noProof/>
          </w:rPr>
          <w:t>1</w:t>
        </w:r>
        <w:r>
          <w:rPr>
            <w:noProof/>
          </w:rPr>
          <w:fldChar w:fldCharType="end"/>
        </w:r>
      </w:p>
    </w:sdtContent>
  </w:sdt>
  <w:p w:rsidR="009B00A9" w:rsidRDefault="009B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A9" w:rsidRDefault="009B00A9" w:rsidP="004E7800">
      <w:pPr>
        <w:spacing w:after="0" w:line="240" w:lineRule="auto"/>
      </w:pPr>
      <w:r>
        <w:separator/>
      </w:r>
    </w:p>
  </w:footnote>
  <w:footnote w:type="continuationSeparator" w:id="0">
    <w:p w:rsidR="009B00A9" w:rsidRDefault="009B00A9" w:rsidP="004E7800">
      <w:pPr>
        <w:spacing w:after="0" w:line="240" w:lineRule="auto"/>
      </w:pPr>
      <w:r>
        <w:continuationSeparator/>
      </w:r>
    </w:p>
  </w:footnote>
  <w:footnote w:id="1">
    <w:p w:rsidR="006E2814" w:rsidRPr="00CE6E0E" w:rsidRDefault="006E2814" w:rsidP="00D841D3">
      <w:pPr>
        <w:autoSpaceDE w:val="0"/>
        <w:autoSpaceDN w:val="0"/>
        <w:adjustRightInd w:val="0"/>
        <w:spacing w:after="0" w:line="240" w:lineRule="auto"/>
        <w:rPr>
          <w:rFonts w:ascii="Trebuchet MS" w:hAnsi="Trebuchet MS" w:cs="Calibri"/>
          <w:sz w:val="16"/>
          <w:szCs w:val="16"/>
        </w:rPr>
      </w:pPr>
      <w:r w:rsidRPr="00593A02">
        <w:rPr>
          <w:rStyle w:val="FootnoteReference"/>
        </w:rPr>
        <w:footnoteRef/>
      </w:r>
      <w:r w:rsidRPr="00593A02">
        <w:t xml:space="preserve">  </w:t>
      </w:r>
      <w:r w:rsidRPr="00CE6E0E">
        <w:rPr>
          <w:rFonts w:ascii="Trebuchet MS" w:hAnsi="Trebuchet MS" w:cs="Calibri"/>
          <w:sz w:val="16"/>
          <w:szCs w:val="16"/>
        </w:rPr>
        <w:t xml:space="preserve">Braithwaite (2018) advocated increased external assessment. Much earlier an OECD review </w:t>
      </w:r>
      <w:r w:rsidR="003C1821" w:rsidRPr="00CE6E0E">
        <w:rPr>
          <w:rFonts w:ascii="Trebuchet MS" w:hAnsi="Trebuchet MS" w:cs="Calibri"/>
          <w:sz w:val="16"/>
          <w:szCs w:val="16"/>
        </w:rPr>
        <w:t xml:space="preserve">of Australian VET recommended </w:t>
      </w:r>
      <w:r w:rsidR="00593A02" w:rsidRPr="00CE6E0E">
        <w:rPr>
          <w:rFonts w:ascii="Trebuchet MS" w:hAnsi="Trebuchet MS" w:cs="Calibri"/>
          <w:sz w:val="16"/>
          <w:szCs w:val="16"/>
        </w:rPr>
        <w:t>exit tests</w:t>
      </w:r>
      <w:r w:rsidRPr="00CE6E0E">
        <w:rPr>
          <w:rFonts w:ascii="Trebuchet MS" w:hAnsi="Trebuchet MS" w:cs="Calibri"/>
          <w:sz w:val="16"/>
          <w:szCs w:val="16"/>
        </w:rPr>
        <w:t>:</w:t>
      </w:r>
      <w:r w:rsidR="00593A02" w:rsidRPr="00CE6E0E">
        <w:rPr>
          <w:rFonts w:ascii="Trebuchet MS" w:hAnsi="Trebuchet MS" w:cs="Calibri"/>
          <w:sz w:val="16"/>
          <w:szCs w:val="16"/>
        </w:rPr>
        <w:t xml:space="preserve"> “</w:t>
      </w:r>
      <w:r w:rsidRPr="00CE6E0E">
        <w:rPr>
          <w:rFonts w:ascii="Trebuchet MS" w:hAnsi="Trebuchet MS" w:cs="Calibri"/>
          <w:sz w:val="16"/>
          <w:szCs w:val="16"/>
        </w:rPr>
        <w:t>Several less centralised countries with competence based training also require national or external exit tests to obtain a VET qualification</w:t>
      </w:r>
      <w:r w:rsidR="00593A02" w:rsidRPr="00CE6E0E">
        <w:rPr>
          <w:rFonts w:ascii="Trebuchet MS" w:hAnsi="Trebuchet MS" w:cs="Calibri"/>
          <w:sz w:val="16"/>
          <w:szCs w:val="16"/>
        </w:rPr>
        <w:t>’</w:t>
      </w:r>
      <w:r w:rsidRPr="00CE6E0E">
        <w:rPr>
          <w:rFonts w:ascii="Trebuchet MS" w:hAnsi="Trebuchet MS" w:cs="Calibri"/>
          <w:sz w:val="16"/>
          <w:szCs w:val="16"/>
        </w:rPr>
        <w:t xml:space="preserve"> (</w:t>
      </w:r>
      <w:proofErr w:type="spellStart"/>
      <w:r w:rsidRPr="00CE6E0E">
        <w:rPr>
          <w:rFonts w:ascii="Trebuchet MS" w:hAnsi="Trebuchet MS" w:cs="Calibri"/>
          <w:sz w:val="16"/>
          <w:szCs w:val="16"/>
        </w:rPr>
        <w:t>Hoeckel</w:t>
      </w:r>
      <w:proofErr w:type="spellEnd"/>
      <w:r w:rsidRPr="00CE6E0E">
        <w:rPr>
          <w:rFonts w:ascii="Trebuchet MS" w:hAnsi="Trebuchet MS" w:cs="Calibri"/>
          <w:sz w:val="16"/>
          <w:szCs w:val="16"/>
        </w:rPr>
        <w:t xml:space="preserve"> 2008).</w:t>
      </w:r>
    </w:p>
    <w:p w:rsidR="006E2814" w:rsidRPr="00CE6E0E" w:rsidRDefault="006E2814" w:rsidP="006E2814">
      <w:pPr>
        <w:autoSpaceDE w:val="0"/>
        <w:autoSpaceDN w:val="0"/>
        <w:adjustRightInd w:val="0"/>
        <w:spacing w:after="0" w:line="240" w:lineRule="auto"/>
        <w:rPr>
          <w:rFonts w:ascii="Trebuchet MS" w:hAnsi="Trebuchet MS" w:cs="Calibri"/>
          <w:sz w:val="16"/>
          <w:szCs w:val="16"/>
        </w:rPr>
      </w:pPr>
    </w:p>
    <w:p w:rsidR="006E2814" w:rsidRPr="00593A02" w:rsidRDefault="00593A02" w:rsidP="00EC2363">
      <w:pPr>
        <w:autoSpaceDE w:val="0"/>
        <w:autoSpaceDN w:val="0"/>
        <w:adjustRightInd w:val="0"/>
        <w:spacing w:after="0" w:line="240" w:lineRule="auto"/>
        <w:rPr>
          <w:rFonts w:ascii="Calibri" w:hAnsi="Calibri" w:cs="Calibri"/>
          <w:sz w:val="20"/>
          <w:szCs w:val="20"/>
        </w:rPr>
      </w:pPr>
      <w:r w:rsidRPr="00CE6E0E">
        <w:rPr>
          <w:rFonts w:ascii="Trebuchet MS" w:hAnsi="Trebuchet MS" w:cs="Calibri"/>
          <w:sz w:val="16"/>
          <w:szCs w:val="16"/>
        </w:rPr>
        <w:t xml:space="preserve">The first recommendation by Skills Australia in its Roadmap for VET (2011) </w:t>
      </w:r>
      <w:r w:rsidR="00EC2363" w:rsidRPr="00CE6E0E">
        <w:rPr>
          <w:rFonts w:ascii="Trebuchet MS" w:hAnsi="Trebuchet MS" w:cs="Calibri"/>
          <w:sz w:val="16"/>
          <w:szCs w:val="16"/>
        </w:rPr>
        <w:t xml:space="preserve">included </w:t>
      </w:r>
      <w:r w:rsidRPr="00CE6E0E">
        <w:rPr>
          <w:rFonts w:ascii="Trebuchet MS" w:hAnsi="Trebuchet MS" w:cs="Calibri"/>
          <w:sz w:val="16"/>
          <w:szCs w:val="16"/>
        </w:rPr>
        <w:t xml:space="preserve"> that </w:t>
      </w:r>
      <w:r w:rsidR="006E2814" w:rsidRPr="00CE6E0E">
        <w:rPr>
          <w:rFonts w:ascii="Trebuchet MS" w:hAnsi="Trebuchet MS" w:cs="Calibri"/>
          <w:sz w:val="16"/>
          <w:szCs w:val="16"/>
        </w:rPr>
        <w:t>the national introduction of student and employer demand-based</w:t>
      </w:r>
      <w:r w:rsidRPr="00CE6E0E">
        <w:rPr>
          <w:rFonts w:ascii="Trebuchet MS" w:hAnsi="Trebuchet MS" w:cs="Calibri"/>
          <w:sz w:val="16"/>
          <w:szCs w:val="16"/>
        </w:rPr>
        <w:t xml:space="preserve"> </w:t>
      </w:r>
      <w:r w:rsidR="006E2814" w:rsidRPr="00CE6E0E">
        <w:rPr>
          <w:rFonts w:ascii="Trebuchet MS" w:hAnsi="Trebuchet MS" w:cs="Calibri"/>
          <w:sz w:val="16"/>
          <w:szCs w:val="16"/>
        </w:rPr>
        <w:t xml:space="preserve">funding </w:t>
      </w:r>
      <w:r w:rsidRPr="00CE6E0E">
        <w:rPr>
          <w:rFonts w:ascii="Trebuchet MS" w:hAnsi="Trebuchet MS" w:cs="Calibri"/>
          <w:sz w:val="16"/>
          <w:szCs w:val="16"/>
        </w:rPr>
        <w:t xml:space="preserve">[entitlement schemes] </w:t>
      </w:r>
      <w:r w:rsidR="006E2814" w:rsidRPr="00CE6E0E">
        <w:rPr>
          <w:rFonts w:ascii="Trebuchet MS" w:hAnsi="Trebuchet MS" w:cs="Calibri"/>
          <w:sz w:val="16"/>
          <w:szCs w:val="16"/>
        </w:rPr>
        <w:t>should not occur</w:t>
      </w:r>
      <w:r w:rsidRPr="00CE6E0E">
        <w:rPr>
          <w:rFonts w:ascii="Trebuchet MS" w:hAnsi="Trebuchet MS" w:cs="Calibri"/>
          <w:sz w:val="16"/>
          <w:szCs w:val="16"/>
        </w:rPr>
        <w:t xml:space="preserve"> </w:t>
      </w:r>
      <w:r w:rsidR="006E2814" w:rsidRPr="00CE6E0E">
        <w:rPr>
          <w:rFonts w:ascii="Trebuchet MS" w:hAnsi="Trebuchet MS" w:cs="Calibri"/>
          <w:sz w:val="16"/>
          <w:szCs w:val="16"/>
        </w:rPr>
        <w:t xml:space="preserve">until the quality provisions outlined </w:t>
      </w:r>
      <w:r w:rsidRPr="00CE6E0E">
        <w:rPr>
          <w:rFonts w:ascii="Trebuchet MS" w:hAnsi="Trebuchet MS" w:cs="Calibri"/>
          <w:sz w:val="16"/>
          <w:szCs w:val="16"/>
        </w:rPr>
        <w:t xml:space="preserve">{on external validation} were </w:t>
      </w:r>
      <w:r w:rsidR="006E2814" w:rsidRPr="00CE6E0E">
        <w:rPr>
          <w:rFonts w:ascii="Trebuchet MS" w:hAnsi="Trebuchet MS" w:cs="Calibri"/>
          <w:sz w:val="16"/>
          <w:szCs w:val="16"/>
        </w:rPr>
        <w:t>in place to ensure</w:t>
      </w:r>
      <w:r w:rsidRPr="00CE6E0E">
        <w:rPr>
          <w:rFonts w:ascii="Trebuchet MS" w:hAnsi="Trebuchet MS" w:cs="Calibri"/>
          <w:sz w:val="16"/>
          <w:szCs w:val="16"/>
        </w:rPr>
        <w:t xml:space="preserve"> </w:t>
      </w:r>
      <w:r w:rsidR="006E2814" w:rsidRPr="00CE6E0E">
        <w:rPr>
          <w:rFonts w:ascii="Trebuchet MS" w:hAnsi="Trebuchet MS" w:cs="Calibri"/>
          <w:sz w:val="16"/>
          <w:szCs w:val="16"/>
        </w:rPr>
        <w:t xml:space="preserve">quality of delivery </w:t>
      </w:r>
      <w:r w:rsidRPr="00CE6E0E">
        <w:rPr>
          <w:rFonts w:ascii="Trebuchet MS" w:hAnsi="Trebuchet MS" w:cs="Calibri"/>
          <w:sz w:val="16"/>
          <w:szCs w:val="16"/>
        </w:rPr>
        <w:t>is reinforced. They were</w:t>
      </w:r>
      <w:r w:rsidR="00FB7C51" w:rsidRPr="00CE6E0E">
        <w:rPr>
          <w:rFonts w:ascii="Trebuchet MS" w:hAnsi="Trebuchet MS" w:cs="Calibri"/>
          <w:sz w:val="16"/>
          <w:szCs w:val="16"/>
        </w:rPr>
        <w:t xml:space="preserve"> not </w:t>
      </w:r>
      <w:r w:rsidRPr="00CE6E0E">
        <w:rPr>
          <w:rFonts w:ascii="Trebuchet MS" w:hAnsi="Trebuchet MS" w:cs="Calibri"/>
          <w:sz w:val="16"/>
          <w:szCs w:val="16"/>
        </w:rPr>
        <w:t>in place.</w:t>
      </w:r>
      <w:r w:rsidR="006E2814" w:rsidRPr="00593A02">
        <w:rPr>
          <w:rFonts w:ascii="Calibri" w:hAnsi="Calibri" w:cs="Calibri"/>
          <w:sz w:val="20"/>
          <w:szCs w:val="20"/>
        </w:rPr>
        <w:t xml:space="preserve"> </w:t>
      </w:r>
    </w:p>
  </w:footnote>
  <w:footnote w:id="2">
    <w:p w:rsidR="00F73BBA" w:rsidRPr="00124032" w:rsidRDefault="00F73BBA" w:rsidP="00F73BBA">
      <w:pPr>
        <w:pStyle w:val="Text"/>
        <w:spacing w:before="0" w:line="240" w:lineRule="auto"/>
        <w:rPr>
          <w:sz w:val="16"/>
          <w:szCs w:val="16"/>
        </w:rPr>
      </w:pPr>
      <w:r>
        <w:rPr>
          <w:rStyle w:val="FootnoteReference"/>
        </w:rPr>
        <w:footnoteRef/>
      </w:r>
      <w:r>
        <w:t xml:space="preserve"> </w:t>
      </w:r>
      <w:r w:rsidRPr="00124032">
        <w:rPr>
          <w:sz w:val="16"/>
          <w:szCs w:val="16"/>
        </w:rPr>
        <w:t xml:space="preserve">Until 20 years ago there were regular ABS surveys of employer expenditure on training. Based on the last one </w:t>
      </w:r>
      <w:r>
        <w:rPr>
          <w:sz w:val="16"/>
          <w:szCs w:val="16"/>
        </w:rPr>
        <w:t>(ABS 2003)</w:t>
      </w:r>
      <w:r w:rsidRPr="00124032">
        <w:rPr>
          <w:sz w:val="16"/>
          <w:szCs w:val="16"/>
        </w:rPr>
        <w:t xml:space="preserve"> </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 xml:space="preserve">Of the total $3.7 billion in 2001-02 over </w:t>
      </w:r>
      <w:r w:rsidRPr="00124032">
        <w:rPr>
          <w:rFonts w:ascii="Trebuchet MS" w:hAnsi="Trebuchet MS" w:cstheme="minorHAnsi"/>
          <w:b/>
          <w:bCs/>
          <w:sz w:val="16"/>
          <w:szCs w:val="16"/>
        </w:rPr>
        <w:t>$1 billion was for in-house trainers’</w:t>
      </w:r>
      <w:r w:rsidRPr="00124032">
        <w:rPr>
          <w:rFonts w:ascii="Trebuchet MS" w:hAnsi="Trebuchet MS" w:cstheme="minorHAnsi"/>
          <w:sz w:val="16"/>
          <w:szCs w:val="16"/>
        </w:rPr>
        <w:t xml:space="preserve"> wages and salaries (or adjusting for CPI $1.5 billion in 2018-19)</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 xml:space="preserve">About 40 per cent of employers undertook structured training </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 xml:space="preserve">Of the employers providing structured training a third engaged apprentices or trainees. </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 xml:space="preserve">Employers of apprentices or trainees received at least 80 per cent of all government subsidies to employers —with subsidies reported as 10 per cent of total employer expenditures  </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 xml:space="preserve">The large majority of employers providing structured training used external providers for some or all of the training — private providers used by 40 per cent and TAFE a little less </w:t>
      </w:r>
    </w:p>
    <w:p w:rsidR="00F73BBA" w:rsidRPr="00124032" w:rsidRDefault="00F73BBA" w:rsidP="00F73BBA">
      <w:pPr>
        <w:pStyle w:val="ListParagraph"/>
        <w:numPr>
          <w:ilvl w:val="0"/>
          <w:numId w:val="7"/>
        </w:numPr>
        <w:shd w:val="clear" w:color="auto" w:fill="FFFFFF"/>
        <w:spacing w:line="240" w:lineRule="auto"/>
        <w:rPr>
          <w:rFonts w:ascii="Trebuchet MS" w:hAnsi="Trebuchet MS" w:cstheme="minorHAnsi"/>
          <w:sz w:val="16"/>
          <w:szCs w:val="16"/>
        </w:rPr>
      </w:pPr>
      <w:r w:rsidRPr="00124032">
        <w:rPr>
          <w:rFonts w:ascii="Trebuchet MS" w:hAnsi="Trebuchet MS" w:cstheme="minorHAnsi"/>
          <w:sz w:val="16"/>
          <w:szCs w:val="16"/>
        </w:rPr>
        <w:t>The amount spent on external providers was not estimated.</w:t>
      </w:r>
    </w:p>
    <w:p w:rsidR="00F73BBA" w:rsidRPr="00124032" w:rsidRDefault="00F73BBA" w:rsidP="00F73BBA">
      <w:pPr>
        <w:pStyle w:val="Text"/>
        <w:spacing w:before="0" w:line="240" w:lineRule="auto"/>
        <w:rPr>
          <w:sz w:val="16"/>
          <w:szCs w:val="16"/>
        </w:rPr>
      </w:pPr>
      <w:r w:rsidRPr="00124032">
        <w:rPr>
          <w:sz w:val="16"/>
          <w:szCs w:val="16"/>
        </w:rPr>
        <w:t xml:space="preserve">Britain and the European Union regularly undertake surveys of employer expenditure (UK 2014, Wiseman &amp; Parry 2017). Smith et al (2008) argued in favour of a similar survey in Australia while accepting the difficulties in the past in collecting reliable data by employer surveys. </w:t>
      </w:r>
    </w:p>
    <w:p w:rsidR="00F73BBA" w:rsidRDefault="00F73BBA" w:rsidP="00F73BBA">
      <w:pPr>
        <w:pStyle w:val="FootnoteText"/>
      </w:pPr>
    </w:p>
  </w:footnote>
  <w:footnote w:id="3">
    <w:p w:rsidR="009B00A9" w:rsidRDefault="009B00A9" w:rsidP="003D74C1">
      <w:pPr>
        <w:shd w:val="clear" w:color="auto" w:fill="FFFFFF"/>
        <w:spacing w:line="220" w:lineRule="exact"/>
        <w:ind w:firstLine="284"/>
        <w:rPr>
          <w:rFonts w:cstheme="minorHAnsi"/>
          <w:color w:val="222222"/>
        </w:rPr>
      </w:pPr>
      <w:r>
        <w:rPr>
          <w:rStyle w:val="FootnoteReference"/>
        </w:rPr>
        <w:footnoteRef/>
      </w:r>
      <w:r>
        <w:t xml:space="preserve"> </w:t>
      </w:r>
      <w:r w:rsidRPr="00E61F5F">
        <w:rPr>
          <w:rFonts w:cstheme="minorHAnsi"/>
          <w:color w:val="222222"/>
          <w:sz w:val="16"/>
          <w:szCs w:val="16"/>
        </w:rPr>
        <w:t xml:space="preserve">Apprentices can access Youth allowance even though they are part-time students but few do, presumably because of the income test. Trade apprentices also have access to Trade </w:t>
      </w:r>
      <w:r w:rsidR="003D74C1">
        <w:rPr>
          <w:rFonts w:cstheme="minorHAnsi"/>
          <w:color w:val="222222"/>
          <w:sz w:val="16"/>
          <w:szCs w:val="16"/>
        </w:rPr>
        <w:t>S</w:t>
      </w:r>
      <w:r w:rsidRPr="00E61F5F">
        <w:rPr>
          <w:rFonts w:cstheme="minorHAnsi"/>
          <w:color w:val="222222"/>
          <w:sz w:val="16"/>
          <w:szCs w:val="16"/>
        </w:rPr>
        <w:t xml:space="preserve">upport </w:t>
      </w:r>
      <w:r w:rsidR="003D74C1">
        <w:rPr>
          <w:rFonts w:cstheme="minorHAnsi"/>
          <w:color w:val="222222"/>
          <w:sz w:val="16"/>
          <w:szCs w:val="16"/>
        </w:rPr>
        <w:t>L</w:t>
      </w:r>
      <w:r w:rsidRPr="00E61F5F">
        <w:rPr>
          <w:rFonts w:cstheme="minorHAnsi"/>
          <w:color w:val="222222"/>
          <w:sz w:val="16"/>
          <w:szCs w:val="16"/>
        </w:rPr>
        <w:t>oans from the Commonwealth</w:t>
      </w:r>
      <w:r w:rsidR="00EA77A6">
        <w:rPr>
          <w:rFonts w:cstheme="minorHAnsi"/>
          <w:color w:val="222222"/>
          <w:sz w:val="16"/>
          <w:szCs w:val="16"/>
        </w:rPr>
        <w:t>.</w:t>
      </w:r>
    </w:p>
    <w:p w:rsidR="009B00A9" w:rsidRPr="009101EA" w:rsidRDefault="009B00A9" w:rsidP="002E6551">
      <w:pPr>
        <w:shd w:val="clear" w:color="auto" w:fill="FFFFFF"/>
        <w:spacing w:line="220" w:lineRule="exact"/>
        <w:ind w:firstLine="284"/>
        <w:rPr>
          <w:rFonts w:cstheme="minorHAnsi"/>
          <w:color w:val="2222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684" w:hanging="284"/>
      </w:pPr>
      <w:rPr>
        <w:rFonts w:ascii="Wingdings" w:hAnsi="Wingdings" w:cs="Wingdings"/>
        <w:b w:val="0"/>
        <w:bCs w:val="0"/>
        <w:w w:val="99"/>
        <w:sz w:val="19"/>
        <w:szCs w:val="19"/>
      </w:rPr>
    </w:lvl>
    <w:lvl w:ilvl="1">
      <w:numFmt w:val="bullet"/>
      <w:lvlText w:val="•"/>
      <w:lvlJc w:val="left"/>
      <w:pPr>
        <w:ind w:left="1569" w:hanging="284"/>
      </w:pPr>
    </w:lvl>
    <w:lvl w:ilvl="2">
      <w:numFmt w:val="bullet"/>
      <w:lvlText w:val="•"/>
      <w:lvlJc w:val="left"/>
      <w:pPr>
        <w:ind w:left="2456" w:hanging="284"/>
      </w:pPr>
    </w:lvl>
    <w:lvl w:ilvl="3">
      <w:numFmt w:val="bullet"/>
      <w:lvlText w:val="•"/>
      <w:lvlJc w:val="left"/>
      <w:pPr>
        <w:ind w:left="3342" w:hanging="284"/>
      </w:pPr>
    </w:lvl>
    <w:lvl w:ilvl="4">
      <w:numFmt w:val="bullet"/>
      <w:lvlText w:val="•"/>
      <w:lvlJc w:val="left"/>
      <w:pPr>
        <w:ind w:left="4229" w:hanging="284"/>
      </w:pPr>
    </w:lvl>
    <w:lvl w:ilvl="5">
      <w:numFmt w:val="bullet"/>
      <w:lvlText w:val="•"/>
      <w:lvlJc w:val="left"/>
      <w:pPr>
        <w:ind w:left="5116" w:hanging="284"/>
      </w:pPr>
    </w:lvl>
    <w:lvl w:ilvl="6">
      <w:numFmt w:val="bullet"/>
      <w:lvlText w:val="•"/>
      <w:lvlJc w:val="left"/>
      <w:pPr>
        <w:ind w:left="6002" w:hanging="284"/>
      </w:pPr>
    </w:lvl>
    <w:lvl w:ilvl="7">
      <w:numFmt w:val="bullet"/>
      <w:lvlText w:val="•"/>
      <w:lvlJc w:val="left"/>
      <w:pPr>
        <w:ind w:left="6889" w:hanging="284"/>
      </w:pPr>
    </w:lvl>
    <w:lvl w:ilvl="8">
      <w:numFmt w:val="bullet"/>
      <w:lvlText w:val="•"/>
      <w:lvlJc w:val="left"/>
      <w:pPr>
        <w:ind w:left="7776" w:hanging="284"/>
      </w:pPr>
    </w:lvl>
  </w:abstractNum>
  <w:abstractNum w:abstractNumId="1" w15:restartNumberingAfterBreak="0">
    <w:nsid w:val="058F60A5"/>
    <w:multiLevelType w:val="hybridMultilevel"/>
    <w:tmpl w:val="BF1E8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6FF05DF"/>
    <w:multiLevelType w:val="singleLevel"/>
    <w:tmpl w:val="00000000"/>
    <w:lvl w:ilvl="0">
      <w:numFmt w:val="bullet"/>
      <w:pStyle w:val="Dotpoint1"/>
      <w:lvlText w:val=""/>
      <w:lvlJc w:val="left"/>
      <w:pPr>
        <w:tabs>
          <w:tab w:val="num" w:pos="360"/>
        </w:tabs>
        <w:ind w:left="360" w:hanging="360"/>
      </w:pPr>
      <w:rPr>
        <w:rFonts w:ascii="Wingdings" w:hAnsi="Wingdings" w:hint="default"/>
      </w:rPr>
    </w:lvl>
  </w:abstractNum>
  <w:abstractNum w:abstractNumId="4" w15:restartNumberingAfterBreak="0">
    <w:nsid w:val="17B416DA"/>
    <w:multiLevelType w:val="hybridMultilevel"/>
    <w:tmpl w:val="C6240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C65E4A"/>
    <w:multiLevelType w:val="multilevel"/>
    <w:tmpl w:val="EB2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85CA4"/>
    <w:multiLevelType w:val="hybridMultilevel"/>
    <w:tmpl w:val="B798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5511D1"/>
    <w:multiLevelType w:val="hybridMultilevel"/>
    <w:tmpl w:val="6DD874B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0" w15:restartNumberingAfterBreak="0">
    <w:nsid w:val="54A75481"/>
    <w:multiLevelType w:val="hybridMultilevel"/>
    <w:tmpl w:val="3566D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BA2106"/>
    <w:multiLevelType w:val="hybridMultilevel"/>
    <w:tmpl w:val="384E9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3"/>
  </w:num>
  <w:num w:numId="5">
    <w:abstractNumId w:val="3"/>
  </w:num>
  <w:num w:numId="6">
    <w:abstractNumId w:val="2"/>
  </w:num>
  <w:num w:numId="7">
    <w:abstractNumId w:val="11"/>
  </w:num>
  <w:num w:numId="8">
    <w:abstractNumId w:val="0"/>
  </w:num>
  <w:num w:numId="9">
    <w:abstractNumId w:val="7"/>
  </w:num>
  <w:num w:numId="10">
    <w:abstractNumId w:val="10"/>
  </w:num>
  <w:num w:numId="11">
    <w:abstractNumId w:val="6"/>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00"/>
    <w:rsid w:val="000007CF"/>
    <w:rsid w:val="00001F7A"/>
    <w:rsid w:val="000146F5"/>
    <w:rsid w:val="00022D83"/>
    <w:rsid w:val="00024B1E"/>
    <w:rsid w:val="00035BAA"/>
    <w:rsid w:val="000411F0"/>
    <w:rsid w:val="00044ABF"/>
    <w:rsid w:val="00047581"/>
    <w:rsid w:val="00060989"/>
    <w:rsid w:val="00065C2E"/>
    <w:rsid w:val="0007518D"/>
    <w:rsid w:val="00080A5A"/>
    <w:rsid w:val="000816D8"/>
    <w:rsid w:val="00093579"/>
    <w:rsid w:val="000A1A84"/>
    <w:rsid w:val="000B28A2"/>
    <w:rsid w:val="000B6E6C"/>
    <w:rsid w:val="000D4714"/>
    <w:rsid w:val="000D6056"/>
    <w:rsid w:val="000E1A98"/>
    <w:rsid w:val="000F2A3B"/>
    <w:rsid w:val="001014C7"/>
    <w:rsid w:val="0010212C"/>
    <w:rsid w:val="001054AA"/>
    <w:rsid w:val="00120252"/>
    <w:rsid w:val="00124032"/>
    <w:rsid w:val="0012739D"/>
    <w:rsid w:val="001300B8"/>
    <w:rsid w:val="00137FEE"/>
    <w:rsid w:val="001458F0"/>
    <w:rsid w:val="00150759"/>
    <w:rsid w:val="00164CB7"/>
    <w:rsid w:val="00166AE8"/>
    <w:rsid w:val="00173B87"/>
    <w:rsid w:val="001918AF"/>
    <w:rsid w:val="0019412F"/>
    <w:rsid w:val="0019694B"/>
    <w:rsid w:val="00197B74"/>
    <w:rsid w:val="001A0BFE"/>
    <w:rsid w:val="001A1F3A"/>
    <w:rsid w:val="001B00F9"/>
    <w:rsid w:val="001B282E"/>
    <w:rsid w:val="001B2A12"/>
    <w:rsid w:val="001D3A2F"/>
    <w:rsid w:val="001D420F"/>
    <w:rsid w:val="001D5D66"/>
    <w:rsid w:val="001D7F14"/>
    <w:rsid w:val="001E5BB8"/>
    <w:rsid w:val="002044E0"/>
    <w:rsid w:val="0021086B"/>
    <w:rsid w:val="002168BE"/>
    <w:rsid w:val="0021755F"/>
    <w:rsid w:val="002215AF"/>
    <w:rsid w:val="00225A71"/>
    <w:rsid w:val="00226314"/>
    <w:rsid w:val="002324C0"/>
    <w:rsid w:val="0023792B"/>
    <w:rsid w:val="00251BA9"/>
    <w:rsid w:val="00255340"/>
    <w:rsid w:val="00255788"/>
    <w:rsid w:val="00261FD6"/>
    <w:rsid w:val="0026263B"/>
    <w:rsid w:val="002727A3"/>
    <w:rsid w:val="00276DC6"/>
    <w:rsid w:val="00282C7A"/>
    <w:rsid w:val="002849DE"/>
    <w:rsid w:val="00284C08"/>
    <w:rsid w:val="0028703B"/>
    <w:rsid w:val="00292352"/>
    <w:rsid w:val="00294C98"/>
    <w:rsid w:val="002A4BEE"/>
    <w:rsid w:val="002A4F19"/>
    <w:rsid w:val="002A76EC"/>
    <w:rsid w:val="002B6506"/>
    <w:rsid w:val="002C4B3A"/>
    <w:rsid w:val="002E6551"/>
    <w:rsid w:val="002E7070"/>
    <w:rsid w:val="002E7B61"/>
    <w:rsid w:val="002F4A23"/>
    <w:rsid w:val="002F786C"/>
    <w:rsid w:val="0031610F"/>
    <w:rsid w:val="00342029"/>
    <w:rsid w:val="00344FF2"/>
    <w:rsid w:val="00350237"/>
    <w:rsid w:val="00353CDE"/>
    <w:rsid w:val="00365397"/>
    <w:rsid w:val="00366B79"/>
    <w:rsid w:val="003748AB"/>
    <w:rsid w:val="00374DF9"/>
    <w:rsid w:val="00397037"/>
    <w:rsid w:val="003A417A"/>
    <w:rsid w:val="003B7872"/>
    <w:rsid w:val="003C096F"/>
    <w:rsid w:val="003C0CB9"/>
    <w:rsid w:val="003C0E04"/>
    <w:rsid w:val="003C1821"/>
    <w:rsid w:val="003D03F3"/>
    <w:rsid w:val="003D621B"/>
    <w:rsid w:val="003D74C1"/>
    <w:rsid w:val="003E4584"/>
    <w:rsid w:val="003E5873"/>
    <w:rsid w:val="003F194D"/>
    <w:rsid w:val="003F1D4F"/>
    <w:rsid w:val="003F36A3"/>
    <w:rsid w:val="00406D96"/>
    <w:rsid w:val="004124C8"/>
    <w:rsid w:val="004136F9"/>
    <w:rsid w:val="00413BD1"/>
    <w:rsid w:val="004213CA"/>
    <w:rsid w:val="0042204F"/>
    <w:rsid w:val="00424133"/>
    <w:rsid w:val="00435A1B"/>
    <w:rsid w:val="0044125F"/>
    <w:rsid w:val="00442BCF"/>
    <w:rsid w:val="0045177F"/>
    <w:rsid w:val="0045442E"/>
    <w:rsid w:val="00456CFE"/>
    <w:rsid w:val="00467B0E"/>
    <w:rsid w:val="00471826"/>
    <w:rsid w:val="004746A7"/>
    <w:rsid w:val="00477223"/>
    <w:rsid w:val="00477A6C"/>
    <w:rsid w:val="00492AE5"/>
    <w:rsid w:val="004A32E9"/>
    <w:rsid w:val="004B2A62"/>
    <w:rsid w:val="004B64E6"/>
    <w:rsid w:val="004B68F6"/>
    <w:rsid w:val="004D756E"/>
    <w:rsid w:val="004E7800"/>
    <w:rsid w:val="004F46F2"/>
    <w:rsid w:val="004F5387"/>
    <w:rsid w:val="0050638E"/>
    <w:rsid w:val="00507843"/>
    <w:rsid w:val="00513C7F"/>
    <w:rsid w:val="00513CEF"/>
    <w:rsid w:val="005175E6"/>
    <w:rsid w:val="00527CAB"/>
    <w:rsid w:val="00530333"/>
    <w:rsid w:val="00536A6D"/>
    <w:rsid w:val="00536D69"/>
    <w:rsid w:val="00560E21"/>
    <w:rsid w:val="00561881"/>
    <w:rsid w:val="0056514B"/>
    <w:rsid w:val="00567698"/>
    <w:rsid w:val="00575351"/>
    <w:rsid w:val="005773D5"/>
    <w:rsid w:val="00582365"/>
    <w:rsid w:val="00587A82"/>
    <w:rsid w:val="00593A02"/>
    <w:rsid w:val="005953A4"/>
    <w:rsid w:val="005B19E0"/>
    <w:rsid w:val="005B3558"/>
    <w:rsid w:val="005B7936"/>
    <w:rsid w:val="005C0E1C"/>
    <w:rsid w:val="005C3EB4"/>
    <w:rsid w:val="005C3F33"/>
    <w:rsid w:val="005C6B8A"/>
    <w:rsid w:val="005D4EF1"/>
    <w:rsid w:val="005D5204"/>
    <w:rsid w:val="005D7B6A"/>
    <w:rsid w:val="005F1B86"/>
    <w:rsid w:val="005F59F8"/>
    <w:rsid w:val="005F5FEF"/>
    <w:rsid w:val="0060707B"/>
    <w:rsid w:val="006116F2"/>
    <w:rsid w:val="0061392A"/>
    <w:rsid w:val="00624BD9"/>
    <w:rsid w:val="00630916"/>
    <w:rsid w:val="00630E5B"/>
    <w:rsid w:val="00632864"/>
    <w:rsid w:val="00633120"/>
    <w:rsid w:val="0064529E"/>
    <w:rsid w:val="0066348B"/>
    <w:rsid w:val="00663601"/>
    <w:rsid w:val="00665728"/>
    <w:rsid w:val="006720A4"/>
    <w:rsid w:val="006835F5"/>
    <w:rsid w:val="0068418E"/>
    <w:rsid w:val="006879F1"/>
    <w:rsid w:val="006A0405"/>
    <w:rsid w:val="006A0711"/>
    <w:rsid w:val="006A68FE"/>
    <w:rsid w:val="006A7021"/>
    <w:rsid w:val="006B2649"/>
    <w:rsid w:val="006D1861"/>
    <w:rsid w:val="006D28D3"/>
    <w:rsid w:val="006D65D7"/>
    <w:rsid w:val="006D74E5"/>
    <w:rsid w:val="006E2814"/>
    <w:rsid w:val="006F0E57"/>
    <w:rsid w:val="006F474D"/>
    <w:rsid w:val="00702158"/>
    <w:rsid w:val="00707F30"/>
    <w:rsid w:val="00711858"/>
    <w:rsid w:val="00716BC2"/>
    <w:rsid w:val="0072353A"/>
    <w:rsid w:val="00724069"/>
    <w:rsid w:val="00731FF6"/>
    <w:rsid w:val="007371DD"/>
    <w:rsid w:val="007455FF"/>
    <w:rsid w:val="007612A0"/>
    <w:rsid w:val="0076135A"/>
    <w:rsid w:val="00762C66"/>
    <w:rsid w:val="00762F50"/>
    <w:rsid w:val="007677BE"/>
    <w:rsid w:val="00772046"/>
    <w:rsid w:val="00776220"/>
    <w:rsid w:val="00776DF3"/>
    <w:rsid w:val="00783AA1"/>
    <w:rsid w:val="007853FC"/>
    <w:rsid w:val="00786618"/>
    <w:rsid w:val="007873FD"/>
    <w:rsid w:val="00787651"/>
    <w:rsid w:val="0079180D"/>
    <w:rsid w:val="00792E0A"/>
    <w:rsid w:val="00796487"/>
    <w:rsid w:val="007A036D"/>
    <w:rsid w:val="007A36A0"/>
    <w:rsid w:val="007A65E9"/>
    <w:rsid w:val="007A695A"/>
    <w:rsid w:val="007A7A70"/>
    <w:rsid w:val="007B2B70"/>
    <w:rsid w:val="007C51CC"/>
    <w:rsid w:val="007D12B4"/>
    <w:rsid w:val="007D343A"/>
    <w:rsid w:val="007E47E2"/>
    <w:rsid w:val="00801635"/>
    <w:rsid w:val="008026C1"/>
    <w:rsid w:val="00803B62"/>
    <w:rsid w:val="00805609"/>
    <w:rsid w:val="00807026"/>
    <w:rsid w:val="008070AA"/>
    <w:rsid w:val="00812358"/>
    <w:rsid w:val="00822FDF"/>
    <w:rsid w:val="0082306E"/>
    <w:rsid w:val="00842E7A"/>
    <w:rsid w:val="00852D21"/>
    <w:rsid w:val="00856C55"/>
    <w:rsid w:val="00875A0D"/>
    <w:rsid w:val="008B42E8"/>
    <w:rsid w:val="008B5B28"/>
    <w:rsid w:val="008B7820"/>
    <w:rsid w:val="008C0395"/>
    <w:rsid w:val="008C0BBF"/>
    <w:rsid w:val="008D2F03"/>
    <w:rsid w:val="008E09F2"/>
    <w:rsid w:val="008E12AA"/>
    <w:rsid w:val="008F31A9"/>
    <w:rsid w:val="008F7A17"/>
    <w:rsid w:val="00907B77"/>
    <w:rsid w:val="009314D5"/>
    <w:rsid w:val="00933A95"/>
    <w:rsid w:val="00946B0A"/>
    <w:rsid w:val="00951397"/>
    <w:rsid w:val="009520C9"/>
    <w:rsid w:val="009551C9"/>
    <w:rsid w:val="00967BC2"/>
    <w:rsid w:val="00971C62"/>
    <w:rsid w:val="00975C00"/>
    <w:rsid w:val="00985F4C"/>
    <w:rsid w:val="00992079"/>
    <w:rsid w:val="009A3A44"/>
    <w:rsid w:val="009A7FD3"/>
    <w:rsid w:val="009B00A9"/>
    <w:rsid w:val="009B2ECD"/>
    <w:rsid w:val="009B3CDB"/>
    <w:rsid w:val="009C593F"/>
    <w:rsid w:val="009D0AB7"/>
    <w:rsid w:val="009D4B85"/>
    <w:rsid w:val="009F36EC"/>
    <w:rsid w:val="009F62C2"/>
    <w:rsid w:val="00A02FEB"/>
    <w:rsid w:val="00A03773"/>
    <w:rsid w:val="00A03922"/>
    <w:rsid w:val="00A144DC"/>
    <w:rsid w:val="00A15140"/>
    <w:rsid w:val="00A15E0B"/>
    <w:rsid w:val="00A169E2"/>
    <w:rsid w:val="00A43FB9"/>
    <w:rsid w:val="00A547C2"/>
    <w:rsid w:val="00A55E6E"/>
    <w:rsid w:val="00A66061"/>
    <w:rsid w:val="00A75E91"/>
    <w:rsid w:val="00A84C25"/>
    <w:rsid w:val="00AA0B9E"/>
    <w:rsid w:val="00AA17D8"/>
    <w:rsid w:val="00AC0C04"/>
    <w:rsid w:val="00AC517E"/>
    <w:rsid w:val="00AC635B"/>
    <w:rsid w:val="00AE12E1"/>
    <w:rsid w:val="00AE6ED8"/>
    <w:rsid w:val="00AE7B86"/>
    <w:rsid w:val="00AF116A"/>
    <w:rsid w:val="00AF33FC"/>
    <w:rsid w:val="00B13F33"/>
    <w:rsid w:val="00B15766"/>
    <w:rsid w:val="00B25D93"/>
    <w:rsid w:val="00B27260"/>
    <w:rsid w:val="00B30D05"/>
    <w:rsid w:val="00B33EC8"/>
    <w:rsid w:val="00B37A24"/>
    <w:rsid w:val="00B62991"/>
    <w:rsid w:val="00B66279"/>
    <w:rsid w:val="00B710B2"/>
    <w:rsid w:val="00B768C0"/>
    <w:rsid w:val="00B962CA"/>
    <w:rsid w:val="00B96D8D"/>
    <w:rsid w:val="00BA2F8B"/>
    <w:rsid w:val="00BB68A4"/>
    <w:rsid w:val="00BC3380"/>
    <w:rsid w:val="00BC5375"/>
    <w:rsid w:val="00BE75C7"/>
    <w:rsid w:val="00BF4F31"/>
    <w:rsid w:val="00C01524"/>
    <w:rsid w:val="00C04214"/>
    <w:rsid w:val="00C20BFB"/>
    <w:rsid w:val="00C20F76"/>
    <w:rsid w:val="00C27664"/>
    <w:rsid w:val="00C43BB2"/>
    <w:rsid w:val="00C44B45"/>
    <w:rsid w:val="00C46667"/>
    <w:rsid w:val="00C5295F"/>
    <w:rsid w:val="00C608C3"/>
    <w:rsid w:val="00C62D61"/>
    <w:rsid w:val="00C8497B"/>
    <w:rsid w:val="00CA1B26"/>
    <w:rsid w:val="00CA2BF5"/>
    <w:rsid w:val="00CB1E34"/>
    <w:rsid w:val="00CB4B7C"/>
    <w:rsid w:val="00CB5E47"/>
    <w:rsid w:val="00CB5F0F"/>
    <w:rsid w:val="00CC2BC0"/>
    <w:rsid w:val="00CD218B"/>
    <w:rsid w:val="00CD2F42"/>
    <w:rsid w:val="00CD42B6"/>
    <w:rsid w:val="00CE32BC"/>
    <w:rsid w:val="00CE63B3"/>
    <w:rsid w:val="00CE6DF8"/>
    <w:rsid w:val="00CE6E0E"/>
    <w:rsid w:val="00D16150"/>
    <w:rsid w:val="00D20000"/>
    <w:rsid w:val="00D35CBE"/>
    <w:rsid w:val="00D46AF7"/>
    <w:rsid w:val="00D57119"/>
    <w:rsid w:val="00D645DF"/>
    <w:rsid w:val="00D65989"/>
    <w:rsid w:val="00D841D3"/>
    <w:rsid w:val="00D93616"/>
    <w:rsid w:val="00DA4541"/>
    <w:rsid w:val="00DB0365"/>
    <w:rsid w:val="00DD3832"/>
    <w:rsid w:val="00DD387B"/>
    <w:rsid w:val="00DD6289"/>
    <w:rsid w:val="00DE3CBD"/>
    <w:rsid w:val="00DE6E27"/>
    <w:rsid w:val="00DF09AD"/>
    <w:rsid w:val="00DF1013"/>
    <w:rsid w:val="00DF3401"/>
    <w:rsid w:val="00DF3A52"/>
    <w:rsid w:val="00DF7889"/>
    <w:rsid w:val="00E00E48"/>
    <w:rsid w:val="00E0436B"/>
    <w:rsid w:val="00E13CE6"/>
    <w:rsid w:val="00E16D63"/>
    <w:rsid w:val="00E21523"/>
    <w:rsid w:val="00E40F0A"/>
    <w:rsid w:val="00E45C93"/>
    <w:rsid w:val="00E54FB8"/>
    <w:rsid w:val="00E55A0F"/>
    <w:rsid w:val="00E56AED"/>
    <w:rsid w:val="00E56F02"/>
    <w:rsid w:val="00E63575"/>
    <w:rsid w:val="00E8751F"/>
    <w:rsid w:val="00E87BA3"/>
    <w:rsid w:val="00E9057F"/>
    <w:rsid w:val="00E942B2"/>
    <w:rsid w:val="00E97EE5"/>
    <w:rsid w:val="00EA77A6"/>
    <w:rsid w:val="00EB47FC"/>
    <w:rsid w:val="00EC2363"/>
    <w:rsid w:val="00ED5916"/>
    <w:rsid w:val="00ED6390"/>
    <w:rsid w:val="00EE39C4"/>
    <w:rsid w:val="00EE46B3"/>
    <w:rsid w:val="00EE6A6A"/>
    <w:rsid w:val="00EF1FF1"/>
    <w:rsid w:val="00EF7072"/>
    <w:rsid w:val="00F01A7C"/>
    <w:rsid w:val="00F1203A"/>
    <w:rsid w:val="00F13613"/>
    <w:rsid w:val="00F16F2C"/>
    <w:rsid w:val="00F25920"/>
    <w:rsid w:val="00F346EC"/>
    <w:rsid w:val="00F56E4E"/>
    <w:rsid w:val="00F73BBA"/>
    <w:rsid w:val="00F77BC9"/>
    <w:rsid w:val="00F85BE9"/>
    <w:rsid w:val="00F92562"/>
    <w:rsid w:val="00F937F2"/>
    <w:rsid w:val="00FA0598"/>
    <w:rsid w:val="00FA1BEF"/>
    <w:rsid w:val="00FB354E"/>
    <w:rsid w:val="00FB446B"/>
    <w:rsid w:val="00FB6D74"/>
    <w:rsid w:val="00FB7C51"/>
    <w:rsid w:val="00FC2F7F"/>
    <w:rsid w:val="00FC7454"/>
    <w:rsid w:val="00FD7CA7"/>
    <w:rsid w:val="00FE1A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AD3A-5E4B-4D58-945F-8717B761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semiHidden="1" w:uiPriority="0"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800"/>
  </w:style>
  <w:style w:type="paragraph" w:styleId="Heading1">
    <w:name w:val="heading 1"/>
    <w:basedOn w:val="Normal"/>
    <w:next w:val="Normal"/>
    <w:link w:val="Heading1Char"/>
    <w:uiPriority w:val="9"/>
    <w:qFormat/>
    <w:rsid w:val="006116F2"/>
    <w:pPr>
      <w:keepNext/>
      <w:keepLines/>
      <w:spacing w:before="240" w:after="120"/>
      <w:outlineLvl w:val="0"/>
    </w:pPr>
    <w:rPr>
      <w:rFonts w:ascii="Trebuchet MS" w:eastAsiaTheme="majorEastAsia" w:hAnsi="Trebuchet MS" w:cstheme="majorBidi"/>
      <w:b/>
      <w:sz w:val="24"/>
      <w:szCs w:val="32"/>
    </w:rPr>
  </w:style>
  <w:style w:type="paragraph" w:styleId="Heading2">
    <w:name w:val="heading 2"/>
    <w:basedOn w:val="Normal"/>
    <w:next w:val="Normal"/>
    <w:link w:val="Heading2Char"/>
    <w:uiPriority w:val="9"/>
    <w:rsid w:val="00AC635B"/>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qFormat/>
    <w:rsid w:val="00587A82"/>
    <w:pPr>
      <w:keepNext/>
      <w:keepLines/>
      <w:spacing w:before="240" w:after="120"/>
      <w:outlineLvl w:val="2"/>
    </w:pPr>
    <w:rPr>
      <w:rFonts w:ascii="Trebuchet MS" w:eastAsiaTheme="majorEastAsia" w:hAnsi="Trebuchet MS" w:cstheme="majorBidi"/>
      <w:b/>
      <w:sz w:val="19"/>
      <w:szCs w:val="24"/>
    </w:rPr>
  </w:style>
  <w:style w:type="paragraph" w:styleId="Heading4">
    <w:name w:val="heading 4"/>
    <w:basedOn w:val="Normal"/>
    <w:next w:val="Normal"/>
    <w:link w:val="Heading4Char"/>
    <w:uiPriority w:val="9"/>
    <w:qFormat/>
    <w:rsid w:val="003C096F"/>
    <w:pPr>
      <w:keepNext/>
      <w:keepLines/>
      <w:spacing w:before="160" w:after="120"/>
      <w:outlineLvl w:val="3"/>
    </w:pPr>
    <w:rPr>
      <w:rFonts w:ascii="Trebuchet MS" w:eastAsiaTheme="majorEastAsia" w:hAnsi="Trebuchet MS" w:cstheme="majorBidi"/>
      <w:b/>
      <w:iCs/>
      <w:color w:val="000000" w:themeColor="text1"/>
    </w:rPr>
  </w:style>
  <w:style w:type="paragraph" w:styleId="Heading5">
    <w:name w:val="heading 5"/>
    <w:basedOn w:val="Heading4"/>
    <w:next w:val="BodyText"/>
    <w:link w:val="Heading5Char"/>
    <w:qFormat/>
    <w:rsid w:val="00F01A7C"/>
    <w:pPr>
      <w:keepLines w:val="0"/>
      <w:spacing w:before="120" w:line="320" w:lineRule="exact"/>
      <w:outlineLvl w:val="4"/>
    </w:pPr>
    <w:rPr>
      <w:rFonts w:ascii="Arial" w:eastAsia="Times New Roman" w:hAnsi="Arial" w:cs="Times New Roman"/>
      <w:iCs w:val="0"/>
      <w:color w:val="auto"/>
      <w:szCs w:val="20"/>
      <w:lang w:eastAsia="en-AU"/>
    </w:rPr>
  </w:style>
  <w:style w:type="paragraph" w:styleId="Heading6">
    <w:name w:val="heading 6"/>
    <w:basedOn w:val="Normal"/>
    <w:next w:val="Normal"/>
    <w:link w:val="Heading6Char"/>
    <w:uiPriority w:val="9"/>
    <w:unhideWhenUsed/>
    <w:qFormat/>
    <w:rsid w:val="0023792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62D6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8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21"/>
    <w:pPr>
      <w:numPr>
        <w:ilvl w:val="1"/>
      </w:numPr>
    </w:pPr>
    <w:rPr>
      <w:color w:val="5A5A5A" w:themeColor="text1" w:themeTint="A5"/>
      <w:spacing w:val="15"/>
      <w:sz w:val="24"/>
    </w:rPr>
  </w:style>
  <w:style w:type="character" w:customStyle="1" w:styleId="SubtitleChar">
    <w:name w:val="Subtitle Char"/>
    <w:basedOn w:val="DefaultParagraphFont"/>
    <w:link w:val="Subtitle"/>
    <w:uiPriority w:val="11"/>
    <w:rsid w:val="00560E21"/>
    <w:rPr>
      <w:color w:val="5A5A5A" w:themeColor="text1" w:themeTint="A5"/>
      <w:spacing w:val="15"/>
      <w:sz w:val="24"/>
    </w:rPr>
  </w:style>
  <w:style w:type="paragraph" w:styleId="Header">
    <w:name w:val="header"/>
    <w:basedOn w:val="Normal"/>
    <w:link w:val="HeaderChar"/>
    <w:uiPriority w:val="99"/>
    <w:unhideWhenUsed/>
    <w:rsid w:val="004E7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800"/>
  </w:style>
  <w:style w:type="paragraph" w:styleId="Footer">
    <w:name w:val="footer"/>
    <w:basedOn w:val="Normal"/>
    <w:link w:val="FooterChar"/>
    <w:uiPriority w:val="99"/>
    <w:unhideWhenUsed/>
    <w:rsid w:val="004E7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800"/>
  </w:style>
  <w:style w:type="paragraph" w:styleId="ListBullet">
    <w:name w:val="List Bullet"/>
    <w:basedOn w:val="BodyText"/>
    <w:rsid w:val="0010212C"/>
    <w:pPr>
      <w:numPr>
        <w:numId w:val="1"/>
      </w:numPr>
      <w:tabs>
        <w:tab w:val="clear" w:pos="34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rsid w:val="00587A82"/>
    <w:rPr>
      <w:rFonts w:ascii="Trebuchet MS" w:eastAsiaTheme="majorEastAsia" w:hAnsi="Trebuchet MS" w:cstheme="majorBidi"/>
      <w:b/>
      <w:sz w:val="19"/>
      <w:szCs w:val="24"/>
    </w:rPr>
  </w:style>
  <w:style w:type="paragraph" w:styleId="BodyText">
    <w:name w:val="Body Text"/>
    <w:basedOn w:val="Normal"/>
    <w:link w:val="BodyTextChar"/>
    <w:uiPriority w:val="99"/>
    <w:semiHidden/>
    <w:unhideWhenUsed/>
    <w:rsid w:val="0010212C"/>
    <w:pPr>
      <w:spacing w:after="120"/>
    </w:pPr>
  </w:style>
  <w:style w:type="character" w:customStyle="1" w:styleId="BodyTextChar">
    <w:name w:val="Body Text Char"/>
    <w:basedOn w:val="DefaultParagraphFont"/>
    <w:link w:val="BodyText"/>
    <w:uiPriority w:val="99"/>
    <w:semiHidden/>
    <w:rsid w:val="0010212C"/>
  </w:style>
  <w:style w:type="character" w:customStyle="1" w:styleId="Heading5Char">
    <w:name w:val="Heading 5 Char"/>
    <w:basedOn w:val="DefaultParagraphFont"/>
    <w:link w:val="Heading5"/>
    <w:rsid w:val="00F01A7C"/>
    <w:rPr>
      <w:rFonts w:ascii="Arial" w:eastAsia="Times New Roman" w:hAnsi="Arial" w:cs="Times New Roman"/>
      <w:b/>
      <w:i/>
      <w:szCs w:val="20"/>
      <w:lang w:eastAsia="en-AU"/>
    </w:rPr>
  </w:style>
  <w:style w:type="character" w:customStyle="1" w:styleId="Heading4Char">
    <w:name w:val="Heading 4 Char"/>
    <w:basedOn w:val="DefaultParagraphFont"/>
    <w:link w:val="Heading4"/>
    <w:uiPriority w:val="9"/>
    <w:rsid w:val="003C096F"/>
    <w:rPr>
      <w:rFonts w:ascii="Trebuchet MS" w:eastAsiaTheme="majorEastAsia" w:hAnsi="Trebuchet MS" w:cstheme="majorBidi"/>
      <w:b/>
      <w:iCs/>
      <w:color w:val="000000" w:themeColor="text1"/>
    </w:rPr>
  </w:style>
  <w:style w:type="paragraph" w:customStyle="1" w:styleId="Text">
    <w:name w:val="Text"/>
    <w:link w:val="TextChar"/>
    <w:qFormat/>
    <w:rsid w:val="00A43FB9"/>
    <w:pPr>
      <w:spacing w:before="160" w:after="0" w:line="300" w:lineRule="exact"/>
    </w:pPr>
    <w:rPr>
      <w:rFonts w:ascii="Trebuchet MS" w:eastAsia="Times New Roman" w:hAnsi="Trebuchet MS" w:cs="Times New Roman"/>
      <w:sz w:val="19"/>
      <w:szCs w:val="20"/>
      <w:lang w:eastAsia="en-US"/>
    </w:rPr>
  </w:style>
  <w:style w:type="character" w:customStyle="1" w:styleId="TextChar">
    <w:name w:val="Text Char"/>
    <w:basedOn w:val="DefaultParagraphFont"/>
    <w:link w:val="Text"/>
    <w:rsid w:val="00A43FB9"/>
    <w:rPr>
      <w:rFonts w:ascii="Trebuchet MS" w:eastAsia="Times New Roman" w:hAnsi="Trebuchet MS" w:cs="Times New Roman"/>
      <w:sz w:val="19"/>
      <w:szCs w:val="20"/>
      <w:lang w:eastAsia="en-US"/>
    </w:rPr>
  </w:style>
  <w:style w:type="paragraph" w:styleId="FootnoteText">
    <w:name w:val="footnote text"/>
    <w:basedOn w:val="Text"/>
    <w:link w:val="FootnoteTextChar"/>
    <w:rsid w:val="00A43FB9"/>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A43FB9"/>
    <w:rPr>
      <w:rFonts w:ascii="Trebuchet MS" w:eastAsia="Times New Roman" w:hAnsi="Trebuchet MS" w:cs="Times New Roman"/>
      <w:sz w:val="16"/>
      <w:szCs w:val="20"/>
      <w:lang w:eastAsia="en-US"/>
    </w:rPr>
  </w:style>
  <w:style w:type="character" w:styleId="FootnoteReference">
    <w:name w:val="footnote reference"/>
    <w:basedOn w:val="DefaultParagraphFont"/>
    <w:semiHidden/>
    <w:unhideWhenUsed/>
    <w:rsid w:val="00A43FB9"/>
    <w:rPr>
      <w:vertAlign w:val="superscript"/>
    </w:rPr>
  </w:style>
  <w:style w:type="paragraph" w:styleId="CommentText">
    <w:name w:val="annotation text"/>
    <w:basedOn w:val="Normal"/>
    <w:link w:val="CommentTextChar"/>
    <w:uiPriority w:val="99"/>
    <w:semiHidden/>
    <w:rsid w:val="00812358"/>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12358"/>
    <w:rPr>
      <w:rFonts w:ascii="Times New Roman" w:eastAsia="Times New Roman" w:hAnsi="Times New Roman" w:cs="Times New Roman"/>
      <w:sz w:val="20"/>
      <w:szCs w:val="20"/>
      <w:lang w:eastAsia="en-AU"/>
    </w:rPr>
  </w:style>
  <w:style w:type="paragraph" w:customStyle="1" w:styleId="Dotpoint1">
    <w:name w:val="Dotpoint1"/>
    <w:rsid w:val="00FE1A5E"/>
    <w:pPr>
      <w:numPr>
        <w:numId w:val="2"/>
      </w:numPr>
      <w:spacing w:before="120" w:after="0" w:line="240" w:lineRule="auto"/>
    </w:pPr>
    <w:rPr>
      <w:rFonts w:ascii="Garamond" w:eastAsia="Times New Roman" w:hAnsi="Garamond" w:cs="Times New Roman"/>
      <w:szCs w:val="20"/>
      <w:lang w:eastAsia="en-US"/>
    </w:rPr>
  </w:style>
  <w:style w:type="paragraph" w:customStyle="1" w:styleId="BoxListBullet2">
    <w:name w:val="Box List Bullet 2"/>
    <w:basedOn w:val="Normal"/>
    <w:rsid w:val="00B27260"/>
    <w:pPr>
      <w:keepNext/>
      <w:numPr>
        <w:numId w:val="6"/>
      </w:numPr>
      <w:spacing w:before="100" w:after="0" w:line="260" w:lineRule="atLeast"/>
      <w:ind w:left="568" w:hanging="284"/>
      <w:jc w:val="both"/>
    </w:pPr>
    <w:rPr>
      <w:rFonts w:ascii="Arial" w:eastAsia="Times New Roman" w:hAnsi="Arial" w:cs="Times New Roman"/>
      <w:sz w:val="20"/>
      <w:szCs w:val="20"/>
      <w:lang w:eastAsia="en-AU"/>
    </w:rPr>
  </w:style>
  <w:style w:type="paragraph" w:styleId="ListParagraph">
    <w:name w:val="List Paragraph"/>
    <w:basedOn w:val="Normal"/>
    <w:uiPriority w:val="34"/>
    <w:qFormat/>
    <w:rsid w:val="001D5D66"/>
    <w:pPr>
      <w:ind w:left="720"/>
      <w:contextualSpacing/>
    </w:pPr>
  </w:style>
  <w:style w:type="paragraph" w:customStyle="1" w:styleId="Finding">
    <w:name w:val="Finding"/>
    <w:basedOn w:val="BodyText"/>
    <w:rsid w:val="0061392A"/>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Finding"/>
    <w:rsid w:val="0061392A"/>
    <w:pPr>
      <w:keepNext/>
      <w:keepLines/>
      <w:spacing w:before="240" w:after="0" w:line="280" w:lineRule="atLeast"/>
      <w:jc w:val="both"/>
    </w:pPr>
    <w:rPr>
      <w:rFonts w:ascii="Arial" w:eastAsia="Times New Roman" w:hAnsi="Arial" w:cs="Times New Roman"/>
      <w:caps/>
      <w:sz w:val="18"/>
      <w:szCs w:val="20"/>
      <w:lang w:eastAsia="en-AU"/>
    </w:rPr>
  </w:style>
  <w:style w:type="table" w:customStyle="1" w:styleId="DSSDatatablestyle6">
    <w:name w:val="DSS Data table style6"/>
    <w:basedOn w:val="TableNormal"/>
    <w:uiPriority w:val="99"/>
    <w:rsid w:val="00FC7454"/>
    <w:pPr>
      <w:spacing w:after="0" w:line="240" w:lineRule="auto"/>
    </w:pPr>
    <w:rPr>
      <w:rFonts w:ascii="Arial" w:eastAsiaTheme="minorHAnsi" w:hAnsi="Arial"/>
      <w:sz w:val="24"/>
      <w:lang w:eastAsia="en-US"/>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customStyle="1" w:styleId="TableHeading">
    <w:name w:val="Table Heading"/>
    <w:basedOn w:val="Normal"/>
    <w:next w:val="Normal"/>
    <w:link w:val="TableHeadingChar"/>
    <w:rsid w:val="002A4BEE"/>
    <w:pPr>
      <w:keepNext/>
      <w:spacing w:before="120" w:after="20" w:line="240" w:lineRule="auto"/>
    </w:pPr>
    <w:rPr>
      <w:rFonts w:ascii="Arial" w:eastAsia="Times New Roman" w:hAnsi="Arial" w:cs="Times New Roman"/>
      <w:b/>
      <w:sz w:val="20"/>
      <w:szCs w:val="20"/>
      <w:lang w:eastAsia="en-AU"/>
    </w:rPr>
  </w:style>
  <w:style w:type="character" w:customStyle="1" w:styleId="TableHeadingChar">
    <w:name w:val="Table Heading Char"/>
    <w:link w:val="TableHeading"/>
    <w:rsid w:val="002A4BEE"/>
    <w:rPr>
      <w:rFonts w:ascii="Arial" w:eastAsia="Times New Roman" w:hAnsi="Arial" w:cs="Times New Roman"/>
      <w:b/>
      <w:sz w:val="20"/>
      <w:szCs w:val="20"/>
      <w:lang w:eastAsia="en-AU"/>
    </w:rPr>
  </w:style>
  <w:style w:type="paragraph" w:customStyle="1" w:styleId="Normal27">
    <w:name w:val="Normal_27"/>
    <w:qFormat/>
    <w:rsid w:val="002A4BEE"/>
    <w:pPr>
      <w:spacing w:after="0" w:line="240" w:lineRule="auto"/>
    </w:pPr>
    <w:rPr>
      <w:rFonts w:ascii="Times New Roman" w:eastAsia="Times New Roman" w:hAnsi="Times New Roman" w:cs="Times New Roman"/>
      <w:sz w:val="24"/>
      <w:szCs w:val="24"/>
      <w:lang w:val="en-US" w:eastAsia="en-US"/>
    </w:rPr>
  </w:style>
  <w:style w:type="table" w:customStyle="1" w:styleId="CDMRange110">
    <w:name w:val="CDM Range 1_10"/>
    <w:basedOn w:val="TableNormal"/>
    <w:next w:val="TableNormal"/>
    <w:semiHidden/>
    <w:rsid w:val="002A4BEE"/>
    <w:pPr>
      <w:spacing w:after="0" w:line="240" w:lineRule="auto"/>
    </w:pPr>
    <w:rPr>
      <w:rFonts w:ascii="Times New Roman" w:eastAsia="Times New Roman" w:hAnsi="Times New Roman" w:cs="Times New Roman"/>
      <w:sz w:val="24"/>
      <w:szCs w:val="24"/>
      <w:lang w:val="en-US" w:eastAsia="en-US"/>
    </w:rPr>
    <w:tblPr/>
  </w:style>
  <w:style w:type="character" w:styleId="Hyperlink">
    <w:name w:val="Hyperlink"/>
    <w:basedOn w:val="DefaultParagraphFont"/>
    <w:uiPriority w:val="99"/>
    <w:unhideWhenUsed/>
    <w:rsid w:val="002168BE"/>
    <w:rPr>
      <w:rFonts w:ascii="Trebuchet MS" w:hAnsi="Trebuchet MS"/>
      <w:color w:val="auto"/>
      <w:sz w:val="19"/>
      <w:u w:val="none"/>
    </w:rPr>
  </w:style>
  <w:style w:type="paragraph" w:customStyle="1" w:styleId="Copyrightbodytext">
    <w:name w:val="Copyright bodytext"/>
    <w:basedOn w:val="BodyText"/>
    <w:link w:val="CopyrightbodytextChar"/>
    <w:qFormat/>
    <w:rsid w:val="00E56F02"/>
    <w:pPr>
      <w:spacing w:before="60" w:after="0" w:line="300" w:lineRule="atLeast"/>
      <w:jc w:val="both"/>
    </w:pPr>
    <w:rPr>
      <w:rFonts w:ascii="Times New Roman" w:eastAsia="Times New Roman" w:hAnsi="Times New Roman" w:cs="Times New Roman"/>
      <w:sz w:val="24"/>
      <w:szCs w:val="20"/>
      <w:lang w:eastAsia="en-AU"/>
    </w:rPr>
  </w:style>
  <w:style w:type="character" w:customStyle="1" w:styleId="CopyrightbodytextChar">
    <w:name w:val="Copyright bodytext Char"/>
    <w:basedOn w:val="BodyTextChar"/>
    <w:link w:val="Copyrightbodytext"/>
    <w:rsid w:val="00E56F02"/>
    <w:rPr>
      <w:rFonts w:ascii="Times New Roman" w:eastAsia="Times New Roman" w:hAnsi="Times New Roman" w:cs="Times New Roman"/>
      <w:sz w:val="24"/>
      <w:szCs w:val="20"/>
      <w:lang w:eastAsia="en-AU"/>
    </w:rPr>
  </w:style>
  <w:style w:type="paragraph" w:customStyle="1" w:styleId="Reference">
    <w:name w:val="Reference"/>
    <w:basedOn w:val="BodyText"/>
    <w:rsid w:val="00BC5375"/>
    <w:pPr>
      <w:spacing w:before="120" w:after="0" w:line="300" w:lineRule="atLeast"/>
      <w:ind w:left="340" w:hanging="340"/>
      <w:jc w:val="both"/>
    </w:pPr>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AC635B"/>
    <w:rPr>
      <w:rFonts w:eastAsiaTheme="majorEastAsia" w:cstheme="majorBidi"/>
      <w:b/>
      <w:sz w:val="24"/>
      <w:szCs w:val="26"/>
    </w:rPr>
  </w:style>
  <w:style w:type="character" w:customStyle="1" w:styleId="Heading1Char">
    <w:name w:val="Heading 1 Char"/>
    <w:basedOn w:val="DefaultParagraphFont"/>
    <w:link w:val="Heading1"/>
    <w:uiPriority w:val="9"/>
    <w:rsid w:val="006116F2"/>
    <w:rPr>
      <w:rFonts w:ascii="Trebuchet MS" w:eastAsiaTheme="majorEastAsia" w:hAnsi="Trebuchet MS" w:cstheme="majorBidi"/>
      <w:b/>
      <w:sz w:val="24"/>
      <w:szCs w:val="32"/>
    </w:rPr>
  </w:style>
  <w:style w:type="character" w:customStyle="1" w:styleId="Heading6Char">
    <w:name w:val="Heading 6 Char"/>
    <w:basedOn w:val="DefaultParagraphFont"/>
    <w:link w:val="Heading6"/>
    <w:uiPriority w:val="9"/>
    <w:rsid w:val="0023792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C62D61"/>
    <w:rPr>
      <w:rFonts w:asciiTheme="majorHAnsi" w:eastAsiaTheme="majorEastAsia" w:hAnsiTheme="majorHAnsi" w:cstheme="majorBidi"/>
      <w:i/>
      <w:iCs/>
      <w:color w:val="1F4D78" w:themeColor="accent1" w:themeShade="7F"/>
    </w:rPr>
  </w:style>
  <w:style w:type="paragraph" w:customStyle="1" w:styleId="InformationRequest">
    <w:name w:val="Information Request"/>
    <w:basedOn w:val="Finding"/>
    <w:next w:val="BodyText"/>
    <w:rsid w:val="00B66279"/>
    <w:rPr>
      <w:i/>
    </w:rPr>
  </w:style>
  <w:style w:type="paragraph" w:customStyle="1" w:styleId="InformationRequestBullet">
    <w:name w:val="Information Request Bullet"/>
    <w:basedOn w:val="ListBullet"/>
    <w:next w:val="BodyText"/>
    <w:rsid w:val="00B66279"/>
    <w:pPr>
      <w:numPr>
        <w:numId w:val="9"/>
      </w:numPr>
      <w:spacing w:before="80" w:line="280" w:lineRule="atLeast"/>
      <w:ind w:left="357" w:hanging="357"/>
    </w:pPr>
    <w:rPr>
      <w:rFonts w:ascii="Arial" w:hAnsi="Arial"/>
      <w:i/>
      <w:sz w:val="22"/>
    </w:rPr>
  </w:style>
  <w:style w:type="paragraph" w:customStyle="1" w:styleId="InformationRequestTitle">
    <w:name w:val="Information Request Title"/>
    <w:basedOn w:val="FindingTitle"/>
    <w:next w:val="InformationRequest"/>
    <w:rsid w:val="00B66279"/>
    <w:rPr>
      <w:i/>
    </w:rPr>
  </w:style>
  <w:style w:type="paragraph" w:styleId="NormalWeb">
    <w:name w:val="Normal (Web)"/>
    <w:basedOn w:val="Normal"/>
    <w:uiPriority w:val="99"/>
    <w:unhideWhenUsed/>
    <w:rsid w:val="00792E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2E0A"/>
    <w:rPr>
      <w:i/>
      <w:iCs/>
    </w:rPr>
  </w:style>
  <w:style w:type="paragraph" w:styleId="BalloonText">
    <w:name w:val="Balloon Text"/>
    <w:basedOn w:val="Normal"/>
    <w:link w:val="BalloonTextChar"/>
    <w:uiPriority w:val="99"/>
    <w:semiHidden/>
    <w:unhideWhenUsed/>
    <w:rsid w:val="006D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561969">
      <w:bodyDiv w:val="1"/>
      <w:marLeft w:val="0"/>
      <w:marRight w:val="0"/>
      <w:marTop w:val="0"/>
      <w:marBottom w:val="0"/>
      <w:divBdr>
        <w:top w:val="none" w:sz="0" w:space="0" w:color="auto"/>
        <w:left w:val="none" w:sz="0" w:space="0" w:color="auto"/>
        <w:bottom w:val="none" w:sz="0" w:space="0" w:color="auto"/>
        <w:right w:val="none" w:sz="0" w:space="0" w:color="auto"/>
      </w:divBdr>
    </w:div>
    <w:div w:id="1991398922">
      <w:bodyDiv w:val="1"/>
      <w:marLeft w:val="0"/>
      <w:marRight w:val="0"/>
      <w:marTop w:val="0"/>
      <w:marBottom w:val="0"/>
      <w:divBdr>
        <w:top w:val="none" w:sz="0" w:space="0" w:color="auto"/>
        <w:left w:val="none" w:sz="0" w:space="0" w:color="auto"/>
        <w:bottom w:val="none" w:sz="0" w:space="0" w:color="auto"/>
        <w:right w:val="none" w:sz="0" w:space="0" w:color="auto"/>
      </w:divBdr>
      <w:divsChild>
        <w:div w:id="563028256">
          <w:marLeft w:val="0"/>
          <w:marRight w:val="0"/>
          <w:marTop w:val="0"/>
          <w:marBottom w:val="0"/>
          <w:divBdr>
            <w:top w:val="none" w:sz="0" w:space="0" w:color="auto"/>
            <w:left w:val="none" w:sz="0" w:space="0" w:color="auto"/>
            <w:bottom w:val="none" w:sz="0" w:space="0" w:color="auto"/>
            <w:right w:val="none" w:sz="0" w:space="0" w:color="auto"/>
          </w:divBdr>
          <w:divsChild>
            <w:div w:id="1643848003">
              <w:marLeft w:val="0"/>
              <w:marRight w:val="0"/>
              <w:marTop w:val="0"/>
              <w:marBottom w:val="0"/>
              <w:divBdr>
                <w:top w:val="none" w:sz="0" w:space="0" w:color="auto"/>
                <w:left w:val="none" w:sz="0" w:space="0" w:color="auto"/>
                <w:bottom w:val="none" w:sz="0" w:space="0" w:color="auto"/>
                <w:right w:val="none" w:sz="0" w:space="0" w:color="auto"/>
              </w:divBdr>
              <w:divsChild>
                <w:div w:id="1535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61594">
          <w:marLeft w:val="0"/>
          <w:marRight w:val="0"/>
          <w:marTop w:val="0"/>
          <w:marBottom w:val="0"/>
          <w:divBdr>
            <w:top w:val="none" w:sz="0" w:space="0" w:color="auto"/>
            <w:left w:val="none" w:sz="0" w:space="0" w:color="auto"/>
            <w:bottom w:val="none" w:sz="0" w:space="0" w:color="auto"/>
            <w:right w:val="none" w:sz="0" w:space="0" w:color="auto"/>
          </w:divBdr>
          <w:divsChild>
            <w:div w:id="557547513">
              <w:marLeft w:val="0"/>
              <w:marRight w:val="0"/>
              <w:marTop w:val="0"/>
              <w:marBottom w:val="0"/>
              <w:divBdr>
                <w:top w:val="none" w:sz="0" w:space="0" w:color="auto"/>
                <w:left w:val="none" w:sz="0" w:space="0" w:color="auto"/>
                <w:bottom w:val="none" w:sz="0" w:space="0" w:color="auto"/>
                <w:right w:val="none" w:sz="0" w:space="0" w:color="auto"/>
              </w:divBdr>
              <w:divsChild>
                <w:div w:id="269556495">
                  <w:marLeft w:val="0"/>
                  <w:marRight w:val="0"/>
                  <w:marTop w:val="0"/>
                  <w:marBottom w:val="0"/>
                  <w:divBdr>
                    <w:top w:val="none" w:sz="0" w:space="0" w:color="auto"/>
                    <w:left w:val="none" w:sz="0" w:space="0" w:color="auto"/>
                    <w:bottom w:val="none" w:sz="0" w:space="0" w:color="auto"/>
                    <w:right w:val="none" w:sz="0" w:space="0" w:color="auto"/>
                  </w:divBdr>
                  <w:divsChild>
                    <w:div w:id="1289044540">
                      <w:marLeft w:val="0"/>
                      <w:marRight w:val="0"/>
                      <w:marTop w:val="0"/>
                      <w:marBottom w:val="0"/>
                      <w:divBdr>
                        <w:top w:val="none" w:sz="0" w:space="0" w:color="auto"/>
                        <w:left w:val="none" w:sz="0" w:space="0" w:color="auto"/>
                        <w:bottom w:val="single" w:sz="12" w:space="4" w:color="CE980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bourne-cshe.unimelb.edu.au/__data/assets/pdf_file/0011/2845775/Final-Anne-Jones-paper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dl.voced.edu.au/10707/441928" TargetMode="External"/><Relationship Id="rId4" Type="http://schemas.openxmlformats.org/officeDocument/2006/relationships/settings" Target="settings.xml"/><Relationship Id="rId9" Type="http://schemas.openxmlformats.org/officeDocument/2006/relationships/hyperlink" Target="https://johnmenadue.com/abul-rizvi-re-emergence-of-dodgy-vet-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D8C6-601B-4411-8568-B3D7A3CE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287C2FF7.dotm</Template>
  <TotalTime>2</TotalTime>
  <Pages>10</Pages>
  <Words>4665</Words>
  <Characters>26595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Submission IR135 - Gerald Burke - Skills and Workforce Agreement - Commissioned study</vt:lpstr>
    </vt:vector>
  </TitlesOfParts>
  <Company>Gerald Burke</Company>
  <LinksUpToDate>false</LinksUpToDate>
  <CharactersWithSpaces>31198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IR135 - Gerald Burke - Skills and Workforce Agreement - Commissioned study</dc:title>
  <dc:subject/>
  <dc:creator>Gerald Burke</dc:creator>
  <cp:keywords/>
  <dc:description/>
  <cp:lastModifiedBy>Productivity Commission</cp:lastModifiedBy>
  <cp:revision>3</cp:revision>
  <cp:lastPrinted>2020-07-23T23:09:00Z</cp:lastPrinted>
  <dcterms:created xsi:type="dcterms:W3CDTF">2020-07-24T00:18:00Z</dcterms:created>
  <dcterms:modified xsi:type="dcterms:W3CDTF">2020-07-27T23:31:00Z</dcterms:modified>
</cp:coreProperties>
</file>