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1295" w14:textId="577A72E9" w:rsidR="007977C2" w:rsidRPr="003667FB" w:rsidRDefault="003667FB">
      <w:pPr>
        <w:rPr>
          <w:b/>
        </w:rPr>
      </w:pPr>
      <w:r w:rsidRPr="003667FB">
        <w:rPr>
          <w:b/>
        </w:rPr>
        <w:t xml:space="preserve">Remote </w:t>
      </w:r>
      <w:r w:rsidR="006703BE">
        <w:rPr>
          <w:b/>
        </w:rPr>
        <w:t xml:space="preserve">Indigenous </w:t>
      </w:r>
      <w:r w:rsidRPr="003667FB">
        <w:rPr>
          <w:b/>
        </w:rPr>
        <w:t xml:space="preserve">housing requires </w:t>
      </w:r>
      <w:r>
        <w:rPr>
          <w:b/>
        </w:rPr>
        <w:t xml:space="preserve">ongoing </w:t>
      </w:r>
      <w:r w:rsidRPr="003667FB">
        <w:rPr>
          <w:b/>
        </w:rPr>
        <w:t xml:space="preserve">policy focus: </w:t>
      </w:r>
      <w:r w:rsidR="002557BC" w:rsidRPr="003667FB">
        <w:rPr>
          <w:b/>
        </w:rPr>
        <w:t>Submission to the Review of the National Housing and Homelessness Agreement</w:t>
      </w:r>
    </w:p>
    <w:p w14:paraId="3BDD9906" w14:textId="77777777" w:rsidR="002557BC" w:rsidRDefault="00AC3393">
      <w:r>
        <w:t>M.C. Dillon, Visiting Fellow, Centre for Aboriginal Economic Policy Research, ANU Canberra.</w:t>
      </w:r>
    </w:p>
    <w:p w14:paraId="3F444C2D" w14:textId="7342581F" w:rsidR="00AC3393" w:rsidRDefault="00963BE2">
      <w:r>
        <w:t>3</w:t>
      </w:r>
      <w:r w:rsidR="00F7199D">
        <w:t xml:space="preserve"> February 2022</w:t>
      </w:r>
      <w:r w:rsidR="003667FB">
        <w:t xml:space="preserve"> </w:t>
      </w:r>
    </w:p>
    <w:p w14:paraId="183457D1" w14:textId="77777777" w:rsidR="00F7199D" w:rsidRDefault="00F7199D"/>
    <w:p w14:paraId="3A2B41C0" w14:textId="0EEB055B" w:rsidR="002557BC" w:rsidRDefault="002557BC">
      <w:r>
        <w:t xml:space="preserve">This submission responds in part to the </w:t>
      </w:r>
      <w:r w:rsidR="00D152B0">
        <w:t xml:space="preserve">December 2021 </w:t>
      </w:r>
      <w:r>
        <w:t>Issues Paper released by the Producti</w:t>
      </w:r>
      <w:r w:rsidR="00D152B0">
        <w:t>vity Commission</w:t>
      </w:r>
      <w:r>
        <w:t xml:space="preserve"> in relation to this review, and </w:t>
      </w:r>
      <w:r w:rsidR="0029354A">
        <w:t xml:space="preserve">advances </w:t>
      </w:r>
      <w:r>
        <w:t xml:space="preserve">some further more general propositions. The focus of the submission is primarily on the continuing deep-seated under-provision of community </w:t>
      </w:r>
      <w:r w:rsidR="0061080A">
        <w:t xml:space="preserve">and social </w:t>
      </w:r>
      <w:r>
        <w:t>housing for Indigenous citizens, particularly those resident in remote Australia.</w:t>
      </w:r>
    </w:p>
    <w:p w14:paraId="28862FB4" w14:textId="2322997D" w:rsidR="002557BC" w:rsidRDefault="002557BC">
      <w:r>
        <w:t>The Issues Paper recounts the history of Commonwealth–State housing agreements, and notes (page 3) that from 2008 there were three National Partnership Agreements (NPAs) (on homelessness; on social housing; and on remote Indigenous housing)</w:t>
      </w:r>
      <w:r w:rsidR="0029354A">
        <w:t xml:space="preserve"> agreed by the former Council of Australian Governments (COAG)</w:t>
      </w:r>
      <w:r>
        <w:t>. The first two NPAs were</w:t>
      </w:r>
      <w:r w:rsidR="0067753A">
        <w:t xml:space="preserve"> rolled into the National Housing and Homelessness Agreement (NHHA) in 2018. The Issues Paper notes that the NHHA provides around $1.6bn indexed to the states and territories each year, and is due for renewal in 2023. </w:t>
      </w:r>
    </w:p>
    <w:p w14:paraId="3EE0D4C6" w14:textId="01671E7D" w:rsidR="00CD0D3A" w:rsidRDefault="00CD0D3A">
      <w:r>
        <w:t xml:space="preserve">The National Partnership Agreement on Remote Indigenous Housing (NPARIH) was established for a number of inter-related reasons. These included the absence of a private rental market across remote Australia; the </w:t>
      </w:r>
      <w:r w:rsidR="00EE25E8">
        <w:t xml:space="preserve">existence of </w:t>
      </w:r>
      <w:r w:rsidR="00EE25E8" w:rsidRPr="00EE25E8">
        <w:rPr>
          <w:i/>
        </w:rPr>
        <w:t>sui generis</w:t>
      </w:r>
      <w:r w:rsidR="00EE25E8">
        <w:t xml:space="preserve"> tenure arrangements linked to land rights and native title; the long-standing under-provision of social and community housing; extremely short life spans for existing social housing assets due to extreme overcrowding, poor repair and maintenance arrangements, poor administrative oversight, and harsh environmental conditions; and poor or non-existent supporting infrastructure (both physical and social). The remote </w:t>
      </w:r>
      <w:r w:rsidR="007B76FA">
        <w:t xml:space="preserve">Indigenous </w:t>
      </w:r>
      <w:r w:rsidR="00EE25E8">
        <w:t xml:space="preserve">housing sector suffers from deep and ongoing complex market failure. </w:t>
      </w:r>
    </w:p>
    <w:p w14:paraId="524F753D" w14:textId="7ABC4E45" w:rsidR="0067753A" w:rsidRDefault="00CD0D3A">
      <w:r>
        <w:t>NPARIH</w:t>
      </w:r>
      <w:r w:rsidR="0067753A">
        <w:t xml:space="preserve">, which allocated $5.5bn over ten years, was unilaterally discontinued in 2018 </w:t>
      </w:r>
      <w:r w:rsidR="0093689E">
        <w:t>against</w:t>
      </w:r>
      <w:r w:rsidR="0067753A">
        <w:t xml:space="preserve"> the wishes of the affected jurisdictions</w:t>
      </w:r>
      <w:r w:rsidR="00EE25E8">
        <w:t>, without</w:t>
      </w:r>
      <w:r w:rsidR="00D152B0">
        <w:t xml:space="preserve"> any formal public announcement,</w:t>
      </w:r>
      <w:r w:rsidR="00EE25E8">
        <w:t xml:space="preserve"> and without consultation with impacted communities.</w:t>
      </w:r>
      <w:r w:rsidR="002E0344">
        <w:t xml:space="preserve"> A remnant amount of $55</w:t>
      </w:r>
      <w:r w:rsidR="0067753A">
        <w:t xml:space="preserve">0m </w:t>
      </w:r>
      <w:r w:rsidR="007B76FA">
        <w:t xml:space="preserve">over five years </w:t>
      </w:r>
      <w:r w:rsidR="0067753A">
        <w:t>was continued in the NT where the Commonwealth directly holds leases from Aboriginal Land Trusts over</w:t>
      </w:r>
      <w:r w:rsidR="00D152B0">
        <w:t xml:space="preserve"> hundreds</w:t>
      </w:r>
      <w:r w:rsidR="0067753A">
        <w:t xml:space="preserve"> of </w:t>
      </w:r>
      <w:r w:rsidR="00375C34">
        <w:t xml:space="preserve">houses which are sub-leased to the NTG Housing </w:t>
      </w:r>
      <w:r w:rsidR="00CD10F2">
        <w:t>Authority</w:t>
      </w:r>
      <w:r w:rsidR="0067753A">
        <w:t xml:space="preserve">, thus providing the NTG with considerable leverage over the Commonwealth in terms of </w:t>
      </w:r>
      <w:r w:rsidR="00D152B0">
        <w:t xml:space="preserve">the provision of </w:t>
      </w:r>
      <w:r w:rsidR="0067753A">
        <w:t xml:space="preserve">ongoing </w:t>
      </w:r>
      <w:r w:rsidR="00D152B0">
        <w:t xml:space="preserve">financial </w:t>
      </w:r>
      <w:r w:rsidR="0067753A">
        <w:t>assistance.</w:t>
      </w:r>
    </w:p>
    <w:p w14:paraId="5756B8C3" w14:textId="77777777" w:rsidR="00B7066B" w:rsidRDefault="0093689E" w:rsidP="00DB0F71">
      <w:r>
        <w:t xml:space="preserve">The salience </w:t>
      </w:r>
      <w:r w:rsidR="00E7340F">
        <w:t>of</w:t>
      </w:r>
      <w:r>
        <w:t xml:space="preserve"> this unilateral Commonwealth decision </w:t>
      </w:r>
      <w:r w:rsidR="00D152B0">
        <w:t xml:space="preserve">to discontinue NPARIH </w:t>
      </w:r>
      <w:r>
        <w:t>ca</w:t>
      </w:r>
      <w:r w:rsidR="002E0344">
        <w:t>n be assessed by considering three</w:t>
      </w:r>
      <w:r>
        <w:t xml:space="preserve"> relevant factors. </w:t>
      </w:r>
    </w:p>
    <w:p w14:paraId="7DD56C14" w14:textId="66AB5E8A" w:rsidR="00DB0F71" w:rsidRDefault="0093689E" w:rsidP="00DB0F71">
      <w:r w:rsidRPr="00156E5E">
        <w:rPr>
          <w:b/>
        </w:rPr>
        <w:t>First</w:t>
      </w:r>
      <w:r>
        <w:t>, remote Indigenous</w:t>
      </w:r>
      <w:r w:rsidR="00156E5E">
        <w:t xml:space="preserve"> citizens are </w:t>
      </w:r>
      <w:r w:rsidR="00DA2AE0">
        <w:t xml:space="preserve">amongst </w:t>
      </w:r>
      <w:r>
        <w:t xml:space="preserve">the most disadvantaged citizens in the nation. </w:t>
      </w:r>
      <w:r w:rsidR="00DB0F71">
        <w:t xml:space="preserve">The Productivity Commission’s </w:t>
      </w:r>
      <w:r w:rsidR="00DA2AE0">
        <w:t xml:space="preserve">2015 assessment of the National Indigenous Reform Agreement (NIRA) </w:t>
      </w:r>
      <w:r w:rsidR="00DB0F71">
        <w:t>confirmed that progress in closing the gap had been mixed, and in particular pointed to shortcomings in life expectancy, reading and numeracy, and employment ‘despite considerable effort and investment’ and went on to  point to ‘markedly worse’ outcomes in more remote areas (Productivity Commission, 2015, p. 2).</w:t>
      </w:r>
    </w:p>
    <w:p w14:paraId="4D517FAC" w14:textId="3ECDF24E" w:rsidR="00E7340F" w:rsidRDefault="00E7340F">
      <w:r>
        <w:t>Markham &amp; Biddle (2018) show that there is an increasing income inequality gap between urban and remote Indigenous</w:t>
      </w:r>
      <w:r w:rsidR="00156E5E">
        <w:t xml:space="preserve"> citizens. This extract from the abst</w:t>
      </w:r>
      <w:r w:rsidR="00D152B0">
        <w:t>ract to their analysis makes the</w:t>
      </w:r>
      <w:r w:rsidR="00156E5E">
        <w:t xml:space="preserve"> key points:</w:t>
      </w:r>
    </w:p>
    <w:p w14:paraId="4A9BD382" w14:textId="77777777" w:rsidR="00156E5E" w:rsidRDefault="00156E5E" w:rsidP="00156E5E">
      <w:pPr>
        <w:ind w:left="720"/>
      </w:pPr>
      <w:r w:rsidRPr="00156E5E">
        <w:t xml:space="preserve">The findings of this paper show </w:t>
      </w:r>
      <w:r w:rsidRPr="00EE25E8">
        <w:rPr>
          <w:b/>
        </w:rPr>
        <w:t>a growing divergence between the incomes of Indigenous people in urban areas and remote areas</w:t>
      </w:r>
      <w:r w:rsidRPr="00156E5E">
        <w:t xml:space="preserve">. Although Indigenous incomes are growing steadily </w:t>
      </w:r>
      <w:r w:rsidRPr="00156E5E">
        <w:lastRenderedPageBreak/>
        <w:t xml:space="preserve">in urban areas, where median disposable equivalised household income rose by $57 per week in real terms between 2011 and 2016, median disposable equivalised household income in very remote areas fell by $12 per week over the same period. Indigenous cash poverty rates in very remote areas rose from 46.9% in 2011 to 53.4% in 2016. During this period, poverty rates in urban areas continued to fall, reaching 24.4% in 2016. Finally, changes in the difference in the incomes of Indigenous and non-Indigenous Australians followed a similar pattern, with income gaps shrinking in urban areas while growing rapidly in very remote areas. Although the increased incomes in urban and regional areas – where the majority of the Indigenous population lives – should be welcomed, this paper highlights a great divergence in the material circumstances of the Indigenous population across Australia. </w:t>
      </w:r>
      <w:r w:rsidRPr="00156E5E">
        <w:rPr>
          <w:b/>
        </w:rPr>
        <w:t>Urgent policy action is required to ameliorate the growing prevalence of poverty among Indigenous people in very remote Australia</w:t>
      </w:r>
      <w:r w:rsidRPr="00156E5E">
        <w:t>.</w:t>
      </w:r>
      <w:r>
        <w:t xml:space="preserve"> [</w:t>
      </w:r>
      <w:r w:rsidRPr="005F55F1">
        <w:rPr>
          <w:i/>
        </w:rPr>
        <w:t>emphasis added</w:t>
      </w:r>
      <w:r>
        <w:t>]</w:t>
      </w:r>
    </w:p>
    <w:p w14:paraId="570DFCE4" w14:textId="62CFBACF" w:rsidR="0093689E" w:rsidRDefault="00D152B0">
      <w:r>
        <w:t xml:space="preserve">Increasing poverty in remote Australia has multiple economic, social and health consequences, and inadequate housing should be seen as both the result of, and a cause of, ongoing, poverty. An earlier Productivity Commission staff research paper (McLachlan et. al. </w:t>
      </w:r>
      <w:r w:rsidR="00E7340F">
        <w:t>2013:2) note</w:t>
      </w:r>
      <w:r>
        <w:t>s</w:t>
      </w:r>
      <w:r w:rsidR="00E7340F">
        <w:t xml:space="preserve"> that: </w:t>
      </w:r>
    </w:p>
    <w:p w14:paraId="4EAB886D" w14:textId="77777777" w:rsidR="002557BC" w:rsidRDefault="00E7340F" w:rsidP="00E7340F">
      <w:pPr>
        <w:ind w:left="720"/>
      </w:pPr>
      <w:r w:rsidRPr="00E7340F">
        <w:t>People who are more likely to experience deep and persistent disadvantage include: lone parents; Indigenous Australians; people with a long-term health condition or disability; and people with low educational attainment. Many are public housing tenants and are weakly attached to the labour market</w:t>
      </w:r>
      <w:r>
        <w:t>….</w:t>
      </w:r>
      <w:r w:rsidRPr="00290D76">
        <w:rPr>
          <w:b/>
        </w:rPr>
        <w:t>Disadvantage has its roots in a complex interplay of factors. Many of these factors, when combined, can have a compounding effect</w:t>
      </w:r>
      <w:r w:rsidRPr="00E7340F">
        <w:t>. The probability that any one person will experience disadvantage is influenced by</w:t>
      </w:r>
      <w:r>
        <w:t xml:space="preserve"> …</w:t>
      </w:r>
      <w:r w:rsidRPr="00E7340F">
        <w:t xml:space="preserve"> the community where they live (a</w:t>
      </w:r>
      <w:r>
        <w:t>nd the opportunities it offers)…</w:t>
      </w:r>
      <w:r w:rsidR="00290D76">
        <w:t xml:space="preserve"> [</w:t>
      </w:r>
      <w:r w:rsidR="00290D76" w:rsidRPr="005F55F1">
        <w:rPr>
          <w:i/>
        </w:rPr>
        <w:t>emphasis added</w:t>
      </w:r>
      <w:r w:rsidR="00290D76">
        <w:t>].</w:t>
      </w:r>
    </w:p>
    <w:p w14:paraId="259D9005" w14:textId="47F22965" w:rsidR="002557BC" w:rsidRDefault="007B76FA">
      <w:r>
        <w:rPr>
          <w:b/>
        </w:rPr>
        <w:t>The s</w:t>
      </w:r>
      <w:r w:rsidR="00156E5E" w:rsidRPr="00156E5E">
        <w:rPr>
          <w:b/>
        </w:rPr>
        <w:t>econd</w:t>
      </w:r>
      <w:r>
        <w:rPr>
          <w:b/>
        </w:rPr>
        <w:t xml:space="preserve"> factor </w:t>
      </w:r>
      <w:r w:rsidRPr="007B76FA">
        <w:t>contributing to the salience of the decision to discontinue NPARIH</w:t>
      </w:r>
      <w:r>
        <w:t xml:space="preserve"> is that </w:t>
      </w:r>
      <w:r w:rsidR="00156E5E">
        <w:t>there was no offsetting policy changes to the mainstream NHHA to counteract the consequences of the Commonwealth’s unilateral decision. There was no increase in funding allocations to the states, and no change to the terms of the NHHA to require the states to allocate more. When the Commonwealth Minister was questioned about the non-renewal of NPARIH, his response was along the lines that the agreement was time limited and always intended to end</w:t>
      </w:r>
      <w:r w:rsidR="00156E5E">
        <w:rPr>
          <w:rStyle w:val="FootnoteReference"/>
        </w:rPr>
        <w:footnoteReference w:id="1"/>
      </w:r>
      <w:r w:rsidR="00156E5E">
        <w:t>, and that social housing provision was a responsibility of the states and territories.</w:t>
      </w:r>
    </w:p>
    <w:p w14:paraId="302AD219" w14:textId="3F1AEDB7" w:rsidR="002E0344" w:rsidRDefault="002E0344">
      <w:r w:rsidRPr="002E0344">
        <w:rPr>
          <w:b/>
        </w:rPr>
        <w:t>The third factor</w:t>
      </w:r>
      <w:r>
        <w:t xml:space="preserve"> which highlights the significance of the decision to discontinue NPARIH, and which emanates from some deep-seated inability of observers to actually see and understand the consequences of extreme housing shortage, is the size of the disparities which exist. I can best illustrate this by quoting in full a single paragraph from an earlier article of mine (Dillon 2020c</w:t>
      </w:r>
      <w:r w:rsidR="00256CFA">
        <w:t>: p.11</w:t>
      </w:r>
      <w:r>
        <w:t>) on evaluation which examined the NPARIH as a case study:</w:t>
      </w:r>
    </w:p>
    <w:p w14:paraId="61D4B433" w14:textId="1493EC22" w:rsidR="002E0344" w:rsidRDefault="002E0344" w:rsidP="002E0344">
      <w:pPr>
        <w:ind w:left="720"/>
      </w:pPr>
      <w:r w:rsidRPr="002E0344">
        <w:t>Recently Infrastructure Australia (IA) released a comprehensive audit of Australia’s infrastructure needs (IA, 2019). For the first time, social infrastructure, including social housing, was included in the audit. The section on social housing included a revealing table/graph (IA, 2019, p. 455). Headed ‘Homelessness is increasing in major cities and decreasing in outer regional and remote areas’, the table presented graphic dat</w:t>
      </w:r>
      <w:r>
        <w:t>a indicating that homelessness</w:t>
      </w:r>
      <w:r w:rsidRPr="002E0344">
        <w:t xml:space="preserve"> in very remote Australia had decreased by 225 per 10 000 persons between 2006 and 2016. In contrast, the rate in major cities had increased by 11 per 10 000 </w:t>
      </w:r>
      <w:r w:rsidRPr="002E0344">
        <w:lastRenderedPageBreak/>
        <w:t>persons over the same period. While factually correct, this heading is also potentially misleading. On closer examination, the data disclose huge discrepancies in overcrowding between urban and very remote Australia, with major city rates increasing from 35.4 to 45.5 per 10 000 persons, while very remote rates declined from 819 to 594 per 10 000 persons. The report noted (IA, 2019, p. 455) that the high rates of homelessness in remote areas ‘can be linked to challenges in providing adequate housing for these communities’. Apart from being almost comically tautological, the report failed to mention that the significant reductions in homelessness in very remote areas were synchronous with the significant investments by the Australian Government under the former National Partnership Agreement on Remote Indigenous Housing (NPARIH).</w:t>
      </w:r>
    </w:p>
    <w:p w14:paraId="09D69F6F" w14:textId="121A9A0D" w:rsidR="00963BE2" w:rsidRDefault="00963BE2" w:rsidP="00963BE2">
      <w:r>
        <w:t xml:space="preserve">In other words IA chose to emphasise the trends (urban homelessness increasing, remote decreasing) while ignoring the absolute levels of need, where remote housing needs </w:t>
      </w:r>
      <w:r w:rsidR="00E24D69">
        <w:t xml:space="preserve">dropped from 23 times worse to </w:t>
      </w:r>
      <w:r>
        <w:t xml:space="preserve">thirteen times worse than urban and regional needs. </w:t>
      </w:r>
      <w:r w:rsidR="00E24D69">
        <w:t xml:space="preserve">And the IA failed to note that this result coincided with the operation of NPARIH, a clear indication of the potential benefits that flowed from the program. </w:t>
      </w:r>
      <w:r>
        <w:t>Government</w:t>
      </w:r>
      <w:r w:rsidR="00E24D69">
        <w:t xml:space="preserve"> authorities</w:t>
      </w:r>
      <w:r>
        <w:t xml:space="preserve"> need to do better than this.  </w:t>
      </w:r>
    </w:p>
    <w:p w14:paraId="28AAE22A" w14:textId="5F6C066A" w:rsidR="00CD0D3A" w:rsidRDefault="00CD0D3A">
      <w:r w:rsidRPr="00290D76">
        <w:rPr>
          <w:b/>
        </w:rPr>
        <w:t xml:space="preserve">The inevitable and foreseeable </w:t>
      </w:r>
      <w:r w:rsidR="00290D76" w:rsidRPr="00290D76">
        <w:rPr>
          <w:b/>
        </w:rPr>
        <w:t>consequence</w:t>
      </w:r>
      <w:r w:rsidR="00290D76">
        <w:t xml:space="preserve"> </w:t>
      </w:r>
      <w:r w:rsidR="00256CFA">
        <w:t xml:space="preserve">of discontinuing NPARIH </w:t>
      </w:r>
      <w:r>
        <w:t>has been, and will continue to be, a worsening of remote Indigenous housing outcomes</w:t>
      </w:r>
      <w:r w:rsidR="00290D76">
        <w:t xml:space="preserve">, which itself plays into more general disadvantage amongst remote residents. </w:t>
      </w:r>
    </w:p>
    <w:p w14:paraId="3EB330A3" w14:textId="14C54D33" w:rsidR="00290D76" w:rsidRDefault="00290D76">
      <w:r w:rsidRPr="00290D76">
        <w:rPr>
          <w:b/>
        </w:rPr>
        <w:t xml:space="preserve">A </w:t>
      </w:r>
      <w:r w:rsidR="00F96E11">
        <w:rPr>
          <w:b/>
        </w:rPr>
        <w:t xml:space="preserve">further </w:t>
      </w:r>
      <w:r w:rsidRPr="00290D76">
        <w:rPr>
          <w:b/>
        </w:rPr>
        <w:t>outcome</w:t>
      </w:r>
      <w:r>
        <w:t xml:space="preserve"> has been to reduce the overall levels of effective transparency in housing outcomes for remote Indigenous people as any assessment of national efforts will now require a putative assessor to aggregate outcomes from eight jurisdictions. </w:t>
      </w:r>
      <w:r w:rsidR="00F96E11">
        <w:t>I note that the Productivity Commission has itself noted in its target data specifications for target nine (dealing with national housing provision) in its Closing the Gap dashboard that future disaggregation is required for remoteness, but without any indication of when or even if it proposes to move to implement this additional data disaggregation. In the light of the issues raised above, it is clear there would be considerable value in expediting the inclusion of such additional data analysis.</w:t>
      </w:r>
    </w:p>
    <w:p w14:paraId="702F5AD1" w14:textId="16F02BC1" w:rsidR="000853C3" w:rsidRDefault="00B03C09">
      <w:r>
        <w:t xml:space="preserve">Subsequent to </w:t>
      </w:r>
      <w:r w:rsidR="000853C3">
        <w:t xml:space="preserve">the Commonwealth decision to unilaterally withdraw from NPARIH, the Commonwealth initiated a process to revise and reframe the targets that comprise the national </w:t>
      </w:r>
      <w:r w:rsidR="004D28AE">
        <w:t>Closing</w:t>
      </w:r>
      <w:r w:rsidR="000853C3">
        <w:t xml:space="preserve"> the Gap framework</w:t>
      </w:r>
      <w:r w:rsidR="00DA2AE0">
        <w:t xml:space="preserve"> (Dillon 2021</w:t>
      </w:r>
      <w:r w:rsidR="00C3552F">
        <w:t>a</w:t>
      </w:r>
      <w:r w:rsidR="00DA2AE0">
        <w:t>)</w:t>
      </w:r>
      <w:r w:rsidR="000853C3">
        <w:t xml:space="preserve">. Initially established under a COAG agreement, the National </w:t>
      </w:r>
      <w:r w:rsidR="004D28AE">
        <w:t>Indigenous</w:t>
      </w:r>
      <w:r w:rsidR="000853C3">
        <w:t xml:space="preserve"> Reform Agreement, the new targets have been included in the new National Agreement on Closing the Gap, which was negotiated </w:t>
      </w:r>
      <w:r w:rsidR="004D28AE">
        <w:t xml:space="preserve">by the Commonwealth, the states and territories and also </w:t>
      </w:r>
      <w:r w:rsidR="000853C3">
        <w:t xml:space="preserve">with </w:t>
      </w:r>
      <w:r w:rsidR="004D28AE">
        <w:t xml:space="preserve">Indigenous interests represented by the National Coalition of Peaks. As part of the new agreement, the Coalition of Peaks pushed for a housing target, and subsequently, a new national housing target was included. </w:t>
      </w:r>
      <w:r w:rsidR="00C506BC">
        <w:t xml:space="preserve">Clearly, the national target was intended (at least by Indigenous interests) to frame and encourage future policy initiatives to address Indigenous housing challenges. The issue of whether the national housing target will be effective in doing this thus becomes crucially important as if it is conceptually flawed or inadequate, it </w:t>
      </w:r>
      <w:r w:rsidR="00783A7A">
        <w:t>will undermine the policy objectives it is ostensibly designed to achieve.</w:t>
      </w:r>
    </w:p>
    <w:p w14:paraId="42EF6CFC" w14:textId="77777777" w:rsidR="008107C4" w:rsidRDefault="008107C4">
      <w:pPr>
        <w:rPr>
          <w:b/>
          <w:bCs/>
        </w:rPr>
      </w:pPr>
    </w:p>
    <w:p w14:paraId="0BAFA802" w14:textId="781B1B33" w:rsidR="00CD5FB9" w:rsidRDefault="00CD5FB9">
      <w:pPr>
        <w:rPr>
          <w:b/>
          <w:bCs/>
        </w:rPr>
      </w:pPr>
      <w:r w:rsidRPr="00853ECB">
        <w:rPr>
          <w:b/>
          <w:bCs/>
        </w:rPr>
        <w:t>The inadequacy of the Closing the Gap target on housing</w:t>
      </w:r>
      <w:r w:rsidR="00853ECB">
        <w:rPr>
          <w:b/>
          <w:bCs/>
        </w:rPr>
        <w:t xml:space="preserve"> </w:t>
      </w:r>
    </w:p>
    <w:p w14:paraId="1EC0EDFC" w14:textId="224AE7E3" w:rsidR="00853ECB" w:rsidRDefault="00853ECB">
      <w:r>
        <w:t xml:space="preserve">The National Agreement on Closing the Gap establishes a series of specific targets </w:t>
      </w:r>
      <w:r w:rsidR="00D54216">
        <w:t xml:space="preserve">theoretically </w:t>
      </w:r>
      <w:r>
        <w:t xml:space="preserve">aimed at reducing the gaps in key social indicators between mainstream and Indigenous Australians. The targets are long term, and generally partial in their aspiration. </w:t>
      </w:r>
      <w:r w:rsidR="00D54216">
        <w:t xml:space="preserve">Increasingly, </w:t>
      </w:r>
      <w:r w:rsidR="00441605">
        <w:t xml:space="preserve">governments, particularly the Commonwealth which has driven the most recent changes to target specification, </w:t>
      </w:r>
      <w:r w:rsidR="00D54216">
        <w:lastRenderedPageBreak/>
        <w:t xml:space="preserve">have shifted the specification of targets away from </w:t>
      </w:r>
      <w:r w:rsidR="00B03C09">
        <w:t>comparative percentages (</w:t>
      </w:r>
      <w:r w:rsidR="00D54216">
        <w:t>the gap</w:t>
      </w:r>
      <w:r w:rsidR="00B03C09">
        <w:t>)</w:t>
      </w:r>
      <w:r w:rsidR="00D54216">
        <w:t xml:space="preserve"> and towards absolute </w:t>
      </w:r>
      <w:r w:rsidR="00441605">
        <w:t>targets</w:t>
      </w:r>
      <w:r w:rsidR="00D54216">
        <w:t xml:space="preserve">. This is the case with </w:t>
      </w:r>
      <w:r w:rsidR="00D54216" w:rsidRPr="00C53E7C">
        <w:rPr>
          <w:b/>
        </w:rPr>
        <w:t>target 9</w:t>
      </w:r>
      <w:r w:rsidR="00441605">
        <w:t>, which provides:</w:t>
      </w:r>
    </w:p>
    <w:p w14:paraId="6A7B4244" w14:textId="7D40FFF0" w:rsidR="00441605" w:rsidRPr="00441605" w:rsidRDefault="00441605" w:rsidP="00441605">
      <w:pPr>
        <w:ind w:left="720"/>
        <w:rPr>
          <w:i/>
          <w:iCs/>
        </w:rPr>
      </w:pPr>
      <w:r w:rsidRPr="00441605">
        <w:rPr>
          <w:i/>
          <w:iCs/>
        </w:rPr>
        <w:t>By 2031, increase the proportion of Aboriginal and Torres Strait Islander people living in appropriately sized (not overcrowded) housing to 88 per cent.</w:t>
      </w:r>
      <w:r w:rsidR="00325C98">
        <w:rPr>
          <w:rStyle w:val="FootnoteReference"/>
          <w:i/>
          <w:iCs/>
        </w:rPr>
        <w:footnoteReference w:id="2"/>
      </w:r>
    </w:p>
    <w:p w14:paraId="29E1FB71" w14:textId="77777777" w:rsidR="0059421C" w:rsidRDefault="00D93FCD">
      <w:r>
        <w:t xml:space="preserve">According to the Productivity Commission </w:t>
      </w:r>
      <w:r w:rsidR="00065265">
        <w:t xml:space="preserve">(2021) </w:t>
      </w:r>
      <w:r w:rsidR="00065265" w:rsidRPr="00065265">
        <w:rPr>
          <w:i/>
        </w:rPr>
        <w:t>closing the gap information repository</w:t>
      </w:r>
      <w:r w:rsidR="00065265">
        <w:t xml:space="preserve"> </w:t>
      </w:r>
      <w:r>
        <w:t>(and in particular table CtG9A.1), in</w:t>
      </w:r>
      <w:r w:rsidR="00441605">
        <w:t xml:space="preserve"> 2016, 78.9 per cent of </w:t>
      </w:r>
      <w:r>
        <w:t>Indigenous</w:t>
      </w:r>
      <w:r w:rsidR="00441605">
        <w:t xml:space="preserve"> people we</w:t>
      </w:r>
      <w:r w:rsidR="00065265">
        <w:t>re living in appropriate (not overcrowded)</w:t>
      </w:r>
      <w:r w:rsidR="00441605">
        <w:t xml:space="preserve"> housing</w:t>
      </w:r>
      <w:r>
        <w:t>. Accordingly, meeting the target requires an increase of 9 percentage points over the decade to 2031. There are two contextual points that need to be understood in assessing the appropriateness of this target.</w:t>
      </w:r>
      <w:r w:rsidR="000C6638">
        <w:t xml:space="preserve"> </w:t>
      </w:r>
    </w:p>
    <w:p w14:paraId="3689FEAB" w14:textId="0799947C" w:rsidR="006901D3" w:rsidRDefault="000C6638">
      <w:pPr>
        <w:rPr>
          <w:b/>
        </w:rPr>
      </w:pPr>
      <w:r w:rsidRPr="00F42DBC">
        <w:rPr>
          <w:b/>
          <w:bCs/>
        </w:rPr>
        <w:t>First</w:t>
      </w:r>
      <w:r>
        <w:t xml:space="preserve">, it is apparent from table CtG9A.1 that in 2016, those states and territories without significant remote Indigenous populations had </w:t>
      </w:r>
      <w:r w:rsidR="00065265">
        <w:t>‘plus-</w:t>
      </w:r>
      <w:r>
        <w:t>80</w:t>
      </w:r>
      <w:r w:rsidR="00F42DBC">
        <w:t xml:space="preserve"> percent</w:t>
      </w:r>
      <w:r w:rsidR="00065265">
        <w:t>’</w:t>
      </w:r>
      <w:r w:rsidR="00F42DBC">
        <w:t xml:space="preserve"> outcomes: NSW 85.9; Vic 87.6; SA 82.5; Tas 89.9; ACT 91.6;. States with significant remote populations were sub-80 percent: Qld 79.4; WA 75.2; and NT 38.4. Clearly, </w:t>
      </w:r>
      <w:r w:rsidR="00F42DBC" w:rsidRPr="007B76FA">
        <w:rPr>
          <w:b/>
        </w:rPr>
        <w:t xml:space="preserve">the </w:t>
      </w:r>
      <w:r w:rsidR="00065265" w:rsidRPr="007B76FA">
        <w:rPr>
          <w:b/>
        </w:rPr>
        <w:t xml:space="preserve">critical mass of overcrowding is to be found </w:t>
      </w:r>
      <w:r w:rsidR="00F42DBC" w:rsidRPr="007B76FA">
        <w:rPr>
          <w:b/>
        </w:rPr>
        <w:t xml:space="preserve">in remote regions. </w:t>
      </w:r>
    </w:p>
    <w:p w14:paraId="22B8B508" w14:textId="6664DB16" w:rsidR="00783A7A" w:rsidRDefault="00F42DBC">
      <w:r w:rsidRPr="009D7668">
        <w:t>The</w:t>
      </w:r>
      <w:r w:rsidRPr="00087B7C">
        <w:rPr>
          <w:b/>
          <w:bCs/>
        </w:rPr>
        <w:t xml:space="preserve"> second </w:t>
      </w:r>
      <w:r w:rsidRPr="009D7668">
        <w:t>contextual factor</w:t>
      </w:r>
      <w:r>
        <w:t xml:space="preserve"> relates to the </w:t>
      </w:r>
      <w:r w:rsidR="003229AF">
        <w:t xml:space="preserve">demographic shifts underway in the </w:t>
      </w:r>
      <w:r w:rsidR="001F1A42">
        <w:t>Indigenous</w:t>
      </w:r>
      <w:r w:rsidR="003229AF">
        <w:t xml:space="preserve"> population nationally</w:t>
      </w:r>
      <w:r w:rsidR="001F1A42">
        <w:t xml:space="preserve">. The ABS </w:t>
      </w:r>
      <w:r w:rsidR="00E06AC7">
        <w:t xml:space="preserve">(2019) </w:t>
      </w:r>
      <w:r w:rsidR="001F1A42">
        <w:t xml:space="preserve">estimates that the </w:t>
      </w:r>
      <w:r w:rsidR="00E06AC7">
        <w:t>Indigenous</w:t>
      </w:r>
      <w:r w:rsidR="001F1A42">
        <w:t xml:space="preserve"> population nationally will grow from 798</w:t>
      </w:r>
      <w:r w:rsidR="00065265">
        <w:t>,</w:t>
      </w:r>
      <w:r w:rsidR="001F1A42">
        <w:t xml:space="preserve">000 in 2016 to </w:t>
      </w:r>
      <w:r w:rsidR="00E06AC7">
        <w:t xml:space="preserve">between 1,093,000 and 1,045,000 (table 18). </w:t>
      </w:r>
      <w:r w:rsidR="00783A7A" w:rsidRPr="00754A75">
        <w:rPr>
          <w:b/>
          <w:bCs/>
        </w:rPr>
        <w:t xml:space="preserve">These estimates </w:t>
      </w:r>
      <w:r w:rsidR="00754A75" w:rsidRPr="00754A75">
        <w:rPr>
          <w:b/>
          <w:bCs/>
        </w:rPr>
        <w:t xml:space="preserve">(and thus the calculations below) </w:t>
      </w:r>
      <w:r w:rsidR="00783A7A" w:rsidRPr="00754A75">
        <w:rPr>
          <w:b/>
          <w:bCs/>
        </w:rPr>
        <w:t>explicitly assume no unexplained growth factors</w:t>
      </w:r>
      <w:r w:rsidR="00783A7A" w:rsidRPr="00783A7A">
        <w:t xml:space="preserve">. </w:t>
      </w:r>
      <w:r w:rsidR="0059421C">
        <w:t>Nevertheless, t</w:t>
      </w:r>
      <w:r w:rsidR="00783A7A" w:rsidRPr="00783A7A">
        <w:t xml:space="preserve">here is a history of strong and increasing undercount of the Indigenous population. There is also significant unexplained growth in ABS census figures. According to Markham &amp; Biddle </w:t>
      </w:r>
      <w:r w:rsidR="00065265">
        <w:t>(</w:t>
      </w:r>
      <w:r w:rsidR="00783A7A" w:rsidRPr="00783A7A">
        <w:t>2017:4</w:t>
      </w:r>
      <w:r w:rsidR="00065265">
        <w:t>)</w:t>
      </w:r>
      <w:r w:rsidR="00783A7A" w:rsidRPr="00783A7A">
        <w:t xml:space="preserve">, this unexplained growth accounted </w:t>
      </w:r>
      <w:r w:rsidR="00EB493A">
        <w:t>f</w:t>
      </w:r>
      <w:r w:rsidR="00783A7A" w:rsidRPr="00783A7A">
        <w:t>or 34 percent of the growth in intercensal population between 2011 and 2016. Potential reasons include methodological changes, but more saliently, increased identification of Indigenous status by citizens (Markham &amp; Biddle 2017</w:t>
      </w:r>
      <w:r w:rsidR="00EB493A">
        <w:t>, p.</w:t>
      </w:r>
      <w:r w:rsidR="00783A7A" w:rsidRPr="00783A7A">
        <w:t>4).</w:t>
      </w:r>
    </w:p>
    <w:p w14:paraId="16663801" w14:textId="2DC39F93" w:rsidR="00783A7A" w:rsidRDefault="00E06AC7">
      <w:r>
        <w:t xml:space="preserve">Taking the most conservative </w:t>
      </w:r>
      <w:r w:rsidR="00065265">
        <w:t xml:space="preserve">of three </w:t>
      </w:r>
      <w:r w:rsidR="00754A75">
        <w:t xml:space="preserve">ABS </w:t>
      </w:r>
      <w:r>
        <w:t>estimate</w:t>
      </w:r>
      <w:r w:rsidR="00065265">
        <w:t xml:space="preserve"> scenarios</w:t>
      </w:r>
      <w:r>
        <w:t xml:space="preserve">, </w:t>
      </w:r>
      <w:r w:rsidR="0012689A">
        <w:t xml:space="preserve">the national Indigenous population is projected to grow from 798,365 to 1,045,993, an increase of 247, 628. Yet the growth in the 17 </w:t>
      </w:r>
      <w:r w:rsidR="006A141D">
        <w:t xml:space="preserve">most </w:t>
      </w:r>
      <w:r w:rsidR="0012689A">
        <w:t>remote regions is projected to be only 21,157</w:t>
      </w:r>
      <w:r w:rsidR="006A141D">
        <w:t xml:space="preserve"> (ABS 2019: table 21)</w:t>
      </w:r>
      <w:r w:rsidR="0012689A">
        <w:t xml:space="preserve">. </w:t>
      </w:r>
      <w:r w:rsidR="006B6FED">
        <w:t>Over 90 percent of the projected population growth in the Indigenous population nationally is in non-remote regions. These are regions that are not subject to deep</w:t>
      </w:r>
      <w:r w:rsidR="006A141D">
        <w:t>-</w:t>
      </w:r>
      <w:r w:rsidR="006B6FED">
        <w:t xml:space="preserve">seated market failure in the provision of housing, as they have access to the private rental market, mainstream social housing provision, and extensive pre-existing </w:t>
      </w:r>
      <w:r w:rsidR="00743031">
        <w:t xml:space="preserve">support </w:t>
      </w:r>
      <w:r w:rsidR="006B6FED">
        <w:t>infrastructure</w:t>
      </w:r>
      <w:r w:rsidR="00743031">
        <w:t xml:space="preserve"> for housing such as clean water, established energy networks and the like</w:t>
      </w:r>
      <w:r w:rsidR="006B6FED">
        <w:t xml:space="preserve">. </w:t>
      </w:r>
    </w:p>
    <w:p w14:paraId="3B30EE0D" w14:textId="4A131213" w:rsidR="00EA2DCB" w:rsidRDefault="006A141D">
      <w:r>
        <w:t xml:space="preserve">These projected demographic shifts will reduce the </w:t>
      </w:r>
      <w:r w:rsidR="00783A7A">
        <w:t xml:space="preserve">statistical </w:t>
      </w:r>
      <w:r>
        <w:t>significance of the low proportions of appropriate housing in remote regions, and effectively allow the target to be met while extreme housing disadvantage persists in remote Australia. Moreover,</w:t>
      </w:r>
      <w:r w:rsidR="006901D3">
        <w:t xml:space="preserve"> to the extent that </w:t>
      </w:r>
      <w:r w:rsidR="00783A7A">
        <w:t xml:space="preserve">the </w:t>
      </w:r>
      <w:r w:rsidR="006901D3">
        <w:t xml:space="preserve">increased Indigenous identification </w:t>
      </w:r>
      <w:r w:rsidR="00783A7A">
        <w:t xml:space="preserve">identified by Markham </w:t>
      </w:r>
      <w:r w:rsidR="00FD6F2B">
        <w:t>&amp; Biddle (2017), but discounted by</w:t>
      </w:r>
      <w:r w:rsidR="00F71D14">
        <w:t xml:space="preserve"> </w:t>
      </w:r>
      <w:r w:rsidR="00FD6F2B">
        <w:t>th</w:t>
      </w:r>
      <w:r w:rsidR="00F71D14">
        <w:t>e</w:t>
      </w:r>
      <w:r w:rsidR="00FD6F2B">
        <w:t xml:space="preserve"> ABS projections, </w:t>
      </w:r>
      <w:r w:rsidR="006901D3">
        <w:t xml:space="preserve">continues in the mainly urban and regional southeast of the nation, this </w:t>
      </w:r>
      <w:r w:rsidR="00FD6F2B">
        <w:t xml:space="preserve">will </w:t>
      </w:r>
      <w:r w:rsidR="00743031">
        <w:t>in effect magnify</w:t>
      </w:r>
      <w:r w:rsidR="006901D3">
        <w:t xml:space="preserve"> the </w:t>
      </w:r>
      <w:r w:rsidR="00FD6F2B">
        <w:t xml:space="preserve">shift towards the target </w:t>
      </w:r>
      <w:r w:rsidR="006901D3">
        <w:t>as every additional newly identified Indigenous person is in effect transferring from the mainstream cohort</w:t>
      </w:r>
      <w:r w:rsidR="00F71D14">
        <w:t xml:space="preserve"> where 92.9 percent of persons live in appropriate housing</w:t>
      </w:r>
      <w:r w:rsidR="006901D3">
        <w:t xml:space="preserve">. </w:t>
      </w:r>
      <w:r w:rsidR="009D7668">
        <w:t xml:space="preserve">Not only does it seem likely that the national </w:t>
      </w:r>
      <w:r w:rsidR="00F71D14">
        <w:t xml:space="preserve">Indigenous </w:t>
      </w:r>
      <w:r w:rsidR="009D7668">
        <w:t xml:space="preserve">housing target will be met off the back of underlying demographic change (a factor </w:t>
      </w:r>
      <w:r w:rsidR="000510CB">
        <w:t>governments</w:t>
      </w:r>
      <w:r w:rsidR="009D7668">
        <w:t xml:space="preserve"> are surely aware of, but have chosen not to </w:t>
      </w:r>
      <w:r w:rsidR="000510CB">
        <w:t>highlight or emphasise)</w:t>
      </w:r>
      <w:r w:rsidR="009D7668">
        <w:t xml:space="preserve">, but it seems likely that it will occur without any additional government investment in </w:t>
      </w:r>
      <w:r w:rsidR="00743031">
        <w:t xml:space="preserve">either mainstream or </w:t>
      </w:r>
      <w:r w:rsidR="009D7668">
        <w:t xml:space="preserve">Indigenous housing. </w:t>
      </w:r>
      <w:r w:rsidR="007B76FA">
        <w:t xml:space="preserve">A rising demographic tide, </w:t>
      </w:r>
      <w:r w:rsidR="007B76FA">
        <w:lastRenderedPageBreak/>
        <w:t>along with</w:t>
      </w:r>
      <w:r w:rsidR="00EA2DCB">
        <w:t xml:space="preserve"> rising incomes within Indigenous urban cohorts will allow the target to be met without additional government effort. </w:t>
      </w:r>
    </w:p>
    <w:p w14:paraId="35A2EFA6" w14:textId="383DFC84" w:rsidR="00CD5FB9" w:rsidRDefault="004859FF">
      <w:r>
        <w:t xml:space="preserve">Moreover, in the event the </w:t>
      </w:r>
      <w:r w:rsidR="00EA2DCB">
        <w:t xml:space="preserve">national housing </w:t>
      </w:r>
      <w:r>
        <w:t>target is not reached, it will be limited to an under-achievement in a small number of jurisdictions, and thus the Commonwealth will seek to shift any political blame to those particular jurisdictions. T</w:t>
      </w:r>
      <w:r w:rsidR="000510CB">
        <w:t>o put this another way, th</w:t>
      </w:r>
      <w:r>
        <w:t xml:space="preserve">e national housing </w:t>
      </w:r>
      <w:r w:rsidR="00601C45">
        <w:t>Closing</w:t>
      </w:r>
      <w:r w:rsidR="000510CB">
        <w:t xml:space="preserve"> the Gap target is in effect a mechanism</w:t>
      </w:r>
      <w:r w:rsidR="005E5E73">
        <w:t xml:space="preserve">, </w:t>
      </w:r>
      <w:r w:rsidR="0059421C">
        <w:t xml:space="preserve"> which fortuitously (for governments) and unfortunately (for </w:t>
      </w:r>
      <w:r w:rsidR="00C3552F">
        <w:t>Indigenous</w:t>
      </w:r>
      <w:r w:rsidR="0059421C">
        <w:t xml:space="preserve"> interests) operates </w:t>
      </w:r>
      <w:r w:rsidR="000510CB">
        <w:t xml:space="preserve">to persuade the Australian community that progress is being made and there is no need for additional investment. Yet </w:t>
      </w:r>
      <w:r w:rsidR="003667FB">
        <w:t>achieving 88 percent of the I</w:t>
      </w:r>
      <w:r w:rsidR="00601C45">
        <w:t>ndigenous population adequately housed will leave some 125</w:t>
      </w:r>
      <w:r>
        <w:t xml:space="preserve">,000 </w:t>
      </w:r>
      <w:r w:rsidR="00601C45">
        <w:t>Indigenous citizens inadequately housed, including perhaps some 75,000 remote citizens.</w:t>
      </w:r>
      <w:r w:rsidR="008F71FC">
        <w:rPr>
          <w:rStyle w:val="FootnoteReference"/>
        </w:rPr>
        <w:footnoteReference w:id="3"/>
      </w:r>
      <w:r w:rsidR="00601C45">
        <w:t xml:space="preserve"> </w:t>
      </w:r>
      <w:r w:rsidR="00EA2DCB">
        <w:t>It will thus contribute to ongoing disadvantage and poverty for a quarter of a million people, and inevitably contribute to inter-generational poverty for their descendants.</w:t>
      </w:r>
    </w:p>
    <w:p w14:paraId="63B809C3" w14:textId="142D3FA3" w:rsidR="006901D3" w:rsidRDefault="006901D3">
      <w:r>
        <w:t xml:space="preserve">None of </w:t>
      </w:r>
      <w:r w:rsidR="009D7668">
        <w:t>t</w:t>
      </w:r>
      <w:r>
        <w:t xml:space="preserve">he analysis above should be taken </w:t>
      </w:r>
      <w:r w:rsidR="009D7668">
        <w:t xml:space="preserve">to suggest that the levels of </w:t>
      </w:r>
      <w:r w:rsidR="00F71D14">
        <w:t xml:space="preserve">Indigenous housing </w:t>
      </w:r>
      <w:r w:rsidR="009D7668">
        <w:t xml:space="preserve">need in urban and regional Australia are not </w:t>
      </w:r>
      <w:r w:rsidR="00662FB4">
        <w:t xml:space="preserve">important </w:t>
      </w:r>
      <w:r w:rsidR="009D7668">
        <w:t xml:space="preserve">and </w:t>
      </w:r>
      <w:r w:rsidR="00F71D14">
        <w:t xml:space="preserve">that the existence of those needs </w:t>
      </w:r>
      <w:r w:rsidR="009D7668">
        <w:t xml:space="preserve">have severe adverse consequences for those who are not adequately housed. </w:t>
      </w:r>
      <w:r w:rsidR="00662FB4">
        <w:t>While I am not aware of any research that assesses the duration of individual housing disadvantage, the different underpinning structure of housing supply and provision in remote and regional/urban contexts suggests that in remote areas, housing disadvantage is likely to be of longer duration for individuals</w:t>
      </w:r>
      <w:r w:rsidR="0059421C">
        <w:t xml:space="preserve"> and families</w:t>
      </w:r>
      <w:r w:rsidR="00662FB4">
        <w:t xml:space="preserve">, and reflects the deeper structural impediments </w:t>
      </w:r>
      <w:r w:rsidR="008F71FC">
        <w:t>constraining the achievement of appropriate housing by</w:t>
      </w:r>
      <w:r w:rsidR="00C53E7C">
        <w:t xml:space="preserve"> </w:t>
      </w:r>
      <w:r w:rsidR="0059421C">
        <w:t>households</w:t>
      </w:r>
      <w:r w:rsidR="008F71FC">
        <w:t xml:space="preserve">. </w:t>
      </w:r>
    </w:p>
    <w:p w14:paraId="17AD4C0B" w14:textId="06752E0F" w:rsidR="00B22674" w:rsidRDefault="00B22674"/>
    <w:p w14:paraId="5874A7E0" w14:textId="44FCFBE6" w:rsidR="00B22674" w:rsidRPr="00C53E7C" w:rsidRDefault="00B22674">
      <w:pPr>
        <w:rPr>
          <w:b/>
        </w:rPr>
      </w:pPr>
      <w:r w:rsidRPr="00C53E7C">
        <w:rPr>
          <w:b/>
        </w:rPr>
        <w:t>The National Agreement on Closing the Gap</w:t>
      </w:r>
    </w:p>
    <w:p w14:paraId="38588291" w14:textId="0395A68C" w:rsidR="00B22674" w:rsidRDefault="00B22674">
      <w:r>
        <w:t xml:space="preserve">Notwithstanding the problematic framing of the housing target under the </w:t>
      </w:r>
      <w:r w:rsidR="00132123">
        <w:t>National A</w:t>
      </w:r>
      <w:r>
        <w:t>greement</w:t>
      </w:r>
      <w:r w:rsidR="00132123">
        <w:t xml:space="preserve"> on Closing the Gap</w:t>
      </w:r>
      <w:r>
        <w:t xml:space="preserve">, there are a number of other mechanisms </w:t>
      </w:r>
      <w:r w:rsidR="00C3552F">
        <w:t xml:space="preserve">in the Agreement </w:t>
      </w:r>
      <w:r>
        <w:t>that might potentially play a positive role in improving remote Indigenous housing outcomes. These include the</w:t>
      </w:r>
      <w:r w:rsidR="00C3552F">
        <w:t xml:space="preserve"> effective implementation of the </w:t>
      </w:r>
      <w:r>
        <w:t>four priority reforms</w:t>
      </w:r>
      <w:r w:rsidR="00851662">
        <w:t>. In</w:t>
      </w:r>
      <w:r>
        <w:t xml:space="preserve"> particular, under </w:t>
      </w:r>
      <w:r w:rsidR="00851662">
        <w:t>Priority</w:t>
      </w:r>
      <w:r>
        <w:t xml:space="preserve"> </w:t>
      </w:r>
      <w:r w:rsidR="00851662">
        <w:t>R</w:t>
      </w:r>
      <w:r>
        <w:t>eform</w:t>
      </w:r>
      <w:r w:rsidR="00132123">
        <w:t>s One and</w:t>
      </w:r>
      <w:r>
        <w:t xml:space="preserve"> </w:t>
      </w:r>
      <w:r w:rsidR="00851662">
        <w:t xml:space="preserve">Two, there are </w:t>
      </w:r>
      <w:r w:rsidR="00132123">
        <w:t xml:space="preserve">commitments to develop </w:t>
      </w:r>
      <w:r w:rsidR="00851662">
        <w:t xml:space="preserve">cross-jurisdictional partnerships involving joined up approaches to five priority policy areas, </w:t>
      </w:r>
      <w:r w:rsidR="00C53E7C">
        <w:t>including housing (</w:t>
      </w:r>
      <w:r w:rsidR="007E28EC">
        <w:t>clause 38</w:t>
      </w:r>
      <w:r w:rsidR="00851662">
        <w:t>) plus sector strengthening plans to be developed in a number of sectors by 2022, including housing</w:t>
      </w:r>
      <w:r w:rsidR="00C53E7C">
        <w:t xml:space="preserve"> (</w:t>
      </w:r>
      <w:r w:rsidR="00851662">
        <w:t>clause</w:t>
      </w:r>
      <w:r w:rsidR="00C53E7C">
        <w:t xml:space="preserve"> </w:t>
      </w:r>
      <w:r w:rsidR="00851662">
        <w:t xml:space="preserve">50). These are all potentially useful mechanism to fine-tune policy delivery mechanisms, but are unlikely to drive the step change reforms, and most importantly, the step changes in financial investment that are required to turn around the current levels of remote overcrowding. </w:t>
      </w:r>
      <w:r w:rsidR="007E28EC">
        <w:t>One positive development has been the December 2021 decision of the Joint Counci</w:t>
      </w:r>
      <w:r w:rsidR="00C3552F">
        <w:t xml:space="preserve">l to add an additional target on community infrastructure: </w:t>
      </w:r>
    </w:p>
    <w:p w14:paraId="65F101B5" w14:textId="77777777" w:rsidR="007E28EC" w:rsidRPr="007E28EC" w:rsidRDefault="007E28EC" w:rsidP="00C53E7C">
      <w:pPr>
        <w:ind w:left="720"/>
      </w:pPr>
      <w:r w:rsidRPr="00C53E7C">
        <w:rPr>
          <w:b/>
        </w:rPr>
        <w:t>Target 9b</w:t>
      </w:r>
      <w:r w:rsidRPr="007E28EC">
        <w:t>: By 2031, all Aboriginal and Torres Strait Islander households:</w:t>
      </w:r>
    </w:p>
    <w:p w14:paraId="69DB73BD" w14:textId="77777777" w:rsidR="007E28EC" w:rsidRPr="007E28EC" w:rsidRDefault="007E28EC" w:rsidP="00C53E7C">
      <w:pPr>
        <w:ind w:left="720"/>
      </w:pPr>
      <w:r w:rsidRPr="007E28EC">
        <w:t>i) within discrete Aboriginal or Torres Strait Islander communities1 receive essential services that meet or exceed the relevant jurisdictional standard;</w:t>
      </w:r>
    </w:p>
    <w:p w14:paraId="22F40496" w14:textId="77777777" w:rsidR="007E28EC" w:rsidRPr="007E28EC" w:rsidRDefault="007E28EC" w:rsidP="00C53E7C">
      <w:pPr>
        <w:ind w:left="720"/>
      </w:pPr>
      <w:r w:rsidRPr="007E28EC">
        <w:lastRenderedPageBreak/>
        <w:t>ii) in or near to a town receive essential services that meet or exceed the same standard as applies generally within the town (including if the household might be classified for other purposes as a part of a discrete settlement such as a “town camp” or “town based reserve”).</w:t>
      </w:r>
    </w:p>
    <w:p w14:paraId="165B01E8" w14:textId="5A86ADB3" w:rsidR="007E28EC" w:rsidRDefault="00B07D71">
      <w:r>
        <w:t xml:space="preserve">The bottom line is that while these processes are positive, they provide no assurance that governments at any level will allocated the funds required to address the extreme levels of overcrowding in remote Australia. The Implementation plans </w:t>
      </w:r>
      <w:r w:rsidR="00EB493A">
        <w:t xml:space="preserve">required by the National Agreement on Closing the Gap </w:t>
      </w:r>
      <w:r>
        <w:t>published to da</w:t>
      </w:r>
      <w:r w:rsidR="00C3552F">
        <w:t>te have been underwhelming. Here is not the place for a critical assessment; my provisional views justifying that pessimistic conclusion in relation to the Commonwealth’s first Implementation Plan was published on my blog (Dillon 2021b).</w:t>
      </w:r>
      <w:r>
        <w:t xml:space="preserve"> </w:t>
      </w:r>
    </w:p>
    <w:p w14:paraId="588EE797" w14:textId="231AA168" w:rsidR="00101C11" w:rsidRDefault="000853C3" w:rsidP="000853C3">
      <w:r>
        <w:t xml:space="preserve">This then is the </w:t>
      </w:r>
      <w:r w:rsidR="00FB1AC4">
        <w:t xml:space="preserve">Indigenous housing base </w:t>
      </w:r>
      <w:r>
        <w:t xml:space="preserve">upon which policymakers must decide how to revise and/or improve the NHHA in the lead up to its 2023 renewal. </w:t>
      </w:r>
    </w:p>
    <w:p w14:paraId="2819EBB7" w14:textId="77777777" w:rsidR="00743031" w:rsidRDefault="00743031" w:rsidP="000853C3">
      <w:pPr>
        <w:rPr>
          <w:b/>
          <w:bCs/>
        </w:rPr>
      </w:pPr>
    </w:p>
    <w:p w14:paraId="1ED39918" w14:textId="5593F48F" w:rsidR="00101C11" w:rsidRPr="00101C11" w:rsidRDefault="00101C11" w:rsidP="000853C3">
      <w:pPr>
        <w:rPr>
          <w:b/>
          <w:bCs/>
        </w:rPr>
      </w:pPr>
      <w:r w:rsidRPr="00101C11">
        <w:rPr>
          <w:b/>
          <w:bCs/>
        </w:rPr>
        <w:t>The interplay of housing and other policy domains</w:t>
      </w:r>
    </w:p>
    <w:p w14:paraId="692A84CA" w14:textId="2FD60921" w:rsidR="00674BE2" w:rsidRDefault="00101C11" w:rsidP="00FB0526">
      <w:r>
        <w:t xml:space="preserve">Housing is not a standalone policy sector, and </w:t>
      </w:r>
      <w:r w:rsidR="00743031">
        <w:t xml:space="preserve">impacts on </w:t>
      </w:r>
      <w:r>
        <w:t xml:space="preserve">other policy domains in complex ways. This is particularly the case for Indigenous citizens in remote regions. </w:t>
      </w:r>
      <w:r w:rsidR="000853C3">
        <w:t xml:space="preserve">Set out below </w:t>
      </w:r>
      <w:r>
        <w:t xml:space="preserve">is a brief listing of </w:t>
      </w:r>
      <w:r w:rsidR="000853C3">
        <w:t xml:space="preserve">a number of </w:t>
      </w:r>
      <w:r w:rsidR="00FB1AC4">
        <w:t xml:space="preserve">policy </w:t>
      </w:r>
      <w:r w:rsidR="000853C3">
        <w:t xml:space="preserve">issues </w:t>
      </w:r>
      <w:r>
        <w:t xml:space="preserve">that affect, or are affected by, the quality of remote housing outcomes. </w:t>
      </w:r>
      <w:r w:rsidR="00674BE2">
        <w:t xml:space="preserve">Poor quality housing outcomes clearly have knock-on impacts across a wide range of broader government policy objectives, and also have implications for the quality of life of remote indigenous communities and citizens. While the achievement of </w:t>
      </w:r>
      <w:r w:rsidR="008F37A5">
        <w:t>Indigenous</w:t>
      </w:r>
      <w:r w:rsidR="00EA2DCB">
        <w:t xml:space="preserve"> well-</w:t>
      </w:r>
      <w:r w:rsidR="00674BE2">
        <w:t>being and or aspirations on the one hand, and the existence of sever</w:t>
      </w:r>
      <w:r w:rsidR="008F37A5">
        <w:t>e</w:t>
      </w:r>
      <w:r w:rsidR="00674BE2">
        <w:t xml:space="preserve"> disadvantage on the other, are both affected by the quality of housing options</w:t>
      </w:r>
      <w:r w:rsidR="008F37A5">
        <w:t xml:space="preserve"> </w:t>
      </w:r>
      <w:r w:rsidR="00674BE2">
        <w:t>a</w:t>
      </w:r>
      <w:r w:rsidR="008F37A5">
        <w:t xml:space="preserve">nd </w:t>
      </w:r>
      <w:r w:rsidR="00674BE2">
        <w:t xml:space="preserve">outcomes, </w:t>
      </w:r>
      <w:r w:rsidR="008F37A5">
        <w:t xml:space="preserve">it is clear that housing is not the only factor in play. Nevertheless, since secure accommodation is such a basic human need, it seems safe to assume that the quality of housing plays a significant role on both sides of the aspiration/disadvantage equation. For </w:t>
      </w:r>
      <w:r w:rsidR="001C313A">
        <w:t>governments</w:t>
      </w:r>
      <w:r w:rsidR="008F37A5">
        <w:t xml:space="preserve"> interested in improving </w:t>
      </w:r>
      <w:r w:rsidR="00743031">
        <w:t>outcomes in areas such as employment</w:t>
      </w:r>
      <w:r w:rsidR="008F37A5">
        <w:t xml:space="preserve">, education, </w:t>
      </w:r>
      <w:r w:rsidR="00743031">
        <w:t xml:space="preserve">and </w:t>
      </w:r>
      <w:r w:rsidR="008F37A5">
        <w:t>health, or less tangible (but very</w:t>
      </w:r>
      <w:r w:rsidR="00EB493A">
        <w:t xml:space="preserve"> important</w:t>
      </w:r>
      <w:r w:rsidR="008F37A5">
        <w:t>) objectives such as language and cultural resilience</w:t>
      </w:r>
      <w:r w:rsidR="001C313A">
        <w:t xml:space="preserve"> and</w:t>
      </w:r>
      <w:r w:rsidR="008F37A5">
        <w:t xml:space="preserve"> </w:t>
      </w:r>
      <w:r w:rsidR="001C313A">
        <w:t xml:space="preserve">community wellbeing, improving housing outcomes is an easy first step. It does require funding, but </w:t>
      </w:r>
      <w:r w:rsidR="00EB493A">
        <w:t xml:space="preserve">in addition </w:t>
      </w:r>
      <w:r w:rsidR="00FB0526">
        <w:t>to</w:t>
      </w:r>
      <w:r w:rsidR="00EB493A">
        <w:t xml:space="preserve"> the direct benefits (improved housing) </w:t>
      </w:r>
      <w:r w:rsidR="001C313A">
        <w:t xml:space="preserve">the dollars invested clearly have intangible payoffs (positive externalities) </w:t>
      </w:r>
      <w:r w:rsidR="00EB493A">
        <w:t xml:space="preserve">such as </w:t>
      </w:r>
      <w:r w:rsidR="001C313A">
        <w:t>safer and healthier environments</w:t>
      </w:r>
      <w:r w:rsidR="005E5E73">
        <w:t xml:space="preserve"> and</w:t>
      </w:r>
      <w:r w:rsidR="001C313A">
        <w:t xml:space="preserve"> reduced risk of domestic </w:t>
      </w:r>
      <w:r w:rsidR="005E5E73">
        <w:t>violence</w:t>
      </w:r>
      <w:r w:rsidR="003B7B03">
        <w:t>. Importantly, the beneficiaries of reduced overcrowding are not just the residents of new housing, but also the residents of existing housing who now live in less crowded circumstances.</w:t>
      </w:r>
    </w:p>
    <w:p w14:paraId="106B4CB8" w14:textId="0C37532F" w:rsidR="003B7B03" w:rsidRDefault="003B7B03" w:rsidP="000853C3">
      <w:r>
        <w:t>None of what is laid out in</w:t>
      </w:r>
      <w:r w:rsidR="00D21C98">
        <w:t xml:space="preserve"> </w:t>
      </w:r>
      <w:r>
        <w:t>th</w:t>
      </w:r>
      <w:r w:rsidR="00D21C98">
        <w:t>e</w:t>
      </w:r>
      <w:r>
        <w:t xml:space="preserve"> previous paragraph is new or unknown to policymakers. Yet it bears restating given the extraordinary short-</w:t>
      </w:r>
      <w:r w:rsidR="001718BC">
        <w:t>sightedness</w:t>
      </w:r>
      <w:r>
        <w:t xml:space="preserve"> of policymakers </w:t>
      </w:r>
      <w:r w:rsidR="001718BC">
        <w:t>in allowing extreme housing disadvantage to continue</w:t>
      </w:r>
      <w:r w:rsidR="00743031">
        <w:t xml:space="preserve">, and in laying the foundations for increased overcrowding, </w:t>
      </w:r>
      <w:r w:rsidR="001718BC">
        <w:t>in remote Indigenous communities.</w:t>
      </w:r>
    </w:p>
    <w:p w14:paraId="118C0537" w14:textId="6E973789" w:rsidR="001718BC" w:rsidRDefault="001718BC" w:rsidP="000853C3">
      <w:r>
        <w:t>There are</w:t>
      </w:r>
      <w:r w:rsidR="00132123">
        <w:t>,</w:t>
      </w:r>
      <w:r>
        <w:t xml:space="preserve"> however</w:t>
      </w:r>
      <w:r w:rsidR="00132123">
        <w:t>,</w:t>
      </w:r>
      <w:r>
        <w:t xml:space="preserve"> three newer and less </w:t>
      </w:r>
      <w:r w:rsidR="00D21C98">
        <w:t xml:space="preserve">widely </w:t>
      </w:r>
      <w:r>
        <w:t xml:space="preserve">appreciated </w:t>
      </w:r>
      <w:r w:rsidR="00281E93">
        <w:t xml:space="preserve">systemic threats related to the remote housing system, two of which potentially impact the </w:t>
      </w:r>
      <w:r w:rsidR="00C6257E">
        <w:t xml:space="preserve">adequacy </w:t>
      </w:r>
      <w:r>
        <w:t xml:space="preserve">of housing </w:t>
      </w:r>
      <w:r w:rsidR="00EA2DCB">
        <w:t xml:space="preserve">outcomes </w:t>
      </w:r>
      <w:r>
        <w:t>in remote Australia</w:t>
      </w:r>
      <w:r w:rsidR="00281E93">
        <w:t xml:space="preserve">, and the third which emanates from poor housing to contribute to ongoing disadvantage. Each of these </w:t>
      </w:r>
      <w:r w:rsidR="00EA2DCB">
        <w:t xml:space="preserve">demand attention, as they potentially increase the </w:t>
      </w:r>
      <w:r w:rsidR="00C6257E">
        <w:t xml:space="preserve">likelihood </w:t>
      </w:r>
      <w:r w:rsidR="00EA2DCB">
        <w:t xml:space="preserve">of regressive </w:t>
      </w:r>
      <w:r w:rsidR="00697E42">
        <w:t xml:space="preserve">social policy </w:t>
      </w:r>
      <w:r w:rsidR="00EA2DCB">
        <w:t>outcomes going forward</w:t>
      </w:r>
      <w:r>
        <w:t>.</w:t>
      </w:r>
    </w:p>
    <w:p w14:paraId="37B411F7" w14:textId="2A646AA0" w:rsidR="001718BC" w:rsidRDefault="001718BC" w:rsidP="000853C3">
      <w:r w:rsidRPr="008F5BF7">
        <w:rPr>
          <w:b/>
          <w:bCs/>
        </w:rPr>
        <w:t>First</w:t>
      </w:r>
      <w:r>
        <w:t xml:space="preserve">, it is clear that climate change is likely to exacerbate the challenges of ensuring uniformly appropriate housing outcomes across remote Australia. There are at least two drivers. </w:t>
      </w:r>
      <w:r w:rsidR="008F5BF7">
        <w:t>One is that</w:t>
      </w:r>
      <w:r>
        <w:t xml:space="preserve"> the rise in </w:t>
      </w:r>
      <w:r w:rsidR="00706FBF">
        <w:t xml:space="preserve">global </w:t>
      </w:r>
      <w:r>
        <w:t>temperatures</w:t>
      </w:r>
      <w:r w:rsidR="00706FBF">
        <w:t xml:space="preserve">, and in particular, exposure to temperature extremes, </w:t>
      </w:r>
      <w:r>
        <w:t xml:space="preserve">is likely to </w:t>
      </w:r>
      <w:r>
        <w:lastRenderedPageBreak/>
        <w:t xml:space="preserve">place extraordinary strain on the </w:t>
      </w:r>
      <w:r w:rsidR="003A698F">
        <w:t xml:space="preserve">physical </w:t>
      </w:r>
      <w:r>
        <w:t xml:space="preserve">adequacy of </w:t>
      </w:r>
      <w:r w:rsidR="003A698F">
        <w:t xml:space="preserve">existing </w:t>
      </w:r>
      <w:r>
        <w:t>housing</w:t>
      </w:r>
      <w:r w:rsidR="003A698F">
        <w:t xml:space="preserve"> assets and their supporting infrastructure. The lack of effective air-conditioning will be an essential element in the provision of safe accommodation in the hottest months, and its absence will be akin to a work safety issue that landlords (</w:t>
      </w:r>
      <w:r w:rsidR="0061080A">
        <w:t>i.e.</w:t>
      </w:r>
      <w:r w:rsidR="003A698F">
        <w:t xml:space="preserve"> government housing authorities and community housing providers) will be obliged to provide. I</w:t>
      </w:r>
      <w:r w:rsidR="008F5BF7">
        <w:t>n</w:t>
      </w:r>
      <w:r w:rsidR="003A698F">
        <w:t xml:space="preserve"> turn, </w:t>
      </w:r>
      <w:r w:rsidR="008F5BF7">
        <w:t>air-conditioning</w:t>
      </w:r>
      <w:r w:rsidR="003A698F">
        <w:t xml:space="preserve"> will impose increasing pressure on energy </w:t>
      </w:r>
      <w:r w:rsidR="008F5BF7">
        <w:t>infrastructure</w:t>
      </w:r>
      <w:r w:rsidR="003A698F">
        <w:t xml:space="preserve"> in remote communities, and will </w:t>
      </w:r>
      <w:r w:rsidR="008F5BF7">
        <w:t>also add to the economic and financial pressure on households. A recent academic paper in</w:t>
      </w:r>
      <w:r w:rsidR="00706FBF">
        <w:t xml:space="preserve"> the journal </w:t>
      </w:r>
      <w:r w:rsidR="00706FBF" w:rsidRPr="00706FBF">
        <w:rPr>
          <w:i/>
        </w:rPr>
        <w:t>NatureE</w:t>
      </w:r>
      <w:r w:rsidR="00D45F33" w:rsidRPr="00706FBF">
        <w:rPr>
          <w:i/>
        </w:rPr>
        <w:t>nergy</w:t>
      </w:r>
      <w:r w:rsidR="00D45F33">
        <w:t xml:space="preserve"> </w:t>
      </w:r>
      <w:r w:rsidR="008F5BF7">
        <w:t xml:space="preserve">highlighted </w:t>
      </w:r>
      <w:r w:rsidR="00706FBF">
        <w:t xml:space="preserve">the risks to health </w:t>
      </w:r>
      <w:r w:rsidR="005E5E73">
        <w:t xml:space="preserve">caused by </w:t>
      </w:r>
      <w:r w:rsidR="008F5BF7">
        <w:t xml:space="preserve">the extraordinary levels of power </w:t>
      </w:r>
      <w:r w:rsidR="00D45F33">
        <w:t>dis</w:t>
      </w:r>
      <w:r w:rsidR="008F5BF7">
        <w:t>connections in remote communities in the NT in recent years (</w:t>
      </w:r>
      <w:r w:rsidR="002E5A22">
        <w:t>Longden et.al. 2021</w:t>
      </w:r>
      <w:r w:rsidR="003667FB">
        <w:t>;</w:t>
      </w:r>
      <w:r w:rsidR="003667FB" w:rsidRPr="003667FB">
        <w:t xml:space="preserve"> </w:t>
      </w:r>
      <w:r w:rsidR="003667FB" w:rsidRPr="002E5A22">
        <w:t>Dillon 2022</w:t>
      </w:r>
      <w:r w:rsidR="008F5BF7">
        <w:t xml:space="preserve">). </w:t>
      </w:r>
      <w:r w:rsidR="00706FBF">
        <w:t xml:space="preserve">It is an extraordinary indictment on the </w:t>
      </w:r>
      <w:r w:rsidR="00EA2DCB">
        <w:t xml:space="preserve">existing </w:t>
      </w:r>
      <w:r w:rsidR="00706FBF">
        <w:t>housing system when researchers document over 170,000 power disconnections, including over 14, 000 multi-day disconnections across 3300 households in 28 remote</w:t>
      </w:r>
      <w:r w:rsidR="003667FB">
        <w:t xml:space="preserve"> NT</w:t>
      </w:r>
      <w:r w:rsidR="00706FBF">
        <w:t xml:space="preserve"> communities over an 18 month period. </w:t>
      </w:r>
      <w:r w:rsidR="00D45F33">
        <w:t xml:space="preserve">A second driver </w:t>
      </w:r>
      <w:r w:rsidR="00C6257E">
        <w:t xml:space="preserve">of climate induced regressive housing outcomes </w:t>
      </w:r>
      <w:r w:rsidR="00D45F33">
        <w:t xml:space="preserve">is the increasing </w:t>
      </w:r>
      <w:r w:rsidR="00265EFE">
        <w:t xml:space="preserve">variability and </w:t>
      </w:r>
      <w:r w:rsidR="00D45F33">
        <w:t xml:space="preserve">severity of extreme weather events (floods; </w:t>
      </w:r>
      <w:r w:rsidR="00265EFE">
        <w:t>sea level rises, intense rain events, longer fire seasons</w:t>
      </w:r>
      <w:r w:rsidR="00480BCB">
        <w:t>) which threaten existing housing assets and supporting infrastructure.</w:t>
      </w:r>
      <w:r w:rsidR="00265EFE">
        <w:rPr>
          <w:rStyle w:val="FootnoteReference"/>
        </w:rPr>
        <w:footnoteReference w:id="4"/>
      </w:r>
    </w:p>
    <w:p w14:paraId="2B52EB77" w14:textId="0E34C5B0" w:rsidR="00480BCB" w:rsidRDefault="00480BCB" w:rsidP="000853C3">
      <w:r w:rsidRPr="00480BCB">
        <w:rPr>
          <w:b/>
          <w:bCs/>
        </w:rPr>
        <w:t>Second</w:t>
      </w:r>
      <w:r>
        <w:t xml:space="preserve"> is the </w:t>
      </w:r>
      <w:r w:rsidR="001A1263">
        <w:t xml:space="preserve">synergised </w:t>
      </w:r>
      <w:r>
        <w:t xml:space="preserve">threat posed by </w:t>
      </w:r>
      <w:r w:rsidR="001A1263">
        <w:t xml:space="preserve">the risk of </w:t>
      </w:r>
      <w:r>
        <w:t xml:space="preserve">severe viruses and pandemics such as Covid, SARS and even the flu, </w:t>
      </w:r>
      <w:r w:rsidR="001A1263">
        <w:t xml:space="preserve">when combined with the </w:t>
      </w:r>
      <w:r>
        <w:t xml:space="preserve">obvious increased </w:t>
      </w:r>
      <w:r w:rsidR="001A1263">
        <w:t xml:space="preserve">health </w:t>
      </w:r>
      <w:r>
        <w:t xml:space="preserve">risks of overcrowding. </w:t>
      </w:r>
      <w:r w:rsidR="00E60B3F">
        <w:t xml:space="preserve">In particular, in the context of pandemics such as Covid, the increased risk of transmission in overcrowded housing is obvious. When combined with the possibility of further Covid variants of unknown severity, and/or the high probability of future pandemics, the case for addressing extreme overcrowding becomes overwhelming. </w:t>
      </w:r>
      <w:r w:rsidR="00E24D69">
        <w:t xml:space="preserve">While I don’t have the expertise to </w:t>
      </w:r>
      <w:r w:rsidR="00E60B3F">
        <w:t xml:space="preserve">assess complex health risks (both current and future), there is a large literature that links the severity of the risks arising from pandemics such as Covid to economic and social vulnerabilities linked to extreme disadvantage, and in particular, to high levels of comorbidity. </w:t>
      </w:r>
      <w:r>
        <w:t>This factor alone justifies focussing available financial and technical resources on improving housing outcomes in the most overcrowded and most disadvantaged areas</w:t>
      </w:r>
      <w:r w:rsidR="001A1263">
        <w:t xml:space="preserve"> of the nation</w:t>
      </w:r>
      <w:r>
        <w:t xml:space="preserve">. </w:t>
      </w:r>
    </w:p>
    <w:p w14:paraId="5684C1BB" w14:textId="51DB7CBE" w:rsidR="00E60B3F" w:rsidRDefault="00480BCB" w:rsidP="000853C3">
      <w:r w:rsidRPr="000C68F7">
        <w:rPr>
          <w:b/>
          <w:bCs/>
        </w:rPr>
        <w:t>Third</w:t>
      </w:r>
      <w:r>
        <w:t xml:space="preserve"> is the </w:t>
      </w:r>
      <w:r w:rsidR="00887277">
        <w:t xml:space="preserve">threat to social cohesion arising from the loss of trust by disadvantaged communities in governments generally and </w:t>
      </w:r>
      <w:r w:rsidR="00F43DD2">
        <w:t xml:space="preserve">in particular </w:t>
      </w:r>
      <w:r w:rsidR="00887277">
        <w:t xml:space="preserve">in </w:t>
      </w:r>
      <w:r w:rsidR="00F43DD2">
        <w:t xml:space="preserve">representative democracy. </w:t>
      </w:r>
      <w:r w:rsidR="00887277">
        <w:t>Loss of trust in government is widespread across the globe, and clearly has complex causes</w:t>
      </w:r>
      <w:r w:rsidR="000C68F7">
        <w:t xml:space="preserve"> (Quilter-Pinner et. al. 2021)</w:t>
      </w:r>
      <w:r w:rsidR="00887277">
        <w:t>. But one obvious cause is what might be termed state failure, when governments are seemingly unable or unwilling to address obvious</w:t>
      </w:r>
      <w:r w:rsidR="001A1263">
        <w:t xml:space="preserve">ly severe </w:t>
      </w:r>
      <w:r w:rsidR="00887277">
        <w:t>problems.</w:t>
      </w:r>
      <w:r w:rsidR="000C68F7">
        <w:t xml:space="preserve"> </w:t>
      </w:r>
      <w:r w:rsidR="006F6CD9">
        <w:t xml:space="preserve">Sub-optimal housing provision across remote Australia, both in terms of housing shortages and the quality of existing housing, is a clear example of ongoing state failure. A second </w:t>
      </w:r>
      <w:r w:rsidR="00DE3B70">
        <w:t>example is t</w:t>
      </w:r>
      <w:r w:rsidR="00DE3B70" w:rsidRPr="00DE3B70">
        <w:t>he interplay between lack of adequate housing related to people living with a disability and the current high costs of delivering the NDIS in remote areas. This is reflected in inadequate and /or poor housing design to cater for the special needs of the disproportionate numbers of Indigenous people living with a disability in remote Australia and the lack of inadequate infrastructure which leaves them reliant at best on irregu</w:t>
      </w:r>
      <w:r w:rsidR="00090AE7">
        <w:t xml:space="preserve">lar and expensive ‘fly in / fly out’ </w:t>
      </w:r>
      <w:r w:rsidR="00DE3B70">
        <w:t>services (Lindop &amp; Massey 2017</w:t>
      </w:r>
      <w:r w:rsidR="00090AE7">
        <w:t>, pp.9</w:t>
      </w:r>
      <w:r w:rsidR="00090AE7">
        <w:rPr>
          <w:rFonts w:cstheme="minorHAnsi"/>
        </w:rPr>
        <w:t>–</w:t>
      </w:r>
      <w:r w:rsidR="00090AE7">
        <w:t>10</w:t>
      </w:r>
      <w:r w:rsidR="00DE3B70">
        <w:t>).</w:t>
      </w:r>
    </w:p>
    <w:p w14:paraId="77B24D66" w14:textId="4BD1A77C" w:rsidR="00480BCB" w:rsidRDefault="000C68F7" w:rsidP="000853C3">
      <w:r>
        <w:t xml:space="preserve">While </w:t>
      </w:r>
      <w:r w:rsidR="00C67EA1">
        <w:t>mainstream trust in government appears to have risen considerably over the course of the pandemic (Goldfinch et.al.</w:t>
      </w:r>
      <w:r w:rsidR="008F7B78">
        <w:t xml:space="preserve"> 2021</w:t>
      </w:r>
      <w:r w:rsidR="00C67EA1">
        <w:t xml:space="preserve">), it is far from clear that this will continue as </w:t>
      </w:r>
      <w:r w:rsidR="003821DF">
        <w:t>t</w:t>
      </w:r>
      <w:r w:rsidR="00C67EA1">
        <w:t>he pandemic recedes, and nor is it clear that it is the case amongst remote communities. The longer</w:t>
      </w:r>
      <w:r w:rsidR="003821DF">
        <w:t xml:space="preserve"> term trend pre-pandemic was for significant reductions across the board in trust in governments</w:t>
      </w:r>
      <w:r w:rsidR="0061201A">
        <w:t xml:space="preserve"> (Cameron &amp; McAllister 2019:99</w:t>
      </w:r>
      <w:r w:rsidR="00C27A3D">
        <w:t>; ANU Newsroom 2019</w:t>
      </w:r>
      <w:r w:rsidR="0061201A">
        <w:t>)</w:t>
      </w:r>
      <w:r w:rsidR="003821DF">
        <w:t xml:space="preserve">, and this appears to be the case in remote communities also </w:t>
      </w:r>
      <w:r w:rsidR="00D21C98">
        <w:t xml:space="preserve">given the extremely low </w:t>
      </w:r>
      <w:r w:rsidR="003821DF">
        <w:t>levels of electoral engagement (Dillon 2020</w:t>
      </w:r>
      <w:r w:rsidR="00596DB8">
        <w:t>b</w:t>
      </w:r>
      <w:r w:rsidR="003821DF">
        <w:t>).</w:t>
      </w:r>
      <w:r w:rsidR="001A1263">
        <w:t xml:space="preserve"> The </w:t>
      </w:r>
      <w:r w:rsidR="00892064">
        <w:t xml:space="preserve">failure </w:t>
      </w:r>
      <w:r w:rsidR="001A1263">
        <w:t xml:space="preserve">of </w:t>
      </w:r>
      <w:r w:rsidR="001A1263">
        <w:lastRenderedPageBreak/>
        <w:t>governments to ensure adequate and non-crowded housing provision in remote communities is clearly one key contributor to the ongoing levels of distrust and disaffection with government across remote Australia</w:t>
      </w:r>
      <w:r w:rsidR="00090AE7">
        <w:t>, and a factor contributing to the progressive population drift from remote communities into regional towns and beyond</w:t>
      </w:r>
      <w:r w:rsidR="00090AE7">
        <w:rPr>
          <w:rStyle w:val="FootnoteReference"/>
        </w:rPr>
        <w:footnoteReference w:id="5"/>
      </w:r>
      <w:r w:rsidR="001A1263">
        <w:t xml:space="preserve">. </w:t>
      </w:r>
      <w:r w:rsidR="003667FB">
        <w:t>How this might play out into the future is unknown and open to differing interpretations as to its significance.</w:t>
      </w:r>
      <w:r w:rsidR="00C6257E">
        <w:t xml:space="preserve"> It seems likely</w:t>
      </w:r>
      <w:r w:rsidR="00950BC1">
        <w:t>,</w:t>
      </w:r>
      <w:r w:rsidR="00C6257E">
        <w:t xml:space="preserve"> however</w:t>
      </w:r>
      <w:r w:rsidR="00950BC1">
        <w:t>,</w:t>
      </w:r>
      <w:r w:rsidR="00C6257E">
        <w:t xml:space="preserve"> that </w:t>
      </w:r>
      <w:r w:rsidR="00281E93">
        <w:t xml:space="preserve">generalised </w:t>
      </w:r>
      <w:r w:rsidR="00C6257E">
        <w:t xml:space="preserve">distrust in government </w:t>
      </w:r>
      <w:r w:rsidR="00281E93">
        <w:t>may lead vulnerable individuals to avoid accessing services such as police assistance and child support, and contribute to internal pressures in communities that add to s</w:t>
      </w:r>
      <w:r w:rsidR="00892064">
        <w:t xml:space="preserve">ocial and economic disruption. </w:t>
      </w:r>
    </w:p>
    <w:p w14:paraId="4087EC03" w14:textId="77777777" w:rsidR="003667FB" w:rsidRDefault="003667FB" w:rsidP="000853C3">
      <w:pPr>
        <w:rPr>
          <w:b/>
          <w:bCs/>
        </w:rPr>
      </w:pPr>
    </w:p>
    <w:p w14:paraId="5BD569A3" w14:textId="0B511464" w:rsidR="001718BC" w:rsidRPr="00D21C98" w:rsidRDefault="00D21C98" w:rsidP="000853C3">
      <w:pPr>
        <w:rPr>
          <w:b/>
          <w:bCs/>
        </w:rPr>
      </w:pPr>
      <w:r w:rsidRPr="00D21C98">
        <w:rPr>
          <w:b/>
          <w:bCs/>
        </w:rPr>
        <w:t>Conclusions</w:t>
      </w:r>
    </w:p>
    <w:p w14:paraId="300E9DF5" w14:textId="062B5966" w:rsidR="00D21C98" w:rsidRDefault="00D21C98" w:rsidP="000853C3">
      <w:r>
        <w:t xml:space="preserve">This submission sets out two broad sets of </w:t>
      </w:r>
      <w:r w:rsidR="007A3002">
        <w:t>arguments</w:t>
      </w:r>
      <w:r>
        <w:t xml:space="preserve"> in favour of much greater policy focus on remote Indigenous housing going forward. </w:t>
      </w:r>
      <w:r w:rsidR="007A3002" w:rsidRPr="007A3002">
        <w:rPr>
          <w:b/>
          <w:bCs/>
        </w:rPr>
        <w:t>First</w:t>
      </w:r>
      <w:r w:rsidR="007A3002">
        <w:t>, if</w:t>
      </w:r>
      <w:r w:rsidR="00FB59EC">
        <w:t xml:space="preserve"> policymakers simply choose to assess the policy options through the level of need, it is clear where the needs lie. While </w:t>
      </w:r>
      <w:r w:rsidR="007A3002">
        <w:t>Indigenous</w:t>
      </w:r>
      <w:r w:rsidR="00FB59EC">
        <w:t xml:space="preserve"> Australians across the board are subject to greater housing disadvantage than mainstream citizens, it is absolutely clear that remote communities and their residents are far and away subjected to the most extreme housing disadvantage in the nation. Moreover, the </w:t>
      </w:r>
      <w:r w:rsidR="007A3002">
        <w:t>housing</w:t>
      </w:r>
      <w:r w:rsidR="00FB59EC">
        <w:t xml:space="preserve"> issues in remote Australia are</w:t>
      </w:r>
      <w:r w:rsidR="007A3002">
        <w:t xml:space="preserve"> </w:t>
      </w:r>
      <w:r w:rsidR="00FB59EC">
        <w:t xml:space="preserve">systemic and structural, </w:t>
      </w:r>
      <w:r w:rsidR="007A3002">
        <w:t xml:space="preserve">involve deep seated market failures, and this </w:t>
      </w:r>
      <w:r w:rsidR="00FB59EC">
        <w:t>lead</w:t>
      </w:r>
      <w:r w:rsidR="007A3002">
        <w:t>s</w:t>
      </w:r>
      <w:r w:rsidR="00FB59EC">
        <w:t xml:space="preserve"> to </w:t>
      </w:r>
      <w:r w:rsidR="007A3002">
        <w:t>substantial under-provision of housing</w:t>
      </w:r>
      <w:r w:rsidR="001A1263">
        <w:t xml:space="preserve"> (and its associated support infrastructure)</w:t>
      </w:r>
      <w:r w:rsidR="007A3002">
        <w:t xml:space="preserve">, and the likelihood of housing disadvantage enduring over longer periods than may be the case for other citizens facing poor housing outcomes. </w:t>
      </w:r>
      <w:r w:rsidR="007A3002" w:rsidRPr="007A3002">
        <w:rPr>
          <w:b/>
          <w:bCs/>
        </w:rPr>
        <w:t>Second</w:t>
      </w:r>
      <w:r w:rsidR="007A3002">
        <w:t xml:space="preserve">, it is argued that the </w:t>
      </w:r>
      <w:r w:rsidR="00F43DD2">
        <w:t xml:space="preserve">wider </w:t>
      </w:r>
      <w:r w:rsidR="007A3002">
        <w:t xml:space="preserve">negative consequences of poor housing provision, and the leveraged and widespread benefits of improving housing outcomes </w:t>
      </w:r>
      <w:r w:rsidR="003C3BA8">
        <w:t>i</w:t>
      </w:r>
      <w:r w:rsidR="007A3002">
        <w:t>n remote Australia make the case for doing so overwhelming.</w:t>
      </w:r>
    </w:p>
    <w:p w14:paraId="464E310C" w14:textId="4622B671" w:rsidR="003C3BA8" w:rsidRDefault="003C3BA8" w:rsidP="000853C3">
      <w:pPr>
        <w:rPr>
          <w:b/>
          <w:bCs/>
        </w:rPr>
      </w:pPr>
      <w:r>
        <w:t xml:space="preserve">The submission makes two related ancillary points. First, the policy framework </w:t>
      </w:r>
      <w:r w:rsidR="006B7E90">
        <w:t xml:space="preserve">implicitly </w:t>
      </w:r>
      <w:r>
        <w:t>established by the national housing target within the National Agreement on Closing the Gap is inadequate for making real progress on the most disadvantaged areas of housing need, and may indeed provide a rationale for maintaining the structural discrimination that create</w:t>
      </w:r>
      <w:r w:rsidR="006D7D04">
        <w:t>d</w:t>
      </w:r>
      <w:r>
        <w:t xml:space="preserve"> the existing egregious outcomes</w:t>
      </w:r>
      <w:r w:rsidR="006D7D04">
        <w:t xml:space="preserve"> in remote housing</w:t>
      </w:r>
      <w:r>
        <w:t xml:space="preserve">. </w:t>
      </w:r>
      <w:r w:rsidR="006D7D04">
        <w:t xml:space="preserve">In effect, the </w:t>
      </w:r>
      <w:r w:rsidR="006F6CD9">
        <w:t xml:space="preserve">aggregated </w:t>
      </w:r>
      <w:r w:rsidR="006D7D04">
        <w:t xml:space="preserve">target </w:t>
      </w:r>
      <w:r w:rsidR="006B7E90">
        <w:t xml:space="preserve">is too soft, </w:t>
      </w:r>
      <w:r w:rsidR="006F6CD9">
        <w:t xml:space="preserve">as </w:t>
      </w:r>
      <w:r w:rsidR="006B7E90">
        <w:t xml:space="preserve">it will require </w:t>
      </w:r>
      <w:r w:rsidR="006D7D04">
        <w:t>virtually no additional government effort</w:t>
      </w:r>
      <w:r w:rsidR="00922DFB">
        <w:t xml:space="preserve"> to be met</w:t>
      </w:r>
      <w:r w:rsidR="006D7D04">
        <w:t xml:space="preserve">, </w:t>
      </w:r>
      <w:r w:rsidR="006B7E90">
        <w:t>yet will leave</w:t>
      </w:r>
      <w:r w:rsidR="006D7D04">
        <w:t xml:space="preserve"> the most disadvantaged Indigenous citizens effectively unhoused, with all that entails. The second point is that governments must allocate additional financial investment if they are to </w:t>
      </w:r>
      <w:r w:rsidR="006F6CD9">
        <w:t xml:space="preserve">effectively </w:t>
      </w:r>
      <w:r w:rsidR="006D7D04">
        <w:t xml:space="preserve">address </w:t>
      </w:r>
      <w:r w:rsidR="006F6CD9">
        <w:t xml:space="preserve">ongoing </w:t>
      </w:r>
      <w:r w:rsidR="006D7D04">
        <w:t>remote housing needs. This can come from either additional/new funding, or</w:t>
      </w:r>
      <w:r w:rsidR="006B7E90">
        <w:t xml:space="preserve"> the reallocation of funding fro</w:t>
      </w:r>
      <w:r w:rsidR="006D7D04">
        <w:t xml:space="preserve">m some existing priority. </w:t>
      </w:r>
      <w:r w:rsidR="006D7D04" w:rsidRPr="00B03C09">
        <w:rPr>
          <w:b/>
          <w:bCs/>
        </w:rPr>
        <w:t xml:space="preserve">A failure to invest in remote housing will signal a fundamental lack of commitment </w:t>
      </w:r>
      <w:r w:rsidR="00B03C09">
        <w:rPr>
          <w:b/>
          <w:bCs/>
        </w:rPr>
        <w:t xml:space="preserve">by governments </w:t>
      </w:r>
      <w:r w:rsidR="006D7D04" w:rsidRPr="00B03C09">
        <w:rPr>
          <w:b/>
          <w:bCs/>
        </w:rPr>
        <w:t xml:space="preserve">to addressing the </w:t>
      </w:r>
      <w:r w:rsidR="00B03C09" w:rsidRPr="00B03C09">
        <w:rPr>
          <w:b/>
          <w:bCs/>
        </w:rPr>
        <w:t xml:space="preserve">housing </w:t>
      </w:r>
      <w:r w:rsidR="006D7D04" w:rsidRPr="00B03C09">
        <w:rPr>
          <w:b/>
          <w:bCs/>
        </w:rPr>
        <w:t xml:space="preserve">needs of remote </w:t>
      </w:r>
      <w:r w:rsidR="00B03C09" w:rsidRPr="00B03C09">
        <w:rPr>
          <w:b/>
          <w:bCs/>
        </w:rPr>
        <w:t>Indigenous</w:t>
      </w:r>
      <w:r w:rsidR="006D7D04" w:rsidRPr="00B03C09">
        <w:rPr>
          <w:b/>
          <w:bCs/>
        </w:rPr>
        <w:t xml:space="preserve"> citizens.</w:t>
      </w:r>
      <w:r w:rsidR="00F43DD2">
        <w:rPr>
          <w:b/>
          <w:bCs/>
        </w:rPr>
        <w:t xml:space="preserve"> </w:t>
      </w:r>
    </w:p>
    <w:p w14:paraId="1034E442" w14:textId="76A8F238" w:rsidR="00F43DD2" w:rsidRPr="00F43DD2" w:rsidRDefault="00F43DD2" w:rsidP="000853C3">
      <w:pPr>
        <w:rPr>
          <w:bCs/>
        </w:rPr>
      </w:pPr>
      <w:r>
        <w:rPr>
          <w:bCs/>
        </w:rPr>
        <w:t>At its core, t</w:t>
      </w:r>
      <w:r w:rsidRPr="00F43DD2">
        <w:rPr>
          <w:bCs/>
        </w:rPr>
        <w:t xml:space="preserve">he </w:t>
      </w:r>
      <w:r>
        <w:rPr>
          <w:bCs/>
        </w:rPr>
        <w:t>NHHA establishes an important policy framework for fiscal transfers f</w:t>
      </w:r>
      <w:r w:rsidR="006C1FAB">
        <w:rPr>
          <w:bCs/>
        </w:rPr>
        <w:t>rom</w:t>
      </w:r>
      <w:r>
        <w:rPr>
          <w:bCs/>
        </w:rPr>
        <w:t xml:space="preserve"> the Commonwealth to the states and territories in support of national ho</w:t>
      </w:r>
      <w:r w:rsidR="00AF5DE3">
        <w:rPr>
          <w:bCs/>
        </w:rPr>
        <w:t>u</w:t>
      </w:r>
      <w:r>
        <w:rPr>
          <w:bCs/>
        </w:rPr>
        <w:t xml:space="preserve">sing objectives. </w:t>
      </w:r>
      <w:r w:rsidR="00AF5DE3">
        <w:rPr>
          <w:bCs/>
        </w:rPr>
        <w:t>In return, it becomes a vehicle through which the Commonwealth can impose conditions on the use of the funds made available, and thus shape the national policy framework. Accordingly</w:t>
      </w:r>
      <w:r>
        <w:rPr>
          <w:bCs/>
        </w:rPr>
        <w:t>, it is important that the NHHA aligns with national housing objectives. However it would be a mistake to assume tha</w:t>
      </w:r>
      <w:r w:rsidR="00AF5DE3">
        <w:rPr>
          <w:bCs/>
        </w:rPr>
        <w:t xml:space="preserve">t the NHHA represents the entirety of the national housing policy framework. Clearly states and territories have some capacity to determine and implement their own priorities, particularly as they have the primary role in implementation. </w:t>
      </w:r>
      <w:r w:rsidR="00F70ECD">
        <w:rPr>
          <w:bCs/>
        </w:rPr>
        <w:t xml:space="preserve">But of greater importance is the fact that the housing system is </w:t>
      </w:r>
      <w:r w:rsidR="00F70ECD">
        <w:rPr>
          <w:bCs/>
        </w:rPr>
        <w:lastRenderedPageBreak/>
        <w:t>itself complex and more extensive than the social/community housing sector supported by the NHHA, and indeed the wider housing system is itself part of an</w:t>
      </w:r>
      <w:r w:rsidR="003B1758">
        <w:rPr>
          <w:bCs/>
        </w:rPr>
        <w:t xml:space="preserve"> </w:t>
      </w:r>
      <w:r w:rsidR="00F70ECD">
        <w:rPr>
          <w:bCs/>
        </w:rPr>
        <w:t>ev</w:t>
      </w:r>
      <w:r w:rsidR="003B1758">
        <w:rPr>
          <w:bCs/>
        </w:rPr>
        <w:t>en more extensive institutional framework. The point here is that it would be a mistake to seek to review or evaluate the NHHA independently of these wider institutional frameworks which shape outcomes on the ground. O</w:t>
      </w:r>
      <w:r w:rsidR="006C1FAB">
        <w:rPr>
          <w:bCs/>
        </w:rPr>
        <w:t>r,</w:t>
      </w:r>
      <w:r w:rsidR="003B1758">
        <w:rPr>
          <w:bCs/>
        </w:rPr>
        <w:t xml:space="preserve"> to make the same point more positively, the potential of the NHHA to contribute to better national housing outcomes may well require it to engage, coordinate and complement other (adjacent) housing institutional spaces.</w:t>
      </w:r>
    </w:p>
    <w:p w14:paraId="35869417" w14:textId="52E02609" w:rsidR="006F363C" w:rsidRDefault="006F363C" w:rsidP="006F363C">
      <w:r>
        <w:t>The next part of this submission sets out a series of recommendations related to Indigenous housing policy</w:t>
      </w:r>
      <w:r w:rsidR="003B1758">
        <w:t xml:space="preserve">, and primarily remote Indigenous housing policy, </w:t>
      </w:r>
      <w:r w:rsidR="00F7199D">
        <w:t>within the context of Commonwealth /</w:t>
      </w:r>
      <w:r w:rsidR="00256CFA">
        <w:t xml:space="preserve"> </w:t>
      </w:r>
      <w:r w:rsidR="00F7199D">
        <w:t>state national housing policy</w:t>
      </w:r>
      <w:r w:rsidR="00256CFA">
        <w:t>,</w:t>
      </w:r>
      <w:r w:rsidR="00F7199D">
        <w:t xml:space="preserve"> </w:t>
      </w:r>
      <w:r>
        <w:t>that flow from the analysis above</w:t>
      </w:r>
      <w:r w:rsidR="003B1758">
        <w:t>, and that are not strictly limited to the narrow confines of the current NHHA</w:t>
      </w:r>
      <w:r>
        <w:t xml:space="preserve">. </w:t>
      </w:r>
    </w:p>
    <w:p w14:paraId="1CECBCF4" w14:textId="77777777" w:rsidR="00674BE2" w:rsidRDefault="00674BE2" w:rsidP="000853C3"/>
    <w:p w14:paraId="012ECCE9" w14:textId="77777777" w:rsidR="00324312" w:rsidRPr="00324312" w:rsidRDefault="00324312">
      <w:pPr>
        <w:rPr>
          <w:b/>
        </w:rPr>
      </w:pPr>
      <w:r w:rsidRPr="00324312">
        <w:rPr>
          <w:b/>
        </w:rPr>
        <w:t>Recommendations</w:t>
      </w:r>
    </w:p>
    <w:p w14:paraId="39771C98" w14:textId="2CBDC03F" w:rsidR="00324312" w:rsidRDefault="00324312">
      <w:r>
        <w:t>While I note that the Treasurer</w:t>
      </w:r>
      <w:r w:rsidR="00AC3393">
        <w:t>’</w:t>
      </w:r>
      <w:r>
        <w:t xml:space="preserve">s Terms of Reference are explicitly framed to focus the review upon how best to direct and target the </w:t>
      </w:r>
      <w:r w:rsidR="00922DFB">
        <w:t xml:space="preserve">available </w:t>
      </w:r>
      <w:r>
        <w:t xml:space="preserve">funding, it needs to be stated in the clearest terms that the levels of housing under-provision and overcrowding in remote Australia are such that </w:t>
      </w:r>
      <w:r w:rsidRPr="00D47ECD">
        <w:rPr>
          <w:b/>
        </w:rPr>
        <w:t>additional funding is necessary if the existing and worsening levels of housing disadvantage are to be halted</w:t>
      </w:r>
      <w:r>
        <w:t xml:space="preserve"> and reversed. </w:t>
      </w:r>
      <w:r w:rsidR="006B7E90">
        <w:t>In this context, it needs to be acknowledged up front that the Commonwealth unilaterally decided in 2018 to cease NNPARIH, in effect cutting annual funding of $550m</w:t>
      </w:r>
      <w:r w:rsidR="003667FB">
        <w:rPr>
          <w:rStyle w:val="FootnoteReference"/>
        </w:rPr>
        <w:footnoteReference w:id="6"/>
      </w:r>
      <w:r w:rsidR="006B7E90">
        <w:t xml:space="preserve"> from remote housing. </w:t>
      </w:r>
      <w:r w:rsidR="00AC3393">
        <w:t xml:space="preserve">While Indigenous levels of housing disadvantage in remote Australia are clearly severe, there </w:t>
      </w:r>
      <w:r w:rsidR="00D47ECD">
        <w:t>is</w:t>
      </w:r>
      <w:r w:rsidR="00AC3393">
        <w:t xml:space="preserve"> </w:t>
      </w:r>
      <w:r w:rsidR="00D47ECD">
        <w:t>little point in addressing</w:t>
      </w:r>
      <w:r w:rsidR="00AC3393">
        <w:t xml:space="preserve"> this policy challenge by shifting the disadvantage elsewhere, in particular, to mainstream and</w:t>
      </w:r>
      <w:r w:rsidR="00D47ECD">
        <w:t>/or</w:t>
      </w:r>
      <w:r w:rsidR="00AC3393">
        <w:t xml:space="preserve"> Indigenous urban and regional homeless and social housing residents (existing and putative). In other words, the recommendations below should not be interpreted in any way as an argument for less resources for disadvantaged citizens in urban and regional Australia. </w:t>
      </w:r>
    </w:p>
    <w:p w14:paraId="0F532A7F" w14:textId="77777777" w:rsidR="00F7199D" w:rsidRDefault="00F7199D"/>
    <w:p w14:paraId="3B318E15" w14:textId="7685B6A7" w:rsidR="00D47ECD" w:rsidRPr="00B60441" w:rsidRDefault="006B7E90" w:rsidP="00B60441">
      <w:pPr>
        <w:pStyle w:val="ListParagraph"/>
        <w:numPr>
          <w:ilvl w:val="0"/>
          <w:numId w:val="2"/>
        </w:numPr>
        <w:rPr>
          <w:b/>
        </w:rPr>
      </w:pPr>
      <w:r w:rsidRPr="00B60441">
        <w:rPr>
          <w:b/>
        </w:rPr>
        <w:t xml:space="preserve">Re-establish a new National Remote </w:t>
      </w:r>
      <w:r w:rsidR="00310994" w:rsidRPr="00B60441">
        <w:rPr>
          <w:b/>
        </w:rPr>
        <w:t xml:space="preserve">Indigenous </w:t>
      </w:r>
      <w:r w:rsidRPr="00B60441">
        <w:rPr>
          <w:b/>
        </w:rPr>
        <w:t>Housing program</w:t>
      </w:r>
      <w:r w:rsidR="00310994" w:rsidRPr="00B60441">
        <w:rPr>
          <w:b/>
        </w:rPr>
        <w:t xml:space="preserve"> </w:t>
      </w:r>
    </w:p>
    <w:p w14:paraId="3451C72C" w14:textId="77777777" w:rsidR="00C53997" w:rsidRDefault="00310994">
      <w:r>
        <w:t xml:space="preserve">The preferred approach would be to establish a new national agreement to reflect the particular circumstances and needs of remote Indigenous communities. Such an agreement might encompass a range of program designs and approaches, including through the support of community housing models rather than public housing. </w:t>
      </w:r>
    </w:p>
    <w:p w14:paraId="6D7A02C4" w14:textId="7410D4F1" w:rsidR="00C53997" w:rsidRDefault="00310994">
      <w:r>
        <w:t xml:space="preserve">A particular reason for preferring a separate national program and agreement is that the commonalities in the circumstances of remote housing needs and aspirations across jurisdictions are extremely strong. Yet in </w:t>
      </w:r>
      <w:r w:rsidR="00B60441">
        <w:t>jurisdictions</w:t>
      </w:r>
      <w:r>
        <w:t xml:space="preserve"> such as Qld and SA, and WA, the needs of remote communities are effectively overwhelmed by the pre-</w:t>
      </w:r>
      <w:r w:rsidR="00B60441">
        <w:t xml:space="preserve">existing </w:t>
      </w:r>
      <w:r>
        <w:t xml:space="preserve">policy and program </w:t>
      </w:r>
      <w:r w:rsidR="00B60441">
        <w:t>frameworks</w:t>
      </w:r>
      <w:r>
        <w:t xml:space="preserve"> buil</w:t>
      </w:r>
      <w:r w:rsidR="000536C2">
        <w:t>t</w:t>
      </w:r>
      <w:r>
        <w:t xml:space="preserve"> around mainstream provision. It is only in the NT that the size </w:t>
      </w:r>
      <w:r w:rsidR="00B60441">
        <w:t>of</w:t>
      </w:r>
      <w:r>
        <w:t xml:space="preserve"> the </w:t>
      </w:r>
      <w:r w:rsidR="00B60441">
        <w:t>Indigenous</w:t>
      </w:r>
      <w:r>
        <w:t xml:space="preserve"> </w:t>
      </w:r>
      <w:r w:rsidR="00B60441">
        <w:t>housing</w:t>
      </w:r>
      <w:r>
        <w:t xml:space="preserve"> sector is such that it </w:t>
      </w:r>
      <w:r w:rsidR="00B60441">
        <w:t xml:space="preserve">is not </w:t>
      </w:r>
      <w:r w:rsidR="003B1758">
        <w:t xml:space="preserve">entirely </w:t>
      </w:r>
      <w:r w:rsidR="00B60441">
        <w:t>submerged by the mainstream social housing policy framework. Further, there is a need for housing policy frameworks to be co</w:t>
      </w:r>
      <w:r w:rsidR="00354F9D">
        <w:t>-</w:t>
      </w:r>
      <w:r w:rsidR="00B60441">
        <w:t xml:space="preserve">designed and ultimately co-delivered by standalone </w:t>
      </w:r>
      <w:r w:rsidR="000536C2">
        <w:t>I</w:t>
      </w:r>
      <w:r w:rsidR="00B60441">
        <w:t xml:space="preserve">ndigenous controlled housing entities, and this is more likely to be </w:t>
      </w:r>
      <w:r w:rsidR="000536C2">
        <w:t xml:space="preserve">acceptable and </w:t>
      </w:r>
      <w:r w:rsidR="00B60441">
        <w:t xml:space="preserve">feasible within a standalone policy framework. </w:t>
      </w:r>
    </w:p>
    <w:p w14:paraId="3512CBAD" w14:textId="1D209B09" w:rsidR="00310994" w:rsidRDefault="00B60441">
      <w:r>
        <w:lastRenderedPageBreak/>
        <w:t xml:space="preserve">A second and extremely important reason for a standalone program is that the links to ensuring the effectiveness (or even existence) of supporting infrastructure are crucial </w:t>
      </w:r>
      <w:r w:rsidR="000536C2">
        <w:t xml:space="preserve">in remote contexts </w:t>
      </w:r>
      <w:r>
        <w:t xml:space="preserve">and much more salient than in mainstream social housing provision. NPARIH did much more than build and renovate houses, and this need is of continuing </w:t>
      </w:r>
      <w:r w:rsidR="00686B54">
        <w:t>relevance</w:t>
      </w:r>
      <w:r>
        <w:t>.</w:t>
      </w:r>
      <w:r w:rsidR="000536C2">
        <w:t xml:space="preserve"> Such a policy objective is likely to only obtain the necessary traction within a standalone remote program.</w:t>
      </w:r>
    </w:p>
    <w:p w14:paraId="31EEA9FA" w14:textId="77777777" w:rsidR="00F7199D" w:rsidRDefault="00F7199D"/>
    <w:p w14:paraId="1DA5411A" w14:textId="6DAD5E4E" w:rsidR="00B60441" w:rsidRPr="00B60441" w:rsidRDefault="00B60441" w:rsidP="00B60441">
      <w:pPr>
        <w:pStyle w:val="ListParagraph"/>
        <w:numPr>
          <w:ilvl w:val="0"/>
          <w:numId w:val="2"/>
        </w:numPr>
        <w:rPr>
          <w:b/>
        </w:rPr>
      </w:pPr>
      <w:r w:rsidRPr="00B60441">
        <w:rPr>
          <w:b/>
        </w:rPr>
        <w:t>Amend the NHHA to provide for remote housing investment</w:t>
      </w:r>
    </w:p>
    <w:p w14:paraId="34C3A2C8" w14:textId="117488E5" w:rsidR="00686B54" w:rsidRDefault="00B60441" w:rsidP="00B60441">
      <w:r>
        <w:t>An alternative</w:t>
      </w:r>
      <w:r w:rsidR="00C53997">
        <w:t xml:space="preserve"> to recommendation one, </w:t>
      </w:r>
      <w:r>
        <w:t>and very much second best approach</w:t>
      </w:r>
      <w:r w:rsidR="00C53997">
        <w:t>,</w:t>
      </w:r>
      <w:r>
        <w:t xml:space="preserve"> would be for the </w:t>
      </w:r>
      <w:r w:rsidR="00D47ECD">
        <w:t xml:space="preserve">NHHA </w:t>
      </w:r>
      <w:r>
        <w:t xml:space="preserve">to be amended to </w:t>
      </w:r>
      <w:r w:rsidR="00586083">
        <w:t xml:space="preserve">allocate </w:t>
      </w:r>
      <w:r w:rsidR="00D47ECD">
        <w:t xml:space="preserve">the states and territories an explicit </w:t>
      </w:r>
      <w:r w:rsidR="00C53997">
        <w:t xml:space="preserve">dollar </w:t>
      </w:r>
      <w:r w:rsidR="00D47ECD">
        <w:t>amount based on what would be required to meet the C</w:t>
      </w:r>
      <w:r w:rsidR="00586083">
        <w:t>losing the G</w:t>
      </w:r>
      <w:r w:rsidR="00686B54">
        <w:t xml:space="preserve">ap housing </w:t>
      </w:r>
      <w:r w:rsidR="00D47ECD">
        <w:t xml:space="preserve">target </w:t>
      </w:r>
      <w:r w:rsidR="00D47ECD" w:rsidRPr="00586083">
        <w:rPr>
          <w:u w:val="single"/>
        </w:rPr>
        <w:t xml:space="preserve">in </w:t>
      </w:r>
      <w:r w:rsidRPr="00586083">
        <w:rPr>
          <w:u w:val="single"/>
        </w:rPr>
        <w:t xml:space="preserve">each relevant </w:t>
      </w:r>
      <w:r w:rsidR="00D47ECD" w:rsidRPr="00586083">
        <w:rPr>
          <w:u w:val="single"/>
        </w:rPr>
        <w:t>remote</w:t>
      </w:r>
      <w:r w:rsidRPr="00586083">
        <w:rPr>
          <w:u w:val="single"/>
        </w:rPr>
        <w:t xml:space="preserve"> region</w:t>
      </w:r>
      <w:r>
        <w:t xml:space="preserve"> within t</w:t>
      </w:r>
      <w:r w:rsidR="00D47ECD">
        <w:t>en years</w:t>
      </w:r>
      <w:r>
        <w:t xml:space="preserve">. </w:t>
      </w:r>
      <w:r w:rsidR="00586083">
        <w:t xml:space="preserve">This would leave implementation to each state. </w:t>
      </w:r>
    </w:p>
    <w:p w14:paraId="3EB46360" w14:textId="77777777" w:rsidR="00F7199D" w:rsidRDefault="00F7199D" w:rsidP="00B60441"/>
    <w:p w14:paraId="258D7E43" w14:textId="07B2E782" w:rsidR="00686B54" w:rsidRPr="00686B54" w:rsidRDefault="00686B54" w:rsidP="00686B54">
      <w:pPr>
        <w:pStyle w:val="ListParagraph"/>
        <w:numPr>
          <w:ilvl w:val="0"/>
          <w:numId w:val="2"/>
        </w:numPr>
        <w:rPr>
          <w:b/>
        </w:rPr>
      </w:pPr>
      <w:r w:rsidRPr="00686B54">
        <w:rPr>
          <w:b/>
        </w:rPr>
        <w:t xml:space="preserve">Renovations and Repairs and </w:t>
      </w:r>
      <w:r w:rsidR="00C53997">
        <w:rPr>
          <w:b/>
        </w:rPr>
        <w:t>Maintenance</w:t>
      </w:r>
    </w:p>
    <w:p w14:paraId="77248D26" w14:textId="5AF288F8" w:rsidR="00D47ECD" w:rsidRDefault="00B60441" w:rsidP="00B60441">
      <w:r>
        <w:t xml:space="preserve">It needs to be borne in mind that reducing overcrowding is not a static objective, but is a dynamic process that requires both regular </w:t>
      </w:r>
      <w:r w:rsidR="00686B54">
        <w:t>repairs and maintenance to be undertaken, and from time to time major upgrades and renovations. Housing asset lifespans in remote Australia are much shorter than in the mainstream housing system, and regular repairs and maintenance will extend assets lifespans considerably. This requires specific funding to be allocated and locked in. In turn, this suggests that attention needs to be given to the governance arrangements oversighting the management of the overall housing asset portfolio in each region/jurisdiction. If the Commonwealth adopts recommendation two above, it should ensure that it undertakes a proactive regulatory oversight of the remote program to ensure that adequate maintenance and upgrades are occurring within each jurisdiction.</w:t>
      </w:r>
    </w:p>
    <w:p w14:paraId="1D1CBC68" w14:textId="77777777" w:rsidR="00F7199D" w:rsidRDefault="00F7199D" w:rsidP="00B60441"/>
    <w:p w14:paraId="56933078" w14:textId="16021345" w:rsidR="00586083" w:rsidRPr="00586083" w:rsidRDefault="00586083" w:rsidP="00586083">
      <w:pPr>
        <w:pStyle w:val="ListParagraph"/>
        <w:numPr>
          <w:ilvl w:val="0"/>
          <w:numId w:val="2"/>
        </w:numPr>
        <w:rPr>
          <w:b/>
        </w:rPr>
      </w:pPr>
      <w:r w:rsidRPr="00586083">
        <w:rPr>
          <w:b/>
        </w:rPr>
        <w:t>Publication of national aggregates of funding for capital and recurrent expenditures on remote housing</w:t>
      </w:r>
    </w:p>
    <w:p w14:paraId="08E49F8C" w14:textId="2A238D2C" w:rsidR="00586083" w:rsidRDefault="00586083" w:rsidP="00586083">
      <w:r>
        <w:t>To improve transparency and accountability, n</w:t>
      </w:r>
      <w:r w:rsidRPr="00586083">
        <w:t xml:space="preserve">ational aggregates of funding </w:t>
      </w:r>
      <w:r w:rsidR="00FB0526">
        <w:t xml:space="preserve">allocated </w:t>
      </w:r>
      <w:r w:rsidRPr="00586083">
        <w:t xml:space="preserve">for capital and recurrent expenditures on remote </w:t>
      </w:r>
      <w:r>
        <w:t xml:space="preserve">Indigenous </w:t>
      </w:r>
      <w:r w:rsidRPr="00586083">
        <w:t>housing</w:t>
      </w:r>
      <w:r>
        <w:t xml:space="preserve"> should be compiled and published by the Commonwealth each year. This data should be disaggregated by jurisdiction and region.</w:t>
      </w:r>
      <w:r w:rsidR="00FB0526">
        <w:t xml:space="preserve"> Leaving the responsibility for publishing funding to each state and territory is a recipe for confusion, non-comparability, and ultimately evasion of responsibility. National objectives require national oversight. </w:t>
      </w:r>
    </w:p>
    <w:p w14:paraId="48561A2A" w14:textId="77777777" w:rsidR="00F7199D" w:rsidRDefault="00F7199D" w:rsidP="00586083"/>
    <w:p w14:paraId="6DDC03A4" w14:textId="14FE2201" w:rsidR="00586083" w:rsidRPr="002529D3" w:rsidRDefault="00586083" w:rsidP="00586083">
      <w:pPr>
        <w:pStyle w:val="ListParagraph"/>
        <w:numPr>
          <w:ilvl w:val="0"/>
          <w:numId w:val="2"/>
        </w:numPr>
        <w:rPr>
          <w:b/>
        </w:rPr>
      </w:pPr>
      <w:r w:rsidRPr="002529D3">
        <w:rPr>
          <w:b/>
        </w:rPr>
        <w:t>Activate the North Australia Infrastructure Facility</w:t>
      </w:r>
      <w:r w:rsidR="002529D3">
        <w:rPr>
          <w:b/>
        </w:rPr>
        <w:t xml:space="preserve"> (NIAF)</w:t>
      </w:r>
    </w:p>
    <w:p w14:paraId="56DEA5BF" w14:textId="4585A248" w:rsidR="00156E5E" w:rsidRDefault="00586083" w:rsidP="00586083">
      <w:r>
        <w:t xml:space="preserve">The North Australia Infrastructure Facility is the </w:t>
      </w:r>
      <w:r w:rsidR="00C21264">
        <w:t>Commonwealth’s</w:t>
      </w:r>
      <w:r>
        <w:t xml:space="preserve"> signature </w:t>
      </w:r>
      <w:r w:rsidR="00C21264">
        <w:t xml:space="preserve">funding mechanism directed to strengthening the economic and social development of northern Australia. </w:t>
      </w:r>
      <w:r w:rsidR="00CD5FB9">
        <w:t xml:space="preserve"> </w:t>
      </w:r>
      <w:r w:rsidR="00C21264">
        <w:t xml:space="preserve">Unfortunately, it has been focussed on a narrow range of development opportunities, and has </w:t>
      </w:r>
      <w:r w:rsidR="00354F9D">
        <w:t xml:space="preserve">demonstrably </w:t>
      </w:r>
      <w:r w:rsidR="00C21264">
        <w:t>failed</w:t>
      </w:r>
      <w:r w:rsidR="00354F9D">
        <w:t xml:space="preserve"> in achieving its objectives</w:t>
      </w:r>
      <w:r w:rsidR="00C76FD7">
        <w:t xml:space="preserve">, not least </w:t>
      </w:r>
      <w:r w:rsidR="00C21264">
        <w:t>in supporting Indigenous related infrastructure development.</w:t>
      </w:r>
      <w:r w:rsidR="00C76FD7">
        <w:rPr>
          <w:rStyle w:val="FootnoteReference"/>
        </w:rPr>
        <w:footnoteReference w:id="7"/>
      </w:r>
      <w:r w:rsidR="00C21264">
        <w:t xml:space="preserve"> The Commission should recommend that the NAIF Mandate and/or </w:t>
      </w:r>
      <w:r w:rsidR="00C21264">
        <w:lastRenderedPageBreak/>
        <w:t xml:space="preserve">legislation be amended to ‘activate’ the Facility </w:t>
      </w:r>
      <w:r w:rsidR="002529D3">
        <w:t xml:space="preserve">to enable and </w:t>
      </w:r>
      <w:r w:rsidR="00C21264">
        <w:t xml:space="preserve">encourage it to invest in the expansion and upgrading of community housing and associated infrastructure across northern Australia. </w:t>
      </w:r>
      <w:r w:rsidR="00C76FD7">
        <w:t>Since 2019, Infrastructure Australia has listed Indigenous overcrowding as an infrastructure priority, but of course, the listing of these ‘priorities’ has only a</w:t>
      </w:r>
      <w:r w:rsidR="00596DB8">
        <w:t xml:space="preserve">n extremely </w:t>
      </w:r>
      <w:r w:rsidR="00C76FD7">
        <w:t xml:space="preserve">tenuous link to government funding decisions. </w:t>
      </w:r>
      <w:r w:rsidR="005830F7">
        <w:t>An alternative to utilising an ‘activated’ NAIF would be to transfer (say) $1 billion from NAIF’s $7bn allocation (of which only</w:t>
      </w:r>
      <w:r w:rsidR="00FB0526">
        <w:t xml:space="preserve"> around </w:t>
      </w:r>
      <w:r w:rsidR="005830F7">
        <w:t xml:space="preserve">$3.2bn has been committed) to the National Housing Finance and Investment Corporation tied explicitly to remote </w:t>
      </w:r>
      <w:r w:rsidR="00697E42">
        <w:t>I</w:t>
      </w:r>
      <w:r w:rsidR="005830F7">
        <w:t>ndigenous housing</w:t>
      </w:r>
      <w:r w:rsidR="00FB0526">
        <w:t xml:space="preserve"> and community infrastructure</w:t>
      </w:r>
      <w:r w:rsidR="005830F7">
        <w:t xml:space="preserve">. </w:t>
      </w:r>
    </w:p>
    <w:p w14:paraId="3689826E" w14:textId="77777777" w:rsidR="00156E5E" w:rsidRDefault="00156E5E"/>
    <w:p w14:paraId="545D7AF8" w14:textId="032C74A8" w:rsidR="00156E5E" w:rsidRPr="002529D3" w:rsidRDefault="00C53997" w:rsidP="002529D3">
      <w:pPr>
        <w:pStyle w:val="ListParagraph"/>
        <w:numPr>
          <w:ilvl w:val="0"/>
          <w:numId w:val="2"/>
        </w:numPr>
        <w:rPr>
          <w:b/>
        </w:rPr>
      </w:pPr>
      <w:r w:rsidRPr="002529D3">
        <w:rPr>
          <w:b/>
        </w:rPr>
        <w:t>A</w:t>
      </w:r>
      <w:r w:rsidR="002529D3" w:rsidRPr="002529D3">
        <w:rPr>
          <w:b/>
        </w:rPr>
        <w:t xml:space="preserve">ssessing the remote housing shortfall and required funding </w:t>
      </w:r>
    </w:p>
    <w:p w14:paraId="21436119" w14:textId="04E55B43" w:rsidR="00156E5E" w:rsidRDefault="002529D3">
      <w:r>
        <w:t>The Commission review should recommend that an independent review be established to estimate the shortfall in remote housing assets over the coming two decades and to estimate the cost of addressing the shortfall.</w:t>
      </w:r>
      <w:r w:rsidR="00596DB8">
        <w:rPr>
          <w:rStyle w:val="FootnoteReference"/>
        </w:rPr>
        <w:footnoteReference w:id="8"/>
      </w:r>
      <w:r>
        <w:t xml:space="preserve"> One of the reasons for poor policy outcomes in relation to remote Indigenous housing is that governments </w:t>
      </w:r>
      <w:r w:rsidR="00692C80">
        <w:t xml:space="preserve">are reluctant to be </w:t>
      </w:r>
      <w:r>
        <w:t xml:space="preserve">transparent about the quantum of the existing and projected shortfalls, and the direct and indirect costs of addressing those shortfalls in a timely way. </w:t>
      </w:r>
      <w:r w:rsidR="00692C80">
        <w:t xml:space="preserve">An independent review would at least provide a baseline for rational policy analysis to emerge. </w:t>
      </w:r>
    </w:p>
    <w:p w14:paraId="17B9E589" w14:textId="6E75E20A" w:rsidR="00C76FD7" w:rsidRDefault="00C76FD7">
      <w:r>
        <w:t xml:space="preserve">In the absence of such an independent </w:t>
      </w:r>
      <w:r w:rsidR="00F43B52">
        <w:t>review</w:t>
      </w:r>
      <w:r>
        <w:t xml:space="preserve">, it seems reasonable to suggest that at the very least, the </w:t>
      </w:r>
      <w:r w:rsidR="00F43B52">
        <w:t>Government</w:t>
      </w:r>
      <w:r>
        <w:t xml:space="preserve"> should replace the funding cut from NPARIH going forward, wh</w:t>
      </w:r>
      <w:r w:rsidR="00F43B52">
        <w:t>i</w:t>
      </w:r>
      <w:r>
        <w:t>ch suggests an annual</w:t>
      </w:r>
      <w:r w:rsidR="00F43B52">
        <w:t xml:space="preserve"> funding allocation of around $7</w:t>
      </w:r>
      <w:r>
        <w:t>00m for remote housing.</w:t>
      </w:r>
      <w:r w:rsidR="00F43B52">
        <w:t xml:space="preserve"> Anything</w:t>
      </w:r>
      <w:r>
        <w:t xml:space="preserve"> less </w:t>
      </w:r>
      <w:r w:rsidR="00F43B52">
        <w:t xml:space="preserve">will certainly be inadequate in terms of addressing outstanding needs within a timely period. </w:t>
      </w:r>
    </w:p>
    <w:p w14:paraId="41E9486A" w14:textId="2F7248E8" w:rsidR="00692C80" w:rsidRDefault="00692C80" w:rsidP="00692C80">
      <w:r>
        <w:t xml:space="preserve">Related to better understanding of the remote housing shortfall is more disaggregated data for Indigenous housing, as identified in the Productivity Commission’s Information </w:t>
      </w:r>
      <w:r w:rsidR="00256CFA">
        <w:t>Repository. The Commission notes</w:t>
      </w:r>
      <w:r>
        <w:t xml:space="preserve"> in its commentary on the target th</w:t>
      </w:r>
      <w:r w:rsidR="00256CFA">
        <w:t>at additional disaggregation is</w:t>
      </w:r>
      <w:r>
        <w:t xml:space="preserve"> required for future reporting in relation to: remoteness areas and other small geographic areas (where available); socioeconomic status of the locality; disability status; gender; age group; overcrowding status (1, 2, 3, 4 or more additional bedrooms required); and tenure type. I would encourage the Commission to expedite its efforts to incorporate this data in its annual updates. </w:t>
      </w:r>
    </w:p>
    <w:p w14:paraId="30F0D03A" w14:textId="77777777" w:rsidR="00156E5E" w:rsidRDefault="00156E5E"/>
    <w:p w14:paraId="21711A3D" w14:textId="77777777" w:rsidR="00BF6369" w:rsidRDefault="00BF6369"/>
    <w:p w14:paraId="4439C329" w14:textId="77777777" w:rsidR="00F7199D" w:rsidRDefault="00F7199D">
      <w:pPr>
        <w:rPr>
          <w:b/>
        </w:rPr>
      </w:pPr>
      <w:r>
        <w:rPr>
          <w:b/>
        </w:rPr>
        <w:br w:type="page"/>
      </w:r>
    </w:p>
    <w:p w14:paraId="0B084F7C" w14:textId="5479157A" w:rsidR="00BF6369" w:rsidRPr="00156E5E" w:rsidRDefault="00BF6369">
      <w:pPr>
        <w:rPr>
          <w:b/>
        </w:rPr>
      </w:pPr>
      <w:r w:rsidRPr="00156E5E">
        <w:rPr>
          <w:b/>
        </w:rPr>
        <w:lastRenderedPageBreak/>
        <w:t xml:space="preserve">References </w:t>
      </w:r>
    </w:p>
    <w:p w14:paraId="5CE5F663" w14:textId="6DDC401A" w:rsidR="001F1A42" w:rsidRDefault="001F1A42">
      <w:r>
        <w:t>ABS 2019 Estimates and Projections, Aboriginal and Torres Strait Islander Australians</w:t>
      </w:r>
      <w:r w:rsidR="00DB6690">
        <w:t xml:space="preserve">: </w:t>
      </w:r>
      <w:r>
        <w:t xml:space="preserve">Estimates and projections of the Aboriginal and Torres Strait Islander population for 2006 to 2031. Released 11/07/2019, </w:t>
      </w:r>
      <w:hyperlink r:id="rId8" w:history="1">
        <w:r w:rsidRPr="002E27C9">
          <w:rPr>
            <w:rStyle w:val="Hyperlink"/>
          </w:rPr>
          <w:t>https://www.abs.gov.au/statistics/people/aboriginal-and-torres-strait-islander-peoples/estimates-and-projections-aboriginal-and-torres-strait-islander-australians/latest-release</w:t>
        </w:r>
      </w:hyperlink>
      <w:r>
        <w:t xml:space="preserve"> </w:t>
      </w:r>
      <w:r w:rsidR="00C27A3D">
        <w:t xml:space="preserve"> </w:t>
      </w:r>
    </w:p>
    <w:p w14:paraId="788A4BFE" w14:textId="62CEF1EE" w:rsidR="00C27A3D" w:rsidRDefault="00C27A3D">
      <w:r>
        <w:t xml:space="preserve">ANU Newsroom (2019) Trust in governments hits all time low, ANU Canberra. </w:t>
      </w:r>
      <w:hyperlink r:id="rId9" w:history="1">
        <w:r w:rsidRPr="00715A02">
          <w:rPr>
            <w:rStyle w:val="Hyperlink"/>
          </w:rPr>
          <w:t>https://www.anu.edu.au/news/all-news/trust-in-government-hits-all-time-low</w:t>
        </w:r>
      </w:hyperlink>
      <w:r>
        <w:t xml:space="preserve"> </w:t>
      </w:r>
    </w:p>
    <w:p w14:paraId="7E108D19" w14:textId="436BFF48" w:rsidR="0061201A" w:rsidRDefault="0061201A" w:rsidP="0061201A">
      <w:r>
        <w:t xml:space="preserve">Cameron, S. &amp; McAllister, I. (2019). Trends in Australian Political Opinion: Results from the Australian Election Study 1987–2019, </w:t>
      </w:r>
      <w:r w:rsidR="00C27A3D">
        <w:t xml:space="preserve">Australian Election Study, ANU, Canberra. </w:t>
      </w:r>
      <w:hyperlink r:id="rId10" w:history="1">
        <w:r w:rsidR="00C27A3D" w:rsidRPr="00715A02">
          <w:rPr>
            <w:rStyle w:val="Hyperlink"/>
          </w:rPr>
          <w:t>https://australianelectionstudy.org/wp-content/uploads/Trends-in-Australian-Political-Opinion-1987-2019.pdf</w:t>
        </w:r>
      </w:hyperlink>
      <w:r w:rsidR="00C27A3D">
        <w:t xml:space="preserve"> </w:t>
      </w:r>
      <w:r w:rsidR="0000111D">
        <w:t xml:space="preserve"> </w:t>
      </w:r>
    </w:p>
    <w:p w14:paraId="212D34B7" w14:textId="6FC0B22D" w:rsidR="0000111D" w:rsidRDefault="0000111D" w:rsidP="0061201A">
      <w:r>
        <w:t xml:space="preserve">Dillon M. C. (2017). The fundamentally flawed Remote Housing Review, </w:t>
      </w:r>
      <w:r w:rsidRPr="0000111D">
        <w:t>Blog post, A Walking Shadow,</w:t>
      </w:r>
      <w:r>
        <w:t xml:space="preserve"> 7 November 2017, </w:t>
      </w:r>
      <w:hyperlink r:id="rId11" w:history="1">
        <w:r w:rsidR="008A755E" w:rsidRPr="00626D9C">
          <w:rPr>
            <w:rStyle w:val="Hyperlink"/>
          </w:rPr>
          <w:t>https://refragabledelusions.blogspot.com/2017/11/the-fundamentally-flawed-remote-housing.html</w:t>
        </w:r>
      </w:hyperlink>
      <w:r w:rsidR="008A755E">
        <w:t xml:space="preserve"> </w:t>
      </w:r>
    </w:p>
    <w:p w14:paraId="56C4F853" w14:textId="0B5D3E60" w:rsidR="00CD0D3A" w:rsidRDefault="00CD0D3A">
      <w:r>
        <w:t xml:space="preserve">Dillon, M.C. (2018). Tactics versus Strategy in Indigenous Housing, </w:t>
      </w:r>
      <w:r w:rsidRPr="00CD0D3A">
        <w:rPr>
          <w:i/>
        </w:rPr>
        <w:t>Inside Story 18 January 2018</w:t>
      </w:r>
      <w:r>
        <w:t xml:space="preserve">,  </w:t>
      </w:r>
      <w:hyperlink r:id="rId12" w:history="1">
        <w:r w:rsidRPr="00191293">
          <w:rPr>
            <w:rStyle w:val="Hyperlink"/>
          </w:rPr>
          <w:t>https://insidestory.org.au/tactics-undermining-strategy-in-indigenous-housing/</w:t>
        </w:r>
      </w:hyperlink>
      <w:r>
        <w:t xml:space="preserve"> .</w:t>
      </w:r>
      <w:r w:rsidR="003821DF">
        <w:t xml:space="preserve"> </w:t>
      </w:r>
    </w:p>
    <w:p w14:paraId="132E941D" w14:textId="51AF9EB7" w:rsidR="00C76FD7" w:rsidRDefault="00C76FD7">
      <w:r>
        <w:t xml:space="preserve">Dillon, M.C. (2020a) </w:t>
      </w:r>
      <w:r w:rsidRPr="00C76FD7">
        <w:t>Indigenous economic and social development in northern Australia in a post-pandemic world</w:t>
      </w:r>
      <w:r>
        <w:t xml:space="preserve">, </w:t>
      </w:r>
      <w:bookmarkStart w:id="0" w:name="_Hlk94554051"/>
      <w:r w:rsidRPr="00C76FD7">
        <w:t>Blog p</w:t>
      </w:r>
      <w:r>
        <w:t xml:space="preserve">ost, A Walking Shadow, </w:t>
      </w:r>
      <w:bookmarkEnd w:id="0"/>
      <w:r>
        <w:t>20 May</w:t>
      </w:r>
      <w:r w:rsidRPr="00C76FD7">
        <w:t xml:space="preserve"> 2020</w:t>
      </w:r>
      <w:r>
        <w:t xml:space="preserve">, </w:t>
      </w:r>
      <w:hyperlink r:id="rId13" w:history="1">
        <w:r w:rsidRPr="003870F5">
          <w:rPr>
            <w:rStyle w:val="Hyperlink"/>
          </w:rPr>
          <w:t>https://refragabledelusions.blogspot.com/2020/05/indigenous-economic-and-social.html</w:t>
        </w:r>
      </w:hyperlink>
      <w:r>
        <w:t xml:space="preserve"> </w:t>
      </w:r>
    </w:p>
    <w:p w14:paraId="2911564F" w14:textId="7F770901" w:rsidR="003821DF" w:rsidRDefault="003821DF">
      <w:r>
        <w:t>Dillon, M.C. (2020</w:t>
      </w:r>
      <w:r w:rsidR="00596DB8">
        <w:t>b</w:t>
      </w:r>
      <w:r>
        <w:t xml:space="preserve">). </w:t>
      </w:r>
      <w:r w:rsidR="008F7B78" w:rsidRPr="008F7B78">
        <w:t>Indigenous turnout in the NT election: wider implications</w:t>
      </w:r>
      <w:r w:rsidR="008F7B78">
        <w:t xml:space="preserve">, </w:t>
      </w:r>
      <w:r w:rsidR="008F7B78" w:rsidRPr="008F7B78">
        <w:t>Blog post, A Walking Shadow,</w:t>
      </w:r>
      <w:r w:rsidR="008F7B78">
        <w:t xml:space="preserve"> 27 August 2020, </w:t>
      </w:r>
      <w:hyperlink r:id="rId14" w:history="1">
        <w:r w:rsidR="008F7B78" w:rsidRPr="00715A02">
          <w:rPr>
            <w:rStyle w:val="Hyperlink"/>
          </w:rPr>
          <w:t>https://refragabledelusions.blogspot.com/2020/08/indigenous-turnout-in-nt-election-wider.html</w:t>
        </w:r>
      </w:hyperlink>
      <w:r w:rsidR="008F7B78">
        <w:t xml:space="preserve"> </w:t>
      </w:r>
      <w:r w:rsidR="00DA2AE0">
        <w:t xml:space="preserve"> </w:t>
      </w:r>
    </w:p>
    <w:p w14:paraId="5B8F331F" w14:textId="5D93FDDD" w:rsidR="00F069BF" w:rsidRDefault="00234652" w:rsidP="00DA2AE0">
      <w:r>
        <w:t>Dillon, M.C. (2020c). Evaluation and review as drivers of reform in the</w:t>
      </w:r>
      <w:r w:rsidR="00F069BF">
        <w:t xml:space="preserve"> </w:t>
      </w:r>
      <w:r>
        <w:t>Indigenous policy domain</w:t>
      </w:r>
      <w:r w:rsidR="00F069BF">
        <w:t xml:space="preserve">, Policy Insights Paper No. 2/2020, Centre for Aboriginal Economic Policy Research, Australian National University, Canberra. </w:t>
      </w:r>
      <w:hyperlink r:id="rId15" w:history="1">
        <w:r w:rsidR="00F069BF" w:rsidRPr="005E3960">
          <w:rPr>
            <w:rStyle w:val="Hyperlink"/>
          </w:rPr>
          <w:t>https://doi.org/10.25911/5ee359f29a190</w:t>
        </w:r>
      </w:hyperlink>
      <w:r w:rsidR="00F069BF">
        <w:t xml:space="preserve"> </w:t>
      </w:r>
    </w:p>
    <w:p w14:paraId="0C389FAF" w14:textId="532C69C5" w:rsidR="00DA2AE0" w:rsidRDefault="00DA2AE0" w:rsidP="00DA2AE0">
      <w:r>
        <w:t>Dillon, M. C. (2021</w:t>
      </w:r>
      <w:r w:rsidR="00C3552F">
        <w:t>a</w:t>
      </w:r>
      <w:r>
        <w:t>) The first decade of Closing the Gap: What went wrong?, Discussion Paper 298</w:t>
      </w:r>
      <w:r w:rsidR="009B4311">
        <w:t xml:space="preserve">, Centre for Aboriginal Economic Policy Research, ANU, Canberra. </w:t>
      </w:r>
      <w:hyperlink r:id="rId16" w:history="1">
        <w:r w:rsidR="009B4311" w:rsidRPr="00626D9C">
          <w:rPr>
            <w:rStyle w:val="Hyperlink"/>
          </w:rPr>
          <w:t>https://caepr.cass.anu.edu.au/research/publications/first-decade-closing-gap-what-went-wrong</w:t>
        </w:r>
      </w:hyperlink>
      <w:r w:rsidR="009B4311">
        <w:t xml:space="preserve"> </w:t>
      </w:r>
    </w:p>
    <w:p w14:paraId="6FEC6539" w14:textId="5271F30F" w:rsidR="00B07D71" w:rsidRDefault="00B07D71" w:rsidP="00DA2AE0">
      <w:r>
        <w:t>Dillon, M.C. (2021</w:t>
      </w:r>
      <w:r w:rsidR="00C3552F">
        <w:t>b</w:t>
      </w:r>
      <w:r>
        <w:t>). The Commonwealth Closing the Gap Implementation Plan: a provisional assessment, Blog post, A Walking Shadow, 5</w:t>
      </w:r>
      <w:r w:rsidRPr="00B07D71">
        <w:t xml:space="preserve"> August 202</w:t>
      </w:r>
      <w:r>
        <w:t xml:space="preserve">1, </w:t>
      </w:r>
      <w:hyperlink r:id="rId17" w:history="1">
        <w:r w:rsidR="00C3552F" w:rsidRPr="0086047E">
          <w:rPr>
            <w:rStyle w:val="Hyperlink"/>
          </w:rPr>
          <w:t>https://refragabledelusions.blogspot.com/2021/08/the-commonwealth-closing-gap.html</w:t>
        </w:r>
      </w:hyperlink>
      <w:r w:rsidR="00C3552F">
        <w:t xml:space="preserve"> </w:t>
      </w:r>
    </w:p>
    <w:p w14:paraId="5D777399" w14:textId="02EEE3D4" w:rsidR="00CD0D3A" w:rsidRDefault="008F5BF7">
      <w:r>
        <w:t>Dillon M.</w:t>
      </w:r>
      <w:r w:rsidR="00256CFA">
        <w:t xml:space="preserve"> </w:t>
      </w:r>
      <w:r>
        <w:t xml:space="preserve">C. (2022) </w:t>
      </w:r>
      <w:r w:rsidR="002E5A22">
        <w:t xml:space="preserve">Energy insecurity in remote Australia, </w:t>
      </w:r>
      <w:bookmarkStart w:id="1" w:name="_Hlk94452677"/>
      <w:r w:rsidR="002E5A22">
        <w:t xml:space="preserve">Blog post, A Walking Shadow, </w:t>
      </w:r>
      <w:bookmarkEnd w:id="1"/>
      <w:r w:rsidR="002E5A22">
        <w:t xml:space="preserve">13 January 2022, </w:t>
      </w:r>
      <w:hyperlink r:id="rId18" w:history="1">
        <w:r w:rsidR="002E5A22" w:rsidRPr="00715A02">
          <w:rPr>
            <w:rStyle w:val="Hyperlink"/>
          </w:rPr>
          <w:t>https://refragabledelusions.blogspot.com/2022/01/energy-insecurity-in-remote-australia.html</w:t>
        </w:r>
      </w:hyperlink>
      <w:r w:rsidR="002E5A22">
        <w:t xml:space="preserve"> </w:t>
      </w:r>
    </w:p>
    <w:p w14:paraId="4B0A303C" w14:textId="08329671" w:rsidR="002E5A22" w:rsidRDefault="00C67EA1" w:rsidP="00C67EA1">
      <w:r>
        <w:t xml:space="preserve">Goldfinch, S., Gauld, R. &amp; Taplin, R. (2021) Trust in government soars in Australia and New Zealand during pandemic, The Conversation February 12, </w:t>
      </w:r>
      <w:hyperlink r:id="rId19" w:history="1">
        <w:r w:rsidR="003821DF" w:rsidRPr="00715A02">
          <w:rPr>
            <w:rStyle w:val="Hyperlink"/>
          </w:rPr>
          <w:t>https://theconversation.com/trust-in-government-soars-in-australia-and-new-zealand-during-pandemic-154948</w:t>
        </w:r>
      </w:hyperlink>
      <w:r w:rsidR="003821DF">
        <w:t xml:space="preserve"> </w:t>
      </w:r>
      <w:r w:rsidR="00090AE7">
        <w:t xml:space="preserve"> </w:t>
      </w:r>
    </w:p>
    <w:p w14:paraId="17C21909" w14:textId="3103036C" w:rsidR="00090AE7" w:rsidRDefault="00090AE7" w:rsidP="00C67EA1">
      <w:r>
        <w:t xml:space="preserve">Hinkson, M. (2021) </w:t>
      </w:r>
      <w:r w:rsidRPr="006A635E">
        <w:rPr>
          <w:i/>
        </w:rPr>
        <w:t>See how we roll: enduring exile between remote and urban Australia</w:t>
      </w:r>
      <w:r>
        <w:t>, Duke University Press, Durham, NC.</w:t>
      </w:r>
    </w:p>
    <w:p w14:paraId="1DCC0BA1" w14:textId="3F119FD0" w:rsidR="00256CFA" w:rsidRDefault="00256CFA" w:rsidP="00C67EA1">
      <w:r w:rsidRPr="00256CFA">
        <w:lastRenderedPageBreak/>
        <w:t>Infrastructure Australia (2019). An assessment of Australia’s future infrastructure needs: The Australian Infrastructure Audit 2019. Australian Government</w:t>
      </w:r>
      <w:r>
        <w:t xml:space="preserve">. </w:t>
      </w:r>
    </w:p>
    <w:p w14:paraId="6E6718D3" w14:textId="6A285763" w:rsidR="00DE3B70" w:rsidRDefault="00DE3B70" w:rsidP="00DE3B70">
      <w:r>
        <w:t>Lindop, N. &amp; Massey, L. (2017). Productivity Commission position paper on NDIS costs (June 2017): an MJDF submission to the Productivity Commission, Machado Joseph Disease Fo</w:t>
      </w:r>
      <w:r w:rsidR="00090AE7">
        <w:t xml:space="preserve">undation, Darwin, </w:t>
      </w:r>
      <w:hyperlink r:id="rId20" w:history="1">
        <w:r w:rsidR="00090AE7" w:rsidRPr="00451F5F">
          <w:rPr>
            <w:rStyle w:val="Hyperlink"/>
          </w:rPr>
          <w:t>https://mjd.org.au/cms/file_library/Other/Other_950.pdf</w:t>
        </w:r>
      </w:hyperlink>
      <w:r w:rsidR="00090AE7">
        <w:t xml:space="preserve"> </w:t>
      </w:r>
    </w:p>
    <w:p w14:paraId="07562AEE" w14:textId="39151B15" w:rsidR="002E5A22" w:rsidRPr="00D45F33" w:rsidRDefault="002E5A22" w:rsidP="002E5A22">
      <w:pPr>
        <w:rPr>
          <w:rFonts w:cstheme="minorHAnsi"/>
        </w:rPr>
      </w:pPr>
      <w:r w:rsidRPr="00D45F33">
        <w:rPr>
          <w:rFonts w:cstheme="minorHAnsi"/>
        </w:rPr>
        <w:t xml:space="preserve">Longden, T., Quilty, S., Riley, B. et al. Energy insecurity during temperature extremes in remote Australia. </w:t>
      </w:r>
      <w:r w:rsidRPr="00D45F33">
        <w:rPr>
          <w:rFonts w:cstheme="minorHAnsi"/>
          <w:i/>
        </w:rPr>
        <w:t>Nat Energy</w:t>
      </w:r>
      <w:r w:rsidRPr="00D45F33">
        <w:rPr>
          <w:rFonts w:cstheme="minorHAnsi"/>
        </w:rPr>
        <w:t xml:space="preserve"> (2021). </w:t>
      </w:r>
      <w:r w:rsidR="00D45F33" w:rsidRPr="00D45F33">
        <w:rPr>
          <w:rFonts w:cstheme="minorHAnsi"/>
          <w:color w:val="0000FF"/>
          <w:u w:val="single"/>
        </w:rPr>
        <w:t xml:space="preserve">Energy insecurity during temperature extremes in remote Australia | Nature Energy; </w:t>
      </w:r>
      <w:hyperlink r:id="rId21" w:history="1">
        <w:r w:rsidR="00D45F33" w:rsidRPr="00D45F33">
          <w:rPr>
            <w:rStyle w:val="Hyperlink"/>
            <w:rFonts w:cstheme="minorHAnsi"/>
          </w:rPr>
          <w:t>https://doi.org/10.1038/s41560-021-00942-2</w:t>
        </w:r>
      </w:hyperlink>
      <w:r w:rsidRPr="00D45F33">
        <w:rPr>
          <w:rFonts w:cstheme="minorHAnsi"/>
        </w:rPr>
        <w:t xml:space="preserve"> </w:t>
      </w:r>
    </w:p>
    <w:p w14:paraId="4A9AA08E" w14:textId="77777777" w:rsidR="00BF6369" w:rsidRDefault="00BF6369">
      <w:r>
        <w:t xml:space="preserve">McLachlan, R., Gilfillan, G. and Gordon, J. </w:t>
      </w:r>
      <w:r w:rsidR="00E7340F">
        <w:t>(</w:t>
      </w:r>
      <w:r>
        <w:t>2013</w:t>
      </w:r>
      <w:r w:rsidR="00E7340F">
        <w:t>).</w:t>
      </w:r>
      <w:r>
        <w:t xml:space="preserve"> </w:t>
      </w:r>
      <w:r w:rsidRPr="00E7340F">
        <w:rPr>
          <w:i/>
        </w:rPr>
        <w:t>Deep and Persistent Disadvantage in Australia</w:t>
      </w:r>
      <w:r>
        <w:t xml:space="preserve">, rev., Productivity Commission Staff Working Paper, Canberra. </w:t>
      </w:r>
    </w:p>
    <w:p w14:paraId="2F9127EE" w14:textId="775C2DC1" w:rsidR="005E640C" w:rsidRDefault="005E640C" w:rsidP="005E640C">
      <w:r>
        <w:t>Markham F &amp; Biddle N. (2017).</w:t>
      </w:r>
      <w:r w:rsidRPr="005E640C">
        <w:t xml:space="preserve"> Indigenous Population change in the 2016 Census</w:t>
      </w:r>
      <w:r w:rsidRPr="00E7340F">
        <w:rPr>
          <w:i/>
        </w:rPr>
        <w:t xml:space="preserve">, 2016 Census Paper </w:t>
      </w:r>
      <w:r>
        <w:rPr>
          <w:i/>
        </w:rPr>
        <w:t>1</w:t>
      </w:r>
      <w:r>
        <w:t xml:space="preserve">, Centre for Aboriginal Economic Policy Research, ANU, Canberra.  </w:t>
      </w:r>
    </w:p>
    <w:p w14:paraId="21783537" w14:textId="43555F8E" w:rsidR="00E7340F" w:rsidRDefault="00E7340F">
      <w:r>
        <w:t xml:space="preserve">Markham F &amp; Biddle N. (2018). </w:t>
      </w:r>
      <w:r w:rsidRPr="00E7340F">
        <w:rPr>
          <w:i/>
        </w:rPr>
        <w:t>Income, Poverty and Inequality, 2016 Census Paper 2</w:t>
      </w:r>
      <w:r>
        <w:t>, Centre for Aboriginal Economic Policy Research, ANU, Canberra.</w:t>
      </w:r>
      <w:r w:rsidR="00F96E11">
        <w:t xml:space="preserve">  </w:t>
      </w:r>
    </w:p>
    <w:p w14:paraId="3D3F9404" w14:textId="7F8224E2" w:rsidR="00DB0F71" w:rsidRDefault="00DB0F71" w:rsidP="00DB0F71">
      <w:r>
        <w:t xml:space="preserve">Productivity Commission (2015). National Indigenous Reform Agreement, Performance Assessment 2013–14, Canberra.  </w:t>
      </w:r>
      <w:hyperlink r:id="rId22" w:history="1">
        <w:r w:rsidRPr="00626D9C">
          <w:rPr>
            <w:rStyle w:val="Hyperlink"/>
          </w:rPr>
          <w:t>https://www.pc.gov.au/research/supporting/indigenous-reform-assessment/indigenous-reformassessment.pdf</w:t>
        </w:r>
      </w:hyperlink>
      <w:r>
        <w:t xml:space="preserve"> </w:t>
      </w:r>
    </w:p>
    <w:p w14:paraId="4693187A" w14:textId="7CC06DA7" w:rsidR="00CD10F2" w:rsidRDefault="00CD10F2">
      <w:r>
        <w:t xml:space="preserve">Productivity Commission (2021) </w:t>
      </w:r>
      <w:r w:rsidRPr="006F363C">
        <w:rPr>
          <w:i/>
          <w:iCs/>
        </w:rPr>
        <w:t>National Housing and Homelessness Agreement Review: Issues Paper</w:t>
      </w:r>
      <w:r>
        <w:t>, Productivity Commission, Canberra.</w:t>
      </w:r>
    </w:p>
    <w:p w14:paraId="4FE492B3" w14:textId="3D3DE723" w:rsidR="0061080A" w:rsidRDefault="0061080A">
      <w:r>
        <w:t xml:space="preserve">Productivity Commission (2021) </w:t>
      </w:r>
      <w:r w:rsidRPr="00CD10F2">
        <w:rPr>
          <w:i/>
          <w:iCs/>
        </w:rPr>
        <w:t>Closing the Gap Information Repository June 2021</w:t>
      </w:r>
      <w:r>
        <w:t>. Productivity Commission, Canberra.</w:t>
      </w:r>
    </w:p>
    <w:p w14:paraId="1B9E34C8" w14:textId="385BD5EF" w:rsidR="00F96E11" w:rsidRDefault="000C68F7">
      <w:r>
        <w:t xml:space="preserve">Quilter-Pinner, H., Statham, R., Jennings, W. &amp; Valgarosson, V. (2021). </w:t>
      </w:r>
      <w:r w:rsidRPr="000C68F7">
        <w:rPr>
          <w:i/>
          <w:iCs/>
        </w:rPr>
        <w:t>Trust Issues: dealing with distrust in politics,</w:t>
      </w:r>
      <w:r>
        <w:t xml:space="preserve"> Institute for Public policy Research, London.</w:t>
      </w:r>
    </w:p>
    <w:p w14:paraId="1F5BA02B" w14:textId="77777777" w:rsidR="00D47ECD" w:rsidRDefault="00D47ECD"/>
    <w:p w14:paraId="191C5E5A" w14:textId="402E85DE" w:rsidR="00D47ECD" w:rsidRDefault="00D47ECD"/>
    <w:p w14:paraId="53D264C6" w14:textId="46B514EE" w:rsidR="002054E9" w:rsidRDefault="002054E9"/>
    <w:p w14:paraId="2BF0D9FC" w14:textId="3AF14272" w:rsidR="002054E9" w:rsidRDefault="00963BE2">
      <w:r>
        <w:t>3</w:t>
      </w:r>
      <w:r w:rsidR="002054E9">
        <w:t xml:space="preserve"> Feb 2022</w:t>
      </w:r>
    </w:p>
    <w:p w14:paraId="705C562B" w14:textId="77777777" w:rsidR="00D47ECD" w:rsidRDefault="00D47ECD"/>
    <w:p w14:paraId="2162A7A9" w14:textId="77777777" w:rsidR="00D47ECD" w:rsidRDefault="00D47ECD"/>
    <w:p w14:paraId="60C6B192" w14:textId="77777777" w:rsidR="00D47ECD" w:rsidRDefault="00D47ECD"/>
    <w:p w14:paraId="0DDBFAA2" w14:textId="77777777" w:rsidR="00F96E11" w:rsidRDefault="00F96E11"/>
    <w:sectPr w:rsidR="00F96E11">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10A19" w14:textId="77777777" w:rsidR="00386AB6" w:rsidRDefault="00386AB6" w:rsidP="00156E5E">
      <w:pPr>
        <w:spacing w:after="0" w:line="240" w:lineRule="auto"/>
      </w:pPr>
      <w:r>
        <w:separator/>
      </w:r>
    </w:p>
  </w:endnote>
  <w:endnote w:type="continuationSeparator" w:id="0">
    <w:p w14:paraId="00B9935F" w14:textId="77777777" w:rsidR="00386AB6" w:rsidRDefault="00386AB6" w:rsidP="00156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555014"/>
      <w:docPartObj>
        <w:docPartGallery w:val="Page Numbers (Bottom of Page)"/>
        <w:docPartUnique/>
      </w:docPartObj>
    </w:sdtPr>
    <w:sdtEndPr>
      <w:rPr>
        <w:noProof/>
      </w:rPr>
    </w:sdtEndPr>
    <w:sdtContent>
      <w:p w14:paraId="72EAA8F2" w14:textId="697A72DC" w:rsidR="00E24D69" w:rsidRDefault="00E24D69">
        <w:pPr>
          <w:pStyle w:val="Footer"/>
          <w:jc w:val="right"/>
        </w:pPr>
        <w:r>
          <w:fldChar w:fldCharType="begin"/>
        </w:r>
        <w:r>
          <w:instrText xml:space="preserve"> PAGE   \* MERGEFORMAT </w:instrText>
        </w:r>
        <w:r>
          <w:fldChar w:fldCharType="separate"/>
        </w:r>
        <w:r w:rsidR="00CB4959">
          <w:rPr>
            <w:noProof/>
          </w:rPr>
          <w:t>13</w:t>
        </w:r>
        <w:r>
          <w:rPr>
            <w:noProof/>
          </w:rPr>
          <w:fldChar w:fldCharType="end"/>
        </w:r>
      </w:p>
    </w:sdtContent>
  </w:sdt>
  <w:p w14:paraId="536EE25D" w14:textId="77777777" w:rsidR="00AC3393" w:rsidRDefault="00AC3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E2280" w14:textId="77777777" w:rsidR="00386AB6" w:rsidRDefault="00386AB6" w:rsidP="00156E5E">
      <w:pPr>
        <w:spacing w:after="0" w:line="240" w:lineRule="auto"/>
      </w:pPr>
      <w:r>
        <w:separator/>
      </w:r>
    </w:p>
  </w:footnote>
  <w:footnote w:type="continuationSeparator" w:id="0">
    <w:p w14:paraId="15F20008" w14:textId="77777777" w:rsidR="00386AB6" w:rsidRDefault="00386AB6" w:rsidP="00156E5E">
      <w:pPr>
        <w:spacing w:after="0" w:line="240" w:lineRule="auto"/>
      </w:pPr>
      <w:r>
        <w:continuationSeparator/>
      </w:r>
    </w:p>
  </w:footnote>
  <w:footnote w:id="1">
    <w:p w14:paraId="43232D93" w14:textId="42D19E0B" w:rsidR="00156E5E" w:rsidRDefault="00156E5E">
      <w:pPr>
        <w:pStyle w:val="FootnoteText"/>
      </w:pPr>
      <w:r>
        <w:rPr>
          <w:rStyle w:val="FootnoteReference"/>
        </w:rPr>
        <w:footnoteRef/>
      </w:r>
      <w:r>
        <w:t xml:space="preserve"> This latter assertion was false as </w:t>
      </w:r>
      <w:r w:rsidR="00375C34">
        <w:t xml:space="preserve">there was never any announcement to this effect, and it </w:t>
      </w:r>
      <w:r>
        <w:t xml:space="preserve">was always appreciated that NPARIH </w:t>
      </w:r>
      <w:r w:rsidR="00375C34">
        <w:t xml:space="preserve">would need to be renewed to complete the investment required </w:t>
      </w:r>
      <w:r>
        <w:t>to address</w:t>
      </w:r>
      <w:r w:rsidR="00375C34">
        <w:t xml:space="preserve"> </w:t>
      </w:r>
      <w:r>
        <w:t>outstanding needs for remote housing.</w:t>
      </w:r>
      <w:r w:rsidR="00CD0D3A">
        <w:t xml:space="preserve"> See Dillon (2018) for an assessment of the outstanding needs at the completion of NPARIH’s term.</w:t>
      </w:r>
    </w:p>
  </w:footnote>
  <w:footnote w:id="2">
    <w:p w14:paraId="41A7A781" w14:textId="6A7B0C2F" w:rsidR="00325C98" w:rsidRDefault="00325C98">
      <w:pPr>
        <w:pStyle w:val="FootnoteText"/>
      </w:pPr>
      <w:r>
        <w:rPr>
          <w:rStyle w:val="FootnoteReference"/>
        </w:rPr>
        <w:footnoteRef/>
      </w:r>
      <w:r>
        <w:t xml:space="preserve"> The proportion of mainstream citizens living in appropriate housing in 2016 was 92.9; a figure which has stayed largely constant for twenty years (Productivity Commission</w:t>
      </w:r>
      <w:r w:rsidR="0061080A">
        <w:t xml:space="preserve"> </w:t>
      </w:r>
      <w:r>
        <w:t xml:space="preserve">Dashboard, table </w:t>
      </w:r>
      <w:r w:rsidR="0061080A">
        <w:t>CtG9A.1)</w:t>
      </w:r>
    </w:p>
  </w:footnote>
  <w:footnote w:id="3">
    <w:p w14:paraId="282DBEF3" w14:textId="3BD59EA1" w:rsidR="008F71FC" w:rsidRDefault="008F71FC">
      <w:pPr>
        <w:pStyle w:val="FootnoteText"/>
      </w:pPr>
      <w:r>
        <w:rPr>
          <w:rStyle w:val="FootnoteReference"/>
        </w:rPr>
        <w:footnoteRef/>
      </w:r>
      <w:r>
        <w:t xml:space="preserve"> </w:t>
      </w:r>
      <w:r w:rsidR="00754A75">
        <w:t>Data limitations make t</w:t>
      </w:r>
      <w:r>
        <w:t xml:space="preserve">he magnitude of the projected remote/urban split in 2031 unclear. If the 2016 figure </w:t>
      </w:r>
      <w:r w:rsidR="004F3AD9">
        <w:t xml:space="preserve">for the NT </w:t>
      </w:r>
      <w:r>
        <w:t xml:space="preserve">of </w:t>
      </w:r>
      <w:r w:rsidR="004F3AD9">
        <w:t xml:space="preserve">38.4 percent </w:t>
      </w:r>
      <w:r w:rsidR="00754A75">
        <w:t xml:space="preserve">in appropriate housing is </w:t>
      </w:r>
      <w:r w:rsidR="004F3AD9">
        <w:t xml:space="preserve">applied to all remote regions, then in 2016, the number of remote </w:t>
      </w:r>
      <w:r w:rsidR="00754A75">
        <w:t>Indigenous</w:t>
      </w:r>
      <w:r w:rsidR="004F3AD9">
        <w:t xml:space="preserve"> citizens </w:t>
      </w:r>
      <w:r w:rsidR="004F3AD9" w:rsidRPr="00754A75">
        <w:rPr>
          <w:b/>
          <w:bCs/>
        </w:rPr>
        <w:t>not</w:t>
      </w:r>
      <w:r w:rsidR="004F3AD9">
        <w:t xml:space="preserve"> in appropriate housing was </w:t>
      </w:r>
      <w:r w:rsidR="00754A75">
        <w:t>87,055.</w:t>
      </w:r>
    </w:p>
  </w:footnote>
  <w:footnote w:id="4">
    <w:p w14:paraId="7B3E44DA" w14:textId="591367B6" w:rsidR="00265EFE" w:rsidRDefault="00265EFE">
      <w:pPr>
        <w:pStyle w:val="FootnoteText"/>
      </w:pPr>
      <w:r>
        <w:rPr>
          <w:rStyle w:val="FootnoteReference"/>
        </w:rPr>
        <w:footnoteRef/>
      </w:r>
      <w:r>
        <w:t xml:space="preserve"> See </w:t>
      </w:r>
      <w:hyperlink r:id="rId1" w:history="1">
        <w:r w:rsidRPr="003870F5">
          <w:rPr>
            <w:rStyle w:val="Hyperlink"/>
          </w:rPr>
          <w:t>https://www.climatechangeinaustralia.gov.au/en/changing-climate/state-climate-statements/northern-territory/</w:t>
        </w:r>
      </w:hyperlink>
      <w:r>
        <w:t xml:space="preserve"> for a summary of potential impacts of climate change in the NT over coming decades.</w:t>
      </w:r>
    </w:p>
  </w:footnote>
  <w:footnote w:id="5">
    <w:p w14:paraId="12D7E018" w14:textId="74A4270B" w:rsidR="00090AE7" w:rsidRDefault="00090AE7">
      <w:pPr>
        <w:pStyle w:val="FootnoteText"/>
      </w:pPr>
      <w:r>
        <w:rPr>
          <w:rStyle w:val="FootnoteReference"/>
        </w:rPr>
        <w:footnoteRef/>
      </w:r>
      <w:r>
        <w:t xml:space="preserve"> For example, see Hinkson (2021) for an </w:t>
      </w:r>
      <w:r w:rsidR="006F6CD9">
        <w:t xml:space="preserve">excoriating </w:t>
      </w:r>
      <w:r>
        <w:t xml:space="preserve">account of the </w:t>
      </w:r>
      <w:r w:rsidR="006F6CD9">
        <w:t xml:space="preserve">life </w:t>
      </w:r>
      <w:r>
        <w:t xml:space="preserve">experience </w:t>
      </w:r>
      <w:r w:rsidR="006F6CD9">
        <w:t xml:space="preserve">over recent years </w:t>
      </w:r>
      <w:r>
        <w:t xml:space="preserve">of </w:t>
      </w:r>
      <w:r w:rsidR="00892064">
        <w:t xml:space="preserve">a Warlpiri woman from </w:t>
      </w:r>
      <w:r>
        <w:t>Yuendumu, where a substantial number of community members have departed, many to Adelaide, as a result of unresolved community conflicts.</w:t>
      </w:r>
    </w:p>
  </w:footnote>
  <w:footnote w:id="6">
    <w:p w14:paraId="110F3F5A" w14:textId="046F98DB" w:rsidR="003667FB" w:rsidRDefault="003667FB">
      <w:pPr>
        <w:pStyle w:val="FootnoteText"/>
      </w:pPr>
      <w:r>
        <w:rPr>
          <w:rStyle w:val="FootnoteReference"/>
        </w:rPr>
        <w:footnoteRef/>
      </w:r>
      <w:r>
        <w:t xml:space="preserve"> $550m in 2007 dollars equates to approximately $730m in 2022 dollars.</w:t>
      </w:r>
    </w:p>
  </w:footnote>
  <w:footnote w:id="7">
    <w:p w14:paraId="59071F43" w14:textId="0033ACDF" w:rsidR="00C76FD7" w:rsidRDefault="00C76FD7">
      <w:pPr>
        <w:pStyle w:val="FootnoteText"/>
      </w:pPr>
      <w:r>
        <w:rPr>
          <w:rStyle w:val="FootnoteReference"/>
        </w:rPr>
        <w:footnoteRef/>
      </w:r>
      <w:r>
        <w:t xml:space="preserve"> See Dillon 2020a for elaboration </w:t>
      </w:r>
      <w:r w:rsidR="00C3552F">
        <w:t>o</w:t>
      </w:r>
      <w:r>
        <w:t xml:space="preserve">n these points. </w:t>
      </w:r>
    </w:p>
  </w:footnote>
  <w:footnote w:id="8">
    <w:p w14:paraId="6DEAD07C" w14:textId="6E3B7E46" w:rsidR="00596DB8" w:rsidRDefault="00596DB8">
      <w:pPr>
        <w:pStyle w:val="FootnoteText"/>
      </w:pPr>
      <w:r>
        <w:rPr>
          <w:rStyle w:val="FootnoteReference"/>
        </w:rPr>
        <w:footnoteRef/>
      </w:r>
      <w:r>
        <w:t xml:space="preserve"> The 2017 Evaluation of the NPARIH program </w:t>
      </w:r>
      <w:r w:rsidR="005830F7">
        <w:t xml:space="preserve">failed to adequately estimate the existing or projected shortfall, instead deciding upon </w:t>
      </w:r>
      <w:r w:rsidR="00234652">
        <w:t xml:space="preserve">an arbitrary level of acceptable overcrowding, and retrofitting the assessed need to that arbitrary figure. </w:t>
      </w:r>
      <w:r w:rsidR="0000111D">
        <w:t xml:space="preserve">See Dillon (2017) for a detailed critique of the evaluation.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2992"/>
    <w:multiLevelType w:val="hybridMultilevel"/>
    <w:tmpl w:val="FFC01D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C014D8B"/>
    <w:multiLevelType w:val="multilevel"/>
    <w:tmpl w:val="298A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7BC"/>
    <w:rsid w:val="0000111D"/>
    <w:rsid w:val="000510CB"/>
    <w:rsid w:val="00052499"/>
    <w:rsid w:val="000536C2"/>
    <w:rsid w:val="00065265"/>
    <w:rsid w:val="000853C3"/>
    <w:rsid w:val="00087B7C"/>
    <w:rsid w:val="00090AE7"/>
    <w:rsid w:val="000C6638"/>
    <w:rsid w:val="000C68F7"/>
    <w:rsid w:val="00101C11"/>
    <w:rsid w:val="0012689A"/>
    <w:rsid w:val="00132123"/>
    <w:rsid w:val="00156E5E"/>
    <w:rsid w:val="0016145B"/>
    <w:rsid w:val="001718BC"/>
    <w:rsid w:val="001A1263"/>
    <w:rsid w:val="001C313A"/>
    <w:rsid w:val="001F1A42"/>
    <w:rsid w:val="00203D56"/>
    <w:rsid w:val="002054E9"/>
    <w:rsid w:val="00234652"/>
    <w:rsid w:val="002529D3"/>
    <w:rsid w:val="002557BC"/>
    <w:rsid w:val="00256CFA"/>
    <w:rsid w:val="0026051D"/>
    <w:rsid w:val="00265EFE"/>
    <w:rsid w:val="002671D2"/>
    <w:rsid w:val="00281E93"/>
    <w:rsid w:val="002844AA"/>
    <w:rsid w:val="00290D76"/>
    <w:rsid w:val="0029354A"/>
    <w:rsid w:val="002A4891"/>
    <w:rsid w:val="002E0344"/>
    <w:rsid w:val="002E5A22"/>
    <w:rsid w:val="00310994"/>
    <w:rsid w:val="0032051C"/>
    <w:rsid w:val="003229AF"/>
    <w:rsid w:val="00324312"/>
    <w:rsid w:val="00325C98"/>
    <w:rsid w:val="00354F9D"/>
    <w:rsid w:val="003667FB"/>
    <w:rsid w:val="00375C34"/>
    <w:rsid w:val="003821DF"/>
    <w:rsid w:val="00386AB6"/>
    <w:rsid w:val="003A698F"/>
    <w:rsid w:val="003B1758"/>
    <w:rsid w:val="003B7B03"/>
    <w:rsid w:val="003C3BA8"/>
    <w:rsid w:val="00441605"/>
    <w:rsid w:val="0044752C"/>
    <w:rsid w:val="00480BCB"/>
    <w:rsid w:val="004859FF"/>
    <w:rsid w:val="004D28AE"/>
    <w:rsid w:val="004F3AD9"/>
    <w:rsid w:val="00547295"/>
    <w:rsid w:val="005830F7"/>
    <w:rsid w:val="00586083"/>
    <w:rsid w:val="0059421C"/>
    <w:rsid w:val="00596DB8"/>
    <w:rsid w:val="005E5E73"/>
    <w:rsid w:val="005E640C"/>
    <w:rsid w:val="005F55F1"/>
    <w:rsid w:val="00601C45"/>
    <w:rsid w:val="0061080A"/>
    <w:rsid w:val="0061201A"/>
    <w:rsid w:val="00662FB4"/>
    <w:rsid w:val="006703BE"/>
    <w:rsid w:val="00674BE2"/>
    <w:rsid w:val="0067753A"/>
    <w:rsid w:val="00683E36"/>
    <w:rsid w:val="00686B54"/>
    <w:rsid w:val="006901D3"/>
    <w:rsid w:val="00692C80"/>
    <w:rsid w:val="00697E42"/>
    <w:rsid w:val="006A141D"/>
    <w:rsid w:val="006A635E"/>
    <w:rsid w:val="006B6FED"/>
    <w:rsid w:val="006B7E90"/>
    <w:rsid w:val="006C1FAB"/>
    <w:rsid w:val="006D7D04"/>
    <w:rsid w:val="006F363C"/>
    <w:rsid w:val="006F6CD9"/>
    <w:rsid w:val="00706FBF"/>
    <w:rsid w:val="00743031"/>
    <w:rsid w:val="00754A75"/>
    <w:rsid w:val="00783A7A"/>
    <w:rsid w:val="007A3002"/>
    <w:rsid w:val="007A7577"/>
    <w:rsid w:val="007B76FA"/>
    <w:rsid w:val="007E28EC"/>
    <w:rsid w:val="008107C4"/>
    <w:rsid w:val="00851662"/>
    <w:rsid w:val="00853ECB"/>
    <w:rsid w:val="00887277"/>
    <w:rsid w:val="00892064"/>
    <w:rsid w:val="008A755E"/>
    <w:rsid w:val="008F37A5"/>
    <w:rsid w:val="008F5BF7"/>
    <w:rsid w:val="008F71FC"/>
    <w:rsid w:val="008F7B78"/>
    <w:rsid w:val="00922DFB"/>
    <w:rsid w:val="0093689E"/>
    <w:rsid w:val="00944CFF"/>
    <w:rsid w:val="00950BC1"/>
    <w:rsid w:val="009610E7"/>
    <w:rsid w:val="00963BE2"/>
    <w:rsid w:val="00963E7D"/>
    <w:rsid w:val="009B4311"/>
    <w:rsid w:val="009D7668"/>
    <w:rsid w:val="00A27EB5"/>
    <w:rsid w:val="00AC1B93"/>
    <w:rsid w:val="00AC3393"/>
    <w:rsid w:val="00AF5DE3"/>
    <w:rsid w:val="00B03C09"/>
    <w:rsid w:val="00B07D71"/>
    <w:rsid w:val="00B22674"/>
    <w:rsid w:val="00B60441"/>
    <w:rsid w:val="00B7066B"/>
    <w:rsid w:val="00BF6369"/>
    <w:rsid w:val="00C21264"/>
    <w:rsid w:val="00C27A3D"/>
    <w:rsid w:val="00C3552F"/>
    <w:rsid w:val="00C506BC"/>
    <w:rsid w:val="00C52D19"/>
    <w:rsid w:val="00C53997"/>
    <w:rsid w:val="00C53E7C"/>
    <w:rsid w:val="00C6257E"/>
    <w:rsid w:val="00C67EA1"/>
    <w:rsid w:val="00C76FD7"/>
    <w:rsid w:val="00CB4959"/>
    <w:rsid w:val="00CD0D3A"/>
    <w:rsid w:val="00CD10F2"/>
    <w:rsid w:val="00CD5FB9"/>
    <w:rsid w:val="00D152B0"/>
    <w:rsid w:val="00D21C98"/>
    <w:rsid w:val="00D45F33"/>
    <w:rsid w:val="00D47ECD"/>
    <w:rsid w:val="00D54216"/>
    <w:rsid w:val="00D93FCD"/>
    <w:rsid w:val="00DA2AE0"/>
    <w:rsid w:val="00DB0F71"/>
    <w:rsid w:val="00DB6690"/>
    <w:rsid w:val="00DE3B70"/>
    <w:rsid w:val="00E04E65"/>
    <w:rsid w:val="00E06AC7"/>
    <w:rsid w:val="00E1360C"/>
    <w:rsid w:val="00E24D69"/>
    <w:rsid w:val="00E60B3F"/>
    <w:rsid w:val="00E7340F"/>
    <w:rsid w:val="00EA2DCB"/>
    <w:rsid w:val="00EB493A"/>
    <w:rsid w:val="00EB4B03"/>
    <w:rsid w:val="00EE25E8"/>
    <w:rsid w:val="00F069BF"/>
    <w:rsid w:val="00F42DBC"/>
    <w:rsid w:val="00F43B52"/>
    <w:rsid w:val="00F43DD2"/>
    <w:rsid w:val="00F70ECD"/>
    <w:rsid w:val="00F7199D"/>
    <w:rsid w:val="00F71D14"/>
    <w:rsid w:val="00F96E11"/>
    <w:rsid w:val="00FA51C8"/>
    <w:rsid w:val="00FB0526"/>
    <w:rsid w:val="00FB1AC4"/>
    <w:rsid w:val="00FB59EC"/>
    <w:rsid w:val="00FD6F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EAB3"/>
  <w15:chartTrackingRefBased/>
  <w15:docId w15:val="{F76ACC8C-3A78-4E59-A9E7-6C7A1812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56E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E5E"/>
    <w:rPr>
      <w:sz w:val="20"/>
      <w:szCs w:val="20"/>
    </w:rPr>
  </w:style>
  <w:style w:type="character" w:styleId="FootnoteReference">
    <w:name w:val="footnote reference"/>
    <w:basedOn w:val="DefaultParagraphFont"/>
    <w:uiPriority w:val="99"/>
    <w:semiHidden/>
    <w:unhideWhenUsed/>
    <w:rsid w:val="00156E5E"/>
    <w:rPr>
      <w:vertAlign w:val="superscript"/>
    </w:rPr>
  </w:style>
  <w:style w:type="character" w:styleId="Hyperlink">
    <w:name w:val="Hyperlink"/>
    <w:basedOn w:val="DefaultParagraphFont"/>
    <w:uiPriority w:val="99"/>
    <w:unhideWhenUsed/>
    <w:rsid w:val="00CD0D3A"/>
    <w:rPr>
      <w:color w:val="0563C1" w:themeColor="hyperlink"/>
      <w:u w:val="single"/>
    </w:rPr>
  </w:style>
  <w:style w:type="paragraph" w:styleId="Header">
    <w:name w:val="header"/>
    <w:basedOn w:val="Normal"/>
    <w:link w:val="HeaderChar"/>
    <w:uiPriority w:val="99"/>
    <w:unhideWhenUsed/>
    <w:rsid w:val="00AC33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393"/>
  </w:style>
  <w:style w:type="paragraph" w:styleId="Footer">
    <w:name w:val="footer"/>
    <w:basedOn w:val="Normal"/>
    <w:link w:val="FooterChar"/>
    <w:uiPriority w:val="99"/>
    <w:unhideWhenUsed/>
    <w:rsid w:val="00AC33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393"/>
  </w:style>
  <w:style w:type="character" w:customStyle="1" w:styleId="UnresolvedMention1">
    <w:name w:val="Unresolved Mention1"/>
    <w:basedOn w:val="DefaultParagraphFont"/>
    <w:uiPriority w:val="99"/>
    <w:semiHidden/>
    <w:unhideWhenUsed/>
    <w:rsid w:val="001F1A42"/>
    <w:rPr>
      <w:color w:val="605E5C"/>
      <w:shd w:val="clear" w:color="auto" w:fill="E1DFDD"/>
    </w:rPr>
  </w:style>
  <w:style w:type="character" w:styleId="CommentReference">
    <w:name w:val="annotation reference"/>
    <w:basedOn w:val="DefaultParagraphFont"/>
    <w:uiPriority w:val="99"/>
    <w:semiHidden/>
    <w:unhideWhenUsed/>
    <w:rsid w:val="00C27A3D"/>
    <w:rPr>
      <w:sz w:val="16"/>
      <w:szCs w:val="16"/>
    </w:rPr>
  </w:style>
  <w:style w:type="paragraph" w:styleId="CommentText">
    <w:name w:val="annotation text"/>
    <w:basedOn w:val="Normal"/>
    <w:link w:val="CommentTextChar"/>
    <w:uiPriority w:val="99"/>
    <w:semiHidden/>
    <w:unhideWhenUsed/>
    <w:rsid w:val="00C27A3D"/>
    <w:pPr>
      <w:spacing w:line="240" w:lineRule="auto"/>
    </w:pPr>
    <w:rPr>
      <w:sz w:val="20"/>
      <w:szCs w:val="20"/>
    </w:rPr>
  </w:style>
  <w:style w:type="character" w:customStyle="1" w:styleId="CommentTextChar">
    <w:name w:val="Comment Text Char"/>
    <w:basedOn w:val="DefaultParagraphFont"/>
    <w:link w:val="CommentText"/>
    <w:uiPriority w:val="99"/>
    <w:semiHidden/>
    <w:rsid w:val="00C27A3D"/>
    <w:rPr>
      <w:sz w:val="20"/>
      <w:szCs w:val="20"/>
    </w:rPr>
  </w:style>
  <w:style w:type="paragraph" w:styleId="CommentSubject">
    <w:name w:val="annotation subject"/>
    <w:basedOn w:val="CommentText"/>
    <w:next w:val="CommentText"/>
    <w:link w:val="CommentSubjectChar"/>
    <w:uiPriority w:val="99"/>
    <w:semiHidden/>
    <w:unhideWhenUsed/>
    <w:rsid w:val="00C27A3D"/>
    <w:rPr>
      <w:b/>
      <w:bCs/>
    </w:rPr>
  </w:style>
  <w:style w:type="character" w:customStyle="1" w:styleId="CommentSubjectChar">
    <w:name w:val="Comment Subject Char"/>
    <w:basedOn w:val="CommentTextChar"/>
    <w:link w:val="CommentSubject"/>
    <w:uiPriority w:val="99"/>
    <w:semiHidden/>
    <w:rsid w:val="00C27A3D"/>
    <w:rPr>
      <w:b/>
      <w:bCs/>
      <w:sz w:val="20"/>
      <w:szCs w:val="20"/>
    </w:rPr>
  </w:style>
  <w:style w:type="paragraph" w:styleId="ListParagraph">
    <w:name w:val="List Paragraph"/>
    <w:basedOn w:val="Normal"/>
    <w:uiPriority w:val="34"/>
    <w:qFormat/>
    <w:rsid w:val="00B60441"/>
    <w:pPr>
      <w:ind w:left="720"/>
      <w:contextualSpacing/>
    </w:pPr>
  </w:style>
  <w:style w:type="character" w:customStyle="1" w:styleId="UnresolvedMention2">
    <w:name w:val="Unresolved Mention2"/>
    <w:basedOn w:val="DefaultParagraphFont"/>
    <w:uiPriority w:val="99"/>
    <w:semiHidden/>
    <w:unhideWhenUsed/>
    <w:rsid w:val="00DB0F71"/>
    <w:rPr>
      <w:color w:val="605E5C"/>
      <w:shd w:val="clear" w:color="auto" w:fill="E1DFDD"/>
    </w:rPr>
  </w:style>
  <w:style w:type="paragraph" w:styleId="BalloonText">
    <w:name w:val="Balloon Text"/>
    <w:basedOn w:val="Normal"/>
    <w:link w:val="BalloonTextChar"/>
    <w:uiPriority w:val="99"/>
    <w:semiHidden/>
    <w:unhideWhenUsed/>
    <w:rsid w:val="00B2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6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763915">
      <w:bodyDiv w:val="1"/>
      <w:marLeft w:val="0"/>
      <w:marRight w:val="0"/>
      <w:marTop w:val="0"/>
      <w:marBottom w:val="0"/>
      <w:divBdr>
        <w:top w:val="none" w:sz="0" w:space="0" w:color="auto"/>
        <w:left w:val="none" w:sz="0" w:space="0" w:color="auto"/>
        <w:bottom w:val="none" w:sz="0" w:space="0" w:color="auto"/>
        <w:right w:val="none" w:sz="0" w:space="0" w:color="auto"/>
      </w:divBdr>
    </w:div>
    <w:div w:id="150386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s.gov.au/statistics/people/aboriginal-and-torres-strait-islander-peoples/estimates-and-projections-aboriginal-and-torres-strait-islander-australians/latest-release" TargetMode="External"/><Relationship Id="rId13" Type="http://schemas.openxmlformats.org/officeDocument/2006/relationships/hyperlink" Target="https://refragabledelusions.blogspot.com/2020/05/indigenous-economic-and-social.html" TargetMode="External"/><Relationship Id="rId18" Type="http://schemas.openxmlformats.org/officeDocument/2006/relationships/hyperlink" Target="https://refragabledelusions.blogspot.com/2022/01/energy-insecurity-in-remote-australia.html" TargetMode="External"/><Relationship Id="rId3" Type="http://schemas.openxmlformats.org/officeDocument/2006/relationships/styles" Target="styles.xml"/><Relationship Id="rId21" Type="http://schemas.openxmlformats.org/officeDocument/2006/relationships/hyperlink" Target="https://doi.org/10.1038/s41560-021-00942-2" TargetMode="External"/><Relationship Id="rId7" Type="http://schemas.openxmlformats.org/officeDocument/2006/relationships/endnotes" Target="endnotes.xml"/><Relationship Id="rId12" Type="http://schemas.openxmlformats.org/officeDocument/2006/relationships/hyperlink" Target="https://insidestory.org.au/tactics-undermining-strategy-in-indigenous-housing/" TargetMode="External"/><Relationship Id="rId17" Type="http://schemas.openxmlformats.org/officeDocument/2006/relationships/hyperlink" Target="https://refragabledelusions.blogspot.com/2021/08/the-commonwealth-closing-gap.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aepr.cass.anu.edu.au/research/publications/first-decade-closing-gap-what-went-wrong" TargetMode="External"/><Relationship Id="rId20" Type="http://schemas.openxmlformats.org/officeDocument/2006/relationships/hyperlink" Target="https://mjd.org.au/cms/file_library/Other/Other_95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ragabledelusions.blogspot.com/2017/11/the-fundamentally-flawed-remote-housing.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5911/5ee359f29a190" TargetMode="External"/><Relationship Id="rId23" Type="http://schemas.openxmlformats.org/officeDocument/2006/relationships/footer" Target="footer1.xml"/><Relationship Id="rId10" Type="http://schemas.openxmlformats.org/officeDocument/2006/relationships/hyperlink" Target="https://australianelectionstudy.org/wp-content/uploads/Trends-in-Australian-Political-Opinion-1987-2019.pdf" TargetMode="External"/><Relationship Id="rId19" Type="http://schemas.openxmlformats.org/officeDocument/2006/relationships/hyperlink" Target="https://theconversation.com/trust-in-government-soars-in-australia-and-new-zealand-during-pandemic-154948" TargetMode="External"/><Relationship Id="rId4" Type="http://schemas.openxmlformats.org/officeDocument/2006/relationships/settings" Target="settings.xml"/><Relationship Id="rId9" Type="http://schemas.openxmlformats.org/officeDocument/2006/relationships/hyperlink" Target="https://www.anu.edu.au/news/all-news/trust-in-government-hits-all-time-low" TargetMode="External"/><Relationship Id="rId14" Type="http://schemas.openxmlformats.org/officeDocument/2006/relationships/hyperlink" Target="https://refragabledelusions.blogspot.com/2020/08/indigenous-turnout-in-nt-election-wider.html" TargetMode="External"/><Relationship Id="rId22" Type="http://schemas.openxmlformats.org/officeDocument/2006/relationships/hyperlink" Target="https://www.pc.gov.au/research/supporting/indigenous-reform-assessment/indigenous-reformassessment.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limatechangeinaustralia.gov.au/en/changing-climate/state-climate-statements/northern-terri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F99E1-1224-4B07-8314-ACD554E57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6581</Words>
  <Characters>37516</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Submission 4 - Michael Dillon - Housing and Homelessness Agreement - Commissioned study</vt:lpstr>
    </vt:vector>
  </TitlesOfParts>
  <Company>Michael Dillon</Company>
  <LinksUpToDate>false</LinksUpToDate>
  <CharactersWithSpaces>44009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4 - Michael Dillon - Housing and Homelessness Agreement - Commissioned study</dc:title>
  <dc:subject/>
  <dc:creator>Michael Dillon</dc:creator>
  <cp:keywords/>
  <dc:description/>
  <cp:lastModifiedBy>Dobson, Bianca</cp:lastModifiedBy>
  <cp:revision>6</cp:revision>
  <dcterms:created xsi:type="dcterms:W3CDTF">2022-02-03T02:18:00Z</dcterms:created>
  <dcterms:modified xsi:type="dcterms:W3CDTF">2022-02-07T22:40:00Z</dcterms:modified>
  <cp:contentStatus/>
</cp:coreProperties>
</file>