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2DD6" w14:textId="77777777" w:rsidR="009366FC" w:rsidRDefault="009366FC" w:rsidP="00623CA2">
      <w:pPr>
        <w:jc w:val="center"/>
        <w:rPr>
          <w:b/>
          <w:lang w:val="en-US"/>
        </w:rPr>
      </w:pPr>
    </w:p>
    <w:p w14:paraId="73623285" w14:textId="77777777" w:rsidR="002959D5" w:rsidRPr="00623CA2" w:rsidRDefault="00623CA2" w:rsidP="00623CA2">
      <w:pPr>
        <w:jc w:val="center"/>
        <w:rPr>
          <w:b/>
          <w:lang w:val="en-US"/>
        </w:rPr>
      </w:pPr>
      <w:r w:rsidRPr="00623CA2">
        <w:rPr>
          <w:b/>
          <w:lang w:val="en-US"/>
        </w:rPr>
        <w:t>Review of the National School Reform Agreement</w:t>
      </w:r>
      <w:r w:rsidR="009366FC">
        <w:rPr>
          <w:b/>
          <w:lang w:val="en-US"/>
        </w:rPr>
        <w:t xml:space="preserve"> (NSRA)</w:t>
      </w:r>
    </w:p>
    <w:p w14:paraId="193918F9" w14:textId="77777777" w:rsidR="00623CA2" w:rsidRDefault="00623CA2" w:rsidP="00623CA2">
      <w:pPr>
        <w:jc w:val="center"/>
        <w:rPr>
          <w:b/>
          <w:lang w:val="en-US"/>
        </w:rPr>
      </w:pPr>
      <w:r w:rsidRPr="00623CA2">
        <w:rPr>
          <w:b/>
          <w:lang w:val="en-US"/>
        </w:rPr>
        <w:t>Submission by Lyndsay C</w:t>
      </w:r>
      <w:r>
        <w:rPr>
          <w:b/>
          <w:lang w:val="en-US"/>
        </w:rPr>
        <w:t>onnors AO and Dr Jim McMorrow</w:t>
      </w:r>
    </w:p>
    <w:p w14:paraId="3E7FB74A" w14:textId="77777777" w:rsidR="00623CA2" w:rsidRDefault="00623CA2" w:rsidP="00623CA2">
      <w:pPr>
        <w:jc w:val="center"/>
        <w:rPr>
          <w:b/>
          <w:lang w:val="en-US"/>
        </w:rPr>
      </w:pPr>
    </w:p>
    <w:p w14:paraId="44A75984" w14:textId="77777777" w:rsidR="006A65FD" w:rsidRDefault="007F590F" w:rsidP="00623CA2">
      <w:pPr>
        <w:rPr>
          <w:lang w:val="en-US"/>
        </w:rPr>
      </w:pPr>
      <w:r w:rsidRPr="007F590F">
        <w:rPr>
          <w:lang w:val="en-US"/>
        </w:rPr>
        <w:t>This</w:t>
      </w:r>
      <w:r w:rsidR="009366FC" w:rsidRPr="00F057ED">
        <w:rPr>
          <w:lang w:val="en-US"/>
        </w:rPr>
        <w:t xml:space="preserve"> submission </w:t>
      </w:r>
      <w:r>
        <w:rPr>
          <w:lang w:val="en-US"/>
        </w:rPr>
        <w:t>reflects</w:t>
      </w:r>
      <w:r w:rsidR="009366FC" w:rsidRPr="00F057ED">
        <w:rPr>
          <w:lang w:val="en-US"/>
        </w:rPr>
        <w:t xml:space="preserve"> our perspective </w:t>
      </w:r>
      <w:r w:rsidR="00EF11C0">
        <w:rPr>
          <w:lang w:val="en-US"/>
        </w:rPr>
        <w:t>as</w:t>
      </w:r>
      <w:r w:rsidR="009366FC" w:rsidRPr="00F057ED">
        <w:rPr>
          <w:lang w:val="en-US"/>
        </w:rPr>
        <w:t xml:space="preserve"> participa</w:t>
      </w:r>
      <w:r w:rsidR="00EF11C0">
        <w:rPr>
          <w:lang w:val="en-US"/>
        </w:rPr>
        <w:t>nts</w:t>
      </w:r>
      <w:r w:rsidR="009366FC" w:rsidRPr="00F057ED">
        <w:rPr>
          <w:lang w:val="en-US"/>
        </w:rPr>
        <w:t xml:space="preserve"> over decades in the development and analysis of schools funding p</w:t>
      </w:r>
      <w:r w:rsidR="00F057ED">
        <w:rPr>
          <w:lang w:val="en-US"/>
        </w:rPr>
        <w:t>olicies.</w:t>
      </w:r>
      <w:r w:rsidR="00D5660F">
        <w:rPr>
          <w:lang w:val="en-US"/>
        </w:rPr>
        <w:t xml:space="preserve">  In 2015, </w:t>
      </w:r>
      <w:r w:rsidR="00EF11C0">
        <w:rPr>
          <w:lang w:val="en-US"/>
        </w:rPr>
        <w:t xml:space="preserve">for example, </w:t>
      </w:r>
      <w:r w:rsidR="00D5660F">
        <w:rPr>
          <w:lang w:val="en-US"/>
        </w:rPr>
        <w:t xml:space="preserve">we were commissioned to write a report on schools funding </w:t>
      </w:r>
      <w:r w:rsidR="00F057ED">
        <w:rPr>
          <w:lang w:val="en-US"/>
        </w:rPr>
        <w:t>by the Australian Council f</w:t>
      </w:r>
      <w:r w:rsidR="00D5660F">
        <w:rPr>
          <w:lang w:val="en-US"/>
        </w:rPr>
        <w:t>or Education Research (</w:t>
      </w:r>
      <w:hyperlink r:id="rId7" w:history="1">
        <w:r w:rsidR="006A65FD" w:rsidRPr="00B81687">
          <w:rPr>
            <w:rStyle w:val="Hyperlink"/>
            <w:lang w:val="en-US"/>
          </w:rPr>
          <w:t>https://research.acer.edu.au/aer/14/</w:t>
        </w:r>
      </w:hyperlink>
      <w:r w:rsidR="006A65FD">
        <w:rPr>
          <w:lang w:val="en-US"/>
        </w:rPr>
        <w:t>).</w:t>
      </w:r>
    </w:p>
    <w:p w14:paraId="6321E94E" w14:textId="77777777" w:rsidR="00D94A22" w:rsidRDefault="00D94A22" w:rsidP="00623CA2">
      <w:pPr>
        <w:rPr>
          <w:lang w:val="en-US"/>
        </w:rPr>
      </w:pPr>
    </w:p>
    <w:p w14:paraId="270032B3" w14:textId="77777777" w:rsidR="00D94A22" w:rsidRPr="00D94A22" w:rsidRDefault="00D94A22" w:rsidP="00623CA2">
      <w:pPr>
        <w:rPr>
          <w:b/>
          <w:lang w:val="en-US"/>
        </w:rPr>
      </w:pPr>
      <w:r w:rsidRPr="00D94A22">
        <w:rPr>
          <w:b/>
          <w:lang w:val="en-US"/>
        </w:rPr>
        <w:t xml:space="preserve">The significance of funding </w:t>
      </w:r>
    </w:p>
    <w:p w14:paraId="4DA5BCF1" w14:textId="77777777" w:rsidR="006A65FD" w:rsidRDefault="006A65FD" w:rsidP="00623CA2">
      <w:pPr>
        <w:rPr>
          <w:lang w:val="en-US"/>
        </w:rPr>
      </w:pPr>
    </w:p>
    <w:p w14:paraId="6A4E4111" w14:textId="77777777" w:rsidR="009B2ECC" w:rsidRDefault="00BC3D9D" w:rsidP="00623CA2">
      <w:pPr>
        <w:rPr>
          <w:lang w:val="en-US"/>
        </w:rPr>
      </w:pPr>
      <w:r w:rsidRPr="00BC3D9D">
        <w:rPr>
          <w:lang w:val="en-US"/>
        </w:rPr>
        <w:t>We welcome the Productivity Commission’s review of the NSRA</w:t>
      </w:r>
      <w:r w:rsidR="00EF11C0">
        <w:rPr>
          <w:lang w:val="en-US"/>
        </w:rPr>
        <w:t>.  We</w:t>
      </w:r>
      <w:r>
        <w:rPr>
          <w:lang w:val="en-US"/>
        </w:rPr>
        <w:t xml:space="preserve"> have prepared this submission because of the </w:t>
      </w:r>
      <w:r w:rsidR="006A65FD">
        <w:rPr>
          <w:lang w:val="en-US"/>
        </w:rPr>
        <w:t xml:space="preserve">need, in our view, for a </w:t>
      </w:r>
      <w:r>
        <w:rPr>
          <w:lang w:val="en-US"/>
        </w:rPr>
        <w:t xml:space="preserve">stronger recognition of the importance of </w:t>
      </w:r>
      <w:r w:rsidR="00EF11C0">
        <w:rPr>
          <w:lang w:val="en-US"/>
        </w:rPr>
        <w:t xml:space="preserve">both the </w:t>
      </w:r>
      <w:r>
        <w:rPr>
          <w:lang w:val="en-US"/>
        </w:rPr>
        <w:t xml:space="preserve">level and </w:t>
      </w:r>
      <w:r w:rsidR="00EF11C0">
        <w:rPr>
          <w:lang w:val="en-US"/>
        </w:rPr>
        <w:t xml:space="preserve">the </w:t>
      </w:r>
      <w:r>
        <w:rPr>
          <w:lang w:val="en-US"/>
        </w:rPr>
        <w:t xml:space="preserve">distribution of public funding for schools in the achievement of national goals and priorities.  </w:t>
      </w:r>
      <w:r w:rsidR="00EF11C0">
        <w:rPr>
          <w:lang w:val="en-US"/>
        </w:rPr>
        <w:t>Governments have a responsibility for ensuring that all schools can provide the conditions most conducive to effective teaching; and adequate and appropriate funding is essential to achieving such conditions.</w:t>
      </w:r>
    </w:p>
    <w:p w14:paraId="57230902" w14:textId="77777777" w:rsidR="00EF11C0" w:rsidRDefault="00EF11C0" w:rsidP="00623CA2">
      <w:pPr>
        <w:rPr>
          <w:lang w:val="en-US"/>
        </w:rPr>
      </w:pPr>
    </w:p>
    <w:p w14:paraId="761D77C7" w14:textId="77777777" w:rsidR="009B2ECC" w:rsidRDefault="009B2ECC" w:rsidP="00623CA2">
      <w:pPr>
        <w:rPr>
          <w:lang w:val="en-US"/>
        </w:rPr>
      </w:pPr>
      <w:r>
        <w:rPr>
          <w:lang w:val="en-US"/>
        </w:rPr>
        <w:t xml:space="preserve">The </w:t>
      </w:r>
      <w:r w:rsidR="00EA0244">
        <w:rPr>
          <w:lang w:val="en-US"/>
        </w:rPr>
        <w:t xml:space="preserve">document </w:t>
      </w:r>
      <w:r w:rsidR="00EA0244" w:rsidRPr="00EA0244">
        <w:rPr>
          <w:i/>
          <w:lang w:val="en-US"/>
        </w:rPr>
        <w:t>Call for Submissions</w:t>
      </w:r>
      <w:r w:rsidR="00EA0244">
        <w:rPr>
          <w:i/>
          <w:lang w:val="en-US"/>
        </w:rPr>
        <w:t xml:space="preserve"> </w:t>
      </w:r>
      <w:r w:rsidR="00EA0244">
        <w:rPr>
          <w:lang w:val="en-US"/>
        </w:rPr>
        <w:t xml:space="preserve">prepared by the PC itself conveys an impression of complacency at a time when there is much evidence that Australian schooling is failing to make progress against the objective of providing “a high quality and equitable education for all students”.   </w:t>
      </w:r>
      <w:r w:rsidR="00052DDE">
        <w:rPr>
          <w:lang w:val="en-US"/>
        </w:rPr>
        <w:t xml:space="preserve">By way of example, we were </w:t>
      </w:r>
      <w:r w:rsidR="00EA0244">
        <w:rPr>
          <w:lang w:val="en-US"/>
        </w:rPr>
        <w:t xml:space="preserve">surprised by the </w:t>
      </w:r>
      <w:r w:rsidR="00947AB2">
        <w:rPr>
          <w:lang w:val="en-US"/>
        </w:rPr>
        <w:t>following claim in the Background section of this document:</w:t>
      </w:r>
    </w:p>
    <w:p w14:paraId="6388F644" w14:textId="77777777" w:rsidR="00947AB2" w:rsidRDefault="00947AB2" w:rsidP="00623CA2">
      <w:pPr>
        <w:rPr>
          <w:lang w:val="en-US"/>
        </w:rPr>
      </w:pPr>
    </w:p>
    <w:p w14:paraId="185C7AFA" w14:textId="77777777" w:rsidR="00947AB2" w:rsidRDefault="00947AB2" w:rsidP="00623CA2">
      <w:pPr>
        <w:rPr>
          <w:lang w:val="en-US"/>
        </w:rPr>
      </w:pPr>
      <w:r w:rsidRPr="00947AB2">
        <w:rPr>
          <w:i/>
          <w:lang w:val="en-US"/>
        </w:rPr>
        <w:t xml:space="preserve">Although primary responsibility for school education lies with States and Territories – and each has its own local priorities, </w:t>
      </w:r>
      <w:proofErr w:type="gramStart"/>
      <w:r w:rsidRPr="00947AB2">
        <w:rPr>
          <w:i/>
          <w:lang w:val="en-US"/>
        </w:rPr>
        <w:t>policies</w:t>
      </w:r>
      <w:proofErr w:type="gramEnd"/>
      <w:r w:rsidRPr="00947AB2">
        <w:rPr>
          <w:i/>
          <w:lang w:val="en-US"/>
        </w:rPr>
        <w:t xml:space="preserve"> and regulatory frameworks – Australia has a longstanding practice of collaboration between all governments to deliver school education reform (COAG 2018).  </w:t>
      </w:r>
    </w:p>
    <w:p w14:paraId="2EE68E5B" w14:textId="77777777" w:rsidR="00947AB2" w:rsidRDefault="00947AB2" w:rsidP="00623CA2">
      <w:pPr>
        <w:rPr>
          <w:lang w:val="en-US"/>
        </w:rPr>
      </w:pPr>
    </w:p>
    <w:p w14:paraId="5DF0021D" w14:textId="77777777" w:rsidR="00EF11C0" w:rsidRDefault="00052DDE" w:rsidP="00EF11C0">
      <w:pPr>
        <w:pStyle w:val="PlainText"/>
      </w:pPr>
      <w:r>
        <w:t>Although it is true in a formal</w:t>
      </w:r>
      <w:r w:rsidR="00EF11C0">
        <w:t xml:space="preserve"> cons</w:t>
      </w:r>
      <w:r w:rsidR="009D7188">
        <w:t>t</w:t>
      </w:r>
      <w:r w:rsidR="00EF11C0">
        <w:t>itutiona</w:t>
      </w:r>
      <w:r>
        <w:t xml:space="preserve">l sense </w:t>
      </w:r>
      <w:r w:rsidR="00EF11C0">
        <w:t>that primary responsibil</w:t>
      </w:r>
      <w:r w:rsidR="009D7188">
        <w:t>i</w:t>
      </w:r>
      <w:r w:rsidR="00EF11C0">
        <w:t>ty for school education lies with States and Territories, this ignores the fact that, over time, policy and budgetary decisions by successive C</w:t>
      </w:r>
      <w:r w:rsidR="00904E3B">
        <w:t>ommon</w:t>
      </w:r>
      <w:r w:rsidR="00EF11C0">
        <w:t>w</w:t>
      </w:r>
      <w:r w:rsidR="00904E3B">
        <w:t>ealth</w:t>
      </w:r>
      <w:r w:rsidR="00EF11C0">
        <w:t xml:space="preserve"> governments have been made without genuine collaboration with State and Territory governments</w:t>
      </w:r>
      <w:r w:rsidR="004A2A24">
        <w:t>.  T</w:t>
      </w:r>
      <w:r w:rsidR="00EF11C0">
        <w:t>he public funding of private schools has by default become the Commonwealth’s major financial contribution to education to the point where this commitment now exceeds the C</w:t>
      </w:r>
      <w:r w:rsidR="00904E3B">
        <w:t>ommonwealth’</w:t>
      </w:r>
      <w:r w:rsidR="00EF11C0">
        <w:t>s inves</w:t>
      </w:r>
      <w:r w:rsidR="009073FB">
        <w:t>tment</w:t>
      </w:r>
      <w:r w:rsidR="00EF11C0">
        <w:t xml:space="preserve"> in higher education — a function for which the Commonwealth does have the formal obligation.</w:t>
      </w:r>
    </w:p>
    <w:p w14:paraId="5B8DF032" w14:textId="77777777" w:rsidR="00EF11C0" w:rsidRDefault="00EF11C0" w:rsidP="00EF11C0">
      <w:pPr>
        <w:pStyle w:val="PlainText"/>
      </w:pPr>
    </w:p>
    <w:p w14:paraId="6F4489F3" w14:textId="77777777" w:rsidR="00E047F7" w:rsidRDefault="00EF11C0" w:rsidP="00EF11C0">
      <w:pPr>
        <w:pStyle w:val="PlainText"/>
      </w:pPr>
      <w:r>
        <w:t>To claim that “Australia has a longstanding practice of collaboration between all governments to deliver school education reform</w:t>
      </w:r>
      <w:r w:rsidR="009073FB">
        <w:t>”</w:t>
      </w:r>
      <w:r>
        <w:t xml:space="preserve"> is simplistic</w:t>
      </w:r>
      <w:r w:rsidR="009073FB">
        <w:t xml:space="preserve">.  This ignores the </w:t>
      </w:r>
      <w:r>
        <w:t xml:space="preserve">dysfunctional and asymmetrical relationship between the Commonwealth and </w:t>
      </w:r>
      <w:r w:rsidR="009D7188">
        <w:t>S</w:t>
      </w:r>
      <w:r>
        <w:t xml:space="preserve">tates </w:t>
      </w:r>
      <w:r w:rsidR="009073FB">
        <w:t>in</w:t>
      </w:r>
      <w:r>
        <w:t xml:space="preserve"> the funding of public and private schools especially </w:t>
      </w:r>
      <w:r w:rsidR="009073FB">
        <w:t xml:space="preserve">in the </w:t>
      </w:r>
      <w:r>
        <w:t>context of the problem of vertical fiscal imbalance</w:t>
      </w:r>
      <w:r w:rsidR="009073FB">
        <w:t xml:space="preserve"> in the Australian federal system</w:t>
      </w:r>
      <w:r>
        <w:t xml:space="preserve">.   </w:t>
      </w:r>
    </w:p>
    <w:p w14:paraId="336D1CAC" w14:textId="77777777" w:rsidR="00E047F7" w:rsidRDefault="00E047F7" w:rsidP="00EF11C0">
      <w:pPr>
        <w:pStyle w:val="PlainText"/>
      </w:pPr>
    </w:p>
    <w:p w14:paraId="7BF1D3D0" w14:textId="77777777" w:rsidR="00EF11C0" w:rsidRDefault="00EF11C0" w:rsidP="00EF11C0">
      <w:pPr>
        <w:pStyle w:val="PlainText"/>
      </w:pPr>
      <w:r>
        <w:t xml:space="preserve">States and </w:t>
      </w:r>
      <w:r w:rsidR="009D7188">
        <w:t>T</w:t>
      </w:r>
      <w:r>
        <w:t xml:space="preserve">erritories </w:t>
      </w:r>
      <w:r w:rsidR="009D7188">
        <w:t>must</w:t>
      </w:r>
      <w:r>
        <w:t xml:space="preserve"> maintain a </w:t>
      </w:r>
      <w:r w:rsidR="003901A7">
        <w:t xml:space="preserve">balance between the demand for and supply of school places in order to </w:t>
      </w:r>
      <w:proofErr w:type="spellStart"/>
      <w:r w:rsidR="009D7188">
        <w:t>guarantee</w:t>
      </w:r>
      <w:r w:rsidR="003901A7">
        <w:t>e</w:t>
      </w:r>
      <w:proofErr w:type="spellEnd"/>
      <w:r w:rsidR="003901A7">
        <w:t xml:space="preserve"> access to universal schooling.  This requires planning which takes account of growth, shift and decline </w:t>
      </w:r>
      <w:r w:rsidR="009D7188">
        <w:t xml:space="preserve">in the school population, </w:t>
      </w:r>
      <w:r w:rsidR="00E047F7">
        <w:t>both overall and local</w:t>
      </w:r>
      <w:r w:rsidR="003901A7">
        <w:t xml:space="preserve">.  </w:t>
      </w:r>
      <w:r>
        <w:t xml:space="preserve">The point has been reached where, in many instances, </w:t>
      </w:r>
      <w:r w:rsidR="009D7188">
        <w:t>S</w:t>
      </w:r>
      <w:r>
        <w:t xml:space="preserve">tates’ planning for the provision of school places in the public sector is now reactive because there is little or no </w:t>
      </w:r>
      <w:r w:rsidR="003901A7">
        <w:t xml:space="preserve">obligation for </w:t>
      </w:r>
      <w:r>
        <w:t xml:space="preserve">overall population planning </w:t>
      </w:r>
      <w:r w:rsidR="003901A7">
        <w:t>by</w:t>
      </w:r>
      <w:r>
        <w:t xml:space="preserve"> the private school sector, where decisions about the size and location of schools are made by independent and Catholic school authorities </w:t>
      </w:r>
      <w:r w:rsidR="003901A7">
        <w:t xml:space="preserve">largely </w:t>
      </w:r>
      <w:r>
        <w:t>in their own best interests.</w:t>
      </w:r>
    </w:p>
    <w:p w14:paraId="0757D0E5" w14:textId="77777777" w:rsidR="00001380" w:rsidRDefault="00001380" w:rsidP="00EF11C0">
      <w:pPr>
        <w:pStyle w:val="PlainText"/>
      </w:pPr>
    </w:p>
    <w:p w14:paraId="4EF59E42" w14:textId="77777777" w:rsidR="00A20EF3" w:rsidRDefault="00001380" w:rsidP="00AE1987">
      <w:pPr>
        <w:rPr>
          <w:b/>
        </w:rPr>
      </w:pPr>
      <w:r w:rsidRPr="00001380">
        <w:rPr>
          <w:b/>
          <w:i/>
        </w:rPr>
        <w:t xml:space="preserve">The Productivity Commission, in the context </w:t>
      </w:r>
      <w:r w:rsidR="00716507">
        <w:rPr>
          <w:b/>
          <w:i/>
        </w:rPr>
        <w:t xml:space="preserve">either </w:t>
      </w:r>
      <w:r w:rsidRPr="00001380">
        <w:rPr>
          <w:b/>
          <w:i/>
        </w:rPr>
        <w:t xml:space="preserve">of this review of the NSRA or of the broader inquiry into Australia’s productivity performance, should consider the diseconomies arising from </w:t>
      </w:r>
      <w:r w:rsidR="00C91367">
        <w:rPr>
          <w:b/>
          <w:i/>
        </w:rPr>
        <w:lastRenderedPageBreak/>
        <w:t>the un</w:t>
      </w:r>
      <w:r w:rsidRPr="00001380">
        <w:rPr>
          <w:b/>
          <w:i/>
        </w:rPr>
        <w:t>coordinated planning of public and private schools</w:t>
      </w:r>
      <w:r w:rsidR="009D7188">
        <w:rPr>
          <w:b/>
          <w:i/>
        </w:rPr>
        <w:t>;</w:t>
      </w:r>
      <w:r w:rsidRPr="00001380">
        <w:rPr>
          <w:b/>
          <w:i/>
        </w:rPr>
        <w:t xml:space="preserve"> and should put forward principles which would improve the productivity of the school system as a whole. </w:t>
      </w:r>
    </w:p>
    <w:p w14:paraId="3FC5253D" w14:textId="77777777" w:rsidR="00AE1987" w:rsidRPr="00AE1987" w:rsidRDefault="00AE1987" w:rsidP="00AE1987"/>
    <w:p w14:paraId="09327825" w14:textId="77777777" w:rsidR="00EF11C0" w:rsidRDefault="00D911CC" w:rsidP="00EF11C0">
      <w:pPr>
        <w:pStyle w:val="PlainText"/>
      </w:pPr>
      <w:r>
        <w:t>To a large extent, the distribution of teachers among schools within and between the public and private systems is now driven by market forc</w:t>
      </w:r>
      <w:r w:rsidR="00AE1987">
        <w:t>es.  This has led to Australia</w:t>
      </w:r>
      <w:r>
        <w:t xml:space="preserve"> having one of the most socio-economically stratified school systems in the OECD and has create</w:t>
      </w:r>
      <w:r w:rsidR="009F7A87">
        <w:t>d</w:t>
      </w:r>
      <w:r>
        <w:t xml:space="preserve"> inequities whi</w:t>
      </w:r>
      <w:r w:rsidR="009F7A87">
        <w:t>c</w:t>
      </w:r>
      <w:r>
        <w:t xml:space="preserve">h are hard to mitigate through </w:t>
      </w:r>
      <w:r w:rsidR="009F7A87">
        <w:t xml:space="preserve">compensatory funding alone.  </w:t>
      </w:r>
    </w:p>
    <w:p w14:paraId="7037D4E4" w14:textId="77777777" w:rsidR="00EA0244" w:rsidRDefault="00EA0244" w:rsidP="00623CA2">
      <w:pPr>
        <w:rPr>
          <w:lang w:val="en-US"/>
        </w:rPr>
      </w:pPr>
    </w:p>
    <w:p w14:paraId="28EF2A89" w14:textId="77777777" w:rsidR="00D94A22" w:rsidRDefault="007F52B8" w:rsidP="007F52B8">
      <w:pPr>
        <w:rPr>
          <w:lang w:val="en-US"/>
        </w:rPr>
      </w:pPr>
      <w:r>
        <w:rPr>
          <w:lang w:val="en-US"/>
        </w:rPr>
        <w:t xml:space="preserve">Under the heading </w:t>
      </w:r>
      <w:r w:rsidRPr="002152D3">
        <w:rPr>
          <w:i/>
          <w:lang w:val="en-US"/>
        </w:rPr>
        <w:t>Drivers of student outcomes</w:t>
      </w:r>
      <w:r>
        <w:rPr>
          <w:lang w:val="en-US"/>
        </w:rPr>
        <w:t xml:space="preserve">, the document calling for </w:t>
      </w:r>
      <w:proofErr w:type="gramStart"/>
      <w:r>
        <w:rPr>
          <w:lang w:val="en-US"/>
        </w:rPr>
        <w:t>submissions</w:t>
      </w:r>
      <w:proofErr w:type="gramEnd"/>
      <w:r>
        <w:rPr>
          <w:lang w:val="en-US"/>
        </w:rPr>
        <w:t xml:space="preserve"> states that </w:t>
      </w:r>
      <w:r w:rsidR="002152D3">
        <w:rPr>
          <w:lang w:val="en-US"/>
        </w:rPr>
        <w:t>“</w:t>
      </w:r>
      <w:r>
        <w:rPr>
          <w:lang w:val="en-US"/>
        </w:rPr>
        <w:t>the nationally agreed reforms set out in the NSRA were, in part a response to evidence that simply pro</w:t>
      </w:r>
      <w:r w:rsidR="002152D3">
        <w:rPr>
          <w:lang w:val="en-US"/>
        </w:rPr>
        <w:t>v</w:t>
      </w:r>
      <w:r>
        <w:rPr>
          <w:lang w:val="en-US"/>
        </w:rPr>
        <w:t>iding more funding does not in itself improve student out</w:t>
      </w:r>
      <w:r w:rsidR="002152D3">
        <w:rPr>
          <w:lang w:val="en-US"/>
        </w:rPr>
        <w:t>comes”; and that the OECD has found that …”it matters more how money is spent, than how much is spent”.   These kinds of platitude are</w:t>
      </w:r>
      <w:r w:rsidR="003901A7">
        <w:rPr>
          <w:lang w:val="en-US"/>
        </w:rPr>
        <w:t xml:space="preserve"> often </w:t>
      </w:r>
      <w:r w:rsidR="002152D3">
        <w:rPr>
          <w:lang w:val="en-US"/>
        </w:rPr>
        <w:t>used for political purposes to quell legitimate concerns about the adequacy of public funding of schools, both in terms of the level and the equity of distribution.  We trust that the</w:t>
      </w:r>
      <w:r w:rsidR="00726834">
        <w:rPr>
          <w:lang w:val="en-US"/>
        </w:rPr>
        <w:t xml:space="preserve"> Productivity Commission itself is not relying on these </w:t>
      </w:r>
      <w:r w:rsidR="002152D3">
        <w:rPr>
          <w:lang w:val="en-US"/>
        </w:rPr>
        <w:t>platitudes</w:t>
      </w:r>
      <w:r w:rsidR="00726834">
        <w:rPr>
          <w:lang w:val="en-US"/>
        </w:rPr>
        <w:t>.</w:t>
      </w:r>
    </w:p>
    <w:p w14:paraId="7A3F9F69" w14:textId="77777777" w:rsidR="00D94A22" w:rsidRDefault="00D94A22" w:rsidP="007F52B8">
      <w:pPr>
        <w:rPr>
          <w:lang w:val="en-US"/>
        </w:rPr>
      </w:pPr>
    </w:p>
    <w:p w14:paraId="75D37095" w14:textId="77777777" w:rsidR="00D94A22" w:rsidRDefault="00D94A22" w:rsidP="007F52B8">
      <w:pPr>
        <w:rPr>
          <w:lang w:val="en-US"/>
        </w:rPr>
      </w:pPr>
      <w:r w:rsidRPr="00D94A22">
        <w:rPr>
          <w:b/>
          <w:lang w:val="en-US"/>
        </w:rPr>
        <w:t>The primacy of teaching</w:t>
      </w:r>
      <w:r w:rsidR="00297BBD">
        <w:rPr>
          <w:lang w:val="en-US"/>
        </w:rPr>
        <w:t xml:space="preserve"> </w:t>
      </w:r>
      <w:r w:rsidR="00297BBD" w:rsidRPr="00297BBD">
        <w:rPr>
          <w:b/>
          <w:lang w:val="en-US"/>
        </w:rPr>
        <w:t>in school reform</w:t>
      </w:r>
    </w:p>
    <w:p w14:paraId="4B9304A1" w14:textId="77777777" w:rsidR="00D94A22" w:rsidRDefault="00D94A22" w:rsidP="007F52B8">
      <w:pPr>
        <w:rPr>
          <w:lang w:val="en-US"/>
        </w:rPr>
      </w:pPr>
    </w:p>
    <w:p w14:paraId="6225821B" w14:textId="77777777" w:rsidR="00E93FCE" w:rsidRDefault="00904E3B" w:rsidP="007F52B8">
      <w:pPr>
        <w:rPr>
          <w:lang w:val="en-US"/>
        </w:rPr>
      </w:pPr>
      <w:r>
        <w:rPr>
          <w:lang w:val="en-US"/>
        </w:rPr>
        <w:t>When it comes to the achievement of optimal outcomes from schooling, the heart of that narrative is the centrality of teaching to student achievement.   The quality of the curriculum is vital, but it is teachers who provide student</w:t>
      </w:r>
      <w:r w:rsidR="00AE1987">
        <w:rPr>
          <w:lang w:val="en-US"/>
        </w:rPr>
        <w:t>s</w:t>
      </w:r>
      <w:r>
        <w:rPr>
          <w:lang w:val="en-US"/>
        </w:rPr>
        <w:t xml:space="preserve"> with access to that curriculum.</w:t>
      </w:r>
      <w:r w:rsidR="00A77FC1">
        <w:rPr>
          <w:lang w:val="en-US"/>
        </w:rPr>
        <w:t xml:space="preserve"> </w:t>
      </w:r>
      <w:r w:rsidR="00D94A22">
        <w:rPr>
          <w:lang w:val="en-US"/>
        </w:rPr>
        <w:t xml:space="preserve">There is a </w:t>
      </w:r>
      <w:r w:rsidR="006C481B">
        <w:rPr>
          <w:lang w:val="en-US"/>
        </w:rPr>
        <w:t xml:space="preserve">case for the development of </w:t>
      </w:r>
      <w:r w:rsidR="00D94A22">
        <w:rPr>
          <w:lang w:val="en-US"/>
        </w:rPr>
        <w:t xml:space="preserve">diagrams of objectives, </w:t>
      </w:r>
      <w:proofErr w:type="gramStart"/>
      <w:r w:rsidR="00D94A22">
        <w:rPr>
          <w:lang w:val="en-US"/>
        </w:rPr>
        <w:t>targets</w:t>
      </w:r>
      <w:proofErr w:type="gramEnd"/>
      <w:r w:rsidR="00D94A22">
        <w:rPr>
          <w:lang w:val="en-US"/>
        </w:rPr>
        <w:t xml:space="preserve"> and outcomes (</w:t>
      </w:r>
      <w:r w:rsidR="006C481B">
        <w:rPr>
          <w:lang w:val="en-US"/>
        </w:rPr>
        <w:t>as in</w:t>
      </w:r>
      <w:r w:rsidR="00D94A22">
        <w:rPr>
          <w:lang w:val="en-US"/>
        </w:rPr>
        <w:t xml:space="preserve"> Figure 1) and of a national measurement framework for schooling setting out key performance measures (</w:t>
      </w:r>
      <w:r w:rsidR="006C481B">
        <w:rPr>
          <w:lang w:val="en-US"/>
        </w:rPr>
        <w:t>as in</w:t>
      </w:r>
      <w:r w:rsidR="00D94A22">
        <w:rPr>
          <w:lang w:val="en-US"/>
        </w:rPr>
        <w:t xml:space="preserve"> Figure 2) to be embedded in a policy narrative.  Reading the document calling for submissions from our perspective as grandparents, </w:t>
      </w:r>
      <w:r w:rsidR="003901A7">
        <w:rPr>
          <w:lang w:val="en-US"/>
        </w:rPr>
        <w:t xml:space="preserve">we found </w:t>
      </w:r>
      <w:r w:rsidR="00297BBD">
        <w:rPr>
          <w:lang w:val="en-US"/>
        </w:rPr>
        <w:t xml:space="preserve">both </w:t>
      </w:r>
      <w:r w:rsidR="00D94A22">
        <w:rPr>
          <w:lang w:val="en-US"/>
        </w:rPr>
        <w:t xml:space="preserve">the </w:t>
      </w:r>
      <w:r w:rsidR="00297BBD">
        <w:rPr>
          <w:lang w:val="en-US"/>
        </w:rPr>
        <w:t xml:space="preserve">NSRA objectives, targets and outcomes and the national measurement framework </w:t>
      </w:r>
      <w:r w:rsidR="003901A7">
        <w:rPr>
          <w:lang w:val="en-US"/>
        </w:rPr>
        <w:t>to be</w:t>
      </w:r>
      <w:r w:rsidR="00297BBD">
        <w:rPr>
          <w:lang w:val="en-US"/>
        </w:rPr>
        <w:t xml:space="preserve"> rather sterile, </w:t>
      </w:r>
      <w:proofErr w:type="gramStart"/>
      <w:r w:rsidR="00297BBD">
        <w:rPr>
          <w:lang w:val="en-US"/>
        </w:rPr>
        <w:t>technocrati</w:t>
      </w:r>
      <w:r w:rsidR="003901A7">
        <w:rPr>
          <w:lang w:val="en-US"/>
        </w:rPr>
        <w:t>c</w:t>
      </w:r>
      <w:proofErr w:type="gramEnd"/>
      <w:r w:rsidR="003901A7">
        <w:rPr>
          <w:lang w:val="en-US"/>
        </w:rPr>
        <w:t xml:space="preserve"> and managerial in tone.  </w:t>
      </w:r>
    </w:p>
    <w:p w14:paraId="53FD3C0B" w14:textId="77777777" w:rsidR="003901A7" w:rsidRDefault="003901A7" w:rsidP="007F52B8">
      <w:pPr>
        <w:rPr>
          <w:lang w:val="en-US"/>
        </w:rPr>
      </w:pPr>
    </w:p>
    <w:p w14:paraId="34F563F7" w14:textId="77777777" w:rsidR="00D864F3" w:rsidRDefault="00E93FCE" w:rsidP="007F52B8">
      <w:pPr>
        <w:rPr>
          <w:lang w:val="en-US"/>
        </w:rPr>
      </w:pPr>
      <w:r>
        <w:rPr>
          <w:lang w:val="en-US"/>
        </w:rPr>
        <w:t>In making the following comments about this doc</w:t>
      </w:r>
      <w:r w:rsidR="00312B1B">
        <w:rPr>
          <w:lang w:val="en-US"/>
        </w:rPr>
        <w:t xml:space="preserve">ument </w:t>
      </w:r>
      <w:r w:rsidR="009C411F">
        <w:rPr>
          <w:lang w:val="en-US"/>
        </w:rPr>
        <w:t>itself,</w:t>
      </w:r>
      <w:r w:rsidR="008E4F06">
        <w:rPr>
          <w:lang w:val="en-US"/>
        </w:rPr>
        <w:t xml:space="preserve"> </w:t>
      </w:r>
      <w:r w:rsidR="009C411F">
        <w:rPr>
          <w:lang w:val="en-US"/>
        </w:rPr>
        <w:t xml:space="preserve">as </w:t>
      </w:r>
      <w:r w:rsidR="008E4F06">
        <w:rPr>
          <w:lang w:val="en-US"/>
        </w:rPr>
        <w:t>w</w:t>
      </w:r>
      <w:r w:rsidR="009C411F">
        <w:rPr>
          <w:lang w:val="en-US"/>
        </w:rPr>
        <w:t xml:space="preserve">ell as about the effectiveness and appropriateness of the NPIs and of the Measurement Framework in measuring progressing towards specified outcomes, we wish to make clear that we accept that the process of setting goals and priorities for our school system must include structures and processes </w:t>
      </w:r>
      <w:r w:rsidR="008E4F06">
        <w:rPr>
          <w:lang w:val="en-US"/>
        </w:rPr>
        <w:t xml:space="preserve">for measuring progress towards those goals and priorities.  At the same time, there is a need to deal with the realities of a process that is subtle and complex.  The outcomes of schooling are difficult to isolate from so many factors outside the control or influence of schools; and the impact of particular policies or of changes to curriculum and pedagogy may not be evident in the short term.  The outcomes of schooling are also affected by the political and cultural context in which schools operate.  These complexities create a risk of undue priority being given to initiatives that are </w:t>
      </w:r>
      <w:r w:rsidR="000941A3">
        <w:rPr>
          <w:lang w:val="en-US"/>
        </w:rPr>
        <w:t>most readily able to be measured over the short term.</w:t>
      </w:r>
    </w:p>
    <w:p w14:paraId="4508B8C5" w14:textId="77777777" w:rsidR="00D864F3" w:rsidRDefault="00D864F3" w:rsidP="007F52B8">
      <w:pPr>
        <w:rPr>
          <w:lang w:val="en-US"/>
        </w:rPr>
      </w:pPr>
    </w:p>
    <w:p w14:paraId="7AA546B0" w14:textId="77777777" w:rsidR="00177EA0" w:rsidRDefault="00E65804" w:rsidP="007F52B8">
      <w:pPr>
        <w:rPr>
          <w:lang w:val="en-US"/>
        </w:rPr>
      </w:pPr>
      <w:r w:rsidRPr="009D7188">
        <w:rPr>
          <w:rFonts w:cstheme="minorHAnsi"/>
          <w:lang w:val="en-US"/>
        </w:rPr>
        <w:t xml:space="preserve">Teachers’ salaries are the most significant cost of schooling, comprising around </w:t>
      </w:r>
      <w:r w:rsidR="00D16D9D" w:rsidRPr="009D7188">
        <w:rPr>
          <w:rFonts w:cstheme="minorHAnsi"/>
          <w:lang w:val="en-US"/>
        </w:rPr>
        <w:t>58</w:t>
      </w:r>
      <w:r w:rsidRPr="009D7188">
        <w:rPr>
          <w:rFonts w:cstheme="minorHAnsi"/>
          <w:lang w:val="en-US"/>
        </w:rPr>
        <w:t xml:space="preserve"> per cent of all recurrent expenditure on </w:t>
      </w:r>
      <w:r w:rsidR="00D16D9D" w:rsidRPr="009D7188">
        <w:rPr>
          <w:rFonts w:cstheme="minorHAnsi"/>
          <w:lang w:val="en-US"/>
        </w:rPr>
        <w:t xml:space="preserve">public </w:t>
      </w:r>
      <w:r w:rsidRPr="009D7188">
        <w:rPr>
          <w:rFonts w:cstheme="minorHAnsi"/>
          <w:lang w:val="en-US"/>
        </w:rPr>
        <w:t>schools</w:t>
      </w:r>
      <w:r w:rsidR="00D16D9D" w:rsidRPr="009D7188">
        <w:rPr>
          <w:rFonts w:cstheme="minorHAnsi"/>
          <w:lang w:val="en-US"/>
        </w:rPr>
        <w:t>; and 48 per cent of total recurrent spending on non-government schools; a total of 54 per cent of recurrent expenditure on all schools</w:t>
      </w:r>
      <w:r w:rsidRPr="009D7188">
        <w:rPr>
          <w:rFonts w:cstheme="minorHAnsi"/>
          <w:lang w:val="en-US"/>
        </w:rPr>
        <w:t>.</w:t>
      </w:r>
      <w:r w:rsidRPr="0081456F">
        <w:rPr>
          <w:rFonts w:cstheme="minorHAnsi"/>
          <w:lang w:val="en-US"/>
        </w:rPr>
        <w:t xml:space="preserve">  </w:t>
      </w:r>
      <w:r>
        <w:rPr>
          <w:rFonts w:cstheme="minorHAnsi"/>
          <w:lang w:val="en-US"/>
        </w:rPr>
        <w:t xml:space="preserve">A further amount of recurrent funding goes to support for teaching, including for support staff as </w:t>
      </w:r>
      <w:r w:rsidRPr="0081456F">
        <w:rPr>
          <w:rFonts w:cstheme="minorHAnsi"/>
        </w:rPr>
        <w:t>well as administrative and other non-teaching staff</w:t>
      </w:r>
      <w:r>
        <w:rPr>
          <w:rFonts w:cstheme="minorHAnsi"/>
        </w:rPr>
        <w:t xml:space="preserve">, </w:t>
      </w:r>
      <w:proofErr w:type="gramStart"/>
      <w:r>
        <w:rPr>
          <w:rFonts w:cstheme="minorHAnsi"/>
        </w:rPr>
        <w:t>technology</w:t>
      </w:r>
      <w:proofErr w:type="gramEnd"/>
      <w:r>
        <w:rPr>
          <w:rFonts w:cstheme="minorHAnsi"/>
        </w:rPr>
        <w:t xml:space="preserve"> and materials.  </w:t>
      </w:r>
    </w:p>
    <w:p w14:paraId="3195C812" w14:textId="77777777" w:rsidR="00E93FCE" w:rsidRDefault="00E93FCE" w:rsidP="007F52B8">
      <w:pPr>
        <w:rPr>
          <w:lang w:val="en-US"/>
        </w:rPr>
      </w:pPr>
    </w:p>
    <w:p w14:paraId="5A293760" w14:textId="77777777" w:rsidR="00772E15" w:rsidRPr="00FE2D59" w:rsidRDefault="00772E15" w:rsidP="00772E15">
      <w:pPr>
        <w:rPr>
          <w:lang w:val="en-US"/>
        </w:rPr>
      </w:pPr>
      <w:r w:rsidRPr="00772E15">
        <w:rPr>
          <w:lang w:val="en-US"/>
        </w:rPr>
        <w:t xml:space="preserve">For some time, governments, </w:t>
      </w:r>
      <w:proofErr w:type="gramStart"/>
      <w:r w:rsidRPr="00772E15">
        <w:rPr>
          <w:lang w:val="en-US"/>
        </w:rPr>
        <w:t>Commonwealth</w:t>
      </w:r>
      <w:proofErr w:type="gramEnd"/>
      <w:r w:rsidRPr="00772E15">
        <w:rPr>
          <w:lang w:val="en-US"/>
        </w:rPr>
        <w:t xml:space="preserve"> and state combined, have provided recurrent funding at a level that covers the cost of teaching staff salaries across both the public and non-government sectors.</w:t>
      </w:r>
      <w:r>
        <w:rPr>
          <w:lang w:val="en-US"/>
        </w:rPr>
        <w:t xml:space="preserve">  In the public sector, </w:t>
      </w:r>
      <w:r w:rsidR="00E65804">
        <w:rPr>
          <w:lang w:val="en-US"/>
        </w:rPr>
        <w:t xml:space="preserve">teachers have always been employed and paid directly by state governments. </w:t>
      </w:r>
      <w:r w:rsidRPr="009D7188">
        <w:rPr>
          <w:lang w:val="en-US"/>
        </w:rPr>
        <w:t>For non-government schools, by 20</w:t>
      </w:r>
      <w:r w:rsidR="00D16D9D" w:rsidRPr="009D7188">
        <w:rPr>
          <w:lang w:val="en-US"/>
        </w:rPr>
        <w:t>20</w:t>
      </w:r>
      <w:r w:rsidRPr="009D7188">
        <w:rPr>
          <w:lang w:val="en-US"/>
        </w:rPr>
        <w:t xml:space="preserve">, expenditure on teaching staff salaries of </w:t>
      </w:r>
      <w:r w:rsidR="00A10BA2" w:rsidRPr="009D7188">
        <w:rPr>
          <w:lang w:val="en-US"/>
        </w:rPr>
        <w:t xml:space="preserve">around </w:t>
      </w:r>
      <w:r w:rsidRPr="009D7188">
        <w:rPr>
          <w:lang w:val="en-US"/>
        </w:rPr>
        <w:t>$1</w:t>
      </w:r>
      <w:r w:rsidR="00A10BA2" w:rsidRPr="009D7188">
        <w:rPr>
          <w:lang w:val="en-US"/>
        </w:rPr>
        <w:t xml:space="preserve">2 billion </w:t>
      </w:r>
      <w:r w:rsidRPr="009D7188">
        <w:rPr>
          <w:lang w:val="en-US"/>
        </w:rPr>
        <w:t xml:space="preserve">was exceeded by funding of </w:t>
      </w:r>
      <w:r w:rsidR="00A10BA2" w:rsidRPr="009D7188">
        <w:rPr>
          <w:lang w:val="en-US"/>
        </w:rPr>
        <w:t xml:space="preserve">around </w:t>
      </w:r>
      <w:r w:rsidRPr="009D7188">
        <w:rPr>
          <w:lang w:val="en-US"/>
        </w:rPr>
        <w:t>$1</w:t>
      </w:r>
      <w:r w:rsidR="00A10BA2" w:rsidRPr="009D7188">
        <w:rPr>
          <w:lang w:val="en-US"/>
        </w:rPr>
        <w:t>4</w:t>
      </w:r>
      <w:r w:rsidRPr="009D7188">
        <w:rPr>
          <w:lang w:val="en-US"/>
        </w:rPr>
        <w:t xml:space="preserve"> billion </w:t>
      </w:r>
      <w:r w:rsidR="009D7188">
        <w:rPr>
          <w:u w:val="single"/>
          <w:lang w:val="en-US"/>
        </w:rPr>
        <w:t>provided by</w:t>
      </w:r>
      <w:r w:rsidRPr="009D7188">
        <w:rPr>
          <w:u w:val="single"/>
          <w:lang w:val="en-US"/>
        </w:rPr>
        <w:t xml:space="preserve"> the Commonwealth alone</w:t>
      </w:r>
      <w:r w:rsidRPr="009D7188">
        <w:rPr>
          <w:lang w:val="en-US"/>
        </w:rPr>
        <w:t>.    States and territories provided further funding to those schools of some $</w:t>
      </w:r>
      <w:r w:rsidR="00045C89" w:rsidRPr="009D7188">
        <w:rPr>
          <w:lang w:val="en-US"/>
        </w:rPr>
        <w:t>4</w:t>
      </w:r>
      <w:r w:rsidRPr="009D7188">
        <w:rPr>
          <w:lang w:val="en-US"/>
        </w:rPr>
        <w:t xml:space="preserve"> billion.</w:t>
      </w:r>
      <w:r w:rsidRPr="00FE2D59">
        <w:rPr>
          <w:lang w:val="en-US"/>
        </w:rPr>
        <w:t xml:space="preserve">  </w:t>
      </w:r>
    </w:p>
    <w:p w14:paraId="7A3E39BC" w14:textId="77777777" w:rsidR="009F7A87" w:rsidRPr="00FE2D59" w:rsidRDefault="009F7A87" w:rsidP="00772E15">
      <w:pPr>
        <w:rPr>
          <w:lang w:val="en-US"/>
        </w:rPr>
      </w:pPr>
    </w:p>
    <w:p w14:paraId="4039D5A9" w14:textId="77777777" w:rsidR="009F7A87" w:rsidRDefault="009F7A87" w:rsidP="009F7A87">
      <w:pPr>
        <w:rPr>
          <w:lang w:val="en-US"/>
        </w:rPr>
      </w:pPr>
      <w:r>
        <w:rPr>
          <w:lang w:val="en-US"/>
        </w:rPr>
        <w:t xml:space="preserve">It is now incumbent, in our view, </w:t>
      </w:r>
      <w:r w:rsidR="007C3D69">
        <w:rPr>
          <w:lang w:val="en-US"/>
        </w:rPr>
        <w:t xml:space="preserve">upon </w:t>
      </w:r>
      <w:r>
        <w:rPr>
          <w:lang w:val="en-US"/>
        </w:rPr>
        <w:t>both levels of government to take an overview of the whole system, public and private, in order to develop a rational basis for sharing responsibility for the plannin</w:t>
      </w:r>
      <w:r w:rsidR="00EE6BA1">
        <w:rPr>
          <w:lang w:val="en-US"/>
        </w:rPr>
        <w:t>g and funding of this national publicly</w:t>
      </w:r>
      <w:r>
        <w:rPr>
          <w:lang w:val="en-US"/>
        </w:rPr>
        <w:t xml:space="preserve"> funded asset – the teaching force. </w:t>
      </w:r>
    </w:p>
    <w:p w14:paraId="05C691AF" w14:textId="77777777" w:rsidR="0039742D" w:rsidRDefault="0039742D" w:rsidP="009F7A87">
      <w:pPr>
        <w:rPr>
          <w:lang w:val="en-US"/>
        </w:rPr>
      </w:pPr>
    </w:p>
    <w:p w14:paraId="2DCF9F85" w14:textId="77777777" w:rsidR="00086A5E" w:rsidRDefault="0039742D" w:rsidP="003A04C9">
      <w:pPr>
        <w:rPr>
          <w:rFonts w:cstheme="minorHAnsi"/>
          <w:lang w:val="en-US"/>
        </w:rPr>
      </w:pPr>
      <w:r>
        <w:rPr>
          <w:lang w:val="en-US"/>
        </w:rPr>
        <w:t xml:space="preserve">In July 2020, we put forward a submission </w:t>
      </w:r>
      <w:r w:rsidR="007C3D69">
        <w:rPr>
          <w:lang w:val="en-US"/>
        </w:rPr>
        <w:t>to the i</w:t>
      </w:r>
      <w:r w:rsidR="001528FC">
        <w:rPr>
          <w:lang w:val="en-US"/>
        </w:rPr>
        <w:t xml:space="preserve">ndependent </w:t>
      </w:r>
      <w:r w:rsidR="007C3D69">
        <w:rPr>
          <w:lang w:val="en-US"/>
        </w:rPr>
        <w:t>i</w:t>
      </w:r>
      <w:r w:rsidR="001528FC">
        <w:rPr>
          <w:lang w:val="en-US"/>
        </w:rPr>
        <w:t xml:space="preserve">nquiry </w:t>
      </w:r>
      <w:r w:rsidR="003A04C9">
        <w:rPr>
          <w:lang w:val="en-US"/>
        </w:rPr>
        <w:t xml:space="preserve">in NSW </w:t>
      </w:r>
      <w:r w:rsidR="001528FC">
        <w:rPr>
          <w:lang w:val="en-US"/>
        </w:rPr>
        <w:t xml:space="preserve">headed by </w:t>
      </w:r>
      <w:r w:rsidR="00470085">
        <w:rPr>
          <w:lang w:val="en-US"/>
        </w:rPr>
        <w:t xml:space="preserve">Professor Emeritus Dr Geoffrey Gallop, </w:t>
      </w:r>
      <w:r w:rsidR="00F66FDB" w:rsidRPr="00470085">
        <w:rPr>
          <w:i/>
          <w:lang w:val="en-US"/>
        </w:rPr>
        <w:t>Valuing the Teaching Profession</w:t>
      </w:r>
      <w:r w:rsidR="00F66FDB">
        <w:rPr>
          <w:lang w:val="en-US"/>
        </w:rPr>
        <w:t xml:space="preserve">. </w:t>
      </w:r>
      <w:r w:rsidR="00470085">
        <w:rPr>
          <w:lang w:val="en-US"/>
        </w:rPr>
        <w:t xml:space="preserve"> In this submission w</w:t>
      </w:r>
      <w:r w:rsidR="00450F93">
        <w:rPr>
          <w:lang w:val="en-US"/>
        </w:rPr>
        <w:t xml:space="preserve">e proposed the development of a formula for the recurrent funding of schools based on </w:t>
      </w:r>
      <w:r w:rsidR="00E504DE">
        <w:rPr>
          <w:lang w:val="en-US"/>
        </w:rPr>
        <w:t>the principle</w:t>
      </w:r>
      <w:r w:rsidR="00450F93">
        <w:rPr>
          <w:lang w:val="en-US"/>
        </w:rPr>
        <w:t xml:space="preserve"> that the critical factor in students’ successful engagement with schooling is time spent with effective teachers. </w:t>
      </w:r>
      <w:r w:rsidR="000E6C4B">
        <w:rPr>
          <w:lang w:val="en-US"/>
        </w:rPr>
        <w:t xml:space="preserve"> This </w:t>
      </w:r>
      <w:r w:rsidR="00E504DE">
        <w:rPr>
          <w:lang w:val="en-US"/>
        </w:rPr>
        <w:t xml:space="preserve">formula </w:t>
      </w:r>
      <w:r w:rsidR="000E6C4B">
        <w:rPr>
          <w:lang w:val="en-US"/>
        </w:rPr>
        <w:t>would build on the current</w:t>
      </w:r>
      <w:r w:rsidR="00C33243">
        <w:rPr>
          <w:lang w:val="en-US"/>
        </w:rPr>
        <w:t xml:space="preserve"> concept of the Schools Resourcing Standard (SRS) and </w:t>
      </w:r>
      <w:r w:rsidR="00853C8E">
        <w:rPr>
          <w:lang w:val="en-US"/>
        </w:rPr>
        <w:t xml:space="preserve">on </w:t>
      </w:r>
      <w:r w:rsidR="00C33243">
        <w:rPr>
          <w:lang w:val="en-US"/>
        </w:rPr>
        <w:t xml:space="preserve">the kind of staffing formula generally used by state education authorities for public school systems.  </w:t>
      </w:r>
      <w:r w:rsidR="00853C8E">
        <w:rPr>
          <w:lang w:val="en-US"/>
        </w:rPr>
        <w:t>W</w:t>
      </w:r>
      <w:r w:rsidR="00C33243">
        <w:rPr>
          <w:lang w:val="en-US"/>
        </w:rPr>
        <w:t xml:space="preserve">e proposed </w:t>
      </w:r>
      <w:r w:rsidR="00853C8E">
        <w:rPr>
          <w:lang w:val="en-US"/>
        </w:rPr>
        <w:t xml:space="preserve">the introduction of </w:t>
      </w:r>
      <w:r w:rsidR="00C33243" w:rsidRPr="00C33243">
        <w:rPr>
          <w:lang w:val="en-US"/>
        </w:rPr>
        <w:t xml:space="preserve">a </w:t>
      </w:r>
      <w:r w:rsidR="00C33243" w:rsidRPr="00C33243">
        <w:rPr>
          <w:rFonts w:cstheme="minorHAnsi"/>
          <w:lang w:val="en-US"/>
        </w:rPr>
        <w:t>Schools Teaching Staff Entitlement Standard</w:t>
      </w:r>
      <w:r w:rsidR="00C33243">
        <w:rPr>
          <w:rFonts w:cstheme="minorHAnsi"/>
          <w:b/>
          <w:lang w:val="en-US"/>
        </w:rPr>
        <w:t xml:space="preserve"> </w:t>
      </w:r>
      <w:r w:rsidR="00C33243" w:rsidRPr="00C33243">
        <w:rPr>
          <w:rFonts w:cstheme="minorHAnsi"/>
          <w:lang w:val="en-US"/>
        </w:rPr>
        <w:t>(STSES)</w:t>
      </w:r>
      <w:r w:rsidR="00A420D7">
        <w:rPr>
          <w:rFonts w:cstheme="minorHAnsi"/>
          <w:lang w:val="en-US"/>
        </w:rPr>
        <w:t xml:space="preserve">.  This </w:t>
      </w:r>
      <w:r w:rsidR="00C9324A">
        <w:rPr>
          <w:rFonts w:cstheme="minorHAnsi"/>
          <w:lang w:val="en-US"/>
        </w:rPr>
        <w:t xml:space="preserve">would consist in </w:t>
      </w:r>
      <w:r w:rsidR="003A04C9" w:rsidRPr="00A11D25">
        <w:rPr>
          <w:rFonts w:cstheme="minorHAnsi"/>
          <w:u w:val="single"/>
          <w:lang w:val="en-US"/>
        </w:rPr>
        <w:t xml:space="preserve">a </w:t>
      </w:r>
      <w:r w:rsidR="003A04C9" w:rsidRPr="003A04C9">
        <w:rPr>
          <w:rFonts w:cstheme="minorHAnsi"/>
          <w:lang w:val="en-US"/>
        </w:rPr>
        <w:t>school</w:t>
      </w:r>
      <w:r w:rsidR="00C96AB4">
        <w:rPr>
          <w:rFonts w:cstheme="minorHAnsi"/>
          <w:lang w:val="en-US"/>
        </w:rPr>
        <w:t>’s t</w:t>
      </w:r>
      <w:r w:rsidR="003A04C9" w:rsidRPr="003A04C9">
        <w:rPr>
          <w:rFonts w:cstheme="minorHAnsi"/>
          <w:lang w:val="en-US"/>
        </w:rPr>
        <w:t>eacher staffing entitlement</w:t>
      </w:r>
      <w:r w:rsidR="003A04C9" w:rsidRPr="00A11D25">
        <w:rPr>
          <w:rFonts w:cstheme="minorHAnsi"/>
          <w:lang w:val="en-US"/>
        </w:rPr>
        <w:t xml:space="preserve"> </w:t>
      </w:r>
      <w:r w:rsidR="003A04C9" w:rsidRPr="003A04C9">
        <w:rPr>
          <w:rFonts w:cstheme="minorHAnsi"/>
          <w:lang w:val="en-US"/>
        </w:rPr>
        <w:t>complemented by the related resources needed to support teachers in their work</w:t>
      </w:r>
      <w:r w:rsidR="003A04C9" w:rsidRPr="00A11D25">
        <w:rPr>
          <w:rFonts w:cstheme="minorHAnsi"/>
          <w:lang w:val="en-US"/>
        </w:rPr>
        <w:t>.</w:t>
      </w:r>
      <w:r w:rsidR="003A04C9">
        <w:rPr>
          <w:rFonts w:cstheme="minorHAnsi"/>
          <w:lang w:val="en-US"/>
        </w:rPr>
        <w:t xml:space="preserve">  </w:t>
      </w:r>
      <w:r w:rsidR="003A04C9" w:rsidRPr="00A11D25">
        <w:rPr>
          <w:rFonts w:cstheme="minorHAnsi"/>
          <w:lang w:val="en-US"/>
        </w:rPr>
        <w:t xml:space="preserve">The objective would be to </w:t>
      </w:r>
      <w:r w:rsidR="00086A5E">
        <w:rPr>
          <w:rFonts w:cstheme="minorHAnsi"/>
          <w:lang w:val="en-US"/>
        </w:rPr>
        <w:t xml:space="preserve">ensure that all schools have the resources needed to provide the </w:t>
      </w:r>
      <w:r w:rsidR="00086A5E" w:rsidRPr="00A11D25">
        <w:rPr>
          <w:rFonts w:cstheme="minorHAnsi"/>
          <w:lang w:val="en-US"/>
        </w:rPr>
        <w:t xml:space="preserve">conditions that are most </w:t>
      </w:r>
      <w:proofErr w:type="spellStart"/>
      <w:r w:rsidR="00086A5E" w:rsidRPr="00A11D25">
        <w:rPr>
          <w:rFonts w:cstheme="minorHAnsi"/>
          <w:lang w:val="en-US"/>
        </w:rPr>
        <w:t>favourable</w:t>
      </w:r>
      <w:proofErr w:type="spellEnd"/>
      <w:r w:rsidR="00086A5E" w:rsidRPr="00A11D25">
        <w:rPr>
          <w:rFonts w:cstheme="minorHAnsi"/>
          <w:lang w:val="en-US"/>
        </w:rPr>
        <w:t xml:space="preserve"> to high quality teaching</w:t>
      </w:r>
      <w:r w:rsidR="00086A5E">
        <w:rPr>
          <w:rFonts w:cstheme="minorHAnsi"/>
          <w:lang w:val="en-US"/>
        </w:rPr>
        <w:t>, taking account of the differing student communities schools serve and the range of circumstances in which they operate</w:t>
      </w:r>
      <w:r w:rsidR="00086A5E" w:rsidRPr="00A11D25">
        <w:rPr>
          <w:rFonts w:cstheme="minorHAnsi"/>
          <w:lang w:val="en-US"/>
        </w:rPr>
        <w:t xml:space="preserve">. </w:t>
      </w:r>
      <w:r w:rsidR="00086A5E">
        <w:rPr>
          <w:rFonts w:cstheme="minorHAnsi"/>
          <w:lang w:val="en-US"/>
        </w:rPr>
        <w:t xml:space="preserve">This funding mechanism we proposed </w:t>
      </w:r>
      <w:r w:rsidR="003A04C9" w:rsidRPr="00A11D25">
        <w:rPr>
          <w:rFonts w:cstheme="minorHAnsi"/>
          <w:lang w:val="en-US"/>
        </w:rPr>
        <w:t xml:space="preserve">could be described as a more comprehensive, </w:t>
      </w:r>
      <w:proofErr w:type="gramStart"/>
      <w:r w:rsidR="003A04C9" w:rsidRPr="00A11D25">
        <w:rPr>
          <w:rFonts w:cstheme="minorHAnsi"/>
          <w:lang w:val="en-US"/>
        </w:rPr>
        <w:t>complex</w:t>
      </w:r>
      <w:proofErr w:type="gramEnd"/>
      <w:r w:rsidR="003A04C9" w:rsidRPr="00A11D25">
        <w:rPr>
          <w:rFonts w:cstheme="minorHAnsi"/>
          <w:lang w:val="en-US"/>
        </w:rPr>
        <w:t xml:space="preserve"> and sophisticated form of</w:t>
      </w:r>
      <w:r w:rsidR="001D0D97">
        <w:rPr>
          <w:rFonts w:cstheme="minorHAnsi"/>
          <w:lang w:val="en-US"/>
        </w:rPr>
        <w:t xml:space="preserve"> </w:t>
      </w:r>
      <w:r w:rsidR="003A04C9" w:rsidRPr="00A11D25">
        <w:rPr>
          <w:rFonts w:cstheme="minorHAnsi"/>
          <w:lang w:val="en-US"/>
        </w:rPr>
        <w:t xml:space="preserve">staffing formula, with the addition of the range of resources required to support </w:t>
      </w:r>
      <w:r w:rsidR="00086A5E">
        <w:rPr>
          <w:rFonts w:cstheme="minorHAnsi"/>
          <w:lang w:val="en-US"/>
        </w:rPr>
        <w:t xml:space="preserve">the work of teachers.  </w:t>
      </w:r>
    </w:p>
    <w:p w14:paraId="11278CF5" w14:textId="77777777" w:rsidR="00086A5E" w:rsidRDefault="00086A5E" w:rsidP="003A04C9">
      <w:pPr>
        <w:rPr>
          <w:rFonts w:cstheme="minorHAnsi"/>
          <w:lang w:val="en-US"/>
        </w:rPr>
      </w:pPr>
    </w:p>
    <w:p w14:paraId="35574C1A" w14:textId="77777777" w:rsidR="00BB6DFE" w:rsidRDefault="003A04C9" w:rsidP="003A04C9">
      <w:pPr>
        <w:rPr>
          <w:rFonts w:cstheme="minorHAnsi"/>
          <w:lang w:val="en-US"/>
        </w:rPr>
      </w:pPr>
      <w:r>
        <w:rPr>
          <w:rFonts w:cstheme="minorHAnsi"/>
          <w:lang w:val="en-US"/>
        </w:rPr>
        <w:t xml:space="preserve">Our submission to the Gallop Inquiry had a focus on the public school system in NSW.  </w:t>
      </w:r>
      <w:r w:rsidR="0095115F">
        <w:rPr>
          <w:rFonts w:cstheme="minorHAnsi"/>
          <w:lang w:val="en-US"/>
        </w:rPr>
        <w:t xml:space="preserve">We have included </w:t>
      </w:r>
      <w:r w:rsidR="00016A22">
        <w:rPr>
          <w:rFonts w:cstheme="minorHAnsi"/>
          <w:lang w:val="en-US"/>
        </w:rPr>
        <w:t>it</w:t>
      </w:r>
      <w:r w:rsidR="0095115F">
        <w:rPr>
          <w:rFonts w:cstheme="minorHAnsi"/>
          <w:lang w:val="en-US"/>
        </w:rPr>
        <w:t xml:space="preserve"> as an attachment to our submission to the Productivity Commission on the grounds that the </w:t>
      </w:r>
      <w:r>
        <w:rPr>
          <w:rFonts w:cstheme="minorHAnsi"/>
          <w:lang w:val="en-US"/>
        </w:rPr>
        <w:t xml:space="preserve">principles it puts forward are, in our view, relevant </w:t>
      </w:r>
      <w:r w:rsidR="0095115F">
        <w:rPr>
          <w:rFonts w:cstheme="minorHAnsi"/>
          <w:lang w:val="en-US"/>
        </w:rPr>
        <w:t xml:space="preserve">both </w:t>
      </w:r>
      <w:r>
        <w:rPr>
          <w:rFonts w:cstheme="minorHAnsi"/>
          <w:lang w:val="en-US"/>
        </w:rPr>
        <w:t xml:space="preserve">to this review into the </w:t>
      </w:r>
      <w:r w:rsidR="00563D31">
        <w:rPr>
          <w:rFonts w:cstheme="minorHAnsi"/>
          <w:lang w:val="en-US"/>
        </w:rPr>
        <w:t>NSRA and to the Productivity Commission’s concurrent inquiry</w:t>
      </w:r>
      <w:r w:rsidR="0095115F">
        <w:rPr>
          <w:rFonts w:cstheme="minorHAnsi"/>
          <w:lang w:val="en-US"/>
        </w:rPr>
        <w:t xml:space="preserve"> into </w:t>
      </w:r>
      <w:r w:rsidR="00563D31">
        <w:rPr>
          <w:rFonts w:cstheme="minorHAnsi"/>
          <w:lang w:val="en-US"/>
        </w:rPr>
        <w:t>Australia’s productivity performance more broadly</w:t>
      </w:r>
      <w:r w:rsidR="00CB6C69">
        <w:rPr>
          <w:rFonts w:cstheme="minorHAnsi"/>
          <w:lang w:val="en-US"/>
        </w:rPr>
        <w:t>, given the critical contribution of schools to the formation of human capital in Australia</w:t>
      </w:r>
      <w:r w:rsidR="00563D31">
        <w:rPr>
          <w:rFonts w:cstheme="minorHAnsi"/>
          <w:lang w:val="en-US"/>
        </w:rPr>
        <w:t>.</w:t>
      </w:r>
      <w:r>
        <w:rPr>
          <w:rFonts w:cstheme="minorHAnsi"/>
          <w:lang w:val="en-US"/>
        </w:rPr>
        <w:t xml:space="preserve"> </w:t>
      </w:r>
      <w:r w:rsidR="007067A5">
        <w:rPr>
          <w:rFonts w:cstheme="minorHAnsi"/>
          <w:lang w:val="en-US"/>
        </w:rPr>
        <w:t xml:space="preserve"> </w:t>
      </w:r>
    </w:p>
    <w:p w14:paraId="710F44A7" w14:textId="77777777" w:rsidR="00BB6DFE" w:rsidRDefault="00BB6DFE" w:rsidP="003A04C9">
      <w:pPr>
        <w:rPr>
          <w:rFonts w:cstheme="minorHAnsi"/>
          <w:lang w:val="en-US"/>
        </w:rPr>
      </w:pPr>
    </w:p>
    <w:p w14:paraId="71C9B83F" w14:textId="77777777" w:rsidR="003A04C9" w:rsidRPr="00BB6DFE" w:rsidRDefault="007067A5" w:rsidP="003A04C9">
      <w:pPr>
        <w:rPr>
          <w:b/>
          <w:lang w:val="en-US"/>
        </w:rPr>
      </w:pPr>
      <w:r w:rsidRPr="00BB6DFE">
        <w:rPr>
          <w:rFonts w:cstheme="minorHAnsi"/>
          <w:b/>
          <w:i/>
          <w:lang w:val="en-US"/>
        </w:rPr>
        <w:t xml:space="preserve">The adoption of a Schools Teaching Staff Entitlement Standard (STSES) would provide a rational basis for both levels of government to share responsibility </w:t>
      </w:r>
      <w:r w:rsidRPr="00BB6DFE">
        <w:rPr>
          <w:b/>
          <w:i/>
          <w:lang w:val="en-US"/>
        </w:rPr>
        <w:t xml:space="preserve">for the planning and funding of the teaching force as a vital national asset; as well as for the reform of national schools funding policy to overcome current </w:t>
      </w:r>
      <w:r w:rsidR="0095115F" w:rsidRPr="00BB6DFE">
        <w:rPr>
          <w:b/>
          <w:i/>
          <w:lang w:val="en-US"/>
        </w:rPr>
        <w:t xml:space="preserve">and well-documented </w:t>
      </w:r>
      <w:r w:rsidRPr="00BB6DFE">
        <w:rPr>
          <w:b/>
          <w:i/>
          <w:lang w:val="en-US"/>
        </w:rPr>
        <w:t xml:space="preserve">diseconomies and inequities.  </w:t>
      </w:r>
    </w:p>
    <w:p w14:paraId="62AE3335" w14:textId="77777777" w:rsidR="0095115F" w:rsidRDefault="0095115F" w:rsidP="003A04C9">
      <w:pPr>
        <w:rPr>
          <w:lang w:val="en-US"/>
        </w:rPr>
      </w:pPr>
    </w:p>
    <w:p w14:paraId="4FEF6EDD" w14:textId="77777777" w:rsidR="0095115F" w:rsidRDefault="0095115F" w:rsidP="003A04C9">
      <w:pPr>
        <w:rPr>
          <w:rFonts w:cstheme="minorHAnsi"/>
          <w:lang w:val="en-US"/>
        </w:rPr>
      </w:pPr>
      <w:r>
        <w:rPr>
          <w:rFonts w:cstheme="minorHAnsi"/>
          <w:lang w:val="en-US"/>
        </w:rPr>
        <w:t xml:space="preserve">In conclusion, we propose that there is </w:t>
      </w:r>
      <w:r w:rsidR="00D941F7">
        <w:rPr>
          <w:rFonts w:cstheme="minorHAnsi"/>
          <w:lang w:val="en-US"/>
        </w:rPr>
        <w:t xml:space="preserve">also </w:t>
      </w:r>
      <w:r w:rsidR="00086A5E">
        <w:rPr>
          <w:rFonts w:cstheme="minorHAnsi"/>
          <w:lang w:val="en-US"/>
        </w:rPr>
        <w:t>a need for a deeper</w:t>
      </w:r>
      <w:r>
        <w:rPr>
          <w:rFonts w:cstheme="minorHAnsi"/>
          <w:lang w:val="en-US"/>
        </w:rPr>
        <w:t xml:space="preserve"> structural relationship between teacher education in universities and schools throughout all stages of a teacher’s career, from pre-service onwards to ensure that teachers remain abreast of the implications of research for their own practice.</w:t>
      </w:r>
      <w:r w:rsidR="00086A5E">
        <w:rPr>
          <w:rFonts w:cstheme="minorHAnsi"/>
          <w:lang w:val="en-US"/>
        </w:rPr>
        <w:t xml:space="preserve"> </w:t>
      </w:r>
    </w:p>
    <w:sectPr w:rsidR="00951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A2"/>
    <w:rsid w:val="00001380"/>
    <w:rsid w:val="00016A22"/>
    <w:rsid w:val="00045C89"/>
    <w:rsid w:val="00052DDE"/>
    <w:rsid w:val="00086A5E"/>
    <w:rsid w:val="000941A3"/>
    <w:rsid w:val="000B556B"/>
    <w:rsid w:val="000E6C4B"/>
    <w:rsid w:val="001528FC"/>
    <w:rsid w:val="00177EA0"/>
    <w:rsid w:val="001D0D97"/>
    <w:rsid w:val="001E247E"/>
    <w:rsid w:val="002058C9"/>
    <w:rsid w:val="002152D3"/>
    <w:rsid w:val="002677E5"/>
    <w:rsid w:val="00286FD8"/>
    <w:rsid w:val="00290936"/>
    <w:rsid w:val="00297BBD"/>
    <w:rsid w:val="002F53F4"/>
    <w:rsid w:val="00312B1B"/>
    <w:rsid w:val="003901A7"/>
    <w:rsid w:val="0039742D"/>
    <w:rsid w:val="003A04C9"/>
    <w:rsid w:val="003F0212"/>
    <w:rsid w:val="00412235"/>
    <w:rsid w:val="00437CE5"/>
    <w:rsid w:val="00450F93"/>
    <w:rsid w:val="00453F0C"/>
    <w:rsid w:val="00470085"/>
    <w:rsid w:val="004860CD"/>
    <w:rsid w:val="004A2A24"/>
    <w:rsid w:val="004A3852"/>
    <w:rsid w:val="00563D31"/>
    <w:rsid w:val="0059679F"/>
    <w:rsid w:val="00623CA2"/>
    <w:rsid w:val="006A65FD"/>
    <w:rsid w:val="006C481B"/>
    <w:rsid w:val="007067A5"/>
    <w:rsid w:val="00716507"/>
    <w:rsid w:val="00726834"/>
    <w:rsid w:val="007414C1"/>
    <w:rsid w:val="00772E15"/>
    <w:rsid w:val="007C3D69"/>
    <w:rsid w:val="007F2703"/>
    <w:rsid w:val="007F52B8"/>
    <w:rsid w:val="007F590F"/>
    <w:rsid w:val="00853C8E"/>
    <w:rsid w:val="008608B9"/>
    <w:rsid w:val="00890A40"/>
    <w:rsid w:val="008E1B95"/>
    <w:rsid w:val="008E4F06"/>
    <w:rsid w:val="00904E3B"/>
    <w:rsid w:val="009073FB"/>
    <w:rsid w:val="00932FA9"/>
    <w:rsid w:val="009366FC"/>
    <w:rsid w:val="00947AB2"/>
    <w:rsid w:val="0095115F"/>
    <w:rsid w:val="009B2ECC"/>
    <w:rsid w:val="009C411F"/>
    <w:rsid w:val="009D7188"/>
    <w:rsid w:val="009F7A87"/>
    <w:rsid w:val="00A10BA2"/>
    <w:rsid w:val="00A11857"/>
    <w:rsid w:val="00A20EF3"/>
    <w:rsid w:val="00A420D7"/>
    <w:rsid w:val="00A76278"/>
    <w:rsid w:val="00A77FC1"/>
    <w:rsid w:val="00AE1987"/>
    <w:rsid w:val="00BB6DFE"/>
    <w:rsid w:val="00BC3D9D"/>
    <w:rsid w:val="00C33243"/>
    <w:rsid w:val="00C91367"/>
    <w:rsid w:val="00C9324A"/>
    <w:rsid w:val="00C96AB4"/>
    <w:rsid w:val="00CB6C69"/>
    <w:rsid w:val="00CF7182"/>
    <w:rsid w:val="00D16D9D"/>
    <w:rsid w:val="00D3712E"/>
    <w:rsid w:val="00D5660F"/>
    <w:rsid w:val="00D864F3"/>
    <w:rsid w:val="00D911CC"/>
    <w:rsid w:val="00D941F7"/>
    <w:rsid w:val="00D94A22"/>
    <w:rsid w:val="00DB08D6"/>
    <w:rsid w:val="00E047F7"/>
    <w:rsid w:val="00E10ABC"/>
    <w:rsid w:val="00E3197F"/>
    <w:rsid w:val="00E504DE"/>
    <w:rsid w:val="00E572A0"/>
    <w:rsid w:val="00E65804"/>
    <w:rsid w:val="00E93FCE"/>
    <w:rsid w:val="00EA0244"/>
    <w:rsid w:val="00EE2F59"/>
    <w:rsid w:val="00EE6BA1"/>
    <w:rsid w:val="00EF11C0"/>
    <w:rsid w:val="00F057ED"/>
    <w:rsid w:val="00F45B17"/>
    <w:rsid w:val="00F66FDB"/>
    <w:rsid w:val="00F67C27"/>
    <w:rsid w:val="00F73B55"/>
    <w:rsid w:val="00F85585"/>
    <w:rsid w:val="00FB01FB"/>
    <w:rsid w:val="00FE2D59"/>
    <w:rsid w:val="00FF5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8FBB"/>
  <w15:chartTrackingRefBased/>
  <w15:docId w15:val="{123E1D96-17EB-4594-85FE-3A150C98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278"/>
    <w:rPr>
      <w:rFonts w:ascii="Segoe UI" w:hAnsi="Segoe UI" w:cs="Segoe UI"/>
      <w:sz w:val="18"/>
      <w:szCs w:val="18"/>
    </w:rPr>
  </w:style>
  <w:style w:type="character" w:styleId="Hyperlink">
    <w:name w:val="Hyperlink"/>
    <w:basedOn w:val="DefaultParagraphFont"/>
    <w:uiPriority w:val="99"/>
    <w:unhideWhenUsed/>
    <w:rsid w:val="006A65FD"/>
    <w:rPr>
      <w:color w:val="0563C1" w:themeColor="hyperlink"/>
      <w:u w:val="single"/>
    </w:rPr>
  </w:style>
  <w:style w:type="paragraph" w:styleId="PlainText">
    <w:name w:val="Plain Text"/>
    <w:basedOn w:val="Normal"/>
    <w:link w:val="PlainTextChar"/>
    <w:uiPriority w:val="99"/>
    <w:unhideWhenUsed/>
    <w:rsid w:val="00EF11C0"/>
    <w:rPr>
      <w:rFonts w:ascii="Calibri" w:hAnsi="Calibri"/>
      <w:szCs w:val="21"/>
    </w:rPr>
  </w:style>
  <w:style w:type="character" w:customStyle="1" w:styleId="PlainTextChar">
    <w:name w:val="Plain Text Char"/>
    <w:basedOn w:val="DefaultParagraphFont"/>
    <w:link w:val="PlainText"/>
    <w:uiPriority w:val="99"/>
    <w:rsid w:val="00EF11C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2747">
      <w:bodyDiv w:val="1"/>
      <w:marLeft w:val="0"/>
      <w:marRight w:val="0"/>
      <w:marTop w:val="0"/>
      <w:marBottom w:val="0"/>
      <w:divBdr>
        <w:top w:val="none" w:sz="0" w:space="0" w:color="auto"/>
        <w:left w:val="none" w:sz="0" w:space="0" w:color="auto"/>
        <w:bottom w:val="none" w:sz="0" w:space="0" w:color="auto"/>
        <w:right w:val="none" w:sz="0" w:space="0" w:color="auto"/>
      </w:divBdr>
    </w:div>
    <w:div w:id="397901240">
      <w:bodyDiv w:val="1"/>
      <w:marLeft w:val="0"/>
      <w:marRight w:val="0"/>
      <w:marTop w:val="0"/>
      <w:marBottom w:val="0"/>
      <w:divBdr>
        <w:top w:val="none" w:sz="0" w:space="0" w:color="auto"/>
        <w:left w:val="none" w:sz="0" w:space="0" w:color="auto"/>
        <w:bottom w:val="none" w:sz="0" w:space="0" w:color="auto"/>
        <w:right w:val="none" w:sz="0" w:space="0" w:color="auto"/>
      </w:divBdr>
    </w:div>
    <w:div w:id="430662101">
      <w:bodyDiv w:val="1"/>
      <w:marLeft w:val="0"/>
      <w:marRight w:val="0"/>
      <w:marTop w:val="0"/>
      <w:marBottom w:val="0"/>
      <w:divBdr>
        <w:top w:val="none" w:sz="0" w:space="0" w:color="auto"/>
        <w:left w:val="none" w:sz="0" w:space="0" w:color="auto"/>
        <w:bottom w:val="none" w:sz="0" w:space="0" w:color="auto"/>
        <w:right w:val="none" w:sz="0" w:space="0" w:color="auto"/>
      </w:divBdr>
    </w:div>
    <w:div w:id="7926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esearch.acer.edu.au/aer/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19b086e4617933b6cffc37c6a58e955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a571bc7369ef5a925904b674c810deb5"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DD755-609A-48A7-AC68-3141CC5FDBCB}">
  <ds:schemaRefs>
    <ds:schemaRef ds:uri="http://schemas.microsoft.com/office/2006/metadata/properties"/>
    <ds:schemaRef ds:uri="http://schemas.openxmlformats.org/package/2006/metadata/core-properties"/>
    <ds:schemaRef ds:uri="http://purl.org/dc/terms/"/>
    <ds:schemaRef ds:uri="52167780-d458-4e20-a521-cd369a511d6e"/>
    <ds:schemaRef ds:uri="http://schemas.microsoft.com/office/2006/documentManagement/types"/>
    <ds:schemaRef ds:uri="http://purl.org/dc/dcmitype/"/>
    <ds:schemaRef ds:uri="http://www.w3.org/XML/1998/namespace"/>
    <ds:schemaRef ds:uri="8863fef4-a928-4b42-80f7-22702e616c5c"/>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D4FEB3BF-9895-459A-8983-0589AB811941}">
  <ds:schemaRefs>
    <ds:schemaRef ds:uri="http://schemas.microsoft.com/sharepoint/v3/contenttype/forms"/>
  </ds:schemaRefs>
</ds:datastoreItem>
</file>

<file path=customXml/itemProps3.xml><?xml version="1.0" encoding="utf-8"?>
<ds:datastoreItem xmlns:ds="http://schemas.openxmlformats.org/officeDocument/2006/customXml" ds:itemID="{D5E85CF2-375F-420F-9FF6-D19096C1E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Submission 3 - Lyndsay Connors AO and Dr Jim McMorrow - National School Reform Agreement - Commissioned study</vt:lpstr>
    </vt:vector>
  </TitlesOfParts>
  <Company>Lyndsay Connors AO and Dr Jim McMorrow</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Lyndsay Connors AO and Dr Jim McMorrow - National School Reform Agreement - Commissioned study</dc:title>
  <dc:subject/>
  <dc:creator>Lyndsay Connors AO and Dr Jim McMorrow</dc:creator>
  <cp:keywords/>
  <dc:description/>
  <cp:lastModifiedBy>Alston, Chris</cp:lastModifiedBy>
  <cp:revision>3</cp:revision>
  <cp:lastPrinted>2022-06-13T08:46:00Z</cp:lastPrinted>
  <dcterms:created xsi:type="dcterms:W3CDTF">2022-06-20T01:10:00Z</dcterms:created>
  <dcterms:modified xsi:type="dcterms:W3CDTF">2022-06-20T04:27:00Z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