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3DE53" w14:textId="601547B1" w:rsidR="002210ED" w:rsidRDefault="00C873EE" w:rsidP="00E83425">
      <w:pPr>
        <w:pStyle w:val="Title"/>
        <w:spacing w:after="360" w:line="800" w:lineRule="exact"/>
        <w:ind w:right="1514"/>
      </w:pPr>
      <w:r>
        <w:t xml:space="preserve"> </w:t>
      </w:r>
    </w:p>
    <w:p w14:paraId="46E4C5F5" w14:textId="77777777" w:rsidR="002210ED" w:rsidRDefault="002210ED" w:rsidP="00E83425">
      <w:pPr>
        <w:pStyle w:val="Title"/>
        <w:spacing w:after="360" w:line="800" w:lineRule="exact"/>
        <w:ind w:right="1514"/>
      </w:pPr>
    </w:p>
    <w:p w14:paraId="3F03FD40" w14:textId="77777777" w:rsidR="00014213" w:rsidRDefault="00014213" w:rsidP="00E83425">
      <w:pPr>
        <w:pStyle w:val="Title"/>
        <w:spacing w:after="360" w:line="800" w:lineRule="exact"/>
        <w:ind w:right="1514"/>
        <w:rPr>
          <w:b/>
          <w:bCs/>
        </w:rPr>
      </w:pPr>
    </w:p>
    <w:p w14:paraId="752FFE4D" w14:textId="77777777" w:rsidR="00014213" w:rsidRDefault="00014213" w:rsidP="00E83425">
      <w:pPr>
        <w:pStyle w:val="Title"/>
        <w:spacing w:after="360" w:line="800" w:lineRule="exact"/>
        <w:ind w:right="1514"/>
        <w:rPr>
          <w:b/>
          <w:bCs/>
        </w:rPr>
      </w:pPr>
    </w:p>
    <w:p w14:paraId="09E4E927" w14:textId="77777777" w:rsidR="00014213" w:rsidRDefault="00014213" w:rsidP="00E83425">
      <w:pPr>
        <w:pStyle w:val="Title"/>
        <w:spacing w:after="360" w:line="800" w:lineRule="exact"/>
        <w:ind w:right="1514"/>
        <w:rPr>
          <w:b/>
          <w:bCs/>
        </w:rPr>
      </w:pPr>
    </w:p>
    <w:p w14:paraId="6F6EFA05" w14:textId="7F40F148" w:rsidR="008653AE" w:rsidRPr="008653AE" w:rsidRDefault="00DE3BF9" w:rsidP="00E83425">
      <w:pPr>
        <w:pStyle w:val="Title"/>
        <w:spacing w:after="360" w:line="800" w:lineRule="exact"/>
        <w:ind w:right="1514"/>
        <w:rPr>
          <w:b/>
          <w:bCs/>
          <w:sz w:val="56"/>
          <w:szCs w:val="56"/>
        </w:rPr>
      </w:pPr>
      <w:r w:rsidRPr="008653AE">
        <w:rPr>
          <w:b/>
          <w:bCs/>
          <w:sz w:val="56"/>
          <w:szCs w:val="56"/>
        </w:rPr>
        <w:t>Productivity</w:t>
      </w:r>
      <w:r w:rsidR="008653AE" w:rsidRPr="008653AE">
        <w:rPr>
          <w:b/>
          <w:bCs/>
          <w:sz w:val="56"/>
          <w:szCs w:val="56"/>
        </w:rPr>
        <w:t xml:space="preserve"> </w:t>
      </w:r>
      <w:r w:rsidRPr="008653AE">
        <w:rPr>
          <w:b/>
          <w:bCs/>
          <w:sz w:val="56"/>
          <w:szCs w:val="56"/>
        </w:rPr>
        <w:t xml:space="preserve">Commission </w:t>
      </w:r>
    </w:p>
    <w:p w14:paraId="518B1D7F" w14:textId="4A4CF59C" w:rsidR="008D3313" w:rsidRPr="008653AE" w:rsidRDefault="00DE3BF9" w:rsidP="00E83425">
      <w:pPr>
        <w:pStyle w:val="Title"/>
        <w:spacing w:after="360" w:line="800" w:lineRule="exact"/>
        <w:ind w:right="1514"/>
        <w:rPr>
          <w:b/>
          <w:bCs/>
          <w:sz w:val="56"/>
          <w:szCs w:val="56"/>
        </w:rPr>
      </w:pPr>
      <w:r w:rsidRPr="008653AE">
        <w:rPr>
          <w:b/>
          <w:bCs/>
          <w:sz w:val="56"/>
          <w:szCs w:val="56"/>
        </w:rPr>
        <w:t>Carer Leave</w:t>
      </w:r>
      <w:r w:rsidR="0062225A" w:rsidRPr="008653AE">
        <w:rPr>
          <w:b/>
          <w:bCs/>
          <w:sz w:val="56"/>
          <w:szCs w:val="56"/>
        </w:rPr>
        <w:t xml:space="preserve"> Issues Paper</w:t>
      </w:r>
    </w:p>
    <w:p w14:paraId="60F774A4" w14:textId="2B6A6432" w:rsidR="00D6516A" w:rsidRPr="00014213" w:rsidRDefault="00D6516A" w:rsidP="00D6516A">
      <w:pPr>
        <w:tabs>
          <w:tab w:val="left" w:pos="7320"/>
        </w:tabs>
        <w:rPr>
          <w:color w:val="FFFFFF" w:themeColor="background1"/>
        </w:rPr>
      </w:pPr>
    </w:p>
    <w:p w14:paraId="104299D0" w14:textId="2B5B476D" w:rsidR="0048540E" w:rsidRPr="00014213" w:rsidRDefault="00B66BD2" w:rsidP="002210ED">
      <w:pPr>
        <w:tabs>
          <w:tab w:val="left" w:pos="7320"/>
        </w:tabs>
        <w:rPr>
          <w:color w:val="FFFFFF" w:themeColor="background1"/>
        </w:rPr>
      </w:pPr>
      <w:r>
        <w:rPr>
          <w:color w:val="FFFFFF" w:themeColor="background1"/>
        </w:rPr>
        <w:t xml:space="preserve">24 </w:t>
      </w:r>
      <w:r w:rsidR="0062225A">
        <w:rPr>
          <w:color w:val="FFFFFF" w:themeColor="background1"/>
        </w:rPr>
        <w:t>August 2022</w:t>
      </w:r>
    </w:p>
    <w:p w14:paraId="6613790E" w14:textId="4EE737B4" w:rsidR="002210ED" w:rsidRDefault="002210ED" w:rsidP="002210ED">
      <w:pPr>
        <w:tabs>
          <w:tab w:val="left" w:pos="7320"/>
        </w:tabs>
      </w:pPr>
      <w:r>
        <w:tab/>
      </w:r>
    </w:p>
    <w:p w14:paraId="14180CA5" w14:textId="1CD5F554" w:rsidR="00F741BF" w:rsidRDefault="00F741BF" w:rsidP="002210ED">
      <w:pPr>
        <w:tabs>
          <w:tab w:val="left" w:pos="7320"/>
        </w:tabs>
        <w:rPr>
          <w:rFonts w:ascii="Segoe UI Semibold" w:eastAsia="Times New Roman" w:hAnsi="Segoe UI Semibold" w:cs="Times New Roman"/>
          <w:color w:val="DA732A"/>
          <w:sz w:val="52"/>
          <w:szCs w:val="52"/>
          <w:lang w:val="en-GB" w:bidi="ar-SA"/>
        </w:rPr>
      </w:pPr>
      <w:r w:rsidRPr="002210ED">
        <w:br w:type="page"/>
      </w:r>
    </w:p>
    <w:p w14:paraId="7AB96BD6" w14:textId="77777777" w:rsidR="00F6636D" w:rsidRPr="0048540E" w:rsidRDefault="00F6636D" w:rsidP="00D6516A">
      <w:pPr>
        <w:pStyle w:val="TOCHeading"/>
      </w:pPr>
      <w:r w:rsidRPr="0048540E">
        <w:lastRenderedPageBreak/>
        <w:t>About ACCPA</w:t>
      </w:r>
    </w:p>
    <w:p w14:paraId="366AF7C4" w14:textId="77777777" w:rsidR="00F6636D" w:rsidRDefault="00F6636D" w:rsidP="00F6636D">
      <w:r>
        <w:t>Aged and Community Care Providers Association (ACCPA) is the national Industry Association for aged care providers offering retirement living, seniors housing, residential care, home care, community care and related services.</w:t>
      </w:r>
    </w:p>
    <w:p w14:paraId="40AFD9F8" w14:textId="1E6C5F39" w:rsidR="00F6636D" w:rsidRDefault="00F6636D" w:rsidP="00F6636D">
      <w:r>
        <w:t xml:space="preserve">ACCPA exists to unite aged care providers under a shared vision to enhance the wellbeing of older Australians through a high performing, trusted and sustainable aged care sector. We support our members to provide high quality care and services while amplifying their views and opinions through an authoritative and comprehensive voice to the government, </w:t>
      </w:r>
      <w:r w:rsidR="00831299">
        <w:t>community,</w:t>
      </w:r>
      <w:r>
        <w:t xml:space="preserve"> and media.</w:t>
      </w:r>
    </w:p>
    <w:p w14:paraId="3549C8AD" w14:textId="77777777" w:rsidR="00F6636D" w:rsidRDefault="00F6636D" w:rsidP="00F6636D">
      <w:pPr>
        <w:rPr>
          <w:rFonts w:ascii="Segoe UI Semibold" w:eastAsia="Times New Roman" w:hAnsi="Segoe UI Semibold" w:cs="Times New Roman"/>
          <w:color w:val="DA732A"/>
          <w:sz w:val="52"/>
          <w:szCs w:val="52"/>
          <w:lang w:val="en-GB" w:bidi="ar-SA"/>
        </w:rPr>
      </w:pPr>
      <w:r>
        <w:t xml:space="preserve">Our sector serves to make better lives for older Australians, and so do we. </w:t>
      </w:r>
      <w:r>
        <w:br w:type="page"/>
      </w:r>
    </w:p>
    <w:p w14:paraId="182F8D64" w14:textId="3CB711D5" w:rsidR="000A74E3" w:rsidRPr="000A74E3" w:rsidRDefault="000A74E3" w:rsidP="000A74E3">
      <w:pPr>
        <w:pStyle w:val="Heading2"/>
        <w:spacing w:before="200"/>
      </w:pPr>
      <w:r>
        <w:lastRenderedPageBreak/>
        <w:t>Background</w:t>
      </w:r>
    </w:p>
    <w:p w14:paraId="734FFFBB" w14:textId="6E3021B5" w:rsidR="000A74E3" w:rsidRDefault="000A74E3" w:rsidP="000A74E3">
      <w:pPr>
        <w:rPr>
          <w:lang w:val="en-US"/>
        </w:rPr>
      </w:pPr>
      <w:r>
        <w:rPr>
          <w:lang w:val="en-US"/>
        </w:rPr>
        <w:t xml:space="preserve">The Productivity Commission (the Commission) has been tasked to look at carer leave matter in relation to Recommendation 43 of the Royal Commission into Aged Care Quality and Safety (the Royal Commission), with the </w:t>
      </w:r>
      <w:r w:rsidR="00B66BD2">
        <w:rPr>
          <w:lang w:val="en-US"/>
        </w:rPr>
        <w:t>Productivity Commission</w:t>
      </w:r>
      <w:r>
        <w:rPr>
          <w:lang w:val="en-US"/>
        </w:rPr>
        <w:t xml:space="preserve"> undertaking an inquiry to examine:</w:t>
      </w:r>
    </w:p>
    <w:p w14:paraId="5F1290EF" w14:textId="77777777" w:rsidR="000A74E3" w:rsidRDefault="000A74E3" w:rsidP="000A74E3">
      <w:pPr>
        <w:pStyle w:val="ListParagraph"/>
        <w:numPr>
          <w:ilvl w:val="0"/>
          <w:numId w:val="29"/>
        </w:numPr>
        <w:rPr>
          <w:lang w:val="en-US"/>
        </w:rPr>
      </w:pPr>
      <w:r>
        <w:rPr>
          <w:lang w:val="en-US"/>
        </w:rPr>
        <w:t>The potential impact of amending the National Employment Standards (NES) in Part 2-2 of the Fair Work Act 2009 (Cth) to provide for a minimum statutory entitlement to extend unpaid carer’s</w:t>
      </w:r>
      <w:r>
        <w:rPr>
          <w:rStyle w:val="FootnoteReference"/>
          <w:lang w:val="en-US"/>
        </w:rPr>
        <w:footnoteReference w:id="1"/>
      </w:r>
      <w:r>
        <w:rPr>
          <w:lang w:val="en-US"/>
        </w:rPr>
        <w:t xml:space="preserve"> leave for national system employees providing informal care to older people who are frail and living at home.</w:t>
      </w:r>
    </w:p>
    <w:p w14:paraId="664EFF28" w14:textId="77777777" w:rsidR="000A74E3" w:rsidRDefault="000A74E3" w:rsidP="000A74E3">
      <w:pPr>
        <w:pStyle w:val="ListParagraph"/>
        <w:numPr>
          <w:ilvl w:val="0"/>
          <w:numId w:val="29"/>
        </w:numPr>
        <w:rPr>
          <w:lang w:val="en-US"/>
        </w:rPr>
      </w:pPr>
      <w:r>
        <w:rPr>
          <w:lang w:val="en-US"/>
        </w:rPr>
        <w:t>The social and economic costs and benefits from any change to the NES, including the impact on residential aged care services, and broader net impact on the economy.</w:t>
      </w:r>
    </w:p>
    <w:p w14:paraId="7F9F95AB" w14:textId="77777777" w:rsidR="000A74E3" w:rsidRDefault="000A74E3" w:rsidP="000A74E3">
      <w:pPr>
        <w:rPr>
          <w:lang w:val="en-US"/>
        </w:rPr>
      </w:pPr>
      <w:r>
        <w:rPr>
          <w:lang w:val="en-US"/>
        </w:rPr>
        <w:t xml:space="preserve">The Royal Commission noted there is no minimum statutory entitlement for an employee to take extended unpaid leave for the purpose of caring for an older family member or close friend. </w:t>
      </w:r>
    </w:p>
    <w:p w14:paraId="283DAFCB" w14:textId="51A7EFA7" w:rsidR="000A74E3" w:rsidRDefault="000A74E3" w:rsidP="000A74E3">
      <w:pPr>
        <w:rPr>
          <w:lang w:val="en-US"/>
        </w:rPr>
      </w:pPr>
      <w:r>
        <w:rPr>
          <w:lang w:val="en-US"/>
        </w:rPr>
        <w:t xml:space="preserve">To this end the Commission has released an issues paper (the Paper) for comment, with responses due to the Commission by 24 August 2022. </w:t>
      </w:r>
    </w:p>
    <w:p w14:paraId="618DBD29" w14:textId="548DD459" w:rsidR="000A74E3" w:rsidRDefault="000A74E3" w:rsidP="000A74E3">
      <w:pPr>
        <w:rPr>
          <w:lang w:val="en-US"/>
        </w:rPr>
      </w:pPr>
      <w:r>
        <w:rPr>
          <w:lang w:val="en-US"/>
        </w:rPr>
        <w:t>The Commission is to examine the economic and social impacts of providing a statutory leave entitlement to unpaid carer</w:t>
      </w:r>
      <w:r w:rsidR="0074667F">
        <w:rPr>
          <w:lang w:val="en-US"/>
        </w:rPr>
        <w:t>s</w:t>
      </w:r>
      <w:r>
        <w:rPr>
          <w:lang w:val="en-US"/>
        </w:rPr>
        <w:t xml:space="preserve"> that provide informal care to older people who are frail and living at home, while offering employment protection on return to work, including considering the following:</w:t>
      </w:r>
    </w:p>
    <w:p w14:paraId="159EB380" w14:textId="77777777" w:rsidR="000A74E3" w:rsidRDefault="000A74E3" w:rsidP="000A74E3">
      <w:pPr>
        <w:pStyle w:val="ListParagraph"/>
        <w:numPr>
          <w:ilvl w:val="0"/>
          <w:numId w:val="30"/>
        </w:numPr>
        <w:rPr>
          <w:lang w:val="en-US"/>
        </w:rPr>
      </w:pPr>
      <w:r>
        <w:rPr>
          <w:lang w:val="en-US"/>
        </w:rPr>
        <w:t>The adequacy of current leave arrangements</w:t>
      </w:r>
    </w:p>
    <w:p w14:paraId="0458F4AB" w14:textId="77777777" w:rsidR="000A74E3" w:rsidRDefault="000A74E3" w:rsidP="000A74E3">
      <w:pPr>
        <w:pStyle w:val="ListParagraph"/>
        <w:numPr>
          <w:ilvl w:val="0"/>
          <w:numId w:val="30"/>
        </w:numPr>
        <w:rPr>
          <w:lang w:val="en-US"/>
        </w:rPr>
      </w:pPr>
      <w:r>
        <w:rPr>
          <w:lang w:val="en-US"/>
        </w:rPr>
        <w:t>Impacts on the labour market and employers from potential changes to the NES</w:t>
      </w:r>
    </w:p>
    <w:p w14:paraId="63AEFC51" w14:textId="77777777" w:rsidR="000A74E3" w:rsidRDefault="000A74E3" w:rsidP="000A74E3">
      <w:pPr>
        <w:pStyle w:val="ListParagraph"/>
        <w:numPr>
          <w:ilvl w:val="0"/>
          <w:numId w:val="30"/>
        </w:numPr>
        <w:rPr>
          <w:lang w:val="en-US"/>
        </w:rPr>
      </w:pPr>
      <w:r>
        <w:rPr>
          <w:lang w:val="en-US"/>
        </w:rPr>
        <w:t>Economic and social costs and benefits from any changes to the NES</w:t>
      </w:r>
    </w:p>
    <w:p w14:paraId="4B12921B" w14:textId="77777777" w:rsidR="000A74E3" w:rsidRDefault="000A74E3" w:rsidP="000A74E3">
      <w:pPr>
        <w:pStyle w:val="ListParagraph"/>
        <w:numPr>
          <w:ilvl w:val="0"/>
          <w:numId w:val="30"/>
        </w:numPr>
        <w:rPr>
          <w:lang w:val="en-US"/>
        </w:rPr>
      </w:pPr>
      <w:r>
        <w:rPr>
          <w:lang w:val="en-US"/>
        </w:rPr>
        <w:t>Alternate ways to support informal carers, and</w:t>
      </w:r>
    </w:p>
    <w:p w14:paraId="227BF81E" w14:textId="77777777" w:rsidR="000A74E3" w:rsidRPr="0022597A" w:rsidRDefault="000A74E3" w:rsidP="000A74E3">
      <w:pPr>
        <w:pStyle w:val="ListParagraph"/>
        <w:numPr>
          <w:ilvl w:val="0"/>
          <w:numId w:val="30"/>
        </w:numPr>
        <w:rPr>
          <w:lang w:val="en-US"/>
        </w:rPr>
      </w:pPr>
      <w:r>
        <w:rPr>
          <w:lang w:val="en-US"/>
        </w:rPr>
        <w:t>The application of paid leave or long-term unpaid carer’s leave for other types of care, such as for people with a disability, or having temporary or terminal illness.</w:t>
      </w:r>
    </w:p>
    <w:p w14:paraId="08EA565E" w14:textId="4AB46EA5" w:rsidR="000A74E3" w:rsidRDefault="008A7FB8" w:rsidP="000A74E3">
      <w:pPr>
        <w:rPr>
          <w:lang w:val="en-US"/>
        </w:rPr>
      </w:pPr>
      <w:r>
        <w:rPr>
          <w:lang w:val="en-US"/>
        </w:rPr>
        <w:t xml:space="preserve">ACCPA is pleased to respond to </w:t>
      </w:r>
      <w:r w:rsidR="00281538">
        <w:rPr>
          <w:lang w:val="en-US"/>
        </w:rPr>
        <w:t>the issues</w:t>
      </w:r>
      <w:r w:rsidR="002B0A3F">
        <w:rPr>
          <w:lang w:val="en-US"/>
        </w:rPr>
        <w:t xml:space="preserve"> paper</w:t>
      </w:r>
      <w:r w:rsidR="002A1CE4">
        <w:rPr>
          <w:lang w:val="en-US"/>
        </w:rPr>
        <w:t xml:space="preserve"> and provide our response below.</w:t>
      </w:r>
    </w:p>
    <w:p w14:paraId="246AFAF1" w14:textId="3729AE7E" w:rsidR="002A1CE4" w:rsidRDefault="002A1CE4">
      <w:pPr>
        <w:rPr>
          <w:lang w:val="en-US"/>
        </w:rPr>
      </w:pPr>
      <w:r>
        <w:rPr>
          <w:lang w:val="en-US"/>
        </w:rPr>
        <w:br w:type="page"/>
      </w:r>
    </w:p>
    <w:p w14:paraId="55A003B0" w14:textId="182E7AEF" w:rsidR="00510C92" w:rsidRDefault="00510C92" w:rsidP="00510C92">
      <w:pPr>
        <w:pStyle w:val="Heading2"/>
        <w:spacing w:before="200"/>
      </w:pPr>
      <w:r>
        <w:lastRenderedPageBreak/>
        <w:t>Response</w:t>
      </w:r>
    </w:p>
    <w:p w14:paraId="6D942A73" w14:textId="6FC0D60F" w:rsidR="000A74E3" w:rsidRPr="00D25B1A" w:rsidRDefault="00DD10F8" w:rsidP="00F9511A">
      <w:pPr>
        <w:pStyle w:val="Heading2"/>
        <w:spacing w:before="200"/>
        <w:rPr>
          <w:sz w:val="24"/>
          <w:szCs w:val="24"/>
        </w:rPr>
      </w:pPr>
      <w:r>
        <w:rPr>
          <w:sz w:val="24"/>
          <w:szCs w:val="24"/>
        </w:rPr>
        <w:t xml:space="preserve">Defining extended unpaid </w:t>
      </w:r>
      <w:r w:rsidR="00274FD3">
        <w:rPr>
          <w:sz w:val="24"/>
          <w:szCs w:val="24"/>
        </w:rPr>
        <w:t xml:space="preserve">carer </w:t>
      </w:r>
      <w:r>
        <w:rPr>
          <w:sz w:val="24"/>
          <w:szCs w:val="24"/>
        </w:rPr>
        <w:t>leave</w:t>
      </w:r>
    </w:p>
    <w:p w14:paraId="682D719D" w14:textId="24E653AA" w:rsidR="000A74E3" w:rsidRPr="007204BB" w:rsidRDefault="000A74E3" w:rsidP="007204BB">
      <w:pPr>
        <w:rPr>
          <w:i/>
          <w:iCs/>
          <w:lang w:val="en-US"/>
        </w:rPr>
      </w:pPr>
      <w:r w:rsidRPr="007204BB">
        <w:rPr>
          <w:i/>
          <w:iCs/>
          <w:lang w:val="en-US"/>
        </w:rPr>
        <w:t xml:space="preserve">How is extended unpaid </w:t>
      </w:r>
      <w:r w:rsidR="00274FD3" w:rsidRPr="007204BB">
        <w:rPr>
          <w:i/>
          <w:iCs/>
          <w:lang w:val="en-US"/>
        </w:rPr>
        <w:t xml:space="preserve">carer </w:t>
      </w:r>
      <w:r w:rsidRPr="007204BB">
        <w:rPr>
          <w:i/>
          <w:iCs/>
          <w:lang w:val="en-US"/>
        </w:rPr>
        <w:t>leave to be defined</w:t>
      </w:r>
      <w:r w:rsidR="007204BB">
        <w:rPr>
          <w:i/>
          <w:iCs/>
          <w:lang w:val="en-US"/>
        </w:rPr>
        <w:t>?</w:t>
      </w:r>
    </w:p>
    <w:tbl>
      <w:tblPr>
        <w:tblStyle w:val="TableGrid"/>
        <w:tblW w:w="0" w:type="auto"/>
        <w:tblLook w:val="04A0" w:firstRow="1" w:lastRow="0" w:firstColumn="1" w:lastColumn="0" w:noHBand="0" w:noVBand="1"/>
      </w:tblPr>
      <w:tblGrid>
        <w:gridCol w:w="9016"/>
      </w:tblGrid>
      <w:tr w:rsidR="00773583" w14:paraId="4563FB6A" w14:textId="77777777" w:rsidTr="00773583">
        <w:tc>
          <w:tcPr>
            <w:tcW w:w="9016" w:type="dxa"/>
          </w:tcPr>
          <w:p w14:paraId="56E387F6" w14:textId="01FB6B6E" w:rsidR="00773583" w:rsidRPr="007204BB" w:rsidRDefault="00032D00" w:rsidP="00773583">
            <w:pPr>
              <w:rPr>
                <w:i/>
                <w:iCs/>
                <w:color w:val="0070C0"/>
                <w:lang w:val="en-US"/>
              </w:rPr>
            </w:pPr>
            <w:r>
              <w:rPr>
                <w:lang w:val="en-US"/>
              </w:rPr>
              <w:t xml:space="preserve">Extended unpaid carer leave could be defined as leave that is available to </w:t>
            </w:r>
            <w:r w:rsidR="00172538">
              <w:rPr>
                <w:lang w:val="en-US"/>
              </w:rPr>
              <w:t xml:space="preserve">informal carers of older Australians, to provide unpaid carer support </w:t>
            </w:r>
            <w:r w:rsidR="00561E9F">
              <w:rPr>
                <w:lang w:val="en-US"/>
              </w:rPr>
              <w:t>to an elderly family member</w:t>
            </w:r>
            <w:r w:rsidR="00856E47">
              <w:rPr>
                <w:lang w:val="en-US"/>
              </w:rPr>
              <w:t xml:space="preserve"> or close relative</w:t>
            </w:r>
            <w:r w:rsidR="00561E9F">
              <w:rPr>
                <w:lang w:val="en-US"/>
              </w:rPr>
              <w:t>.</w:t>
            </w:r>
          </w:p>
          <w:p w14:paraId="20B7CC12" w14:textId="77777777" w:rsidR="00AC703A" w:rsidRDefault="00AC703A" w:rsidP="00773583">
            <w:pPr>
              <w:rPr>
                <w:lang w:val="en-US"/>
              </w:rPr>
            </w:pPr>
          </w:p>
          <w:p w14:paraId="14B15677" w14:textId="5182C476" w:rsidR="00561E9F" w:rsidRDefault="00561E9F" w:rsidP="00773583">
            <w:pPr>
              <w:rPr>
                <w:lang w:val="en-US"/>
              </w:rPr>
            </w:pPr>
            <w:r>
              <w:rPr>
                <w:lang w:val="en-US"/>
              </w:rPr>
              <w:t>The National Employment Standards (NES)</w:t>
            </w:r>
            <w:r w:rsidR="0087068B">
              <w:rPr>
                <w:lang w:val="en-US"/>
              </w:rPr>
              <w:t>, if expanded to include</w:t>
            </w:r>
            <w:r w:rsidR="00F43AA8">
              <w:rPr>
                <w:lang w:val="en-US"/>
              </w:rPr>
              <w:t xml:space="preserve"> a provision for</w:t>
            </w:r>
            <w:r w:rsidR="0087068B">
              <w:rPr>
                <w:lang w:val="en-US"/>
              </w:rPr>
              <w:t xml:space="preserve"> </w:t>
            </w:r>
            <w:r w:rsidR="0087068B" w:rsidRPr="0087068B">
              <w:rPr>
                <w:i/>
                <w:iCs/>
                <w:lang w:val="en-US"/>
              </w:rPr>
              <w:t>extended unpaid carer leave</w:t>
            </w:r>
            <w:r>
              <w:rPr>
                <w:lang w:val="en-US"/>
              </w:rPr>
              <w:t xml:space="preserve"> would need to: </w:t>
            </w:r>
          </w:p>
          <w:p w14:paraId="554455DB" w14:textId="2237B3F8" w:rsidR="00561E9F" w:rsidRDefault="007B5B54" w:rsidP="00561E9F">
            <w:pPr>
              <w:pStyle w:val="ListParagraph"/>
              <w:numPr>
                <w:ilvl w:val="0"/>
                <w:numId w:val="47"/>
              </w:numPr>
              <w:rPr>
                <w:lang w:val="en-US"/>
              </w:rPr>
            </w:pPr>
            <w:r>
              <w:rPr>
                <w:lang w:val="en-US"/>
              </w:rPr>
              <w:t>Define an</w:t>
            </w:r>
            <w:r w:rsidR="00561E9F">
              <w:rPr>
                <w:lang w:val="en-US"/>
              </w:rPr>
              <w:t xml:space="preserve"> unpaid carer</w:t>
            </w:r>
            <w:r w:rsidR="00561E9F">
              <w:rPr>
                <w:rStyle w:val="FootnoteReference"/>
                <w:lang w:val="en-US"/>
              </w:rPr>
              <w:footnoteReference w:id="2"/>
            </w:r>
            <w:r w:rsidR="00561E9F">
              <w:rPr>
                <w:lang w:val="en-US"/>
              </w:rPr>
              <w:t xml:space="preserve"> </w:t>
            </w:r>
          </w:p>
          <w:p w14:paraId="2F5FA60F" w14:textId="484E1393" w:rsidR="00561E9F" w:rsidRPr="00856E47" w:rsidRDefault="0087068B" w:rsidP="00561E9F">
            <w:pPr>
              <w:pStyle w:val="ListParagraph"/>
              <w:numPr>
                <w:ilvl w:val="0"/>
                <w:numId w:val="47"/>
              </w:numPr>
              <w:rPr>
                <w:lang w:val="en-US"/>
              </w:rPr>
            </w:pPr>
            <w:r>
              <w:rPr>
                <w:lang w:val="en-US"/>
              </w:rPr>
              <w:t>Prescribe what</w:t>
            </w:r>
            <w:r w:rsidR="007B5B54">
              <w:rPr>
                <w:lang w:val="en-US"/>
              </w:rPr>
              <w:t xml:space="preserve"> constitutes ‘extended leave’</w:t>
            </w:r>
            <w:r w:rsidR="00592553">
              <w:rPr>
                <w:lang w:val="en-US"/>
              </w:rPr>
              <w:t xml:space="preserve">, </w:t>
            </w:r>
            <w:r w:rsidR="00592553" w:rsidRPr="00856E47">
              <w:rPr>
                <w:lang w:val="en-US"/>
              </w:rPr>
              <w:t xml:space="preserve">including </w:t>
            </w:r>
            <w:r w:rsidR="00E1179E" w:rsidRPr="00856E47">
              <w:rPr>
                <w:lang w:val="en-US"/>
              </w:rPr>
              <w:t xml:space="preserve">prescribing the </w:t>
            </w:r>
            <w:r w:rsidR="00CA73AD" w:rsidRPr="00856E47">
              <w:rPr>
                <w:lang w:val="en-US"/>
              </w:rPr>
              <w:t>limits of the leave entitlement</w:t>
            </w:r>
            <w:r w:rsidR="003C4F0C">
              <w:rPr>
                <w:lang w:val="en-US"/>
              </w:rPr>
              <w:t xml:space="preserve"> </w:t>
            </w:r>
          </w:p>
          <w:p w14:paraId="0F2D408F" w14:textId="7E3AFC1A" w:rsidR="007B5B54" w:rsidRDefault="007B5B54" w:rsidP="00561E9F">
            <w:pPr>
              <w:pStyle w:val="ListParagraph"/>
              <w:numPr>
                <w:ilvl w:val="0"/>
                <w:numId w:val="47"/>
              </w:numPr>
              <w:rPr>
                <w:lang w:val="en-US"/>
              </w:rPr>
            </w:pPr>
            <w:r>
              <w:rPr>
                <w:lang w:val="en-US"/>
              </w:rPr>
              <w:t>D</w:t>
            </w:r>
            <w:r w:rsidR="0087068B">
              <w:rPr>
                <w:lang w:val="en-US"/>
              </w:rPr>
              <w:t>efine</w:t>
            </w:r>
            <w:r>
              <w:rPr>
                <w:lang w:val="en-US"/>
              </w:rPr>
              <w:t xml:space="preserve"> the period an employee has to a ‘right of return’</w:t>
            </w:r>
            <w:r w:rsidR="00856E47">
              <w:rPr>
                <w:lang w:val="en-US"/>
              </w:rPr>
              <w:t xml:space="preserve"> and any conditions that may relate to such a right</w:t>
            </w:r>
          </w:p>
          <w:p w14:paraId="020B96EA" w14:textId="4B358097" w:rsidR="001D52B0" w:rsidRDefault="00E82F25" w:rsidP="00561E9F">
            <w:pPr>
              <w:pStyle w:val="ListParagraph"/>
              <w:numPr>
                <w:ilvl w:val="0"/>
                <w:numId w:val="47"/>
              </w:numPr>
              <w:rPr>
                <w:lang w:val="en-US"/>
              </w:rPr>
            </w:pPr>
            <w:r w:rsidRPr="001D52B0">
              <w:rPr>
                <w:lang w:val="en-US"/>
              </w:rPr>
              <w:t>Describe</w:t>
            </w:r>
            <w:r w:rsidR="003A4E42">
              <w:rPr>
                <w:lang w:val="en-US"/>
              </w:rPr>
              <w:t xml:space="preserve"> what ‘reasonable grounds for refusal’ might be for an employer </w:t>
            </w:r>
            <w:r w:rsidR="00250793">
              <w:rPr>
                <w:lang w:val="en-US"/>
              </w:rPr>
              <w:t>to refuse a request for extended unpaid carer leave</w:t>
            </w:r>
          </w:p>
          <w:p w14:paraId="4B661597" w14:textId="39FBEE13" w:rsidR="007B5B54" w:rsidRPr="001D52B0" w:rsidRDefault="0087068B" w:rsidP="00561E9F">
            <w:pPr>
              <w:pStyle w:val="ListParagraph"/>
              <w:numPr>
                <w:ilvl w:val="0"/>
                <w:numId w:val="47"/>
              </w:numPr>
              <w:rPr>
                <w:lang w:val="en-US"/>
              </w:rPr>
            </w:pPr>
            <w:r w:rsidRPr="001D52B0">
              <w:rPr>
                <w:lang w:val="en-US"/>
              </w:rPr>
              <w:t xml:space="preserve">Outline the eligibility criteria </w:t>
            </w:r>
            <w:r w:rsidR="00F43AA8" w:rsidRPr="001D52B0">
              <w:rPr>
                <w:lang w:val="en-US"/>
              </w:rPr>
              <w:t>for the leave</w:t>
            </w:r>
            <w:r w:rsidR="008E7ABE">
              <w:rPr>
                <w:lang w:val="en-US"/>
              </w:rPr>
              <w:t>;</w:t>
            </w:r>
            <w:r w:rsidR="00BD4F61">
              <w:rPr>
                <w:lang w:val="en-US"/>
              </w:rPr>
              <w:t xml:space="preserve"> and</w:t>
            </w:r>
          </w:p>
          <w:p w14:paraId="60EEC2B3" w14:textId="1BA1AB6D" w:rsidR="007B5B54" w:rsidRPr="001C2D0A" w:rsidRDefault="00215DDD" w:rsidP="001C2D0A">
            <w:pPr>
              <w:pStyle w:val="ListParagraph"/>
              <w:numPr>
                <w:ilvl w:val="0"/>
                <w:numId w:val="47"/>
              </w:numPr>
              <w:rPr>
                <w:lang w:val="en-US"/>
              </w:rPr>
            </w:pPr>
            <w:r>
              <w:rPr>
                <w:lang w:val="en-US"/>
              </w:rPr>
              <w:t>Prescribe t</w:t>
            </w:r>
            <w:r w:rsidR="00F43AA8">
              <w:rPr>
                <w:lang w:val="en-US"/>
              </w:rPr>
              <w:t>he evidentiary proof required</w:t>
            </w:r>
            <w:r>
              <w:rPr>
                <w:lang w:val="en-US"/>
              </w:rPr>
              <w:t xml:space="preserve"> when applying</w:t>
            </w:r>
            <w:r w:rsidR="00F43AA8">
              <w:rPr>
                <w:lang w:val="en-US"/>
              </w:rPr>
              <w:t xml:space="preserve"> for extended </w:t>
            </w:r>
            <w:r>
              <w:rPr>
                <w:lang w:val="en-US"/>
              </w:rPr>
              <w:t xml:space="preserve">unpaid </w:t>
            </w:r>
            <w:r w:rsidR="00F43AA8">
              <w:rPr>
                <w:lang w:val="en-US"/>
              </w:rPr>
              <w:t>carer leave</w:t>
            </w:r>
            <w:r w:rsidR="00856E47">
              <w:rPr>
                <w:lang w:val="en-US"/>
              </w:rPr>
              <w:t>.</w:t>
            </w:r>
          </w:p>
          <w:p w14:paraId="0C75FDC0" w14:textId="77777777" w:rsidR="00FC5E2C" w:rsidRDefault="00FC5E2C" w:rsidP="00FC5E2C">
            <w:pPr>
              <w:rPr>
                <w:highlight w:val="yellow"/>
                <w:lang w:val="en-US"/>
              </w:rPr>
            </w:pPr>
          </w:p>
          <w:p w14:paraId="4951351F" w14:textId="1C77598E" w:rsidR="00FC5E2C" w:rsidRPr="00034FA7" w:rsidRDefault="00034FA7" w:rsidP="00FC5E2C">
            <w:pPr>
              <w:rPr>
                <w:lang w:val="en-US"/>
              </w:rPr>
            </w:pPr>
            <w:r w:rsidRPr="00034FA7">
              <w:rPr>
                <w:lang w:val="en-US"/>
              </w:rPr>
              <w:t xml:space="preserve">ACCPA </w:t>
            </w:r>
            <w:r>
              <w:rPr>
                <w:lang w:val="en-US"/>
              </w:rPr>
              <w:t>offers the following for consideration</w:t>
            </w:r>
            <w:r w:rsidR="00043503">
              <w:rPr>
                <w:lang w:val="en-US"/>
              </w:rPr>
              <w:t xml:space="preserve"> in relation to an extended unpaid leave entitlement</w:t>
            </w:r>
            <w:r>
              <w:rPr>
                <w:lang w:val="en-US"/>
              </w:rPr>
              <w:t>:</w:t>
            </w:r>
          </w:p>
          <w:p w14:paraId="38898018" w14:textId="42418E3B" w:rsidR="004942D3" w:rsidRPr="007E3B45" w:rsidRDefault="0082008D" w:rsidP="00034FA7">
            <w:pPr>
              <w:pStyle w:val="Default"/>
              <w:numPr>
                <w:ilvl w:val="0"/>
                <w:numId w:val="50"/>
              </w:numPr>
              <w:rPr>
                <w:color w:val="auto"/>
                <w:sz w:val="22"/>
                <w:szCs w:val="22"/>
              </w:rPr>
            </w:pPr>
            <w:r w:rsidRPr="004942D3">
              <w:rPr>
                <w:color w:val="auto"/>
                <w:sz w:val="22"/>
                <w:szCs w:val="22"/>
              </w:rPr>
              <w:t xml:space="preserve">For the purposes of </w:t>
            </w:r>
            <w:r w:rsidR="00B253EC" w:rsidRPr="004942D3">
              <w:rPr>
                <w:color w:val="auto"/>
                <w:sz w:val="22"/>
                <w:szCs w:val="22"/>
              </w:rPr>
              <w:t>th</w:t>
            </w:r>
            <w:r w:rsidR="00BC4E93" w:rsidRPr="004942D3">
              <w:rPr>
                <w:color w:val="auto"/>
                <w:sz w:val="22"/>
                <w:szCs w:val="22"/>
              </w:rPr>
              <w:t>e proposed entitlement, a</w:t>
            </w:r>
            <w:r w:rsidR="00E02800" w:rsidRPr="004942D3">
              <w:rPr>
                <w:color w:val="auto"/>
                <w:sz w:val="22"/>
                <w:szCs w:val="22"/>
              </w:rPr>
              <w:t>n u</w:t>
            </w:r>
            <w:r w:rsidR="00BC4E93" w:rsidRPr="004942D3">
              <w:rPr>
                <w:color w:val="auto"/>
                <w:sz w:val="22"/>
                <w:szCs w:val="22"/>
              </w:rPr>
              <w:t>np</w:t>
            </w:r>
            <w:r w:rsidR="00E02800" w:rsidRPr="004942D3">
              <w:rPr>
                <w:color w:val="auto"/>
                <w:sz w:val="22"/>
                <w:szCs w:val="22"/>
              </w:rPr>
              <w:t xml:space="preserve">aid carer </w:t>
            </w:r>
            <w:r w:rsidR="003C4F0C">
              <w:rPr>
                <w:color w:val="auto"/>
                <w:sz w:val="22"/>
                <w:szCs w:val="22"/>
              </w:rPr>
              <w:t xml:space="preserve">should </w:t>
            </w:r>
            <w:r w:rsidR="002069C8">
              <w:rPr>
                <w:color w:val="auto"/>
                <w:sz w:val="22"/>
                <w:szCs w:val="22"/>
              </w:rPr>
              <w:t xml:space="preserve">be </w:t>
            </w:r>
            <w:r w:rsidR="003C4F0C">
              <w:rPr>
                <w:color w:val="auto"/>
                <w:sz w:val="22"/>
                <w:szCs w:val="22"/>
              </w:rPr>
              <w:t xml:space="preserve">the primary carer </w:t>
            </w:r>
            <w:r w:rsidRPr="004942D3">
              <w:rPr>
                <w:sz w:val="22"/>
                <w:szCs w:val="22"/>
                <w:shd w:val="clear" w:color="auto" w:fill="FFFFFF"/>
              </w:rPr>
              <w:t>provid</w:t>
            </w:r>
            <w:r w:rsidR="002069C8">
              <w:rPr>
                <w:sz w:val="22"/>
                <w:szCs w:val="22"/>
                <w:shd w:val="clear" w:color="auto" w:fill="FFFFFF"/>
              </w:rPr>
              <w:t>ing</w:t>
            </w:r>
            <w:r w:rsidRPr="004942D3">
              <w:rPr>
                <w:sz w:val="22"/>
                <w:szCs w:val="22"/>
                <w:shd w:val="clear" w:color="auto" w:fill="FFFFFF"/>
              </w:rPr>
              <w:t xml:space="preserve"> unpaid personal care, </w:t>
            </w:r>
            <w:r w:rsidR="00C575EE" w:rsidRPr="004942D3">
              <w:rPr>
                <w:sz w:val="22"/>
                <w:szCs w:val="22"/>
                <w:shd w:val="clear" w:color="auto" w:fill="FFFFFF"/>
              </w:rPr>
              <w:t>support,</w:t>
            </w:r>
            <w:r w:rsidRPr="004942D3">
              <w:rPr>
                <w:sz w:val="22"/>
                <w:szCs w:val="22"/>
                <w:shd w:val="clear" w:color="auto" w:fill="FFFFFF"/>
              </w:rPr>
              <w:t xml:space="preserve"> and assistance to </w:t>
            </w:r>
            <w:r w:rsidR="004942D3" w:rsidRPr="004942D3">
              <w:rPr>
                <w:sz w:val="22"/>
                <w:szCs w:val="22"/>
                <w:shd w:val="clear" w:color="auto" w:fill="FFFFFF"/>
              </w:rPr>
              <w:t xml:space="preserve">an elderly </w:t>
            </w:r>
            <w:r w:rsidR="009E0D09">
              <w:rPr>
                <w:sz w:val="22"/>
                <w:szCs w:val="22"/>
                <w:shd w:val="clear" w:color="auto" w:fill="FFFFFF"/>
              </w:rPr>
              <w:t xml:space="preserve">parent </w:t>
            </w:r>
            <w:r w:rsidR="004833FC">
              <w:rPr>
                <w:sz w:val="22"/>
                <w:szCs w:val="22"/>
                <w:shd w:val="clear" w:color="auto" w:fill="FFFFFF"/>
              </w:rPr>
              <w:t>or close relative</w:t>
            </w:r>
            <w:r w:rsidR="00420064">
              <w:rPr>
                <w:rStyle w:val="FootnoteReference"/>
                <w:sz w:val="22"/>
                <w:szCs w:val="22"/>
                <w:shd w:val="clear" w:color="auto" w:fill="FFFFFF"/>
              </w:rPr>
              <w:footnoteReference w:id="3"/>
            </w:r>
            <w:r w:rsidR="00467393">
              <w:rPr>
                <w:sz w:val="22"/>
                <w:szCs w:val="22"/>
                <w:shd w:val="clear" w:color="auto" w:fill="FFFFFF"/>
              </w:rPr>
              <w:t xml:space="preserve"> </w:t>
            </w:r>
          </w:p>
          <w:p w14:paraId="2DD946A5" w14:textId="319C64D1" w:rsidR="007E3B45" w:rsidRPr="004942D3" w:rsidRDefault="00C31058" w:rsidP="00034FA7">
            <w:pPr>
              <w:pStyle w:val="Default"/>
              <w:numPr>
                <w:ilvl w:val="0"/>
                <w:numId w:val="50"/>
              </w:numPr>
              <w:rPr>
                <w:color w:val="auto"/>
                <w:sz w:val="22"/>
                <w:szCs w:val="22"/>
              </w:rPr>
            </w:pPr>
            <w:r>
              <w:rPr>
                <w:sz w:val="22"/>
                <w:szCs w:val="22"/>
              </w:rPr>
              <w:t>The care recipient must be elderly</w:t>
            </w:r>
            <w:r w:rsidR="00E97CAF">
              <w:rPr>
                <w:rStyle w:val="FootnoteReference"/>
                <w:sz w:val="22"/>
                <w:szCs w:val="22"/>
              </w:rPr>
              <w:footnoteReference w:id="4"/>
            </w:r>
            <w:r>
              <w:rPr>
                <w:sz w:val="22"/>
                <w:szCs w:val="22"/>
              </w:rPr>
              <w:t xml:space="preserve"> </w:t>
            </w:r>
            <w:r w:rsidR="00F34445">
              <w:rPr>
                <w:sz w:val="22"/>
                <w:szCs w:val="22"/>
              </w:rPr>
              <w:t xml:space="preserve">or have a </w:t>
            </w:r>
            <w:r w:rsidR="00E2516C">
              <w:rPr>
                <w:sz w:val="22"/>
                <w:szCs w:val="22"/>
              </w:rPr>
              <w:t>short term of terminal illness</w:t>
            </w:r>
          </w:p>
          <w:p w14:paraId="22E40805" w14:textId="57D47A38" w:rsidR="00034FA7" w:rsidRPr="004942D3" w:rsidRDefault="00034FA7" w:rsidP="00034FA7">
            <w:pPr>
              <w:pStyle w:val="Default"/>
              <w:numPr>
                <w:ilvl w:val="0"/>
                <w:numId w:val="50"/>
              </w:numPr>
              <w:rPr>
                <w:color w:val="auto"/>
                <w:sz w:val="22"/>
                <w:szCs w:val="22"/>
              </w:rPr>
            </w:pPr>
            <w:r w:rsidRPr="004942D3">
              <w:rPr>
                <w:color w:val="auto"/>
                <w:sz w:val="22"/>
                <w:szCs w:val="22"/>
              </w:rPr>
              <w:t xml:space="preserve">All </w:t>
            </w:r>
            <w:r w:rsidR="00401145" w:rsidRPr="004942D3">
              <w:rPr>
                <w:color w:val="auto"/>
                <w:sz w:val="22"/>
                <w:szCs w:val="22"/>
              </w:rPr>
              <w:t xml:space="preserve">permanent </w:t>
            </w:r>
            <w:r w:rsidRPr="004942D3">
              <w:rPr>
                <w:color w:val="auto"/>
                <w:sz w:val="22"/>
                <w:szCs w:val="22"/>
              </w:rPr>
              <w:t xml:space="preserve">employees should be eligible </w:t>
            </w:r>
            <w:r w:rsidR="00BF3751" w:rsidRPr="004942D3">
              <w:rPr>
                <w:color w:val="auto"/>
                <w:sz w:val="22"/>
                <w:szCs w:val="22"/>
              </w:rPr>
              <w:t>for the leave entitlement</w:t>
            </w:r>
          </w:p>
          <w:p w14:paraId="7C1FBAF8" w14:textId="0D619D73" w:rsidR="00043503" w:rsidRDefault="000A6F8F" w:rsidP="00A83F9D">
            <w:pPr>
              <w:pStyle w:val="Default"/>
              <w:numPr>
                <w:ilvl w:val="0"/>
                <w:numId w:val="50"/>
              </w:numPr>
              <w:rPr>
                <w:color w:val="auto"/>
                <w:sz w:val="22"/>
                <w:szCs w:val="22"/>
              </w:rPr>
            </w:pPr>
            <w:r>
              <w:rPr>
                <w:color w:val="auto"/>
                <w:sz w:val="22"/>
                <w:szCs w:val="22"/>
              </w:rPr>
              <w:t xml:space="preserve">To be eligible </w:t>
            </w:r>
            <w:r w:rsidR="002911D3">
              <w:rPr>
                <w:color w:val="auto"/>
                <w:sz w:val="22"/>
                <w:szCs w:val="22"/>
              </w:rPr>
              <w:t xml:space="preserve">for the </w:t>
            </w:r>
            <w:r w:rsidR="00A83F9D">
              <w:rPr>
                <w:color w:val="auto"/>
                <w:sz w:val="22"/>
                <w:szCs w:val="22"/>
              </w:rPr>
              <w:t xml:space="preserve">entitlement </w:t>
            </w:r>
            <w:r>
              <w:rPr>
                <w:color w:val="auto"/>
                <w:sz w:val="22"/>
                <w:szCs w:val="22"/>
              </w:rPr>
              <w:t xml:space="preserve">employees </w:t>
            </w:r>
            <w:r w:rsidR="00A83F9D">
              <w:rPr>
                <w:color w:val="auto"/>
                <w:sz w:val="22"/>
                <w:szCs w:val="22"/>
              </w:rPr>
              <w:t>must have completed at least 12 months continuous s</w:t>
            </w:r>
            <w:r w:rsidR="00A83F9D" w:rsidRPr="00A83F9D">
              <w:rPr>
                <w:color w:val="auto"/>
                <w:sz w:val="22"/>
                <w:szCs w:val="22"/>
              </w:rPr>
              <w:t>ervice</w:t>
            </w:r>
          </w:p>
          <w:p w14:paraId="5CB247D4" w14:textId="74E1F5DA" w:rsidR="00506442" w:rsidRDefault="00785409" w:rsidP="00A83F9D">
            <w:pPr>
              <w:pStyle w:val="Default"/>
              <w:numPr>
                <w:ilvl w:val="0"/>
                <w:numId w:val="50"/>
              </w:numPr>
              <w:rPr>
                <w:color w:val="auto"/>
                <w:sz w:val="22"/>
                <w:szCs w:val="22"/>
              </w:rPr>
            </w:pPr>
            <w:r>
              <w:rPr>
                <w:color w:val="auto"/>
                <w:sz w:val="22"/>
                <w:szCs w:val="22"/>
              </w:rPr>
              <w:t xml:space="preserve">Applications for leave must be accompanied by </w:t>
            </w:r>
            <w:r w:rsidR="004553B1">
              <w:rPr>
                <w:color w:val="auto"/>
                <w:sz w:val="22"/>
                <w:szCs w:val="22"/>
              </w:rPr>
              <w:t xml:space="preserve">appropriate evidence that </w:t>
            </w:r>
            <w:r w:rsidR="000D111E">
              <w:rPr>
                <w:color w:val="auto"/>
                <w:sz w:val="22"/>
                <w:szCs w:val="22"/>
              </w:rPr>
              <w:t>would satisfy a reasonable person</w:t>
            </w:r>
            <w:r w:rsidR="00B71ED8">
              <w:rPr>
                <w:color w:val="auto"/>
                <w:sz w:val="22"/>
                <w:szCs w:val="22"/>
              </w:rPr>
              <w:t>, for example a medical certificate or statutory declaration</w:t>
            </w:r>
          </w:p>
          <w:p w14:paraId="20D38256" w14:textId="0827A591" w:rsidR="00A83F9D" w:rsidRDefault="00D46147" w:rsidP="00A83F9D">
            <w:pPr>
              <w:pStyle w:val="Default"/>
              <w:numPr>
                <w:ilvl w:val="0"/>
                <w:numId w:val="50"/>
              </w:numPr>
              <w:rPr>
                <w:color w:val="auto"/>
                <w:sz w:val="22"/>
                <w:szCs w:val="22"/>
              </w:rPr>
            </w:pPr>
            <w:r>
              <w:rPr>
                <w:color w:val="auto"/>
                <w:sz w:val="22"/>
                <w:szCs w:val="22"/>
              </w:rPr>
              <w:t xml:space="preserve">Extended leave </w:t>
            </w:r>
            <w:r w:rsidR="00B05437">
              <w:rPr>
                <w:color w:val="auto"/>
                <w:sz w:val="22"/>
                <w:szCs w:val="22"/>
              </w:rPr>
              <w:t xml:space="preserve">is defined as being limited to a maximum of two years in duration, </w:t>
            </w:r>
            <w:r w:rsidR="002069C8">
              <w:rPr>
                <w:color w:val="auto"/>
                <w:sz w:val="22"/>
                <w:szCs w:val="22"/>
              </w:rPr>
              <w:t>which can be taken for a period of twelve months with the option to request</w:t>
            </w:r>
            <w:r w:rsidR="006A085F">
              <w:rPr>
                <w:color w:val="auto"/>
                <w:sz w:val="22"/>
                <w:szCs w:val="22"/>
              </w:rPr>
              <w:t xml:space="preserve"> </w:t>
            </w:r>
            <w:r w:rsidR="00AE0B12">
              <w:rPr>
                <w:color w:val="auto"/>
                <w:sz w:val="22"/>
                <w:szCs w:val="22"/>
              </w:rPr>
              <w:t>a further twelve months and which can be refused on reasonable business grounds</w:t>
            </w:r>
            <w:r w:rsidR="001F3411">
              <w:rPr>
                <w:color w:val="auto"/>
                <w:sz w:val="22"/>
                <w:szCs w:val="22"/>
              </w:rPr>
              <w:t xml:space="preserve"> </w:t>
            </w:r>
            <w:r w:rsidR="00491900">
              <w:rPr>
                <w:color w:val="auto"/>
                <w:sz w:val="22"/>
                <w:szCs w:val="22"/>
              </w:rPr>
              <w:t xml:space="preserve">and </w:t>
            </w:r>
            <w:r w:rsidR="001F3411">
              <w:rPr>
                <w:color w:val="auto"/>
                <w:sz w:val="22"/>
                <w:szCs w:val="22"/>
              </w:rPr>
              <w:t>with a right of return</w:t>
            </w:r>
            <w:r w:rsidR="00491900">
              <w:rPr>
                <w:color w:val="auto"/>
                <w:sz w:val="22"/>
                <w:szCs w:val="22"/>
              </w:rPr>
              <w:t xml:space="preserve"> for a maximum period up to two years</w:t>
            </w:r>
            <w:r w:rsidR="0074667F">
              <w:rPr>
                <w:color w:val="auto"/>
                <w:sz w:val="22"/>
                <w:szCs w:val="22"/>
              </w:rPr>
              <w:t xml:space="preserve">, but not necessarily to the </w:t>
            </w:r>
            <w:r w:rsidR="00856E47">
              <w:rPr>
                <w:color w:val="auto"/>
                <w:sz w:val="22"/>
                <w:szCs w:val="22"/>
              </w:rPr>
              <w:t>previous</w:t>
            </w:r>
            <w:r w:rsidR="0074667F">
              <w:rPr>
                <w:color w:val="auto"/>
                <w:sz w:val="22"/>
                <w:szCs w:val="22"/>
              </w:rPr>
              <w:t xml:space="preserve"> hours</w:t>
            </w:r>
          </w:p>
          <w:p w14:paraId="4D9107C4" w14:textId="71B76DF8" w:rsidR="00C13743" w:rsidRDefault="00C13743" w:rsidP="00A83F9D">
            <w:pPr>
              <w:pStyle w:val="Default"/>
              <w:numPr>
                <w:ilvl w:val="0"/>
                <w:numId w:val="50"/>
              </w:numPr>
              <w:rPr>
                <w:color w:val="auto"/>
                <w:sz w:val="22"/>
                <w:szCs w:val="22"/>
              </w:rPr>
            </w:pPr>
            <w:r>
              <w:rPr>
                <w:color w:val="auto"/>
                <w:sz w:val="22"/>
                <w:szCs w:val="22"/>
              </w:rPr>
              <w:t>Where management, for operational reasons, needs to restructure roles they must be able to do this even where the incumbent is on extended unpaid leave</w:t>
            </w:r>
            <w:r w:rsidR="00EF754F">
              <w:rPr>
                <w:color w:val="auto"/>
                <w:sz w:val="22"/>
                <w:szCs w:val="22"/>
              </w:rPr>
              <w:t>.</w:t>
            </w:r>
            <w:r>
              <w:rPr>
                <w:color w:val="auto"/>
                <w:sz w:val="22"/>
                <w:szCs w:val="22"/>
              </w:rPr>
              <w:t xml:space="preserve"> </w:t>
            </w:r>
            <w:r w:rsidR="00EF754F">
              <w:rPr>
                <w:color w:val="auto"/>
                <w:sz w:val="22"/>
                <w:szCs w:val="22"/>
              </w:rPr>
              <w:t>T</w:t>
            </w:r>
            <w:r>
              <w:rPr>
                <w:color w:val="auto"/>
                <w:sz w:val="22"/>
                <w:szCs w:val="22"/>
              </w:rPr>
              <w:t xml:space="preserve">he </w:t>
            </w:r>
            <w:r w:rsidR="00EF754F">
              <w:rPr>
                <w:color w:val="auto"/>
                <w:sz w:val="22"/>
                <w:szCs w:val="22"/>
              </w:rPr>
              <w:t>employer must consider any consultation provisions of the prevailing industrial instrument, and</w:t>
            </w:r>
          </w:p>
          <w:p w14:paraId="637248B4" w14:textId="702771CC" w:rsidR="00FC5E2C" w:rsidRPr="00592F2A" w:rsidRDefault="005C3D5A" w:rsidP="00592F2A">
            <w:pPr>
              <w:pStyle w:val="Default"/>
              <w:numPr>
                <w:ilvl w:val="0"/>
                <w:numId w:val="50"/>
              </w:numPr>
              <w:rPr>
                <w:color w:val="auto"/>
                <w:sz w:val="22"/>
                <w:szCs w:val="22"/>
              </w:rPr>
            </w:pPr>
            <w:r>
              <w:rPr>
                <w:color w:val="auto"/>
                <w:sz w:val="22"/>
                <w:szCs w:val="22"/>
              </w:rPr>
              <w:t>Employees should have the right</w:t>
            </w:r>
            <w:r w:rsidR="00F74BA6">
              <w:rPr>
                <w:color w:val="auto"/>
                <w:sz w:val="22"/>
                <w:szCs w:val="22"/>
              </w:rPr>
              <w:t>-</w:t>
            </w:r>
            <w:r>
              <w:rPr>
                <w:color w:val="auto"/>
                <w:sz w:val="22"/>
                <w:szCs w:val="22"/>
              </w:rPr>
              <w:t>to</w:t>
            </w:r>
            <w:r w:rsidR="00F74BA6">
              <w:rPr>
                <w:color w:val="auto"/>
                <w:sz w:val="22"/>
                <w:szCs w:val="22"/>
              </w:rPr>
              <w:t>-</w:t>
            </w:r>
            <w:r>
              <w:rPr>
                <w:color w:val="auto"/>
                <w:sz w:val="22"/>
                <w:szCs w:val="22"/>
              </w:rPr>
              <w:t xml:space="preserve">request </w:t>
            </w:r>
            <w:r w:rsidR="000321C0">
              <w:rPr>
                <w:color w:val="auto"/>
                <w:sz w:val="22"/>
                <w:szCs w:val="22"/>
              </w:rPr>
              <w:t>extended unpaid carer leave</w:t>
            </w:r>
            <w:r w:rsidR="00FB5AA3">
              <w:rPr>
                <w:color w:val="auto"/>
                <w:sz w:val="22"/>
                <w:szCs w:val="22"/>
              </w:rPr>
              <w:t xml:space="preserve"> and employers the right to refuse on reasonable business grounds</w:t>
            </w:r>
            <w:r w:rsidR="0093096B">
              <w:rPr>
                <w:color w:val="auto"/>
                <w:sz w:val="22"/>
                <w:szCs w:val="22"/>
              </w:rPr>
              <w:t>.</w:t>
            </w:r>
          </w:p>
          <w:p w14:paraId="2C01353C" w14:textId="27B0E953" w:rsidR="00773583" w:rsidRDefault="00773583" w:rsidP="00773583">
            <w:pPr>
              <w:rPr>
                <w:lang w:val="en-US"/>
              </w:rPr>
            </w:pPr>
          </w:p>
        </w:tc>
      </w:tr>
    </w:tbl>
    <w:p w14:paraId="66CB4025" w14:textId="77777777" w:rsidR="00F74BA6" w:rsidRDefault="00F74BA6" w:rsidP="008777FC">
      <w:pPr>
        <w:rPr>
          <w:lang w:val="en-US"/>
        </w:rPr>
      </w:pPr>
    </w:p>
    <w:p w14:paraId="097745BC" w14:textId="1DDC6842" w:rsidR="000A74E3" w:rsidRPr="00F549DA" w:rsidRDefault="000A74E3" w:rsidP="00F549DA">
      <w:pPr>
        <w:rPr>
          <w:i/>
          <w:iCs/>
          <w:lang w:val="en-US"/>
        </w:rPr>
      </w:pPr>
      <w:r w:rsidRPr="00F549DA">
        <w:rPr>
          <w:i/>
          <w:iCs/>
          <w:lang w:val="en-US"/>
        </w:rPr>
        <w:lastRenderedPageBreak/>
        <w:t xml:space="preserve">For how long would an employee have a right to return? </w:t>
      </w:r>
    </w:p>
    <w:tbl>
      <w:tblPr>
        <w:tblStyle w:val="TableGrid"/>
        <w:tblW w:w="0" w:type="auto"/>
        <w:tblLook w:val="04A0" w:firstRow="1" w:lastRow="0" w:firstColumn="1" w:lastColumn="0" w:noHBand="0" w:noVBand="1"/>
      </w:tblPr>
      <w:tblGrid>
        <w:gridCol w:w="9016"/>
      </w:tblGrid>
      <w:tr w:rsidR="00EE17BB" w14:paraId="744C0142" w14:textId="77777777" w:rsidTr="00EE17BB">
        <w:tc>
          <w:tcPr>
            <w:tcW w:w="9016" w:type="dxa"/>
          </w:tcPr>
          <w:p w14:paraId="66BFE062" w14:textId="58537026" w:rsidR="001C0A03" w:rsidRPr="001E146D" w:rsidRDefault="00A33863" w:rsidP="00A33863">
            <w:pPr>
              <w:rPr>
                <w:i/>
                <w:iCs/>
                <w:color w:val="0070C0"/>
                <w:lang w:val="en-US"/>
              </w:rPr>
            </w:pPr>
            <w:r w:rsidRPr="00A33863">
              <w:rPr>
                <w:lang w:val="en-US"/>
              </w:rPr>
              <w:t>We note th</w:t>
            </w:r>
            <w:r>
              <w:rPr>
                <w:lang w:val="en-US"/>
              </w:rPr>
              <w:t>at the Royal Commission into Aged Care Quality and Safety (</w:t>
            </w:r>
            <w:r w:rsidRPr="00A33863">
              <w:rPr>
                <w:lang w:val="en-US"/>
              </w:rPr>
              <w:t>Recommendation 43</w:t>
            </w:r>
            <w:r>
              <w:rPr>
                <w:lang w:val="en-US"/>
              </w:rPr>
              <w:t>)</w:t>
            </w:r>
            <w:r w:rsidRPr="00A33863">
              <w:rPr>
                <w:lang w:val="en-US"/>
              </w:rPr>
              <w:t xml:space="preserve"> did not outline a specific model or propose how an entitlement would operate within the NES.</w:t>
            </w:r>
            <w:r>
              <w:rPr>
                <w:lang w:val="en-US"/>
              </w:rPr>
              <w:t xml:space="preserve"> </w:t>
            </w:r>
            <w:r w:rsidRPr="00A33863">
              <w:rPr>
                <w:lang w:val="en-US"/>
              </w:rPr>
              <w:t xml:space="preserve">Counsel Assisting </w:t>
            </w:r>
            <w:r>
              <w:rPr>
                <w:lang w:val="en-US"/>
              </w:rPr>
              <w:t xml:space="preserve">the Royal Commission </w:t>
            </w:r>
            <w:r w:rsidRPr="00A33863">
              <w:rPr>
                <w:lang w:val="en-US"/>
              </w:rPr>
              <w:t>proposed up to two years of unpaid carer leave</w:t>
            </w:r>
            <w:r w:rsidR="001C0A03">
              <w:rPr>
                <w:rStyle w:val="FootnoteReference"/>
                <w:lang w:val="en-US"/>
              </w:rPr>
              <w:footnoteReference w:id="5"/>
            </w:r>
            <w:r w:rsidR="001C0A03">
              <w:rPr>
                <w:lang w:val="en-US"/>
              </w:rPr>
              <w:t>.</w:t>
            </w:r>
          </w:p>
          <w:p w14:paraId="62B383BB" w14:textId="77777777" w:rsidR="00AC703A" w:rsidRDefault="00AC703A" w:rsidP="00A33863">
            <w:pPr>
              <w:rPr>
                <w:lang w:val="en-US"/>
              </w:rPr>
            </w:pPr>
          </w:p>
          <w:p w14:paraId="39B9DE69" w14:textId="0D35C42C" w:rsidR="00A33863" w:rsidRPr="00A33863" w:rsidRDefault="00A33863" w:rsidP="00A33863">
            <w:pPr>
              <w:rPr>
                <w:lang w:val="en-US"/>
              </w:rPr>
            </w:pPr>
            <w:r>
              <w:rPr>
                <w:lang w:val="en-US"/>
              </w:rPr>
              <w:t xml:space="preserve">We also note that the Paper describes </w:t>
            </w:r>
            <w:r w:rsidRPr="00A33863">
              <w:rPr>
                <w:lang w:val="en-US"/>
              </w:rPr>
              <w:t xml:space="preserve">OECD countries </w:t>
            </w:r>
            <w:r>
              <w:rPr>
                <w:lang w:val="en-US"/>
              </w:rPr>
              <w:t xml:space="preserve">as </w:t>
            </w:r>
            <w:r w:rsidRPr="00A33863">
              <w:rPr>
                <w:lang w:val="en-US"/>
              </w:rPr>
              <w:t>increasingly introducing leave for carers</w:t>
            </w:r>
            <w:r w:rsidR="001C0A03">
              <w:rPr>
                <w:lang w:val="en-US"/>
              </w:rPr>
              <w:t>, albeit most commonly for periods between three and six months</w:t>
            </w:r>
            <w:r w:rsidR="001C0A03">
              <w:rPr>
                <w:rStyle w:val="FootnoteReference"/>
                <w:lang w:val="en-US"/>
              </w:rPr>
              <w:footnoteReference w:id="6"/>
            </w:r>
            <w:r w:rsidR="001C0A03">
              <w:rPr>
                <w:lang w:val="en-US"/>
              </w:rPr>
              <w:t>.</w:t>
            </w:r>
          </w:p>
          <w:p w14:paraId="32B00944" w14:textId="77777777" w:rsidR="00F74BA6" w:rsidRDefault="00F74BA6" w:rsidP="000A74E3">
            <w:pPr>
              <w:rPr>
                <w:lang w:val="en-US"/>
              </w:rPr>
            </w:pPr>
          </w:p>
          <w:p w14:paraId="0871B5A0" w14:textId="468E6FB8" w:rsidR="001C0A03" w:rsidRDefault="00024B76" w:rsidP="000A74E3">
            <w:pPr>
              <w:rPr>
                <w:lang w:val="en-US"/>
              </w:rPr>
            </w:pPr>
            <w:r>
              <w:rPr>
                <w:lang w:val="en-US"/>
              </w:rPr>
              <w:t>E</w:t>
            </w:r>
            <w:r w:rsidR="001C0A03">
              <w:rPr>
                <w:lang w:val="en-US"/>
              </w:rPr>
              <w:t xml:space="preserve">mployees should be entitled to </w:t>
            </w:r>
            <w:r w:rsidR="00F74BA6">
              <w:rPr>
                <w:lang w:val="en-US"/>
              </w:rPr>
              <w:t xml:space="preserve">request </w:t>
            </w:r>
            <w:r w:rsidR="001C0A03">
              <w:rPr>
                <w:lang w:val="en-US"/>
              </w:rPr>
              <w:t>extended unpaid carer leave:</w:t>
            </w:r>
          </w:p>
          <w:p w14:paraId="557EB906" w14:textId="69308D62" w:rsidR="001C0A03" w:rsidRDefault="001C0A03" w:rsidP="001C0A03">
            <w:pPr>
              <w:pStyle w:val="ListParagraph"/>
              <w:numPr>
                <w:ilvl w:val="0"/>
                <w:numId w:val="49"/>
              </w:numPr>
              <w:rPr>
                <w:lang w:val="en-US"/>
              </w:rPr>
            </w:pPr>
            <w:r>
              <w:rPr>
                <w:lang w:val="en-US"/>
              </w:rPr>
              <w:t xml:space="preserve">After completing at least </w:t>
            </w:r>
            <w:r w:rsidR="00424B8F">
              <w:rPr>
                <w:lang w:val="en-US"/>
              </w:rPr>
              <w:t>twelve</w:t>
            </w:r>
            <w:r>
              <w:rPr>
                <w:lang w:val="en-US"/>
              </w:rPr>
              <w:t xml:space="preserve"> months of continuous servic</w:t>
            </w:r>
            <w:r w:rsidR="008E7ABE">
              <w:rPr>
                <w:lang w:val="en-US"/>
              </w:rPr>
              <w:t>e</w:t>
            </w:r>
          </w:p>
          <w:p w14:paraId="4D1B9697" w14:textId="52E0F861" w:rsidR="00424B8F" w:rsidRDefault="00424B8F" w:rsidP="001C0A03">
            <w:pPr>
              <w:pStyle w:val="ListParagraph"/>
              <w:numPr>
                <w:ilvl w:val="0"/>
                <w:numId w:val="49"/>
              </w:numPr>
              <w:rPr>
                <w:lang w:val="en-US"/>
              </w:rPr>
            </w:pPr>
            <w:r>
              <w:rPr>
                <w:lang w:val="en-US"/>
              </w:rPr>
              <w:t xml:space="preserve">Initially eligible for twelve months unpaid carer </w:t>
            </w:r>
            <w:proofErr w:type="gramStart"/>
            <w:r>
              <w:rPr>
                <w:lang w:val="en-US"/>
              </w:rPr>
              <w:t>leave</w:t>
            </w:r>
            <w:proofErr w:type="gramEnd"/>
            <w:r>
              <w:rPr>
                <w:lang w:val="en-US"/>
              </w:rPr>
              <w:t xml:space="preserve"> with provision for up to a further twelve months</w:t>
            </w:r>
            <w:r w:rsidR="00F74BA6">
              <w:rPr>
                <w:lang w:val="en-US"/>
              </w:rPr>
              <w:t xml:space="preserve"> up to a maximum of two years</w:t>
            </w:r>
            <w:r w:rsidR="008E7ABE">
              <w:rPr>
                <w:lang w:val="en-US"/>
              </w:rPr>
              <w:t xml:space="preserve">; and </w:t>
            </w:r>
            <w:r w:rsidR="00F74BA6">
              <w:rPr>
                <w:lang w:val="en-US"/>
              </w:rPr>
              <w:t xml:space="preserve"> </w:t>
            </w:r>
          </w:p>
          <w:p w14:paraId="2D9A25EA" w14:textId="62CDF27A" w:rsidR="00FB5AA3" w:rsidRPr="00FB5AA3" w:rsidRDefault="00F43AA8" w:rsidP="00FB5AA3">
            <w:pPr>
              <w:pStyle w:val="ListParagraph"/>
              <w:numPr>
                <w:ilvl w:val="0"/>
                <w:numId w:val="49"/>
              </w:numPr>
              <w:rPr>
                <w:lang w:val="en-US"/>
              </w:rPr>
            </w:pPr>
            <w:r w:rsidRPr="001C0A03">
              <w:rPr>
                <w:lang w:val="en-US"/>
              </w:rPr>
              <w:t>An employee should have a right of return for two years</w:t>
            </w:r>
            <w:r w:rsidR="008E7ABE">
              <w:rPr>
                <w:lang w:val="en-US"/>
              </w:rPr>
              <w:t>, but not necessarily to their previous hours</w:t>
            </w:r>
            <w:r w:rsidRPr="001C0A03">
              <w:rPr>
                <w:lang w:val="en-US"/>
              </w:rPr>
              <w:t xml:space="preserve">. </w:t>
            </w:r>
          </w:p>
          <w:p w14:paraId="428BE9E7" w14:textId="597434E1" w:rsidR="00AC703A" w:rsidRDefault="00FB5AA3" w:rsidP="00B1772E">
            <w:pPr>
              <w:rPr>
                <w:lang w:val="en-US"/>
              </w:rPr>
            </w:pPr>
            <w:r>
              <w:rPr>
                <w:lang w:val="en-US"/>
              </w:rPr>
              <w:t>Employers must have the right to refuse requests for leave on reasonable business grounds.</w:t>
            </w:r>
          </w:p>
          <w:p w14:paraId="46DBAB6B" w14:textId="11DC112F" w:rsidR="00FB5AA3" w:rsidRDefault="00FB5AA3" w:rsidP="00B1772E">
            <w:pPr>
              <w:rPr>
                <w:lang w:val="en-US"/>
              </w:rPr>
            </w:pPr>
          </w:p>
        </w:tc>
      </w:tr>
    </w:tbl>
    <w:p w14:paraId="1B7C9EF6" w14:textId="77777777" w:rsidR="00EE17BB" w:rsidRDefault="00EE17BB" w:rsidP="000A74E3">
      <w:pPr>
        <w:rPr>
          <w:b/>
          <w:bCs/>
          <w:lang w:val="en-US"/>
        </w:rPr>
      </w:pPr>
    </w:p>
    <w:p w14:paraId="3FBAEBD4" w14:textId="460E4B5F" w:rsidR="000A74E3" w:rsidRPr="00D25B1A" w:rsidRDefault="00DF5372" w:rsidP="00F9511A">
      <w:pPr>
        <w:pStyle w:val="Heading2"/>
        <w:spacing w:before="200"/>
        <w:rPr>
          <w:sz w:val="24"/>
          <w:szCs w:val="24"/>
        </w:rPr>
      </w:pPr>
      <w:bookmarkStart w:id="0" w:name="_Hlk111189081"/>
      <w:r>
        <w:rPr>
          <w:sz w:val="24"/>
          <w:szCs w:val="24"/>
        </w:rPr>
        <w:t>Adequacy of existing leave provisions</w:t>
      </w:r>
    </w:p>
    <w:bookmarkEnd w:id="0"/>
    <w:p w14:paraId="00F5F624" w14:textId="5477ED88" w:rsidR="000A74E3" w:rsidRPr="00024B76" w:rsidRDefault="000A74E3" w:rsidP="00024B76">
      <w:pPr>
        <w:rPr>
          <w:i/>
          <w:iCs/>
          <w:lang w:val="en-US"/>
        </w:rPr>
      </w:pPr>
      <w:r w:rsidRPr="00024B76">
        <w:rPr>
          <w:i/>
          <w:iCs/>
          <w:lang w:val="en-US"/>
        </w:rPr>
        <w:t>What is the adequacy of existing leave provisions in the NES for carers</w:t>
      </w:r>
      <w:r w:rsidRPr="00024B76">
        <w:rPr>
          <w:rStyle w:val="FootnoteReference"/>
          <w:i/>
          <w:iCs/>
          <w:lang w:val="en-US"/>
        </w:rPr>
        <w:footnoteReference w:id="7"/>
      </w:r>
      <w:r w:rsidRPr="00024B76">
        <w:rPr>
          <w:i/>
          <w:iCs/>
          <w:lang w:val="en-US"/>
        </w:rPr>
        <w:t xml:space="preserve">, and to what extent are the proposed changes required? </w:t>
      </w:r>
    </w:p>
    <w:tbl>
      <w:tblPr>
        <w:tblStyle w:val="TableGrid"/>
        <w:tblW w:w="0" w:type="auto"/>
        <w:tblLook w:val="04A0" w:firstRow="1" w:lastRow="0" w:firstColumn="1" w:lastColumn="0" w:noHBand="0" w:noVBand="1"/>
      </w:tblPr>
      <w:tblGrid>
        <w:gridCol w:w="9016"/>
      </w:tblGrid>
      <w:tr w:rsidR="00773583" w14:paraId="21FFECBC" w14:textId="77777777" w:rsidTr="00773583">
        <w:tc>
          <w:tcPr>
            <w:tcW w:w="9016" w:type="dxa"/>
          </w:tcPr>
          <w:p w14:paraId="19D13C50" w14:textId="3162F808" w:rsidR="00773583" w:rsidRPr="002D376C" w:rsidRDefault="00A51F0A" w:rsidP="00773583">
            <w:pPr>
              <w:rPr>
                <w:i/>
                <w:iCs/>
                <w:color w:val="0070C0"/>
                <w:lang w:val="en-US"/>
              </w:rPr>
            </w:pPr>
            <w:r>
              <w:rPr>
                <w:lang w:val="en-US"/>
              </w:rPr>
              <w:t xml:space="preserve">The </w:t>
            </w:r>
            <w:r w:rsidR="00E0758B">
              <w:rPr>
                <w:lang w:val="en-US"/>
              </w:rPr>
              <w:t xml:space="preserve">NES </w:t>
            </w:r>
            <w:r w:rsidR="00F962F1">
              <w:rPr>
                <w:lang w:val="en-US"/>
              </w:rPr>
              <w:t>contain a range of minimum employment entitlements that cover all employees whether covered by an award, enterprise agreement or employment contract</w:t>
            </w:r>
            <w:r w:rsidR="00560198">
              <w:rPr>
                <w:rStyle w:val="FootnoteReference"/>
                <w:lang w:val="en-US"/>
              </w:rPr>
              <w:footnoteReference w:id="8"/>
            </w:r>
            <w:r w:rsidR="00F962F1">
              <w:rPr>
                <w:lang w:val="en-US"/>
              </w:rPr>
              <w:t xml:space="preserve">. </w:t>
            </w:r>
            <w:r w:rsidR="00E0758B">
              <w:rPr>
                <w:lang w:val="en-US"/>
              </w:rPr>
              <w:t xml:space="preserve">The NES includes three standards that assist informal carers and provide for 10 days of personal/carer leave; 2 days of unpaid carer leave for each episode of care provided; and a right to </w:t>
            </w:r>
            <w:r w:rsidR="00EB3361">
              <w:rPr>
                <w:lang w:val="en-US"/>
              </w:rPr>
              <w:t>request flexible working arrangement.</w:t>
            </w:r>
          </w:p>
          <w:p w14:paraId="0B5B6C8E" w14:textId="466AF907" w:rsidR="00EB3361" w:rsidRDefault="00942350" w:rsidP="00773583">
            <w:pPr>
              <w:rPr>
                <w:lang w:val="en-US"/>
              </w:rPr>
            </w:pPr>
            <w:r>
              <w:rPr>
                <w:lang w:val="en-US"/>
              </w:rPr>
              <w:t>Currently the existing leave entitlements for carers are primarily intended for brief periods of care to deal with an illness or unexpected event or emergency</w:t>
            </w:r>
            <w:r>
              <w:rPr>
                <w:rStyle w:val="FootnoteReference"/>
                <w:lang w:val="en-US"/>
              </w:rPr>
              <w:footnoteReference w:id="9"/>
            </w:r>
            <w:r>
              <w:rPr>
                <w:lang w:val="en-US"/>
              </w:rPr>
              <w:t xml:space="preserve">. </w:t>
            </w:r>
            <w:r w:rsidR="00EB3361">
              <w:rPr>
                <w:lang w:val="en-US"/>
              </w:rPr>
              <w:t xml:space="preserve">These provisions are suitable for </w:t>
            </w:r>
            <w:r w:rsidR="00BC5497">
              <w:rPr>
                <w:lang w:val="en-US"/>
              </w:rPr>
              <w:t>short term care requirements but are not adequate for extended periods of care.</w:t>
            </w:r>
          </w:p>
          <w:p w14:paraId="5AB03F7F" w14:textId="77777777" w:rsidR="008E7ABE" w:rsidRDefault="008E7ABE" w:rsidP="00773583">
            <w:pPr>
              <w:rPr>
                <w:lang w:val="en-US"/>
              </w:rPr>
            </w:pPr>
          </w:p>
          <w:p w14:paraId="2C7BABF9" w14:textId="58084AFB" w:rsidR="00BC5497" w:rsidRDefault="00942350" w:rsidP="00773583">
            <w:pPr>
              <w:rPr>
                <w:lang w:val="en-US"/>
              </w:rPr>
            </w:pPr>
            <w:r>
              <w:rPr>
                <w:lang w:val="en-US"/>
              </w:rPr>
              <w:t xml:space="preserve">ACCPA supports the introduction of a provision for </w:t>
            </w:r>
            <w:r w:rsidR="0047063E">
              <w:rPr>
                <w:lang w:val="en-US"/>
              </w:rPr>
              <w:t xml:space="preserve">extended unpaid carer leave that provides for an </w:t>
            </w:r>
            <w:r w:rsidR="00202B29">
              <w:rPr>
                <w:lang w:val="en-US"/>
              </w:rPr>
              <w:t>unpaid</w:t>
            </w:r>
            <w:r w:rsidR="0047063E">
              <w:rPr>
                <w:lang w:val="en-US"/>
              </w:rPr>
              <w:t xml:space="preserve"> carer to </w:t>
            </w:r>
            <w:r w:rsidR="00B00198">
              <w:rPr>
                <w:lang w:val="en-US"/>
              </w:rPr>
              <w:t>request</w:t>
            </w:r>
            <w:r w:rsidR="0047063E">
              <w:rPr>
                <w:lang w:val="en-US"/>
              </w:rPr>
              <w:t xml:space="preserve"> leave to care for a</w:t>
            </w:r>
            <w:r w:rsidR="008E7ABE">
              <w:rPr>
                <w:lang w:val="en-US"/>
              </w:rPr>
              <w:t xml:space="preserve"> </w:t>
            </w:r>
            <w:r w:rsidR="0047063E">
              <w:rPr>
                <w:lang w:val="en-US"/>
              </w:rPr>
              <w:t>family member</w:t>
            </w:r>
            <w:r w:rsidR="00032D00">
              <w:rPr>
                <w:lang w:val="en-US"/>
              </w:rPr>
              <w:t xml:space="preserve"> or </w:t>
            </w:r>
            <w:r w:rsidR="008E7ABE">
              <w:rPr>
                <w:lang w:val="en-US"/>
              </w:rPr>
              <w:t xml:space="preserve">close relative </w:t>
            </w:r>
            <w:r w:rsidR="0002010E">
              <w:rPr>
                <w:lang w:val="en-US"/>
              </w:rPr>
              <w:t>who is elderly or who has</w:t>
            </w:r>
            <w:r w:rsidR="00032D00">
              <w:rPr>
                <w:lang w:val="en-US"/>
              </w:rPr>
              <w:t xml:space="preserve"> a temporary or terminal illness</w:t>
            </w:r>
            <w:r w:rsidR="0047063E">
              <w:rPr>
                <w:lang w:val="en-US"/>
              </w:rPr>
              <w:t>.</w:t>
            </w:r>
            <w:r w:rsidR="00FB5AA3">
              <w:rPr>
                <w:lang w:val="en-US"/>
              </w:rPr>
              <w:t xml:space="preserve"> </w:t>
            </w:r>
          </w:p>
          <w:p w14:paraId="0B76B49F" w14:textId="77777777" w:rsidR="0002010E" w:rsidRDefault="0002010E" w:rsidP="00773583">
            <w:pPr>
              <w:rPr>
                <w:lang w:val="en-US"/>
              </w:rPr>
            </w:pPr>
          </w:p>
          <w:p w14:paraId="0879933C" w14:textId="213BBAB7" w:rsidR="0087068B" w:rsidRDefault="00B91C50" w:rsidP="00773583">
            <w:pPr>
              <w:rPr>
                <w:lang w:val="en-US"/>
              </w:rPr>
            </w:pPr>
            <w:r>
              <w:rPr>
                <w:lang w:val="en-US"/>
              </w:rPr>
              <w:t>H</w:t>
            </w:r>
            <w:r w:rsidR="00032D00">
              <w:rPr>
                <w:lang w:val="en-US"/>
              </w:rPr>
              <w:t xml:space="preserve">aving </w:t>
            </w:r>
            <w:r>
              <w:rPr>
                <w:lang w:val="en-US"/>
              </w:rPr>
              <w:t xml:space="preserve">such </w:t>
            </w:r>
            <w:r w:rsidR="00032D00">
              <w:rPr>
                <w:lang w:val="en-US"/>
              </w:rPr>
              <w:t>a leave provision available</w:t>
            </w:r>
            <w:r>
              <w:rPr>
                <w:lang w:val="en-US"/>
              </w:rPr>
              <w:t xml:space="preserve"> </w:t>
            </w:r>
            <w:r w:rsidR="00032D00">
              <w:rPr>
                <w:lang w:val="en-US"/>
              </w:rPr>
              <w:t xml:space="preserve">is consistent with modern employment practices that provide for flexible working arrangements that are ‘family friendly’. </w:t>
            </w:r>
          </w:p>
          <w:p w14:paraId="5E000817" w14:textId="77777777" w:rsidR="0002010E" w:rsidRDefault="0002010E" w:rsidP="00773583">
            <w:pPr>
              <w:rPr>
                <w:lang w:val="en-US"/>
              </w:rPr>
            </w:pPr>
          </w:p>
          <w:p w14:paraId="3F68308B" w14:textId="25C8F7CA" w:rsidR="0087068B" w:rsidRPr="00773583" w:rsidRDefault="0002010E" w:rsidP="00773583">
            <w:pPr>
              <w:rPr>
                <w:lang w:val="en-US"/>
              </w:rPr>
            </w:pPr>
            <w:r>
              <w:rPr>
                <w:lang w:val="en-US"/>
              </w:rPr>
              <w:t>Such an approach</w:t>
            </w:r>
            <w:r w:rsidR="00B91C50">
              <w:rPr>
                <w:lang w:val="en-US"/>
              </w:rPr>
              <w:t xml:space="preserve"> </w:t>
            </w:r>
            <w:r w:rsidR="00032D00">
              <w:rPr>
                <w:lang w:val="en-US"/>
              </w:rPr>
              <w:t>would also be consistent with attractive employment arrangements being available to employees in a tight labour market.</w:t>
            </w:r>
          </w:p>
          <w:p w14:paraId="4FB65C4E" w14:textId="5C07B901" w:rsidR="00773583" w:rsidRDefault="00773583" w:rsidP="00773583">
            <w:pPr>
              <w:rPr>
                <w:lang w:val="en-US"/>
              </w:rPr>
            </w:pPr>
          </w:p>
        </w:tc>
      </w:tr>
    </w:tbl>
    <w:p w14:paraId="76F0798C" w14:textId="77777777" w:rsidR="000A74E3" w:rsidRPr="00773583" w:rsidRDefault="000A74E3" w:rsidP="00773583">
      <w:pPr>
        <w:rPr>
          <w:lang w:val="en-US"/>
        </w:rPr>
      </w:pPr>
    </w:p>
    <w:p w14:paraId="50F6D65B" w14:textId="77777777" w:rsidR="0002010E" w:rsidRDefault="0002010E" w:rsidP="00B82AC8">
      <w:pPr>
        <w:rPr>
          <w:i/>
          <w:iCs/>
          <w:lang w:val="en-US"/>
        </w:rPr>
      </w:pPr>
    </w:p>
    <w:p w14:paraId="0273F217" w14:textId="63FBE115" w:rsidR="000A74E3" w:rsidRPr="00BF3284" w:rsidRDefault="002D376C" w:rsidP="00B82AC8">
      <w:pPr>
        <w:rPr>
          <w:i/>
          <w:iCs/>
          <w:lang w:val="en-US"/>
        </w:rPr>
      </w:pPr>
      <w:r w:rsidRPr="00BF3284">
        <w:rPr>
          <w:i/>
          <w:iCs/>
          <w:lang w:val="en-US"/>
        </w:rPr>
        <w:lastRenderedPageBreak/>
        <w:t xml:space="preserve">Regarding the impact </w:t>
      </w:r>
      <w:r w:rsidR="00D824C1" w:rsidRPr="00BF3284">
        <w:rPr>
          <w:i/>
          <w:iCs/>
          <w:lang w:val="en-US"/>
        </w:rPr>
        <w:t xml:space="preserve">an </w:t>
      </w:r>
      <w:r w:rsidR="000A74E3" w:rsidRPr="00BF3284">
        <w:rPr>
          <w:i/>
          <w:iCs/>
          <w:lang w:val="en-US"/>
        </w:rPr>
        <w:t xml:space="preserve">extended leave provision </w:t>
      </w:r>
      <w:r w:rsidR="00D824C1" w:rsidRPr="00BF3284">
        <w:rPr>
          <w:i/>
          <w:iCs/>
          <w:lang w:val="en-US"/>
        </w:rPr>
        <w:t xml:space="preserve">would have </w:t>
      </w:r>
      <w:r w:rsidR="000A74E3" w:rsidRPr="00BF3284">
        <w:rPr>
          <w:i/>
          <w:iCs/>
          <w:lang w:val="en-US"/>
        </w:rPr>
        <w:t>on the sector should it be extended beyond caring for older Australians (to also cover caring for people with a disability or having temporary or terminal illness).</w:t>
      </w:r>
    </w:p>
    <w:tbl>
      <w:tblPr>
        <w:tblStyle w:val="TableGrid"/>
        <w:tblW w:w="0" w:type="auto"/>
        <w:tblLook w:val="04A0" w:firstRow="1" w:lastRow="0" w:firstColumn="1" w:lastColumn="0" w:noHBand="0" w:noVBand="1"/>
      </w:tblPr>
      <w:tblGrid>
        <w:gridCol w:w="9016"/>
      </w:tblGrid>
      <w:tr w:rsidR="00773583" w14:paraId="59E3514D" w14:textId="77777777" w:rsidTr="00773583">
        <w:tc>
          <w:tcPr>
            <w:tcW w:w="9016" w:type="dxa"/>
          </w:tcPr>
          <w:p w14:paraId="70D3CEEA" w14:textId="53C2D76F" w:rsidR="00773583" w:rsidRDefault="00D824C1" w:rsidP="00773583">
            <w:pPr>
              <w:rPr>
                <w:lang w:val="en-US"/>
              </w:rPr>
            </w:pPr>
            <w:r>
              <w:rPr>
                <w:lang w:val="en-US"/>
              </w:rPr>
              <w:t xml:space="preserve">ACCPA is </w:t>
            </w:r>
            <w:r w:rsidR="00773583">
              <w:rPr>
                <w:lang w:val="en-US"/>
              </w:rPr>
              <w:t xml:space="preserve">supportive of the provision being extended beyond caring for the elderly to </w:t>
            </w:r>
            <w:r w:rsidR="00D41141">
              <w:rPr>
                <w:lang w:val="en-US"/>
              </w:rPr>
              <w:t>encompass</w:t>
            </w:r>
            <w:r w:rsidR="00773583">
              <w:rPr>
                <w:lang w:val="en-US"/>
              </w:rPr>
              <w:t xml:space="preserve"> caring</w:t>
            </w:r>
            <w:r w:rsidR="00D41141">
              <w:rPr>
                <w:lang w:val="en-US"/>
              </w:rPr>
              <w:t xml:space="preserve"> for those with a temporary or terminal illness. </w:t>
            </w:r>
          </w:p>
          <w:p w14:paraId="5A447840" w14:textId="77777777" w:rsidR="0002010E" w:rsidRDefault="0002010E" w:rsidP="00773583">
            <w:pPr>
              <w:rPr>
                <w:lang w:val="en-US"/>
              </w:rPr>
            </w:pPr>
          </w:p>
          <w:p w14:paraId="134705FD" w14:textId="288A3C9F" w:rsidR="00D41141" w:rsidRDefault="00F56F06" w:rsidP="00773583">
            <w:pPr>
              <w:rPr>
                <w:lang w:val="en-US"/>
              </w:rPr>
            </w:pPr>
            <w:r>
              <w:rPr>
                <w:lang w:val="en-US"/>
              </w:rPr>
              <w:t xml:space="preserve">Terms such as </w:t>
            </w:r>
            <w:r w:rsidR="00D41141">
              <w:rPr>
                <w:lang w:val="en-US"/>
              </w:rPr>
              <w:t>‘</w:t>
            </w:r>
            <w:r>
              <w:rPr>
                <w:lang w:val="en-US"/>
              </w:rPr>
              <w:t>t</w:t>
            </w:r>
            <w:r w:rsidR="00D41141">
              <w:rPr>
                <w:lang w:val="en-US"/>
              </w:rPr>
              <w:t xml:space="preserve">emporary’ and ‘terminal’ would need to be </w:t>
            </w:r>
            <w:r w:rsidR="00D6417B">
              <w:rPr>
                <w:lang w:val="en-US"/>
              </w:rPr>
              <w:t xml:space="preserve">clearly </w:t>
            </w:r>
            <w:r w:rsidR="00D41141">
              <w:rPr>
                <w:lang w:val="en-US"/>
              </w:rPr>
              <w:t xml:space="preserve">defined with </w:t>
            </w:r>
            <w:r>
              <w:rPr>
                <w:lang w:val="en-US"/>
              </w:rPr>
              <w:t xml:space="preserve">eligibility </w:t>
            </w:r>
            <w:r w:rsidR="00D41141">
              <w:rPr>
                <w:lang w:val="en-US"/>
              </w:rPr>
              <w:t>criteria in pla</w:t>
            </w:r>
            <w:r>
              <w:rPr>
                <w:lang w:val="en-US"/>
              </w:rPr>
              <w:t xml:space="preserve">ce, </w:t>
            </w:r>
            <w:r w:rsidR="00D6417B">
              <w:rPr>
                <w:lang w:val="en-US"/>
              </w:rPr>
              <w:t>and independently verifi</w:t>
            </w:r>
            <w:r w:rsidR="0047063E">
              <w:rPr>
                <w:lang w:val="en-US"/>
              </w:rPr>
              <w:t>ed</w:t>
            </w:r>
            <w:r w:rsidR="00A51F0A">
              <w:rPr>
                <w:lang w:val="en-US"/>
              </w:rPr>
              <w:t xml:space="preserve"> (for example where </w:t>
            </w:r>
            <w:r w:rsidR="0047063E">
              <w:rPr>
                <w:lang w:val="en-US"/>
              </w:rPr>
              <w:t xml:space="preserve">extended carer </w:t>
            </w:r>
            <w:r w:rsidR="00A51F0A">
              <w:rPr>
                <w:lang w:val="en-US"/>
              </w:rPr>
              <w:t xml:space="preserve">leave is </w:t>
            </w:r>
            <w:r w:rsidR="0047063E">
              <w:rPr>
                <w:lang w:val="en-US"/>
              </w:rPr>
              <w:t>applied for</w:t>
            </w:r>
            <w:r w:rsidR="00A51F0A">
              <w:rPr>
                <w:lang w:val="en-US"/>
              </w:rPr>
              <w:t xml:space="preserve"> to care for someone who is terminally ill</w:t>
            </w:r>
            <w:r w:rsidR="0047063E">
              <w:rPr>
                <w:lang w:val="en-US"/>
              </w:rPr>
              <w:t>, a medical practitioner would need to confirm</w:t>
            </w:r>
            <w:r w:rsidR="00032D00">
              <w:rPr>
                <w:lang w:val="en-US"/>
              </w:rPr>
              <w:t xml:space="preserve"> the medical status</w:t>
            </w:r>
            <w:r w:rsidR="0047063E">
              <w:rPr>
                <w:lang w:val="en-US"/>
              </w:rPr>
              <w:t xml:space="preserve"> </w:t>
            </w:r>
            <w:r w:rsidR="00032D00">
              <w:rPr>
                <w:lang w:val="en-US"/>
              </w:rPr>
              <w:t>of the person to be cared for</w:t>
            </w:r>
            <w:r w:rsidR="00A51F0A">
              <w:rPr>
                <w:lang w:val="en-US"/>
              </w:rPr>
              <w:t>)</w:t>
            </w:r>
            <w:r w:rsidR="00D6417B">
              <w:rPr>
                <w:lang w:val="en-US"/>
              </w:rPr>
              <w:t>.</w:t>
            </w:r>
          </w:p>
          <w:p w14:paraId="19B89971" w14:textId="0EF6206F" w:rsidR="00D6417B" w:rsidRDefault="00D6417B" w:rsidP="00773583">
            <w:pPr>
              <w:rPr>
                <w:lang w:val="en-US"/>
              </w:rPr>
            </w:pPr>
          </w:p>
        </w:tc>
      </w:tr>
    </w:tbl>
    <w:p w14:paraId="05FAE286" w14:textId="77777777" w:rsidR="00773583" w:rsidRPr="00773583" w:rsidRDefault="00773583" w:rsidP="00773583">
      <w:pPr>
        <w:rPr>
          <w:lang w:val="en-US"/>
        </w:rPr>
      </w:pPr>
    </w:p>
    <w:p w14:paraId="351B0F88" w14:textId="1E586230" w:rsidR="000A74E3" w:rsidRPr="00866E06" w:rsidRDefault="00981374" w:rsidP="00866E06">
      <w:pPr>
        <w:pStyle w:val="Heading2"/>
        <w:spacing w:before="200"/>
        <w:rPr>
          <w:sz w:val="24"/>
          <w:szCs w:val="24"/>
        </w:rPr>
      </w:pPr>
      <w:r>
        <w:rPr>
          <w:sz w:val="24"/>
          <w:szCs w:val="24"/>
        </w:rPr>
        <w:t xml:space="preserve">Benefits </w:t>
      </w:r>
      <w:r w:rsidR="00CA3BA2">
        <w:rPr>
          <w:sz w:val="24"/>
          <w:szCs w:val="24"/>
        </w:rPr>
        <w:t xml:space="preserve">to the older person </w:t>
      </w:r>
      <w:r>
        <w:rPr>
          <w:sz w:val="24"/>
          <w:szCs w:val="24"/>
        </w:rPr>
        <w:t xml:space="preserve">of unpaid carer leave </w:t>
      </w:r>
    </w:p>
    <w:p w14:paraId="6A2FB091" w14:textId="60EE9667" w:rsidR="000A74E3" w:rsidRPr="00170455" w:rsidRDefault="000A74E3" w:rsidP="00170455">
      <w:pPr>
        <w:rPr>
          <w:i/>
          <w:iCs/>
          <w:lang w:val="en-US"/>
        </w:rPr>
      </w:pPr>
      <w:r w:rsidRPr="00170455">
        <w:rPr>
          <w:i/>
          <w:iCs/>
          <w:lang w:val="en-US"/>
        </w:rPr>
        <w:t>The Paper note</w:t>
      </w:r>
      <w:r w:rsidR="00170455" w:rsidRPr="00170455">
        <w:rPr>
          <w:i/>
          <w:iCs/>
          <w:lang w:val="en-US"/>
        </w:rPr>
        <w:t>s</w:t>
      </w:r>
      <w:r w:rsidRPr="00170455">
        <w:rPr>
          <w:i/>
          <w:iCs/>
          <w:lang w:val="en-US"/>
        </w:rPr>
        <w:t xml:space="preserve"> that having an informal carer in place plays a significant role in helping older people to stay in their own homes for as long as possible and having a co-resident carer is associated with longer intervals between undergoing an aged care assessment and entering permanent residential care. </w:t>
      </w:r>
    </w:p>
    <w:tbl>
      <w:tblPr>
        <w:tblStyle w:val="TableGrid"/>
        <w:tblW w:w="0" w:type="auto"/>
        <w:tblLook w:val="04A0" w:firstRow="1" w:lastRow="0" w:firstColumn="1" w:lastColumn="0" w:noHBand="0" w:noVBand="1"/>
      </w:tblPr>
      <w:tblGrid>
        <w:gridCol w:w="9016"/>
      </w:tblGrid>
      <w:tr w:rsidR="00215DDD" w14:paraId="421AE403" w14:textId="77777777" w:rsidTr="00215DDD">
        <w:tc>
          <w:tcPr>
            <w:tcW w:w="9016" w:type="dxa"/>
          </w:tcPr>
          <w:p w14:paraId="3E5146C2" w14:textId="77777777" w:rsidR="0002010E" w:rsidRDefault="00215DDD" w:rsidP="00215DDD">
            <w:pPr>
              <w:rPr>
                <w:lang w:val="en-US"/>
              </w:rPr>
            </w:pPr>
            <w:r>
              <w:rPr>
                <w:lang w:val="en-US"/>
              </w:rPr>
              <w:t xml:space="preserve">Being able to provide unpaid informal care brings great benefits to the care recipient </w:t>
            </w:r>
            <w:r w:rsidR="00E77643">
              <w:rPr>
                <w:lang w:val="en-US"/>
              </w:rPr>
              <w:t xml:space="preserve">(for example being able to stay in the location of their choice for longer) and the care giver. </w:t>
            </w:r>
          </w:p>
          <w:p w14:paraId="581966C8" w14:textId="77777777" w:rsidR="0002010E" w:rsidRDefault="0002010E" w:rsidP="00215DDD">
            <w:pPr>
              <w:rPr>
                <w:lang w:val="en-US"/>
              </w:rPr>
            </w:pPr>
          </w:p>
          <w:p w14:paraId="5C26E265" w14:textId="34F21C3C" w:rsidR="00215DDD" w:rsidRDefault="00E77643" w:rsidP="00215DDD">
            <w:pPr>
              <w:rPr>
                <w:lang w:val="en-US"/>
              </w:rPr>
            </w:pPr>
            <w:r>
              <w:rPr>
                <w:lang w:val="en-US"/>
              </w:rPr>
              <w:t>Having provisions in the NES for extended unpaid carer leave provides for an entitlement for these carers to care for family members</w:t>
            </w:r>
            <w:r w:rsidR="0002010E">
              <w:rPr>
                <w:lang w:val="en-US"/>
              </w:rPr>
              <w:t xml:space="preserve"> or close relatives</w:t>
            </w:r>
            <w:r>
              <w:rPr>
                <w:lang w:val="en-US"/>
              </w:rPr>
              <w:t xml:space="preserve">, whilst taking leave from their work, and providing them the assurance of having a job to return to. </w:t>
            </w:r>
          </w:p>
          <w:p w14:paraId="643B3BF7" w14:textId="77777777" w:rsidR="0002010E" w:rsidRDefault="0002010E" w:rsidP="00215DDD">
            <w:pPr>
              <w:rPr>
                <w:lang w:val="en-US"/>
              </w:rPr>
            </w:pPr>
          </w:p>
          <w:p w14:paraId="7E5E1662" w14:textId="4238D818" w:rsidR="00E77643" w:rsidRDefault="00E77643" w:rsidP="00215DDD">
            <w:pPr>
              <w:rPr>
                <w:lang w:val="en-US"/>
              </w:rPr>
            </w:pPr>
            <w:r>
              <w:rPr>
                <w:lang w:val="en-US"/>
              </w:rPr>
              <w:t xml:space="preserve">There are clear societal benefits to this approach, both to </w:t>
            </w:r>
            <w:r w:rsidR="0002010E">
              <w:rPr>
                <w:lang w:val="en-US"/>
              </w:rPr>
              <w:t>the care recipient</w:t>
            </w:r>
            <w:r>
              <w:rPr>
                <w:lang w:val="en-US"/>
              </w:rPr>
              <w:t xml:space="preserve"> but also to society more broadly, including through keeping people at home longer and delaying admission to residential aged care.</w:t>
            </w:r>
          </w:p>
          <w:p w14:paraId="7E8A5872" w14:textId="77777777" w:rsidR="0002010E" w:rsidRDefault="0002010E" w:rsidP="00215DDD">
            <w:pPr>
              <w:rPr>
                <w:lang w:val="en-US"/>
              </w:rPr>
            </w:pPr>
          </w:p>
          <w:p w14:paraId="42DB9CDB" w14:textId="19C6E6A0" w:rsidR="0035703A" w:rsidRDefault="0035703A" w:rsidP="00215DDD">
            <w:pPr>
              <w:rPr>
                <w:lang w:val="en-US"/>
              </w:rPr>
            </w:pPr>
            <w:r>
              <w:rPr>
                <w:lang w:val="en-US"/>
              </w:rPr>
              <w:t xml:space="preserve">And whilst these benefits are not directly beneficial to </w:t>
            </w:r>
            <w:r w:rsidR="003277D6">
              <w:rPr>
                <w:lang w:val="en-US"/>
              </w:rPr>
              <w:t xml:space="preserve">aged care </w:t>
            </w:r>
            <w:r>
              <w:rPr>
                <w:lang w:val="en-US"/>
              </w:rPr>
              <w:t xml:space="preserve">employers there is merit in providing skilled and valued </w:t>
            </w:r>
            <w:r w:rsidR="003277D6">
              <w:rPr>
                <w:lang w:val="en-US"/>
              </w:rPr>
              <w:t xml:space="preserve">aged care </w:t>
            </w:r>
            <w:r>
              <w:rPr>
                <w:lang w:val="en-US"/>
              </w:rPr>
              <w:t xml:space="preserve">workers with a means to take extended unpaid </w:t>
            </w:r>
            <w:r w:rsidR="004E68D1">
              <w:rPr>
                <w:lang w:val="en-US"/>
              </w:rPr>
              <w:t xml:space="preserve">carer </w:t>
            </w:r>
            <w:r>
              <w:rPr>
                <w:lang w:val="en-US"/>
              </w:rPr>
              <w:t>leave and have them return to the work</w:t>
            </w:r>
            <w:r w:rsidR="003277D6">
              <w:rPr>
                <w:lang w:val="en-US"/>
              </w:rPr>
              <w:t>place</w:t>
            </w:r>
            <w:r>
              <w:rPr>
                <w:lang w:val="en-US"/>
              </w:rPr>
              <w:t>.</w:t>
            </w:r>
          </w:p>
          <w:p w14:paraId="2D48F0FE" w14:textId="77777777" w:rsidR="00442513" w:rsidRDefault="00442513" w:rsidP="00215DDD">
            <w:pPr>
              <w:rPr>
                <w:lang w:val="en-US"/>
              </w:rPr>
            </w:pPr>
          </w:p>
          <w:p w14:paraId="38F65DFA" w14:textId="0B894C83" w:rsidR="009E481C" w:rsidRDefault="009E481C" w:rsidP="00215DDD">
            <w:pPr>
              <w:rPr>
                <w:lang w:val="en-US"/>
              </w:rPr>
            </w:pPr>
            <w:r>
              <w:rPr>
                <w:lang w:val="en-US"/>
              </w:rPr>
              <w:t xml:space="preserve">Contemporary </w:t>
            </w:r>
            <w:r w:rsidR="00716D06">
              <w:rPr>
                <w:lang w:val="en-US"/>
              </w:rPr>
              <w:t xml:space="preserve">workplaces must encompass </w:t>
            </w:r>
            <w:r w:rsidR="00716D06" w:rsidRPr="00716D06">
              <w:rPr>
                <w:i/>
                <w:iCs/>
                <w:lang w:val="en-US"/>
              </w:rPr>
              <w:t>family friendly</w:t>
            </w:r>
            <w:r w:rsidR="00716D06">
              <w:rPr>
                <w:lang w:val="en-US"/>
              </w:rPr>
              <w:t xml:space="preserve"> employment practices.</w:t>
            </w:r>
          </w:p>
          <w:p w14:paraId="289750F6" w14:textId="3FEF7B5C" w:rsidR="0035703A" w:rsidRDefault="0035703A" w:rsidP="00215DDD">
            <w:pPr>
              <w:rPr>
                <w:lang w:val="en-US"/>
              </w:rPr>
            </w:pPr>
            <w:r>
              <w:rPr>
                <w:lang w:val="en-US"/>
              </w:rPr>
              <w:t>This is especially the case in a market where there are acute skills shortages</w:t>
            </w:r>
            <w:r w:rsidR="00ED43B0">
              <w:rPr>
                <w:rStyle w:val="FootnoteReference"/>
                <w:lang w:val="en-US"/>
              </w:rPr>
              <w:footnoteReference w:id="10"/>
            </w:r>
            <w:r w:rsidR="003277D6">
              <w:rPr>
                <w:lang w:val="en-US"/>
              </w:rPr>
              <w:t>, including in aged care</w:t>
            </w:r>
            <w:r w:rsidR="008A3C65">
              <w:rPr>
                <w:rStyle w:val="FootnoteReference"/>
                <w:lang w:val="en-US"/>
              </w:rPr>
              <w:footnoteReference w:id="11"/>
            </w:r>
            <w:r w:rsidR="001463AE">
              <w:rPr>
                <w:lang w:val="en-US"/>
              </w:rPr>
              <w:t>, and where there is very low unemployment.</w:t>
            </w:r>
          </w:p>
          <w:p w14:paraId="68D62B30" w14:textId="77777777" w:rsidR="00442513" w:rsidRDefault="00442513" w:rsidP="00215DDD">
            <w:pPr>
              <w:rPr>
                <w:lang w:val="en-US"/>
              </w:rPr>
            </w:pPr>
          </w:p>
          <w:p w14:paraId="6893718A" w14:textId="0D148F9D" w:rsidR="00A34C73" w:rsidRDefault="004E68D1" w:rsidP="00215DDD">
            <w:pPr>
              <w:rPr>
                <w:lang w:val="en-US"/>
              </w:rPr>
            </w:pPr>
            <w:r>
              <w:rPr>
                <w:lang w:val="en-US"/>
              </w:rPr>
              <w:t>It make</w:t>
            </w:r>
            <w:r w:rsidR="008931F2">
              <w:rPr>
                <w:lang w:val="en-US"/>
              </w:rPr>
              <w:t>s good</w:t>
            </w:r>
            <w:r>
              <w:rPr>
                <w:lang w:val="en-US"/>
              </w:rPr>
              <w:t xml:space="preserve"> sense to put in place measures that supports keeping skilled workers in the work</w:t>
            </w:r>
            <w:r w:rsidR="004C5E51">
              <w:rPr>
                <w:lang w:val="en-US"/>
              </w:rPr>
              <w:t>force</w:t>
            </w:r>
            <w:r>
              <w:rPr>
                <w:lang w:val="en-US"/>
              </w:rPr>
              <w:t xml:space="preserve">. </w:t>
            </w:r>
          </w:p>
          <w:p w14:paraId="408B7BD8" w14:textId="517DA4C4" w:rsidR="00215DDD" w:rsidRDefault="00215DDD" w:rsidP="00215DDD">
            <w:pPr>
              <w:rPr>
                <w:lang w:val="en-US"/>
              </w:rPr>
            </w:pPr>
          </w:p>
        </w:tc>
      </w:tr>
    </w:tbl>
    <w:p w14:paraId="2EC765D4" w14:textId="77777777" w:rsidR="00215DDD" w:rsidRPr="00215DDD" w:rsidRDefault="00215DDD" w:rsidP="00215DDD">
      <w:pPr>
        <w:rPr>
          <w:lang w:val="en-US"/>
        </w:rPr>
      </w:pPr>
    </w:p>
    <w:p w14:paraId="4295AB8D" w14:textId="7BB89D8E" w:rsidR="000A74E3" w:rsidRPr="00866E06" w:rsidRDefault="00CA3BA2" w:rsidP="00866E06">
      <w:pPr>
        <w:pStyle w:val="Heading2"/>
        <w:spacing w:before="200"/>
        <w:rPr>
          <w:sz w:val="24"/>
          <w:szCs w:val="24"/>
        </w:rPr>
      </w:pPr>
      <w:r>
        <w:rPr>
          <w:sz w:val="24"/>
          <w:szCs w:val="24"/>
        </w:rPr>
        <w:lastRenderedPageBreak/>
        <w:t>Impact of unpai</w:t>
      </w:r>
      <w:r w:rsidR="00FE3FF7">
        <w:rPr>
          <w:sz w:val="24"/>
          <w:szCs w:val="24"/>
        </w:rPr>
        <w:t>d care on the care giver</w:t>
      </w:r>
    </w:p>
    <w:p w14:paraId="02E32A40" w14:textId="76828235" w:rsidR="000A74E3" w:rsidRPr="00716D06" w:rsidRDefault="00716D06" w:rsidP="00716D06">
      <w:pPr>
        <w:rPr>
          <w:i/>
          <w:iCs/>
          <w:lang w:val="en-US"/>
        </w:rPr>
      </w:pPr>
      <w:r>
        <w:rPr>
          <w:i/>
          <w:iCs/>
          <w:lang w:val="en-US"/>
        </w:rPr>
        <w:t xml:space="preserve">The </w:t>
      </w:r>
      <w:r w:rsidR="000A74E3" w:rsidRPr="00716D06">
        <w:rPr>
          <w:i/>
          <w:iCs/>
          <w:lang w:val="en-US"/>
        </w:rPr>
        <w:t xml:space="preserve">Paper notes that informal caregiving is associated with lower labor force participation (p6), with informal carers relatively more likely to be in part time employment than non carers. </w:t>
      </w:r>
    </w:p>
    <w:tbl>
      <w:tblPr>
        <w:tblStyle w:val="TableGrid"/>
        <w:tblW w:w="0" w:type="auto"/>
        <w:tblLook w:val="04A0" w:firstRow="1" w:lastRow="0" w:firstColumn="1" w:lastColumn="0" w:noHBand="0" w:noVBand="1"/>
      </w:tblPr>
      <w:tblGrid>
        <w:gridCol w:w="9016"/>
      </w:tblGrid>
      <w:tr w:rsidR="006E3F0A" w14:paraId="5D6A9FFD" w14:textId="77777777" w:rsidTr="006E3F0A">
        <w:tc>
          <w:tcPr>
            <w:tcW w:w="9016" w:type="dxa"/>
          </w:tcPr>
          <w:p w14:paraId="7D1FCBE0" w14:textId="65C4709E" w:rsidR="006E3F0A" w:rsidRDefault="00493E60" w:rsidP="006E3F0A">
            <w:pPr>
              <w:rPr>
                <w:lang w:val="en-US"/>
              </w:rPr>
            </w:pPr>
            <w:r>
              <w:rPr>
                <w:lang w:val="en-US"/>
              </w:rPr>
              <w:t>The Paper describes unpaid caring being associated with lower labour force participation rates, particularly for those providing more than 20 hours of unpaid care per week</w:t>
            </w:r>
            <w:r>
              <w:rPr>
                <w:rStyle w:val="FootnoteReference"/>
                <w:lang w:val="en-US"/>
              </w:rPr>
              <w:footnoteReference w:id="12"/>
            </w:r>
            <w:r>
              <w:rPr>
                <w:lang w:val="en-US"/>
              </w:rPr>
              <w:t>. Unpaid carers are also more likely to be in part time employment.</w:t>
            </w:r>
          </w:p>
          <w:p w14:paraId="6ECE2D1E" w14:textId="77777777" w:rsidR="00442513" w:rsidRDefault="00442513" w:rsidP="006E3F0A">
            <w:pPr>
              <w:rPr>
                <w:lang w:val="en-US"/>
              </w:rPr>
            </w:pPr>
          </w:p>
          <w:p w14:paraId="42BE387F" w14:textId="2F2C2451" w:rsidR="009B419F" w:rsidRDefault="00493E60" w:rsidP="006E3F0A">
            <w:pPr>
              <w:rPr>
                <w:lang w:val="en-US"/>
              </w:rPr>
            </w:pPr>
            <w:r>
              <w:rPr>
                <w:lang w:val="en-US"/>
              </w:rPr>
              <w:t xml:space="preserve">Again, in a tight labour market </w:t>
            </w:r>
            <w:r w:rsidR="009D413C">
              <w:rPr>
                <w:lang w:val="en-US"/>
              </w:rPr>
              <w:t>with an acute shortage of aged care workers</w:t>
            </w:r>
            <w:r w:rsidR="009B419F">
              <w:rPr>
                <w:lang w:val="en-US"/>
              </w:rPr>
              <w:t>,</w:t>
            </w:r>
            <w:r w:rsidR="009D413C">
              <w:rPr>
                <w:lang w:val="en-US"/>
              </w:rPr>
              <w:t xml:space="preserve"> measures are needed that enable unpaid carers of older Australians </w:t>
            </w:r>
            <w:r w:rsidR="00442513">
              <w:rPr>
                <w:lang w:val="en-US"/>
              </w:rPr>
              <w:t xml:space="preserve">or those with a short-term or terminal illness </w:t>
            </w:r>
            <w:r w:rsidR="009D413C">
              <w:rPr>
                <w:lang w:val="en-US"/>
              </w:rPr>
              <w:t xml:space="preserve">to take extended unpaid </w:t>
            </w:r>
            <w:r w:rsidR="00F53AD0">
              <w:rPr>
                <w:lang w:val="en-US"/>
              </w:rPr>
              <w:t xml:space="preserve">carer </w:t>
            </w:r>
            <w:r w:rsidR="009D413C">
              <w:rPr>
                <w:lang w:val="en-US"/>
              </w:rPr>
              <w:t xml:space="preserve">leave and then, when the time is right return to their workplace. </w:t>
            </w:r>
          </w:p>
          <w:p w14:paraId="2151D947" w14:textId="77777777" w:rsidR="00442513" w:rsidRDefault="00442513" w:rsidP="006E3F0A">
            <w:pPr>
              <w:rPr>
                <w:lang w:val="en-US"/>
              </w:rPr>
            </w:pPr>
          </w:p>
          <w:p w14:paraId="16FFD1B8" w14:textId="40D73359" w:rsidR="009B419F" w:rsidRDefault="009D413C" w:rsidP="006E3F0A">
            <w:pPr>
              <w:rPr>
                <w:lang w:val="en-US"/>
              </w:rPr>
            </w:pPr>
            <w:r>
              <w:rPr>
                <w:lang w:val="en-US"/>
              </w:rPr>
              <w:t xml:space="preserve">Having </w:t>
            </w:r>
            <w:r w:rsidR="009B419F">
              <w:rPr>
                <w:lang w:val="en-US"/>
              </w:rPr>
              <w:t>provisions in place for extended unpaid carer leave will enable these unpaid carers to remained connected to their employer and not be in a position of having to make a choice between their job or caring for an elderly parent or family member.</w:t>
            </w:r>
            <w:r w:rsidR="00442513">
              <w:rPr>
                <w:lang w:val="en-US"/>
              </w:rPr>
              <w:t xml:space="preserve"> </w:t>
            </w:r>
            <w:r w:rsidR="009B419F">
              <w:rPr>
                <w:lang w:val="en-US"/>
              </w:rPr>
              <w:t xml:space="preserve">This has benefits to both the individual </w:t>
            </w:r>
            <w:r w:rsidR="009B22F2">
              <w:rPr>
                <w:lang w:val="en-US"/>
              </w:rPr>
              <w:t xml:space="preserve">worker </w:t>
            </w:r>
            <w:r w:rsidR="009B419F">
              <w:rPr>
                <w:lang w:val="en-US"/>
              </w:rPr>
              <w:t>and the</w:t>
            </w:r>
            <w:r w:rsidR="009B22F2">
              <w:rPr>
                <w:lang w:val="en-US"/>
              </w:rPr>
              <w:t>ir</w:t>
            </w:r>
            <w:r w:rsidR="009B419F">
              <w:rPr>
                <w:lang w:val="en-US"/>
              </w:rPr>
              <w:t xml:space="preserve"> employer.</w:t>
            </w:r>
          </w:p>
          <w:p w14:paraId="6B52AAAD" w14:textId="0138DA6A" w:rsidR="006E3F0A" w:rsidRDefault="006E3F0A" w:rsidP="006E3F0A">
            <w:pPr>
              <w:rPr>
                <w:lang w:val="en-US"/>
              </w:rPr>
            </w:pPr>
          </w:p>
        </w:tc>
      </w:tr>
    </w:tbl>
    <w:p w14:paraId="5CA58973" w14:textId="77777777" w:rsidR="006E3F0A" w:rsidRPr="006E3F0A" w:rsidRDefault="006E3F0A" w:rsidP="006E3F0A">
      <w:pPr>
        <w:rPr>
          <w:lang w:val="en-US"/>
        </w:rPr>
      </w:pPr>
    </w:p>
    <w:p w14:paraId="5FD88D8C" w14:textId="6BAEB3DA" w:rsidR="000A74E3" w:rsidRPr="003B3779" w:rsidRDefault="00866E06" w:rsidP="003B3779">
      <w:pPr>
        <w:pStyle w:val="Heading2"/>
        <w:spacing w:before="200"/>
        <w:rPr>
          <w:sz w:val="24"/>
          <w:szCs w:val="24"/>
        </w:rPr>
      </w:pPr>
      <w:r>
        <w:rPr>
          <w:sz w:val="24"/>
          <w:szCs w:val="24"/>
        </w:rPr>
        <w:t>Effects of an entitlement to extend unpaid carer le</w:t>
      </w:r>
      <w:r w:rsidR="00FE3FF7">
        <w:rPr>
          <w:sz w:val="24"/>
          <w:szCs w:val="24"/>
        </w:rPr>
        <w:t>ave</w:t>
      </w:r>
    </w:p>
    <w:p w14:paraId="406135C3" w14:textId="6054BF99" w:rsidR="000A74E3" w:rsidRPr="009B22F2" w:rsidRDefault="000A74E3" w:rsidP="009B22F2">
      <w:pPr>
        <w:rPr>
          <w:i/>
          <w:iCs/>
          <w:lang w:val="en-US"/>
        </w:rPr>
      </w:pPr>
      <w:r w:rsidRPr="009B22F2">
        <w:rPr>
          <w:i/>
          <w:iCs/>
          <w:lang w:val="en-US"/>
        </w:rPr>
        <w:t>The Commission</w:t>
      </w:r>
      <w:r w:rsidR="0034780B">
        <w:rPr>
          <w:i/>
          <w:iCs/>
          <w:lang w:val="en-US"/>
        </w:rPr>
        <w:t xml:space="preserve"> notes that it</w:t>
      </w:r>
      <w:r w:rsidRPr="009B22F2">
        <w:rPr>
          <w:i/>
          <w:iCs/>
          <w:lang w:val="en-US"/>
        </w:rPr>
        <w:t xml:space="preserve"> is obliged to consider the interests of the community as a whole, rather than interests of particular groups (in this case either carers or employers), including the need to assess whether the proposed entitlement would confer a net community-wide cost or benefit. </w:t>
      </w:r>
    </w:p>
    <w:tbl>
      <w:tblPr>
        <w:tblStyle w:val="TableGrid"/>
        <w:tblW w:w="0" w:type="auto"/>
        <w:tblLook w:val="04A0" w:firstRow="1" w:lastRow="0" w:firstColumn="1" w:lastColumn="0" w:noHBand="0" w:noVBand="1"/>
      </w:tblPr>
      <w:tblGrid>
        <w:gridCol w:w="9016"/>
      </w:tblGrid>
      <w:tr w:rsidR="008931F2" w14:paraId="271F8774" w14:textId="77777777" w:rsidTr="008931F2">
        <w:tc>
          <w:tcPr>
            <w:tcW w:w="9016" w:type="dxa"/>
          </w:tcPr>
          <w:p w14:paraId="5E09E5D0" w14:textId="7C573036" w:rsidR="006A28E6" w:rsidRPr="00442513" w:rsidRDefault="00235909" w:rsidP="000A74E3">
            <w:pPr>
              <w:rPr>
                <w:b/>
                <w:bCs/>
                <w:lang w:val="en-US"/>
              </w:rPr>
            </w:pPr>
            <w:r w:rsidRPr="00235909">
              <w:rPr>
                <w:lang w:val="en-US"/>
              </w:rPr>
              <w:t xml:space="preserve">The </w:t>
            </w:r>
            <w:r w:rsidR="00E460CD">
              <w:rPr>
                <w:lang w:val="en-US"/>
              </w:rPr>
              <w:t>P</w:t>
            </w:r>
            <w:r w:rsidRPr="00235909">
              <w:rPr>
                <w:lang w:val="en-US"/>
              </w:rPr>
              <w:t xml:space="preserve">aper acknowledges </w:t>
            </w:r>
            <w:r>
              <w:rPr>
                <w:lang w:val="en-US"/>
              </w:rPr>
              <w:t xml:space="preserve">that the introduction of an extended unpaid carer leave provision in the NES would have a range of impacts broader than those on unpaid carers and their employers. </w:t>
            </w:r>
            <w:r w:rsidR="00A47FE6">
              <w:rPr>
                <w:lang w:val="en-US"/>
              </w:rPr>
              <w:t>Effectively</w:t>
            </w:r>
            <w:r>
              <w:rPr>
                <w:lang w:val="en-US"/>
              </w:rPr>
              <w:t xml:space="preserve"> the Commission </w:t>
            </w:r>
            <w:r w:rsidR="00F06421">
              <w:rPr>
                <w:lang w:val="en-US"/>
              </w:rPr>
              <w:t>needs to</w:t>
            </w:r>
            <w:r>
              <w:rPr>
                <w:lang w:val="en-US"/>
              </w:rPr>
              <w:t xml:space="preserve"> assess whether such a measure would have a ne</w:t>
            </w:r>
            <w:r w:rsidR="00A47FE6">
              <w:rPr>
                <w:lang w:val="en-US"/>
              </w:rPr>
              <w:t xml:space="preserve">t community </w:t>
            </w:r>
            <w:r>
              <w:rPr>
                <w:lang w:val="en-US"/>
              </w:rPr>
              <w:t>benefit or cost</w:t>
            </w:r>
            <w:r w:rsidR="006A28E6">
              <w:rPr>
                <w:lang w:val="en-US"/>
              </w:rPr>
              <w:t>.</w:t>
            </w:r>
            <w:r w:rsidR="00442513">
              <w:rPr>
                <w:lang w:val="en-US"/>
              </w:rPr>
              <w:t xml:space="preserve"> </w:t>
            </w:r>
            <w:r w:rsidR="006A28E6">
              <w:rPr>
                <w:lang w:val="en-US"/>
              </w:rPr>
              <w:t xml:space="preserve">For the sake of this submission, we are limiting our response to </w:t>
            </w:r>
            <w:r w:rsidR="00F06421">
              <w:rPr>
                <w:lang w:val="en-US"/>
              </w:rPr>
              <w:t xml:space="preserve">impacts on </w:t>
            </w:r>
            <w:r w:rsidR="006A28E6">
              <w:rPr>
                <w:lang w:val="en-US"/>
              </w:rPr>
              <w:t>the aged care secto</w:t>
            </w:r>
            <w:r w:rsidR="00A47FE6">
              <w:rPr>
                <w:lang w:val="en-US"/>
              </w:rPr>
              <w:t>r</w:t>
            </w:r>
            <w:r w:rsidR="006A28E6">
              <w:rPr>
                <w:lang w:val="en-US"/>
              </w:rPr>
              <w:t>.</w:t>
            </w:r>
          </w:p>
          <w:p w14:paraId="6243F3B0" w14:textId="77777777" w:rsidR="00442513" w:rsidRDefault="00442513" w:rsidP="000A74E3">
            <w:pPr>
              <w:rPr>
                <w:lang w:val="en-US"/>
              </w:rPr>
            </w:pPr>
          </w:p>
          <w:p w14:paraId="1F9ADB35" w14:textId="4E30C07E" w:rsidR="00442513" w:rsidRDefault="006A28E6" w:rsidP="000A74E3">
            <w:pPr>
              <w:rPr>
                <w:lang w:val="en-US"/>
              </w:rPr>
            </w:pPr>
            <w:r>
              <w:rPr>
                <w:lang w:val="en-US"/>
              </w:rPr>
              <w:t xml:space="preserve">In considering these matters we ask the Commission to undertake analysis of the proposed changes to the NES to determine whether there is an overall benefit or cost to aged care </w:t>
            </w:r>
            <w:r w:rsidR="00A825ED">
              <w:rPr>
                <w:lang w:val="en-US"/>
              </w:rPr>
              <w:t>employers</w:t>
            </w:r>
            <w:r>
              <w:rPr>
                <w:lang w:val="en-US"/>
              </w:rPr>
              <w:t>.</w:t>
            </w:r>
            <w:r w:rsidR="00442513">
              <w:rPr>
                <w:lang w:val="en-US"/>
              </w:rPr>
              <w:t xml:space="preserve"> </w:t>
            </w:r>
            <w:r w:rsidR="003F32D1">
              <w:rPr>
                <w:lang w:val="en-US"/>
              </w:rPr>
              <w:t>We believe there is the potential for significant impost on providers, particularly for small providers and those in thin markets.</w:t>
            </w:r>
          </w:p>
          <w:p w14:paraId="0D4227B8" w14:textId="77777777" w:rsidR="00442513" w:rsidRDefault="00442513" w:rsidP="000A74E3">
            <w:pPr>
              <w:rPr>
                <w:lang w:val="en-US"/>
              </w:rPr>
            </w:pPr>
          </w:p>
          <w:p w14:paraId="3A720E97" w14:textId="12D840FF" w:rsidR="006A28E6" w:rsidRDefault="00A47FE6" w:rsidP="000A74E3">
            <w:pPr>
              <w:rPr>
                <w:lang w:val="en-US"/>
              </w:rPr>
            </w:pPr>
            <w:r>
              <w:rPr>
                <w:lang w:val="en-US"/>
              </w:rPr>
              <w:t>We ask the Commission to consider:</w:t>
            </w:r>
          </w:p>
          <w:p w14:paraId="7E8C2EA7" w14:textId="2AED6B4D" w:rsidR="00445E3E" w:rsidRPr="00445E3E" w:rsidRDefault="00A47FE6" w:rsidP="00445E3E">
            <w:pPr>
              <w:pStyle w:val="ListParagraph"/>
              <w:numPr>
                <w:ilvl w:val="0"/>
                <w:numId w:val="48"/>
              </w:numPr>
              <w:rPr>
                <w:lang w:val="en-US"/>
              </w:rPr>
            </w:pPr>
            <w:r>
              <w:rPr>
                <w:lang w:val="en-US"/>
              </w:rPr>
              <w:t>What are the distributional consequences of the proposed change to the NES</w:t>
            </w:r>
            <w:r w:rsidR="003D7208">
              <w:rPr>
                <w:lang w:val="en-US"/>
              </w:rPr>
              <w:t xml:space="preserve"> (who is experiencing the benefits and who is bearing the ‘cost’, or are they in relative equilibrium)?</w:t>
            </w:r>
            <w:r w:rsidR="00445E3E">
              <w:rPr>
                <w:lang w:val="en-US"/>
              </w:rPr>
              <w:t xml:space="preserve"> and</w:t>
            </w:r>
          </w:p>
          <w:p w14:paraId="4A3FB346" w14:textId="40DA9EDA" w:rsidR="003D7208" w:rsidRPr="00F53AD0" w:rsidRDefault="00F53AD0" w:rsidP="00F53AD0">
            <w:pPr>
              <w:pStyle w:val="ListParagraph"/>
              <w:numPr>
                <w:ilvl w:val="0"/>
                <w:numId w:val="48"/>
              </w:numPr>
              <w:rPr>
                <w:lang w:val="en-US"/>
              </w:rPr>
            </w:pPr>
            <w:r>
              <w:rPr>
                <w:lang w:val="en-US"/>
              </w:rPr>
              <w:t>I</w:t>
            </w:r>
            <w:r w:rsidR="003D7208">
              <w:rPr>
                <w:lang w:val="en-US"/>
              </w:rPr>
              <w:t xml:space="preserve">f employers </w:t>
            </w:r>
            <w:r>
              <w:rPr>
                <w:lang w:val="en-US"/>
              </w:rPr>
              <w:t>are shown to be</w:t>
            </w:r>
            <w:r w:rsidR="003D7208">
              <w:rPr>
                <w:lang w:val="en-US"/>
              </w:rPr>
              <w:t xml:space="preserve"> shoulder</w:t>
            </w:r>
            <w:r>
              <w:rPr>
                <w:lang w:val="en-US"/>
              </w:rPr>
              <w:t>ing</w:t>
            </w:r>
            <w:r w:rsidR="003D7208">
              <w:rPr>
                <w:lang w:val="en-US"/>
              </w:rPr>
              <w:t xml:space="preserve"> a ‘cost burden’ </w:t>
            </w:r>
            <w:r>
              <w:rPr>
                <w:lang w:val="en-US"/>
              </w:rPr>
              <w:t>from the proposed provision, what are these costs</w:t>
            </w:r>
            <w:r>
              <w:rPr>
                <w:rStyle w:val="FootnoteReference"/>
                <w:lang w:val="en-US"/>
              </w:rPr>
              <w:footnoteReference w:id="13"/>
            </w:r>
            <w:r>
              <w:rPr>
                <w:lang w:val="en-US"/>
              </w:rPr>
              <w:t xml:space="preserve"> </w:t>
            </w:r>
            <w:r w:rsidR="003D7208">
              <w:rPr>
                <w:lang w:val="en-US"/>
              </w:rPr>
              <w:t>how might this burden be mitigated?</w:t>
            </w:r>
          </w:p>
          <w:p w14:paraId="38212325" w14:textId="77777777" w:rsidR="00445E3E" w:rsidRDefault="00445E3E" w:rsidP="000A74E3">
            <w:pPr>
              <w:rPr>
                <w:lang w:val="en-US"/>
              </w:rPr>
            </w:pPr>
          </w:p>
          <w:p w14:paraId="1948824E" w14:textId="61F3C049" w:rsidR="00235909" w:rsidRDefault="00955382" w:rsidP="000A74E3">
            <w:pPr>
              <w:rPr>
                <w:lang w:val="en-US"/>
              </w:rPr>
            </w:pPr>
            <w:r>
              <w:rPr>
                <w:lang w:val="en-US"/>
              </w:rPr>
              <w:t xml:space="preserve">Employers will </w:t>
            </w:r>
            <w:r w:rsidR="00445E3E">
              <w:rPr>
                <w:lang w:val="en-US"/>
              </w:rPr>
              <w:t xml:space="preserve">potentially </w:t>
            </w:r>
            <w:r>
              <w:rPr>
                <w:lang w:val="en-US"/>
              </w:rPr>
              <w:t xml:space="preserve">experience significant costs to backfill staff taking </w:t>
            </w:r>
            <w:r w:rsidR="00677E35">
              <w:rPr>
                <w:lang w:val="en-US"/>
              </w:rPr>
              <w:t>extended leave, this needs to be factored into the Commissions deliberations.</w:t>
            </w:r>
          </w:p>
          <w:p w14:paraId="287DC640" w14:textId="77777777" w:rsidR="00445E3E" w:rsidRDefault="00C719D3" w:rsidP="000A74E3">
            <w:pPr>
              <w:rPr>
                <w:lang w:val="en-US"/>
              </w:rPr>
            </w:pPr>
            <w:r>
              <w:rPr>
                <w:lang w:val="en-US"/>
              </w:rPr>
              <w:lastRenderedPageBreak/>
              <w:t>Employees should be required to expend paid leave provisions</w:t>
            </w:r>
            <w:r w:rsidR="000573A8">
              <w:rPr>
                <w:lang w:val="en-US"/>
              </w:rPr>
              <w:t xml:space="preserve"> </w:t>
            </w:r>
            <w:r w:rsidR="00933AE9">
              <w:rPr>
                <w:lang w:val="en-US"/>
              </w:rPr>
              <w:t>i</w:t>
            </w:r>
            <w:r w:rsidR="000573A8">
              <w:rPr>
                <w:lang w:val="en-US"/>
              </w:rPr>
              <w:t>ncluding annual or long service leave</w:t>
            </w:r>
            <w:r w:rsidR="00933AE9">
              <w:rPr>
                <w:lang w:val="en-US"/>
              </w:rPr>
              <w:t>,</w:t>
            </w:r>
            <w:r>
              <w:rPr>
                <w:lang w:val="en-US"/>
              </w:rPr>
              <w:t xml:space="preserve"> prior to applying for </w:t>
            </w:r>
            <w:r w:rsidR="00090BDB">
              <w:rPr>
                <w:lang w:val="en-US"/>
              </w:rPr>
              <w:t>extended unpaid carer leave, with a minimum balance required to be left available to the employee</w:t>
            </w:r>
            <w:r w:rsidR="00071A31">
              <w:rPr>
                <w:lang w:val="en-US"/>
              </w:rPr>
              <w:t>.</w:t>
            </w:r>
          </w:p>
          <w:p w14:paraId="3E5D94BA" w14:textId="5DE4AAEA" w:rsidR="001925FE" w:rsidRPr="00445E3E" w:rsidRDefault="001925FE" w:rsidP="000A74E3">
            <w:pPr>
              <w:rPr>
                <w:lang w:val="en-US"/>
              </w:rPr>
            </w:pPr>
          </w:p>
        </w:tc>
      </w:tr>
    </w:tbl>
    <w:p w14:paraId="6C58460A" w14:textId="080ECC02" w:rsidR="000A74E3" w:rsidRPr="00E268D5" w:rsidRDefault="003B3779" w:rsidP="00E268D5">
      <w:pPr>
        <w:pStyle w:val="Heading2"/>
        <w:spacing w:before="200"/>
        <w:rPr>
          <w:sz w:val="24"/>
          <w:szCs w:val="24"/>
        </w:rPr>
      </w:pPr>
      <w:r>
        <w:rPr>
          <w:sz w:val="24"/>
          <w:szCs w:val="24"/>
        </w:rPr>
        <w:lastRenderedPageBreak/>
        <w:t>Effects on caring and other economic activity</w:t>
      </w:r>
    </w:p>
    <w:p w14:paraId="1183E36C" w14:textId="063D5D57" w:rsidR="000A74E3" w:rsidRPr="00EF4BE1" w:rsidRDefault="000A74E3" w:rsidP="00EF4BE1">
      <w:pPr>
        <w:rPr>
          <w:i/>
          <w:iCs/>
          <w:lang w:val="en-US"/>
        </w:rPr>
      </w:pPr>
      <w:r w:rsidRPr="00EF4BE1">
        <w:rPr>
          <w:i/>
          <w:iCs/>
          <w:lang w:val="en-US"/>
        </w:rPr>
        <w:t xml:space="preserve">Entitlements to extended unpaid carer leave would change the incentives that employees and employers face </w:t>
      </w:r>
      <w:r w:rsidR="005832C4" w:rsidRPr="00EF4BE1">
        <w:rPr>
          <w:i/>
          <w:iCs/>
          <w:lang w:val="en-US"/>
        </w:rPr>
        <w:t>i.e.</w:t>
      </w:r>
      <w:r w:rsidRPr="00EF4BE1">
        <w:rPr>
          <w:i/>
          <w:iCs/>
          <w:lang w:val="en-US"/>
        </w:rPr>
        <w:t xml:space="preserve"> the leave entitlement could lead employees to take up leave and employers would have to manage the process and the related absences. </w:t>
      </w:r>
    </w:p>
    <w:tbl>
      <w:tblPr>
        <w:tblStyle w:val="TableGrid"/>
        <w:tblW w:w="0" w:type="auto"/>
        <w:tblLook w:val="04A0" w:firstRow="1" w:lastRow="0" w:firstColumn="1" w:lastColumn="0" w:noHBand="0" w:noVBand="1"/>
      </w:tblPr>
      <w:tblGrid>
        <w:gridCol w:w="9016"/>
      </w:tblGrid>
      <w:tr w:rsidR="00FC6DB9" w14:paraId="2AC12798" w14:textId="77777777" w:rsidTr="00FC6DB9">
        <w:tc>
          <w:tcPr>
            <w:tcW w:w="9016" w:type="dxa"/>
          </w:tcPr>
          <w:p w14:paraId="2747A42D" w14:textId="1A51C574" w:rsidR="00FC6DB9" w:rsidRDefault="00EF4BE1" w:rsidP="00FC6DB9">
            <w:pPr>
              <w:rPr>
                <w:lang w:val="en-US"/>
              </w:rPr>
            </w:pPr>
            <w:r>
              <w:rPr>
                <w:lang w:val="en-US"/>
              </w:rPr>
              <w:t>E</w:t>
            </w:r>
            <w:r w:rsidR="002A2BDD">
              <w:rPr>
                <w:lang w:val="en-US"/>
              </w:rPr>
              <w:t>xtending the NES to include a provision for extended unpaid carer leave would create a cost for employers that would need to be managed. As we have discussed earlier, the Commission should determine what the employer relates costs would be, including the impact of these costs on a sector that is currently stressed financially</w:t>
            </w:r>
            <w:r w:rsidR="009C5BE2">
              <w:rPr>
                <w:rStyle w:val="FootnoteReference"/>
                <w:lang w:val="en-US"/>
              </w:rPr>
              <w:footnoteReference w:id="14"/>
            </w:r>
            <w:r w:rsidR="002A2BDD">
              <w:rPr>
                <w:lang w:val="en-US"/>
              </w:rPr>
              <w:t xml:space="preserve"> and which is experiencing </w:t>
            </w:r>
            <w:r w:rsidR="009C5BE2">
              <w:rPr>
                <w:lang w:val="en-US"/>
              </w:rPr>
              <w:t>an acute workforce crisis</w:t>
            </w:r>
            <w:r w:rsidR="009C5BE2">
              <w:rPr>
                <w:rStyle w:val="FootnoteReference"/>
                <w:lang w:val="en-US"/>
              </w:rPr>
              <w:footnoteReference w:id="15"/>
            </w:r>
            <w:r w:rsidR="009C5BE2">
              <w:rPr>
                <w:lang w:val="en-US"/>
              </w:rPr>
              <w:t>.</w:t>
            </w:r>
          </w:p>
          <w:p w14:paraId="00C405BF" w14:textId="77777777" w:rsidR="00445E3E" w:rsidRDefault="00445E3E" w:rsidP="00FC6DB9">
            <w:pPr>
              <w:rPr>
                <w:lang w:val="en-US"/>
              </w:rPr>
            </w:pPr>
          </w:p>
          <w:p w14:paraId="4A6CFCEE" w14:textId="24237ECB" w:rsidR="009C5BE2" w:rsidRDefault="009C5BE2" w:rsidP="00FC6DB9">
            <w:pPr>
              <w:rPr>
                <w:lang w:val="en-US"/>
              </w:rPr>
            </w:pPr>
            <w:r>
              <w:rPr>
                <w:lang w:val="en-US"/>
              </w:rPr>
              <w:t>Whilst there are benefits to employers in having workers retained in the workforce (rather than leaving to provide unpaid care) there are costs related to backfilling those positions</w:t>
            </w:r>
            <w:r w:rsidR="007E2597">
              <w:rPr>
                <w:lang w:val="en-US"/>
              </w:rPr>
              <w:t>.</w:t>
            </w:r>
          </w:p>
          <w:p w14:paraId="25C5202E" w14:textId="77777777" w:rsidR="00445E3E" w:rsidRDefault="00445E3E" w:rsidP="00FC6DB9">
            <w:pPr>
              <w:rPr>
                <w:lang w:val="en-US"/>
              </w:rPr>
            </w:pPr>
          </w:p>
          <w:p w14:paraId="5A1AC4E5" w14:textId="7B1D1540" w:rsidR="007E2597" w:rsidRDefault="007E2597" w:rsidP="00FC6DB9">
            <w:pPr>
              <w:rPr>
                <w:lang w:val="en-US"/>
              </w:rPr>
            </w:pPr>
            <w:r>
              <w:rPr>
                <w:lang w:val="en-US"/>
              </w:rPr>
              <w:t xml:space="preserve">There is also the matter of an acute worker shortage which may mean aged care providers experience difficulty in backfilling those workers who take extended unpaid carer leave. </w:t>
            </w:r>
          </w:p>
          <w:p w14:paraId="6B870B54" w14:textId="77777777" w:rsidR="00445E3E" w:rsidRDefault="00445E3E" w:rsidP="00FC6DB9">
            <w:pPr>
              <w:rPr>
                <w:lang w:val="en-US"/>
              </w:rPr>
            </w:pPr>
          </w:p>
          <w:p w14:paraId="66277B37" w14:textId="47A2561C" w:rsidR="007E2597" w:rsidRDefault="007E2597" w:rsidP="00FC6DB9">
            <w:pPr>
              <w:rPr>
                <w:lang w:val="en-US"/>
              </w:rPr>
            </w:pPr>
            <w:r>
              <w:rPr>
                <w:lang w:val="en-US"/>
              </w:rPr>
              <w:t>These costs / benefits must be weighed up carefully when considering the introduction of a</w:t>
            </w:r>
            <w:r w:rsidR="00445E3E">
              <w:rPr>
                <w:lang w:val="en-US"/>
              </w:rPr>
              <w:t>n extended unpaid carer leave provision</w:t>
            </w:r>
            <w:r>
              <w:rPr>
                <w:lang w:val="en-US"/>
              </w:rPr>
              <w:t>.</w:t>
            </w:r>
          </w:p>
          <w:p w14:paraId="14320D5A" w14:textId="77777777" w:rsidR="00445E3E" w:rsidRDefault="00445E3E" w:rsidP="00FC6DB9">
            <w:pPr>
              <w:rPr>
                <w:lang w:val="en-US"/>
              </w:rPr>
            </w:pPr>
          </w:p>
          <w:p w14:paraId="35963857" w14:textId="36CA9139" w:rsidR="007E2597" w:rsidRDefault="00A60838" w:rsidP="00FC6DB9">
            <w:pPr>
              <w:rPr>
                <w:lang w:val="en-US"/>
              </w:rPr>
            </w:pPr>
            <w:r>
              <w:rPr>
                <w:lang w:val="en-US"/>
              </w:rPr>
              <w:t>I</w:t>
            </w:r>
            <w:r w:rsidR="007E2597">
              <w:rPr>
                <w:lang w:val="en-US"/>
              </w:rPr>
              <w:t xml:space="preserve">n an environment of demonstrable workforce pressures, employers </w:t>
            </w:r>
            <w:r>
              <w:rPr>
                <w:lang w:val="en-US"/>
              </w:rPr>
              <w:t xml:space="preserve">must </w:t>
            </w:r>
            <w:r w:rsidR="007E2597">
              <w:rPr>
                <w:lang w:val="en-US"/>
              </w:rPr>
              <w:t>have capacity to make discretionary decisions as to whether to grant requests for extended leave</w:t>
            </w:r>
            <w:r w:rsidR="00F826A7">
              <w:rPr>
                <w:lang w:val="en-US"/>
              </w:rPr>
              <w:t xml:space="preserve"> based on </w:t>
            </w:r>
            <w:r w:rsidR="008A08BB">
              <w:rPr>
                <w:lang w:val="en-US"/>
              </w:rPr>
              <w:t>reasonable business operating grounds</w:t>
            </w:r>
            <w:r w:rsidR="00833E16">
              <w:rPr>
                <w:lang w:val="en-US"/>
              </w:rPr>
              <w:t>. ‘Reasonable business operating grounds’ should be defined so as to be clear to employers and employees</w:t>
            </w:r>
            <w:r w:rsidR="007E2597">
              <w:rPr>
                <w:lang w:val="en-US"/>
              </w:rPr>
              <w:t>.</w:t>
            </w:r>
            <w:r w:rsidR="00CE15B5">
              <w:rPr>
                <w:lang w:val="en-US"/>
              </w:rPr>
              <w:t xml:space="preserve"> </w:t>
            </w:r>
          </w:p>
          <w:p w14:paraId="48096053" w14:textId="03EFF2F0" w:rsidR="002A2BDD" w:rsidRDefault="002A2BDD" w:rsidP="00FC6DB9">
            <w:pPr>
              <w:rPr>
                <w:lang w:val="en-US"/>
              </w:rPr>
            </w:pPr>
          </w:p>
        </w:tc>
      </w:tr>
    </w:tbl>
    <w:p w14:paraId="0D18DB2F" w14:textId="77777777" w:rsidR="00FC6DB9" w:rsidRDefault="00FC6DB9" w:rsidP="000A74E3">
      <w:pPr>
        <w:rPr>
          <w:b/>
          <w:bCs/>
          <w:lang w:val="en-US"/>
        </w:rPr>
      </w:pPr>
    </w:p>
    <w:p w14:paraId="30BEE196" w14:textId="134ED86C" w:rsidR="000A74E3" w:rsidRPr="00C27914" w:rsidRDefault="00C27914" w:rsidP="00C27914">
      <w:pPr>
        <w:pStyle w:val="Heading2"/>
        <w:spacing w:before="200"/>
        <w:rPr>
          <w:sz w:val="24"/>
          <w:szCs w:val="24"/>
        </w:rPr>
      </w:pPr>
      <w:r>
        <w:rPr>
          <w:sz w:val="24"/>
          <w:szCs w:val="24"/>
        </w:rPr>
        <w:t xml:space="preserve">Distributional effects </w:t>
      </w:r>
      <w:r w:rsidR="00601592">
        <w:rPr>
          <w:sz w:val="24"/>
          <w:szCs w:val="24"/>
        </w:rPr>
        <w:t xml:space="preserve">of unpaid carer leave </w:t>
      </w:r>
      <w:r>
        <w:rPr>
          <w:sz w:val="24"/>
          <w:szCs w:val="24"/>
        </w:rPr>
        <w:t>within families</w:t>
      </w:r>
    </w:p>
    <w:p w14:paraId="25E0F95B" w14:textId="74C8BB28" w:rsidR="000A74E3" w:rsidRPr="00B1772E" w:rsidRDefault="000A74E3" w:rsidP="00B1772E">
      <w:pPr>
        <w:rPr>
          <w:i/>
          <w:iCs/>
          <w:u w:val="single"/>
          <w:lang w:val="en-US"/>
        </w:rPr>
      </w:pPr>
      <w:r w:rsidRPr="00B1772E">
        <w:rPr>
          <w:i/>
          <w:iCs/>
          <w:lang w:val="en-US"/>
        </w:rPr>
        <w:t xml:space="preserve">The </w:t>
      </w:r>
      <w:r w:rsidR="00B1772E">
        <w:rPr>
          <w:i/>
          <w:iCs/>
          <w:lang w:val="en-US"/>
        </w:rPr>
        <w:t>P</w:t>
      </w:r>
      <w:r w:rsidRPr="00B1772E">
        <w:rPr>
          <w:i/>
          <w:iCs/>
          <w:lang w:val="en-US"/>
        </w:rPr>
        <w:t xml:space="preserve">aper notes there is a gender dynamic involved, as historically carer burden has predominantly fallen on females; and that this would be further reinforced. This entitlement would likely largely </w:t>
      </w:r>
      <w:r w:rsidR="005832C4" w:rsidRPr="00B1772E">
        <w:rPr>
          <w:i/>
          <w:iCs/>
          <w:lang w:val="en-US"/>
        </w:rPr>
        <w:t>affect</w:t>
      </w:r>
      <w:r w:rsidRPr="00B1772E">
        <w:rPr>
          <w:i/>
          <w:iCs/>
          <w:lang w:val="en-US"/>
        </w:rPr>
        <w:t xml:space="preserve"> largely women with negative impacts on their income, </w:t>
      </w:r>
      <w:r w:rsidR="00831299" w:rsidRPr="00B1772E">
        <w:rPr>
          <w:i/>
          <w:iCs/>
          <w:lang w:val="en-US"/>
        </w:rPr>
        <w:t>superannuation,</w:t>
      </w:r>
      <w:r w:rsidRPr="00B1772E">
        <w:rPr>
          <w:i/>
          <w:iCs/>
          <w:lang w:val="en-US"/>
        </w:rPr>
        <w:t xml:space="preserve"> and savings. </w:t>
      </w:r>
    </w:p>
    <w:tbl>
      <w:tblPr>
        <w:tblStyle w:val="TableGrid"/>
        <w:tblW w:w="0" w:type="auto"/>
        <w:tblLook w:val="04A0" w:firstRow="1" w:lastRow="0" w:firstColumn="1" w:lastColumn="0" w:noHBand="0" w:noVBand="1"/>
      </w:tblPr>
      <w:tblGrid>
        <w:gridCol w:w="9016"/>
      </w:tblGrid>
      <w:tr w:rsidR="00D732E5" w14:paraId="5C02D169" w14:textId="77777777" w:rsidTr="00D732E5">
        <w:tc>
          <w:tcPr>
            <w:tcW w:w="9016" w:type="dxa"/>
          </w:tcPr>
          <w:p w14:paraId="126C40C0" w14:textId="4B066A97" w:rsidR="00B1772E" w:rsidRDefault="00B1772E" w:rsidP="00D732E5">
            <w:pPr>
              <w:rPr>
                <w:lang w:val="en-US"/>
              </w:rPr>
            </w:pPr>
            <w:r>
              <w:rPr>
                <w:lang w:val="en-US"/>
              </w:rPr>
              <w:t xml:space="preserve">An employee who has available to them a right to return to work would not be forced to make a choice between proving care to an older family member </w:t>
            </w:r>
            <w:r w:rsidR="00281538">
              <w:rPr>
                <w:lang w:val="en-US"/>
              </w:rPr>
              <w:t xml:space="preserve">or close relative </w:t>
            </w:r>
            <w:r>
              <w:rPr>
                <w:lang w:val="en-US"/>
              </w:rPr>
              <w:t>or leaving their work. This potentially has positive benefits to a person who may be in the prime of their earning capacity and may also minimise negative impacts on longer term financial security</w:t>
            </w:r>
            <w:r w:rsidR="0088170C">
              <w:rPr>
                <w:lang w:val="en-US"/>
              </w:rPr>
              <w:t xml:space="preserve">, including </w:t>
            </w:r>
            <w:r w:rsidR="0073207A">
              <w:rPr>
                <w:lang w:val="en-US"/>
              </w:rPr>
              <w:t xml:space="preserve">negative impact </w:t>
            </w:r>
            <w:r>
              <w:rPr>
                <w:lang w:val="en-US"/>
              </w:rPr>
              <w:t xml:space="preserve">on superannuation accumulation that might occur if the person is forced to leave their job to provide extended unpaid care. </w:t>
            </w:r>
          </w:p>
          <w:p w14:paraId="45715FB0" w14:textId="77777777" w:rsidR="00B1772E" w:rsidRDefault="00B1772E" w:rsidP="00D732E5">
            <w:pPr>
              <w:rPr>
                <w:lang w:val="en-US"/>
              </w:rPr>
            </w:pPr>
          </w:p>
          <w:p w14:paraId="7A48F598" w14:textId="37E8F5C8" w:rsidR="00B1772E" w:rsidRDefault="00B1772E" w:rsidP="00D732E5">
            <w:pPr>
              <w:rPr>
                <w:lang w:val="en-US"/>
              </w:rPr>
            </w:pPr>
            <w:r>
              <w:rPr>
                <w:lang w:val="en-US"/>
              </w:rPr>
              <w:t xml:space="preserve">The large majority of workers in aged care are female, as are most unpaid carers, meaning the burden of caring is predominantly borne by females. The ability to access extended unpaid carer leave, with the right to return to their job may improve their </w:t>
            </w:r>
            <w:r w:rsidR="00281538">
              <w:rPr>
                <w:lang w:val="en-US"/>
              </w:rPr>
              <w:t>longer-term</w:t>
            </w:r>
            <w:r>
              <w:rPr>
                <w:lang w:val="en-US"/>
              </w:rPr>
              <w:t xml:space="preserve"> financial security.</w:t>
            </w:r>
          </w:p>
        </w:tc>
      </w:tr>
    </w:tbl>
    <w:p w14:paraId="5885C3E7" w14:textId="77777777" w:rsidR="00AC624E" w:rsidRDefault="00AC624E" w:rsidP="000A74E3">
      <w:pPr>
        <w:rPr>
          <w:b/>
          <w:bCs/>
          <w:lang w:val="en-US"/>
        </w:rPr>
      </w:pPr>
    </w:p>
    <w:sectPr w:rsidR="00AC624E" w:rsidSect="00EE3043">
      <w:headerReference w:type="default" r:id="rId11"/>
      <w:footerReference w:type="default" r:id="rId12"/>
      <w:headerReference w:type="first" r:id="rId13"/>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14C59" w14:textId="77777777" w:rsidR="00F20614" w:rsidRDefault="00F20614" w:rsidP="00FB4BE7">
      <w:pPr>
        <w:spacing w:after="0" w:line="240" w:lineRule="auto"/>
      </w:pPr>
      <w:r>
        <w:separator/>
      </w:r>
    </w:p>
  </w:endnote>
  <w:endnote w:type="continuationSeparator" w:id="0">
    <w:p w14:paraId="4ADE5E6D" w14:textId="77777777" w:rsidR="00F20614" w:rsidRDefault="00F20614" w:rsidP="00FB4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8DC4" w14:textId="7ECF57EB" w:rsidR="00DA18B3" w:rsidRDefault="001A6634" w:rsidP="001A6634">
    <w:pPr>
      <w:pStyle w:val="Footer"/>
      <w:jc w:val="center"/>
    </w:pPr>
    <w:r w:rsidRPr="001A6634">
      <w:rPr>
        <w:sz w:val="20"/>
        <w:szCs w:val="24"/>
      </w:rPr>
      <w:fldChar w:fldCharType="begin"/>
    </w:r>
    <w:r w:rsidRPr="001A6634">
      <w:rPr>
        <w:sz w:val="20"/>
        <w:szCs w:val="24"/>
      </w:rPr>
      <w:instrText xml:space="preserve"> PAGE  \* Arabic  \* MERGEFORMAT </w:instrText>
    </w:r>
    <w:r w:rsidRPr="001A6634">
      <w:rPr>
        <w:sz w:val="20"/>
        <w:szCs w:val="24"/>
      </w:rPr>
      <w:fldChar w:fldCharType="separate"/>
    </w:r>
    <w:r w:rsidRPr="001A6634">
      <w:rPr>
        <w:noProof/>
        <w:sz w:val="20"/>
        <w:szCs w:val="24"/>
      </w:rPr>
      <w:t>1</w:t>
    </w:r>
    <w:r w:rsidRPr="001A6634">
      <w:rPr>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4FC5" w14:textId="77777777" w:rsidR="00F20614" w:rsidRDefault="00F20614" w:rsidP="00FB4BE7">
      <w:pPr>
        <w:spacing w:after="0" w:line="240" w:lineRule="auto"/>
      </w:pPr>
      <w:r>
        <w:separator/>
      </w:r>
    </w:p>
  </w:footnote>
  <w:footnote w:type="continuationSeparator" w:id="0">
    <w:p w14:paraId="414B4FD4" w14:textId="77777777" w:rsidR="00F20614" w:rsidRDefault="00F20614" w:rsidP="00FB4BE7">
      <w:pPr>
        <w:spacing w:after="0" w:line="240" w:lineRule="auto"/>
      </w:pPr>
      <w:r>
        <w:continuationSeparator/>
      </w:r>
    </w:p>
  </w:footnote>
  <w:footnote w:id="1">
    <w:p w14:paraId="3C968EDC" w14:textId="77777777" w:rsidR="000A74E3" w:rsidRPr="00317635" w:rsidRDefault="000A74E3" w:rsidP="000A74E3">
      <w:pPr>
        <w:pStyle w:val="FootnoteText"/>
        <w:rPr>
          <w:szCs w:val="18"/>
          <w:lang w:val="en-US"/>
        </w:rPr>
      </w:pPr>
      <w:r w:rsidRPr="00317635">
        <w:rPr>
          <w:rStyle w:val="FootnoteReference"/>
          <w:szCs w:val="18"/>
        </w:rPr>
        <w:footnoteRef/>
      </w:r>
      <w:r w:rsidRPr="00317635">
        <w:rPr>
          <w:szCs w:val="18"/>
        </w:rPr>
        <w:t xml:space="preserve"> </w:t>
      </w:r>
      <w:r w:rsidRPr="00317635">
        <w:rPr>
          <w:szCs w:val="18"/>
          <w:lang w:val="en-US"/>
        </w:rPr>
        <w:t>The Paper defines informal cares as people who provide unpaid care and support to family members and friends, see page 3.</w:t>
      </w:r>
    </w:p>
  </w:footnote>
  <w:footnote w:id="2">
    <w:p w14:paraId="571F517C" w14:textId="4BEAEFAD" w:rsidR="00561E9F" w:rsidRPr="007B5B54" w:rsidRDefault="00561E9F">
      <w:pPr>
        <w:pStyle w:val="FootnoteText"/>
        <w:rPr>
          <w:color w:val="0070C0"/>
          <w:szCs w:val="18"/>
          <w:lang w:val="en-US"/>
        </w:rPr>
      </w:pPr>
      <w:r w:rsidRPr="007B5B54">
        <w:rPr>
          <w:rStyle w:val="FootnoteReference"/>
          <w:szCs w:val="18"/>
        </w:rPr>
        <w:footnoteRef/>
      </w:r>
      <w:r w:rsidRPr="007B5B54">
        <w:rPr>
          <w:szCs w:val="18"/>
        </w:rPr>
        <w:t xml:space="preserve"> </w:t>
      </w:r>
      <w:r w:rsidRPr="007B5B54">
        <w:rPr>
          <w:szCs w:val="18"/>
          <w:lang w:val="en-US"/>
        </w:rPr>
        <w:t>Noting the Carer Recognition Act 2010 and its defin</w:t>
      </w:r>
      <w:r w:rsidR="007B5B54" w:rsidRPr="007B5B54">
        <w:rPr>
          <w:szCs w:val="18"/>
          <w:lang w:val="en-US"/>
        </w:rPr>
        <w:t>ition</w:t>
      </w:r>
      <w:r w:rsidRPr="007B5B54">
        <w:rPr>
          <w:szCs w:val="18"/>
          <w:lang w:val="en-US"/>
        </w:rPr>
        <w:t xml:space="preserve"> o</w:t>
      </w:r>
      <w:r w:rsidR="007B5B54" w:rsidRPr="007B5B54">
        <w:rPr>
          <w:szCs w:val="18"/>
          <w:lang w:val="en-US"/>
        </w:rPr>
        <w:t xml:space="preserve">f a carer. Carer recognition Act 2010, Part 1 (4) Meaning of Carer. </w:t>
      </w:r>
      <w:hyperlink r:id="rId1" w:history="1">
        <w:r w:rsidR="007B5B54" w:rsidRPr="007B5B54">
          <w:rPr>
            <w:color w:val="0070C0"/>
            <w:szCs w:val="18"/>
            <w:u w:val="single"/>
          </w:rPr>
          <w:t>Carer Recognition Act 2010 (legislation.gov.au)</w:t>
        </w:r>
      </w:hyperlink>
      <w:r w:rsidR="007B5B54" w:rsidRPr="007B5B54">
        <w:rPr>
          <w:color w:val="0070C0"/>
          <w:szCs w:val="18"/>
        </w:rPr>
        <w:t xml:space="preserve"> </w:t>
      </w:r>
    </w:p>
  </w:footnote>
  <w:footnote w:id="3">
    <w:p w14:paraId="13C53DF2" w14:textId="0F5385D7" w:rsidR="00420064" w:rsidRPr="00420064" w:rsidRDefault="00420064">
      <w:pPr>
        <w:pStyle w:val="FootnoteText"/>
        <w:rPr>
          <w:lang w:val="en-US"/>
        </w:rPr>
      </w:pPr>
      <w:r>
        <w:rPr>
          <w:rStyle w:val="FootnoteReference"/>
        </w:rPr>
        <w:footnoteRef/>
      </w:r>
      <w:r>
        <w:t xml:space="preserve"> </w:t>
      </w:r>
      <w:r>
        <w:rPr>
          <w:lang w:val="en-US"/>
        </w:rPr>
        <w:t>Definition of ‘family member’ would need to be clearly defined</w:t>
      </w:r>
      <w:r w:rsidR="007274A7">
        <w:rPr>
          <w:lang w:val="en-US"/>
        </w:rPr>
        <w:t xml:space="preserve"> in the expanded NES should this </w:t>
      </w:r>
      <w:r w:rsidR="002816E7">
        <w:rPr>
          <w:lang w:val="en-US"/>
        </w:rPr>
        <w:t xml:space="preserve">leave </w:t>
      </w:r>
      <w:r w:rsidR="007274A7">
        <w:rPr>
          <w:lang w:val="en-US"/>
        </w:rPr>
        <w:t>provision be included</w:t>
      </w:r>
      <w:r>
        <w:rPr>
          <w:lang w:val="en-US"/>
        </w:rPr>
        <w:t xml:space="preserve">, we note </w:t>
      </w:r>
      <w:r w:rsidR="000C6E8F">
        <w:rPr>
          <w:lang w:val="en-US"/>
        </w:rPr>
        <w:t xml:space="preserve">existing NES provisions </w:t>
      </w:r>
      <w:r w:rsidR="002816E7">
        <w:rPr>
          <w:lang w:val="en-US"/>
        </w:rPr>
        <w:t xml:space="preserve">provide </w:t>
      </w:r>
      <w:r w:rsidR="00C575EE">
        <w:rPr>
          <w:lang w:val="en-US"/>
        </w:rPr>
        <w:t xml:space="preserve">for a range </w:t>
      </w:r>
      <w:r w:rsidR="00654D31">
        <w:rPr>
          <w:lang w:val="en-US"/>
        </w:rPr>
        <w:t>of people to be covered</w:t>
      </w:r>
    </w:p>
  </w:footnote>
  <w:footnote w:id="4">
    <w:p w14:paraId="4E9D34E4" w14:textId="67B16ABD" w:rsidR="00E97CAF" w:rsidRDefault="00E97CAF">
      <w:pPr>
        <w:pStyle w:val="FootnoteText"/>
      </w:pPr>
      <w:r>
        <w:rPr>
          <w:rStyle w:val="FootnoteReference"/>
        </w:rPr>
        <w:footnoteRef/>
      </w:r>
      <w:r>
        <w:t xml:space="preserve"> </w:t>
      </w:r>
      <w:r w:rsidR="00653AA6">
        <w:t>‘Elderly’ would need to be defined, including for Aboriginal or Torres Strait Islander peoples</w:t>
      </w:r>
    </w:p>
  </w:footnote>
  <w:footnote w:id="5">
    <w:p w14:paraId="50EAFBA9" w14:textId="01D3356B" w:rsidR="001C0A03" w:rsidRPr="001C0A03" w:rsidRDefault="001C0A03">
      <w:pPr>
        <w:pStyle w:val="FootnoteText"/>
        <w:rPr>
          <w:szCs w:val="18"/>
          <w:lang w:val="en-US"/>
        </w:rPr>
      </w:pPr>
      <w:r>
        <w:rPr>
          <w:rStyle w:val="FootnoteReference"/>
        </w:rPr>
        <w:footnoteRef/>
      </w:r>
      <w:r>
        <w:t xml:space="preserve"> </w:t>
      </w:r>
      <w:r w:rsidRPr="007B5B54">
        <w:rPr>
          <w:szCs w:val="18"/>
        </w:rPr>
        <w:t>Carer Leave Issues Paper, Australian Government Productivity Commission, July 2022, p</w:t>
      </w:r>
      <w:r>
        <w:rPr>
          <w:szCs w:val="18"/>
        </w:rPr>
        <w:t>15</w:t>
      </w:r>
    </w:p>
  </w:footnote>
  <w:footnote w:id="6">
    <w:p w14:paraId="685DA7AC" w14:textId="2C2C8587" w:rsidR="001C0A03" w:rsidRPr="001C0A03" w:rsidRDefault="001C0A03">
      <w:pPr>
        <w:pStyle w:val="FootnoteText"/>
        <w:rPr>
          <w:lang w:val="en-US"/>
        </w:rPr>
      </w:pPr>
      <w:r>
        <w:rPr>
          <w:rStyle w:val="FootnoteReference"/>
        </w:rPr>
        <w:footnoteRef/>
      </w:r>
      <w:r>
        <w:t xml:space="preserve"> </w:t>
      </w:r>
      <w:r>
        <w:rPr>
          <w:lang w:val="en-US"/>
        </w:rPr>
        <w:t>IBID, p15</w:t>
      </w:r>
    </w:p>
  </w:footnote>
  <w:footnote w:id="7">
    <w:p w14:paraId="71428822" w14:textId="7B1516E3" w:rsidR="000A74E3" w:rsidRPr="007B5B54" w:rsidRDefault="000A74E3" w:rsidP="00560198">
      <w:pPr>
        <w:rPr>
          <w:sz w:val="18"/>
          <w:szCs w:val="18"/>
          <w:lang w:val="en-US"/>
        </w:rPr>
      </w:pPr>
      <w:r w:rsidRPr="007B5B54">
        <w:rPr>
          <w:rStyle w:val="FootnoteReference"/>
          <w:sz w:val="18"/>
          <w:szCs w:val="18"/>
        </w:rPr>
        <w:footnoteRef/>
      </w:r>
      <w:r w:rsidRPr="007B5B54">
        <w:rPr>
          <w:sz w:val="18"/>
          <w:szCs w:val="18"/>
        </w:rPr>
        <w:t xml:space="preserve"> </w:t>
      </w:r>
      <w:r w:rsidRPr="007B5B54">
        <w:rPr>
          <w:sz w:val="18"/>
          <w:szCs w:val="18"/>
          <w:lang w:val="en-US"/>
        </w:rPr>
        <w:t>See page 8 of the Paper for current standards under NES, including eligibility provisions</w:t>
      </w:r>
    </w:p>
  </w:footnote>
  <w:footnote w:id="8">
    <w:p w14:paraId="355AE555" w14:textId="43D2518D" w:rsidR="00560198" w:rsidRPr="007B5B54" w:rsidRDefault="00560198">
      <w:pPr>
        <w:pStyle w:val="FootnoteText"/>
        <w:rPr>
          <w:color w:val="0070C0"/>
          <w:szCs w:val="18"/>
          <w:lang w:val="en-US"/>
        </w:rPr>
      </w:pPr>
      <w:r w:rsidRPr="007B5B54">
        <w:rPr>
          <w:rStyle w:val="FootnoteReference"/>
          <w:szCs w:val="18"/>
        </w:rPr>
        <w:footnoteRef/>
      </w:r>
      <w:r w:rsidRPr="007B5B54">
        <w:rPr>
          <w:szCs w:val="18"/>
        </w:rPr>
        <w:t xml:space="preserve"> </w:t>
      </w:r>
      <w:hyperlink r:id="rId2" w:history="1">
        <w:r w:rsidRPr="007B5B54">
          <w:rPr>
            <w:color w:val="0070C0"/>
            <w:szCs w:val="18"/>
            <w:u w:val="single"/>
          </w:rPr>
          <w:t>National Employment Standards - Fair Work Ombudsman</w:t>
        </w:r>
      </w:hyperlink>
      <w:r w:rsidRPr="007B5B54">
        <w:rPr>
          <w:color w:val="0070C0"/>
          <w:szCs w:val="18"/>
        </w:rPr>
        <w:t xml:space="preserve"> </w:t>
      </w:r>
    </w:p>
  </w:footnote>
  <w:footnote w:id="9">
    <w:p w14:paraId="07ADAF32" w14:textId="77777777" w:rsidR="00942350" w:rsidRPr="007B5B54" w:rsidRDefault="00942350" w:rsidP="00942350">
      <w:pPr>
        <w:pStyle w:val="FootnoteText"/>
        <w:rPr>
          <w:szCs w:val="18"/>
          <w:lang w:val="en-US"/>
        </w:rPr>
      </w:pPr>
      <w:r w:rsidRPr="007B5B54">
        <w:rPr>
          <w:rStyle w:val="FootnoteReference"/>
          <w:szCs w:val="18"/>
        </w:rPr>
        <w:footnoteRef/>
      </w:r>
      <w:r w:rsidRPr="007B5B54">
        <w:rPr>
          <w:szCs w:val="18"/>
        </w:rPr>
        <w:t xml:space="preserve"> </w:t>
      </w:r>
      <w:bookmarkStart w:id="1" w:name="_Hlk111042125"/>
      <w:r w:rsidRPr="007B5B54">
        <w:rPr>
          <w:szCs w:val="18"/>
        </w:rPr>
        <w:t>Carer Leave Issues Paper, Australian Government Productivity Commission, July 2022, p8</w:t>
      </w:r>
    </w:p>
    <w:bookmarkEnd w:id="1"/>
  </w:footnote>
  <w:footnote w:id="10">
    <w:p w14:paraId="2F53523E" w14:textId="2A2E60ED" w:rsidR="00ED43B0" w:rsidRPr="00ED43B0" w:rsidRDefault="00ED43B0">
      <w:pPr>
        <w:pStyle w:val="FootnoteText"/>
        <w:rPr>
          <w:color w:val="0070C0"/>
          <w:szCs w:val="18"/>
          <w:lang w:val="en-US"/>
        </w:rPr>
      </w:pPr>
      <w:r w:rsidRPr="00ED43B0">
        <w:rPr>
          <w:rStyle w:val="FootnoteReference"/>
          <w:szCs w:val="18"/>
        </w:rPr>
        <w:footnoteRef/>
      </w:r>
      <w:r w:rsidRPr="00ED43B0">
        <w:rPr>
          <w:szCs w:val="18"/>
        </w:rPr>
        <w:t xml:space="preserve"> </w:t>
      </w:r>
      <w:r w:rsidRPr="00ED43B0">
        <w:rPr>
          <w:szCs w:val="18"/>
          <w:lang w:val="en-US"/>
        </w:rPr>
        <w:t xml:space="preserve">As recognised by the announcement of a Jobs and Skills Summit for September 2022, </w:t>
      </w:r>
      <w:hyperlink r:id="rId3" w:history="1">
        <w:r w:rsidRPr="00ED43B0">
          <w:rPr>
            <w:color w:val="0070C0"/>
            <w:szCs w:val="18"/>
            <w:u w:val="single"/>
          </w:rPr>
          <w:t>Jobs and Skills Summit | Treasury.gov.au</w:t>
        </w:r>
      </w:hyperlink>
    </w:p>
  </w:footnote>
  <w:footnote w:id="11">
    <w:p w14:paraId="4A3AA1B2" w14:textId="67FFFB89" w:rsidR="008A3C65" w:rsidRPr="008A3C65" w:rsidRDefault="008A3C65">
      <w:pPr>
        <w:pStyle w:val="FootnoteText"/>
        <w:rPr>
          <w:lang w:val="en-US"/>
        </w:rPr>
      </w:pPr>
      <w:r>
        <w:rPr>
          <w:rStyle w:val="FootnoteReference"/>
        </w:rPr>
        <w:footnoteRef/>
      </w:r>
      <w:r>
        <w:t xml:space="preserve"> </w:t>
      </w:r>
      <w:r>
        <w:rPr>
          <w:lang w:val="en-US"/>
        </w:rPr>
        <w:t xml:space="preserve">A recent report indicated that there are increased rates of attrition in aged care with </w:t>
      </w:r>
      <w:r w:rsidR="004E68D1">
        <w:rPr>
          <w:lang w:val="en-US"/>
        </w:rPr>
        <w:t>65,000 workers leaving the sector each year; a worker shortfall of 35,000 per year; and an additional net increase of 17,000 direct care workers needed per year. (Duty of Care: Aged Care Sector in Crisis, ceda, 2022</w:t>
      </w:r>
      <w:r w:rsidR="00493E60">
        <w:rPr>
          <w:lang w:val="en-US"/>
        </w:rPr>
        <w:t>)</w:t>
      </w:r>
      <w:r w:rsidR="004E68D1">
        <w:rPr>
          <w:lang w:val="en-US"/>
        </w:rPr>
        <w:t>.</w:t>
      </w:r>
    </w:p>
  </w:footnote>
  <w:footnote w:id="12">
    <w:p w14:paraId="12F629F3" w14:textId="172A9FAD" w:rsidR="00493E60" w:rsidRPr="00493E60" w:rsidRDefault="00493E60">
      <w:pPr>
        <w:pStyle w:val="FootnoteText"/>
        <w:rPr>
          <w:szCs w:val="18"/>
          <w:lang w:val="en-US"/>
        </w:rPr>
      </w:pPr>
      <w:r w:rsidRPr="00493E60">
        <w:rPr>
          <w:rStyle w:val="FootnoteReference"/>
          <w:szCs w:val="18"/>
        </w:rPr>
        <w:footnoteRef/>
      </w:r>
      <w:r w:rsidRPr="00493E60">
        <w:rPr>
          <w:szCs w:val="18"/>
        </w:rPr>
        <w:t xml:space="preserve"> Carer Leave Issues Paper, Australian Government Productivity Commission, July 2022, p</w:t>
      </w:r>
      <w:r>
        <w:rPr>
          <w:szCs w:val="18"/>
        </w:rPr>
        <w:t>6</w:t>
      </w:r>
    </w:p>
  </w:footnote>
  <w:footnote w:id="13">
    <w:p w14:paraId="128C0502" w14:textId="0A5E6BFA" w:rsidR="00F53AD0" w:rsidRPr="00F53AD0" w:rsidRDefault="00F53AD0">
      <w:pPr>
        <w:pStyle w:val="FootnoteText"/>
        <w:rPr>
          <w:lang w:val="en-US"/>
        </w:rPr>
      </w:pPr>
      <w:r>
        <w:rPr>
          <w:rStyle w:val="FootnoteReference"/>
        </w:rPr>
        <w:footnoteRef/>
      </w:r>
      <w:r>
        <w:t xml:space="preserve"> </w:t>
      </w:r>
      <w:r>
        <w:rPr>
          <w:lang w:val="en-US"/>
        </w:rPr>
        <w:t>These could be for example costs associated with employing and training staff to cover those taking extended unpaid carer leave.</w:t>
      </w:r>
    </w:p>
  </w:footnote>
  <w:footnote w:id="14">
    <w:p w14:paraId="070D6FF0" w14:textId="43AD34A9" w:rsidR="009C5BE2" w:rsidRPr="009C5BE2" w:rsidRDefault="009C5BE2">
      <w:pPr>
        <w:pStyle w:val="FootnoteText"/>
        <w:rPr>
          <w:color w:val="0070C0"/>
          <w:szCs w:val="18"/>
          <w:lang w:val="en-US"/>
        </w:rPr>
      </w:pPr>
      <w:r w:rsidRPr="009C5BE2">
        <w:rPr>
          <w:rStyle w:val="FootnoteReference"/>
          <w:szCs w:val="18"/>
        </w:rPr>
        <w:footnoteRef/>
      </w:r>
      <w:r w:rsidRPr="009C5BE2">
        <w:rPr>
          <w:szCs w:val="18"/>
        </w:rPr>
        <w:t xml:space="preserve"> </w:t>
      </w:r>
      <w:r w:rsidRPr="009C5BE2">
        <w:rPr>
          <w:szCs w:val="18"/>
          <w:lang w:val="en-US"/>
        </w:rPr>
        <w:t xml:space="preserve">StewartBrown Aged Care </w:t>
      </w:r>
      <w:r>
        <w:rPr>
          <w:szCs w:val="18"/>
          <w:lang w:val="en-US"/>
        </w:rPr>
        <w:t xml:space="preserve">Financial </w:t>
      </w:r>
      <w:r w:rsidRPr="009C5BE2">
        <w:rPr>
          <w:szCs w:val="18"/>
          <w:lang w:val="en-US"/>
        </w:rPr>
        <w:t xml:space="preserve">Performance Survey, September 2021, </w:t>
      </w:r>
      <w:hyperlink r:id="rId4" w:history="1">
        <w:r w:rsidRPr="009C5BE2">
          <w:rPr>
            <w:color w:val="0070C0"/>
            <w:szCs w:val="18"/>
            <w:u w:val="single"/>
          </w:rPr>
          <w:t>2022 01 StewartBrown Aged Care Financial Performance Survey Sector Report - September 2021</w:t>
        </w:r>
      </w:hyperlink>
    </w:p>
  </w:footnote>
  <w:footnote w:id="15">
    <w:p w14:paraId="21DFDABC" w14:textId="7AADE548" w:rsidR="009C5BE2" w:rsidRPr="009C5BE2" w:rsidRDefault="009C5BE2">
      <w:pPr>
        <w:pStyle w:val="FootnoteText"/>
        <w:rPr>
          <w:lang w:val="en-US"/>
        </w:rPr>
      </w:pPr>
      <w:r>
        <w:rPr>
          <w:rStyle w:val="FootnoteReference"/>
        </w:rPr>
        <w:footnoteRef/>
      </w:r>
      <w:r>
        <w:t xml:space="preserve"> </w:t>
      </w:r>
      <w:r>
        <w:rPr>
          <w:lang w:val="en-US"/>
        </w:rPr>
        <w:t>Duty of Care: Aged Care Sector in Crisis, ceda,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631F" w14:textId="3E779538" w:rsidR="00711E8A" w:rsidRPr="00FF599D" w:rsidRDefault="00240F13" w:rsidP="00EE3043">
    <w:pPr>
      <w:pStyle w:val="Heading5"/>
    </w:pPr>
    <w:r>
      <w:t xml:space="preserve">Australian Government </w:t>
    </w:r>
    <w:r w:rsidR="008653AE">
      <w:t>Productivity Commission</w:t>
    </w:r>
    <w:r>
      <w:t xml:space="preserve">: Carer </w:t>
    </w:r>
    <w:r w:rsidR="00F74BA6">
      <w:t>L</w:t>
    </w:r>
    <w:r>
      <w:t xml:space="preserve">eave </w:t>
    </w:r>
    <w:r w:rsidR="00F74BA6">
      <w:t>I</w:t>
    </w:r>
    <w:r>
      <w:t>ssues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1997" w14:textId="72C2E05C" w:rsidR="002210ED" w:rsidRDefault="00014213" w:rsidP="002210ED">
    <w:pPr>
      <w:pStyle w:val="Header"/>
      <w:jc w:val="right"/>
    </w:pPr>
    <w:r>
      <w:rPr>
        <w:noProof/>
      </w:rPr>
      <w:drawing>
        <wp:anchor distT="0" distB="0" distL="114300" distR="114300" simplePos="0" relativeHeight="251657216" behindDoc="1" locked="0" layoutInCell="1" allowOverlap="1" wp14:anchorId="392613D2" wp14:editId="56E31A6C">
          <wp:simplePos x="0" y="0"/>
          <wp:positionH relativeFrom="page">
            <wp:align>left</wp:align>
          </wp:positionH>
          <wp:positionV relativeFrom="page">
            <wp:align>top</wp:align>
          </wp:positionV>
          <wp:extent cx="7552800" cy="10875600"/>
          <wp:effectExtent l="0" t="0" r="3810" b="0"/>
          <wp:wrapNone/>
          <wp:docPr id="33" name="Picture 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Icon&#10;&#10;Description automatically generated"/>
                  <pic:cNvPicPr/>
                </pic:nvPicPr>
                <pic:blipFill rotWithShape="1">
                  <a:blip r:embed="rId1">
                    <a:extLst>
                      <a:ext uri="{28A0092B-C50C-407E-A947-70E740481C1C}">
                        <a14:useLocalDpi xmlns:a14="http://schemas.microsoft.com/office/drawing/2010/main" val="0"/>
                      </a:ext>
                    </a:extLst>
                  </a:blip>
                  <a:srcRect r="27462" b="6198"/>
                  <a:stretch/>
                </pic:blipFill>
                <pic:spPr bwMode="auto">
                  <a:xfrm>
                    <a:off x="0" y="0"/>
                    <a:ext cx="7552800" cy="1087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B5A6D5E"/>
    <w:lvl w:ilvl="0">
      <w:start w:val="1"/>
      <w:numFmt w:val="bullet"/>
      <w:pStyle w:val="ListBullet2"/>
      <w:lvlText w:val=""/>
      <w:lvlJc w:val="left"/>
      <w:pPr>
        <w:ind w:left="473" w:hanging="360"/>
      </w:pPr>
      <w:rPr>
        <w:rFonts w:ascii="Symbol" w:hAnsi="Symbol" w:hint="default"/>
        <w:u w:color="D16F2F" w:themeColor="accent4"/>
      </w:rPr>
    </w:lvl>
  </w:abstractNum>
  <w:abstractNum w:abstractNumId="1" w15:restartNumberingAfterBreak="0">
    <w:nsid w:val="01EE3705"/>
    <w:multiLevelType w:val="multilevel"/>
    <w:tmpl w:val="52784BFC"/>
    <w:numStyleLink w:val="Recommendations"/>
  </w:abstractNum>
  <w:abstractNum w:abstractNumId="2" w15:restartNumberingAfterBreak="0">
    <w:nsid w:val="05CC0E5D"/>
    <w:multiLevelType w:val="hybridMultilevel"/>
    <w:tmpl w:val="796A4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C4235B"/>
    <w:multiLevelType w:val="multilevel"/>
    <w:tmpl w:val="853A8142"/>
    <w:lvl w:ilvl="0">
      <w:start w:val="1"/>
      <w:numFmt w:val="decimal"/>
      <w:lvlText w:val="%1."/>
      <w:lvlJc w:val="left"/>
      <w:pPr>
        <w:ind w:left="360" w:hanging="360"/>
      </w:pPr>
      <w:rPr>
        <w:rFonts w:hint="default"/>
        <w:color w:val="D16F2F" w:themeColor="accent4"/>
        <w:u w:color="D16F2F" w:themeColor="accent4"/>
      </w:rPr>
    </w:lvl>
    <w:lvl w:ilvl="1">
      <w:start w:val="1"/>
      <w:numFmt w:val="decimal"/>
      <w:lvlText w:val="%1.%2."/>
      <w:lvlJc w:val="left"/>
      <w:pPr>
        <w:ind w:left="380" w:hanging="20"/>
      </w:pPr>
      <w:rPr>
        <w:rFonts w:hint="default"/>
        <w:color w:val="D16F2F" w:themeColor="accent4"/>
      </w:rPr>
    </w:lvl>
    <w:lvl w:ilvl="2">
      <w:start w:val="1"/>
      <w:numFmt w:val="decimal"/>
      <w:lvlText w:val="%1.%2.%3."/>
      <w:lvlJc w:val="left"/>
      <w:pPr>
        <w:ind w:left="1224" w:hanging="504"/>
      </w:pPr>
      <w:rPr>
        <w:rFonts w:hint="default"/>
        <w:color w:val="D16F2F" w:themeColor="accent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D02C85"/>
    <w:multiLevelType w:val="hybridMultilevel"/>
    <w:tmpl w:val="6D1EA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F660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032D02"/>
    <w:multiLevelType w:val="hybridMultilevel"/>
    <w:tmpl w:val="096CB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5C7234"/>
    <w:multiLevelType w:val="multilevel"/>
    <w:tmpl w:val="52784BFC"/>
    <w:numStyleLink w:val="Recommendations"/>
  </w:abstractNum>
  <w:abstractNum w:abstractNumId="8" w15:restartNumberingAfterBreak="0">
    <w:nsid w:val="111F7F0B"/>
    <w:multiLevelType w:val="multilevel"/>
    <w:tmpl w:val="ED162B4E"/>
    <w:numStyleLink w:val="Chapterrecs"/>
  </w:abstractNum>
  <w:abstractNum w:abstractNumId="9" w15:restartNumberingAfterBreak="0">
    <w:nsid w:val="129C1030"/>
    <w:multiLevelType w:val="multilevel"/>
    <w:tmpl w:val="52784BFC"/>
    <w:name w:val="Recommendations L1"/>
    <w:styleLink w:val="Recommendations"/>
    <w:lvl w:ilvl="0">
      <w:start w:val="1"/>
      <w:numFmt w:val="decimal"/>
      <w:lvlText w:val="R%1"/>
      <w:lvlJc w:val="left"/>
      <w:pPr>
        <w:ind w:left="567" w:hanging="567"/>
      </w:pPr>
      <w:rPr>
        <w:rFonts w:hint="default"/>
        <w:b/>
        <w:color w:val="auto"/>
        <w:u w:color="D16F2F" w:themeColor="accent4"/>
      </w:rPr>
    </w:lvl>
    <w:lvl w:ilvl="1">
      <w:start w:val="1"/>
      <w:numFmt w:val="none"/>
      <w:lvlRestart w:val="0"/>
      <w:lvlText w:val=""/>
      <w:lvlJc w:val="left"/>
      <w:pPr>
        <w:ind w:left="567" w:firstLine="0"/>
      </w:pPr>
      <w:rPr>
        <w:rFonts w:hint="default"/>
        <w:b/>
        <w:color w:val="auto"/>
      </w:rPr>
    </w:lvl>
    <w:lvl w:ilvl="2">
      <w:start w:val="1"/>
      <w:numFmt w:val="none"/>
      <w:lvlText w:val=""/>
      <w:lvlJc w:val="left"/>
      <w:pPr>
        <w:ind w:left="567" w:hanging="567"/>
      </w:pPr>
      <w:rPr>
        <w:rFonts w:hint="default"/>
        <w:color w:val="D16F2F" w:themeColor="accent4"/>
      </w:rPr>
    </w:lvl>
    <w:lvl w:ilvl="3">
      <w:start w:val="1"/>
      <w:numFmt w:val="none"/>
      <w:lvlText w:val=""/>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0" w15:restartNumberingAfterBreak="0">
    <w:nsid w:val="14F77896"/>
    <w:multiLevelType w:val="hybridMultilevel"/>
    <w:tmpl w:val="DE9CA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B64C9"/>
    <w:multiLevelType w:val="hybridMultilevel"/>
    <w:tmpl w:val="AA9CC2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217CE6"/>
    <w:multiLevelType w:val="multilevel"/>
    <w:tmpl w:val="ED162B4E"/>
    <w:numStyleLink w:val="Chapterrecs"/>
  </w:abstractNum>
  <w:abstractNum w:abstractNumId="13" w15:restartNumberingAfterBreak="0">
    <w:nsid w:val="1B4D11A9"/>
    <w:multiLevelType w:val="hybridMultilevel"/>
    <w:tmpl w:val="721E8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28464C"/>
    <w:multiLevelType w:val="hybridMultilevel"/>
    <w:tmpl w:val="B6462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AB5F63"/>
    <w:multiLevelType w:val="multilevel"/>
    <w:tmpl w:val="ED162B4E"/>
    <w:numStyleLink w:val="Chapterrecs"/>
  </w:abstractNum>
  <w:abstractNum w:abstractNumId="16" w15:restartNumberingAfterBreak="0">
    <w:nsid w:val="2A7D316D"/>
    <w:multiLevelType w:val="multilevel"/>
    <w:tmpl w:val="ED162B4E"/>
    <w:numStyleLink w:val="Chapterrecs"/>
  </w:abstractNum>
  <w:abstractNum w:abstractNumId="17" w15:restartNumberingAfterBreak="0">
    <w:nsid w:val="2C9C05A6"/>
    <w:multiLevelType w:val="hybridMultilevel"/>
    <w:tmpl w:val="D222FA16"/>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8" w15:restartNumberingAfterBreak="0">
    <w:nsid w:val="34BD6F4F"/>
    <w:multiLevelType w:val="multilevel"/>
    <w:tmpl w:val="52784BFC"/>
    <w:name w:val="Recommendations L13"/>
    <w:numStyleLink w:val="Recommendations"/>
  </w:abstractNum>
  <w:abstractNum w:abstractNumId="19" w15:restartNumberingAfterBreak="0">
    <w:nsid w:val="35052EB2"/>
    <w:multiLevelType w:val="multilevel"/>
    <w:tmpl w:val="52784BFC"/>
    <w:numStyleLink w:val="Recommendations"/>
  </w:abstractNum>
  <w:abstractNum w:abstractNumId="20" w15:restartNumberingAfterBreak="0">
    <w:nsid w:val="35146BD4"/>
    <w:multiLevelType w:val="hybridMultilevel"/>
    <w:tmpl w:val="D8A00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BF45C0"/>
    <w:multiLevelType w:val="multilevel"/>
    <w:tmpl w:val="52784BFC"/>
    <w:name w:val="Recommendations L12"/>
    <w:numStyleLink w:val="Recommendations"/>
  </w:abstractNum>
  <w:abstractNum w:abstractNumId="22" w15:restartNumberingAfterBreak="0">
    <w:nsid w:val="38D15624"/>
    <w:multiLevelType w:val="multilevel"/>
    <w:tmpl w:val="853A8142"/>
    <w:lvl w:ilvl="0">
      <w:start w:val="1"/>
      <w:numFmt w:val="decimal"/>
      <w:lvlText w:val="%1."/>
      <w:lvlJc w:val="left"/>
      <w:pPr>
        <w:ind w:left="360" w:hanging="360"/>
      </w:pPr>
      <w:rPr>
        <w:rFonts w:hint="default"/>
        <w:color w:val="D16F2F" w:themeColor="accent4"/>
        <w:u w:color="D16F2F" w:themeColor="accent4"/>
      </w:rPr>
    </w:lvl>
    <w:lvl w:ilvl="1">
      <w:start w:val="1"/>
      <w:numFmt w:val="decimal"/>
      <w:lvlText w:val="%1.%2."/>
      <w:lvlJc w:val="left"/>
      <w:pPr>
        <w:ind w:left="380" w:hanging="20"/>
      </w:pPr>
      <w:rPr>
        <w:rFonts w:hint="default"/>
        <w:color w:val="D16F2F" w:themeColor="accent4"/>
      </w:rPr>
    </w:lvl>
    <w:lvl w:ilvl="2">
      <w:start w:val="1"/>
      <w:numFmt w:val="decimal"/>
      <w:lvlText w:val="%1.%2.%3."/>
      <w:lvlJc w:val="left"/>
      <w:pPr>
        <w:ind w:left="1224" w:hanging="504"/>
      </w:pPr>
      <w:rPr>
        <w:rFonts w:hint="default"/>
        <w:color w:val="D16F2F" w:themeColor="accent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AB6B42"/>
    <w:multiLevelType w:val="hybridMultilevel"/>
    <w:tmpl w:val="29340E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3F7C3E13"/>
    <w:multiLevelType w:val="multilevel"/>
    <w:tmpl w:val="ED162B4E"/>
    <w:name w:val="Recommendations L132"/>
    <w:numStyleLink w:val="Chapterrecs"/>
  </w:abstractNum>
  <w:abstractNum w:abstractNumId="25" w15:restartNumberingAfterBreak="0">
    <w:nsid w:val="3F9335D3"/>
    <w:multiLevelType w:val="multilevel"/>
    <w:tmpl w:val="52784BFC"/>
    <w:numStyleLink w:val="Recommendations"/>
  </w:abstractNum>
  <w:abstractNum w:abstractNumId="26" w15:restartNumberingAfterBreak="0">
    <w:nsid w:val="446640DF"/>
    <w:multiLevelType w:val="hybridMultilevel"/>
    <w:tmpl w:val="BEE62576"/>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85114FE"/>
    <w:multiLevelType w:val="multilevel"/>
    <w:tmpl w:val="F8542F0E"/>
    <w:lvl w:ilvl="0">
      <w:start w:val="1"/>
      <w:numFmt w:val="bullet"/>
      <w:lvlText w:val=""/>
      <w:lvlJc w:val="left"/>
      <w:pPr>
        <w:ind w:left="360" w:hanging="360"/>
      </w:pPr>
      <w:rPr>
        <w:rFonts w:ascii="Symbol" w:hAnsi="Symbol" w:hint="default"/>
        <w:color w:val="D16F2F" w:themeColor="accent4"/>
        <w:u w:color="D16F2F" w:themeColor="accent4"/>
      </w:rPr>
    </w:lvl>
    <w:lvl w:ilvl="1">
      <w:start w:val="1"/>
      <w:numFmt w:val="bullet"/>
      <w:lvlText w:val="○"/>
      <w:lvlJc w:val="left"/>
      <w:pPr>
        <w:ind w:left="720" w:hanging="360"/>
      </w:pPr>
      <w:rPr>
        <w:rFonts w:ascii="Corbel" w:hAnsi="Corbel" w:hint="default"/>
        <w:color w:val="D16F2F" w:themeColor="accent4"/>
      </w:rPr>
    </w:lvl>
    <w:lvl w:ilvl="2">
      <w:start w:val="1"/>
      <w:numFmt w:val="bullet"/>
      <w:lvlText w:val=""/>
      <w:lvlJc w:val="left"/>
      <w:pPr>
        <w:ind w:left="1080" w:hanging="360"/>
      </w:pPr>
      <w:rPr>
        <w:rFonts w:ascii="Wingdings" w:hAnsi="Wingdings" w:hint="default"/>
        <w:color w:val="D16F2F" w:themeColor="accent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48A81924"/>
    <w:multiLevelType w:val="multilevel"/>
    <w:tmpl w:val="853A8142"/>
    <w:lvl w:ilvl="0">
      <w:start w:val="1"/>
      <w:numFmt w:val="decimal"/>
      <w:lvlText w:val="%1."/>
      <w:lvlJc w:val="left"/>
      <w:pPr>
        <w:ind w:left="360" w:hanging="360"/>
      </w:pPr>
      <w:rPr>
        <w:rFonts w:hint="default"/>
        <w:color w:val="D16F2F" w:themeColor="accent4"/>
        <w:u w:color="D16F2F" w:themeColor="accent4"/>
      </w:rPr>
    </w:lvl>
    <w:lvl w:ilvl="1">
      <w:start w:val="1"/>
      <w:numFmt w:val="decimal"/>
      <w:lvlText w:val="%1.%2."/>
      <w:lvlJc w:val="left"/>
      <w:pPr>
        <w:ind w:left="380" w:hanging="20"/>
      </w:pPr>
      <w:rPr>
        <w:rFonts w:hint="default"/>
        <w:color w:val="D16F2F" w:themeColor="accent4"/>
      </w:rPr>
    </w:lvl>
    <w:lvl w:ilvl="2">
      <w:start w:val="1"/>
      <w:numFmt w:val="decimal"/>
      <w:lvlText w:val="%1.%2.%3."/>
      <w:lvlJc w:val="left"/>
      <w:pPr>
        <w:ind w:left="1224" w:hanging="504"/>
      </w:pPr>
      <w:rPr>
        <w:rFonts w:hint="default"/>
        <w:color w:val="D16F2F" w:themeColor="accent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033E2A"/>
    <w:multiLevelType w:val="hybridMultilevel"/>
    <w:tmpl w:val="494AFF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BA3724"/>
    <w:multiLevelType w:val="multilevel"/>
    <w:tmpl w:val="ED162B4E"/>
    <w:styleLink w:val="Chapterrecs"/>
    <w:lvl w:ilvl="0">
      <w:start w:val="1"/>
      <w:numFmt w:val="decimal"/>
      <w:lvlText w:val="R%1"/>
      <w:lvlJc w:val="left"/>
      <w:pPr>
        <w:ind w:left="360" w:hanging="360"/>
      </w:pPr>
      <w:rPr>
        <w:rFonts w:hint="default"/>
        <w:b/>
      </w:rPr>
    </w:lvl>
    <w:lvl w:ilvl="1">
      <w:start w:val="1"/>
      <w:numFmt w:val="decimal"/>
      <w:lvlText w:val="R%1.%2"/>
      <w:lvlJc w:val="left"/>
      <w:pPr>
        <w:ind w:left="680" w:hanging="680"/>
      </w:pPr>
      <w:rPr>
        <w:rFonts w:hint="default"/>
        <w:b/>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DC24EB1"/>
    <w:multiLevelType w:val="hybridMultilevel"/>
    <w:tmpl w:val="3968D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EC238CF"/>
    <w:multiLevelType w:val="multilevel"/>
    <w:tmpl w:val="3B2A449A"/>
    <w:lvl w:ilvl="0">
      <w:start w:val="1"/>
      <w:numFmt w:val="decimal"/>
      <w:lvlText w:val="%1."/>
      <w:lvlJc w:val="left"/>
      <w:pPr>
        <w:ind w:left="360" w:hanging="360"/>
      </w:pPr>
      <w:rPr>
        <w:rFonts w:hint="default"/>
        <w:color w:val="D16F2F" w:themeColor="accent4"/>
      </w:rPr>
    </w:lvl>
    <w:lvl w:ilvl="1">
      <w:start w:val="1"/>
      <w:numFmt w:val="bullet"/>
      <w:lvlText w:val="○"/>
      <w:lvlJc w:val="left"/>
      <w:pPr>
        <w:ind w:left="720" w:hanging="360"/>
      </w:pPr>
      <w:rPr>
        <w:rFonts w:ascii="Corbel" w:hAnsi="Corbel" w:hint="default"/>
        <w:color w:val="D16F2F" w:themeColor="accent4"/>
      </w:rPr>
    </w:lvl>
    <w:lvl w:ilvl="2">
      <w:start w:val="1"/>
      <w:numFmt w:val="bullet"/>
      <w:lvlText w:val=""/>
      <w:lvlJc w:val="left"/>
      <w:pPr>
        <w:ind w:left="1080" w:hanging="360"/>
      </w:pPr>
      <w:rPr>
        <w:rFonts w:ascii="Wingdings" w:hAnsi="Wingdings" w:hint="default"/>
        <w:color w:val="D16F2F" w:themeColor="accent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4F761CEF"/>
    <w:multiLevelType w:val="hybridMultilevel"/>
    <w:tmpl w:val="581A65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33F61EA"/>
    <w:multiLevelType w:val="multilevel"/>
    <w:tmpl w:val="52784BFC"/>
    <w:numStyleLink w:val="Recommendations"/>
  </w:abstractNum>
  <w:abstractNum w:abstractNumId="35" w15:restartNumberingAfterBreak="0">
    <w:nsid w:val="5B5D436A"/>
    <w:multiLevelType w:val="hybridMultilevel"/>
    <w:tmpl w:val="8D544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5F15AD"/>
    <w:multiLevelType w:val="multilevel"/>
    <w:tmpl w:val="F8542F0E"/>
    <w:lvl w:ilvl="0">
      <w:start w:val="1"/>
      <w:numFmt w:val="bullet"/>
      <w:lvlText w:val=""/>
      <w:lvlJc w:val="left"/>
      <w:pPr>
        <w:ind w:left="360" w:hanging="360"/>
      </w:pPr>
      <w:rPr>
        <w:rFonts w:ascii="Symbol" w:hAnsi="Symbol" w:hint="default"/>
        <w:color w:val="D16F2F" w:themeColor="accent4"/>
      </w:rPr>
    </w:lvl>
    <w:lvl w:ilvl="1">
      <w:start w:val="1"/>
      <w:numFmt w:val="bullet"/>
      <w:lvlText w:val="○"/>
      <w:lvlJc w:val="left"/>
      <w:pPr>
        <w:ind w:left="720" w:hanging="360"/>
      </w:pPr>
      <w:rPr>
        <w:rFonts w:ascii="Corbel" w:hAnsi="Corbel" w:hint="default"/>
        <w:color w:val="D16F2F" w:themeColor="accent4"/>
      </w:rPr>
    </w:lvl>
    <w:lvl w:ilvl="2">
      <w:start w:val="1"/>
      <w:numFmt w:val="bullet"/>
      <w:lvlText w:val=""/>
      <w:lvlJc w:val="left"/>
      <w:pPr>
        <w:ind w:left="1080" w:hanging="360"/>
      </w:pPr>
      <w:rPr>
        <w:rFonts w:ascii="Wingdings" w:hAnsi="Wingdings" w:hint="default"/>
        <w:color w:val="D16F2F" w:themeColor="accent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5E1C1AEC"/>
    <w:multiLevelType w:val="hybridMultilevel"/>
    <w:tmpl w:val="1C44D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5262F6"/>
    <w:multiLevelType w:val="multilevel"/>
    <w:tmpl w:val="52784BFC"/>
    <w:numStyleLink w:val="Recommendations"/>
  </w:abstractNum>
  <w:abstractNum w:abstractNumId="39" w15:restartNumberingAfterBreak="0">
    <w:nsid w:val="61D74690"/>
    <w:multiLevelType w:val="hybridMultilevel"/>
    <w:tmpl w:val="66902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8B29C7"/>
    <w:multiLevelType w:val="hybridMultilevel"/>
    <w:tmpl w:val="DBAE1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4A3356"/>
    <w:multiLevelType w:val="hybridMultilevel"/>
    <w:tmpl w:val="48660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9D1DE8"/>
    <w:multiLevelType w:val="multilevel"/>
    <w:tmpl w:val="853A8142"/>
    <w:lvl w:ilvl="0">
      <w:start w:val="1"/>
      <w:numFmt w:val="decimal"/>
      <w:lvlText w:val="%1."/>
      <w:lvlJc w:val="left"/>
      <w:pPr>
        <w:ind w:left="360" w:hanging="360"/>
      </w:pPr>
      <w:rPr>
        <w:rFonts w:hint="default"/>
        <w:color w:val="D16F2F" w:themeColor="accent4"/>
        <w:u w:color="D16F2F" w:themeColor="accent4"/>
      </w:rPr>
    </w:lvl>
    <w:lvl w:ilvl="1">
      <w:start w:val="1"/>
      <w:numFmt w:val="decimal"/>
      <w:lvlText w:val="%1.%2."/>
      <w:lvlJc w:val="left"/>
      <w:pPr>
        <w:ind w:left="380" w:hanging="20"/>
      </w:pPr>
      <w:rPr>
        <w:rFonts w:hint="default"/>
        <w:color w:val="D16F2F" w:themeColor="accent4"/>
      </w:rPr>
    </w:lvl>
    <w:lvl w:ilvl="2">
      <w:start w:val="1"/>
      <w:numFmt w:val="decimal"/>
      <w:lvlText w:val="%1.%2.%3."/>
      <w:lvlJc w:val="left"/>
      <w:pPr>
        <w:ind w:left="1224" w:hanging="504"/>
      </w:pPr>
      <w:rPr>
        <w:rFonts w:hint="default"/>
        <w:color w:val="D16F2F" w:themeColor="accent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0A666E"/>
    <w:multiLevelType w:val="hybridMultilevel"/>
    <w:tmpl w:val="8AEAA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B560F07"/>
    <w:multiLevelType w:val="multilevel"/>
    <w:tmpl w:val="52784BFC"/>
    <w:numStyleLink w:val="Recommendations"/>
  </w:abstractNum>
  <w:abstractNum w:abstractNumId="45" w15:restartNumberingAfterBreak="0">
    <w:nsid w:val="6B7C385A"/>
    <w:multiLevelType w:val="multilevel"/>
    <w:tmpl w:val="595EF87C"/>
    <w:lvl w:ilvl="0">
      <w:start w:val="1"/>
      <w:numFmt w:val="decimal"/>
      <w:lvlText w:val="R%1"/>
      <w:lvlJc w:val="left"/>
      <w:pPr>
        <w:ind w:left="567" w:hanging="567"/>
      </w:pPr>
      <w:rPr>
        <w:rFonts w:hint="default"/>
        <w:b/>
        <w:color w:val="auto"/>
        <w:u w:color="D16F2F" w:themeColor="accent4"/>
      </w:rPr>
    </w:lvl>
    <w:lvl w:ilvl="1">
      <w:start w:val="1"/>
      <w:numFmt w:val="decimal"/>
      <w:lvlText w:val="R%1.%2"/>
      <w:lvlJc w:val="left"/>
      <w:pPr>
        <w:ind w:left="680" w:hanging="680"/>
      </w:pPr>
      <w:rPr>
        <w:rFonts w:hint="default"/>
        <w:b/>
        <w:color w:val="auto"/>
      </w:rPr>
    </w:lvl>
    <w:lvl w:ilvl="2">
      <w:start w:val="1"/>
      <w:numFmt w:val="decimal"/>
      <w:lvlText w:val="%1.%2.%3."/>
      <w:lvlJc w:val="left"/>
      <w:pPr>
        <w:ind w:left="567" w:hanging="567"/>
      </w:pPr>
      <w:rPr>
        <w:rFonts w:hint="default"/>
        <w:color w:val="D16F2F" w:themeColor="accent4"/>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6" w15:restartNumberingAfterBreak="0">
    <w:nsid w:val="789E18F7"/>
    <w:multiLevelType w:val="multilevel"/>
    <w:tmpl w:val="52784BFC"/>
    <w:numStyleLink w:val="Recommendations"/>
  </w:abstractNum>
  <w:abstractNum w:abstractNumId="47" w15:restartNumberingAfterBreak="0">
    <w:nsid w:val="79E939E8"/>
    <w:multiLevelType w:val="hybridMultilevel"/>
    <w:tmpl w:val="682A7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046C61"/>
    <w:multiLevelType w:val="hybridMultilevel"/>
    <w:tmpl w:val="46E08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36"/>
  </w:num>
  <w:num w:numId="5">
    <w:abstractNumId w:val="27"/>
  </w:num>
  <w:num w:numId="6">
    <w:abstractNumId w:val="32"/>
  </w:num>
  <w:num w:numId="7">
    <w:abstractNumId w:val="28"/>
  </w:num>
  <w:num w:numId="8">
    <w:abstractNumId w:val="42"/>
  </w:num>
  <w:num w:numId="9">
    <w:abstractNumId w:val="5"/>
  </w:num>
  <w:num w:numId="10">
    <w:abstractNumId w:val="22"/>
  </w:num>
  <w:num w:numId="11">
    <w:abstractNumId w:val="9"/>
  </w:num>
  <w:num w:numId="12">
    <w:abstractNumId w:val="34"/>
  </w:num>
  <w:num w:numId="13">
    <w:abstractNumId w:val="1"/>
  </w:num>
  <w:num w:numId="14">
    <w:abstractNumId w:val="25"/>
  </w:num>
  <w:num w:numId="15">
    <w:abstractNumId w:val="46"/>
  </w:num>
  <w:num w:numId="16">
    <w:abstractNumId w:val="44"/>
  </w:num>
  <w:num w:numId="17">
    <w:abstractNumId w:val="45"/>
  </w:num>
  <w:num w:numId="18">
    <w:abstractNumId w:val="30"/>
  </w:num>
  <w:num w:numId="19">
    <w:abstractNumId w:val="8"/>
  </w:num>
  <w:num w:numId="20">
    <w:abstractNumId w:val="15"/>
  </w:num>
  <w:num w:numId="21">
    <w:abstractNumId w:val="19"/>
  </w:num>
  <w:num w:numId="22">
    <w:abstractNumId w:val="21"/>
  </w:num>
  <w:num w:numId="23">
    <w:abstractNumId w:val="16"/>
  </w:num>
  <w:num w:numId="24">
    <w:abstractNumId w:val="7"/>
  </w:num>
  <w:num w:numId="25">
    <w:abstractNumId w:val="18"/>
  </w:num>
  <w:num w:numId="26">
    <w:abstractNumId w:val="24"/>
  </w:num>
  <w:num w:numId="27">
    <w:abstractNumId w:val="12"/>
  </w:num>
  <w:num w:numId="28">
    <w:abstractNumId w:val="38"/>
  </w:num>
  <w:num w:numId="29">
    <w:abstractNumId w:val="20"/>
  </w:num>
  <w:num w:numId="30">
    <w:abstractNumId w:val="43"/>
  </w:num>
  <w:num w:numId="31">
    <w:abstractNumId w:val="11"/>
  </w:num>
  <w:num w:numId="32">
    <w:abstractNumId w:val="40"/>
  </w:num>
  <w:num w:numId="33">
    <w:abstractNumId w:val="10"/>
  </w:num>
  <w:num w:numId="34">
    <w:abstractNumId w:val="41"/>
  </w:num>
  <w:num w:numId="35">
    <w:abstractNumId w:val="6"/>
  </w:num>
  <w:num w:numId="36">
    <w:abstractNumId w:val="2"/>
  </w:num>
  <w:num w:numId="37">
    <w:abstractNumId w:val="35"/>
  </w:num>
  <w:num w:numId="38">
    <w:abstractNumId w:val="17"/>
  </w:num>
  <w:num w:numId="39">
    <w:abstractNumId w:val="37"/>
  </w:num>
  <w:num w:numId="40">
    <w:abstractNumId w:val="31"/>
  </w:num>
  <w:num w:numId="41">
    <w:abstractNumId w:val="23"/>
  </w:num>
  <w:num w:numId="42">
    <w:abstractNumId w:val="33"/>
  </w:num>
  <w:num w:numId="43">
    <w:abstractNumId w:val="48"/>
  </w:num>
  <w:num w:numId="44">
    <w:abstractNumId w:val="39"/>
  </w:num>
  <w:num w:numId="45">
    <w:abstractNumId w:val="14"/>
  </w:num>
  <w:num w:numId="46">
    <w:abstractNumId w:val="29"/>
  </w:num>
  <w:num w:numId="47">
    <w:abstractNumId w:val="26"/>
  </w:num>
  <w:num w:numId="48">
    <w:abstractNumId w:val="13"/>
  </w:num>
  <w:num w:numId="49">
    <w:abstractNumId w:val="47"/>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24"/>
    <w:rsid w:val="00006696"/>
    <w:rsid w:val="00014213"/>
    <w:rsid w:val="000163D0"/>
    <w:rsid w:val="0002010E"/>
    <w:rsid w:val="00024B76"/>
    <w:rsid w:val="0003030C"/>
    <w:rsid w:val="000321C0"/>
    <w:rsid w:val="00032D00"/>
    <w:rsid w:val="00034FA7"/>
    <w:rsid w:val="00040B08"/>
    <w:rsid w:val="00041314"/>
    <w:rsid w:val="00043503"/>
    <w:rsid w:val="000573A8"/>
    <w:rsid w:val="00071A31"/>
    <w:rsid w:val="0007408E"/>
    <w:rsid w:val="000854B6"/>
    <w:rsid w:val="00086E2B"/>
    <w:rsid w:val="00087C88"/>
    <w:rsid w:val="00090BDB"/>
    <w:rsid w:val="000A6F8F"/>
    <w:rsid w:val="000A74E3"/>
    <w:rsid w:val="000B140F"/>
    <w:rsid w:val="000C165D"/>
    <w:rsid w:val="000C6E8F"/>
    <w:rsid w:val="000D111E"/>
    <w:rsid w:val="000D73C1"/>
    <w:rsid w:val="00102A8A"/>
    <w:rsid w:val="00123142"/>
    <w:rsid w:val="00123276"/>
    <w:rsid w:val="00133D0E"/>
    <w:rsid w:val="00135F73"/>
    <w:rsid w:val="001463AE"/>
    <w:rsid w:val="0015441B"/>
    <w:rsid w:val="00163ABF"/>
    <w:rsid w:val="00170455"/>
    <w:rsid w:val="00172538"/>
    <w:rsid w:val="001925FE"/>
    <w:rsid w:val="001A34CA"/>
    <w:rsid w:val="001A6634"/>
    <w:rsid w:val="001C0A03"/>
    <w:rsid w:val="001C2D0A"/>
    <w:rsid w:val="001D52B0"/>
    <w:rsid w:val="001E146D"/>
    <w:rsid w:val="001F3411"/>
    <w:rsid w:val="00200FB2"/>
    <w:rsid w:val="00202B29"/>
    <w:rsid w:val="002069C8"/>
    <w:rsid w:val="00215DDD"/>
    <w:rsid w:val="00217D56"/>
    <w:rsid w:val="002210B1"/>
    <w:rsid w:val="002210ED"/>
    <w:rsid w:val="00226596"/>
    <w:rsid w:val="00235909"/>
    <w:rsid w:val="00240C22"/>
    <w:rsid w:val="00240F13"/>
    <w:rsid w:val="002423F4"/>
    <w:rsid w:val="00242D29"/>
    <w:rsid w:val="00250793"/>
    <w:rsid w:val="00254F54"/>
    <w:rsid w:val="00257D47"/>
    <w:rsid w:val="00262732"/>
    <w:rsid w:val="002669BC"/>
    <w:rsid w:val="002675AF"/>
    <w:rsid w:val="00271116"/>
    <w:rsid w:val="00274FD3"/>
    <w:rsid w:val="00280821"/>
    <w:rsid w:val="00281538"/>
    <w:rsid w:val="002816E7"/>
    <w:rsid w:val="002911D3"/>
    <w:rsid w:val="002937A7"/>
    <w:rsid w:val="002A1CE4"/>
    <w:rsid w:val="002A2BDD"/>
    <w:rsid w:val="002B050D"/>
    <w:rsid w:val="002B0A3F"/>
    <w:rsid w:val="002C6DE7"/>
    <w:rsid w:val="002D376C"/>
    <w:rsid w:val="002E6740"/>
    <w:rsid w:val="003277D6"/>
    <w:rsid w:val="003308EB"/>
    <w:rsid w:val="00330C98"/>
    <w:rsid w:val="0034780B"/>
    <w:rsid w:val="0035703A"/>
    <w:rsid w:val="00360AAC"/>
    <w:rsid w:val="00375EB6"/>
    <w:rsid w:val="003A4E42"/>
    <w:rsid w:val="003B3779"/>
    <w:rsid w:val="003B4FCD"/>
    <w:rsid w:val="003C4F0C"/>
    <w:rsid w:val="003C5BEB"/>
    <w:rsid w:val="003D7208"/>
    <w:rsid w:val="003E521E"/>
    <w:rsid w:val="003F32D1"/>
    <w:rsid w:val="00401145"/>
    <w:rsid w:val="00420064"/>
    <w:rsid w:val="0042486C"/>
    <w:rsid w:val="00424B8F"/>
    <w:rsid w:val="0043638E"/>
    <w:rsid w:val="00441979"/>
    <w:rsid w:val="00442513"/>
    <w:rsid w:val="004455A4"/>
    <w:rsid w:val="00445E3E"/>
    <w:rsid w:val="00450E01"/>
    <w:rsid w:val="004553B1"/>
    <w:rsid w:val="00467393"/>
    <w:rsid w:val="00467744"/>
    <w:rsid w:val="0047063E"/>
    <w:rsid w:val="004776FA"/>
    <w:rsid w:val="00477F80"/>
    <w:rsid w:val="004833FC"/>
    <w:rsid w:val="0048540E"/>
    <w:rsid w:val="00491900"/>
    <w:rsid w:val="00493E60"/>
    <w:rsid w:val="004942D3"/>
    <w:rsid w:val="00494C71"/>
    <w:rsid w:val="004965B8"/>
    <w:rsid w:val="004A0676"/>
    <w:rsid w:val="004C20B5"/>
    <w:rsid w:val="004C5E51"/>
    <w:rsid w:val="004D07E8"/>
    <w:rsid w:val="004D3885"/>
    <w:rsid w:val="004D44FE"/>
    <w:rsid w:val="004E37E3"/>
    <w:rsid w:val="004E68D1"/>
    <w:rsid w:val="004F0702"/>
    <w:rsid w:val="004F4F90"/>
    <w:rsid w:val="00506442"/>
    <w:rsid w:val="00510C92"/>
    <w:rsid w:val="00516CBD"/>
    <w:rsid w:val="00560198"/>
    <w:rsid w:val="00561946"/>
    <w:rsid w:val="00561E9F"/>
    <w:rsid w:val="005715AF"/>
    <w:rsid w:val="005832C4"/>
    <w:rsid w:val="00592553"/>
    <w:rsid w:val="00592F2A"/>
    <w:rsid w:val="00593880"/>
    <w:rsid w:val="005C3D5A"/>
    <w:rsid w:val="005F517D"/>
    <w:rsid w:val="005F77BD"/>
    <w:rsid w:val="00600E60"/>
    <w:rsid w:val="00601592"/>
    <w:rsid w:val="00612D03"/>
    <w:rsid w:val="0062225A"/>
    <w:rsid w:val="006229C7"/>
    <w:rsid w:val="00622A82"/>
    <w:rsid w:val="00653AA6"/>
    <w:rsid w:val="00654D31"/>
    <w:rsid w:val="00655120"/>
    <w:rsid w:val="0065645D"/>
    <w:rsid w:val="00671733"/>
    <w:rsid w:val="006735E2"/>
    <w:rsid w:val="006742E3"/>
    <w:rsid w:val="00677E35"/>
    <w:rsid w:val="00682B16"/>
    <w:rsid w:val="006940B6"/>
    <w:rsid w:val="006A085F"/>
    <w:rsid w:val="006A28E6"/>
    <w:rsid w:val="006C4A5E"/>
    <w:rsid w:val="006D1FBA"/>
    <w:rsid w:val="006D51F6"/>
    <w:rsid w:val="006E0676"/>
    <w:rsid w:val="006E3F0A"/>
    <w:rsid w:val="006F5F9F"/>
    <w:rsid w:val="00702186"/>
    <w:rsid w:val="00711E8A"/>
    <w:rsid w:val="00712563"/>
    <w:rsid w:val="00716520"/>
    <w:rsid w:val="00716D06"/>
    <w:rsid w:val="007204BB"/>
    <w:rsid w:val="007274A7"/>
    <w:rsid w:val="0073207A"/>
    <w:rsid w:val="0073360C"/>
    <w:rsid w:val="0074667F"/>
    <w:rsid w:val="00753AFA"/>
    <w:rsid w:val="00761692"/>
    <w:rsid w:val="00766FC0"/>
    <w:rsid w:val="007672E9"/>
    <w:rsid w:val="00773583"/>
    <w:rsid w:val="00785409"/>
    <w:rsid w:val="00785515"/>
    <w:rsid w:val="00785C9D"/>
    <w:rsid w:val="007B58FE"/>
    <w:rsid w:val="007B5B54"/>
    <w:rsid w:val="007E2597"/>
    <w:rsid w:val="007E3B45"/>
    <w:rsid w:val="007E5D39"/>
    <w:rsid w:val="0081382E"/>
    <w:rsid w:val="00813CC8"/>
    <w:rsid w:val="0082008D"/>
    <w:rsid w:val="00827ECA"/>
    <w:rsid w:val="00831299"/>
    <w:rsid w:val="00833E16"/>
    <w:rsid w:val="00847B5A"/>
    <w:rsid w:val="00850416"/>
    <w:rsid w:val="00856E47"/>
    <w:rsid w:val="008570B6"/>
    <w:rsid w:val="008653AE"/>
    <w:rsid w:val="00866E06"/>
    <w:rsid w:val="0087068B"/>
    <w:rsid w:val="008777FC"/>
    <w:rsid w:val="0088170C"/>
    <w:rsid w:val="008931F2"/>
    <w:rsid w:val="008A08BB"/>
    <w:rsid w:val="008A2857"/>
    <w:rsid w:val="008A3C65"/>
    <w:rsid w:val="008A7FB8"/>
    <w:rsid w:val="008D3313"/>
    <w:rsid w:val="008E6984"/>
    <w:rsid w:val="008E7ABE"/>
    <w:rsid w:val="00904B36"/>
    <w:rsid w:val="0091241A"/>
    <w:rsid w:val="00925141"/>
    <w:rsid w:val="0093096B"/>
    <w:rsid w:val="00931995"/>
    <w:rsid w:val="00931DFF"/>
    <w:rsid w:val="00933087"/>
    <w:rsid w:val="00933AE9"/>
    <w:rsid w:val="00942350"/>
    <w:rsid w:val="00945BE3"/>
    <w:rsid w:val="009538EF"/>
    <w:rsid w:val="00955382"/>
    <w:rsid w:val="00977700"/>
    <w:rsid w:val="0098102B"/>
    <w:rsid w:val="00981374"/>
    <w:rsid w:val="00994FAA"/>
    <w:rsid w:val="00995865"/>
    <w:rsid w:val="009973A4"/>
    <w:rsid w:val="009B22F2"/>
    <w:rsid w:val="009B419F"/>
    <w:rsid w:val="009C5BE2"/>
    <w:rsid w:val="009D413C"/>
    <w:rsid w:val="009E0D09"/>
    <w:rsid w:val="009E1F09"/>
    <w:rsid w:val="009E481C"/>
    <w:rsid w:val="009F35A5"/>
    <w:rsid w:val="00A048F1"/>
    <w:rsid w:val="00A04B2A"/>
    <w:rsid w:val="00A20FED"/>
    <w:rsid w:val="00A33863"/>
    <w:rsid w:val="00A34C73"/>
    <w:rsid w:val="00A4532E"/>
    <w:rsid w:val="00A47FE6"/>
    <w:rsid w:val="00A51F0A"/>
    <w:rsid w:val="00A60838"/>
    <w:rsid w:val="00A60BAB"/>
    <w:rsid w:val="00A71354"/>
    <w:rsid w:val="00A754F1"/>
    <w:rsid w:val="00A8060D"/>
    <w:rsid w:val="00A825ED"/>
    <w:rsid w:val="00A83F9D"/>
    <w:rsid w:val="00A9410D"/>
    <w:rsid w:val="00A96FBA"/>
    <w:rsid w:val="00AC3F1C"/>
    <w:rsid w:val="00AC624E"/>
    <w:rsid w:val="00AC703A"/>
    <w:rsid w:val="00AD7247"/>
    <w:rsid w:val="00AE0B12"/>
    <w:rsid w:val="00AE3284"/>
    <w:rsid w:val="00AE56D8"/>
    <w:rsid w:val="00B00198"/>
    <w:rsid w:val="00B05437"/>
    <w:rsid w:val="00B134D4"/>
    <w:rsid w:val="00B167A4"/>
    <w:rsid w:val="00B1772E"/>
    <w:rsid w:val="00B253EC"/>
    <w:rsid w:val="00B301E3"/>
    <w:rsid w:val="00B33D1D"/>
    <w:rsid w:val="00B66BD2"/>
    <w:rsid w:val="00B71ED8"/>
    <w:rsid w:val="00B8241B"/>
    <w:rsid w:val="00B82AC8"/>
    <w:rsid w:val="00B90528"/>
    <w:rsid w:val="00B91C50"/>
    <w:rsid w:val="00B95D47"/>
    <w:rsid w:val="00BA393B"/>
    <w:rsid w:val="00BC4E93"/>
    <w:rsid w:val="00BC5497"/>
    <w:rsid w:val="00BD4F61"/>
    <w:rsid w:val="00BF3284"/>
    <w:rsid w:val="00BF3751"/>
    <w:rsid w:val="00C118A4"/>
    <w:rsid w:val="00C13743"/>
    <w:rsid w:val="00C27914"/>
    <w:rsid w:val="00C31058"/>
    <w:rsid w:val="00C44224"/>
    <w:rsid w:val="00C575EE"/>
    <w:rsid w:val="00C65256"/>
    <w:rsid w:val="00C719D3"/>
    <w:rsid w:val="00C730A8"/>
    <w:rsid w:val="00C769FB"/>
    <w:rsid w:val="00C86EAC"/>
    <w:rsid w:val="00C873EE"/>
    <w:rsid w:val="00C9081F"/>
    <w:rsid w:val="00CA0E45"/>
    <w:rsid w:val="00CA3BA2"/>
    <w:rsid w:val="00CA73AD"/>
    <w:rsid w:val="00CD7E0A"/>
    <w:rsid w:val="00CE15B5"/>
    <w:rsid w:val="00D25B1A"/>
    <w:rsid w:val="00D41141"/>
    <w:rsid w:val="00D44938"/>
    <w:rsid w:val="00D46147"/>
    <w:rsid w:val="00D46794"/>
    <w:rsid w:val="00D546AA"/>
    <w:rsid w:val="00D6417B"/>
    <w:rsid w:val="00D645B7"/>
    <w:rsid w:val="00D6516A"/>
    <w:rsid w:val="00D67A03"/>
    <w:rsid w:val="00D732E5"/>
    <w:rsid w:val="00D74FB3"/>
    <w:rsid w:val="00D824C1"/>
    <w:rsid w:val="00D86FFD"/>
    <w:rsid w:val="00DA18B3"/>
    <w:rsid w:val="00DA4DFA"/>
    <w:rsid w:val="00DB6496"/>
    <w:rsid w:val="00DD10F8"/>
    <w:rsid w:val="00DE2892"/>
    <w:rsid w:val="00DE3BF9"/>
    <w:rsid w:val="00DF5372"/>
    <w:rsid w:val="00E02800"/>
    <w:rsid w:val="00E0758B"/>
    <w:rsid w:val="00E1179E"/>
    <w:rsid w:val="00E146D3"/>
    <w:rsid w:val="00E2516C"/>
    <w:rsid w:val="00E268D5"/>
    <w:rsid w:val="00E42191"/>
    <w:rsid w:val="00E460CD"/>
    <w:rsid w:val="00E63606"/>
    <w:rsid w:val="00E73072"/>
    <w:rsid w:val="00E77643"/>
    <w:rsid w:val="00E8041E"/>
    <w:rsid w:val="00E818F6"/>
    <w:rsid w:val="00E82F25"/>
    <w:rsid w:val="00E83425"/>
    <w:rsid w:val="00E907A5"/>
    <w:rsid w:val="00E9138C"/>
    <w:rsid w:val="00E969F2"/>
    <w:rsid w:val="00E97CAF"/>
    <w:rsid w:val="00EB3361"/>
    <w:rsid w:val="00ED42CB"/>
    <w:rsid w:val="00ED43B0"/>
    <w:rsid w:val="00EE17BB"/>
    <w:rsid w:val="00EE2394"/>
    <w:rsid w:val="00EE3043"/>
    <w:rsid w:val="00EF4BE1"/>
    <w:rsid w:val="00EF4BF8"/>
    <w:rsid w:val="00EF754F"/>
    <w:rsid w:val="00F06421"/>
    <w:rsid w:val="00F20614"/>
    <w:rsid w:val="00F2380D"/>
    <w:rsid w:val="00F254A5"/>
    <w:rsid w:val="00F30FF8"/>
    <w:rsid w:val="00F32727"/>
    <w:rsid w:val="00F34445"/>
    <w:rsid w:val="00F43AA8"/>
    <w:rsid w:val="00F45F2A"/>
    <w:rsid w:val="00F52B0A"/>
    <w:rsid w:val="00F53AD0"/>
    <w:rsid w:val="00F549DA"/>
    <w:rsid w:val="00F54EC8"/>
    <w:rsid w:val="00F56F06"/>
    <w:rsid w:val="00F6636D"/>
    <w:rsid w:val="00F6711E"/>
    <w:rsid w:val="00F675C7"/>
    <w:rsid w:val="00F741BF"/>
    <w:rsid w:val="00F74BA6"/>
    <w:rsid w:val="00F81B98"/>
    <w:rsid w:val="00F826A7"/>
    <w:rsid w:val="00F9511A"/>
    <w:rsid w:val="00F962F1"/>
    <w:rsid w:val="00FA1EDC"/>
    <w:rsid w:val="00FB015C"/>
    <w:rsid w:val="00FB4BE7"/>
    <w:rsid w:val="00FB5AA3"/>
    <w:rsid w:val="00FC5E2C"/>
    <w:rsid w:val="00FC6DB9"/>
    <w:rsid w:val="00FC7BA2"/>
    <w:rsid w:val="00FE3FF7"/>
    <w:rsid w:val="00FE5BD8"/>
    <w:rsid w:val="00FE6B42"/>
    <w:rsid w:val="00FF599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61603"/>
  <w15:chartTrackingRefBased/>
  <w15:docId w15:val="{C20FE16D-C5DE-9145-9810-A454E903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979"/>
    <w:rPr>
      <w:rFonts w:ascii="Arial" w:hAnsi="Arial"/>
    </w:rPr>
  </w:style>
  <w:style w:type="paragraph" w:styleId="Heading1">
    <w:name w:val="heading 1"/>
    <w:basedOn w:val="Normal"/>
    <w:next w:val="Normal"/>
    <w:link w:val="Heading1Char"/>
    <w:uiPriority w:val="9"/>
    <w:qFormat/>
    <w:rsid w:val="00712563"/>
    <w:pPr>
      <w:spacing w:after="200" w:line="276" w:lineRule="auto"/>
      <w:outlineLvl w:val="0"/>
    </w:pPr>
    <w:rPr>
      <w:rFonts w:eastAsia="Times New Roman" w:cs="Times New Roman"/>
      <w:color w:val="DA732A"/>
      <w:sz w:val="52"/>
      <w:szCs w:val="52"/>
      <w:lang w:val="en-GB" w:bidi="ar-SA"/>
    </w:rPr>
  </w:style>
  <w:style w:type="paragraph" w:styleId="Heading2">
    <w:name w:val="heading 2"/>
    <w:basedOn w:val="Normal"/>
    <w:next w:val="Normal"/>
    <w:link w:val="Heading2Char"/>
    <w:uiPriority w:val="9"/>
    <w:unhideWhenUsed/>
    <w:qFormat/>
    <w:rsid w:val="00441979"/>
    <w:pPr>
      <w:keepNext/>
      <w:keepLines/>
      <w:spacing w:before="400" w:after="200" w:line="240" w:lineRule="auto"/>
      <w:outlineLvl w:val="1"/>
    </w:pPr>
    <w:rPr>
      <w:rFonts w:eastAsia="Times New Roman" w:cs="Times New Roman"/>
      <w:color w:val="DA732A"/>
      <w:sz w:val="32"/>
      <w:szCs w:val="32"/>
      <w:lang w:val="en-GB" w:bidi="ar-SA"/>
    </w:rPr>
  </w:style>
  <w:style w:type="paragraph" w:styleId="Heading3">
    <w:name w:val="heading 3"/>
    <w:basedOn w:val="Normal"/>
    <w:next w:val="Normal"/>
    <w:link w:val="Heading3Char"/>
    <w:uiPriority w:val="9"/>
    <w:unhideWhenUsed/>
    <w:qFormat/>
    <w:rsid w:val="00441979"/>
    <w:pPr>
      <w:spacing w:before="160" w:line="240" w:lineRule="auto"/>
      <w:outlineLvl w:val="2"/>
    </w:pPr>
    <w:rPr>
      <w:color w:val="DA732A"/>
      <w:sz w:val="24"/>
      <w:szCs w:val="24"/>
      <w:lang w:bidi="ar-SA"/>
    </w:rPr>
  </w:style>
  <w:style w:type="paragraph" w:styleId="Heading4">
    <w:name w:val="heading 4"/>
    <w:basedOn w:val="Heading3"/>
    <w:next w:val="Normal"/>
    <w:link w:val="Heading4Char"/>
    <w:uiPriority w:val="9"/>
    <w:unhideWhenUsed/>
    <w:qFormat/>
    <w:rsid w:val="00441979"/>
    <w:pPr>
      <w:outlineLvl w:val="3"/>
    </w:pPr>
    <w:rPr>
      <w:rFonts w:cs="Segoe UI Semilight"/>
      <w:i/>
      <w:iCs/>
      <w:sz w:val="22"/>
      <w:szCs w:val="22"/>
    </w:rPr>
  </w:style>
  <w:style w:type="paragraph" w:styleId="Heading5">
    <w:name w:val="heading 5"/>
    <w:basedOn w:val="Normal"/>
    <w:next w:val="Normal"/>
    <w:link w:val="Heading5Char"/>
    <w:uiPriority w:val="9"/>
    <w:unhideWhenUsed/>
    <w:qFormat/>
    <w:rsid w:val="00EE3043"/>
    <w:pPr>
      <w:keepNext/>
      <w:keepLines/>
      <w:spacing w:before="40" w:after="0"/>
      <w:outlineLvl w:val="4"/>
    </w:pPr>
    <w:rPr>
      <w:rFonts w:eastAsiaTheme="majorEastAsia" w:cstheme="majorBidi"/>
      <w:color w:val="000000" w:themeColor="text1"/>
      <w:sz w:val="16"/>
      <w:szCs w:val="28"/>
    </w:rPr>
  </w:style>
  <w:style w:type="paragraph" w:styleId="Heading6">
    <w:name w:val="heading 6"/>
    <w:basedOn w:val="Normal"/>
    <w:next w:val="Normal"/>
    <w:link w:val="Heading6Char"/>
    <w:uiPriority w:val="9"/>
    <w:unhideWhenUsed/>
    <w:qFormat/>
    <w:rsid w:val="00EE3043"/>
    <w:pPr>
      <w:keepNext/>
      <w:keepLines/>
      <w:spacing w:before="40" w:after="0"/>
      <w:outlineLvl w:val="5"/>
    </w:pPr>
    <w:rPr>
      <w:rFonts w:asciiTheme="majorHAnsi" w:eastAsiaTheme="majorEastAsia" w:hAnsiTheme="majorHAnsi" w:cstheme="majorBidi"/>
      <w:color w:val="06191E" w:themeColor="accent1" w:themeShade="7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563"/>
    <w:rPr>
      <w:rFonts w:ascii="Arial" w:eastAsia="Times New Roman" w:hAnsi="Arial" w:cs="Times New Roman"/>
      <w:color w:val="DA732A"/>
      <w:sz w:val="52"/>
      <w:szCs w:val="52"/>
      <w:lang w:val="en-GB" w:bidi="ar-SA"/>
    </w:rPr>
  </w:style>
  <w:style w:type="character" w:customStyle="1" w:styleId="Heading2Char">
    <w:name w:val="Heading 2 Char"/>
    <w:basedOn w:val="DefaultParagraphFont"/>
    <w:link w:val="Heading2"/>
    <w:uiPriority w:val="9"/>
    <w:rsid w:val="00441979"/>
    <w:rPr>
      <w:rFonts w:ascii="Arial" w:eastAsia="Times New Roman" w:hAnsi="Arial" w:cs="Times New Roman"/>
      <w:color w:val="DA732A"/>
      <w:sz w:val="32"/>
      <w:szCs w:val="32"/>
      <w:lang w:val="en-GB" w:bidi="ar-SA"/>
    </w:rPr>
  </w:style>
  <w:style w:type="character" w:customStyle="1" w:styleId="Heading3Char">
    <w:name w:val="Heading 3 Char"/>
    <w:basedOn w:val="DefaultParagraphFont"/>
    <w:link w:val="Heading3"/>
    <w:uiPriority w:val="9"/>
    <w:rsid w:val="00441979"/>
    <w:rPr>
      <w:rFonts w:ascii="Arial" w:hAnsi="Arial"/>
      <w:color w:val="DA732A"/>
      <w:sz w:val="24"/>
      <w:szCs w:val="24"/>
      <w:lang w:bidi="ar-SA"/>
    </w:rPr>
  </w:style>
  <w:style w:type="character" w:customStyle="1" w:styleId="Heading4Char">
    <w:name w:val="Heading 4 Char"/>
    <w:basedOn w:val="DefaultParagraphFont"/>
    <w:link w:val="Heading4"/>
    <w:uiPriority w:val="9"/>
    <w:rsid w:val="00441979"/>
    <w:rPr>
      <w:rFonts w:ascii="Arial" w:hAnsi="Arial" w:cs="Segoe UI Semilight"/>
      <w:i/>
      <w:iCs/>
      <w:color w:val="DA732A"/>
      <w:lang w:bidi="ar-SA"/>
    </w:rPr>
  </w:style>
  <w:style w:type="paragraph" w:styleId="ListParagraph">
    <w:name w:val="List Paragraph"/>
    <w:basedOn w:val="Normal"/>
    <w:uiPriority w:val="34"/>
    <w:qFormat/>
    <w:rsid w:val="006735E2"/>
    <w:pPr>
      <w:ind w:left="357"/>
      <w:contextualSpacing/>
    </w:pPr>
    <w:rPr>
      <w:szCs w:val="28"/>
    </w:rPr>
  </w:style>
  <w:style w:type="paragraph" w:styleId="ListBullet2">
    <w:name w:val="List Bullet 2"/>
    <w:basedOn w:val="Normal"/>
    <w:uiPriority w:val="99"/>
    <w:semiHidden/>
    <w:unhideWhenUsed/>
    <w:qFormat/>
    <w:rsid w:val="00850416"/>
    <w:pPr>
      <w:numPr>
        <w:numId w:val="2"/>
      </w:numPr>
      <w:contextualSpacing/>
    </w:pPr>
    <w:rPr>
      <w:rFonts w:cs="Angsana New"/>
      <w:szCs w:val="28"/>
    </w:rPr>
  </w:style>
  <w:style w:type="paragraph" w:styleId="Title">
    <w:name w:val="Title"/>
    <w:basedOn w:val="Normal"/>
    <w:next w:val="Normal"/>
    <w:link w:val="TitleChar"/>
    <w:uiPriority w:val="10"/>
    <w:qFormat/>
    <w:rsid w:val="00E63606"/>
    <w:pPr>
      <w:spacing w:after="0" w:line="240" w:lineRule="auto"/>
      <w:ind w:right="1513"/>
    </w:pPr>
    <w:rPr>
      <w:rFonts w:eastAsia="Times New Roman" w:cs="Times New Roman"/>
      <w:color w:val="DA732A"/>
      <w:sz w:val="72"/>
      <w:szCs w:val="72"/>
      <w:lang w:val="en-GB" w:bidi="ar-SA"/>
    </w:rPr>
  </w:style>
  <w:style w:type="character" w:customStyle="1" w:styleId="TitleChar">
    <w:name w:val="Title Char"/>
    <w:basedOn w:val="DefaultParagraphFont"/>
    <w:link w:val="Title"/>
    <w:uiPriority w:val="10"/>
    <w:rsid w:val="00E63606"/>
    <w:rPr>
      <w:rFonts w:ascii="Arial" w:eastAsia="Times New Roman" w:hAnsi="Arial" w:cs="Times New Roman"/>
      <w:color w:val="DA732A"/>
      <w:sz w:val="72"/>
      <w:szCs w:val="72"/>
      <w:lang w:val="en-GB" w:bidi="ar-SA"/>
    </w:rPr>
  </w:style>
  <w:style w:type="paragraph" w:customStyle="1" w:styleId="paragraph">
    <w:name w:val="paragraph"/>
    <w:basedOn w:val="Normal"/>
    <w:rsid w:val="004D3885"/>
    <w:pPr>
      <w:spacing w:line="276" w:lineRule="auto"/>
    </w:pPr>
    <w:rPr>
      <w:rFonts w:ascii="Segoe UI" w:hAnsi="Segoe UI"/>
      <w:szCs w:val="24"/>
      <w:lang w:bidi="ar-SA"/>
    </w:rPr>
  </w:style>
  <w:style w:type="character" w:styleId="IntenseEmphasis">
    <w:name w:val="Intense Emphasis"/>
    <w:basedOn w:val="DefaultParagraphFont"/>
    <w:uiPriority w:val="21"/>
    <w:rsid w:val="004D3885"/>
    <w:rPr>
      <w:i/>
      <w:iCs/>
      <w:color w:val="0C343D" w:themeColor="accent1"/>
      <w:sz w:val="28"/>
      <w:szCs w:val="32"/>
    </w:rPr>
  </w:style>
  <w:style w:type="table" w:styleId="TableGrid">
    <w:name w:val="Table Grid"/>
    <w:basedOn w:val="TableNormal"/>
    <w:uiPriority w:val="39"/>
    <w:rsid w:val="004D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aliases w:val="ACCPA table style"/>
    <w:basedOn w:val="TableNormal"/>
    <w:uiPriority w:val="49"/>
    <w:rsid w:val="00A20FED"/>
    <w:pPr>
      <w:spacing w:after="0" w:line="240" w:lineRule="auto"/>
    </w:pPr>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378381" w:themeFill="accent2"/>
      </w:tcPr>
    </w:tblStylePr>
    <w:tblStylePr w:type="lastRow">
      <w:rPr>
        <w:b/>
        <w:bCs/>
      </w:rPr>
      <w:tblPr/>
      <w:tcPr>
        <w:tcBorders>
          <w:top w:val="double" w:sz="4" w:space="0" w:color="378381" w:themeColor="accent2"/>
        </w:tcBorders>
      </w:tcPr>
    </w:tblStylePr>
    <w:tblStylePr w:type="firstCol">
      <w:rPr>
        <w:b/>
        <w:bCs/>
      </w:rPr>
    </w:tblStylePr>
    <w:tblStylePr w:type="lastCol">
      <w:rPr>
        <w:b/>
        <w:bCs/>
      </w:rPr>
    </w:tblStylePr>
    <w:tblStylePr w:type="band1Vert">
      <w:tblPr/>
      <w:tcPr>
        <w:shd w:val="clear" w:color="auto" w:fill="D1EBEB" w:themeFill="accent2" w:themeFillTint="33"/>
      </w:tcPr>
    </w:tblStylePr>
    <w:tblStylePr w:type="band1Horz">
      <w:tblPr/>
      <w:tcPr>
        <w:shd w:val="clear" w:color="auto" w:fill="D1EBEB" w:themeFill="accent2" w:themeFillTint="33"/>
      </w:tcPr>
    </w:tblStylePr>
  </w:style>
  <w:style w:type="paragraph" w:styleId="Caption">
    <w:name w:val="caption"/>
    <w:basedOn w:val="Normal"/>
    <w:next w:val="Normal"/>
    <w:uiPriority w:val="35"/>
    <w:qFormat/>
    <w:rsid w:val="00441979"/>
    <w:pPr>
      <w:keepNext/>
      <w:spacing w:after="200" w:line="240" w:lineRule="auto"/>
    </w:pPr>
    <w:rPr>
      <w:rFonts w:cstheme="majorHAnsi"/>
      <w:i/>
      <w:iCs/>
      <w:color w:val="378381" w:themeColor="accent2"/>
      <w:sz w:val="18"/>
    </w:rPr>
  </w:style>
  <w:style w:type="paragraph" w:styleId="NoSpacing">
    <w:name w:val="No Spacing"/>
    <w:uiPriority w:val="1"/>
    <w:rsid w:val="00AE56D8"/>
    <w:pPr>
      <w:spacing w:after="0" w:line="240" w:lineRule="auto"/>
    </w:pPr>
    <w:rPr>
      <w:szCs w:val="28"/>
    </w:rPr>
  </w:style>
  <w:style w:type="character" w:styleId="Emphasis">
    <w:name w:val="Emphasis"/>
    <w:basedOn w:val="IntenseEmphasis"/>
    <w:uiPriority w:val="20"/>
    <w:qFormat/>
    <w:rsid w:val="00441979"/>
    <w:rPr>
      <w:rFonts w:ascii="Arial" w:hAnsi="Arial"/>
      <w:b w:val="0"/>
      <w:i/>
      <w:iCs/>
      <w:color w:val="0C343D" w:themeColor="accent1"/>
      <w:sz w:val="28"/>
      <w:szCs w:val="32"/>
    </w:rPr>
  </w:style>
  <w:style w:type="paragraph" w:styleId="Header">
    <w:name w:val="header"/>
    <w:basedOn w:val="Normal"/>
    <w:link w:val="HeaderChar"/>
    <w:uiPriority w:val="99"/>
    <w:unhideWhenUsed/>
    <w:rsid w:val="00711E8A"/>
    <w:pPr>
      <w:tabs>
        <w:tab w:val="center" w:pos="4513"/>
        <w:tab w:val="right" w:pos="9026"/>
      </w:tabs>
      <w:spacing w:after="0" w:line="240" w:lineRule="auto"/>
    </w:pPr>
    <w:rPr>
      <w:szCs w:val="28"/>
    </w:rPr>
  </w:style>
  <w:style w:type="character" w:customStyle="1" w:styleId="HeaderChar">
    <w:name w:val="Header Char"/>
    <w:basedOn w:val="DefaultParagraphFont"/>
    <w:link w:val="Header"/>
    <w:uiPriority w:val="99"/>
    <w:rsid w:val="00711E8A"/>
    <w:rPr>
      <w:szCs w:val="28"/>
    </w:rPr>
  </w:style>
  <w:style w:type="paragraph" w:styleId="Footer">
    <w:name w:val="footer"/>
    <w:basedOn w:val="Normal"/>
    <w:link w:val="FooterChar"/>
    <w:uiPriority w:val="99"/>
    <w:unhideWhenUsed/>
    <w:rsid w:val="00711E8A"/>
    <w:pPr>
      <w:tabs>
        <w:tab w:val="center" w:pos="4513"/>
        <w:tab w:val="right" w:pos="9026"/>
      </w:tabs>
      <w:spacing w:after="0" w:line="240" w:lineRule="auto"/>
    </w:pPr>
    <w:rPr>
      <w:szCs w:val="28"/>
    </w:rPr>
  </w:style>
  <w:style w:type="character" w:customStyle="1" w:styleId="FooterChar">
    <w:name w:val="Footer Char"/>
    <w:basedOn w:val="DefaultParagraphFont"/>
    <w:link w:val="Footer"/>
    <w:uiPriority w:val="99"/>
    <w:rsid w:val="00711E8A"/>
    <w:rPr>
      <w:szCs w:val="28"/>
    </w:rPr>
  </w:style>
  <w:style w:type="character" w:styleId="PlaceholderText">
    <w:name w:val="Placeholder Text"/>
    <w:basedOn w:val="DefaultParagraphFont"/>
    <w:uiPriority w:val="99"/>
    <w:semiHidden/>
    <w:rsid w:val="00262732"/>
    <w:rPr>
      <w:color w:val="808080"/>
    </w:rPr>
  </w:style>
  <w:style w:type="paragraph" w:styleId="FootnoteText">
    <w:name w:val="footnote text"/>
    <w:basedOn w:val="Normal"/>
    <w:link w:val="FootnoteTextChar"/>
    <w:uiPriority w:val="99"/>
    <w:semiHidden/>
    <w:unhideWhenUsed/>
    <w:rsid w:val="006E0676"/>
    <w:pPr>
      <w:spacing w:after="0" w:line="240" w:lineRule="auto"/>
    </w:pPr>
    <w:rPr>
      <w:sz w:val="18"/>
      <w:szCs w:val="25"/>
    </w:rPr>
  </w:style>
  <w:style w:type="character" w:customStyle="1" w:styleId="FootnoteTextChar">
    <w:name w:val="Footnote Text Char"/>
    <w:basedOn w:val="DefaultParagraphFont"/>
    <w:link w:val="FootnoteText"/>
    <w:uiPriority w:val="99"/>
    <w:semiHidden/>
    <w:rsid w:val="006E0676"/>
    <w:rPr>
      <w:rFonts w:ascii="Arial" w:hAnsi="Arial"/>
      <w:sz w:val="18"/>
      <w:szCs w:val="25"/>
    </w:rPr>
  </w:style>
  <w:style w:type="character" w:styleId="FootnoteReference">
    <w:name w:val="footnote reference"/>
    <w:basedOn w:val="DefaultParagraphFont"/>
    <w:uiPriority w:val="99"/>
    <w:semiHidden/>
    <w:unhideWhenUsed/>
    <w:rsid w:val="00F741BF"/>
    <w:rPr>
      <w:vertAlign w:val="superscript"/>
    </w:rPr>
  </w:style>
  <w:style w:type="paragraph" w:styleId="Bibliography">
    <w:name w:val="Bibliography"/>
    <w:basedOn w:val="Normal"/>
    <w:next w:val="Normal"/>
    <w:uiPriority w:val="37"/>
    <w:unhideWhenUsed/>
    <w:rsid w:val="00360AAC"/>
    <w:pPr>
      <w:spacing w:after="0" w:line="240" w:lineRule="auto"/>
      <w:ind w:left="720" w:hanging="720"/>
    </w:pPr>
    <w:rPr>
      <w:szCs w:val="28"/>
    </w:rPr>
  </w:style>
  <w:style w:type="character" w:styleId="Hyperlink">
    <w:name w:val="Hyperlink"/>
    <w:basedOn w:val="DefaultParagraphFont"/>
    <w:uiPriority w:val="99"/>
    <w:unhideWhenUsed/>
    <w:rsid w:val="00A8060D"/>
    <w:rPr>
      <w:rFonts w:ascii="Arial" w:hAnsi="Arial"/>
      <w:color w:val="D16F2F" w:themeColor="accent4"/>
      <w:u w:val="single"/>
    </w:rPr>
  </w:style>
  <w:style w:type="character" w:styleId="UnresolvedMention">
    <w:name w:val="Unresolved Mention"/>
    <w:basedOn w:val="DefaultParagraphFont"/>
    <w:uiPriority w:val="99"/>
    <w:semiHidden/>
    <w:unhideWhenUsed/>
    <w:rsid w:val="00494C71"/>
    <w:rPr>
      <w:color w:val="605E5C"/>
      <w:shd w:val="clear" w:color="auto" w:fill="E1DFDD"/>
    </w:rPr>
  </w:style>
  <w:style w:type="paragraph" w:styleId="TOCHeading">
    <w:name w:val="TOC Heading"/>
    <w:basedOn w:val="Heading2"/>
    <w:next w:val="Normal"/>
    <w:uiPriority w:val="39"/>
    <w:unhideWhenUsed/>
    <w:qFormat/>
    <w:rsid w:val="00A8060D"/>
    <w:pPr>
      <w:spacing w:before="240" w:after="160" w:line="259" w:lineRule="auto"/>
      <w:outlineLvl w:val="9"/>
    </w:pPr>
    <w:rPr>
      <w:rFonts w:eastAsiaTheme="majorEastAsia" w:cstheme="majorBidi"/>
      <w:color w:val="D16F2F" w:themeColor="accent4"/>
      <w:lang w:val="en-US"/>
    </w:rPr>
  </w:style>
  <w:style w:type="paragraph" w:styleId="TOC1">
    <w:name w:val="toc 1"/>
    <w:basedOn w:val="Normal"/>
    <w:next w:val="Normal"/>
    <w:autoRedefine/>
    <w:uiPriority w:val="39"/>
    <w:unhideWhenUsed/>
    <w:rsid w:val="00F6636D"/>
    <w:pPr>
      <w:spacing w:after="100"/>
    </w:pPr>
    <w:rPr>
      <w:szCs w:val="28"/>
    </w:rPr>
  </w:style>
  <w:style w:type="paragraph" w:styleId="TOC2">
    <w:name w:val="toc 2"/>
    <w:basedOn w:val="Normal"/>
    <w:next w:val="Normal"/>
    <w:autoRedefine/>
    <w:uiPriority w:val="39"/>
    <w:unhideWhenUsed/>
    <w:rsid w:val="00F6636D"/>
    <w:pPr>
      <w:spacing w:after="100"/>
      <w:ind w:left="220"/>
    </w:pPr>
    <w:rPr>
      <w:szCs w:val="28"/>
    </w:rPr>
  </w:style>
  <w:style w:type="paragraph" w:styleId="TOC3">
    <w:name w:val="toc 3"/>
    <w:basedOn w:val="Normal"/>
    <w:next w:val="Normal"/>
    <w:autoRedefine/>
    <w:uiPriority w:val="39"/>
    <w:unhideWhenUsed/>
    <w:rsid w:val="00F6636D"/>
    <w:pPr>
      <w:spacing w:after="100"/>
      <w:ind w:left="440"/>
    </w:pPr>
    <w:rPr>
      <w:szCs w:val="28"/>
    </w:rPr>
  </w:style>
  <w:style w:type="character" w:styleId="EndnoteReference">
    <w:name w:val="endnote reference"/>
    <w:basedOn w:val="DefaultParagraphFont"/>
    <w:uiPriority w:val="99"/>
    <w:semiHidden/>
    <w:unhideWhenUsed/>
    <w:rsid w:val="00FC7BA2"/>
    <w:rPr>
      <w:vertAlign w:val="superscript"/>
    </w:rPr>
  </w:style>
  <w:style w:type="numbering" w:customStyle="1" w:styleId="Recommendations">
    <w:name w:val="Recommendations"/>
    <w:uiPriority w:val="99"/>
    <w:rsid w:val="00761692"/>
    <w:pPr>
      <w:numPr>
        <w:numId w:val="11"/>
      </w:numPr>
    </w:pPr>
  </w:style>
  <w:style w:type="numbering" w:customStyle="1" w:styleId="Chapterrecs">
    <w:name w:val="Chapter recs"/>
    <w:uiPriority w:val="99"/>
    <w:rsid w:val="004C20B5"/>
    <w:pPr>
      <w:numPr>
        <w:numId w:val="18"/>
      </w:numPr>
    </w:pPr>
  </w:style>
  <w:style w:type="character" w:customStyle="1" w:styleId="Heading5Char">
    <w:name w:val="Heading 5 Char"/>
    <w:basedOn w:val="DefaultParagraphFont"/>
    <w:link w:val="Heading5"/>
    <w:uiPriority w:val="9"/>
    <w:rsid w:val="00EE3043"/>
    <w:rPr>
      <w:rFonts w:ascii="Arial" w:eastAsiaTheme="majorEastAsia" w:hAnsi="Arial" w:cstheme="majorBidi"/>
      <w:color w:val="000000" w:themeColor="text1"/>
      <w:sz w:val="16"/>
      <w:szCs w:val="28"/>
    </w:rPr>
  </w:style>
  <w:style w:type="character" w:customStyle="1" w:styleId="Heading6Char">
    <w:name w:val="Heading 6 Char"/>
    <w:basedOn w:val="DefaultParagraphFont"/>
    <w:link w:val="Heading6"/>
    <w:uiPriority w:val="9"/>
    <w:rsid w:val="00EE3043"/>
    <w:rPr>
      <w:rFonts w:asciiTheme="majorHAnsi" w:eastAsiaTheme="majorEastAsia" w:hAnsiTheme="majorHAnsi" w:cstheme="majorBidi"/>
      <w:color w:val="06191E" w:themeColor="accent1" w:themeShade="7F"/>
      <w:szCs w:val="28"/>
    </w:rPr>
  </w:style>
  <w:style w:type="paragraph" w:customStyle="1" w:styleId="Footnote">
    <w:name w:val="Footnote"/>
    <w:basedOn w:val="FootnoteText"/>
    <w:qFormat/>
    <w:rsid w:val="006E0676"/>
  </w:style>
  <w:style w:type="paragraph" w:customStyle="1" w:styleId="Default">
    <w:name w:val="Default"/>
    <w:rsid w:val="000A74E3"/>
    <w:pPr>
      <w:autoSpaceDE w:val="0"/>
      <w:autoSpaceDN w:val="0"/>
      <w:adjustRightInd w:val="0"/>
      <w:spacing w:after="0" w:line="240" w:lineRule="auto"/>
    </w:pPr>
    <w:rPr>
      <w:rFonts w:ascii="Arial" w:hAnsi="Arial" w:cs="Arial"/>
      <w:color w:val="000000"/>
      <w:sz w:val="24"/>
      <w:szCs w:val="24"/>
      <w:lang w:bidi="ar-SA"/>
    </w:rPr>
  </w:style>
  <w:style w:type="character" w:styleId="CommentReference">
    <w:name w:val="annotation reference"/>
    <w:basedOn w:val="DefaultParagraphFont"/>
    <w:uiPriority w:val="99"/>
    <w:semiHidden/>
    <w:unhideWhenUsed/>
    <w:rsid w:val="0015441B"/>
    <w:rPr>
      <w:sz w:val="16"/>
      <w:szCs w:val="16"/>
    </w:rPr>
  </w:style>
  <w:style w:type="paragraph" w:styleId="CommentText">
    <w:name w:val="annotation text"/>
    <w:basedOn w:val="Normal"/>
    <w:link w:val="CommentTextChar"/>
    <w:uiPriority w:val="99"/>
    <w:unhideWhenUsed/>
    <w:rsid w:val="0015441B"/>
    <w:pPr>
      <w:spacing w:line="240" w:lineRule="auto"/>
    </w:pPr>
    <w:rPr>
      <w:sz w:val="20"/>
      <w:szCs w:val="25"/>
    </w:rPr>
  </w:style>
  <w:style w:type="character" w:customStyle="1" w:styleId="CommentTextChar">
    <w:name w:val="Comment Text Char"/>
    <w:basedOn w:val="DefaultParagraphFont"/>
    <w:link w:val="CommentText"/>
    <w:uiPriority w:val="99"/>
    <w:rsid w:val="0015441B"/>
    <w:rPr>
      <w:rFonts w:ascii="Arial" w:hAnsi="Arial"/>
      <w:sz w:val="20"/>
      <w:szCs w:val="25"/>
    </w:rPr>
  </w:style>
  <w:style w:type="paragraph" w:styleId="CommentSubject">
    <w:name w:val="annotation subject"/>
    <w:basedOn w:val="CommentText"/>
    <w:next w:val="CommentText"/>
    <w:link w:val="CommentSubjectChar"/>
    <w:uiPriority w:val="99"/>
    <w:semiHidden/>
    <w:unhideWhenUsed/>
    <w:rsid w:val="0015441B"/>
    <w:rPr>
      <w:b/>
      <w:bCs/>
    </w:rPr>
  </w:style>
  <w:style w:type="character" w:customStyle="1" w:styleId="CommentSubjectChar">
    <w:name w:val="Comment Subject Char"/>
    <w:basedOn w:val="CommentTextChar"/>
    <w:link w:val="CommentSubject"/>
    <w:uiPriority w:val="99"/>
    <w:semiHidden/>
    <w:rsid w:val="0015441B"/>
    <w:rPr>
      <w:rFonts w:ascii="Arial" w:hAnsi="Arial"/>
      <w:b/>
      <w:bCs/>
      <w:sz w:val="20"/>
      <w:szCs w:val="25"/>
    </w:rPr>
  </w:style>
  <w:style w:type="paragraph" w:styleId="Revision">
    <w:name w:val="Revision"/>
    <w:hidden/>
    <w:uiPriority w:val="99"/>
    <w:semiHidden/>
    <w:rsid w:val="003C4F0C"/>
    <w:pPr>
      <w:spacing w:after="0" w:line="240" w:lineRule="auto"/>
    </w:pPr>
    <w:rPr>
      <w:rFonts w:ascii="Arial" w:hAnsi="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reasury.gov.au/employment-whitepaper/jobs-summit" TargetMode="External"/><Relationship Id="rId2" Type="http://schemas.openxmlformats.org/officeDocument/2006/relationships/hyperlink" Target="https://www.fairwork.gov.au/employment-conditions/national-employment-standards" TargetMode="External"/><Relationship Id="rId1" Type="http://schemas.openxmlformats.org/officeDocument/2006/relationships/hyperlink" Target="https://www.legislation.gov.au/Details/C2010A00123" TargetMode="External"/><Relationship Id="rId4" Type="http://schemas.openxmlformats.org/officeDocument/2006/relationships/hyperlink" Target="https://www.stewartbrown.com.au/news-articles/26-aged-care/254-2022-01-stewartbrown-aged-care-financial-performance-survey-sector-report-september-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CPA">
      <a:dk1>
        <a:sysClr val="windowText" lastClr="000000"/>
      </a:dk1>
      <a:lt1>
        <a:sysClr val="window" lastClr="FFFFFF"/>
      </a:lt1>
      <a:dk2>
        <a:srgbClr val="44546A"/>
      </a:dk2>
      <a:lt2>
        <a:srgbClr val="E7E6E6"/>
      </a:lt2>
      <a:accent1>
        <a:srgbClr val="0C343D"/>
      </a:accent1>
      <a:accent2>
        <a:srgbClr val="378381"/>
      </a:accent2>
      <a:accent3>
        <a:srgbClr val="A74725"/>
      </a:accent3>
      <a:accent4>
        <a:srgbClr val="D16F2F"/>
      </a:accent4>
      <a:accent5>
        <a:srgbClr val="F09135"/>
      </a:accent5>
      <a:accent6>
        <a:srgbClr val="FFC000"/>
      </a:accent6>
      <a:hlink>
        <a:srgbClr val="0563C1"/>
      </a:hlink>
      <a:folHlink>
        <a:srgbClr val="954F72"/>
      </a:folHlink>
    </a:clrScheme>
    <a:fontScheme name="Custom 2">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86bddf4-1b38-4099-95c6-c456def78276">
      <Value>1</Value>
    </TaxCatchAll>
    <i0f84bba906045b4af568ee102a52dcb xmlns="286bddf4-1b38-4099-95c6-c456def7827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6EBA99CBA9E745B0A91C47C2AC419F" ma:contentTypeVersion="14" ma:contentTypeDescription="Create a new document." ma:contentTypeScope="" ma:versionID="5e856aeb0873d89336e557f6d0a67ad8">
  <xsd:schema xmlns:xsd="http://www.w3.org/2001/XMLSchema" xmlns:xs="http://www.w3.org/2001/XMLSchema" xmlns:p="http://schemas.microsoft.com/office/2006/metadata/properties" xmlns:ns2="286bddf4-1b38-4099-95c6-c456def78276" xmlns:ns3="aff4ee20-6991-4cbc-8799-94ec5cc7b8ab" targetNamespace="http://schemas.microsoft.com/office/2006/metadata/properties" ma:root="true" ma:fieldsID="b334db5caadb6947ee4ae6b886243378" ns2:_="" ns3:_="">
    <xsd:import namespace="286bddf4-1b38-4099-95c6-c456def78276"/>
    <xsd:import namespace="aff4ee20-6991-4cbc-8799-94ec5cc7b8ab"/>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bddf4-1b38-4099-95c6-c456def78276"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8c43fa-0143-4674-b697-c6dc57fda4ec}" ma:internalName="TaxCatchAll" ma:showField="CatchAllData" ma:web="286bddf4-1b38-4099-95c6-c456def78276">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f4ee20-6991-4cbc-8799-94ec5cc7b8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40A9C4-AE71-40B5-8B9D-C0589AC7CAEB}">
  <ds:schemaRefs>
    <ds:schemaRef ds:uri="http://schemas.openxmlformats.org/officeDocument/2006/bibliography"/>
  </ds:schemaRefs>
</ds:datastoreItem>
</file>

<file path=customXml/itemProps2.xml><?xml version="1.0" encoding="utf-8"?>
<ds:datastoreItem xmlns:ds="http://schemas.openxmlformats.org/officeDocument/2006/customXml" ds:itemID="{84E8F0E0-4A08-4EF3-91D1-79F3E1DDCA2C}">
  <ds:schemaRef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aff4ee20-6991-4cbc-8799-94ec5cc7b8ab"/>
    <ds:schemaRef ds:uri="http://schemas.microsoft.com/office/2006/documentManagement/types"/>
    <ds:schemaRef ds:uri="http://purl.org/dc/dcmitype/"/>
    <ds:schemaRef ds:uri="286bddf4-1b38-4099-95c6-c456def78276"/>
    <ds:schemaRef ds:uri="http://www.w3.org/XML/1998/namespace"/>
    <ds:schemaRef ds:uri="http://purl.org/dc/terms/"/>
  </ds:schemaRefs>
</ds:datastoreItem>
</file>

<file path=customXml/itemProps3.xml><?xml version="1.0" encoding="utf-8"?>
<ds:datastoreItem xmlns:ds="http://schemas.openxmlformats.org/officeDocument/2006/customXml" ds:itemID="{B841F565-DB27-4459-8A70-E7D3105AE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bddf4-1b38-4099-95c6-c456def78276"/>
    <ds:schemaRef ds:uri="aff4ee20-6991-4cbc-8799-94ec5cc7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DD0DC-5954-4AAC-8952-F5330F78A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Submission 29 - Aged and Community Care Providers Association (ACCPA) - Carer Leave - Public inquiry</vt:lpstr>
    </vt:vector>
  </TitlesOfParts>
  <Company>Aged and Community Care Providers Association (ACCPA)</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29 - Aged and Community Care Providers Association (ACCPA) - Carer Leave - Public inquiry</dc:title>
  <dc:subject/>
  <dc:creator>Aged and Community Care Providers Association (ACCPA)</dc:creator>
  <cp:keywords/>
  <dc:description/>
  <cp:lastModifiedBy>Chris Alston</cp:lastModifiedBy>
  <cp:revision>3</cp:revision>
  <cp:lastPrinted>2022-08-23T23:13:00Z</cp:lastPrinted>
  <dcterms:created xsi:type="dcterms:W3CDTF">2022-09-02T03:14:00Z</dcterms:created>
  <dcterms:modified xsi:type="dcterms:W3CDTF">2022-09-05T00:57:00Z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id="IXUqAwJW"/&gt;&lt;style id="http://www.zotero.org/styles/chicago-fullnote-bibliography" locale="en-GB" hasBibliography="1" bibliographyStyleHasBeenSet="1"/&gt;&lt;prefs&gt;&lt;pref name="fieldType" value="Field"/&gt;&lt;</vt:lpwstr>
  </property>
  <property fmtid="{D5CDD505-2E9C-101B-9397-08002B2CF9AE}" pid="3" name="ZOTERO_PREF_2">
    <vt:lpwstr>pref name="automaticJournalAbbreviations" value="true"/&gt;&lt;pref name="noteType" value="1"/&gt;&lt;/prefs&gt;&lt;/data&gt;</vt:lpwstr>
  </property>
  <property fmtid="{D5CDD505-2E9C-101B-9397-08002B2CF9AE}" pid="4" name="ContentTypeId">
    <vt:lpwstr>0x010100BF6EBA99CBA9E745B0A91C47C2AC419F</vt:lpwstr>
  </property>
  <property fmtid="{D5CDD505-2E9C-101B-9397-08002B2CF9AE}" pid="5" name="_dlc_DocIdItemGuid">
    <vt:lpwstr>37c0322d-c110-4abe-b0ff-76f2e5390a53</vt:lpwstr>
  </property>
  <property fmtid="{D5CDD505-2E9C-101B-9397-08002B2CF9AE}" pid="6" name="MediaServiceImageTags">
    <vt:lpwstr/>
  </property>
  <property fmtid="{D5CDD505-2E9C-101B-9397-08002B2CF9AE}" pid="7" name="RevIMBCS">
    <vt:lpwstr>1;#Unclassified|3955eeb1-2d18-4582-aeb2-00144ec3aaf5</vt:lpwstr>
  </property>
</Properties>
</file>