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0ADD" w14:textId="77777777" w:rsidR="00CE7A17" w:rsidRPr="00CE7A17" w:rsidRDefault="00CE7A17" w:rsidP="00CE7A17"/>
    <w:p w14:paraId="25F2A2F0" w14:textId="77777777" w:rsidR="00A53FAB" w:rsidRDefault="00A53FAB" w:rsidP="00E91FED">
      <w:pPr>
        <w:pStyle w:val="Heading1-nonumber"/>
      </w:pPr>
      <w:bookmarkStart w:id="0" w:name="_Toc113896175"/>
      <w:r>
        <w:t xml:space="preserve">Recommendations and </w:t>
      </w:r>
      <w:commentRangeStart w:id="1"/>
      <w:r>
        <w:t>findings</w:t>
      </w:r>
      <w:bookmarkEnd w:id="0"/>
      <w:commentRangeEnd w:id="1"/>
      <w:r w:rsidR="00772821">
        <w:rPr>
          <w:rStyle w:val="CommentReference"/>
          <w:rFonts w:asciiTheme="minorHAnsi" w:hAnsiTheme="minorHAnsi"/>
          <w:color w:val="auto"/>
        </w:rPr>
        <w:commentReference w:id="1"/>
      </w:r>
    </w:p>
    <w:p w14:paraId="68618689" w14:textId="1A9C6FBC" w:rsidR="00A53FAB" w:rsidRDefault="00A53FAB" w:rsidP="00463253">
      <w:pPr>
        <w:pStyle w:val="Heading2-noTOC"/>
      </w:pPr>
      <w:r>
        <w:t>Chapter 1: About</w:t>
      </w:r>
      <w:r w:rsidRPr="00AB421D">
        <w:t xml:space="preserve"> this </w:t>
      </w:r>
      <w:commentRangeStart w:id="2"/>
      <w:r w:rsidRPr="00AB421D">
        <w:t>review</w:t>
      </w:r>
      <w:commentRangeEnd w:id="2"/>
      <w:r w:rsidR="00920940">
        <w:rPr>
          <w:rStyle w:val="CommentReference"/>
          <w:rFonts w:asciiTheme="minorHAnsi" w:eastAsiaTheme="minorHAnsi" w:hAnsiTheme="minorHAnsi" w:cstheme="minorBidi"/>
        </w:rPr>
        <w:commentReference w:id="2"/>
      </w:r>
      <w:r w:rsidR="00920940">
        <w:t xml:space="preserve"> </w:t>
      </w:r>
    </w:p>
    <w:p w14:paraId="5656149D" w14:textId="77777777" w:rsidR="00710DF3" w:rsidRDefault="00710DF3" w:rsidP="00C324AA">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710DF3" w14:paraId="565A3594" w14:textId="77777777" w:rsidTr="00C324AA">
        <w:trPr>
          <w:trHeight w:val="765"/>
          <w:tblHeader/>
        </w:trPr>
        <w:tc>
          <w:tcPr>
            <w:tcW w:w="366" w:type="pct"/>
            <w:tcBorders>
              <w:bottom w:val="nil"/>
            </w:tcBorders>
            <w:tcMar>
              <w:bottom w:w="0" w:type="dxa"/>
            </w:tcMar>
            <w:vAlign w:val="center"/>
          </w:tcPr>
          <w:p w14:paraId="3F619F8E" w14:textId="77777777" w:rsidR="00710DF3" w:rsidRDefault="00710DF3" w:rsidP="00C324AA">
            <w:pPr>
              <w:pStyle w:val="NoSpacing"/>
              <w:keepLines/>
              <w:jc w:val="right"/>
            </w:pPr>
            <w:r w:rsidRPr="00A51374">
              <w:rPr>
                <w:noProof/>
                <w:lang w:eastAsia="en-AU"/>
              </w:rPr>
              <w:drawing>
                <wp:inline distT="0" distB="0" distL="0" distR="0" wp14:anchorId="0EC16335" wp14:editId="2C079B6E">
                  <wp:extent cx="288000" cy="288000"/>
                  <wp:effectExtent l="0" t="0" r="0" b="0"/>
                  <wp:docPr id="110"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1F32E03B" w14:textId="44131499" w:rsidR="00710DF3" w:rsidRPr="00A4395A" w:rsidRDefault="00710DF3" w:rsidP="00995D9B">
            <w:pPr>
              <w:pStyle w:val="TableHeading"/>
              <w:keepLines/>
              <w:spacing w:before="180" w:after="120"/>
              <w:contextualSpacing/>
              <w:rPr>
                <w:sz w:val="20"/>
              </w:rPr>
            </w:pPr>
            <w:r>
              <w:rPr>
                <w:sz w:val="20"/>
              </w:rPr>
              <w:t>Draft f</w:t>
            </w:r>
            <w:r w:rsidRPr="00A4395A">
              <w:rPr>
                <w:sz w:val="20"/>
              </w:rPr>
              <w:t xml:space="preserve">inding </w:t>
            </w:r>
            <w:r>
              <w:rPr>
                <w:sz w:val="20"/>
              </w:rPr>
              <w:t>1.</w:t>
            </w:r>
            <w:r w:rsidR="0090193C">
              <w:rPr>
                <w:sz w:val="20"/>
              </w:rPr>
              <w:t>1</w:t>
            </w:r>
          </w:p>
          <w:p w14:paraId="7DD10282" w14:textId="4DC0260A" w:rsidR="00710DF3" w:rsidRPr="00C97FFD" w:rsidRDefault="00C97FFD" w:rsidP="00C97FFD">
            <w:pPr>
              <w:pStyle w:val="TableHeading"/>
              <w:keepLines/>
              <w:spacing w:before="60"/>
              <w:contextualSpacing/>
              <w:rPr>
                <w:sz w:val="20"/>
              </w:rPr>
            </w:pPr>
            <w:r w:rsidRPr="00C97FFD">
              <w:rPr>
                <w:sz w:val="20"/>
              </w:rPr>
              <w:t>Student achievement has stagnated, while attainment has improved and engagement has declined</w:t>
            </w:r>
          </w:p>
        </w:tc>
      </w:tr>
      <w:tr w:rsidR="00710DF3" w14:paraId="1BBC69E5" w14:textId="77777777" w:rsidTr="00C324AA">
        <w:tc>
          <w:tcPr>
            <w:tcW w:w="5000" w:type="pct"/>
            <w:gridSpan w:val="2"/>
            <w:tcBorders>
              <w:top w:val="nil"/>
              <w:bottom w:val="single" w:sz="4" w:space="0" w:color="66BCDB" w:themeColor="text2"/>
            </w:tcBorders>
          </w:tcPr>
          <w:p w14:paraId="70460470" w14:textId="77777777" w:rsidR="00710DF3" w:rsidRPr="00142054" w:rsidRDefault="00710DF3" w:rsidP="00710DF3">
            <w:pPr>
              <w:pStyle w:val="BodyText"/>
              <w:rPr>
                <w:b/>
              </w:rPr>
            </w:pPr>
            <w:r w:rsidRPr="405D0A21">
              <w:t xml:space="preserve">Over the past decade, the performance of Australian school students in national and international assessments of literacy and numeracy has stagnated. </w:t>
            </w:r>
          </w:p>
          <w:p w14:paraId="5DC64E73" w14:textId="49253D30" w:rsidR="00710DF3" w:rsidRDefault="00710DF3" w:rsidP="00710DF3">
            <w:pPr>
              <w:pStyle w:val="BodyText"/>
              <w:keepLines/>
            </w:pPr>
            <w:r w:rsidRPr="00642012">
              <w:t xml:space="preserve">Although the proportion of students completing school has increased since 2015, the proportion attending school regularly has declined, with much of this decline predating </w:t>
            </w:r>
            <w:r w:rsidRPr="605C0E0D">
              <w:t>COVID</w:t>
            </w:r>
            <w:r w:rsidRPr="00642012">
              <w:noBreakHyphen/>
              <w:t>19.</w:t>
            </w:r>
          </w:p>
        </w:tc>
      </w:tr>
      <w:tr w:rsidR="00710DF3" w14:paraId="30C72E72" w14:textId="77777777" w:rsidTr="00C324AA">
        <w:tc>
          <w:tcPr>
            <w:tcW w:w="5000" w:type="pct"/>
            <w:gridSpan w:val="2"/>
            <w:tcBorders>
              <w:top w:val="single" w:sz="4" w:space="0" w:color="66BCDB" w:themeColor="text2"/>
              <w:left w:val="nil"/>
              <w:bottom w:val="nil"/>
              <w:right w:val="nil"/>
            </w:tcBorders>
            <w:tcMar>
              <w:bottom w:w="0" w:type="dxa"/>
            </w:tcMar>
          </w:tcPr>
          <w:p w14:paraId="2637410C" w14:textId="77777777" w:rsidR="00710DF3" w:rsidRDefault="00710DF3" w:rsidP="00C324AA">
            <w:pPr>
              <w:pStyle w:val="NoSpacing"/>
              <w:spacing w:line="200" w:lineRule="atLeast"/>
            </w:pPr>
          </w:p>
        </w:tc>
      </w:tr>
    </w:tbl>
    <w:p w14:paraId="7945B834" w14:textId="77777777" w:rsidR="00710DF3" w:rsidRDefault="00710DF3" w:rsidP="00995D9B">
      <w:pPr>
        <w:pStyle w:val="NoSpacing"/>
        <w:spacing w:after="20"/>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710DF3" w14:paraId="0546682E" w14:textId="77777777" w:rsidTr="00C324AA">
        <w:trPr>
          <w:trHeight w:val="765"/>
          <w:tblHeader/>
        </w:trPr>
        <w:tc>
          <w:tcPr>
            <w:tcW w:w="366" w:type="pct"/>
            <w:tcBorders>
              <w:bottom w:val="nil"/>
            </w:tcBorders>
            <w:tcMar>
              <w:bottom w:w="0" w:type="dxa"/>
            </w:tcMar>
            <w:vAlign w:val="center"/>
          </w:tcPr>
          <w:p w14:paraId="02B89396" w14:textId="77777777" w:rsidR="00710DF3" w:rsidRDefault="00710DF3" w:rsidP="00C324AA">
            <w:pPr>
              <w:pStyle w:val="NoSpacing"/>
              <w:keepLines/>
              <w:jc w:val="right"/>
            </w:pPr>
            <w:r w:rsidRPr="00A51374">
              <w:rPr>
                <w:noProof/>
                <w:lang w:eastAsia="en-AU"/>
              </w:rPr>
              <w:drawing>
                <wp:inline distT="0" distB="0" distL="0" distR="0" wp14:anchorId="68AD60C2" wp14:editId="5E65E318">
                  <wp:extent cx="288000" cy="288000"/>
                  <wp:effectExtent l="0" t="0" r="0" b="0"/>
                  <wp:docPr id="112"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7E029C28" w14:textId="6E9D75E3" w:rsidR="00710DF3" w:rsidRPr="00A4395A" w:rsidRDefault="00727960" w:rsidP="00C324AA">
            <w:pPr>
              <w:pStyle w:val="TableHeading"/>
              <w:keepLines/>
              <w:spacing w:before="60" w:after="120"/>
              <w:contextualSpacing/>
              <w:rPr>
                <w:sz w:val="20"/>
              </w:rPr>
            </w:pPr>
            <w:r>
              <w:rPr>
                <w:sz w:val="20"/>
              </w:rPr>
              <w:t>Draft f</w:t>
            </w:r>
            <w:r w:rsidR="00710DF3" w:rsidRPr="00A4395A">
              <w:rPr>
                <w:sz w:val="20"/>
              </w:rPr>
              <w:t xml:space="preserve">inding </w:t>
            </w:r>
            <w:r w:rsidR="00710DF3">
              <w:rPr>
                <w:sz w:val="20"/>
              </w:rPr>
              <w:t>1.2</w:t>
            </w:r>
          </w:p>
          <w:p w14:paraId="452DB35A" w14:textId="2BC9BB92" w:rsidR="00710DF3" w:rsidRDefault="00710DF3" w:rsidP="00C324AA">
            <w:pPr>
              <w:pStyle w:val="TableHeading"/>
              <w:keepLines/>
              <w:spacing w:before="60" w:after="120"/>
              <w:contextualSpacing/>
            </w:pPr>
            <w:r w:rsidRPr="00CC7DEC">
              <w:rPr>
                <w:spacing w:val="-4"/>
                <w:sz w:val="20"/>
              </w:rPr>
              <w:t>Persistent gaps in education outcomes for some student cohorts point to systemic problems</w:t>
            </w:r>
          </w:p>
        </w:tc>
      </w:tr>
      <w:tr w:rsidR="00710DF3" w14:paraId="0E67DEEB" w14:textId="77777777" w:rsidTr="00C324AA">
        <w:tc>
          <w:tcPr>
            <w:tcW w:w="5000" w:type="pct"/>
            <w:gridSpan w:val="2"/>
            <w:tcBorders>
              <w:top w:val="nil"/>
              <w:bottom w:val="single" w:sz="4" w:space="0" w:color="66BCDB" w:themeColor="text2"/>
            </w:tcBorders>
          </w:tcPr>
          <w:p w14:paraId="7B4CBB1D" w14:textId="77777777" w:rsidR="00710DF3" w:rsidRDefault="00710DF3" w:rsidP="00710DF3">
            <w:pPr>
              <w:pStyle w:val="BodyText"/>
              <w:keepLines/>
            </w:pPr>
            <w:r>
              <w:t xml:space="preserve">Australia has long aspired to provide a high quality and equitable education for all students. </w:t>
            </w:r>
          </w:p>
          <w:p w14:paraId="79175013" w14:textId="36381E2E" w:rsidR="00710DF3" w:rsidRDefault="00710DF3" w:rsidP="00710DF3">
            <w:pPr>
              <w:pStyle w:val="BodyText"/>
              <w:keepLines/>
            </w:pPr>
            <w:r>
              <w:t xml:space="preserve">Outcomes for Aboriginal and Torres Strait Islander students, students in outer regional and remote areas, and students with parents with low educational attainment are consistently below the outcomes of the broader student </w:t>
            </w:r>
            <w:commentRangeStart w:id="3"/>
            <w:r>
              <w:t>population</w:t>
            </w:r>
            <w:commentRangeEnd w:id="3"/>
            <w:r w:rsidR="00920940">
              <w:rPr>
                <w:rStyle w:val="CommentReference"/>
              </w:rPr>
              <w:commentReference w:id="3"/>
            </w:r>
            <w:r>
              <w:t>.</w:t>
            </w:r>
            <w:r w:rsidR="00920940">
              <w:t xml:space="preserve"> </w:t>
            </w:r>
          </w:p>
        </w:tc>
      </w:tr>
      <w:tr w:rsidR="00710DF3" w14:paraId="394320D0" w14:textId="77777777" w:rsidTr="00C324AA">
        <w:tc>
          <w:tcPr>
            <w:tcW w:w="5000" w:type="pct"/>
            <w:gridSpan w:val="2"/>
            <w:tcBorders>
              <w:top w:val="single" w:sz="4" w:space="0" w:color="66BCDB" w:themeColor="text2"/>
              <w:left w:val="nil"/>
              <w:bottom w:val="nil"/>
              <w:right w:val="nil"/>
            </w:tcBorders>
            <w:tcMar>
              <w:bottom w:w="0" w:type="dxa"/>
            </w:tcMar>
          </w:tcPr>
          <w:p w14:paraId="41DF9425" w14:textId="77777777" w:rsidR="00710DF3" w:rsidRDefault="00710DF3" w:rsidP="00C324AA">
            <w:pPr>
              <w:pStyle w:val="NoSpacing"/>
              <w:spacing w:line="200" w:lineRule="atLeast"/>
            </w:pPr>
          </w:p>
        </w:tc>
      </w:tr>
    </w:tbl>
    <w:p w14:paraId="7B5B7D13" w14:textId="77777777" w:rsidR="00A53FAB" w:rsidRDefault="00A53FAB" w:rsidP="00463253">
      <w:pPr>
        <w:pStyle w:val="Heading2-noTOC"/>
      </w:pPr>
      <w:r>
        <w:t xml:space="preserve">Chapter 2: High-level assessment of the National Policy </w:t>
      </w:r>
      <w:commentRangeStart w:id="4"/>
      <w:r>
        <w:t>Initiatives</w:t>
      </w:r>
      <w:commentRangeEnd w:id="4"/>
      <w:r w:rsidR="00920940">
        <w:rPr>
          <w:rStyle w:val="CommentReference"/>
          <w:rFonts w:asciiTheme="minorHAnsi" w:eastAsiaTheme="minorHAnsi" w:hAnsiTheme="minorHAnsi" w:cstheme="minorBidi"/>
        </w:rPr>
        <w:commentReference w:id="4"/>
      </w:r>
    </w:p>
    <w:tbl>
      <w:tblPr>
        <w:tblStyle w:val="TextTable-Grey"/>
        <w:tblW w:w="5000" w:type="pct"/>
        <w:tblLook w:val="04A0" w:firstRow="1" w:lastRow="0" w:firstColumn="1" w:lastColumn="0" w:noHBand="0" w:noVBand="1"/>
      </w:tblPr>
      <w:tblGrid>
        <w:gridCol w:w="730"/>
        <w:gridCol w:w="9134"/>
      </w:tblGrid>
      <w:tr w:rsidR="00A53FAB" w14:paraId="6D74CC72" w14:textId="77777777">
        <w:trPr>
          <w:tblHeader/>
        </w:trPr>
        <w:tc>
          <w:tcPr>
            <w:tcW w:w="713" w:type="dxa"/>
            <w:vAlign w:val="center"/>
          </w:tcPr>
          <w:p w14:paraId="7BF44529" w14:textId="77777777" w:rsidR="00A53FAB" w:rsidRDefault="00A53FAB">
            <w:pPr>
              <w:keepNext/>
              <w:keepLines/>
              <w:spacing w:after="0"/>
              <w:jc w:val="right"/>
            </w:pPr>
            <w:r w:rsidRPr="00A51374">
              <w:rPr>
                <w:noProof/>
                <w:lang w:eastAsia="en-AU"/>
              </w:rPr>
              <w:drawing>
                <wp:inline distT="0" distB="0" distL="0" distR="0" wp14:anchorId="2172CC31" wp14:editId="4C103284">
                  <wp:extent cx="288000" cy="288000"/>
                  <wp:effectExtent l="0" t="0" r="0" b="0"/>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639DCFAE" w14:textId="5EAF9FF5" w:rsidR="00986A86" w:rsidRPr="00CC7DEC" w:rsidRDefault="00A53FAB" w:rsidP="00CC7DEC">
            <w:pPr>
              <w:pStyle w:val="TableHeading"/>
              <w:keepLines/>
              <w:spacing w:before="180" w:after="120"/>
              <w:contextualSpacing/>
              <w:rPr>
                <w:sz w:val="20"/>
              </w:rPr>
            </w:pPr>
            <w:r w:rsidRPr="00CC7DEC">
              <w:rPr>
                <w:sz w:val="20"/>
              </w:rPr>
              <w:t xml:space="preserve">Information request 2.1 </w:t>
            </w:r>
          </w:p>
          <w:p w14:paraId="650E3785" w14:textId="4B35A23D" w:rsidR="00A53FAB" w:rsidRPr="00CC7DEC" w:rsidRDefault="00A53FAB" w:rsidP="00CC7DEC">
            <w:pPr>
              <w:pStyle w:val="TableHeading"/>
              <w:keepLines/>
              <w:spacing w:before="60" w:after="120"/>
              <w:contextualSpacing/>
              <w:rPr>
                <w:sz w:val="20"/>
              </w:rPr>
            </w:pPr>
            <w:r w:rsidRPr="00CC7DEC">
              <w:rPr>
                <w:sz w:val="20"/>
              </w:rPr>
              <w:t xml:space="preserve">Realising the full potential of evidence-based research through the Australian Education Research Organisation </w:t>
            </w:r>
          </w:p>
        </w:tc>
      </w:tr>
      <w:tr w:rsidR="00A53FAB" w14:paraId="478999DF" w14:textId="77777777">
        <w:tc>
          <w:tcPr>
            <w:tcW w:w="9638" w:type="dxa"/>
            <w:gridSpan w:val="2"/>
            <w:tcMar>
              <w:top w:w="0" w:type="dxa"/>
            </w:tcMar>
          </w:tcPr>
          <w:p w14:paraId="34D4172B" w14:textId="77777777" w:rsidR="00A53FAB" w:rsidRPr="005E30DB" w:rsidRDefault="00A53FAB" w:rsidP="00593A1C">
            <w:pPr>
              <w:pStyle w:val="BodyText"/>
            </w:pPr>
            <w:r>
              <w:t xml:space="preserve">What steps could governments take to realise the full </w:t>
            </w:r>
            <w:r w:rsidRPr="00593A1C">
              <w:t>potential of evidence-based research through the Australian Education Research Organisation?</w:t>
            </w:r>
          </w:p>
        </w:tc>
      </w:tr>
      <w:tr w:rsidR="00A53FAB" w14:paraId="42A1DFE4" w14:textId="77777777">
        <w:tc>
          <w:tcPr>
            <w:tcW w:w="9638" w:type="dxa"/>
            <w:gridSpan w:val="2"/>
            <w:shd w:val="clear" w:color="auto" w:fill="auto"/>
            <w:tcMar>
              <w:top w:w="0" w:type="dxa"/>
              <w:bottom w:w="0" w:type="dxa"/>
            </w:tcMar>
          </w:tcPr>
          <w:p w14:paraId="04E0E445" w14:textId="77777777" w:rsidR="00A53FAB" w:rsidRDefault="00A53FAB">
            <w:pPr>
              <w:pStyle w:val="NoSpacing"/>
              <w:spacing w:line="200" w:lineRule="exact"/>
            </w:pPr>
          </w:p>
        </w:tc>
      </w:tr>
    </w:tbl>
    <w:p w14:paraId="03A79C4F" w14:textId="77777777" w:rsidR="00CC7DEC" w:rsidRDefault="00CC7DEC">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7C43F0" w14:paraId="34BF8497" w14:textId="77777777">
        <w:trPr>
          <w:trHeight w:val="765"/>
          <w:tblHeader/>
        </w:trPr>
        <w:tc>
          <w:tcPr>
            <w:tcW w:w="366" w:type="pct"/>
            <w:tcBorders>
              <w:bottom w:val="nil"/>
            </w:tcBorders>
            <w:tcMar>
              <w:bottom w:w="0" w:type="dxa"/>
            </w:tcMar>
            <w:vAlign w:val="center"/>
          </w:tcPr>
          <w:p w14:paraId="217D66AE" w14:textId="5BF3DAF1" w:rsidR="009F5C2D" w:rsidRDefault="009F5C2D">
            <w:pPr>
              <w:pStyle w:val="NoSpacing"/>
              <w:keepNext/>
              <w:keepLines/>
              <w:jc w:val="right"/>
            </w:pPr>
            <w:r w:rsidRPr="00A51374">
              <w:rPr>
                <w:noProof/>
                <w:lang w:eastAsia="en-AU"/>
              </w:rPr>
              <w:lastRenderedPageBreak/>
              <w:drawing>
                <wp:inline distT="0" distB="0" distL="0" distR="0" wp14:anchorId="260B2F58" wp14:editId="162404FC">
                  <wp:extent cx="288000" cy="288000"/>
                  <wp:effectExtent l="0" t="0" r="0" b="0"/>
                  <wp:docPr id="215"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shd w:val="clear" w:color="auto" w:fill="auto"/>
            <w:tcMar>
              <w:bottom w:w="0" w:type="dxa"/>
            </w:tcMar>
            <w:vAlign w:val="center"/>
          </w:tcPr>
          <w:p w14:paraId="62D8E2C5" w14:textId="1C836AC4" w:rsidR="009F5C2D" w:rsidRPr="00CC7DEC" w:rsidRDefault="009F5C2D" w:rsidP="00CC7DEC">
            <w:pPr>
              <w:pStyle w:val="TableHeading"/>
              <w:keepLines/>
              <w:spacing w:before="60" w:after="120"/>
              <w:contextualSpacing/>
              <w:rPr>
                <w:sz w:val="20"/>
              </w:rPr>
            </w:pPr>
            <w:r w:rsidRPr="00CC7DEC">
              <w:rPr>
                <w:sz w:val="20"/>
              </w:rPr>
              <w:t>Draft finding 2.1</w:t>
            </w:r>
            <w:r w:rsidRPr="00CC7DEC" w:rsidDel="00950D0C">
              <w:rPr>
                <w:sz w:val="20"/>
              </w:rPr>
              <w:t xml:space="preserve"> </w:t>
            </w:r>
          </w:p>
          <w:p w14:paraId="35809D4C" w14:textId="77777777" w:rsidR="009F5C2D" w:rsidRDefault="009F5C2D" w:rsidP="00CC7DEC">
            <w:pPr>
              <w:pStyle w:val="TableHeading"/>
              <w:keepLines/>
              <w:spacing w:before="60" w:after="120"/>
              <w:contextualSpacing/>
            </w:pPr>
            <w:r w:rsidRPr="00CC7DEC">
              <w:rPr>
                <w:sz w:val="20"/>
              </w:rPr>
              <w:t>To date, the National Policy Initiatives have had little impact on Australian students’ outcomes, with some initiatives stalled or incomplete</w:t>
            </w:r>
          </w:p>
        </w:tc>
      </w:tr>
      <w:tr w:rsidR="00796A0F" w14:paraId="51F8528E" w14:textId="77777777">
        <w:tc>
          <w:tcPr>
            <w:tcW w:w="5000" w:type="pct"/>
            <w:gridSpan w:val="2"/>
            <w:tcBorders>
              <w:top w:val="nil"/>
              <w:bottom w:val="single" w:sz="4" w:space="0" w:color="66BCDB" w:themeColor="text2"/>
            </w:tcBorders>
          </w:tcPr>
          <w:p w14:paraId="23ADC929" w14:textId="77777777" w:rsidR="009F5C2D" w:rsidRPr="00710DF3" w:rsidRDefault="009F5C2D" w:rsidP="00710DF3">
            <w:pPr>
              <w:pStyle w:val="BodyText"/>
              <w:rPr>
                <w:spacing w:val="-4"/>
              </w:rPr>
            </w:pPr>
            <w:r w:rsidRPr="00710DF3">
              <w:rPr>
                <w:spacing w:val="-4"/>
              </w:rPr>
              <w:t>Some National Policy Initiatives have only recently delivered outputs, while others have stalled or fallen short.</w:t>
            </w:r>
          </w:p>
          <w:p w14:paraId="5D0AEBC1" w14:textId="77777777" w:rsidR="009F5C2D" w:rsidRPr="00710DF3" w:rsidRDefault="009F5C2D">
            <w:pPr>
              <w:pStyle w:val="ListBullet"/>
              <w:rPr>
                <w:spacing w:val="-4"/>
              </w:rPr>
            </w:pPr>
            <w:r w:rsidRPr="00710DF3">
              <w:rPr>
                <w:spacing w:val="-4"/>
              </w:rPr>
              <w:t>The design of the unique student identifier and the online formative assessment tool still need to be settled.</w:t>
            </w:r>
          </w:p>
          <w:p w14:paraId="07033E5B" w14:textId="77777777" w:rsidR="009F5C2D" w:rsidRPr="0050179B" w:rsidRDefault="009F5C2D">
            <w:pPr>
              <w:pStyle w:val="ListBullet"/>
            </w:pPr>
            <w:r w:rsidRPr="0050179B">
              <w:t xml:space="preserve">The National Review Projects have not </w:t>
            </w:r>
            <w:r w:rsidRPr="00A5320A">
              <w:t>yet been followed by substantial national</w:t>
            </w:r>
            <w:r w:rsidRPr="0050179B">
              <w:t xml:space="preserve"> reforms.</w:t>
            </w:r>
          </w:p>
          <w:p w14:paraId="227BEA79" w14:textId="77777777" w:rsidR="009F5C2D" w:rsidRPr="0050179B" w:rsidRDefault="009F5C2D">
            <w:pPr>
              <w:pStyle w:val="ListBullet2"/>
            </w:pPr>
            <w:r w:rsidRPr="0050179B">
              <w:t xml:space="preserve">There is no clear plan on how jurisdictions will implement the National Workforce Strategy to plan for future workforce </w:t>
            </w:r>
            <w:commentRangeStart w:id="5"/>
            <w:r w:rsidRPr="0050179B">
              <w:t>needs</w:t>
            </w:r>
            <w:commentRangeEnd w:id="5"/>
            <w:r w:rsidR="00772821">
              <w:rPr>
                <w:rStyle w:val="CommentReference"/>
              </w:rPr>
              <w:commentReference w:id="5"/>
            </w:r>
            <w:r>
              <w:t>.</w:t>
            </w:r>
          </w:p>
          <w:p w14:paraId="06DEED64" w14:textId="77777777" w:rsidR="009F5C2D" w:rsidRPr="0050179B" w:rsidRDefault="009F5C2D">
            <w:pPr>
              <w:pStyle w:val="ListBullet2"/>
            </w:pPr>
            <w:r w:rsidRPr="0050179B">
              <w:t>It is equally unclear how aspects of the Senior Secondary Pathways Review will be progressed</w:t>
            </w:r>
            <w:r>
              <w:t>.</w:t>
            </w:r>
          </w:p>
          <w:p w14:paraId="3145C91B" w14:textId="77777777" w:rsidR="009F5C2D" w:rsidRPr="00151EA2" w:rsidRDefault="009F5C2D">
            <w:pPr>
              <w:pStyle w:val="ListBullet"/>
            </w:pPr>
            <w:r>
              <w:t>National data projects have met with delays.</w:t>
            </w:r>
          </w:p>
          <w:p w14:paraId="5D40D7FD" w14:textId="77777777" w:rsidR="009F5C2D" w:rsidRPr="00AD61A5" w:rsidRDefault="009F5C2D">
            <w:pPr>
              <w:pStyle w:val="ListBullet"/>
            </w:pPr>
            <w:r>
              <w:t>The Australian Education Research Organisation is just beginning its work and will need to develop effective relationships and systems to realise its potential.</w:t>
            </w:r>
          </w:p>
        </w:tc>
      </w:tr>
      <w:tr w:rsidR="00796A0F" w14:paraId="6679CFE7" w14:textId="77777777">
        <w:trPr>
          <w:trHeight w:val="69"/>
        </w:trPr>
        <w:tc>
          <w:tcPr>
            <w:tcW w:w="5000" w:type="pct"/>
            <w:gridSpan w:val="2"/>
            <w:tcBorders>
              <w:top w:val="single" w:sz="4" w:space="0" w:color="66BCDB" w:themeColor="text2"/>
              <w:left w:val="nil"/>
              <w:bottom w:val="nil"/>
              <w:right w:val="nil"/>
            </w:tcBorders>
            <w:tcMar>
              <w:bottom w:w="0" w:type="dxa"/>
            </w:tcMar>
          </w:tcPr>
          <w:p w14:paraId="08665870" w14:textId="77777777" w:rsidR="009F5C2D" w:rsidRDefault="009F5C2D">
            <w:pPr>
              <w:pStyle w:val="NoSpacing"/>
              <w:spacing w:line="200" w:lineRule="atLeast"/>
            </w:pPr>
          </w:p>
        </w:tc>
      </w:tr>
    </w:tbl>
    <w:p w14:paraId="02881F73" w14:textId="77777777" w:rsidR="009F5C2D" w:rsidRDefault="009F5C2D">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9854"/>
      </w:tblGrid>
      <w:tr w:rsidR="00A53FAB" w14:paraId="4521CFF7" w14:textId="77777777" w:rsidTr="00002D5C">
        <w:tc>
          <w:tcPr>
            <w:tcW w:w="5000" w:type="pct"/>
            <w:tcMar>
              <w:bottom w:w="0" w:type="dxa"/>
            </w:tcMar>
          </w:tcPr>
          <w:p w14:paraId="29E1590B" w14:textId="77777777" w:rsidR="00A53FAB" w:rsidRDefault="00A53FAB">
            <w:pPr>
              <w:pStyle w:val="NoSpacing"/>
              <w:spacing w:line="200" w:lineRule="atLeast"/>
            </w:pPr>
          </w:p>
        </w:tc>
      </w:tr>
    </w:tbl>
    <w:tbl>
      <w:tblPr>
        <w:tblStyle w:val="Texttable-Paleblue"/>
        <w:tblW w:w="5000" w:type="pct"/>
        <w:tblLook w:val="04A0" w:firstRow="1" w:lastRow="0" w:firstColumn="1" w:lastColumn="0" w:noHBand="0" w:noVBand="1"/>
      </w:tblPr>
      <w:tblGrid>
        <w:gridCol w:w="730"/>
        <w:gridCol w:w="9134"/>
      </w:tblGrid>
      <w:tr w:rsidR="00A53FAB" w14:paraId="147E7C6D" w14:textId="77777777">
        <w:trPr>
          <w:tblHeader/>
        </w:trPr>
        <w:tc>
          <w:tcPr>
            <w:tcW w:w="713" w:type="dxa"/>
            <w:tcMar>
              <w:top w:w="0" w:type="dxa"/>
              <w:bottom w:w="0" w:type="dxa"/>
            </w:tcMar>
            <w:vAlign w:val="center"/>
          </w:tcPr>
          <w:p w14:paraId="3D340FD2" w14:textId="77777777" w:rsidR="00A53FAB" w:rsidRDefault="00A53FAB">
            <w:pPr>
              <w:keepLines/>
              <w:jc w:val="center"/>
            </w:pPr>
            <w:r w:rsidRPr="00A51374">
              <w:rPr>
                <w:noProof/>
                <w:lang w:eastAsia="en-AU"/>
              </w:rPr>
              <w:drawing>
                <wp:inline distT="0" distB="0" distL="0" distR="0" wp14:anchorId="246ECD11" wp14:editId="49BDDA38">
                  <wp:extent cx="288000" cy="288000"/>
                  <wp:effectExtent l="0" t="0" r="0" b="0"/>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8925" w:type="dxa"/>
            <w:tcMar>
              <w:top w:w="0" w:type="dxa"/>
              <w:bottom w:w="0" w:type="dxa"/>
            </w:tcMar>
            <w:vAlign w:val="center"/>
          </w:tcPr>
          <w:p w14:paraId="114FC402" w14:textId="77777777" w:rsidR="00A53FAB" w:rsidRPr="00CC7DEC" w:rsidRDefault="00A53FAB" w:rsidP="00710DF3">
            <w:pPr>
              <w:pStyle w:val="TableHeading"/>
              <w:keepLines/>
              <w:spacing w:before="180" w:after="120"/>
              <w:contextualSpacing/>
              <w:rPr>
                <w:sz w:val="20"/>
              </w:rPr>
            </w:pPr>
            <w:r w:rsidRPr="00CC7DEC">
              <w:rPr>
                <w:sz w:val="20"/>
              </w:rPr>
              <w:t>Draft recommendation 2.1</w:t>
            </w:r>
          </w:p>
          <w:p w14:paraId="3C1F369A" w14:textId="07BD50F4" w:rsidR="00A53FAB" w:rsidRPr="00715040" w:rsidRDefault="00A53FAB" w:rsidP="00CC7DEC">
            <w:pPr>
              <w:pStyle w:val="TableHeading"/>
              <w:keepLines/>
              <w:spacing w:before="60" w:after="120"/>
              <w:contextualSpacing/>
            </w:pPr>
            <w:r w:rsidRPr="00CC7DEC">
              <w:rPr>
                <w:sz w:val="20"/>
              </w:rPr>
              <w:t>Parties to the National School Reform Agreement should fulfil their commitments to deliver key National Policy Initiatives</w:t>
            </w:r>
          </w:p>
        </w:tc>
      </w:tr>
      <w:tr w:rsidR="00A53FAB" w14:paraId="56E56644" w14:textId="77777777">
        <w:tc>
          <w:tcPr>
            <w:tcW w:w="9638" w:type="dxa"/>
            <w:gridSpan w:val="2"/>
            <w:tcMar>
              <w:top w:w="0" w:type="dxa"/>
            </w:tcMar>
          </w:tcPr>
          <w:p w14:paraId="53782A34" w14:textId="77777777" w:rsidR="00A53FAB" w:rsidRDefault="00A53FAB">
            <w:pPr>
              <w:pStyle w:val="BodyText"/>
              <w:keepLines/>
            </w:pPr>
            <w:r>
              <w:t xml:space="preserve">Recommended actions include: </w:t>
            </w:r>
          </w:p>
          <w:p w14:paraId="43F7E71B" w14:textId="77777777" w:rsidR="00A53FAB" w:rsidRDefault="00A53FAB">
            <w:pPr>
              <w:pStyle w:val="ListBullet"/>
            </w:pPr>
            <w:r>
              <w:t>agreeing the design and privacy protections of a Unique Student Identifier (USI). If parties cannot deliver a national USI, they should, at a minimum, explain why they have been unable to do so</w:t>
            </w:r>
          </w:p>
          <w:p w14:paraId="1869C4F6" w14:textId="77777777" w:rsidR="00A53FAB" w:rsidRPr="00151EA2" w:rsidRDefault="00A53FAB">
            <w:pPr>
              <w:pStyle w:val="ListBullet"/>
            </w:pPr>
            <w:r w:rsidRPr="00151EA2">
              <w:t>developing the national online formative assessment tool in a way that enables jurisdictions to adapt the tool to their needs and preferences (including using content and features from their own formative assessment tools)</w:t>
            </w:r>
          </w:p>
          <w:p w14:paraId="2CB5D627" w14:textId="77777777" w:rsidR="00A53FAB" w:rsidRPr="00767EAE" w:rsidRDefault="00A53FAB">
            <w:pPr>
              <w:pStyle w:val="ListBullet"/>
            </w:pPr>
            <w:r w:rsidRPr="00151EA2">
              <w:t>developing a national</w:t>
            </w:r>
            <w:r>
              <w:t xml:space="preserve"> model of the teacher workforce to support workforce planning. </w:t>
            </w:r>
          </w:p>
        </w:tc>
      </w:tr>
      <w:tr w:rsidR="00A53FAB" w14:paraId="0F6732A9" w14:textId="77777777">
        <w:tc>
          <w:tcPr>
            <w:tcW w:w="9638" w:type="dxa"/>
            <w:gridSpan w:val="2"/>
            <w:shd w:val="clear" w:color="auto" w:fill="auto"/>
            <w:tcMar>
              <w:top w:w="0" w:type="dxa"/>
              <w:bottom w:w="0" w:type="dxa"/>
            </w:tcMar>
          </w:tcPr>
          <w:p w14:paraId="39911F36" w14:textId="77777777" w:rsidR="00A53FAB" w:rsidRPr="007E0EA8" w:rsidRDefault="00A53FAB">
            <w:pPr>
              <w:pStyle w:val="NoSpacing"/>
              <w:spacing w:line="200" w:lineRule="exact"/>
            </w:pPr>
          </w:p>
        </w:tc>
      </w:tr>
    </w:tbl>
    <w:p w14:paraId="050F4149" w14:textId="77777777" w:rsidR="00A53FAB" w:rsidRDefault="00A53FAB">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7D5D2B90" w14:textId="77777777">
        <w:trPr>
          <w:trHeight w:val="765"/>
          <w:tblHeader/>
        </w:trPr>
        <w:tc>
          <w:tcPr>
            <w:tcW w:w="366" w:type="pct"/>
            <w:tcBorders>
              <w:bottom w:val="nil"/>
            </w:tcBorders>
            <w:tcMar>
              <w:bottom w:w="0" w:type="dxa"/>
            </w:tcMar>
            <w:vAlign w:val="center"/>
          </w:tcPr>
          <w:p w14:paraId="3548305D" w14:textId="77777777" w:rsidR="00A53FAB" w:rsidRDefault="00A53FAB">
            <w:pPr>
              <w:pStyle w:val="NoSpacing"/>
              <w:keepLines/>
              <w:jc w:val="right"/>
            </w:pPr>
            <w:r w:rsidRPr="00A51374">
              <w:rPr>
                <w:noProof/>
                <w:lang w:eastAsia="en-AU"/>
              </w:rPr>
              <w:drawing>
                <wp:inline distT="0" distB="0" distL="0" distR="0" wp14:anchorId="13697668" wp14:editId="4FF02203">
                  <wp:extent cx="288000" cy="288000"/>
                  <wp:effectExtent l="0" t="0" r="0" b="0"/>
                  <wp:docPr id="66"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2D742505" w14:textId="77777777" w:rsidR="00A53FAB" w:rsidRPr="00CC7DEC" w:rsidRDefault="00A53FAB" w:rsidP="00995D9B">
            <w:pPr>
              <w:pStyle w:val="TableHeading"/>
              <w:keepLines/>
              <w:spacing w:before="180" w:after="120"/>
              <w:contextualSpacing/>
              <w:rPr>
                <w:sz w:val="20"/>
              </w:rPr>
            </w:pPr>
            <w:r w:rsidRPr="00CC7DEC">
              <w:rPr>
                <w:sz w:val="20"/>
              </w:rPr>
              <w:t>Draft finding 2.2</w:t>
            </w:r>
          </w:p>
          <w:p w14:paraId="5BBD045C" w14:textId="574923C7" w:rsidR="00A53FAB" w:rsidRDefault="00A53FAB" w:rsidP="00995D9B">
            <w:pPr>
              <w:pStyle w:val="TableHeading"/>
              <w:keepLines/>
              <w:spacing w:before="180" w:after="120"/>
              <w:contextualSpacing/>
            </w:pPr>
            <w:r w:rsidRPr="00CC7DEC">
              <w:rPr>
                <w:sz w:val="20"/>
              </w:rPr>
              <w:t xml:space="preserve">The </w:t>
            </w:r>
            <w:r w:rsidR="0085469B" w:rsidRPr="00CC7DEC">
              <w:rPr>
                <w:sz w:val="20"/>
              </w:rPr>
              <w:t>National School Reform Agreement</w:t>
            </w:r>
            <w:r w:rsidRPr="00CC7DEC">
              <w:rPr>
                <w:sz w:val="20"/>
              </w:rPr>
              <w:t xml:space="preserve"> has weaknesses that undermine its effectiveness in facilitating collective, national efforts to lift student outcomes</w:t>
            </w:r>
          </w:p>
        </w:tc>
      </w:tr>
      <w:tr w:rsidR="00A53FAB" w14:paraId="5B844F38" w14:textId="77777777">
        <w:tc>
          <w:tcPr>
            <w:tcW w:w="5000" w:type="pct"/>
            <w:gridSpan w:val="2"/>
            <w:tcBorders>
              <w:top w:val="nil"/>
              <w:bottom w:val="single" w:sz="4" w:space="0" w:color="66BCDB" w:themeColor="text2"/>
            </w:tcBorders>
          </w:tcPr>
          <w:p w14:paraId="7A5D33F6" w14:textId="77777777" w:rsidR="00A53FAB" w:rsidRDefault="00A53FAB">
            <w:pPr>
              <w:pStyle w:val="ListBullet"/>
              <w:keepLines/>
            </w:pPr>
            <w:r>
              <w:t xml:space="preserve">Relying too much on NPIs that are a single solution to common issues has delayed reform outcomes. </w:t>
            </w:r>
          </w:p>
          <w:p w14:paraId="649F5FEC" w14:textId="77777777" w:rsidR="00A53FAB" w:rsidRPr="00641A3F" w:rsidRDefault="00A53FAB">
            <w:pPr>
              <w:pStyle w:val="ListBullet"/>
              <w:keepLines/>
              <w:rPr>
                <w:rStyle w:val="CommentReference"/>
                <w:sz w:val="20"/>
                <w:szCs w:val="20"/>
              </w:rPr>
            </w:pPr>
            <w:r>
              <w:t>A lack of transparent, systematic, independent and meaningful reporting means there is little effective accountability</w:t>
            </w:r>
            <w:r w:rsidRPr="6230D41E">
              <w:rPr>
                <w:rStyle w:val="CommentReference"/>
              </w:rPr>
              <w:t>.</w:t>
            </w:r>
          </w:p>
          <w:p w14:paraId="512FCECE" w14:textId="77777777" w:rsidR="00A53FAB" w:rsidRPr="00F57AF1" w:rsidRDefault="00A53FAB">
            <w:pPr>
              <w:pStyle w:val="ListBullet"/>
              <w:keepLines/>
            </w:pPr>
            <w:r>
              <w:t>Outcomes do not adequately capture non-academic domains such as wellbeing.</w:t>
            </w:r>
          </w:p>
          <w:p w14:paraId="321D8828" w14:textId="77777777" w:rsidR="00A53FAB" w:rsidRPr="00F57AF1" w:rsidRDefault="00A53FAB">
            <w:pPr>
              <w:pStyle w:val="ListBullet"/>
              <w:keepLines/>
            </w:pPr>
            <w:r>
              <w:t xml:space="preserve">Insufficient prominence has been given to lifting outcomes for students from priority equity cohorts or a core of students who do not meet minimum standards.     </w:t>
            </w:r>
          </w:p>
          <w:p w14:paraId="31FD3FC6" w14:textId="77777777" w:rsidR="00A53FAB" w:rsidRDefault="00A53FAB">
            <w:pPr>
              <w:pStyle w:val="ListBullet"/>
              <w:keepLines/>
            </w:pPr>
            <w:r>
              <w:t>There is a poor connection between policy making and implementation in the classroom.</w:t>
            </w:r>
          </w:p>
        </w:tc>
      </w:tr>
      <w:tr w:rsidR="00A53FAB" w14:paraId="125433D6" w14:textId="77777777">
        <w:tc>
          <w:tcPr>
            <w:tcW w:w="5000" w:type="pct"/>
            <w:gridSpan w:val="2"/>
            <w:tcBorders>
              <w:top w:val="single" w:sz="4" w:space="0" w:color="66BCDB" w:themeColor="text2"/>
              <w:left w:val="nil"/>
              <w:bottom w:val="nil"/>
              <w:right w:val="nil"/>
            </w:tcBorders>
            <w:tcMar>
              <w:bottom w:w="0" w:type="dxa"/>
            </w:tcMar>
          </w:tcPr>
          <w:p w14:paraId="7DDFEB56" w14:textId="77777777" w:rsidR="00A53FAB" w:rsidRDefault="00A53FAB">
            <w:pPr>
              <w:pStyle w:val="NoSpacing"/>
              <w:spacing w:line="200" w:lineRule="atLeast"/>
            </w:pPr>
          </w:p>
        </w:tc>
      </w:tr>
    </w:tbl>
    <w:p w14:paraId="3C7639B4"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A53FAB" w14:paraId="2BC039CA" w14:textId="77777777">
        <w:trPr>
          <w:tblHeader/>
        </w:trPr>
        <w:tc>
          <w:tcPr>
            <w:tcW w:w="713" w:type="dxa"/>
            <w:vAlign w:val="center"/>
          </w:tcPr>
          <w:p w14:paraId="1E90804A" w14:textId="77777777" w:rsidR="00A53FAB" w:rsidRDefault="00A53FAB">
            <w:pPr>
              <w:keepNext/>
              <w:keepLines/>
              <w:spacing w:after="0"/>
              <w:jc w:val="right"/>
            </w:pPr>
            <w:r w:rsidRPr="00A51374">
              <w:rPr>
                <w:noProof/>
                <w:lang w:eastAsia="en-AU"/>
              </w:rPr>
              <w:drawing>
                <wp:inline distT="0" distB="0" distL="0" distR="0" wp14:anchorId="4A55A9B3" wp14:editId="535C2559">
                  <wp:extent cx="288000" cy="288000"/>
                  <wp:effectExtent l="0" t="0" r="0" b="0"/>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6AC83704" w14:textId="3748E339" w:rsidR="00591DA8" w:rsidRPr="00710DF3" w:rsidRDefault="00A53FAB" w:rsidP="00710DF3">
            <w:pPr>
              <w:pStyle w:val="TableHeading"/>
              <w:keepNext/>
              <w:spacing w:before="180"/>
              <w:contextualSpacing/>
              <w:rPr>
                <w:sz w:val="20"/>
              </w:rPr>
            </w:pPr>
            <w:r w:rsidRPr="00710DF3">
              <w:rPr>
                <w:sz w:val="20"/>
              </w:rPr>
              <w:t>Information request 2.2</w:t>
            </w:r>
          </w:p>
          <w:p w14:paraId="28965ED1" w14:textId="3A9B16D8" w:rsidR="00A53FAB" w:rsidRPr="000B0B71" w:rsidRDefault="00A53FAB" w:rsidP="00710DF3">
            <w:pPr>
              <w:pStyle w:val="TableHeading"/>
              <w:keepNext/>
              <w:spacing w:before="180"/>
              <w:contextualSpacing/>
            </w:pPr>
            <w:r w:rsidRPr="00710DF3">
              <w:rPr>
                <w:sz w:val="20"/>
              </w:rPr>
              <w:t>Options for enhancing accountability in the next agreement</w:t>
            </w:r>
          </w:p>
        </w:tc>
      </w:tr>
      <w:tr w:rsidR="00A53FAB" w14:paraId="04EE12F7" w14:textId="77777777">
        <w:tc>
          <w:tcPr>
            <w:tcW w:w="9638" w:type="dxa"/>
            <w:gridSpan w:val="2"/>
            <w:tcMar>
              <w:top w:w="0" w:type="dxa"/>
            </w:tcMar>
          </w:tcPr>
          <w:p w14:paraId="0875C743" w14:textId="77777777" w:rsidR="00A53FAB" w:rsidRDefault="00A53FAB">
            <w:pPr>
              <w:keepNext/>
            </w:pPr>
            <w:r w:rsidRPr="20F8272D">
              <w:rPr>
                <w:rFonts w:ascii="Arial" w:eastAsia="Arial" w:hAnsi="Arial" w:cs="Arial"/>
              </w:rPr>
              <w:t>The Commission is seeking stakeholder views on</w:t>
            </w:r>
            <w:r>
              <w:rPr>
                <w:rFonts w:ascii="Arial" w:eastAsia="Arial" w:hAnsi="Arial" w:cs="Arial"/>
              </w:rPr>
              <w:t>:</w:t>
            </w:r>
          </w:p>
          <w:p w14:paraId="296A16C1" w14:textId="77777777" w:rsidR="00A53FAB" w:rsidRPr="00174BF9" w:rsidRDefault="00A53FAB" w:rsidP="00EB0335">
            <w:pPr>
              <w:pStyle w:val="ListNumber"/>
              <w:keepNext/>
              <w:numPr>
                <w:ilvl w:val="0"/>
                <w:numId w:val="5"/>
              </w:numPr>
              <w:rPr>
                <w:color w:val="1E5A9A"/>
              </w:rPr>
            </w:pPr>
            <w:r w:rsidRPr="00174BF9">
              <w:rPr>
                <w:color w:val="1E5A9A"/>
              </w:rPr>
              <w:t>the benefits, costs and risks of proposed enhancements to accountability mechanisms for the next intergovernmental agreement, including:</w:t>
            </w:r>
          </w:p>
          <w:p w14:paraId="65F7B38B" w14:textId="77777777" w:rsidR="00A53FAB" w:rsidRPr="00D45377" w:rsidRDefault="00A53FAB" w:rsidP="005D3B36">
            <w:pPr>
              <w:pStyle w:val="ListAlpha1"/>
              <w:keepNext/>
              <w:ind w:left="454"/>
              <w:rPr>
                <w:color w:val="1E5A9A"/>
              </w:rPr>
            </w:pPr>
            <w:r w:rsidRPr="00D45377">
              <w:rPr>
                <w:color w:val="1E5A9A"/>
              </w:rPr>
              <w:t xml:space="preserve">jurisdictions specifying the outcomes that they expect to achieve (and </w:t>
            </w:r>
            <w:r>
              <w:rPr>
                <w:color w:val="1E5A9A"/>
              </w:rPr>
              <w:t>related</w:t>
            </w:r>
            <w:r w:rsidRPr="00D45377">
              <w:rPr>
                <w:color w:val="1E5A9A"/>
              </w:rPr>
              <w:t xml:space="preserve"> indicators) over the life of the agreement in public ‘implementation </w:t>
            </w:r>
            <w:proofErr w:type="gramStart"/>
            <w:r w:rsidRPr="00D45377">
              <w:rPr>
                <w:color w:val="1E5A9A"/>
              </w:rPr>
              <w:t>plans’</w:t>
            </w:r>
            <w:proofErr w:type="gramEnd"/>
            <w:r w:rsidRPr="00D45377">
              <w:rPr>
                <w:color w:val="1E5A9A"/>
              </w:rPr>
              <w:t xml:space="preserve"> and reporting on progress annually. This would be in addition to identifying what measures they pursue in each priority reform area (as per current practice for bilateral agreements)</w:t>
            </w:r>
          </w:p>
          <w:p w14:paraId="6AAFB5A2" w14:textId="16C8DEF7" w:rsidR="00A53FAB" w:rsidRPr="00D45377" w:rsidRDefault="00A53FAB" w:rsidP="005D3B36">
            <w:pPr>
              <w:pStyle w:val="ListAlpha1"/>
              <w:keepNext/>
              <w:ind w:left="454"/>
              <w:rPr>
                <w:color w:val="1E5A9A"/>
              </w:rPr>
            </w:pPr>
            <w:r w:rsidRPr="00D45377">
              <w:rPr>
                <w:color w:val="1E5A9A"/>
              </w:rPr>
              <w:t xml:space="preserve">aligning the design of outcomes and indicators across jurisdictions to allow comparability </w:t>
            </w:r>
          </w:p>
          <w:p w14:paraId="71D7F565" w14:textId="77777777" w:rsidR="00A53FAB" w:rsidRPr="008529A2" w:rsidRDefault="00A53FAB" w:rsidP="00EB0335">
            <w:pPr>
              <w:pStyle w:val="ListNumber"/>
              <w:keepNext/>
              <w:numPr>
                <w:ilvl w:val="0"/>
                <w:numId w:val="5"/>
              </w:numPr>
            </w:pPr>
            <w:r w:rsidRPr="00910680">
              <w:rPr>
                <w:color w:val="1E5A9A"/>
              </w:rPr>
              <w:t>ways of ensuring groups representing school systems (Independent, Catholic), teachers, principals and students have effective input into policy formation (such as requiring jurisdictions to receive and publish input from affected parties as part of preparing implementation plans).</w:t>
            </w:r>
          </w:p>
        </w:tc>
      </w:tr>
      <w:tr w:rsidR="00A53FAB" w14:paraId="6C033141" w14:textId="77777777">
        <w:tc>
          <w:tcPr>
            <w:tcW w:w="9638" w:type="dxa"/>
            <w:gridSpan w:val="2"/>
            <w:shd w:val="clear" w:color="auto" w:fill="auto"/>
            <w:tcMar>
              <w:top w:w="0" w:type="dxa"/>
              <w:bottom w:w="0" w:type="dxa"/>
            </w:tcMar>
          </w:tcPr>
          <w:p w14:paraId="3C5A372B" w14:textId="77777777" w:rsidR="00A53FAB" w:rsidRDefault="00A53FAB">
            <w:pPr>
              <w:pStyle w:val="NoSpacing"/>
              <w:spacing w:line="200" w:lineRule="exact"/>
            </w:pPr>
          </w:p>
        </w:tc>
      </w:tr>
    </w:tbl>
    <w:p w14:paraId="079EEE8B" w14:textId="77777777" w:rsidR="00A53FAB" w:rsidRDefault="00A53FAB" w:rsidP="00661D3F">
      <w:pPr>
        <w:pStyle w:val="Heading2-noTOC"/>
        <w:keepNext/>
      </w:pPr>
      <w:r>
        <w:t>Chapter 3: Lifting outcomes for all students</w:t>
      </w: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7B66154B" w14:textId="77777777">
        <w:trPr>
          <w:trHeight w:val="765"/>
          <w:tblHeader/>
        </w:trPr>
        <w:tc>
          <w:tcPr>
            <w:tcW w:w="366" w:type="pct"/>
            <w:tcBorders>
              <w:bottom w:val="nil"/>
            </w:tcBorders>
            <w:tcMar>
              <w:bottom w:w="0" w:type="dxa"/>
            </w:tcMar>
            <w:vAlign w:val="center"/>
          </w:tcPr>
          <w:p w14:paraId="5492A37F" w14:textId="77777777" w:rsidR="00A53FAB" w:rsidRDefault="00A53FAB">
            <w:pPr>
              <w:pStyle w:val="NoSpacing"/>
              <w:keepLines/>
              <w:jc w:val="right"/>
            </w:pPr>
            <w:r w:rsidRPr="00A51374">
              <w:rPr>
                <w:noProof/>
                <w:lang w:eastAsia="en-AU"/>
              </w:rPr>
              <w:drawing>
                <wp:inline distT="0" distB="0" distL="0" distR="0" wp14:anchorId="1111A1B3" wp14:editId="6C7505C0">
                  <wp:extent cx="288000" cy="288000"/>
                  <wp:effectExtent l="0" t="0" r="0" b="0"/>
                  <wp:docPr id="44"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349263B4" w14:textId="77777777" w:rsidR="00921C17" w:rsidRPr="00710DF3" w:rsidRDefault="00A53FAB" w:rsidP="00710DF3">
            <w:pPr>
              <w:pStyle w:val="TableHeading"/>
              <w:keepLines/>
              <w:spacing w:before="180"/>
              <w:rPr>
                <w:sz w:val="20"/>
              </w:rPr>
            </w:pPr>
            <w:r w:rsidRPr="00710DF3">
              <w:rPr>
                <w:sz w:val="20"/>
              </w:rPr>
              <w:t xml:space="preserve">Draft finding 3.1 </w:t>
            </w:r>
          </w:p>
          <w:p w14:paraId="18973201" w14:textId="695FA520" w:rsidR="00A53FAB" w:rsidRPr="00710DF3" w:rsidRDefault="00A53FAB" w:rsidP="00710DF3">
            <w:pPr>
              <w:pStyle w:val="TableHeading"/>
              <w:keepLines/>
              <w:spacing w:after="120"/>
              <w:rPr>
                <w:b w:val="0"/>
                <w:bCs/>
                <w:sz w:val="20"/>
              </w:rPr>
            </w:pPr>
            <w:r w:rsidRPr="00710DF3">
              <w:rPr>
                <w:sz w:val="20"/>
              </w:rPr>
              <w:t>Many students have additional needs that do not directly relate to culture, disability or remoteness</w:t>
            </w:r>
          </w:p>
        </w:tc>
      </w:tr>
      <w:tr w:rsidR="00A53FAB" w14:paraId="30D825EA" w14:textId="77777777">
        <w:tc>
          <w:tcPr>
            <w:tcW w:w="5000" w:type="pct"/>
            <w:gridSpan w:val="2"/>
            <w:tcBorders>
              <w:top w:val="nil"/>
              <w:bottom w:val="single" w:sz="4" w:space="0" w:color="66BCDB" w:themeColor="text2"/>
            </w:tcBorders>
          </w:tcPr>
          <w:p w14:paraId="164BE2A6" w14:textId="78458F9B" w:rsidR="00A53FAB" w:rsidRPr="00500F5C" w:rsidRDefault="00A53FAB" w:rsidP="008940C9">
            <w:pPr>
              <w:pStyle w:val="KeyPoints-Bullet"/>
              <w:rPr>
                <w:sz w:val="20"/>
              </w:rPr>
            </w:pPr>
            <w:r w:rsidRPr="00500F5C">
              <w:rPr>
                <w:sz w:val="20"/>
              </w:rPr>
              <w:t xml:space="preserve">A significant number of students </w:t>
            </w:r>
            <w:r w:rsidR="00382D70">
              <w:rPr>
                <w:sz w:val="20"/>
              </w:rPr>
              <w:t>do not</w:t>
            </w:r>
            <w:r w:rsidRPr="00500F5C">
              <w:rPr>
                <w:sz w:val="20"/>
              </w:rPr>
              <w:t xml:space="preserve"> meet minimum standards — often year after year. Around one third of students who do not meet </w:t>
            </w:r>
            <w:r w:rsidR="001F6C81">
              <w:rPr>
                <w:sz w:val="20"/>
              </w:rPr>
              <w:t xml:space="preserve">national </w:t>
            </w:r>
            <w:r w:rsidRPr="00500F5C">
              <w:rPr>
                <w:sz w:val="20"/>
              </w:rPr>
              <w:t xml:space="preserve">minimum literacy and numeracy standards in their early years of schooling do not meet </w:t>
            </w:r>
            <w:r w:rsidR="001F6C81">
              <w:rPr>
                <w:sz w:val="20"/>
              </w:rPr>
              <w:t xml:space="preserve">national </w:t>
            </w:r>
            <w:r w:rsidRPr="00500F5C">
              <w:rPr>
                <w:sz w:val="20"/>
              </w:rPr>
              <w:t xml:space="preserve">minimum standards in later school years. </w:t>
            </w:r>
          </w:p>
          <w:p w14:paraId="7842AC47" w14:textId="11D65880" w:rsidR="00A53FAB" w:rsidRPr="00C50B5A" w:rsidRDefault="00A53FAB" w:rsidP="008940C9">
            <w:pPr>
              <w:pStyle w:val="KeyPoints-Bullet"/>
              <w:rPr>
                <w:sz w:val="20"/>
              </w:rPr>
            </w:pPr>
            <w:r w:rsidRPr="00500F5C">
              <w:rPr>
                <w:sz w:val="20"/>
              </w:rPr>
              <w:t xml:space="preserve">Most underperforming students do not belong to the priority cohorts named by the </w:t>
            </w:r>
            <w:r w:rsidR="002523B8" w:rsidRPr="00B3775A">
              <w:rPr>
                <w:sz w:val="20"/>
              </w:rPr>
              <w:t>National School Reform Agreement</w:t>
            </w:r>
            <w:r w:rsidRPr="00500F5C">
              <w:rPr>
                <w:sz w:val="20"/>
              </w:rPr>
              <w:t xml:space="preserve">. Around 85 per cent of these students do not belong to any of the priority equity cohorts identified in the </w:t>
            </w:r>
            <w:r w:rsidR="002523B8" w:rsidRPr="00B3775A">
              <w:rPr>
                <w:sz w:val="20"/>
              </w:rPr>
              <w:t>National School Reform Agreement</w:t>
            </w:r>
            <w:r w:rsidRPr="00500F5C">
              <w:rPr>
                <w:sz w:val="20"/>
              </w:rPr>
              <w:t>. Low educational performance needs a different approach.</w:t>
            </w:r>
          </w:p>
        </w:tc>
      </w:tr>
      <w:tr w:rsidR="00A53FAB" w14:paraId="21265C32" w14:textId="77777777">
        <w:tc>
          <w:tcPr>
            <w:tcW w:w="5000" w:type="pct"/>
            <w:gridSpan w:val="2"/>
            <w:tcBorders>
              <w:top w:val="single" w:sz="4" w:space="0" w:color="66BCDB" w:themeColor="text2"/>
              <w:left w:val="nil"/>
              <w:bottom w:val="nil"/>
              <w:right w:val="nil"/>
            </w:tcBorders>
            <w:tcMar>
              <w:bottom w:w="0" w:type="dxa"/>
            </w:tcMar>
          </w:tcPr>
          <w:p w14:paraId="6F33613D" w14:textId="77777777" w:rsidR="00A53FAB" w:rsidRDefault="00A53FAB">
            <w:pPr>
              <w:pStyle w:val="NoSpacing"/>
              <w:spacing w:line="200" w:lineRule="atLeast"/>
            </w:pPr>
          </w:p>
        </w:tc>
      </w:tr>
    </w:tbl>
    <w:p w14:paraId="57ABA787" w14:textId="77777777" w:rsidR="00A53FAB" w:rsidRDefault="00A53FAB">
      <w:pPr>
        <w:pStyle w:val="BodyText"/>
      </w:pPr>
    </w:p>
    <w:tbl>
      <w:tblPr>
        <w:tblStyle w:val="TextTable-Grey"/>
        <w:tblW w:w="5000" w:type="pct"/>
        <w:tblLook w:val="04A0" w:firstRow="1" w:lastRow="0" w:firstColumn="1" w:lastColumn="0" w:noHBand="0" w:noVBand="1"/>
      </w:tblPr>
      <w:tblGrid>
        <w:gridCol w:w="730"/>
        <w:gridCol w:w="9134"/>
      </w:tblGrid>
      <w:tr w:rsidR="00A53FAB" w14:paraId="7134CAA4" w14:textId="77777777">
        <w:trPr>
          <w:tblHeader/>
        </w:trPr>
        <w:tc>
          <w:tcPr>
            <w:tcW w:w="713" w:type="dxa"/>
            <w:vAlign w:val="center"/>
          </w:tcPr>
          <w:p w14:paraId="6F46DD2D" w14:textId="77777777" w:rsidR="00A53FAB" w:rsidRDefault="00A53FAB">
            <w:pPr>
              <w:keepNext/>
              <w:keepLines/>
              <w:spacing w:after="0"/>
              <w:jc w:val="right"/>
            </w:pPr>
            <w:r w:rsidRPr="00A51374">
              <w:rPr>
                <w:noProof/>
                <w:lang w:eastAsia="en-AU"/>
              </w:rPr>
              <w:drawing>
                <wp:inline distT="0" distB="0" distL="0" distR="0" wp14:anchorId="606A79A7" wp14:editId="6FC9F2E0">
                  <wp:extent cx="288000" cy="288000"/>
                  <wp:effectExtent l="0" t="0" r="0" b="0"/>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4F5E8C06" w14:textId="77777777" w:rsidR="00CB4456" w:rsidRPr="00710DF3" w:rsidRDefault="00A53FAB" w:rsidP="00710DF3">
            <w:pPr>
              <w:pStyle w:val="TableHeading"/>
              <w:keepNext/>
              <w:spacing w:before="180"/>
              <w:contextualSpacing/>
              <w:rPr>
                <w:sz w:val="20"/>
              </w:rPr>
            </w:pPr>
            <w:r w:rsidRPr="00710DF3">
              <w:rPr>
                <w:sz w:val="20"/>
              </w:rPr>
              <w:t xml:space="preserve">Information request 3.1 </w:t>
            </w:r>
          </w:p>
          <w:p w14:paraId="0CA00036" w14:textId="75D315B4" w:rsidR="00A53FAB" w:rsidRPr="00710DF3" w:rsidRDefault="00A53FAB" w:rsidP="00710DF3">
            <w:pPr>
              <w:pStyle w:val="TableHeading"/>
              <w:keepNext/>
              <w:spacing w:before="180"/>
              <w:contextualSpacing/>
              <w:rPr>
                <w:sz w:val="20"/>
              </w:rPr>
            </w:pPr>
            <w:r w:rsidRPr="00710DF3">
              <w:rPr>
                <w:sz w:val="20"/>
                <w:lang w:eastAsia="en-AU"/>
              </w:rPr>
              <w:t xml:space="preserve">Intensive, targeted support </w:t>
            </w:r>
            <w:r w:rsidR="009041F6">
              <w:rPr>
                <w:sz w:val="20"/>
                <w:lang w:eastAsia="en-AU"/>
              </w:rPr>
              <w:t>for</w:t>
            </w:r>
            <w:r w:rsidRPr="00710DF3">
              <w:rPr>
                <w:sz w:val="20"/>
                <w:lang w:eastAsia="en-AU"/>
              </w:rPr>
              <w:t xml:space="preserve"> students who have fallen behind</w:t>
            </w:r>
          </w:p>
        </w:tc>
      </w:tr>
      <w:tr w:rsidR="00A53FAB" w14:paraId="1B7A3F60" w14:textId="77777777">
        <w:tc>
          <w:tcPr>
            <w:tcW w:w="9638" w:type="dxa"/>
            <w:gridSpan w:val="2"/>
            <w:tcMar>
              <w:top w:w="0" w:type="dxa"/>
            </w:tcMar>
          </w:tcPr>
          <w:p w14:paraId="114EEA2B" w14:textId="77777777" w:rsidR="00A53FAB" w:rsidRPr="008529A2" w:rsidRDefault="00A53FAB">
            <w:pPr>
              <w:pStyle w:val="BodyText"/>
              <w:keepNext/>
              <w:keepLines/>
            </w:pPr>
            <w:r w:rsidRPr="00157DB9">
              <w:t>Would programs that provide intensive, targeted support to students who have fallen behind lend themselves to being a national policy initiative under the next intergovernmental agreement on schools?</w:t>
            </w:r>
          </w:p>
        </w:tc>
      </w:tr>
      <w:tr w:rsidR="00A53FAB" w14:paraId="515FB914" w14:textId="77777777">
        <w:tc>
          <w:tcPr>
            <w:tcW w:w="9638" w:type="dxa"/>
            <w:gridSpan w:val="2"/>
            <w:shd w:val="clear" w:color="auto" w:fill="auto"/>
            <w:tcMar>
              <w:top w:w="0" w:type="dxa"/>
              <w:bottom w:w="0" w:type="dxa"/>
            </w:tcMar>
          </w:tcPr>
          <w:p w14:paraId="3BDE11DA" w14:textId="77777777" w:rsidR="00A53FAB" w:rsidRDefault="00A53FAB">
            <w:pPr>
              <w:pStyle w:val="NoSpacing"/>
              <w:spacing w:line="200" w:lineRule="exact"/>
            </w:pPr>
          </w:p>
        </w:tc>
      </w:tr>
    </w:tbl>
    <w:p w14:paraId="604C08C8" w14:textId="77777777" w:rsidR="00A53FAB" w:rsidRDefault="00A53FAB">
      <w:pPr>
        <w:pStyle w:val="BodyText"/>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5A5CF48A" w14:textId="77777777">
        <w:trPr>
          <w:trHeight w:val="765"/>
          <w:tblHeader/>
        </w:trPr>
        <w:tc>
          <w:tcPr>
            <w:tcW w:w="366" w:type="pct"/>
            <w:tcBorders>
              <w:bottom w:val="nil"/>
            </w:tcBorders>
            <w:tcMar>
              <w:bottom w:w="0" w:type="dxa"/>
            </w:tcMar>
            <w:vAlign w:val="center"/>
          </w:tcPr>
          <w:p w14:paraId="5FF9DCA9" w14:textId="77777777" w:rsidR="00A53FAB" w:rsidRDefault="00A53FAB">
            <w:pPr>
              <w:pStyle w:val="NoSpacing"/>
              <w:keepLines/>
              <w:jc w:val="right"/>
            </w:pPr>
            <w:r w:rsidRPr="00A51374">
              <w:rPr>
                <w:noProof/>
                <w:lang w:eastAsia="en-AU"/>
              </w:rPr>
              <w:drawing>
                <wp:inline distT="0" distB="0" distL="0" distR="0" wp14:anchorId="31777B34" wp14:editId="4FBE4F3C">
                  <wp:extent cx="288000" cy="288000"/>
                  <wp:effectExtent l="0" t="0" r="0" b="0"/>
                  <wp:docPr id="45"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0F9330D7" w14:textId="77777777" w:rsidR="00A53FAB" w:rsidRPr="00710DF3" w:rsidRDefault="00A53FAB" w:rsidP="00710DF3">
            <w:pPr>
              <w:pStyle w:val="TableHeading"/>
              <w:keepLines/>
              <w:spacing w:before="180"/>
              <w:rPr>
                <w:sz w:val="20"/>
              </w:rPr>
            </w:pPr>
            <w:r w:rsidRPr="00710DF3">
              <w:rPr>
                <w:sz w:val="20"/>
              </w:rPr>
              <w:t>Draft finding 3.2</w:t>
            </w:r>
          </w:p>
          <w:p w14:paraId="1CC55BBC" w14:textId="1825E77B" w:rsidR="00A53FAB" w:rsidRPr="00710DF3" w:rsidRDefault="00A53FAB" w:rsidP="00710DF3">
            <w:pPr>
              <w:pStyle w:val="TableHeading"/>
              <w:keepLines/>
              <w:spacing w:after="120"/>
              <w:rPr>
                <w:sz w:val="20"/>
              </w:rPr>
            </w:pPr>
            <w:r w:rsidRPr="00710DF3">
              <w:rPr>
                <w:sz w:val="20"/>
              </w:rPr>
              <w:t xml:space="preserve">Governments are yet to achieve outcomes for students who have specific educational needs related to their culture, their disability or remoteness, as set out in the National School Reform </w:t>
            </w:r>
            <w:r w:rsidR="00CB4456" w:rsidRPr="00710DF3">
              <w:rPr>
                <w:sz w:val="20"/>
              </w:rPr>
              <w:t>A</w:t>
            </w:r>
            <w:r w:rsidRPr="00710DF3">
              <w:rPr>
                <w:sz w:val="20"/>
              </w:rPr>
              <w:t>greement</w:t>
            </w:r>
          </w:p>
        </w:tc>
      </w:tr>
      <w:tr w:rsidR="00A53FAB" w14:paraId="47AEB515" w14:textId="77777777">
        <w:tc>
          <w:tcPr>
            <w:tcW w:w="5000" w:type="pct"/>
            <w:gridSpan w:val="2"/>
            <w:tcBorders>
              <w:top w:val="nil"/>
              <w:bottom w:val="single" w:sz="4" w:space="0" w:color="66BCDB" w:themeColor="text2"/>
            </w:tcBorders>
          </w:tcPr>
          <w:p w14:paraId="3B1E49A5" w14:textId="3E3E1FE8" w:rsidR="00A53FAB" w:rsidRDefault="00A53FAB">
            <w:pPr>
              <w:pStyle w:val="ListBullet"/>
            </w:pPr>
            <w:r>
              <w:t xml:space="preserve">Gaps in learning outcomes for priority equity cohorts identified in the National School Reform Agreement have not closed. </w:t>
            </w:r>
          </w:p>
          <w:p w14:paraId="13FC0DEB" w14:textId="44506AD5" w:rsidR="00A53FAB" w:rsidRDefault="00A53FAB">
            <w:pPr>
              <w:pStyle w:val="ListBullet"/>
            </w:pPr>
            <w:r w:rsidRPr="00767713">
              <w:t xml:space="preserve">There can be multiple factors that increase the challenges of providing high quality education for some students. </w:t>
            </w:r>
            <w:r>
              <w:t xml:space="preserve">Where these factors intersect, the </w:t>
            </w:r>
            <w:r w:rsidR="00144B4C">
              <w:t>e</w:t>
            </w:r>
            <w:r>
              <w:t>ffects can be compounding.</w:t>
            </w:r>
          </w:p>
        </w:tc>
      </w:tr>
      <w:tr w:rsidR="00A53FAB" w14:paraId="1C148A1C" w14:textId="77777777">
        <w:tc>
          <w:tcPr>
            <w:tcW w:w="5000" w:type="pct"/>
            <w:gridSpan w:val="2"/>
            <w:tcBorders>
              <w:top w:val="single" w:sz="4" w:space="0" w:color="66BCDB" w:themeColor="text2"/>
              <w:left w:val="nil"/>
              <w:bottom w:val="nil"/>
              <w:right w:val="nil"/>
            </w:tcBorders>
            <w:tcMar>
              <w:bottom w:w="0" w:type="dxa"/>
            </w:tcMar>
          </w:tcPr>
          <w:p w14:paraId="1465AFC3" w14:textId="77777777" w:rsidR="00A53FAB" w:rsidRDefault="00A53FAB">
            <w:pPr>
              <w:pStyle w:val="NoSpacing"/>
              <w:spacing w:line="200" w:lineRule="atLeast"/>
            </w:pPr>
          </w:p>
        </w:tc>
      </w:tr>
    </w:tbl>
    <w:p w14:paraId="7CBB1D61" w14:textId="77777777" w:rsidR="00A53FAB" w:rsidRDefault="00A53FAB">
      <w:pPr>
        <w:pStyle w:val="NoSpacing"/>
        <w:keepNext/>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43804CDE" w14:textId="77777777">
        <w:trPr>
          <w:trHeight w:val="765"/>
          <w:tblHeader/>
        </w:trPr>
        <w:tc>
          <w:tcPr>
            <w:tcW w:w="366" w:type="pct"/>
            <w:tcBorders>
              <w:bottom w:val="nil"/>
            </w:tcBorders>
            <w:tcMar>
              <w:bottom w:w="0" w:type="dxa"/>
            </w:tcMar>
            <w:vAlign w:val="center"/>
          </w:tcPr>
          <w:p w14:paraId="3162FBF7" w14:textId="77777777" w:rsidR="00A53FAB" w:rsidRDefault="00A53FAB">
            <w:pPr>
              <w:pStyle w:val="NoSpacing"/>
              <w:keepLines/>
              <w:jc w:val="right"/>
            </w:pPr>
            <w:r w:rsidRPr="00A51374">
              <w:rPr>
                <w:noProof/>
                <w:lang w:eastAsia="en-AU"/>
              </w:rPr>
              <w:drawing>
                <wp:inline distT="0" distB="0" distL="0" distR="0" wp14:anchorId="52F2865D" wp14:editId="3D198842">
                  <wp:extent cx="288000" cy="288000"/>
                  <wp:effectExtent l="0" t="0" r="0" b="0"/>
                  <wp:docPr id="46"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3D68F199" w14:textId="77777777" w:rsidR="00A53FAB" w:rsidRPr="00710DF3" w:rsidRDefault="00A53FAB" w:rsidP="00710DF3">
            <w:pPr>
              <w:pStyle w:val="TableHeading"/>
              <w:keepLines/>
              <w:spacing w:before="180"/>
              <w:contextualSpacing/>
              <w:rPr>
                <w:sz w:val="20"/>
              </w:rPr>
            </w:pPr>
            <w:r w:rsidRPr="00710DF3">
              <w:rPr>
                <w:sz w:val="20"/>
              </w:rPr>
              <w:t>Draft finding 3.3</w:t>
            </w:r>
          </w:p>
          <w:p w14:paraId="7E093D44" w14:textId="7218131D" w:rsidR="00A53FAB" w:rsidRPr="00710DF3" w:rsidRDefault="00A53FAB" w:rsidP="00710DF3">
            <w:pPr>
              <w:pStyle w:val="TableHeading"/>
              <w:keepLines/>
              <w:spacing w:before="180" w:after="120"/>
              <w:contextualSpacing/>
              <w:rPr>
                <w:sz w:val="20"/>
              </w:rPr>
            </w:pPr>
            <w:r w:rsidRPr="00710DF3">
              <w:rPr>
                <w:sz w:val="20"/>
              </w:rPr>
              <w:t xml:space="preserve">Governments have failed to adequately demonstrate how reforms under the </w:t>
            </w:r>
            <w:r w:rsidR="00CA4639" w:rsidRPr="00710DF3">
              <w:rPr>
                <w:sz w:val="20"/>
              </w:rPr>
              <w:t>National School Reform Agreement</w:t>
            </w:r>
            <w:r w:rsidRPr="00710DF3">
              <w:rPr>
                <w:sz w:val="20"/>
              </w:rPr>
              <w:t xml:space="preserve"> are addressing specific educational needs related to students’ culture, disability or remoteness </w:t>
            </w:r>
          </w:p>
        </w:tc>
      </w:tr>
      <w:tr w:rsidR="00A53FAB" w14:paraId="5343FB1A" w14:textId="77777777">
        <w:tc>
          <w:tcPr>
            <w:tcW w:w="5000" w:type="pct"/>
            <w:gridSpan w:val="2"/>
            <w:tcBorders>
              <w:top w:val="nil"/>
              <w:bottom w:val="single" w:sz="4" w:space="0" w:color="66BCDB" w:themeColor="text2"/>
            </w:tcBorders>
          </w:tcPr>
          <w:p w14:paraId="2C11C188" w14:textId="09B8D731" w:rsidR="00A53FAB" w:rsidRPr="00856607" w:rsidRDefault="00A53FAB" w:rsidP="00EB0335">
            <w:pPr>
              <w:pStyle w:val="ListBullet"/>
              <w:numPr>
                <w:ilvl w:val="0"/>
                <w:numId w:val="6"/>
              </w:numPr>
            </w:pPr>
            <w:r w:rsidRPr="00856607">
              <w:t>There is significant diversity in students’ learning needs and educational aspirations, both across and within cohorts, reflecting differences in their life experiences, the education outcomes they value, their learning and wellbeing outcomes, and the nature of adjustment</w:t>
            </w:r>
            <w:r w:rsidR="00742C99">
              <w:t>s</w:t>
            </w:r>
            <w:r w:rsidRPr="00856607">
              <w:t xml:space="preserve"> and supports they may require.</w:t>
            </w:r>
          </w:p>
          <w:p w14:paraId="403A52ED" w14:textId="5451A23A" w:rsidR="00A53FAB" w:rsidRDefault="00A53FAB" w:rsidP="00EB0335">
            <w:pPr>
              <w:pStyle w:val="ListBullet"/>
              <w:numPr>
                <w:ilvl w:val="0"/>
                <w:numId w:val="6"/>
              </w:numPr>
            </w:pPr>
            <w:r w:rsidRPr="00CA73DB">
              <w:t xml:space="preserve">The </w:t>
            </w:r>
            <w:r w:rsidR="00CA4639" w:rsidRPr="00B3775A">
              <w:t>National School Reform Agreement</w:t>
            </w:r>
            <w:r w:rsidRPr="00CA73DB">
              <w:t xml:space="preserve"> does not adequately include reform actions relating to </w:t>
            </w:r>
            <w:r w:rsidR="00DE3A8F">
              <w:t xml:space="preserve">students from </w:t>
            </w:r>
            <w:r w:rsidRPr="00CA73DB">
              <w:t xml:space="preserve">the </w:t>
            </w:r>
            <w:r w:rsidR="00DE3A8F">
              <w:t>priority</w:t>
            </w:r>
            <w:r w:rsidR="00DE3A8F" w:rsidRPr="00CA73DB">
              <w:t xml:space="preserve"> </w:t>
            </w:r>
            <w:r w:rsidRPr="00CA73DB">
              <w:t>equity cohorts it names</w:t>
            </w:r>
            <w:r>
              <w:t>.</w:t>
            </w:r>
          </w:p>
          <w:p w14:paraId="188C23BE" w14:textId="2C0D8F3E" w:rsidR="00A53FAB" w:rsidRDefault="00A53FAB" w:rsidP="00EB0335">
            <w:pPr>
              <w:pStyle w:val="ListBullet"/>
              <w:numPr>
                <w:ilvl w:val="0"/>
                <w:numId w:val="6"/>
              </w:numPr>
            </w:pPr>
            <w:r>
              <w:t xml:space="preserve">Under the </w:t>
            </w:r>
            <w:r w:rsidR="00CA4639" w:rsidRPr="00B3775A">
              <w:t>National School Reform Agreement</w:t>
            </w:r>
            <w:r>
              <w:t xml:space="preserve">, equity issues are to be addressed through the bilateral agreements between the Australian Government and each jurisdiction. However, these agreements often do not identify measures to lift outcomes for students from </w:t>
            </w:r>
            <w:r w:rsidR="00036871">
              <w:t xml:space="preserve">all </w:t>
            </w:r>
            <w:r>
              <w:t>priority equity cohorts or, if they do, provide little detail on how measures will lift outcomes</w:t>
            </w:r>
            <w:r w:rsidR="001C1A62">
              <w:t>,</w:t>
            </w:r>
            <w:r>
              <w:t xml:space="preserve"> or report any progress being achieved.</w:t>
            </w:r>
          </w:p>
        </w:tc>
      </w:tr>
      <w:tr w:rsidR="00A53FAB" w14:paraId="423BF7EF" w14:textId="77777777">
        <w:tc>
          <w:tcPr>
            <w:tcW w:w="5000" w:type="pct"/>
            <w:gridSpan w:val="2"/>
            <w:tcBorders>
              <w:top w:val="single" w:sz="4" w:space="0" w:color="66BCDB" w:themeColor="text2"/>
              <w:left w:val="nil"/>
              <w:bottom w:val="nil"/>
              <w:right w:val="nil"/>
            </w:tcBorders>
            <w:tcMar>
              <w:bottom w:w="0" w:type="dxa"/>
            </w:tcMar>
          </w:tcPr>
          <w:p w14:paraId="7204EE6E" w14:textId="77777777" w:rsidR="00A53FAB" w:rsidRDefault="00A53FAB">
            <w:pPr>
              <w:pStyle w:val="NoSpacing"/>
              <w:spacing w:line="200" w:lineRule="atLeast"/>
            </w:pPr>
          </w:p>
        </w:tc>
      </w:tr>
    </w:tbl>
    <w:p w14:paraId="11A35CFA" w14:textId="77777777" w:rsidR="00A53FAB" w:rsidRDefault="00A53FAB">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3E001DAF" w14:textId="77777777">
        <w:trPr>
          <w:trHeight w:val="765"/>
          <w:tblHeader/>
        </w:trPr>
        <w:tc>
          <w:tcPr>
            <w:tcW w:w="366" w:type="pct"/>
            <w:tcBorders>
              <w:bottom w:val="nil"/>
            </w:tcBorders>
            <w:tcMar>
              <w:bottom w:w="0" w:type="dxa"/>
            </w:tcMar>
            <w:vAlign w:val="center"/>
          </w:tcPr>
          <w:p w14:paraId="43328B6E" w14:textId="77777777" w:rsidR="00A53FAB" w:rsidRDefault="00A53FAB">
            <w:pPr>
              <w:pStyle w:val="NoSpacing"/>
              <w:keepLines/>
              <w:jc w:val="right"/>
            </w:pPr>
            <w:r w:rsidRPr="00A51374">
              <w:rPr>
                <w:noProof/>
                <w:lang w:eastAsia="en-AU"/>
              </w:rPr>
              <w:drawing>
                <wp:inline distT="0" distB="0" distL="0" distR="0" wp14:anchorId="178D2A17" wp14:editId="1D946D3A">
                  <wp:extent cx="288000" cy="288000"/>
                  <wp:effectExtent l="0" t="0" r="0" b="0"/>
                  <wp:docPr id="47"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051BE60A" w14:textId="77777777" w:rsidR="00A53FAB" w:rsidRPr="00710DF3" w:rsidRDefault="00A53FAB" w:rsidP="00710DF3">
            <w:pPr>
              <w:pStyle w:val="TableHeading"/>
              <w:keepLines/>
              <w:spacing w:before="180"/>
              <w:contextualSpacing/>
              <w:rPr>
                <w:sz w:val="20"/>
              </w:rPr>
            </w:pPr>
            <w:r w:rsidRPr="00710DF3">
              <w:rPr>
                <w:sz w:val="20"/>
              </w:rPr>
              <w:t>Draft finding 3.4</w:t>
            </w:r>
          </w:p>
          <w:p w14:paraId="1A54B067" w14:textId="789296B5" w:rsidR="00A53FAB" w:rsidRPr="00710DF3" w:rsidRDefault="00A53FAB" w:rsidP="00710DF3">
            <w:pPr>
              <w:pStyle w:val="TableHeading"/>
              <w:keepLines/>
              <w:spacing w:before="180" w:after="120"/>
              <w:contextualSpacing/>
              <w:rPr>
                <w:sz w:val="20"/>
              </w:rPr>
            </w:pPr>
            <w:r w:rsidRPr="00710DF3">
              <w:rPr>
                <w:sz w:val="20"/>
              </w:rPr>
              <w:t xml:space="preserve">The priority equity cohorts in the National School </w:t>
            </w:r>
            <w:r w:rsidR="00C1409E" w:rsidRPr="00710DF3">
              <w:rPr>
                <w:sz w:val="20"/>
              </w:rPr>
              <w:t>R</w:t>
            </w:r>
            <w:r w:rsidRPr="00710DF3">
              <w:rPr>
                <w:sz w:val="20"/>
              </w:rPr>
              <w:t>eform Agreement do not capture all cohorts of students experiencing educational disadvantage</w:t>
            </w:r>
          </w:p>
        </w:tc>
      </w:tr>
      <w:tr w:rsidR="00A53FAB" w14:paraId="479703CA" w14:textId="77777777">
        <w:tc>
          <w:tcPr>
            <w:tcW w:w="5000" w:type="pct"/>
            <w:gridSpan w:val="2"/>
            <w:tcBorders>
              <w:top w:val="nil"/>
              <w:bottom w:val="single" w:sz="4" w:space="0" w:color="66BCDB" w:themeColor="text2"/>
            </w:tcBorders>
          </w:tcPr>
          <w:p w14:paraId="257F9A3E" w14:textId="00E250EB" w:rsidR="00A53FAB" w:rsidRDefault="00A53FAB">
            <w:pPr>
              <w:pStyle w:val="ListBullet"/>
            </w:pPr>
            <w:r>
              <w:t xml:space="preserve">There are some </w:t>
            </w:r>
            <w:r w:rsidRPr="0002607E">
              <w:t xml:space="preserve">student cohorts not identified as a priority equity cohort in the </w:t>
            </w:r>
            <w:r w:rsidR="00061F26">
              <w:t>National School Reform Agreement</w:t>
            </w:r>
            <w:r w:rsidRPr="0002607E">
              <w:t xml:space="preserve"> tha</w:t>
            </w:r>
            <w:r>
              <w:t>t face significant educational barriers.</w:t>
            </w:r>
          </w:p>
          <w:p w14:paraId="2B4D03EF" w14:textId="7DE5E998" w:rsidR="00A53FAB" w:rsidRDefault="00A53FAB">
            <w:pPr>
              <w:pStyle w:val="ListBullet"/>
            </w:pPr>
            <w:r>
              <w:t>Children</w:t>
            </w:r>
            <w:r w:rsidRPr="005110FB">
              <w:t xml:space="preserve"> and young people living in out</w:t>
            </w:r>
            <w:r>
              <w:noBreakHyphen/>
            </w:r>
            <w:r w:rsidRPr="005110FB">
              <w:t>of</w:t>
            </w:r>
            <w:r>
              <w:noBreakHyphen/>
            </w:r>
            <w:r w:rsidRPr="005110FB">
              <w:t xml:space="preserve">home care </w:t>
            </w:r>
            <w:r>
              <w:t>face significant disruptions to their schooling and</w:t>
            </w:r>
            <w:r w:rsidRPr="007011D4">
              <w:t xml:space="preserve"> are considerably less likely than their peers to attend school and engage with</w:t>
            </w:r>
            <w:r w:rsidRPr="00BA2295">
              <w:t xml:space="preserve"> education</w:t>
            </w:r>
            <w:r>
              <w:t>. B</w:t>
            </w:r>
            <w:r w:rsidRPr="007011D4">
              <w:t>y year 9, children in out</w:t>
            </w:r>
            <w:r>
              <w:noBreakHyphen/>
            </w:r>
            <w:r w:rsidRPr="007011D4">
              <w:t>of</w:t>
            </w:r>
            <w:r>
              <w:noBreakHyphen/>
            </w:r>
            <w:r w:rsidRPr="007011D4">
              <w:t xml:space="preserve">home care were four times more likely to be below the national minimum standard </w:t>
            </w:r>
            <w:r>
              <w:t xml:space="preserve">in </w:t>
            </w:r>
            <w:r w:rsidRPr="007011D4">
              <w:t>reading</w:t>
            </w:r>
            <w:r>
              <w:t xml:space="preserve">, and </w:t>
            </w:r>
            <w:r w:rsidRPr="007011D4">
              <w:t xml:space="preserve">six times more likely to be below the national minimum standard </w:t>
            </w:r>
            <w:r>
              <w:t>in</w:t>
            </w:r>
            <w:r w:rsidRPr="007011D4">
              <w:t xml:space="preserve"> numeracy, relative to </w:t>
            </w:r>
            <w:r w:rsidR="008449FE">
              <w:t xml:space="preserve">the </w:t>
            </w:r>
            <w:r w:rsidRPr="007011D4">
              <w:t>general population</w:t>
            </w:r>
            <w:r>
              <w:t>.</w:t>
            </w:r>
          </w:p>
          <w:p w14:paraId="449C9F45" w14:textId="18786A90" w:rsidR="00A53FAB" w:rsidRDefault="00A53FAB">
            <w:pPr>
              <w:pStyle w:val="ListBullet"/>
            </w:pPr>
            <w:r>
              <w:t>S</w:t>
            </w:r>
            <w:r w:rsidRPr="002513F0">
              <w:t xml:space="preserve">tudents who speak English as an </w:t>
            </w:r>
            <w:r w:rsidR="00E81EF4">
              <w:t>a</w:t>
            </w:r>
            <w:r w:rsidRPr="002513F0">
              <w:t xml:space="preserve">dditional </w:t>
            </w:r>
            <w:r w:rsidR="00E81EF4">
              <w:t>l</w:t>
            </w:r>
            <w:r w:rsidRPr="002513F0">
              <w:t xml:space="preserve">anguage or </w:t>
            </w:r>
            <w:r w:rsidR="00EE3FE8">
              <w:t>d</w:t>
            </w:r>
            <w:r w:rsidRPr="002513F0">
              <w:t>ialect</w:t>
            </w:r>
            <w:r>
              <w:t xml:space="preserve"> </w:t>
            </w:r>
            <w:r w:rsidRPr="00A10A26">
              <w:t>often require specific support</w:t>
            </w:r>
            <w:r>
              <w:t xml:space="preserve"> to</w:t>
            </w:r>
            <w:r w:rsidRPr="00A10A26">
              <w:t xml:space="preserve"> </w:t>
            </w:r>
            <w:r w:rsidR="009203B5">
              <w:t>strengthen</w:t>
            </w:r>
            <w:r w:rsidR="00E82EC0" w:rsidRPr="00A10A26">
              <w:t xml:space="preserve"> </w:t>
            </w:r>
            <w:r w:rsidRPr="00A10A26">
              <w:t>English language skills to access the general curriculum</w:t>
            </w:r>
            <w:r w:rsidRPr="002513F0">
              <w:t>.</w:t>
            </w:r>
          </w:p>
        </w:tc>
      </w:tr>
      <w:tr w:rsidR="00A53FAB" w14:paraId="51D406DA" w14:textId="77777777">
        <w:tc>
          <w:tcPr>
            <w:tcW w:w="5000" w:type="pct"/>
            <w:gridSpan w:val="2"/>
            <w:tcBorders>
              <w:top w:val="single" w:sz="4" w:space="0" w:color="66BCDB" w:themeColor="text2"/>
              <w:left w:val="nil"/>
              <w:bottom w:val="nil"/>
              <w:right w:val="nil"/>
            </w:tcBorders>
            <w:tcMar>
              <w:bottom w:w="0" w:type="dxa"/>
            </w:tcMar>
          </w:tcPr>
          <w:p w14:paraId="0779418A" w14:textId="77777777" w:rsidR="00A53FAB" w:rsidRDefault="00A53FAB">
            <w:pPr>
              <w:pStyle w:val="NoSpacing"/>
              <w:spacing w:line="200" w:lineRule="atLeast"/>
            </w:pPr>
          </w:p>
        </w:tc>
      </w:tr>
    </w:tbl>
    <w:p w14:paraId="4E17AA1E" w14:textId="77777777" w:rsidR="00A53FAB" w:rsidRDefault="00A53FAB">
      <w:pPr>
        <w:spacing w:before="0" w:after="160" w:line="259" w:lineRule="auto"/>
      </w:pPr>
    </w:p>
    <w:tbl>
      <w:tblPr>
        <w:tblStyle w:val="TextTable-Grey"/>
        <w:tblW w:w="5000" w:type="pct"/>
        <w:tblLook w:val="04A0" w:firstRow="1" w:lastRow="0" w:firstColumn="1" w:lastColumn="0" w:noHBand="0" w:noVBand="1"/>
      </w:tblPr>
      <w:tblGrid>
        <w:gridCol w:w="730"/>
        <w:gridCol w:w="9134"/>
      </w:tblGrid>
      <w:tr w:rsidR="00A53FAB" w14:paraId="54747ACC" w14:textId="77777777">
        <w:trPr>
          <w:tblHeader/>
        </w:trPr>
        <w:tc>
          <w:tcPr>
            <w:tcW w:w="713" w:type="dxa"/>
            <w:vAlign w:val="center"/>
          </w:tcPr>
          <w:p w14:paraId="7CE62154" w14:textId="77777777" w:rsidR="00A53FAB" w:rsidRDefault="00A53FAB">
            <w:pPr>
              <w:keepNext/>
              <w:keepLines/>
              <w:spacing w:after="0"/>
              <w:jc w:val="right"/>
            </w:pPr>
            <w:r w:rsidRPr="00A51374">
              <w:rPr>
                <w:noProof/>
                <w:lang w:eastAsia="en-AU"/>
              </w:rPr>
              <w:drawing>
                <wp:inline distT="0" distB="0" distL="0" distR="0" wp14:anchorId="622F1EBD" wp14:editId="44BB1C3D">
                  <wp:extent cx="288000" cy="288000"/>
                  <wp:effectExtent l="0" t="0" r="0" b="0"/>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797B3CD9" w14:textId="42D840F8" w:rsidR="00A53FAB" w:rsidRPr="00710DF3" w:rsidRDefault="00A53FAB" w:rsidP="00710DF3">
            <w:pPr>
              <w:pStyle w:val="TableHeading"/>
              <w:keepNext/>
              <w:spacing w:before="180"/>
              <w:contextualSpacing/>
              <w:rPr>
                <w:sz w:val="20"/>
              </w:rPr>
            </w:pPr>
            <w:r w:rsidRPr="00710DF3">
              <w:rPr>
                <w:sz w:val="20"/>
              </w:rPr>
              <w:t>Information request 3.</w:t>
            </w:r>
            <w:commentRangeStart w:id="6"/>
            <w:r w:rsidRPr="00710DF3">
              <w:rPr>
                <w:sz w:val="20"/>
              </w:rPr>
              <w:t>2</w:t>
            </w:r>
            <w:commentRangeEnd w:id="6"/>
            <w:r w:rsidR="009D030B">
              <w:rPr>
                <w:rStyle w:val="CommentReference"/>
                <w:b w:val="0"/>
                <w:color w:val="auto"/>
              </w:rPr>
              <w:commentReference w:id="6"/>
            </w:r>
          </w:p>
          <w:p w14:paraId="23998AF4" w14:textId="0C321E38" w:rsidR="00F33D86" w:rsidRPr="00710DF3" w:rsidRDefault="0089797E" w:rsidP="00710DF3">
            <w:pPr>
              <w:pStyle w:val="TableHeading"/>
              <w:keepNext/>
              <w:spacing w:before="180"/>
              <w:contextualSpacing/>
              <w:rPr>
                <w:sz w:val="20"/>
              </w:rPr>
            </w:pPr>
            <w:r w:rsidRPr="00710DF3">
              <w:rPr>
                <w:sz w:val="20"/>
              </w:rPr>
              <w:t>Priority equity cohorts for the next agreement</w:t>
            </w:r>
          </w:p>
        </w:tc>
      </w:tr>
      <w:tr w:rsidR="00A53FAB" w14:paraId="3EE90A40" w14:textId="77777777">
        <w:tc>
          <w:tcPr>
            <w:tcW w:w="9638" w:type="dxa"/>
            <w:gridSpan w:val="2"/>
            <w:tcMar>
              <w:top w:w="0" w:type="dxa"/>
            </w:tcMar>
          </w:tcPr>
          <w:p w14:paraId="1397BAE1" w14:textId="2B07534A" w:rsidR="00A53FAB" w:rsidRPr="008529A2" w:rsidRDefault="00A53FAB">
            <w:pPr>
              <w:pStyle w:val="BodyText"/>
              <w:keepNext/>
              <w:keepLines/>
            </w:pPr>
            <w:r w:rsidRPr="008B7FA4">
              <w:t xml:space="preserve">Are there student cohorts, not identified as a priority equity cohort in the current </w:t>
            </w:r>
            <w:r w:rsidR="00BA3F67">
              <w:t>N</w:t>
            </w:r>
            <w:r w:rsidRPr="008B7FA4">
              <w:t xml:space="preserve">ational </w:t>
            </w:r>
            <w:r w:rsidR="00BA3F67">
              <w:t>S</w:t>
            </w:r>
            <w:r w:rsidRPr="008B7FA4">
              <w:t xml:space="preserve">chool </w:t>
            </w:r>
            <w:r w:rsidR="00BA3F67">
              <w:t>R</w:t>
            </w:r>
            <w:r w:rsidRPr="008B7FA4">
              <w:t xml:space="preserve">eform </w:t>
            </w:r>
            <w:r w:rsidR="00BA3F67">
              <w:t>A</w:t>
            </w:r>
            <w:r w:rsidRPr="008B7FA4">
              <w:t>greement, such as children in out</w:t>
            </w:r>
            <w:r>
              <w:noBreakHyphen/>
            </w:r>
            <w:r w:rsidRPr="008B7FA4">
              <w:t>of</w:t>
            </w:r>
            <w:r>
              <w:noBreakHyphen/>
            </w:r>
            <w:r w:rsidRPr="008B7FA4">
              <w:t>home care, that should be a priority in the next agreement? If so, which cohorts and why?</w:t>
            </w:r>
          </w:p>
        </w:tc>
      </w:tr>
      <w:tr w:rsidR="00A53FAB" w14:paraId="3099F109" w14:textId="77777777">
        <w:tc>
          <w:tcPr>
            <w:tcW w:w="9638" w:type="dxa"/>
            <w:gridSpan w:val="2"/>
            <w:shd w:val="clear" w:color="auto" w:fill="auto"/>
            <w:tcMar>
              <w:top w:w="0" w:type="dxa"/>
              <w:bottom w:w="0" w:type="dxa"/>
            </w:tcMar>
          </w:tcPr>
          <w:p w14:paraId="0D3B2227" w14:textId="77777777" w:rsidR="00A53FAB" w:rsidRDefault="00A53FAB">
            <w:pPr>
              <w:pStyle w:val="NoSpacing"/>
              <w:spacing w:line="200" w:lineRule="exact"/>
            </w:pPr>
          </w:p>
        </w:tc>
      </w:tr>
    </w:tbl>
    <w:p w14:paraId="7CE63EA4" w14:textId="77777777" w:rsidR="00A53FAB" w:rsidRDefault="00A53FAB">
      <w:pPr>
        <w:spacing w:before="0" w:after="160" w:line="259" w:lineRule="auto"/>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547E7CB5" w14:textId="77777777">
        <w:trPr>
          <w:trHeight w:val="765"/>
          <w:tblHeader/>
        </w:trPr>
        <w:tc>
          <w:tcPr>
            <w:tcW w:w="366" w:type="pct"/>
            <w:tcBorders>
              <w:bottom w:val="nil"/>
            </w:tcBorders>
            <w:tcMar>
              <w:bottom w:w="0" w:type="dxa"/>
            </w:tcMar>
            <w:vAlign w:val="center"/>
          </w:tcPr>
          <w:p w14:paraId="27FE0D7E" w14:textId="77777777" w:rsidR="00A53FAB" w:rsidRDefault="00A53FAB">
            <w:pPr>
              <w:pStyle w:val="NoSpacing"/>
              <w:keepLines/>
              <w:jc w:val="right"/>
            </w:pPr>
            <w:r w:rsidRPr="00A51374">
              <w:rPr>
                <w:noProof/>
                <w:lang w:eastAsia="en-AU"/>
              </w:rPr>
              <w:drawing>
                <wp:inline distT="0" distB="0" distL="0" distR="0" wp14:anchorId="5937395C" wp14:editId="36A05929">
                  <wp:extent cx="288000" cy="288000"/>
                  <wp:effectExtent l="0" t="0" r="0" b="0"/>
                  <wp:docPr id="48"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0966C7E9" w14:textId="77777777" w:rsidR="00F34031" w:rsidRPr="00710DF3" w:rsidRDefault="00A53FAB" w:rsidP="00710DF3">
            <w:pPr>
              <w:pStyle w:val="TableHeading"/>
              <w:keepLines/>
              <w:spacing w:before="180"/>
              <w:contextualSpacing/>
              <w:rPr>
                <w:sz w:val="20"/>
              </w:rPr>
            </w:pPr>
            <w:r w:rsidRPr="00710DF3">
              <w:rPr>
                <w:sz w:val="20"/>
              </w:rPr>
              <w:t xml:space="preserve">Draft finding 3.5 </w:t>
            </w:r>
          </w:p>
          <w:p w14:paraId="5858749C" w14:textId="25752831" w:rsidR="00A53FAB" w:rsidRPr="00710DF3" w:rsidRDefault="00A53FAB" w:rsidP="00710DF3">
            <w:pPr>
              <w:pStyle w:val="TableHeading"/>
              <w:keepLines/>
              <w:spacing w:after="120"/>
              <w:contextualSpacing/>
              <w:rPr>
                <w:spacing w:val="-4"/>
                <w:sz w:val="20"/>
              </w:rPr>
            </w:pPr>
            <w:r w:rsidRPr="00710DF3">
              <w:rPr>
                <w:spacing w:val="-4"/>
                <w:sz w:val="20"/>
              </w:rPr>
              <w:t xml:space="preserve">There are a range of educational barriers experienced by students </w:t>
            </w:r>
            <w:r w:rsidR="00C017BF">
              <w:rPr>
                <w:spacing w:val="-4"/>
                <w:sz w:val="20"/>
              </w:rPr>
              <w:t>from</w:t>
            </w:r>
            <w:r w:rsidR="001D64B2" w:rsidRPr="00710DF3">
              <w:rPr>
                <w:spacing w:val="-4"/>
                <w:sz w:val="20"/>
              </w:rPr>
              <w:t xml:space="preserve"> </w:t>
            </w:r>
            <w:r w:rsidRPr="00710DF3">
              <w:rPr>
                <w:spacing w:val="-4"/>
                <w:sz w:val="20"/>
              </w:rPr>
              <w:t>priority equity cohorts</w:t>
            </w:r>
          </w:p>
        </w:tc>
      </w:tr>
      <w:tr w:rsidR="00A53FAB" w14:paraId="0A3266F3" w14:textId="77777777">
        <w:tc>
          <w:tcPr>
            <w:tcW w:w="5000" w:type="pct"/>
            <w:gridSpan w:val="2"/>
            <w:tcBorders>
              <w:top w:val="nil"/>
              <w:bottom w:val="single" w:sz="4" w:space="0" w:color="66BCDB" w:themeColor="text2"/>
            </w:tcBorders>
          </w:tcPr>
          <w:p w14:paraId="13830525" w14:textId="77777777" w:rsidR="00A53FAB" w:rsidRPr="005B2D68" w:rsidRDefault="00A53FAB">
            <w:pPr>
              <w:pStyle w:val="ListBullet"/>
            </w:pPr>
            <w:r w:rsidRPr="005B2D68">
              <w:t xml:space="preserve">Compounding problems arise from equating Indigeneity with educational disadvantage. </w:t>
            </w:r>
          </w:p>
          <w:p w14:paraId="24692AAB" w14:textId="185AD7AD" w:rsidR="00A53FAB" w:rsidRPr="005B2D68" w:rsidRDefault="00A53FAB">
            <w:pPr>
              <w:pStyle w:val="ListBullet"/>
            </w:pPr>
            <w:r w:rsidRPr="005B2D68">
              <w:t xml:space="preserve">Cultural recognition by schools, and the value placed on Indigenous knowledges by them, are key in responding to the distinct educational needs and aspirations of Aboriginal and Torres Strait Islander students. Culturally responsive curriculum and pedagogies increase inclusion and engagement of Aboriginal and Torres Strait Islander </w:t>
            </w:r>
            <w:proofErr w:type="gramStart"/>
            <w:r w:rsidRPr="005B2D68">
              <w:t>students</w:t>
            </w:r>
            <w:r>
              <w:t>,</w:t>
            </w:r>
            <w:r w:rsidRPr="005B2D68">
              <w:t xml:space="preserve"> and</w:t>
            </w:r>
            <w:proofErr w:type="gramEnd"/>
            <w:r w:rsidRPr="005B2D68">
              <w:t xml:space="preserve"> enrich the learning of </w:t>
            </w:r>
            <w:r w:rsidR="003830A4" w:rsidRPr="005B2D68">
              <w:t>non</w:t>
            </w:r>
            <w:r w:rsidR="003830A4">
              <w:noBreakHyphen/>
            </w:r>
            <w:r w:rsidR="003830A4" w:rsidRPr="005B2D68">
              <w:t>Aboriginal and Torres Strait Islander</w:t>
            </w:r>
            <w:r w:rsidR="003830A4" w:rsidRPr="005B2D68" w:rsidDel="00F16945">
              <w:t xml:space="preserve"> </w:t>
            </w:r>
            <w:r w:rsidR="003830A4">
              <w:t xml:space="preserve">students </w:t>
            </w:r>
            <w:r w:rsidRPr="005B2D68">
              <w:t xml:space="preserve">too. </w:t>
            </w:r>
          </w:p>
          <w:p w14:paraId="7196ADDF" w14:textId="77777777" w:rsidR="00A53FAB" w:rsidRPr="005B2D68" w:rsidRDefault="00A53FAB">
            <w:pPr>
              <w:pStyle w:val="ListBullet"/>
            </w:pPr>
            <w:r w:rsidRPr="005B2D68">
              <w:t>Indigenous knowledges, Aboriginal and Torres Strait Islander cultures, and how to include and empower students may be poorly understood by teachers and school leadership.</w:t>
            </w:r>
          </w:p>
          <w:p w14:paraId="3C99365A" w14:textId="7B4601F7" w:rsidR="00A53FAB" w:rsidRPr="005B2D68" w:rsidRDefault="00A53FAB">
            <w:pPr>
              <w:pStyle w:val="ListBullet"/>
            </w:pPr>
            <w:r w:rsidRPr="005B2D68">
              <w:t>There is now a mandate for consultation and shared decision</w:t>
            </w:r>
            <w:r>
              <w:noBreakHyphen/>
            </w:r>
            <w:r w:rsidRPr="005B2D68">
              <w:t xml:space="preserve">making in relation to the design of educational outcomes and </w:t>
            </w:r>
            <w:r w:rsidR="00CD12C6" w:rsidRPr="005B2D68">
              <w:t>sub</w:t>
            </w:r>
            <w:r w:rsidR="00CD12C6">
              <w:t>-</w:t>
            </w:r>
            <w:r w:rsidR="00CD12C6" w:rsidRPr="005B2D68">
              <w:t xml:space="preserve">outcomes </w:t>
            </w:r>
            <w:r w:rsidRPr="005B2D68">
              <w:t>(and how they shape reform) under the Key Priority Reforms of the 2020 Closing the Gap Agreement.</w:t>
            </w:r>
          </w:p>
          <w:p w14:paraId="5CC6FBBA" w14:textId="2BB21EB9" w:rsidR="00A53FAB" w:rsidRDefault="00A53FAB">
            <w:pPr>
              <w:pStyle w:val="ListBullet"/>
            </w:pPr>
            <w:r w:rsidRPr="005B2D68">
              <w:t xml:space="preserve">Children and young people with disability </w:t>
            </w:r>
            <w:r w:rsidR="00E10693">
              <w:t>experience</w:t>
            </w:r>
            <w:r w:rsidRPr="005B2D68">
              <w:t xml:space="preserve"> unique barriers to engagement and inclusion at school that </w:t>
            </w:r>
            <w:r w:rsidR="002C36B4">
              <w:t>affe</w:t>
            </w:r>
            <w:r w:rsidRPr="005B2D68">
              <w:t>ct wellbeing, engagement and school success.</w:t>
            </w:r>
          </w:p>
          <w:p w14:paraId="72BE961C" w14:textId="77777777" w:rsidR="00A53FAB" w:rsidRDefault="00A53FAB">
            <w:pPr>
              <w:pStyle w:val="ListBullet"/>
            </w:pPr>
            <w:r w:rsidRPr="005B2D68">
              <w:t>Initial Teacher Education may not sufficiently empower teachers to recognise and respond adequately to disability.</w:t>
            </w:r>
          </w:p>
          <w:p w14:paraId="58B3F106" w14:textId="1491A3F0" w:rsidR="00600862" w:rsidRDefault="00600862">
            <w:pPr>
              <w:pStyle w:val="ListBullet"/>
            </w:pPr>
            <w:r>
              <w:t>F</w:t>
            </w:r>
            <w:r w:rsidRPr="00112779">
              <w:t xml:space="preserve">amilies in regional, rural and remote areas can have limited choice in where and how they educate their </w:t>
            </w:r>
            <w:commentRangeStart w:id="7"/>
            <w:r w:rsidRPr="00112779">
              <w:t>children</w:t>
            </w:r>
            <w:commentRangeEnd w:id="7"/>
            <w:r w:rsidR="00FF194A">
              <w:rPr>
                <w:rStyle w:val="CommentReference"/>
              </w:rPr>
              <w:commentReference w:id="7"/>
            </w:r>
            <w:r>
              <w:t>.</w:t>
            </w:r>
          </w:p>
        </w:tc>
      </w:tr>
      <w:tr w:rsidR="00A53FAB" w14:paraId="1515D4F9" w14:textId="77777777">
        <w:tc>
          <w:tcPr>
            <w:tcW w:w="5000" w:type="pct"/>
            <w:gridSpan w:val="2"/>
            <w:tcBorders>
              <w:top w:val="single" w:sz="4" w:space="0" w:color="66BCDB" w:themeColor="text2"/>
              <w:left w:val="nil"/>
              <w:bottom w:val="nil"/>
              <w:right w:val="nil"/>
            </w:tcBorders>
            <w:tcMar>
              <w:bottom w:w="0" w:type="dxa"/>
            </w:tcMar>
          </w:tcPr>
          <w:p w14:paraId="4AA41DBE" w14:textId="77777777" w:rsidR="00A53FAB" w:rsidRDefault="00A53FAB">
            <w:pPr>
              <w:pStyle w:val="NoSpacing"/>
              <w:spacing w:line="200" w:lineRule="atLeast"/>
            </w:pPr>
          </w:p>
        </w:tc>
      </w:tr>
    </w:tbl>
    <w:p w14:paraId="01980ADC" w14:textId="77777777" w:rsidR="00A53FAB" w:rsidRDefault="00A53FAB">
      <w:pPr>
        <w:spacing w:before="0" w:after="160" w:line="259" w:lineRule="auto"/>
      </w:pPr>
    </w:p>
    <w:tbl>
      <w:tblPr>
        <w:tblStyle w:val="Texttable-Paleblue"/>
        <w:tblW w:w="5000" w:type="pct"/>
        <w:tblLook w:val="04A0" w:firstRow="1" w:lastRow="0" w:firstColumn="1" w:lastColumn="0" w:noHBand="0" w:noVBand="1"/>
      </w:tblPr>
      <w:tblGrid>
        <w:gridCol w:w="730"/>
        <w:gridCol w:w="9134"/>
      </w:tblGrid>
      <w:tr w:rsidR="00A53FAB" w14:paraId="7A3C8D6B" w14:textId="77777777">
        <w:trPr>
          <w:tblHeader/>
        </w:trPr>
        <w:tc>
          <w:tcPr>
            <w:tcW w:w="713" w:type="dxa"/>
            <w:tcMar>
              <w:top w:w="0" w:type="dxa"/>
              <w:bottom w:w="0" w:type="dxa"/>
            </w:tcMar>
            <w:vAlign w:val="center"/>
          </w:tcPr>
          <w:p w14:paraId="40E54874" w14:textId="77777777" w:rsidR="00A53FAB" w:rsidRDefault="00A53FAB" w:rsidP="00710DF3">
            <w:pPr>
              <w:keepNext/>
              <w:keepLines/>
              <w:jc w:val="center"/>
            </w:pPr>
            <w:r w:rsidRPr="00A51374">
              <w:rPr>
                <w:noProof/>
                <w:lang w:eastAsia="en-AU"/>
              </w:rPr>
              <w:drawing>
                <wp:inline distT="0" distB="0" distL="0" distR="0" wp14:anchorId="40895276" wp14:editId="6F2D472A">
                  <wp:extent cx="288000" cy="288000"/>
                  <wp:effectExtent l="0" t="0" r="0" b="0"/>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8925" w:type="dxa"/>
            <w:tcMar>
              <w:top w:w="0" w:type="dxa"/>
              <w:bottom w:w="0" w:type="dxa"/>
            </w:tcMar>
            <w:vAlign w:val="center"/>
          </w:tcPr>
          <w:p w14:paraId="37195C44" w14:textId="77777777" w:rsidR="00A53FAB" w:rsidRPr="00710DF3" w:rsidRDefault="00A53FAB" w:rsidP="00710DF3">
            <w:pPr>
              <w:pStyle w:val="TableHeading"/>
              <w:keepNext/>
              <w:keepLines/>
              <w:spacing w:before="180" w:afterLines="20" w:after="48"/>
              <w:contextualSpacing/>
              <w:rPr>
                <w:sz w:val="20"/>
              </w:rPr>
            </w:pPr>
            <w:r w:rsidRPr="00710DF3">
              <w:rPr>
                <w:sz w:val="20"/>
              </w:rPr>
              <w:t>Draft recommendation 3.1</w:t>
            </w:r>
          </w:p>
          <w:p w14:paraId="62F55EA3" w14:textId="77777777" w:rsidR="00A53FAB" w:rsidRPr="00710DF3" w:rsidRDefault="00A53FAB" w:rsidP="00710DF3">
            <w:pPr>
              <w:pStyle w:val="TableHeading"/>
              <w:keepNext/>
              <w:keepLines/>
              <w:spacing w:before="180" w:after="120"/>
              <w:contextualSpacing/>
              <w:rPr>
                <w:sz w:val="20"/>
              </w:rPr>
            </w:pPr>
            <w:r w:rsidRPr="000547E4">
              <w:rPr>
                <w:sz w:val="20"/>
              </w:rPr>
              <w:t>Implementation plans, developed in consultation with affected groups, should be used to improve the transparency of reform actions and to hold parties to account for the outcomes they commit to achieve</w:t>
            </w:r>
          </w:p>
        </w:tc>
      </w:tr>
      <w:tr w:rsidR="00A53FAB" w14:paraId="4A1BE36A" w14:textId="77777777">
        <w:tc>
          <w:tcPr>
            <w:tcW w:w="9638" w:type="dxa"/>
            <w:gridSpan w:val="2"/>
            <w:tcMar>
              <w:top w:w="0" w:type="dxa"/>
            </w:tcMar>
          </w:tcPr>
          <w:p w14:paraId="000A4BE5" w14:textId="77777777" w:rsidR="00A53FAB" w:rsidRDefault="00A53FAB" w:rsidP="00710DF3">
            <w:pPr>
              <w:pStyle w:val="BodyText"/>
              <w:keepNext/>
              <w:keepLines/>
            </w:pPr>
            <w:r>
              <w:t xml:space="preserve">In the next intergovernmental agreement, </w:t>
            </w:r>
            <w:r w:rsidRPr="008348A5">
              <w:t>Australian, State and Territory Governments</w:t>
            </w:r>
            <w:r>
              <w:t xml:space="preserve"> should ensure:</w:t>
            </w:r>
          </w:p>
          <w:p w14:paraId="260E33C9" w14:textId="2AAE65B2" w:rsidR="00A53FAB" w:rsidRPr="00710DF3" w:rsidRDefault="00A53FAB" w:rsidP="00710DF3">
            <w:pPr>
              <w:pStyle w:val="ListBullet"/>
              <w:keepNext/>
              <w:keepLines/>
              <w:rPr>
                <w:spacing w:val="-6"/>
              </w:rPr>
            </w:pPr>
            <w:r w:rsidRPr="00710DF3">
              <w:rPr>
                <w:spacing w:val="-6"/>
              </w:rPr>
              <w:t xml:space="preserve">there </w:t>
            </w:r>
            <w:r w:rsidR="00A36327" w:rsidRPr="00710DF3">
              <w:rPr>
                <w:spacing w:val="-6"/>
              </w:rPr>
              <w:t>are</w:t>
            </w:r>
            <w:r w:rsidRPr="00710DF3">
              <w:rPr>
                <w:spacing w:val="-6"/>
              </w:rPr>
              <w:t xml:space="preserve"> reforms directly addressing the unique barriers and ambitions of students </w:t>
            </w:r>
            <w:r w:rsidR="00F542BE" w:rsidRPr="00710DF3">
              <w:rPr>
                <w:spacing w:val="-6"/>
              </w:rPr>
              <w:t>from</w:t>
            </w:r>
            <w:r w:rsidR="00AB20C0" w:rsidRPr="00710DF3">
              <w:rPr>
                <w:spacing w:val="-6"/>
              </w:rPr>
              <w:t xml:space="preserve"> </w:t>
            </w:r>
            <w:r w:rsidRPr="00710DF3">
              <w:rPr>
                <w:spacing w:val="-6"/>
              </w:rPr>
              <w:t>priority equity cohorts</w:t>
            </w:r>
          </w:p>
          <w:p w14:paraId="09E56437" w14:textId="2DDD337D" w:rsidR="00A53FAB" w:rsidRDefault="00A53FAB" w:rsidP="00710DF3">
            <w:pPr>
              <w:pStyle w:val="ListBullet"/>
              <w:keepNext/>
              <w:keepLines/>
            </w:pPr>
            <w:r>
              <w:t xml:space="preserve">bilateral agreements, developed in consultation with stakeholders, identify how jurisdictions will lift outcomes for </w:t>
            </w:r>
            <w:r w:rsidRPr="000C13AB">
              <w:t xml:space="preserve">students in </w:t>
            </w:r>
            <w:r>
              <w:t xml:space="preserve">each of the priority </w:t>
            </w:r>
            <w:r w:rsidRPr="000C13AB">
              <w:t xml:space="preserve">equity cohorts </w:t>
            </w:r>
            <w:r>
              <w:t>identified in the agreement</w:t>
            </w:r>
            <w:r w:rsidRPr="000C13AB">
              <w:t xml:space="preserve">, </w:t>
            </w:r>
            <w:r w:rsidRPr="005F13A9">
              <w:t>recognising their specific learning needs</w:t>
            </w:r>
          </w:p>
          <w:p w14:paraId="404249F4" w14:textId="2F2610C9" w:rsidR="00A53FAB" w:rsidRPr="00767EAE" w:rsidRDefault="00A53FAB" w:rsidP="00710DF3">
            <w:pPr>
              <w:pStyle w:val="ListBullet"/>
              <w:keepNext/>
              <w:keepLines/>
            </w:pPr>
            <w:r>
              <w:t xml:space="preserve">progress reporting contains sufficient information (and has sufficient oversight) to provide the public with confidence that measures to lift outcomes for </w:t>
            </w:r>
            <w:r w:rsidR="001E10F1">
              <w:t>students in</w:t>
            </w:r>
            <w:r w:rsidR="00685CB0">
              <w:t xml:space="preserve"> </w:t>
            </w:r>
            <w:r w:rsidR="001E10F1">
              <w:t xml:space="preserve">priority </w:t>
            </w:r>
            <w:r>
              <w:t>equity cohorts are being implemented and achieving their intended outcomes.</w:t>
            </w:r>
          </w:p>
        </w:tc>
      </w:tr>
      <w:tr w:rsidR="00A53FAB" w14:paraId="5F0DCB0D" w14:textId="77777777">
        <w:tc>
          <w:tcPr>
            <w:tcW w:w="9638" w:type="dxa"/>
            <w:gridSpan w:val="2"/>
            <w:shd w:val="clear" w:color="auto" w:fill="auto"/>
            <w:tcMar>
              <w:top w:w="0" w:type="dxa"/>
              <w:bottom w:w="0" w:type="dxa"/>
            </w:tcMar>
          </w:tcPr>
          <w:p w14:paraId="2AF0482E" w14:textId="77777777" w:rsidR="00A53FAB" w:rsidRPr="007E0EA8" w:rsidRDefault="00A53FAB" w:rsidP="00710DF3">
            <w:pPr>
              <w:pStyle w:val="NoSpacing"/>
              <w:keepNext/>
              <w:keepLines/>
              <w:spacing w:line="200" w:lineRule="exact"/>
            </w:pPr>
          </w:p>
        </w:tc>
      </w:tr>
    </w:tbl>
    <w:p w14:paraId="6835DCB5" w14:textId="77777777" w:rsidR="00A53FAB" w:rsidRDefault="00A53FAB">
      <w:pPr>
        <w:spacing w:before="0" w:after="160" w:line="259" w:lineRule="auto"/>
      </w:pPr>
    </w:p>
    <w:tbl>
      <w:tblPr>
        <w:tblStyle w:val="TextTable-Grey"/>
        <w:tblW w:w="5000" w:type="pct"/>
        <w:tblLook w:val="04A0" w:firstRow="1" w:lastRow="0" w:firstColumn="1" w:lastColumn="0" w:noHBand="0" w:noVBand="1"/>
      </w:tblPr>
      <w:tblGrid>
        <w:gridCol w:w="730"/>
        <w:gridCol w:w="9134"/>
      </w:tblGrid>
      <w:tr w:rsidR="00A53FAB" w14:paraId="48C606E0" w14:textId="77777777">
        <w:trPr>
          <w:tblHeader/>
        </w:trPr>
        <w:tc>
          <w:tcPr>
            <w:tcW w:w="713" w:type="dxa"/>
            <w:vAlign w:val="center"/>
          </w:tcPr>
          <w:p w14:paraId="7560E9F0" w14:textId="77777777" w:rsidR="00A53FAB" w:rsidRDefault="00A53FAB">
            <w:pPr>
              <w:keepNext/>
              <w:keepLines/>
              <w:spacing w:after="0"/>
              <w:jc w:val="right"/>
            </w:pPr>
            <w:r w:rsidRPr="00A51374">
              <w:rPr>
                <w:noProof/>
                <w:lang w:eastAsia="en-AU"/>
              </w:rPr>
              <w:drawing>
                <wp:inline distT="0" distB="0" distL="0" distR="0" wp14:anchorId="37100F58" wp14:editId="7E296AD2">
                  <wp:extent cx="288000" cy="288000"/>
                  <wp:effectExtent l="0" t="0" r="0" b="0"/>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4787CB52" w14:textId="77777777" w:rsidR="00E86CAB" w:rsidRPr="00710DF3" w:rsidRDefault="00A53FAB" w:rsidP="00710DF3">
            <w:pPr>
              <w:pStyle w:val="TableHeading"/>
              <w:keepLines/>
              <w:spacing w:before="180" w:after="120"/>
              <w:contextualSpacing/>
              <w:rPr>
                <w:sz w:val="20"/>
              </w:rPr>
            </w:pPr>
            <w:r w:rsidRPr="00710DF3">
              <w:rPr>
                <w:sz w:val="20"/>
              </w:rPr>
              <w:t xml:space="preserve">Information request 3.3 </w:t>
            </w:r>
          </w:p>
          <w:p w14:paraId="21FB8264" w14:textId="6CB71AB0" w:rsidR="00A53FAB" w:rsidRPr="00710DF3" w:rsidRDefault="00A53FAB" w:rsidP="00710DF3">
            <w:pPr>
              <w:pStyle w:val="TableHeading"/>
              <w:keepLines/>
              <w:spacing w:before="180" w:after="120"/>
              <w:contextualSpacing/>
              <w:rPr>
                <w:sz w:val="20"/>
              </w:rPr>
            </w:pPr>
            <w:r w:rsidRPr="00710DF3">
              <w:rPr>
                <w:sz w:val="20"/>
              </w:rPr>
              <w:t>Implementation plans</w:t>
            </w:r>
          </w:p>
        </w:tc>
      </w:tr>
      <w:tr w:rsidR="00A53FAB" w14:paraId="3D274B5F" w14:textId="77777777">
        <w:tc>
          <w:tcPr>
            <w:tcW w:w="9638" w:type="dxa"/>
            <w:gridSpan w:val="2"/>
            <w:tcMar>
              <w:top w:w="0" w:type="dxa"/>
            </w:tcMar>
          </w:tcPr>
          <w:p w14:paraId="7002A354" w14:textId="595B0D86" w:rsidR="00A53FAB" w:rsidRPr="00710DF3" w:rsidRDefault="00A53FAB" w:rsidP="00303AF8">
            <w:pPr>
              <w:pStyle w:val="ListNumber"/>
              <w:numPr>
                <w:ilvl w:val="0"/>
                <w:numId w:val="41"/>
              </w:numPr>
              <w:ind w:left="227" w:hanging="227"/>
            </w:pPr>
            <w:r w:rsidRPr="00710DF3">
              <w:t>What would be the costs, benefits, and implementation issues associated with the Commission’s proposed enhanced accountability mechanisms (</w:t>
            </w:r>
            <w:r w:rsidR="00E86CAB" w:rsidRPr="00710DF3">
              <w:t>draft r</w:t>
            </w:r>
            <w:r w:rsidRPr="00710DF3">
              <w:t>ecommendation 3.1) for bilateral agreements and associated reporting arrangements (in general and as they relate to students in</w:t>
            </w:r>
            <w:r w:rsidR="00685CB0" w:rsidRPr="00710DF3">
              <w:t xml:space="preserve"> </w:t>
            </w:r>
            <w:r w:rsidRPr="00710DF3">
              <w:t xml:space="preserve">priority equity cohorts)? What would be the costs and benefits of having </w:t>
            </w:r>
            <w:r w:rsidR="00B47D1D">
              <w:t xml:space="preserve">people with </w:t>
            </w:r>
            <w:r w:rsidRPr="00710DF3">
              <w:t xml:space="preserve">lived experience </w:t>
            </w:r>
            <w:r w:rsidR="00B47D1D">
              <w:t xml:space="preserve">involved </w:t>
            </w:r>
            <w:r w:rsidRPr="00710DF3">
              <w:t>in shared decision making in relation to reporting arrangements?</w:t>
            </w:r>
          </w:p>
          <w:p w14:paraId="3040B332" w14:textId="37DB336D" w:rsidR="00A53FAB" w:rsidRPr="00FE62E4" w:rsidRDefault="00A53FAB" w:rsidP="00FE62E4">
            <w:pPr>
              <w:pStyle w:val="ListNumber"/>
              <w:ind w:left="227" w:hanging="227"/>
              <w:rPr>
                <w:spacing w:val="-4"/>
              </w:rPr>
            </w:pPr>
            <w:r w:rsidRPr="00FE62E4">
              <w:rPr>
                <w:spacing w:val="-4"/>
              </w:rPr>
              <w:t xml:space="preserve">Are there ways parties could reduce the costs (for example, reporting burdens) and increase the benefits of implementation plans by integrating, aligning or linking them with existing government reporting processes (for example, reporting under Closing </w:t>
            </w:r>
            <w:r w:rsidR="00655725" w:rsidRPr="00FE62E4">
              <w:rPr>
                <w:spacing w:val="-4"/>
              </w:rPr>
              <w:t>the Gap and Australia’s Disability Strategy</w:t>
            </w:r>
            <w:r w:rsidRPr="00FE62E4">
              <w:rPr>
                <w:spacing w:val="-4"/>
              </w:rPr>
              <w:t>)?</w:t>
            </w:r>
          </w:p>
        </w:tc>
      </w:tr>
      <w:tr w:rsidR="00A53FAB" w14:paraId="7590824D" w14:textId="77777777">
        <w:tc>
          <w:tcPr>
            <w:tcW w:w="9638" w:type="dxa"/>
            <w:gridSpan w:val="2"/>
            <w:shd w:val="clear" w:color="auto" w:fill="auto"/>
            <w:tcMar>
              <w:top w:w="0" w:type="dxa"/>
              <w:bottom w:w="0" w:type="dxa"/>
            </w:tcMar>
          </w:tcPr>
          <w:p w14:paraId="27835CEC" w14:textId="77777777" w:rsidR="00A53FAB" w:rsidRDefault="00A53FAB">
            <w:pPr>
              <w:pStyle w:val="NoSpacing"/>
              <w:spacing w:line="200" w:lineRule="exact"/>
            </w:pPr>
          </w:p>
        </w:tc>
      </w:tr>
    </w:tbl>
    <w:p w14:paraId="43E3C97F" w14:textId="77777777" w:rsidR="00A53FAB" w:rsidRDefault="00A53FAB">
      <w:pPr>
        <w:spacing w:before="0" w:after="160" w:line="259" w:lineRule="auto"/>
      </w:pPr>
    </w:p>
    <w:tbl>
      <w:tblPr>
        <w:tblStyle w:val="TextTable-Grey"/>
        <w:tblW w:w="5000" w:type="pct"/>
        <w:tblLook w:val="04A0" w:firstRow="1" w:lastRow="0" w:firstColumn="1" w:lastColumn="0" w:noHBand="0" w:noVBand="1"/>
      </w:tblPr>
      <w:tblGrid>
        <w:gridCol w:w="730"/>
        <w:gridCol w:w="9134"/>
      </w:tblGrid>
      <w:tr w:rsidR="00A53FAB" w14:paraId="2EB14AA8" w14:textId="77777777">
        <w:trPr>
          <w:tblHeader/>
        </w:trPr>
        <w:tc>
          <w:tcPr>
            <w:tcW w:w="713" w:type="dxa"/>
            <w:vAlign w:val="center"/>
          </w:tcPr>
          <w:p w14:paraId="14B5DAFD" w14:textId="77777777" w:rsidR="00A53FAB" w:rsidRDefault="00A53FAB">
            <w:pPr>
              <w:keepNext/>
              <w:keepLines/>
              <w:spacing w:after="0"/>
              <w:jc w:val="right"/>
            </w:pPr>
            <w:r w:rsidRPr="00A51374">
              <w:rPr>
                <w:noProof/>
                <w:lang w:eastAsia="en-AU"/>
              </w:rPr>
              <w:drawing>
                <wp:inline distT="0" distB="0" distL="0" distR="0" wp14:anchorId="15F401EA" wp14:editId="4CFA18CB">
                  <wp:extent cx="288000" cy="288000"/>
                  <wp:effectExtent l="0" t="0" r="0" b="0"/>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16B8BFD4" w14:textId="77777777" w:rsidR="00AC1711" w:rsidRPr="00710DF3" w:rsidRDefault="00A53FAB" w:rsidP="00710DF3">
            <w:pPr>
              <w:pStyle w:val="TableHeading"/>
              <w:keepLines/>
              <w:spacing w:before="180" w:after="120"/>
              <w:contextualSpacing/>
              <w:rPr>
                <w:sz w:val="20"/>
              </w:rPr>
            </w:pPr>
            <w:r w:rsidRPr="00710DF3">
              <w:rPr>
                <w:sz w:val="20"/>
              </w:rPr>
              <w:t xml:space="preserve">Information request 3.4 </w:t>
            </w:r>
          </w:p>
          <w:p w14:paraId="1F9EEB30" w14:textId="09BEF40A" w:rsidR="00A53FAB" w:rsidRPr="00710DF3" w:rsidRDefault="00A53FAB" w:rsidP="00710DF3">
            <w:pPr>
              <w:pStyle w:val="TableHeading"/>
              <w:keepLines/>
              <w:spacing w:before="180" w:after="120"/>
              <w:contextualSpacing/>
              <w:rPr>
                <w:sz w:val="20"/>
              </w:rPr>
            </w:pPr>
            <w:r w:rsidRPr="00710DF3">
              <w:rPr>
                <w:sz w:val="20"/>
              </w:rPr>
              <w:t>Transparency of funding for</w:t>
            </w:r>
            <w:r w:rsidR="00145D9A">
              <w:rPr>
                <w:sz w:val="20"/>
              </w:rPr>
              <w:t xml:space="preserve"> students from</w:t>
            </w:r>
            <w:r w:rsidRPr="00710DF3">
              <w:rPr>
                <w:sz w:val="20"/>
              </w:rPr>
              <w:t xml:space="preserve"> priority equity cohorts</w:t>
            </w:r>
          </w:p>
        </w:tc>
      </w:tr>
      <w:tr w:rsidR="00A53FAB" w14:paraId="607DDBC2" w14:textId="77777777">
        <w:tc>
          <w:tcPr>
            <w:tcW w:w="9638" w:type="dxa"/>
            <w:gridSpan w:val="2"/>
            <w:tcMar>
              <w:top w:w="0" w:type="dxa"/>
            </w:tcMar>
          </w:tcPr>
          <w:p w14:paraId="6289EE0A" w14:textId="687CF12F" w:rsidR="00A53FAB" w:rsidRPr="008529A2" w:rsidRDefault="00A53FAB">
            <w:pPr>
              <w:pStyle w:val="BodyText"/>
              <w:keepNext/>
              <w:keepLines/>
            </w:pPr>
            <w:r w:rsidRPr="00F56043">
              <w:t xml:space="preserve">What would be the benefits, costs and risks of greater national reporting of schools funding and expenditure data to support transparency around state and territory efforts to lift outcomes for </w:t>
            </w:r>
            <w:r w:rsidR="00145D9A">
              <w:t xml:space="preserve">students from </w:t>
            </w:r>
            <w:r w:rsidRPr="00F56043">
              <w:t>priority equity cohorts? If there is a case for providing such information, how could it be collected cost</w:t>
            </w:r>
            <w:r>
              <w:noBreakHyphen/>
            </w:r>
            <w:r w:rsidRPr="00F56043">
              <w:t>effectively?</w:t>
            </w:r>
          </w:p>
        </w:tc>
      </w:tr>
      <w:tr w:rsidR="00A53FAB" w14:paraId="482B9DF2" w14:textId="77777777">
        <w:tc>
          <w:tcPr>
            <w:tcW w:w="9638" w:type="dxa"/>
            <w:gridSpan w:val="2"/>
            <w:shd w:val="clear" w:color="auto" w:fill="auto"/>
            <w:tcMar>
              <w:top w:w="0" w:type="dxa"/>
              <w:bottom w:w="0" w:type="dxa"/>
            </w:tcMar>
          </w:tcPr>
          <w:p w14:paraId="5764916B" w14:textId="77777777" w:rsidR="00A53FAB" w:rsidRDefault="00A53FAB">
            <w:pPr>
              <w:pStyle w:val="NoSpacing"/>
              <w:spacing w:line="200" w:lineRule="exact"/>
            </w:pPr>
          </w:p>
        </w:tc>
      </w:tr>
    </w:tbl>
    <w:p w14:paraId="4C573237" w14:textId="77777777" w:rsidR="00A53FAB" w:rsidRDefault="00A53FAB">
      <w:pPr>
        <w:spacing w:before="0" w:after="160" w:line="259" w:lineRule="auto"/>
      </w:pPr>
    </w:p>
    <w:tbl>
      <w:tblPr>
        <w:tblStyle w:val="TextTable-Grey"/>
        <w:tblW w:w="5000" w:type="pct"/>
        <w:tblLook w:val="04A0" w:firstRow="1" w:lastRow="0" w:firstColumn="1" w:lastColumn="0" w:noHBand="0" w:noVBand="1"/>
      </w:tblPr>
      <w:tblGrid>
        <w:gridCol w:w="730"/>
        <w:gridCol w:w="9134"/>
      </w:tblGrid>
      <w:tr w:rsidR="00A53FAB" w14:paraId="5FD6B464" w14:textId="77777777">
        <w:trPr>
          <w:tblHeader/>
        </w:trPr>
        <w:tc>
          <w:tcPr>
            <w:tcW w:w="713" w:type="dxa"/>
            <w:vAlign w:val="center"/>
          </w:tcPr>
          <w:p w14:paraId="482E5800" w14:textId="77777777" w:rsidR="00A53FAB" w:rsidRDefault="00A53FAB">
            <w:pPr>
              <w:keepNext/>
              <w:keepLines/>
              <w:spacing w:after="0"/>
              <w:jc w:val="right"/>
            </w:pPr>
            <w:r w:rsidRPr="00A51374">
              <w:rPr>
                <w:noProof/>
                <w:lang w:eastAsia="en-AU"/>
              </w:rPr>
              <w:drawing>
                <wp:inline distT="0" distB="0" distL="0" distR="0" wp14:anchorId="3195F2B9" wp14:editId="608D67EA">
                  <wp:extent cx="288000" cy="288000"/>
                  <wp:effectExtent l="0" t="0" r="0" b="0"/>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140AFDF0" w14:textId="77777777" w:rsidR="00AC1711" w:rsidRPr="00FE62E4" w:rsidRDefault="00A53FAB" w:rsidP="00FE62E4">
            <w:pPr>
              <w:pStyle w:val="TableHeading"/>
              <w:keepLines/>
              <w:spacing w:before="180" w:afterLines="20" w:after="48"/>
              <w:contextualSpacing/>
              <w:rPr>
                <w:sz w:val="20"/>
              </w:rPr>
            </w:pPr>
            <w:r w:rsidRPr="00FE62E4">
              <w:rPr>
                <w:sz w:val="20"/>
              </w:rPr>
              <w:t xml:space="preserve">Information request 3.5 </w:t>
            </w:r>
          </w:p>
          <w:p w14:paraId="34F2C0AE" w14:textId="65C101F4" w:rsidR="00A53FAB" w:rsidRPr="00FE62E4" w:rsidRDefault="00A53FAB" w:rsidP="00FE62E4">
            <w:pPr>
              <w:pStyle w:val="TableHeading"/>
              <w:keepLines/>
              <w:spacing w:before="180" w:afterLines="20" w:after="48"/>
              <w:contextualSpacing/>
              <w:rPr>
                <w:sz w:val="20"/>
              </w:rPr>
            </w:pPr>
            <w:r w:rsidRPr="00FE62E4">
              <w:rPr>
                <w:sz w:val="20"/>
              </w:rPr>
              <w:t>Embedding the perspectives of priority equity cohorts in national education policy and institutions</w:t>
            </w:r>
          </w:p>
        </w:tc>
      </w:tr>
      <w:tr w:rsidR="00A53FAB" w14:paraId="27EA4379" w14:textId="77777777">
        <w:tc>
          <w:tcPr>
            <w:tcW w:w="9638" w:type="dxa"/>
            <w:gridSpan w:val="2"/>
            <w:tcMar>
              <w:top w:w="0" w:type="dxa"/>
            </w:tcMar>
          </w:tcPr>
          <w:p w14:paraId="4AD350B8" w14:textId="77777777" w:rsidR="00A53FAB" w:rsidRPr="002051E5" w:rsidRDefault="00A53FAB" w:rsidP="00EB0335">
            <w:pPr>
              <w:pStyle w:val="ListNumber"/>
              <w:numPr>
                <w:ilvl w:val="0"/>
                <w:numId w:val="7"/>
              </w:numPr>
              <w:rPr>
                <w:rFonts w:ascii="Arial" w:hAnsi="Arial" w:cs="Arial"/>
                <w:color w:val="265A9A"/>
              </w:rPr>
            </w:pPr>
            <w:r w:rsidRPr="002051E5">
              <w:rPr>
                <w:rFonts w:ascii="Arial" w:hAnsi="Arial" w:cs="Arial"/>
                <w:color w:val="265A9A"/>
              </w:rPr>
              <w:t xml:space="preserve">What specifically could be done to embed the views of priority equity cohorts in national education policies and institutions, including outcomes, targets and policy initiatives in the next intergovernmental agreement on school education? </w:t>
            </w:r>
          </w:p>
          <w:p w14:paraId="27CC8E5E" w14:textId="481DD56C" w:rsidR="00A53FAB" w:rsidRDefault="00A53FAB" w:rsidP="00EB0335">
            <w:pPr>
              <w:pStyle w:val="ListNumber"/>
              <w:numPr>
                <w:ilvl w:val="0"/>
                <w:numId w:val="7"/>
              </w:numPr>
              <w:rPr>
                <w:rFonts w:ascii="Arial" w:hAnsi="Arial" w:cs="Arial"/>
                <w:color w:val="265A9A"/>
              </w:rPr>
            </w:pPr>
            <w:r w:rsidRPr="002051E5">
              <w:rPr>
                <w:rFonts w:ascii="Arial" w:hAnsi="Arial" w:cs="Arial"/>
                <w:color w:val="265A9A"/>
              </w:rPr>
              <w:t xml:space="preserve">What are the merits of establishing a national Indigenous consultative body on education? How might such a body be structured? If pursued, would this best occur through a successor national </w:t>
            </w:r>
            <w:r w:rsidR="00AB5E5A">
              <w:rPr>
                <w:rFonts w:ascii="Arial" w:hAnsi="Arial" w:cs="Arial"/>
                <w:color w:val="265A9A"/>
              </w:rPr>
              <w:t xml:space="preserve">school </w:t>
            </w:r>
            <w:r w:rsidRPr="002051E5">
              <w:rPr>
                <w:rFonts w:ascii="Arial" w:hAnsi="Arial" w:cs="Arial"/>
                <w:color w:val="265A9A"/>
              </w:rPr>
              <w:t>reform agreement or some other avenue?  </w:t>
            </w:r>
          </w:p>
          <w:p w14:paraId="6D7E78B9" w14:textId="4E5A7CFC" w:rsidR="00A53FAB" w:rsidRPr="009E1A22" w:rsidRDefault="00A53FAB" w:rsidP="00EB0335">
            <w:pPr>
              <w:pStyle w:val="ListNumber"/>
              <w:numPr>
                <w:ilvl w:val="0"/>
                <w:numId w:val="7"/>
              </w:numPr>
              <w:rPr>
                <w:rFonts w:ascii="Arial" w:hAnsi="Arial" w:cs="Arial"/>
                <w:color w:val="265A9A"/>
              </w:rPr>
            </w:pPr>
            <w:r w:rsidRPr="009E1A22">
              <w:rPr>
                <w:rFonts w:ascii="Arial" w:hAnsi="Arial" w:cs="Arial"/>
                <w:color w:val="265A9A"/>
              </w:rPr>
              <w:t xml:space="preserve">Does the current education and research evidence base capture a representative range of cultural and community perspectives, including those of Aboriginal and Torres Strait </w:t>
            </w:r>
            <w:r w:rsidR="00F3742B">
              <w:rPr>
                <w:rFonts w:ascii="Arial" w:hAnsi="Arial" w:cs="Arial"/>
                <w:color w:val="265A9A"/>
              </w:rPr>
              <w:t>I</w:t>
            </w:r>
            <w:r w:rsidRPr="009E1A22">
              <w:rPr>
                <w:rFonts w:ascii="Arial" w:hAnsi="Arial" w:cs="Arial"/>
                <w:color w:val="265A9A"/>
              </w:rPr>
              <w:t>slander students, teachers and researchers? If not, what actions could be taken to support this?</w:t>
            </w:r>
          </w:p>
        </w:tc>
      </w:tr>
      <w:tr w:rsidR="00A53FAB" w14:paraId="5619ED86" w14:textId="77777777">
        <w:tc>
          <w:tcPr>
            <w:tcW w:w="9638" w:type="dxa"/>
            <w:gridSpan w:val="2"/>
            <w:shd w:val="clear" w:color="auto" w:fill="auto"/>
            <w:tcMar>
              <w:top w:w="0" w:type="dxa"/>
              <w:bottom w:w="0" w:type="dxa"/>
            </w:tcMar>
          </w:tcPr>
          <w:p w14:paraId="612B52F2" w14:textId="77777777" w:rsidR="00A53FAB" w:rsidRDefault="00A53FAB">
            <w:pPr>
              <w:pStyle w:val="NoSpacing"/>
              <w:spacing w:line="200" w:lineRule="exact"/>
            </w:pPr>
          </w:p>
        </w:tc>
      </w:tr>
    </w:tbl>
    <w:p w14:paraId="6971D9FD" w14:textId="77777777" w:rsidR="00A53FAB" w:rsidRDefault="00A53FAB" w:rsidP="00463253">
      <w:pPr>
        <w:pStyle w:val="Heading2-noTOC"/>
      </w:pPr>
      <w:r>
        <w:t>Chapter 4: Student wellbeing</w:t>
      </w: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rsidRPr="00B64800" w14:paraId="592A45FC" w14:textId="77777777">
        <w:trPr>
          <w:trHeight w:val="765"/>
          <w:tblHeader/>
        </w:trPr>
        <w:tc>
          <w:tcPr>
            <w:tcW w:w="366" w:type="pct"/>
            <w:tcBorders>
              <w:bottom w:val="nil"/>
            </w:tcBorders>
            <w:tcMar>
              <w:bottom w:w="0" w:type="dxa"/>
            </w:tcMar>
            <w:vAlign w:val="center"/>
          </w:tcPr>
          <w:p w14:paraId="4FC4A9FB" w14:textId="77777777" w:rsidR="00A53FAB" w:rsidRPr="00B64800" w:rsidRDefault="00A53FAB">
            <w:pPr>
              <w:keepLines/>
              <w:spacing w:before="0" w:after="0"/>
              <w:jc w:val="right"/>
            </w:pPr>
            <w:r w:rsidRPr="00B64800">
              <w:rPr>
                <w:noProof/>
                <w:lang w:eastAsia="en-AU"/>
              </w:rPr>
              <w:drawing>
                <wp:inline distT="0" distB="0" distL="0" distR="0" wp14:anchorId="2BD86B81" wp14:editId="28A0F221">
                  <wp:extent cx="288000" cy="288000"/>
                  <wp:effectExtent l="0" t="0" r="0" b="0"/>
                  <wp:docPr id="20"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46B9F1AD" w14:textId="77777777" w:rsidR="00A53FAB" w:rsidRPr="00FE62E4" w:rsidRDefault="00A53FAB" w:rsidP="00FE62E4">
            <w:pPr>
              <w:pStyle w:val="TableHeading"/>
              <w:keepLines/>
              <w:spacing w:before="180" w:after="120"/>
              <w:contextualSpacing/>
              <w:rPr>
                <w:sz w:val="20"/>
              </w:rPr>
            </w:pPr>
            <w:r w:rsidRPr="00FE62E4">
              <w:rPr>
                <w:sz w:val="20"/>
              </w:rPr>
              <w:t xml:space="preserve">Draft finding 4.1 </w:t>
            </w:r>
          </w:p>
          <w:p w14:paraId="66795E79" w14:textId="77777777" w:rsidR="00A53FAB" w:rsidRPr="00FE62E4" w:rsidRDefault="00A53FAB" w:rsidP="00FE62E4">
            <w:pPr>
              <w:pStyle w:val="TableHeading"/>
              <w:keepLines/>
              <w:spacing w:before="180" w:after="120"/>
              <w:contextualSpacing/>
              <w:rPr>
                <w:sz w:val="20"/>
              </w:rPr>
            </w:pPr>
            <w:r w:rsidRPr="00FE62E4">
              <w:rPr>
                <w:sz w:val="20"/>
              </w:rPr>
              <w:t>Many students experience poor wellbeing, but some do not receive effective support</w:t>
            </w:r>
          </w:p>
        </w:tc>
      </w:tr>
      <w:tr w:rsidR="00A53FAB" w:rsidRPr="00B64800" w14:paraId="37C74AAD" w14:textId="77777777">
        <w:tc>
          <w:tcPr>
            <w:tcW w:w="5000" w:type="pct"/>
            <w:gridSpan w:val="2"/>
            <w:tcBorders>
              <w:top w:val="nil"/>
              <w:bottom w:val="single" w:sz="4" w:space="0" w:color="66BCDB" w:themeColor="text2"/>
            </w:tcBorders>
          </w:tcPr>
          <w:p w14:paraId="1D8F03B7" w14:textId="77777777" w:rsidR="00425E08" w:rsidRDefault="00425E08" w:rsidP="00425E08">
            <w:pPr>
              <w:pStyle w:val="BodyText"/>
            </w:pPr>
            <w:r>
              <w:t>A significant proportion of children and young people experience poor social and emotional wellbeing. Poor we</w:t>
            </w:r>
            <w:r w:rsidRPr="00064219">
              <w:t xml:space="preserve">llbeing directly affects </w:t>
            </w:r>
            <w:r>
              <w:t>students’</w:t>
            </w:r>
            <w:r w:rsidRPr="00064219">
              <w:t xml:space="preserve"> capacity to learn. Poor wellbeing </w:t>
            </w:r>
            <w:r>
              <w:t>can be</w:t>
            </w:r>
            <w:r w:rsidRPr="00064219">
              <w:t xml:space="preserve"> particularly acute for student</w:t>
            </w:r>
            <w:r>
              <w:t>s</w:t>
            </w:r>
            <w:r w:rsidRPr="00064219">
              <w:t xml:space="preserve"> who experience</w:t>
            </w:r>
            <w:r>
              <w:t xml:space="preserve"> challenges to engagement and inclusion</w:t>
            </w:r>
            <w:r w:rsidRPr="00064219">
              <w:t xml:space="preserve"> at school, </w:t>
            </w:r>
            <w:r>
              <w:t xml:space="preserve">for example, </w:t>
            </w:r>
            <w:r w:rsidRPr="00064219">
              <w:t>children</w:t>
            </w:r>
            <w:r>
              <w:t xml:space="preserve"> and young people in out-of-home care, those with disability and Aboriginal and Torres Strait Islander students.</w:t>
            </w:r>
          </w:p>
          <w:p w14:paraId="34EA7B3D" w14:textId="77777777" w:rsidR="00A53FAB" w:rsidRDefault="00A53FAB">
            <w:pPr>
              <w:pStyle w:val="BodyText"/>
            </w:pPr>
            <w:r>
              <w:t xml:space="preserve">While wellbeing is often influenced by factors outside the school gate, poor wellbeing can be exacerbated by responses from schools. </w:t>
            </w:r>
          </w:p>
          <w:p w14:paraId="22869686" w14:textId="77777777" w:rsidR="00A53FAB" w:rsidRDefault="00A53FAB">
            <w:pPr>
              <w:pStyle w:val="BodyText"/>
            </w:pPr>
            <w:r>
              <w:t>Australian, State and Territory Governments have implemented initiatives to support student wellbeing with varying degrees of success.</w:t>
            </w:r>
          </w:p>
          <w:p w14:paraId="20495179" w14:textId="77777777" w:rsidR="00A53FAB" w:rsidRPr="00B64800" w:rsidRDefault="00A53FAB">
            <w:pPr>
              <w:pStyle w:val="BodyText"/>
            </w:pPr>
            <w:r>
              <w:t>Successful support of student wellbeing relies on teacher education and the culture of school leadership.</w:t>
            </w:r>
          </w:p>
        </w:tc>
      </w:tr>
      <w:tr w:rsidR="00A53FAB" w:rsidRPr="00B64800" w14:paraId="5B6628FF" w14:textId="77777777">
        <w:tc>
          <w:tcPr>
            <w:tcW w:w="5000" w:type="pct"/>
            <w:gridSpan w:val="2"/>
            <w:tcBorders>
              <w:top w:val="single" w:sz="4" w:space="0" w:color="66BCDB" w:themeColor="text2"/>
              <w:left w:val="nil"/>
              <w:bottom w:val="nil"/>
              <w:right w:val="nil"/>
            </w:tcBorders>
            <w:tcMar>
              <w:bottom w:w="0" w:type="dxa"/>
            </w:tcMar>
          </w:tcPr>
          <w:p w14:paraId="73889FC4" w14:textId="77777777" w:rsidR="00A53FAB" w:rsidRPr="00B64800" w:rsidRDefault="00A53FAB">
            <w:pPr>
              <w:spacing w:before="0" w:after="0" w:line="200" w:lineRule="atLeast"/>
            </w:pPr>
          </w:p>
        </w:tc>
      </w:tr>
    </w:tbl>
    <w:p w14:paraId="793FB625" w14:textId="77777777" w:rsidR="00A53FAB" w:rsidRPr="008348A5" w:rsidRDefault="00A53FAB">
      <w:pPr>
        <w:spacing w:before="0" w:after="0"/>
      </w:pPr>
    </w:p>
    <w:tbl>
      <w:tblPr>
        <w:tblStyle w:val="Texttable-Paleblue"/>
        <w:tblW w:w="5000" w:type="pct"/>
        <w:tblLook w:val="04A0" w:firstRow="1" w:lastRow="0" w:firstColumn="1" w:lastColumn="0" w:noHBand="0" w:noVBand="1"/>
      </w:tblPr>
      <w:tblGrid>
        <w:gridCol w:w="730"/>
        <w:gridCol w:w="9134"/>
      </w:tblGrid>
      <w:tr w:rsidR="00A53FAB" w:rsidRPr="008348A5" w14:paraId="0D32DA35" w14:textId="77777777">
        <w:trPr>
          <w:tblHeader/>
        </w:trPr>
        <w:tc>
          <w:tcPr>
            <w:tcW w:w="709" w:type="dxa"/>
            <w:tcMar>
              <w:top w:w="0" w:type="dxa"/>
              <w:bottom w:w="0" w:type="dxa"/>
            </w:tcMar>
            <w:vAlign w:val="center"/>
          </w:tcPr>
          <w:p w14:paraId="1C3B9EC8" w14:textId="77777777" w:rsidR="00A53FAB" w:rsidRPr="008348A5" w:rsidRDefault="00A53FAB">
            <w:pPr>
              <w:keepLines/>
              <w:jc w:val="center"/>
            </w:pPr>
            <w:r w:rsidRPr="008348A5">
              <w:rPr>
                <w:noProof/>
                <w:lang w:eastAsia="en-AU"/>
              </w:rPr>
              <w:drawing>
                <wp:inline distT="0" distB="0" distL="0" distR="0" wp14:anchorId="4175B3A8" wp14:editId="5B79FB70">
                  <wp:extent cx="288000" cy="288000"/>
                  <wp:effectExtent l="0" t="0" r="0" b="0"/>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8874" w:type="dxa"/>
            <w:tcMar>
              <w:top w:w="0" w:type="dxa"/>
              <w:bottom w:w="0" w:type="dxa"/>
            </w:tcMar>
            <w:vAlign w:val="center"/>
          </w:tcPr>
          <w:p w14:paraId="36472384" w14:textId="77777777" w:rsidR="00A53FAB" w:rsidRPr="00FE62E4" w:rsidRDefault="00A53FAB" w:rsidP="00FE62E4">
            <w:pPr>
              <w:pStyle w:val="TableHeading"/>
              <w:keepLines/>
              <w:spacing w:before="180" w:after="120"/>
              <w:contextualSpacing/>
              <w:rPr>
                <w:sz w:val="20"/>
              </w:rPr>
            </w:pPr>
            <w:r w:rsidRPr="00FE62E4">
              <w:rPr>
                <w:sz w:val="20"/>
              </w:rPr>
              <w:t>Draft recommendation 4.1</w:t>
            </w:r>
          </w:p>
          <w:p w14:paraId="622A5605" w14:textId="77777777" w:rsidR="00A53FAB" w:rsidRPr="00FE62E4" w:rsidRDefault="00A53FAB" w:rsidP="00FE62E4">
            <w:pPr>
              <w:pStyle w:val="TableHeading"/>
              <w:keepLines/>
              <w:spacing w:before="180" w:after="120"/>
              <w:contextualSpacing/>
              <w:rPr>
                <w:sz w:val="20"/>
              </w:rPr>
            </w:pPr>
            <w:r w:rsidRPr="00FE62E4">
              <w:rPr>
                <w:sz w:val="20"/>
              </w:rPr>
              <w:t>Governments should incorporate wellbeing in the next intergovernmental agreement</w:t>
            </w:r>
          </w:p>
        </w:tc>
      </w:tr>
      <w:tr w:rsidR="00A53FAB" w:rsidRPr="008348A5" w14:paraId="33D8483F" w14:textId="77777777">
        <w:tc>
          <w:tcPr>
            <w:tcW w:w="9583" w:type="dxa"/>
            <w:gridSpan w:val="2"/>
            <w:tcMar>
              <w:top w:w="0" w:type="dxa"/>
            </w:tcMar>
          </w:tcPr>
          <w:p w14:paraId="72E9D54E" w14:textId="28B09779" w:rsidR="00A53FAB" w:rsidRPr="008348A5" w:rsidRDefault="00A53FAB">
            <w:pPr>
              <w:keepLines/>
            </w:pPr>
            <w:r>
              <w:t>In the next intergovernmental school reform agreement, the Australian, State and Territory Governments should:</w:t>
            </w:r>
          </w:p>
          <w:p w14:paraId="0FA8F811" w14:textId="77651806" w:rsidR="00A53FAB" w:rsidRDefault="00A53FAB">
            <w:pPr>
              <w:pStyle w:val="ListBullet"/>
              <w:ind w:left="340" w:hanging="340"/>
            </w:pPr>
            <w:r>
              <w:t>add improved student wellbeing as an outcome</w:t>
            </w:r>
          </w:p>
          <w:p w14:paraId="604158D9" w14:textId="77777777" w:rsidR="00A53FAB" w:rsidRPr="000E520F" w:rsidRDefault="00A53FAB">
            <w:pPr>
              <w:pStyle w:val="ListBullet"/>
              <w:ind w:left="340" w:hanging="340"/>
              <w:rPr>
                <w:rFonts w:ascii="Arial" w:hAnsi="Arial" w:cs="Arial"/>
              </w:rPr>
            </w:pPr>
            <w:r>
              <w:t>include local actions that would improve student wellbeing and indicators of progress in bilateral agreements or implementation plans</w:t>
            </w:r>
          </w:p>
          <w:p w14:paraId="45FA7145" w14:textId="77777777" w:rsidR="00A53FAB" w:rsidRPr="008348A5" w:rsidRDefault="00A53FAB">
            <w:pPr>
              <w:pStyle w:val="ListBullet"/>
              <w:ind w:left="340" w:hanging="340"/>
            </w:pPr>
            <w:r>
              <w:t>collect data on student wellbeing from all schools to enable annual reporting on a national measure of student wellbeing.</w:t>
            </w:r>
          </w:p>
        </w:tc>
      </w:tr>
      <w:tr w:rsidR="00A53FAB" w:rsidRPr="008348A5" w14:paraId="5A5E84F1" w14:textId="77777777">
        <w:tc>
          <w:tcPr>
            <w:tcW w:w="9583" w:type="dxa"/>
            <w:gridSpan w:val="2"/>
            <w:shd w:val="clear" w:color="auto" w:fill="auto"/>
            <w:tcMar>
              <w:top w:w="0" w:type="dxa"/>
              <w:bottom w:w="0" w:type="dxa"/>
            </w:tcMar>
          </w:tcPr>
          <w:p w14:paraId="0B586D1C" w14:textId="77777777" w:rsidR="00A53FAB" w:rsidRPr="008348A5" w:rsidRDefault="00A53FAB">
            <w:pPr>
              <w:spacing w:before="0" w:after="0" w:line="200" w:lineRule="exact"/>
            </w:pPr>
          </w:p>
        </w:tc>
      </w:tr>
    </w:tbl>
    <w:tbl>
      <w:tblPr>
        <w:tblStyle w:val="TextTable-Grey"/>
        <w:tblW w:w="5000" w:type="pct"/>
        <w:tblLook w:val="04A0" w:firstRow="1" w:lastRow="0" w:firstColumn="1" w:lastColumn="0" w:noHBand="0" w:noVBand="1"/>
      </w:tblPr>
      <w:tblGrid>
        <w:gridCol w:w="730"/>
        <w:gridCol w:w="9134"/>
      </w:tblGrid>
      <w:tr w:rsidR="00A53FAB" w:rsidRPr="008348A5" w14:paraId="50F80929" w14:textId="77777777">
        <w:trPr>
          <w:tblHeader/>
        </w:trPr>
        <w:tc>
          <w:tcPr>
            <w:tcW w:w="713" w:type="dxa"/>
            <w:vAlign w:val="center"/>
          </w:tcPr>
          <w:p w14:paraId="787B4A06" w14:textId="77777777" w:rsidR="00A53FAB" w:rsidRPr="008348A5" w:rsidRDefault="00A53FAB">
            <w:pPr>
              <w:keepLines/>
              <w:spacing w:after="0"/>
              <w:jc w:val="right"/>
            </w:pPr>
            <w:r w:rsidRPr="008348A5">
              <w:rPr>
                <w:noProof/>
                <w:lang w:eastAsia="en-AU"/>
              </w:rPr>
              <w:drawing>
                <wp:inline distT="0" distB="0" distL="0" distR="0" wp14:anchorId="71AFD57F" wp14:editId="019E52DD">
                  <wp:extent cx="288000" cy="288000"/>
                  <wp:effectExtent l="0" t="0" r="0" b="0"/>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2242788C" w14:textId="1066F94A" w:rsidR="006336F5" w:rsidRPr="00FE62E4" w:rsidRDefault="00A53FAB" w:rsidP="00FE62E4">
            <w:pPr>
              <w:pStyle w:val="TableHeading"/>
              <w:keepLines/>
              <w:spacing w:before="180" w:after="120"/>
              <w:contextualSpacing/>
              <w:rPr>
                <w:sz w:val="20"/>
              </w:rPr>
            </w:pPr>
            <w:r w:rsidRPr="00FE62E4">
              <w:rPr>
                <w:sz w:val="20"/>
              </w:rPr>
              <w:t>Information request 4.1</w:t>
            </w:r>
          </w:p>
          <w:p w14:paraId="2CD3B5F3" w14:textId="33B4CCE8" w:rsidR="00A53FAB" w:rsidRPr="00FE62E4" w:rsidRDefault="00A53FAB" w:rsidP="00FE62E4">
            <w:pPr>
              <w:pStyle w:val="TableHeading"/>
              <w:keepLines/>
              <w:spacing w:before="180" w:after="120"/>
              <w:contextualSpacing/>
              <w:rPr>
                <w:sz w:val="20"/>
              </w:rPr>
            </w:pPr>
            <w:r w:rsidRPr="00FE62E4">
              <w:rPr>
                <w:sz w:val="20"/>
              </w:rPr>
              <w:t xml:space="preserve">Should there be </w:t>
            </w:r>
            <w:r w:rsidR="00EC6857" w:rsidRPr="00FE62E4">
              <w:rPr>
                <w:sz w:val="20"/>
              </w:rPr>
              <w:t>National Policy Initiatives</w:t>
            </w:r>
            <w:r w:rsidRPr="00FE62E4">
              <w:rPr>
                <w:sz w:val="20"/>
              </w:rPr>
              <w:t xml:space="preserve"> to improve student wellbeing?</w:t>
            </w:r>
          </w:p>
        </w:tc>
      </w:tr>
      <w:tr w:rsidR="00A53FAB" w:rsidRPr="008348A5" w14:paraId="00D7B024" w14:textId="77777777">
        <w:tc>
          <w:tcPr>
            <w:tcW w:w="9638" w:type="dxa"/>
            <w:gridSpan w:val="2"/>
            <w:tcMar>
              <w:top w:w="0" w:type="dxa"/>
            </w:tcMar>
          </w:tcPr>
          <w:p w14:paraId="292871CB" w14:textId="1068BF9B" w:rsidR="006336F5" w:rsidRPr="00FE62E4" w:rsidRDefault="00A53FAB" w:rsidP="00303AF8">
            <w:pPr>
              <w:pStyle w:val="ListNumber"/>
              <w:numPr>
                <w:ilvl w:val="0"/>
                <w:numId w:val="21"/>
              </w:numPr>
              <w:ind w:left="227" w:hanging="227"/>
              <w:rPr>
                <w:spacing w:val="-4"/>
              </w:rPr>
            </w:pPr>
            <w:r w:rsidRPr="00FE62E4">
              <w:rPr>
                <w:spacing w:val="-4"/>
              </w:rPr>
              <w:t xml:space="preserve">Are there common steps that the Australian, State and Territory Governments could take in the next intergovernmental agreement to improve student wellbeing, or programs that could be implemented nationally? </w:t>
            </w:r>
          </w:p>
          <w:p w14:paraId="2E940D87" w14:textId="77777777" w:rsidR="00A53FAB" w:rsidRPr="006336F5" w:rsidRDefault="00A53FAB" w:rsidP="00303AF8">
            <w:pPr>
              <w:pStyle w:val="ListNumber"/>
              <w:numPr>
                <w:ilvl w:val="0"/>
                <w:numId w:val="21"/>
              </w:numPr>
              <w:ind w:left="227" w:hanging="227"/>
            </w:pPr>
            <w:r w:rsidRPr="006336F5">
              <w:t>Is knowledge in recognising and responding to poor wellbeing and trauma sufficiently covered in Initial Teacher Education and Teacher Performance Assessments? If not, how might this be improved?</w:t>
            </w:r>
          </w:p>
        </w:tc>
      </w:tr>
      <w:tr w:rsidR="00A53FAB" w:rsidRPr="008348A5" w14:paraId="54B0D6BA" w14:textId="77777777">
        <w:tc>
          <w:tcPr>
            <w:tcW w:w="9638" w:type="dxa"/>
            <w:gridSpan w:val="2"/>
            <w:shd w:val="clear" w:color="auto" w:fill="auto"/>
            <w:tcMar>
              <w:top w:w="0" w:type="dxa"/>
              <w:bottom w:w="0" w:type="dxa"/>
            </w:tcMar>
          </w:tcPr>
          <w:p w14:paraId="6D8CFC1D" w14:textId="77777777" w:rsidR="00A53FAB" w:rsidRPr="008348A5" w:rsidRDefault="00A53FAB">
            <w:pPr>
              <w:spacing w:before="0" w:after="0" w:line="200" w:lineRule="exact"/>
            </w:pPr>
          </w:p>
        </w:tc>
      </w:tr>
    </w:tbl>
    <w:p w14:paraId="3BE600CC" w14:textId="77777777" w:rsidR="00A53FAB" w:rsidRDefault="00A53FAB" w:rsidP="00661D3F">
      <w:pPr>
        <w:pStyle w:val="Heading2-noTOC"/>
        <w:keepNext/>
      </w:pPr>
      <w:r>
        <w:t>Chapter 5: Supporting teachers</w:t>
      </w: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427FE86A" w14:textId="77777777">
        <w:trPr>
          <w:trHeight w:val="765"/>
          <w:tblHeader/>
        </w:trPr>
        <w:tc>
          <w:tcPr>
            <w:tcW w:w="366" w:type="pct"/>
            <w:tcBorders>
              <w:bottom w:val="nil"/>
            </w:tcBorders>
            <w:tcMar>
              <w:bottom w:w="0" w:type="dxa"/>
            </w:tcMar>
            <w:vAlign w:val="center"/>
          </w:tcPr>
          <w:p w14:paraId="01B9788A" w14:textId="77777777" w:rsidR="00A53FAB" w:rsidRDefault="00A53FAB">
            <w:pPr>
              <w:pStyle w:val="NoSpacing"/>
              <w:keepLines/>
              <w:jc w:val="right"/>
            </w:pPr>
            <w:r w:rsidRPr="00A51374">
              <w:rPr>
                <w:noProof/>
                <w:lang w:eastAsia="en-AU"/>
              </w:rPr>
              <w:drawing>
                <wp:inline distT="0" distB="0" distL="0" distR="0" wp14:anchorId="31DDA727" wp14:editId="1F6245DC">
                  <wp:extent cx="288000" cy="288000"/>
                  <wp:effectExtent l="0" t="0" r="0" b="0"/>
                  <wp:docPr id="37"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43520539" w14:textId="5B7BB6B1" w:rsidR="00A53FAB" w:rsidRPr="00FE62E4" w:rsidRDefault="00A53FAB" w:rsidP="00FE62E4">
            <w:pPr>
              <w:pStyle w:val="TableHeading"/>
              <w:keepLines/>
              <w:spacing w:before="180" w:after="120"/>
              <w:contextualSpacing/>
              <w:rPr>
                <w:sz w:val="20"/>
              </w:rPr>
            </w:pPr>
            <w:r w:rsidRPr="00FE62E4">
              <w:rPr>
                <w:sz w:val="20"/>
              </w:rPr>
              <w:t>Draft finding 5.1</w:t>
            </w:r>
          </w:p>
          <w:p w14:paraId="3C9F334D" w14:textId="77777777" w:rsidR="00A53FAB" w:rsidRPr="00FE62E4" w:rsidRDefault="00A53FAB" w:rsidP="00FE62E4">
            <w:pPr>
              <w:pStyle w:val="TableHeading"/>
              <w:keepLines/>
              <w:spacing w:before="180" w:after="120"/>
              <w:contextualSpacing/>
              <w:rPr>
                <w:spacing w:val="-6"/>
                <w:sz w:val="20"/>
              </w:rPr>
            </w:pPr>
            <w:r w:rsidRPr="00FE62E4">
              <w:rPr>
                <w:spacing w:val="-6"/>
                <w:sz w:val="20"/>
              </w:rPr>
              <w:t>Improving teacher effectiveness is associated with large lifetime economic benefits for students</w:t>
            </w:r>
          </w:p>
        </w:tc>
      </w:tr>
      <w:tr w:rsidR="00A53FAB" w14:paraId="75023DAF" w14:textId="77777777">
        <w:tc>
          <w:tcPr>
            <w:tcW w:w="5000" w:type="pct"/>
            <w:gridSpan w:val="2"/>
            <w:tcBorders>
              <w:top w:val="nil"/>
              <w:bottom w:val="single" w:sz="4" w:space="0" w:color="66BCDB" w:themeColor="text2"/>
            </w:tcBorders>
          </w:tcPr>
          <w:p w14:paraId="40040360" w14:textId="77777777" w:rsidR="00A53FAB" w:rsidRDefault="00A53FAB">
            <w:pPr>
              <w:pStyle w:val="BodyText"/>
            </w:pPr>
            <w:r>
              <w:t xml:space="preserve">Improving the effectiveness of teaching would generate sizable lifetime benefits for students. Commission analysis suggests a one standard deviation increase in teacher effectiveness would raise average classroom lifetime earnings by several hundreds of thousands of dollars each year. </w:t>
            </w:r>
          </w:p>
        </w:tc>
      </w:tr>
      <w:tr w:rsidR="00A53FAB" w14:paraId="5021C6B4" w14:textId="77777777">
        <w:tc>
          <w:tcPr>
            <w:tcW w:w="5000" w:type="pct"/>
            <w:gridSpan w:val="2"/>
            <w:tcBorders>
              <w:top w:val="single" w:sz="4" w:space="0" w:color="66BCDB" w:themeColor="text2"/>
              <w:left w:val="nil"/>
              <w:bottom w:val="nil"/>
              <w:right w:val="nil"/>
            </w:tcBorders>
            <w:tcMar>
              <w:bottom w:w="0" w:type="dxa"/>
            </w:tcMar>
          </w:tcPr>
          <w:p w14:paraId="72054B2C" w14:textId="77777777" w:rsidR="00A53FAB" w:rsidRDefault="00A53FAB">
            <w:pPr>
              <w:pStyle w:val="NoSpacing"/>
              <w:spacing w:line="200" w:lineRule="atLeast"/>
            </w:pPr>
          </w:p>
        </w:tc>
      </w:tr>
    </w:tbl>
    <w:p w14:paraId="3AD0BAA3"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A53FAB" w14:paraId="789C87FB" w14:textId="77777777">
        <w:trPr>
          <w:tblHeader/>
        </w:trPr>
        <w:tc>
          <w:tcPr>
            <w:tcW w:w="713" w:type="dxa"/>
            <w:vAlign w:val="center"/>
          </w:tcPr>
          <w:p w14:paraId="7494D17C" w14:textId="77777777" w:rsidR="00A53FAB" w:rsidRDefault="00A53FAB">
            <w:pPr>
              <w:keepNext/>
              <w:keepLines/>
              <w:spacing w:after="0"/>
              <w:jc w:val="right"/>
            </w:pPr>
            <w:r>
              <w:rPr>
                <w:noProof/>
                <w:lang w:eastAsia="en-AU"/>
              </w:rPr>
              <w:drawing>
                <wp:inline distT="0" distB="0" distL="0" distR="0" wp14:anchorId="181EBADD" wp14:editId="4777AE9E">
                  <wp:extent cx="288000" cy="288000"/>
                  <wp:effectExtent l="0" t="0" r="0" b="0"/>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17">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arto="http://schemas.microsoft.com/office/word/2006/arto" xmlns:a16="http://schemas.microsoft.com/office/drawing/2014/main" val="1"/>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67BE4243" w14:textId="13AE89DB" w:rsidR="00DD7E4F" w:rsidRPr="00FE62E4" w:rsidRDefault="00A53FAB" w:rsidP="00FE62E4">
            <w:pPr>
              <w:pStyle w:val="TableHeading"/>
              <w:keepLines/>
              <w:spacing w:before="180" w:after="120"/>
              <w:contextualSpacing/>
              <w:rPr>
                <w:sz w:val="20"/>
              </w:rPr>
            </w:pPr>
            <w:r w:rsidRPr="00FE62E4">
              <w:rPr>
                <w:sz w:val="20"/>
              </w:rPr>
              <w:t>Information request 5.1</w:t>
            </w:r>
          </w:p>
          <w:p w14:paraId="0C356CD3" w14:textId="18073663" w:rsidR="00A53FAB" w:rsidRPr="00FE62E4" w:rsidRDefault="00A53FAB" w:rsidP="00FE62E4">
            <w:pPr>
              <w:pStyle w:val="TableHeading"/>
              <w:keepLines/>
              <w:spacing w:before="180" w:after="120"/>
              <w:contextualSpacing/>
              <w:rPr>
                <w:sz w:val="20"/>
              </w:rPr>
            </w:pPr>
            <w:r w:rsidRPr="00FE62E4">
              <w:rPr>
                <w:sz w:val="20"/>
              </w:rPr>
              <w:t xml:space="preserve">Teaching Performance Assessment </w:t>
            </w:r>
          </w:p>
        </w:tc>
      </w:tr>
      <w:tr w:rsidR="00A53FAB" w14:paraId="626EA288" w14:textId="77777777">
        <w:tc>
          <w:tcPr>
            <w:tcW w:w="9638" w:type="dxa"/>
            <w:gridSpan w:val="2"/>
            <w:tcMar>
              <w:top w:w="0" w:type="dxa"/>
            </w:tcMar>
          </w:tcPr>
          <w:p w14:paraId="1D3124A1" w14:textId="31311021" w:rsidR="00880509" w:rsidRPr="00880509" w:rsidRDefault="00A53FAB" w:rsidP="00303AF8">
            <w:pPr>
              <w:pStyle w:val="ListNumber"/>
              <w:numPr>
                <w:ilvl w:val="0"/>
                <w:numId w:val="22"/>
              </w:numPr>
            </w:pPr>
            <w:r w:rsidRPr="00880509">
              <w:t>Does the Teaching Performance Assessment (TPA) process ensure pre-service teachers are sufficiently classroom ready?</w:t>
            </w:r>
          </w:p>
          <w:p w14:paraId="4402C5B5" w14:textId="373A1C6D" w:rsidR="00880509" w:rsidRPr="00880509" w:rsidRDefault="00A53FAB" w:rsidP="00303AF8">
            <w:pPr>
              <w:pStyle w:val="ListNumber"/>
              <w:numPr>
                <w:ilvl w:val="0"/>
                <w:numId w:val="22"/>
              </w:numPr>
            </w:pPr>
            <w:r w:rsidRPr="00880509">
              <w:t>Should TPAs meet a national minimum standard? If so, how might this be achieved?</w:t>
            </w:r>
          </w:p>
          <w:p w14:paraId="2307199F" w14:textId="65FFF3C2" w:rsidR="00A53FAB" w:rsidRPr="00593085" w:rsidRDefault="00A53FAB" w:rsidP="00303AF8">
            <w:pPr>
              <w:pStyle w:val="ListNumber"/>
              <w:numPr>
                <w:ilvl w:val="0"/>
                <w:numId w:val="22"/>
              </w:numPr>
            </w:pPr>
            <w:r w:rsidRPr="00880509">
              <w:t xml:space="preserve">Do TPAs ensure that pre-service teachers are well placed to respond to the needs of </w:t>
            </w:r>
            <w:r w:rsidR="00C733DA">
              <w:t xml:space="preserve">students from </w:t>
            </w:r>
            <w:r w:rsidRPr="00880509">
              <w:t>priority equity cohorts? If not, how might this be improved, and what trade-offs might this involve?</w:t>
            </w:r>
            <w:r>
              <w:t xml:space="preserve"> </w:t>
            </w:r>
          </w:p>
        </w:tc>
      </w:tr>
      <w:tr w:rsidR="00A53FAB" w14:paraId="39A40096" w14:textId="77777777">
        <w:tc>
          <w:tcPr>
            <w:tcW w:w="9638" w:type="dxa"/>
            <w:gridSpan w:val="2"/>
            <w:shd w:val="clear" w:color="auto" w:fill="auto"/>
            <w:tcMar>
              <w:top w:w="0" w:type="dxa"/>
              <w:bottom w:w="0" w:type="dxa"/>
            </w:tcMar>
          </w:tcPr>
          <w:p w14:paraId="495E16F8" w14:textId="77777777" w:rsidR="00A53FAB" w:rsidRDefault="00A53FAB">
            <w:pPr>
              <w:pStyle w:val="NoSpacing"/>
              <w:spacing w:line="200" w:lineRule="exact"/>
            </w:pPr>
          </w:p>
        </w:tc>
      </w:tr>
    </w:tbl>
    <w:p w14:paraId="63B741D2"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A53FAB" w14:paraId="5211E72D" w14:textId="77777777">
        <w:trPr>
          <w:tblHeader/>
        </w:trPr>
        <w:tc>
          <w:tcPr>
            <w:tcW w:w="713" w:type="dxa"/>
            <w:vAlign w:val="center"/>
          </w:tcPr>
          <w:p w14:paraId="0865127F" w14:textId="77777777" w:rsidR="00A53FAB" w:rsidRDefault="00A53FAB">
            <w:pPr>
              <w:keepNext/>
              <w:keepLines/>
              <w:spacing w:after="0"/>
              <w:jc w:val="right"/>
            </w:pPr>
            <w:r>
              <w:rPr>
                <w:noProof/>
                <w:lang w:eastAsia="en-AU"/>
              </w:rPr>
              <w:drawing>
                <wp:inline distT="0" distB="0" distL="0" distR="0" wp14:anchorId="30844C34" wp14:editId="1BC0F4AC">
                  <wp:extent cx="288000" cy="288000"/>
                  <wp:effectExtent l="0" t="0" r="0" b="0"/>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a:extLst>
                              <a:ext uri="{C183D7F6-B498-43B3-948B-1728B52AA6E4}">
                                <adec:decorative xmlns:adec="http://schemas.microsoft.com/office/drawing/2017/decorative" val="1"/>
                              </a:ext>
                            </a:extLst>
                          </pic:cNvPr>
                          <pic:cNvPicPr/>
                        </pic:nvPicPr>
                        <pic:blipFill>
                          <a:blip r:embed="rId17">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arto="http://schemas.microsoft.com/office/word/2006/arto" xmlns:a16="http://schemas.microsoft.com/office/drawing/2014/main" val="1"/>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4B63CB8E" w14:textId="2869622A" w:rsidR="00511FD5" w:rsidRPr="00FE62E4" w:rsidRDefault="00A53FAB" w:rsidP="00FE62E4">
            <w:pPr>
              <w:pStyle w:val="TableHeading"/>
              <w:keepLines/>
              <w:spacing w:before="180" w:after="120"/>
              <w:contextualSpacing/>
              <w:rPr>
                <w:sz w:val="20"/>
              </w:rPr>
            </w:pPr>
            <w:r w:rsidRPr="00FE62E4">
              <w:rPr>
                <w:sz w:val="20"/>
              </w:rPr>
              <w:t>Information request 5.2</w:t>
            </w:r>
          </w:p>
          <w:p w14:paraId="2883599F" w14:textId="3A402F4F" w:rsidR="00A53FAB" w:rsidRPr="00FE62E4" w:rsidRDefault="00A53FAB" w:rsidP="00FE62E4">
            <w:pPr>
              <w:pStyle w:val="TableHeading"/>
              <w:keepLines/>
              <w:spacing w:before="180" w:after="120"/>
              <w:contextualSpacing/>
              <w:rPr>
                <w:sz w:val="20"/>
              </w:rPr>
            </w:pPr>
            <w:r w:rsidRPr="00FE62E4">
              <w:rPr>
                <w:sz w:val="20"/>
              </w:rPr>
              <w:t>Induction and mentoring programs</w:t>
            </w:r>
          </w:p>
        </w:tc>
      </w:tr>
      <w:tr w:rsidR="00A53FAB" w14:paraId="5C1EE5CE" w14:textId="77777777">
        <w:tc>
          <w:tcPr>
            <w:tcW w:w="9638" w:type="dxa"/>
            <w:gridSpan w:val="2"/>
            <w:tcMar>
              <w:top w:w="0" w:type="dxa"/>
            </w:tcMar>
          </w:tcPr>
          <w:p w14:paraId="13DE8EF4" w14:textId="77777777" w:rsidR="00A53FAB" w:rsidRPr="008529A2" w:rsidRDefault="00A53FAB">
            <w:pPr>
              <w:pStyle w:val="BodyText"/>
              <w:keepNext/>
              <w:keepLines/>
              <w:rPr>
                <w:lang w:eastAsia="en-AU"/>
              </w:rPr>
            </w:pPr>
            <w:r>
              <w:t xml:space="preserve">Would </w:t>
            </w:r>
            <w:r>
              <w:rPr>
                <w:lang w:eastAsia="en-AU"/>
              </w:rPr>
              <w:t>measures for improving early career teachers’ access to induction and mentoring programs lend themselves to being a national policy initiative under the next intergovernmental agreement on schools?</w:t>
            </w:r>
          </w:p>
        </w:tc>
      </w:tr>
      <w:tr w:rsidR="00A53FAB" w14:paraId="76607B5E" w14:textId="77777777">
        <w:tc>
          <w:tcPr>
            <w:tcW w:w="9638" w:type="dxa"/>
            <w:gridSpan w:val="2"/>
            <w:shd w:val="clear" w:color="auto" w:fill="auto"/>
            <w:tcMar>
              <w:top w:w="0" w:type="dxa"/>
              <w:bottom w:w="0" w:type="dxa"/>
            </w:tcMar>
          </w:tcPr>
          <w:p w14:paraId="2862EE66" w14:textId="77777777" w:rsidR="00A53FAB" w:rsidRDefault="00A53FAB">
            <w:pPr>
              <w:pStyle w:val="NoSpacing"/>
              <w:spacing w:line="200" w:lineRule="exact"/>
            </w:pPr>
          </w:p>
        </w:tc>
      </w:tr>
    </w:tbl>
    <w:p w14:paraId="6E69CDD1"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A53FAB" w:rsidRPr="0091308E" w14:paraId="764CAD37" w14:textId="77777777">
        <w:trPr>
          <w:tblHeader/>
        </w:trPr>
        <w:tc>
          <w:tcPr>
            <w:tcW w:w="713" w:type="dxa"/>
            <w:vAlign w:val="center"/>
          </w:tcPr>
          <w:p w14:paraId="6C09B0C0" w14:textId="77777777" w:rsidR="00A53FAB" w:rsidRPr="000361A5" w:rsidRDefault="00A53FAB">
            <w:pPr>
              <w:keepNext/>
              <w:keepLines/>
              <w:spacing w:after="0"/>
              <w:jc w:val="right"/>
            </w:pPr>
            <w:r>
              <w:rPr>
                <w:noProof/>
                <w:lang w:eastAsia="en-AU"/>
              </w:rPr>
              <w:drawing>
                <wp:inline distT="0" distB="0" distL="0" distR="0" wp14:anchorId="771C38B6" wp14:editId="0367E6EE">
                  <wp:extent cx="288000" cy="288000"/>
                  <wp:effectExtent l="0" t="0" r="0" b="0"/>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7">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arto="http://schemas.microsoft.com/office/word/2006/arto" xmlns:a16="http://schemas.microsoft.com/office/drawing/2014/main" val="1"/>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20775991" w14:textId="523CCCDA" w:rsidR="00AE2641" w:rsidRPr="00FE62E4" w:rsidRDefault="00A53FAB" w:rsidP="0000272E">
            <w:pPr>
              <w:pStyle w:val="TableHeading"/>
              <w:keepLines/>
              <w:spacing w:before="180" w:after="0"/>
              <w:contextualSpacing/>
              <w:rPr>
                <w:sz w:val="20"/>
              </w:rPr>
            </w:pPr>
            <w:r w:rsidRPr="00FE62E4">
              <w:rPr>
                <w:sz w:val="20"/>
              </w:rPr>
              <w:t>Information request 5.3</w:t>
            </w:r>
          </w:p>
          <w:p w14:paraId="4ACEB042" w14:textId="5E208411" w:rsidR="00A53FAB" w:rsidRPr="00FE62E4" w:rsidRDefault="00A53FAB" w:rsidP="00FE62E4">
            <w:pPr>
              <w:pStyle w:val="TableHeading"/>
              <w:keepLines/>
              <w:spacing w:before="180" w:after="120"/>
              <w:contextualSpacing/>
              <w:rPr>
                <w:sz w:val="20"/>
              </w:rPr>
            </w:pPr>
            <w:r w:rsidRPr="00FE62E4">
              <w:rPr>
                <w:sz w:val="20"/>
              </w:rPr>
              <w:t>The prevalence of teacher attrition</w:t>
            </w:r>
          </w:p>
        </w:tc>
      </w:tr>
      <w:tr w:rsidR="00A53FAB" w14:paraId="71064606" w14:textId="77777777">
        <w:tc>
          <w:tcPr>
            <w:tcW w:w="9638" w:type="dxa"/>
            <w:gridSpan w:val="2"/>
            <w:tcMar>
              <w:top w:w="0" w:type="dxa"/>
            </w:tcMar>
          </w:tcPr>
          <w:p w14:paraId="769DFDA1" w14:textId="4E6AA35A" w:rsidR="00A53FAB" w:rsidRPr="005804EA" w:rsidRDefault="00A53FAB" w:rsidP="00303AF8">
            <w:pPr>
              <w:pStyle w:val="ListNumber"/>
              <w:numPr>
                <w:ilvl w:val="0"/>
                <w:numId w:val="23"/>
              </w:numPr>
              <w:ind w:left="227" w:hanging="227"/>
            </w:pPr>
            <w:r w:rsidRPr="00233C4B">
              <w:t>Is teacher attrition more or less of a problem than in other professions?</w:t>
            </w:r>
          </w:p>
          <w:p w14:paraId="1663D228" w14:textId="250BCB7E" w:rsidR="005804EA" w:rsidRDefault="00A53FAB" w:rsidP="00303AF8">
            <w:pPr>
              <w:pStyle w:val="ListNumber"/>
              <w:numPr>
                <w:ilvl w:val="0"/>
                <w:numId w:val="23"/>
              </w:numPr>
              <w:ind w:left="227" w:hanging="227"/>
            </w:pPr>
            <w:r w:rsidRPr="005804EA">
              <w:t>Are the drivers of attrition amenable to government policy? How could government policy address high teacher attrition?</w:t>
            </w:r>
          </w:p>
          <w:p w14:paraId="025E26E1" w14:textId="11B2E0B9" w:rsidR="00A53FAB" w:rsidRPr="005804EA" w:rsidRDefault="00A53FAB" w:rsidP="00303AF8">
            <w:pPr>
              <w:pStyle w:val="ListNumber"/>
              <w:numPr>
                <w:ilvl w:val="0"/>
                <w:numId w:val="23"/>
              </w:numPr>
              <w:ind w:left="227" w:hanging="227"/>
            </w:pPr>
            <w:r w:rsidRPr="005804EA">
              <w:t>Do the drivers of attrition vary across the course of a teacher’s career?</w:t>
            </w:r>
            <w:r w:rsidRPr="005804EA">
              <w:rPr>
                <w:lang w:eastAsia="en-AU"/>
              </w:rPr>
              <w:t xml:space="preserve"> </w:t>
            </w:r>
          </w:p>
        </w:tc>
      </w:tr>
      <w:tr w:rsidR="00A53FAB" w14:paraId="1806E65E" w14:textId="77777777">
        <w:tc>
          <w:tcPr>
            <w:tcW w:w="9638" w:type="dxa"/>
            <w:gridSpan w:val="2"/>
            <w:shd w:val="clear" w:color="auto" w:fill="auto"/>
            <w:tcMar>
              <w:top w:w="0" w:type="dxa"/>
              <w:bottom w:w="0" w:type="dxa"/>
            </w:tcMar>
          </w:tcPr>
          <w:p w14:paraId="18B94E8B" w14:textId="77777777" w:rsidR="00A53FAB" w:rsidRDefault="00A53FAB">
            <w:pPr>
              <w:pStyle w:val="NoSpacing"/>
              <w:spacing w:line="200" w:lineRule="exact"/>
            </w:pPr>
          </w:p>
        </w:tc>
      </w:tr>
    </w:tbl>
    <w:p w14:paraId="7DAEFE21" w14:textId="77777777" w:rsidR="00A53FAB" w:rsidRDefault="00A53FAB">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304A1703" w14:textId="77777777">
        <w:trPr>
          <w:trHeight w:val="765"/>
          <w:tblHeader/>
        </w:trPr>
        <w:tc>
          <w:tcPr>
            <w:tcW w:w="366" w:type="pct"/>
            <w:tcBorders>
              <w:bottom w:val="nil"/>
            </w:tcBorders>
            <w:tcMar>
              <w:bottom w:w="0" w:type="dxa"/>
            </w:tcMar>
            <w:vAlign w:val="center"/>
          </w:tcPr>
          <w:p w14:paraId="3D58302C" w14:textId="77777777" w:rsidR="00A53FAB" w:rsidRDefault="00A53FAB">
            <w:pPr>
              <w:pStyle w:val="NoSpacing"/>
              <w:keepLines/>
              <w:jc w:val="center"/>
            </w:pPr>
            <w:r w:rsidRPr="00A51374">
              <w:rPr>
                <w:noProof/>
                <w:lang w:eastAsia="en-AU"/>
              </w:rPr>
              <w:drawing>
                <wp:inline distT="0" distB="0" distL="0" distR="0" wp14:anchorId="12AD636C" wp14:editId="20CBE5C7">
                  <wp:extent cx="288000" cy="288000"/>
                  <wp:effectExtent l="0" t="0" r="0" b="0"/>
                  <wp:docPr id="31"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7B3CEF4F" w14:textId="1AF77F8C" w:rsidR="00A53FAB" w:rsidRPr="00FE62E4" w:rsidRDefault="00A53FAB" w:rsidP="00FE62E4">
            <w:pPr>
              <w:pStyle w:val="TableHeading"/>
              <w:keepLines/>
              <w:spacing w:before="180" w:after="120"/>
              <w:contextualSpacing/>
              <w:rPr>
                <w:sz w:val="20"/>
              </w:rPr>
            </w:pPr>
            <w:r w:rsidRPr="00FE62E4">
              <w:rPr>
                <w:sz w:val="20"/>
              </w:rPr>
              <w:t>Draft finding 5.2</w:t>
            </w:r>
          </w:p>
          <w:p w14:paraId="6BB5960B" w14:textId="77777777" w:rsidR="00A53FAB" w:rsidRPr="00FE62E4" w:rsidRDefault="00A53FAB" w:rsidP="00FE62E4">
            <w:pPr>
              <w:pStyle w:val="TableHeading"/>
              <w:spacing w:before="180" w:after="120"/>
              <w:contextualSpacing/>
              <w:rPr>
                <w:sz w:val="20"/>
              </w:rPr>
            </w:pPr>
            <w:r w:rsidRPr="00FE62E4">
              <w:rPr>
                <w:sz w:val="20"/>
              </w:rPr>
              <w:t xml:space="preserve">There are local shortages of teachers and shortages of trained teachers in key subjects  </w:t>
            </w:r>
          </w:p>
        </w:tc>
      </w:tr>
      <w:tr w:rsidR="00A53FAB" w14:paraId="3E04A098" w14:textId="77777777">
        <w:tc>
          <w:tcPr>
            <w:tcW w:w="5000" w:type="pct"/>
            <w:gridSpan w:val="2"/>
            <w:tcBorders>
              <w:top w:val="nil"/>
              <w:bottom w:val="single" w:sz="4" w:space="0" w:color="66BCDB" w:themeColor="text2"/>
            </w:tcBorders>
          </w:tcPr>
          <w:p w14:paraId="2561A10A" w14:textId="77777777" w:rsidR="00A53FAB" w:rsidRDefault="00A53FAB">
            <w:pPr>
              <w:pStyle w:val="BodyText"/>
            </w:pPr>
            <w:r>
              <w:t xml:space="preserve">There are teacher shortages in regional, rural and remote areas, and in subjects such as mathematics, science, English and design and technology. There is also a lack of teachers from diverse backgrounds. </w:t>
            </w:r>
          </w:p>
          <w:p w14:paraId="2D6BB308" w14:textId="77777777" w:rsidR="00A53FAB" w:rsidRDefault="00A53FAB">
            <w:pPr>
              <w:pStyle w:val="BodyText"/>
            </w:pPr>
            <w:r>
              <w:t xml:space="preserve">Factors such as changes in initial teacher education enrolment trends, an ageing workforce and growing student enrolments may contribute to teacher shortages in the future. </w:t>
            </w:r>
          </w:p>
          <w:p w14:paraId="17C00ECE" w14:textId="5A5018FB" w:rsidR="00A53FAB" w:rsidRDefault="00A53FAB">
            <w:pPr>
              <w:pStyle w:val="BodyText"/>
            </w:pPr>
            <w:r>
              <w:t>Improving labour demand and supply data collection and developing a national model of the teacher workforce</w:t>
            </w:r>
            <w:r w:rsidR="00A263CA">
              <w:t>,</w:t>
            </w:r>
            <w:r>
              <w:t xml:space="preserve"> would help </w:t>
            </w:r>
            <w:r w:rsidR="005804EA">
              <w:t>G</w:t>
            </w:r>
            <w:r>
              <w:t xml:space="preserve">overnments </w:t>
            </w:r>
            <w:r w:rsidR="00A263CA">
              <w:t>better manage</w:t>
            </w:r>
            <w:r>
              <w:t xml:space="preserve"> local shortages and </w:t>
            </w:r>
            <w:r w:rsidR="000F1D43">
              <w:t>out-of-field teaching</w:t>
            </w:r>
            <w:r>
              <w:t xml:space="preserve">.   </w:t>
            </w:r>
          </w:p>
        </w:tc>
      </w:tr>
      <w:tr w:rsidR="00A53FAB" w14:paraId="3D1B28F3" w14:textId="77777777">
        <w:tc>
          <w:tcPr>
            <w:tcW w:w="5000" w:type="pct"/>
            <w:gridSpan w:val="2"/>
            <w:tcBorders>
              <w:top w:val="single" w:sz="4" w:space="0" w:color="66BCDB" w:themeColor="text2"/>
              <w:left w:val="nil"/>
              <w:bottom w:val="nil"/>
              <w:right w:val="nil"/>
            </w:tcBorders>
            <w:tcMar>
              <w:bottom w:w="0" w:type="dxa"/>
            </w:tcMar>
          </w:tcPr>
          <w:p w14:paraId="5291C40E" w14:textId="77777777" w:rsidR="00A53FAB" w:rsidRDefault="00A53FAB">
            <w:pPr>
              <w:pStyle w:val="NoSpacing"/>
              <w:spacing w:line="200" w:lineRule="atLeast"/>
            </w:pPr>
          </w:p>
        </w:tc>
      </w:tr>
    </w:tbl>
    <w:p w14:paraId="55FEC047" w14:textId="77777777" w:rsidR="00A53FAB" w:rsidRDefault="00A53FAB">
      <w:pPr>
        <w:pStyle w:val="NoSpacing"/>
      </w:pPr>
    </w:p>
    <w:tbl>
      <w:tblPr>
        <w:tblStyle w:val="Texttable-Paleblue"/>
        <w:tblW w:w="5000" w:type="pct"/>
        <w:tblLook w:val="04A0" w:firstRow="1" w:lastRow="0" w:firstColumn="1" w:lastColumn="0" w:noHBand="0" w:noVBand="1"/>
      </w:tblPr>
      <w:tblGrid>
        <w:gridCol w:w="730"/>
        <w:gridCol w:w="9134"/>
      </w:tblGrid>
      <w:tr w:rsidR="00A53FAB" w14:paraId="24F418E4" w14:textId="77777777">
        <w:trPr>
          <w:tblHeader/>
        </w:trPr>
        <w:tc>
          <w:tcPr>
            <w:tcW w:w="709" w:type="dxa"/>
            <w:tcMar>
              <w:top w:w="0" w:type="dxa"/>
              <w:bottom w:w="0" w:type="dxa"/>
            </w:tcMar>
            <w:vAlign w:val="center"/>
          </w:tcPr>
          <w:p w14:paraId="29234101" w14:textId="77777777" w:rsidR="00A53FAB" w:rsidRDefault="00A53FAB">
            <w:pPr>
              <w:keepLines/>
              <w:jc w:val="center"/>
            </w:pPr>
            <w:r w:rsidRPr="00A51374">
              <w:rPr>
                <w:noProof/>
                <w:lang w:eastAsia="en-AU"/>
              </w:rPr>
              <w:drawing>
                <wp:inline distT="0" distB="0" distL="0" distR="0" wp14:anchorId="493AB7F8" wp14:editId="6CB0732B">
                  <wp:extent cx="288000" cy="288000"/>
                  <wp:effectExtent l="0" t="0" r="0" b="0"/>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8874" w:type="dxa"/>
            <w:tcMar>
              <w:top w:w="0" w:type="dxa"/>
              <w:bottom w:w="0" w:type="dxa"/>
            </w:tcMar>
            <w:vAlign w:val="center"/>
          </w:tcPr>
          <w:p w14:paraId="48819BB4" w14:textId="585AEF76" w:rsidR="00A53FAB" w:rsidRPr="00FE62E4" w:rsidRDefault="00A53FAB" w:rsidP="00FE62E4">
            <w:pPr>
              <w:pStyle w:val="TableHeading"/>
              <w:keepLines/>
              <w:spacing w:before="180" w:after="120"/>
              <w:contextualSpacing/>
              <w:rPr>
                <w:sz w:val="20"/>
              </w:rPr>
            </w:pPr>
            <w:r w:rsidRPr="00FE62E4">
              <w:rPr>
                <w:sz w:val="20"/>
              </w:rPr>
              <w:t>Draft recommendation 5.1</w:t>
            </w:r>
          </w:p>
          <w:p w14:paraId="2F3F2826" w14:textId="18374EF4" w:rsidR="00A53FAB" w:rsidRPr="00FE62E4" w:rsidRDefault="0024195A" w:rsidP="00FE62E4">
            <w:pPr>
              <w:pStyle w:val="TableHeading"/>
              <w:keepLines/>
              <w:spacing w:before="180" w:after="120"/>
              <w:contextualSpacing/>
              <w:rPr>
                <w:sz w:val="20"/>
              </w:rPr>
            </w:pPr>
            <w:r w:rsidRPr="00FE62E4">
              <w:rPr>
                <w:sz w:val="20"/>
              </w:rPr>
              <w:t>Governments should improve teacher workforce demand and supply data</w:t>
            </w:r>
          </w:p>
        </w:tc>
      </w:tr>
      <w:tr w:rsidR="00A53FAB" w14:paraId="1454BEC6" w14:textId="77777777">
        <w:tc>
          <w:tcPr>
            <w:tcW w:w="9583" w:type="dxa"/>
            <w:gridSpan w:val="2"/>
            <w:tcMar>
              <w:top w:w="0" w:type="dxa"/>
            </w:tcMar>
          </w:tcPr>
          <w:p w14:paraId="436BA990" w14:textId="3ED88025" w:rsidR="00A53FAB" w:rsidRPr="00767EAE" w:rsidRDefault="005726A2">
            <w:pPr>
              <w:pStyle w:val="BodyText"/>
              <w:keepLines/>
            </w:pPr>
            <w:r>
              <w:t xml:space="preserve">The Australian, </w:t>
            </w:r>
            <w:r w:rsidR="00645B9F">
              <w:t>S</w:t>
            </w:r>
            <w:r>
              <w:t xml:space="preserve">tate and </w:t>
            </w:r>
            <w:r w:rsidR="00645B9F">
              <w:t>T</w:t>
            </w:r>
            <w:r>
              <w:t xml:space="preserve">erritory </w:t>
            </w:r>
            <w:r w:rsidR="00645B9F">
              <w:t>G</w:t>
            </w:r>
            <w:r>
              <w:t>overnments should commit to continued development of the Australian Teacher Workforce Data initiative, with a priority placed on achieving full participation by all States and Territories. Government</w:t>
            </w:r>
            <w:r w:rsidR="00870F1A">
              <w:t>s</w:t>
            </w:r>
            <w:r>
              <w:t xml:space="preserve"> should also improve workforce demand data. This data could be used to underpin the </w:t>
            </w:r>
            <w:r w:rsidRPr="00151EA2">
              <w:t>national</w:t>
            </w:r>
            <w:r>
              <w:t xml:space="preserve"> model of the teacher workforce (draft recommendation 2.1).</w:t>
            </w:r>
          </w:p>
        </w:tc>
      </w:tr>
      <w:tr w:rsidR="00A53FAB" w14:paraId="0E9A9F3D" w14:textId="77777777">
        <w:tc>
          <w:tcPr>
            <w:tcW w:w="9583" w:type="dxa"/>
            <w:gridSpan w:val="2"/>
            <w:shd w:val="clear" w:color="auto" w:fill="auto"/>
            <w:tcMar>
              <w:top w:w="0" w:type="dxa"/>
              <w:bottom w:w="0" w:type="dxa"/>
            </w:tcMar>
          </w:tcPr>
          <w:p w14:paraId="12277405" w14:textId="77777777" w:rsidR="00A53FAB" w:rsidRPr="007E0EA8" w:rsidRDefault="00A53FAB">
            <w:pPr>
              <w:pStyle w:val="NoSpacing"/>
              <w:spacing w:line="200" w:lineRule="exact"/>
            </w:pPr>
          </w:p>
        </w:tc>
      </w:tr>
    </w:tbl>
    <w:p w14:paraId="5CDB9C35" w14:textId="77777777" w:rsidR="00A53FAB" w:rsidRDefault="00A53FAB">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43EC8D56" w14:textId="77777777">
        <w:trPr>
          <w:trHeight w:val="765"/>
          <w:tblHeader/>
        </w:trPr>
        <w:tc>
          <w:tcPr>
            <w:tcW w:w="366" w:type="pct"/>
            <w:tcBorders>
              <w:bottom w:val="nil"/>
            </w:tcBorders>
            <w:tcMar>
              <w:bottom w:w="0" w:type="dxa"/>
            </w:tcMar>
            <w:vAlign w:val="center"/>
          </w:tcPr>
          <w:p w14:paraId="70048E2B" w14:textId="77777777" w:rsidR="00A53FAB" w:rsidRDefault="00A53FAB">
            <w:pPr>
              <w:pStyle w:val="NoSpacing"/>
              <w:keepLines/>
              <w:jc w:val="right"/>
            </w:pPr>
            <w:r w:rsidRPr="00A51374">
              <w:rPr>
                <w:noProof/>
                <w:lang w:eastAsia="en-AU"/>
              </w:rPr>
              <w:drawing>
                <wp:inline distT="0" distB="0" distL="0" distR="0" wp14:anchorId="483F1CCD" wp14:editId="3840B8C5">
                  <wp:extent cx="288000" cy="288000"/>
                  <wp:effectExtent l="0" t="0" r="0" b="0"/>
                  <wp:docPr id="32"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79CEFD8E" w14:textId="77777777" w:rsidR="00A53FAB" w:rsidRPr="00FE62E4" w:rsidRDefault="00A53FAB" w:rsidP="00FE62E4">
            <w:pPr>
              <w:pStyle w:val="TableHeading"/>
              <w:keepLines/>
              <w:spacing w:before="180" w:after="120"/>
              <w:contextualSpacing/>
              <w:rPr>
                <w:sz w:val="20"/>
              </w:rPr>
            </w:pPr>
            <w:r w:rsidRPr="00FE62E4">
              <w:rPr>
                <w:sz w:val="20"/>
              </w:rPr>
              <w:t>Draft finding 5.3</w:t>
            </w:r>
          </w:p>
          <w:p w14:paraId="14E22D32" w14:textId="3F40F619" w:rsidR="00A53FAB" w:rsidRPr="00FE62E4" w:rsidRDefault="00B81BA0" w:rsidP="00FE62E4">
            <w:pPr>
              <w:pStyle w:val="TableHeading"/>
              <w:keepLines/>
              <w:spacing w:before="180" w:after="120"/>
              <w:contextualSpacing/>
              <w:rPr>
                <w:sz w:val="20"/>
              </w:rPr>
            </w:pPr>
            <w:r w:rsidRPr="00FE62E4">
              <w:rPr>
                <w:sz w:val="20"/>
              </w:rPr>
              <w:t>Teachers work long hours and their workload is increasing</w:t>
            </w:r>
          </w:p>
        </w:tc>
      </w:tr>
      <w:tr w:rsidR="00A53FAB" w14:paraId="3557C3E0" w14:textId="77777777">
        <w:tc>
          <w:tcPr>
            <w:tcW w:w="5000" w:type="pct"/>
            <w:gridSpan w:val="2"/>
            <w:tcBorders>
              <w:top w:val="nil"/>
              <w:bottom w:val="single" w:sz="4" w:space="0" w:color="66BCDB" w:themeColor="text2"/>
            </w:tcBorders>
          </w:tcPr>
          <w:p w14:paraId="64F70298" w14:textId="77777777" w:rsidR="00A53FAB" w:rsidRDefault="00A53FAB">
            <w:pPr>
              <w:pStyle w:val="BodyText"/>
              <w:keepLines/>
            </w:pPr>
            <w:r>
              <w:t>Australian teacher workload is greater than the OECD average. Australian teachers spend more time on non</w:t>
            </w:r>
            <w:r>
              <w:noBreakHyphen/>
              <w:t xml:space="preserve">teaching tasks, and less time on teaching tasks, than their international counterparts. </w:t>
            </w:r>
          </w:p>
          <w:p w14:paraId="732B5FB3" w14:textId="77777777" w:rsidR="00A53FAB" w:rsidRDefault="00A53FAB">
            <w:pPr>
              <w:pStyle w:val="BodyText"/>
              <w:keepLines/>
            </w:pPr>
            <w:r>
              <w:t>Teacher workload has increased over time. Many teachers cite heavy workload as a reason for wanting to leave the profession.</w:t>
            </w:r>
          </w:p>
          <w:p w14:paraId="6203581A" w14:textId="77777777" w:rsidR="00A53FAB" w:rsidRDefault="00A53FAB">
            <w:pPr>
              <w:pStyle w:val="BodyText"/>
              <w:keepLines/>
            </w:pPr>
            <w:r>
              <w:t xml:space="preserve">At the same time that teacher workload </w:t>
            </w:r>
            <w:r w:rsidRPr="000361A5">
              <w:t>has been</w:t>
            </w:r>
            <w:r>
              <w:t xml:space="preserve"> increasing, the number of teaching assistants and other support staff has grown.</w:t>
            </w:r>
          </w:p>
        </w:tc>
      </w:tr>
      <w:tr w:rsidR="00A53FAB" w14:paraId="04B0D7D3" w14:textId="77777777">
        <w:tc>
          <w:tcPr>
            <w:tcW w:w="5000" w:type="pct"/>
            <w:gridSpan w:val="2"/>
            <w:tcBorders>
              <w:top w:val="single" w:sz="4" w:space="0" w:color="66BCDB" w:themeColor="text2"/>
              <w:left w:val="nil"/>
              <w:bottom w:val="nil"/>
              <w:right w:val="nil"/>
            </w:tcBorders>
            <w:tcMar>
              <w:bottom w:w="0" w:type="dxa"/>
            </w:tcMar>
          </w:tcPr>
          <w:p w14:paraId="03022778" w14:textId="77777777" w:rsidR="00A53FAB" w:rsidRDefault="00A53FAB">
            <w:pPr>
              <w:pStyle w:val="NoSpacing"/>
              <w:spacing w:line="200" w:lineRule="atLeast"/>
            </w:pPr>
          </w:p>
        </w:tc>
      </w:tr>
    </w:tbl>
    <w:p w14:paraId="4D564431" w14:textId="77777777" w:rsidR="00A53FAB" w:rsidRDefault="00A53FAB">
      <w:pPr>
        <w:pStyle w:val="NoSpacing"/>
      </w:pPr>
    </w:p>
    <w:tbl>
      <w:tblPr>
        <w:tblStyle w:val="Texttable-Paleblue"/>
        <w:tblW w:w="5000" w:type="pct"/>
        <w:tblLook w:val="04A0" w:firstRow="1" w:lastRow="0" w:firstColumn="1" w:lastColumn="0" w:noHBand="0" w:noVBand="1"/>
      </w:tblPr>
      <w:tblGrid>
        <w:gridCol w:w="730"/>
        <w:gridCol w:w="9134"/>
      </w:tblGrid>
      <w:tr w:rsidR="00A53FAB" w14:paraId="37AACD6D" w14:textId="77777777">
        <w:trPr>
          <w:tblHeader/>
        </w:trPr>
        <w:tc>
          <w:tcPr>
            <w:tcW w:w="713" w:type="dxa"/>
            <w:tcMar>
              <w:top w:w="0" w:type="dxa"/>
              <w:bottom w:w="0" w:type="dxa"/>
            </w:tcMar>
            <w:vAlign w:val="center"/>
          </w:tcPr>
          <w:p w14:paraId="0182E379" w14:textId="77777777" w:rsidR="00A53FAB" w:rsidRDefault="00A53FAB">
            <w:pPr>
              <w:keepLines/>
              <w:jc w:val="center"/>
            </w:pPr>
            <w:r w:rsidRPr="00A51374">
              <w:rPr>
                <w:noProof/>
                <w:lang w:eastAsia="en-AU"/>
              </w:rPr>
              <w:drawing>
                <wp:inline distT="0" distB="0" distL="0" distR="0" wp14:anchorId="25FD1E4E" wp14:editId="7A806DC6">
                  <wp:extent cx="288000" cy="288000"/>
                  <wp:effectExtent l="0" t="0" r="0" b="0"/>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8925" w:type="dxa"/>
            <w:tcMar>
              <w:top w:w="0" w:type="dxa"/>
              <w:bottom w:w="0" w:type="dxa"/>
            </w:tcMar>
            <w:vAlign w:val="center"/>
          </w:tcPr>
          <w:p w14:paraId="155D3A01" w14:textId="77777777" w:rsidR="00A53FAB" w:rsidRPr="00FE62E4" w:rsidRDefault="00A53FAB" w:rsidP="00FE62E4">
            <w:pPr>
              <w:pStyle w:val="TableHeading"/>
              <w:keepLines/>
              <w:spacing w:before="180" w:after="120"/>
              <w:contextualSpacing/>
              <w:rPr>
                <w:sz w:val="20"/>
              </w:rPr>
            </w:pPr>
            <w:r w:rsidRPr="00FE62E4">
              <w:rPr>
                <w:sz w:val="20"/>
              </w:rPr>
              <w:t>Draft recommendation 5.2</w:t>
            </w:r>
          </w:p>
          <w:p w14:paraId="3486EFD0" w14:textId="77777777" w:rsidR="00A53FAB" w:rsidRPr="00FE62E4" w:rsidRDefault="00A53FAB" w:rsidP="00FE62E4">
            <w:pPr>
              <w:pStyle w:val="TableHeading"/>
              <w:keepLines/>
              <w:spacing w:before="180" w:after="120"/>
              <w:contextualSpacing/>
              <w:rPr>
                <w:sz w:val="20"/>
              </w:rPr>
            </w:pPr>
            <w:r w:rsidRPr="00FE62E4">
              <w:rPr>
                <w:sz w:val="20"/>
              </w:rPr>
              <w:t>Reducing teacher workload should be a focus of the next agreement</w:t>
            </w:r>
          </w:p>
        </w:tc>
      </w:tr>
      <w:tr w:rsidR="00A53FAB" w14:paraId="7A2877FD" w14:textId="77777777">
        <w:tc>
          <w:tcPr>
            <w:tcW w:w="9638" w:type="dxa"/>
            <w:gridSpan w:val="2"/>
            <w:tcMar>
              <w:top w:w="0" w:type="dxa"/>
            </w:tcMar>
          </w:tcPr>
          <w:p w14:paraId="2E979C0A" w14:textId="0DFF5088" w:rsidR="00A53FAB" w:rsidRDefault="00A53FAB">
            <w:pPr>
              <w:pStyle w:val="BodyText"/>
            </w:pPr>
            <w:r>
              <w:t xml:space="preserve">In the next agreement, the Australian, </w:t>
            </w:r>
            <w:r w:rsidR="00BE75EE">
              <w:t>S</w:t>
            </w:r>
            <w:r>
              <w:t xml:space="preserve">tate and </w:t>
            </w:r>
            <w:r w:rsidR="00BE75EE">
              <w:t>T</w:t>
            </w:r>
            <w:r>
              <w:t xml:space="preserve">erritory </w:t>
            </w:r>
            <w:r w:rsidR="00BE75EE">
              <w:t>G</w:t>
            </w:r>
            <w:r>
              <w:t xml:space="preserve">overnments </w:t>
            </w:r>
            <w:r w:rsidRPr="13E4C54F">
              <w:t>—</w:t>
            </w:r>
            <w:r>
              <w:t xml:space="preserve"> in consultation with teachers and school leaders </w:t>
            </w:r>
            <w:r w:rsidRPr="13E4C54F">
              <w:t>—</w:t>
            </w:r>
            <w:r>
              <w:t xml:space="preserve"> should develop a new National Policy Initiative that commits all jurisdictions to undertake an a</w:t>
            </w:r>
            <w:r w:rsidR="00C71613">
              <w:t>ssessmen</w:t>
            </w:r>
            <w:r>
              <w:t>t o</w:t>
            </w:r>
            <w:r w:rsidR="00524242">
              <w:t>f</w:t>
            </w:r>
            <w:r>
              <w:t xml:space="preserve"> teacher and principal time use. This could involve a four-step process, whereby Australian, </w:t>
            </w:r>
            <w:r w:rsidR="0064568F">
              <w:t>S</w:t>
            </w:r>
            <w:r>
              <w:t xml:space="preserve">tate and </w:t>
            </w:r>
            <w:r w:rsidR="0064568F">
              <w:t>T</w:t>
            </w:r>
            <w:r>
              <w:t xml:space="preserve">erritory </w:t>
            </w:r>
            <w:r w:rsidR="0064568F">
              <w:t>G</w:t>
            </w:r>
            <w:r>
              <w:t>overnments:</w:t>
            </w:r>
          </w:p>
          <w:p w14:paraId="0949E7BB" w14:textId="24421F9F" w:rsidR="00A53FAB" w:rsidRDefault="00A53FAB" w:rsidP="00EA6BDF">
            <w:pPr>
              <w:pStyle w:val="ListBullet"/>
            </w:pPr>
            <w:r>
              <w:t>commit to an a</w:t>
            </w:r>
            <w:r w:rsidR="00524242">
              <w:t>ssessment</w:t>
            </w:r>
            <w:r>
              <w:t xml:space="preserve"> of teacher and principal time </w:t>
            </w:r>
            <w:r w:rsidR="00E7752A">
              <w:t xml:space="preserve">use </w:t>
            </w:r>
            <w:r>
              <w:t>across school sectors, with a focus on identifying how teachers and principals spend their time, and what tasks they rate as low or high value</w:t>
            </w:r>
          </w:p>
          <w:p w14:paraId="734B97F8" w14:textId="77777777" w:rsidR="00A53FAB" w:rsidRDefault="00A53FAB" w:rsidP="00EA6BDF">
            <w:pPr>
              <w:pStyle w:val="ListBullet"/>
            </w:pPr>
            <w:r>
              <w:t>specify how they will remove low-value tasks, duplicate tasks and regulatory inefficiencies</w:t>
            </w:r>
          </w:p>
          <w:p w14:paraId="3611F749" w14:textId="77777777" w:rsidR="00A53FAB" w:rsidRDefault="00A53FAB" w:rsidP="00EA6BDF">
            <w:pPr>
              <w:pStyle w:val="ListBullet"/>
            </w:pPr>
            <w:r>
              <w:t>specify how teaching assistants can be best deployed, including to reduce teacher workload</w:t>
            </w:r>
          </w:p>
          <w:p w14:paraId="6A487E77" w14:textId="77777777" w:rsidR="00A53FAB" w:rsidRPr="00767EAE" w:rsidRDefault="00A53FAB" w:rsidP="00EA6BDF">
            <w:pPr>
              <w:pStyle w:val="ListBullet"/>
            </w:pPr>
            <w:r>
              <w:t xml:space="preserve">monitor the compliance and administration burden on teachers and principals over time. </w:t>
            </w:r>
          </w:p>
        </w:tc>
      </w:tr>
      <w:tr w:rsidR="00A53FAB" w14:paraId="1D2EE3D2" w14:textId="77777777">
        <w:tc>
          <w:tcPr>
            <w:tcW w:w="9638" w:type="dxa"/>
            <w:gridSpan w:val="2"/>
            <w:shd w:val="clear" w:color="auto" w:fill="auto"/>
            <w:tcMar>
              <w:top w:w="0" w:type="dxa"/>
              <w:bottom w:w="0" w:type="dxa"/>
            </w:tcMar>
          </w:tcPr>
          <w:p w14:paraId="7D90202A" w14:textId="77777777" w:rsidR="00A53FAB" w:rsidRPr="007E0EA8" w:rsidRDefault="00A53FAB">
            <w:pPr>
              <w:pStyle w:val="NoSpacing"/>
              <w:spacing w:line="200" w:lineRule="exact"/>
            </w:pPr>
          </w:p>
        </w:tc>
      </w:tr>
    </w:tbl>
    <w:p w14:paraId="2AE6ACCF"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A53FAB" w14:paraId="6D5584AC" w14:textId="77777777">
        <w:trPr>
          <w:tblHeader/>
        </w:trPr>
        <w:tc>
          <w:tcPr>
            <w:tcW w:w="713" w:type="dxa"/>
            <w:vAlign w:val="center"/>
          </w:tcPr>
          <w:p w14:paraId="6E80398B" w14:textId="77777777" w:rsidR="00A53FAB" w:rsidRDefault="00A53FAB">
            <w:pPr>
              <w:keepNext/>
              <w:keepLines/>
              <w:spacing w:after="0"/>
              <w:jc w:val="right"/>
            </w:pPr>
            <w:r w:rsidRPr="00A51374">
              <w:rPr>
                <w:noProof/>
                <w:lang w:eastAsia="en-AU"/>
              </w:rPr>
              <w:drawing>
                <wp:inline distT="0" distB="0" distL="0" distR="0" wp14:anchorId="2C004429" wp14:editId="21439CDB">
                  <wp:extent cx="288000" cy="288000"/>
                  <wp:effectExtent l="0" t="0" r="0" b="0"/>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7CA5BD04" w14:textId="77777777" w:rsidR="00345C69" w:rsidRPr="00FE62E4" w:rsidRDefault="00A53FAB" w:rsidP="00FE62E4">
            <w:pPr>
              <w:pStyle w:val="TableHeading"/>
              <w:keepLines/>
              <w:spacing w:before="180" w:after="120"/>
              <w:contextualSpacing/>
              <w:rPr>
                <w:sz w:val="20"/>
              </w:rPr>
            </w:pPr>
            <w:r w:rsidRPr="00FE62E4">
              <w:rPr>
                <w:sz w:val="20"/>
              </w:rPr>
              <w:t xml:space="preserve">Information request 5.4 </w:t>
            </w:r>
          </w:p>
          <w:p w14:paraId="482C7A1D" w14:textId="1529B8DD" w:rsidR="00A53FAB" w:rsidRPr="00FE62E4" w:rsidRDefault="00A53FAB" w:rsidP="00FE62E4">
            <w:pPr>
              <w:pStyle w:val="TableHeading"/>
              <w:keepLines/>
              <w:spacing w:before="180" w:after="120"/>
              <w:contextualSpacing/>
              <w:rPr>
                <w:sz w:val="20"/>
              </w:rPr>
            </w:pPr>
            <w:r w:rsidRPr="00FE62E4">
              <w:rPr>
                <w:sz w:val="20"/>
              </w:rPr>
              <w:t>Teaching assistants and support staff</w:t>
            </w:r>
          </w:p>
        </w:tc>
      </w:tr>
      <w:tr w:rsidR="00A53FAB" w14:paraId="7E783254" w14:textId="77777777">
        <w:tc>
          <w:tcPr>
            <w:tcW w:w="9638" w:type="dxa"/>
            <w:gridSpan w:val="2"/>
            <w:tcMar>
              <w:top w:w="0" w:type="dxa"/>
            </w:tcMar>
          </w:tcPr>
          <w:p w14:paraId="04CFA809" w14:textId="77777777" w:rsidR="00A53FAB" w:rsidRDefault="00A53FAB">
            <w:pPr>
              <w:pStyle w:val="BodyText"/>
              <w:keepNext/>
              <w:keepLines/>
            </w:pPr>
            <w:r>
              <w:t>How are teaching assistants and support staff being deployed in schools and classrooms?</w:t>
            </w:r>
          </w:p>
          <w:p w14:paraId="2D6E03F6" w14:textId="77777777" w:rsidR="00A53FAB" w:rsidRDefault="00A53FAB">
            <w:pPr>
              <w:pStyle w:val="ListBullet"/>
            </w:pPr>
            <w:r>
              <w:t>What are the primary functions of teaching assistants and support staff in Australia?</w:t>
            </w:r>
          </w:p>
          <w:p w14:paraId="709AD206" w14:textId="77777777" w:rsidR="00A53FAB" w:rsidRPr="00EF6BE9" w:rsidRDefault="00A53FAB">
            <w:pPr>
              <w:pStyle w:val="ListBullet"/>
            </w:pPr>
            <w:r>
              <w:t>Could deployment and use of teaching assistants and support staff be improved to help reduce teacher workload? If so, should this be pursued through national collaboration?</w:t>
            </w:r>
          </w:p>
        </w:tc>
      </w:tr>
      <w:tr w:rsidR="00A53FAB" w14:paraId="143284ED" w14:textId="77777777">
        <w:tc>
          <w:tcPr>
            <w:tcW w:w="9638" w:type="dxa"/>
            <w:gridSpan w:val="2"/>
            <w:shd w:val="clear" w:color="auto" w:fill="auto"/>
            <w:tcMar>
              <w:top w:w="0" w:type="dxa"/>
              <w:bottom w:w="0" w:type="dxa"/>
            </w:tcMar>
          </w:tcPr>
          <w:p w14:paraId="642FADFC" w14:textId="77777777" w:rsidR="00A53FAB" w:rsidRDefault="00A53FAB">
            <w:pPr>
              <w:pStyle w:val="NoSpacing"/>
              <w:spacing w:line="200" w:lineRule="exact"/>
            </w:pPr>
          </w:p>
        </w:tc>
      </w:tr>
    </w:tbl>
    <w:p w14:paraId="71222C8B" w14:textId="77777777" w:rsidR="00A53FAB" w:rsidRDefault="00A53FAB">
      <w:pPr>
        <w:pStyle w:val="NoSpacing"/>
      </w:pPr>
    </w:p>
    <w:tbl>
      <w:tblPr>
        <w:tblStyle w:val="Texttable-Paleblue"/>
        <w:tblW w:w="5000" w:type="pct"/>
        <w:tblLook w:val="04A0" w:firstRow="1" w:lastRow="0" w:firstColumn="1" w:lastColumn="0" w:noHBand="0" w:noVBand="1"/>
      </w:tblPr>
      <w:tblGrid>
        <w:gridCol w:w="730"/>
        <w:gridCol w:w="9134"/>
      </w:tblGrid>
      <w:tr w:rsidR="00A53FAB" w14:paraId="05136067" w14:textId="77777777">
        <w:trPr>
          <w:tblHeader/>
        </w:trPr>
        <w:tc>
          <w:tcPr>
            <w:tcW w:w="713" w:type="dxa"/>
            <w:tcMar>
              <w:top w:w="0" w:type="dxa"/>
              <w:bottom w:w="0" w:type="dxa"/>
            </w:tcMar>
            <w:vAlign w:val="center"/>
          </w:tcPr>
          <w:p w14:paraId="4713D665" w14:textId="77777777" w:rsidR="00A53FAB" w:rsidRDefault="00A53FAB">
            <w:pPr>
              <w:keepLines/>
              <w:jc w:val="center"/>
            </w:pPr>
            <w:r w:rsidRPr="00A51374">
              <w:rPr>
                <w:noProof/>
                <w:lang w:eastAsia="en-AU"/>
              </w:rPr>
              <w:drawing>
                <wp:inline distT="0" distB="0" distL="0" distR="0" wp14:anchorId="39E54DBC" wp14:editId="2CE3E669">
                  <wp:extent cx="288000" cy="288000"/>
                  <wp:effectExtent l="0" t="0" r="0" b="0"/>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8925" w:type="dxa"/>
            <w:tcMar>
              <w:top w:w="0" w:type="dxa"/>
              <w:bottom w:w="0" w:type="dxa"/>
            </w:tcMar>
            <w:vAlign w:val="center"/>
          </w:tcPr>
          <w:p w14:paraId="5F14AAF2" w14:textId="74E1EEC3" w:rsidR="00A53FAB" w:rsidRPr="00FE62E4" w:rsidRDefault="005F2F9D" w:rsidP="00FE62E4">
            <w:pPr>
              <w:pStyle w:val="TableHeading"/>
              <w:keepLines/>
              <w:spacing w:before="180" w:after="120"/>
              <w:contextualSpacing/>
              <w:rPr>
                <w:sz w:val="20"/>
              </w:rPr>
            </w:pPr>
            <w:r w:rsidRPr="00FE62E4">
              <w:rPr>
                <w:sz w:val="20"/>
              </w:rPr>
              <w:t>Draft r</w:t>
            </w:r>
            <w:r w:rsidR="00A53FAB" w:rsidRPr="00FE62E4">
              <w:rPr>
                <w:sz w:val="20"/>
              </w:rPr>
              <w:t>ecommendation 5.3</w:t>
            </w:r>
          </w:p>
          <w:p w14:paraId="36EEDFFB" w14:textId="77777777" w:rsidR="00A53FAB" w:rsidRPr="00FE62E4" w:rsidRDefault="00A53FAB" w:rsidP="00FE62E4">
            <w:pPr>
              <w:pStyle w:val="TableHeading"/>
              <w:keepLines/>
              <w:spacing w:before="180" w:after="120"/>
              <w:contextualSpacing/>
              <w:rPr>
                <w:sz w:val="20"/>
              </w:rPr>
            </w:pPr>
            <w:r w:rsidRPr="00FE62E4">
              <w:rPr>
                <w:sz w:val="20"/>
              </w:rPr>
              <w:t>Encouraging highly effective teachers and maximising their value</w:t>
            </w:r>
          </w:p>
        </w:tc>
      </w:tr>
      <w:tr w:rsidR="00A53FAB" w14:paraId="1B76F28F" w14:textId="77777777">
        <w:tc>
          <w:tcPr>
            <w:tcW w:w="9638" w:type="dxa"/>
            <w:gridSpan w:val="2"/>
            <w:tcMar>
              <w:top w:w="0" w:type="dxa"/>
            </w:tcMar>
          </w:tcPr>
          <w:p w14:paraId="5365F615" w14:textId="5153F0E5" w:rsidR="00A53FAB" w:rsidRDefault="00A53FAB">
            <w:pPr>
              <w:pStyle w:val="BodyText"/>
            </w:pPr>
            <w:r>
              <w:t xml:space="preserve">In the next agreement, the Australian, </w:t>
            </w:r>
            <w:r w:rsidR="00CC18D8">
              <w:t>S</w:t>
            </w:r>
            <w:r>
              <w:t xml:space="preserve">tate and </w:t>
            </w:r>
            <w:r w:rsidR="00CC18D8">
              <w:t>T</w:t>
            </w:r>
            <w:r>
              <w:t xml:space="preserve">erritory </w:t>
            </w:r>
            <w:r w:rsidR="00CC18D8">
              <w:t>G</w:t>
            </w:r>
            <w:r>
              <w:t>overnments should work together, in consultation with teachers and school leaders</w:t>
            </w:r>
            <w:r w:rsidR="008841B3">
              <w:t>,</w:t>
            </w:r>
            <w:r>
              <w:t xml:space="preserve"> to:</w:t>
            </w:r>
          </w:p>
          <w:p w14:paraId="099E52FB" w14:textId="75751D90" w:rsidR="00A53FAB" w:rsidRDefault="00A53FAB">
            <w:pPr>
              <w:pStyle w:val="ListBullet"/>
            </w:pPr>
            <w:r>
              <w:t xml:space="preserve">develop and support localised communities </w:t>
            </w:r>
            <w:r w:rsidR="008A080B">
              <w:t xml:space="preserve">of practice </w:t>
            </w:r>
            <w:r>
              <w:t>across schools, regions and sectors. These should encompass accessible options for time-constrained teachers as well as subject specific options to support those teaching out-of-field</w:t>
            </w:r>
          </w:p>
          <w:p w14:paraId="19E22860" w14:textId="61E189D6" w:rsidR="00A53FAB" w:rsidRDefault="00A53FAB">
            <w:pPr>
              <w:pStyle w:val="ListBullet"/>
            </w:pPr>
            <w:r>
              <w:t xml:space="preserve">ensure that </w:t>
            </w:r>
            <w:r w:rsidR="00F127B0">
              <w:t>H</w:t>
            </w:r>
            <w:r>
              <w:t xml:space="preserve">ighly </w:t>
            </w:r>
            <w:r w:rsidR="00F127B0">
              <w:t>A</w:t>
            </w:r>
            <w:r>
              <w:t xml:space="preserve">ccomplished and </w:t>
            </w:r>
            <w:r w:rsidR="00F127B0">
              <w:t>L</w:t>
            </w:r>
            <w:r>
              <w:t xml:space="preserve">ead </w:t>
            </w:r>
            <w:r w:rsidR="00F127B0">
              <w:t>T</w:t>
            </w:r>
            <w:r>
              <w:t xml:space="preserve">eachers are trained, and deployed as intended, to lift the quality of teaching across schools and sectors </w:t>
            </w:r>
          </w:p>
          <w:p w14:paraId="14339F67" w14:textId="77777777" w:rsidR="00A53FAB" w:rsidRPr="00767EAE" w:rsidRDefault="00A53FAB">
            <w:pPr>
              <w:pStyle w:val="ListBullet"/>
            </w:pPr>
            <w:r>
              <w:t xml:space="preserve">streamline processes for becoming a Highly Accomplished and Lead Teacher, including by recognising prior competencies. </w:t>
            </w:r>
          </w:p>
        </w:tc>
      </w:tr>
      <w:tr w:rsidR="00A53FAB" w14:paraId="79400632" w14:textId="77777777">
        <w:tc>
          <w:tcPr>
            <w:tcW w:w="9638" w:type="dxa"/>
            <w:gridSpan w:val="2"/>
            <w:shd w:val="clear" w:color="auto" w:fill="auto"/>
            <w:tcMar>
              <w:top w:w="0" w:type="dxa"/>
              <w:bottom w:w="0" w:type="dxa"/>
            </w:tcMar>
          </w:tcPr>
          <w:p w14:paraId="3D441E02" w14:textId="77777777" w:rsidR="00A53FAB" w:rsidRPr="007E0EA8" w:rsidRDefault="00A53FAB">
            <w:pPr>
              <w:pStyle w:val="NoSpacing"/>
              <w:spacing w:line="200" w:lineRule="exact"/>
            </w:pPr>
          </w:p>
        </w:tc>
      </w:tr>
    </w:tbl>
    <w:p w14:paraId="283A9358"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A53FAB" w14:paraId="102BCF9B" w14:textId="77777777">
        <w:trPr>
          <w:tblHeader/>
        </w:trPr>
        <w:tc>
          <w:tcPr>
            <w:tcW w:w="713" w:type="dxa"/>
            <w:vAlign w:val="center"/>
          </w:tcPr>
          <w:p w14:paraId="6A334F16" w14:textId="77777777" w:rsidR="00A53FAB" w:rsidRDefault="00A53FAB">
            <w:pPr>
              <w:keepNext/>
              <w:keepLines/>
              <w:spacing w:after="0"/>
              <w:jc w:val="right"/>
            </w:pPr>
            <w:r w:rsidRPr="00A51374">
              <w:rPr>
                <w:noProof/>
                <w:lang w:eastAsia="en-AU"/>
              </w:rPr>
              <w:drawing>
                <wp:inline distT="0" distB="0" distL="0" distR="0" wp14:anchorId="3E0B1E11" wp14:editId="4B8D366F">
                  <wp:extent cx="288000" cy="288000"/>
                  <wp:effectExtent l="0" t="0" r="0" b="0"/>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338839B9" w14:textId="61412076" w:rsidR="009F2A02" w:rsidRPr="00FE62E4" w:rsidRDefault="00A53FAB" w:rsidP="00FE62E4">
            <w:pPr>
              <w:pStyle w:val="TableHeading"/>
              <w:keepLines/>
              <w:spacing w:before="180" w:after="120"/>
              <w:contextualSpacing/>
              <w:rPr>
                <w:sz w:val="20"/>
              </w:rPr>
            </w:pPr>
            <w:r w:rsidRPr="00FE62E4">
              <w:rPr>
                <w:sz w:val="20"/>
              </w:rPr>
              <w:t xml:space="preserve">Information request 5.5 </w:t>
            </w:r>
          </w:p>
          <w:p w14:paraId="4D6E0111" w14:textId="3D605421" w:rsidR="00A53FAB" w:rsidRPr="00FE62E4" w:rsidRDefault="00A53FAB" w:rsidP="00FE62E4">
            <w:pPr>
              <w:pStyle w:val="TableHeading"/>
              <w:keepLines/>
              <w:spacing w:before="180" w:after="120"/>
              <w:contextualSpacing/>
              <w:rPr>
                <w:sz w:val="20"/>
              </w:rPr>
            </w:pPr>
            <w:r w:rsidRPr="00FE62E4">
              <w:rPr>
                <w:sz w:val="20"/>
              </w:rPr>
              <w:t>Streamlining pathways into teaching</w:t>
            </w:r>
          </w:p>
        </w:tc>
      </w:tr>
      <w:tr w:rsidR="00A53FAB" w14:paraId="0B9556D4" w14:textId="77777777">
        <w:tc>
          <w:tcPr>
            <w:tcW w:w="9638" w:type="dxa"/>
            <w:gridSpan w:val="2"/>
            <w:tcMar>
              <w:top w:w="0" w:type="dxa"/>
            </w:tcMar>
          </w:tcPr>
          <w:p w14:paraId="7BC82C65" w14:textId="77777777" w:rsidR="00A53FAB" w:rsidRDefault="00A53FAB">
            <w:pPr>
              <w:pStyle w:val="BodyText"/>
              <w:keepNext/>
              <w:keepLines/>
            </w:pPr>
            <w:r>
              <w:t xml:space="preserve">How can </w:t>
            </w:r>
            <w:r w:rsidRPr="00D8611A">
              <w:t xml:space="preserve">pathways </w:t>
            </w:r>
            <w:r>
              <w:t xml:space="preserve">into teaching </w:t>
            </w:r>
            <w:r w:rsidRPr="00D8611A">
              <w:t>for mid-career entrants, especially those with skills in critical areas</w:t>
            </w:r>
            <w:r>
              <w:t>, be streamlined?</w:t>
            </w:r>
          </w:p>
          <w:p w14:paraId="495C1CA5" w14:textId="77777777" w:rsidR="00A53FAB" w:rsidRDefault="00A53FAB">
            <w:pPr>
              <w:pStyle w:val="ListBullet"/>
            </w:pPr>
            <w:r>
              <w:t>What are the costs and benefits of re-introducing one year graduate diplomas?</w:t>
            </w:r>
          </w:p>
          <w:p w14:paraId="6DC3CCD1" w14:textId="6C92510D" w:rsidR="00A53FAB" w:rsidRPr="008529A2" w:rsidRDefault="00A53FAB">
            <w:pPr>
              <w:pStyle w:val="ListBullet"/>
            </w:pPr>
            <w:r>
              <w:t xml:space="preserve">What </w:t>
            </w:r>
            <w:r w:rsidR="0035160E">
              <w:t xml:space="preserve">employment-based </w:t>
            </w:r>
            <w:r>
              <w:t>pathways could be explored?</w:t>
            </w:r>
          </w:p>
        </w:tc>
      </w:tr>
      <w:tr w:rsidR="00A53FAB" w14:paraId="188ABDCA" w14:textId="77777777">
        <w:tc>
          <w:tcPr>
            <w:tcW w:w="9638" w:type="dxa"/>
            <w:gridSpan w:val="2"/>
            <w:shd w:val="clear" w:color="auto" w:fill="auto"/>
            <w:tcMar>
              <w:top w:w="0" w:type="dxa"/>
              <w:bottom w:w="0" w:type="dxa"/>
            </w:tcMar>
          </w:tcPr>
          <w:p w14:paraId="7B30C1E1" w14:textId="77777777" w:rsidR="00A53FAB" w:rsidRDefault="00A53FAB">
            <w:pPr>
              <w:pStyle w:val="NoSpacing"/>
              <w:spacing w:line="200" w:lineRule="exact"/>
            </w:pPr>
          </w:p>
        </w:tc>
      </w:tr>
    </w:tbl>
    <w:p w14:paraId="1D9FBB56"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A53FAB" w14:paraId="3A6DC9D7" w14:textId="77777777">
        <w:trPr>
          <w:tblHeader/>
        </w:trPr>
        <w:tc>
          <w:tcPr>
            <w:tcW w:w="713" w:type="dxa"/>
            <w:vAlign w:val="center"/>
          </w:tcPr>
          <w:p w14:paraId="13E29AA0" w14:textId="77777777" w:rsidR="00A53FAB" w:rsidRDefault="00A53FAB">
            <w:pPr>
              <w:keepNext/>
              <w:keepLines/>
              <w:spacing w:after="0"/>
              <w:jc w:val="right"/>
            </w:pPr>
            <w:r w:rsidRPr="00A51374">
              <w:rPr>
                <w:noProof/>
                <w:lang w:eastAsia="en-AU"/>
              </w:rPr>
              <w:drawing>
                <wp:inline distT="0" distB="0" distL="0" distR="0" wp14:anchorId="036E2C60" wp14:editId="34A90F81">
                  <wp:extent cx="288000" cy="288000"/>
                  <wp:effectExtent l="0" t="0" r="0" b="0"/>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5C26CB51" w14:textId="246D5BF2" w:rsidR="009F2A02" w:rsidRPr="00FE62E4" w:rsidRDefault="00A53FAB" w:rsidP="00FE62E4">
            <w:pPr>
              <w:pStyle w:val="TableHeading"/>
              <w:keepLines/>
              <w:spacing w:before="180" w:after="120"/>
              <w:contextualSpacing/>
              <w:rPr>
                <w:sz w:val="20"/>
              </w:rPr>
            </w:pPr>
            <w:r w:rsidRPr="00FE62E4">
              <w:rPr>
                <w:sz w:val="20"/>
              </w:rPr>
              <w:t xml:space="preserve">Information request 5.6 </w:t>
            </w:r>
          </w:p>
          <w:p w14:paraId="7752B16E" w14:textId="09FD7965" w:rsidR="00A53FAB" w:rsidRPr="00FE62E4" w:rsidRDefault="00A53FAB" w:rsidP="00FE62E4">
            <w:pPr>
              <w:pStyle w:val="TableHeading"/>
              <w:keepLines/>
              <w:spacing w:before="180" w:after="120"/>
              <w:contextualSpacing/>
              <w:rPr>
                <w:sz w:val="20"/>
              </w:rPr>
            </w:pPr>
            <w:r w:rsidRPr="00FE62E4">
              <w:rPr>
                <w:sz w:val="20"/>
              </w:rPr>
              <w:t xml:space="preserve">Understanding what happens in the classroom </w:t>
            </w:r>
          </w:p>
        </w:tc>
      </w:tr>
      <w:tr w:rsidR="00A53FAB" w14:paraId="0C5B39DF" w14:textId="77777777">
        <w:tc>
          <w:tcPr>
            <w:tcW w:w="9638" w:type="dxa"/>
            <w:gridSpan w:val="2"/>
            <w:tcMar>
              <w:top w:w="0" w:type="dxa"/>
            </w:tcMar>
          </w:tcPr>
          <w:p w14:paraId="20E500C5" w14:textId="77777777" w:rsidR="00A53FAB" w:rsidRPr="007D4AD5" w:rsidRDefault="00A53FAB">
            <w:pPr>
              <w:pStyle w:val="BodyText"/>
              <w:keepNext/>
              <w:keepLines/>
            </w:pPr>
            <w:r w:rsidRPr="007D497B">
              <w:t>What (if any) systems do jurisdictions already have in place to understand what is being taught in classrooms, and how it is being taught? What are the options for obtaining more and better data on classroom practice in a way that minimises costs and administrative impost?</w:t>
            </w:r>
          </w:p>
        </w:tc>
      </w:tr>
      <w:tr w:rsidR="00A53FAB" w14:paraId="65CD024E" w14:textId="77777777">
        <w:tc>
          <w:tcPr>
            <w:tcW w:w="9638" w:type="dxa"/>
            <w:gridSpan w:val="2"/>
            <w:shd w:val="clear" w:color="auto" w:fill="auto"/>
            <w:tcMar>
              <w:top w:w="0" w:type="dxa"/>
              <w:bottom w:w="0" w:type="dxa"/>
            </w:tcMar>
          </w:tcPr>
          <w:p w14:paraId="22C7CB3F" w14:textId="77777777" w:rsidR="00A53FAB" w:rsidRDefault="00A53FAB">
            <w:pPr>
              <w:pStyle w:val="NoSpacing"/>
              <w:spacing w:line="200" w:lineRule="exact"/>
            </w:pPr>
          </w:p>
        </w:tc>
      </w:tr>
    </w:tbl>
    <w:p w14:paraId="04DE630D" w14:textId="77777777" w:rsidR="00A53FAB" w:rsidRDefault="00A53FAB" w:rsidP="00FE62E4">
      <w:pPr>
        <w:pStyle w:val="Heading2-noTOC"/>
        <w:spacing w:after="240"/>
      </w:pPr>
      <w:r>
        <w:t>Chapter 6: School leadership</w:t>
      </w: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0632AE77" w14:textId="77777777">
        <w:trPr>
          <w:trHeight w:val="765"/>
          <w:tblHeader/>
        </w:trPr>
        <w:tc>
          <w:tcPr>
            <w:tcW w:w="366" w:type="pct"/>
            <w:tcBorders>
              <w:bottom w:val="nil"/>
            </w:tcBorders>
            <w:tcMar>
              <w:bottom w:w="0" w:type="dxa"/>
            </w:tcMar>
            <w:vAlign w:val="center"/>
          </w:tcPr>
          <w:p w14:paraId="628A8EBC" w14:textId="77777777" w:rsidR="00A53FAB" w:rsidRDefault="00A53FAB">
            <w:pPr>
              <w:pStyle w:val="NoSpacing"/>
              <w:keepLines/>
              <w:jc w:val="right"/>
            </w:pPr>
            <w:r w:rsidRPr="00A51374">
              <w:rPr>
                <w:noProof/>
                <w:lang w:eastAsia="en-AU"/>
              </w:rPr>
              <w:drawing>
                <wp:inline distT="0" distB="0" distL="0" distR="0" wp14:anchorId="54C49D48" wp14:editId="15D2AFB2">
                  <wp:extent cx="288000" cy="288000"/>
                  <wp:effectExtent l="0" t="0" r="0" b="0"/>
                  <wp:docPr id="25"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7892B828" w14:textId="77777777" w:rsidR="00A53FAB" w:rsidRPr="00FE62E4" w:rsidRDefault="00A53FAB" w:rsidP="00FE62E4">
            <w:pPr>
              <w:pStyle w:val="TableHeading"/>
              <w:keepLines/>
              <w:spacing w:before="180" w:after="120"/>
              <w:contextualSpacing/>
              <w:rPr>
                <w:sz w:val="20"/>
              </w:rPr>
            </w:pPr>
            <w:r w:rsidRPr="00FE62E4">
              <w:rPr>
                <w:sz w:val="20"/>
              </w:rPr>
              <w:t>Draft finding 6.1</w:t>
            </w:r>
          </w:p>
          <w:p w14:paraId="2FAFCC05" w14:textId="77777777" w:rsidR="00A53FAB" w:rsidRPr="00FE62E4" w:rsidRDefault="00A53FAB" w:rsidP="00FE62E4">
            <w:pPr>
              <w:pStyle w:val="TableHeading"/>
              <w:keepLines/>
              <w:spacing w:before="180" w:after="120"/>
              <w:contextualSpacing/>
              <w:rPr>
                <w:sz w:val="20"/>
              </w:rPr>
            </w:pPr>
            <w:r w:rsidRPr="00FE62E4">
              <w:rPr>
                <w:sz w:val="20"/>
              </w:rPr>
              <w:t xml:space="preserve">Improving school leadership can have large impacts on students’ learning </w:t>
            </w:r>
          </w:p>
        </w:tc>
      </w:tr>
      <w:tr w:rsidR="00A53FAB" w14:paraId="19B28047" w14:textId="77777777">
        <w:tc>
          <w:tcPr>
            <w:tcW w:w="5000" w:type="pct"/>
            <w:gridSpan w:val="2"/>
            <w:tcBorders>
              <w:top w:val="nil"/>
              <w:bottom w:val="single" w:sz="4" w:space="0" w:color="66BCDB" w:themeColor="text2"/>
            </w:tcBorders>
          </w:tcPr>
          <w:p w14:paraId="615BCC1E" w14:textId="77777777" w:rsidR="00A53FAB" w:rsidRDefault="00A53FAB">
            <w:pPr>
              <w:pStyle w:val="BodyText"/>
              <w:keepLines/>
            </w:pPr>
            <w:r>
              <w:t xml:space="preserve">School leaders are second only to teachers in fostering a positive learning environment. Improving the effectiveness of leaders, especially principals, would generate sizable benefits. </w:t>
            </w:r>
          </w:p>
        </w:tc>
      </w:tr>
    </w:tbl>
    <w:p w14:paraId="068D7D77" w14:textId="77777777" w:rsidR="00A53FAB" w:rsidRDefault="00A53FAB" w:rsidP="00FE62E4">
      <w:pPr>
        <w:pStyle w:val="NoSpacing"/>
        <w:spacing w:after="120"/>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63C12E33" w14:textId="77777777">
        <w:trPr>
          <w:trHeight w:val="765"/>
          <w:tblHeader/>
        </w:trPr>
        <w:tc>
          <w:tcPr>
            <w:tcW w:w="366" w:type="pct"/>
            <w:tcBorders>
              <w:bottom w:val="nil"/>
            </w:tcBorders>
            <w:tcMar>
              <w:bottom w:w="0" w:type="dxa"/>
            </w:tcMar>
            <w:vAlign w:val="center"/>
          </w:tcPr>
          <w:p w14:paraId="7D12E6B0" w14:textId="77777777" w:rsidR="00A53FAB" w:rsidRDefault="00A53FAB">
            <w:pPr>
              <w:pStyle w:val="NoSpacing"/>
              <w:keepLines/>
              <w:jc w:val="right"/>
            </w:pPr>
            <w:r w:rsidRPr="00A51374">
              <w:rPr>
                <w:noProof/>
                <w:lang w:eastAsia="en-AU"/>
              </w:rPr>
              <w:drawing>
                <wp:inline distT="0" distB="0" distL="0" distR="0" wp14:anchorId="4EAAFFA7" wp14:editId="111E8828">
                  <wp:extent cx="288000" cy="288000"/>
                  <wp:effectExtent l="0" t="0" r="0" b="0"/>
                  <wp:docPr id="56"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5928F16F" w14:textId="77777777" w:rsidR="00A53FAB" w:rsidRPr="00FE62E4" w:rsidRDefault="00A53FAB" w:rsidP="00FE62E4">
            <w:pPr>
              <w:pStyle w:val="TableHeading"/>
              <w:keepLines/>
              <w:spacing w:before="180" w:after="120"/>
              <w:contextualSpacing/>
              <w:rPr>
                <w:sz w:val="20"/>
              </w:rPr>
            </w:pPr>
            <w:r w:rsidRPr="00FE62E4">
              <w:rPr>
                <w:sz w:val="20"/>
              </w:rPr>
              <w:t>Draft finding 6.2</w:t>
            </w:r>
          </w:p>
          <w:p w14:paraId="12C32723" w14:textId="77777777" w:rsidR="00A53FAB" w:rsidRPr="00FE62E4" w:rsidRDefault="00A53FAB" w:rsidP="00FE62E4">
            <w:pPr>
              <w:pStyle w:val="TableHeading"/>
              <w:keepLines/>
              <w:spacing w:before="180" w:after="120"/>
              <w:contextualSpacing/>
              <w:rPr>
                <w:sz w:val="20"/>
              </w:rPr>
            </w:pPr>
            <w:r w:rsidRPr="00FE62E4">
              <w:rPr>
                <w:sz w:val="20"/>
              </w:rPr>
              <w:t>More planning is needed to ensure a sustainable supply of school leaders</w:t>
            </w:r>
          </w:p>
        </w:tc>
      </w:tr>
      <w:tr w:rsidR="00A53FAB" w14:paraId="40008A87" w14:textId="77777777">
        <w:tc>
          <w:tcPr>
            <w:tcW w:w="5000" w:type="pct"/>
            <w:gridSpan w:val="2"/>
            <w:tcBorders>
              <w:top w:val="nil"/>
              <w:bottom w:val="single" w:sz="4" w:space="0" w:color="66BCDB" w:themeColor="text2"/>
            </w:tcBorders>
          </w:tcPr>
          <w:p w14:paraId="0516351F" w14:textId="263EF812" w:rsidR="00A53FAB" w:rsidRDefault="00A53FAB">
            <w:pPr>
              <w:pStyle w:val="BodyText"/>
              <w:keepLines/>
            </w:pPr>
            <w:r>
              <w:t>Long lead</w:t>
            </w:r>
            <w:r w:rsidR="00217B80">
              <w:t xml:space="preserve"> </w:t>
            </w:r>
            <w:r>
              <w:t>times for teachers to move into leadership roles, and the emergent pressures on the current cohort of school leaders, underscore the importance of effective leadership planning to ensure a sustainable pipeline of future school leaders.</w:t>
            </w:r>
          </w:p>
        </w:tc>
      </w:tr>
      <w:tr w:rsidR="00A53FAB" w14:paraId="7AFAD376" w14:textId="77777777">
        <w:tc>
          <w:tcPr>
            <w:tcW w:w="5000" w:type="pct"/>
            <w:gridSpan w:val="2"/>
            <w:tcBorders>
              <w:top w:val="single" w:sz="4" w:space="0" w:color="66BCDB" w:themeColor="text2"/>
              <w:left w:val="nil"/>
              <w:bottom w:val="nil"/>
              <w:right w:val="nil"/>
            </w:tcBorders>
            <w:tcMar>
              <w:bottom w:w="0" w:type="dxa"/>
            </w:tcMar>
          </w:tcPr>
          <w:p w14:paraId="6FCF3395" w14:textId="77777777" w:rsidR="00A53FAB" w:rsidRDefault="00A53FAB">
            <w:pPr>
              <w:pStyle w:val="NoSpacing"/>
              <w:spacing w:line="200" w:lineRule="atLeast"/>
            </w:pPr>
          </w:p>
        </w:tc>
      </w:tr>
    </w:tbl>
    <w:p w14:paraId="038F4B49"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A53FAB" w14:paraId="4B9DF061" w14:textId="77777777">
        <w:trPr>
          <w:tblHeader/>
        </w:trPr>
        <w:tc>
          <w:tcPr>
            <w:tcW w:w="713" w:type="dxa"/>
            <w:vAlign w:val="center"/>
          </w:tcPr>
          <w:p w14:paraId="3F6746A5" w14:textId="77777777" w:rsidR="00A53FAB" w:rsidRDefault="00A53FAB" w:rsidP="00FE62E4">
            <w:pPr>
              <w:keepNext/>
              <w:keepLines/>
              <w:spacing w:after="0"/>
              <w:contextualSpacing/>
              <w:jc w:val="right"/>
            </w:pPr>
            <w:r w:rsidRPr="00A51374">
              <w:rPr>
                <w:noProof/>
                <w:lang w:eastAsia="en-AU"/>
              </w:rPr>
              <w:drawing>
                <wp:inline distT="0" distB="0" distL="0" distR="0" wp14:anchorId="5B5A1BE1" wp14:editId="2AEC6D2B">
                  <wp:extent cx="288000" cy="288000"/>
                  <wp:effectExtent l="0" t="0" r="0" b="0"/>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735B9672" w14:textId="2AC75747" w:rsidR="0035160E" w:rsidRPr="00FE62E4" w:rsidRDefault="00A53FAB" w:rsidP="00FE62E4">
            <w:pPr>
              <w:pStyle w:val="TableHeading"/>
              <w:keepLines/>
              <w:spacing w:before="180" w:after="120"/>
              <w:contextualSpacing/>
              <w:rPr>
                <w:sz w:val="20"/>
              </w:rPr>
            </w:pPr>
            <w:r w:rsidRPr="00FE62E4">
              <w:rPr>
                <w:sz w:val="20"/>
              </w:rPr>
              <w:t xml:space="preserve">Information request 6.1 </w:t>
            </w:r>
          </w:p>
          <w:p w14:paraId="780DFC88" w14:textId="3236976A" w:rsidR="00A53FAB" w:rsidRPr="00FE62E4" w:rsidRDefault="00A53FAB" w:rsidP="00FE62E4">
            <w:pPr>
              <w:pStyle w:val="TableHeading"/>
              <w:keepLines/>
              <w:spacing w:before="180" w:after="120"/>
              <w:contextualSpacing/>
              <w:rPr>
                <w:sz w:val="20"/>
              </w:rPr>
            </w:pPr>
            <w:r w:rsidRPr="00FE62E4">
              <w:rPr>
                <w:sz w:val="20"/>
              </w:rPr>
              <w:t>Fostering school leaders</w:t>
            </w:r>
          </w:p>
        </w:tc>
      </w:tr>
      <w:tr w:rsidR="00A53FAB" w14:paraId="6BDF29F6" w14:textId="77777777">
        <w:tc>
          <w:tcPr>
            <w:tcW w:w="9638" w:type="dxa"/>
            <w:gridSpan w:val="2"/>
            <w:tcMar>
              <w:top w:w="0" w:type="dxa"/>
            </w:tcMar>
          </w:tcPr>
          <w:p w14:paraId="051BA690" w14:textId="77777777" w:rsidR="00A53FAB" w:rsidRPr="00274457" w:rsidRDefault="00A53FAB" w:rsidP="00EB0335">
            <w:pPr>
              <w:pStyle w:val="ListNumber"/>
              <w:keepNext/>
              <w:keepLines/>
              <w:numPr>
                <w:ilvl w:val="0"/>
                <w:numId w:val="4"/>
              </w:numPr>
              <w:ind w:left="227" w:hanging="227"/>
            </w:pPr>
            <w:r w:rsidRPr="00274457">
              <w:t>Do principals have the resources, support and professional development opportunities required for their demanding roles?</w:t>
            </w:r>
          </w:p>
          <w:p w14:paraId="10D19651" w14:textId="77777777" w:rsidR="00A53FAB" w:rsidRDefault="00A53FAB" w:rsidP="00EB0335">
            <w:pPr>
              <w:pStyle w:val="ListNumber"/>
              <w:keepNext/>
              <w:keepLines/>
              <w:numPr>
                <w:ilvl w:val="0"/>
                <w:numId w:val="4"/>
              </w:numPr>
              <w:ind w:left="227" w:hanging="227"/>
            </w:pPr>
            <w:r>
              <w:t xml:space="preserve">Are policy efforts to identify and prepare potential leaders effective? </w:t>
            </w:r>
          </w:p>
          <w:p w14:paraId="53805726" w14:textId="77777777" w:rsidR="00A53FAB" w:rsidRDefault="00A53FAB" w:rsidP="00EB0335">
            <w:pPr>
              <w:pStyle w:val="ListNumber"/>
              <w:keepNext/>
              <w:keepLines/>
              <w:numPr>
                <w:ilvl w:val="0"/>
                <w:numId w:val="4"/>
              </w:numPr>
              <w:ind w:left="227" w:hanging="227"/>
            </w:pPr>
            <w:r>
              <w:t>Are there alternative sources of school leaders, including from outside the teaching profession?</w:t>
            </w:r>
          </w:p>
          <w:p w14:paraId="7D9C2FB5" w14:textId="77777777" w:rsidR="00A53FAB" w:rsidRPr="008529A2" w:rsidRDefault="00A53FAB" w:rsidP="00EB0335">
            <w:pPr>
              <w:pStyle w:val="ListNumber"/>
              <w:keepNext/>
              <w:keepLines/>
              <w:numPr>
                <w:ilvl w:val="0"/>
                <w:numId w:val="4"/>
              </w:numPr>
              <w:ind w:left="227" w:hanging="227"/>
            </w:pPr>
            <w:r>
              <w:t>What are the relative merits of a nationally coordinated approach to supporting a pipeline of future school leaders?</w:t>
            </w:r>
          </w:p>
        </w:tc>
      </w:tr>
      <w:tr w:rsidR="00A53FAB" w14:paraId="6D7EAD4D" w14:textId="77777777">
        <w:tc>
          <w:tcPr>
            <w:tcW w:w="9638" w:type="dxa"/>
            <w:gridSpan w:val="2"/>
            <w:shd w:val="clear" w:color="auto" w:fill="auto"/>
            <w:tcMar>
              <w:top w:w="0" w:type="dxa"/>
              <w:bottom w:w="0" w:type="dxa"/>
            </w:tcMar>
          </w:tcPr>
          <w:p w14:paraId="6B59C244" w14:textId="77777777" w:rsidR="00A53FAB" w:rsidRDefault="00A53FAB" w:rsidP="00FE62E4">
            <w:pPr>
              <w:pStyle w:val="NoSpacing"/>
              <w:keepNext/>
              <w:keepLines/>
              <w:spacing w:line="200" w:lineRule="exact"/>
              <w:contextualSpacing/>
            </w:pPr>
          </w:p>
        </w:tc>
      </w:tr>
    </w:tbl>
    <w:p w14:paraId="2FCB53E4" w14:textId="77777777" w:rsidR="00A53FAB" w:rsidRDefault="00A53FAB" w:rsidP="00FE62E4">
      <w:pPr>
        <w:pStyle w:val="Heading2-noTOC"/>
        <w:spacing w:after="240"/>
      </w:pPr>
      <w:r>
        <w:t xml:space="preserve">Chapter 7: The National Measurement Framework </w:t>
      </w: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21"/>
        <w:gridCol w:w="9133"/>
      </w:tblGrid>
      <w:tr w:rsidR="00A53FAB" w14:paraId="2435581F" w14:textId="77777777">
        <w:trPr>
          <w:trHeight w:val="765"/>
          <w:tblHeader/>
        </w:trPr>
        <w:tc>
          <w:tcPr>
            <w:tcW w:w="366" w:type="pct"/>
            <w:tcBorders>
              <w:top w:val="single" w:sz="4" w:space="0" w:color="66BCDB" w:themeColor="text2"/>
              <w:left w:val="single" w:sz="4" w:space="0" w:color="66BCDB" w:themeColor="text2"/>
              <w:bottom w:val="nil"/>
              <w:right w:val="nil"/>
            </w:tcBorders>
            <w:tcMar>
              <w:top w:w="0" w:type="dxa"/>
              <w:left w:w="108" w:type="dxa"/>
              <w:bottom w:w="0" w:type="dxa"/>
              <w:right w:w="108" w:type="dxa"/>
            </w:tcMar>
            <w:vAlign w:val="center"/>
            <w:hideMark/>
          </w:tcPr>
          <w:p w14:paraId="04372263" w14:textId="77777777" w:rsidR="00A53FAB" w:rsidRDefault="00A53FAB">
            <w:pPr>
              <w:keepLines/>
              <w:spacing w:before="0" w:after="0"/>
              <w:jc w:val="right"/>
            </w:pPr>
            <w:r>
              <w:rPr>
                <w:noProof/>
                <w:lang w:eastAsia="en-AU"/>
              </w:rPr>
              <w:drawing>
                <wp:inline distT="0" distB="0" distL="0" distR="0" wp14:anchorId="4B24C9B6" wp14:editId="5D5B22B5">
                  <wp:extent cx="279400" cy="279400"/>
                  <wp:effectExtent l="0" t="0" r="6350" b="6350"/>
                  <wp:docPr id="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tc>
        <w:tc>
          <w:tcPr>
            <w:tcW w:w="4634" w:type="pct"/>
            <w:tcBorders>
              <w:top w:val="single" w:sz="4" w:space="0" w:color="66BCDB" w:themeColor="text2"/>
              <w:left w:val="nil"/>
              <w:bottom w:val="nil"/>
              <w:right w:val="single" w:sz="4" w:space="0" w:color="66BCDB" w:themeColor="text2"/>
            </w:tcBorders>
            <w:tcMar>
              <w:top w:w="0" w:type="dxa"/>
              <w:left w:w="108" w:type="dxa"/>
              <w:bottom w:w="0" w:type="dxa"/>
              <w:right w:w="108" w:type="dxa"/>
            </w:tcMar>
            <w:vAlign w:val="center"/>
            <w:hideMark/>
          </w:tcPr>
          <w:p w14:paraId="522ED401" w14:textId="13063F0B" w:rsidR="00A53FAB" w:rsidRPr="00FE62E4" w:rsidRDefault="00A53FAB" w:rsidP="00FE62E4">
            <w:pPr>
              <w:pStyle w:val="TableHeading"/>
              <w:keepLines/>
              <w:spacing w:before="180" w:after="120"/>
              <w:contextualSpacing/>
              <w:rPr>
                <w:sz w:val="20"/>
              </w:rPr>
            </w:pPr>
            <w:r w:rsidRPr="00FE62E4">
              <w:rPr>
                <w:sz w:val="20"/>
              </w:rPr>
              <w:t>Draft finding 7.1</w:t>
            </w:r>
          </w:p>
          <w:p w14:paraId="6988125D" w14:textId="701C30C9" w:rsidR="00A53FAB" w:rsidRPr="00FE62E4" w:rsidRDefault="00A53FAB" w:rsidP="00FE62E4">
            <w:pPr>
              <w:pStyle w:val="TableHeading"/>
              <w:keepLines/>
              <w:spacing w:before="180" w:after="120"/>
              <w:contextualSpacing/>
              <w:rPr>
                <w:sz w:val="20"/>
              </w:rPr>
            </w:pPr>
            <w:r w:rsidRPr="00FE62E4">
              <w:rPr>
                <w:sz w:val="20"/>
              </w:rPr>
              <w:t xml:space="preserve">The </w:t>
            </w:r>
            <w:r w:rsidR="00554E86" w:rsidRPr="00FE62E4">
              <w:rPr>
                <w:sz w:val="20"/>
              </w:rPr>
              <w:t>Measurement Framework for Schooling in Australia</w:t>
            </w:r>
            <w:r w:rsidRPr="00FE62E4">
              <w:rPr>
                <w:sz w:val="20"/>
              </w:rPr>
              <w:t xml:space="preserve"> is not appropriate for measuring progress on </w:t>
            </w:r>
            <w:r w:rsidR="00DF0FCF" w:rsidRPr="00FE62E4">
              <w:rPr>
                <w:sz w:val="20"/>
              </w:rPr>
              <w:t>National School Reform Agreement</w:t>
            </w:r>
            <w:r w:rsidRPr="00FE62E4">
              <w:rPr>
                <w:sz w:val="20"/>
              </w:rPr>
              <w:t xml:space="preserve"> outcomes</w:t>
            </w:r>
          </w:p>
        </w:tc>
      </w:tr>
      <w:tr w:rsidR="00A53FAB" w14:paraId="7F5126EF" w14:textId="77777777">
        <w:tc>
          <w:tcPr>
            <w:tcW w:w="5000" w:type="pct"/>
            <w:gridSpan w:val="2"/>
            <w:tcBorders>
              <w:top w:val="nil"/>
              <w:left w:val="single" w:sz="4" w:space="0" w:color="66BCDB" w:themeColor="text2"/>
              <w:bottom w:val="single" w:sz="4" w:space="0" w:color="66BCDB" w:themeColor="text2"/>
              <w:right w:val="single" w:sz="4" w:space="0" w:color="66BCDB" w:themeColor="text2"/>
            </w:tcBorders>
            <w:hideMark/>
          </w:tcPr>
          <w:p w14:paraId="2D826B0A" w14:textId="4D0A3C8F" w:rsidR="00A53FAB" w:rsidRDefault="00A53FAB" w:rsidP="00FE62E4">
            <w:pPr>
              <w:pStyle w:val="BodyText"/>
            </w:pPr>
            <w:r>
              <w:t xml:space="preserve">While reliable, and largely relevant, the </w:t>
            </w:r>
            <w:r w:rsidR="00AA1682" w:rsidRPr="007140C9">
              <w:t>Measurement Framework for Schooling in Australia</w:t>
            </w:r>
            <w:r>
              <w:t xml:space="preserve"> is not a complete means of reporting progress on </w:t>
            </w:r>
            <w:r w:rsidR="002A7FED">
              <w:t>National School Reform Agreement</w:t>
            </w:r>
            <w:r>
              <w:t xml:space="preserve"> outcomes. The visibility of </w:t>
            </w:r>
            <w:r w:rsidR="002A7FED">
              <w:t>G</w:t>
            </w:r>
            <w:r>
              <w:t xml:space="preserve">overnments’ progress against </w:t>
            </w:r>
            <w:r w:rsidR="005F78F7">
              <w:t>a</w:t>
            </w:r>
            <w:r w:rsidR="002A7FED">
              <w:t>greement</w:t>
            </w:r>
            <w:r>
              <w:t xml:space="preserve"> outcomes is further diminished by the absence of a standalone report and the reliance on the broader </w:t>
            </w:r>
            <w:r>
              <w:rPr>
                <w:i/>
                <w:iCs/>
              </w:rPr>
              <w:t>National Report on Schooling in Australia</w:t>
            </w:r>
            <w:r>
              <w:t xml:space="preserve"> and ACARA dashboard for performance reporting.</w:t>
            </w:r>
          </w:p>
        </w:tc>
      </w:tr>
    </w:tbl>
    <w:p w14:paraId="1BA0754B" w14:textId="77777777" w:rsidR="001F682A" w:rsidRDefault="001F682A" w:rsidP="001F682A">
      <w:pPr>
        <w:pStyle w:val="NoSpacing"/>
      </w:pPr>
    </w:p>
    <w:tbl>
      <w:tblPr>
        <w:tblStyle w:val="TextTable-Grey"/>
        <w:tblW w:w="5000" w:type="pct"/>
        <w:tblLook w:val="04A0" w:firstRow="1" w:lastRow="0" w:firstColumn="1" w:lastColumn="0" w:noHBand="0" w:noVBand="1"/>
      </w:tblPr>
      <w:tblGrid>
        <w:gridCol w:w="730"/>
        <w:gridCol w:w="9134"/>
      </w:tblGrid>
      <w:tr w:rsidR="001F682A" w14:paraId="03436529" w14:textId="77777777">
        <w:trPr>
          <w:tblHeader/>
        </w:trPr>
        <w:tc>
          <w:tcPr>
            <w:tcW w:w="713" w:type="dxa"/>
            <w:vAlign w:val="center"/>
          </w:tcPr>
          <w:p w14:paraId="75C06E46" w14:textId="77777777" w:rsidR="001F682A" w:rsidRDefault="001F682A">
            <w:pPr>
              <w:keepNext/>
              <w:keepLines/>
              <w:spacing w:after="0"/>
              <w:jc w:val="right"/>
            </w:pPr>
            <w:r w:rsidRPr="00A51374">
              <w:rPr>
                <w:noProof/>
                <w:lang w:eastAsia="en-AU"/>
              </w:rPr>
              <w:drawing>
                <wp:inline distT="0" distB="0" distL="0" distR="0" wp14:anchorId="28908861" wp14:editId="4BCCBC51">
                  <wp:extent cx="288000" cy="288000"/>
                  <wp:effectExtent l="0" t="0" r="0" b="0"/>
                  <wp:docPr id="220" name="Graphic 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4E010724" w14:textId="77777777" w:rsidR="001F682A" w:rsidRPr="00FE62E4" w:rsidRDefault="001F682A" w:rsidP="00FE62E4">
            <w:pPr>
              <w:pStyle w:val="TableHeading"/>
              <w:keepLines/>
              <w:spacing w:before="180" w:after="120"/>
              <w:contextualSpacing/>
              <w:rPr>
                <w:sz w:val="20"/>
              </w:rPr>
            </w:pPr>
            <w:r w:rsidRPr="00FE62E4">
              <w:rPr>
                <w:sz w:val="20"/>
              </w:rPr>
              <w:t xml:space="preserve">Information request 7.1 </w:t>
            </w:r>
          </w:p>
          <w:p w14:paraId="72535DD3" w14:textId="30BA9BF6" w:rsidR="000B307C" w:rsidRPr="00FE62E4" w:rsidRDefault="000B307C" w:rsidP="00FE62E4">
            <w:pPr>
              <w:pStyle w:val="TableHeading"/>
              <w:keepLines/>
              <w:spacing w:before="180" w:after="120"/>
              <w:contextualSpacing/>
              <w:rPr>
                <w:sz w:val="20"/>
              </w:rPr>
            </w:pPr>
            <w:r w:rsidRPr="00FE62E4">
              <w:rPr>
                <w:sz w:val="20"/>
              </w:rPr>
              <w:t>Standalone reporting against the National School Reform Agreement</w:t>
            </w:r>
          </w:p>
        </w:tc>
      </w:tr>
      <w:tr w:rsidR="001F682A" w14:paraId="6AEEC2A1" w14:textId="77777777">
        <w:tc>
          <w:tcPr>
            <w:tcW w:w="9638" w:type="dxa"/>
            <w:gridSpan w:val="2"/>
            <w:tcMar>
              <w:top w:w="0" w:type="dxa"/>
            </w:tcMar>
          </w:tcPr>
          <w:p w14:paraId="4B8C92F6" w14:textId="3AADB33D" w:rsidR="001F682A" w:rsidRPr="008529A2" w:rsidRDefault="001816D7">
            <w:pPr>
              <w:pStyle w:val="BodyText"/>
              <w:keepNext/>
              <w:keepLines/>
            </w:pPr>
            <w:r>
              <w:t xml:space="preserve">Would a standalone report on progress against the National School Reform Agreement outcomes and sub-outcomes (separate to the </w:t>
            </w:r>
            <w:r w:rsidRPr="00BA6336">
              <w:rPr>
                <w:i/>
                <w:iCs/>
              </w:rPr>
              <w:t>National Report on Schooling in Australia</w:t>
            </w:r>
            <w:r>
              <w:t>) improve the accountability of Governments to the community?</w:t>
            </w:r>
          </w:p>
        </w:tc>
      </w:tr>
      <w:tr w:rsidR="001F682A" w14:paraId="7225B4B4" w14:textId="77777777">
        <w:tc>
          <w:tcPr>
            <w:tcW w:w="9638" w:type="dxa"/>
            <w:gridSpan w:val="2"/>
            <w:shd w:val="clear" w:color="auto" w:fill="auto"/>
            <w:tcMar>
              <w:top w:w="0" w:type="dxa"/>
              <w:bottom w:w="0" w:type="dxa"/>
            </w:tcMar>
          </w:tcPr>
          <w:p w14:paraId="64AD9478" w14:textId="77777777" w:rsidR="001F682A" w:rsidRDefault="001F682A">
            <w:pPr>
              <w:pStyle w:val="NoSpacing"/>
              <w:spacing w:line="200" w:lineRule="exact"/>
            </w:pPr>
          </w:p>
        </w:tc>
      </w:tr>
    </w:tbl>
    <w:p w14:paraId="6CB0A12A" w14:textId="3E1E03D3" w:rsidR="001F682A" w:rsidRDefault="00661D3F">
      <w:pPr>
        <w:pStyle w:val="NoSpacing"/>
      </w:pPr>
      <w:r>
        <w:br w:type="page"/>
      </w:r>
    </w:p>
    <w:tbl>
      <w:tblPr>
        <w:tblStyle w:val="Texttable-Paleblue"/>
        <w:tblW w:w="5000" w:type="pct"/>
        <w:tblLook w:val="04A0" w:firstRow="1" w:lastRow="0" w:firstColumn="1" w:lastColumn="0" w:noHBand="0" w:noVBand="1"/>
      </w:tblPr>
      <w:tblGrid>
        <w:gridCol w:w="730"/>
        <w:gridCol w:w="9134"/>
      </w:tblGrid>
      <w:tr w:rsidR="00A53FAB" w14:paraId="4ED0B0BC" w14:textId="77777777">
        <w:trPr>
          <w:tblHeader/>
        </w:trPr>
        <w:tc>
          <w:tcPr>
            <w:tcW w:w="713" w:type="dxa"/>
            <w:tcMar>
              <w:top w:w="0" w:type="dxa"/>
              <w:bottom w:w="0" w:type="dxa"/>
            </w:tcMar>
            <w:vAlign w:val="center"/>
          </w:tcPr>
          <w:p w14:paraId="76356E76" w14:textId="77777777" w:rsidR="00A53FAB" w:rsidRDefault="00A53FAB">
            <w:pPr>
              <w:keepLines/>
              <w:jc w:val="center"/>
            </w:pPr>
            <w:r w:rsidRPr="00A51374">
              <w:rPr>
                <w:noProof/>
                <w:lang w:eastAsia="en-AU"/>
              </w:rPr>
              <w:drawing>
                <wp:inline distT="0" distB="0" distL="0" distR="0" wp14:anchorId="0C4F608F" wp14:editId="5C380984">
                  <wp:extent cx="288000" cy="288000"/>
                  <wp:effectExtent l="0" t="0" r="0" b="0"/>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8925" w:type="dxa"/>
            <w:tcMar>
              <w:top w:w="0" w:type="dxa"/>
              <w:bottom w:w="0" w:type="dxa"/>
            </w:tcMar>
            <w:vAlign w:val="center"/>
          </w:tcPr>
          <w:p w14:paraId="7ADB8E83" w14:textId="77777777" w:rsidR="00A53FAB" w:rsidRPr="00FE62E4" w:rsidRDefault="00A53FAB" w:rsidP="00FE62E4">
            <w:pPr>
              <w:pStyle w:val="TableHeading"/>
              <w:keepLines/>
              <w:spacing w:before="180" w:after="120"/>
              <w:contextualSpacing/>
              <w:rPr>
                <w:sz w:val="20"/>
              </w:rPr>
            </w:pPr>
            <w:r w:rsidRPr="00FE62E4">
              <w:rPr>
                <w:sz w:val="20"/>
              </w:rPr>
              <w:t xml:space="preserve">Draft recommendation 7.1 </w:t>
            </w:r>
          </w:p>
          <w:p w14:paraId="53F73C49" w14:textId="77777777" w:rsidR="00A53FAB" w:rsidRPr="00715040" w:rsidRDefault="00A53FAB" w:rsidP="00FE62E4">
            <w:pPr>
              <w:pStyle w:val="TableHeading"/>
              <w:keepLines/>
              <w:spacing w:before="180" w:after="120"/>
              <w:contextualSpacing/>
            </w:pPr>
            <w:r w:rsidRPr="00FE62E4">
              <w:rPr>
                <w:sz w:val="20"/>
              </w:rPr>
              <w:t>The performance reporting framework of the next agreement</w:t>
            </w:r>
          </w:p>
        </w:tc>
      </w:tr>
      <w:tr w:rsidR="00A53FAB" w14:paraId="1E06B73F" w14:textId="77777777">
        <w:tc>
          <w:tcPr>
            <w:tcW w:w="9638" w:type="dxa"/>
            <w:gridSpan w:val="2"/>
            <w:tcMar>
              <w:top w:w="0" w:type="dxa"/>
            </w:tcMar>
          </w:tcPr>
          <w:p w14:paraId="3718EB92" w14:textId="584C37F2" w:rsidR="00A53FAB" w:rsidRPr="00FE62E4" w:rsidRDefault="00A53FAB">
            <w:pPr>
              <w:pStyle w:val="BodyText"/>
              <w:keepLines/>
              <w:rPr>
                <w:spacing w:val="-6"/>
              </w:rPr>
            </w:pPr>
            <w:r w:rsidRPr="00FE62E4">
              <w:rPr>
                <w:spacing w:val="-6"/>
              </w:rPr>
              <w:t>In the next intergovernmental school reform agreement, Australian, State and Territory Governments should:</w:t>
            </w:r>
          </w:p>
          <w:p w14:paraId="5212209F" w14:textId="276AADBE" w:rsidR="00A53FAB" w:rsidRPr="00834B3B" w:rsidRDefault="00A53FAB">
            <w:pPr>
              <w:pStyle w:val="ListBullet"/>
            </w:pPr>
            <w:r>
              <w:t>commit to public reporting on each outcome by jurisdiction for students with disability, Aboriginal and Torres Strait Islander students and students in regional</w:t>
            </w:r>
            <w:r w:rsidR="00867A91">
              <w:t>, rural</w:t>
            </w:r>
            <w:r>
              <w:t xml:space="preserve"> and remote areas</w:t>
            </w:r>
          </w:p>
          <w:p w14:paraId="1C7A52C6" w14:textId="77777777" w:rsidR="00A53FAB" w:rsidRPr="00834B3B" w:rsidRDefault="00A53FAB">
            <w:pPr>
              <w:pStyle w:val="ListBullet"/>
            </w:pPr>
            <w:r>
              <w:t>add new sub-outcome measures for learning gain, post-school outcomes and the measure of student wellbeing proposed in draft recommendation 4.1</w:t>
            </w:r>
          </w:p>
          <w:p w14:paraId="1BC635B2" w14:textId="77777777" w:rsidR="00A53FAB" w:rsidRPr="00767EAE" w:rsidRDefault="00A53FAB">
            <w:pPr>
              <w:pStyle w:val="ListBullet"/>
            </w:pPr>
            <w:r>
              <w:t>update the NAPLAN sub-outcome measure to use proficiency standards rather than learning bands.</w:t>
            </w:r>
          </w:p>
        </w:tc>
      </w:tr>
    </w:tbl>
    <w:tbl>
      <w:tblPr>
        <w:tblStyle w:val="Texttable-Paleblue1"/>
        <w:tblW w:w="5000" w:type="pct"/>
        <w:tblLook w:val="04A0" w:firstRow="1" w:lastRow="0" w:firstColumn="1" w:lastColumn="0" w:noHBand="0" w:noVBand="1"/>
      </w:tblPr>
      <w:tblGrid>
        <w:gridCol w:w="9864"/>
      </w:tblGrid>
      <w:tr w:rsidR="00A53FAB" w14:paraId="4F00ABE2" w14:textId="77777777">
        <w:tc>
          <w:tcPr>
            <w:tcW w:w="9638" w:type="dxa"/>
            <w:shd w:val="clear" w:color="auto" w:fill="auto"/>
            <w:tcMar>
              <w:top w:w="0" w:type="dxa"/>
              <w:bottom w:w="0" w:type="dxa"/>
            </w:tcMar>
          </w:tcPr>
          <w:p w14:paraId="02B0AD9A" w14:textId="77777777" w:rsidR="00A53FAB" w:rsidRPr="007E0EA8" w:rsidRDefault="00A53FAB">
            <w:pPr>
              <w:pStyle w:val="NoSpacing"/>
              <w:spacing w:line="200" w:lineRule="exact"/>
            </w:pPr>
          </w:p>
        </w:tc>
      </w:tr>
    </w:tbl>
    <w:p w14:paraId="67CEED1F" w14:textId="77777777" w:rsidR="00A53FAB" w:rsidRDefault="00A53FAB">
      <w:pPr>
        <w:pStyle w:val="NoSpacing"/>
      </w:pPr>
    </w:p>
    <w:tbl>
      <w:tblPr>
        <w:tblStyle w:val="TextTable-Grey"/>
        <w:tblW w:w="5000" w:type="pct"/>
        <w:tblLook w:val="04A0" w:firstRow="1" w:lastRow="0" w:firstColumn="1" w:lastColumn="0" w:noHBand="0" w:noVBand="1"/>
      </w:tblPr>
      <w:tblGrid>
        <w:gridCol w:w="730"/>
        <w:gridCol w:w="9134"/>
      </w:tblGrid>
      <w:tr w:rsidR="002E4192" w14:paraId="67928077" w14:textId="77777777">
        <w:trPr>
          <w:tblHeader/>
        </w:trPr>
        <w:tc>
          <w:tcPr>
            <w:tcW w:w="713" w:type="dxa"/>
            <w:vAlign w:val="center"/>
          </w:tcPr>
          <w:p w14:paraId="352B62D0" w14:textId="77777777" w:rsidR="002E4192" w:rsidRDefault="002E4192">
            <w:pPr>
              <w:keepNext/>
              <w:keepLines/>
              <w:spacing w:after="0"/>
              <w:jc w:val="right"/>
            </w:pPr>
            <w:r w:rsidRPr="00A51374">
              <w:rPr>
                <w:noProof/>
                <w:lang w:eastAsia="en-AU"/>
              </w:rPr>
              <w:drawing>
                <wp:inline distT="0" distB="0" distL="0" distR="0" wp14:anchorId="2F6CB385" wp14:editId="782FC231">
                  <wp:extent cx="288000" cy="288000"/>
                  <wp:effectExtent l="0" t="0" r="0" b="0"/>
                  <wp:docPr id="221" name="Graphic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23ECFD8E" w14:textId="77777777" w:rsidR="002E4192" w:rsidRPr="00FE62E4" w:rsidRDefault="002E4192" w:rsidP="00FE62E4">
            <w:pPr>
              <w:pStyle w:val="TableHeading"/>
              <w:keepLines/>
              <w:spacing w:before="180" w:after="120"/>
              <w:contextualSpacing/>
              <w:rPr>
                <w:sz w:val="20"/>
              </w:rPr>
            </w:pPr>
            <w:r w:rsidRPr="00FE62E4">
              <w:rPr>
                <w:sz w:val="20"/>
              </w:rPr>
              <w:t>Information request 7.2</w:t>
            </w:r>
          </w:p>
          <w:p w14:paraId="5C7AA180" w14:textId="3D30EC24" w:rsidR="007645CA" w:rsidRPr="00FE62E4" w:rsidRDefault="007645CA" w:rsidP="00FE62E4">
            <w:pPr>
              <w:pStyle w:val="TableHeading"/>
              <w:keepLines/>
              <w:spacing w:before="180" w:after="120"/>
              <w:contextualSpacing/>
              <w:rPr>
                <w:sz w:val="20"/>
              </w:rPr>
            </w:pPr>
            <w:r w:rsidRPr="00FE62E4">
              <w:rPr>
                <w:sz w:val="20"/>
              </w:rPr>
              <w:t>Proposed sub-outcomes under the future agreement</w:t>
            </w:r>
          </w:p>
        </w:tc>
      </w:tr>
      <w:tr w:rsidR="002E4192" w14:paraId="0358964B" w14:textId="77777777">
        <w:tc>
          <w:tcPr>
            <w:tcW w:w="9638" w:type="dxa"/>
            <w:gridSpan w:val="2"/>
            <w:tcMar>
              <w:top w:w="0" w:type="dxa"/>
            </w:tcMar>
          </w:tcPr>
          <w:p w14:paraId="7A5754AE" w14:textId="575C4C9C" w:rsidR="002E4192" w:rsidRPr="008529A2" w:rsidRDefault="00FA37C8">
            <w:pPr>
              <w:pStyle w:val="BodyText"/>
              <w:keepNext/>
              <w:keepLines/>
            </w:pPr>
            <w:r>
              <w:t>Do the identified outcomes, and proposed additional and modified sub-outcomes</w:t>
            </w:r>
            <w:r w:rsidR="00F32407">
              <w:t>,</w:t>
            </w:r>
            <w:r>
              <w:t xml:space="preserve"> reflect the aspirations of all Australian students, including those from Aboriginal and Torres Strait Islander backgrounds, students with a disability, and students from other priority equity cohorts (including students from equity cohorts not explicitly identified in the current agreement, such as those in out-of-home care, or </w:t>
            </w:r>
            <w:r w:rsidRPr="008B21E4">
              <w:rPr>
                <w:rFonts w:ascii="Arial" w:eastAsia="Arial" w:hAnsi="Arial" w:cs="Arial"/>
              </w:rPr>
              <w:t xml:space="preserve">who speak English as an </w:t>
            </w:r>
            <w:r>
              <w:rPr>
                <w:rFonts w:ascii="Arial" w:eastAsia="Arial" w:hAnsi="Arial" w:cs="Arial"/>
              </w:rPr>
              <w:t>A</w:t>
            </w:r>
            <w:r w:rsidRPr="008B21E4">
              <w:rPr>
                <w:rFonts w:ascii="Arial" w:eastAsia="Arial" w:hAnsi="Arial" w:cs="Arial"/>
              </w:rPr>
              <w:t xml:space="preserve">dditional </w:t>
            </w:r>
            <w:r>
              <w:rPr>
                <w:rFonts w:ascii="Arial" w:eastAsia="Arial" w:hAnsi="Arial" w:cs="Arial"/>
              </w:rPr>
              <w:t>L</w:t>
            </w:r>
            <w:r w:rsidRPr="008B21E4">
              <w:rPr>
                <w:rFonts w:ascii="Arial" w:eastAsia="Arial" w:hAnsi="Arial" w:cs="Arial"/>
              </w:rPr>
              <w:t xml:space="preserve">anguage or </w:t>
            </w:r>
            <w:r>
              <w:rPr>
                <w:rFonts w:ascii="Arial" w:eastAsia="Arial" w:hAnsi="Arial" w:cs="Arial"/>
              </w:rPr>
              <w:t>D</w:t>
            </w:r>
            <w:r w:rsidRPr="008B21E4">
              <w:rPr>
                <w:rFonts w:ascii="Arial" w:eastAsia="Arial" w:hAnsi="Arial" w:cs="Arial"/>
              </w:rPr>
              <w:t>ialect</w:t>
            </w:r>
            <w:r w:rsidRPr="008B21E4">
              <w:t>)?</w:t>
            </w:r>
          </w:p>
        </w:tc>
      </w:tr>
      <w:tr w:rsidR="002E4192" w14:paraId="72227CBD" w14:textId="77777777">
        <w:tc>
          <w:tcPr>
            <w:tcW w:w="9638" w:type="dxa"/>
            <w:gridSpan w:val="2"/>
            <w:shd w:val="clear" w:color="auto" w:fill="auto"/>
            <w:tcMar>
              <w:top w:w="0" w:type="dxa"/>
              <w:bottom w:w="0" w:type="dxa"/>
            </w:tcMar>
          </w:tcPr>
          <w:p w14:paraId="788A711E" w14:textId="77777777" w:rsidR="002E4192" w:rsidRDefault="002E4192">
            <w:pPr>
              <w:pStyle w:val="NoSpacing"/>
              <w:spacing w:line="200" w:lineRule="exact"/>
            </w:pPr>
          </w:p>
        </w:tc>
      </w:tr>
    </w:tbl>
    <w:p w14:paraId="7ADD056D" w14:textId="77777777" w:rsidR="002E4192" w:rsidRDefault="002E4192">
      <w:pPr>
        <w:pStyle w:val="NoSpacing"/>
      </w:pPr>
    </w:p>
    <w:tbl>
      <w:tblPr>
        <w:tblStyle w:val="Texttable-Paleblue"/>
        <w:tblW w:w="5000" w:type="pct"/>
        <w:tblLook w:val="04A0" w:firstRow="1" w:lastRow="0" w:firstColumn="1" w:lastColumn="0" w:noHBand="0" w:noVBand="1"/>
      </w:tblPr>
      <w:tblGrid>
        <w:gridCol w:w="730"/>
        <w:gridCol w:w="9134"/>
      </w:tblGrid>
      <w:tr w:rsidR="00A53FAB" w14:paraId="3784FF85" w14:textId="77777777" w:rsidTr="002E4192">
        <w:trPr>
          <w:tblHeader/>
        </w:trPr>
        <w:tc>
          <w:tcPr>
            <w:tcW w:w="713" w:type="dxa"/>
            <w:tcMar>
              <w:top w:w="0" w:type="dxa"/>
              <w:bottom w:w="0" w:type="dxa"/>
            </w:tcMar>
            <w:vAlign w:val="center"/>
          </w:tcPr>
          <w:p w14:paraId="78746EC2" w14:textId="77777777" w:rsidR="00A53FAB" w:rsidRDefault="00A53FAB">
            <w:pPr>
              <w:keepLines/>
              <w:jc w:val="center"/>
            </w:pPr>
            <w:r w:rsidRPr="00A51374">
              <w:rPr>
                <w:noProof/>
                <w:lang w:eastAsia="en-AU"/>
              </w:rPr>
              <w:drawing>
                <wp:inline distT="0" distB="0" distL="0" distR="0" wp14:anchorId="6CD1F64D" wp14:editId="4DE2D0A6">
                  <wp:extent cx="288000" cy="288000"/>
                  <wp:effectExtent l="0" t="0" r="0" b="0"/>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8925" w:type="dxa"/>
            <w:tcMar>
              <w:top w:w="0" w:type="dxa"/>
              <w:bottom w:w="0" w:type="dxa"/>
            </w:tcMar>
            <w:vAlign w:val="center"/>
          </w:tcPr>
          <w:p w14:paraId="25C9F3ED" w14:textId="77777777" w:rsidR="00A53FAB" w:rsidRPr="00FE62E4" w:rsidRDefault="00A53FAB" w:rsidP="00FE62E4">
            <w:pPr>
              <w:pStyle w:val="TableHeading"/>
              <w:keepLines/>
              <w:spacing w:before="180" w:after="120"/>
              <w:contextualSpacing/>
              <w:rPr>
                <w:sz w:val="20"/>
              </w:rPr>
            </w:pPr>
            <w:r w:rsidRPr="00FE62E4">
              <w:rPr>
                <w:sz w:val="20"/>
              </w:rPr>
              <w:t>Draft recommendation 7.2</w:t>
            </w:r>
          </w:p>
          <w:p w14:paraId="4F9F90DB" w14:textId="77777777" w:rsidR="00A53FAB" w:rsidRPr="00FE62E4" w:rsidRDefault="00A53FAB" w:rsidP="00FE62E4">
            <w:pPr>
              <w:pStyle w:val="TableHeading"/>
              <w:keepLines/>
              <w:spacing w:before="180" w:after="120"/>
              <w:contextualSpacing/>
              <w:rPr>
                <w:sz w:val="20"/>
              </w:rPr>
            </w:pPr>
            <w:r w:rsidRPr="00FE62E4">
              <w:rPr>
                <w:sz w:val="20"/>
              </w:rPr>
              <w:t>Review of the Measurement Framework for Schooling in Australia</w:t>
            </w:r>
          </w:p>
        </w:tc>
      </w:tr>
      <w:tr w:rsidR="00A53FAB" w14:paraId="46D77313" w14:textId="77777777" w:rsidTr="002E4192">
        <w:tc>
          <w:tcPr>
            <w:tcW w:w="9638" w:type="dxa"/>
            <w:gridSpan w:val="2"/>
            <w:tcMar>
              <w:top w:w="0" w:type="dxa"/>
            </w:tcMar>
          </w:tcPr>
          <w:p w14:paraId="044B629E" w14:textId="77777777" w:rsidR="00A53FAB" w:rsidRDefault="00A53FAB">
            <w:pPr>
              <w:pStyle w:val="BodyText"/>
              <w:keepLines/>
            </w:pPr>
            <w:r>
              <w:t>ACARA’s next review of the Measurement Framework for Schooling in Australia should:</w:t>
            </w:r>
          </w:p>
          <w:p w14:paraId="5B12FDF2" w14:textId="0E7F91BE" w:rsidR="00A53FAB" w:rsidRPr="00834B3B" w:rsidRDefault="00A53FAB">
            <w:pPr>
              <w:pStyle w:val="ListBullet"/>
            </w:pPr>
            <w:r>
              <w:t xml:space="preserve">create a performance indicator framework aligned to </w:t>
            </w:r>
            <w:r w:rsidR="0061203B">
              <w:t>National School Reform Agreement</w:t>
            </w:r>
            <w:r>
              <w:t xml:space="preserve"> outcomes and sub-outcomes to which </w:t>
            </w:r>
            <w:r w:rsidR="00125CA4">
              <w:rPr>
                <w:color w:val="000000" w:themeColor="text1"/>
              </w:rPr>
              <w:t>Key Performance Measures</w:t>
            </w:r>
            <w:r>
              <w:t xml:space="preserve"> are mapped</w:t>
            </w:r>
          </w:p>
          <w:p w14:paraId="02A50FC0" w14:textId="4F06E75C" w:rsidR="00A53FAB" w:rsidRPr="00FE62E4" w:rsidRDefault="00A53FAB">
            <w:pPr>
              <w:pStyle w:val="ListBullet"/>
              <w:rPr>
                <w:spacing w:val="-4"/>
              </w:rPr>
            </w:pPr>
            <w:r w:rsidRPr="00FE62E4">
              <w:rPr>
                <w:spacing w:val="-4"/>
              </w:rPr>
              <w:t xml:space="preserve">consider the inclusion of system performance </w:t>
            </w:r>
            <w:r w:rsidR="00125CA4" w:rsidRPr="00FE62E4">
              <w:rPr>
                <w:color w:val="000000" w:themeColor="text1"/>
                <w:spacing w:val="-4"/>
              </w:rPr>
              <w:t>Key Performance Measures</w:t>
            </w:r>
            <w:r w:rsidRPr="00FE62E4">
              <w:rPr>
                <w:spacing w:val="-4"/>
              </w:rPr>
              <w:t xml:space="preserve"> relating to the teaching workforce</w:t>
            </w:r>
          </w:p>
          <w:p w14:paraId="1159DC45" w14:textId="77777777" w:rsidR="00A53FAB" w:rsidRPr="00834B3B" w:rsidRDefault="00A53FAB">
            <w:pPr>
              <w:pStyle w:val="ListBullet"/>
            </w:pPr>
            <w:r>
              <w:t>consider the inclusion of additional contextual information relating to influences on learning based on Australian Early Development Census data and information on English language proficiency</w:t>
            </w:r>
          </w:p>
          <w:p w14:paraId="3F63FA4B" w14:textId="77777777" w:rsidR="00A53FAB" w:rsidRPr="00834B3B" w:rsidRDefault="00A53FAB">
            <w:pPr>
              <w:pStyle w:val="ListBullet"/>
            </w:pPr>
            <w:r>
              <w:t xml:space="preserve">deliver improved reporting on outcomes for students from priority equity cohorts </w:t>
            </w:r>
          </w:p>
          <w:p w14:paraId="7985D4B4" w14:textId="77777777" w:rsidR="00A53FAB" w:rsidRPr="00834B3B" w:rsidRDefault="00A53FAB">
            <w:pPr>
              <w:pStyle w:val="ListBullet"/>
            </w:pPr>
            <w:r>
              <w:t>be undertaken in consultation with students, teachers and communities</w:t>
            </w:r>
          </w:p>
          <w:p w14:paraId="1E3DE5D8" w14:textId="77777777" w:rsidR="00A53FAB" w:rsidRPr="00834B3B" w:rsidRDefault="00A53FAB">
            <w:pPr>
              <w:pStyle w:val="ListBullet"/>
            </w:pPr>
            <w:r>
              <w:t>document remaining gaps.</w:t>
            </w:r>
          </w:p>
          <w:p w14:paraId="47A74B09" w14:textId="16A4BC2E" w:rsidR="00A53FAB" w:rsidRDefault="00A53FAB">
            <w:pPr>
              <w:pStyle w:val="BodyText"/>
              <w:keepLines/>
            </w:pPr>
            <w:r w:rsidRPr="00834B3B">
              <w:t xml:space="preserve">The </w:t>
            </w:r>
            <w:r w:rsidRPr="00125CA4">
              <w:rPr>
                <w:i/>
                <w:iCs/>
              </w:rPr>
              <w:t xml:space="preserve">National Report on Schooling </w:t>
            </w:r>
            <w:r w:rsidR="00B47DFB" w:rsidRPr="00125CA4">
              <w:rPr>
                <w:i/>
                <w:iCs/>
              </w:rPr>
              <w:t>in Australia</w:t>
            </w:r>
            <w:r w:rsidR="00B47DFB" w:rsidRPr="00834B3B">
              <w:t xml:space="preserve"> </w:t>
            </w:r>
            <w:r w:rsidRPr="00834B3B">
              <w:t>should be tabled annually in Parliament.</w:t>
            </w:r>
          </w:p>
          <w:p w14:paraId="77F6819E" w14:textId="77777777" w:rsidR="00A53FAB" w:rsidRPr="00767EAE" w:rsidRDefault="00A53FAB">
            <w:pPr>
              <w:pStyle w:val="BodyText"/>
              <w:keepLines/>
            </w:pPr>
            <w:r>
              <w:t>ACARA should work towards filling reporting gaps by exploring the use of State and Territory Government data that are comparable over time, even if it is not nationally complete or comparable across jurisdictions. Well established State and Territory Government surveys of students, parents and carers, and teachers should be given due consideration.</w:t>
            </w:r>
          </w:p>
        </w:tc>
      </w:tr>
      <w:tr w:rsidR="00A53FAB" w14:paraId="3EEF0FFE" w14:textId="77777777" w:rsidTr="002E4192">
        <w:tc>
          <w:tcPr>
            <w:tcW w:w="9638" w:type="dxa"/>
            <w:gridSpan w:val="2"/>
            <w:shd w:val="clear" w:color="auto" w:fill="auto"/>
            <w:tcMar>
              <w:top w:w="0" w:type="dxa"/>
              <w:bottom w:w="0" w:type="dxa"/>
            </w:tcMar>
          </w:tcPr>
          <w:p w14:paraId="5266704D" w14:textId="77777777" w:rsidR="00A53FAB" w:rsidRPr="007E0EA8" w:rsidRDefault="00A53FAB">
            <w:pPr>
              <w:pStyle w:val="NoSpacing"/>
              <w:spacing w:line="200" w:lineRule="exact"/>
            </w:pPr>
          </w:p>
        </w:tc>
      </w:tr>
    </w:tbl>
    <w:p w14:paraId="1259F1AD" w14:textId="2DE8C257" w:rsidR="0039186E" w:rsidRDefault="0039186E" w:rsidP="00FF194A">
      <w:pPr>
        <w:pStyle w:val="ListBullet"/>
        <w:numPr>
          <w:ilvl w:val="0"/>
          <w:numId w:val="0"/>
        </w:numPr>
      </w:pPr>
    </w:p>
    <w:sectPr w:rsidR="0039186E" w:rsidSect="00FF194A">
      <w:headerReference w:type="default" r:id="rId21"/>
      <w:footnotePr>
        <w:numRestart w:val="eachSect"/>
      </w:footnotePr>
      <w:type w:val="oddPage"/>
      <w:pgSz w:w="11906" w:h="16838" w:code="9"/>
      <w:pgMar w:top="1134" w:right="1134" w:bottom="1134" w:left="1134" w:header="794"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er" w:date="2022-10-19T21:49:00Z" w:initials="u">
    <w:p w14:paraId="5117974D" w14:textId="77777777" w:rsidR="00853F9D" w:rsidRDefault="00853F9D">
      <w:pPr>
        <w:pStyle w:val="CommentText"/>
      </w:pPr>
      <w:r>
        <w:rPr>
          <w:rStyle w:val="CommentReference"/>
        </w:rPr>
        <w:annotationRef/>
      </w:r>
      <w:r>
        <w:t>Most comments in the column below are on Draft Report readability.</w:t>
      </w:r>
    </w:p>
    <w:p w14:paraId="2A94540D" w14:textId="10F8A560" w:rsidR="00853F9D" w:rsidRDefault="00853F9D" w:rsidP="00530A16">
      <w:pPr>
        <w:pStyle w:val="CommentText"/>
        <w:numPr>
          <w:ilvl w:val="0"/>
          <w:numId w:val="62"/>
        </w:numPr>
      </w:pPr>
      <w:r>
        <w:t xml:space="preserve">  I found this </w:t>
      </w:r>
      <w:r w:rsidRPr="00530A16">
        <w:rPr>
          <w:i/>
        </w:rPr>
        <w:t>Recommendations and and Findings</w:t>
      </w:r>
      <w:r>
        <w:t xml:space="preserve"> section confusing – gappy and convoluted. I almost gave up reading but persisted having admired commissioners’ insight and frankness in the </w:t>
      </w:r>
      <w:r w:rsidRPr="00530A16">
        <w:rPr>
          <w:i/>
        </w:rPr>
        <w:t>Key Points</w:t>
      </w:r>
      <w:r>
        <w:t xml:space="preserve"> section.</w:t>
      </w:r>
    </w:p>
    <w:p w14:paraId="710EDD59" w14:textId="38D735D4" w:rsidR="00853F9D" w:rsidRDefault="00853F9D">
      <w:pPr>
        <w:pStyle w:val="CommentText"/>
      </w:pPr>
      <w:r>
        <w:t xml:space="preserve">So, below I offer a layout solution. </w:t>
      </w:r>
    </w:p>
  </w:comment>
  <w:comment w:id="2" w:author="user" w:date="2022-10-19T21:54:00Z" w:initials="u">
    <w:p w14:paraId="44737D00" w14:textId="77777777" w:rsidR="00853F9D" w:rsidRDefault="00853F9D">
      <w:pPr>
        <w:pStyle w:val="CommentText"/>
        <w:rPr>
          <w:b/>
        </w:rPr>
      </w:pPr>
      <w:r>
        <w:rPr>
          <w:rStyle w:val="CommentReference"/>
        </w:rPr>
        <w:annotationRef/>
      </w:r>
    </w:p>
    <w:p w14:paraId="20DC012F" w14:textId="77777777" w:rsidR="00853F9D" w:rsidRDefault="00853F9D">
      <w:pPr>
        <w:pStyle w:val="CommentText"/>
        <w:rPr>
          <w:b/>
        </w:rPr>
      </w:pPr>
    </w:p>
    <w:p w14:paraId="45A7B383" w14:textId="1D8F3B59" w:rsidR="00853F9D" w:rsidRDefault="00853F9D">
      <w:pPr>
        <w:pStyle w:val="CommentText"/>
        <w:rPr>
          <w:b/>
        </w:rPr>
      </w:pPr>
      <w:r w:rsidRPr="00103F8B">
        <w:rPr>
          <w:b/>
        </w:rPr>
        <w:t xml:space="preserve">Layout </w:t>
      </w:r>
    </w:p>
    <w:p w14:paraId="6C9644AA" w14:textId="56A47ECC" w:rsidR="00853F9D" w:rsidRPr="00AC7C2D" w:rsidRDefault="00853F9D">
      <w:pPr>
        <w:pStyle w:val="CommentText"/>
      </w:pPr>
      <w:r w:rsidRPr="00AC7C2D">
        <w:t>I suggest it is important to</w:t>
      </w:r>
      <w:r>
        <w:t xml:space="preserve">: </w:t>
      </w:r>
      <w:r w:rsidRPr="00AC7C2D">
        <w:t xml:space="preserve">  </w:t>
      </w:r>
    </w:p>
    <w:p w14:paraId="13663E6C" w14:textId="10D59543" w:rsidR="00853F9D" w:rsidRDefault="00853F9D" w:rsidP="007378A0">
      <w:pPr>
        <w:pStyle w:val="CommentText"/>
        <w:numPr>
          <w:ilvl w:val="0"/>
          <w:numId w:val="60"/>
        </w:numPr>
      </w:pPr>
      <w:r>
        <w:t xml:space="preserve"> List ‘Findings’ to correlate exactly with each sub heading listed on the Content page of the Chapter 1. [Aid reading this complex document, by presenting a fluency pattern that readers might routinely observe throughout the text. </w:t>
      </w:r>
    </w:p>
    <w:p w14:paraId="0F1B398A" w14:textId="77777777" w:rsidR="00853F9D" w:rsidRDefault="00853F9D" w:rsidP="000F2F09">
      <w:pPr>
        <w:pStyle w:val="CommentText"/>
      </w:pPr>
    </w:p>
    <w:p w14:paraId="077D51B3" w14:textId="77777777" w:rsidR="00853F9D" w:rsidRDefault="00853F9D" w:rsidP="000F2F09">
      <w:pPr>
        <w:pStyle w:val="CommentText"/>
      </w:pPr>
      <w:r>
        <w:t xml:space="preserve">I suggest a format such as: </w:t>
      </w:r>
    </w:p>
    <w:p w14:paraId="2CB98037" w14:textId="6CCBE555" w:rsidR="00853F9D" w:rsidRDefault="00853F9D" w:rsidP="000F2F09">
      <w:pPr>
        <w:pStyle w:val="CommentText"/>
      </w:pPr>
      <w:r>
        <w:t xml:space="preserve">        (1</w:t>
      </w:r>
      <w:r w:rsidRPr="00920940">
        <w:rPr>
          <w:vertAlign w:val="superscript"/>
        </w:rPr>
        <w:t>st</w:t>
      </w:r>
      <w:r>
        <w:rPr>
          <w:vertAlign w:val="superscript"/>
        </w:rPr>
        <w:t xml:space="preserve"> </w:t>
      </w:r>
      <w:r>
        <w:t>) Findings’;</w:t>
      </w:r>
    </w:p>
    <w:p w14:paraId="78D412E9" w14:textId="004BABB6" w:rsidR="00853F9D" w:rsidRDefault="00853F9D" w:rsidP="000F2F09">
      <w:pPr>
        <w:pStyle w:val="CommentText"/>
      </w:pPr>
      <w:r>
        <w:t>(then 2</w:t>
      </w:r>
      <w:r w:rsidRPr="00920940">
        <w:rPr>
          <w:vertAlign w:val="superscript"/>
        </w:rPr>
        <w:t>nd</w:t>
      </w:r>
      <w:r>
        <w:t xml:space="preserve">) ‘Recommendations’; </w:t>
      </w:r>
    </w:p>
    <w:p w14:paraId="12CA236A" w14:textId="6529DE58" w:rsidR="00853F9D" w:rsidRDefault="00853F9D" w:rsidP="000F2F09">
      <w:pPr>
        <w:pStyle w:val="CommentText"/>
      </w:pPr>
      <w:r>
        <w:t>and   (3</w:t>
      </w:r>
      <w:r w:rsidRPr="00920940">
        <w:rPr>
          <w:vertAlign w:val="superscript"/>
        </w:rPr>
        <w:t>rd</w:t>
      </w:r>
      <w:r>
        <w:t>) ‘Information request’.</w:t>
      </w:r>
    </w:p>
    <w:p w14:paraId="1645D624" w14:textId="77777777" w:rsidR="00853F9D" w:rsidRDefault="00853F9D" w:rsidP="000F2F09">
      <w:pPr>
        <w:pStyle w:val="CommentText"/>
      </w:pPr>
    </w:p>
    <w:p w14:paraId="1034DD3A" w14:textId="231EE8BB" w:rsidR="00853F9D" w:rsidRDefault="00853F9D" w:rsidP="007378A0">
      <w:pPr>
        <w:pStyle w:val="CommentText"/>
        <w:numPr>
          <w:ilvl w:val="0"/>
          <w:numId w:val="60"/>
        </w:numPr>
      </w:pPr>
      <w:r>
        <w:t xml:space="preserve"> Make clear what the “Information Request” category means or calls for. </w:t>
      </w:r>
    </w:p>
    <w:p w14:paraId="3338C9E7" w14:textId="77777777" w:rsidR="00853F9D" w:rsidRDefault="00853F9D" w:rsidP="000F2F09">
      <w:pPr>
        <w:pStyle w:val="CommentText"/>
        <w:ind w:firstLine="360"/>
      </w:pPr>
    </w:p>
    <w:p w14:paraId="3E736123" w14:textId="634673F9" w:rsidR="00853F9D" w:rsidRDefault="00853F9D" w:rsidP="000F2F09">
      <w:pPr>
        <w:pStyle w:val="CommentText"/>
        <w:ind w:firstLine="360"/>
      </w:pPr>
      <w:r>
        <w:t xml:space="preserve">Specify if readers are being asked to respond to the draft; or if the statement is about a matter the commissioners will be pursuing.       </w:t>
      </w:r>
    </w:p>
  </w:comment>
  <w:comment w:id="3" w:author="user" w:date="2022-10-19T21:53:00Z" w:initials="u">
    <w:p w14:paraId="2515C482" w14:textId="77777777" w:rsidR="00853F9D" w:rsidRDefault="00853F9D" w:rsidP="00C83303">
      <w:pPr>
        <w:pStyle w:val="CommentText"/>
      </w:pPr>
      <w:r>
        <w:rPr>
          <w:rStyle w:val="CommentReference"/>
        </w:rPr>
        <w:annotationRef/>
      </w:r>
      <w:r>
        <w:t xml:space="preserve"> </w:t>
      </w:r>
    </w:p>
    <w:p w14:paraId="289703A4" w14:textId="77777777" w:rsidR="00853F9D" w:rsidRDefault="00853F9D" w:rsidP="00C83303">
      <w:pPr>
        <w:pStyle w:val="CommentText"/>
      </w:pPr>
    </w:p>
    <w:p w14:paraId="3CA06CF9" w14:textId="4F206387" w:rsidR="00853F9D" w:rsidRDefault="00853F9D" w:rsidP="00C83303">
      <w:pPr>
        <w:pStyle w:val="CommentText"/>
      </w:pPr>
      <w:r>
        <w:t xml:space="preserve">There are five subsections in Chapter 1 (1.1 to 1.5) but only two ” Draft findings”. </w:t>
      </w:r>
    </w:p>
    <w:p w14:paraId="08B91BDE" w14:textId="77777777" w:rsidR="00853F9D" w:rsidRDefault="00853F9D" w:rsidP="00527532">
      <w:pPr>
        <w:pStyle w:val="CommentText"/>
      </w:pPr>
    </w:p>
    <w:p w14:paraId="73757855" w14:textId="77777777" w:rsidR="00853F9D" w:rsidRDefault="00853F9D" w:rsidP="00527532">
      <w:pPr>
        <w:pStyle w:val="CommentText"/>
      </w:pPr>
      <w:r>
        <w:t xml:space="preserve">I suggest </w:t>
      </w:r>
    </w:p>
    <w:p w14:paraId="37BEBD8D" w14:textId="5AD834C6" w:rsidR="00853F9D" w:rsidRDefault="00853F9D" w:rsidP="00527532">
      <w:pPr>
        <w:pStyle w:val="CommentText"/>
        <w:numPr>
          <w:ilvl w:val="0"/>
          <w:numId w:val="62"/>
        </w:numPr>
      </w:pPr>
      <w:r>
        <w:t xml:space="preserve"> Note every subsection draft finding </w:t>
      </w:r>
    </w:p>
    <w:p w14:paraId="21EA8D2D" w14:textId="357BF6FF" w:rsidR="00853F9D" w:rsidRDefault="00853F9D" w:rsidP="00527532">
      <w:pPr>
        <w:pStyle w:val="CommentText"/>
        <w:numPr>
          <w:ilvl w:val="0"/>
          <w:numId w:val="62"/>
        </w:numPr>
      </w:pPr>
      <w:r>
        <w:t xml:space="preserve"> or note their absence with such as: “1.3 - No draft finding prepared yet for ‘What has been happening to student outcomes?’    </w:t>
      </w:r>
    </w:p>
  </w:comment>
  <w:comment w:id="4" w:author="user" w:date="2022-10-19T21:53:00Z" w:initials="u">
    <w:p w14:paraId="74B86624" w14:textId="263046B8" w:rsidR="00853F9D" w:rsidRDefault="00853F9D" w:rsidP="00C83303">
      <w:pPr>
        <w:pStyle w:val="CommentText"/>
      </w:pPr>
      <w:r>
        <w:rPr>
          <w:rStyle w:val="CommentReference"/>
        </w:rPr>
        <w:annotationRef/>
      </w:r>
    </w:p>
    <w:p w14:paraId="0D1F8B3D" w14:textId="77777777" w:rsidR="00853F9D" w:rsidRDefault="00853F9D" w:rsidP="000F2F09">
      <w:pPr>
        <w:pStyle w:val="CommentText"/>
      </w:pPr>
    </w:p>
    <w:p w14:paraId="1C46E39F" w14:textId="004D4D18" w:rsidR="00853F9D" w:rsidRDefault="00853F9D" w:rsidP="000F2F09">
      <w:pPr>
        <w:pStyle w:val="CommentText"/>
      </w:pPr>
      <w:r>
        <w:t xml:space="preserve">Use the above suggested pattern to make text correlate exactly with the Chapter 2 findings; and to make clear what response is sought from readers. </w:t>
      </w:r>
    </w:p>
    <w:p w14:paraId="4B64A7A8" w14:textId="77777777" w:rsidR="00853F9D" w:rsidRDefault="00853F9D" w:rsidP="000F2F09">
      <w:pPr>
        <w:pStyle w:val="CommentText"/>
      </w:pPr>
    </w:p>
    <w:p w14:paraId="0D2A2DF6" w14:textId="03290FF0" w:rsidR="00853F9D" w:rsidRDefault="00853F9D" w:rsidP="00527532">
      <w:pPr>
        <w:pStyle w:val="CommentText"/>
      </w:pPr>
      <w:r>
        <w:t xml:space="preserve">Follow that pattern for each Chapter. i.e. Include the three elements </w:t>
      </w:r>
      <w:r w:rsidRPr="00527532">
        <w:rPr>
          <w:u w:val="single"/>
        </w:rPr>
        <w:t>every</w:t>
      </w:r>
      <w:r>
        <w:t xml:space="preserve"> time, in order.       </w:t>
      </w:r>
    </w:p>
  </w:comment>
  <w:comment w:id="5" w:author="user" w:date="2022-10-20T14:41:00Z" w:initials="u">
    <w:p w14:paraId="1555FC88" w14:textId="77777777" w:rsidR="00853F9D" w:rsidRDefault="00853F9D" w:rsidP="009236BC">
      <w:pPr>
        <w:pStyle w:val="CommentText"/>
      </w:pPr>
      <w:r>
        <w:rPr>
          <w:rStyle w:val="CommentReference"/>
        </w:rPr>
        <w:annotationRef/>
      </w:r>
    </w:p>
    <w:p w14:paraId="4BF5E26E" w14:textId="77777777" w:rsidR="00853F9D" w:rsidRDefault="00853F9D" w:rsidP="009236BC">
      <w:pPr>
        <w:pStyle w:val="CommentText"/>
      </w:pPr>
    </w:p>
    <w:p w14:paraId="1B4846E7" w14:textId="7889B1F1" w:rsidR="00853F9D" w:rsidRDefault="00853F9D" w:rsidP="009236BC">
      <w:pPr>
        <w:pStyle w:val="CommentText"/>
      </w:pPr>
      <w:r>
        <w:t xml:space="preserve">The intricacy of detail in the total document calls for stipulation of ties within the text, to counteract information overload effects on previously-uninformed-readers’.      </w:t>
      </w:r>
    </w:p>
    <w:p w14:paraId="32FC7CB0" w14:textId="4AA92215" w:rsidR="00853F9D" w:rsidRDefault="00853F9D" w:rsidP="009236BC">
      <w:pPr>
        <w:pStyle w:val="CommentText"/>
      </w:pPr>
      <w:r>
        <w:t xml:space="preserve">e.g. </w:t>
      </w:r>
    </w:p>
    <w:p w14:paraId="5B78D872" w14:textId="46ADF3D0" w:rsidR="00853F9D" w:rsidRDefault="00853F9D" w:rsidP="009236BC">
      <w:pPr>
        <w:pStyle w:val="CommentText"/>
        <w:numPr>
          <w:ilvl w:val="0"/>
          <w:numId w:val="63"/>
        </w:numPr>
      </w:pPr>
      <w:r>
        <w:t xml:space="preserve"> As presented, the “National Workforce Strategy” reference could be made clearer through such as “see on page 6 for Figure 2”, reminding/telling the reader where it fits within the “National Policy Initiatives”; and the same with the “Senior Secondary Pathways” reference. i.e., help readers identify the detail within the bigger picture </w:t>
      </w:r>
    </w:p>
    <w:p w14:paraId="5B67245C" w14:textId="77777777" w:rsidR="00853F9D" w:rsidRDefault="00853F9D" w:rsidP="009236BC">
      <w:pPr>
        <w:pStyle w:val="CommentText"/>
        <w:numPr>
          <w:ilvl w:val="0"/>
          <w:numId w:val="63"/>
        </w:numPr>
        <w:ind w:firstLine="720"/>
      </w:pPr>
      <w:r>
        <w:t xml:space="preserve"> The third and fourth dot-points [bottom two in the frame] to me seem better placed if placed as explanatory comments put before the points on “jurisdiction” and “equally unclear”.</w:t>
      </w:r>
    </w:p>
    <w:p w14:paraId="7AAF2BA0" w14:textId="1EEAD29D" w:rsidR="00853F9D" w:rsidRDefault="00853F9D" w:rsidP="00853F9D">
      <w:pPr>
        <w:pStyle w:val="CommentText"/>
      </w:pPr>
      <w:r>
        <w:t xml:space="preserve"> </w:t>
      </w:r>
    </w:p>
    <w:p w14:paraId="7A358E02" w14:textId="658DE914" w:rsidR="00853F9D" w:rsidRDefault="00853F9D" w:rsidP="009236BC">
      <w:pPr>
        <w:pStyle w:val="CommentText"/>
        <w:numPr>
          <w:ilvl w:val="0"/>
          <w:numId w:val="63"/>
        </w:numPr>
        <w:ind w:firstLine="720"/>
      </w:pPr>
      <w:r>
        <w:t xml:space="preserve"> Further, the last of the final two dot-points written in the present format, seems to be a combination of explanation and recommendation, not a finding: it may more logically be better placed as part of Draft recommendation 2.1.   </w:t>
      </w:r>
    </w:p>
    <w:p w14:paraId="235419A7" w14:textId="77777777" w:rsidR="00853F9D" w:rsidRDefault="00853F9D" w:rsidP="00853F9D">
      <w:pPr>
        <w:pStyle w:val="ListParagraph"/>
      </w:pPr>
    </w:p>
    <w:p w14:paraId="103383CD" w14:textId="7FAF0B9B" w:rsidR="00853F9D" w:rsidRDefault="00853F9D" w:rsidP="00853F9D">
      <w:pPr>
        <w:pStyle w:val="CommentText"/>
      </w:pPr>
      <w:r>
        <w:t>I</w:t>
      </w:r>
      <w:r w:rsidR="00D97AC8">
        <w:t>n summary, I</w:t>
      </w:r>
      <w:r>
        <w:t xml:space="preserve"> suggest </w:t>
      </w:r>
      <w:r w:rsidR="00D97AC8">
        <w:t>each Chapter</w:t>
      </w:r>
      <w:r w:rsidR="009D030B">
        <w:t>’</w:t>
      </w:r>
      <w:r w:rsidR="00D97AC8">
        <w:t xml:space="preserve">s </w:t>
      </w:r>
      <w:r w:rsidRPr="00D97AC8">
        <w:rPr>
          <w:i/>
        </w:rPr>
        <w:t>Recommendation</w:t>
      </w:r>
      <w:r w:rsidR="00D97AC8" w:rsidRPr="00D97AC8">
        <w:rPr>
          <w:i/>
        </w:rPr>
        <w:t>s and findings</w:t>
      </w:r>
      <w:r w:rsidR="00D97AC8">
        <w:t xml:space="preserve"> section</w:t>
      </w:r>
      <w:r>
        <w:t xml:space="preserve"> </w:t>
      </w:r>
      <w:r w:rsidR="00D97AC8">
        <w:t xml:space="preserve">in the final Report </w:t>
      </w:r>
      <w:r>
        <w:t xml:space="preserve">should </w:t>
      </w:r>
      <w:r w:rsidR="00D97AC8">
        <w:t xml:space="preserve">come from </w:t>
      </w:r>
      <w:r>
        <w:t>scrutin</w:t>
      </w:r>
      <w:r w:rsidR="00D97AC8">
        <w:t xml:space="preserve">ising the Draft Report, </w:t>
      </w:r>
      <w:r w:rsidR="009D030B">
        <w:t xml:space="preserve">to then </w:t>
      </w:r>
      <w:r w:rsidR="00D97AC8">
        <w:t>rewrite</w:t>
      </w:r>
      <w:r w:rsidR="009D030B">
        <w:t xml:space="preserve"> each section, to o</w:t>
      </w:r>
      <w:r w:rsidR="00D97AC8">
        <w:t xml:space="preserve">ffer </w:t>
      </w:r>
      <w:r>
        <w:t>reader</w:t>
      </w:r>
      <w:r w:rsidR="00D97AC8">
        <w:t>s</w:t>
      </w:r>
      <w:r>
        <w:t xml:space="preserve"> a </w:t>
      </w:r>
      <w:r w:rsidR="00D97AC8">
        <w:t xml:space="preserve">unified </w:t>
      </w:r>
      <w:r>
        <w:t>concept</w:t>
      </w:r>
      <w:r w:rsidR="00D97AC8">
        <w:t>/picture</w:t>
      </w:r>
      <w:r w:rsidR="009D030B">
        <w:t>. C</w:t>
      </w:r>
      <w:r w:rsidR="00D97AC8">
        <w:t>ategorically t</w:t>
      </w:r>
      <w:r w:rsidR="009D030B">
        <w:t xml:space="preserve">ie each </w:t>
      </w:r>
      <w:r w:rsidR="00D97AC8">
        <w:t>‘Info</w:t>
      </w:r>
      <w:r w:rsidR="009D030B">
        <w:t>rmation request</w:t>
      </w:r>
      <w:r w:rsidR="00D97AC8">
        <w:t xml:space="preserve">’ (or noted absence in the instance) to ‘Recommendations’ (or noted absence in the instance), </w:t>
      </w:r>
      <w:r w:rsidR="009D030B">
        <w:t>as a follow-</w:t>
      </w:r>
      <w:r w:rsidR="00D97AC8">
        <w:t xml:space="preserve">on </w:t>
      </w:r>
      <w:r w:rsidR="009D030B">
        <w:t xml:space="preserve">for each </w:t>
      </w:r>
      <w:r w:rsidR="00D97AC8">
        <w:t>(prior) ‘Fin</w:t>
      </w:r>
      <w:r w:rsidR="009D030B">
        <w:t>ding</w:t>
      </w:r>
      <w:r w:rsidR="00D97AC8">
        <w:t xml:space="preserve">’.  </w:t>
      </w:r>
      <w:r>
        <w:t xml:space="preserve">     </w:t>
      </w:r>
    </w:p>
    <w:p w14:paraId="795D23A1" w14:textId="77777777" w:rsidR="00853F9D" w:rsidRDefault="00853F9D" w:rsidP="00772821">
      <w:pPr>
        <w:pStyle w:val="CommentText"/>
      </w:pPr>
    </w:p>
    <w:p w14:paraId="4151F463" w14:textId="4DBD5167" w:rsidR="009D030B" w:rsidRDefault="009D030B" w:rsidP="00772821">
      <w:pPr>
        <w:pStyle w:val="CommentText"/>
      </w:pPr>
    </w:p>
  </w:comment>
  <w:comment w:id="6" w:author="user" w:date="2022-10-20T15:22:00Z" w:initials="u">
    <w:p w14:paraId="402481B6" w14:textId="77777777" w:rsidR="009D030B" w:rsidRDefault="009D030B">
      <w:pPr>
        <w:pStyle w:val="CommentText"/>
      </w:pPr>
      <w:r>
        <w:rPr>
          <w:rStyle w:val="CommentReference"/>
        </w:rPr>
        <w:annotationRef/>
      </w:r>
    </w:p>
    <w:p w14:paraId="1463E5F9" w14:textId="77777777" w:rsidR="009D030B" w:rsidRDefault="009D030B">
      <w:pPr>
        <w:pStyle w:val="CommentText"/>
      </w:pPr>
      <w:r>
        <w:t>In the style I am suggesting, this Information request 3.2 would appear earlier, immediately after a ‘Finding 3.2’</w:t>
      </w:r>
    </w:p>
    <w:p w14:paraId="06F43F00" w14:textId="77777777" w:rsidR="009D030B" w:rsidRDefault="009D030B">
      <w:pPr>
        <w:pStyle w:val="CommentText"/>
      </w:pPr>
    </w:p>
    <w:p w14:paraId="6528E106" w14:textId="4523B155" w:rsidR="009D030B" w:rsidRDefault="009D030B">
      <w:pPr>
        <w:pStyle w:val="CommentText"/>
      </w:pPr>
      <w:r>
        <w:t xml:space="preserve">Attention to correction of what I read as further misplacements of elements below, </w:t>
      </w:r>
      <w:r w:rsidR="00793B6B">
        <w:t xml:space="preserve">seems </w:t>
      </w:r>
      <w:r w:rsidR="00EE7F4E">
        <w:t>advisable</w:t>
      </w:r>
      <w:r w:rsidR="00793B6B">
        <w:t xml:space="preserve">: </w:t>
      </w:r>
      <w:r>
        <w:t xml:space="preserve">I’ve not used my precious time to write notes to identify all </w:t>
      </w:r>
      <w:r w:rsidR="00793B6B">
        <w:t>cases</w:t>
      </w:r>
      <w:r w:rsidR="00EE7F4E">
        <w:t>: the</w:t>
      </w:r>
      <w:r w:rsidR="00793B6B">
        <w:t xml:space="preserve"> </w:t>
      </w:r>
      <w:r>
        <w:t xml:space="preserve"> ‘Information request 3.2’ being sandwiched between ‘Draft Findings 3.4’ and ‘Draft finding 3.5’</w:t>
      </w:r>
      <w:r w:rsidR="00EE7F4E">
        <w:t xml:space="preserve"> is an example of what I see as problematic.</w:t>
      </w:r>
      <w:r>
        <w:t xml:space="preserve">  </w:t>
      </w:r>
    </w:p>
    <w:p w14:paraId="052CCE1B" w14:textId="23BEAE13" w:rsidR="00793B6B" w:rsidRDefault="00793B6B">
      <w:pPr>
        <w:pStyle w:val="CommentText"/>
      </w:pPr>
    </w:p>
  </w:comment>
  <w:comment w:id="7" w:author="user" w:date="2022-10-20T15:24:00Z" w:initials="u">
    <w:p w14:paraId="4086DAB1" w14:textId="77777777" w:rsidR="00FF194A" w:rsidRDefault="00FF194A">
      <w:pPr>
        <w:pStyle w:val="CommentText"/>
      </w:pPr>
      <w:r>
        <w:rPr>
          <w:rStyle w:val="CommentReference"/>
        </w:rPr>
        <w:annotationRef/>
      </w:r>
    </w:p>
    <w:p w14:paraId="10809E6E" w14:textId="77777777" w:rsidR="00FF194A" w:rsidRDefault="00FF194A">
      <w:pPr>
        <w:pStyle w:val="CommentText"/>
      </w:pPr>
    </w:p>
    <w:p w14:paraId="104ABA1F" w14:textId="714D8545" w:rsidR="00FF194A" w:rsidRDefault="00FF194A">
      <w:pPr>
        <w:pStyle w:val="CommentText"/>
      </w:pPr>
      <w:r>
        <w:t xml:space="preserve">I have written no more </w:t>
      </w:r>
      <w:r w:rsidR="00EE7F4E">
        <w:t xml:space="preserve">margin review </w:t>
      </w:r>
      <w:r>
        <w:t xml:space="preserve">comments past this point, but offer the </w:t>
      </w:r>
      <w:r w:rsidR="00EE7F4E">
        <w:t xml:space="preserve">complete </w:t>
      </w:r>
      <w:r>
        <w:t xml:space="preserve">section </w:t>
      </w:r>
      <w:r w:rsidR="00EE7F4E">
        <w:t xml:space="preserve">(up to  </w:t>
      </w:r>
      <w:r>
        <w:t>what the Interim Report lists as page 41</w:t>
      </w:r>
      <w:r w:rsidR="00EE7F4E">
        <w:t>)</w:t>
      </w:r>
      <w:r>
        <w:t>, so reader</w:t>
      </w:r>
      <w:r w:rsidR="00EE7F4E">
        <w:t>s</w:t>
      </w:r>
      <w:r>
        <w:t xml:space="preserve"> ha</w:t>
      </w:r>
      <w:r w:rsidR="00EE7F4E">
        <w:t xml:space="preserve">ve </w:t>
      </w:r>
      <w:r>
        <w:t>my comments in context.</w:t>
      </w:r>
      <w:r w:rsidR="00EE7F4E">
        <w:t xml:space="preserve"> It’s a work in progress!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EDD59" w15:done="0"/>
  <w15:commentEx w15:paraId="3E736123" w15:done="0"/>
  <w15:commentEx w15:paraId="21EA8D2D" w15:done="0"/>
  <w15:commentEx w15:paraId="0D2A2DF6" w15:done="0"/>
  <w15:commentEx w15:paraId="4151F463" w15:done="0"/>
  <w15:commentEx w15:paraId="052CCE1B" w15:done="0"/>
  <w15:commentEx w15:paraId="104ABA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EDD59" w16cid:durableId="27052D17"/>
  <w16cid:commentId w16cid:paraId="3E736123" w16cid:durableId="27052D18"/>
  <w16cid:commentId w16cid:paraId="21EA8D2D" w16cid:durableId="27052D19"/>
  <w16cid:commentId w16cid:paraId="0D2A2DF6" w16cid:durableId="27052D1A"/>
  <w16cid:commentId w16cid:paraId="4151F463" w16cid:durableId="27052D1B"/>
  <w16cid:commentId w16cid:paraId="052CCE1B" w16cid:durableId="27052D1C"/>
  <w16cid:commentId w16cid:paraId="104ABA1F" w16cid:durableId="27052D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4874" w14:textId="77777777" w:rsidR="00F027E0" w:rsidRDefault="00F027E0" w:rsidP="008017BC">
      <w:r>
        <w:separator/>
      </w:r>
    </w:p>
    <w:p w14:paraId="4BAE4F99" w14:textId="77777777" w:rsidR="00F027E0" w:rsidRDefault="00F027E0"/>
  </w:endnote>
  <w:endnote w:type="continuationSeparator" w:id="0">
    <w:p w14:paraId="5605D9B0" w14:textId="77777777" w:rsidR="00F027E0" w:rsidRDefault="00F027E0" w:rsidP="008017BC">
      <w:r>
        <w:continuationSeparator/>
      </w:r>
    </w:p>
    <w:p w14:paraId="397D106D" w14:textId="77777777" w:rsidR="00F027E0" w:rsidRDefault="00F027E0"/>
  </w:endnote>
  <w:endnote w:type="continuationNotice" w:id="1">
    <w:p w14:paraId="30742BB7" w14:textId="77777777" w:rsidR="00F027E0" w:rsidRDefault="00F027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BFCE" w14:textId="77777777" w:rsidR="00F027E0" w:rsidRPr="00C238D1" w:rsidRDefault="00F027E0" w:rsidP="00273E86">
      <w:pPr>
        <w:spacing w:after="0" w:line="240" w:lineRule="auto"/>
        <w:rPr>
          <w:rStyle w:val="ColourDarkBlue"/>
        </w:rPr>
      </w:pPr>
      <w:r w:rsidRPr="00C238D1">
        <w:rPr>
          <w:rStyle w:val="ColourDarkBlue"/>
        </w:rPr>
        <w:continuationSeparator/>
      </w:r>
    </w:p>
  </w:footnote>
  <w:footnote w:type="continuationSeparator" w:id="0">
    <w:p w14:paraId="52A5CEA5" w14:textId="77777777" w:rsidR="00F027E0" w:rsidRPr="001D7D9B" w:rsidRDefault="00F027E0" w:rsidP="001D7D9B">
      <w:pPr>
        <w:spacing w:after="0" w:line="240" w:lineRule="auto"/>
        <w:rPr>
          <w:color w:val="265A9A" w:themeColor="background2"/>
        </w:rPr>
      </w:pPr>
      <w:r w:rsidRPr="00C238D1">
        <w:rPr>
          <w:rStyle w:val="ColourDarkBlue"/>
        </w:rPr>
        <w:continuationSeparator/>
      </w:r>
    </w:p>
  </w:footnote>
  <w:footnote w:type="continuationNotice" w:id="1">
    <w:p w14:paraId="0AAE71EB" w14:textId="77777777" w:rsidR="00F027E0" w:rsidRDefault="00F02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E509" w14:textId="5B11DA32" w:rsidR="00853F9D" w:rsidRPr="00FE3900" w:rsidRDefault="00FE3900" w:rsidP="00FE3900">
    <w:pPr>
      <w:pStyle w:val="Header"/>
      <w:rPr>
        <w:lang w:val="en-US"/>
      </w:rPr>
    </w:pPr>
    <w:r w:rsidRPr="00FE3900">
      <w:rPr>
        <w:b/>
        <w:lang w:val="en-US"/>
      </w:rPr>
      <w:t>Appendix A:</w:t>
    </w:r>
    <w:r>
      <w:rPr>
        <w:lang w:val="en-US"/>
      </w:rPr>
      <w:t xml:space="preserve"> Noel D Holmes - Comments on layout of </w:t>
    </w:r>
    <w:r w:rsidRPr="00FE3900">
      <w:rPr>
        <w:i/>
        <w:lang w:val="en-US"/>
      </w:rPr>
      <w:t>Recommendations and findings</w:t>
    </w:r>
    <w:r>
      <w:rPr>
        <w:lang w:val="en-US"/>
      </w:rPr>
      <w:t xml:space="preserve"> section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C8872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BAACD9E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9427F76"/>
    <w:lvl w:ilvl="0">
      <w:start w:val="1"/>
      <w:numFmt w:val="decimal"/>
      <w:lvlText w:val="%1."/>
      <w:lvlJc w:val="left"/>
      <w:pPr>
        <w:tabs>
          <w:tab w:val="num" w:pos="360"/>
        </w:tabs>
        <w:ind w:left="360" w:hanging="360"/>
      </w:pPr>
      <w:rPr>
        <w:color w:val="265A9A" w:themeColor="background2"/>
      </w:rPr>
    </w:lvl>
  </w:abstractNum>
  <w:abstractNum w:abstractNumId="3" w15:restartNumberingAfterBreak="0">
    <w:nsid w:val="FFFFFF89"/>
    <w:multiLevelType w:val="singleLevel"/>
    <w:tmpl w:val="67E2A7B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5042C5"/>
    <w:multiLevelType w:val="singleLevel"/>
    <w:tmpl w:val="E1D40928"/>
    <w:lvl w:ilvl="0">
      <w:start w:val="1"/>
      <w:numFmt w:val="decimal"/>
      <w:lvlText w:val="%1."/>
      <w:lvlJc w:val="left"/>
      <w:pPr>
        <w:tabs>
          <w:tab w:val="num" w:pos="360"/>
        </w:tabs>
        <w:ind w:left="360" w:hanging="360"/>
      </w:pPr>
      <w:rPr>
        <w:color w:val="265A9A" w:themeColor="background2"/>
      </w:rPr>
    </w:lvl>
  </w:abstractNum>
  <w:abstractNum w:abstractNumId="5" w15:restartNumberingAfterBreak="0">
    <w:nsid w:val="04543D19"/>
    <w:multiLevelType w:val="hybridMultilevel"/>
    <w:tmpl w:val="746A7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3E6C9D"/>
    <w:multiLevelType w:val="multilevel"/>
    <w:tmpl w:val="FF8069A4"/>
    <w:numStyleLink w:val="Bullets"/>
  </w:abstractNum>
  <w:abstractNum w:abstractNumId="10"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1"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2" w15:restartNumberingAfterBreak="0">
    <w:nsid w:val="149838F1"/>
    <w:multiLevelType w:val="singleLevel"/>
    <w:tmpl w:val="E1D40928"/>
    <w:lvl w:ilvl="0">
      <w:start w:val="1"/>
      <w:numFmt w:val="decimal"/>
      <w:lvlText w:val="%1."/>
      <w:lvlJc w:val="left"/>
      <w:pPr>
        <w:tabs>
          <w:tab w:val="num" w:pos="360"/>
        </w:tabs>
        <w:ind w:left="360" w:hanging="360"/>
      </w:pPr>
      <w:rPr>
        <w:color w:val="265A9A" w:themeColor="background2"/>
      </w:rPr>
    </w:lvl>
  </w:abstractNum>
  <w:abstractNum w:abstractNumId="13"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4"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0220CF"/>
    <w:multiLevelType w:val="multilevel"/>
    <w:tmpl w:val="3176CE9A"/>
    <w:lvl w:ilvl="0">
      <w:start w:val="5"/>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D665246"/>
    <w:multiLevelType w:val="multilevel"/>
    <w:tmpl w:val="55366B42"/>
    <w:numStyleLink w:val="LetteredList"/>
  </w:abstractNum>
  <w:abstractNum w:abstractNumId="18" w15:restartNumberingAfterBreak="0">
    <w:nsid w:val="2DFE29AF"/>
    <w:multiLevelType w:val="multilevel"/>
    <w:tmpl w:val="72768BCE"/>
    <w:numStyleLink w:val="AppendixHeadingList"/>
  </w:abstractNum>
  <w:abstractNum w:abstractNumId="19" w15:restartNumberingAfterBreak="0">
    <w:nsid w:val="2EFD4985"/>
    <w:multiLevelType w:val="multilevel"/>
    <w:tmpl w:val="1FA8DC2A"/>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0"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1446D2"/>
    <w:multiLevelType w:val="hybridMultilevel"/>
    <w:tmpl w:val="74324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624CC8"/>
    <w:multiLevelType w:val="hybridMultilevel"/>
    <w:tmpl w:val="AB36CF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9D5F0C"/>
    <w:multiLevelType w:val="hybridMultilevel"/>
    <w:tmpl w:val="79A2DB6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780FAE"/>
    <w:multiLevelType w:val="hybridMultilevel"/>
    <w:tmpl w:val="6C04640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815576"/>
    <w:multiLevelType w:val="hybridMultilevel"/>
    <w:tmpl w:val="ED5457C0"/>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E00B03"/>
    <w:multiLevelType w:val="multilevel"/>
    <w:tmpl w:val="69CC16E4"/>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28" w15:restartNumberingAfterBreak="0">
    <w:nsid w:val="5B213878"/>
    <w:multiLevelType w:val="singleLevel"/>
    <w:tmpl w:val="CDBAEF70"/>
    <w:lvl w:ilvl="0">
      <w:start w:val="1"/>
      <w:numFmt w:val="decimal"/>
      <w:lvlText w:val="%1."/>
      <w:lvlJc w:val="left"/>
      <w:pPr>
        <w:tabs>
          <w:tab w:val="num" w:pos="360"/>
        </w:tabs>
        <w:ind w:left="360" w:hanging="360"/>
      </w:pPr>
      <w:rPr>
        <w:rFonts w:hint="default"/>
        <w:color w:val="auto"/>
      </w:rPr>
    </w:lvl>
  </w:abstractNum>
  <w:abstractNum w:abstractNumId="29"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1" w15:restartNumberingAfterBreak="0">
    <w:nsid w:val="613047C9"/>
    <w:multiLevelType w:val="singleLevel"/>
    <w:tmpl w:val="E1D40928"/>
    <w:lvl w:ilvl="0">
      <w:start w:val="1"/>
      <w:numFmt w:val="decimal"/>
      <w:lvlText w:val="%1."/>
      <w:lvlJc w:val="left"/>
      <w:pPr>
        <w:tabs>
          <w:tab w:val="num" w:pos="360"/>
        </w:tabs>
        <w:ind w:left="360" w:hanging="360"/>
      </w:pPr>
      <w:rPr>
        <w:color w:val="265A9A" w:themeColor="background2"/>
      </w:rPr>
    </w:lvl>
  </w:abstractNum>
  <w:abstractNum w:abstractNumId="32" w15:restartNumberingAfterBreak="0">
    <w:nsid w:val="62EC3645"/>
    <w:multiLevelType w:val="hybridMultilevel"/>
    <w:tmpl w:val="A72CCA3C"/>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E17257"/>
    <w:multiLevelType w:val="multilevel"/>
    <w:tmpl w:val="7FA0A7DA"/>
    <w:lvl w:ilvl="0">
      <w:start w:val="3"/>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4376C5B"/>
    <w:multiLevelType w:val="hybridMultilevel"/>
    <w:tmpl w:val="0D409900"/>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476D12"/>
    <w:multiLevelType w:val="hybridMultilevel"/>
    <w:tmpl w:val="103C44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D50AE5"/>
    <w:multiLevelType w:val="singleLevel"/>
    <w:tmpl w:val="E1D40928"/>
    <w:lvl w:ilvl="0">
      <w:start w:val="1"/>
      <w:numFmt w:val="decimal"/>
      <w:lvlText w:val="%1."/>
      <w:lvlJc w:val="left"/>
      <w:pPr>
        <w:tabs>
          <w:tab w:val="num" w:pos="360"/>
        </w:tabs>
        <w:ind w:left="360" w:hanging="360"/>
      </w:pPr>
      <w:rPr>
        <w:color w:val="265A9A" w:themeColor="background2"/>
      </w:rPr>
    </w:lvl>
  </w:abstractNum>
  <w:abstractNum w:abstractNumId="37" w15:restartNumberingAfterBreak="0">
    <w:nsid w:val="6C036E1C"/>
    <w:multiLevelType w:val="multilevel"/>
    <w:tmpl w:val="69CC16E4"/>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38" w15:restartNumberingAfterBreak="0">
    <w:nsid w:val="727950B2"/>
    <w:multiLevelType w:val="hybridMultilevel"/>
    <w:tmpl w:val="152C9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F86981"/>
    <w:multiLevelType w:val="hybridMultilevel"/>
    <w:tmpl w:val="73ECC66E"/>
    <w:lvl w:ilvl="0" w:tplc="75549744">
      <w:start w:val="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1B4A1B"/>
    <w:multiLevelType w:val="multilevel"/>
    <w:tmpl w:val="4F48000A"/>
    <w:numStyleLink w:val="Alphalist"/>
  </w:abstractNum>
  <w:abstractNum w:abstractNumId="41" w15:restartNumberingAfterBreak="0">
    <w:nsid w:val="795B62A5"/>
    <w:multiLevelType w:val="hybridMultilevel"/>
    <w:tmpl w:val="1DA6B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AFA0BF7"/>
    <w:multiLevelType w:val="singleLevel"/>
    <w:tmpl w:val="647A25CE"/>
    <w:lvl w:ilvl="0">
      <w:start w:val="1"/>
      <w:numFmt w:val="decimal"/>
      <w:lvlText w:val="%1."/>
      <w:lvlJc w:val="left"/>
      <w:pPr>
        <w:tabs>
          <w:tab w:val="num" w:pos="360"/>
        </w:tabs>
        <w:ind w:left="360" w:hanging="360"/>
      </w:pPr>
      <w:rPr>
        <w:color w:val="auto"/>
      </w:rPr>
    </w:lvl>
  </w:abstractNum>
  <w:num w:numId="1" w16cid:durableId="1851793492">
    <w:abstractNumId w:val="9"/>
  </w:num>
  <w:num w:numId="2" w16cid:durableId="154927123">
    <w:abstractNumId w:val="14"/>
  </w:num>
  <w:num w:numId="3" w16cid:durableId="1220165208">
    <w:abstractNumId w:val="2"/>
    <w:lvlOverride w:ilvl="0">
      <w:startOverride w:val="1"/>
    </w:lvlOverride>
  </w:num>
  <w:num w:numId="4" w16cid:durableId="1022392434">
    <w:abstractNumId w:val="2"/>
    <w:lvlOverride w:ilvl="0">
      <w:startOverride w:val="1"/>
    </w:lvlOverride>
  </w:num>
  <w:num w:numId="5" w16cid:durableId="1927034548">
    <w:abstractNumId w:val="2"/>
    <w:lvlOverride w:ilvl="0">
      <w:startOverride w:val="1"/>
    </w:lvlOverride>
  </w:num>
  <w:num w:numId="6" w16cid:durableId="265043558">
    <w:abstractNumId w:val="5"/>
  </w:num>
  <w:num w:numId="7" w16cid:durableId="2092041676">
    <w:abstractNumId w:val="27"/>
  </w:num>
  <w:num w:numId="8" w16cid:durableId="38129582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3586112">
    <w:abstractNumId w:val="41"/>
  </w:num>
  <w:num w:numId="10" w16cid:durableId="805313718">
    <w:abstractNumId w:val="21"/>
  </w:num>
  <w:num w:numId="11" w16cid:durableId="1184637828">
    <w:abstractNumId w:val="38"/>
  </w:num>
  <w:num w:numId="12" w16cid:durableId="123232348">
    <w:abstractNumId w:val="33"/>
  </w:num>
  <w:num w:numId="13" w16cid:durableId="79648105">
    <w:abstractNumId w:val="15"/>
  </w:num>
  <w:num w:numId="14" w16cid:durableId="511574236">
    <w:abstractNumId w:val="22"/>
  </w:num>
  <w:num w:numId="15" w16cid:durableId="821502011">
    <w:abstractNumId w:val="34"/>
  </w:num>
  <w:num w:numId="16" w16cid:durableId="159274191">
    <w:abstractNumId w:val="25"/>
  </w:num>
  <w:num w:numId="17" w16cid:durableId="591473288">
    <w:abstractNumId w:val="32"/>
  </w:num>
  <w:num w:numId="18" w16cid:durableId="590429848">
    <w:abstractNumId w:val="19"/>
  </w:num>
  <w:num w:numId="19" w16cid:durableId="1094402016">
    <w:abstractNumId w:val="42"/>
  </w:num>
  <w:num w:numId="20" w16cid:durableId="1969778894">
    <w:abstractNumId w:val="28"/>
  </w:num>
  <w:num w:numId="21" w16cid:durableId="618338845">
    <w:abstractNumId w:val="31"/>
  </w:num>
  <w:num w:numId="22" w16cid:durableId="2046783704">
    <w:abstractNumId w:val="12"/>
  </w:num>
  <w:num w:numId="23" w16cid:durableId="1313480810">
    <w:abstractNumId w:val="36"/>
  </w:num>
  <w:num w:numId="24" w16cid:durableId="1433432673">
    <w:abstractNumId w:val="11"/>
  </w:num>
  <w:num w:numId="25" w16cid:durableId="1278179350">
    <w:abstractNumId w:val="7"/>
  </w:num>
  <w:num w:numId="26" w16cid:durableId="393820459">
    <w:abstractNumId w:val="16"/>
  </w:num>
  <w:num w:numId="27" w16cid:durableId="538124317">
    <w:abstractNumId w:val="29"/>
  </w:num>
  <w:num w:numId="28" w16cid:durableId="1364596504">
    <w:abstractNumId w:val="30"/>
  </w:num>
  <w:num w:numId="29" w16cid:durableId="1110323165">
    <w:abstractNumId w:val="26"/>
  </w:num>
  <w:num w:numId="30" w16cid:durableId="1850487137">
    <w:abstractNumId w:val="18"/>
  </w:num>
  <w:num w:numId="31" w16cid:durableId="59209322">
    <w:abstractNumId w:val="13"/>
  </w:num>
  <w:num w:numId="32" w16cid:durableId="353579819">
    <w:abstractNumId w:val="17"/>
  </w:num>
  <w:num w:numId="33" w16cid:durableId="429084424">
    <w:abstractNumId w:val="40"/>
  </w:num>
  <w:num w:numId="34" w16cid:durableId="1191987634">
    <w:abstractNumId w:val="0"/>
  </w:num>
  <w:num w:numId="35" w16cid:durableId="1293751204">
    <w:abstractNumId w:val="8"/>
  </w:num>
  <w:num w:numId="36" w16cid:durableId="936328624">
    <w:abstractNumId w:val="14"/>
  </w:num>
  <w:num w:numId="37" w16cid:durableId="905994270">
    <w:abstractNumId w:val="10"/>
  </w:num>
  <w:num w:numId="38" w16cid:durableId="1179809460">
    <w:abstractNumId w:val="9"/>
  </w:num>
  <w:num w:numId="39" w16cid:durableId="1370227961">
    <w:abstractNumId w:val="6"/>
  </w:num>
  <w:num w:numId="40" w16cid:durableId="1290356655">
    <w:abstractNumId w:val="20"/>
  </w:num>
  <w:num w:numId="41" w16cid:durableId="1820002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23678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715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9059327">
    <w:abstractNumId w:val="2"/>
    <w:lvlOverride w:ilvl="0">
      <w:startOverride w:val="1"/>
    </w:lvlOverride>
  </w:num>
  <w:num w:numId="45" w16cid:durableId="285476467">
    <w:abstractNumId w:val="4"/>
  </w:num>
  <w:num w:numId="46" w16cid:durableId="600727034">
    <w:abstractNumId w:val="37"/>
  </w:num>
  <w:num w:numId="47" w16cid:durableId="479538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6689825">
    <w:abstractNumId w:val="2"/>
    <w:lvlOverride w:ilvl="0">
      <w:startOverride w:val="1"/>
    </w:lvlOverride>
  </w:num>
  <w:num w:numId="49" w16cid:durableId="1176069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2215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0326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426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827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7561918">
    <w:abstractNumId w:val="3"/>
  </w:num>
  <w:num w:numId="55" w16cid:durableId="968782149">
    <w:abstractNumId w:val="1"/>
  </w:num>
  <w:num w:numId="56" w16cid:durableId="1956909849">
    <w:abstractNumId w:val="2"/>
  </w:num>
  <w:num w:numId="57" w16cid:durableId="1950358365">
    <w:abstractNumId w:val="9"/>
  </w:num>
  <w:num w:numId="58" w16cid:durableId="2039964073">
    <w:abstractNumId w:val="9"/>
  </w:num>
  <w:num w:numId="59" w16cid:durableId="473449068">
    <w:abstractNumId w:val="9"/>
  </w:num>
  <w:num w:numId="60" w16cid:durableId="1017392806">
    <w:abstractNumId w:val="23"/>
  </w:num>
  <w:num w:numId="61" w16cid:durableId="692263364">
    <w:abstractNumId w:val="24"/>
  </w:num>
  <w:num w:numId="62" w16cid:durableId="1210263890">
    <w:abstractNumId w:val="39"/>
  </w:num>
  <w:num w:numId="63" w16cid:durableId="343815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A03"/>
    <w:rsid w:val="00000075"/>
    <w:rsid w:val="0000079C"/>
    <w:rsid w:val="00000CEC"/>
    <w:rsid w:val="00000F3C"/>
    <w:rsid w:val="000016C3"/>
    <w:rsid w:val="00001E60"/>
    <w:rsid w:val="00002367"/>
    <w:rsid w:val="0000272E"/>
    <w:rsid w:val="00002D5C"/>
    <w:rsid w:val="00003725"/>
    <w:rsid w:val="00003889"/>
    <w:rsid w:val="00004081"/>
    <w:rsid w:val="00004489"/>
    <w:rsid w:val="00004727"/>
    <w:rsid w:val="000047DA"/>
    <w:rsid w:val="000048E8"/>
    <w:rsid w:val="00004F64"/>
    <w:rsid w:val="00005B49"/>
    <w:rsid w:val="00005C79"/>
    <w:rsid w:val="00010EB9"/>
    <w:rsid w:val="00010F8F"/>
    <w:rsid w:val="000113D0"/>
    <w:rsid w:val="00011F98"/>
    <w:rsid w:val="00012C1A"/>
    <w:rsid w:val="000134F2"/>
    <w:rsid w:val="00013779"/>
    <w:rsid w:val="00013C5B"/>
    <w:rsid w:val="00014AE3"/>
    <w:rsid w:val="00014F7A"/>
    <w:rsid w:val="000153B0"/>
    <w:rsid w:val="00015BD4"/>
    <w:rsid w:val="0001773B"/>
    <w:rsid w:val="000179D0"/>
    <w:rsid w:val="00017C73"/>
    <w:rsid w:val="00017D8A"/>
    <w:rsid w:val="0002153A"/>
    <w:rsid w:val="00022C59"/>
    <w:rsid w:val="00023628"/>
    <w:rsid w:val="00023AD5"/>
    <w:rsid w:val="00023CEB"/>
    <w:rsid w:val="000251D4"/>
    <w:rsid w:val="00025210"/>
    <w:rsid w:val="000259F3"/>
    <w:rsid w:val="00026C04"/>
    <w:rsid w:val="00027B39"/>
    <w:rsid w:val="000300AF"/>
    <w:rsid w:val="00030F70"/>
    <w:rsid w:val="00031914"/>
    <w:rsid w:val="00031F18"/>
    <w:rsid w:val="000324B2"/>
    <w:rsid w:val="00032BC9"/>
    <w:rsid w:val="00032F32"/>
    <w:rsid w:val="000331E4"/>
    <w:rsid w:val="0003338D"/>
    <w:rsid w:val="00033619"/>
    <w:rsid w:val="0003405D"/>
    <w:rsid w:val="00034710"/>
    <w:rsid w:val="00034A67"/>
    <w:rsid w:val="00034E1A"/>
    <w:rsid w:val="00034F1A"/>
    <w:rsid w:val="00036110"/>
    <w:rsid w:val="00036871"/>
    <w:rsid w:val="0003723F"/>
    <w:rsid w:val="0004108C"/>
    <w:rsid w:val="00041475"/>
    <w:rsid w:val="00041927"/>
    <w:rsid w:val="00043A36"/>
    <w:rsid w:val="00043EAD"/>
    <w:rsid w:val="000459A1"/>
    <w:rsid w:val="00046C2D"/>
    <w:rsid w:val="00047894"/>
    <w:rsid w:val="000479CF"/>
    <w:rsid w:val="000502D3"/>
    <w:rsid w:val="00050431"/>
    <w:rsid w:val="00051034"/>
    <w:rsid w:val="00051282"/>
    <w:rsid w:val="0005151B"/>
    <w:rsid w:val="00051C6F"/>
    <w:rsid w:val="00053BE4"/>
    <w:rsid w:val="00053F0E"/>
    <w:rsid w:val="00054C95"/>
    <w:rsid w:val="000550D1"/>
    <w:rsid w:val="0005524C"/>
    <w:rsid w:val="00055A0F"/>
    <w:rsid w:val="00055CC3"/>
    <w:rsid w:val="00055F56"/>
    <w:rsid w:val="000561CF"/>
    <w:rsid w:val="00056A06"/>
    <w:rsid w:val="0005774F"/>
    <w:rsid w:val="00061F26"/>
    <w:rsid w:val="000626CB"/>
    <w:rsid w:val="000627FB"/>
    <w:rsid w:val="00062A44"/>
    <w:rsid w:val="00063350"/>
    <w:rsid w:val="00063CDF"/>
    <w:rsid w:val="00065A16"/>
    <w:rsid w:val="00065F00"/>
    <w:rsid w:val="00067D36"/>
    <w:rsid w:val="00067DE3"/>
    <w:rsid w:val="00070E9C"/>
    <w:rsid w:val="00071DC3"/>
    <w:rsid w:val="000720E6"/>
    <w:rsid w:val="000724AE"/>
    <w:rsid w:val="00072F3D"/>
    <w:rsid w:val="0007383A"/>
    <w:rsid w:val="00075C61"/>
    <w:rsid w:val="00076382"/>
    <w:rsid w:val="000766C9"/>
    <w:rsid w:val="0007691A"/>
    <w:rsid w:val="00076AC7"/>
    <w:rsid w:val="0007776A"/>
    <w:rsid w:val="0007777C"/>
    <w:rsid w:val="00077A76"/>
    <w:rsid w:val="00077AEE"/>
    <w:rsid w:val="00077E74"/>
    <w:rsid w:val="0008037D"/>
    <w:rsid w:val="00080600"/>
    <w:rsid w:val="00080F09"/>
    <w:rsid w:val="00081124"/>
    <w:rsid w:val="000831ED"/>
    <w:rsid w:val="00083667"/>
    <w:rsid w:val="00083B4E"/>
    <w:rsid w:val="00084660"/>
    <w:rsid w:val="00084FA6"/>
    <w:rsid w:val="00085937"/>
    <w:rsid w:val="00085FB9"/>
    <w:rsid w:val="00087EF7"/>
    <w:rsid w:val="00090373"/>
    <w:rsid w:val="00090CD5"/>
    <w:rsid w:val="00090F70"/>
    <w:rsid w:val="00091286"/>
    <w:rsid w:val="0009169D"/>
    <w:rsid w:val="00091A1B"/>
    <w:rsid w:val="00091C0F"/>
    <w:rsid w:val="0009212F"/>
    <w:rsid w:val="00092F09"/>
    <w:rsid w:val="00092FEF"/>
    <w:rsid w:val="00093A19"/>
    <w:rsid w:val="00093B1F"/>
    <w:rsid w:val="00093CD7"/>
    <w:rsid w:val="00094046"/>
    <w:rsid w:val="00094336"/>
    <w:rsid w:val="00094756"/>
    <w:rsid w:val="00096F45"/>
    <w:rsid w:val="0009727B"/>
    <w:rsid w:val="000974EF"/>
    <w:rsid w:val="000A08B1"/>
    <w:rsid w:val="000A0F08"/>
    <w:rsid w:val="000A15B0"/>
    <w:rsid w:val="000A2197"/>
    <w:rsid w:val="000A2306"/>
    <w:rsid w:val="000A30D2"/>
    <w:rsid w:val="000A38AA"/>
    <w:rsid w:val="000A3CF8"/>
    <w:rsid w:val="000A459B"/>
    <w:rsid w:val="000A491B"/>
    <w:rsid w:val="000A4FE9"/>
    <w:rsid w:val="000A5DA5"/>
    <w:rsid w:val="000A7D0D"/>
    <w:rsid w:val="000B11C5"/>
    <w:rsid w:val="000B140C"/>
    <w:rsid w:val="000B14BB"/>
    <w:rsid w:val="000B2028"/>
    <w:rsid w:val="000B246F"/>
    <w:rsid w:val="000B307C"/>
    <w:rsid w:val="000B3192"/>
    <w:rsid w:val="000B4381"/>
    <w:rsid w:val="000B497F"/>
    <w:rsid w:val="000B4A72"/>
    <w:rsid w:val="000B4CF1"/>
    <w:rsid w:val="000B4E51"/>
    <w:rsid w:val="000B5105"/>
    <w:rsid w:val="000B5A40"/>
    <w:rsid w:val="000B73AF"/>
    <w:rsid w:val="000C0278"/>
    <w:rsid w:val="000C6B00"/>
    <w:rsid w:val="000C6B77"/>
    <w:rsid w:val="000D09B2"/>
    <w:rsid w:val="000D1766"/>
    <w:rsid w:val="000D1C46"/>
    <w:rsid w:val="000D228E"/>
    <w:rsid w:val="000D2B5F"/>
    <w:rsid w:val="000D32A2"/>
    <w:rsid w:val="000D3FF8"/>
    <w:rsid w:val="000D62EC"/>
    <w:rsid w:val="000D6480"/>
    <w:rsid w:val="000D6FFA"/>
    <w:rsid w:val="000E04F9"/>
    <w:rsid w:val="000E0A9A"/>
    <w:rsid w:val="000E0B99"/>
    <w:rsid w:val="000E43B0"/>
    <w:rsid w:val="000E49C6"/>
    <w:rsid w:val="000E4B7E"/>
    <w:rsid w:val="000E63AB"/>
    <w:rsid w:val="000E6AED"/>
    <w:rsid w:val="000E71BC"/>
    <w:rsid w:val="000E79ED"/>
    <w:rsid w:val="000F0256"/>
    <w:rsid w:val="000F0A67"/>
    <w:rsid w:val="000F1B62"/>
    <w:rsid w:val="000F1D43"/>
    <w:rsid w:val="000F209A"/>
    <w:rsid w:val="000F2F09"/>
    <w:rsid w:val="000F3171"/>
    <w:rsid w:val="000F39DC"/>
    <w:rsid w:val="000F4488"/>
    <w:rsid w:val="000F5041"/>
    <w:rsid w:val="000F5BAC"/>
    <w:rsid w:val="000F6718"/>
    <w:rsid w:val="000F6E96"/>
    <w:rsid w:val="000F74FF"/>
    <w:rsid w:val="00100FAB"/>
    <w:rsid w:val="0010117F"/>
    <w:rsid w:val="0010369A"/>
    <w:rsid w:val="00103F8B"/>
    <w:rsid w:val="001045F3"/>
    <w:rsid w:val="00105348"/>
    <w:rsid w:val="0010587F"/>
    <w:rsid w:val="00106EFC"/>
    <w:rsid w:val="001070B5"/>
    <w:rsid w:val="0011182F"/>
    <w:rsid w:val="00111CB1"/>
    <w:rsid w:val="00111FE7"/>
    <w:rsid w:val="0011217E"/>
    <w:rsid w:val="001128C7"/>
    <w:rsid w:val="00112E8F"/>
    <w:rsid w:val="001149AB"/>
    <w:rsid w:val="00114D82"/>
    <w:rsid w:val="001157F4"/>
    <w:rsid w:val="00116AD5"/>
    <w:rsid w:val="00120792"/>
    <w:rsid w:val="00120A11"/>
    <w:rsid w:val="00121D49"/>
    <w:rsid w:val="00121EDF"/>
    <w:rsid w:val="00122538"/>
    <w:rsid w:val="001226F3"/>
    <w:rsid w:val="00123D3A"/>
    <w:rsid w:val="00123F9D"/>
    <w:rsid w:val="00124206"/>
    <w:rsid w:val="001244AD"/>
    <w:rsid w:val="00125572"/>
    <w:rsid w:val="001255C5"/>
    <w:rsid w:val="00125CA4"/>
    <w:rsid w:val="00125E23"/>
    <w:rsid w:val="00125F42"/>
    <w:rsid w:val="001268BC"/>
    <w:rsid w:val="00126D3F"/>
    <w:rsid w:val="0012756C"/>
    <w:rsid w:val="00130151"/>
    <w:rsid w:val="00131523"/>
    <w:rsid w:val="001331C2"/>
    <w:rsid w:val="0013373F"/>
    <w:rsid w:val="0013393C"/>
    <w:rsid w:val="00134D48"/>
    <w:rsid w:val="00135EDD"/>
    <w:rsid w:val="001363EB"/>
    <w:rsid w:val="0013722E"/>
    <w:rsid w:val="0013745E"/>
    <w:rsid w:val="00137FAB"/>
    <w:rsid w:val="001403E4"/>
    <w:rsid w:val="001404C0"/>
    <w:rsid w:val="00141343"/>
    <w:rsid w:val="00141E73"/>
    <w:rsid w:val="00142A15"/>
    <w:rsid w:val="00142D52"/>
    <w:rsid w:val="00142D61"/>
    <w:rsid w:val="001442E6"/>
    <w:rsid w:val="00144B4C"/>
    <w:rsid w:val="00145D9A"/>
    <w:rsid w:val="00147ECA"/>
    <w:rsid w:val="00151737"/>
    <w:rsid w:val="001518D8"/>
    <w:rsid w:val="00152684"/>
    <w:rsid w:val="00154B6E"/>
    <w:rsid w:val="00154E0D"/>
    <w:rsid w:val="00154FDE"/>
    <w:rsid w:val="00156C97"/>
    <w:rsid w:val="001600E9"/>
    <w:rsid w:val="00160907"/>
    <w:rsid w:val="001609EE"/>
    <w:rsid w:val="00160FEC"/>
    <w:rsid w:val="001610E5"/>
    <w:rsid w:val="00161423"/>
    <w:rsid w:val="00161649"/>
    <w:rsid w:val="00161BC8"/>
    <w:rsid w:val="001645C7"/>
    <w:rsid w:val="001648FA"/>
    <w:rsid w:val="00164ED2"/>
    <w:rsid w:val="001654DE"/>
    <w:rsid w:val="0016799F"/>
    <w:rsid w:val="00167A7D"/>
    <w:rsid w:val="0017003F"/>
    <w:rsid w:val="00170637"/>
    <w:rsid w:val="00171331"/>
    <w:rsid w:val="001714F3"/>
    <w:rsid w:val="0017383D"/>
    <w:rsid w:val="00173882"/>
    <w:rsid w:val="0017471A"/>
    <w:rsid w:val="00174944"/>
    <w:rsid w:val="0017569A"/>
    <w:rsid w:val="00176003"/>
    <w:rsid w:val="00176110"/>
    <w:rsid w:val="0017745A"/>
    <w:rsid w:val="0017762A"/>
    <w:rsid w:val="00177816"/>
    <w:rsid w:val="00177903"/>
    <w:rsid w:val="00177CE5"/>
    <w:rsid w:val="001800C7"/>
    <w:rsid w:val="00180EBE"/>
    <w:rsid w:val="001816D7"/>
    <w:rsid w:val="00181E07"/>
    <w:rsid w:val="0018216D"/>
    <w:rsid w:val="00182A40"/>
    <w:rsid w:val="00184501"/>
    <w:rsid w:val="00184C52"/>
    <w:rsid w:val="00185FF2"/>
    <w:rsid w:val="001864E4"/>
    <w:rsid w:val="00186862"/>
    <w:rsid w:val="00187F05"/>
    <w:rsid w:val="001932B8"/>
    <w:rsid w:val="001939B8"/>
    <w:rsid w:val="0019462E"/>
    <w:rsid w:val="001957BF"/>
    <w:rsid w:val="00195D47"/>
    <w:rsid w:val="001961E2"/>
    <w:rsid w:val="00197384"/>
    <w:rsid w:val="001A0D77"/>
    <w:rsid w:val="001A1033"/>
    <w:rsid w:val="001A196A"/>
    <w:rsid w:val="001A1D95"/>
    <w:rsid w:val="001A2565"/>
    <w:rsid w:val="001A76B5"/>
    <w:rsid w:val="001A7CE7"/>
    <w:rsid w:val="001B0CAA"/>
    <w:rsid w:val="001B1762"/>
    <w:rsid w:val="001B17AC"/>
    <w:rsid w:val="001B2692"/>
    <w:rsid w:val="001B2A30"/>
    <w:rsid w:val="001B2BB9"/>
    <w:rsid w:val="001B2E2D"/>
    <w:rsid w:val="001B301B"/>
    <w:rsid w:val="001B3DF7"/>
    <w:rsid w:val="001B463D"/>
    <w:rsid w:val="001B47E0"/>
    <w:rsid w:val="001B55DA"/>
    <w:rsid w:val="001B588D"/>
    <w:rsid w:val="001B67F5"/>
    <w:rsid w:val="001B6A76"/>
    <w:rsid w:val="001B6B2B"/>
    <w:rsid w:val="001B6B46"/>
    <w:rsid w:val="001B7606"/>
    <w:rsid w:val="001C1A62"/>
    <w:rsid w:val="001C2C86"/>
    <w:rsid w:val="001C3685"/>
    <w:rsid w:val="001C3A34"/>
    <w:rsid w:val="001C3EC8"/>
    <w:rsid w:val="001C5133"/>
    <w:rsid w:val="001C565B"/>
    <w:rsid w:val="001C6A9B"/>
    <w:rsid w:val="001C7835"/>
    <w:rsid w:val="001C7FEF"/>
    <w:rsid w:val="001D0182"/>
    <w:rsid w:val="001D064B"/>
    <w:rsid w:val="001D08B3"/>
    <w:rsid w:val="001D0B6A"/>
    <w:rsid w:val="001D1B4E"/>
    <w:rsid w:val="001D4050"/>
    <w:rsid w:val="001D557A"/>
    <w:rsid w:val="001D64B2"/>
    <w:rsid w:val="001D6830"/>
    <w:rsid w:val="001D7CF7"/>
    <w:rsid w:val="001D7D9B"/>
    <w:rsid w:val="001E003F"/>
    <w:rsid w:val="001E073D"/>
    <w:rsid w:val="001E0A2B"/>
    <w:rsid w:val="001E10F1"/>
    <w:rsid w:val="001E178D"/>
    <w:rsid w:val="001E1FA7"/>
    <w:rsid w:val="001E277B"/>
    <w:rsid w:val="001E293D"/>
    <w:rsid w:val="001E578E"/>
    <w:rsid w:val="001F0B87"/>
    <w:rsid w:val="001F0CF9"/>
    <w:rsid w:val="001F0DDE"/>
    <w:rsid w:val="001F0E1D"/>
    <w:rsid w:val="001F13C1"/>
    <w:rsid w:val="001F1E9A"/>
    <w:rsid w:val="001F2DCD"/>
    <w:rsid w:val="001F34BD"/>
    <w:rsid w:val="001F446D"/>
    <w:rsid w:val="001F4819"/>
    <w:rsid w:val="001F491D"/>
    <w:rsid w:val="001F5B75"/>
    <w:rsid w:val="001F682A"/>
    <w:rsid w:val="001F682F"/>
    <w:rsid w:val="001F6B0A"/>
    <w:rsid w:val="001F6B8D"/>
    <w:rsid w:val="001F6C81"/>
    <w:rsid w:val="001F75F8"/>
    <w:rsid w:val="001F7DAE"/>
    <w:rsid w:val="001F7EC9"/>
    <w:rsid w:val="00201320"/>
    <w:rsid w:val="0020151B"/>
    <w:rsid w:val="0020204A"/>
    <w:rsid w:val="002028FA"/>
    <w:rsid w:val="002044BA"/>
    <w:rsid w:val="00204690"/>
    <w:rsid w:val="00205070"/>
    <w:rsid w:val="00206B9C"/>
    <w:rsid w:val="00207BF0"/>
    <w:rsid w:val="00207CE3"/>
    <w:rsid w:val="00207DBB"/>
    <w:rsid w:val="00210143"/>
    <w:rsid w:val="002105E9"/>
    <w:rsid w:val="00211137"/>
    <w:rsid w:val="002112EC"/>
    <w:rsid w:val="00213234"/>
    <w:rsid w:val="002161EE"/>
    <w:rsid w:val="00217A96"/>
    <w:rsid w:val="00217B80"/>
    <w:rsid w:val="00220AC9"/>
    <w:rsid w:val="00220DB7"/>
    <w:rsid w:val="00220E31"/>
    <w:rsid w:val="0022130F"/>
    <w:rsid w:val="00221800"/>
    <w:rsid w:val="00221AB7"/>
    <w:rsid w:val="00222297"/>
    <w:rsid w:val="002239B0"/>
    <w:rsid w:val="00224C57"/>
    <w:rsid w:val="00224D33"/>
    <w:rsid w:val="00224D9B"/>
    <w:rsid w:val="00225782"/>
    <w:rsid w:val="00226464"/>
    <w:rsid w:val="00226985"/>
    <w:rsid w:val="00227712"/>
    <w:rsid w:val="0023007A"/>
    <w:rsid w:val="00230A53"/>
    <w:rsid w:val="00231C07"/>
    <w:rsid w:val="002329FD"/>
    <w:rsid w:val="00233525"/>
    <w:rsid w:val="00233C4B"/>
    <w:rsid w:val="00233F73"/>
    <w:rsid w:val="00235312"/>
    <w:rsid w:val="00236890"/>
    <w:rsid w:val="002369DE"/>
    <w:rsid w:val="002369EB"/>
    <w:rsid w:val="00236F91"/>
    <w:rsid w:val="00237BB5"/>
    <w:rsid w:val="002401F9"/>
    <w:rsid w:val="0024023A"/>
    <w:rsid w:val="00240715"/>
    <w:rsid w:val="00240860"/>
    <w:rsid w:val="00241640"/>
    <w:rsid w:val="00241813"/>
    <w:rsid w:val="0024195A"/>
    <w:rsid w:val="00241D7B"/>
    <w:rsid w:val="00241DF0"/>
    <w:rsid w:val="00241F91"/>
    <w:rsid w:val="002439B8"/>
    <w:rsid w:val="00244648"/>
    <w:rsid w:val="00244730"/>
    <w:rsid w:val="002452BC"/>
    <w:rsid w:val="002457DE"/>
    <w:rsid w:val="00246191"/>
    <w:rsid w:val="00246435"/>
    <w:rsid w:val="00246BCF"/>
    <w:rsid w:val="00246C81"/>
    <w:rsid w:val="00246CC6"/>
    <w:rsid w:val="002476DE"/>
    <w:rsid w:val="00247A45"/>
    <w:rsid w:val="00250077"/>
    <w:rsid w:val="00250621"/>
    <w:rsid w:val="00251245"/>
    <w:rsid w:val="00251CA2"/>
    <w:rsid w:val="00251E62"/>
    <w:rsid w:val="002523B8"/>
    <w:rsid w:val="00253359"/>
    <w:rsid w:val="00253BC9"/>
    <w:rsid w:val="002540CF"/>
    <w:rsid w:val="002548C6"/>
    <w:rsid w:val="00254AC0"/>
    <w:rsid w:val="002555A8"/>
    <w:rsid w:val="002573A0"/>
    <w:rsid w:val="00257994"/>
    <w:rsid w:val="002579F9"/>
    <w:rsid w:val="00257E67"/>
    <w:rsid w:val="002601BB"/>
    <w:rsid w:val="00260B96"/>
    <w:rsid w:val="00261349"/>
    <w:rsid w:val="00262067"/>
    <w:rsid w:val="00262C0D"/>
    <w:rsid w:val="00265734"/>
    <w:rsid w:val="00265918"/>
    <w:rsid w:val="0027076F"/>
    <w:rsid w:val="00270834"/>
    <w:rsid w:val="00271A89"/>
    <w:rsid w:val="002729A6"/>
    <w:rsid w:val="002736A5"/>
    <w:rsid w:val="00273E86"/>
    <w:rsid w:val="00274C57"/>
    <w:rsid w:val="00275708"/>
    <w:rsid w:val="002772D2"/>
    <w:rsid w:val="0028017C"/>
    <w:rsid w:val="00280EE8"/>
    <w:rsid w:val="002814E6"/>
    <w:rsid w:val="0028198A"/>
    <w:rsid w:val="00281A54"/>
    <w:rsid w:val="00282507"/>
    <w:rsid w:val="00282AE5"/>
    <w:rsid w:val="0028376A"/>
    <w:rsid w:val="00283F01"/>
    <w:rsid w:val="00284B40"/>
    <w:rsid w:val="00285996"/>
    <w:rsid w:val="00285C0F"/>
    <w:rsid w:val="00286700"/>
    <w:rsid w:val="00287114"/>
    <w:rsid w:val="00287A3C"/>
    <w:rsid w:val="00287D5F"/>
    <w:rsid w:val="002912D5"/>
    <w:rsid w:val="00291647"/>
    <w:rsid w:val="00292230"/>
    <w:rsid w:val="00292F2A"/>
    <w:rsid w:val="00293150"/>
    <w:rsid w:val="002931C9"/>
    <w:rsid w:val="0029320D"/>
    <w:rsid w:val="002932A6"/>
    <w:rsid w:val="002932C7"/>
    <w:rsid w:val="002936B4"/>
    <w:rsid w:val="002937B1"/>
    <w:rsid w:val="0029426F"/>
    <w:rsid w:val="00294A23"/>
    <w:rsid w:val="00294D4E"/>
    <w:rsid w:val="002951E6"/>
    <w:rsid w:val="00295330"/>
    <w:rsid w:val="002955FB"/>
    <w:rsid w:val="00295F49"/>
    <w:rsid w:val="0029690D"/>
    <w:rsid w:val="00297878"/>
    <w:rsid w:val="00297D8A"/>
    <w:rsid w:val="002A0089"/>
    <w:rsid w:val="002A1B4A"/>
    <w:rsid w:val="002A1D6B"/>
    <w:rsid w:val="002A24A4"/>
    <w:rsid w:val="002A2992"/>
    <w:rsid w:val="002A41FD"/>
    <w:rsid w:val="002A42C0"/>
    <w:rsid w:val="002A48DD"/>
    <w:rsid w:val="002A4F13"/>
    <w:rsid w:val="002A6073"/>
    <w:rsid w:val="002A6D5E"/>
    <w:rsid w:val="002A796E"/>
    <w:rsid w:val="002A7E04"/>
    <w:rsid w:val="002A7FED"/>
    <w:rsid w:val="002B0432"/>
    <w:rsid w:val="002B0577"/>
    <w:rsid w:val="002B078B"/>
    <w:rsid w:val="002B0E8D"/>
    <w:rsid w:val="002B1AB8"/>
    <w:rsid w:val="002B44B0"/>
    <w:rsid w:val="002B4F6D"/>
    <w:rsid w:val="002B5C21"/>
    <w:rsid w:val="002B5D55"/>
    <w:rsid w:val="002B740C"/>
    <w:rsid w:val="002C0C7A"/>
    <w:rsid w:val="002C2BCE"/>
    <w:rsid w:val="002C35CD"/>
    <w:rsid w:val="002C367F"/>
    <w:rsid w:val="002C36B4"/>
    <w:rsid w:val="002C387C"/>
    <w:rsid w:val="002C3D0E"/>
    <w:rsid w:val="002C3E96"/>
    <w:rsid w:val="002C3FE4"/>
    <w:rsid w:val="002C48FB"/>
    <w:rsid w:val="002C4E0E"/>
    <w:rsid w:val="002C4E12"/>
    <w:rsid w:val="002C4E50"/>
    <w:rsid w:val="002C5C81"/>
    <w:rsid w:val="002C676C"/>
    <w:rsid w:val="002C7008"/>
    <w:rsid w:val="002C797E"/>
    <w:rsid w:val="002C7AF1"/>
    <w:rsid w:val="002D04CB"/>
    <w:rsid w:val="002D13EA"/>
    <w:rsid w:val="002D339F"/>
    <w:rsid w:val="002D38B9"/>
    <w:rsid w:val="002D3DF2"/>
    <w:rsid w:val="002D41D6"/>
    <w:rsid w:val="002D50CB"/>
    <w:rsid w:val="002D56A4"/>
    <w:rsid w:val="002D59D3"/>
    <w:rsid w:val="002D7572"/>
    <w:rsid w:val="002D7886"/>
    <w:rsid w:val="002E0782"/>
    <w:rsid w:val="002E14B7"/>
    <w:rsid w:val="002E1AA9"/>
    <w:rsid w:val="002E1D0E"/>
    <w:rsid w:val="002E21D1"/>
    <w:rsid w:val="002E2E37"/>
    <w:rsid w:val="002E376D"/>
    <w:rsid w:val="002E3F19"/>
    <w:rsid w:val="002E3F71"/>
    <w:rsid w:val="002E4192"/>
    <w:rsid w:val="002E42DC"/>
    <w:rsid w:val="002E51D2"/>
    <w:rsid w:val="002E57CF"/>
    <w:rsid w:val="002E5EE0"/>
    <w:rsid w:val="002E6001"/>
    <w:rsid w:val="002E65CA"/>
    <w:rsid w:val="002E7111"/>
    <w:rsid w:val="002E7A0E"/>
    <w:rsid w:val="002E7CD9"/>
    <w:rsid w:val="002E7EFA"/>
    <w:rsid w:val="002E7FED"/>
    <w:rsid w:val="002F0749"/>
    <w:rsid w:val="002F121C"/>
    <w:rsid w:val="002F1CFB"/>
    <w:rsid w:val="002F3287"/>
    <w:rsid w:val="002F34F1"/>
    <w:rsid w:val="002F3CBE"/>
    <w:rsid w:val="002F49E2"/>
    <w:rsid w:val="002F4A19"/>
    <w:rsid w:val="002F5076"/>
    <w:rsid w:val="002F5625"/>
    <w:rsid w:val="002F6025"/>
    <w:rsid w:val="002F6386"/>
    <w:rsid w:val="002F68D1"/>
    <w:rsid w:val="00300D95"/>
    <w:rsid w:val="0030311E"/>
    <w:rsid w:val="00303704"/>
    <w:rsid w:val="00303A4A"/>
    <w:rsid w:val="00303AF8"/>
    <w:rsid w:val="00304C88"/>
    <w:rsid w:val="00305171"/>
    <w:rsid w:val="00305236"/>
    <w:rsid w:val="003052CB"/>
    <w:rsid w:val="00306364"/>
    <w:rsid w:val="00306AEE"/>
    <w:rsid w:val="00307337"/>
    <w:rsid w:val="00307CDA"/>
    <w:rsid w:val="00307F8A"/>
    <w:rsid w:val="0031010B"/>
    <w:rsid w:val="003102DB"/>
    <w:rsid w:val="00310883"/>
    <w:rsid w:val="003119AF"/>
    <w:rsid w:val="00313E24"/>
    <w:rsid w:val="00314169"/>
    <w:rsid w:val="00314A6B"/>
    <w:rsid w:val="00316A03"/>
    <w:rsid w:val="00316D1B"/>
    <w:rsid w:val="0031735D"/>
    <w:rsid w:val="0032013C"/>
    <w:rsid w:val="00320896"/>
    <w:rsid w:val="00320944"/>
    <w:rsid w:val="00321742"/>
    <w:rsid w:val="003218A9"/>
    <w:rsid w:val="0032263D"/>
    <w:rsid w:val="0032295A"/>
    <w:rsid w:val="003230A0"/>
    <w:rsid w:val="00323400"/>
    <w:rsid w:val="0032399C"/>
    <w:rsid w:val="00323B6F"/>
    <w:rsid w:val="00324738"/>
    <w:rsid w:val="00326A36"/>
    <w:rsid w:val="00327326"/>
    <w:rsid w:val="003275CD"/>
    <w:rsid w:val="00327C14"/>
    <w:rsid w:val="00327CC4"/>
    <w:rsid w:val="00327D90"/>
    <w:rsid w:val="00330029"/>
    <w:rsid w:val="0033029A"/>
    <w:rsid w:val="0033227A"/>
    <w:rsid w:val="00332CA9"/>
    <w:rsid w:val="003330D9"/>
    <w:rsid w:val="00336ECB"/>
    <w:rsid w:val="0033722C"/>
    <w:rsid w:val="003374A3"/>
    <w:rsid w:val="00340812"/>
    <w:rsid w:val="00342AED"/>
    <w:rsid w:val="00344127"/>
    <w:rsid w:val="003442F4"/>
    <w:rsid w:val="00344F5C"/>
    <w:rsid w:val="0034501C"/>
    <w:rsid w:val="00345209"/>
    <w:rsid w:val="00345B9C"/>
    <w:rsid w:val="00345C69"/>
    <w:rsid w:val="0034680A"/>
    <w:rsid w:val="00346B5F"/>
    <w:rsid w:val="0035023B"/>
    <w:rsid w:val="003502B3"/>
    <w:rsid w:val="0035160E"/>
    <w:rsid w:val="00352ED3"/>
    <w:rsid w:val="003532BE"/>
    <w:rsid w:val="003532CA"/>
    <w:rsid w:val="003534F4"/>
    <w:rsid w:val="003541EF"/>
    <w:rsid w:val="0035430C"/>
    <w:rsid w:val="00354696"/>
    <w:rsid w:val="00354BB5"/>
    <w:rsid w:val="00354E58"/>
    <w:rsid w:val="0035519A"/>
    <w:rsid w:val="00355614"/>
    <w:rsid w:val="00356F05"/>
    <w:rsid w:val="0035711D"/>
    <w:rsid w:val="0036059A"/>
    <w:rsid w:val="00360613"/>
    <w:rsid w:val="00360739"/>
    <w:rsid w:val="003610C7"/>
    <w:rsid w:val="00361689"/>
    <w:rsid w:val="00361D92"/>
    <w:rsid w:val="00361EC3"/>
    <w:rsid w:val="00362CB0"/>
    <w:rsid w:val="0036377E"/>
    <w:rsid w:val="00363CC4"/>
    <w:rsid w:val="00363FF8"/>
    <w:rsid w:val="003640E1"/>
    <w:rsid w:val="00364E58"/>
    <w:rsid w:val="00365028"/>
    <w:rsid w:val="003669E2"/>
    <w:rsid w:val="00366F86"/>
    <w:rsid w:val="00370217"/>
    <w:rsid w:val="00370AFF"/>
    <w:rsid w:val="003713C1"/>
    <w:rsid w:val="003713C7"/>
    <w:rsid w:val="00371C4B"/>
    <w:rsid w:val="00371ED0"/>
    <w:rsid w:val="00372055"/>
    <w:rsid w:val="00373B37"/>
    <w:rsid w:val="00373D1B"/>
    <w:rsid w:val="003754B9"/>
    <w:rsid w:val="00375649"/>
    <w:rsid w:val="00375996"/>
    <w:rsid w:val="00376491"/>
    <w:rsid w:val="003764B0"/>
    <w:rsid w:val="00376B2A"/>
    <w:rsid w:val="00376F2A"/>
    <w:rsid w:val="0037721D"/>
    <w:rsid w:val="003772F5"/>
    <w:rsid w:val="00377814"/>
    <w:rsid w:val="0038102A"/>
    <w:rsid w:val="00382B41"/>
    <w:rsid w:val="00382D70"/>
    <w:rsid w:val="003830A4"/>
    <w:rsid w:val="003833B4"/>
    <w:rsid w:val="0038378D"/>
    <w:rsid w:val="00383DF0"/>
    <w:rsid w:val="0038546E"/>
    <w:rsid w:val="003859A0"/>
    <w:rsid w:val="00386309"/>
    <w:rsid w:val="003872AB"/>
    <w:rsid w:val="00387CE0"/>
    <w:rsid w:val="00390AED"/>
    <w:rsid w:val="0039186E"/>
    <w:rsid w:val="00392BEC"/>
    <w:rsid w:val="00393E35"/>
    <w:rsid w:val="003954C4"/>
    <w:rsid w:val="00395DCB"/>
    <w:rsid w:val="0039651D"/>
    <w:rsid w:val="00396970"/>
    <w:rsid w:val="00396BD8"/>
    <w:rsid w:val="00397131"/>
    <w:rsid w:val="00397288"/>
    <w:rsid w:val="003A080C"/>
    <w:rsid w:val="003A0972"/>
    <w:rsid w:val="003A1A7F"/>
    <w:rsid w:val="003A23E9"/>
    <w:rsid w:val="003A27FE"/>
    <w:rsid w:val="003A2AD9"/>
    <w:rsid w:val="003A369F"/>
    <w:rsid w:val="003A5CAD"/>
    <w:rsid w:val="003A5EF6"/>
    <w:rsid w:val="003A73E9"/>
    <w:rsid w:val="003A743E"/>
    <w:rsid w:val="003A7ADE"/>
    <w:rsid w:val="003A7DAF"/>
    <w:rsid w:val="003B0711"/>
    <w:rsid w:val="003B0D28"/>
    <w:rsid w:val="003B19CA"/>
    <w:rsid w:val="003B2A34"/>
    <w:rsid w:val="003B2DC7"/>
    <w:rsid w:val="003B3833"/>
    <w:rsid w:val="003B4162"/>
    <w:rsid w:val="003B5619"/>
    <w:rsid w:val="003B6E2C"/>
    <w:rsid w:val="003B6FA6"/>
    <w:rsid w:val="003B7DB1"/>
    <w:rsid w:val="003C0055"/>
    <w:rsid w:val="003C01D4"/>
    <w:rsid w:val="003C115C"/>
    <w:rsid w:val="003C2636"/>
    <w:rsid w:val="003C27EE"/>
    <w:rsid w:val="003C2CC3"/>
    <w:rsid w:val="003C4792"/>
    <w:rsid w:val="003C516D"/>
    <w:rsid w:val="003C58BE"/>
    <w:rsid w:val="003C59A4"/>
    <w:rsid w:val="003C624B"/>
    <w:rsid w:val="003C69BF"/>
    <w:rsid w:val="003D0356"/>
    <w:rsid w:val="003D09EE"/>
    <w:rsid w:val="003D1579"/>
    <w:rsid w:val="003D23A3"/>
    <w:rsid w:val="003D2608"/>
    <w:rsid w:val="003D2612"/>
    <w:rsid w:val="003D32AE"/>
    <w:rsid w:val="003D428A"/>
    <w:rsid w:val="003D4852"/>
    <w:rsid w:val="003D5856"/>
    <w:rsid w:val="003D597C"/>
    <w:rsid w:val="003D66F7"/>
    <w:rsid w:val="003D6EDD"/>
    <w:rsid w:val="003E016F"/>
    <w:rsid w:val="003E0F5F"/>
    <w:rsid w:val="003E105E"/>
    <w:rsid w:val="003E20A6"/>
    <w:rsid w:val="003E29FB"/>
    <w:rsid w:val="003E2D96"/>
    <w:rsid w:val="003E2F19"/>
    <w:rsid w:val="003E3E16"/>
    <w:rsid w:val="003E46B3"/>
    <w:rsid w:val="003E4DDF"/>
    <w:rsid w:val="003E50B2"/>
    <w:rsid w:val="003E6055"/>
    <w:rsid w:val="003E66D9"/>
    <w:rsid w:val="003E71E2"/>
    <w:rsid w:val="003E733F"/>
    <w:rsid w:val="003F00BF"/>
    <w:rsid w:val="003F1233"/>
    <w:rsid w:val="003F3076"/>
    <w:rsid w:val="003F30B2"/>
    <w:rsid w:val="003F318E"/>
    <w:rsid w:val="003F323D"/>
    <w:rsid w:val="003F332A"/>
    <w:rsid w:val="003F3BC2"/>
    <w:rsid w:val="003F3CA9"/>
    <w:rsid w:val="003F4521"/>
    <w:rsid w:val="003F5990"/>
    <w:rsid w:val="003F60C7"/>
    <w:rsid w:val="003F6F1A"/>
    <w:rsid w:val="003F75FA"/>
    <w:rsid w:val="0040060F"/>
    <w:rsid w:val="00400A30"/>
    <w:rsid w:val="004016F0"/>
    <w:rsid w:val="0040283A"/>
    <w:rsid w:val="004033D2"/>
    <w:rsid w:val="004034D7"/>
    <w:rsid w:val="00404562"/>
    <w:rsid w:val="0040494D"/>
    <w:rsid w:val="00404E4F"/>
    <w:rsid w:val="004064F7"/>
    <w:rsid w:val="004067DA"/>
    <w:rsid w:val="004068C4"/>
    <w:rsid w:val="0040706F"/>
    <w:rsid w:val="00410921"/>
    <w:rsid w:val="00410D90"/>
    <w:rsid w:val="00411CC3"/>
    <w:rsid w:val="004120A4"/>
    <w:rsid w:val="004125B4"/>
    <w:rsid w:val="00412AEB"/>
    <w:rsid w:val="00413639"/>
    <w:rsid w:val="00414510"/>
    <w:rsid w:val="0041493C"/>
    <w:rsid w:val="00414AF8"/>
    <w:rsid w:val="004151EC"/>
    <w:rsid w:val="004153EC"/>
    <w:rsid w:val="0041612B"/>
    <w:rsid w:val="00420F0E"/>
    <w:rsid w:val="004210A5"/>
    <w:rsid w:val="004214B8"/>
    <w:rsid w:val="004221DF"/>
    <w:rsid w:val="0042235A"/>
    <w:rsid w:val="0042275D"/>
    <w:rsid w:val="00422C48"/>
    <w:rsid w:val="00423073"/>
    <w:rsid w:val="0042339A"/>
    <w:rsid w:val="0042389E"/>
    <w:rsid w:val="00423A05"/>
    <w:rsid w:val="00423B15"/>
    <w:rsid w:val="00424B9F"/>
    <w:rsid w:val="00424CB8"/>
    <w:rsid w:val="00424ECE"/>
    <w:rsid w:val="00425064"/>
    <w:rsid w:val="0042508F"/>
    <w:rsid w:val="00425C58"/>
    <w:rsid w:val="00425E08"/>
    <w:rsid w:val="00426FD5"/>
    <w:rsid w:val="00427251"/>
    <w:rsid w:val="0042736A"/>
    <w:rsid w:val="004301CF"/>
    <w:rsid w:val="0043275A"/>
    <w:rsid w:val="00432ADF"/>
    <w:rsid w:val="00433061"/>
    <w:rsid w:val="0043326D"/>
    <w:rsid w:val="00433636"/>
    <w:rsid w:val="0043446D"/>
    <w:rsid w:val="004345D3"/>
    <w:rsid w:val="0043717A"/>
    <w:rsid w:val="004379C2"/>
    <w:rsid w:val="00437ADD"/>
    <w:rsid w:val="00437C71"/>
    <w:rsid w:val="004400E8"/>
    <w:rsid w:val="00440400"/>
    <w:rsid w:val="00440735"/>
    <w:rsid w:val="00440EB0"/>
    <w:rsid w:val="00440F37"/>
    <w:rsid w:val="0044267E"/>
    <w:rsid w:val="004427D6"/>
    <w:rsid w:val="0044309E"/>
    <w:rsid w:val="00443358"/>
    <w:rsid w:val="00443875"/>
    <w:rsid w:val="00444053"/>
    <w:rsid w:val="00444A2F"/>
    <w:rsid w:val="00445385"/>
    <w:rsid w:val="00445B2E"/>
    <w:rsid w:val="00446254"/>
    <w:rsid w:val="0044665E"/>
    <w:rsid w:val="00446C41"/>
    <w:rsid w:val="0044711E"/>
    <w:rsid w:val="004479AE"/>
    <w:rsid w:val="00447BED"/>
    <w:rsid w:val="00450C80"/>
    <w:rsid w:val="00451B16"/>
    <w:rsid w:val="00451F2B"/>
    <w:rsid w:val="0045291B"/>
    <w:rsid w:val="0045356D"/>
    <w:rsid w:val="004544D6"/>
    <w:rsid w:val="00454968"/>
    <w:rsid w:val="00454DAD"/>
    <w:rsid w:val="00455252"/>
    <w:rsid w:val="00455B6A"/>
    <w:rsid w:val="004565BF"/>
    <w:rsid w:val="004567B6"/>
    <w:rsid w:val="00456B98"/>
    <w:rsid w:val="00456DA0"/>
    <w:rsid w:val="00457381"/>
    <w:rsid w:val="00457B07"/>
    <w:rsid w:val="00457C95"/>
    <w:rsid w:val="004606D0"/>
    <w:rsid w:val="00460B8D"/>
    <w:rsid w:val="00461CE9"/>
    <w:rsid w:val="00462407"/>
    <w:rsid w:val="004631DD"/>
    <w:rsid w:val="00463253"/>
    <w:rsid w:val="004635B4"/>
    <w:rsid w:val="004635FD"/>
    <w:rsid w:val="00464805"/>
    <w:rsid w:val="004669BB"/>
    <w:rsid w:val="00466C41"/>
    <w:rsid w:val="00466EAC"/>
    <w:rsid w:val="00467EF3"/>
    <w:rsid w:val="00470129"/>
    <w:rsid w:val="00471143"/>
    <w:rsid w:val="004717EE"/>
    <w:rsid w:val="004724DF"/>
    <w:rsid w:val="004728A0"/>
    <w:rsid w:val="00472F4F"/>
    <w:rsid w:val="004742DD"/>
    <w:rsid w:val="00475140"/>
    <w:rsid w:val="00475231"/>
    <w:rsid w:val="00475552"/>
    <w:rsid w:val="0047647D"/>
    <w:rsid w:val="004764AF"/>
    <w:rsid w:val="00477B49"/>
    <w:rsid w:val="004811AB"/>
    <w:rsid w:val="00481F95"/>
    <w:rsid w:val="00483AC8"/>
    <w:rsid w:val="00483DAA"/>
    <w:rsid w:val="00484509"/>
    <w:rsid w:val="00484E96"/>
    <w:rsid w:val="00487250"/>
    <w:rsid w:val="004900C2"/>
    <w:rsid w:val="00490845"/>
    <w:rsid w:val="00490A31"/>
    <w:rsid w:val="00490AE8"/>
    <w:rsid w:val="00490CEC"/>
    <w:rsid w:val="004911D0"/>
    <w:rsid w:val="004917ED"/>
    <w:rsid w:val="00491CAC"/>
    <w:rsid w:val="00492B41"/>
    <w:rsid w:val="004934FB"/>
    <w:rsid w:val="0049356C"/>
    <w:rsid w:val="004936F0"/>
    <w:rsid w:val="00494303"/>
    <w:rsid w:val="0049447C"/>
    <w:rsid w:val="004954FF"/>
    <w:rsid w:val="00495B59"/>
    <w:rsid w:val="00496700"/>
    <w:rsid w:val="00496FEE"/>
    <w:rsid w:val="00497AFA"/>
    <w:rsid w:val="00497D4B"/>
    <w:rsid w:val="004A0171"/>
    <w:rsid w:val="004A0B24"/>
    <w:rsid w:val="004A0D74"/>
    <w:rsid w:val="004A131B"/>
    <w:rsid w:val="004A18DE"/>
    <w:rsid w:val="004A2FB8"/>
    <w:rsid w:val="004A4863"/>
    <w:rsid w:val="004A49D0"/>
    <w:rsid w:val="004A4D53"/>
    <w:rsid w:val="004A5586"/>
    <w:rsid w:val="004A5616"/>
    <w:rsid w:val="004A5D4A"/>
    <w:rsid w:val="004A7210"/>
    <w:rsid w:val="004A7DA6"/>
    <w:rsid w:val="004B01F5"/>
    <w:rsid w:val="004B0794"/>
    <w:rsid w:val="004B1463"/>
    <w:rsid w:val="004B1531"/>
    <w:rsid w:val="004B1733"/>
    <w:rsid w:val="004B200D"/>
    <w:rsid w:val="004B3575"/>
    <w:rsid w:val="004B3BF4"/>
    <w:rsid w:val="004B460A"/>
    <w:rsid w:val="004B47B6"/>
    <w:rsid w:val="004B4C8C"/>
    <w:rsid w:val="004B58FA"/>
    <w:rsid w:val="004B5E4D"/>
    <w:rsid w:val="004B5ECC"/>
    <w:rsid w:val="004B609E"/>
    <w:rsid w:val="004B688A"/>
    <w:rsid w:val="004B7114"/>
    <w:rsid w:val="004B721D"/>
    <w:rsid w:val="004B7E5B"/>
    <w:rsid w:val="004C068D"/>
    <w:rsid w:val="004C06C7"/>
    <w:rsid w:val="004C0C82"/>
    <w:rsid w:val="004C2884"/>
    <w:rsid w:val="004C29FA"/>
    <w:rsid w:val="004C34D2"/>
    <w:rsid w:val="004C4823"/>
    <w:rsid w:val="004C4CE6"/>
    <w:rsid w:val="004C6660"/>
    <w:rsid w:val="004C71DD"/>
    <w:rsid w:val="004C7210"/>
    <w:rsid w:val="004C7C18"/>
    <w:rsid w:val="004C7F97"/>
    <w:rsid w:val="004D0695"/>
    <w:rsid w:val="004D0C88"/>
    <w:rsid w:val="004D1596"/>
    <w:rsid w:val="004D2136"/>
    <w:rsid w:val="004D3AC0"/>
    <w:rsid w:val="004D4C2B"/>
    <w:rsid w:val="004D606B"/>
    <w:rsid w:val="004D6570"/>
    <w:rsid w:val="004D7F51"/>
    <w:rsid w:val="004E0133"/>
    <w:rsid w:val="004E033C"/>
    <w:rsid w:val="004E1233"/>
    <w:rsid w:val="004E13DB"/>
    <w:rsid w:val="004E2188"/>
    <w:rsid w:val="004E21E9"/>
    <w:rsid w:val="004E22C6"/>
    <w:rsid w:val="004E262E"/>
    <w:rsid w:val="004E28C6"/>
    <w:rsid w:val="004E3332"/>
    <w:rsid w:val="004E5E8F"/>
    <w:rsid w:val="004E6DE1"/>
    <w:rsid w:val="004F0E76"/>
    <w:rsid w:val="004F10E0"/>
    <w:rsid w:val="004F138F"/>
    <w:rsid w:val="004F1BB5"/>
    <w:rsid w:val="004F2D0A"/>
    <w:rsid w:val="004F420C"/>
    <w:rsid w:val="004F43A5"/>
    <w:rsid w:val="004F46B3"/>
    <w:rsid w:val="004F5652"/>
    <w:rsid w:val="004F5714"/>
    <w:rsid w:val="004F5CB3"/>
    <w:rsid w:val="004F5DB4"/>
    <w:rsid w:val="004F605D"/>
    <w:rsid w:val="004F6483"/>
    <w:rsid w:val="004F78CE"/>
    <w:rsid w:val="004F7BE2"/>
    <w:rsid w:val="004F7F1E"/>
    <w:rsid w:val="00500024"/>
    <w:rsid w:val="00500123"/>
    <w:rsid w:val="00500D41"/>
    <w:rsid w:val="00502007"/>
    <w:rsid w:val="0050233D"/>
    <w:rsid w:val="00503144"/>
    <w:rsid w:val="00503F8A"/>
    <w:rsid w:val="00504382"/>
    <w:rsid w:val="00504CFE"/>
    <w:rsid w:val="005050A8"/>
    <w:rsid w:val="00505879"/>
    <w:rsid w:val="0050670B"/>
    <w:rsid w:val="00511B29"/>
    <w:rsid w:val="00511FD5"/>
    <w:rsid w:val="005124ED"/>
    <w:rsid w:val="005141E8"/>
    <w:rsid w:val="00516494"/>
    <w:rsid w:val="00516A89"/>
    <w:rsid w:val="00516A9B"/>
    <w:rsid w:val="00517257"/>
    <w:rsid w:val="00520AAA"/>
    <w:rsid w:val="005212FF"/>
    <w:rsid w:val="00521390"/>
    <w:rsid w:val="00521ACA"/>
    <w:rsid w:val="00522918"/>
    <w:rsid w:val="00523244"/>
    <w:rsid w:val="00523B2C"/>
    <w:rsid w:val="00524242"/>
    <w:rsid w:val="005243E4"/>
    <w:rsid w:val="00524BED"/>
    <w:rsid w:val="00526874"/>
    <w:rsid w:val="00527532"/>
    <w:rsid w:val="00527A18"/>
    <w:rsid w:val="00527B10"/>
    <w:rsid w:val="00527E8D"/>
    <w:rsid w:val="0053068C"/>
    <w:rsid w:val="00530A16"/>
    <w:rsid w:val="00530C00"/>
    <w:rsid w:val="005333B7"/>
    <w:rsid w:val="00535233"/>
    <w:rsid w:val="0053534C"/>
    <w:rsid w:val="005353A2"/>
    <w:rsid w:val="005353AF"/>
    <w:rsid w:val="00536016"/>
    <w:rsid w:val="00536547"/>
    <w:rsid w:val="00536A37"/>
    <w:rsid w:val="0053705E"/>
    <w:rsid w:val="0053789F"/>
    <w:rsid w:val="00540697"/>
    <w:rsid w:val="00540B70"/>
    <w:rsid w:val="00540F0F"/>
    <w:rsid w:val="00541994"/>
    <w:rsid w:val="00541EDA"/>
    <w:rsid w:val="00542536"/>
    <w:rsid w:val="00542A97"/>
    <w:rsid w:val="00542D73"/>
    <w:rsid w:val="005430CA"/>
    <w:rsid w:val="00543739"/>
    <w:rsid w:val="005441B8"/>
    <w:rsid w:val="00544217"/>
    <w:rsid w:val="00544F7D"/>
    <w:rsid w:val="005466BD"/>
    <w:rsid w:val="005502C4"/>
    <w:rsid w:val="00550C99"/>
    <w:rsid w:val="00551951"/>
    <w:rsid w:val="0055276A"/>
    <w:rsid w:val="00552CD7"/>
    <w:rsid w:val="00553413"/>
    <w:rsid w:val="005536FA"/>
    <w:rsid w:val="00554335"/>
    <w:rsid w:val="00554E86"/>
    <w:rsid w:val="00554FB3"/>
    <w:rsid w:val="00555785"/>
    <w:rsid w:val="00555AB2"/>
    <w:rsid w:val="0055655A"/>
    <w:rsid w:val="005565FB"/>
    <w:rsid w:val="005567B5"/>
    <w:rsid w:val="00556BED"/>
    <w:rsid w:val="00557221"/>
    <w:rsid w:val="00557962"/>
    <w:rsid w:val="00560253"/>
    <w:rsid w:val="00561129"/>
    <w:rsid w:val="005619CB"/>
    <w:rsid w:val="00562410"/>
    <w:rsid w:val="00563B67"/>
    <w:rsid w:val="00565095"/>
    <w:rsid w:val="00565B75"/>
    <w:rsid w:val="00566028"/>
    <w:rsid w:val="0056683F"/>
    <w:rsid w:val="0057040B"/>
    <w:rsid w:val="00570743"/>
    <w:rsid w:val="00571371"/>
    <w:rsid w:val="005714EE"/>
    <w:rsid w:val="00571C54"/>
    <w:rsid w:val="005726A2"/>
    <w:rsid w:val="00572936"/>
    <w:rsid w:val="00573BC2"/>
    <w:rsid w:val="00574465"/>
    <w:rsid w:val="005746E3"/>
    <w:rsid w:val="005754AB"/>
    <w:rsid w:val="005760CD"/>
    <w:rsid w:val="005771BA"/>
    <w:rsid w:val="0058023B"/>
    <w:rsid w:val="005804EA"/>
    <w:rsid w:val="0058062D"/>
    <w:rsid w:val="00580709"/>
    <w:rsid w:val="00580F1B"/>
    <w:rsid w:val="005810AC"/>
    <w:rsid w:val="005823F6"/>
    <w:rsid w:val="0058261D"/>
    <w:rsid w:val="005826F4"/>
    <w:rsid w:val="00582801"/>
    <w:rsid w:val="00583146"/>
    <w:rsid w:val="0058344D"/>
    <w:rsid w:val="0058369E"/>
    <w:rsid w:val="005836A3"/>
    <w:rsid w:val="00583C4E"/>
    <w:rsid w:val="005847D8"/>
    <w:rsid w:val="00585395"/>
    <w:rsid w:val="00585880"/>
    <w:rsid w:val="00587AF5"/>
    <w:rsid w:val="00587B43"/>
    <w:rsid w:val="00590738"/>
    <w:rsid w:val="00590D09"/>
    <w:rsid w:val="0059156A"/>
    <w:rsid w:val="00591A39"/>
    <w:rsid w:val="00591DA8"/>
    <w:rsid w:val="00593314"/>
    <w:rsid w:val="00593460"/>
    <w:rsid w:val="0059368E"/>
    <w:rsid w:val="00593986"/>
    <w:rsid w:val="00593A1C"/>
    <w:rsid w:val="00593BF5"/>
    <w:rsid w:val="00593E36"/>
    <w:rsid w:val="0059426F"/>
    <w:rsid w:val="00594496"/>
    <w:rsid w:val="005949B3"/>
    <w:rsid w:val="005956C5"/>
    <w:rsid w:val="005956D3"/>
    <w:rsid w:val="00596365"/>
    <w:rsid w:val="005965BC"/>
    <w:rsid w:val="0059672C"/>
    <w:rsid w:val="00596B62"/>
    <w:rsid w:val="0059732D"/>
    <w:rsid w:val="005A0A4B"/>
    <w:rsid w:val="005A1558"/>
    <w:rsid w:val="005A2146"/>
    <w:rsid w:val="005A214E"/>
    <w:rsid w:val="005A2EAC"/>
    <w:rsid w:val="005A3215"/>
    <w:rsid w:val="005A41B2"/>
    <w:rsid w:val="005A42F7"/>
    <w:rsid w:val="005A4C0B"/>
    <w:rsid w:val="005A5FCE"/>
    <w:rsid w:val="005A7530"/>
    <w:rsid w:val="005A7783"/>
    <w:rsid w:val="005A7E78"/>
    <w:rsid w:val="005B03ED"/>
    <w:rsid w:val="005B1776"/>
    <w:rsid w:val="005B1967"/>
    <w:rsid w:val="005B1BA3"/>
    <w:rsid w:val="005B23F8"/>
    <w:rsid w:val="005B32FB"/>
    <w:rsid w:val="005B49DA"/>
    <w:rsid w:val="005B5784"/>
    <w:rsid w:val="005B5E48"/>
    <w:rsid w:val="005B79C0"/>
    <w:rsid w:val="005B7CEC"/>
    <w:rsid w:val="005B7FE4"/>
    <w:rsid w:val="005C024B"/>
    <w:rsid w:val="005C0259"/>
    <w:rsid w:val="005C0438"/>
    <w:rsid w:val="005C05E0"/>
    <w:rsid w:val="005C08B5"/>
    <w:rsid w:val="005C0F84"/>
    <w:rsid w:val="005C1E62"/>
    <w:rsid w:val="005C29DA"/>
    <w:rsid w:val="005C37E0"/>
    <w:rsid w:val="005C3FCC"/>
    <w:rsid w:val="005C5207"/>
    <w:rsid w:val="005C54B9"/>
    <w:rsid w:val="005C5A1C"/>
    <w:rsid w:val="005C5AB9"/>
    <w:rsid w:val="005C6618"/>
    <w:rsid w:val="005C7973"/>
    <w:rsid w:val="005D0189"/>
    <w:rsid w:val="005D1751"/>
    <w:rsid w:val="005D18FD"/>
    <w:rsid w:val="005D2B2A"/>
    <w:rsid w:val="005D2DCC"/>
    <w:rsid w:val="005D2FB2"/>
    <w:rsid w:val="005D3327"/>
    <w:rsid w:val="005D3488"/>
    <w:rsid w:val="005D3B36"/>
    <w:rsid w:val="005D5022"/>
    <w:rsid w:val="005D5B8E"/>
    <w:rsid w:val="005D6062"/>
    <w:rsid w:val="005D66E9"/>
    <w:rsid w:val="005D6BCF"/>
    <w:rsid w:val="005D726E"/>
    <w:rsid w:val="005E0164"/>
    <w:rsid w:val="005E097D"/>
    <w:rsid w:val="005E0D90"/>
    <w:rsid w:val="005E22C3"/>
    <w:rsid w:val="005E27D6"/>
    <w:rsid w:val="005E2899"/>
    <w:rsid w:val="005E4470"/>
    <w:rsid w:val="005E5794"/>
    <w:rsid w:val="005E63F5"/>
    <w:rsid w:val="005E6762"/>
    <w:rsid w:val="005E77D3"/>
    <w:rsid w:val="005F05F1"/>
    <w:rsid w:val="005F1EAC"/>
    <w:rsid w:val="005F2F9D"/>
    <w:rsid w:val="005F39D5"/>
    <w:rsid w:val="005F4890"/>
    <w:rsid w:val="005F4EBB"/>
    <w:rsid w:val="005F55E0"/>
    <w:rsid w:val="005F579D"/>
    <w:rsid w:val="005F61E3"/>
    <w:rsid w:val="005F68B5"/>
    <w:rsid w:val="005F6B80"/>
    <w:rsid w:val="005F6D5D"/>
    <w:rsid w:val="005F7523"/>
    <w:rsid w:val="005F78F7"/>
    <w:rsid w:val="00600862"/>
    <w:rsid w:val="00600B33"/>
    <w:rsid w:val="0060109A"/>
    <w:rsid w:val="0060118A"/>
    <w:rsid w:val="0060126A"/>
    <w:rsid w:val="006025A1"/>
    <w:rsid w:val="006031F7"/>
    <w:rsid w:val="006032F1"/>
    <w:rsid w:val="00603FD5"/>
    <w:rsid w:val="00604528"/>
    <w:rsid w:val="00605A53"/>
    <w:rsid w:val="0060649B"/>
    <w:rsid w:val="00606670"/>
    <w:rsid w:val="00607F03"/>
    <w:rsid w:val="00610627"/>
    <w:rsid w:val="00610B2A"/>
    <w:rsid w:val="00610F6C"/>
    <w:rsid w:val="0061155E"/>
    <w:rsid w:val="00611938"/>
    <w:rsid w:val="00611BE3"/>
    <w:rsid w:val="00611E00"/>
    <w:rsid w:val="0061203B"/>
    <w:rsid w:val="006130F6"/>
    <w:rsid w:val="0061381C"/>
    <w:rsid w:val="006139DC"/>
    <w:rsid w:val="006144DB"/>
    <w:rsid w:val="00614F5F"/>
    <w:rsid w:val="00616D21"/>
    <w:rsid w:val="00616DC8"/>
    <w:rsid w:val="00617D8F"/>
    <w:rsid w:val="00620548"/>
    <w:rsid w:val="0062135D"/>
    <w:rsid w:val="00622AB4"/>
    <w:rsid w:val="00622ADC"/>
    <w:rsid w:val="0062339A"/>
    <w:rsid w:val="0062396A"/>
    <w:rsid w:val="00623D9E"/>
    <w:rsid w:val="0062418D"/>
    <w:rsid w:val="0062451D"/>
    <w:rsid w:val="006248EB"/>
    <w:rsid w:val="00624B90"/>
    <w:rsid w:val="00624F14"/>
    <w:rsid w:val="006251B2"/>
    <w:rsid w:val="006272DF"/>
    <w:rsid w:val="006273F4"/>
    <w:rsid w:val="00627AE3"/>
    <w:rsid w:val="00630735"/>
    <w:rsid w:val="00630F02"/>
    <w:rsid w:val="006329CE"/>
    <w:rsid w:val="006336F5"/>
    <w:rsid w:val="00633C5A"/>
    <w:rsid w:val="006358AC"/>
    <w:rsid w:val="00635D09"/>
    <w:rsid w:val="00636E21"/>
    <w:rsid w:val="00640A1D"/>
    <w:rsid w:val="00640EF1"/>
    <w:rsid w:val="00640EF7"/>
    <w:rsid w:val="0064292D"/>
    <w:rsid w:val="00643228"/>
    <w:rsid w:val="006438DC"/>
    <w:rsid w:val="00643EB2"/>
    <w:rsid w:val="0064568F"/>
    <w:rsid w:val="00645B9F"/>
    <w:rsid w:val="006475BD"/>
    <w:rsid w:val="00650216"/>
    <w:rsid w:val="0065067E"/>
    <w:rsid w:val="00650C39"/>
    <w:rsid w:val="006527FF"/>
    <w:rsid w:val="00653062"/>
    <w:rsid w:val="00653A7E"/>
    <w:rsid w:val="00653FCC"/>
    <w:rsid w:val="006551C9"/>
    <w:rsid w:val="00655725"/>
    <w:rsid w:val="006560A5"/>
    <w:rsid w:val="00656A8A"/>
    <w:rsid w:val="0066095F"/>
    <w:rsid w:val="00661AA9"/>
    <w:rsid w:val="00661D3F"/>
    <w:rsid w:val="00662209"/>
    <w:rsid w:val="00663BB1"/>
    <w:rsid w:val="006655FC"/>
    <w:rsid w:val="00666531"/>
    <w:rsid w:val="00670353"/>
    <w:rsid w:val="00670424"/>
    <w:rsid w:val="006704D7"/>
    <w:rsid w:val="00670CC5"/>
    <w:rsid w:val="00671555"/>
    <w:rsid w:val="00671CD4"/>
    <w:rsid w:val="00674187"/>
    <w:rsid w:val="006743F0"/>
    <w:rsid w:val="00675D75"/>
    <w:rsid w:val="00675E98"/>
    <w:rsid w:val="006763C3"/>
    <w:rsid w:val="00677EAC"/>
    <w:rsid w:val="006804BE"/>
    <w:rsid w:val="006807A8"/>
    <w:rsid w:val="00681232"/>
    <w:rsid w:val="00681434"/>
    <w:rsid w:val="006819F0"/>
    <w:rsid w:val="00681A3E"/>
    <w:rsid w:val="00682080"/>
    <w:rsid w:val="00682ABD"/>
    <w:rsid w:val="00685815"/>
    <w:rsid w:val="00685CB0"/>
    <w:rsid w:val="00686B76"/>
    <w:rsid w:val="0068724F"/>
    <w:rsid w:val="006877F8"/>
    <w:rsid w:val="00690077"/>
    <w:rsid w:val="00691776"/>
    <w:rsid w:val="00691E87"/>
    <w:rsid w:val="006922F1"/>
    <w:rsid w:val="006925C1"/>
    <w:rsid w:val="00692C80"/>
    <w:rsid w:val="0069400E"/>
    <w:rsid w:val="00694483"/>
    <w:rsid w:val="00695D01"/>
    <w:rsid w:val="00696958"/>
    <w:rsid w:val="00696CA7"/>
    <w:rsid w:val="00697C09"/>
    <w:rsid w:val="00697D27"/>
    <w:rsid w:val="00697E93"/>
    <w:rsid w:val="006A02DA"/>
    <w:rsid w:val="006A05B9"/>
    <w:rsid w:val="006A0680"/>
    <w:rsid w:val="006A1DEF"/>
    <w:rsid w:val="006A2543"/>
    <w:rsid w:val="006A26AD"/>
    <w:rsid w:val="006A3C8F"/>
    <w:rsid w:val="006A3DCB"/>
    <w:rsid w:val="006A45DC"/>
    <w:rsid w:val="006A4B29"/>
    <w:rsid w:val="006A6C43"/>
    <w:rsid w:val="006A6CBF"/>
    <w:rsid w:val="006A7069"/>
    <w:rsid w:val="006A7D1C"/>
    <w:rsid w:val="006B0D7D"/>
    <w:rsid w:val="006B11FA"/>
    <w:rsid w:val="006B250B"/>
    <w:rsid w:val="006B3E6E"/>
    <w:rsid w:val="006B3EA4"/>
    <w:rsid w:val="006B4DB8"/>
    <w:rsid w:val="006B55A3"/>
    <w:rsid w:val="006B67F5"/>
    <w:rsid w:val="006B68B1"/>
    <w:rsid w:val="006B6AD8"/>
    <w:rsid w:val="006B7DE0"/>
    <w:rsid w:val="006C16E0"/>
    <w:rsid w:val="006C248A"/>
    <w:rsid w:val="006C2B16"/>
    <w:rsid w:val="006C2F1E"/>
    <w:rsid w:val="006C2FD0"/>
    <w:rsid w:val="006C36D5"/>
    <w:rsid w:val="006C3C30"/>
    <w:rsid w:val="006C3E77"/>
    <w:rsid w:val="006C4AF4"/>
    <w:rsid w:val="006C4C82"/>
    <w:rsid w:val="006C56E5"/>
    <w:rsid w:val="006C6C1A"/>
    <w:rsid w:val="006C7669"/>
    <w:rsid w:val="006D0563"/>
    <w:rsid w:val="006D095B"/>
    <w:rsid w:val="006D146A"/>
    <w:rsid w:val="006D223F"/>
    <w:rsid w:val="006D38A8"/>
    <w:rsid w:val="006D3F2F"/>
    <w:rsid w:val="006D46DD"/>
    <w:rsid w:val="006D4F09"/>
    <w:rsid w:val="006D50F6"/>
    <w:rsid w:val="006D5838"/>
    <w:rsid w:val="006D5882"/>
    <w:rsid w:val="006D5F4F"/>
    <w:rsid w:val="006D712F"/>
    <w:rsid w:val="006D75E7"/>
    <w:rsid w:val="006E01C1"/>
    <w:rsid w:val="006E1850"/>
    <w:rsid w:val="006E1CF9"/>
    <w:rsid w:val="006E285D"/>
    <w:rsid w:val="006E31F5"/>
    <w:rsid w:val="006E3536"/>
    <w:rsid w:val="006E391C"/>
    <w:rsid w:val="006E3DA4"/>
    <w:rsid w:val="006E4B67"/>
    <w:rsid w:val="006E77D2"/>
    <w:rsid w:val="006E7CF2"/>
    <w:rsid w:val="006E7D6C"/>
    <w:rsid w:val="006F04C1"/>
    <w:rsid w:val="006F0FDD"/>
    <w:rsid w:val="006F1DF6"/>
    <w:rsid w:val="006F29AD"/>
    <w:rsid w:val="006F29EF"/>
    <w:rsid w:val="006F3CF7"/>
    <w:rsid w:val="006F45CF"/>
    <w:rsid w:val="006F5107"/>
    <w:rsid w:val="006F57C0"/>
    <w:rsid w:val="007001D3"/>
    <w:rsid w:val="00701100"/>
    <w:rsid w:val="007014D5"/>
    <w:rsid w:val="007016C2"/>
    <w:rsid w:val="007023AC"/>
    <w:rsid w:val="00703113"/>
    <w:rsid w:val="0070348D"/>
    <w:rsid w:val="007035BC"/>
    <w:rsid w:val="00703DAC"/>
    <w:rsid w:val="007043AE"/>
    <w:rsid w:val="007043FE"/>
    <w:rsid w:val="00704C83"/>
    <w:rsid w:val="00706876"/>
    <w:rsid w:val="00706DE6"/>
    <w:rsid w:val="0070773F"/>
    <w:rsid w:val="00707D19"/>
    <w:rsid w:val="00710DF3"/>
    <w:rsid w:val="00711053"/>
    <w:rsid w:val="007111D5"/>
    <w:rsid w:val="00711365"/>
    <w:rsid w:val="00711544"/>
    <w:rsid w:val="00711674"/>
    <w:rsid w:val="007136A5"/>
    <w:rsid w:val="00713F2B"/>
    <w:rsid w:val="00714488"/>
    <w:rsid w:val="00714F47"/>
    <w:rsid w:val="00715076"/>
    <w:rsid w:val="007158C6"/>
    <w:rsid w:val="00715DA6"/>
    <w:rsid w:val="00715EDD"/>
    <w:rsid w:val="00716F79"/>
    <w:rsid w:val="00717597"/>
    <w:rsid w:val="0071779E"/>
    <w:rsid w:val="00717CDE"/>
    <w:rsid w:val="00717F4D"/>
    <w:rsid w:val="00720507"/>
    <w:rsid w:val="007209AA"/>
    <w:rsid w:val="007215EF"/>
    <w:rsid w:val="00721E06"/>
    <w:rsid w:val="00722265"/>
    <w:rsid w:val="0072257F"/>
    <w:rsid w:val="00722A00"/>
    <w:rsid w:val="00722D78"/>
    <w:rsid w:val="007234C6"/>
    <w:rsid w:val="00723922"/>
    <w:rsid w:val="00723D72"/>
    <w:rsid w:val="00725E88"/>
    <w:rsid w:val="00726C3D"/>
    <w:rsid w:val="0072714E"/>
    <w:rsid w:val="0072745E"/>
    <w:rsid w:val="007276B7"/>
    <w:rsid w:val="00727821"/>
    <w:rsid w:val="00727960"/>
    <w:rsid w:val="00727EE0"/>
    <w:rsid w:val="007301C9"/>
    <w:rsid w:val="00730292"/>
    <w:rsid w:val="00730AA4"/>
    <w:rsid w:val="00731993"/>
    <w:rsid w:val="00731B96"/>
    <w:rsid w:val="00732206"/>
    <w:rsid w:val="007323AD"/>
    <w:rsid w:val="007335CB"/>
    <w:rsid w:val="007338C9"/>
    <w:rsid w:val="00734824"/>
    <w:rsid w:val="00735AFC"/>
    <w:rsid w:val="00736805"/>
    <w:rsid w:val="007373F6"/>
    <w:rsid w:val="0073748B"/>
    <w:rsid w:val="007378A0"/>
    <w:rsid w:val="007404FC"/>
    <w:rsid w:val="00740A85"/>
    <w:rsid w:val="007420F9"/>
    <w:rsid w:val="0074213A"/>
    <w:rsid w:val="00742A9C"/>
    <w:rsid w:val="00742C99"/>
    <w:rsid w:val="00742F0D"/>
    <w:rsid w:val="007430C7"/>
    <w:rsid w:val="00743548"/>
    <w:rsid w:val="0074355F"/>
    <w:rsid w:val="00743633"/>
    <w:rsid w:val="00744120"/>
    <w:rsid w:val="00745521"/>
    <w:rsid w:val="00746A49"/>
    <w:rsid w:val="0074763A"/>
    <w:rsid w:val="00750F4E"/>
    <w:rsid w:val="0075106C"/>
    <w:rsid w:val="007510A7"/>
    <w:rsid w:val="0075170D"/>
    <w:rsid w:val="00751FBC"/>
    <w:rsid w:val="007522F3"/>
    <w:rsid w:val="00752CFE"/>
    <w:rsid w:val="00753677"/>
    <w:rsid w:val="0075386F"/>
    <w:rsid w:val="00753DD1"/>
    <w:rsid w:val="00754D60"/>
    <w:rsid w:val="00756F40"/>
    <w:rsid w:val="00760304"/>
    <w:rsid w:val="00760C6C"/>
    <w:rsid w:val="00760E1B"/>
    <w:rsid w:val="0076233B"/>
    <w:rsid w:val="00762458"/>
    <w:rsid w:val="007626F8"/>
    <w:rsid w:val="00762F50"/>
    <w:rsid w:val="00762F69"/>
    <w:rsid w:val="00763DD9"/>
    <w:rsid w:val="00764366"/>
    <w:rsid w:val="007645CA"/>
    <w:rsid w:val="00764FE1"/>
    <w:rsid w:val="007651C8"/>
    <w:rsid w:val="007656ED"/>
    <w:rsid w:val="007656FB"/>
    <w:rsid w:val="00765937"/>
    <w:rsid w:val="00765C4E"/>
    <w:rsid w:val="007669DE"/>
    <w:rsid w:val="00766E5E"/>
    <w:rsid w:val="00767673"/>
    <w:rsid w:val="00767EAE"/>
    <w:rsid w:val="00770DB0"/>
    <w:rsid w:val="0077120F"/>
    <w:rsid w:val="0077257E"/>
    <w:rsid w:val="00772821"/>
    <w:rsid w:val="00772C18"/>
    <w:rsid w:val="00774A30"/>
    <w:rsid w:val="00775073"/>
    <w:rsid w:val="00775165"/>
    <w:rsid w:val="00775772"/>
    <w:rsid w:val="00776A67"/>
    <w:rsid w:val="00776BC3"/>
    <w:rsid w:val="00777252"/>
    <w:rsid w:val="007773C5"/>
    <w:rsid w:val="007815DE"/>
    <w:rsid w:val="00781DC5"/>
    <w:rsid w:val="0078330F"/>
    <w:rsid w:val="0078533C"/>
    <w:rsid w:val="007854F7"/>
    <w:rsid w:val="007865D8"/>
    <w:rsid w:val="0078684A"/>
    <w:rsid w:val="00786C0A"/>
    <w:rsid w:val="007873C2"/>
    <w:rsid w:val="00787471"/>
    <w:rsid w:val="007920A5"/>
    <w:rsid w:val="0079249B"/>
    <w:rsid w:val="00792E2E"/>
    <w:rsid w:val="007931F5"/>
    <w:rsid w:val="0079335F"/>
    <w:rsid w:val="00793B6B"/>
    <w:rsid w:val="0079433A"/>
    <w:rsid w:val="00794438"/>
    <w:rsid w:val="00794B1C"/>
    <w:rsid w:val="00795D27"/>
    <w:rsid w:val="00796172"/>
    <w:rsid w:val="007962C4"/>
    <w:rsid w:val="00796A0F"/>
    <w:rsid w:val="007972D6"/>
    <w:rsid w:val="007976DE"/>
    <w:rsid w:val="00797E8E"/>
    <w:rsid w:val="00797EE8"/>
    <w:rsid w:val="007A0363"/>
    <w:rsid w:val="007A068F"/>
    <w:rsid w:val="007A07AA"/>
    <w:rsid w:val="007A13E4"/>
    <w:rsid w:val="007A1F6F"/>
    <w:rsid w:val="007A2A16"/>
    <w:rsid w:val="007A2B13"/>
    <w:rsid w:val="007A2C7F"/>
    <w:rsid w:val="007A3D85"/>
    <w:rsid w:val="007A60AC"/>
    <w:rsid w:val="007A6F0F"/>
    <w:rsid w:val="007A7427"/>
    <w:rsid w:val="007B01D9"/>
    <w:rsid w:val="007B1592"/>
    <w:rsid w:val="007B2952"/>
    <w:rsid w:val="007B2BDE"/>
    <w:rsid w:val="007B4672"/>
    <w:rsid w:val="007B5FA6"/>
    <w:rsid w:val="007B7907"/>
    <w:rsid w:val="007C011A"/>
    <w:rsid w:val="007C03A4"/>
    <w:rsid w:val="007C0423"/>
    <w:rsid w:val="007C3475"/>
    <w:rsid w:val="007C42A9"/>
    <w:rsid w:val="007C43F0"/>
    <w:rsid w:val="007C4490"/>
    <w:rsid w:val="007C4AD6"/>
    <w:rsid w:val="007C56A5"/>
    <w:rsid w:val="007C57F3"/>
    <w:rsid w:val="007C600F"/>
    <w:rsid w:val="007C6ADC"/>
    <w:rsid w:val="007C7B9C"/>
    <w:rsid w:val="007C7F64"/>
    <w:rsid w:val="007D02F5"/>
    <w:rsid w:val="007D0333"/>
    <w:rsid w:val="007D1569"/>
    <w:rsid w:val="007D24AD"/>
    <w:rsid w:val="007D25EB"/>
    <w:rsid w:val="007D4201"/>
    <w:rsid w:val="007D46D6"/>
    <w:rsid w:val="007D4850"/>
    <w:rsid w:val="007D508D"/>
    <w:rsid w:val="007D568F"/>
    <w:rsid w:val="007D5F34"/>
    <w:rsid w:val="007D62D3"/>
    <w:rsid w:val="007D6346"/>
    <w:rsid w:val="007D71F6"/>
    <w:rsid w:val="007D7720"/>
    <w:rsid w:val="007D7A50"/>
    <w:rsid w:val="007D7F63"/>
    <w:rsid w:val="007E0D80"/>
    <w:rsid w:val="007E1565"/>
    <w:rsid w:val="007E19FE"/>
    <w:rsid w:val="007E1A38"/>
    <w:rsid w:val="007E2531"/>
    <w:rsid w:val="007E2578"/>
    <w:rsid w:val="007E2BB6"/>
    <w:rsid w:val="007E2CEA"/>
    <w:rsid w:val="007E30C9"/>
    <w:rsid w:val="007E3910"/>
    <w:rsid w:val="007E3AE1"/>
    <w:rsid w:val="007E3C44"/>
    <w:rsid w:val="007E4C5C"/>
    <w:rsid w:val="007E4D02"/>
    <w:rsid w:val="007E50AF"/>
    <w:rsid w:val="007E6539"/>
    <w:rsid w:val="007E668B"/>
    <w:rsid w:val="007E67EE"/>
    <w:rsid w:val="007E6D2C"/>
    <w:rsid w:val="007F0037"/>
    <w:rsid w:val="007F07BD"/>
    <w:rsid w:val="007F0BCB"/>
    <w:rsid w:val="007F271F"/>
    <w:rsid w:val="007F2DA2"/>
    <w:rsid w:val="007F30B0"/>
    <w:rsid w:val="007F32EE"/>
    <w:rsid w:val="007F4C27"/>
    <w:rsid w:val="007F6269"/>
    <w:rsid w:val="007F7224"/>
    <w:rsid w:val="007F7C16"/>
    <w:rsid w:val="00800534"/>
    <w:rsid w:val="008013C2"/>
    <w:rsid w:val="00801654"/>
    <w:rsid w:val="00801757"/>
    <w:rsid w:val="008017BC"/>
    <w:rsid w:val="00801DDC"/>
    <w:rsid w:val="0080225D"/>
    <w:rsid w:val="00802B58"/>
    <w:rsid w:val="0080322B"/>
    <w:rsid w:val="008035C3"/>
    <w:rsid w:val="00803C5A"/>
    <w:rsid w:val="00803F26"/>
    <w:rsid w:val="00804B8B"/>
    <w:rsid w:val="00804C57"/>
    <w:rsid w:val="00804DA6"/>
    <w:rsid w:val="00804E4D"/>
    <w:rsid w:val="00805A5B"/>
    <w:rsid w:val="00806DD4"/>
    <w:rsid w:val="00806F63"/>
    <w:rsid w:val="00807BFD"/>
    <w:rsid w:val="00807F06"/>
    <w:rsid w:val="00810124"/>
    <w:rsid w:val="00810198"/>
    <w:rsid w:val="00810AB2"/>
    <w:rsid w:val="00810BDC"/>
    <w:rsid w:val="00811196"/>
    <w:rsid w:val="008112F3"/>
    <w:rsid w:val="00811465"/>
    <w:rsid w:val="0081272B"/>
    <w:rsid w:val="008131AB"/>
    <w:rsid w:val="00813321"/>
    <w:rsid w:val="00814DB5"/>
    <w:rsid w:val="0081533C"/>
    <w:rsid w:val="00815745"/>
    <w:rsid w:val="008161D7"/>
    <w:rsid w:val="008175E8"/>
    <w:rsid w:val="00817A2C"/>
    <w:rsid w:val="00820414"/>
    <w:rsid w:val="00820661"/>
    <w:rsid w:val="00820C33"/>
    <w:rsid w:val="0082205D"/>
    <w:rsid w:val="008229F0"/>
    <w:rsid w:val="00823812"/>
    <w:rsid w:val="0082437F"/>
    <w:rsid w:val="008245E3"/>
    <w:rsid w:val="00824E44"/>
    <w:rsid w:val="00824F22"/>
    <w:rsid w:val="008253E5"/>
    <w:rsid w:val="0082588D"/>
    <w:rsid w:val="00825D53"/>
    <w:rsid w:val="0082671F"/>
    <w:rsid w:val="00827ED3"/>
    <w:rsid w:val="00830013"/>
    <w:rsid w:val="00831FAA"/>
    <w:rsid w:val="00832A0D"/>
    <w:rsid w:val="00833D90"/>
    <w:rsid w:val="00833DB4"/>
    <w:rsid w:val="00833F5C"/>
    <w:rsid w:val="00834B81"/>
    <w:rsid w:val="0083515A"/>
    <w:rsid w:val="0083540E"/>
    <w:rsid w:val="00835452"/>
    <w:rsid w:val="008358A2"/>
    <w:rsid w:val="00835A11"/>
    <w:rsid w:val="00835FE9"/>
    <w:rsid w:val="00836262"/>
    <w:rsid w:val="00836BD4"/>
    <w:rsid w:val="00836E3A"/>
    <w:rsid w:val="00837210"/>
    <w:rsid w:val="00837730"/>
    <w:rsid w:val="0084032B"/>
    <w:rsid w:val="008403A3"/>
    <w:rsid w:val="00840817"/>
    <w:rsid w:val="00840E5C"/>
    <w:rsid w:val="008414DC"/>
    <w:rsid w:val="0084238D"/>
    <w:rsid w:val="00843284"/>
    <w:rsid w:val="008449FE"/>
    <w:rsid w:val="00844EE6"/>
    <w:rsid w:val="008453F5"/>
    <w:rsid w:val="0084559D"/>
    <w:rsid w:val="00845A07"/>
    <w:rsid w:val="00845AC0"/>
    <w:rsid w:val="0084627A"/>
    <w:rsid w:val="008471B6"/>
    <w:rsid w:val="008472B8"/>
    <w:rsid w:val="00847B84"/>
    <w:rsid w:val="00850372"/>
    <w:rsid w:val="008503B0"/>
    <w:rsid w:val="008506B3"/>
    <w:rsid w:val="008518D7"/>
    <w:rsid w:val="00852176"/>
    <w:rsid w:val="008522FE"/>
    <w:rsid w:val="0085230A"/>
    <w:rsid w:val="00852622"/>
    <w:rsid w:val="008529A2"/>
    <w:rsid w:val="0085363A"/>
    <w:rsid w:val="00853C0B"/>
    <w:rsid w:val="00853CAB"/>
    <w:rsid w:val="00853F9D"/>
    <w:rsid w:val="00854144"/>
    <w:rsid w:val="0085439B"/>
    <w:rsid w:val="0085455F"/>
    <w:rsid w:val="0085469B"/>
    <w:rsid w:val="008548A0"/>
    <w:rsid w:val="00854CE2"/>
    <w:rsid w:val="00855BA2"/>
    <w:rsid w:val="00856831"/>
    <w:rsid w:val="00856F08"/>
    <w:rsid w:val="00857955"/>
    <w:rsid w:val="008579B4"/>
    <w:rsid w:val="00860609"/>
    <w:rsid w:val="0086104F"/>
    <w:rsid w:val="008645B9"/>
    <w:rsid w:val="00864E10"/>
    <w:rsid w:val="008652E8"/>
    <w:rsid w:val="00867A91"/>
    <w:rsid w:val="00867D2C"/>
    <w:rsid w:val="00870F1A"/>
    <w:rsid w:val="00871020"/>
    <w:rsid w:val="00871A6C"/>
    <w:rsid w:val="00871DFE"/>
    <w:rsid w:val="00872A6F"/>
    <w:rsid w:val="008740EA"/>
    <w:rsid w:val="0087427D"/>
    <w:rsid w:val="00874460"/>
    <w:rsid w:val="008756D4"/>
    <w:rsid w:val="00875AA9"/>
    <w:rsid w:val="00875CCB"/>
    <w:rsid w:val="00875D65"/>
    <w:rsid w:val="00876053"/>
    <w:rsid w:val="0087758D"/>
    <w:rsid w:val="00877AA5"/>
    <w:rsid w:val="00877F57"/>
    <w:rsid w:val="00880090"/>
    <w:rsid w:val="008802EC"/>
    <w:rsid w:val="00880509"/>
    <w:rsid w:val="00880DF4"/>
    <w:rsid w:val="0088130C"/>
    <w:rsid w:val="00881522"/>
    <w:rsid w:val="0088196B"/>
    <w:rsid w:val="00882B55"/>
    <w:rsid w:val="00882DDA"/>
    <w:rsid w:val="0088338F"/>
    <w:rsid w:val="008833F3"/>
    <w:rsid w:val="008841B3"/>
    <w:rsid w:val="00885CA0"/>
    <w:rsid w:val="008878E3"/>
    <w:rsid w:val="00887A7B"/>
    <w:rsid w:val="00887BB1"/>
    <w:rsid w:val="00887CBF"/>
    <w:rsid w:val="00887FE0"/>
    <w:rsid w:val="00890A1A"/>
    <w:rsid w:val="00890A4D"/>
    <w:rsid w:val="00890B65"/>
    <w:rsid w:val="00890B9C"/>
    <w:rsid w:val="0089154B"/>
    <w:rsid w:val="0089265B"/>
    <w:rsid w:val="008938EB"/>
    <w:rsid w:val="008940C9"/>
    <w:rsid w:val="008942C9"/>
    <w:rsid w:val="0089509E"/>
    <w:rsid w:val="00896859"/>
    <w:rsid w:val="00897793"/>
    <w:rsid w:val="0089797E"/>
    <w:rsid w:val="008A0465"/>
    <w:rsid w:val="008A080B"/>
    <w:rsid w:val="008A0EB3"/>
    <w:rsid w:val="008A0F2F"/>
    <w:rsid w:val="008A1632"/>
    <w:rsid w:val="008A1E21"/>
    <w:rsid w:val="008A2403"/>
    <w:rsid w:val="008A3E38"/>
    <w:rsid w:val="008A5643"/>
    <w:rsid w:val="008A5B0E"/>
    <w:rsid w:val="008A6783"/>
    <w:rsid w:val="008A6F83"/>
    <w:rsid w:val="008A7501"/>
    <w:rsid w:val="008B0315"/>
    <w:rsid w:val="008B05C3"/>
    <w:rsid w:val="008B08E2"/>
    <w:rsid w:val="008B10B7"/>
    <w:rsid w:val="008B19D3"/>
    <w:rsid w:val="008B28B7"/>
    <w:rsid w:val="008B2A59"/>
    <w:rsid w:val="008B2DB4"/>
    <w:rsid w:val="008B35CB"/>
    <w:rsid w:val="008B4441"/>
    <w:rsid w:val="008B4965"/>
    <w:rsid w:val="008B4C2D"/>
    <w:rsid w:val="008B52DE"/>
    <w:rsid w:val="008B6DC3"/>
    <w:rsid w:val="008B76F6"/>
    <w:rsid w:val="008B78B1"/>
    <w:rsid w:val="008C0F04"/>
    <w:rsid w:val="008C1B9C"/>
    <w:rsid w:val="008C1CCF"/>
    <w:rsid w:val="008C1FA3"/>
    <w:rsid w:val="008C2B04"/>
    <w:rsid w:val="008C2E92"/>
    <w:rsid w:val="008C3ECC"/>
    <w:rsid w:val="008C406D"/>
    <w:rsid w:val="008C4495"/>
    <w:rsid w:val="008C4912"/>
    <w:rsid w:val="008C4BC9"/>
    <w:rsid w:val="008C5549"/>
    <w:rsid w:val="008C55C6"/>
    <w:rsid w:val="008D051E"/>
    <w:rsid w:val="008D1499"/>
    <w:rsid w:val="008D19FD"/>
    <w:rsid w:val="008D1ABD"/>
    <w:rsid w:val="008D3280"/>
    <w:rsid w:val="008D3A0D"/>
    <w:rsid w:val="008D3B19"/>
    <w:rsid w:val="008D3FC1"/>
    <w:rsid w:val="008D493A"/>
    <w:rsid w:val="008D4F25"/>
    <w:rsid w:val="008D50B8"/>
    <w:rsid w:val="008D6356"/>
    <w:rsid w:val="008D6F47"/>
    <w:rsid w:val="008D769D"/>
    <w:rsid w:val="008D78DA"/>
    <w:rsid w:val="008E01C4"/>
    <w:rsid w:val="008E1C81"/>
    <w:rsid w:val="008E25D6"/>
    <w:rsid w:val="008E2EC5"/>
    <w:rsid w:val="008E3049"/>
    <w:rsid w:val="008E30E6"/>
    <w:rsid w:val="008E321D"/>
    <w:rsid w:val="008E351A"/>
    <w:rsid w:val="008E3F77"/>
    <w:rsid w:val="008E41CE"/>
    <w:rsid w:val="008E4217"/>
    <w:rsid w:val="008E44A2"/>
    <w:rsid w:val="008E485F"/>
    <w:rsid w:val="008E5427"/>
    <w:rsid w:val="008E6A6D"/>
    <w:rsid w:val="008E6A8E"/>
    <w:rsid w:val="008E7BD4"/>
    <w:rsid w:val="008F023B"/>
    <w:rsid w:val="008F0A95"/>
    <w:rsid w:val="008F19B7"/>
    <w:rsid w:val="008F2368"/>
    <w:rsid w:val="008F2B90"/>
    <w:rsid w:val="008F357B"/>
    <w:rsid w:val="008F3859"/>
    <w:rsid w:val="008F3B2A"/>
    <w:rsid w:val="008F4326"/>
    <w:rsid w:val="008F449A"/>
    <w:rsid w:val="008F4A75"/>
    <w:rsid w:val="008F4ACD"/>
    <w:rsid w:val="008F4E5C"/>
    <w:rsid w:val="008F52C2"/>
    <w:rsid w:val="008F567D"/>
    <w:rsid w:val="008F5885"/>
    <w:rsid w:val="008F66E8"/>
    <w:rsid w:val="008F6F1A"/>
    <w:rsid w:val="008F7897"/>
    <w:rsid w:val="00900376"/>
    <w:rsid w:val="009005D7"/>
    <w:rsid w:val="0090097C"/>
    <w:rsid w:val="0090137A"/>
    <w:rsid w:val="00901521"/>
    <w:rsid w:val="0090193C"/>
    <w:rsid w:val="009019F5"/>
    <w:rsid w:val="00901D07"/>
    <w:rsid w:val="00901EFE"/>
    <w:rsid w:val="0090261C"/>
    <w:rsid w:val="00902A1C"/>
    <w:rsid w:val="00903370"/>
    <w:rsid w:val="00903DFD"/>
    <w:rsid w:val="009041F6"/>
    <w:rsid w:val="00904919"/>
    <w:rsid w:val="00905824"/>
    <w:rsid w:val="009069CD"/>
    <w:rsid w:val="00906DA9"/>
    <w:rsid w:val="0091012F"/>
    <w:rsid w:val="009104BE"/>
    <w:rsid w:val="009108EC"/>
    <w:rsid w:val="009115B2"/>
    <w:rsid w:val="009115F0"/>
    <w:rsid w:val="00912C87"/>
    <w:rsid w:val="009131C9"/>
    <w:rsid w:val="0091349A"/>
    <w:rsid w:val="00914164"/>
    <w:rsid w:val="009141B1"/>
    <w:rsid w:val="00914399"/>
    <w:rsid w:val="0091530C"/>
    <w:rsid w:val="009153EE"/>
    <w:rsid w:val="009157A5"/>
    <w:rsid w:val="009158BF"/>
    <w:rsid w:val="009166C9"/>
    <w:rsid w:val="009176BD"/>
    <w:rsid w:val="009203B5"/>
    <w:rsid w:val="00920940"/>
    <w:rsid w:val="00920B18"/>
    <w:rsid w:val="00920F4B"/>
    <w:rsid w:val="00921628"/>
    <w:rsid w:val="00921C17"/>
    <w:rsid w:val="00921F66"/>
    <w:rsid w:val="009221FC"/>
    <w:rsid w:val="00922D72"/>
    <w:rsid w:val="009236BC"/>
    <w:rsid w:val="009238C2"/>
    <w:rsid w:val="00924B9D"/>
    <w:rsid w:val="00925C87"/>
    <w:rsid w:val="00926838"/>
    <w:rsid w:val="00927988"/>
    <w:rsid w:val="009279E8"/>
    <w:rsid w:val="00927CB8"/>
    <w:rsid w:val="009308FC"/>
    <w:rsid w:val="009317DF"/>
    <w:rsid w:val="00931DA4"/>
    <w:rsid w:val="00933E08"/>
    <w:rsid w:val="009342FC"/>
    <w:rsid w:val="009346F3"/>
    <w:rsid w:val="009353FA"/>
    <w:rsid w:val="00936068"/>
    <w:rsid w:val="009363E5"/>
    <w:rsid w:val="00936F75"/>
    <w:rsid w:val="0093774A"/>
    <w:rsid w:val="0094237A"/>
    <w:rsid w:val="0094246D"/>
    <w:rsid w:val="00942F0E"/>
    <w:rsid w:val="009435EC"/>
    <w:rsid w:val="00943706"/>
    <w:rsid w:val="00943806"/>
    <w:rsid w:val="00943CBC"/>
    <w:rsid w:val="00943EF0"/>
    <w:rsid w:val="009448CA"/>
    <w:rsid w:val="00946351"/>
    <w:rsid w:val="00946660"/>
    <w:rsid w:val="009467FD"/>
    <w:rsid w:val="00946A99"/>
    <w:rsid w:val="009474D1"/>
    <w:rsid w:val="00947AF9"/>
    <w:rsid w:val="00951658"/>
    <w:rsid w:val="00951778"/>
    <w:rsid w:val="009517CC"/>
    <w:rsid w:val="00952053"/>
    <w:rsid w:val="00952BD3"/>
    <w:rsid w:val="00952BDC"/>
    <w:rsid w:val="00952C97"/>
    <w:rsid w:val="00952EF3"/>
    <w:rsid w:val="0095426A"/>
    <w:rsid w:val="00954877"/>
    <w:rsid w:val="009548B9"/>
    <w:rsid w:val="00954EDB"/>
    <w:rsid w:val="009565FC"/>
    <w:rsid w:val="0095740D"/>
    <w:rsid w:val="00957E04"/>
    <w:rsid w:val="00957FB5"/>
    <w:rsid w:val="009615D4"/>
    <w:rsid w:val="00961A42"/>
    <w:rsid w:val="00961D77"/>
    <w:rsid w:val="009628AF"/>
    <w:rsid w:val="00962905"/>
    <w:rsid w:val="00963B8C"/>
    <w:rsid w:val="009640D7"/>
    <w:rsid w:val="00965528"/>
    <w:rsid w:val="009667BC"/>
    <w:rsid w:val="00966C47"/>
    <w:rsid w:val="00967CFF"/>
    <w:rsid w:val="00970024"/>
    <w:rsid w:val="00970A20"/>
    <w:rsid w:val="00970CBB"/>
    <w:rsid w:val="0097163D"/>
    <w:rsid w:val="009721F8"/>
    <w:rsid w:val="0097361B"/>
    <w:rsid w:val="009736F1"/>
    <w:rsid w:val="00973783"/>
    <w:rsid w:val="00973BF6"/>
    <w:rsid w:val="00974258"/>
    <w:rsid w:val="0097429F"/>
    <w:rsid w:val="0097463A"/>
    <w:rsid w:val="00974677"/>
    <w:rsid w:val="009749B2"/>
    <w:rsid w:val="0097519B"/>
    <w:rsid w:val="00975B0D"/>
    <w:rsid w:val="00975FAD"/>
    <w:rsid w:val="00976023"/>
    <w:rsid w:val="009766FE"/>
    <w:rsid w:val="00976727"/>
    <w:rsid w:val="009774E4"/>
    <w:rsid w:val="00977944"/>
    <w:rsid w:val="00977AA6"/>
    <w:rsid w:val="00980461"/>
    <w:rsid w:val="00980830"/>
    <w:rsid w:val="00980C3F"/>
    <w:rsid w:val="00981040"/>
    <w:rsid w:val="0098130F"/>
    <w:rsid w:val="00981368"/>
    <w:rsid w:val="00982836"/>
    <w:rsid w:val="00982A3B"/>
    <w:rsid w:val="009860C9"/>
    <w:rsid w:val="009864AF"/>
    <w:rsid w:val="0098668E"/>
    <w:rsid w:val="00986A6A"/>
    <w:rsid w:val="00986A86"/>
    <w:rsid w:val="00986C14"/>
    <w:rsid w:val="00987CE4"/>
    <w:rsid w:val="00987F4F"/>
    <w:rsid w:val="009901F4"/>
    <w:rsid w:val="0099067C"/>
    <w:rsid w:val="009915A8"/>
    <w:rsid w:val="009915BD"/>
    <w:rsid w:val="00991623"/>
    <w:rsid w:val="0099225F"/>
    <w:rsid w:val="00992427"/>
    <w:rsid w:val="009936CE"/>
    <w:rsid w:val="00993F75"/>
    <w:rsid w:val="00995B16"/>
    <w:rsid w:val="00995D9B"/>
    <w:rsid w:val="0099696F"/>
    <w:rsid w:val="009969C3"/>
    <w:rsid w:val="00997879"/>
    <w:rsid w:val="00997DE3"/>
    <w:rsid w:val="00997F9A"/>
    <w:rsid w:val="009A2715"/>
    <w:rsid w:val="009A2D72"/>
    <w:rsid w:val="009A2F17"/>
    <w:rsid w:val="009A3B1F"/>
    <w:rsid w:val="009A3C2B"/>
    <w:rsid w:val="009A5BAB"/>
    <w:rsid w:val="009A6CEB"/>
    <w:rsid w:val="009A737C"/>
    <w:rsid w:val="009A7550"/>
    <w:rsid w:val="009B20ED"/>
    <w:rsid w:val="009B2223"/>
    <w:rsid w:val="009B26BF"/>
    <w:rsid w:val="009B3147"/>
    <w:rsid w:val="009B3C22"/>
    <w:rsid w:val="009B536F"/>
    <w:rsid w:val="009B54CE"/>
    <w:rsid w:val="009B5576"/>
    <w:rsid w:val="009B5AEF"/>
    <w:rsid w:val="009B5B20"/>
    <w:rsid w:val="009B5BC0"/>
    <w:rsid w:val="009B7933"/>
    <w:rsid w:val="009B7EF9"/>
    <w:rsid w:val="009C04FE"/>
    <w:rsid w:val="009C0952"/>
    <w:rsid w:val="009C0C04"/>
    <w:rsid w:val="009C110D"/>
    <w:rsid w:val="009C1E2E"/>
    <w:rsid w:val="009C1F0B"/>
    <w:rsid w:val="009C3075"/>
    <w:rsid w:val="009C3240"/>
    <w:rsid w:val="009C339F"/>
    <w:rsid w:val="009C3415"/>
    <w:rsid w:val="009C440C"/>
    <w:rsid w:val="009C4741"/>
    <w:rsid w:val="009C4A25"/>
    <w:rsid w:val="009C6042"/>
    <w:rsid w:val="009C6075"/>
    <w:rsid w:val="009C60F5"/>
    <w:rsid w:val="009C715F"/>
    <w:rsid w:val="009C7AB3"/>
    <w:rsid w:val="009D030B"/>
    <w:rsid w:val="009D087B"/>
    <w:rsid w:val="009D1F45"/>
    <w:rsid w:val="009D24F5"/>
    <w:rsid w:val="009D357C"/>
    <w:rsid w:val="009D3AFA"/>
    <w:rsid w:val="009D4D79"/>
    <w:rsid w:val="009D545E"/>
    <w:rsid w:val="009D634C"/>
    <w:rsid w:val="009D6408"/>
    <w:rsid w:val="009D7D51"/>
    <w:rsid w:val="009E0C30"/>
    <w:rsid w:val="009E154A"/>
    <w:rsid w:val="009E19A3"/>
    <w:rsid w:val="009E1D2C"/>
    <w:rsid w:val="009E244C"/>
    <w:rsid w:val="009E2BF5"/>
    <w:rsid w:val="009E3265"/>
    <w:rsid w:val="009E36BD"/>
    <w:rsid w:val="009E44D2"/>
    <w:rsid w:val="009E4DC0"/>
    <w:rsid w:val="009E554D"/>
    <w:rsid w:val="009E5F12"/>
    <w:rsid w:val="009E69DC"/>
    <w:rsid w:val="009F05AC"/>
    <w:rsid w:val="009F1309"/>
    <w:rsid w:val="009F18EB"/>
    <w:rsid w:val="009F1998"/>
    <w:rsid w:val="009F2A02"/>
    <w:rsid w:val="009F2CC2"/>
    <w:rsid w:val="009F4425"/>
    <w:rsid w:val="009F46F5"/>
    <w:rsid w:val="009F5199"/>
    <w:rsid w:val="009F527F"/>
    <w:rsid w:val="009F5C2D"/>
    <w:rsid w:val="009F691B"/>
    <w:rsid w:val="009F6CE5"/>
    <w:rsid w:val="009F6DEF"/>
    <w:rsid w:val="009F749A"/>
    <w:rsid w:val="009F7886"/>
    <w:rsid w:val="009F7CD1"/>
    <w:rsid w:val="009F7F71"/>
    <w:rsid w:val="00A000BF"/>
    <w:rsid w:val="00A00D54"/>
    <w:rsid w:val="00A02D70"/>
    <w:rsid w:val="00A03143"/>
    <w:rsid w:val="00A03659"/>
    <w:rsid w:val="00A0515C"/>
    <w:rsid w:val="00A05BDB"/>
    <w:rsid w:val="00A0620C"/>
    <w:rsid w:val="00A06271"/>
    <w:rsid w:val="00A06DE6"/>
    <w:rsid w:val="00A07004"/>
    <w:rsid w:val="00A071CE"/>
    <w:rsid w:val="00A0757A"/>
    <w:rsid w:val="00A07A12"/>
    <w:rsid w:val="00A10D3D"/>
    <w:rsid w:val="00A11297"/>
    <w:rsid w:val="00A1266F"/>
    <w:rsid w:val="00A128B7"/>
    <w:rsid w:val="00A1303C"/>
    <w:rsid w:val="00A13361"/>
    <w:rsid w:val="00A13664"/>
    <w:rsid w:val="00A14081"/>
    <w:rsid w:val="00A1473A"/>
    <w:rsid w:val="00A14952"/>
    <w:rsid w:val="00A14DA3"/>
    <w:rsid w:val="00A151EB"/>
    <w:rsid w:val="00A15E2E"/>
    <w:rsid w:val="00A17105"/>
    <w:rsid w:val="00A1737F"/>
    <w:rsid w:val="00A20A35"/>
    <w:rsid w:val="00A20A5D"/>
    <w:rsid w:val="00A2215C"/>
    <w:rsid w:val="00A23CA7"/>
    <w:rsid w:val="00A243EC"/>
    <w:rsid w:val="00A24489"/>
    <w:rsid w:val="00A24720"/>
    <w:rsid w:val="00A24B9F"/>
    <w:rsid w:val="00A25C75"/>
    <w:rsid w:val="00A26271"/>
    <w:rsid w:val="00A263CA"/>
    <w:rsid w:val="00A26980"/>
    <w:rsid w:val="00A26EDC"/>
    <w:rsid w:val="00A3018B"/>
    <w:rsid w:val="00A30352"/>
    <w:rsid w:val="00A31257"/>
    <w:rsid w:val="00A3165C"/>
    <w:rsid w:val="00A32978"/>
    <w:rsid w:val="00A330DA"/>
    <w:rsid w:val="00A3315C"/>
    <w:rsid w:val="00A34432"/>
    <w:rsid w:val="00A34B62"/>
    <w:rsid w:val="00A34FC6"/>
    <w:rsid w:val="00A36327"/>
    <w:rsid w:val="00A37116"/>
    <w:rsid w:val="00A37E0A"/>
    <w:rsid w:val="00A40233"/>
    <w:rsid w:val="00A40C76"/>
    <w:rsid w:val="00A416AD"/>
    <w:rsid w:val="00A41E95"/>
    <w:rsid w:val="00A42558"/>
    <w:rsid w:val="00A433D2"/>
    <w:rsid w:val="00A43407"/>
    <w:rsid w:val="00A442A6"/>
    <w:rsid w:val="00A44ACA"/>
    <w:rsid w:val="00A45063"/>
    <w:rsid w:val="00A4551F"/>
    <w:rsid w:val="00A45AD0"/>
    <w:rsid w:val="00A45B15"/>
    <w:rsid w:val="00A45F7C"/>
    <w:rsid w:val="00A4627E"/>
    <w:rsid w:val="00A46419"/>
    <w:rsid w:val="00A46685"/>
    <w:rsid w:val="00A46720"/>
    <w:rsid w:val="00A46FD1"/>
    <w:rsid w:val="00A470C5"/>
    <w:rsid w:val="00A471AE"/>
    <w:rsid w:val="00A471FF"/>
    <w:rsid w:val="00A50CD9"/>
    <w:rsid w:val="00A50E03"/>
    <w:rsid w:val="00A5131F"/>
    <w:rsid w:val="00A51374"/>
    <w:rsid w:val="00A52B84"/>
    <w:rsid w:val="00A53A0D"/>
    <w:rsid w:val="00A53FAB"/>
    <w:rsid w:val="00A54D58"/>
    <w:rsid w:val="00A5529A"/>
    <w:rsid w:val="00A552E3"/>
    <w:rsid w:val="00A55B39"/>
    <w:rsid w:val="00A5703F"/>
    <w:rsid w:val="00A601DC"/>
    <w:rsid w:val="00A60C04"/>
    <w:rsid w:val="00A6239F"/>
    <w:rsid w:val="00A624F3"/>
    <w:rsid w:val="00A62C1C"/>
    <w:rsid w:val="00A63D99"/>
    <w:rsid w:val="00A65A4E"/>
    <w:rsid w:val="00A65DCB"/>
    <w:rsid w:val="00A65F9E"/>
    <w:rsid w:val="00A66335"/>
    <w:rsid w:val="00A66646"/>
    <w:rsid w:val="00A66C36"/>
    <w:rsid w:val="00A70D8C"/>
    <w:rsid w:val="00A70EA9"/>
    <w:rsid w:val="00A71D00"/>
    <w:rsid w:val="00A720B9"/>
    <w:rsid w:val="00A7322E"/>
    <w:rsid w:val="00A74BE1"/>
    <w:rsid w:val="00A75004"/>
    <w:rsid w:val="00A7548C"/>
    <w:rsid w:val="00A755AB"/>
    <w:rsid w:val="00A75D2F"/>
    <w:rsid w:val="00A75DCB"/>
    <w:rsid w:val="00A76068"/>
    <w:rsid w:val="00A76480"/>
    <w:rsid w:val="00A7695C"/>
    <w:rsid w:val="00A81030"/>
    <w:rsid w:val="00A813C7"/>
    <w:rsid w:val="00A8183A"/>
    <w:rsid w:val="00A81D43"/>
    <w:rsid w:val="00A82C93"/>
    <w:rsid w:val="00A8397A"/>
    <w:rsid w:val="00A83F95"/>
    <w:rsid w:val="00A843B8"/>
    <w:rsid w:val="00A84ECD"/>
    <w:rsid w:val="00A86051"/>
    <w:rsid w:val="00A861BD"/>
    <w:rsid w:val="00A8625F"/>
    <w:rsid w:val="00A86446"/>
    <w:rsid w:val="00A87755"/>
    <w:rsid w:val="00A87AB4"/>
    <w:rsid w:val="00A90151"/>
    <w:rsid w:val="00A90256"/>
    <w:rsid w:val="00A9048D"/>
    <w:rsid w:val="00A9057D"/>
    <w:rsid w:val="00A90AF0"/>
    <w:rsid w:val="00A911A9"/>
    <w:rsid w:val="00A91851"/>
    <w:rsid w:val="00A91C64"/>
    <w:rsid w:val="00A92CDB"/>
    <w:rsid w:val="00A9359B"/>
    <w:rsid w:val="00A94FE0"/>
    <w:rsid w:val="00A9504D"/>
    <w:rsid w:val="00A9545C"/>
    <w:rsid w:val="00A95C74"/>
    <w:rsid w:val="00A95F58"/>
    <w:rsid w:val="00A96256"/>
    <w:rsid w:val="00A966F1"/>
    <w:rsid w:val="00A96B45"/>
    <w:rsid w:val="00A970A6"/>
    <w:rsid w:val="00A97AF7"/>
    <w:rsid w:val="00AA163B"/>
    <w:rsid w:val="00AA1682"/>
    <w:rsid w:val="00AA205A"/>
    <w:rsid w:val="00AA212C"/>
    <w:rsid w:val="00AA2F9D"/>
    <w:rsid w:val="00AA328B"/>
    <w:rsid w:val="00AA3569"/>
    <w:rsid w:val="00AA4288"/>
    <w:rsid w:val="00AA4840"/>
    <w:rsid w:val="00AA4BF6"/>
    <w:rsid w:val="00AA4FB9"/>
    <w:rsid w:val="00AA56A9"/>
    <w:rsid w:val="00AA5971"/>
    <w:rsid w:val="00AA5E46"/>
    <w:rsid w:val="00AA65EB"/>
    <w:rsid w:val="00AA6DAF"/>
    <w:rsid w:val="00AA73A9"/>
    <w:rsid w:val="00AA76E0"/>
    <w:rsid w:val="00AA783D"/>
    <w:rsid w:val="00AA788A"/>
    <w:rsid w:val="00AA78DF"/>
    <w:rsid w:val="00AB108A"/>
    <w:rsid w:val="00AB10F4"/>
    <w:rsid w:val="00AB20C0"/>
    <w:rsid w:val="00AB2D17"/>
    <w:rsid w:val="00AB34AD"/>
    <w:rsid w:val="00AB3D2B"/>
    <w:rsid w:val="00AB44A1"/>
    <w:rsid w:val="00AB46E2"/>
    <w:rsid w:val="00AB4A69"/>
    <w:rsid w:val="00AB53BC"/>
    <w:rsid w:val="00AB5E5A"/>
    <w:rsid w:val="00AB656B"/>
    <w:rsid w:val="00AB6E73"/>
    <w:rsid w:val="00AC1641"/>
    <w:rsid w:val="00AC1711"/>
    <w:rsid w:val="00AC196A"/>
    <w:rsid w:val="00AC1F06"/>
    <w:rsid w:val="00AC21BD"/>
    <w:rsid w:val="00AC2D4B"/>
    <w:rsid w:val="00AC3F25"/>
    <w:rsid w:val="00AC4437"/>
    <w:rsid w:val="00AC4F7C"/>
    <w:rsid w:val="00AC587D"/>
    <w:rsid w:val="00AC65E6"/>
    <w:rsid w:val="00AC69EB"/>
    <w:rsid w:val="00AC742B"/>
    <w:rsid w:val="00AC7A2B"/>
    <w:rsid w:val="00AC7C2D"/>
    <w:rsid w:val="00AD06D5"/>
    <w:rsid w:val="00AD0A6F"/>
    <w:rsid w:val="00AD143D"/>
    <w:rsid w:val="00AD1AA2"/>
    <w:rsid w:val="00AD1ABE"/>
    <w:rsid w:val="00AD1E23"/>
    <w:rsid w:val="00AD33A8"/>
    <w:rsid w:val="00AD4741"/>
    <w:rsid w:val="00AD4933"/>
    <w:rsid w:val="00AD4A1C"/>
    <w:rsid w:val="00AD4E17"/>
    <w:rsid w:val="00AD66B6"/>
    <w:rsid w:val="00AD69E1"/>
    <w:rsid w:val="00AD7A30"/>
    <w:rsid w:val="00AD7A7F"/>
    <w:rsid w:val="00AE0768"/>
    <w:rsid w:val="00AE07A3"/>
    <w:rsid w:val="00AE2641"/>
    <w:rsid w:val="00AE3125"/>
    <w:rsid w:val="00AE3561"/>
    <w:rsid w:val="00AE35D6"/>
    <w:rsid w:val="00AE415C"/>
    <w:rsid w:val="00AE502A"/>
    <w:rsid w:val="00AE5346"/>
    <w:rsid w:val="00AE55C2"/>
    <w:rsid w:val="00AE59E4"/>
    <w:rsid w:val="00AE649E"/>
    <w:rsid w:val="00AE6CF4"/>
    <w:rsid w:val="00AE6FE3"/>
    <w:rsid w:val="00AF0E7B"/>
    <w:rsid w:val="00AF0F43"/>
    <w:rsid w:val="00AF1FFF"/>
    <w:rsid w:val="00AF28A2"/>
    <w:rsid w:val="00AF2BAB"/>
    <w:rsid w:val="00AF36F2"/>
    <w:rsid w:val="00AF3BD9"/>
    <w:rsid w:val="00AF44E9"/>
    <w:rsid w:val="00AF479F"/>
    <w:rsid w:val="00AF58EC"/>
    <w:rsid w:val="00AF65A0"/>
    <w:rsid w:val="00AF6B06"/>
    <w:rsid w:val="00AF77EE"/>
    <w:rsid w:val="00B0015D"/>
    <w:rsid w:val="00B00288"/>
    <w:rsid w:val="00B00A19"/>
    <w:rsid w:val="00B027D5"/>
    <w:rsid w:val="00B02F6F"/>
    <w:rsid w:val="00B02FD0"/>
    <w:rsid w:val="00B031F9"/>
    <w:rsid w:val="00B032A3"/>
    <w:rsid w:val="00B044BC"/>
    <w:rsid w:val="00B0472E"/>
    <w:rsid w:val="00B04CE5"/>
    <w:rsid w:val="00B05267"/>
    <w:rsid w:val="00B0589E"/>
    <w:rsid w:val="00B059A1"/>
    <w:rsid w:val="00B062CA"/>
    <w:rsid w:val="00B06DE5"/>
    <w:rsid w:val="00B07707"/>
    <w:rsid w:val="00B100E9"/>
    <w:rsid w:val="00B10BF6"/>
    <w:rsid w:val="00B11699"/>
    <w:rsid w:val="00B11F80"/>
    <w:rsid w:val="00B14236"/>
    <w:rsid w:val="00B147F5"/>
    <w:rsid w:val="00B1552C"/>
    <w:rsid w:val="00B16209"/>
    <w:rsid w:val="00B167DC"/>
    <w:rsid w:val="00B16BC5"/>
    <w:rsid w:val="00B173BA"/>
    <w:rsid w:val="00B23258"/>
    <w:rsid w:val="00B23603"/>
    <w:rsid w:val="00B242B6"/>
    <w:rsid w:val="00B24C2E"/>
    <w:rsid w:val="00B25C1D"/>
    <w:rsid w:val="00B25D08"/>
    <w:rsid w:val="00B262D4"/>
    <w:rsid w:val="00B26683"/>
    <w:rsid w:val="00B302FA"/>
    <w:rsid w:val="00B308AA"/>
    <w:rsid w:val="00B30D65"/>
    <w:rsid w:val="00B3242F"/>
    <w:rsid w:val="00B32D6C"/>
    <w:rsid w:val="00B332B9"/>
    <w:rsid w:val="00B33B59"/>
    <w:rsid w:val="00B33CA9"/>
    <w:rsid w:val="00B34048"/>
    <w:rsid w:val="00B34C54"/>
    <w:rsid w:val="00B364A3"/>
    <w:rsid w:val="00B367AD"/>
    <w:rsid w:val="00B3749D"/>
    <w:rsid w:val="00B413C1"/>
    <w:rsid w:val="00B4149B"/>
    <w:rsid w:val="00B42BC2"/>
    <w:rsid w:val="00B4314C"/>
    <w:rsid w:val="00B43AF4"/>
    <w:rsid w:val="00B43CFA"/>
    <w:rsid w:val="00B443CC"/>
    <w:rsid w:val="00B44B6B"/>
    <w:rsid w:val="00B44F0E"/>
    <w:rsid w:val="00B450A6"/>
    <w:rsid w:val="00B457E4"/>
    <w:rsid w:val="00B4671B"/>
    <w:rsid w:val="00B46F47"/>
    <w:rsid w:val="00B4745B"/>
    <w:rsid w:val="00B4775F"/>
    <w:rsid w:val="00B479DD"/>
    <w:rsid w:val="00B47D1D"/>
    <w:rsid w:val="00B47DFB"/>
    <w:rsid w:val="00B5011C"/>
    <w:rsid w:val="00B5048B"/>
    <w:rsid w:val="00B507FC"/>
    <w:rsid w:val="00B5081F"/>
    <w:rsid w:val="00B51577"/>
    <w:rsid w:val="00B520B7"/>
    <w:rsid w:val="00B52549"/>
    <w:rsid w:val="00B526B2"/>
    <w:rsid w:val="00B55075"/>
    <w:rsid w:val="00B5542B"/>
    <w:rsid w:val="00B55F0F"/>
    <w:rsid w:val="00B5639C"/>
    <w:rsid w:val="00B605A4"/>
    <w:rsid w:val="00B60ADB"/>
    <w:rsid w:val="00B60C69"/>
    <w:rsid w:val="00B611DF"/>
    <w:rsid w:val="00B625A6"/>
    <w:rsid w:val="00B62701"/>
    <w:rsid w:val="00B639AB"/>
    <w:rsid w:val="00B64F3B"/>
    <w:rsid w:val="00B65435"/>
    <w:rsid w:val="00B65DAA"/>
    <w:rsid w:val="00B66B2F"/>
    <w:rsid w:val="00B6788E"/>
    <w:rsid w:val="00B712CC"/>
    <w:rsid w:val="00B7176B"/>
    <w:rsid w:val="00B7189D"/>
    <w:rsid w:val="00B720EC"/>
    <w:rsid w:val="00B7315C"/>
    <w:rsid w:val="00B73AC1"/>
    <w:rsid w:val="00B748BC"/>
    <w:rsid w:val="00B74F7F"/>
    <w:rsid w:val="00B75B08"/>
    <w:rsid w:val="00B75D84"/>
    <w:rsid w:val="00B7631E"/>
    <w:rsid w:val="00B7663C"/>
    <w:rsid w:val="00B76A27"/>
    <w:rsid w:val="00B77906"/>
    <w:rsid w:val="00B8115F"/>
    <w:rsid w:val="00B8126A"/>
    <w:rsid w:val="00B81BA0"/>
    <w:rsid w:val="00B83F13"/>
    <w:rsid w:val="00B84869"/>
    <w:rsid w:val="00B85289"/>
    <w:rsid w:val="00B86607"/>
    <w:rsid w:val="00B86E04"/>
    <w:rsid w:val="00B86EC1"/>
    <w:rsid w:val="00B87859"/>
    <w:rsid w:val="00B87B22"/>
    <w:rsid w:val="00B90FFE"/>
    <w:rsid w:val="00B91B32"/>
    <w:rsid w:val="00B91D47"/>
    <w:rsid w:val="00B9223B"/>
    <w:rsid w:val="00B92F5A"/>
    <w:rsid w:val="00B93AC0"/>
    <w:rsid w:val="00B9405A"/>
    <w:rsid w:val="00B9408E"/>
    <w:rsid w:val="00B94B73"/>
    <w:rsid w:val="00B953E2"/>
    <w:rsid w:val="00B9548C"/>
    <w:rsid w:val="00B96D6B"/>
    <w:rsid w:val="00BA14B5"/>
    <w:rsid w:val="00BA1D2A"/>
    <w:rsid w:val="00BA2A53"/>
    <w:rsid w:val="00BA2BB3"/>
    <w:rsid w:val="00BA3423"/>
    <w:rsid w:val="00BA393B"/>
    <w:rsid w:val="00BA3CB8"/>
    <w:rsid w:val="00BA3F67"/>
    <w:rsid w:val="00BA4F0E"/>
    <w:rsid w:val="00BA598A"/>
    <w:rsid w:val="00BA599B"/>
    <w:rsid w:val="00BA5EA5"/>
    <w:rsid w:val="00BA614E"/>
    <w:rsid w:val="00BA6336"/>
    <w:rsid w:val="00BA7623"/>
    <w:rsid w:val="00BB07A7"/>
    <w:rsid w:val="00BB09A6"/>
    <w:rsid w:val="00BB17F7"/>
    <w:rsid w:val="00BB1AFA"/>
    <w:rsid w:val="00BB2939"/>
    <w:rsid w:val="00BB2B9C"/>
    <w:rsid w:val="00BB36F6"/>
    <w:rsid w:val="00BB3806"/>
    <w:rsid w:val="00BB3E48"/>
    <w:rsid w:val="00BB469D"/>
    <w:rsid w:val="00BB46CB"/>
    <w:rsid w:val="00BB483F"/>
    <w:rsid w:val="00BB5FC1"/>
    <w:rsid w:val="00BB726F"/>
    <w:rsid w:val="00BB7C96"/>
    <w:rsid w:val="00BC0472"/>
    <w:rsid w:val="00BC0679"/>
    <w:rsid w:val="00BC06DA"/>
    <w:rsid w:val="00BC0B30"/>
    <w:rsid w:val="00BC0DCE"/>
    <w:rsid w:val="00BC0F34"/>
    <w:rsid w:val="00BC1029"/>
    <w:rsid w:val="00BC127C"/>
    <w:rsid w:val="00BC2E22"/>
    <w:rsid w:val="00BC4F89"/>
    <w:rsid w:val="00BC58B8"/>
    <w:rsid w:val="00BC59D9"/>
    <w:rsid w:val="00BC6606"/>
    <w:rsid w:val="00BC6A34"/>
    <w:rsid w:val="00BC7C1B"/>
    <w:rsid w:val="00BD01C2"/>
    <w:rsid w:val="00BD01F1"/>
    <w:rsid w:val="00BD0AA5"/>
    <w:rsid w:val="00BD190D"/>
    <w:rsid w:val="00BD20E7"/>
    <w:rsid w:val="00BD380C"/>
    <w:rsid w:val="00BD3F31"/>
    <w:rsid w:val="00BD620C"/>
    <w:rsid w:val="00BD6561"/>
    <w:rsid w:val="00BD6971"/>
    <w:rsid w:val="00BD73AD"/>
    <w:rsid w:val="00BD7590"/>
    <w:rsid w:val="00BD7A3A"/>
    <w:rsid w:val="00BE0227"/>
    <w:rsid w:val="00BE0240"/>
    <w:rsid w:val="00BE13D4"/>
    <w:rsid w:val="00BE1BEC"/>
    <w:rsid w:val="00BE2499"/>
    <w:rsid w:val="00BE38B9"/>
    <w:rsid w:val="00BE4A81"/>
    <w:rsid w:val="00BE51C1"/>
    <w:rsid w:val="00BE53BC"/>
    <w:rsid w:val="00BE59F7"/>
    <w:rsid w:val="00BE5F05"/>
    <w:rsid w:val="00BE62A4"/>
    <w:rsid w:val="00BE6FA0"/>
    <w:rsid w:val="00BE75EE"/>
    <w:rsid w:val="00BF06A3"/>
    <w:rsid w:val="00BF0E7B"/>
    <w:rsid w:val="00BF0EF2"/>
    <w:rsid w:val="00BF11A0"/>
    <w:rsid w:val="00BF1A1D"/>
    <w:rsid w:val="00BF23CC"/>
    <w:rsid w:val="00BF2CF1"/>
    <w:rsid w:val="00BF327A"/>
    <w:rsid w:val="00BF3842"/>
    <w:rsid w:val="00BF43E2"/>
    <w:rsid w:val="00BF5DDF"/>
    <w:rsid w:val="00BF68C8"/>
    <w:rsid w:val="00BF7651"/>
    <w:rsid w:val="00C00E34"/>
    <w:rsid w:val="00C011C0"/>
    <w:rsid w:val="00C01561"/>
    <w:rsid w:val="00C015E7"/>
    <w:rsid w:val="00C016A3"/>
    <w:rsid w:val="00C017BF"/>
    <w:rsid w:val="00C01E68"/>
    <w:rsid w:val="00C0206A"/>
    <w:rsid w:val="00C04AD4"/>
    <w:rsid w:val="00C051ED"/>
    <w:rsid w:val="00C056F5"/>
    <w:rsid w:val="00C06036"/>
    <w:rsid w:val="00C06236"/>
    <w:rsid w:val="00C07EAC"/>
    <w:rsid w:val="00C10E18"/>
    <w:rsid w:val="00C10FA0"/>
    <w:rsid w:val="00C1135A"/>
    <w:rsid w:val="00C11924"/>
    <w:rsid w:val="00C11A83"/>
    <w:rsid w:val="00C11B21"/>
    <w:rsid w:val="00C1201F"/>
    <w:rsid w:val="00C127F0"/>
    <w:rsid w:val="00C1291D"/>
    <w:rsid w:val="00C13515"/>
    <w:rsid w:val="00C137DC"/>
    <w:rsid w:val="00C14016"/>
    <w:rsid w:val="00C1409E"/>
    <w:rsid w:val="00C14992"/>
    <w:rsid w:val="00C14D4B"/>
    <w:rsid w:val="00C151C3"/>
    <w:rsid w:val="00C16406"/>
    <w:rsid w:val="00C16B9F"/>
    <w:rsid w:val="00C17652"/>
    <w:rsid w:val="00C17ADC"/>
    <w:rsid w:val="00C17B40"/>
    <w:rsid w:val="00C2106E"/>
    <w:rsid w:val="00C21DA8"/>
    <w:rsid w:val="00C21DB1"/>
    <w:rsid w:val="00C221A0"/>
    <w:rsid w:val="00C226BF"/>
    <w:rsid w:val="00C23564"/>
    <w:rsid w:val="00C236A7"/>
    <w:rsid w:val="00C238D1"/>
    <w:rsid w:val="00C2441B"/>
    <w:rsid w:val="00C25584"/>
    <w:rsid w:val="00C258D1"/>
    <w:rsid w:val="00C25C46"/>
    <w:rsid w:val="00C26B8A"/>
    <w:rsid w:val="00C27450"/>
    <w:rsid w:val="00C30BF4"/>
    <w:rsid w:val="00C312A2"/>
    <w:rsid w:val="00C3156A"/>
    <w:rsid w:val="00C31E23"/>
    <w:rsid w:val="00C324AA"/>
    <w:rsid w:val="00C326F9"/>
    <w:rsid w:val="00C3315F"/>
    <w:rsid w:val="00C331A2"/>
    <w:rsid w:val="00C33233"/>
    <w:rsid w:val="00C34790"/>
    <w:rsid w:val="00C34E5F"/>
    <w:rsid w:val="00C3566F"/>
    <w:rsid w:val="00C356FA"/>
    <w:rsid w:val="00C35D17"/>
    <w:rsid w:val="00C35ECD"/>
    <w:rsid w:val="00C360AF"/>
    <w:rsid w:val="00C362B6"/>
    <w:rsid w:val="00C36583"/>
    <w:rsid w:val="00C36EFE"/>
    <w:rsid w:val="00C36FFC"/>
    <w:rsid w:val="00C377A4"/>
    <w:rsid w:val="00C37A29"/>
    <w:rsid w:val="00C37F43"/>
    <w:rsid w:val="00C40119"/>
    <w:rsid w:val="00C4061C"/>
    <w:rsid w:val="00C40791"/>
    <w:rsid w:val="00C40B64"/>
    <w:rsid w:val="00C41138"/>
    <w:rsid w:val="00C42D81"/>
    <w:rsid w:val="00C42DD2"/>
    <w:rsid w:val="00C42FAB"/>
    <w:rsid w:val="00C43479"/>
    <w:rsid w:val="00C43881"/>
    <w:rsid w:val="00C439A2"/>
    <w:rsid w:val="00C4470C"/>
    <w:rsid w:val="00C45AC6"/>
    <w:rsid w:val="00C45D04"/>
    <w:rsid w:val="00C45F2E"/>
    <w:rsid w:val="00C50C26"/>
    <w:rsid w:val="00C5164C"/>
    <w:rsid w:val="00C52426"/>
    <w:rsid w:val="00C52622"/>
    <w:rsid w:val="00C5378C"/>
    <w:rsid w:val="00C5400C"/>
    <w:rsid w:val="00C549DC"/>
    <w:rsid w:val="00C55D48"/>
    <w:rsid w:val="00C563D8"/>
    <w:rsid w:val="00C5795E"/>
    <w:rsid w:val="00C57C10"/>
    <w:rsid w:val="00C600CD"/>
    <w:rsid w:val="00C61A44"/>
    <w:rsid w:val="00C627AF"/>
    <w:rsid w:val="00C628C2"/>
    <w:rsid w:val="00C6398C"/>
    <w:rsid w:val="00C64188"/>
    <w:rsid w:val="00C653B0"/>
    <w:rsid w:val="00C65683"/>
    <w:rsid w:val="00C65874"/>
    <w:rsid w:val="00C65DFF"/>
    <w:rsid w:val="00C663D5"/>
    <w:rsid w:val="00C6692A"/>
    <w:rsid w:val="00C66C32"/>
    <w:rsid w:val="00C66FE4"/>
    <w:rsid w:val="00C70A29"/>
    <w:rsid w:val="00C70D80"/>
    <w:rsid w:val="00C70EFC"/>
    <w:rsid w:val="00C71340"/>
    <w:rsid w:val="00C71613"/>
    <w:rsid w:val="00C71688"/>
    <w:rsid w:val="00C71864"/>
    <w:rsid w:val="00C71AE5"/>
    <w:rsid w:val="00C71DDB"/>
    <w:rsid w:val="00C733DA"/>
    <w:rsid w:val="00C73404"/>
    <w:rsid w:val="00C73C90"/>
    <w:rsid w:val="00C741A5"/>
    <w:rsid w:val="00C75C56"/>
    <w:rsid w:val="00C7615F"/>
    <w:rsid w:val="00C770CB"/>
    <w:rsid w:val="00C80396"/>
    <w:rsid w:val="00C80507"/>
    <w:rsid w:val="00C82895"/>
    <w:rsid w:val="00C8295C"/>
    <w:rsid w:val="00C8318C"/>
    <w:rsid w:val="00C83303"/>
    <w:rsid w:val="00C85528"/>
    <w:rsid w:val="00C85920"/>
    <w:rsid w:val="00C86F0C"/>
    <w:rsid w:val="00C870D6"/>
    <w:rsid w:val="00C87736"/>
    <w:rsid w:val="00C87B44"/>
    <w:rsid w:val="00C908F4"/>
    <w:rsid w:val="00C909F6"/>
    <w:rsid w:val="00C91746"/>
    <w:rsid w:val="00C9192F"/>
    <w:rsid w:val="00C91A1B"/>
    <w:rsid w:val="00C932F3"/>
    <w:rsid w:val="00C97F43"/>
    <w:rsid w:val="00C97FD4"/>
    <w:rsid w:val="00C97FFD"/>
    <w:rsid w:val="00CA0101"/>
    <w:rsid w:val="00CA0149"/>
    <w:rsid w:val="00CA0B3F"/>
    <w:rsid w:val="00CA0E3B"/>
    <w:rsid w:val="00CA1447"/>
    <w:rsid w:val="00CA1BB6"/>
    <w:rsid w:val="00CA2836"/>
    <w:rsid w:val="00CA2CE6"/>
    <w:rsid w:val="00CA3909"/>
    <w:rsid w:val="00CA3C52"/>
    <w:rsid w:val="00CA3D3A"/>
    <w:rsid w:val="00CA3F89"/>
    <w:rsid w:val="00CA45A4"/>
    <w:rsid w:val="00CA4639"/>
    <w:rsid w:val="00CA4E5A"/>
    <w:rsid w:val="00CA5542"/>
    <w:rsid w:val="00CA57FB"/>
    <w:rsid w:val="00CA5A08"/>
    <w:rsid w:val="00CB0940"/>
    <w:rsid w:val="00CB0F6C"/>
    <w:rsid w:val="00CB146F"/>
    <w:rsid w:val="00CB177B"/>
    <w:rsid w:val="00CB1FB9"/>
    <w:rsid w:val="00CB28FF"/>
    <w:rsid w:val="00CB39DE"/>
    <w:rsid w:val="00CB4456"/>
    <w:rsid w:val="00CC0B6C"/>
    <w:rsid w:val="00CC1897"/>
    <w:rsid w:val="00CC18D8"/>
    <w:rsid w:val="00CC1C77"/>
    <w:rsid w:val="00CC3204"/>
    <w:rsid w:val="00CC3225"/>
    <w:rsid w:val="00CC38B0"/>
    <w:rsid w:val="00CC3DE4"/>
    <w:rsid w:val="00CC459B"/>
    <w:rsid w:val="00CC5ED4"/>
    <w:rsid w:val="00CC5F5B"/>
    <w:rsid w:val="00CC6768"/>
    <w:rsid w:val="00CC7D66"/>
    <w:rsid w:val="00CC7DEC"/>
    <w:rsid w:val="00CD047E"/>
    <w:rsid w:val="00CD0C2C"/>
    <w:rsid w:val="00CD0ECA"/>
    <w:rsid w:val="00CD12C6"/>
    <w:rsid w:val="00CD1B65"/>
    <w:rsid w:val="00CD1CE4"/>
    <w:rsid w:val="00CD2D77"/>
    <w:rsid w:val="00CD5500"/>
    <w:rsid w:val="00CD61EB"/>
    <w:rsid w:val="00CD6A68"/>
    <w:rsid w:val="00CD7AE5"/>
    <w:rsid w:val="00CD7F44"/>
    <w:rsid w:val="00CE01D3"/>
    <w:rsid w:val="00CE0554"/>
    <w:rsid w:val="00CE0CE6"/>
    <w:rsid w:val="00CE0FDD"/>
    <w:rsid w:val="00CE14C1"/>
    <w:rsid w:val="00CE14E7"/>
    <w:rsid w:val="00CE1DA0"/>
    <w:rsid w:val="00CE2C6A"/>
    <w:rsid w:val="00CE424A"/>
    <w:rsid w:val="00CE43AF"/>
    <w:rsid w:val="00CE4660"/>
    <w:rsid w:val="00CE4C31"/>
    <w:rsid w:val="00CE4D3A"/>
    <w:rsid w:val="00CE5131"/>
    <w:rsid w:val="00CE64FD"/>
    <w:rsid w:val="00CE6754"/>
    <w:rsid w:val="00CE68D9"/>
    <w:rsid w:val="00CE7236"/>
    <w:rsid w:val="00CE7A17"/>
    <w:rsid w:val="00CF0119"/>
    <w:rsid w:val="00CF020E"/>
    <w:rsid w:val="00CF02C1"/>
    <w:rsid w:val="00CF02F0"/>
    <w:rsid w:val="00CF081C"/>
    <w:rsid w:val="00CF0C1A"/>
    <w:rsid w:val="00CF1DD0"/>
    <w:rsid w:val="00CF1F37"/>
    <w:rsid w:val="00CF27FC"/>
    <w:rsid w:val="00CF4649"/>
    <w:rsid w:val="00CF4ADF"/>
    <w:rsid w:val="00CF4BC6"/>
    <w:rsid w:val="00CF4BF8"/>
    <w:rsid w:val="00CF5CAF"/>
    <w:rsid w:val="00CF6201"/>
    <w:rsid w:val="00CF66DC"/>
    <w:rsid w:val="00CF7F06"/>
    <w:rsid w:val="00D01187"/>
    <w:rsid w:val="00D014B2"/>
    <w:rsid w:val="00D01615"/>
    <w:rsid w:val="00D01AB0"/>
    <w:rsid w:val="00D02433"/>
    <w:rsid w:val="00D02646"/>
    <w:rsid w:val="00D0352E"/>
    <w:rsid w:val="00D04B09"/>
    <w:rsid w:val="00D058DA"/>
    <w:rsid w:val="00D0631C"/>
    <w:rsid w:val="00D10DDD"/>
    <w:rsid w:val="00D10EF8"/>
    <w:rsid w:val="00D10F14"/>
    <w:rsid w:val="00D11633"/>
    <w:rsid w:val="00D12F7B"/>
    <w:rsid w:val="00D1425D"/>
    <w:rsid w:val="00D14DDF"/>
    <w:rsid w:val="00D14FB1"/>
    <w:rsid w:val="00D15113"/>
    <w:rsid w:val="00D15B7C"/>
    <w:rsid w:val="00D15B7D"/>
    <w:rsid w:val="00D16223"/>
    <w:rsid w:val="00D16CD3"/>
    <w:rsid w:val="00D16E7D"/>
    <w:rsid w:val="00D16F74"/>
    <w:rsid w:val="00D17784"/>
    <w:rsid w:val="00D21091"/>
    <w:rsid w:val="00D21402"/>
    <w:rsid w:val="00D22C6D"/>
    <w:rsid w:val="00D23270"/>
    <w:rsid w:val="00D254F6"/>
    <w:rsid w:val="00D25A93"/>
    <w:rsid w:val="00D26F2A"/>
    <w:rsid w:val="00D27079"/>
    <w:rsid w:val="00D30791"/>
    <w:rsid w:val="00D312CF"/>
    <w:rsid w:val="00D3143C"/>
    <w:rsid w:val="00D3196F"/>
    <w:rsid w:val="00D31E3E"/>
    <w:rsid w:val="00D31EA0"/>
    <w:rsid w:val="00D32629"/>
    <w:rsid w:val="00D32866"/>
    <w:rsid w:val="00D32AD8"/>
    <w:rsid w:val="00D32B52"/>
    <w:rsid w:val="00D330CA"/>
    <w:rsid w:val="00D3316D"/>
    <w:rsid w:val="00D336FB"/>
    <w:rsid w:val="00D33E38"/>
    <w:rsid w:val="00D343CC"/>
    <w:rsid w:val="00D348A3"/>
    <w:rsid w:val="00D35EEA"/>
    <w:rsid w:val="00D361A4"/>
    <w:rsid w:val="00D37239"/>
    <w:rsid w:val="00D37504"/>
    <w:rsid w:val="00D3784C"/>
    <w:rsid w:val="00D37882"/>
    <w:rsid w:val="00D40F4E"/>
    <w:rsid w:val="00D41009"/>
    <w:rsid w:val="00D417A5"/>
    <w:rsid w:val="00D41B4E"/>
    <w:rsid w:val="00D42D45"/>
    <w:rsid w:val="00D43A71"/>
    <w:rsid w:val="00D43FFF"/>
    <w:rsid w:val="00D44270"/>
    <w:rsid w:val="00D46FD9"/>
    <w:rsid w:val="00D47D15"/>
    <w:rsid w:val="00D50221"/>
    <w:rsid w:val="00D505D4"/>
    <w:rsid w:val="00D50C44"/>
    <w:rsid w:val="00D533C0"/>
    <w:rsid w:val="00D5419B"/>
    <w:rsid w:val="00D5510C"/>
    <w:rsid w:val="00D55E48"/>
    <w:rsid w:val="00D562A1"/>
    <w:rsid w:val="00D56DD6"/>
    <w:rsid w:val="00D576A3"/>
    <w:rsid w:val="00D57C39"/>
    <w:rsid w:val="00D603C4"/>
    <w:rsid w:val="00D60649"/>
    <w:rsid w:val="00D61E88"/>
    <w:rsid w:val="00D639A9"/>
    <w:rsid w:val="00D63AF3"/>
    <w:rsid w:val="00D64061"/>
    <w:rsid w:val="00D64207"/>
    <w:rsid w:val="00D645C2"/>
    <w:rsid w:val="00D65202"/>
    <w:rsid w:val="00D65B59"/>
    <w:rsid w:val="00D65D18"/>
    <w:rsid w:val="00D65E7E"/>
    <w:rsid w:val="00D662AD"/>
    <w:rsid w:val="00D6668B"/>
    <w:rsid w:val="00D66BCB"/>
    <w:rsid w:val="00D67178"/>
    <w:rsid w:val="00D70E8E"/>
    <w:rsid w:val="00D71758"/>
    <w:rsid w:val="00D7226C"/>
    <w:rsid w:val="00D724E2"/>
    <w:rsid w:val="00D72DD8"/>
    <w:rsid w:val="00D73BC6"/>
    <w:rsid w:val="00D745B7"/>
    <w:rsid w:val="00D7553D"/>
    <w:rsid w:val="00D761F4"/>
    <w:rsid w:val="00D77220"/>
    <w:rsid w:val="00D77427"/>
    <w:rsid w:val="00D77F3F"/>
    <w:rsid w:val="00D80BBC"/>
    <w:rsid w:val="00D81271"/>
    <w:rsid w:val="00D814AD"/>
    <w:rsid w:val="00D81ADB"/>
    <w:rsid w:val="00D820E8"/>
    <w:rsid w:val="00D82201"/>
    <w:rsid w:val="00D82A35"/>
    <w:rsid w:val="00D83923"/>
    <w:rsid w:val="00D8393A"/>
    <w:rsid w:val="00D8437D"/>
    <w:rsid w:val="00D8442A"/>
    <w:rsid w:val="00D84E58"/>
    <w:rsid w:val="00D85032"/>
    <w:rsid w:val="00D85A4E"/>
    <w:rsid w:val="00D8635A"/>
    <w:rsid w:val="00D86E14"/>
    <w:rsid w:val="00D92551"/>
    <w:rsid w:val="00D93201"/>
    <w:rsid w:val="00D9417F"/>
    <w:rsid w:val="00D9419D"/>
    <w:rsid w:val="00D9444E"/>
    <w:rsid w:val="00D94EE8"/>
    <w:rsid w:val="00D9543B"/>
    <w:rsid w:val="00D95956"/>
    <w:rsid w:val="00D96D6A"/>
    <w:rsid w:val="00D96F65"/>
    <w:rsid w:val="00D9741F"/>
    <w:rsid w:val="00D978E5"/>
    <w:rsid w:val="00D97AC8"/>
    <w:rsid w:val="00D97E78"/>
    <w:rsid w:val="00D97F2A"/>
    <w:rsid w:val="00DA098B"/>
    <w:rsid w:val="00DA0EA1"/>
    <w:rsid w:val="00DA11C5"/>
    <w:rsid w:val="00DA136C"/>
    <w:rsid w:val="00DA1BAD"/>
    <w:rsid w:val="00DA1F00"/>
    <w:rsid w:val="00DA25E6"/>
    <w:rsid w:val="00DA2C61"/>
    <w:rsid w:val="00DA3017"/>
    <w:rsid w:val="00DA462D"/>
    <w:rsid w:val="00DA501B"/>
    <w:rsid w:val="00DA5484"/>
    <w:rsid w:val="00DA592C"/>
    <w:rsid w:val="00DA69F4"/>
    <w:rsid w:val="00DA6FEA"/>
    <w:rsid w:val="00DA7466"/>
    <w:rsid w:val="00DA7A64"/>
    <w:rsid w:val="00DA7F46"/>
    <w:rsid w:val="00DB276D"/>
    <w:rsid w:val="00DB3808"/>
    <w:rsid w:val="00DB3BDD"/>
    <w:rsid w:val="00DB4D09"/>
    <w:rsid w:val="00DB55AD"/>
    <w:rsid w:val="00DB56AA"/>
    <w:rsid w:val="00DB6F38"/>
    <w:rsid w:val="00DB7674"/>
    <w:rsid w:val="00DB7913"/>
    <w:rsid w:val="00DB7E8D"/>
    <w:rsid w:val="00DC02D9"/>
    <w:rsid w:val="00DC0B82"/>
    <w:rsid w:val="00DC0CA9"/>
    <w:rsid w:val="00DC1012"/>
    <w:rsid w:val="00DC11FE"/>
    <w:rsid w:val="00DC13AE"/>
    <w:rsid w:val="00DC1754"/>
    <w:rsid w:val="00DC18D8"/>
    <w:rsid w:val="00DC1B37"/>
    <w:rsid w:val="00DC1FB7"/>
    <w:rsid w:val="00DC2DE0"/>
    <w:rsid w:val="00DC3713"/>
    <w:rsid w:val="00DC3F1C"/>
    <w:rsid w:val="00DC49E0"/>
    <w:rsid w:val="00DC51DD"/>
    <w:rsid w:val="00DC5232"/>
    <w:rsid w:val="00DC5B13"/>
    <w:rsid w:val="00DC5DE5"/>
    <w:rsid w:val="00DC5DFF"/>
    <w:rsid w:val="00DC73B9"/>
    <w:rsid w:val="00DC7493"/>
    <w:rsid w:val="00DC74CB"/>
    <w:rsid w:val="00DC76E7"/>
    <w:rsid w:val="00DC777B"/>
    <w:rsid w:val="00DD0764"/>
    <w:rsid w:val="00DD134A"/>
    <w:rsid w:val="00DD13A8"/>
    <w:rsid w:val="00DD174C"/>
    <w:rsid w:val="00DD3696"/>
    <w:rsid w:val="00DD3A0E"/>
    <w:rsid w:val="00DD3DAE"/>
    <w:rsid w:val="00DD4261"/>
    <w:rsid w:val="00DD4BF2"/>
    <w:rsid w:val="00DD6473"/>
    <w:rsid w:val="00DD69F4"/>
    <w:rsid w:val="00DD7212"/>
    <w:rsid w:val="00DD78DE"/>
    <w:rsid w:val="00DD7D2C"/>
    <w:rsid w:val="00DD7E4F"/>
    <w:rsid w:val="00DE04CE"/>
    <w:rsid w:val="00DE0785"/>
    <w:rsid w:val="00DE0C12"/>
    <w:rsid w:val="00DE1854"/>
    <w:rsid w:val="00DE1E65"/>
    <w:rsid w:val="00DE270B"/>
    <w:rsid w:val="00DE2D83"/>
    <w:rsid w:val="00DE3765"/>
    <w:rsid w:val="00DE3A8F"/>
    <w:rsid w:val="00DE3EBA"/>
    <w:rsid w:val="00DE5C5A"/>
    <w:rsid w:val="00DE5C85"/>
    <w:rsid w:val="00DE5CEA"/>
    <w:rsid w:val="00DE5D54"/>
    <w:rsid w:val="00DE6534"/>
    <w:rsid w:val="00DE67DF"/>
    <w:rsid w:val="00DE714A"/>
    <w:rsid w:val="00DE7E0D"/>
    <w:rsid w:val="00DF0039"/>
    <w:rsid w:val="00DF0973"/>
    <w:rsid w:val="00DF0B54"/>
    <w:rsid w:val="00DF0FCF"/>
    <w:rsid w:val="00DF201B"/>
    <w:rsid w:val="00DF2172"/>
    <w:rsid w:val="00DF28DB"/>
    <w:rsid w:val="00DF2BEC"/>
    <w:rsid w:val="00DF37C1"/>
    <w:rsid w:val="00DF4E3E"/>
    <w:rsid w:val="00DF510E"/>
    <w:rsid w:val="00DF5305"/>
    <w:rsid w:val="00DF57D9"/>
    <w:rsid w:val="00DF60B9"/>
    <w:rsid w:val="00DF63B7"/>
    <w:rsid w:val="00DF7112"/>
    <w:rsid w:val="00DF712C"/>
    <w:rsid w:val="00DF7545"/>
    <w:rsid w:val="00E0017B"/>
    <w:rsid w:val="00E010CD"/>
    <w:rsid w:val="00E02761"/>
    <w:rsid w:val="00E0280C"/>
    <w:rsid w:val="00E0453D"/>
    <w:rsid w:val="00E05351"/>
    <w:rsid w:val="00E05BEF"/>
    <w:rsid w:val="00E05C19"/>
    <w:rsid w:val="00E05FA6"/>
    <w:rsid w:val="00E06AF6"/>
    <w:rsid w:val="00E06C8E"/>
    <w:rsid w:val="00E10693"/>
    <w:rsid w:val="00E10C9C"/>
    <w:rsid w:val="00E1155E"/>
    <w:rsid w:val="00E12933"/>
    <w:rsid w:val="00E14D58"/>
    <w:rsid w:val="00E15A2F"/>
    <w:rsid w:val="00E15A4E"/>
    <w:rsid w:val="00E160AB"/>
    <w:rsid w:val="00E16D18"/>
    <w:rsid w:val="00E16EBA"/>
    <w:rsid w:val="00E173EA"/>
    <w:rsid w:val="00E1777D"/>
    <w:rsid w:val="00E17CB6"/>
    <w:rsid w:val="00E21B2C"/>
    <w:rsid w:val="00E21CD0"/>
    <w:rsid w:val="00E22F0F"/>
    <w:rsid w:val="00E2313C"/>
    <w:rsid w:val="00E23850"/>
    <w:rsid w:val="00E241AE"/>
    <w:rsid w:val="00E2470C"/>
    <w:rsid w:val="00E25474"/>
    <w:rsid w:val="00E25D3E"/>
    <w:rsid w:val="00E25DED"/>
    <w:rsid w:val="00E25E16"/>
    <w:rsid w:val="00E2635A"/>
    <w:rsid w:val="00E26669"/>
    <w:rsid w:val="00E266A9"/>
    <w:rsid w:val="00E26A4C"/>
    <w:rsid w:val="00E27863"/>
    <w:rsid w:val="00E30994"/>
    <w:rsid w:val="00E318D2"/>
    <w:rsid w:val="00E32481"/>
    <w:rsid w:val="00E32EE5"/>
    <w:rsid w:val="00E32F93"/>
    <w:rsid w:val="00E3477C"/>
    <w:rsid w:val="00E350BE"/>
    <w:rsid w:val="00E36A44"/>
    <w:rsid w:val="00E36FFB"/>
    <w:rsid w:val="00E379F7"/>
    <w:rsid w:val="00E37E15"/>
    <w:rsid w:val="00E401D7"/>
    <w:rsid w:val="00E40428"/>
    <w:rsid w:val="00E41716"/>
    <w:rsid w:val="00E41F5B"/>
    <w:rsid w:val="00E42882"/>
    <w:rsid w:val="00E42ED7"/>
    <w:rsid w:val="00E42FE7"/>
    <w:rsid w:val="00E441C9"/>
    <w:rsid w:val="00E44795"/>
    <w:rsid w:val="00E458ED"/>
    <w:rsid w:val="00E46A03"/>
    <w:rsid w:val="00E47018"/>
    <w:rsid w:val="00E47107"/>
    <w:rsid w:val="00E47B22"/>
    <w:rsid w:val="00E50A17"/>
    <w:rsid w:val="00E51EE3"/>
    <w:rsid w:val="00E51F6C"/>
    <w:rsid w:val="00E521F5"/>
    <w:rsid w:val="00E522E8"/>
    <w:rsid w:val="00E52D41"/>
    <w:rsid w:val="00E5415B"/>
    <w:rsid w:val="00E54ACD"/>
    <w:rsid w:val="00E54B2B"/>
    <w:rsid w:val="00E54E4E"/>
    <w:rsid w:val="00E55237"/>
    <w:rsid w:val="00E55C19"/>
    <w:rsid w:val="00E56CEA"/>
    <w:rsid w:val="00E611BE"/>
    <w:rsid w:val="00E615A5"/>
    <w:rsid w:val="00E61632"/>
    <w:rsid w:val="00E61B3F"/>
    <w:rsid w:val="00E62D5E"/>
    <w:rsid w:val="00E632CD"/>
    <w:rsid w:val="00E63A61"/>
    <w:rsid w:val="00E63EB3"/>
    <w:rsid w:val="00E643ED"/>
    <w:rsid w:val="00E65BB9"/>
    <w:rsid w:val="00E67256"/>
    <w:rsid w:val="00E67840"/>
    <w:rsid w:val="00E67C0C"/>
    <w:rsid w:val="00E70098"/>
    <w:rsid w:val="00E70DD7"/>
    <w:rsid w:val="00E71172"/>
    <w:rsid w:val="00E72992"/>
    <w:rsid w:val="00E72AE0"/>
    <w:rsid w:val="00E72EE0"/>
    <w:rsid w:val="00E7370D"/>
    <w:rsid w:val="00E741FB"/>
    <w:rsid w:val="00E7752A"/>
    <w:rsid w:val="00E7771C"/>
    <w:rsid w:val="00E801CF"/>
    <w:rsid w:val="00E814D7"/>
    <w:rsid w:val="00E81680"/>
    <w:rsid w:val="00E8191B"/>
    <w:rsid w:val="00E81C5F"/>
    <w:rsid w:val="00E81EF4"/>
    <w:rsid w:val="00E82873"/>
    <w:rsid w:val="00E82EC0"/>
    <w:rsid w:val="00E849C5"/>
    <w:rsid w:val="00E8506F"/>
    <w:rsid w:val="00E85325"/>
    <w:rsid w:val="00E85729"/>
    <w:rsid w:val="00E868EF"/>
    <w:rsid w:val="00E86CAB"/>
    <w:rsid w:val="00E900FF"/>
    <w:rsid w:val="00E906BC"/>
    <w:rsid w:val="00E91A7E"/>
    <w:rsid w:val="00E91FED"/>
    <w:rsid w:val="00E9295E"/>
    <w:rsid w:val="00E92E92"/>
    <w:rsid w:val="00E93181"/>
    <w:rsid w:val="00E93F4B"/>
    <w:rsid w:val="00E946FA"/>
    <w:rsid w:val="00E95175"/>
    <w:rsid w:val="00E95C17"/>
    <w:rsid w:val="00E96445"/>
    <w:rsid w:val="00E964D2"/>
    <w:rsid w:val="00E96745"/>
    <w:rsid w:val="00E96948"/>
    <w:rsid w:val="00E970BC"/>
    <w:rsid w:val="00E97593"/>
    <w:rsid w:val="00E97CDC"/>
    <w:rsid w:val="00EA1943"/>
    <w:rsid w:val="00EA24ED"/>
    <w:rsid w:val="00EA38F0"/>
    <w:rsid w:val="00EA4028"/>
    <w:rsid w:val="00EA4609"/>
    <w:rsid w:val="00EA5772"/>
    <w:rsid w:val="00EA6532"/>
    <w:rsid w:val="00EA6BDF"/>
    <w:rsid w:val="00EA719B"/>
    <w:rsid w:val="00EA719E"/>
    <w:rsid w:val="00EA7BAE"/>
    <w:rsid w:val="00EB0335"/>
    <w:rsid w:val="00EB0C69"/>
    <w:rsid w:val="00EB1784"/>
    <w:rsid w:val="00EB20BF"/>
    <w:rsid w:val="00EB28FF"/>
    <w:rsid w:val="00EB3156"/>
    <w:rsid w:val="00EB333D"/>
    <w:rsid w:val="00EB3562"/>
    <w:rsid w:val="00EB36F3"/>
    <w:rsid w:val="00EB3962"/>
    <w:rsid w:val="00EB3F9D"/>
    <w:rsid w:val="00EB5DC6"/>
    <w:rsid w:val="00EB5F08"/>
    <w:rsid w:val="00EB602F"/>
    <w:rsid w:val="00EB75DE"/>
    <w:rsid w:val="00EC0267"/>
    <w:rsid w:val="00EC213E"/>
    <w:rsid w:val="00EC25F3"/>
    <w:rsid w:val="00EC5935"/>
    <w:rsid w:val="00EC6857"/>
    <w:rsid w:val="00ED109D"/>
    <w:rsid w:val="00ED1D1B"/>
    <w:rsid w:val="00ED3148"/>
    <w:rsid w:val="00ED3C03"/>
    <w:rsid w:val="00ED4983"/>
    <w:rsid w:val="00ED4F5C"/>
    <w:rsid w:val="00ED5056"/>
    <w:rsid w:val="00ED6CAC"/>
    <w:rsid w:val="00ED7F1C"/>
    <w:rsid w:val="00EE143F"/>
    <w:rsid w:val="00EE209F"/>
    <w:rsid w:val="00EE280E"/>
    <w:rsid w:val="00EE3EAE"/>
    <w:rsid w:val="00EE3FE8"/>
    <w:rsid w:val="00EE474B"/>
    <w:rsid w:val="00EE53EB"/>
    <w:rsid w:val="00EE540F"/>
    <w:rsid w:val="00EE6F14"/>
    <w:rsid w:val="00EE74CC"/>
    <w:rsid w:val="00EE7F4E"/>
    <w:rsid w:val="00EF0340"/>
    <w:rsid w:val="00EF2AEA"/>
    <w:rsid w:val="00EF2DCE"/>
    <w:rsid w:val="00EF33D2"/>
    <w:rsid w:val="00EF386E"/>
    <w:rsid w:val="00EF3F23"/>
    <w:rsid w:val="00EF4A6C"/>
    <w:rsid w:val="00EF4E1D"/>
    <w:rsid w:val="00EF4FDA"/>
    <w:rsid w:val="00EF5132"/>
    <w:rsid w:val="00F004AE"/>
    <w:rsid w:val="00F027E0"/>
    <w:rsid w:val="00F03AD6"/>
    <w:rsid w:val="00F040DA"/>
    <w:rsid w:val="00F04610"/>
    <w:rsid w:val="00F0489D"/>
    <w:rsid w:val="00F04EA7"/>
    <w:rsid w:val="00F0577A"/>
    <w:rsid w:val="00F06867"/>
    <w:rsid w:val="00F073ED"/>
    <w:rsid w:val="00F07949"/>
    <w:rsid w:val="00F10061"/>
    <w:rsid w:val="00F100E7"/>
    <w:rsid w:val="00F10511"/>
    <w:rsid w:val="00F10BAA"/>
    <w:rsid w:val="00F10D51"/>
    <w:rsid w:val="00F1118F"/>
    <w:rsid w:val="00F11D32"/>
    <w:rsid w:val="00F12620"/>
    <w:rsid w:val="00F127B0"/>
    <w:rsid w:val="00F12F19"/>
    <w:rsid w:val="00F13CAF"/>
    <w:rsid w:val="00F14B6C"/>
    <w:rsid w:val="00F15C3B"/>
    <w:rsid w:val="00F160E9"/>
    <w:rsid w:val="00F1615C"/>
    <w:rsid w:val="00F162D4"/>
    <w:rsid w:val="00F16EB2"/>
    <w:rsid w:val="00F16FBA"/>
    <w:rsid w:val="00F17F26"/>
    <w:rsid w:val="00F2058B"/>
    <w:rsid w:val="00F21EB7"/>
    <w:rsid w:val="00F22C2C"/>
    <w:rsid w:val="00F24206"/>
    <w:rsid w:val="00F24BE8"/>
    <w:rsid w:val="00F255FA"/>
    <w:rsid w:val="00F25AE6"/>
    <w:rsid w:val="00F262FB"/>
    <w:rsid w:val="00F27209"/>
    <w:rsid w:val="00F27E12"/>
    <w:rsid w:val="00F27EE9"/>
    <w:rsid w:val="00F305C8"/>
    <w:rsid w:val="00F307C9"/>
    <w:rsid w:val="00F30B6E"/>
    <w:rsid w:val="00F310D9"/>
    <w:rsid w:val="00F318AC"/>
    <w:rsid w:val="00F31D48"/>
    <w:rsid w:val="00F31DC1"/>
    <w:rsid w:val="00F3209B"/>
    <w:rsid w:val="00F3214C"/>
    <w:rsid w:val="00F32232"/>
    <w:rsid w:val="00F32407"/>
    <w:rsid w:val="00F33D86"/>
    <w:rsid w:val="00F33F8D"/>
    <w:rsid w:val="00F34031"/>
    <w:rsid w:val="00F347C1"/>
    <w:rsid w:val="00F3482C"/>
    <w:rsid w:val="00F36A07"/>
    <w:rsid w:val="00F3742B"/>
    <w:rsid w:val="00F37CB6"/>
    <w:rsid w:val="00F37D40"/>
    <w:rsid w:val="00F37F65"/>
    <w:rsid w:val="00F4010B"/>
    <w:rsid w:val="00F40735"/>
    <w:rsid w:val="00F40D94"/>
    <w:rsid w:val="00F41330"/>
    <w:rsid w:val="00F41E98"/>
    <w:rsid w:val="00F42BEC"/>
    <w:rsid w:val="00F42DD9"/>
    <w:rsid w:val="00F430B5"/>
    <w:rsid w:val="00F432AA"/>
    <w:rsid w:val="00F43AD1"/>
    <w:rsid w:val="00F43CFD"/>
    <w:rsid w:val="00F441B0"/>
    <w:rsid w:val="00F44AD5"/>
    <w:rsid w:val="00F453BC"/>
    <w:rsid w:val="00F4689D"/>
    <w:rsid w:val="00F46E42"/>
    <w:rsid w:val="00F46FB9"/>
    <w:rsid w:val="00F4702C"/>
    <w:rsid w:val="00F47D84"/>
    <w:rsid w:val="00F501B1"/>
    <w:rsid w:val="00F505B8"/>
    <w:rsid w:val="00F505FD"/>
    <w:rsid w:val="00F50CB5"/>
    <w:rsid w:val="00F53EFE"/>
    <w:rsid w:val="00F542BE"/>
    <w:rsid w:val="00F54591"/>
    <w:rsid w:val="00F54A35"/>
    <w:rsid w:val="00F55294"/>
    <w:rsid w:val="00F55E74"/>
    <w:rsid w:val="00F56875"/>
    <w:rsid w:val="00F57F7D"/>
    <w:rsid w:val="00F60BA2"/>
    <w:rsid w:val="00F60F8D"/>
    <w:rsid w:val="00F6153E"/>
    <w:rsid w:val="00F61D7D"/>
    <w:rsid w:val="00F626BA"/>
    <w:rsid w:val="00F62909"/>
    <w:rsid w:val="00F62CD3"/>
    <w:rsid w:val="00F62FB8"/>
    <w:rsid w:val="00F634CF"/>
    <w:rsid w:val="00F634F6"/>
    <w:rsid w:val="00F63EDD"/>
    <w:rsid w:val="00F643A6"/>
    <w:rsid w:val="00F6497D"/>
    <w:rsid w:val="00F650A8"/>
    <w:rsid w:val="00F65752"/>
    <w:rsid w:val="00F66599"/>
    <w:rsid w:val="00F67B63"/>
    <w:rsid w:val="00F718B1"/>
    <w:rsid w:val="00F71DD7"/>
    <w:rsid w:val="00F72A7B"/>
    <w:rsid w:val="00F72A96"/>
    <w:rsid w:val="00F72CD7"/>
    <w:rsid w:val="00F73A43"/>
    <w:rsid w:val="00F73CD5"/>
    <w:rsid w:val="00F763BD"/>
    <w:rsid w:val="00F76F8F"/>
    <w:rsid w:val="00F770F6"/>
    <w:rsid w:val="00F77ADD"/>
    <w:rsid w:val="00F77B4D"/>
    <w:rsid w:val="00F77B7F"/>
    <w:rsid w:val="00F80462"/>
    <w:rsid w:val="00F83763"/>
    <w:rsid w:val="00F845C6"/>
    <w:rsid w:val="00F8489B"/>
    <w:rsid w:val="00F84A28"/>
    <w:rsid w:val="00F864DE"/>
    <w:rsid w:val="00F86E3D"/>
    <w:rsid w:val="00F87B07"/>
    <w:rsid w:val="00F90D3C"/>
    <w:rsid w:val="00F9110D"/>
    <w:rsid w:val="00F91251"/>
    <w:rsid w:val="00F91798"/>
    <w:rsid w:val="00F91B26"/>
    <w:rsid w:val="00F923B1"/>
    <w:rsid w:val="00F92F72"/>
    <w:rsid w:val="00F939DA"/>
    <w:rsid w:val="00F93C6F"/>
    <w:rsid w:val="00F93F4B"/>
    <w:rsid w:val="00F9443E"/>
    <w:rsid w:val="00F947A2"/>
    <w:rsid w:val="00F94880"/>
    <w:rsid w:val="00F95134"/>
    <w:rsid w:val="00F972E3"/>
    <w:rsid w:val="00FA0F8C"/>
    <w:rsid w:val="00FA14B7"/>
    <w:rsid w:val="00FA21F0"/>
    <w:rsid w:val="00FA31C4"/>
    <w:rsid w:val="00FA33D2"/>
    <w:rsid w:val="00FA37C8"/>
    <w:rsid w:val="00FA3DAF"/>
    <w:rsid w:val="00FA43F5"/>
    <w:rsid w:val="00FA4A55"/>
    <w:rsid w:val="00FA5523"/>
    <w:rsid w:val="00FA6802"/>
    <w:rsid w:val="00FA68C8"/>
    <w:rsid w:val="00FA724B"/>
    <w:rsid w:val="00FA76FA"/>
    <w:rsid w:val="00FA7A96"/>
    <w:rsid w:val="00FA7C50"/>
    <w:rsid w:val="00FA7F80"/>
    <w:rsid w:val="00FB016C"/>
    <w:rsid w:val="00FB0876"/>
    <w:rsid w:val="00FB113F"/>
    <w:rsid w:val="00FB1837"/>
    <w:rsid w:val="00FB2013"/>
    <w:rsid w:val="00FB23FF"/>
    <w:rsid w:val="00FB2AF3"/>
    <w:rsid w:val="00FB3416"/>
    <w:rsid w:val="00FB3AFC"/>
    <w:rsid w:val="00FB3D5A"/>
    <w:rsid w:val="00FB3EE8"/>
    <w:rsid w:val="00FB42D5"/>
    <w:rsid w:val="00FB4319"/>
    <w:rsid w:val="00FB4D73"/>
    <w:rsid w:val="00FB4E6B"/>
    <w:rsid w:val="00FB4E93"/>
    <w:rsid w:val="00FB4F1F"/>
    <w:rsid w:val="00FB5178"/>
    <w:rsid w:val="00FB5CC1"/>
    <w:rsid w:val="00FB7C14"/>
    <w:rsid w:val="00FC2CA8"/>
    <w:rsid w:val="00FC2D8B"/>
    <w:rsid w:val="00FC341F"/>
    <w:rsid w:val="00FC3DDF"/>
    <w:rsid w:val="00FC49AA"/>
    <w:rsid w:val="00FC4B7B"/>
    <w:rsid w:val="00FC54D0"/>
    <w:rsid w:val="00FC5682"/>
    <w:rsid w:val="00FC5DFF"/>
    <w:rsid w:val="00FC725D"/>
    <w:rsid w:val="00FD1791"/>
    <w:rsid w:val="00FD1907"/>
    <w:rsid w:val="00FD1C9D"/>
    <w:rsid w:val="00FD2E3A"/>
    <w:rsid w:val="00FD3306"/>
    <w:rsid w:val="00FD36B1"/>
    <w:rsid w:val="00FD487F"/>
    <w:rsid w:val="00FD4A69"/>
    <w:rsid w:val="00FD4D74"/>
    <w:rsid w:val="00FD58F9"/>
    <w:rsid w:val="00FD6451"/>
    <w:rsid w:val="00FD69FF"/>
    <w:rsid w:val="00FD6DE0"/>
    <w:rsid w:val="00FD6E31"/>
    <w:rsid w:val="00FD7AD0"/>
    <w:rsid w:val="00FE01FE"/>
    <w:rsid w:val="00FE039F"/>
    <w:rsid w:val="00FE27D0"/>
    <w:rsid w:val="00FE3900"/>
    <w:rsid w:val="00FE4A0B"/>
    <w:rsid w:val="00FE59FD"/>
    <w:rsid w:val="00FE62E4"/>
    <w:rsid w:val="00FE6F2B"/>
    <w:rsid w:val="00FE7F98"/>
    <w:rsid w:val="00FF0FCD"/>
    <w:rsid w:val="00FF194A"/>
    <w:rsid w:val="00FF1BAE"/>
    <w:rsid w:val="00FF1F47"/>
    <w:rsid w:val="00FF2E7F"/>
    <w:rsid w:val="00FF306D"/>
    <w:rsid w:val="00FF312A"/>
    <w:rsid w:val="00FF5F99"/>
    <w:rsid w:val="00FF60CF"/>
    <w:rsid w:val="00FF686F"/>
    <w:rsid w:val="00FF7230"/>
    <w:rsid w:val="00FF789A"/>
    <w:rsid w:val="0D6F86B3"/>
    <w:rsid w:val="19DB4B60"/>
    <w:rsid w:val="36E1C47E"/>
    <w:rsid w:val="4459A1DF"/>
    <w:rsid w:val="7A9D04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59D1DA"/>
  <w15:docId w15:val="{6F681E7C-E582-4887-9954-4D215D52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CE0CE6"/>
    <w:pPr>
      <w:spacing w:before="120" w:after="120" w:line="280" w:lineRule="atLeast"/>
    </w:pPr>
    <w:rPr>
      <w:sz w:val="20"/>
      <w:szCs w:val="20"/>
    </w:rPr>
  </w:style>
  <w:style w:type="paragraph" w:styleId="Heading1">
    <w:name w:val="heading 1"/>
    <w:basedOn w:val="Normal"/>
    <w:next w:val="BodyText"/>
    <w:link w:val="Heading1Char"/>
    <w:uiPriority w:val="9"/>
    <w:qFormat/>
    <w:rsid w:val="00CE0CE6"/>
    <w:pPr>
      <w:numPr>
        <w:numId w:val="36"/>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CE0CE6"/>
    <w:pPr>
      <w:keepNext/>
      <w:keepLines/>
      <w:numPr>
        <w:ilvl w:val="2"/>
        <w:numId w:val="36"/>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CE0CE6"/>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CE0CE6"/>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995D9B"/>
    <w:pPr>
      <w:keepNext/>
      <w:keepLines/>
      <w:spacing w:before="240"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CE0CE6"/>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CE0CE6"/>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CE0CE6"/>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CE0CE6"/>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CE6"/>
    <w:rPr>
      <w:color w:val="808080"/>
    </w:rPr>
  </w:style>
  <w:style w:type="paragraph" w:styleId="NoSpacing">
    <w:name w:val="No Spacing"/>
    <w:basedOn w:val="Normal"/>
    <w:link w:val="NoSpacingChar"/>
    <w:uiPriority w:val="10"/>
    <w:qFormat/>
    <w:rsid w:val="00CE0CE6"/>
    <w:pPr>
      <w:spacing w:before="0" w:after="0"/>
    </w:pPr>
  </w:style>
  <w:style w:type="paragraph" w:styleId="ListBullet">
    <w:name w:val="List Bullet"/>
    <w:basedOn w:val="Normal"/>
    <w:link w:val="ListBulletChar"/>
    <w:uiPriority w:val="1"/>
    <w:qFormat/>
    <w:rsid w:val="00CE0CE6"/>
    <w:pPr>
      <w:numPr>
        <w:numId w:val="38"/>
      </w:numPr>
      <w:contextualSpacing/>
    </w:pPr>
  </w:style>
  <w:style w:type="paragraph" w:styleId="ListBullet2">
    <w:name w:val="List Bullet 2"/>
    <w:basedOn w:val="Normal"/>
    <w:uiPriority w:val="1"/>
    <w:qFormat/>
    <w:rsid w:val="00CE0CE6"/>
    <w:pPr>
      <w:numPr>
        <w:ilvl w:val="1"/>
        <w:numId w:val="38"/>
      </w:numPr>
      <w:contextualSpacing/>
    </w:pPr>
  </w:style>
  <w:style w:type="paragraph" w:styleId="ListNumber">
    <w:name w:val="List Number"/>
    <w:basedOn w:val="Normal"/>
    <w:uiPriority w:val="2"/>
    <w:qFormat/>
    <w:rsid w:val="00CE0CE6"/>
    <w:pPr>
      <w:numPr>
        <w:numId w:val="37"/>
      </w:numPr>
      <w:spacing w:before="60"/>
      <w:contextualSpacing/>
    </w:pPr>
  </w:style>
  <w:style w:type="numbering" w:customStyle="1" w:styleId="Bullets">
    <w:name w:val="Bullets"/>
    <w:uiPriority w:val="99"/>
    <w:rsid w:val="00CE0CE6"/>
    <w:pPr>
      <w:numPr>
        <w:numId w:val="28"/>
      </w:numPr>
    </w:pPr>
  </w:style>
  <w:style w:type="character" w:customStyle="1" w:styleId="Heading1Char">
    <w:name w:val="Heading 1 Char"/>
    <w:basedOn w:val="DefaultParagraphFont"/>
    <w:link w:val="Heading1"/>
    <w:uiPriority w:val="9"/>
    <w:rsid w:val="00CE0CE6"/>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CE0CE6"/>
    <w:pPr>
      <w:numPr>
        <w:ilvl w:val="1"/>
        <w:numId w:val="37"/>
      </w:numPr>
      <w:spacing w:before="60"/>
      <w:contextualSpacing/>
    </w:pPr>
  </w:style>
  <w:style w:type="character" w:customStyle="1" w:styleId="Heading2Char">
    <w:name w:val="Heading 2 Char"/>
    <w:basedOn w:val="DefaultParagraphFont"/>
    <w:link w:val="Heading2"/>
    <w:uiPriority w:val="9"/>
    <w:rsid w:val="00CE0CE6"/>
    <w:rPr>
      <w:rFonts w:asciiTheme="majorHAnsi" w:eastAsiaTheme="majorEastAsia" w:hAnsiTheme="majorHAnsi" w:cstheme="majorBidi"/>
      <w:sz w:val="30"/>
      <w:szCs w:val="60"/>
    </w:rPr>
  </w:style>
  <w:style w:type="paragraph" w:styleId="ListParagraph">
    <w:name w:val="List Paragraph"/>
    <w:basedOn w:val="Normal"/>
    <w:link w:val="ListParagraphChar"/>
    <w:uiPriority w:val="34"/>
    <w:rsid w:val="00CE0CE6"/>
    <w:pPr>
      <w:spacing w:line="293" w:lineRule="auto"/>
      <w:ind w:left="284"/>
      <w:contextualSpacing/>
    </w:pPr>
  </w:style>
  <w:style w:type="paragraph" w:styleId="Header">
    <w:name w:val="header"/>
    <w:basedOn w:val="Normal"/>
    <w:link w:val="HeaderChar"/>
    <w:uiPriority w:val="99"/>
    <w:unhideWhenUsed/>
    <w:rsid w:val="00CE0CE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CE0CE6"/>
    <w:rPr>
      <w:sz w:val="16"/>
      <w:szCs w:val="20"/>
    </w:rPr>
  </w:style>
  <w:style w:type="paragraph" w:styleId="Footer">
    <w:name w:val="footer"/>
    <w:basedOn w:val="Normal"/>
    <w:link w:val="FooterChar"/>
    <w:uiPriority w:val="99"/>
    <w:rsid w:val="00CE0CE6"/>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99"/>
    <w:rsid w:val="00CE0CE6"/>
    <w:rPr>
      <w:rFonts w:asciiTheme="majorHAnsi" w:hAnsiTheme="majorHAnsi"/>
      <w:sz w:val="17"/>
    </w:rPr>
  </w:style>
  <w:style w:type="numbering" w:customStyle="1" w:styleId="Numbering">
    <w:name w:val="Numbering"/>
    <w:uiPriority w:val="99"/>
    <w:rsid w:val="00CE0CE6"/>
    <w:pPr>
      <w:numPr>
        <w:numId w:val="37"/>
      </w:numPr>
    </w:pPr>
  </w:style>
  <w:style w:type="paragraph" w:styleId="ListBullet3">
    <w:name w:val="List Bullet 3"/>
    <w:basedOn w:val="Normal"/>
    <w:uiPriority w:val="1"/>
    <w:qFormat/>
    <w:rsid w:val="00CE0CE6"/>
    <w:pPr>
      <w:numPr>
        <w:ilvl w:val="2"/>
        <w:numId w:val="38"/>
      </w:numPr>
      <w:contextualSpacing/>
    </w:pPr>
  </w:style>
  <w:style w:type="paragraph" w:styleId="ListContinue2">
    <w:name w:val="List Continue 2"/>
    <w:basedOn w:val="Normal"/>
    <w:uiPriority w:val="3"/>
    <w:unhideWhenUsed/>
    <w:qFormat/>
    <w:rsid w:val="00CE0CE6"/>
    <w:pPr>
      <w:spacing w:before="60"/>
      <w:ind w:left="454"/>
    </w:pPr>
  </w:style>
  <w:style w:type="paragraph" w:styleId="ListNumber3">
    <w:name w:val="List Number 3"/>
    <w:basedOn w:val="Normal"/>
    <w:uiPriority w:val="13"/>
    <w:semiHidden/>
    <w:qFormat/>
    <w:rsid w:val="00CE0CE6"/>
    <w:pPr>
      <w:numPr>
        <w:ilvl w:val="2"/>
        <w:numId w:val="37"/>
      </w:numPr>
      <w:spacing w:before="60"/>
      <w:contextualSpacing/>
    </w:pPr>
  </w:style>
  <w:style w:type="paragraph" w:styleId="ListNumber4">
    <w:name w:val="List Number 4"/>
    <w:basedOn w:val="Normal"/>
    <w:uiPriority w:val="13"/>
    <w:semiHidden/>
    <w:qFormat/>
    <w:rsid w:val="00CE0CE6"/>
    <w:pPr>
      <w:numPr>
        <w:ilvl w:val="3"/>
        <w:numId w:val="37"/>
      </w:numPr>
      <w:spacing w:after="200" w:line="293" w:lineRule="auto"/>
      <w:contextualSpacing/>
    </w:pPr>
  </w:style>
  <w:style w:type="paragraph" w:styleId="ListNumber5">
    <w:name w:val="List Number 5"/>
    <w:basedOn w:val="Normal"/>
    <w:uiPriority w:val="13"/>
    <w:semiHidden/>
    <w:rsid w:val="00CE0CE6"/>
    <w:pPr>
      <w:numPr>
        <w:ilvl w:val="4"/>
        <w:numId w:val="37"/>
      </w:numPr>
      <w:spacing w:after="200" w:line="293" w:lineRule="auto"/>
      <w:contextualSpacing/>
    </w:pPr>
  </w:style>
  <w:style w:type="paragraph" w:styleId="ListContinue">
    <w:name w:val="List Continue"/>
    <w:basedOn w:val="Normal"/>
    <w:uiPriority w:val="3"/>
    <w:unhideWhenUsed/>
    <w:qFormat/>
    <w:rsid w:val="00CE0CE6"/>
    <w:pPr>
      <w:spacing w:before="60"/>
      <w:ind w:left="227"/>
    </w:pPr>
  </w:style>
  <w:style w:type="paragraph" w:styleId="ListContinue3">
    <w:name w:val="List Continue 3"/>
    <w:basedOn w:val="Normal"/>
    <w:uiPriority w:val="3"/>
    <w:unhideWhenUsed/>
    <w:qFormat/>
    <w:rsid w:val="00CE0CE6"/>
    <w:pPr>
      <w:spacing w:before="60"/>
      <w:ind w:left="907"/>
    </w:pPr>
  </w:style>
  <w:style w:type="paragraph" w:styleId="ListContinue4">
    <w:name w:val="List Continue 4"/>
    <w:basedOn w:val="Normal"/>
    <w:uiPriority w:val="3"/>
    <w:unhideWhenUsed/>
    <w:qFormat/>
    <w:rsid w:val="00CE0CE6"/>
    <w:pPr>
      <w:spacing w:line="293" w:lineRule="auto"/>
      <w:ind w:left="907"/>
      <w:contextualSpacing/>
    </w:pPr>
  </w:style>
  <w:style w:type="character" w:customStyle="1" w:styleId="Heading3Char">
    <w:name w:val="Heading 3 Char"/>
    <w:basedOn w:val="DefaultParagraphFont"/>
    <w:link w:val="Heading3"/>
    <w:uiPriority w:val="9"/>
    <w:rsid w:val="00CE0CE6"/>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CE0CE6"/>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995D9B"/>
    <w:rPr>
      <w:rFonts w:eastAsiaTheme="majorEastAsia" w:cstheme="majorBidi"/>
      <w:b/>
      <w:color w:val="265A9A" w:themeColor="background2"/>
      <w:szCs w:val="29"/>
    </w:rPr>
  </w:style>
  <w:style w:type="numbering" w:customStyle="1" w:styleId="ListHeadings">
    <w:name w:val="List Headings"/>
    <w:uiPriority w:val="99"/>
    <w:rsid w:val="00CE0CE6"/>
    <w:pPr>
      <w:numPr>
        <w:numId w:val="35"/>
      </w:numPr>
    </w:pPr>
  </w:style>
  <w:style w:type="paragraph" w:styleId="Title">
    <w:name w:val="Title"/>
    <w:basedOn w:val="Heading1"/>
    <w:next w:val="Normal"/>
    <w:link w:val="TitleChar"/>
    <w:uiPriority w:val="39"/>
    <w:rsid w:val="00CE0CE6"/>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CE0CE6"/>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CE0CE6"/>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CE0CE6"/>
    <w:rPr>
      <w:b/>
    </w:rPr>
  </w:style>
  <w:style w:type="character" w:customStyle="1" w:styleId="Pull-outQuoteChar">
    <w:name w:val="Pull-out Quote Char"/>
    <w:basedOn w:val="DefaultParagraphFont"/>
    <w:link w:val="Pull-outQuote"/>
    <w:uiPriority w:val="99"/>
    <w:semiHidden/>
    <w:rsid w:val="00CE0CE6"/>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CE0CE6"/>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CE0CE6"/>
  </w:style>
  <w:style w:type="paragraph" w:customStyle="1" w:styleId="NumberedHeading2">
    <w:name w:val="Numbered Heading 2"/>
    <w:basedOn w:val="Heading2"/>
    <w:next w:val="Normal"/>
    <w:link w:val="NumberedHeading2Char"/>
    <w:uiPriority w:val="9"/>
    <w:semiHidden/>
    <w:rsid w:val="00CE0CE6"/>
  </w:style>
  <w:style w:type="character" w:customStyle="1" w:styleId="NumberedHeading1Char">
    <w:name w:val="Numbered Heading 1 Char"/>
    <w:basedOn w:val="Heading1Char"/>
    <w:link w:val="NumberedHeading1"/>
    <w:uiPriority w:val="9"/>
    <w:semiHidden/>
    <w:rsid w:val="00CE0CE6"/>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CE0CE6"/>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CE0CE6"/>
    <w:pPr>
      <w:ind w:left="1134"/>
      <w:contextualSpacing/>
    </w:pPr>
  </w:style>
  <w:style w:type="table" w:styleId="TableGrid">
    <w:name w:val="Table Grid"/>
    <w:basedOn w:val="TableNormal"/>
    <w:uiPriority w:val="39"/>
    <w:rsid w:val="00CE0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CE0CE6"/>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CE0CE6"/>
    <w:pPr>
      <w:numPr>
        <w:numId w:val="32"/>
      </w:numPr>
      <w:spacing w:before="60"/>
    </w:pPr>
  </w:style>
  <w:style w:type="paragraph" w:styleId="List2">
    <w:name w:val="List 2"/>
    <w:basedOn w:val="Normal"/>
    <w:uiPriority w:val="99"/>
    <w:semiHidden/>
    <w:qFormat/>
    <w:rsid w:val="00CE0CE6"/>
    <w:pPr>
      <w:numPr>
        <w:ilvl w:val="1"/>
        <w:numId w:val="32"/>
      </w:numPr>
      <w:spacing w:before="60"/>
    </w:pPr>
  </w:style>
  <w:style w:type="numbering" w:customStyle="1" w:styleId="LetteredList">
    <w:name w:val="Lettered List"/>
    <w:uiPriority w:val="99"/>
    <w:rsid w:val="00CE0CE6"/>
    <w:pPr>
      <w:numPr>
        <w:numId w:val="31"/>
      </w:numPr>
    </w:pPr>
  </w:style>
  <w:style w:type="paragraph" w:styleId="Subtitle">
    <w:name w:val="Subtitle"/>
    <w:basedOn w:val="Normal"/>
    <w:next w:val="Normal"/>
    <w:link w:val="SubtitleChar"/>
    <w:uiPriority w:val="39"/>
    <w:rsid w:val="00CE0CE6"/>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CE0CE6"/>
    <w:rPr>
      <w:rFonts w:eastAsiaTheme="minorEastAsia"/>
      <w:color w:val="FFFFFF" w:themeColor="background1"/>
      <w:sz w:val="52"/>
      <w:szCs w:val="20"/>
    </w:rPr>
  </w:style>
  <w:style w:type="character" w:styleId="Strong">
    <w:name w:val="Strong"/>
    <w:basedOn w:val="DefaultParagraphFont"/>
    <w:uiPriority w:val="22"/>
    <w:qFormat/>
    <w:rsid w:val="00CE0CE6"/>
    <w:rPr>
      <w:rFonts w:asciiTheme="minorHAnsi" w:hAnsiTheme="minorHAnsi"/>
      <w:b/>
      <w:bCs/>
    </w:rPr>
  </w:style>
  <w:style w:type="paragraph" w:customStyle="1" w:styleId="Header-Keyline">
    <w:name w:val="Header - Keyline"/>
    <w:basedOn w:val="Header"/>
    <w:link w:val="Header-KeylineChar"/>
    <w:uiPriority w:val="99"/>
    <w:rsid w:val="00CE0CE6"/>
    <w:pPr>
      <w:pBdr>
        <w:bottom w:val="single" w:sz="4" w:space="31" w:color="66BCDB" w:themeColor="text2"/>
      </w:pBdr>
      <w:spacing w:after="600"/>
    </w:pPr>
  </w:style>
  <w:style w:type="character" w:customStyle="1" w:styleId="Heading6Char">
    <w:name w:val="Heading 6 Char"/>
    <w:basedOn w:val="DefaultParagraphFont"/>
    <w:link w:val="Heading6"/>
    <w:uiPriority w:val="9"/>
    <w:rsid w:val="00CE0CE6"/>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CE0CE6"/>
    <w:rPr>
      <w:sz w:val="16"/>
      <w:szCs w:val="20"/>
    </w:rPr>
  </w:style>
  <w:style w:type="character" w:customStyle="1" w:styleId="Heading7Char">
    <w:name w:val="Heading 7 Char"/>
    <w:basedOn w:val="DefaultParagraphFont"/>
    <w:link w:val="Heading7"/>
    <w:uiPriority w:val="9"/>
    <w:semiHidden/>
    <w:rsid w:val="00CE0CE6"/>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CE0CE6"/>
    <w:rPr>
      <w:rFonts w:eastAsiaTheme="majorEastAsia" w:cstheme="majorBidi"/>
      <w:b/>
      <w:sz w:val="18"/>
      <w:szCs w:val="21"/>
    </w:rPr>
  </w:style>
  <w:style w:type="table" w:customStyle="1" w:styleId="ProductivityCommissionTable1">
    <w:name w:val="Productivity Commission Table 1"/>
    <w:basedOn w:val="TableNormal"/>
    <w:uiPriority w:val="99"/>
    <w:rsid w:val="00CE0CE6"/>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CE0CE6"/>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CE0CE6"/>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CE0CE6"/>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CE0CE6"/>
    <w:pPr>
      <w:spacing w:before="60" w:after="60" w:line="293" w:lineRule="auto"/>
      <w:contextualSpacing/>
    </w:pPr>
    <w:rPr>
      <w:sz w:val="18"/>
    </w:rPr>
  </w:style>
  <w:style w:type="paragraph" w:styleId="TOC1">
    <w:name w:val="toc 1"/>
    <w:basedOn w:val="Normal"/>
    <w:next w:val="BodyText"/>
    <w:autoRedefine/>
    <w:uiPriority w:val="39"/>
    <w:unhideWhenUsed/>
    <w:rsid w:val="00CE0CE6"/>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CE0CE6"/>
    <w:rPr>
      <w:sz w:val="18"/>
      <w:szCs w:val="20"/>
    </w:rPr>
  </w:style>
  <w:style w:type="character" w:styleId="FootnoteReference">
    <w:name w:val="footnote reference"/>
    <w:basedOn w:val="DefaultParagraphFont"/>
    <w:uiPriority w:val="99"/>
    <w:unhideWhenUsed/>
    <w:rsid w:val="00CE0CE6"/>
    <w:rPr>
      <w:vertAlign w:val="superscript"/>
    </w:rPr>
  </w:style>
  <w:style w:type="character" w:styleId="Hyperlink">
    <w:name w:val="Hyperlink"/>
    <w:basedOn w:val="DefaultParagraphFont"/>
    <w:uiPriority w:val="99"/>
    <w:unhideWhenUsed/>
    <w:rsid w:val="00CE0CE6"/>
    <w:rPr>
      <w:color w:val="000000" w:themeColor="hyperlink"/>
      <w:u w:val="single"/>
    </w:rPr>
  </w:style>
  <w:style w:type="character" w:styleId="HTMLVariable">
    <w:name w:val="HTML Variable"/>
    <w:basedOn w:val="DefaultParagraphFont"/>
    <w:uiPriority w:val="99"/>
    <w:unhideWhenUsed/>
    <w:rsid w:val="00CE0CE6"/>
    <w:rPr>
      <w:i/>
      <w:iCs/>
    </w:rPr>
  </w:style>
  <w:style w:type="paragraph" w:styleId="TOC2">
    <w:name w:val="toc 2"/>
    <w:basedOn w:val="Normal"/>
    <w:next w:val="Normal"/>
    <w:autoRedefine/>
    <w:uiPriority w:val="39"/>
    <w:unhideWhenUsed/>
    <w:rsid w:val="00CE0CE6"/>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CE0CE6"/>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CE0CE6"/>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CE0CE6"/>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CE0CE6"/>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CE0CE6"/>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CE0CE6"/>
    <w:rPr>
      <w:sz w:val="20"/>
      <w:szCs w:val="20"/>
    </w:rPr>
  </w:style>
  <w:style w:type="character" w:customStyle="1" w:styleId="Copyrightpage-Heading2Char">
    <w:name w:val="Copyright page-Heading 2 Char"/>
    <w:basedOn w:val="NoSpacingChar"/>
    <w:link w:val="Copyrightpage-Heading2"/>
    <w:uiPriority w:val="19"/>
    <w:rsid w:val="00CE0CE6"/>
    <w:rPr>
      <w:b/>
      <w:color w:val="FFFFFF" w:themeColor="background1"/>
      <w:sz w:val="16"/>
      <w:szCs w:val="16"/>
    </w:rPr>
  </w:style>
  <w:style w:type="paragraph" w:customStyle="1" w:styleId="Copyrightpage-Heading">
    <w:name w:val="Copyright page-Heading"/>
    <w:basedOn w:val="Subtitle2"/>
    <w:link w:val="Copyrightpage-HeadingChar"/>
    <w:uiPriority w:val="19"/>
    <w:rsid w:val="00CE0CE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CE0CE6"/>
    <w:rPr>
      <w:color w:val="FFFFFF" w:themeColor="background1"/>
      <w:sz w:val="16"/>
      <w:szCs w:val="20"/>
    </w:rPr>
  </w:style>
  <w:style w:type="paragraph" w:customStyle="1" w:styleId="Subtitle4">
    <w:name w:val="Subtitle 4"/>
    <w:basedOn w:val="Copyrightpage-Heading"/>
    <w:link w:val="Subtitle4Char"/>
    <w:uiPriority w:val="39"/>
    <w:rsid w:val="00CE0CE6"/>
    <w:pPr>
      <w:spacing w:after="40"/>
    </w:pPr>
    <w:rPr>
      <w:b/>
      <w:sz w:val="16"/>
    </w:rPr>
  </w:style>
  <w:style w:type="character" w:customStyle="1" w:styleId="Copyrightpage-HeadingChar">
    <w:name w:val="Copyright page-Heading Char"/>
    <w:basedOn w:val="Subtitle2Char"/>
    <w:link w:val="Copyrightpage-Heading"/>
    <w:uiPriority w:val="19"/>
    <w:rsid w:val="00CE0CE6"/>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CE0CE6"/>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CE0CE6"/>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CE0CE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CE0CE6"/>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CE0CE6"/>
    <w:pPr>
      <w:spacing w:line="360" w:lineRule="auto"/>
      <w:jc w:val="right"/>
    </w:pPr>
    <w:rPr>
      <w:sz w:val="16"/>
    </w:rPr>
  </w:style>
  <w:style w:type="paragraph" w:customStyle="1" w:styleId="Letterlogo">
    <w:name w:val="Letter logo"/>
    <w:basedOn w:val="LetterRight"/>
    <w:uiPriority w:val="99"/>
    <w:rsid w:val="00CE0CE6"/>
    <w:pPr>
      <w:spacing w:after="320"/>
    </w:pPr>
  </w:style>
  <w:style w:type="character" w:customStyle="1" w:styleId="LetterRightChar">
    <w:name w:val="Letter Right Char"/>
    <w:basedOn w:val="DefaultParagraphFont"/>
    <w:link w:val="LetterRight"/>
    <w:uiPriority w:val="99"/>
    <w:rsid w:val="00CE0CE6"/>
    <w:rPr>
      <w:sz w:val="16"/>
      <w:szCs w:val="20"/>
    </w:rPr>
  </w:style>
  <w:style w:type="character" w:customStyle="1" w:styleId="UnresolvedMention1">
    <w:name w:val="Unresolved Mention1"/>
    <w:basedOn w:val="DefaultParagraphFont"/>
    <w:uiPriority w:val="99"/>
    <w:unhideWhenUsed/>
    <w:rsid w:val="00CE0CE6"/>
    <w:rPr>
      <w:color w:val="605E5C"/>
      <w:shd w:val="clear" w:color="auto" w:fill="E1DFDD"/>
    </w:rPr>
  </w:style>
  <w:style w:type="paragraph" w:customStyle="1" w:styleId="LetterRight-NoSpace">
    <w:name w:val="Letter Right-No Space"/>
    <w:basedOn w:val="LetterRight"/>
    <w:uiPriority w:val="99"/>
    <w:rsid w:val="00CE0CE6"/>
    <w:pPr>
      <w:spacing w:after="0"/>
    </w:pPr>
  </w:style>
  <w:style w:type="table" w:customStyle="1" w:styleId="Blank">
    <w:name w:val="Blank"/>
    <w:basedOn w:val="TableNormal"/>
    <w:uiPriority w:val="99"/>
    <w:rsid w:val="00CE0CE6"/>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CE0CE6"/>
    <w:pPr>
      <w:numPr>
        <w:numId w:val="34"/>
      </w:numPr>
      <w:contextualSpacing/>
    </w:pPr>
  </w:style>
  <w:style w:type="paragraph" w:customStyle="1" w:styleId="Coverdate">
    <w:name w:val="Cover date"/>
    <w:basedOn w:val="Normal"/>
    <w:uiPriority w:val="29"/>
    <w:rsid w:val="00CE0CE6"/>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CE0CE6"/>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CE0CE6"/>
    <w:rPr>
      <w:color w:val="FFFFFF" w:themeColor="background1"/>
    </w:rPr>
  </w:style>
  <w:style w:type="paragraph" w:customStyle="1" w:styleId="Copyrightpage-Keylinenotext">
    <w:name w:val="Copyright page-Keyline (no text)"/>
    <w:basedOn w:val="Copyrightpage-Heading2"/>
    <w:uiPriority w:val="19"/>
    <w:rsid w:val="00CE0CE6"/>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CE0CE6"/>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CE0CE6"/>
    <w:rPr>
      <w:b/>
    </w:rPr>
  </w:style>
  <w:style w:type="paragraph" w:customStyle="1" w:styleId="CoverImage">
    <w:name w:val="Cover Image"/>
    <w:basedOn w:val="Normal"/>
    <w:uiPriority w:val="29"/>
    <w:rsid w:val="00CE0CE6"/>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CE0CE6"/>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CE0CE6"/>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CE0CE6"/>
    <w:pPr>
      <w:spacing w:before="60"/>
      <w:ind w:left="113" w:right="851"/>
    </w:pPr>
    <w:rPr>
      <w:color w:val="58585B"/>
    </w:rPr>
  </w:style>
  <w:style w:type="numbering" w:customStyle="1" w:styleId="TOCList">
    <w:name w:val="TOC List"/>
    <w:uiPriority w:val="99"/>
    <w:rsid w:val="00CE0CE6"/>
    <w:pPr>
      <w:numPr>
        <w:numId w:val="40"/>
      </w:numPr>
    </w:pPr>
  </w:style>
  <w:style w:type="paragraph" w:customStyle="1" w:styleId="Heading1-Section-fullpage">
    <w:name w:val="Heading 1-Section-full page"/>
    <w:basedOn w:val="Heading1-nobackground"/>
    <w:uiPriority w:val="9"/>
    <w:qFormat/>
    <w:rsid w:val="00CE0CE6"/>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CE0CE6"/>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CE0CE6"/>
    <w:pPr>
      <w:keepNext/>
      <w:spacing w:before="240"/>
    </w:pPr>
  </w:style>
  <w:style w:type="paragraph" w:customStyle="1" w:styleId="Source">
    <w:name w:val="Source"/>
    <w:basedOn w:val="Normal"/>
    <w:uiPriority w:val="9"/>
    <w:qFormat/>
    <w:rsid w:val="00CE0CE6"/>
    <w:pPr>
      <w:spacing w:before="80" w:after="240" w:line="216" w:lineRule="atLeast"/>
    </w:pPr>
    <w:rPr>
      <w:sz w:val="18"/>
    </w:rPr>
  </w:style>
  <w:style w:type="paragraph" w:customStyle="1" w:styleId="Note">
    <w:name w:val="Note"/>
    <w:basedOn w:val="Source"/>
    <w:uiPriority w:val="9"/>
    <w:qFormat/>
    <w:rsid w:val="00CE0CE6"/>
    <w:pPr>
      <w:spacing w:after="20"/>
    </w:pPr>
  </w:style>
  <w:style w:type="table" w:customStyle="1" w:styleId="Boxtable">
    <w:name w:val="Box table"/>
    <w:basedOn w:val="Texttable-Paleblue"/>
    <w:uiPriority w:val="99"/>
    <w:rsid w:val="00CE0CE6"/>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E0CE6"/>
    <w:pPr>
      <w:numPr>
        <w:numId w:val="27"/>
      </w:numPr>
    </w:pPr>
  </w:style>
  <w:style w:type="paragraph" w:customStyle="1" w:styleId="BoxHeading2">
    <w:name w:val="Box Heading 2"/>
    <w:basedOn w:val="Normal"/>
    <w:next w:val="BodyText"/>
    <w:uiPriority w:val="4"/>
    <w:qFormat/>
    <w:rsid w:val="00CE0CE6"/>
    <w:rPr>
      <w:b/>
    </w:rPr>
  </w:style>
  <w:style w:type="table" w:customStyle="1" w:styleId="ProductivityCommissionTable2-Dark">
    <w:name w:val="Productivity Commission Table 2 - Dark"/>
    <w:basedOn w:val="ProductivityCommissionTable2"/>
    <w:uiPriority w:val="99"/>
    <w:rsid w:val="00CE0CE6"/>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CE0CE6"/>
    <w:rPr>
      <w:i/>
    </w:rPr>
  </w:style>
  <w:style w:type="paragraph" w:customStyle="1" w:styleId="TableHeading">
    <w:name w:val="Table Heading"/>
    <w:basedOn w:val="NoSpacing"/>
    <w:uiPriority w:val="4"/>
    <w:qFormat/>
    <w:rsid w:val="00CE0CE6"/>
    <w:pPr>
      <w:spacing w:after="20"/>
      <w:ind w:left="57"/>
    </w:pPr>
    <w:rPr>
      <w:b/>
      <w:color w:val="265A9A" w:themeColor="background2"/>
      <w:sz w:val="18"/>
    </w:rPr>
  </w:style>
  <w:style w:type="paragraph" w:customStyle="1" w:styleId="BodyText-Blue">
    <w:name w:val="Body Text-Blue"/>
    <w:basedOn w:val="BodyText"/>
    <w:link w:val="BodyText-BlueChar"/>
    <w:semiHidden/>
    <w:qFormat/>
    <w:rsid w:val="00CE0CE6"/>
    <w:rPr>
      <w:color w:val="265A9A" w:themeColor="background2"/>
    </w:rPr>
  </w:style>
  <w:style w:type="table" w:customStyle="1" w:styleId="Texttable-Keyline">
    <w:name w:val="Text table-Keyline"/>
    <w:basedOn w:val="Texttable-Paleblue"/>
    <w:uiPriority w:val="99"/>
    <w:rsid w:val="00CE0CE6"/>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CE0CE6"/>
    <w:pPr>
      <w:jc w:val="right"/>
    </w:pPr>
  </w:style>
  <w:style w:type="table" w:customStyle="1" w:styleId="CopyrightPage">
    <w:name w:val="Copyright Page"/>
    <w:basedOn w:val="OverviewPageBannerTableStyle"/>
    <w:uiPriority w:val="99"/>
    <w:rsid w:val="00CE0CE6"/>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CE0CE6"/>
    <w:pPr>
      <w:spacing w:line="312" w:lineRule="atLeast"/>
    </w:pPr>
    <w:rPr>
      <w:color w:val="2C9BC2"/>
    </w:rPr>
  </w:style>
  <w:style w:type="paragraph" w:styleId="BodyText">
    <w:name w:val="Body Text"/>
    <w:basedOn w:val="Normal"/>
    <w:link w:val="BodyTextChar"/>
    <w:qFormat/>
    <w:rsid w:val="00CE0CE6"/>
  </w:style>
  <w:style w:type="character" w:customStyle="1" w:styleId="BodyTextChar">
    <w:name w:val="Body Text Char"/>
    <w:basedOn w:val="DefaultParagraphFont"/>
    <w:link w:val="BodyText"/>
    <w:rsid w:val="00CE0CE6"/>
    <w:rPr>
      <w:sz w:val="20"/>
      <w:szCs w:val="20"/>
    </w:rPr>
  </w:style>
  <w:style w:type="paragraph" w:styleId="List4">
    <w:name w:val="List 4"/>
    <w:basedOn w:val="Normal"/>
    <w:uiPriority w:val="99"/>
    <w:semiHidden/>
    <w:rsid w:val="00CE0CE6"/>
    <w:pPr>
      <w:numPr>
        <w:ilvl w:val="3"/>
        <w:numId w:val="32"/>
      </w:numPr>
      <w:contextualSpacing/>
    </w:pPr>
  </w:style>
  <w:style w:type="paragraph" w:styleId="List3">
    <w:name w:val="List 3"/>
    <w:basedOn w:val="Normal"/>
    <w:uiPriority w:val="99"/>
    <w:semiHidden/>
    <w:rsid w:val="00CE0CE6"/>
    <w:pPr>
      <w:numPr>
        <w:ilvl w:val="2"/>
        <w:numId w:val="32"/>
      </w:numPr>
      <w:contextualSpacing/>
    </w:pPr>
  </w:style>
  <w:style w:type="paragraph" w:customStyle="1" w:styleId="Heading1-nonumber">
    <w:name w:val="Heading 1-no number"/>
    <w:basedOn w:val="Heading1"/>
    <w:next w:val="BodyText"/>
    <w:uiPriority w:val="9"/>
    <w:qFormat/>
    <w:rsid w:val="00CE0CE6"/>
    <w:pPr>
      <w:numPr>
        <w:numId w:val="0"/>
      </w:numPr>
      <w:ind w:left="567"/>
    </w:pPr>
  </w:style>
  <w:style w:type="paragraph" w:customStyle="1" w:styleId="ListAlpha1">
    <w:name w:val="List Alpha 1"/>
    <w:basedOn w:val="Normal"/>
    <w:uiPriority w:val="3"/>
    <w:qFormat/>
    <w:rsid w:val="00CE0CE6"/>
    <w:pPr>
      <w:numPr>
        <w:numId w:val="33"/>
      </w:numPr>
      <w:spacing w:before="60"/>
      <w:contextualSpacing/>
    </w:pPr>
  </w:style>
  <w:style w:type="paragraph" w:customStyle="1" w:styleId="ListAlpha2">
    <w:name w:val="List Alpha 2"/>
    <w:basedOn w:val="ListAlpha1"/>
    <w:uiPriority w:val="3"/>
    <w:qFormat/>
    <w:rsid w:val="00CE0CE6"/>
    <w:pPr>
      <w:numPr>
        <w:ilvl w:val="1"/>
      </w:numPr>
    </w:pPr>
  </w:style>
  <w:style w:type="paragraph" w:customStyle="1" w:styleId="ListAlpha3">
    <w:name w:val="List Alpha 3"/>
    <w:basedOn w:val="ListAlpha2"/>
    <w:uiPriority w:val="3"/>
    <w:qFormat/>
    <w:rsid w:val="00CE0CE6"/>
    <w:pPr>
      <w:numPr>
        <w:ilvl w:val="2"/>
      </w:numPr>
    </w:pPr>
  </w:style>
  <w:style w:type="paragraph" w:customStyle="1" w:styleId="ListAlpha4">
    <w:name w:val="List Alpha 4"/>
    <w:basedOn w:val="ListAlpha3"/>
    <w:uiPriority w:val="3"/>
    <w:qFormat/>
    <w:rsid w:val="00CE0CE6"/>
    <w:pPr>
      <w:numPr>
        <w:ilvl w:val="3"/>
      </w:numPr>
    </w:pPr>
  </w:style>
  <w:style w:type="numbering" w:customStyle="1" w:styleId="Alphalist">
    <w:name w:val="Alpha list"/>
    <w:uiPriority w:val="99"/>
    <w:rsid w:val="00CE0CE6"/>
    <w:pPr>
      <w:numPr>
        <w:numId w:val="24"/>
      </w:numPr>
    </w:pPr>
  </w:style>
  <w:style w:type="paragraph" w:customStyle="1" w:styleId="KeyPoints-Bold">
    <w:name w:val="Key Points-Bold"/>
    <w:basedOn w:val="Normal"/>
    <w:uiPriority w:val="10"/>
    <w:qFormat/>
    <w:rsid w:val="00CE0CE6"/>
    <w:pPr>
      <w:spacing w:before="40" w:after="60" w:line="274" w:lineRule="atLeast"/>
    </w:pPr>
    <w:rPr>
      <w:b/>
      <w:sz w:val="18"/>
    </w:rPr>
  </w:style>
  <w:style w:type="paragraph" w:customStyle="1" w:styleId="Copyrightpage-BodyBold">
    <w:name w:val="Copyright page-Body Bold"/>
    <w:basedOn w:val="Copyrightpage-BodyText"/>
    <w:uiPriority w:val="19"/>
    <w:rsid w:val="00CE0CE6"/>
    <w:rPr>
      <w:b/>
    </w:rPr>
  </w:style>
  <w:style w:type="paragraph" w:customStyle="1" w:styleId="KeyPoints-Bullet">
    <w:name w:val="Key Points-Bullet"/>
    <w:basedOn w:val="ListBullet"/>
    <w:uiPriority w:val="10"/>
    <w:qFormat/>
    <w:rsid w:val="00CE0CE6"/>
    <w:pPr>
      <w:spacing w:after="60" w:line="274" w:lineRule="atLeast"/>
    </w:pPr>
    <w:rPr>
      <w:sz w:val="18"/>
    </w:rPr>
  </w:style>
  <w:style w:type="paragraph" w:customStyle="1" w:styleId="BodyText-Grey">
    <w:name w:val="Body Text-Grey"/>
    <w:basedOn w:val="BodyText"/>
    <w:link w:val="BodyText-GreyChar"/>
    <w:semiHidden/>
    <w:qFormat/>
    <w:rsid w:val="00CE0CE6"/>
    <w:rPr>
      <w:color w:val="58585B"/>
    </w:rPr>
  </w:style>
  <w:style w:type="character" w:customStyle="1" w:styleId="BodyText-GreyChar">
    <w:name w:val="Body Text-Grey Char"/>
    <w:basedOn w:val="BodyTextChar"/>
    <w:link w:val="BodyText-Grey"/>
    <w:semiHidden/>
    <w:rsid w:val="00CE0CE6"/>
    <w:rPr>
      <w:color w:val="58585B"/>
      <w:sz w:val="20"/>
      <w:szCs w:val="20"/>
    </w:rPr>
  </w:style>
  <w:style w:type="paragraph" w:styleId="BalloonText">
    <w:name w:val="Balloon Text"/>
    <w:basedOn w:val="Normal"/>
    <w:link w:val="BalloonTextChar"/>
    <w:uiPriority w:val="99"/>
    <w:semiHidden/>
    <w:unhideWhenUsed/>
    <w:rsid w:val="00CE0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CE6"/>
    <w:rPr>
      <w:rFonts w:ascii="Segoe UI" w:hAnsi="Segoe UI" w:cs="Segoe UI"/>
      <w:sz w:val="18"/>
      <w:szCs w:val="18"/>
    </w:rPr>
  </w:style>
  <w:style w:type="character" w:styleId="CommentReference">
    <w:name w:val="annotation reference"/>
    <w:basedOn w:val="DefaultParagraphFont"/>
    <w:uiPriority w:val="99"/>
    <w:semiHidden/>
    <w:unhideWhenUsed/>
    <w:rsid w:val="00CE0CE6"/>
    <w:rPr>
      <w:sz w:val="16"/>
      <w:szCs w:val="16"/>
    </w:rPr>
  </w:style>
  <w:style w:type="paragraph" w:styleId="CommentText">
    <w:name w:val="annotation text"/>
    <w:basedOn w:val="Normal"/>
    <w:link w:val="CommentTextChar"/>
    <w:uiPriority w:val="99"/>
    <w:unhideWhenUsed/>
    <w:rsid w:val="00CE0CE6"/>
    <w:pPr>
      <w:spacing w:line="240" w:lineRule="auto"/>
    </w:pPr>
  </w:style>
  <w:style w:type="character" w:customStyle="1" w:styleId="CommentTextChar">
    <w:name w:val="Comment Text Char"/>
    <w:basedOn w:val="DefaultParagraphFont"/>
    <w:link w:val="CommentText"/>
    <w:uiPriority w:val="99"/>
    <w:rsid w:val="00CE0CE6"/>
    <w:rPr>
      <w:sz w:val="20"/>
      <w:szCs w:val="20"/>
    </w:rPr>
  </w:style>
  <w:style w:type="paragraph" w:styleId="CommentSubject">
    <w:name w:val="annotation subject"/>
    <w:basedOn w:val="CommentText"/>
    <w:next w:val="CommentText"/>
    <w:link w:val="CommentSubjectChar"/>
    <w:uiPriority w:val="99"/>
    <w:semiHidden/>
    <w:unhideWhenUsed/>
    <w:rsid w:val="00CE0CE6"/>
    <w:rPr>
      <w:b/>
      <w:bCs/>
    </w:rPr>
  </w:style>
  <w:style w:type="character" w:customStyle="1" w:styleId="CommentSubjectChar">
    <w:name w:val="Comment Subject Char"/>
    <w:basedOn w:val="CommentTextChar"/>
    <w:link w:val="CommentSubject"/>
    <w:uiPriority w:val="99"/>
    <w:semiHidden/>
    <w:rsid w:val="00CE0CE6"/>
    <w:rPr>
      <w:b/>
      <w:bCs/>
      <w:sz w:val="20"/>
      <w:szCs w:val="20"/>
    </w:rPr>
  </w:style>
  <w:style w:type="character" w:customStyle="1" w:styleId="ColourBlue">
    <w:name w:val="Colour Blue"/>
    <w:basedOn w:val="DefaultParagraphFont"/>
    <w:uiPriority w:val="22"/>
    <w:qFormat/>
    <w:rsid w:val="00CE0CE6"/>
    <w:rPr>
      <w:color w:val="66BCDB" w:themeColor="text2"/>
    </w:rPr>
  </w:style>
  <w:style w:type="character" w:customStyle="1" w:styleId="ColourDarkBlue">
    <w:name w:val="Colour Dark Blue"/>
    <w:basedOn w:val="ColourBlue"/>
    <w:uiPriority w:val="22"/>
    <w:qFormat/>
    <w:rsid w:val="00CE0CE6"/>
    <w:rPr>
      <w:color w:val="265A9A" w:themeColor="background2"/>
    </w:rPr>
  </w:style>
  <w:style w:type="paragraph" w:customStyle="1" w:styleId="BodyText-Beforebullet">
    <w:name w:val="Body Text-Before bullet"/>
    <w:basedOn w:val="BodyText"/>
    <w:link w:val="BodyText-BeforebulletChar"/>
    <w:semiHidden/>
    <w:unhideWhenUsed/>
    <w:rsid w:val="00CE0CE6"/>
    <w:pPr>
      <w:spacing w:after="20"/>
    </w:pPr>
  </w:style>
  <w:style w:type="paragraph" w:customStyle="1" w:styleId="PullQuote">
    <w:name w:val="Pull Quote"/>
    <w:basedOn w:val="BodyText"/>
    <w:next w:val="BodyText"/>
    <w:uiPriority w:val="10"/>
    <w:qFormat/>
    <w:rsid w:val="00CE0CE6"/>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CE0CE6"/>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CE0CE6"/>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CE0CE6"/>
    <w:pPr>
      <w:spacing w:before="60"/>
      <w:jc w:val="right"/>
    </w:pPr>
  </w:style>
  <w:style w:type="paragraph" w:customStyle="1" w:styleId="FigureTableSubheading">
    <w:name w:val="Figure/Table Subheading"/>
    <w:basedOn w:val="FigureTableHeading"/>
    <w:uiPriority w:val="4"/>
    <w:qFormat/>
    <w:rsid w:val="00CE0CE6"/>
    <w:pPr>
      <w:spacing w:before="40"/>
    </w:pPr>
    <w:rPr>
      <w:color w:val="58585B"/>
    </w:rPr>
  </w:style>
  <w:style w:type="table" w:customStyle="1" w:styleId="TextTable-Grey">
    <w:name w:val="Text Table-Grey"/>
    <w:basedOn w:val="Texttable-Paleblue"/>
    <w:uiPriority w:val="99"/>
    <w:rsid w:val="00CE0CE6"/>
    <w:rPr>
      <w:color w:val="265A9A" w:themeColor="background2"/>
    </w:rPr>
    <w:tblPr/>
    <w:tcPr>
      <w:shd w:val="clear" w:color="auto" w:fill="F2F2F2"/>
    </w:tcPr>
  </w:style>
  <w:style w:type="character" w:customStyle="1" w:styleId="BodyText-BlueChar">
    <w:name w:val="Body Text-Blue Char"/>
    <w:basedOn w:val="BodyTextChar"/>
    <w:link w:val="BodyText-Blue"/>
    <w:semiHidden/>
    <w:rsid w:val="00CE0CE6"/>
    <w:rPr>
      <w:color w:val="265A9A" w:themeColor="background2"/>
      <w:sz w:val="20"/>
      <w:szCs w:val="20"/>
    </w:rPr>
  </w:style>
  <w:style w:type="paragraph" w:customStyle="1" w:styleId="Heading3-nonumber">
    <w:name w:val="Heading 3-no number"/>
    <w:basedOn w:val="Heading3"/>
    <w:uiPriority w:val="9"/>
    <w:semiHidden/>
    <w:qFormat/>
    <w:rsid w:val="00CE0CE6"/>
  </w:style>
  <w:style w:type="paragraph" w:customStyle="1" w:styleId="Heading1-nobackground">
    <w:name w:val="Heading 1-no background"/>
    <w:basedOn w:val="Heading1"/>
    <w:next w:val="BodyText"/>
    <w:uiPriority w:val="9"/>
    <w:qFormat/>
    <w:rsid w:val="00CE0CE6"/>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CE0CE6"/>
    <w:rPr>
      <w:color w:val="58585B"/>
      <w:sz w:val="20"/>
      <w:szCs w:val="20"/>
    </w:rPr>
  </w:style>
  <w:style w:type="paragraph" w:customStyle="1" w:styleId="TableHeading-numbered">
    <w:name w:val="Table Heading-numbered"/>
    <w:basedOn w:val="Normal"/>
    <w:semiHidden/>
    <w:qFormat/>
    <w:rsid w:val="00CE0CE6"/>
    <w:pPr>
      <w:numPr>
        <w:numId w:val="39"/>
      </w:numPr>
      <w:spacing w:before="60"/>
      <w:contextualSpacing/>
    </w:pPr>
    <w:rPr>
      <w:b/>
      <w:color w:val="265A9A" w:themeColor="background2"/>
    </w:rPr>
  </w:style>
  <w:style w:type="numbering" w:customStyle="1" w:styleId="TableList">
    <w:name w:val="TableList"/>
    <w:uiPriority w:val="99"/>
    <w:rsid w:val="00CE0CE6"/>
    <w:pPr>
      <w:numPr>
        <w:numId w:val="39"/>
      </w:numPr>
    </w:pPr>
  </w:style>
  <w:style w:type="paragraph" w:customStyle="1" w:styleId="Footer-right">
    <w:name w:val="Footer-right"/>
    <w:basedOn w:val="Footer"/>
    <w:uiPriority w:val="11"/>
    <w:rsid w:val="00CE0CE6"/>
    <w:pPr>
      <w:jc w:val="right"/>
    </w:pPr>
    <w:rPr>
      <w:szCs w:val="24"/>
    </w:rPr>
  </w:style>
  <w:style w:type="paragraph" w:customStyle="1" w:styleId="Heading2-nonumber">
    <w:name w:val="Heading 2-no number"/>
    <w:basedOn w:val="Heading2"/>
    <w:uiPriority w:val="9"/>
    <w:qFormat/>
    <w:rsid w:val="00CE0CE6"/>
    <w:pPr>
      <w:numPr>
        <w:ilvl w:val="0"/>
        <w:numId w:val="0"/>
      </w:numPr>
    </w:pPr>
  </w:style>
  <w:style w:type="paragraph" w:customStyle="1" w:styleId="Heading-Appendix">
    <w:name w:val="Heading-Appendix"/>
    <w:basedOn w:val="Heading1-nonumber"/>
    <w:next w:val="BodyText"/>
    <w:uiPriority w:val="9"/>
    <w:qFormat/>
    <w:rsid w:val="00CE0CE6"/>
    <w:pPr>
      <w:numPr>
        <w:numId w:val="30"/>
      </w:numPr>
    </w:pPr>
  </w:style>
  <w:style w:type="numbering" w:customStyle="1" w:styleId="AppendixHeading">
    <w:name w:val="AppendixHeading"/>
    <w:uiPriority w:val="99"/>
    <w:rsid w:val="00CE0CE6"/>
    <w:pPr>
      <w:numPr>
        <w:numId w:val="26"/>
      </w:numPr>
    </w:pPr>
  </w:style>
  <w:style w:type="paragraph" w:customStyle="1" w:styleId="DraftingNote">
    <w:name w:val="Drafting Note"/>
    <w:basedOn w:val="BodyText"/>
    <w:link w:val="DraftingNoteChar"/>
    <w:qFormat/>
    <w:rsid w:val="00CE0CE6"/>
    <w:pPr>
      <w:contextualSpacing/>
    </w:pPr>
    <w:rPr>
      <w:color w:val="A22D2B"/>
      <w:sz w:val="24"/>
      <w:u w:val="dotted"/>
    </w:rPr>
  </w:style>
  <w:style w:type="character" w:customStyle="1" w:styleId="DraftingNoteChar">
    <w:name w:val="Drafting Note Char"/>
    <w:basedOn w:val="BodyTextChar"/>
    <w:link w:val="DraftingNote"/>
    <w:rsid w:val="00CE0CE6"/>
    <w:rPr>
      <w:color w:val="A22D2B"/>
      <w:sz w:val="24"/>
      <w:szCs w:val="20"/>
      <w:u w:val="dotted"/>
    </w:rPr>
  </w:style>
  <w:style w:type="paragraph" w:customStyle="1" w:styleId="BoxHeading1">
    <w:name w:val="Box Heading 1"/>
    <w:basedOn w:val="FigureTableHeading"/>
    <w:next w:val="BodyText"/>
    <w:uiPriority w:val="4"/>
    <w:qFormat/>
    <w:rsid w:val="00CE0CE6"/>
    <w:pPr>
      <w:spacing w:after="0"/>
    </w:pPr>
  </w:style>
  <w:style w:type="character" w:styleId="Emphasis">
    <w:name w:val="Emphasis"/>
    <w:basedOn w:val="DefaultParagraphFont"/>
    <w:uiPriority w:val="22"/>
    <w:qFormat/>
    <w:rsid w:val="00CE0CE6"/>
    <w:rPr>
      <w:i/>
      <w:iCs/>
    </w:rPr>
  </w:style>
  <w:style w:type="paragraph" w:customStyle="1" w:styleId="Reference">
    <w:name w:val="Reference"/>
    <w:basedOn w:val="BodyText"/>
    <w:qFormat/>
    <w:rsid w:val="00CE0CE6"/>
    <w:pPr>
      <w:spacing w:before="0" w:after="60" w:line="200" w:lineRule="exact"/>
    </w:pPr>
    <w:rPr>
      <w:sz w:val="16"/>
    </w:rPr>
  </w:style>
  <w:style w:type="paragraph" w:customStyle="1" w:styleId="Keypoints-heading">
    <w:name w:val="Key points-heading"/>
    <w:basedOn w:val="Heading3"/>
    <w:uiPriority w:val="10"/>
    <w:qFormat/>
    <w:rsid w:val="00CE0CE6"/>
    <w:rPr>
      <w:color w:val="auto"/>
    </w:rPr>
  </w:style>
  <w:style w:type="paragraph" w:customStyle="1" w:styleId="Heading2-Appendix">
    <w:name w:val="Heading 2-Appendix"/>
    <w:basedOn w:val="Heading2-nonumber"/>
    <w:next w:val="Normal"/>
    <w:uiPriority w:val="10"/>
    <w:qFormat/>
    <w:rsid w:val="00CE0CE6"/>
    <w:pPr>
      <w:numPr>
        <w:ilvl w:val="1"/>
        <w:numId w:val="30"/>
      </w:numPr>
    </w:pPr>
  </w:style>
  <w:style w:type="numbering" w:customStyle="1" w:styleId="AppendixHeadingList">
    <w:name w:val="Appendix Heading List"/>
    <w:uiPriority w:val="99"/>
    <w:rsid w:val="00CE0CE6"/>
    <w:pPr>
      <w:numPr>
        <w:numId w:val="25"/>
      </w:numPr>
    </w:pPr>
  </w:style>
  <w:style w:type="paragraph" w:customStyle="1" w:styleId="Space">
    <w:name w:val="Space"/>
    <w:basedOn w:val="BodyText"/>
    <w:uiPriority w:val="1"/>
    <w:rsid w:val="00CE0CE6"/>
    <w:pPr>
      <w:spacing w:before="0" w:after="0"/>
    </w:pPr>
  </w:style>
  <w:style w:type="paragraph" w:customStyle="1" w:styleId="QuoteBullet">
    <w:name w:val="Quote Bullet"/>
    <w:basedOn w:val="ListBullet"/>
    <w:link w:val="QuoteBulletChar"/>
    <w:uiPriority w:val="1"/>
    <w:qFormat/>
    <w:rsid w:val="00CE0CE6"/>
    <w:pPr>
      <w:spacing w:before="60"/>
      <w:ind w:left="340" w:right="851"/>
    </w:pPr>
    <w:rPr>
      <w:color w:val="58585B"/>
    </w:rPr>
  </w:style>
  <w:style w:type="character" w:customStyle="1" w:styleId="ListBulletChar">
    <w:name w:val="List Bullet Char"/>
    <w:basedOn w:val="DefaultParagraphFont"/>
    <w:link w:val="ListBullet"/>
    <w:uiPriority w:val="1"/>
    <w:rsid w:val="00CE0CE6"/>
    <w:rPr>
      <w:sz w:val="20"/>
      <w:szCs w:val="20"/>
    </w:rPr>
  </w:style>
  <w:style w:type="character" w:customStyle="1" w:styleId="QuoteBulletChar">
    <w:name w:val="Quote Bullet Char"/>
    <w:basedOn w:val="ListBulletChar"/>
    <w:link w:val="QuoteBullet"/>
    <w:uiPriority w:val="1"/>
    <w:rsid w:val="00CE0CE6"/>
    <w:rPr>
      <w:color w:val="58585B"/>
      <w:sz w:val="20"/>
      <w:szCs w:val="20"/>
    </w:rPr>
  </w:style>
  <w:style w:type="paragraph" w:customStyle="1" w:styleId="Figurecharttitle">
    <w:name w:val="Figure chart title"/>
    <w:basedOn w:val="BodyText"/>
    <w:uiPriority w:val="10"/>
    <w:qFormat/>
    <w:rsid w:val="00CE0CE6"/>
    <w:pPr>
      <w:spacing w:before="0" w:after="0"/>
      <w:ind w:left="284" w:hanging="284"/>
    </w:pPr>
    <w:rPr>
      <w:sz w:val="18"/>
      <w:szCs w:val="18"/>
    </w:rPr>
  </w:style>
  <w:style w:type="paragraph" w:customStyle="1" w:styleId="CoverdisclaimerwhiteCover">
    <w:name w:val="Cover – disclaimer (white) (Cover)"/>
    <w:basedOn w:val="Normal"/>
    <w:uiPriority w:val="99"/>
    <w:rsid w:val="004F7BE2"/>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paragraph">
    <w:name w:val="paragraph"/>
    <w:basedOn w:val="Normal"/>
    <w:rsid w:val="00653F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53FCC"/>
  </w:style>
  <w:style w:type="character" w:customStyle="1" w:styleId="superscript">
    <w:name w:val="superscript"/>
    <w:basedOn w:val="DefaultParagraphFont"/>
    <w:rsid w:val="00123D3A"/>
  </w:style>
  <w:style w:type="character" w:customStyle="1" w:styleId="Mention1">
    <w:name w:val="Mention1"/>
    <w:basedOn w:val="DefaultParagraphFont"/>
    <w:uiPriority w:val="99"/>
    <w:unhideWhenUsed/>
    <w:rsid w:val="00D01AB0"/>
    <w:rPr>
      <w:color w:val="2B579A"/>
      <w:shd w:val="clear" w:color="auto" w:fill="E1DFDD"/>
    </w:rPr>
  </w:style>
  <w:style w:type="character" w:customStyle="1" w:styleId="highlight">
    <w:name w:val="highlight"/>
    <w:basedOn w:val="DefaultParagraphFont"/>
    <w:rsid w:val="00D01AB0"/>
  </w:style>
  <w:style w:type="paragraph" w:styleId="EndnoteText">
    <w:name w:val="endnote text"/>
    <w:basedOn w:val="Normal"/>
    <w:link w:val="EndnoteTextChar"/>
    <w:uiPriority w:val="99"/>
    <w:semiHidden/>
    <w:unhideWhenUsed/>
    <w:rsid w:val="00D01AB0"/>
    <w:pPr>
      <w:spacing w:before="0" w:after="0" w:line="240" w:lineRule="auto"/>
    </w:pPr>
  </w:style>
  <w:style w:type="character" w:customStyle="1" w:styleId="EndnoteTextChar">
    <w:name w:val="Endnote Text Char"/>
    <w:basedOn w:val="DefaultParagraphFont"/>
    <w:link w:val="EndnoteText"/>
    <w:uiPriority w:val="99"/>
    <w:semiHidden/>
    <w:rsid w:val="00D01AB0"/>
    <w:rPr>
      <w:sz w:val="20"/>
      <w:szCs w:val="20"/>
    </w:rPr>
  </w:style>
  <w:style w:type="character" w:styleId="EndnoteReference">
    <w:name w:val="endnote reference"/>
    <w:basedOn w:val="DefaultParagraphFont"/>
    <w:uiPriority w:val="99"/>
    <w:semiHidden/>
    <w:unhideWhenUsed/>
    <w:rsid w:val="00D01AB0"/>
    <w:rPr>
      <w:vertAlign w:val="superscript"/>
    </w:rPr>
  </w:style>
  <w:style w:type="paragraph" w:customStyle="1" w:styleId="BoxTitle">
    <w:name w:val="Box Title"/>
    <w:basedOn w:val="Caption"/>
    <w:next w:val="Normal"/>
    <w:rsid w:val="00D01AB0"/>
    <w:pPr>
      <w:keepNext/>
      <w:keepLines/>
      <w:spacing w:before="120" w:after="0" w:line="280" w:lineRule="exact"/>
      <w:ind w:left="1474" w:hanging="1474"/>
    </w:pPr>
    <w:rPr>
      <w:rFonts w:ascii="Arial" w:eastAsia="Times New Roman" w:hAnsi="Arial" w:cs="Times New Roman"/>
      <w:b/>
      <w:iCs w:val="0"/>
      <w:color w:val="auto"/>
      <w:sz w:val="24"/>
      <w:szCs w:val="24"/>
      <w:lang w:eastAsia="en-AU"/>
    </w:rPr>
  </w:style>
  <w:style w:type="paragraph" w:styleId="NormalWeb">
    <w:name w:val="Normal (Web)"/>
    <w:basedOn w:val="Normal"/>
    <w:uiPriority w:val="99"/>
    <w:semiHidden/>
    <w:unhideWhenUsed/>
    <w:rsid w:val="00D01AB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exttable-Paleblue1">
    <w:name w:val="Text table-Pale blue1"/>
    <w:basedOn w:val="TableNormal"/>
    <w:uiPriority w:val="99"/>
    <w:rsid w:val="00A53FAB"/>
    <w:pPr>
      <w:spacing w:after="0" w:line="240" w:lineRule="auto"/>
    </w:pPr>
    <w:tblPr>
      <w:tblCellMar>
        <w:top w:w="113" w:type="dxa"/>
        <w:left w:w="113" w:type="dxa"/>
        <w:bottom w:w="113" w:type="dxa"/>
        <w:right w:w="113" w:type="dxa"/>
      </w:tblCellMar>
    </w:tblPr>
    <w:tcPr>
      <w:shd w:val="clear" w:color="auto" w:fill="EFF9FE"/>
    </w:tcPr>
  </w:style>
  <w:style w:type="paragraph" w:customStyle="1" w:styleId="TableListBullet">
    <w:name w:val="Table List Bullet"/>
    <w:basedOn w:val="ListBullet"/>
    <w:uiPriority w:val="10"/>
    <w:qFormat/>
    <w:rsid w:val="00CE0CE6"/>
    <w:pPr>
      <w:spacing w:before="0" w:after="20"/>
      <w:ind w:left="170" w:hanging="113"/>
    </w:pPr>
  </w:style>
  <w:style w:type="paragraph" w:customStyle="1" w:styleId="Default">
    <w:name w:val="Default"/>
    <w:rsid w:val="005E22C3"/>
    <w:pPr>
      <w:autoSpaceDE w:val="0"/>
      <w:autoSpaceDN w:val="0"/>
      <w:adjustRightInd w:val="0"/>
      <w:spacing w:after="0" w:line="240" w:lineRule="auto"/>
    </w:pPr>
    <w:rPr>
      <w:rFonts w:ascii="Arial" w:hAnsi="Arial" w:cs="Arial"/>
      <w:color w:val="000000"/>
      <w:sz w:val="24"/>
      <w:szCs w:val="24"/>
    </w:rPr>
  </w:style>
  <w:style w:type="character" w:customStyle="1" w:styleId="contextualspellingandgrammarerror">
    <w:name w:val="contextualspellingandgrammarerror"/>
    <w:basedOn w:val="DefaultParagraphFont"/>
    <w:rsid w:val="005E22C3"/>
  </w:style>
  <w:style w:type="paragraph" w:styleId="Bibliography">
    <w:name w:val="Bibliography"/>
    <w:basedOn w:val="Normal"/>
    <w:next w:val="Normal"/>
    <w:uiPriority w:val="37"/>
    <w:unhideWhenUsed/>
    <w:rsid w:val="005E22C3"/>
    <w:pPr>
      <w:spacing w:after="240" w:line="240" w:lineRule="atLeast"/>
      <w:ind w:left="720" w:hanging="720"/>
    </w:pPr>
  </w:style>
  <w:style w:type="character" w:styleId="FollowedHyperlink">
    <w:name w:val="FollowedHyperlink"/>
    <w:basedOn w:val="DefaultParagraphFont"/>
    <w:uiPriority w:val="99"/>
    <w:semiHidden/>
    <w:unhideWhenUsed/>
    <w:rsid w:val="005E22C3"/>
    <w:rPr>
      <w:color w:val="BFBFBF" w:themeColor="followedHyperlink"/>
      <w:u w:val="single"/>
    </w:rPr>
  </w:style>
  <w:style w:type="character" w:customStyle="1" w:styleId="ListParagraphChar">
    <w:name w:val="List Paragraph Char"/>
    <w:basedOn w:val="DefaultParagraphFont"/>
    <w:link w:val="ListParagraph"/>
    <w:uiPriority w:val="34"/>
    <w:qFormat/>
    <w:locked/>
    <w:rsid w:val="005E22C3"/>
    <w:rPr>
      <w:sz w:val="20"/>
      <w:szCs w:val="20"/>
    </w:rPr>
  </w:style>
  <w:style w:type="table" w:customStyle="1" w:styleId="TextTable-Grey1">
    <w:name w:val="Text Table-Grey1"/>
    <w:basedOn w:val="Texttable-Paleblue"/>
    <w:uiPriority w:val="99"/>
    <w:rsid w:val="005E22C3"/>
    <w:rPr>
      <w:color w:val="265A9A" w:themeColor="background2"/>
    </w:rPr>
    <w:tblPr/>
    <w:tcPr>
      <w:shd w:val="clear" w:color="auto" w:fill="F2F2F2"/>
    </w:tcPr>
  </w:style>
  <w:style w:type="paragraph" w:customStyle="1" w:styleId="PullQuoteNoSpacing">
    <w:name w:val="Pull Quote No Spacing"/>
    <w:basedOn w:val="NoSpacing"/>
    <w:link w:val="PullQuoteNoSpacingChar"/>
    <w:uiPriority w:val="10"/>
    <w:qFormat/>
    <w:rsid w:val="00CE0CE6"/>
    <w:pPr>
      <w:spacing w:line="160" w:lineRule="exact"/>
    </w:pPr>
  </w:style>
  <w:style w:type="character" w:customStyle="1" w:styleId="PullQuoteNoSpacingChar">
    <w:name w:val="Pull Quote No Spacing Char"/>
    <w:basedOn w:val="NoSpacingChar"/>
    <w:link w:val="PullQuoteNoSpacing"/>
    <w:uiPriority w:val="10"/>
    <w:rsid w:val="00CE0CE6"/>
    <w:rPr>
      <w:sz w:val="20"/>
      <w:szCs w:val="20"/>
    </w:rPr>
  </w:style>
  <w:style w:type="paragraph" w:customStyle="1" w:styleId="PullQuote-Indigenous">
    <w:name w:val="Pull Quote-Indigenous"/>
    <w:basedOn w:val="PullQuote"/>
    <w:uiPriority w:val="10"/>
    <w:qFormat/>
    <w:rsid w:val="00CE0CE6"/>
    <w:pPr>
      <w:ind w:right="680"/>
    </w:pPr>
    <w:rPr>
      <w:rFonts w:ascii="Arial" w:hAnsi="Arial" w:cs="Arial"/>
      <w:color w:val="auto"/>
      <w:spacing w:val="6"/>
      <w:sz w:val="22"/>
      <w:szCs w:val="22"/>
    </w:rPr>
  </w:style>
  <w:style w:type="character" w:styleId="PageNumber">
    <w:name w:val="page number"/>
    <w:rsid w:val="005E22C3"/>
    <w:rPr>
      <w:rFonts w:ascii="Arial" w:hAnsi="Arial"/>
      <w:b/>
      <w:caps w:val="0"/>
      <w:smallCaps w:val="0"/>
      <w:sz w:val="16"/>
    </w:rPr>
  </w:style>
  <w:style w:type="paragraph" w:customStyle="1" w:styleId="FooterEnd">
    <w:name w:val="Footer End"/>
    <w:basedOn w:val="Footer"/>
    <w:rsid w:val="005E22C3"/>
    <w:pPr>
      <w:tabs>
        <w:tab w:val="clear" w:pos="4513"/>
        <w:tab w:val="clear" w:pos="9026"/>
      </w:tabs>
      <w:spacing w:before="0" w:line="20" w:lineRule="exact"/>
      <w:ind w:right="6"/>
      <w:contextualSpacing w:val="0"/>
    </w:pPr>
    <w:rPr>
      <w:rFonts w:ascii="Arial" w:eastAsia="Times New Roman" w:hAnsi="Arial" w:cs="Times New Roman"/>
      <w:caps/>
      <w:spacing w:val="-4"/>
      <w:sz w:val="16"/>
      <w:szCs w:val="20"/>
    </w:rPr>
  </w:style>
  <w:style w:type="paragraph" w:styleId="HTMLPreformatted">
    <w:name w:val="HTML Preformatted"/>
    <w:basedOn w:val="Normal"/>
    <w:link w:val="HTMLPreformattedChar"/>
    <w:uiPriority w:val="99"/>
    <w:unhideWhenUsed/>
    <w:rsid w:val="0061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uiPriority w:val="99"/>
    <w:rsid w:val="00611BE3"/>
    <w:rPr>
      <w:rFonts w:ascii="Courier New" w:eastAsia="Times New Roman" w:hAnsi="Courier New" w:cs="Courier New"/>
      <w:sz w:val="20"/>
      <w:szCs w:val="20"/>
      <w:lang w:eastAsia="en-AU"/>
    </w:rPr>
  </w:style>
  <w:style w:type="character" w:customStyle="1" w:styleId="gnkrckgcgsb">
    <w:name w:val="gnkrckgcgsb"/>
    <w:basedOn w:val="DefaultParagraphFont"/>
    <w:rsid w:val="00611BE3"/>
  </w:style>
  <w:style w:type="numbering" w:customStyle="1" w:styleId="Figure">
    <w:name w:val="Figure"/>
    <w:uiPriority w:val="99"/>
    <w:rsid w:val="00CE0CE6"/>
    <w:pPr>
      <w:numPr>
        <w:numId w:val="29"/>
      </w:numPr>
    </w:pPr>
  </w:style>
  <w:style w:type="paragraph" w:customStyle="1" w:styleId="Clear">
    <w:name w:val="Clear"/>
    <w:basedOn w:val="Heading4"/>
    <w:rsid w:val="0075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2455">
      <w:bodyDiv w:val="1"/>
      <w:marLeft w:val="0"/>
      <w:marRight w:val="0"/>
      <w:marTop w:val="0"/>
      <w:marBottom w:val="0"/>
      <w:divBdr>
        <w:top w:val="none" w:sz="0" w:space="0" w:color="auto"/>
        <w:left w:val="none" w:sz="0" w:space="0" w:color="auto"/>
        <w:bottom w:val="none" w:sz="0" w:space="0" w:color="auto"/>
        <w:right w:val="none" w:sz="0" w:space="0" w:color="auto"/>
      </w:divBdr>
    </w:div>
    <w:div w:id="185481411">
      <w:bodyDiv w:val="1"/>
      <w:marLeft w:val="0"/>
      <w:marRight w:val="0"/>
      <w:marTop w:val="0"/>
      <w:marBottom w:val="0"/>
      <w:divBdr>
        <w:top w:val="none" w:sz="0" w:space="0" w:color="auto"/>
        <w:left w:val="none" w:sz="0" w:space="0" w:color="auto"/>
        <w:bottom w:val="none" w:sz="0" w:space="0" w:color="auto"/>
        <w:right w:val="none" w:sz="0" w:space="0" w:color="auto"/>
      </w:divBdr>
    </w:div>
    <w:div w:id="231814783">
      <w:bodyDiv w:val="1"/>
      <w:marLeft w:val="0"/>
      <w:marRight w:val="0"/>
      <w:marTop w:val="0"/>
      <w:marBottom w:val="0"/>
      <w:divBdr>
        <w:top w:val="none" w:sz="0" w:space="0" w:color="auto"/>
        <w:left w:val="none" w:sz="0" w:space="0" w:color="auto"/>
        <w:bottom w:val="none" w:sz="0" w:space="0" w:color="auto"/>
        <w:right w:val="none" w:sz="0" w:space="0" w:color="auto"/>
      </w:divBdr>
      <w:divsChild>
        <w:div w:id="173693263">
          <w:marLeft w:val="0"/>
          <w:marRight w:val="0"/>
          <w:marTop w:val="0"/>
          <w:marBottom w:val="0"/>
          <w:divBdr>
            <w:top w:val="none" w:sz="0" w:space="0" w:color="auto"/>
            <w:left w:val="none" w:sz="0" w:space="0" w:color="auto"/>
            <w:bottom w:val="none" w:sz="0" w:space="0" w:color="auto"/>
            <w:right w:val="none" w:sz="0" w:space="0" w:color="auto"/>
          </w:divBdr>
        </w:div>
        <w:div w:id="950622494">
          <w:marLeft w:val="0"/>
          <w:marRight w:val="0"/>
          <w:marTop w:val="0"/>
          <w:marBottom w:val="0"/>
          <w:divBdr>
            <w:top w:val="none" w:sz="0" w:space="0" w:color="auto"/>
            <w:left w:val="none" w:sz="0" w:space="0" w:color="auto"/>
            <w:bottom w:val="none" w:sz="0" w:space="0" w:color="auto"/>
            <w:right w:val="none" w:sz="0" w:space="0" w:color="auto"/>
          </w:divBdr>
        </w:div>
        <w:div w:id="1134526360">
          <w:marLeft w:val="0"/>
          <w:marRight w:val="0"/>
          <w:marTop w:val="0"/>
          <w:marBottom w:val="0"/>
          <w:divBdr>
            <w:top w:val="none" w:sz="0" w:space="0" w:color="auto"/>
            <w:left w:val="none" w:sz="0" w:space="0" w:color="auto"/>
            <w:bottom w:val="none" w:sz="0" w:space="0" w:color="auto"/>
            <w:right w:val="none" w:sz="0" w:space="0" w:color="auto"/>
          </w:divBdr>
        </w:div>
      </w:divsChild>
    </w:div>
    <w:div w:id="363672889">
      <w:bodyDiv w:val="1"/>
      <w:marLeft w:val="0"/>
      <w:marRight w:val="0"/>
      <w:marTop w:val="0"/>
      <w:marBottom w:val="0"/>
      <w:divBdr>
        <w:top w:val="none" w:sz="0" w:space="0" w:color="auto"/>
        <w:left w:val="none" w:sz="0" w:space="0" w:color="auto"/>
        <w:bottom w:val="none" w:sz="0" w:space="0" w:color="auto"/>
        <w:right w:val="none" w:sz="0" w:space="0" w:color="auto"/>
      </w:divBdr>
    </w:div>
    <w:div w:id="578488452">
      <w:bodyDiv w:val="1"/>
      <w:marLeft w:val="0"/>
      <w:marRight w:val="0"/>
      <w:marTop w:val="0"/>
      <w:marBottom w:val="0"/>
      <w:divBdr>
        <w:top w:val="none" w:sz="0" w:space="0" w:color="auto"/>
        <w:left w:val="none" w:sz="0" w:space="0" w:color="auto"/>
        <w:bottom w:val="none" w:sz="0" w:space="0" w:color="auto"/>
        <w:right w:val="none" w:sz="0" w:space="0" w:color="auto"/>
      </w:divBdr>
    </w:div>
    <w:div w:id="1084648794">
      <w:bodyDiv w:val="1"/>
      <w:marLeft w:val="0"/>
      <w:marRight w:val="0"/>
      <w:marTop w:val="0"/>
      <w:marBottom w:val="0"/>
      <w:divBdr>
        <w:top w:val="none" w:sz="0" w:space="0" w:color="auto"/>
        <w:left w:val="none" w:sz="0" w:space="0" w:color="auto"/>
        <w:bottom w:val="none" w:sz="0" w:space="0" w:color="auto"/>
        <w:right w:val="none" w:sz="0" w:space="0" w:color="auto"/>
      </w:divBdr>
    </w:div>
    <w:div w:id="1088842276">
      <w:bodyDiv w:val="1"/>
      <w:marLeft w:val="0"/>
      <w:marRight w:val="0"/>
      <w:marTop w:val="0"/>
      <w:marBottom w:val="0"/>
      <w:divBdr>
        <w:top w:val="none" w:sz="0" w:space="0" w:color="auto"/>
        <w:left w:val="none" w:sz="0" w:space="0" w:color="auto"/>
        <w:bottom w:val="none" w:sz="0" w:space="0" w:color="auto"/>
        <w:right w:val="none" w:sz="0" w:space="0" w:color="auto"/>
      </w:divBdr>
      <w:divsChild>
        <w:div w:id="180896898">
          <w:marLeft w:val="0"/>
          <w:marRight w:val="0"/>
          <w:marTop w:val="0"/>
          <w:marBottom w:val="0"/>
          <w:divBdr>
            <w:top w:val="none" w:sz="0" w:space="0" w:color="auto"/>
            <w:left w:val="none" w:sz="0" w:space="0" w:color="auto"/>
            <w:bottom w:val="none" w:sz="0" w:space="0" w:color="auto"/>
            <w:right w:val="none" w:sz="0" w:space="0" w:color="auto"/>
          </w:divBdr>
        </w:div>
      </w:divsChild>
    </w:div>
    <w:div w:id="1361980253">
      <w:bodyDiv w:val="1"/>
      <w:marLeft w:val="0"/>
      <w:marRight w:val="0"/>
      <w:marTop w:val="0"/>
      <w:marBottom w:val="0"/>
      <w:divBdr>
        <w:top w:val="none" w:sz="0" w:space="0" w:color="auto"/>
        <w:left w:val="none" w:sz="0" w:space="0" w:color="auto"/>
        <w:bottom w:val="none" w:sz="0" w:space="0" w:color="auto"/>
        <w:right w:val="none" w:sz="0" w:space="0" w:color="auto"/>
      </w:divBdr>
    </w:div>
    <w:div w:id="1953513401">
      <w:bodyDiv w:val="1"/>
      <w:marLeft w:val="0"/>
      <w:marRight w:val="0"/>
      <w:marTop w:val="0"/>
      <w:marBottom w:val="0"/>
      <w:divBdr>
        <w:top w:val="none" w:sz="0" w:space="0" w:color="auto"/>
        <w:left w:val="none" w:sz="0" w:space="0" w:color="auto"/>
        <w:bottom w:val="none" w:sz="0" w:space="0" w:color="auto"/>
        <w:right w:val="none" w:sz="0" w:space="0" w:color="auto"/>
      </w:divBdr>
    </w:div>
    <w:div w:id="2104178525">
      <w:bodyDiv w:val="1"/>
      <w:marLeft w:val="0"/>
      <w:marRight w:val="0"/>
      <w:marTop w:val="0"/>
      <w:marBottom w:val="0"/>
      <w:divBdr>
        <w:top w:val="none" w:sz="0" w:space="0" w:color="auto"/>
        <w:left w:val="none" w:sz="0" w:space="0" w:color="auto"/>
        <w:bottom w:val="none" w:sz="0" w:space="0" w:color="auto"/>
        <w:right w:val="none" w:sz="0" w:space="0" w:color="auto"/>
      </w:divBdr>
      <w:divsChild>
        <w:div w:id="658853076">
          <w:marLeft w:val="0"/>
          <w:marRight w:val="0"/>
          <w:marTop w:val="0"/>
          <w:marBottom w:val="0"/>
          <w:divBdr>
            <w:top w:val="none" w:sz="0" w:space="0" w:color="auto"/>
            <w:left w:val="none" w:sz="0" w:space="0" w:color="auto"/>
            <w:bottom w:val="none" w:sz="0" w:space="0" w:color="auto"/>
            <w:right w:val="none" w:sz="0" w:space="0" w:color="auto"/>
          </w:divBdr>
        </w:div>
        <w:div w:id="195143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ransformationConfigurations":[],"templateName":"prelims-draft report","templateDescription":"Prelims for draft inquiry and study reports","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e2dba87cad3aab7bb254850d41ab839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62481b0c0e5117fd1e2766233d7db1d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6BA77-97F5-4C6A-BCFF-B419298F03EA}">
  <ds:schemaRefs>
    <ds:schemaRef ds:uri="http://schemas.microsoft.com/sharepoint/v3/contenttype/forms"/>
  </ds:schemaRefs>
</ds:datastoreItem>
</file>

<file path=customXml/itemProps2.xml><?xml version="1.0" encoding="utf-8"?>
<ds:datastoreItem xmlns:ds="http://schemas.openxmlformats.org/officeDocument/2006/customXml" ds:itemID="{E2A6143F-EC27-496C-A53A-73AF617FCB15}">
  <ds:schemaRefs>
    <ds:schemaRef ds:uri="http://schemas.openxmlformats.org/officeDocument/2006/bibliography"/>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7C8E2B58-0D9C-4FCB-B0EA-664AA67F9BD5}">
  <ds:schemaRefs>
    <ds:schemaRef ds:uri="52167780-d458-4e20-a521-cd369a511d6e"/>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8863fef4-a928-4b42-80f7-22702e616c5c"/>
    <ds:schemaRef ds:uri="http://schemas.microsoft.com/office/2006/metadata/properties"/>
  </ds:schemaRefs>
</ds:datastoreItem>
</file>

<file path=customXml/itemProps5.xml><?xml version="1.0" encoding="utf-8"?>
<ds:datastoreItem xmlns:ds="http://schemas.openxmlformats.org/officeDocument/2006/customXml" ds:itemID="{9897F752-2238-441E-ABA5-DB8C10DEA577}">
  <ds:schemaRefs/>
</ds:datastoreItem>
</file>

<file path=customXml/itemProps6.xml><?xml version="1.0" encoding="utf-8"?>
<ds:datastoreItem xmlns:ds="http://schemas.openxmlformats.org/officeDocument/2006/customXml" ds:itemID="{336EEFD8-6AAB-43A4-B5B4-ABF3304B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Submission DR108 - Attachment A: Margin annotated excerpt of Recommendations and findings - Noel David Holmes - National School Reform Agreement - Commissioned study</vt:lpstr>
    </vt:vector>
  </TitlesOfParts>
  <Company>Noel David Holmes</Company>
  <LinksUpToDate>false</LinksUpToDate>
  <CharactersWithSpaces>25394</CharactersWithSpaces>
  <SharedDoc>false</SharedDoc>
  <HLinks>
    <vt:vector size="18" baseType="variant">
      <vt:variant>
        <vt:i4>65626</vt:i4>
      </vt:variant>
      <vt:variant>
        <vt:i4>519</vt:i4>
      </vt:variant>
      <vt:variant>
        <vt:i4>0</vt:i4>
      </vt:variant>
      <vt:variant>
        <vt:i4>5</vt:i4>
      </vt:variant>
      <vt:variant>
        <vt:lpwstr>https://www.pc.gov.au/inquiries/current/school-agreement/submissions</vt:lpwstr>
      </vt:variant>
      <vt:variant>
        <vt:lpwstr/>
      </vt:variant>
      <vt:variant>
        <vt:i4>1441817</vt:i4>
      </vt:variant>
      <vt:variant>
        <vt:i4>0</vt:i4>
      </vt:variant>
      <vt:variant>
        <vt:i4>0</vt:i4>
      </vt:variant>
      <vt:variant>
        <vt:i4>5</vt:i4>
      </vt:variant>
      <vt:variant>
        <vt:lpwstr>https://www.pc.gov.au/inquiries/current/school-agreement</vt:lpwstr>
      </vt:variant>
      <vt:variant>
        <vt:lpwstr/>
      </vt:variant>
      <vt:variant>
        <vt:i4>4194399</vt:i4>
      </vt:variant>
      <vt:variant>
        <vt:i4>3</vt:i4>
      </vt:variant>
      <vt:variant>
        <vt:i4>0</vt:i4>
      </vt:variant>
      <vt:variant>
        <vt:i4>5</vt:i4>
      </vt:variant>
      <vt:variant>
        <vt:lpwstr>https://ofai.edu.au/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DR108 - Attachment A: Margin annotated excerpt of Recommendations and findings - Noel David Holmes - National School Reform Agreement - Commissioned study</dc:title>
  <dc:subject/>
  <dc:creator>Noel David Holmes</dc:creator>
  <cp:lastModifiedBy>Chris Alston</cp:lastModifiedBy>
  <cp:revision>5</cp:revision>
  <cp:lastPrinted>2022-11-01T22:48:00Z</cp:lastPrinted>
  <dcterms:created xsi:type="dcterms:W3CDTF">2022-10-27T05:19:00Z</dcterms:created>
  <dcterms:modified xsi:type="dcterms:W3CDTF">2022-11-01T22:50:00Z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637629323326921041</vt:lpwstr>
  </property>
  <property fmtid="{D5CDD505-2E9C-101B-9397-08002B2CF9AE}" pid="4" name="TemplafyUserProfileId">
    <vt:lpwstr>637800438628935677</vt:lpwstr>
  </property>
  <property fmtid="{D5CDD505-2E9C-101B-9397-08002B2CF9AE}" pid="5" name="TemplafyFromBlank">
    <vt:bool>false</vt:bool>
  </property>
  <property fmtid="{D5CDD505-2E9C-101B-9397-08002B2CF9AE}" pid="6" name="ContentTypeId">
    <vt:lpwstr>0x010100BA39D53A6EC3464A8EC21955720B744F</vt:lpwstr>
  </property>
  <property fmtid="{D5CDD505-2E9C-101B-9397-08002B2CF9AE}" pid="7" name="RevIMBCS">
    <vt:lpwstr>1;#Unclassified|3955eeb1-2d18-4582-aeb2-00144ec3aaf5</vt:lpwstr>
  </property>
  <property fmtid="{D5CDD505-2E9C-101B-9397-08002B2CF9AE}" pid="8" name="ZOTERO_PREF_1">
    <vt:lpwstr>&lt;data data-version="3" zotero-version="6.0.9"&gt;&lt;session id="kH3FabhF"/&gt;&lt;style id="http://www.zotero.org/styles/Productivity-Commission" hasBibliography="1" bibliographyStyleHasBeenSet="1"/&gt;&lt;prefs&gt;&lt;pref name="fieldType" value="Field"/&gt;&lt;pref name="delayCitat</vt:lpwstr>
  </property>
  <property fmtid="{D5CDD505-2E9C-101B-9397-08002B2CF9AE}" pid="9" name="ZOTERO_PREF_2">
    <vt:lpwstr>ionUpdates" value="true"/&gt;&lt;pref name="dontAskDelayCitationUpdates" value="true"/&gt;&lt;/prefs&gt;&lt;/data&gt;</vt:lpwstr>
  </property>
</Properties>
</file>