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4F67" w14:textId="77777777" w:rsidR="00647FB9" w:rsidRDefault="00647FB9" w:rsidP="00647FB9">
      <w:pPr>
        <w:rPr>
          <w:rFonts w:ascii="Arial" w:eastAsia="Times New Roman" w:hAnsi="Arial" w:cs="Arial"/>
          <w:color w:val="000000"/>
          <w:sz w:val="22"/>
          <w:szCs w:val="22"/>
          <w:lang w:eastAsia="en-GB"/>
        </w:rPr>
      </w:pPr>
    </w:p>
    <w:p w14:paraId="4DBD5540" w14:textId="77777777" w:rsidR="00647FB9" w:rsidRDefault="00647FB9" w:rsidP="00647FB9">
      <w:pPr>
        <w:rPr>
          <w:rFonts w:ascii="Arial" w:eastAsia="Times New Roman" w:hAnsi="Arial" w:cs="Arial"/>
          <w:color w:val="000000"/>
          <w:sz w:val="22"/>
          <w:szCs w:val="22"/>
          <w:lang w:eastAsia="en-GB"/>
        </w:rPr>
      </w:pPr>
    </w:p>
    <w:p w14:paraId="0288B7FD" w14:textId="77777777" w:rsidR="00647FB9" w:rsidRDefault="00647FB9" w:rsidP="00647FB9">
      <w:pPr>
        <w:rPr>
          <w:rFonts w:ascii="Arial" w:eastAsia="Times New Roman" w:hAnsi="Arial" w:cs="Arial"/>
          <w:color w:val="000000"/>
          <w:sz w:val="22"/>
          <w:szCs w:val="22"/>
          <w:lang w:eastAsia="en-GB"/>
        </w:rPr>
      </w:pPr>
    </w:p>
    <w:p w14:paraId="76C08E4E" w14:textId="77777777" w:rsidR="00647FB9" w:rsidRDefault="00647FB9" w:rsidP="00647FB9">
      <w:pPr>
        <w:rPr>
          <w:rFonts w:ascii="Arial" w:eastAsia="Times New Roman" w:hAnsi="Arial" w:cs="Arial"/>
          <w:color w:val="000000"/>
          <w:sz w:val="22"/>
          <w:szCs w:val="22"/>
          <w:lang w:eastAsia="en-GB"/>
        </w:rPr>
      </w:pPr>
    </w:p>
    <w:p w14:paraId="765B8126" w14:textId="77777777" w:rsidR="00647FB9" w:rsidRDefault="00647FB9" w:rsidP="00647FB9">
      <w:pPr>
        <w:rPr>
          <w:rFonts w:ascii="Arial" w:eastAsia="Times New Roman" w:hAnsi="Arial" w:cs="Arial"/>
          <w:color w:val="000000"/>
          <w:sz w:val="22"/>
          <w:szCs w:val="22"/>
          <w:lang w:eastAsia="en-GB"/>
        </w:rPr>
      </w:pPr>
    </w:p>
    <w:p w14:paraId="45556493" w14:textId="54204DF5"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I feel like charity law has fallen out of step with what my peers and I care most about, and that my generation doesn’t have the same kinds of philanthropic organisations supporting us and our values as older generations do.</w:t>
      </w:r>
    </w:p>
    <w:p w14:paraId="78003DC8" w14:textId="77777777" w:rsidR="00647FB9" w:rsidRPr="00647FB9" w:rsidRDefault="00647FB9" w:rsidP="00647FB9">
      <w:pPr>
        <w:rPr>
          <w:rFonts w:ascii="Times New Roman" w:eastAsia="Times New Roman" w:hAnsi="Times New Roman" w:cs="Times New Roman"/>
          <w:lang w:eastAsia="en-GB"/>
        </w:rPr>
      </w:pPr>
    </w:p>
    <w:p w14:paraId="3C4F0E74"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To achieve goals like growing donations and increasing community engagement, charity laws should build incentive structures that foster organisations that work on the kinds of issues that younger generations of Australians care the most about. </w:t>
      </w:r>
    </w:p>
    <w:p w14:paraId="3FEA4817" w14:textId="77777777" w:rsidR="00647FB9" w:rsidRPr="00647FB9" w:rsidRDefault="00647FB9" w:rsidP="00647FB9">
      <w:pPr>
        <w:rPr>
          <w:rFonts w:ascii="Times New Roman" w:eastAsia="Times New Roman" w:hAnsi="Times New Roman" w:cs="Times New Roman"/>
          <w:lang w:eastAsia="en-GB"/>
        </w:rPr>
      </w:pPr>
    </w:p>
    <w:p w14:paraId="0D31F0D8"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I would like to raise with the Inquiry:</w:t>
      </w:r>
    </w:p>
    <w:p w14:paraId="4FF14A30" w14:textId="77777777" w:rsidR="00647FB9" w:rsidRPr="00647FB9" w:rsidRDefault="00647FB9" w:rsidP="00647FB9">
      <w:pPr>
        <w:rPr>
          <w:rFonts w:ascii="Times New Roman" w:eastAsia="Times New Roman" w:hAnsi="Times New Roman" w:cs="Times New Roman"/>
          <w:lang w:eastAsia="en-GB"/>
        </w:rPr>
      </w:pPr>
      <w:r w:rsidRPr="00647FB9">
        <w:rPr>
          <w:rFonts w:ascii="Times New Roman" w:eastAsia="Times New Roman" w:hAnsi="Times New Roman" w:cs="Times New Roman"/>
          <w:lang w:eastAsia="en-GB"/>
        </w:rPr>
        <w:br/>
      </w:r>
    </w:p>
    <w:p w14:paraId="76B7E45B" w14:textId="77777777" w:rsidR="00647FB9" w:rsidRPr="00647FB9" w:rsidRDefault="00647FB9" w:rsidP="00647FB9">
      <w:pPr>
        <w:numPr>
          <w:ilvl w:val="0"/>
          <w:numId w:val="1"/>
        </w:numPr>
        <w:textAlignment w:val="baseline"/>
        <w:rPr>
          <w:rFonts w:ascii="Arial" w:eastAsia="Times New Roman" w:hAnsi="Arial" w:cs="Arial"/>
          <w:color w:val="000000"/>
          <w:sz w:val="22"/>
          <w:szCs w:val="22"/>
          <w:lang w:eastAsia="en-GB"/>
        </w:rPr>
      </w:pPr>
      <w:r w:rsidRPr="00647FB9">
        <w:rPr>
          <w:rFonts w:ascii="Arial" w:eastAsia="Times New Roman" w:hAnsi="Arial" w:cs="Arial"/>
          <w:color w:val="000000"/>
          <w:sz w:val="22"/>
          <w:szCs w:val="22"/>
          <w:lang w:eastAsia="en-GB"/>
        </w:rPr>
        <w:t xml:space="preserve">The need to realign DGR status with the values of today’s Australians </w:t>
      </w:r>
      <w:r w:rsidRPr="00647FB9">
        <w:rPr>
          <w:rFonts w:ascii="Arial" w:eastAsia="Times New Roman" w:hAnsi="Arial" w:cs="Arial"/>
          <w:i/>
          <w:iCs/>
          <w:color w:val="000000"/>
          <w:sz w:val="22"/>
          <w:szCs w:val="22"/>
          <w:lang w:eastAsia="en-GB"/>
        </w:rPr>
        <w:t>(</w:t>
      </w:r>
      <w:proofErr w:type="gramStart"/>
      <w:r w:rsidRPr="00647FB9">
        <w:rPr>
          <w:rFonts w:ascii="Arial" w:eastAsia="Times New Roman" w:hAnsi="Arial" w:cs="Arial"/>
          <w:i/>
          <w:iCs/>
          <w:color w:val="000000"/>
          <w:sz w:val="22"/>
          <w:szCs w:val="22"/>
          <w:lang w:eastAsia="en-GB"/>
        </w:rPr>
        <w:t>2.ii</w:t>
      </w:r>
      <w:proofErr w:type="gramEnd"/>
      <w:r w:rsidRPr="00647FB9">
        <w:rPr>
          <w:rFonts w:ascii="Arial" w:eastAsia="Times New Roman" w:hAnsi="Arial" w:cs="Arial"/>
          <w:i/>
          <w:iCs/>
          <w:color w:val="000000"/>
          <w:sz w:val="22"/>
          <w:szCs w:val="22"/>
          <w:lang w:eastAsia="en-GB"/>
        </w:rPr>
        <w:t>, 3.ii, 5, 6)</w:t>
      </w:r>
    </w:p>
    <w:p w14:paraId="07C07DDC" w14:textId="77777777" w:rsidR="00647FB9" w:rsidRPr="00647FB9" w:rsidRDefault="00647FB9" w:rsidP="00647FB9">
      <w:pPr>
        <w:numPr>
          <w:ilvl w:val="0"/>
          <w:numId w:val="1"/>
        </w:numPr>
        <w:textAlignment w:val="baseline"/>
        <w:rPr>
          <w:rFonts w:ascii="Arial" w:eastAsia="Times New Roman" w:hAnsi="Arial" w:cs="Arial"/>
          <w:color w:val="000000"/>
          <w:sz w:val="22"/>
          <w:szCs w:val="22"/>
          <w:lang w:eastAsia="en-GB"/>
        </w:rPr>
      </w:pPr>
      <w:r w:rsidRPr="00647FB9">
        <w:rPr>
          <w:rFonts w:ascii="Arial" w:eastAsia="Times New Roman" w:hAnsi="Arial" w:cs="Arial"/>
          <w:color w:val="000000"/>
          <w:sz w:val="22"/>
          <w:szCs w:val="22"/>
          <w:lang w:eastAsia="en-GB"/>
        </w:rPr>
        <w:t>Allowing Public Benevolent Institutions to properly support their communities (2.iii, 3.i)</w:t>
      </w:r>
    </w:p>
    <w:p w14:paraId="7EA90BB4" w14:textId="77777777" w:rsidR="00647FB9" w:rsidRPr="00647FB9" w:rsidRDefault="00647FB9" w:rsidP="00647FB9">
      <w:pPr>
        <w:numPr>
          <w:ilvl w:val="0"/>
          <w:numId w:val="1"/>
        </w:numPr>
        <w:textAlignment w:val="baseline"/>
        <w:rPr>
          <w:rFonts w:ascii="Arial" w:eastAsia="Times New Roman" w:hAnsi="Arial" w:cs="Arial"/>
          <w:color w:val="000000"/>
          <w:sz w:val="22"/>
          <w:szCs w:val="22"/>
          <w:lang w:eastAsia="en-GB"/>
        </w:rPr>
      </w:pPr>
      <w:r w:rsidRPr="00647FB9">
        <w:rPr>
          <w:rFonts w:ascii="Arial" w:eastAsia="Times New Roman" w:hAnsi="Arial" w:cs="Arial"/>
          <w:color w:val="000000"/>
          <w:sz w:val="22"/>
          <w:szCs w:val="22"/>
          <w:lang w:eastAsia="en-GB"/>
        </w:rPr>
        <w:t>The maturity of international approaches to charity evaluation (3.ii, 6.iii)</w:t>
      </w:r>
    </w:p>
    <w:p w14:paraId="3632EDBB" w14:textId="77777777" w:rsidR="00647FB9" w:rsidRPr="00647FB9" w:rsidRDefault="00647FB9" w:rsidP="00647FB9">
      <w:pPr>
        <w:numPr>
          <w:ilvl w:val="0"/>
          <w:numId w:val="1"/>
        </w:numPr>
        <w:textAlignment w:val="baseline"/>
        <w:rPr>
          <w:rFonts w:ascii="Arial" w:eastAsia="Times New Roman" w:hAnsi="Arial" w:cs="Arial"/>
          <w:color w:val="000000"/>
          <w:sz w:val="22"/>
          <w:szCs w:val="22"/>
          <w:lang w:eastAsia="en-GB"/>
        </w:rPr>
      </w:pPr>
      <w:r w:rsidRPr="00647FB9">
        <w:rPr>
          <w:rFonts w:ascii="Arial" w:eastAsia="Times New Roman" w:hAnsi="Arial" w:cs="Arial"/>
          <w:color w:val="000000"/>
          <w:sz w:val="22"/>
          <w:szCs w:val="22"/>
          <w:lang w:eastAsia="en-GB"/>
        </w:rPr>
        <w:t>The way in which DGR-status charities shaping Government policy can make democracy work better for communities (3.i, 5, 6.iii)</w:t>
      </w:r>
    </w:p>
    <w:p w14:paraId="5AD6E3CB" w14:textId="77777777" w:rsidR="00647FB9" w:rsidRPr="00647FB9" w:rsidRDefault="00647FB9" w:rsidP="00647FB9">
      <w:pPr>
        <w:rPr>
          <w:rFonts w:ascii="Times New Roman" w:eastAsia="Times New Roman" w:hAnsi="Times New Roman" w:cs="Times New Roman"/>
          <w:lang w:eastAsia="en-GB"/>
        </w:rPr>
      </w:pPr>
    </w:p>
    <w:p w14:paraId="00EDB9D1"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 have donated to effective charities, and work to support local philanthropic and community groups. I’d like to do more of this over time. I think the changes I recommend in this submission would make it easier for me to be involved, </w:t>
      </w:r>
      <w:proofErr w:type="gramStart"/>
      <w:r w:rsidRPr="00647FB9">
        <w:rPr>
          <w:rFonts w:ascii="Arial" w:eastAsia="Times New Roman" w:hAnsi="Arial" w:cs="Arial"/>
          <w:color w:val="000000"/>
          <w:sz w:val="22"/>
          <w:szCs w:val="22"/>
          <w:lang w:eastAsia="en-GB"/>
        </w:rPr>
        <w:t>and also</w:t>
      </w:r>
      <w:proofErr w:type="gramEnd"/>
      <w:r w:rsidRPr="00647FB9">
        <w:rPr>
          <w:rFonts w:ascii="Arial" w:eastAsia="Times New Roman" w:hAnsi="Arial" w:cs="Arial"/>
          <w:color w:val="000000"/>
          <w:sz w:val="22"/>
          <w:szCs w:val="22"/>
          <w:lang w:eastAsia="en-GB"/>
        </w:rPr>
        <w:t xml:space="preserve"> help other Australians to donate more and participate more in their communities. The changes could almost dramatically increase the good we achieve through this work. </w:t>
      </w:r>
    </w:p>
    <w:p w14:paraId="3AFE3CF3" w14:textId="77777777" w:rsidR="00647FB9" w:rsidRPr="00647FB9" w:rsidRDefault="00647FB9" w:rsidP="00647FB9">
      <w:pPr>
        <w:rPr>
          <w:rFonts w:ascii="Times New Roman" w:eastAsia="Times New Roman" w:hAnsi="Times New Roman" w:cs="Times New Roman"/>
          <w:lang w:eastAsia="en-GB"/>
        </w:rPr>
      </w:pPr>
    </w:p>
    <w:p w14:paraId="6DF8E073"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As I see it, the most important issue is that DGR status needs to be broadened to include things that young people today care about – specifically reducing global catastrophic risks and supporting the well-being of animals. </w:t>
      </w:r>
    </w:p>
    <w:p w14:paraId="7FC78B0B" w14:textId="77777777" w:rsidR="00647FB9" w:rsidRPr="00647FB9" w:rsidRDefault="00647FB9" w:rsidP="00647FB9">
      <w:pPr>
        <w:rPr>
          <w:rFonts w:ascii="Times New Roman" w:eastAsia="Times New Roman" w:hAnsi="Times New Roman" w:cs="Times New Roman"/>
          <w:lang w:eastAsia="en-GB"/>
        </w:rPr>
      </w:pPr>
    </w:p>
    <w:p w14:paraId="252E1B29"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DGR status </w:t>
      </w:r>
      <w:proofErr w:type="spellStart"/>
      <w:r w:rsidRPr="00647FB9">
        <w:rPr>
          <w:rFonts w:ascii="Arial" w:eastAsia="Times New Roman" w:hAnsi="Arial" w:cs="Arial"/>
          <w:color w:val="000000"/>
          <w:sz w:val="22"/>
          <w:szCs w:val="22"/>
          <w:lang w:eastAsia="en-GB"/>
        </w:rPr>
        <w:t>the</w:t>
      </w:r>
      <w:proofErr w:type="spellEnd"/>
      <w:r w:rsidRPr="00647FB9">
        <w:rPr>
          <w:rFonts w:ascii="Arial" w:eastAsia="Times New Roman" w:hAnsi="Arial" w:cs="Arial"/>
          <w:color w:val="000000"/>
          <w:sz w:val="22"/>
          <w:szCs w:val="22"/>
          <w:lang w:eastAsia="en-GB"/>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DGR regulation hasn’t kept up.</w:t>
      </w:r>
    </w:p>
    <w:p w14:paraId="74D4B89A" w14:textId="77777777" w:rsidR="00647FB9" w:rsidRPr="00647FB9" w:rsidRDefault="00647FB9" w:rsidP="00647FB9">
      <w:pPr>
        <w:rPr>
          <w:rFonts w:ascii="Times New Roman" w:eastAsia="Times New Roman" w:hAnsi="Times New Roman" w:cs="Times New Roman"/>
          <w:lang w:eastAsia="en-GB"/>
        </w:rPr>
      </w:pPr>
    </w:p>
    <w:p w14:paraId="1FBADB71"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In the same way, my peers and I care deeply about the welfare of animals. While the animal charities I support can be “charities” under the </w:t>
      </w:r>
      <w:r w:rsidRPr="00647FB9">
        <w:rPr>
          <w:rFonts w:ascii="Arial" w:eastAsia="Times New Roman" w:hAnsi="Arial" w:cs="Arial"/>
          <w:i/>
          <w:iCs/>
          <w:color w:val="000000"/>
          <w:sz w:val="22"/>
          <w:szCs w:val="22"/>
          <w:lang w:eastAsia="en-GB"/>
        </w:rPr>
        <w:t>Charities Act</w:t>
      </w:r>
      <w:r w:rsidRPr="00647FB9">
        <w:rPr>
          <w:rFonts w:ascii="Arial" w:eastAsia="Times New Roman" w:hAnsi="Arial" w:cs="Arial"/>
          <w:color w:val="000000"/>
          <w:sz w:val="22"/>
          <w:szCs w:val="22"/>
          <w:lang w:eastAsia="en-GB"/>
        </w:rPr>
        <w:t xml:space="preserve">, they can’t get DGR status under the </w:t>
      </w:r>
      <w:r w:rsidRPr="00647FB9">
        <w:rPr>
          <w:rFonts w:ascii="Arial" w:eastAsia="Times New Roman" w:hAnsi="Arial" w:cs="Arial"/>
          <w:i/>
          <w:iCs/>
          <w:color w:val="000000"/>
          <w:sz w:val="22"/>
          <w:szCs w:val="22"/>
          <w:lang w:eastAsia="en-GB"/>
        </w:rPr>
        <w:t>Tax Act</w:t>
      </w:r>
      <w:r w:rsidRPr="00647FB9">
        <w:rPr>
          <w:rFonts w:ascii="Arial" w:eastAsia="Times New Roman" w:hAnsi="Arial" w:cs="Arial"/>
          <w:color w:val="000000"/>
          <w:sz w:val="22"/>
          <w:szCs w:val="22"/>
          <w:lang w:eastAsia="en-GB"/>
        </w:rPr>
        <w: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Everyone knows prevention is better than cure, so why should the law incentivise treatment over prevention? </w:t>
      </w:r>
    </w:p>
    <w:p w14:paraId="5E813C51" w14:textId="77777777" w:rsidR="00647FB9" w:rsidRPr="00647FB9" w:rsidRDefault="00647FB9" w:rsidP="00647FB9">
      <w:pPr>
        <w:rPr>
          <w:rFonts w:ascii="Times New Roman" w:eastAsia="Times New Roman" w:hAnsi="Times New Roman" w:cs="Times New Roman"/>
          <w:lang w:eastAsia="en-GB"/>
        </w:rPr>
      </w:pPr>
    </w:p>
    <w:p w14:paraId="1EF3C718"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 really think the exclusion of these two cause areas from DGR status hurts our ability to do good. These causes are recognised by sophisticated charity evaluators as being high-impact </w:t>
      </w:r>
      <w:r w:rsidRPr="00647FB9">
        <w:rPr>
          <w:rFonts w:ascii="Arial" w:eastAsia="Times New Roman" w:hAnsi="Arial" w:cs="Arial"/>
          <w:color w:val="000000"/>
          <w:sz w:val="22"/>
          <w:szCs w:val="22"/>
          <w:lang w:eastAsia="en-GB"/>
        </w:rPr>
        <w:lastRenderedPageBreak/>
        <w:t xml:space="preserve">and allowed to accept tax-deductible donations </w:t>
      </w:r>
      <w:proofErr w:type="gramStart"/>
      <w:r w:rsidRPr="00647FB9">
        <w:rPr>
          <w:rFonts w:ascii="Arial" w:eastAsia="Times New Roman" w:hAnsi="Arial" w:cs="Arial"/>
          <w:color w:val="000000"/>
          <w:sz w:val="22"/>
          <w:szCs w:val="22"/>
          <w:lang w:eastAsia="en-GB"/>
        </w:rPr>
        <w:t>internationally, but</w:t>
      </w:r>
      <w:proofErr w:type="gramEnd"/>
      <w:r w:rsidRPr="00647FB9">
        <w:rPr>
          <w:rFonts w:ascii="Arial" w:eastAsia="Times New Roman" w:hAnsi="Arial" w:cs="Arial"/>
          <w:color w:val="000000"/>
          <w:sz w:val="22"/>
          <w:szCs w:val="22"/>
          <w:lang w:eastAsia="en-GB"/>
        </w:rPr>
        <w:t xml:space="preserve"> excluded here in Australia. If Government wants to increase donations to charities and increase the ability of charities to build social connections, it needs to give DGR status to these high-impact cause areas that today's Australians are so passionate about. </w:t>
      </w:r>
    </w:p>
    <w:p w14:paraId="0929AB21" w14:textId="77777777" w:rsidR="00647FB9" w:rsidRPr="00647FB9" w:rsidRDefault="00647FB9" w:rsidP="00647FB9">
      <w:pPr>
        <w:rPr>
          <w:rFonts w:ascii="Times New Roman" w:eastAsia="Times New Roman" w:hAnsi="Times New Roman" w:cs="Times New Roman"/>
          <w:lang w:eastAsia="en-GB"/>
        </w:rPr>
      </w:pPr>
    </w:p>
    <w:p w14:paraId="7AF29829"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The way Public Benevolent Institutions are regulated is outdated and should be absorbed into the</w:t>
      </w:r>
      <w:r w:rsidRPr="00647FB9">
        <w:rPr>
          <w:rFonts w:ascii="Arial" w:eastAsia="Times New Roman" w:hAnsi="Arial" w:cs="Arial"/>
          <w:i/>
          <w:iCs/>
          <w:color w:val="000000"/>
          <w:sz w:val="22"/>
          <w:szCs w:val="22"/>
          <w:lang w:eastAsia="en-GB"/>
        </w:rPr>
        <w:t xml:space="preserve"> Charities Act</w:t>
      </w:r>
      <w:r w:rsidRPr="00647FB9">
        <w:rPr>
          <w:rFonts w:ascii="Arial" w:eastAsia="Times New Roman" w:hAnsi="Arial" w:cs="Arial"/>
          <w:color w:val="000000"/>
          <w:sz w:val="22"/>
          <w:szCs w:val="22"/>
          <w:lang w:eastAsia="en-GB"/>
        </w:rPr>
        <w:t>. The Law Council of Australia and the ACNC are regularly debating the meaning of the cases from the 1930s and 1940s that define how PBIs can operate. This is not helpful for organisations, communities, or their ability to do charity in an impactful way. The legal conversation has lost track of the policy intent. </w:t>
      </w:r>
    </w:p>
    <w:p w14:paraId="47C44B57" w14:textId="77777777" w:rsidR="00647FB9" w:rsidRPr="00647FB9" w:rsidRDefault="00647FB9" w:rsidP="00647FB9">
      <w:pPr>
        <w:rPr>
          <w:rFonts w:ascii="Times New Roman" w:eastAsia="Times New Roman" w:hAnsi="Times New Roman" w:cs="Times New Roman"/>
          <w:lang w:eastAsia="en-GB"/>
        </w:rPr>
      </w:pPr>
    </w:p>
    <w:p w14:paraId="508B188E"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An obvious example of this lack of focus on outcomes is the dispute over the meaning of “dominant purpose”. Without re-stating legal arguments, the ACNC seems to think that a charity that is a PBI </w:t>
      </w:r>
      <w:proofErr w:type="gramStart"/>
      <w:r w:rsidRPr="00647FB9">
        <w:rPr>
          <w:rFonts w:ascii="Arial" w:eastAsia="Times New Roman" w:hAnsi="Arial" w:cs="Arial"/>
          <w:color w:val="000000"/>
          <w:sz w:val="22"/>
          <w:szCs w:val="22"/>
          <w:lang w:eastAsia="en-GB"/>
        </w:rPr>
        <w:t>has to</w:t>
      </w:r>
      <w:proofErr w:type="gramEnd"/>
      <w:r w:rsidRPr="00647FB9">
        <w:rPr>
          <w:rFonts w:ascii="Arial" w:eastAsia="Times New Roman" w:hAnsi="Arial" w:cs="Arial"/>
          <w:color w:val="000000"/>
          <w:sz w:val="22"/>
          <w:szCs w:val="22"/>
          <w:lang w:eastAsia="en-GB"/>
        </w:rPr>
        <w:t xml:space="preserve"> have its PBI-purpose as its “overriding” purpose, and therefore it can’t also have other purposes from the</w:t>
      </w:r>
      <w:r w:rsidRPr="00647FB9">
        <w:rPr>
          <w:rFonts w:ascii="Arial" w:eastAsia="Times New Roman" w:hAnsi="Arial" w:cs="Arial"/>
          <w:i/>
          <w:iCs/>
          <w:color w:val="000000"/>
          <w:sz w:val="22"/>
          <w:szCs w:val="22"/>
          <w:lang w:eastAsia="en-GB"/>
        </w:rPr>
        <w:t xml:space="preserve"> Charities Act</w:t>
      </w:r>
      <w:r w:rsidRPr="00647FB9">
        <w:rPr>
          <w:rFonts w:ascii="Arial" w:eastAsia="Times New Roman" w:hAnsi="Arial" w:cs="Arial"/>
          <w:color w:val="000000"/>
          <w:sz w:val="22"/>
          <w:szCs w:val="22"/>
          <w:lang w:eastAsia="en-GB"/>
        </w:rPr>
        <w:t xml:space="preserve">. The Law Council thinks this reading is a misunderstanding of the meaning of “dominant purpose” and that having a purpose from the </w:t>
      </w:r>
      <w:r w:rsidRPr="00647FB9">
        <w:rPr>
          <w:rFonts w:ascii="Arial" w:eastAsia="Times New Roman" w:hAnsi="Arial" w:cs="Arial"/>
          <w:i/>
          <w:iCs/>
          <w:color w:val="000000"/>
          <w:sz w:val="22"/>
          <w:szCs w:val="22"/>
          <w:lang w:eastAsia="en-GB"/>
        </w:rPr>
        <w:t>Charities Act</w:t>
      </w:r>
      <w:r w:rsidRPr="00647FB9">
        <w:rPr>
          <w:rFonts w:ascii="Arial" w:eastAsia="Times New Roman" w:hAnsi="Arial" w:cs="Arial"/>
          <w:color w:val="000000"/>
          <w:sz w:val="22"/>
          <w:szCs w:val="22"/>
          <w:lang w:eastAsia="en-GB"/>
        </w:rPr>
        <w:t xml:space="preserve"> shouldn’t disqualify a PBI.</w:t>
      </w:r>
    </w:p>
    <w:p w14:paraId="0339D229" w14:textId="77777777" w:rsidR="00647FB9" w:rsidRPr="00647FB9" w:rsidRDefault="00647FB9" w:rsidP="00647FB9">
      <w:pPr>
        <w:rPr>
          <w:rFonts w:ascii="Times New Roman" w:eastAsia="Times New Roman" w:hAnsi="Times New Roman" w:cs="Times New Roman"/>
          <w:lang w:eastAsia="en-GB"/>
        </w:rPr>
      </w:pPr>
    </w:p>
    <w:p w14:paraId="5C4028D0"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246A9D11" w14:textId="77777777" w:rsidR="00647FB9" w:rsidRPr="00647FB9" w:rsidRDefault="00647FB9" w:rsidP="00647FB9">
      <w:pPr>
        <w:rPr>
          <w:rFonts w:ascii="Times New Roman" w:eastAsia="Times New Roman" w:hAnsi="Times New Roman" w:cs="Times New Roman"/>
          <w:lang w:eastAsia="en-GB"/>
        </w:rPr>
      </w:pPr>
    </w:p>
    <w:p w14:paraId="29185611"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In the case of “dominant purpose”, it’s clear that Government policy has no concern with a charity pursuing multiple purposes. This is clear because the </w:t>
      </w:r>
      <w:r w:rsidRPr="00647FB9">
        <w:rPr>
          <w:rFonts w:ascii="Arial" w:eastAsia="Times New Roman" w:hAnsi="Arial" w:cs="Arial"/>
          <w:i/>
          <w:iCs/>
          <w:color w:val="000000"/>
          <w:sz w:val="22"/>
          <w:szCs w:val="22"/>
          <w:lang w:eastAsia="en-GB"/>
        </w:rPr>
        <w:t>Charities Act</w:t>
      </w:r>
      <w:r w:rsidRPr="00647FB9">
        <w:rPr>
          <w:rFonts w:ascii="Arial" w:eastAsia="Times New Roman" w:hAnsi="Arial" w:cs="Arial"/>
          <w:color w:val="000000"/>
          <w:sz w:val="22"/>
          <w:szCs w:val="22"/>
          <w:lang w:eastAsia="en-GB"/>
        </w:rPr>
        <w:t xml:space="preserve">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PBIs can engage in fundraising, do impactful work, and support their communities.</w:t>
      </w:r>
    </w:p>
    <w:p w14:paraId="25AA8931" w14:textId="77777777" w:rsidR="00647FB9" w:rsidRPr="00647FB9" w:rsidRDefault="00647FB9" w:rsidP="00647FB9">
      <w:pPr>
        <w:rPr>
          <w:rFonts w:ascii="Times New Roman" w:eastAsia="Times New Roman" w:hAnsi="Times New Roman" w:cs="Times New Roman"/>
          <w:lang w:eastAsia="en-GB"/>
        </w:rPr>
      </w:pPr>
    </w:p>
    <w:p w14:paraId="1A5DED6D"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“Dominant purpose” is just one example of common law that is no longer helpful. There is also confusion around other phrases like “direct relief”.</w:t>
      </w:r>
    </w:p>
    <w:p w14:paraId="7B9EFE5F" w14:textId="206A3329" w:rsidR="00D97246" w:rsidRDefault="00647FB9" w:rsidP="00647FB9">
      <w:pPr>
        <w:rPr>
          <w:rFonts w:ascii="Arial" w:eastAsia="Times New Roman" w:hAnsi="Arial" w:cs="Arial"/>
          <w:color w:val="000000"/>
          <w:sz w:val="22"/>
          <w:szCs w:val="22"/>
          <w:lang w:eastAsia="en-GB"/>
        </w:rPr>
      </w:pPr>
      <w:r w:rsidRPr="00647FB9">
        <w:rPr>
          <w:rFonts w:ascii="Times New Roman" w:eastAsia="Times New Roman" w:hAnsi="Times New Roman" w:cs="Times New Roman"/>
          <w:lang w:eastAsia="en-GB"/>
        </w:rPr>
        <w:br/>
      </w:r>
      <w:r w:rsidRPr="00647FB9">
        <w:rPr>
          <w:rFonts w:ascii="Arial" w:eastAsia="Times New Roman" w:hAnsi="Arial" w:cs="Arial"/>
          <w:color w:val="000000"/>
          <w:sz w:val="22"/>
          <w:szCs w:val="22"/>
          <w:lang w:eastAsia="en-GB"/>
        </w:rPr>
        <w:t xml:space="preserve">The Productivity Commission should recommend amendments to the </w:t>
      </w:r>
      <w:r w:rsidRPr="00647FB9">
        <w:rPr>
          <w:rFonts w:ascii="Arial" w:eastAsia="Times New Roman" w:hAnsi="Arial" w:cs="Arial"/>
          <w:i/>
          <w:iCs/>
          <w:color w:val="000000"/>
          <w:sz w:val="22"/>
          <w:szCs w:val="22"/>
          <w:lang w:eastAsia="en-GB"/>
        </w:rPr>
        <w:t>Charities Act</w:t>
      </w:r>
      <w:r w:rsidRPr="00647FB9">
        <w:rPr>
          <w:rFonts w:ascii="Arial" w:eastAsia="Times New Roman" w:hAnsi="Arial" w:cs="Arial"/>
          <w:color w:val="000000"/>
          <w:sz w:val="22"/>
          <w:szCs w:val="22"/>
          <w:lang w:eastAsia="en-GB"/>
        </w:rPr>
        <w:t xml:space="preserve"> to override the common law and create a new charity type that is not mutually exclusive with other charity types. The precise details can be resolved by ACNC-led consultation and Government decision.</w:t>
      </w:r>
    </w:p>
    <w:p w14:paraId="35E1E448" w14:textId="77777777" w:rsidR="00647FB9" w:rsidRDefault="00647FB9" w:rsidP="00647FB9">
      <w:pPr>
        <w:rPr>
          <w:rFonts w:ascii="Arial" w:eastAsia="Times New Roman" w:hAnsi="Arial" w:cs="Arial"/>
          <w:color w:val="000000"/>
          <w:sz w:val="22"/>
          <w:szCs w:val="22"/>
          <w:lang w:eastAsia="en-GB"/>
        </w:rPr>
      </w:pPr>
    </w:p>
    <w:p w14:paraId="20869308" w14:textId="77777777" w:rsidR="00647FB9" w:rsidRDefault="00647FB9" w:rsidP="00647FB9">
      <w:pPr>
        <w:rPr>
          <w:rFonts w:ascii="Arial" w:eastAsia="Times New Roman" w:hAnsi="Arial" w:cs="Arial"/>
          <w:color w:val="000000"/>
          <w:sz w:val="22"/>
          <w:szCs w:val="22"/>
          <w:lang w:eastAsia="en-GB"/>
        </w:rPr>
      </w:pPr>
    </w:p>
    <w:p w14:paraId="2FE93855"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There’s a right balance between money spent on marketing and fundraising, operations, and charitable interventions themselves. I want to donate to charities that get that balance right. But currently, I have almost no information about the impact that most Australian charities achieve. Absent that information, it’s difficult to know how best to direct my donations. </w:t>
      </w:r>
    </w:p>
    <w:p w14:paraId="2122DFBC" w14:textId="77777777" w:rsidR="00647FB9" w:rsidRPr="00647FB9" w:rsidRDefault="00647FB9" w:rsidP="00647FB9">
      <w:pPr>
        <w:rPr>
          <w:rFonts w:ascii="Times New Roman" w:eastAsia="Times New Roman" w:hAnsi="Times New Roman" w:cs="Times New Roman"/>
          <w:lang w:eastAsia="en-GB"/>
        </w:rPr>
      </w:pPr>
    </w:p>
    <w:p w14:paraId="51EDF461"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 worry that some well-known charities spend large proportions of their donations on building their </w:t>
      </w:r>
      <w:proofErr w:type="gramStart"/>
      <w:r w:rsidRPr="00647FB9">
        <w:rPr>
          <w:rFonts w:ascii="Arial" w:eastAsia="Times New Roman" w:hAnsi="Arial" w:cs="Arial"/>
          <w:color w:val="000000"/>
          <w:sz w:val="22"/>
          <w:szCs w:val="22"/>
          <w:lang w:eastAsia="en-GB"/>
        </w:rPr>
        <w:t>brand, but</w:t>
      </w:r>
      <w:proofErr w:type="gramEnd"/>
      <w:r w:rsidRPr="00647FB9">
        <w:rPr>
          <w:rFonts w:ascii="Arial" w:eastAsia="Times New Roman" w:hAnsi="Arial" w:cs="Arial"/>
          <w:color w:val="000000"/>
          <w:sz w:val="22"/>
          <w:szCs w:val="22"/>
          <w:lang w:eastAsia="en-GB"/>
        </w:rPr>
        <w:t xml:space="preserve"> may ultimately be having little positive impact on the issues that they purport to care about. When I buy a service for </w:t>
      </w:r>
      <w:proofErr w:type="gramStart"/>
      <w:r w:rsidRPr="00647FB9">
        <w:rPr>
          <w:rFonts w:ascii="Arial" w:eastAsia="Times New Roman" w:hAnsi="Arial" w:cs="Arial"/>
          <w:color w:val="000000"/>
          <w:sz w:val="22"/>
          <w:szCs w:val="22"/>
          <w:lang w:eastAsia="en-GB"/>
        </w:rPr>
        <w:t>myself</w:t>
      </w:r>
      <w:proofErr w:type="gramEnd"/>
      <w:r w:rsidRPr="00647FB9">
        <w:rPr>
          <w:rFonts w:ascii="Arial" w:eastAsia="Times New Roman" w:hAnsi="Arial" w:cs="Arial"/>
          <w:color w:val="000000"/>
          <w:sz w:val="22"/>
          <w:szCs w:val="22"/>
          <w:lang w:eastAsia="en-GB"/>
        </w:rPr>
        <w:t xml:space="preserve"> I can judge if it’s good. But if I buy a service for someone in need, I don’t get any feedback. </w:t>
      </w:r>
    </w:p>
    <w:p w14:paraId="30C51936" w14:textId="77777777" w:rsidR="00647FB9" w:rsidRPr="00647FB9" w:rsidRDefault="00647FB9" w:rsidP="00647FB9">
      <w:pPr>
        <w:rPr>
          <w:rFonts w:ascii="Times New Roman" w:eastAsia="Times New Roman" w:hAnsi="Times New Roman" w:cs="Times New Roman"/>
          <w:lang w:eastAsia="en-GB"/>
        </w:rPr>
      </w:pPr>
    </w:p>
    <w:p w14:paraId="1464FCA5"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A robust charity evaluation system would allow donors to sort the “wheat from the chaff” and make donations to organisations having a significant positive impact on the world. It would also decrease cynicism around charity more generally and lead to a higher overall degree of trust and support for charity in the community.</w:t>
      </w:r>
    </w:p>
    <w:p w14:paraId="013CF91F" w14:textId="77777777" w:rsidR="00647FB9" w:rsidRPr="00647FB9" w:rsidRDefault="00647FB9" w:rsidP="00647FB9">
      <w:pPr>
        <w:rPr>
          <w:rFonts w:ascii="Times New Roman" w:eastAsia="Times New Roman" w:hAnsi="Times New Roman" w:cs="Times New Roman"/>
          <w:lang w:eastAsia="en-GB"/>
        </w:rPr>
      </w:pPr>
    </w:p>
    <w:p w14:paraId="1B2DD010"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Talking to my friends and family, they’re often excited to learn about organisations like </w:t>
      </w:r>
      <w:proofErr w:type="spellStart"/>
      <w:r w:rsidRPr="00647FB9">
        <w:rPr>
          <w:rFonts w:ascii="Arial" w:eastAsia="Times New Roman" w:hAnsi="Arial" w:cs="Arial"/>
          <w:color w:val="000000"/>
          <w:sz w:val="22"/>
          <w:szCs w:val="22"/>
          <w:lang w:eastAsia="en-GB"/>
        </w:rPr>
        <w:t>GiveWell</w:t>
      </w:r>
      <w:proofErr w:type="spellEnd"/>
      <w:r w:rsidRPr="00647FB9">
        <w:rPr>
          <w:rFonts w:ascii="Arial" w:eastAsia="Times New Roman" w:hAnsi="Arial" w:cs="Arial"/>
          <w:color w:val="000000"/>
          <w:sz w:val="22"/>
          <w:szCs w:val="22"/>
          <w:lang w:eastAsia="en-GB"/>
        </w:rPr>
        <w:t>, Animals Charity Evaluators, Giving Green, and Founders Pledge because of the robust, evidence-based assessments that they make of the actual impact of charities and their initiatives. The problem is that many people haven’t heard of these evaluators, and they haven’t evaluated many Australian charities.</w:t>
      </w:r>
    </w:p>
    <w:p w14:paraId="4793B953" w14:textId="77777777" w:rsidR="00647FB9" w:rsidRPr="00647FB9" w:rsidRDefault="00647FB9" w:rsidP="00647FB9">
      <w:pPr>
        <w:rPr>
          <w:rFonts w:ascii="Times New Roman" w:eastAsia="Times New Roman" w:hAnsi="Times New Roman" w:cs="Times New Roman"/>
          <w:lang w:eastAsia="en-GB"/>
        </w:rPr>
      </w:pPr>
    </w:p>
    <w:p w14:paraId="09397D62"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I think an Australian Government funded or endorsed charity evaluator could transform philanthropy in Australia.</w:t>
      </w:r>
    </w:p>
    <w:p w14:paraId="7D8BDAAF" w14:textId="77777777" w:rsidR="00647FB9" w:rsidRPr="00647FB9" w:rsidRDefault="00647FB9" w:rsidP="00647FB9">
      <w:pPr>
        <w:rPr>
          <w:rFonts w:ascii="Times New Roman" w:eastAsia="Times New Roman" w:hAnsi="Times New Roman" w:cs="Times New Roman"/>
          <w:lang w:eastAsia="en-GB"/>
        </w:rPr>
      </w:pPr>
    </w:p>
    <w:p w14:paraId="795173B7"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I understand that there might be some practical concerns with charity evaluation of this kind. A few specific observations could alleviate most of those concerns. Specifically:</w:t>
      </w:r>
    </w:p>
    <w:p w14:paraId="44D13555" w14:textId="77777777" w:rsidR="00647FB9" w:rsidRPr="00647FB9" w:rsidRDefault="00647FB9" w:rsidP="00647FB9">
      <w:pPr>
        <w:rPr>
          <w:rFonts w:ascii="Times New Roman" w:eastAsia="Times New Roman" w:hAnsi="Times New Roman" w:cs="Times New Roman"/>
          <w:lang w:eastAsia="en-GB"/>
        </w:rPr>
      </w:pPr>
      <w:r w:rsidRPr="00647FB9">
        <w:rPr>
          <w:rFonts w:ascii="Times New Roman" w:eastAsia="Times New Roman" w:hAnsi="Times New Roman" w:cs="Times New Roman"/>
          <w:lang w:eastAsia="en-GB"/>
        </w:rPr>
        <w:br/>
      </w:r>
    </w:p>
    <w:p w14:paraId="28F7CF7A" w14:textId="77777777" w:rsidR="00647FB9" w:rsidRPr="00647FB9" w:rsidRDefault="00647FB9" w:rsidP="00647FB9">
      <w:pPr>
        <w:numPr>
          <w:ilvl w:val="0"/>
          <w:numId w:val="2"/>
        </w:numPr>
        <w:textAlignment w:val="baseline"/>
        <w:rPr>
          <w:rFonts w:ascii="Arial" w:eastAsia="Times New Roman" w:hAnsi="Arial" w:cs="Arial"/>
          <w:color w:val="000000"/>
          <w:sz w:val="22"/>
          <w:szCs w:val="22"/>
          <w:lang w:eastAsia="en-GB"/>
        </w:rPr>
      </w:pPr>
      <w:r w:rsidRPr="00647FB9">
        <w:rPr>
          <w:rFonts w:ascii="Arial" w:eastAsia="Times New Roman" w:hAnsi="Arial" w:cs="Arial"/>
          <w:b/>
          <w:bCs/>
          <w:color w:val="000000"/>
          <w:sz w:val="22"/>
          <w:szCs w:val="22"/>
          <w:lang w:eastAsia="en-GB"/>
        </w:rPr>
        <w:t xml:space="preserve">Practicality. </w:t>
      </w:r>
      <w:r w:rsidRPr="00647FB9">
        <w:rPr>
          <w:rFonts w:ascii="Arial" w:eastAsia="Times New Roman" w:hAnsi="Arial" w:cs="Arial"/>
          <w:color w:val="000000"/>
          <w:sz w:val="22"/>
          <w:szCs w:val="22"/>
          <w:lang w:eastAsia="en-GB"/>
        </w:rPr>
        <w:t>While a decade ago the practicality of charity evaluation may have been in question, a range of charity evaluators are now operating and have developed mature models to conduct evaluation. The Australian Government now has several practical options to implement charity evaluation, including building off existing expertise in the field or contracting with a proven company.</w:t>
      </w:r>
      <w:r w:rsidRPr="00647FB9">
        <w:rPr>
          <w:rFonts w:ascii="Arial" w:eastAsia="Times New Roman" w:hAnsi="Arial" w:cs="Arial"/>
          <w:color w:val="000000"/>
          <w:sz w:val="22"/>
          <w:szCs w:val="22"/>
          <w:lang w:eastAsia="en-GB"/>
        </w:rPr>
        <w:br/>
        <w:t> </w:t>
      </w:r>
    </w:p>
    <w:p w14:paraId="45DF4DBE" w14:textId="77777777" w:rsidR="00647FB9" w:rsidRPr="00647FB9" w:rsidRDefault="00647FB9" w:rsidP="00647FB9">
      <w:pPr>
        <w:numPr>
          <w:ilvl w:val="0"/>
          <w:numId w:val="2"/>
        </w:numPr>
        <w:textAlignment w:val="baseline"/>
        <w:rPr>
          <w:rFonts w:ascii="Arial" w:eastAsia="Times New Roman" w:hAnsi="Arial" w:cs="Arial"/>
          <w:color w:val="000000"/>
          <w:sz w:val="22"/>
          <w:szCs w:val="22"/>
          <w:lang w:eastAsia="en-GB"/>
        </w:rPr>
      </w:pPr>
      <w:r w:rsidRPr="00647FB9">
        <w:rPr>
          <w:rFonts w:ascii="Arial" w:eastAsia="Times New Roman" w:hAnsi="Arial" w:cs="Arial"/>
          <w:b/>
          <w:bCs/>
          <w:color w:val="000000"/>
          <w:sz w:val="22"/>
          <w:szCs w:val="22"/>
          <w:lang w:eastAsia="en-GB"/>
        </w:rPr>
        <w:t xml:space="preserve">Resourcing requirements. </w:t>
      </w:r>
      <w:r w:rsidRPr="00647FB9">
        <w:rPr>
          <w:rFonts w:ascii="Arial" w:eastAsia="Times New Roman" w:hAnsi="Arial" w:cs="Arial"/>
          <w:color w:val="000000"/>
          <w:sz w:val="22"/>
          <w:szCs w:val="22"/>
          <w:lang w:eastAsia="en-GB"/>
        </w:rPr>
        <w:t xml:space="preserve">Based on public materials, and converted to Australian dollars, Charity Navigator's budget is in the order of $6m per year and </w:t>
      </w:r>
      <w:proofErr w:type="spellStart"/>
      <w:r w:rsidRPr="00647FB9">
        <w:rPr>
          <w:rFonts w:ascii="Arial" w:eastAsia="Times New Roman" w:hAnsi="Arial" w:cs="Arial"/>
          <w:color w:val="000000"/>
          <w:sz w:val="22"/>
          <w:szCs w:val="22"/>
          <w:lang w:eastAsia="en-GB"/>
        </w:rPr>
        <w:t>GiveWell’s</w:t>
      </w:r>
      <w:proofErr w:type="spellEnd"/>
      <w:r w:rsidRPr="00647FB9">
        <w:rPr>
          <w:rFonts w:ascii="Arial" w:eastAsia="Times New Roman" w:hAnsi="Arial" w:cs="Arial"/>
          <w:color w:val="000000"/>
          <w:sz w:val="22"/>
          <w:szCs w:val="22"/>
          <w:lang w:eastAsia="en-GB"/>
        </w:rPr>
        <w:t xml:space="preserve"> is in the order of $15m per year. ACNC reports that donations to Australian charities increased to $12.7b dollars in 2022, and Government aspires to double giving. On that basis, Australia could have a well-resourced charity evaluator for </w:t>
      </w:r>
      <w:proofErr w:type="gramStart"/>
      <w:r w:rsidRPr="00647FB9">
        <w:rPr>
          <w:rFonts w:ascii="Arial" w:eastAsia="Times New Roman" w:hAnsi="Arial" w:cs="Arial"/>
          <w:color w:val="000000"/>
          <w:sz w:val="22"/>
          <w:szCs w:val="22"/>
          <w:lang w:eastAsia="en-GB"/>
        </w:rPr>
        <w:t>roughly  0.1</w:t>
      </w:r>
      <w:proofErr w:type="gramEnd"/>
      <w:r w:rsidRPr="00647FB9">
        <w:rPr>
          <w:rFonts w:ascii="Arial" w:eastAsia="Times New Roman" w:hAnsi="Arial" w:cs="Arial"/>
          <w:color w:val="000000"/>
          <w:sz w:val="22"/>
          <w:szCs w:val="22"/>
          <w:lang w:eastAsia="en-GB"/>
        </w:rPr>
        <w:t xml:space="preserve">% of the value of the sector. Given overseas charity evaluators </w:t>
      </w:r>
      <w:proofErr w:type="gramStart"/>
      <w:r w:rsidRPr="00647FB9">
        <w:rPr>
          <w:rFonts w:ascii="Arial" w:eastAsia="Times New Roman" w:hAnsi="Arial" w:cs="Arial"/>
          <w:color w:val="000000"/>
          <w:sz w:val="22"/>
          <w:szCs w:val="22"/>
          <w:lang w:eastAsia="en-GB"/>
        </w:rPr>
        <w:t>have the ability to</w:t>
      </w:r>
      <w:proofErr w:type="gramEnd"/>
      <w:r w:rsidRPr="00647FB9">
        <w:rPr>
          <w:rFonts w:ascii="Arial" w:eastAsia="Times New Roman" w:hAnsi="Arial" w:cs="Arial"/>
          <w:color w:val="000000"/>
          <w:sz w:val="22"/>
          <w:szCs w:val="22"/>
          <w:lang w:eastAsia="en-GB"/>
        </w:rPr>
        <w:t xml:space="preserve"> make their users’ donations orders of magnitude more impactful, this is a bargain. </w:t>
      </w:r>
      <w:r w:rsidRPr="00647FB9">
        <w:rPr>
          <w:rFonts w:ascii="Arial" w:eastAsia="Times New Roman" w:hAnsi="Arial" w:cs="Arial"/>
          <w:color w:val="000000"/>
          <w:sz w:val="22"/>
          <w:szCs w:val="22"/>
          <w:lang w:eastAsia="en-GB"/>
        </w:rPr>
        <w:br/>
        <w:t> </w:t>
      </w:r>
    </w:p>
    <w:p w14:paraId="22B6445F" w14:textId="77777777" w:rsidR="00647FB9" w:rsidRPr="00647FB9" w:rsidRDefault="00647FB9" w:rsidP="00647FB9">
      <w:pPr>
        <w:numPr>
          <w:ilvl w:val="0"/>
          <w:numId w:val="2"/>
        </w:numPr>
        <w:textAlignment w:val="baseline"/>
        <w:rPr>
          <w:rFonts w:ascii="Arial" w:eastAsia="Times New Roman" w:hAnsi="Arial" w:cs="Arial"/>
          <w:color w:val="000000"/>
          <w:sz w:val="22"/>
          <w:szCs w:val="22"/>
          <w:lang w:eastAsia="en-GB"/>
        </w:rPr>
      </w:pPr>
      <w:r w:rsidRPr="00647FB9">
        <w:rPr>
          <w:rFonts w:ascii="Arial" w:eastAsia="Times New Roman" w:hAnsi="Arial" w:cs="Arial"/>
          <w:b/>
          <w:bCs/>
          <w:color w:val="000000"/>
          <w:sz w:val="22"/>
          <w:szCs w:val="22"/>
          <w:lang w:eastAsia="en-GB"/>
        </w:rPr>
        <w:t>Opt-in model</w:t>
      </w:r>
      <w:r w:rsidRPr="00647FB9">
        <w:rPr>
          <w:rFonts w:ascii="Arial" w:eastAsia="Times New Roman" w:hAnsi="Arial" w:cs="Arial"/>
          <w:color w:val="000000"/>
          <w:sz w:val="22"/>
          <w:szCs w:val="22"/>
          <w:lang w:eastAsia="en-GB"/>
        </w:rPr>
        <w:t>. If evaluation was opt-in, charities that don’t think they have the resources to measure their impact, or otherwise have concerns about evaluation, could choose not to participate. This could facilitate a graduated rollout of evaluation. </w:t>
      </w:r>
    </w:p>
    <w:p w14:paraId="4569BBE4" w14:textId="77777777" w:rsidR="00647FB9" w:rsidRPr="00647FB9" w:rsidRDefault="00647FB9" w:rsidP="00647FB9">
      <w:pPr>
        <w:rPr>
          <w:rFonts w:ascii="Times New Roman" w:eastAsia="Times New Roman" w:hAnsi="Times New Roman" w:cs="Times New Roman"/>
          <w:lang w:eastAsia="en-GB"/>
        </w:rPr>
      </w:pPr>
    </w:p>
    <w:p w14:paraId="0459E955"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Overall, charity evaluation is a mature field, affordable to do, and can greatly increase the good work done by philanthropy in Australia. In the same way governments should do evidence-based policy, it should help Australians to do evidence-based charity. </w:t>
      </w:r>
    </w:p>
    <w:p w14:paraId="70B8444C" w14:textId="77777777" w:rsidR="00647FB9" w:rsidRDefault="00647FB9" w:rsidP="00647FB9"/>
    <w:p w14:paraId="13D02D20" w14:textId="77777777" w:rsidR="00647FB9" w:rsidRDefault="00647FB9" w:rsidP="00647FB9"/>
    <w:p w14:paraId="34921E8C"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 xml:space="preserve">In many cases, and particularly in the area of averting catastrophic risks, engaging with the government on policy is a crucial component of achieving better outcomes for the world. </w:t>
      </w:r>
      <w:r w:rsidRPr="00647FB9">
        <w:rPr>
          <w:rFonts w:ascii="Arial" w:eastAsia="Times New Roman" w:hAnsi="Arial" w:cs="Arial"/>
          <w:color w:val="000000"/>
          <w:sz w:val="22"/>
          <w:szCs w:val="22"/>
          <w:lang w:eastAsia="en-GB"/>
        </w:rPr>
        <w:br/>
      </w:r>
      <w:r w:rsidRPr="00647FB9">
        <w:rPr>
          <w:rFonts w:ascii="Arial" w:eastAsia="Times New Roman" w:hAnsi="Arial" w:cs="Arial"/>
          <w:color w:val="000000"/>
          <w:sz w:val="22"/>
          <w:szCs w:val="22"/>
          <w:lang w:eastAsia="en-GB"/>
        </w:rPr>
        <w:br/>
        <w:t xml:space="preserve">For example, while there is a valuable role for non-government organisations like the International Campaign Against </w:t>
      </w:r>
      <w:proofErr w:type="gramStart"/>
      <w:r w:rsidRPr="00647FB9">
        <w:rPr>
          <w:rFonts w:ascii="Arial" w:eastAsia="Times New Roman" w:hAnsi="Arial" w:cs="Arial"/>
          <w:color w:val="000000"/>
          <w:sz w:val="22"/>
          <w:szCs w:val="22"/>
          <w:lang w:eastAsia="en-GB"/>
        </w:rPr>
        <w:t>Nuclear Weapons</w:t>
      </w:r>
      <w:proofErr w:type="gramEnd"/>
      <w:r w:rsidRPr="00647FB9">
        <w:rPr>
          <w:rFonts w:ascii="Arial" w:eastAsia="Times New Roman" w:hAnsi="Arial" w:cs="Arial"/>
          <w:color w:val="000000"/>
          <w:sz w:val="22"/>
          <w:szCs w:val="22"/>
          <w:lang w:eastAsia="en-GB"/>
        </w:rPr>
        <w:t xml:space="preserve"> to play in reducing nuclear risk, at the end of the day, it is governments that possess the nuclear weapons stockpiles, set the rules about the acquisition of fissionable material and nuclear technology, and ratify international treaties.</w:t>
      </w:r>
    </w:p>
    <w:p w14:paraId="64AAA950" w14:textId="77777777" w:rsidR="00647FB9" w:rsidRPr="00647FB9" w:rsidRDefault="00647FB9" w:rsidP="00647FB9">
      <w:pPr>
        <w:rPr>
          <w:rFonts w:ascii="Times New Roman" w:eastAsia="Times New Roman" w:hAnsi="Times New Roman" w:cs="Times New Roman"/>
          <w:lang w:eastAsia="en-GB"/>
        </w:rPr>
      </w:pPr>
    </w:p>
    <w:p w14:paraId="022E54B5"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Charities have real value to add to these conversations. Including investing resources in policy analysis, accessing global talent, and progressing the public policy conversations. In many ways, the activity of the not-for-profit sector on a topic reduces the burden on governments. Historically, many important policy ideas that have shaped modern society have emerged from outside of government - like the 40-hour work week or approaches to tobacco safety. </w:t>
      </w:r>
    </w:p>
    <w:p w14:paraId="467453C8" w14:textId="77777777" w:rsidR="00647FB9" w:rsidRPr="00647FB9" w:rsidRDefault="00647FB9" w:rsidP="00647FB9">
      <w:pPr>
        <w:spacing w:after="240"/>
        <w:rPr>
          <w:rFonts w:ascii="Times New Roman" w:eastAsia="Times New Roman" w:hAnsi="Times New Roman" w:cs="Times New Roman"/>
          <w:lang w:eastAsia="en-GB"/>
        </w:rPr>
      </w:pPr>
    </w:p>
    <w:p w14:paraId="77BF0A0E"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lastRenderedPageBreak/>
        <w:t xml:space="preserve">While charities are allowed to participate in policy discussions, many charities that focus on policy change as a primary means of achieving their goals are excluded from DGR status. This exclusion should be reconsidered, as charities that work to prevent catastrophic disasters or promote animal welfare through policy change have a valuable role to play in the public policy conversation. </w:t>
      </w:r>
    </w:p>
    <w:p w14:paraId="76F1A93A" w14:textId="77777777" w:rsidR="00647FB9" w:rsidRPr="00647FB9" w:rsidRDefault="00647FB9" w:rsidP="00647FB9">
      <w:pPr>
        <w:rPr>
          <w:rFonts w:ascii="Times New Roman" w:eastAsia="Times New Roman" w:hAnsi="Times New Roman" w:cs="Times New Roman"/>
          <w:lang w:eastAsia="en-GB"/>
        </w:rPr>
      </w:pPr>
    </w:p>
    <w:p w14:paraId="43C8761E" w14:textId="77777777" w:rsidR="00647FB9" w:rsidRPr="00647FB9" w:rsidRDefault="00647FB9" w:rsidP="00647FB9">
      <w:pPr>
        <w:rPr>
          <w:rFonts w:ascii="Times New Roman" w:eastAsia="Times New Roman" w:hAnsi="Times New Roman" w:cs="Times New Roman"/>
          <w:lang w:eastAsia="en-GB"/>
        </w:rPr>
      </w:pPr>
      <w:r w:rsidRPr="00647FB9">
        <w:rPr>
          <w:rFonts w:ascii="Arial" w:eastAsia="Times New Roman" w:hAnsi="Arial" w:cs="Arial"/>
          <w:color w:val="000000"/>
          <w:sz w:val="22"/>
          <w:szCs w:val="22"/>
          <w:lang w:eastAsia="en-GB"/>
        </w:rPr>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7C68293F" w14:textId="77777777" w:rsidR="00647FB9" w:rsidRPr="00647FB9" w:rsidRDefault="00647FB9" w:rsidP="00647FB9">
      <w:pPr>
        <w:rPr>
          <w:rFonts w:ascii="Times New Roman" w:eastAsia="Times New Roman" w:hAnsi="Times New Roman" w:cs="Times New Roman"/>
          <w:lang w:eastAsia="en-GB"/>
        </w:rPr>
      </w:pPr>
    </w:p>
    <w:p w14:paraId="4303599C" w14:textId="77777777" w:rsidR="00647FB9" w:rsidRDefault="00647FB9" w:rsidP="00647FB9">
      <w:pPr>
        <w:rPr>
          <w:rFonts w:ascii="Arial" w:eastAsia="Times New Roman" w:hAnsi="Arial" w:cs="Arial"/>
          <w:color w:val="000000"/>
          <w:sz w:val="22"/>
          <w:szCs w:val="22"/>
          <w:lang w:eastAsia="en-GB"/>
        </w:rPr>
      </w:pPr>
      <w:r w:rsidRPr="00647FB9">
        <w:rPr>
          <w:rFonts w:ascii="Arial" w:eastAsia="Times New Roman" w:hAnsi="Arial" w:cs="Arial"/>
          <w:color w:val="000000"/>
          <w:sz w:val="22"/>
          <w:szCs w:val="22"/>
          <w:lang w:eastAsia="en-GB"/>
        </w:rPr>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14908210" w14:textId="77777777" w:rsidR="00647FB9" w:rsidRDefault="00647FB9" w:rsidP="00647FB9">
      <w:pPr>
        <w:rPr>
          <w:rFonts w:ascii="Arial" w:eastAsia="Times New Roman" w:hAnsi="Arial" w:cs="Arial"/>
          <w:color w:val="000000"/>
          <w:sz w:val="22"/>
          <w:szCs w:val="22"/>
          <w:lang w:eastAsia="en-GB"/>
        </w:rPr>
      </w:pPr>
    </w:p>
    <w:p w14:paraId="17502D46" w14:textId="77777777" w:rsidR="00647FB9" w:rsidRDefault="00647FB9" w:rsidP="00647FB9">
      <w:pPr>
        <w:rPr>
          <w:rFonts w:ascii="Arial" w:eastAsia="Times New Roman" w:hAnsi="Arial" w:cs="Arial"/>
          <w:color w:val="000000"/>
          <w:sz w:val="22"/>
          <w:szCs w:val="22"/>
          <w:lang w:eastAsia="en-GB"/>
        </w:rPr>
      </w:pPr>
    </w:p>
    <w:p w14:paraId="753EC295" w14:textId="77777777" w:rsidR="00647FB9" w:rsidRDefault="00647FB9" w:rsidP="00647FB9">
      <w:pPr>
        <w:rPr>
          <w:rFonts w:ascii="Arial" w:eastAsia="Times New Roman" w:hAnsi="Arial" w:cs="Arial"/>
          <w:color w:val="000000"/>
          <w:sz w:val="22"/>
          <w:szCs w:val="22"/>
          <w:lang w:eastAsia="en-GB"/>
        </w:rPr>
      </w:pPr>
    </w:p>
    <w:p w14:paraId="530A911D" w14:textId="77777777" w:rsidR="00647FB9" w:rsidRPr="00647FB9" w:rsidRDefault="00647FB9" w:rsidP="00647FB9">
      <w:pPr>
        <w:rPr>
          <w:rFonts w:ascii="Times New Roman" w:eastAsia="Times New Roman" w:hAnsi="Times New Roman" w:cs="Times New Roman"/>
          <w:lang w:eastAsia="en-GB"/>
        </w:rPr>
      </w:pPr>
    </w:p>
    <w:p w14:paraId="72919C19" w14:textId="77777777" w:rsidR="00647FB9" w:rsidRPr="00647FB9" w:rsidRDefault="00647FB9" w:rsidP="00647FB9">
      <w:pPr>
        <w:rPr>
          <w:rFonts w:ascii="Times New Roman" w:eastAsia="Times New Roman" w:hAnsi="Times New Roman" w:cs="Times New Roman"/>
          <w:lang w:eastAsia="en-GB"/>
        </w:rPr>
      </w:pPr>
    </w:p>
    <w:p w14:paraId="5C064E36" w14:textId="77777777" w:rsidR="00647FB9" w:rsidRDefault="00647FB9" w:rsidP="00647FB9"/>
    <w:sectPr w:rsidR="00647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42D3"/>
    <w:multiLevelType w:val="multilevel"/>
    <w:tmpl w:val="D76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46F8D"/>
    <w:multiLevelType w:val="multilevel"/>
    <w:tmpl w:val="78BA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2012353">
    <w:abstractNumId w:val="1"/>
  </w:num>
  <w:num w:numId="2" w16cid:durableId="140884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B9"/>
    <w:rsid w:val="003F64DD"/>
    <w:rsid w:val="00415DFD"/>
    <w:rsid w:val="005779D0"/>
    <w:rsid w:val="00647FB9"/>
    <w:rsid w:val="00D9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2558"/>
  <w15:chartTrackingRefBased/>
  <w15:docId w15:val="{41D06AF6-8C61-3146-9E82-0538E03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FB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7255">
      <w:bodyDiv w:val="1"/>
      <w:marLeft w:val="0"/>
      <w:marRight w:val="0"/>
      <w:marTop w:val="0"/>
      <w:marBottom w:val="0"/>
      <w:divBdr>
        <w:top w:val="none" w:sz="0" w:space="0" w:color="auto"/>
        <w:left w:val="none" w:sz="0" w:space="0" w:color="auto"/>
        <w:bottom w:val="none" w:sz="0" w:space="0" w:color="auto"/>
        <w:right w:val="none" w:sz="0" w:space="0" w:color="auto"/>
      </w:divBdr>
    </w:div>
    <w:div w:id="556479301">
      <w:bodyDiv w:val="1"/>
      <w:marLeft w:val="0"/>
      <w:marRight w:val="0"/>
      <w:marTop w:val="0"/>
      <w:marBottom w:val="0"/>
      <w:divBdr>
        <w:top w:val="none" w:sz="0" w:space="0" w:color="auto"/>
        <w:left w:val="none" w:sz="0" w:space="0" w:color="auto"/>
        <w:bottom w:val="none" w:sz="0" w:space="0" w:color="auto"/>
        <w:right w:val="none" w:sz="0" w:space="0" w:color="auto"/>
      </w:divBdr>
    </w:div>
    <w:div w:id="574314561">
      <w:bodyDiv w:val="1"/>
      <w:marLeft w:val="0"/>
      <w:marRight w:val="0"/>
      <w:marTop w:val="0"/>
      <w:marBottom w:val="0"/>
      <w:divBdr>
        <w:top w:val="none" w:sz="0" w:space="0" w:color="auto"/>
        <w:left w:val="none" w:sz="0" w:space="0" w:color="auto"/>
        <w:bottom w:val="none" w:sz="0" w:space="0" w:color="auto"/>
        <w:right w:val="none" w:sz="0" w:space="0" w:color="auto"/>
      </w:divBdr>
    </w:div>
    <w:div w:id="1283875561">
      <w:bodyDiv w:val="1"/>
      <w:marLeft w:val="0"/>
      <w:marRight w:val="0"/>
      <w:marTop w:val="0"/>
      <w:marBottom w:val="0"/>
      <w:divBdr>
        <w:top w:val="none" w:sz="0" w:space="0" w:color="auto"/>
        <w:left w:val="none" w:sz="0" w:space="0" w:color="auto"/>
        <w:bottom w:val="none" w:sz="0" w:space="0" w:color="auto"/>
        <w:right w:val="none" w:sz="0" w:space="0" w:color="auto"/>
      </w:divBdr>
    </w:div>
    <w:div w:id="1451127776">
      <w:bodyDiv w:val="1"/>
      <w:marLeft w:val="0"/>
      <w:marRight w:val="0"/>
      <w:marTop w:val="0"/>
      <w:marBottom w:val="0"/>
      <w:divBdr>
        <w:top w:val="none" w:sz="0" w:space="0" w:color="auto"/>
        <w:left w:val="none" w:sz="0" w:space="0" w:color="auto"/>
        <w:bottom w:val="none" w:sz="0" w:space="0" w:color="auto"/>
        <w:right w:val="none" w:sz="0" w:space="0" w:color="auto"/>
      </w:divBdr>
    </w:div>
    <w:div w:id="1859200526">
      <w:bodyDiv w:val="1"/>
      <w:marLeft w:val="0"/>
      <w:marRight w:val="0"/>
      <w:marTop w:val="0"/>
      <w:marBottom w:val="0"/>
      <w:divBdr>
        <w:top w:val="none" w:sz="0" w:space="0" w:color="auto"/>
        <w:left w:val="none" w:sz="0" w:space="0" w:color="auto"/>
        <w:bottom w:val="none" w:sz="0" w:space="0" w:color="auto"/>
        <w:right w:val="none" w:sz="0" w:space="0" w:color="auto"/>
      </w:divBdr>
    </w:div>
    <w:div w:id="1921404141">
      <w:bodyDiv w:val="1"/>
      <w:marLeft w:val="0"/>
      <w:marRight w:val="0"/>
      <w:marTop w:val="0"/>
      <w:marBottom w:val="0"/>
      <w:divBdr>
        <w:top w:val="none" w:sz="0" w:space="0" w:color="auto"/>
        <w:left w:val="none" w:sz="0" w:space="0" w:color="auto"/>
        <w:bottom w:val="none" w:sz="0" w:space="0" w:color="auto"/>
        <w:right w:val="none" w:sz="0" w:space="0" w:color="auto"/>
      </w:divBdr>
    </w:div>
    <w:div w:id="20874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5c5b404f839a71d3e6111eb7a3c939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bbf92363c651b2435eef59ca95a5f6a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04F67-2354-4423-8885-D03166E805D5}">
  <ds:schemaRefs>
    <ds:schemaRef ds:uri="http://purl.org/dc/elements/1.1/"/>
    <ds:schemaRef ds:uri="http://www.w3.org/XML/1998/namespace"/>
    <ds:schemaRef ds:uri="e98515d3-35d1-48c7-98b0-9361f3d04ddf"/>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ef64c59-a3ef-40a9-ab00-88fd54a78ca7"/>
  </ds:schemaRefs>
</ds:datastoreItem>
</file>

<file path=customXml/itemProps2.xml><?xml version="1.0" encoding="utf-8"?>
<ds:datastoreItem xmlns:ds="http://schemas.openxmlformats.org/officeDocument/2006/customXml" ds:itemID="{B7D7DFF5-4921-4805-8BAE-7777BE1ACB87}">
  <ds:schemaRefs>
    <ds:schemaRef ds:uri="http://schemas.microsoft.com/sharepoint/v3/contenttype/forms"/>
  </ds:schemaRefs>
</ds:datastoreItem>
</file>

<file path=customXml/itemProps3.xml><?xml version="1.0" encoding="utf-8"?>
<ds:datastoreItem xmlns:ds="http://schemas.openxmlformats.org/officeDocument/2006/customXml" ds:itemID="{581FE1CA-BDF7-43F7-AF41-B55B86BE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41 - Name withheld - Philanthropy - Public inquiry</vt:lpstr>
    </vt:vector>
  </TitlesOfParts>
  <Company>Name withheld</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Name withheld - Philanthropy - Public inquiry</dc:title>
  <dc:subject/>
  <dc:creator>Name withheld</dc:creator>
  <cp:keywords/>
  <dc:description/>
  <cp:lastModifiedBy>Chris Alston</cp:lastModifiedBy>
  <cp:revision>2</cp:revision>
  <dcterms:created xsi:type="dcterms:W3CDTF">2023-04-14T10:33:00Z</dcterms:created>
  <dcterms:modified xsi:type="dcterms:W3CDTF">2023-04-18T01:15:00Z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