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A196" w14:textId="27507850" w:rsidR="00004A96" w:rsidRPr="00A102E3" w:rsidRDefault="00004A96" w:rsidP="00004A96">
      <w:pPr>
        <w:shd w:val="clear" w:color="auto" w:fill="FFFFFF"/>
        <w:spacing w:after="0" w:line="240" w:lineRule="auto"/>
        <w:jc w:val="center"/>
        <w:outlineLvl w:val="1"/>
        <w:rPr>
          <w:rFonts w:eastAsia="Times New Roman" w:cstheme="minorHAnsi"/>
          <w:b/>
          <w:bCs/>
          <w:spacing w:val="7"/>
          <w:sz w:val="24"/>
          <w:szCs w:val="24"/>
          <w:lang w:eastAsia="en-AU"/>
        </w:rPr>
      </w:pPr>
      <w:bookmarkStart w:id="0" w:name="_Hlk147172225"/>
      <w:r w:rsidRPr="00A102E3">
        <w:rPr>
          <w:rFonts w:eastAsia="Times New Roman" w:cstheme="minorHAnsi"/>
          <w:b/>
          <w:bCs/>
          <w:spacing w:val="7"/>
          <w:sz w:val="24"/>
          <w:szCs w:val="24"/>
          <w:lang w:eastAsia="en-AU"/>
        </w:rPr>
        <w:t xml:space="preserve">A submission to the Productivity Commission on the Review on the </w:t>
      </w:r>
      <w:r w:rsidR="00EF5E9E" w:rsidRPr="00A102E3">
        <w:rPr>
          <w:rFonts w:eastAsia="Times New Roman" w:cstheme="minorHAnsi"/>
          <w:b/>
          <w:bCs/>
          <w:spacing w:val="7"/>
          <w:sz w:val="24"/>
          <w:szCs w:val="24"/>
          <w:lang w:eastAsia="en-AU"/>
        </w:rPr>
        <w:t>N</w:t>
      </w:r>
      <w:r w:rsidRPr="00A102E3">
        <w:rPr>
          <w:rFonts w:eastAsia="Times New Roman" w:cstheme="minorHAnsi"/>
          <w:b/>
          <w:bCs/>
          <w:spacing w:val="7"/>
          <w:sz w:val="24"/>
          <w:szCs w:val="24"/>
          <w:lang w:eastAsia="en-AU"/>
        </w:rPr>
        <w:t xml:space="preserve">ational Agreement on Closing the Gap Draft Report </w:t>
      </w:r>
    </w:p>
    <w:p w14:paraId="568FE124" w14:textId="77777777" w:rsidR="00004A96" w:rsidRPr="00A102E3" w:rsidRDefault="00004A96" w:rsidP="00004A96">
      <w:pPr>
        <w:shd w:val="clear" w:color="auto" w:fill="FFFFFF"/>
        <w:spacing w:after="0" w:line="240" w:lineRule="auto"/>
        <w:jc w:val="center"/>
        <w:outlineLvl w:val="1"/>
        <w:rPr>
          <w:rFonts w:eastAsia="Times New Roman" w:cstheme="minorHAnsi"/>
          <w:b/>
          <w:bCs/>
          <w:spacing w:val="7"/>
          <w:sz w:val="24"/>
          <w:szCs w:val="24"/>
          <w:lang w:eastAsia="en-AU"/>
        </w:rPr>
      </w:pPr>
    </w:p>
    <w:p w14:paraId="5EA662E8" w14:textId="3E7A2417" w:rsidR="00A102E3" w:rsidRDefault="00A102E3" w:rsidP="00004A96">
      <w:pPr>
        <w:shd w:val="clear" w:color="auto" w:fill="FFFFFF"/>
        <w:spacing w:after="0" w:line="240" w:lineRule="auto"/>
        <w:jc w:val="center"/>
        <w:outlineLvl w:val="1"/>
        <w:rPr>
          <w:rFonts w:eastAsia="Times New Roman" w:cstheme="minorHAnsi"/>
          <w:spacing w:val="7"/>
          <w:sz w:val="24"/>
          <w:szCs w:val="24"/>
          <w:lang w:eastAsia="en-AU"/>
        </w:rPr>
      </w:pPr>
      <w:r>
        <w:rPr>
          <w:rFonts w:eastAsia="Times New Roman" w:cstheme="minorHAnsi"/>
          <w:spacing w:val="7"/>
          <w:sz w:val="24"/>
          <w:szCs w:val="24"/>
          <w:lang w:eastAsia="en-AU"/>
        </w:rPr>
        <w:t xml:space="preserve">Professor </w:t>
      </w:r>
      <w:r w:rsidR="00004A96" w:rsidRPr="00A102E3">
        <w:rPr>
          <w:rFonts w:eastAsia="Times New Roman" w:cstheme="minorHAnsi"/>
          <w:spacing w:val="7"/>
          <w:sz w:val="24"/>
          <w:szCs w:val="24"/>
          <w:lang w:eastAsia="en-AU"/>
        </w:rPr>
        <w:t>Jon Altman</w:t>
      </w:r>
    </w:p>
    <w:p w14:paraId="68BD0043" w14:textId="6EC75B9F" w:rsidR="00004A96" w:rsidRPr="00A102E3" w:rsidRDefault="00004A96" w:rsidP="00004A96">
      <w:pPr>
        <w:shd w:val="clear" w:color="auto" w:fill="FFFFFF"/>
        <w:spacing w:after="0" w:line="240" w:lineRule="auto"/>
        <w:jc w:val="center"/>
        <w:outlineLvl w:val="1"/>
        <w:rPr>
          <w:rFonts w:eastAsia="Times New Roman" w:cstheme="minorHAnsi"/>
          <w:spacing w:val="7"/>
          <w:sz w:val="24"/>
          <w:szCs w:val="24"/>
          <w:lang w:eastAsia="en-AU"/>
        </w:rPr>
      </w:pPr>
      <w:r w:rsidRPr="00A102E3">
        <w:rPr>
          <w:rFonts w:eastAsia="Times New Roman" w:cstheme="minorHAnsi"/>
          <w:spacing w:val="7"/>
          <w:sz w:val="24"/>
          <w:szCs w:val="24"/>
          <w:lang w:eastAsia="en-AU"/>
        </w:rPr>
        <w:t>School of Regulation and Global Governance</w:t>
      </w:r>
    </w:p>
    <w:p w14:paraId="35BFF08B" w14:textId="136CB3D2" w:rsidR="00004A96" w:rsidRPr="00A102E3" w:rsidRDefault="00A102E3" w:rsidP="00004A96">
      <w:pPr>
        <w:shd w:val="clear" w:color="auto" w:fill="FFFFFF"/>
        <w:spacing w:after="0" w:line="240" w:lineRule="auto"/>
        <w:jc w:val="center"/>
        <w:outlineLvl w:val="1"/>
        <w:rPr>
          <w:rFonts w:eastAsia="Times New Roman" w:cstheme="minorHAnsi"/>
          <w:spacing w:val="7"/>
          <w:sz w:val="24"/>
          <w:szCs w:val="24"/>
          <w:lang w:eastAsia="en-AU"/>
        </w:rPr>
      </w:pPr>
      <w:r>
        <w:rPr>
          <w:rFonts w:eastAsia="Times New Roman" w:cstheme="minorHAnsi"/>
          <w:spacing w:val="7"/>
          <w:sz w:val="24"/>
          <w:szCs w:val="24"/>
          <w:lang w:eastAsia="en-AU"/>
        </w:rPr>
        <w:t xml:space="preserve">The </w:t>
      </w:r>
      <w:r w:rsidR="00004A96" w:rsidRPr="00A102E3">
        <w:rPr>
          <w:rFonts w:eastAsia="Times New Roman" w:cstheme="minorHAnsi"/>
          <w:spacing w:val="7"/>
          <w:sz w:val="24"/>
          <w:szCs w:val="24"/>
          <w:lang w:eastAsia="en-AU"/>
        </w:rPr>
        <w:t xml:space="preserve">Australian </w:t>
      </w:r>
      <w:r w:rsidR="006F6C7A" w:rsidRPr="00A102E3">
        <w:rPr>
          <w:rFonts w:eastAsia="Times New Roman" w:cstheme="minorHAnsi"/>
          <w:spacing w:val="7"/>
          <w:sz w:val="24"/>
          <w:szCs w:val="24"/>
          <w:lang w:eastAsia="en-AU"/>
        </w:rPr>
        <w:t>N</w:t>
      </w:r>
      <w:r w:rsidR="00004A96" w:rsidRPr="00A102E3">
        <w:rPr>
          <w:rFonts w:eastAsia="Times New Roman" w:cstheme="minorHAnsi"/>
          <w:spacing w:val="7"/>
          <w:sz w:val="24"/>
          <w:szCs w:val="24"/>
          <w:lang w:eastAsia="en-AU"/>
        </w:rPr>
        <w:t>ational University, Canberra.</w:t>
      </w:r>
    </w:p>
    <w:p w14:paraId="25C1D31C" w14:textId="66898D7C" w:rsidR="006F6C7A" w:rsidRPr="00A102E3" w:rsidRDefault="006F6C7A" w:rsidP="00004A96">
      <w:pPr>
        <w:shd w:val="clear" w:color="auto" w:fill="FFFFFF"/>
        <w:spacing w:after="0" w:line="240" w:lineRule="auto"/>
        <w:jc w:val="center"/>
        <w:outlineLvl w:val="1"/>
        <w:rPr>
          <w:rFonts w:eastAsia="Times New Roman" w:cstheme="minorHAnsi"/>
          <w:spacing w:val="7"/>
          <w:sz w:val="24"/>
          <w:szCs w:val="24"/>
          <w:lang w:eastAsia="en-AU"/>
        </w:rPr>
      </w:pPr>
      <w:r w:rsidRPr="00A102E3">
        <w:rPr>
          <w:rFonts w:eastAsia="Times New Roman" w:cstheme="minorHAnsi"/>
          <w:spacing w:val="7"/>
          <w:sz w:val="24"/>
          <w:szCs w:val="24"/>
          <w:lang w:eastAsia="en-AU"/>
        </w:rPr>
        <w:t>6 October 2023</w:t>
      </w:r>
    </w:p>
    <w:p w14:paraId="60F3419A" w14:textId="77777777" w:rsidR="008966B0" w:rsidRPr="00A102E3" w:rsidRDefault="008966B0" w:rsidP="00204EC2">
      <w:pPr>
        <w:autoSpaceDE w:val="0"/>
        <w:autoSpaceDN w:val="0"/>
        <w:adjustRightInd w:val="0"/>
        <w:spacing w:after="0" w:line="240" w:lineRule="auto"/>
        <w:rPr>
          <w:rFonts w:eastAsia="Times New Roman" w:cstheme="minorHAnsi"/>
          <w:b/>
          <w:bCs/>
          <w:spacing w:val="7"/>
          <w:sz w:val="24"/>
          <w:szCs w:val="24"/>
          <w:lang w:eastAsia="en-AU"/>
        </w:rPr>
      </w:pPr>
    </w:p>
    <w:p w14:paraId="489A86EA" w14:textId="7464FAB7" w:rsidR="00D5680A" w:rsidRPr="00A102E3" w:rsidRDefault="00D5680A" w:rsidP="00204EC2">
      <w:pPr>
        <w:autoSpaceDE w:val="0"/>
        <w:autoSpaceDN w:val="0"/>
        <w:adjustRightInd w:val="0"/>
        <w:spacing w:after="0" w:line="240" w:lineRule="auto"/>
        <w:rPr>
          <w:rFonts w:cstheme="minorHAnsi"/>
          <w:b/>
          <w:bCs/>
          <w:kern w:val="0"/>
          <w:sz w:val="24"/>
          <w:szCs w:val="24"/>
        </w:rPr>
      </w:pPr>
      <w:r w:rsidRPr="00A102E3">
        <w:rPr>
          <w:rFonts w:cstheme="minorHAnsi"/>
          <w:b/>
          <w:bCs/>
          <w:kern w:val="0"/>
          <w:sz w:val="24"/>
          <w:szCs w:val="24"/>
        </w:rPr>
        <w:t>Introduction</w:t>
      </w:r>
    </w:p>
    <w:p w14:paraId="7B0D5CED" w14:textId="4AA7ED5E" w:rsidR="009608FB" w:rsidRPr="00A102E3" w:rsidRDefault="009608FB" w:rsidP="00D5680A">
      <w:pPr>
        <w:autoSpaceDE w:val="0"/>
        <w:autoSpaceDN w:val="0"/>
        <w:adjustRightInd w:val="0"/>
        <w:spacing w:after="0" w:line="240" w:lineRule="auto"/>
        <w:rPr>
          <w:rFonts w:cstheme="minorHAnsi"/>
          <w:kern w:val="0"/>
          <w:sz w:val="24"/>
          <w:szCs w:val="24"/>
        </w:rPr>
      </w:pPr>
      <w:r w:rsidRPr="00A102E3">
        <w:rPr>
          <w:rFonts w:cstheme="minorHAnsi"/>
          <w:kern w:val="0"/>
          <w:sz w:val="24"/>
          <w:szCs w:val="24"/>
        </w:rPr>
        <w:t>On 23 August 2019</w:t>
      </w:r>
      <w:r w:rsidR="00D5680A" w:rsidRPr="00A102E3">
        <w:rPr>
          <w:rFonts w:cstheme="minorHAnsi"/>
          <w:kern w:val="0"/>
          <w:sz w:val="24"/>
          <w:szCs w:val="24"/>
        </w:rPr>
        <w:t xml:space="preserve"> before the National Agreement on Closing the Gap (henceforth </w:t>
      </w:r>
      <w:r w:rsidR="004D6038" w:rsidRPr="00A102E3">
        <w:rPr>
          <w:rFonts w:cstheme="minorHAnsi"/>
          <w:kern w:val="0"/>
          <w:sz w:val="24"/>
          <w:szCs w:val="24"/>
        </w:rPr>
        <w:t xml:space="preserve">the </w:t>
      </w:r>
      <w:r w:rsidR="00D5680A" w:rsidRPr="00A102E3">
        <w:rPr>
          <w:rFonts w:cstheme="minorHAnsi"/>
          <w:kern w:val="0"/>
          <w:sz w:val="24"/>
          <w:szCs w:val="24"/>
        </w:rPr>
        <w:t xml:space="preserve">National Agreement) was signed, I questioned the value of an </w:t>
      </w:r>
      <w:r w:rsidR="00213C9C" w:rsidRPr="00A102E3">
        <w:rPr>
          <w:rFonts w:cstheme="minorHAnsi"/>
          <w:kern w:val="0"/>
          <w:sz w:val="24"/>
          <w:szCs w:val="24"/>
        </w:rPr>
        <w:t xml:space="preserve">Indigenous </w:t>
      </w:r>
      <w:r w:rsidRPr="00A102E3">
        <w:rPr>
          <w:rFonts w:cstheme="minorHAnsi"/>
          <w:kern w:val="0"/>
          <w:sz w:val="24"/>
          <w:szCs w:val="24"/>
        </w:rPr>
        <w:t>E</w:t>
      </w:r>
      <w:r w:rsidR="00D5680A" w:rsidRPr="00A102E3">
        <w:rPr>
          <w:rFonts w:cstheme="minorHAnsi"/>
          <w:kern w:val="0"/>
          <w:sz w:val="24"/>
          <w:szCs w:val="24"/>
        </w:rPr>
        <w:t xml:space="preserve">valuation </w:t>
      </w:r>
      <w:r w:rsidRPr="00A102E3">
        <w:rPr>
          <w:rFonts w:cstheme="minorHAnsi"/>
          <w:kern w:val="0"/>
          <w:sz w:val="24"/>
          <w:szCs w:val="24"/>
        </w:rPr>
        <w:t>S</w:t>
      </w:r>
      <w:r w:rsidR="00D5680A" w:rsidRPr="00A102E3">
        <w:rPr>
          <w:rFonts w:cstheme="minorHAnsi"/>
          <w:kern w:val="0"/>
          <w:sz w:val="24"/>
          <w:szCs w:val="24"/>
        </w:rPr>
        <w:t>trategy and its capacity to accurately assess the disadvantage experienced by Indigenous Australians today.</w:t>
      </w:r>
      <w:r w:rsidR="003F47D2">
        <w:rPr>
          <w:rStyle w:val="FootnoteReference"/>
          <w:rFonts w:cstheme="minorHAnsi"/>
          <w:kern w:val="0"/>
          <w:sz w:val="24"/>
          <w:szCs w:val="24"/>
        </w:rPr>
        <w:footnoteReference w:id="1"/>
      </w:r>
      <w:r w:rsidR="00D5680A" w:rsidRPr="00A102E3">
        <w:rPr>
          <w:rFonts w:cstheme="minorHAnsi"/>
          <w:kern w:val="0"/>
          <w:sz w:val="24"/>
          <w:szCs w:val="24"/>
        </w:rPr>
        <w:t xml:space="preserve"> </w:t>
      </w:r>
    </w:p>
    <w:p w14:paraId="585BD442" w14:textId="77777777" w:rsidR="009608FB" w:rsidRPr="00A102E3" w:rsidRDefault="009608FB" w:rsidP="00D5680A">
      <w:pPr>
        <w:autoSpaceDE w:val="0"/>
        <w:autoSpaceDN w:val="0"/>
        <w:adjustRightInd w:val="0"/>
        <w:spacing w:after="0" w:line="240" w:lineRule="auto"/>
        <w:rPr>
          <w:rFonts w:cstheme="minorHAnsi"/>
          <w:kern w:val="0"/>
          <w:sz w:val="24"/>
          <w:szCs w:val="24"/>
        </w:rPr>
      </w:pPr>
    </w:p>
    <w:p w14:paraId="6C1AB519" w14:textId="63AB8F1F" w:rsidR="00D5680A" w:rsidRPr="00A102E3" w:rsidRDefault="00D5680A" w:rsidP="00D5680A">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My main concern was that by focusing on targets set by statistical social indicators, the evaluation could be useful for measuring sameness between an estimated abstract sub-population Indigenous Australians and another </w:t>
      </w:r>
      <w:r w:rsidR="00154E75" w:rsidRPr="00A102E3">
        <w:rPr>
          <w:rFonts w:cstheme="minorHAnsi"/>
          <w:kern w:val="0"/>
          <w:sz w:val="24"/>
          <w:szCs w:val="24"/>
        </w:rPr>
        <w:t xml:space="preserve">sub-population </w:t>
      </w:r>
      <w:r w:rsidRPr="00A102E3">
        <w:rPr>
          <w:rFonts w:cstheme="minorHAnsi"/>
          <w:kern w:val="0"/>
          <w:sz w:val="24"/>
          <w:szCs w:val="24"/>
        </w:rPr>
        <w:t xml:space="preserve">non-Indigenous Australians (irrespective of the fact that many households, families, and communities have Indigenous and non-Indigenous members). </w:t>
      </w:r>
      <w:r w:rsidR="009608FB" w:rsidRPr="00A102E3">
        <w:rPr>
          <w:rFonts w:cstheme="minorHAnsi"/>
          <w:kern w:val="0"/>
          <w:sz w:val="24"/>
          <w:szCs w:val="24"/>
        </w:rPr>
        <w:t xml:space="preserve">But it would be of limited value in dealing with situations where Indigenous people either aspire to live differently or </w:t>
      </w:r>
      <w:r w:rsidR="008913EC" w:rsidRPr="00A102E3">
        <w:rPr>
          <w:rFonts w:cstheme="minorHAnsi"/>
          <w:kern w:val="0"/>
          <w:sz w:val="24"/>
          <w:szCs w:val="24"/>
        </w:rPr>
        <w:t>must</w:t>
      </w:r>
      <w:r w:rsidR="009608FB" w:rsidRPr="00A102E3">
        <w:rPr>
          <w:rFonts w:cstheme="minorHAnsi"/>
          <w:kern w:val="0"/>
          <w:sz w:val="24"/>
          <w:szCs w:val="24"/>
        </w:rPr>
        <w:t xml:space="preserve"> because of their circumstances dictated by locational and historical circumstances</w:t>
      </w:r>
      <w:r w:rsidRPr="00A102E3">
        <w:rPr>
          <w:rFonts w:cstheme="minorHAnsi"/>
          <w:kern w:val="0"/>
          <w:sz w:val="24"/>
          <w:szCs w:val="24"/>
        </w:rPr>
        <w:t>.</w:t>
      </w:r>
      <w:r w:rsidR="009608FB" w:rsidRPr="00A102E3">
        <w:rPr>
          <w:rFonts w:cstheme="minorHAnsi"/>
          <w:kern w:val="0"/>
          <w:sz w:val="24"/>
          <w:szCs w:val="24"/>
        </w:rPr>
        <w:t xml:space="preserve"> </w:t>
      </w:r>
      <w:r w:rsidR="009608FB" w:rsidRPr="00A102E3">
        <w:rPr>
          <w:rFonts w:cstheme="minorHAnsi"/>
          <w:sz w:val="24"/>
          <w:szCs w:val="24"/>
        </w:rPr>
        <w:t>I suggested that a new policy framework, not a new evaluation framework, is what is most urgently needed.</w:t>
      </w:r>
    </w:p>
    <w:p w14:paraId="0F3A4C9E" w14:textId="77777777" w:rsidR="00D5680A" w:rsidRPr="00A102E3" w:rsidRDefault="00D5680A" w:rsidP="00D5680A">
      <w:pPr>
        <w:autoSpaceDE w:val="0"/>
        <w:autoSpaceDN w:val="0"/>
        <w:adjustRightInd w:val="0"/>
        <w:spacing w:after="0" w:line="240" w:lineRule="auto"/>
        <w:rPr>
          <w:rFonts w:cstheme="minorHAnsi"/>
          <w:kern w:val="0"/>
          <w:sz w:val="24"/>
          <w:szCs w:val="24"/>
        </w:rPr>
      </w:pPr>
    </w:p>
    <w:p w14:paraId="6552E148" w14:textId="06D5EC89" w:rsidR="00D5680A" w:rsidRPr="00A102E3" w:rsidRDefault="00D5680A" w:rsidP="00D5680A">
      <w:pPr>
        <w:autoSpaceDE w:val="0"/>
        <w:autoSpaceDN w:val="0"/>
        <w:adjustRightInd w:val="0"/>
        <w:spacing w:after="0" w:line="240" w:lineRule="auto"/>
        <w:rPr>
          <w:rFonts w:cstheme="minorHAnsi"/>
          <w:kern w:val="0"/>
          <w:sz w:val="24"/>
          <w:szCs w:val="24"/>
        </w:rPr>
      </w:pPr>
      <w:r w:rsidRPr="00A102E3">
        <w:rPr>
          <w:rFonts w:cstheme="minorHAnsi"/>
          <w:kern w:val="0"/>
          <w:sz w:val="24"/>
          <w:szCs w:val="24"/>
        </w:rPr>
        <w:t>In July 2020</w:t>
      </w:r>
      <w:r w:rsidR="00A102E3">
        <w:rPr>
          <w:rFonts w:cstheme="minorHAnsi"/>
          <w:kern w:val="0"/>
          <w:sz w:val="24"/>
          <w:szCs w:val="24"/>
        </w:rPr>
        <w:t>,</w:t>
      </w:r>
      <w:r w:rsidRPr="00A102E3">
        <w:rPr>
          <w:rFonts w:cstheme="minorHAnsi"/>
          <w:kern w:val="0"/>
          <w:sz w:val="24"/>
          <w:szCs w:val="24"/>
        </w:rPr>
        <w:t xml:space="preserve"> the National Agreement between all Australian governments (including representation from local governments) and an alliance called the Coalition of Peak Aboriginal and Torres Strait Islander </w:t>
      </w:r>
      <w:r w:rsidR="008F581F">
        <w:rPr>
          <w:rFonts w:cstheme="minorHAnsi"/>
          <w:kern w:val="0"/>
          <w:sz w:val="24"/>
          <w:szCs w:val="24"/>
        </w:rPr>
        <w:t xml:space="preserve">Community-Controlled </w:t>
      </w:r>
      <w:r w:rsidRPr="00A102E3">
        <w:rPr>
          <w:rFonts w:cstheme="minorHAnsi"/>
          <w:kern w:val="0"/>
          <w:sz w:val="24"/>
          <w:szCs w:val="24"/>
        </w:rPr>
        <w:t xml:space="preserve">Organisations (henceforth </w:t>
      </w:r>
      <w:r w:rsidR="004D6038" w:rsidRPr="00A102E3">
        <w:rPr>
          <w:rFonts w:cstheme="minorHAnsi"/>
          <w:kern w:val="0"/>
          <w:sz w:val="24"/>
          <w:szCs w:val="24"/>
        </w:rPr>
        <w:t xml:space="preserve">the </w:t>
      </w:r>
      <w:r w:rsidRPr="00A102E3">
        <w:rPr>
          <w:rFonts w:cstheme="minorHAnsi"/>
          <w:kern w:val="0"/>
          <w:sz w:val="24"/>
          <w:szCs w:val="24"/>
        </w:rPr>
        <w:t xml:space="preserve">Coalition of Peaks) was signed. This 53-page agreement </w:t>
      </w:r>
      <w:r w:rsidR="009608FB" w:rsidRPr="00A102E3">
        <w:rPr>
          <w:rFonts w:cstheme="minorHAnsi"/>
          <w:kern w:val="0"/>
          <w:sz w:val="24"/>
          <w:szCs w:val="24"/>
        </w:rPr>
        <w:t>is highly aspirational and looks to fundamentally alter the policy approach by all governments to address Indigenous disadvantage. Unfortunately</w:t>
      </w:r>
      <w:r w:rsidR="00721F3C" w:rsidRPr="00A102E3">
        <w:rPr>
          <w:rFonts w:cstheme="minorHAnsi"/>
          <w:kern w:val="0"/>
          <w:sz w:val="24"/>
          <w:szCs w:val="24"/>
        </w:rPr>
        <w:t>,</w:t>
      </w:r>
      <w:r w:rsidR="009608FB" w:rsidRPr="00A102E3">
        <w:rPr>
          <w:rFonts w:cstheme="minorHAnsi"/>
          <w:kern w:val="0"/>
          <w:sz w:val="24"/>
          <w:szCs w:val="24"/>
        </w:rPr>
        <w:t xml:space="preserve"> the National Agreement is</w:t>
      </w:r>
      <w:r w:rsidRPr="00A102E3">
        <w:rPr>
          <w:rFonts w:cstheme="minorHAnsi"/>
          <w:kern w:val="0"/>
          <w:sz w:val="24"/>
          <w:szCs w:val="24"/>
        </w:rPr>
        <w:t xml:space="preserve"> not legally-binding on any signatory party</w:t>
      </w:r>
      <w:r w:rsidR="009608FB" w:rsidRPr="00A102E3">
        <w:rPr>
          <w:rFonts w:cstheme="minorHAnsi"/>
          <w:kern w:val="0"/>
          <w:sz w:val="24"/>
          <w:szCs w:val="24"/>
        </w:rPr>
        <w:t>, hence making compliance voluntary rather than mandatory; and having no sanctions on parties for non-compliance</w:t>
      </w:r>
      <w:r w:rsidRPr="00A102E3">
        <w:rPr>
          <w:rFonts w:cstheme="minorHAnsi"/>
          <w:kern w:val="0"/>
          <w:sz w:val="24"/>
          <w:szCs w:val="24"/>
        </w:rPr>
        <w:t xml:space="preserve">. </w:t>
      </w:r>
    </w:p>
    <w:p w14:paraId="1507E755" w14:textId="77777777" w:rsidR="00D5680A" w:rsidRPr="00A102E3" w:rsidRDefault="00D5680A" w:rsidP="00D5680A">
      <w:pPr>
        <w:autoSpaceDE w:val="0"/>
        <w:autoSpaceDN w:val="0"/>
        <w:adjustRightInd w:val="0"/>
        <w:spacing w:after="0" w:line="240" w:lineRule="auto"/>
        <w:rPr>
          <w:rFonts w:cstheme="minorHAnsi"/>
          <w:kern w:val="0"/>
          <w:sz w:val="24"/>
          <w:szCs w:val="24"/>
        </w:rPr>
      </w:pPr>
    </w:p>
    <w:p w14:paraId="3FC1B340" w14:textId="17A7E9AB" w:rsidR="0074797A" w:rsidRPr="00A102E3" w:rsidRDefault="00D5680A" w:rsidP="00D5680A">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The </w:t>
      </w:r>
      <w:r w:rsidR="006B2C4D" w:rsidRPr="00A102E3">
        <w:rPr>
          <w:rFonts w:cstheme="minorHAnsi"/>
          <w:kern w:val="0"/>
          <w:sz w:val="24"/>
          <w:szCs w:val="24"/>
        </w:rPr>
        <w:t xml:space="preserve">codesign of a </w:t>
      </w:r>
      <w:r w:rsidRPr="00A102E3">
        <w:rPr>
          <w:rFonts w:cstheme="minorHAnsi"/>
          <w:kern w:val="0"/>
          <w:sz w:val="24"/>
          <w:szCs w:val="24"/>
        </w:rPr>
        <w:t xml:space="preserve">National Agreement </w:t>
      </w:r>
      <w:r w:rsidR="004D6038" w:rsidRPr="00A102E3">
        <w:rPr>
          <w:rFonts w:cstheme="minorHAnsi"/>
          <w:kern w:val="0"/>
          <w:sz w:val="24"/>
          <w:szCs w:val="24"/>
        </w:rPr>
        <w:t>with</w:t>
      </w:r>
      <w:r w:rsidR="0074797A" w:rsidRPr="00A102E3">
        <w:rPr>
          <w:rFonts w:cstheme="minorHAnsi"/>
          <w:kern w:val="0"/>
          <w:sz w:val="24"/>
          <w:szCs w:val="24"/>
        </w:rPr>
        <w:t xml:space="preserve"> an Indigenous representative body </w:t>
      </w:r>
      <w:r w:rsidR="009608FB" w:rsidRPr="00A102E3">
        <w:rPr>
          <w:rFonts w:cstheme="minorHAnsi"/>
          <w:kern w:val="0"/>
          <w:sz w:val="24"/>
          <w:szCs w:val="24"/>
        </w:rPr>
        <w:t xml:space="preserve">now </w:t>
      </w:r>
      <w:r w:rsidR="0074797A" w:rsidRPr="00A102E3">
        <w:rPr>
          <w:rFonts w:cstheme="minorHAnsi"/>
          <w:kern w:val="0"/>
          <w:sz w:val="24"/>
          <w:szCs w:val="24"/>
        </w:rPr>
        <w:t xml:space="preserve">comprising 80 peak organisations </w:t>
      </w:r>
      <w:r w:rsidR="00721F3C" w:rsidRPr="00A102E3">
        <w:rPr>
          <w:rFonts w:cstheme="minorHAnsi"/>
          <w:kern w:val="0"/>
          <w:sz w:val="24"/>
          <w:szCs w:val="24"/>
        </w:rPr>
        <w:t xml:space="preserve">with nation-wide coverage </w:t>
      </w:r>
      <w:r w:rsidR="0074797A" w:rsidRPr="00A102E3">
        <w:rPr>
          <w:rFonts w:cstheme="minorHAnsi"/>
          <w:kern w:val="0"/>
          <w:sz w:val="24"/>
          <w:szCs w:val="24"/>
        </w:rPr>
        <w:t>and their members</w:t>
      </w:r>
      <w:r w:rsidR="004D6038" w:rsidRPr="00A102E3">
        <w:rPr>
          <w:rFonts w:cstheme="minorHAnsi"/>
          <w:kern w:val="0"/>
          <w:sz w:val="24"/>
          <w:szCs w:val="24"/>
        </w:rPr>
        <w:t xml:space="preserve"> is unprecedented in Australia</w:t>
      </w:r>
      <w:r w:rsidR="0074797A" w:rsidRPr="00A102E3">
        <w:rPr>
          <w:rFonts w:cstheme="minorHAnsi"/>
          <w:kern w:val="0"/>
          <w:sz w:val="24"/>
          <w:szCs w:val="24"/>
        </w:rPr>
        <w:t xml:space="preserve">. It emerged at a particular historical moment </w:t>
      </w:r>
      <w:r w:rsidR="00721F3C" w:rsidRPr="00A102E3">
        <w:rPr>
          <w:rFonts w:cstheme="minorHAnsi"/>
          <w:kern w:val="0"/>
          <w:sz w:val="24"/>
          <w:szCs w:val="24"/>
        </w:rPr>
        <w:t xml:space="preserve">after </w:t>
      </w:r>
      <w:r w:rsidR="0074797A" w:rsidRPr="00A102E3">
        <w:rPr>
          <w:rFonts w:cstheme="minorHAnsi"/>
          <w:kern w:val="0"/>
          <w:sz w:val="24"/>
          <w:szCs w:val="24"/>
        </w:rPr>
        <w:t xml:space="preserve">an earlier Closing the Gap framework had been developed by the Australian </w:t>
      </w:r>
      <w:r w:rsidR="00721F3C" w:rsidRPr="00A102E3">
        <w:rPr>
          <w:rFonts w:cstheme="minorHAnsi"/>
          <w:kern w:val="0"/>
          <w:sz w:val="24"/>
          <w:szCs w:val="24"/>
        </w:rPr>
        <w:t xml:space="preserve">government and co-signed </w:t>
      </w:r>
      <w:r w:rsidR="003F47D2">
        <w:rPr>
          <w:rFonts w:cstheme="minorHAnsi"/>
          <w:kern w:val="0"/>
          <w:sz w:val="24"/>
          <w:szCs w:val="24"/>
        </w:rPr>
        <w:t>by</w:t>
      </w:r>
      <w:r w:rsidR="0074797A" w:rsidRPr="00A102E3">
        <w:rPr>
          <w:rFonts w:cstheme="minorHAnsi"/>
          <w:kern w:val="0"/>
          <w:sz w:val="24"/>
          <w:szCs w:val="24"/>
        </w:rPr>
        <w:t xml:space="preserve"> state and territory governments operating as the Council of Australian Governments</w:t>
      </w:r>
      <w:r w:rsidR="00721F3C" w:rsidRPr="00A102E3">
        <w:rPr>
          <w:rFonts w:cstheme="minorHAnsi"/>
          <w:kern w:val="0"/>
          <w:sz w:val="24"/>
          <w:szCs w:val="24"/>
        </w:rPr>
        <w:t>,</w:t>
      </w:r>
      <w:r w:rsidR="0074797A" w:rsidRPr="00A102E3">
        <w:rPr>
          <w:rFonts w:cstheme="minorHAnsi"/>
          <w:kern w:val="0"/>
          <w:sz w:val="24"/>
          <w:szCs w:val="24"/>
        </w:rPr>
        <w:t xml:space="preserve"> without </w:t>
      </w:r>
      <w:r w:rsidR="00721F3C" w:rsidRPr="00A102E3">
        <w:rPr>
          <w:rFonts w:cstheme="minorHAnsi"/>
          <w:kern w:val="0"/>
          <w:sz w:val="24"/>
          <w:szCs w:val="24"/>
        </w:rPr>
        <w:t xml:space="preserve">any </w:t>
      </w:r>
      <w:r w:rsidR="0074797A" w:rsidRPr="00A102E3">
        <w:rPr>
          <w:rFonts w:cstheme="minorHAnsi"/>
          <w:kern w:val="0"/>
          <w:sz w:val="24"/>
          <w:szCs w:val="24"/>
        </w:rPr>
        <w:t>Indigenous representation. Labelled the National Indigenous Reform Agreement (NIRA)</w:t>
      </w:r>
      <w:r w:rsidR="00154E75" w:rsidRPr="00A102E3">
        <w:rPr>
          <w:rFonts w:cstheme="minorHAnsi"/>
          <w:kern w:val="0"/>
          <w:sz w:val="24"/>
          <w:szCs w:val="24"/>
        </w:rPr>
        <w:t xml:space="preserve"> on Closing the Gap</w:t>
      </w:r>
      <w:r w:rsidR="0074797A" w:rsidRPr="00A102E3">
        <w:rPr>
          <w:rFonts w:cstheme="minorHAnsi"/>
          <w:kern w:val="0"/>
          <w:sz w:val="24"/>
          <w:szCs w:val="24"/>
        </w:rPr>
        <w:t xml:space="preserve"> it ran from 2008 to 2018, set out to achieve seven </w:t>
      </w:r>
      <w:r w:rsidR="00721F3C" w:rsidRPr="00A102E3">
        <w:rPr>
          <w:rFonts w:cstheme="minorHAnsi"/>
          <w:kern w:val="0"/>
          <w:sz w:val="24"/>
          <w:szCs w:val="24"/>
        </w:rPr>
        <w:t>modest</w:t>
      </w:r>
      <w:r w:rsidR="0074797A" w:rsidRPr="00A102E3">
        <w:rPr>
          <w:rFonts w:cstheme="minorHAnsi"/>
          <w:kern w:val="0"/>
          <w:sz w:val="24"/>
          <w:szCs w:val="24"/>
        </w:rPr>
        <w:t xml:space="preserve"> targets at the national level between Indigenous and other Australians</w:t>
      </w:r>
      <w:r w:rsidR="003F47D2">
        <w:rPr>
          <w:rFonts w:cstheme="minorHAnsi"/>
          <w:kern w:val="0"/>
          <w:sz w:val="24"/>
          <w:szCs w:val="24"/>
        </w:rPr>
        <w:t xml:space="preserve"> and</w:t>
      </w:r>
      <w:r w:rsidR="0074797A" w:rsidRPr="00A102E3">
        <w:rPr>
          <w:rFonts w:cstheme="minorHAnsi"/>
          <w:kern w:val="0"/>
          <w:sz w:val="24"/>
          <w:szCs w:val="24"/>
        </w:rPr>
        <w:t xml:space="preserve"> failed at </w:t>
      </w:r>
      <w:r w:rsidR="00154E75" w:rsidRPr="00A102E3">
        <w:rPr>
          <w:rFonts w:cstheme="minorHAnsi"/>
          <w:kern w:val="0"/>
          <w:sz w:val="24"/>
          <w:szCs w:val="24"/>
        </w:rPr>
        <w:t xml:space="preserve">both </w:t>
      </w:r>
      <w:r w:rsidR="0074797A" w:rsidRPr="00A102E3">
        <w:rPr>
          <w:rFonts w:cstheme="minorHAnsi"/>
          <w:kern w:val="0"/>
          <w:sz w:val="24"/>
          <w:szCs w:val="24"/>
        </w:rPr>
        <w:t>the national and sub-national level</w:t>
      </w:r>
      <w:r w:rsidR="00154E75" w:rsidRPr="00A102E3">
        <w:rPr>
          <w:rFonts w:cstheme="minorHAnsi"/>
          <w:kern w:val="0"/>
          <w:sz w:val="24"/>
          <w:szCs w:val="24"/>
        </w:rPr>
        <w:t>s</w:t>
      </w:r>
      <w:r w:rsidR="00721F3C" w:rsidRPr="00A102E3">
        <w:rPr>
          <w:rFonts w:cstheme="minorHAnsi"/>
          <w:kern w:val="0"/>
          <w:sz w:val="24"/>
          <w:szCs w:val="24"/>
        </w:rPr>
        <w:t xml:space="preserve"> to meet all but two of its goals The reasons for its failure can be debated, I have argued elsewhere that it was conceptually flawed from the outset despite its positive intent to reduce socioeconomic disparities between Indigenous and other Australians; and its implementation was also likely wanting. I </w:t>
      </w:r>
      <w:r w:rsidR="003F47D2" w:rsidRPr="00A102E3">
        <w:rPr>
          <w:rFonts w:cstheme="minorHAnsi"/>
          <w:kern w:val="0"/>
          <w:sz w:val="24"/>
          <w:szCs w:val="24"/>
        </w:rPr>
        <w:t>will not</w:t>
      </w:r>
      <w:r w:rsidR="00721F3C" w:rsidRPr="00A102E3">
        <w:rPr>
          <w:rFonts w:cstheme="minorHAnsi"/>
          <w:kern w:val="0"/>
          <w:sz w:val="24"/>
          <w:szCs w:val="24"/>
        </w:rPr>
        <w:t xml:space="preserve"> analyse that complex history here.</w:t>
      </w:r>
    </w:p>
    <w:p w14:paraId="40B7B02F" w14:textId="2BEA5B80" w:rsidR="00224BF2" w:rsidRPr="00A102E3" w:rsidRDefault="00224BF2" w:rsidP="00D5680A">
      <w:pPr>
        <w:autoSpaceDE w:val="0"/>
        <w:autoSpaceDN w:val="0"/>
        <w:adjustRightInd w:val="0"/>
        <w:spacing w:after="0" w:line="240" w:lineRule="auto"/>
        <w:rPr>
          <w:rFonts w:cstheme="minorHAnsi"/>
          <w:kern w:val="0"/>
          <w:sz w:val="24"/>
          <w:szCs w:val="24"/>
        </w:rPr>
      </w:pPr>
      <w:r w:rsidRPr="00A102E3">
        <w:rPr>
          <w:rFonts w:cstheme="minorHAnsi"/>
          <w:kern w:val="0"/>
          <w:sz w:val="24"/>
          <w:szCs w:val="24"/>
        </w:rPr>
        <w:lastRenderedPageBreak/>
        <w:t>T</w:t>
      </w:r>
      <w:r w:rsidR="0074797A" w:rsidRPr="00A102E3">
        <w:rPr>
          <w:rFonts w:cstheme="minorHAnsi"/>
          <w:kern w:val="0"/>
          <w:sz w:val="24"/>
          <w:szCs w:val="24"/>
        </w:rPr>
        <w:t>he National Agreement negotiated between the end of 2018 and mid 2020 needs to be seen in th</w:t>
      </w:r>
      <w:r w:rsidR="00154E75" w:rsidRPr="00A102E3">
        <w:rPr>
          <w:rFonts w:cstheme="minorHAnsi"/>
          <w:kern w:val="0"/>
          <w:sz w:val="24"/>
          <w:szCs w:val="24"/>
        </w:rPr>
        <w:t>is</w:t>
      </w:r>
      <w:r w:rsidR="0074797A" w:rsidRPr="00A102E3">
        <w:rPr>
          <w:rFonts w:cstheme="minorHAnsi"/>
          <w:kern w:val="0"/>
          <w:sz w:val="24"/>
          <w:szCs w:val="24"/>
        </w:rPr>
        <w:t xml:space="preserve"> context. </w:t>
      </w:r>
      <w:r w:rsidR="006F4117" w:rsidRPr="00A102E3">
        <w:rPr>
          <w:rFonts w:cstheme="minorHAnsi"/>
          <w:kern w:val="0"/>
          <w:sz w:val="24"/>
          <w:szCs w:val="24"/>
        </w:rPr>
        <w:t>Mandated a</w:t>
      </w:r>
      <w:r w:rsidR="0074797A" w:rsidRPr="00A102E3">
        <w:rPr>
          <w:rFonts w:cstheme="minorHAnsi"/>
          <w:kern w:val="0"/>
          <w:sz w:val="24"/>
          <w:szCs w:val="24"/>
        </w:rPr>
        <w:t xml:space="preserve">nnual reports to the Australian parliament </w:t>
      </w:r>
      <w:r w:rsidRPr="00A102E3">
        <w:rPr>
          <w:rFonts w:cstheme="minorHAnsi"/>
          <w:kern w:val="0"/>
          <w:sz w:val="24"/>
          <w:szCs w:val="24"/>
        </w:rPr>
        <w:t xml:space="preserve">between 2009 and 2018 regularly </w:t>
      </w:r>
      <w:r w:rsidR="006F4117" w:rsidRPr="00A102E3">
        <w:rPr>
          <w:rFonts w:cstheme="minorHAnsi"/>
          <w:kern w:val="0"/>
          <w:sz w:val="24"/>
          <w:szCs w:val="24"/>
        </w:rPr>
        <w:t xml:space="preserve">documented </w:t>
      </w:r>
      <w:r w:rsidR="004D6038" w:rsidRPr="00A102E3">
        <w:rPr>
          <w:rFonts w:cstheme="minorHAnsi"/>
          <w:kern w:val="0"/>
          <w:sz w:val="24"/>
          <w:szCs w:val="24"/>
        </w:rPr>
        <w:t xml:space="preserve">that </w:t>
      </w:r>
      <w:r w:rsidR="0074797A" w:rsidRPr="00A102E3">
        <w:rPr>
          <w:rFonts w:cstheme="minorHAnsi"/>
          <w:kern w:val="0"/>
          <w:sz w:val="24"/>
          <w:szCs w:val="24"/>
        </w:rPr>
        <w:t xml:space="preserve">NIRA </w:t>
      </w:r>
      <w:r w:rsidR="004D6038" w:rsidRPr="00A102E3">
        <w:rPr>
          <w:rFonts w:cstheme="minorHAnsi"/>
          <w:kern w:val="0"/>
          <w:sz w:val="24"/>
          <w:szCs w:val="24"/>
        </w:rPr>
        <w:t xml:space="preserve">was </w:t>
      </w:r>
      <w:r w:rsidR="0074797A" w:rsidRPr="00A102E3">
        <w:rPr>
          <w:rFonts w:cstheme="minorHAnsi"/>
          <w:kern w:val="0"/>
          <w:sz w:val="24"/>
          <w:szCs w:val="24"/>
        </w:rPr>
        <w:t>fail</w:t>
      </w:r>
      <w:r w:rsidR="004D6038" w:rsidRPr="00A102E3">
        <w:rPr>
          <w:rFonts w:cstheme="minorHAnsi"/>
          <w:kern w:val="0"/>
          <w:sz w:val="24"/>
          <w:szCs w:val="24"/>
        </w:rPr>
        <w:t>ing</w:t>
      </w:r>
      <w:r w:rsidR="0074797A" w:rsidRPr="00A102E3">
        <w:rPr>
          <w:rFonts w:cstheme="minorHAnsi"/>
          <w:kern w:val="0"/>
          <w:sz w:val="24"/>
          <w:szCs w:val="24"/>
        </w:rPr>
        <w:t xml:space="preserve"> to </w:t>
      </w:r>
      <w:r w:rsidR="00154E75" w:rsidRPr="00A102E3">
        <w:rPr>
          <w:rFonts w:cstheme="minorHAnsi"/>
          <w:kern w:val="0"/>
          <w:sz w:val="24"/>
          <w:szCs w:val="24"/>
        </w:rPr>
        <w:t>achieve</w:t>
      </w:r>
      <w:r w:rsidR="0074797A" w:rsidRPr="00A102E3">
        <w:rPr>
          <w:rFonts w:cstheme="minorHAnsi"/>
          <w:kern w:val="0"/>
          <w:sz w:val="24"/>
          <w:szCs w:val="24"/>
        </w:rPr>
        <w:t xml:space="preserve"> its targets</w:t>
      </w:r>
      <w:r w:rsidRPr="00A102E3">
        <w:rPr>
          <w:rFonts w:cstheme="minorHAnsi"/>
          <w:kern w:val="0"/>
          <w:sz w:val="24"/>
          <w:szCs w:val="24"/>
        </w:rPr>
        <w:t xml:space="preserve">, yet </w:t>
      </w:r>
      <w:r w:rsidR="00154E75" w:rsidRPr="00A102E3">
        <w:rPr>
          <w:rFonts w:cstheme="minorHAnsi"/>
          <w:kern w:val="0"/>
          <w:sz w:val="24"/>
          <w:szCs w:val="24"/>
        </w:rPr>
        <w:t xml:space="preserve">government </w:t>
      </w:r>
      <w:r w:rsidRPr="00A102E3">
        <w:rPr>
          <w:rFonts w:cstheme="minorHAnsi"/>
          <w:kern w:val="0"/>
          <w:sz w:val="24"/>
          <w:szCs w:val="24"/>
        </w:rPr>
        <w:t xml:space="preserve">signatories to that agreement seemed </w:t>
      </w:r>
      <w:r w:rsidR="006F4117" w:rsidRPr="00A102E3">
        <w:rPr>
          <w:rFonts w:cstheme="minorHAnsi"/>
          <w:kern w:val="0"/>
          <w:sz w:val="24"/>
          <w:szCs w:val="24"/>
        </w:rPr>
        <w:t xml:space="preserve">either </w:t>
      </w:r>
      <w:r w:rsidRPr="00A102E3">
        <w:rPr>
          <w:rFonts w:cstheme="minorHAnsi"/>
          <w:kern w:val="0"/>
          <w:sz w:val="24"/>
          <w:szCs w:val="24"/>
        </w:rPr>
        <w:t>unwilling or incapable of addressing its shortcomings</w:t>
      </w:r>
      <w:r w:rsidR="0074797A" w:rsidRPr="00A102E3">
        <w:rPr>
          <w:rFonts w:cstheme="minorHAnsi"/>
          <w:kern w:val="0"/>
          <w:sz w:val="24"/>
          <w:szCs w:val="24"/>
        </w:rPr>
        <w:t xml:space="preserve">. </w:t>
      </w:r>
      <w:r w:rsidRPr="00A102E3">
        <w:rPr>
          <w:rFonts w:cstheme="minorHAnsi"/>
          <w:kern w:val="0"/>
          <w:sz w:val="24"/>
          <w:szCs w:val="24"/>
        </w:rPr>
        <w:t>NIRA’s</w:t>
      </w:r>
      <w:r w:rsidR="0074797A" w:rsidRPr="00A102E3">
        <w:rPr>
          <w:rFonts w:cstheme="minorHAnsi"/>
          <w:kern w:val="0"/>
          <w:sz w:val="24"/>
          <w:szCs w:val="24"/>
        </w:rPr>
        <w:t xml:space="preserve"> failure </w:t>
      </w:r>
      <w:r w:rsidRPr="00A102E3">
        <w:rPr>
          <w:rFonts w:cstheme="minorHAnsi"/>
          <w:kern w:val="0"/>
          <w:sz w:val="24"/>
          <w:szCs w:val="24"/>
        </w:rPr>
        <w:t xml:space="preserve">can </w:t>
      </w:r>
      <w:r w:rsidR="006F4117" w:rsidRPr="00A102E3">
        <w:rPr>
          <w:rFonts w:cstheme="minorHAnsi"/>
          <w:kern w:val="0"/>
          <w:sz w:val="24"/>
          <w:szCs w:val="24"/>
        </w:rPr>
        <w:t xml:space="preserve">additionally </w:t>
      </w:r>
      <w:r w:rsidRPr="00A102E3">
        <w:rPr>
          <w:rFonts w:cstheme="minorHAnsi"/>
          <w:kern w:val="0"/>
          <w:sz w:val="24"/>
          <w:szCs w:val="24"/>
        </w:rPr>
        <w:t>be</w:t>
      </w:r>
      <w:r w:rsidR="0074797A" w:rsidRPr="00A102E3">
        <w:rPr>
          <w:rFonts w:cstheme="minorHAnsi"/>
          <w:kern w:val="0"/>
          <w:sz w:val="24"/>
          <w:szCs w:val="24"/>
        </w:rPr>
        <w:t xml:space="preserve"> partially sheeted home to the lack of Indigenous representative participation in </w:t>
      </w:r>
      <w:r w:rsidRPr="00A102E3">
        <w:rPr>
          <w:rFonts w:cstheme="minorHAnsi"/>
          <w:kern w:val="0"/>
          <w:sz w:val="24"/>
          <w:szCs w:val="24"/>
        </w:rPr>
        <w:t>its development</w:t>
      </w:r>
      <w:r w:rsidR="0074797A" w:rsidRPr="00A102E3">
        <w:rPr>
          <w:rFonts w:cstheme="minorHAnsi"/>
          <w:kern w:val="0"/>
          <w:sz w:val="24"/>
          <w:szCs w:val="24"/>
        </w:rPr>
        <w:t xml:space="preserve"> </w:t>
      </w:r>
      <w:r w:rsidRPr="00A102E3">
        <w:rPr>
          <w:rFonts w:cstheme="minorHAnsi"/>
          <w:kern w:val="0"/>
          <w:sz w:val="24"/>
          <w:szCs w:val="24"/>
        </w:rPr>
        <w:t xml:space="preserve">and partly to the failure of governments to be held accountable for inadequate performance or to </w:t>
      </w:r>
      <w:r w:rsidR="006F4117" w:rsidRPr="00A102E3">
        <w:rPr>
          <w:rFonts w:cstheme="minorHAnsi"/>
          <w:kern w:val="0"/>
          <w:sz w:val="24"/>
          <w:szCs w:val="24"/>
        </w:rPr>
        <w:t xml:space="preserve">rapidly </w:t>
      </w:r>
      <w:r w:rsidRPr="00A102E3">
        <w:rPr>
          <w:rFonts w:cstheme="minorHAnsi"/>
          <w:kern w:val="0"/>
          <w:sz w:val="24"/>
          <w:szCs w:val="24"/>
        </w:rPr>
        <w:t>change approach when faced by consistent reporting of failure.</w:t>
      </w:r>
      <w:r w:rsidR="006F4117" w:rsidRPr="00A102E3">
        <w:rPr>
          <w:rFonts w:cstheme="minorHAnsi"/>
          <w:kern w:val="0"/>
          <w:sz w:val="24"/>
          <w:szCs w:val="24"/>
        </w:rPr>
        <w:t xml:space="preserve"> </w:t>
      </w:r>
    </w:p>
    <w:p w14:paraId="24C96B65" w14:textId="77777777" w:rsidR="00224BF2" w:rsidRPr="00A102E3" w:rsidRDefault="00224BF2" w:rsidP="00D5680A">
      <w:pPr>
        <w:autoSpaceDE w:val="0"/>
        <w:autoSpaceDN w:val="0"/>
        <w:adjustRightInd w:val="0"/>
        <w:spacing w:after="0" w:line="240" w:lineRule="auto"/>
        <w:rPr>
          <w:rFonts w:cstheme="minorHAnsi"/>
          <w:kern w:val="0"/>
          <w:sz w:val="24"/>
          <w:szCs w:val="24"/>
        </w:rPr>
      </w:pPr>
    </w:p>
    <w:p w14:paraId="4C70EB07" w14:textId="1E532899" w:rsidR="00387F5F" w:rsidRPr="00A102E3" w:rsidRDefault="006F4117" w:rsidP="00D5680A">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A Closing the Gap ‘Refresh’ process was </w:t>
      </w:r>
      <w:r w:rsidR="003F47D2" w:rsidRPr="00A102E3">
        <w:rPr>
          <w:rFonts w:cstheme="minorHAnsi"/>
          <w:kern w:val="0"/>
          <w:sz w:val="24"/>
          <w:szCs w:val="24"/>
        </w:rPr>
        <w:t>driven</w:t>
      </w:r>
      <w:r w:rsidRPr="00A102E3">
        <w:rPr>
          <w:rFonts w:cstheme="minorHAnsi"/>
          <w:kern w:val="0"/>
          <w:sz w:val="24"/>
          <w:szCs w:val="24"/>
        </w:rPr>
        <w:t xml:space="preserve"> by the new Coalition of Peaks established as a grassroots alliance in 2018 and initially consisting of just 13 peak organisations. In the absence of a national Indigenous representative organisation (the </w:t>
      </w:r>
      <w:r w:rsidR="008913EC" w:rsidRPr="00A102E3">
        <w:rPr>
          <w:rFonts w:cstheme="minorHAnsi"/>
          <w:kern w:val="0"/>
          <w:sz w:val="24"/>
          <w:szCs w:val="24"/>
        </w:rPr>
        <w:t xml:space="preserve">then </w:t>
      </w:r>
      <w:r w:rsidRPr="00A102E3">
        <w:rPr>
          <w:rFonts w:cstheme="minorHAnsi"/>
          <w:kern w:val="0"/>
          <w:sz w:val="24"/>
          <w:szCs w:val="24"/>
        </w:rPr>
        <w:t xml:space="preserve">existing </w:t>
      </w:r>
      <w:r w:rsidR="008913EC" w:rsidRPr="00A102E3">
        <w:rPr>
          <w:rFonts w:cstheme="minorHAnsi"/>
          <w:kern w:val="0"/>
          <w:sz w:val="24"/>
          <w:szCs w:val="24"/>
        </w:rPr>
        <w:t xml:space="preserve">National </w:t>
      </w:r>
      <w:r w:rsidRPr="00A102E3">
        <w:rPr>
          <w:rFonts w:cstheme="minorHAnsi"/>
          <w:kern w:val="0"/>
          <w:sz w:val="24"/>
          <w:szCs w:val="24"/>
        </w:rPr>
        <w:t xml:space="preserve">Congress of Australia’s First Peoples was </w:t>
      </w:r>
      <w:r w:rsidR="00A102E3">
        <w:rPr>
          <w:rFonts w:cstheme="minorHAnsi"/>
          <w:kern w:val="0"/>
          <w:sz w:val="24"/>
          <w:szCs w:val="24"/>
        </w:rPr>
        <w:t>unfunded</w:t>
      </w:r>
      <w:r w:rsidR="008C1DCC" w:rsidRPr="00A102E3">
        <w:rPr>
          <w:rFonts w:cstheme="minorHAnsi"/>
          <w:kern w:val="0"/>
          <w:sz w:val="24"/>
          <w:szCs w:val="24"/>
        </w:rPr>
        <w:t xml:space="preserve"> by the Australian government and so struggling) the Coalition of Peaks successfully insisted that they be provided a co-designing seat at the table. Consequently, t</w:t>
      </w:r>
      <w:r w:rsidR="00224BF2" w:rsidRPr="00A102E3">
        <w:rPr>
          <w:rFonts w:cstheme="minorHAnsi"/>
          <w:kern w:val="0"/>
          <w:sz w:val="24"/>
          <w:szCs w:val="24"/>
        </w:rPr>
        <w:t xml:space="preserve">he National Agreement of 2020 is </w:t>
      </w:r>
      <w:r w:rsidR="003F47D2" w:rsidRPr="00A102E3">
        <w:rPr>
          <w:rFonts w:cstheme="minorHAnsi"/>
          <w:kern w:val="0"/>
          <w:sz w:val="24"/>
          <w:szCs w:val="24"/>
        </w:rPr>
        <w:t>a quite different</w:t>
      </w:r>
      <w:r w:rsidR="008C1DCC" w:rsidRPr="00A102E3">
        <w:rPr>
          <w:rFonts w:cstheme="minorHAnsi"/>
          <w:kern w:val="0"/>
          <w:sz w:val="24"/>
          <w:szCs w:val="24"/>
        </w:rPr>
        <w:t xml:space="preserve"> and </w:t>
      </w:r>
      <w:r w:rsidR="00224BF2" w:rsidRPr="00A102E3">
        <w:rPr>
          <w:rFonts w:cstheme="minorHAnsi"/>
          <w:kern w:val="0"/>
          <w:sz w:val="24"/>
          <w:szCs w:val="24"/>
        </w:rPr>
        <w:t xml:space="preserve">highly aspirational policy framework. </w:t>
      </w:r>
      <w:r w:rsidR="00387F5F" w:rsidRPr="00A102E3">
        <w:rPr>
          <w:rFonts w:cstheme="minorHAnsi"/>
          <w:kern w:val="0"/>
          <w:sz w:val="24"/>
          <w:szCs w:val="24"/>
        </w:rPr>
        <w:t xml:space="preserve">It looks to fundamentally </w:t>
      </w:r>
      <w:r w:rsidR="008C1DCC" w:rsidRPr="00A102E3">
        <w:rPr>
          <w:rFonts w:cstheme="minorHAnsi"/>
          <w:kern w:val="0"/>
          <w:sz w:val="24"/>
          <w:szCs w:val="24"/>
        </w:rPr>
        <w:t xml:space="preserve">reshape </w:t>
      </w:r>
      <w:r w:rsidR="00387F5F" w:rsidRPr="00A102E3">
        <w:rPr>
          <w:rFonts w:cstheme="minorHAnsi"/>
          <w:kern w:val="0"/>
          <w:sz w:val="24"/>
          <w:szCs w:val="24"/>
        </w:rPr>
        <w:t xml:space="preserve">the way government </w:t>
      </w:r>
      <w:r w:rsidR="008C1DCC" w:rsidRPr="00A102E3">
        <w:rPr>
          <w:rFonts w:cstheme="minorHAnsi"/>
          <w:kern w:val="0"/>
          <w:sz w:val="24"/>
          <w:szCs w:val="24"/>
        </w:rPr>
        <w:t xml:space="preserve">policies are developed and </w:t>
      </w:r>
      <w:r w:rsidR="00387F5F" w:rsidRPr="00A102E3">
        <w:rPr>
          <w:rFonts w:cstheme="minorHAnsi"/>
          <w:kern w:val="0"/>
          <w:sz w:val="24"/>
          <w:szCs w:val="24"/>
        </w:rPr>
        <w:t>programs are delivered to Indigenous Australians</w:t>
      </w:r>
      <w:r w:rsidR="008C1DCC" w:rsidRPr="00A102E3">
        <w:rPr>
          <w:rFonts w:cstheme="minorHAnsi"/>
          <w:kern w:val="0"/>
          <w:sz w:val="24"/>
          <w:szCs w:val="24"/>
        </w:rPr>
        <w:t>. It includes</w:t>
      </w:r>
      <w:r w:rsidR="00387F5F" w:rsidRPr="00A102E3">
        <w:rPr>
          <w:rFonts w:cstheme="minorHAnsi"/>
          <w:kern w:val="0"/>
          <w:sz w:val="24"/>
          <w:szCs w:val="24"/>
        </w:rPr>
        <w:t xml:space="preserve"> four </w:t>
      </w:r>
      <w:r w:rsidR="00154E75" w:rsidRPr="00A102E3">
        <w:rPr>
          <w:rFonts w:cstheme="minorHAnsi"/>
          <w:kern w:val="0"/>
          <w:sz w:val="24"/>
          <w:szCs w:val="24"/>
        </w:rPr>
        <w:t>P</w:t>
      </w:r>
      <w:r w:rsidR="00387F5F" w:rsidRPr="00A102E3">
        <w:rPr>
          <w:rFonts w:cstheme="minorHAnsi"/>
          <w:kern w:val="0"/>
          <w:sz w:val="24"/>
          <w:szCs w:val="24"/>
        </w:rPr>
        <w:t xml:space="preserve">riority </w:t>
      </w:r>
      <w:proofErr w:type="gramStart"/>
      <w:r w:rsidR="00154E75" w:rsidRPr="00A102E3">
        <w:rPr>
          <w:rFonts w:cstheme="minorHAnsi"/>
          <w:kern w:val="0"/>
          <w:sz w:val="24"/>
          <w:szCs w:val="24"/>
        </w:rPr>
        <w:t>R</w:t>
      </w:r>
      <w:r w:rsidR="00387F5F" w:rsidRPr="00A102E3">
        <w:rPr>
          <w:rFonts w:cstheme="minorHAnsi"/>
          <w:kern w:val="0"/>
          <w:sz w:val="24"/>
          <w:szCs w:val="24"/>
        </w:rPr>
        <w:t>eforms</w:t>
      </w:r>
      <w:proofErr w:type="gramEnd"/>
      <w:r w:rsidR="008C1DCC" w:rsidRPr="00A102E3">
        <w:rPr>
          <w:rFonts w:cstheme="minorHAnsi"/>
          <w:kern w:val="0"/>
          <w:sz w:val="24"/>
          <w:szCs w:val="24"/>
        </w:rPr>
        <w:t xml:space="preserve"> </w:t>
      </w:r>
      <w:r w:rsidR="00387F5F" w:rsidRPr="00A102E3">
        <w:rPr>
          <w:rFonts w:cstheme="minorHAnsi"/>
          <w:kern w:val="0"/>
          <w:sz w:val="24"/>
          <w:szCs w:val="24"/>
        </w:rPr>
        <w:t xml:space="preserve">and it increases the number of targets to be met from NIRA’s seven to 19 (two targets 9 and 15 have two parts). </w:t>
      </w:r>
      <w:r w:rsidR="008C1DCC" w:rsidRPr="00A102E3">
        <w:rPr>
          <w:rFonts w:cstheme="minorHAnsi"/>
          <w:kern w:val="0"/>
          <w:sz w:val="24"/>
          <w:szCs w:val="24"/>
        </w:rPr>
        <w:t xml:space="preserve">As </w:t>
      </w:r>
      <w:r w:rsidR="00387F5F" w:rsidRPr="00A102E3">
        <w:rPr>
          <w:rFonts w:cstheme="minorHAnsi"/>
          <w:kern w:val="0"/>
          <w:sz w:val="24"/>
          <w:szCs w:val="24"/>
        </w:rPr>
        <w:t>in NIRA,</w:t>
      </w:r>
      <w:r w:rsidR="00224BF2" w:rsidRPr="00A102E3">
        <w:rPr>
          <w:rFonts w:cstheme="minorHAnsi"/>
          <w:kern w:val="0"/>
          <w:sz w:val="24"/>
          <w:szCs w:val="24"/>
        </w:rPr>
        <w:t xml:space="preserve"> </w:t>
      </w:r>
      <w:r w:rsidR="00387F5F" w:rsidRPr="00A102E3">
        <w:rPr>
          <w:rFonts w:cstheme="minorHAnsi"/>
          <w:kern w:val="0"/>
          <w:sz w:val="24"/>
          <w:szCs w:val="24"/>
        </w:rPr>
        <w:t xml:space="preserve">the targets are set to various timeframes, most to 2030 or 2031; all are set at the national level </w:t>
      </w:r>
      <w:r w:rsidR="004D6038" w:rsidRPr="00A102E3">
        <w:rPr>
          <w:rFonts w:cstheme="minorHAnsi"/>
          <w:kern w:val="0"/>
          <w:sz w:val="24"/>
          <w:szCs w:val="24"/>
        </w:rPr>
        <w:t>and</w:t>
      </w:r>
      <w:r w:rsidR="00387F5F" w:rsidRPr="00A102E3">
        <w:rPr>
          <w:rFonts w:cstheme="minorHAnsi"/>
          <w:kern w:val="0"/>
          <w:sz w:val="24"/>
          <w:szCs w:val="24"/>
        </w:rPr>
        <w:t xml:space="preserve"> require subnational reporting (at state/territory and regional levels); all but two targets set </w:t>
      </w:r>
      <w:r w:rsidR="008C1DCC" w:rsidRPr="00A102E3">
        <w:rPr>
          <w:rFonts w:cstheme="minorHAnsi"/>
          <w:kern w:val="0"/>
          <w:sz w:val="24"/>
          <w:szCs w:val="24"/>
        </w:rPr>
        <w:t xml:space="preserve">modest </w:t>
      </w:r>
      <w:r w:rsidR="00387F5F" w:rsidRPr="00A102E3">
        <w:rPr>
          <w:rFonts w:cstheme="minorHAnsi"/>
          <w:kern w:val="0"/>
          <w:sz w:val="24"/>
          <w:szCs w:val="24"/>
        </w:rPr>
        <w:t>absolute</w:t>
      </w:r>
      <w:r w:rsidR="003F47D2">
        <w:rPr>
          <w:rFonts w:cstheme="minorHAnsi"/>
          <w:kern w:val="0"/>
          <w:sz w:val="24"/>
          <w:szCs w:val="24"/>
        </w:rPr>
        <w:t>,</w:t>
      </w:r>
      <w:r w:rsidR="00387F5F" w:rsidRPr="00A102E3">
        <w:rPr>
          <w:rFonts w:cstheme="minorHAnsi"/>
          <w:kern w:val="0"/>
          <w:sz w:val="24"/>
          <w:szCs w:val="24"/>
        </w:rPr>
        <w:t xml:space="preserve"> rather than relative</w:t>
      </w:r>
      <w:r w:rsidR="003F47D2">
        <w:rPr>
          <w:rFonts w:cstheme="minorHAnsi"/>
          <w:kern w:val="0"/>
          <w:sz w:val="24"/>
          <w:szCs w:val="24"/>
        </w:rPr>
        <w:t>,</w:t>
      </w:r>
      <w:r w:rsidR="00387F5F" w:rsidRPr="00A102E3">
        <w:rPr>
          <w:rFonts w:cstheme="minorHAnsi"/>
          <w:kern w:val="0"/>
          <w:sz w:val="24"/>
          <w:szCs w:val="24"/>
        </w:rPr>
        <w:t xml:space="preserve"> outcomes goals</w:t>
      </w:r>
      <w:r w:rsidR="008C1DCC" w:rsidRPr="00A102E3">
        <w:rPr>
          <w:rFonts w:cstheme="minorHAnsi"/>
          <w:kern w:val="0"/>
          <w:sz w:val="24"/>
          <w:szCs w:val="24"/>
        </w:rPr>
        <w:t xml:space="preserve"> (even though reporting of relative wellbeing is required)</w:t>
      </w:r>
      <w:r w:rsidR="00387F5F" w:rsidRPr="00A102E3">
        <w:rPr>
          <w:rFonts w:cstheme="minorHAnsi"/>
          <w:kern w:val="0"/>
          <w:sz w:val="24"/>
          <w:szCs w:val="24"/>
        </w:rPr>
        <w:t>; and while some goals are amenable to periodic statistical measurement, a number</w:t>
      </w:r>
      <w:r w:rsidR="00154E75" w:rsidRPr="00A102E3">
        <w:rPr>
          <w:rFonts w:cstheme="minorHAnsi"/>
          <w:kern w:val="0"/>
          <w:sz w:val="24"/>
          <w:szCs w:val="24"/>
        </w:rPr>
        <w:t>,</w:t>
      </w:r>
      <w:r w:rsidR="00387F5F" w:rsidRPr="00A102E3">
        <w:rPr>
          <w:rFonts w:cstheme="minorHAnsi"/>
          <w:kern w:val="0"/>
          <w:sz w:val="24"/>
          <w:szCs w:val="24"/>
        </w:rPr>
        <w:t xml:space="preserve"> including the </w:t>
      </w:r>
      <w:r w:rsidR="00154E75" w:rsidRPr="00A102E3">
        <w:rPr>
          <w:rFonts w:cstheme="minorHAnsi"/>
          <w:kern w:val="0"/>
          <w:sz w:val="24"/>
          <w:szCs w:val="24"/>
        </w:rPr>
        <w:t>P</w:t>
      </w:r>
      <w:r w:rsidR="00387F5F" w:rsidRPr="00A102E3">
        <w:rPr>
          <w:rFonts w:cstheme="minorHAnsi"/>
          <w:kern w:val="0"/>
          <w:sz w:val="24"/>
          <w:szCs w:val="24"/>
        </w:rPr>
        <w:t xml:space="preserve">riority </w:t>
      </w:r>
      <w:r w:rsidR="00154E75" w:rsidRPr="00A102E3">
        <w:rPr>
          <w:rFonts w:cstheme="minorHAnsi"/>
          <w:kern w:val="0"/>
          <w:sz w:val="24"/>
          <w:szCs w:val="24"/>
        </w:rPr>
        <w:t>R</w:t>
      </w:r>
      <w:r w:rsidR="00387F5F" w:rsidRPr="00A102E3">
        <w:rPr>
          <w:rFonts w:cstheme="minorHAnsi"/>
          <w:kern w:val="0"/>
          <w:sz w:val="24"/>
          <w:szCs w:val="24"/>
        </w:rPr>
        <w:t>eforms are not.</w:t>
      </w:r>
    </w:p>
    <w:p w14:paraId="2A51D534" w14:textId="77777777" w:rsidR="00387F5F" w:rsidRPr="00A102E3" w:rsidRDefault="00387F5F" w:rsidP="00D5680A">
      <w:pPr>
        <w:autoSpaceDE w:val="0"/>
        <w:autoSpaceDN w:val="0"/>
        <w:adjustRightInd w:val="0"/>
        <w:spacing w:after="0" w:line="240" w:lineRule="auto"/>
        <w:rPr>
          <w:rFonts w:cstheme="minorHAnsi"/>
          <w:kern w:val="0"/>
          <w:sz w:val="24"/>
          <w:szCs w:val="24"/>
        </w:rPr>
      </w:pPr>
    </w:p>
    <w:p w14:paraId="4A907FCD" w14:textId="65DFD227" w:rsidR="000E0113" w:rsidRPr="00A102E3" w:rsidRDefault="00387F5F" w:rsidP="000E0113">
      <w:pPr>
        <w:pStyle w:val="Default"/>
        <w:rPr>
          <w:rStyle w:val="A6"/>
          <w:rFonts w:asciiTheme="minorHAnsi" w:hAnsiTheme="minorHAnsi" w:cstheme="minorHAnsi"/>
          <w:color w:val="auto"/>
          <w:sz w:val="24"/>
          <w:szCs w:val="24"/>
        </w:rPr>
      </w:pPr>
      <w:r w:rsidRPr="00A102E3">
        <w:rPr>
          <w:rFonts w:asciiTheme="minorHAnsi" w:hAnsiTheme="minorHAnsi" w:cstheme="minorHAnsi"/>
          <w:color w:val="auto"/>
        </w:rPr>
        <w:t>The National Agreement</w:t>
      </w:r>
      <w:r w:rsidR="00264854" w:rsidRPr="00A102E3">
        <w:rPr>
          <w:rFonts w:asciiTheme="minorHAnsi" w:hAnsiTheme="minorHAnsi" w:cstheme="minorHAnsi"/>
          <w:color w:val="auto"/>
        </w:rPr>
        <w:t xml:space="preserve">’s implementation is overseen by </w:t>
      </w:r>
      <w:r w:rsidR="003F47D2">
        <w:rPr>
          <w:rFonts w:asciiTheme="minorHAnsi" w:hAnsiTheme="minorHAnsi" w:cstheme="minorHAnsi"/>
          <w:color w:val="auto"/>
        </w:rPr>
        <w:t>the</w:t>
      </w:r>
      <w:r w:rsidR="00264854" w:rsidRPr="00A102E3">
        <w:rPr>
          <w:rFonts w:asciiTheme="minorHAnsi" w:hAnsiTheme="minorHAnsi" w:cstheme="minorHAnsi"/>
          <w:color w:val="auto"/>
        </w:rPr>
        <w:t xml:space="preserve"> Joint Council on Closing the Gap with representation from the Commonwealth, </w:t>
      </w:r>
      <w:r w:rsidR="004D6038" w:rsidRPr="00A102E3">
        <w:rPr>
          <w:rFonts w:asciiTheme="minorHAnsi" w:hAnsiTheme="minorHAnsi" w:cstheme="minorHAnsi"/>
          <w:color w:val="auto"/>
        </w:rPr>
        <w:t>s</w:t>
      </w:r>
      <w:r w:rsidR="00264854" w:rsidRPr="00A102E3">
        <w:rPr>
          <w:rFonts w:asciiTheme="minorHAnsi" w:hAnsiTheme="minorHAnsi" w:cstheme="minorHAnsi"/>
          <w:color w:val="auto"/>
        </w:rPr>
        <w:t xml:space="preserve">tate and </w:t>
      </w:r>
      <w:r w:rsidR="004D6038" w:rsidRPr="00A102E3">
        <w:rPr>
          <w:rFonts w:asciiTheme="minorHAnsi" w:hAnsiTheme="minorHAnsi" w:cstheme="minorHAnsi"/>
          <w:color w:val="auto"/>
        </w:rPr>
        <w:t>t</w:t>
      </w:r>
      <w:r w:rsidR="00264854" w:rsidRPr="00A102E3">
        <w:rPr>
          <w:rFonts w:asciiTheme="minorHAnsi" w:hAnsiTheme="minorHAnsi" w:cstheme="minorHAnsi"/>
          <w:color w:val="auto"/>
        </w:rPr>
        <w:t xml:space="preserve">erritory governments, the </w:t>
      </w:r>
      <w:r w:rsidR="00154E75" w:rsidRPr="00A102E3">
        <w:rPr>
          <w:rFonts w:asciiTheme="minorHAnsi" w:hAnsiTheme="minorHAnsi" w:cstheme="minorHAnsi"/>
          <w:color w:val="auto"/>
        </w:rPr>
        <w:t>Australian L</w:t>
      </w:r>
      <w:r w:rsidR="00264854" w:rsidRPr="00A102E3">
        <w:rPr>
          <w:rFonts w:asciiTheme="minorHAnsi" w:hAnsiTheme="minorHAnsi" w:cstheme="minorHAnsi"/>
          <w:color w:val="auto"/>
        </w:rPr>
        <w:t xml:space="preserve">ocal </w:t>
      </w:r>
      <w:r w:rsidR="00154E75" w:rsidRPr="00A102E3">
        <w:rPr>
          <w:rFonts w:asciiTheme="minorHAnsi" w:hAnsiTheme="minorHAnsi" w:cstheme="minorHAnsi"/>
          <w:color w:val="auto"/>
        </w:rPr>
        <w:t>G</w:t>
      </w:r>
      <w:r w:rsidR="00264854" w:rsidRPr="00A102E3">
        <w:rPr>
          <w:rFonts w:asciiTheme="minorHAnsi" w:hAnsiTheme="minorHAnsi" w:cstheme="minorHAnsi"/>
          <w:color w:val="auto"/>
        </w:rPr>
        <w:t xml:space="preserve">overnment </w:t>
      </w:r>
      <w:r w:rsidR="00154E75" w:rsidRPr="00A102E3">
        <w:rPr>
          <w:rFonts w:asciiTheme="minorHAnsi" w:hAnsiTheme="minorHAnsi" w:cstheme="minorHAnsi"/>
          <w:color w:val="auto"/>
        </w:rPr>
        <w:t>A</w:t>
      </w:r>
      <w:r w:rsidR="00264854" w:rsidRPr="00A102E3">
        <w:rPr>
          <w:rFonts w:asciiTheme="minorHAnsi" w:hAnsiTheme="minorHAnsi" w:cstheme="minorHAnsi"/>
          <w:color w:val="auto"/>
        </w:rPr>
        <w:t xml:space="preserve">ssociation, and the Coalition of Peaks </w:t>
      </w:r>
      <w:r w:rsidR="004D6038" w:rsidRPr="00A102E3">
        <w:rPr>
          <w:rFonts w:asciiTheme="minorHAnsi" w:hAnsiTheme="minorHAnsi" w:cstheme="minorHAnsi"/>
          <w:color w:val="auto"/>
        </w:rPr>
        <w:t xml:space="preserve">that </w:t>
      </w:r>
      <w:r w:rsidR="00264854" w:rsidRPr="00A102E3">
        <w:rPr>
          <w:rFonts w:asciiTheme="minorHAnsi" w:hAnsiTheme="minorHAnsi" w:cstheme="minorHAnsi"/>
          <w:color w:val="auto"/>
        </w:rPr>
        <w:t>has majority representation</w:t>
      </w:r>
      <w:r w:rsidR="008C1DCC" w:rsidRPr="00A102E3">
        <w:rPr>
          <w:rFonts w:asciiTheme="minorHAnsi" w:hAnsiTheme="minorHAnsi" w:cstheme="minorHAnsi"/>
          <w:color w:val="auto"/>
        </w:rPr>
        <w:t xml:space="preserve"> that cannot </w:t>
      </w:r>
      <w:r w:rsidR="003F47D2">
        <w:rPr>
          <w:rFonts w:asciiTheme="minorHAnsi" w:hAnsiTheme="minorHAnsi" w:cstheme="minorHAnsi"/>
          <w:color w:val="auto"/>
        </w:rPr>
        <w:t xml:space="preserve">however </w:t>
      </w:r>
      <w:r w:rsidR="008C1DCC" w:rsidRPr="00A102E3">
        <w:rPr>
          <w:rFonts w:asciiTheme="minorHAnsi" w:hAnsiTheme="minorHAnsi" w:cstheme="minorHAnsi"/>
          <w:color w:val="auto"/>
        </w:rPr>
        <w:t>be equated with majority of power</w:t>
      </w:r>
      <w:r w:rsidR="00264854" w:rsidRPr="00A102E3">
        <w:rPr>
          <w:rFonts w:asciiTheme="minorHAnsi" w:hAnsiTheme="minorHAnsi" w:cstheme="minorHAnsi"/>
          <w:color w:val="auto"/>
        </w:rPr>
        <w:t>. There is</w:t>
      </w:r>
      <w:r w:rsidRPr="00A102E3">
        <w:rPr>
          <w:rFonts w:asciiTheme="minorHAnsi" w:hAnsiTheme="minorHAnsi" w:cstheme="minorHAnsi"/>
          <w:color w:val="auto"/>
        </w:rPr>
        <w:t xml:space="preserve"> a heavy emphasis on </w:t>
      </w:r>
      <w:r w:rsidR="00264854" w:rsidRPr="00A102E3">
        <w:rPr>
          <w:rFonts w:asciiTheme="minorHAnsi" w:hAnsiTheme="minorHAnsi" w:cstheme="minorHAnsi"/>
          <w:color w:val="auto"/>
        </w:rPr>
        <w:t xml:space="preserve">implementation and </w:t>
      </w:r>
      <w:r w:rsidRPr="00A102E3">
        <w:rPr>
          <w:rFonts w:asciiTheme="minorHAnsi" w:hAnsiTheme="minorHAnsi" w:cstheme="minorHAnsi"/>
          <w:color w:val="auto"/>
        </w:rPr>
        <w:t xml:space="preserve">independent monitoring of performance and progress in achieving both </w:t>
      </w:r>
      <w:r w:rsidR="00264854" w:rsidRPr="00A102E3">
        <w:rPr>
          <w:rFonts w:asciiTheme="minorHAnsi" w:hAnsiTheme="minorHAnsi" w:cstheme="minorHAnsi"/>
          <w:color w:val="auto"/>
        </w:rPr>
        <w:t>P</w:t>
      </w:r>
      <w:r w:rsidRPr="00A102E3">
        <w:rPr>
          <w:rFonts w:asciiTheme="minorHAnsi" w:hAnsiTheme="minorHAnsi" w:cstheme="minorHAnsi"/>
          <w:color w:val="auto"/>
        </w:rPr>
        <w:t xml:space="preserve">riority </w:t>
      </w:r>
      <w:r w:rsidR="00264854" w:rsidRPr="00A102E3">
        <w:rPr>
          <w:rFonts w:asciiTheme="minorHAnsi" w:hAnsiTheme="minorHAnsi" w:cstheme="minorHAnsi"/>
          <w:color w:val="auto"/>
        </w:rPr>
        <w:t>R</w:t>
      </w:r>
      <w:r w:rsidRPr="00A102E3">
        <w:rPr>
          <w:rFonts w:asciiTheme="minorHAnsi" w:hAnsiTheme="minorHAnsi" w:cstheme="minorHAnsi"/>
          <w:color w:val="auto"/>
        </w:rPr>
        <w:t xml:space="preserve">eforms and </w:t>
      </w:r>
      <w:r w:rsidR="00264854" w:rsidRPr="00A102E3">
        <w:rPr>
          <w:rFonts w:asciiTheme="minorHAnsi" w:hAnsiTheme="minorHAnsi" w:cstheme="minorHAnsi"/>
          <w:color w:val="auto"/>
        </w:rPr>
        <w:t xml:space="preserve">socioeconomic </w:t>
      </w:r>
      <w:r w:rsidRPr="00A102E3">
        <w:rPr>
          <w:rFonts w:asciiTheme="minorHAnsi" w:hAnsiTheme="minorHAnsi" w:cstheme="minorHAnsi"/>
          <w:color w:val="auto"/>
        </w:rPr>
        <w:t>outcomes</w:t>
      </w:r>
      <w:r w:rsidRPr="00A102E3">
        <w:rPr>
          <w:rFonts w:asciiTheme="minorHAnsi" w:hAnsiTheme="minorHAnsi" w:cstheme="minorHAnsi"/>
          <w:b/>
          <w:bCs/>
          <w:color w:val="auto"/>
        </w:rPr>
        <w:t xml:space="preserve">. </w:t>
      </w:r>
      <w:r w:rsidR="00264854" w:rsidRPr="00A102E3">
        <w:rPr>
          <w:rFonts w:asciiTheme="minorHAnsi" w:hAnsiTheme="minorHAnsi" w:cstheme="minorHAnsi"/>
          <w:color w:val="auto"/>
        </w:rPr>
        <w:t xml:space="preserve">Consequently, all signatories to the National Agreement are required to develop implementation plans. The Productivity Commission </w:t>
      </w:r>
      <w:r w:rsidR="00264854" w:rsidRPr="00A102E3">
        <w:rPr>
          <w:rStyle w:val="Strong"/>
          <w:rFonts w:asciiTheme="minorHAnsi" w:hAnsiTheme="minorHAnsi" w:cstheme="minorHAnsi"/>
          <w:b w:val="0"/>
          <w:bCs w:val="0"/>
          <w:color w:val="auto"/>
          <w:spacing w:val="6"/>
          <w:shd w:val="clear" w:color="auto" w:fill="FAFAFA"/>
        </w:rPr>
        <w:t xml:space="preserve">is identified in the National Agreement as one </w:t>
      </w:r>
      <w:r w:rsidR="000E0113" w:rsidRPr="00A102E3">
        <w:rPr>
          <w:rStyle w:val="Strong"/>
          <w:rFonts w:asciiTheme="minorHAnsi" w:hAnsiTheme="minorHAnsi" w:cstheme="minorHAnsi"/>
          <w:b w:val="0"/>
          <w:bCs w:val="0"/>
          <w:color w:val="auto"/>
          <w:spacing w:val="6"/>
          <w:shd w:val="clear" w:color="auto" w:fill="FAFAFA"/>
        </w:rPr>
        <w:t>reviewer</w:t>
      </w:r>
      <w:r w:rsidR="00264854" w:rsidRPr="00A102E3">
        <w:rPr>
          <w:rStyle w:val="Strong"/>
          <w:rFonts w:asciiTheme="minorHAnsi" w:hAnsiTheme="minorHAnsi" w:cstheme="minorHAnsi"/>
          <w:b w:val="0"/>
          <w:bCs w:val="0"/>
          <w:color w:val="auto"/>
          <w:spacing w:val="6"/>
          <w:shd w:val="clear" w:color="auto" w:fill="FAFAFA"/>
        </w:rPr>
        <w:t xml:space="preserve"> of </w:t>
      </w:r>
      <w:r w:rsidR="003F47D2">
        <w:rPr>
          <w:rStyle w:val="Strong"/>
          <w:rFonts w:asciiTheme="minorHAnsi" w:hAnsiTheme="minorHAnsi" w:cstheme="minorHAnsi"/>
          <w:b w:val="0"/>
          <w:bCs w:val="0"/>
          <w:color w:val="auto"/>
          <w:spacing w:val="6"/>
          <w:shd w:val="clear" w:color="auto" w:fill="FAFAFA"/>
        </w:rPr>
        <w:t xml:space="preserve">its </w:t>
      </w:r>
      <w:r w:rsidR="00264854" w:rsidRPr="00A102E3">
        <w:rPr>
          <w:rStyle w:val="Strong"/>
          <w:rFonts w:asciiTheme="minorHAnsi" w:hAnsiTheme="minorHAnsi" w:cstheme="minorHAnsi"/>
          <w:b w:val="0"/>
          <w:bCs w:val="0"/>
          <w:color w:val="auto"/>
          <w:spacing w:val="6"/>
          <w:shd w:val="clear" w:color="auto" w:fill="FAFAFA"/>
        </w:rPr>
        <w:t xml:space="preserve">performance. It is also tasked with developing and maintaining </w:t>
      </w:r>
      <w:r w:rsidR="000E0113" w:rsidRPr="00A102E3">
        <w:rPr>
          <w:rStyle w:val="A6"/>
          <w:rFonts w:asciiTheme="minorHAnsi" w:hAnsiTheme="minorHAnsi" w:cstheme="minorHAnsi"/>
          <w:color w:val="auto"/>
          <w:sz w:val="24"/>
          <w:szCs w:val="24"/>
        </w:rPr>
        <w:t xml:space="preserve">a publicly accessible </w:t>
      </w:r>
      <w:r w:rsidR="004D6038" w:rsidRPr="00A102E3">
        <w:rPr>
          <w:rStyle w:val="A6"/>
          <w:rFonts w:asciiTheme="minorHAnsi" w:hAnsiTheme="minorHAnsi" w:cstheme="minorHAnsi"/>
          <w:color w:val="auto"/>
          <w:sz w:val="24"/>
          <w:szCs w:val="24"/>
        </w:rPr>
        <w:t>information repository or ‘D</w:t>
      </w:r>
      <w:r w:rsidR="000E0113" w:rsidRPr="00A102E3">
        <w:rPr>
          <w:rStyle w:val="A6"/>
          <w:rFonts w:asciiTheme="minorHAnsi" w:hAnsiTheme="minorHAnsi" w:cstheme="minorHAnsi"/>
          <w:color w:val="auto"/>
          <w:sz w:val="24"/>
          <w:szCs w:val="24"/>
        </w:rPr>
        <w:t>ashboard</w:t>
      </w:r>
      <w:r w:rsidR="004D6038" w:rsidRPr="00A102E3">
        <w:rPr>
          <w:rStyle w:val="A6"/>
          <w:rFonts w:asciiTheme="minorHAnsi" w:hAnsiTheme="minorHAnsi" w:cstheme="minorHAnsi"/>
          <w:color w:val="auto"/>
          <w:sz w:val="24"/>
          <w:szCs w:val="24"/>
        </w:rPr>
        <w:t>’</w:t>
      </w:r>
      <w:r w:rsidR="000E0113" w:rsidRPr="00A102E3">
        <w:rPr>
          <w:rStyle w:val="A6"/>
          <w:rFonts w:asciiTheme="minorHAnsi" w:hAnsiTheme="minorHAnsi" w:cstheme="minorHAnsi"/>
          <w:color w:val="auto"/>
          <w:sz w:val="24"/>
          <w:szCs w:val="24"/>
        </w:rPr>
        <w:t xml:space="preserve"> comprising data and associated supporting materials to inform the reporting on progress</w:t>
      </w:r>
      <w:r w:rsidR="008C1DCC" w:rsidRPr="00A102E3">
        <w:rPr>
          <w:rStyle w:val="A6"/>
          <w:rFonts w:asciiTheme="minorHAnsi" w:hAnsiTheme="minorHAnsi" w:cstheme="minorHAnsi"/>
          <w:color w:val="auto"/>
          <w:sz w:val="24"/>
          <w:szCs w:val="24"/>
        </w:rPr>
        <w:t xml:space="preserve"> that must also be documented on an annual basis</w:t>
      </w:r>
      <w:r w:rsidR="000E0113" w:rsidRPr="00A102E3">
        <w:rPr>
          <w:rStyle w:val="A6"/>
          <w:rFonts w:asciiTheme="minorHAnsi" w:hAnsiTheme="minorHAnsi" w:cstheme="minorHAnsi"/>
          <w:color w:val="auto"/>
          <w:sz w:val="24"/>
          <w:szCs w:val="24"/>
        </w:rPr>
        <w:t xml:space="preserve">. </w:t>
      </w:r>
      <w:r w:rsidR="008C1DCC" w:rsidRPr="00A102E3">
        <w:rPr>
          <w:rStyle w:val="A6"/>
          <w:rFonts w:asciiTheme="minorHAnsi" w:hAnsiTheme="minorHAnsi" w:cstheme="minorHAnsi"/>
          <w:color w:val="auto"/>
          <w:sz w:val="24"/>
          <w:szCs w:val="24"/>
        </w:rPr>
        <w:t>The National Agreement in a radical break with recent approaches requires a</w:t>
      </w:r>
      <w:r w:rsidR="000E0113" w:rsidRPr="00A102E3">
        <w:rPr>
          <w:rStyle w:val="A6"/>
          <w:rFonts w:asciiTheme="minorHAnsi" w:hAnsiTheme="minorHAnsi" w:cstheme="minorHAnsi"/>
          <w:color w:val="auto"/>
          <w:sz w:val="24"/>
          <w:szCs w:val="24"/>
        </w:rPr>
        <w:t xml:space="preserve">n Aboriginal and Torres Strait Islander-led review </w:t>
      </w:r>
      <w:r w:rsidR="008C1DCC" w:rsidRPr="00A102E3">
        <w:rPr>
          <w:rStyle w:val="A6"/>
          <w:rFonts w:asciiTheme="minorHAnsi" w:hAnsiTheme="minorHAnsi" w:cstheme="minorHAnsi"/>
          <w:color w:val="auto"/>
          <w:sz w:val="24"/>
          <w:szCs w:val="24"/>
        </w:rPr>
        <w:t xml:space="preserve">to </w:t>
      </w:r>
      <w:r w:rsidR="000E0113" w:rsidRPr="00A102E3">
        <w:rPr>
          <w:rStyle w:val="A6"/>
          <w:rFonts w:asciiTheme="minorHAnsi" w:hAnsiTheme="minorHAnsi" w:cstheme="minorHAnsi"/>
          <w:color w:val="auto"/>
          <w:sz w:val="24"/>
          <w:szCs w:val="24"/>
        </w:rPr>
        <w:t xml:space="preserve">follow the Productivity Commission’s review. </w:t>
      </w:r>
      <w:r w:rsidR="008C1DCC" w:rsidRPr="00A102E3">
        <w:rPr>
          <w:rStyle w:val="A6"/>
          <w:rFonts w:asciiTheme="minorHAnsi" w:hAnsiTheme="minorHAnsi" w:cstheme="minorHAnsi"/>
          <w:color w:val="auto"/>
          <w:sz w:val="24"/>
          <w:szCs w:val="24"/>
        </w:rPr>
        <w:t xml:space="preserve">This is historically reminiscent of the review of the Aboriginal Employment Development Policy </w:t>
      </w:r>
      <w:r w:rsidR="00ED3562" w:rsidRPr="00A102E3">
        <w:rPr>
          <w:rStyle w:val="A6"/>
          <w:rFonts w:asciiTheme="minorHAnsi" w:hAnsiTheme="minorHAnsi" w:cstheme="minorHAnsi"/>
          <w:color w:val="auto"/>
          <w:sz w:val="24"/>
          <w:szCs w:val="24"/>
        </w:rPr>
        <w:t>that was undertaken by the Aboriginal and Torres Strait Islander Commission</w:t>
      </w:r>
      <w:r w:rsidR="003F47D2">
        <w:rPr>
          <w:rStyle w:val="A6"/>
          <w:rFonts w:asciiTheme="minorHAnsi" w:hAnsiTheme="minorHAnsi" w:cstheme="minorHAnsi"/>
          <w:color w:val="auto"/>
          <w:sz w:val="24"/>
          <w:szCs w:val="24"/>
        </w:rPr>
        <w:t xml:space="preserve"> (ATSIC)</w:t>
      </w:r>
      <w:r w:rsidR="00ED3562" w:rsidRPr="00A102E3">
        <w:rPr>
          <w:rStyle w:val="A6"/>
          <w:rFonts w:asciiTheme="minorHAnsi" w:hAnsiTheme="minorHAnsi" w:cstheme="minorHAnsi"/>
          <w:color w:val="auto"/>
          <w:sz w:val="24"/>
          <w:szCs w:val="24"/>
        </w:rPr>
        <w:t xml:space="preserve"> in 1994.</w:t>
      </w:r>
    </w:p>
    <w:p w14:paraId="14534A02" w14:textId="77777777" w:rsidR="000E0113" w:rsidRPr="00A102E3" w:rsidRDefault="000E0113" w:rsidP="000E0113">
      <w:pPr>
        <w:pStyle w:val="Default"/>
        <w:rPr>
          <w:rStyle w:val="A6"/>
          <w:rFonts w:asciiTheme="minorHAnsi" w:hAnsiTheme="minorHAnsi" w:cstheme="minorHAnsi"/>
          <w:color w:val="auto"/>
          <w:sz w:val="24"/>
          <w:szCs w:val="24"/>
        </w:rPr>
      </w:pPr>
    </w:p>
    <w:p w14:paraId="6EC45582" w14:textId="7A60AD7C" w:rsidR="00204EC2" w:rsidRPr="00A102E3" w:rsidRDefault="00154E75" w:rsidP="00154E75">
      <w:pPr>
        <w:pStyle w:val="Default"/>
        <w:rPr>
          <w:rFonts w:asciiTheme="minorHAnsi" w:hAnsiTheme="minorHAnsi" w:cstheme="minorHAnsi"/>
          <w:color w:val="auto"/>
        </w:rPr>
      </w:pPr>
      <w:r w:rsidRPr="00A102E3">
        <w:rPr>
          <w:rStyle w:val="A6"/>
          <w:rFonts w:asciiTheme="minorHAnsi" w:hAnsiTheme="minorHAnsi" w:cstheme="minorHAnsi"/>
          <w:color w:val="auto"/>
          <w:sz w:val="24"/>
          <w:szCs w:val="24"/>
        </w:rPr>
        <w:t xml:space="preserve">The </w:t>
      </w:r>
      <w:r w:rsidR="00ED3562" w:rsidRPr="00A102E3">
        <w:rPr>
          <w:rStyle w:val="A6"/>
          <w:rFonts w:asciiTheme="minorHAnsi" w:hAnsiTheme="minorHAnsi" w:cstheme="minorHAnsi"/>
          <w:color w:val="auto"/>
          <w:sz w:val="24"/>
          <w:szCs w:val="24"/>
        </w:rPr>
        <w:t xml:space="preserve">requirement for the current review by the Productivity Commission is dictated by the National Agreement; its </w:t>
      </w:r>
      <w:r w:rsidRPr="00A102E3">
        <w:rPr>
          <w:rStyle w:val="A6"/>
          <w:rFonts w:asciiTheme="minorHAnsi" w:hAnsiTheme="minorHAnsi" w:cstheme="minorHAnsi"/>
          <w:color w:val="auto"/>
          <w:sz w:val="24"/>
          <w:szCs w:val="24"/>
        </w:rPr>
        <w:t xml:space="preserve">scope was set by then </w:t>
      </w:r>
      <w:r w:rsidR="000E0113" w:rsidRPr="00A102E3">
        <w:rPr>
          <w:rStyle w:val="A6"/>
          <w:rFonts w:asciiTheme="minorHAnsi" w:hAnsiTheme="minorHAnsi" w:cstheme="minorHAnsi"/>
          <w:color w:val="auto"/>
          <w:sz w:val="24"/>
          <w:szCs w:val="24"/>
        </w:rPr>
        <w:t xml:space="preserve">Treasurer </w:t>
      </w:r>
      <w:r w:rsidRPr="00A102E3">
        <w:rPr>
          <w:rStyle w:val="A6"/>
          <w:rFonts w:asciiTheme="minorHAnsi" w:hAnsiTheme="minorHAnsi" w:cstheme="minorHAnsi"/>
          <w:color w:val="auto"/>
          <w:sz w:val="24"/>
          <w:szCs w:val="24"/>
        </w:rPr>
        <w:t xml:space="preserve">Josh </w:t>
      </w:r>
      <w:r w:rsidR="000E0113" w:rsidRPr="00A102E3">
        <w:rPr>
          <w:rStyle w:val="A6"/>
          <w:rFonts w:asciiTheme="minorHAnsi" w:hAnsiTheme="minorHAnsi" w:cstheme="minorHAnsi"/>
          <w:color w:val="auto"/>
          <w:sz w:val="24"/>
          <w:szCs w:val="24"/>
        </w:rPr>
        <w:t xml:space="preserve">Frydenberg </w:t>
      </w:r>
      <w:r w:rsidRPr="00A102E3">
        <w:rPr>
          <w:rStyle w:val="A6"/>
          <w:rFonts w:asciiTheme="minorHAnsi" w:hAnsiTheme="minorHAnsi" w:cstheme="minorHAnsi"/>
          <w:color w:val="auto"/>
          <w:sz w:val="24"/>
          <w:szCs w:val="24"/>
        </w:rPr>
        <w:t xml:space="preserve">in April 2022. </w:t>
      </w:r>
      <w:r w:rsidR="00204EC2" w:rsidRPr="00A102E3">
        <w:rPr>
          <w:rFonts w:asciiTheme="minorHAnsi" w:hAnsiTheme="minorHAnsi" w:cstheme="minorHAnsi"/>
          <w:color w:val="auto"/>
        </w:rPr>
        <w:t xml:space="preserve">In undertaking the review, the Productivity Commission </w:t>
      </w:r>
      <w:r w:rsidRPr="00A102E3">
        <w:rPr>
          <w:rFonts w:asciiTheme="minorHAnsi" w:hAnsiTheme="minorHAnsi" w:cstheme="minorHAnsi"/>
          <w:color w:val="auto"/>
        </w:rPr>
        <w:t>is required to</w:t>
      </w:r>
      <w:r w:rsidR="00204EC2" w:rsidRPr="00A102E3">
        <w:rPr>
          <w:rFonts w:asciiTheme="minorHAnsi" w:hAnsiTheme="minorHAnsi" w:cstheme="minorHAnsi"/>
          <w:color w:val="auto"/>
        </w:rPr>
        <w:t>:</w:t>
      </w:r>
    </w:p>
    <w:p w14:paraId="1E060896" w14:textId="77777777" w:rsidR="00204EC2" w:rsidRPr="00A102E3" w:rsidRDefault="00204EC2" w:rsidP="00204EC2">
      <w:pPr>
        <w:autoSpaceDE w:val="0"/>
        <w:autoSpaceDN w:val="0"/>
        <w:adjustRightInd w:val="0"/>
        <w:spacing w:after="0" w:line="240" w:lineRule="auto"/>
        <w:rPr>
          <w:rFonts w:cstheme="minorHAnsi"/>
          <w:kern w:val="0"/>
          <w:sz w:val="24"/>
          <w:szCs w:val="24"/>
        </w:rPr>
      </w:pPr>
    </w:p>
    <w:p w14:paraId="7D1140DA" w14:textId="7E0C7BD1" w:rsidR="00204EC2" w:rsidRPr="00A102E3" w:rsidRDefault="00204EC2" w:rsidP="00204EC2">
      <w:pPr>
        <w:pStyle w:val="ListParagraph"/>
        <w:numPr>
          <w:ilvl w:val="0"/>
          <w:numId w:val="1"/>
        </w:numPr>
        <w:autoSpaceDE w:val="0"/>
        <w:autoSpaceDN w:val="0"/>
        <w:adjustRightInd w:val="0"/>
        <w:spacing w:after="0" w:line="240" w:lineRule="auto"/>
        <w:rPr>
          <w:rFonts w:cstheme="minorHAnsi"/>
          <w:kern w:val="0"/>
          <w:sz w:val="24"/>
          <w:szCs w:val="24"/>
        </w:rPr>
      </w:pPr>
      <w:r w:rsidRPr="00A102E3">
        <w:rPr>
          <w:rFonts w:cstheme="minorHAnsi"/>
          <w:kern w:val="0"/>
          <w:sz w:val="24"/>
          <w:szCs w:val="24"/>
        </w:rPr>
        <w:t>analyse progress on Closing the Gap against the four Priority Reform outcome areas in the Agreement;</w:t>
      </w:r>
    </w:p>
    <w:p w14:paraId="19F1E94D" w14:textId="5EF8BDC7" w:rsidR="00204EC2" w:rsidRPr="00A102E3" w:rsidRDefault="00204EC2" w:rsidP="00204EC2">
      <w:pPr>
        <w:pStyle w:val="ListParagraph"/>
        <w:numPr>
          <w:ilvl w:val="0"/>
          <w:numId w:val="1"/>
        </w:numPr>
        <w:autoSpaceDE w:val="0"/>
        <w:autoSpaceDN w:val="0"/>
        <w:adjustRightInd w:val="0"/>
        <w:spacing w:after="0" w:line="240" w:lineRule="auto"/>
        <w:rPr>
          <w:rFonts w:cstheme="minorHAnsi"/>
          <w:kern w:val="0"/>
          <w:sz w:val="24"/>
          <w:szCs w:val="24"/>
        </w:rPr>
      </w:pPr>
      <w:r w:rsidRPr="00A102E3">
        <w:rPr>
          <w:rFonts w:cstheme="minorHAnsi"/>
          <w:kern w:val="0"/>
          <w:sz w:val="24"/>
          <w:szCs w:val="24"/>
        </w:rPr>
        <w:lastRenderedPageBreak/>
        <w:t>analyse progress against all of the socioeconomic outcome areas in the Agreement; and</w:t>
      </w:r>
    </w:p>
    <w:p w14:paraId="38E676AE" w14:textId="76B26272" w:rsidR="00204EC2" w:rsidRPr="00A102E3" w:rsidRDefault="00204EC2" w:rsidP="00204EC2">
      <w:pPr>
        <w:pStyle w:val="ListParagraph"/>
        <w:numPr>
          <w:ilvl w:val="0"/>
          <w:numId w:val="1"/>
        </w:numPr>
        <w:autoSpaceDE w:val="0"/>
        <w:autoSpaceDN w:val="0"/>
        <w:adjustRightInd w:val="0"/>
        <w:spacing w:after="0" w:line="240" w:lineRule="auto"/>
        <w:rPr>
          <w:rFonts w:cstheme="minorHAnsi"/>
          <w:kern w:val="0"/>
          <w:sz w:val="24"/>
          <w:szCs w:val="24"/>
        </w:rPr>
      </w:pPr>
      <w:r w:rsidRPr="00A102E3">
        <w:rPr>
          <w:rFonts w:cstheme="minorHAnsi"/>
          <w:kern w:val="0"/>
          <w:sz w:val="24"/>
          <w:szCs w:val="24"/>
        </w:rPr>
        <w:t>examine the factors affecting progress.</w:t>
      </w:r>
    </w:p>
    <w:p w14:paraId="338EF0D5" w14:textId="77777777" w:rsidR="001C33BB" w:rsidRPr="00A102E3" w:rsidRDefault="001C33BB" w:rsidP="00204EC2">
      <w:pPr>
        <w:autoSpaceDE w:val="0"/>
        <w:autoSpaceDN w:val="0"/>
        <w:adjustRightInd w:val="0"/>
        <w:spacing w:after="0" w:line="240" w:lineRule="auto"/>
        <w:rPr>
          <w:rFonts w:cstheme="minorHAnsi"/>
          <w:b/>
          <w:bCs/>
          <w:kern w:val="0"/>
          <w:sz w:val="24"/>
          <w:szCs w:val="24"/>
        </w:rPr>
      </w:pPr>
    </w:p>
    <w:p w14:paraId="2BE5B4C3" w14:textId="2ECF1E69" w:rsidR="000E0113" w:rsidRPr="00A102E3" w:rsidRDefault="000E0113" w:rsidP="00204EC2">
      <w:pPr>
        <w:autoSpaceDE w:val="0"/>
        <w:autoSpaceDN w:val="0"/>
        <w:adjustRightInd w:val="0"/>
        <w:spacing w:after="0" w:line="240" w:lineRule="auto"/>
        <w:rPr>
          <w:rFonts w:cstheme="minorHAnsi"/>
          <w:b/>
          <w:bCs/>
          <w:kern w:val="0"/>
          <w:sz w:val="24"/>
          <w:szCs w:val="24"/>
        </w:rPr>
      </w:pPr>
      <w:r w:rsidRPr="00A102E3">
        <w:rPr>
          <w:rFonts w:cstheme="minorHAnsi"/>
          <w:b/>
          <w:bCs/>
          <w:kern w:val="0"/>
          <w:sz w:val="24"/>
          <w:szCs w:val="24"/>
        </w:rPr>
        <w:t>Personal background</w:t>
      </w:r>
      <w:r w:rsidR="00B461F3" w:rsidRPr="00A102E3">
        <w:rPr>
          <w:rFonts w:cstheme="minorHAnsi"/>
          <w:b/>
          <w:bCs/>
          <w:kern w:val="0"/>
          <w:sz w:val="24"/>
          <w:szCs w:val="24"/>
        </w:rPr>
        <w:t>, approach</w:t>
      </w:r>
      <w:r w:rsidR="00A102E3">
        <w:rPr>
          <w:rFonts w:cstheme="minorHAnsi"/>
          <w:b/>
          <w:bCs/>
          <w:kern w:val="0"/>
          <w:sz w:val="24"/>
          <w:szCs w:val="24"/>
        </w:rPr>
        <w:t>,</w:t>
      </w:r>
      <w:r w:rsidR="00B461F3" w:rsidRPr="00A102E3">
        <w:rPr>
          <w:rFonts w:cstheme="minorHAnsi"/>
          <w:b/>
          <w:bCs/>
          <w:kern w:val="0"/>
          <w:sz w:val="24"/>
          <w:szCs w:val="24"/>
        </w:rPr>
        <w:t xml:space="preserve"> and </w:t>
      </w:r>
      <w:r w:rsidRPr="00A102E3">
        <w:rPr>
          <w:rFonts w:cstheme="minorHAnsi"/>
          <w:b/>
          <w:bCs/>
          <w:kern w:val="0"/>
          <w:sz w:val="24"/>
          <w:szCs w:val="24"/>
        </w:rPr>
        <w:t>disclosures</w:t>
      </w:r>
    </w:p>
    <w:p w14:paraId="316C9AC3" w14:textId="2FF4EC10" w:rsidR="004D44C0" w:rsidRPr="00A102E3" w:rsidRDefault="000E0113" w:rsidP="00204EC2">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I am an economist and an anthropologist and have spent much of my career since 1977 focusing on </w:t>
      </w:r>
      <w:r w:rsidR="00ED3562" w:rsidRPr="00A102E3">
        <w:rPr>
          <w:rFonts w:cstheme="minorHAnsi"/>
          <w:kern w:val="0"/>
          <w:sz w:val="24"/>
          <w:szCs w:val="24"/>
        </w:rPr>
        <w:t xml:space="preserve">policy </w:t>
      </w:r>
      <w:r w:rsidRPr="00A102E3">
        <w:rPr>
          <w:rFonts w:cstheme="minorHAnsi"/>
          <w:kern w:val="0"/>
          <w:sz w:val="24"/>
          <w:szCs w:val="24"/>
        </w:rPr>
        <w:t xml:space="preserve">research looking to address Indigenous disadvantage. </w:t>
      </w:r>
    </w:p>
    <w:p w14:paraId="15806D85" w14:textId="77777777" w:rsidR="004D44C0" w:rsidRPr="00A102E3" w:rsidRDefault="004D44C0" w:rsidP="00204EC2">
      <w:pPr>
        <w:autoSpaceDE w:val="0"/>
        <w:autoSpaceDN w:val="0"/>
        <w:adjustRightInd w:val="0"/>
        <w:spacing w:after="0" w:line="240" w:lineRule="auto"/>
        <w:rPr>
          <w:rFonts w:cstheme="minorHAnsi"/>
          <w:kern w:val="0"/>
          <w:sz w:val="24"/>
          <w:szCs w:val="24"/>
        </w:rPr>
      </w:pPr>
    </w:p>
    <w:p w14:paraId="6492D739" w14:textId="13FBBC53" w:rsidR="004D44C0" w:rsidRPr="00A102E3" w:rsidRDefault="000E0113" w:rsidP="00204EC2">
      <w:pPr>
        <w:autoSpaceDE w:val="0"/>
        <w:autoSpaceDN w:val="0"/>
        <w:adjustRightInd w:val="0"/>
        <w:spacing w:after="0" w:line="240" w:lineRule="auto"/>
        <w:rPr>
          <w:rFonts w:cstheme="minorHAnsi"/>
          <w:kern w:val="0"/>
          <w:sz w:val="24"/>
          <w:szCs w:val="24"/>
        </w:rPr>
      </w:pPr>
      <w:r w:rsidRPr="00A102E3">
        <w:rPr>
          <w:rFonts w:cstheme="minorHAnsi"/>
          <w:kern w:val="0"/>
          <w:sz w:val="24"/>
          <w:szCs w:val="24"/>
        </w:rPr>
        <w:t>Since I first worked in this area and in my earliest published work</w:t>
      </w:r>
      <w:r w:rsidR="004D44C0" w:rsidRPr="00A102E3">
        <w:rPr>
          <w:rFonts w:cstheme="minorHAnsi"/>
          <w:kern w:val="0"/>
          <w:sz w:val="24"/>
          <w:szCs w:val="24"/>
        </w:rPr>
        <w:t>,</w:t>
      </w:r>
      <w:r w:rsidRPr="00A102E3">
        <w:rPr>
          <w:rFonts w:cstheme="minorHAnsi"/>
          <w:kern w:val="0"/>
          <w:sz w:val="24"/>
          <w:szCs w:val="24"/>
        </w:rPr>
        <w:t xml:space="preserve"> I have held a strong view that there is a need to </w:t>
      </w:r>
      <w:r w:rsidR="004D6038" w:rsidRPr="00A102E3">
        <w:rPr>
          <w:rFonts w:cstheme="minorHAnsi"/>
          <w:kern w:val="0"/>
          <w:sz w:val="24"/>
          <w:szCs w:val="24"/>
        </w:rPr>
        <w:t xml:space="preserve">conceptually </w:t>
      </w:r>
      <w:r w:rsidRPr="00A102E3">
        <w:rPr>
          <w:rFonts w:cstheme="minorHAnsi"/>
          <w:kern w:val="0"/>
          <w:sz w:val="24"/>
          <w:szCs w:val="24"/>
        </w:rPr>
        <w:t xml:space="preserve">distinguish </w:t>
      </w:r>
      <w:r w:rsidR="004D6038" w:rsidRPr="00A102E3">
        <w:rPr>
          <w:rFonts w:cstheme="minorHAnsi"/>
          <w:kern w:val="0"/>
          <w:sz w:val="24"/>
          <w:szCs w:val="24"/>
        </w:rPr>
        <w:t>various</w:t>
      </w:r>
      <w:r w:rsidRPr="00A102E3">
        <w:rPr>
          <w:rFonts w:cstheme="minorHAnsi"/>
          <w:kern w:val="0"/>
          <w:sz w:val="24"/>
          <w:szCs w:val="24"/>
        </w:rPr>
        <w:t xml:space="preserve"> Indigenous populations: the national population and then various sub-national populations that better reflect the diversity of Indigenous circumstances. </w:t>
      </w:r>
    </w:p>
    <w:p w14:paraId="6C653A3F" w14:textId="77777777" w:rsidR="004D44C0" w:rsidRPr="00A102E3" w:rsidRDefault="004D44C0" w:rsidP="00204EC2">
      <w:pPr>
        <w:autoSpaceDE w:val="0"/>
        <w:autoSpaceDN w:val="0"/>
        <w:adjustRightInd w:val="0"/>
        <w:spacing w:after="0" w:line="240" w:lineRule="auto"/>
        <w:rPr>
          <w:rFonts w:cstheme="minorHAnsi"/>
          <w:kern w:val="0"/>
          <w:sz w:val="24"/>
          <w:szCs w:val="24"/>
        </w:rPr>
      </w:pPr>
    </w:p>
    <w:p w14:paraId="5A07CAB6" w14:textId="1DF96E1F" w:rsidR="000E0113" w:rsidRPr="00A102E3" w:rsidRDefault="004D44C0" w:rsidP="00204EC2">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The national Indigenous population has been self-identifying in </w:t>
      </w:r>
      <w:r w:rsidR="00E2023E" w:rsidRPr="00A102E3">
        <w:rPr>
          <w:rFonts w:cstheme="minorHAnsi"/>
          <w:kern w:val="0"/>
          <w:sz w:val="24"/>
          <w:szCs w:val="24"/>
        </w:rPr>
        <w:t xml:space="preserve">the five-yearly </w:t>
      </w:r>
      <w:r w:rsidRPr="00A102E3">
        <w:rPr>
          <w:rFonts w:cstheme="minorHAnsi"/>
          <w:kern w:val="0"/>
          <w:sz w:val="24"/>
          <w:szCs w:val="24"/>
        </w:rPr>
        <w:t>census since 1971 and over the last 50 years has grown from just over 1</w:t>
      </w:r>
      <w:r w:rsidR="00184429" w:rsidRPr="00A102E3">
        <w:rPr>
          <w:rFonts w:cstheme="minorHAnsi"/>
          <w:kern w:val="0"/>
          <w:sz w:val="24"/>
          <w:szCs w:val="24"/>
        </w:rPr>
        <w:t>15</w:t>
      </w:r>
      <w:r w:rsidRPr="00A102E3">
        <w:rPr>
          <w:rFonts w:cstheme="minorHAnsi"/>
          <w:kern w:val="0"/>
          <w:sz w:val="24"/>
          <w:szCs w:val="24"/>
        </w:rPr>
        <w:t xml:space="preserve">,000 to a recent estimate </w:t>
      </w:r>
      <w:r w:rsidR="004D6038" w:rsidRPr="00A102E3">
        <w:rPr>
          <w:rFonts w:cstheme="minorHAnsi"/>
          <w:kern w:val="0"/>
          <w:sz w:val="24"/>
          <w:szCs w:val="24"/>
        </w:rPr>
        <w:t xml:space="preserve">from the 2021 Census </w:t>
      </w:r>
      <w:r w:rsidRPr="00A102E3">
        <w:rPr>
          <w:rFonts w:cstheme="minorHAnsi"/>
          <w:kern w:val="0"/>
          <w:sz w:val="24"/>
          <w:szCs w:val="24"/>
        </w:rPr>
        <w:t xml:space="preserve">of just under one million </w:t>
      </w:r>
      <w:r w:rsidR="00184429" w:rsidRPr="00A102E3">
        <w:rPr>
          <w:rFonts w:cstheme="minorHAnsi"/>
          <w:kern w:val="0"/>
          <w:sz w:val="24"/>
          <w:szCs w:val="24"/>
        </w:rPr>
        <w:t xml:space="preserve">(983,700) </w:t>
      </w:r>
      <w:r w:rsidRPr="00A102E3">
        <w:rPr>
          <w:rFonts w:cstheme="minorHAnsi"/>
          <w:kern w:val="0"/>
          <w:sz w:val="24"/>
          <w:szCs w:val="24"/>
        </w:rPr>
        <w:t xml:space="preserve">or by a factor of </w:t>
      </w:r>
      <w:r w:rsidR="003F47D2" w:rsidRPr="00A102E3">
        <w:rPr>
          <w:rFonts w:cstheme="minorHAnsi"/>
          <w:kern w:val="0"/>
          <w:sz w:val="24"/>
          <w:szCs w:val="24"/>
        </w:rPr>
        <w:t>nine</w:t>
      </w:r>
      <w:r w:rsidRPr="00A102E3">
        <w:rPr>
          <w:rFonts w:cstheme="minorHAnsi"/>
          <w:kern w:val="0"/>
          <w:sz w:val="24"/>
          <w:szCs w:val="24"/>
        </w:rPr>
        <w:t xml:space="preserve"> times.</w:t>
      </w:r>
    </w:p>
    <w:p w14:paraId="6AFF13AC" w14:textId="77777777" w:rsidR="004D44C0" w:rsidRPr="00A102E3" w:rsidRDefault="004D44C0" w:rsidP="00204EC2">
      <w:pPr>
        <w:autoSpaceDE w:val="0"/>
        <w:autoSpaceDN w:val="0"/>
        <w:adjustRightInd w:val="0"/>
        <w:spacing w:after="0" w:line="240" w:lineRule="auto"/>
        <w:rPr>
          <w:rFonts w:cstheme="minorHAnsi"/>
          <w:kern w:val="0"/>
          <w:sz w:val="24"/>
          <w:szCs w:val="24"/>
        </w:rPr>
      </w:pPr>
    </w:p>
    <w:p w14:paraId="3921F3CB" w14:textId="7FB716A8" w:rsidR="004D44C0" w:rsidRPr="00A102E3" w:rsidRDefault="004D44C0" w:rsidP="00204EC2">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There are </w:t>
      </w:r>
      <w:r w:rsidR="003F47D2">
        <w:rPr>
          <w:rFonts w:cstheme="minorHAnsi"/>
          <w:kern w:val="0"/>
          <w:sz w:val="24"/>
          <w:szCs w:val="24"/>
        </w:rPr>
        <w:t>several</w:t>
      </w:r>
      <w:r w:rsidRPr="00A102E3">
        <w:rPr>
          <w:rFonts w:cstheme="minorHAnsi"/>
          <w:kern w:val="0"/>
          <w:sz w:val="24"/>
          <w:szCs w:val="24"/>
        </w:rPr>
        <w:t xml:space="preserve"> Indigenous populations that can be disaggregated at subnational levels. An obvious disaggregation is by </w:t>
      </w:r>
      <w:r w:rsidR="004D6038" w:rsidRPr="00A102E3">
        <w:rPr>
          <w:rFonts w:cstheme="minorHAnsi"/>
          <w:kern w:val="0"/>
          <w:sz w:val="24"/>
          <w:szCs w:val="24"/>
        </w:rPr>
        <w:t>s</w:t>
      </w:r>
      <w:r w:rsidRPr="00A102E3">
        <w:rPr>
          <w:rFonts w:cstheme="minorHAnsi"/>
          <w:kern w:val="0"/>
          <w:sz w:val="24"/>
          <w:szCs w:val="24"/>
        </w:rPr>
        <w:t xml:space="preserve">tate and </w:t>
      </w:r>
      <w:r w:rsidR="004D6038" w:rsidRPr="00A102E3">
        <w:rPr>
          <w:rFonts w:cstheme="minorHAnsi"/>
          <w:kern w:val="0"/>
          <w:sz w:val="24"/>
          <w:szCs w:val="24"/>
        </w:rPr>
        <w:t>t</w:t>
      </w:r>
      <w:r w:rsidRPr="00A102E3">
        <w:rPr>
          <w:rFonts w:cstheme="minorHAnsi"/>
          <w:kern w:val="0"/>
          <w:sz w:val="24"/>
          <w:szCs w:val="24"/>
        </w:rPr>
        <w:t>erritory</w:t>
      </w:r>
      <w:r w:rsidR="00E2023E" w:rsidRPr="00A102E3">
        <w:rPr>
          <w:rFonts w:cstheme="minorHAnsi"/>
          <w:kern w:val="0"/>
          <w:sz w:val="24"/>
          <w:szCs w:val="24"/>
        </w:rPr>
        <w:t>.</w:t>
      </w:r>
      <w:r w:rsidRPr="00A102E3">
        <w:rPr>
          <w:rFonts w:cstheme="minorHAnsi"/>
          <w:kern w:val="0"/>
          <w:sz w:val="24"/>
          <w:szCs w:val="24"/>
        </w:rPr>
        <w:t xml:space="preserve"> </w:t>
      </w:r>
      <w:r w:rsidR="00E2023E" w:rsidRPr="00A102E3">
        <w:rPr>
          <w:rFonts w:cstheme="minorHAnsi"/>
          <w:kern w:val="0"/>
          <w:sz w:val="24"/>
          <w:szCs w:val="24"/>
        </w:rPr>
        <w:t>F</w:t>
      </w:r>
      <w:r w:rsidRPr="00A102E3">
        <w:rPr>
          <w:rFonts w:cstheme="minorHAnsi"/>
          <w:kern w:val="0"/>
          <w:sz w:val="24"/>
          <w:szCs w:val="24"/>
        </w:rPr>
        <w:t>or example, it is estimated that the Indigenous population of the NT makes up over 30</w:t>
      </w:r>
      <w:r w:rsidR="0095043C" w:rsidRPr="00A102E3">
        <w:rPr>
          <w:rFonts w:cstheme="minorHAnsi"/>
          <w:kern w:val="0"/>
          <w:sz w:val="24"/>
          <w:szCs w:val="24"/>
        </w:rPr>
        <w:t xml:space="preserve"> per cent </w:t>
      </w:r>
      <w:r w:rsidRPr="00A102E3">
        <w:rPr>
          <w:rFonts w:cstheme="minorHAnsi"/>
          <w:kern w:val="0"/>
          <w:sz w:val="24"/>
          <w:szCs w:val="24"/>
        </w:rPr>
        <w:t xml:space="preserve">of its population compared to </w:t>
      </w:r>
      <w:r w:rsidR="00ED3562" w:rsidRPr="00A102E3">
        <w:rPr>
          <w:rFonts w:cstheme="minorHAnsi"/>
          <w:kern w:val="0"/>
          <w:sz w:val="24"/>
          <w:szCs w:val="24"/>
        </w:rPr>
        <w:t xml:space="preserve">just </w:t>
      </w:r>
      <w:r w:rsidRPr="00A102E3">
        <w:rPr>
          <w:rFonts w:cstheme="minorHAnsi"/>
          <w:kern w:val="0"/>
          <w:sz w:val="24"/>
          <w:szCs w:val="24"/>
        </w:rPr>
        <w:t>1</w:t>
      </w:r>
      <w:r w:rsidR="0095043C" w:rsidRPr="00A102E3">
        <w:rPr>
          <w:rFonts w:cstheme="minorHAnsi"/>
          <w:kern w:val="0"/>
          <w:sz w:val="24"/>
          <w:szCs w:val="24"/>
        </w:rPr>
        <w:t xml:space="preserve"> per cent</w:t>
      </w:r>
      <w:r w:rsidRPr="00A102E3">
        <w:rPr>
          <w:rFonts w:cstheme="minorHAnsi"/>
          <w:kern w:val="0"/>
          <w:sz w:val="24"/>
          <w:szCs w:val="24"/>
        </w:rPr>
        <w:t xml:space="preserve"> in Victoria. Another disaggregation can be undertaken by remoteness</w:t>
      </w:r>
      <w:r w:rsidR="00E2023E" w:rsidRPr="00A102E3">
        <w:rPr>
          <w:rFonts w:cstheme="minorHAnsi"/>
          <w:kern w:val="0"/>
          <w:sz w:val="24"/>
          <w:szCs w:val="24"/>
        </w:rPr>
        <w:t>.</w:t>
      </w:r>
      <w:r w:rsidRPr="00A102E3">
        <w:rPr>
          <w:rFonts w:cstheme="minorHAnsi"/>
          <w:kern w:val="0"/>
          <w:sz w:val="24"/>
          <w:szCs w:val="24"/>
        </w:rPr>
        <w:t xml:space="preserve"> </w:t>
      </w:r>
      <w:r w:rsidR="00E2023E" w:rsidRPr="00A102E3">
        <w:rPr>
          <w:rFonts w:cstheme="minorHAnsi"/>
          <w:kern w:val="0"/>
          <w:sz w:val="24"/>
          <w:szCs w:val="24"/>
        </w:rPr>
        <w:t>I</w:t>
      </w:r>
      <w:r w:rsidRPr="00A102E3">
        <w:rPr>
          <w:rFonts w:cstheme="minorHAnsi"/>
          <w:kern w:val="0"/>
          <w:sz w:val="24"/>
          <w:szCs w:val="24"/>
        </w:rPr>
        <w:t>t is estimated that in 2021</w:t>
      </w:r>
      <w:r w:rsidR="00E2023E" w:rsidRPr="00A102E3">
        <w:rPr>
          <w:rFonts w:cstheme="minorHAnsi"/>
          <w:kern w:val="0"/>
          <w:sz w:val="24"/>
          <w:szCs w:val="24"/>
        </w:rPr>
        <w:t>,</w:t>
      </w:r>
      <w:r w:rsidRPr="00A102E3">
        <w:rPr>
          <w:rFonts w:cstheme="minorHAnsi"/>
          <w:kern w:val="0"/>
          <w:sz w:val="24"/>
          <w:szCs w:val="24"/>
        </w:rPr>
        <w:t xml:space="preserve"> 15</w:t>
      </w:r>
      <w:r w:rsidR="0095043C" w:rsidRPr="00A102E3">
        <w:rPr>
          <w:rFonts w:cstheme="minorHAnsi"/>
          <w:kern w:val="0"/>
          <w:sz w:val="24"/>
          <w:szCs w:val="24"/>
        </w:rPr>
        <w:t xml:space="preserve"> per cent</w:t>
      </w:r>
      <w:r w:rsidRPr="00A102E3">
        <w:rPr>
          <w:rFonts w:cstheme="minorHAnsi"/>
          <w:kern w:val="0"/>
          <w:sz w:val="24"/>
          <w:szCs w:val="24"/>
        </w:rPr>
        <w:t xml:space="preserve"> of the Indigenous population (about 150,000 people) lived in remote and very remote Australia (covering 86% of the continent) compared to 85</w:t>
      </w:r>
      <w:r w:rsidR="0095043C" w:rsidRPr="00A102E3">
        <w:rPr>
          <w:rFonts w:cstheme="minorHAnsi"/>
          <w:kern w:val="0"/>
          <w:sz w:val="24"/>
          <w:szCs w:val="24"/>
        </w:rPr>
        <w:t xml:space="preserve"> per cent</w:t>
      </w:r>
      <w:r w:rsidRPr="00A102E3">
        <w:rPr>
          <w:rFonts w:cstheme="minorHAnsi"/>
          <w:kern w:val="0"/>
          <w:sz w:val="24"/>
          <w:szCs w:val="24"/>
        </w:rPr>
        <w:t xml:space="preserve"> in the remaining 14</w:t>
      </w:r>
      <w:r w:rsidR="0095043C" w:rsidRPr="00A102E3">
        <w:rPr>
          <w:rFonts w:cstheme="minorHAnsi"/>
          <w:kern w:val="0"/>
          <w:sz w:val="24"/>
          <w:szCs w:val="24"/>
        </w:rPr>
        <w:t xml:space="preserve"> per cent</w:t>
      </w:r>
      <w:r w:rsidRPr="00A102E3">
        <w:rPr>
          <w:rFonts w:cstheme="minorHAnsi"/>
          <w:kern w:val="0"/>
          <w:sz w:val="24"/>
          <w:szCs w:val="24"/>
        </w:rPr>
        <w:t xml:space="preserve">. </w:t>
      </w:r>
      <w:r w:rsidR="003F47D2" w:rsidRPr="00A102E3">
        <w:rPr>
          <w:rFonts w:cstheme="minorHAnsi"/>
          <w:kern w:val="0"/>
          <w:sz w:val="24"/>
          <w:szCs w:val="24"/>
        </w:rPr>
        <w:t>The</w:t>
      </w:r>
      <w:r w:rsidRPr="00A102E3">
        <w:rPr>
          <w:rFonts w:cstheme="minorHAnsi"/>
          <w:kern w:val="0"/>
          <w:sz w:val="24"/>
          <w:szCs w:val="24"/>
        </w:rPr>
        <w:t xml:space="preserve"> most relevant sub-population is the sum of the Indigenous people who live in discrete Indigenous communities, so defined by the ABS because each has an Indigenous population proportion of more than 50</w:t>
      </w:r>
      <w:r w:rsidR="0095043C" w:rsidRPr="00A102E3">
        <w:rPr>
          <w:rFonts w:cstheme="minorHAnsi"/>
          <w:kern w:val="0"/>
          <w:sz w:val="24"/>
          <w:szCs w:val="24"/>
        </w:rPr>
        <w:t xml:space="preserve"> per cent</w:t>
      </w:r>
      <w:r w:rsidRPr="00A102E3">
        <w:rPr>
          <w:rFonts w:cstheme="minorHAnsi"/>
          <w:kern w:val="0"/>
          <w:sz w:val="24"/>
          <w:szCs w:val="24"/>
        </w:rPr>
        <w:t xml:space="preserve">. These </w:t>
      </w:r>
      <w:proofErr w:type="gramStart"/>
      <w:r w:rsidRPr="00A102E3">
        <w:rPr>
          <w:rFonts w:cstheme="minorHAnsi"/>
          <w:kern w:val="0"/>
          <w:sz w:val="24"/>
          <w:szCs w:val="24"/>
        </w:rPr>
        <w:t>communities</w:t>
      </w:r>
      <w:proofErr w:type="gramEnd"/>
      <w:r w:rsidRPr="00A102E3">
        <w:rPr>
          <w:rFonts w:cstheme="minorHAnsi"/>
          <w:kern w:val="0"/>
          <w:sz w:val="24"/>
          <w:szCs w:val="24"/>
        </w:rPr>
        <w:t xml:space="preserve"> </w:t>
      </w:r>
      <w:r w:rsidR="0095043C" w:rsidRPr="00A102E3">
        <w:rPr>
          <w:rFonts w:cstheme="minorHAnsi"/>
          <w:kern w:val="0"/>
          <w:sz w:val="24"/>
          <w:szCs w:val="24"/>
        </w:rPr>
        <w:t>number</w:t>
      </w:r>
      <w:r w:rsidR="004D6038" w:rsidRPr="00A102E3">
        <w:rPr>
          <w:rFonts w:cstheme="minorHAnsi"/>
          <w:kern w:val="0"/>
          <w:sz w:val="24"/>
          <w:szCs w:val="24"/>
        </w:rPr>
        <w:t xml:space="preserve"> </w:t>
      </w:r>
      <w:r w:rsidR="003F47D2">
        <w:rPr>
          <w:rFonts w:cstheme="minorHAnsi"/>
          <w:kern w:val="0"/>
          <w:sz w:val="24"/>
          <w:szCs w:val="24"/>
        </w:rPr>
        <w:t>about</w:t>
      </w:r>
      <w:r w:rsidR="004D6038" w:rsidRPr="00A102E3">
        <w:rPr>
          <w:rFonts w:cstheme="minorHAnsi"/>
          <w:kern w:val="0"/>
          <w:sz w:val="24"/>
          <w:szCs w:val="24"/>
        </w:rPr>
        <w:t xml:space="preserve"> 1,000, have small and fluid populations, and </w:t>
      </w:r>
      <w:r w:rsidR="0095043C" w:rsidRPr="00A102E3">
        <w:rPr>
          <w:rFonts w:cstheme="minorHAnsi"/>
          <w:kern w:val="0"/>
          <w:sz w:val="24"/>
          <w:szCs w:val="24"/>
        </w:rPr>
        <w:t xml:space="preserve">are </w:t>
      </w:r>
      <w:r w:rsidRPr="00A102E3">
        <w:rPr>
          <w:rFonts w:cstheme="minorHAnsi"/>
          <w:kern w:val="0"/>
          <w:sz w:val="24"/>
          <w:szCs w:val="24"/>
        </w:rPr>
        <w:t>mainly located in remote and very remote Australia</w:t>
      </w:r>
      <w:r w:rsidR="00ED3562" w:rsidRPr="00A102E3">
        <w:rPr>
          <w:rFonts w:cstheme="minorHAnsi"/>
          <w:kern w:val="0"/>
          <w:sz w:val="24"/>
          <w:szCs w:val="24"/>
        </w:rPr>
        <w:t>; they</w:t>
      </w:r>
      <w:r w:rsidR="004D6038" w:rsidRPr="00A102E3">
        <w:rPr>
          <w:rFonts w:cstheme="minorHAnsi"/>
          <w:kern w:val="0"/>
          <w:sz w:val="24"/>
          <w:szCs w:val="24"/>
        </w:rPr>
        <w:t xml:space="preserve"> pose a</w:t>
      </w:r>
      <w:r w:rsidR="00ED3562" w:rsidRPr="00A102E3">
        <w:rPr>
          <w:rFonts w:cstheme="minorHAnsi"/>
          <w:kern w:val="0"/>
          <w:sz w:val="24"/>
          <w:szCs w:val="24"/>
        </w:rPr>
        <w:t>n enduring</w:t>
      </w:r>
      <w:r w:rsidR="004D6038" w:rsidRPr="00A102E3">
        <w:rPr>
          <w:rFonts w:cstheme="minorHAnsi"/>
          <w:kern w:val="0"/>
          <w:sz w:val="24"/>
          <w:szCs w:val="24"/>
        </w:rPr>
        <w:t xml:space="preserve"> challenge to standard </w:t>
      </w:r>
      <w:r w:rsidR="00ED3562" w:rsidRPr="00A102E3">
        <w:rPr>
          <w:rFonts w:cstheme="minorHAnsi"/>
          <w:kern w:val="0"/>
          <w:sz w:val="24"/>
          <w:szCs w:val="24"/>
        </w:rPr>
        <w:t xml:space="preserve">Australian </w:t>
      </w:r>
      <w:r w:rsidR="004D6038" w:rsidRPr="00A102E3">
        <w:rPr>
          <w:rFonts w:cstheme="minorHAnsi"/>
          <w:kern w:val="0"/>
          <w:sz w:val="24"/>
          <w:szCs w:val="24"/>
        </w:rPr>
        <w:t>modes of service delivery.</w:t>
      </w:r>
    </w:p>
    <w:p w14:paraId="3C1451D2" w14:textId="77777777" w:rsidR="004D44C0" w:rsidRPr="00A102E3" w:rsidRDefault="004D44C0" w:rsidP="00204EC2">
      <w:pPr>
        <w:autoSpaceDE w:val="0"/>
        <w:autoSpaceDN w:val="0"/>
        <w:adjustRightInd w:val="0"/>
        <w:spacing w:after="0" w:line="240" w:lineRule="auto"/>
        <w:rPr>
          <w:rFonts w:cstheme="minorHAnsi"/>
          <w:kern w:val="0"/>
          <w:sz w:val="24"/>
          <w:szCs w:val="24"/>
        </w:rPr>
      </w:pPr>
    </w:p>
    <w:p w14:paraId="2820F1C9" w14:textId="7F838466" w:rsidR="004D44C0" w:rsidRPr="00A102E3" w:rsidRDefault="004D44C0" w:rsidP="00204EC2">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In terms of my own research, I have </w:t>
      </w:r>
      <w:r w:rsidR="003F47D2" w:rsidRPr="00A102E3">
        <w:rPr>
          <w:rFonts w:cstheme="minorHAnsi"/>
          <w:kern w:val="0"/>
          <w:sz w:val="24"/>
          <w:szCs w:val="24"/>
        </w:rPr>
        <w:t>focused</w:t>
      </w:r>
      <w:r w:rsidRPr="00A102E3">
        <w:rPr>
          <w:rFonts w:cstheme="minorHAnsi"/>
          <w:kern w:val="0"/>
          <w:sz w:val="24"/>
          <w:szCs w:val="24"/>
        </w:rPr>
        <w:t xml:space="preserve"> on discrete communities in remote Australia utilising participant observation and primary data collection methods. But I have also looked at the national picture</w:t>
      </w:r>
      <w:r w:rsidR="003F47D2">
        <w:rPr>
          <w:rFonts w:cstheme="minorHAnsi"/>
          <w:kern w:val="0"/>
          <w:sz w:val="24"/>
          <w:szCs w:val="24"/>
        </w:rPr>
        <w:t>,</w:t>
      </w:r>
      <w:r w:rsidRPr="00A102E3">
        <w:rPr>
          <w:rFonts w:cstheme="minorHAnsi"/>
          <w:kern w:val="0"/>
          <w:sz w:val="24"/>
          <w:szCs w:val="24"/>
        </w:rPr>
        <w:t xml:space="preserve"> </w:t>
      </w:r>
      <w:r w:rsidR="003F47D2" w:rsidRPr="00A102E3">
        <w:rPr>
          <w:rFonts w:cstheme="minorHAnsi"/>
          <w:kern w:val="0"/>
          <w:sz w:val="24"/>
          <w:szCs w:val="24"/>
        </w:rPr>
        <w:t>deploying</w:t>
      </w:r>
      <w:r w:rsidRPr="00A102E3">
        <w:rPr>
          <w:rFonts w:cstheme="minorHAnsi"/>
          <w:kern w:val="0"/>
          <w:sz w:val="24"/>
          <w:szCs w:val="24"/>
        </w:rPr>
        <w:t xml:space="preserve"> secondary data</w:t>
      </w:r>
      <w:r w:rsidR="00670BA1" w:rsidRPr="00A102E3">
        <w:rPr>
          <w:rFonts w:cstheme="minorHAnsi"/>
          <w:kern w:val="0"/>
          <w:sz w:val="24"/>
          <w:szCs w:val="24"/>
        </w:rPr>
        <w:t xml:space="preserve"> collected in official surveys and the five yearly census. These are </w:t>
      </w:r>
      <w:r w:rsidR="003F47D2" w:rsidRPr="00A102E3">
        <w:rPr>
          <w:rFonts w:cstheme="minorHAnsi"/>
          <w:kern w:val="0"/>
          <w:sz w:val="24"/>
          <w:szCs w:val="24"/>
        </w:rPr>
        <w:t>vastly different</w:t>
      </w:r>
      <w:r w:rsidR="00670BA1" w:rsidRPr="00A102E3">
        <w:rPr>
          <w:rFonts w:cstheme="minorHAnsi"/>
          <w:kern w:val="0"/>
          <w:sz w:val="24"/>
          <w:szCs w:val="24"/>
        </w:rPr>
        <w:t xml:space="preserve"> populations with </w:t>
      </w:r>
      <w:r w:rsidR="003F47D2" w:rsidRPr="00A102E3">
        <w:rPr>
          <w:rFonts w:cstheme="minorHAnsi"/>
          <w:kern w:val="0"/>
          <w:sz w:val="24"/>
          <w:szCs w:val="24"/>
        </w:rPr>
        <w:t>quite different</w:t>
      </w:r>
      <w:r w:rsidR="00670BA1" w:rsidRPr="00A102E3">
        <w:rPr>
          <w:rFonts w:cstheme="minorHAnsi"/>
          <w:kern w:val="0"/>
          <w:sz w:val="24"/>
          <w:szCs w:val="24"/>
        </w:rPr>
        <w:t xml:space="preserve"> levels of disadvantage and need. An emerging issue </w:t>
      </w:r>
      <w:r w:rsidR="00E2023E" w:rsidRPr="00A102E3">
        <w:rPr>
          <w:rFonts w:cstheme="minorHAnsi"/>
          <w:kern w:val="0"/>
          <w:sz w:val="24"/>
          <w:szCs w:val="24"/>
        </w:rPr>
        <w:t>that</w:t>
      </w:r>
      <w:r w:rsidR="00670BA1" w:rsidRPr="00A102E3">
        <w:rPr>
          <w:rFonts w:cstheme="minorHAnsi"/>
          <w:kern w:val="0"/>
          <w:sz w:val="24"/>
          <w:szCs w:val="24"/>
        </w:rPr>
        <w:t xml:space="preserve"> policy makers struggle to comprehend is that even if social indicators for the national Indigenous population </w:t>
      </w:r>
      <w:r w:rsidR="00E2023E" w:rsidRPr="00A102E3">
        <w:rPr>
          <w:rFonts w:cstheme="minorHAnsi"/>
          <w:kern w:val="0"/>
          <w:sz w:val="24"/>
          <w:szCs w:val="24"/>
        </w:rPr>
        <w:t>a</w:t>
      </w:r>
      <w:r w:rsidR="00670BA1" w:rsidRPr="00A102E3">
        <w:rPr>
          <w:rFonts w:cstheme="minorHAnsi"/>
          <w:kern w:val="0"/>
          <w:sz w:val="24"/>
          <w:szCs w:val="24"/>
        </w:rPr>
        <w:t xml:space="preserve">re to improve, social indicators for Indigenous populations in discrete communities </w:t>
      </w:r>
      <w:r w:rsidR="00ED3562" w:rsidRPr="00A102E3">
        <w:rPr>
          <w:rFonts w:cstheme="minorHAnsi"/>
          <w:kern w:val="0"/>
          <w:sz w:val="24"/>
          <w:szCs w:val="24"/>
        </w:rPr>
        <w:t xml:space="preserve">may be </w:t>
      </w:r>
      <w:r w:rsidR="00670BA1" w:rsidRPr="00A102E3">
        <w:rPr>
          <w:rFonts w:cstheme="minorHAnsi"/>
          <w:kern w:val="0"/>
          <w:sz w:val="24"/>
          <w:szCs w:val="24"/>
        </w:rPr>
        <w:t>in decline</w:t>
      </w:r>
      <w:r w:rsidR="003F47D2">
        <w:rPr>
          <w:rFonts w:cstheme="minorHAnsi"/>
          <w:kern w:val="0"/>
          <w:sz w:val="24"/>
          <w:szCs w:val="24"/>
        </w:rPr>
        <w:t>,</w:t>
      </w:r>
      <w:r w:rsidR="00ED3562" w:rsidRPr="00A102E3">
        <w:rPr>
          <w:rFonts w:cstheme="minorHAnsi"/>
          <w:kern w:val="0"/>
          <w:sz w:val="24"/>
          <w:szCs w:val="24"/>
        </w:rPr>
        <w:t xml:space="preserve"> as they are documented to be at present</w:t>
      </w:r>
      <w:r w:rsidR="00670BA1" w:rsidRPr="00A102E3">
        <w:rPr>
          <w:rFonts w:cstheme="minorHAnsi"/>
          <w:kern w:val="0"/>
          <w:sz w:val="24"/>
          <w:szCs w:val="24"/>
        </w:rPr>
        <w:t xml:space="preserve">. Policy making and implementation </w:t>
      </w:r>
      <w:r w:rsidR="003F47D2" w:rsidRPr="00A102E3">
        <w:rPr>
          <w:rFonts w:cstheme="minorHAnsi"/>
          <w:kern w:val="0"/>
          <w:sz w:val="24"/>
          <w:szCs w:val="24"/>
        </w:rPr>
        <w:t>is</w:t>
      </w:r>
      <w:r w:rsidR="00670BA1" w:rsidRPr="00A102E3">
        <w:rPr>
          <w:rFonts w:cstheme="minorHAnsi"/>
          <w:kern w:val="0"/>
          <w:sz w:val="24"/>
          <w:szCs w:val="24"/>
        </w:rPr>
        <w:t xml:space="preserve"> incapable of addressing this escalating issue of remote neglect</w:t>
      </w:r>
      <w:r w:rsidR="001C71D9" w:rsidRPr="00A102E3">
        <w:rPr>
          <w:rFonts w:cstheme="minorHAnsi"/>
          <w:kern w:val="0"/>
          <w:sz w:val="24"/>
          <w:szCs w:val="24"/>
        </w:rPr>
        <w:t xml:space="preserve">, </w:t>
      </w:r>
      <w:r w:rsidR="00670BA1" w:rsidRPr="00A102E3">
        <w:rPr>
          <w:rFonts w:cstheme="minorHAnsi"/>
          <w:kern w:val="0"/>
          <w:sz w:val="24"/>
          <w:szCs w:val="24"/>
        </w:rPr>
        <w:t xml:space="preserve">much </w:t>
      </w:r>
      <w:r w:rsidR="001C71D9" w:rsidRPr="00A102E3">
        <w:rPr>
          <w:rFonts w:cstheme="minorHAnsi"/>
          <w:kern w:val="0"/>
          <w:sz w:val="24"/>
          <w:szCs w:val="24"/>
        </w:rPr>
        <w:t xml:space="preserve">of that neglect </w:t>
      </w:r>
      <w:r w:rsidR="00670BA1" w:rsidRPr="00A102E3">
        <w:rPr>
          <w:rFonts w:cstheme="minorHAnsi"/>
          <w:kern w:val="0"/>
          <w:sz w:val="24"/>
          <w:szCs w:val="24"/>
        </w:rPr>
        <w:t>a result of inappropriate progra</w:t>
      </w:r>
      <w:r w:rsidR="004D6038" w:rsidRPr="00A102E3">
        <w:rPr>
          <w:rFonts w:cstheme="minorHAnsi"/>
          <w:kern w:val="0"/>
          <w:sz w:val="24"/>
          <w:szCs w:val="24"/>
        </w:rPr>
        <w:t>m design and</w:t>
      </w:r>
      <w:r w:rsidR="00670BA1" w:rsidRPr="00A102E3">
        <w:rPr>
          <w:rFonts w:cstheme="minorHAnsi"/>
          <w:kern w:val="0"/>
          <w:sz w:val="24"/>
          <w:szCs w:val="24"/>
        </w:rPr>
        <w:t xml:space="preserve"> implement</w:t>
      </w:r>
      <w:r w:rsidR="004D6038" w:rsidRPr="00A102E3">
        <w:rPr>
          <w:rFonts w:cstheme="minorHAnsi"/>
          <w:kern w:val="0"/>
          <w:sz w:val="24"/>
          <w:szCs w:val="24"/>
        </w:rPr>
        <w:t>ation</w:t>
      </w:r>
      <w:r w:rsidR="00E2023E" w:rsidRPr="00A102E3">
        <w:rPr>
          <w:rFonts w:cstheme="minorHAnsi"/>
          <w:kern w:val="0"/>
          <w:sz w:val="24"/>
          <w:szCs w:val="24"/>
        </w:rPr>
        <w:t xml:space="preserve"> and shifts in </w:t>
      </w:r>
      <w:r w:rsidR="004D6038" w:rsidRPr="00A102E3">
        <w:rPr>
          <w:rFonts w:cstheme="minorHAnsi"/>
          <w:kern w:val="0"/>
          <w:sz w:val="24"/>
          <w:szCs w:val="24"/>
        </w:rPr>
        <w:t>funding allocations</w:t>
      </w:r>
      <w:r w:rsidR="00670BA1" w:rsidRPr="00A102E3">
        <w:rPr>
          <w:rFonts w:cstheme="minorHAnsi"/>
          <w:kern w:val="0"/>
          <w:sz w:val="24"/>
          <w:szCs w:val="24"/>
        </w:rPr>
        <w:t xml:space="preserve"> in the last two decades.</w:t>
      </w:r>
    </w:p>
    <w:p w14:paraId="3FD21F40" w14:textId="77777777" w:rsidR="00670BA1" w:rsidRPr="00A102E3" w:rsidRDefault="00670BA1" w:rsidP="00204EC2">
      <w:pPr>
        <w:autoSpaceDE w:val="0"/>
        <w:autoSpaceDN w:val="0"/>
        <w:adjustRightInd w:val="0"/>
        <w:spacing w:after="0" w:line="240" w:lineRule="auto"/>
        <w:rPr>
          <w:rFonts w:cstheme="minorHAnsi"/>
          <w:kern w:val="0"/>
          <w:sz w:val="24"/>
          <w:szCs w:val="24"/>
        </w:rPr>
      </w:pPr>
    </w:p>
    <w:p w14:paraId="26619671" w14:textId="6AC41615" w:rsidR="00670BA1" w:rsidRPr="00A102E3" w:rsidRDefault="00670BA1" w:rsidP="00204EC2">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As this submission is </w:t>
      </w:r>
      <w:r w:rsidR="00ED3562" w:rsidRPr="00A102E3">
        <w:rPr>
          <w:rFonts w:cstheme="minorHAnsi"/>
          <w:kern w:val="0"/>
          <w:sz w:val="24"/>
          <w:szCs w:val="24"/>
        </w:rPr>
        <w:t xml:space="preserve">primarily </w:t>
      </w:r>
      <w:r w:rsidRPr="00A102E3">
        <w:rPr>
          <w:rFonts w:cstheme="minorHAnsi"/>
          <w:kern w:val="0"/>
          <w:sz w:val="24"/>
          <w:szCs w:val="24"/>
        </w:rPr>
        <w:t xml:space="preserve">directed to the Productivity Commission, I should disclose previous engagements. In 2002 when the Director of the Centre for Aboriginal Economic Policy Research at ANU I provided some advice on the development of the Overcoming Indigenous Disadvantage reporting undertaken from 2003 to 2020. And in 2012 I was publicly critical of the Productivity Commission’s </w:t>
      </w:r>
      <w:r w:rsidR="001C33BB" w:rsidRPr="00A102E3">
        <w:rPr>
          <w:rFonts w:cstheme="minorHAnsi"/>
          <w:i/>
          <w:iCs/>
          <w:kern w:val="0"/>
          <w:sz w:val="24"/>
          <w:szCs w:val="24"/>
        </w:rPr>
        <w:t>Indigenous Expenditure Report 2011</w:t>
      </w:r>
      <w:r w:rsidR="001C33BB" w:rsidRPr="00A102E3">
        <w:rPr>
          <w:rFonts w:cstheme="minorHAnsi"/>
          <w:kern w:val="0"/>
          <w:sz w:val="24"/>
          <w:szCs w:val="24"/>
        </w:rPr>
        <w:t xml:space="preserve"> mainly </w:t>
      </w:r>
      <w:r w:rsidR="001C33BB" w:rsidRPr="00A102E3">
        <w:rPr>
          <w:rFonts w:cstheme="minorHAnsi"/>
          <w:kern w:val="0"/>
          <w:sz w:val="24"/>
          <w:szCs w:val="24"/>
        </w:rPr>
        <w:lastRenderedPageBreak/>
        <w:t xml:space="preserve">because of what I regarded as poor communications in the public sphere of what the estimates of expenditures </w:t>
      </w:r>
      <w:r w:rsidR="003F47D2" w:rsidRPr="00A102E3">
        <w:rPr>
          <w:rFonts w:cstheme="minorHAnsi"/>
          <w:kern w:val="0"/>
          <w:sz w:val="24"/>
          <w:szCs w:val="24"/>
        </w:rPr>
        <w:t>mean</w:t>
      </w:r>
      <w:r w:rsidR="001C33BB" w:rsidRPr="00A102E3">
        <w:rPr>
          <w:rFonts w:cstheme="minorHAnsi"/>
          <w:kern w:val="0"/>
          <w:sz w:val="24"/>
          <w:szCs w:val="24"/>
        </w:rPr>
        <w:t xml:space="preserve"> and </w:t>
      </w:r>
      <w:r w:rsidR="00ED3562" w:rsidRPr="00A102E3">
        <w:rPr>
          <w:rFonts w:cstheme="minorHAnsi"/>
          <w:kern w:val="0"/>
          <w:sz w:val="24"/>
          <w:szCs w:val="24"/>
        </w:rPr>
        <w:t xml:space="preserve">subsequent and enduring </w:t>
      </w:r>
      <w:r w:rsidR="001C33BB" w:rsidRPr="00A102E3">
        <w:rPr>
          <w:rFonts w:cstheme="minorHAnsi"/>
          <w:kern w:val="0"/>
          <w:sz w:val="24"/>
          <w:szCs w:val="24"/>
        </w:rPr>
        <w:t>inaccurate media representations of the level of estimated expenditure by Australian governments on Indigenous citizens</w:t>
      </w:r>
      <w:r w:rsidR="00ED3562" w:rsidRPr="00A102E3">
        <w:rPr>
          <w:rFonts w:cstheme="minorHAnsi"/>
          <w:kern w:val="0"/>
          <w:sz w:val="24"/>
          <w:szCs w:val="24"/>
        </w:rPr>
        <w:t xml:space="preserve"> that continues today</w:t>
      </w:r>
      <w:r w:rsidR="001C33BB" w:rsidRPr="00A102E3">
        <w:rPr>
          <w:rFonts w:cstheme="minorHAnsi"/>
          <w:kern w:val="0"/>
          <w:sz w:val="24"/>
          <w:szCs w:val="24"/>
        </w:rPr>
        <w:t>. In 2019</w:t>
      </w:r>
      <w:r w:rsidR="00ED3562" w:rsidRPr="00A102E3">
        <w:rPr>
          <w:rFonts w:cstheme="minorHAnsi"/>
          <w:kern w:val="0"/>
          <w:sz w:val="24"/>
          <w:szCs w:val="24"/>
        </w:rPr>
        <w:t>,</w:t>
      </w:r>
      <w:r w:rsidR="001C33BB" w:rsidRPr="00A102E3">
        <w:rPr>
          <w:rFonts w:cstheme="minorHAnsi"/>
          <w:kern w:val="0"/>
          <w:sz w:val="24"/>
          <w:szCs w:val="24"/>
        </w:rPr>
        <w:t xml:space="preserve"> as noted above I provided </w:t>
      </w:r>
      <w:r w:rsidR="00ED3562" w:rsidRPr="00A102E3">
        <w:rPr>
          <w:rFonts w:cstheme="minorHAnsi"/>
          <w:kern w:val="0"/>
          <w:sz w:val="24"/>
          <w:szCs w:val="24"/>
        </w:rPr>
        <w:t>a</w:t>
      </w:r>
      <w:r w:rsidR="003F47D2">
        <w:rPr>
          <w:rFonts w:cstheme="minorHAnsi"/>
          <w:kern w:val="0"/>
          <w:sz w:val="24"/>
          <w:szCs w:val="24"/>
        </w:rPr>
        <w:t>n early</w:t>
      </w:r>
      <w:r w:rsidR="001C33BB" w:rsidRPr="00A102E3">
        <w:rPr>
          <w:rFonts w:cstheme="minorHAnsi"/>
          <w:kern w:val="0"/>
          <w:sz w:val="24"/>
          <w:szCs w:val="24"/>
        </w:rPr>
        <w:t xml:space="preserve"> submission on the Indigenous Evaluation Strategy. And in 2021 and 2022 I </w:t>
      </w:r>
      <w:r w:rsidR="00ED3562" w:rsidRPr="00A102E3">
        <w:rPr>
          <w:rFonts w:cstheme="minorHAnsi"/>
          <w:kern w:val="0"/>
          <w:sz w:val="24"/>
          <w:szCs w:val="24"/>
        </w:rPr>
        <w:t>assisted</w:t>
      </w:r>
      <w:r w:rsidR="001C33BB" w:rsidRPr="00A102E3">
        <w:rPr>
          <w:rFonts w:cstheme="minorHAnsi"/>
          <w:kern w:val="0"/>
          <w:sz w:val="24"/>
          <w:szCs w:val="24"/>
        </w:rPr>
        <w:t xml:space="preserve"> the Productivity Commission</w:t>
      </w:r>
      <w:r w:rsidR="004D6038" w:rsidRPr="00A102E3">
        <w:rPr>
          <w:rFonts w:cstheme="minorHAnsi"/>
          <w:kern w:val="0"/>
          <w:sz w:val="24"/>
          <w:szCs w:val="24"/>
        </w:rPr>
        <w:t xml:space="preserve"> i</w:t>
      </w:r>
      <w:r w:rsidR="001C33BB" w:rsidRPr="00A102E3">
        <w:rPr>
          <w:rFonts w:cstheme="minorHAnsi"/>
          <w:kern w:val="0"/>
          <w:sz w:val="24"/>
          <w:szCs w:val="24"/>
        </w:rPr>
        <w:t>n its study and report on Aboriginal and Torres Strait Islander Visual Arts and Crafts.</w:t>
      </w:r>
    </w:p>
    <w:p w14:paraId="047DEC10" w14:textId="77777777" w:rsidR="00902B2E" w:rsidRPr="00A102E3" w:rsidRDefault="00902B2E" w:rsidP="00204EC2">
      <w:pPr>
        <w:autoSpaceDE w:val="0"/>
        <w:autoSpaceDN w:val="0"/>
        <w:adjustRightInd w:val="0"/>
        <w:spacing w:after="0" w:line="240" w:lineRule="auto"/>
        <w:rPr>
          <w:rFonts w:cstheme="minorHAnsi"/>
          <w:kern w:val="0"/>
          <w:sz w:val="24"/>
          <w:szCs w:val="24"/>
        </w:rPr>
      </w:pPr>
    </w:p>
    <w:p w14:paraId="46A07E00" w14:textId="661B1D2B" w:rsidR="00C37743" w:rsidRPr="00A102E3" w:rsidRDefault="00902B2E" w:rsidP="00C37743">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In this submission I look to raise some broadly based concerns about this </w:t>
      </w:r>
      <w:r w:rsidR="00627C04">
        <w:rPr>
          <w:rFonts w:cstheme="minorHAnsi"/>
          <w:kern w:val="0"/>
          <w:sz w:val="24"/>
          <w:szCs w:val="24"/>
        </w:rPr>
        <w:t>review</w:t>
      </w:r>
      <w:r w:rsidRPr="00A102E3">
        <w:rPr>
          <w:rFonts w:cstheme="minorHAnsi"/>
          <w:kern w:val="0"/>
          <w:sz w:val="24"/>
          <w:szCs w:val="24"/>
        </w:rPr>
        <w:t xml:space="preserve"> strategy alongside elements of the National Agreement, to make comment on some of the </w:t>
      </w:r>
      <w:r w:rsidR="00627C04">
        <w:rPr>
          <w:rFonts w:cstheme="minorHAnsi"/>
          <w:kern w:val="0"/>
          <w:sz w:val="24"/>
          <w:szCs w:val="24"/>
        </w:rPr>
        <w:t>D</w:t>
      </w:r>
      <w:r w:rsidRPr="00A102E3">
        <w:rPr>
          <w:rFonts w:cstheme="minorHAnsi"/>
          <w:kern w:val="0"/>
          <w:sz w:val="24"/>
          <w:szCs w:val="24"/>
        </w:rPr>
        <w:t xml:space="preserve">raft </w:t>
      </w:r>
      <w:r w:rsidR="00627C04">
        <w:rPr>
          <w:rFonts w:cstheme="minorHAnsi"/>
          <w:kern w:val="0"/>
          <w:sz w:val="24"/>
          <w:szCs w:val="24"/>
        </w:rPr>
        <w:t>R</w:t>
      </w:r>
      <w:r w:rsidRPr="00A102E3">
        <w:rPr>
          <w:rFonts w:cstheme="minorHAnsi"/>
          <w:kern w:val="0"/>
          <w:sz w:val="24"/>
          <w:szCs w:val="24"/>
        </w:rPr>
        <w:t xml:space="preserve">eport’s recommendations and to end with some constructive recommendations for the Productivity Commission </w:t>
      </w:r>
      <w:r w:rsidR="00DD06CE">
        <w:rPr>
          <w:rFonts w:cstheme="minorHAnsi"/>
          <w:kern w:val="0"/>
          <w:sz w:val="24"/>
          <w:szCs w:val="24"/>
        </w:rPr>
        <w:t>(</w:t>
      </w:r>
      <w:r w:rsidRPr="00A102E3">
        <w:rPr>
          <w:rFonts w:cstheme="minorHAnsi"/>
          <w:kern w:val="0"/>
          <w:sz w:val="24"/>
          <w:szCs w:val="24"/>
        </w:rPr>
        <w:t>and the Joint Council</w:t>
      </w:r>
      <w:r w:rsidR="00DD06CE">
        <w:rPr>
          <w:rFonts w:cstheme="minorHAnsi"/>
          <w:kern w:val="0"/>
          <w:sz w:val="24"/>
          <w:szCs w:val="24"/>
        </w:rPr>
        <w:t>) to consider</w:t>
      </w:r>
      <w:r w:rsidRPr="00A102E3">
        <w:rPr>
          <w:rFonts w:cstheme="minorHAnsi"/>
          <w:kern w:val="0"/>
          <w:sz w:val="24"/>
          <w:szCs w:val="24"/>
        </w:rPr>
        <w:t xml:space="preserve">. </w:t>
      </w:r>
    </w:p>
    <w:p w14:paraId="49EBAEB8" w14:textId="77777777" w:rsidR="00C37743" w:rsidRPr="00A102E3" w:rsidRDefault="00C37743" w:rsidP="00C37743">
      <w:pPr>
        <w:autoSpaceDE w:val="0"/>
        <w:autoSpaceDN w:val="0"/>
        <w:adjustRightInd w:val="0"/>
        <w:spacing w:after="0" w:line="240" w:lineRule="auto"/>
        <w:rPr>
          <w:rFonts w:cstheme="minorHAnsi"/>
          <w:kern w:val="0"/>
          <w:sz w:val="24"/>
          <w:szCs w:val="24"/>
        </w:rPr>
      </w:pPr>
    </w:p>
    <w:p w14:paraId="0FC88E04" w14:textId="019D845E" w:rsidR="00C37743" w:rsidRPr="00A102E3" w:rsidRDefault="00B461F3" w:rsidP="00C37743">
      <w:pPr>
        <w:autoSpaceDE w:val="0"/>
        <w:autoSpaceDN w:val="0"/>
        <w:adjustRightInd w:val="0"/>
        <w:spacing w:after="0" w:line="240" w:lineRule="auto"/>
        <w:rPr>
          <w:rFonts w:cstheme="minorHAnsi"/>
          <w:kern w:val="0"/>
          <w:sz w:val="24"/>
          <w:szCs w:val="24"/>
        </w:rPr>
      </w:pPr>
      <w:r w:rsidRPr="00A102E3">
        <w:rPr>
          <w:rFonts w:cstheme="minorHAnsi"/>
          <w:kern w:val="0"/>
          <w:sz w:val="24"/>
          <w:szCs w:val="24"/>
        </w:rPr>
        <w:t>I note that I am engaging with this important review process late. I was not aware of the earlie</w:t>
      </w:r>
      <w:r w:rsidR="00C37743" w:rsidRPr="00A102E3">
        <w:rPr>
          <w:rFonts w:cstheme="minorHAnsi"/>
          <w:kern w:val="0"/>
          <w:sz w:val="24"/>
          <w:szCs w:val="24"/>
        </w:rPr>
        <w:t>st</w:t>
      </w:r>
      <w:r w:rsidRPr="00A102E3">
        <w:rPr>
          <w:rFonts w:cstheme="minorHAnsi"/>
          <w:kern w:val="0"/>
          <w:sz w:val="24"/>
          <w:szCs w:val="24"/>
        </w:rPr>
        <w:t xml:space="preserve"> review paper published by the Productivity Commission </w:t>
      </w:r>
      <w:r w:rsidR="00C37743" w:rsidRPr="00A102E3">
        <w:rPr>
          <w:rFonts w:cstheme="minorHAnsi"/>
          <w:kern w:val="0"/>
          <w:sz w:val="24"/>
          <w:szCs w:val="24"/>
        </w:rPr>
        <w:t>in</w:t>
      </w:r>
      <w:r w:rsidRPr="00A102E3">
        <w:rPr>
          <w:rFonts w:cstheme="minorHAnsi"/>
          <w:kern w:val="0"/>
          <w:sz w:val="24"/>
          <w:szCs w:val="24"/>
        </w:rPr>
        <w:t xml:space="preserve"> July 2022 and so </w:t>
      </w:r>
      <w:r w:rsidR="00627C04" w:rsidRPr="00A102E3">
        <w:rPr>
          <w:rFonts w:cstheme="minorHAnsi"/>
          <w:kern w:val="0"/>
          <w:sz w:val="24"/>
          <w:szCs w:val="24"/>
        </w:rPr>
        <w:t>missed</w:t>
      </w:r>
      <w:r w:rsidRPr="00A102E3">
        <w:rPr>
          <w:rFonts w:cstheme="minorHAnsi"/>
          <w:kern w:val="0"/>
          <w:sz w:val="24"/>
          <w:szCs w:val="24"/>
        </w:rPr>
        <w:t xml:space="preserve"> subscribing to the review process and did not provide a submission before the release of the </w:t>
      </w:r>
      <w:r w:rsidR="00627C04">
        <w:rPr>
          <w:rFonts w:cstheme="minorHAnsi"/>
          <w:kern w:val="0"/>
          <w:sz w:val="24"/>
          <w:szCs w:val="24"/>
        </w:rPr>
        <w:t>D</w:t>
      </w:r>
      <w:r w:rsidRPr="00A102E3">
        <w:rPr>
          <w:rFonts w:cstheme="minorHAnsi"/>
          <w:kern w:val="0"/>
          <w:sz w:val="24"/>
          <w:szCs w:val="24"/>
        </w:rPr>
        <w:t xml:space="preserve">raft </w:t>
      </w:r>
      <w:r w:rsidR="00627C04">
        <w:rPr>
          <w:rFonts w:cstheme="minorHAnsi"/>
          <w:kern w:val="0"/>
          <w:sz w:val="24"/>
          <w:szCs w:val="24"/>
        </w:rPr>
        <w:t>R</w:t>
      </w:r>
      <w:r w:rsidRPr="00A102E3">
        <w:rPr>
          <w:rFonts w:cstheme="minorHAnsi"/>
          <w:kern w:val="0"/>
          <w:sz w:val="24"/>
          <w:szCs w:val="24"/>
        </w:rPr>
        <w:t xml:space="preserve">eport. I have only engaged with this important </w:t>
      </w:r>
      <w:r w:rsidR="00627C04">
        <w:rPr>
          <w:rFonts w:cstheme="minorHAnsi"/>
          <w:kern w:val="0"/>
          <w:sz w:val="24"/>
          <w:szCs w:val="24"/>
        </w:rPr>
        <w:t>process</w:t>
      </w:r>
      <w:r w:rsidRPr="00A102E3">
        <w:rPr>
          <w:rFonts w:cstheme="minorHAnsi"/>
          <w:kern w:val="0"/>
          <w:sz w:val="24"/>
          <w:szCs w:val="24"/>
        </w:rPr>
        <w:t xml:space="preserve"> in the last week </w:t>
      </w:r>
      <w:r w:rsidR="00DD06CE">
        <w:rPr>
          <w:rFonts w:cstheme="minorHAnsi"/>
          <w:kern w:val="0"/>
          <w:sz w:val="24"/>
          <w:szCs w:val="24"/>
        </w:rPr>
        <w:t xml:space="preserve">or so </w:t>
      </w:r>
      <w:r w:rsidRPr="00A102E3">
        <w:rPr>
          <w:rFonts w:cstheme="minorHAnsi"/>
          <w:kern w:val="0"/>
          <w:sz w:val="24"/>
          <w:szCs w:val="24"/>
        </w:rPr>
        <w:t xml:space="preserve">after </w:t>
      </w:r>
      <w:r w:rsidR="00627C04">
        <w:rPr>
          <w:rFonts w:cstheme="minorHAnsi"/>
          <w:kern w:val="0"/>
          <w:sz w:val="24"/>
          <w:szCs w:val="24"/>
        </w:rPr>
        <w:t xml:space="preserve">brief </w:t>
      </w:r>
      <w:r w:rsidRPr="00A102E3">
        <w:rPr>
          <w:rFonts w:cstheme="minorHAnsi"/>
          <w:kern w:val="0"/>
          <w:sz w:val="24"/>
          <w:szCs w:val="24"/>
        </w:rPr>
        <w:t xml:space="preserve">discussions with the Productivity Commission. My focus is very much on the </w:t>
      </w:r>
      <w:r w:rsidR="00627C04">
        <w:rPr>
          <w:rFonts w:cstheme="minorHAnsi"/>
          <w:kern w:val="0"/>
          <w:sz w:val="24"/>
          <w:szCs w:val="24"/>
        </w:rPr>
        <w:t>D</w:t>
      </w:r>
      <w:r w:rsidRPr="00A102E3">
        <w:rPr>
          <w:rFonts w:cstheme="minorHAnsi"/>
          <w:kern w:val="0"/>
          <w:sz w:val="24"/>
          <w:szCs w:val="24"/>
        </w:rPr>
        <w:t xml:space="preserve">raft </w:t>
      </w:r>
      <w:r w:rsidR="00627C04">
        <w:rPr>
          <w:rFonts w:cstheme="minorHAnsi"/>
          <w:kern w:val="0"/>
          <w:sz w:val="24"/>
          <w:szCs w:val="24"/>
        </w:rPr>
        <w:t>R</w:t>
      </w:r>
      <w:r w:rsidRPr="00A102E3">
        <w:rPr>
          <w:rFonts w:cstheme="minorHAnsi"/>
          <w:kern w:val="0"/>
          <w:sz w:val="24"/>
          <w:szCs w:val="24"/>
        </w:rPr>
        <w:t xml:space="preserve">eport released on 26 July 2023 </w:t>
      </w:r>
      <w:r w:rsidR="00C37743" w:rsidRPr="00A102E3">
        <w:rPr>
          <w:rFonts w:cstheme="minorHAnsi"/>
          <w:kern w:val="0"/>
          <w:sz w:val="24"/>
          <w:szCs w:val="24"/>
        </w:rPr>
        <w:t>although I can see that this report in turn is heavily influenced by serious consultations undertaken in the second half of 2022</w:t>
      </w:r>
      <w:r w:rsidRPr="00A102E3">
        <w:rPr>
          <w:rFonts w:cstheme="minorHAnsi"/>
          <w:kern w:val="0"/>
          <w:sz w:val="24"/>
          <w:szCs w:val="24"/>
        </w:rPr>
        <w:t xml:space="preserve"> </w:t>
      </w:r>
      <w:r w:rsidR="00C37743" w:rsidRPr="00A102E3">
        <w:rPr>
          <w:rFonts w:cstheme="minorHAnsi"/>
          <w:kern w:val="0"/>
          <w:sz w:val="24"/>
          <w:szCs w:val="24"/>
        </w:rPr>
        <w:t xml:space="preserve">and the thorough </w:t>
      </w:r>
      <w:r w:rsidR="00C37743" w:rsidRPr="00627C04">
        <w:rPr>
          <w:rFonts w:cstheme="minorHAnsi"/>
          <w:i/>
          <w:iCs/>
          <w:spacing w:val="7"/>
          <w:sz w:val="24"/>
          <w:szCs w:val="24"/>
        </w:rPr>
        <w:t>Review Paper 3: What we have heard to date — first phase of engagement</w:t>
      </w:r>
      <w:r w:rsidR="00C37743" w:rsidRPr="00A102E3">
        <w:rPr>
          <w:rFonts w:cstheme="minorHAnsi"/>
          <w:spacing w:val="7"/>
          <w:sz w:val="24"/>
          <w:szCs w:val="24"/>
        </w:rPr>
        <w:t xml:space="preserve"> released on 9 February 2023 that informs much of the </w:t>
      </w:r>
      <w:r w:rsidR="00627C04">
        <w:rPr>
          <w:rFonts w:cstheme="minorHAnsi"/>
          <w:spacing w:val="7"/>
          <w:sz w:val="24"/>
          <w:szCs w:val="24"/>
        </w:rPr>
        <w:t>D</w:t>
      </w:r>
      <w:r w:rsidR="00C37743" w:rsidRPr="00A102E3">
        <w:rPr>
          <w:rFonts w:cstheme="minorHAnsi"/>
          <w:spacing w:val="7"/>
          <w:sz w:val="24"/>
          <w:szCs w:val="24"/>
        </w:rPr>
        <w:t xml:space="preserve">raft </w:t>
      </w:r>
      <w:r w:rsidR="00627C04">
        <w:rPr>
          <w:rFonts w:cstheme="minorHAnsi"/>
          <w:spacing w:val="7"/>
          <w:sz w:val="24"/>
          <w:szCs w:val="24"/>
        </w:rPr>
        <w:t>R</w:t>
      </w:r>
      <w:r w:rsidR="00C37743" w:rsidRPr="00A102E3">
        <w:rPr>
          <w:rFonts w:cstheme="minorHAnsi"/>
          <w:spacing w:val="7"/>
          <w:sz w:val="24"/>
          <w:szCs w:val="24"/>
        </w:rPr>
        <w:t>eport’s overarching observations and recommendations.</w:t>
      </w:r>
    </w:p>
    <w:p w14:paraId="10E5CF20" w14:textId="77777777" w:rsidR="00E2023E" w:rsidRPr="00A102E3" w:rsidRDefault="00E2023E" w:rsidP="00204EC2">
      <w:pPr>
        <w:autoSpaceDE w:val="0"/>
        <w:autoSpaceDN w:val="0"/>
        <w:adjustRightInd w:val="0"/>
        <w:spacing w:after="0" w:line="240" w:lineRule="auto"/>
        <w:rPr>
          <w:rFonts w:cstheme="minorHAnsi"/>
          <w:kern w:val="0"/>
          <w:sz w:val="24"/>
          <w:szCs w:val="24"/>
        </w:rPr>
      </w:pPr>
    </w:p>
    <w:p w14:paraId="66BF55AE" w14:textId="12D4B2E7" w:rsidR="00E2023E" w:rsidRPr="00A102E3" w:rsidRDefault="00C37743" w:rsidP="00204EC2">
      <w:pPr>
        <w:autoSpaceDE w:val="0"/>
        <w:autoSpaceDN w:val="0"/>
        <w:adjustRightInd w:val="0"/>
        <w:spacing w:after="0" w:line="240" w:lineRule="auto"/>
        <w:rPr>
          <w:rFonts w:cstheme="minorHAnsi"/>
          <w:kern w:val="0"/>
          <w:sz w:val="24"/>
          <w:szCs w:val="24"/>
        </w:rPr>
      </w:pPr>
      <w:r w:rsidRPr="00A102E3">
        <w:rPr>
          <w:rFonts w:cstheme="minorHAnsi"/>
          <w:kern w:val="0"/>
          <w:sz w:val="24"/>
          <w:szCs w:val="24"/>
        </w:rPr>
        <w:t>The</w:t>
      </w:r>
      <w:r w:rsidR="00E2023E" w:rsidRPr="00A102E3">
        <w:rPr>
          <w:rFonts w:cstheme="minorHAnsi"/>
          <w:kern w:val="0"/>
          <w:sz w:val="24"/>
          <w:szCs w:val="24"/>
        </w:rPr>
        <w:t xml:space="preserve"> views expressed in this submission are mine alone and are not to be associated with any </w:t>
      </w:r>
      <w:r w:rsidR="00627C04">
        <w:rPr>
          <w:rFonts w:cstheme="minorHAnsi"/>
          <w:kern w:val="0"/>
          <w:sz w:val="24"/>
          <w:szCs w:val="24"/>
        </w:rPr>
        <w:t xml:space="preserve">of the </w:t>
      </w:r>
      <w:r w:rsidR="00E2023E" w:rsidRPr="00A102E3">
        <w:rPr>
          <w:rFonts w:cstheme="minorHAnsi"/>
          <w:kern w:val="0"/>
          <w:sz w:val="24"/>
          <w:szCs w:val="24"/>
        </w:rPr>
        <w:t>compan</w:t>
      </w:r>
      <w:r w:rsidR="00627C04">
        <w:rPr>
          <w:rFonts w:cstheme="minorHAnsi"/>
          <w:kern w:val="0"/>
          <w:sz w:val="24"/>
          <w:szCs w:val="24"/>
        </w:rPr>
        <w:t>ies</w:t>
      </w:r>
      <w:r w:rsidR="00E2023E" w:rsidRPr="00A102E3">
        <w:rPr>
          <w:rFonts w:cstheme="minorHAnsi"/>
          <w:kern w:val="0"/>
          <w:sz w:val="24"/>
          <w:szCs w:val="24"/>
        </w:rPr>
        <w:t xml:space="preserve"> where I am a </w:t>
      </w:r>
      <w:r w:rsidR="00902B2E" w:rsidRPr="00A102E3">
        <w:rPr>
          <w:rFonts w:cstheme="minorHAnsi"/>
          <w:kern w:val="0"/>
          <w:sz w:val="24"/>
          <w:szCs w:val="24"/>
        </w:rPr>
        <w:t xml:space="preserve">non-executive </w:t>
      </w:r>
      <w:r w:rsidR="00E2023E" w:rsidRPr="00A102E3">
        <w:rPr>
          <w:rFonts w:cstheme="minorHAnsi"/>
          <w:kern w:val="0"/>
          <w:sz w:val="24"/>
          <w:szCs w:val="24"/>
        </w:rPr>
        <w:t>director.</w:t>
      </w:r>
    </w:p>
    <w:p w14:paraId="0668D8C2" w14:textId="77777777" w:rsidR="008966B0" w:rsidRPr="00A102E3" w:rsidRDefault="008966B0" w:rsidP="00204EC2">
      <w:pPr>
        <w:autoSpaceDE w:val="0"/>
        <w:autoSpaceDN w:val="0"/>
        <w:adjustRightInd w:val="0"/>
        <w:spacing w:after="0" w:line="240" w:lineRule="auto"/>
        <w:rPr>
          <w:rFonts w:cstheme="minorHAnsi"/>
          <w:kern w:val="0"/>
          <w:sz w:val="24"/>
          <w:szCs w:val="24"/>
        </w:rPr>
      </w:pPr>
    </w:p>
    <w:p w14:paraId="547B019A" w14:textId="62A487F7" w:rsidR="001C33BB" w:rsidRPr="00A102E3" w:rsidRDefault="00AD1118" w:rsidP="00204EC2">
      <w:pPr>
        <w:autoSpaceDE w:val="0"/>
        <w:autoSpaceDN w:val="0"/>
        <w:adjustRightInd w:val="0"/>
        <w:spacing w:after="0" w:line="240" w:lineRule="auto"/>
        <w:rPr>
          <w:rFonts w:cstheme="minorHAnsi"/>
          <w:b/>
          <w:bCs/>
          <w:kern w:val="0"/>
          <w:sz w:val="24"/>
          <w:szCs w:val="24"/>
        </w:rPr>
      </w:pPr>
      <w:r w:rsidRPr="00A102E3">
        <w:rPr>
          <w:rFonts w:cstheme="minorHAnsi"/>
          <w:b/>
          <w:bCs/>
          <w:kern w:val="0"/>
          <w:sz w:val="24"/>
          <w:szCs w:val="24"/>
        </w:rPr>
        <w:t>The</w:t>
      </w:r>
      <w:r w:rsidR="001C33BB" w:rsidRPr="00A102E3">
        <w:rPr>
          <w:rFonts w:cstheme="minorHAnsi"/>
          <w:b/>
          <w:bCs/>
          <w:kern w:val="0"/>
          <w:sz w:val="24"/>
          <w:szCs w:val="24"/>
        </w:rPr>
        <w:t xml:space="preserve"> </w:t>
      </w:r>
      <w:r w:rsidRPr="00A102E3">
        <w:rPr>
          <w:rFonts w:cstheme="minorHAnsi"/>
          <w:b/>
          <w:bCs/>
          <w:kern w:val="0"/>
          <w:sz w:val="24"/>
          <w:szCs w:val="24"/>
        </w:rPr>
        <w:t>Productivity Commission’s D</w:t>
      </w:r>
      <w:r w:rsidR="001C33BB" w:rsidRPr="00A102E3">
        <w:rPr>
          <w:rFonts w:cstheme="minorHAnsi"/>
          <w:b/>
          <w:bCs/>
          <w:kern w:val="0"/>
          <w:sz w:val="24"/>
          <w:szCs w:val="24"/>
        </w:rPr>
        <w:t xml:space="preserve">raft </w:t>
      </w:r>
      <w:r w:rsidRPr="00A102E3">
        <w:rPr>
          <w:rFonts w:cstheme="minorHAnsi"/>
          <w:b/>
          <w:bCs/>
          <w:kern w:val="0"/>
          <w:sz w:val="24"/>
          <w:szCs w:val="24"/>
        </w:rPr>
        <w:t>R</w:t>
      </w:r>
      <w:r w:rsidR="001C33BB" w:rsidRPr="00A102E3">
        <w:rPr>
          <w:rFonts w:cstheme="minorHAnsi"/>
          <w:b/>
          <w:bCs/>
          <w:kern w:val="0"/>
          <w:sz w:val="24"/>
          <w:szCs w:val="24"/>
        </w:rPr>
        <w:t>eport</w:t>
      </w:r>
    </w:p>
    <w:p w14:paraId="2D4558A7" w14:textId="2CB79240" w:rsidR="00C52388" w:rsidRPr="00A102E3" w:rsidRDefault="00C52388" w:rsidP="00572AD0">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The </w:t>
      </w:r>
      <w:r w:rsidRPr="00A102E3">
        <w:rPr>
          <w:rFonts w:cstheme="minorHAnsi"/>
          <w:sz w:val="24"/>
          <w:szCs w:val="24"/>
        </w:rPr>
        <w:t xml:space="preserve">Productivity Commission’s </w:t>
      </w:r>
      <w:r w:rsidRPr="00A102E3">
        <w:rPr>
          <w:rFonts w:cstheme="minorHAnsi"/>
          <w:kern w:val="0"/>
          <w:sz w:val="24"/>
          <w:szCs w:val="24"/>
        </w:rPr>
        <w:t>Draft Report was released in July 2023 alongside two other events of significance.</w:t>
      </w:r>
    </w:p>
    <w:p w14:paraId="7A8FFBC9" w14:textId="77777777" w:rsidR="00C52388" w:rsidRPr="00A102E3" w:rsidRDefault="00C52388" w:rsidP="00572AD0">
      <w:pPr>
        <w:autoSpaceDE w:val="0"/>
        <w:autoSpaceDN w:val="0"/>
        <w:adjustRightInd w:val="0"/>
        <w:spacing w:after="0" w:line="240" w:lineRule="auto"/>
        <w:rPr>
          <w:rFonts w:cstheme="minorHAnsi"/>
          <w:kern w:val="0"/>
          <w:sz w:val="24"/>
          <w:szCs w:val="24"/>
        </w:rPr>
      </w:pPr>
    </w:p>
    <w:p w14:paraId="7F59F90B" w14:textId="248345C1" w:rsidR="00572AD0" w:rsidRPr="00A102E3" w:rsidRDefault="00572AD0" w:rsidP="00572AD0">
      <w:pPr>
        <w:autoSpaceDE w:val="0"/>
        <w:autoSpaceDN w:val="0"/>
        <w:adjustRightInd w:val="0"/>
        <w:spacing w:after="0" w:line="240" w:lineRule="auto"/>
        <w:rPr>
          <w:rFonts w:cstheme="minorHAnsi"/>
          <w:sz w:val="24"/>
          <w:szCs w:val="24"/>
        </w:rPr>
      </w:pPr>
      <w:r w:rsidRPr="00A102E3">
        <w:rPr>
          <w:rFonts w:cstheme="minorHAnsi"/>
          <w:kern w:val="0"/>
          <w:sz w:val="24"/>
          <w:szCs w:val="24"/>
        </w:rPr>
        <w:t xml:space="preserve">The first was </w:t>
      </w:r>
      <w:r w:rsidRPr="00A102E3">
        <w:rPr>
          <w:rFonts w:cstheme="minorHAnsi"/>
          <w:sz w:val="24"/>
          <w:szCs w:val="24"/>
        </w:rPr>
        <w:t xml:space="preserve">the latest update to the Closing the Gap Information Repository </w:t>
      </w:r>
      <w:hyperlink r:id="rId12" w:history="1">
        <w:r w:rsidRPr="00A102E3">
          <w:rPr>
            <w:rStyle w:val="Hyperlink"/>
            <w:rFonts w:cstheme="minorHAnsi"/>
            <w:color w:val="auto"/>
            <w:sz w:val="24"/>
            <w:szCs w:val="24"/>
            <w:u w:val="none"/>
          </w:rPr>
          <w:t>Dashboard</w:t>
        </w:r>
      </w:hyperlink>
      <w:r w:rsidRPr="00A102E3">
        <w:rPr>
          <w:rFonts w:cstheme="minorHAnsi"/>
          <w:sz w:val="24"/>
          <w:szCs w:val="24"/>
        </w:rPr>
        <w:t xml:space="preserve"> on 15 June 2023 and then the release of the third Annual Data Compilation Report on 12 July 2023. Both these reports are comprehensive and provide </w:t>
      </w:r>
      <w:r w:rsidR="004D6038" w:rsidRPr="00A102E3">
        <w:rPr>
          <w:rFonts w:cstheme="minorHAnsi"/>
          <w:sz w:val="24"/>
          <w:szCs w:val="24"/>
        </w:rPr>
        <w:t>detailed</w:t>
      </w:r>
      <w:r w:rsidRPr="00A102E3">
        <w:rPr>
          <w:rFonts w:cstheme="minorHAnsi"/>
          <w:sz w:val="24"/>
          <w:szCs w:val="24"/>
        </w:rPr>
        <w:t xml:space="preserve"> reporting on </w:t>
      </w:r>
      <w:r w:rsidR="00902B2E" w:rsidRPr="00A102E3">
        <w:rPr>
          <w:rFonts w:cstheme="minorHAnsi"/>
          <w:sz w:val="24"/>
          <w:szCs w:val="24"/>
        </w:rPr>
        <w:t xml:space="preserve">early </w:t>
      </w:r>
      <w:r w:rsidRPr="00A102E3">
        <w:rPr>
          <w:rFonts w:cstheme="minorHAnsi"/>
          <w:sz w:val="24"/>
          <w:szCs w:val="24"/>
        </w:rPr>
        <w:t>progress in Closing the Gap</w:t>
      </w:r>
      <w:r w:rsidR="00902B2E" w:rsidRPr="00A102E3">
        <w:rPr>
          <w:rFonts w:cstheme="minorHAnsi"/>
          <w:sz w:val="24"/>
          <w:szCs w:val="24"/>
        </w:rPr>
        <w:t xml:space="preserve"> mainly using 2021 Census data collected just a year after the signing of the National Agreement but lacking data useful for evaluation of several targets</w:t>
      </w:r>
      <w:r w:rsidRPr="00A102E3">
        <w:rPr>
          <w:rFonts w:cstheme="minorHAnsi"/>
          <w:sz w:val="24"/>
          <w:szCs w:val="24"/>
        </w:rPr>
        <w:t>. So</w:t>
      </w:r>
      <w:r w:rsidR="00C52388" w:rsidRPr="00A102E3">
        <w:rPr>
          <w:rFonts w:cstheme="minorHAnsi"/>
          <w:sz w:val="24"/>
          <w:szCs w:val="24"/>
        </w:rPr>
        <w:t>,</w:t>
      </w:r>
      <w:r w:rsidRPr="00A102E3">
        <w:rPr>
          <w:rFonts w:cstheme="minorHAnsi"/>
          <w:sz w:val="24"/>
          <w:szCs w:val="24"/>
        </w:rPr>
        <w:t xml:space="preserve"> alongside the Draft Report</w:t>
      </w:r>
      <w:r w:rsidR="00C700E6" w:rsidRPr="00A102E3">
        <w:rPr>
          <w:rFonts w:cstheme="minorHAnsi"/>
          <w:sz w:val="24"/>
          <w:szCs w:val="24"/>
        </w:rPr>
        <w:t>,</w:t>
      </w:r>
      <w:r w:rsidRPr="00A102E3">
        <w:rPr>
          <w:rFonts w:cstheme="minorHAnsi"/>
          <w:sz w:val="24"/>
          <w:szCs w:val="24"/>
        </w:rPr>
        <w:t xml:space="preserve"> one must simultaneously engage with the </w:t>
      </w:r>
      <w:r w:rsidR="00C700E6" w:rsidRPr="00A102E3">
        <w:rPr>
          <w:rFonts w:cstheme="minorHAnsi"/>
          <w:sz w:val="24"/>
          <w:szCs w:val="24"/>
        </w:rPr>
        <w:t xml:space="preserve">extraordinarily </w:t>
      </w:r>
      <w:r w:rsidR="004D6038" w:rsidRPr="00A102E3">
        <w:rPr>
          <w:rFonts w:cstheme="minorHAnsi"/>
          <w:sz w:val="24"/>
          <w:szCs w:val="24"/>
        </w:rPr>
        <w:t>multilayered</w:t>
      </w:r>
      <w:r w:rsidR="00C700E6" w:rsidRPr="00A102E3">
        <w:rPr>
          <w:rFonts w:cstheme="minorHAnsi"/>
          <w:sz w:val="24"/>
          <w:szCs w:val="24"/>
        </w:rPr>
        <w:t xml:space="preserve"> </w:t>
      </w:r>
      <w:r w:rsidRPr="00A102E3">
        <w:rPr>
          <w:rFonts w:cstheme="minorHAnsi"/>
          <w:sz w:val="24"/>
          <w:szCs w:val="24"/>
        </w:rPr>
        <w:t xml:space="preserve">online Dashboard and the </w:t>
      </w:r>
      <w:r w:rsidR="00C700E6" w:rsidRPr="00A102E3">
        <w:rPr>
          <w:rFonts w:cstheme="minorHAnsi"/>
          <w:sz w:val="24"/>
          <w:szCs w:val="24"/>
        </w:rPr>
        <w:t xml:space="preserve">summary </w:t>
      </w:r>
      <w:r w:rsidRPr="00A102E3">
        <w:rPr>
          <w:rFonts w:cstheme="minorHAnsi"/>
          <w:sz w:val="24"/>
          <w:szCs w:val="24"/>
        </w:rPr>
        <w:t>Annual Compilation Report</w:t>
      </w:r>
      <w:r w:rsidR="00C52388" w:rsidRPr="00A102E3">
        <w:rPr>
          <w:rFonts w:cstheme="minorHAnsi"/>
          <w:sz w:val="24"/>
          <w:szCs w:val="24"/>
        </w:rPr>
        <w:t xml:space="preserve"> to </w:t>
      </w:r>
      <w:r w:rsidR="004D6038" w:rsidRPr="00A102E3">
        <w:rPr>
          <w:rFonts w:cstheme="minorHAnsi"/>
          <w:sz w:val="24"/>
          <w:szCs w:val="24"/>
        </w:rPr>
        <w:t>inform</w:t>
      </w:r>
      <w:r w:rsidR="00C52388" w:rsidRPr="00A102E3">
        <w:rPr>
          <w:rFonts w:cstheme="minorHAnsi"/>
          <w:sz w:val="24"/>
          <w:szCs w:val="24"/>
        </w:rPr>
        <w:t xml:space="preserve"> comprehensive interpretation of </w:t>
      </w:r>
      <w:r w:rsidR="00627C04">
        <w:rPr>
          <w:rFonts w:cstheme="minorHAnsi"/>
          <w:sz w:val="24"/>
          <w:szCs w:val="24"/>
        </w:rPr>
        <w:t>D</w:t>
      </w:r>
      <w:r w:rsidR="00902B2E" w:rsidRPr="00A102E3">
        <w:rPr>
          <w:rFonts w:cstheme="minorHAnsi"/>
          <w:sz w:val="24"/>
          <w:szCs w:val="24"/>
        </w:rPr>
        <w:t xml:space="preserve">raft </w:t>
      </w:r>
      <w:r w:rsidR="00627C04">
        <w:rPr>
          <w:rFonts w:cstheme="minorHAnsi"/>
          <w:sz w:val="24"/>
          <w:szCs w:val="24"/>
        </w:rPr>
        <w:t>Report</w:t>
      </w:r>
      <w:r w:rsidR="00C52388" w:rsidRPr="00A102E3">
        <w:rPr>
          <w:rFonts w:cstheme="minorHAnsi"/>
          <w:sz w:val="24"/>
          <w:szCs w:val="24"/>
        </w:rPr>
        <w:t xml:space="preserve"> findings.</w:t>
      </w:r>
    </w:p>
    <w:p w14:paraId="6B408075" w14:textId="77777777" w:rsidR="004D6038" w:rsidRPr="00A102E3" w:rsidRDefault="004D6038" w:rsidP="00572AD0">
      <w:pPr>
        <w:autoSpaceDE w:val="0"/>
        <w:autoSpaceDN w:val="0"/>
        <w:adjustRightInd w:val="0"/>
        <w:spacing w:after="0" w:line="240" w:lineRule="auto"/>
        <w:rPr>
          <w:rFonts w:cstheme="minorHAnsi"/>
          <w:sz w:val="24"/>
          <w:szCs w:val="24"/>
        </w:rPr>
      </w:pPr>
    </w:p>
    <w:p w14:paraId="3BACE106" w14:textId="6320291E" w:rsidR="00572AD0" w:rsidRPr="00A102E3" w:rsidRDefault="00572AD0" w:rsidP="00572AD0">
      <w:pPr>
        <w:autoSpaceDE w:val="0"/>
        <w:autoSpaceDN w:val="0"/>
        <w:adjustRightInd w:val="0"/>
        <w:spacing w:after="0" w:line="240" w:lineRule="auto"/>
        <w:rPr>
          <w:rFonts w:cstheme="minorHAnsi"/>
          <w:sz w:val="24"/>
          <w:szCs w:val="24"/>
        </w:rPr>
      </w:pPr>
      <w:r w:rsidRPr="00A102E3">
        <w:rPr>
          <w:rFonts w:cstheme="minorHAnsi"/>
          <w:sz w:val="24"/>
          <w:szCs w:val="24"/>
        </w:rPr>
        <w:t xml:space="preserve">The second has been the national focus and debate on a proposed addition to the Australian Constitution to embed an Indigenous </w:t>
      </w:r>
      <w:r w:rsidR="001C71D9" w:rsidRPr="00A102E3">
        <w:rPr>
          <w:rFonts w:cstheme="minorHAnsi"/>
          <w:sz w:val="24"/>
          <w:szCs w:val="24"/>
        </w:rPr>
        <w:t>V</w:t>
      </w:r>
      <w:r w:rsidRPr="00A102E3">
        <w:rPr>
          <w:rFonts w:cstheme="minorHAnsi"/>
          <w:sz w:val="24"/>
          <w:szCs w:val="24"/>
        </w:rPr>
        <w:t>oice to the Australian parliament and executive</w:t>
      </w:r>
      <w:r w:rsidR="001C71D9" w:rsidRPr="00A102E3">
        <w:rPr>
          <w:rFonts w:cstheme="minorHAnsi"/>
          <w:sz w:val="24"/>
          <w:szCs w:val="24"/>
        </w:rPr>
        <w:t xml:space="preserve"> arm of government</w:t>
      </w:r>
      <w:r w:rsidRPr="00A102E3">
        <w:rPr>
          <w:rFonts w:cstheme="minorHAnsi"/>
          <w:sz w:val="24"/>
          <w:szCs w:val="24"/>
        </w:rPr>
        <w:t xml:space="preserve">. Comment on the Draft </w:t>
      </w:r>
      <w:r w:rsidR="004D6038" w:rsidRPr="00A102E3">
        <w:rPr>
          <w:rFonts w:cstheme="minorHAnsi"/>
          <w:sz w:val="24"/>
          <w:szCs w:val="24"/>
        </w:rPr>
        <w:t>R</w:t>
      </w:r>
      <w:r w:rsidRPr="00A102E3">
        <w:rPr>
          <w:rFonts w:cstheme="minorHAnsi"/>
          <w:sz w:val="24"/>
          <w:szCs w:val="24"/>
        </w:rPr>
        <w:t xml:space="preserve">eport is due on 6 October 2023, just a week before polling on constitutional reform that is already underway closes. During </w:t>
      </w:r>
      <w:r w:rsidR="00902B2E" w:rsidRPr="00A102E3">
        <w:rPr>
          <w:rFonts w:cstheme="minorHAnsi"/>
          <w:sz w:val="24"/>
          <w:szCs w:val="24"/>
        </w:rPr>
        <w:t xml:space="preserve">the </w:t>
      </w:r>
      <w:r w:rsidRPr="00A102E3">
        <w:rPr>
          <w:rFonts w:cstheme="minorHAnsi"/>
          <w:sz w:val="24"/>
          <w:szCs w:val="24"/>
        </w:rPr>
        <w:t xml:space="preserve">national debate </w:t>
      </w:r>
      <w:r w:rsidR="00902B2E" w:rsidRPr="00A102E3">
        <w:rPr>
          <w:rFonts w:cstheme="minorHAnsi"/>
          <w:sz w:val="24"/>
          <w:szCs w:val="24"/>
        </w:rPr>
        <w:t>between those for an</w:t>
      </w:r>
      <w:r w:rsidR="00627C04">
        <w:rPr>
          <w:rFonts w:cstheme="minorHAnsi"/>
          <w:sz w:val="24"/>
          <w:szCs w:val="24"/>
        </w:rPr>
        <w:t>d</w:t>
      </w:r>
      <w:r w:rsidR="00902B2E" w:rsidRPr="00A102E3">
        <w:rPr>
          <w:rFonts w:cstheme="minorHAnsi"/>
          <w:sz w:val="24"/>
          <w:szCs w:val="24"/>
        </w:rPr>
        <w:t xml:space="preserve"> against constitutional reform </w:t>
      </w:r>
      <w:r w:rsidRPr="00A102E3">
        <w:rPr>
          <w:rFonts w:cstheme="minorHAnsi"/>
          <w:sz w:val="24"/>
          <w:szCs w:val="24"/>
        </w:rPr>
        <w:t xml:space="preserve">there has been much focus on </w:t>
      </w:r>
      <w:r w:rsidR="007A319F" w:rsidRPr="00A102E3">
        <w:rPr>
          <w:rFonts w:cstheme="minorHAnsi"/>
          <w:sz w:val="24"/>
          <w:szCs w:val="24"/>
        </w:rPr>
        <w:t>the issue of perceived</w:t>
      </w:r>
      <w:r w:rsidRPr="00A102E3">
        <w:rPr>
          <w:rFonts w:cstheme="minorHAnsi"/>
          <w:sz w:val="24"/>
          <w:szCs w:val="24"/>
        </w:rPr>
        <w:t xml:space="preserve"> lack of progress in Closing the Gap (reducing Indigenous disadvantage)</w:t>
      </w:r>
      <w:r w:rsidR="007A319F" w:rsidRPr="00A102E3">
        <w:rPr>
          <w:rFonts w:cstheme="minorHAnsi"/>
          <w:sz w:val="24"/>
          <w:szCs w:val="24"/>
        </w:rPr>
        <w:t xml:space="preserve">. But there has been limited engagement with the detail of the National Agreement or </w:t>
      </w:r>
      <w:r w:rsidR="007A319F" w:rsidRPr="00A102E3">
        <w:rPr>
          <w:rFonts w:cstheme="minorHAnsi"/>
          <w:sz w:val="24"/>
          <w:szCs w:val="24"/>
        </w:rPr>
        <w:lastRenderedPageBreak/>
        <w:t>acknowledgment of its co-design with the Coalition of Peaks</w:t>
      </w:r>
      <w:r w:rsidR="00627C04">
        <w:rPr>
          <w:rFonts w:cstheme="minorHAnsi"/>
          <w:sz w:val="24"/>
          <w:szCs w:val="24"/>
        </w:rPr>
        <w:t xml:space="preserve"> (now representing up to 800 organisations serving as many of 500,000 clients or 50% of the estimated Indigenous population</w:t>
      </w:r>
      <w:r w:rsidR="00FF04CB">
        <w:rPr>
          <w:rFonts w:cstheme="minorHAnsi"/>
          <w:sz w:val="24"/>
          <w:szCs w:val="24"/>
        </w:rPr>
        <w:t xml:space="preserve"> according to information on its website</w:t>
      </w:r>
      <w:r w:rsidR="00627C04">
        <w:rPr>
          <w:rFonts w:cstheme="minorHAnsi"/>
          <w:sz w:val="24"/>
          <w:szCs w:val="24"/>
        </w:rPr>
        <w:t>)</w:t>
      </w:r>
      <w:r w:rsidRPr="00A102E3">
        <w:rPr>
          <w:rFonts w:cstheme="minorHAnsi"/>
          <w:sz w:val="24"/>
          <w:szCs w:val="24"/>
        </w:rPr>
        <w:t xml:space="preserve">. There has also been considerable misunderstanding and misinformation circulated about the estimated level of expenditure by governments on Indigenous </w:t>
      </w:r>
      <w:r w:rsidR="004D6038" w:rsidRPr="00A102E3">
        <w:rPr>
          <w:rFonts w:cstheme="minorHAnsi"/>
          <w:sz w:val="24"/>
          <w:szCs w:val="24"/>
        </w:rPr>
        <w:t>people</w:t>
      </w:r>
      <w:r w:rsidRPr="00A102E3">
        <w:rPr>
          <w:rFonts w:cstheme="minorHAnsi"/>
          <w:sz w:val="24"/>
          <w:szCs w:val="24"/>
        </w:rPr>
        <w:t xml:space="preserve">. The Productivity Commission </w:t>
      </w:r>
      <w:r w:rsidR="00C52388" w:rsidRPr="00A102E3">
        <w:rPr>
          <w:rFonts w:cstheme="minorHAnsi"/>
          <w:sz w:val="24"/>
          <w:szCs w:val="24"/>
        </w:rPr>
        <w:t xml:space="preserve">recently </w:t>
      </w:r>
      <w:r w:rsidRPr="00A102E3">
        <w:rPr>
          <w:rFonts w:cstheme="minorHAnsi"/>
          <w:sz w:val="24"/>
          <w:szCs w:val="24"/>
        </w:rPr>
        <w:t xml:space="preserve">released a report on 28 September 2023 seeking to clarify </w:t>
      </w:r>
      <w:r w:rsidR="00C700E6" w:rsidRPr="00A102E3">
        <w:rPr>
          <w:rFonts w:cstheme="minorHAnsi"/>
          <w:sz w:val="24"/>
          <w:szCs w:val="24"/>
        </w:rPr>
        <w:t xml:space="preserve">the estimates made </w:t>
      </w:r>
      <w:r w:rsidR="007A319F" w:rsidRPr="00A102E3">
        <w:rPr>
          <w:rFonts w:cstheme="minorHAnsi"/>
          <w:sz w:val="24"/>
          <w:szCs w:val="24"/>
        </w:rPr>
        <w:t xml:space="preserve">some six years ago now </w:t>
      </w:r>
      <w:r w:rsidR="00C700E6" w:rsidRPr="00A102E3">
        <w:rPr>
          <w:rFonts w:cstheme="minorHAnsi"/>
          <w:sz w:val="24"/>
          <w:szCs w:val="24"/>
        </w:rPr>
        <w:t xml:space="preserve">in the </w:t>
      </w:r>
      <w:r w:rsidR="00C700E6" w:rsidRPr="00A102E3">
        <w:rPr>
          <w:rFonts w:cstheme="minorHAnsi"/>
          <w:i/>
          <w:iCs/>
          <w:sz w:val="24"/>
          <w:szCs w:val="24"/>
        </w:rPr>
        <w:t>Indigenous Expenditure Report 2017</w:t>
      </w:r>
      <w:r w:rsidR="00C700E6" w:rsidRPr="00A102E3">
        <w:rPr>
          <w:rFonts w:cstheme="minorHAnsi"/>
          <w:sz w:val="24"/>
          <w:szCs w:val="24"/>
        </w:rPr>
        <w:t xml:space="preserve"> (estimat</w:t>
      </w:r>
      <w:r w:rsidR="004D6038" w:rsidRPr="00A102E3">
        <w:rPr>
          <w:rFonts w:cstheme="minorHAnsi"/>
          <w:sz w:val="24"/>
          <w:szCs w:val="24"/>
        </w:rPr>
        <w:t>ing</w:t>
      </w:r>
      <w:r w:rsidR="00C700E6" w:rsidRPr="00A102E3">
        <w:rPr>
          <w:rFonts w:cstheme="minorHAnsi"/>
          <w:sz w:val="24"/>
          <w:szCs w:val="24"/>
        </w:rPr>
        <w:t xml:space="preserve"> 2015–16 expenditures) and how they should be correctly interpreted.</w:t>
      </w:r>
    </w:p>
    <w:p w14:paraId="5DF627EC" w14:textId="77777777" w:rsidR="00C700E6" w:rsidRPr="00A102E3" w:rsidRDefault="00C700E6" w:rsidP="00572AD0">
      <w:pPr>
        <w:autoSpaceDE w:val="0"/>
        <w:autoSpaceDN w:val="0"/>
        <w:adjustRightInd w:val="0"/>
        <w:spacing w:after="0" w:line="240" w:lineRule="auto"/>
        <w:rPr>
          <w:rFonts w:cstheme="minorHAnsi"/>
          <w:b/>
          <w:bCs/>
          <w:kern w:val="0"/>
          <w:sz w:val="24"/>
          <w:szCs w:val="24"/>
        </w:rPr>
      </w:pPr>
    </w:p>
    <w:p w14:paraId="3177DFA1" w14:textId="04173A37" w:rsidR="007A319F" w:rsidRPr="00A102E3" w:rsidRDefault="00C700E6" w:rsidP="003F2F89">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The Productivity Commission </w:t>
      </w:r>
      <w:r w:rsidR="004D6038" w:rsidRPr="00A102E3">
        <w:rPr>
          <w:rFonts w:cstheme="minorHAnsi"/>
          <w:kern w:val="0"/>
          <w:sz w:val="24"/>
          <w:szCs w:val="24"/>
        </w:rPr>
        <w:t xml:space="preserve">has been </w:t>
      </w:r>
      <w:r w:rsidR="007A319F" w:rsidRPr="00A102E3">
        <w:rPr>
          <w:rFonts w:cstheme="minorHAnsi"/>
          <w:kern w:val="0"/>
          <w:sz w:val="24"/>
          <w:szCs w:val="24"/>
        </w:rPr>
        <w:t>required in its terms of reference</w:t>
      </w:r>
      <w:r w:rsidRPr="00A102E3">
        <w:rPr>
          <w:rFonts w:cstheme="minorHAnsi"/>
          <w:kern w:val="0"/>
          <w:sz w:val="24"/>
          <w:szCs w:val="24"/>
        </w:rPr>
        <w:t xml:space="preserve"> to analys</w:t>
      </w:r>
      <w:r w:rsidR="004D6038" w:rsidRPr="00A102E3">
        <w:rPr>
          <w:rFonts w:cstheme="minorHAnsi"/>
          <w:kern w:val="0"/>
          <w:sz w:val="24"/>
          <w:szCs w:val="24"/>
        </w:rPr>
        <w:t>ing</w:t>
      </w:r>
      <w:r w:rsidRPr="00A102E3">
        <w:rPr>
          <w:rFonts w:cstheme="minorHAnsi"/>
          <w:kern w:val="0"/>
          <w:sz w:val="24"/>
          <w:szCs w:val="24"/>
        </w:rPr>
        <w:t xml:space="preserve"> progress on Closing the Gap against the four Priority Reform outcome areas and all the socioeconomic outcome areas and targets in the National Agreement and examine the factors affecting progress. </w:t>
      </w:r>
    </w:p>
    <w:p w14:paraId="4126F4AD" w14:textId="77777777" w:rsidR="007A319F" w:rsidRPr="00A102E3" w:rsidRDefault="007A319F" w:rsidP="003F2F89">
      <w:pPr>
        <w:autoSpaceDE w:val="0"/>
        <w:autoSpaceDN w:val="0"/>
        <w:adjustRightInd w:val="0"/>
        <w:spacing w:after="0" w:line="240" w:lineRule="auto"/>
        <w:rPr>
          <w:rFonts w:cstheme="minorHAnsi"/>
          <w:kern w:val="0"/>
          <w:sz w:val="24"/>
          <w:szCs w:val="24"/>
        </w:rPr>
      </w:pPr>
    </w:p>
    <w:p w14:paraId="38BE6191" w14:textId="6FEBDB96" w:rsidR="00C700E6" w:rsidRPr="00A102E3" w:rsidRDefault="00C700E6" w:rsidP="003F2F89">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In the Draft Report the emphasis is </w:t>
      </w:r>
      <w:r w:rsidR="00627C04" w:rsidRPr="00A102E3">
        <w:rPr>
          <w:rFonts w:cstheme="minorHAnsi"/>
          <w:kern w:val="0"/>
          <w:sz w:val="24"/>
          <w:szCs w:val="24"/>
        </w:rPr>
        <w:t>on</w:t>
      </w:r>
      <w:r w:rsidRPr="00A102E3">
        <w:rPr>
          <w:rFonts w:cstheme="minorHAnsi"/>
          <w:kern w:val="0"/>
          <w:sz w:val="24"/>
          <w:szCs w:val="24"/>
        </w:rPr>
        <w:t xml:space="preserve"> the Priority Reforms perhaps because the other reporting instruments noted above provide all available information on progress in meeting targets. </w:t>
      </w:r>
      <w:r w:rsidR="003F2F89" w:rsidRPr="00A102E3">
        <w:rPr>
          <w:rFonts w:cstheme="minorHAnsi"/>
          <w:kern w:val="0"/>
          <w:sz w:val="24"/>
          <w:szCs w:val="24"/>
        </w:rPr>
        <w:t xml:space="preserve">It is also likely because the four Priority </w:t>
      </w:r>
      <w:r w:rsidR="005C535E">
        <w:rPr>
          <w:rFonts w:cstheme="minorHAnsi"/>
          <w:kern w:val="0"/>
          <w:sz w:val="24"/>
          <w:szCs w:val="24"/>
        </w:rPr>
        <w:t xml:space="preserve">Reform </w:t>
      </w:r>
      <w:r w:rsidR="003F2F89" w:rsidRPr="00A102E3">
        <w:rPr>
          <w:rFonts w:cstheme="minorHAnsi"/>
          <w:kern w:val="0"/>
          <w:sz w:val="24"/>
          <w:szCs w:val="24"/>
        </w:rPr>
        <w:t>Areas are seen as the central pillars of the National Agreement</w:t>
      </w:r>
      <w:r w:rsidR="007A319F" w:rsidRPr="00A102E3">
        <w:rPr>
          <w:rFonts w:cstheme="minorHAnsi"/>
          <w:kern w:val="0"/>
          <w:sz w:val="24"/>
          <w:szCs w:val="24"/>
        </w:rPr>
        <w:t xml:space="preserve"> designed to</w:t>
      </w:r>
      <w:r w:rsidR="003F2F89" w:rsidRPr="00A102E3">
        <w:rPr>
          <w:rFonts w:cstheme="minorHAnsi"/>
          <w:kern w:val="0"/>
          <w:sz w:val="24"/>
          <w:szCs w:val="24"/>
        </w:rPr>
        <w:t xml:space="preserve"> fundamentally alter </w:t>
      </w:r>
      <w:r w:rsidR="007A319F" w:rsidRPr="00A102E3">
        <w:rPr>
          <w:rFonts w:cstheme="minorHAnsi"/>
          <w:kern w:val="0"/>
          <w:sz w:val="24"/>
          <w:szCs w:val="24"/>
        </w:rPr>
        <w:t xml:space="preserve">existing </w:t>
      </w:r>
      <w:r w:rsidR="003F2F89" w:rsidRPr="00A102E3">
        <w:rPr>
          <w:rFonts w:cstheme="minorHAnsi"/>
          <w:kern w:val="0"/>
          <w:sz w:val="24"/>
          <w:szCs w:val="24"/>
        </w:rPr>
        <w:t xml:space="preserve">institutional arrangements to empower Indigenous Australians and their community-controlled organisations </w:t>
      </w:r>
      <w:r w:rsidR="007A319F" w:rsidRPr="00A102E3">
        <w:rPr>
          <w:rFonts w:cstheme="minorHAnsi"/>
          <w:kern w:val="0"/>
          <w:sz w:val="24"/>
          <w:szCs w:val="24"/>
        </w:rPr>
        <w:t xml:space="preserve">to better deliver services and </w:t>
      </w:r>
      <w:r w:rsidR="003F2F89" w:rsidRPr="00A102E3">
        <w:rPr>
          <w:rFonts w:cstheme="minorHAnsi"/>
          <w:kern w:val="0"/>
          <w:sz w:val="24"/>
          <w:szCs w:val="24"/>
        </w:rPr>
        <w:t xml:space="preserve">so ensure the achievement of </w:t>
      </w:r>
      <w:r w:rsidR="00627C04">
        <w:rPr>
          <w:rFonts w:cstheme="minorHAnsi"/>
          <w:kern w:val="0"/>
          <w:sz w:val="24"/>
          <w:szCs w:val="24"/>
        </w:rPr>
        <w:t>improved</w:t>
      </w:r>
      <w:r w:rsidR="003F2F89" w:rsidRPr="00A102E3">
        <w:rPr>
          <w:rFonts w:cstheme="minorHAnsi"/>
          <w:kern w:val="0"/>
          <w:sz w:val="24"/>
          <w:szCs w:val="24"/>
        </w:rPr>
        <w:t xml:space="preserve"> socioeconomic outcomes. The four areas are Priority Reform 1 – Formal partnerships and shared decision-making; Priority Reform 2 – Building the community-controlled sector; Priority Reform 3 – Transforming government organisations; and Priority Reform 4 – Shared access to data and information at a regional level.</w:t>
      </w:r>
      <w:r w:rsidR="007A319F" w:rsidRPr="00A102E3">
        <w:rPr>
          <w:rFonts w:cstheme="minorHAnsi"/>
          <w:kern w:val="0"/>
          <w:sz w:val="24"/>
          <w:szCs w:val="24"/>
        </w:rPr>
        <w:t xml:space="preserve"> Unfortunately, in my view, in the National Agreement (at </w:t>
      </w:r>
      <w:r w:rsidR="00627C04">
        <w:rPr>
          <w:rFonts w:cstheme="minorHAnsi"/>
          <w:kern w:val="0"/>
          <w:sz w:val="24"/>
          <w:szCs w:val="24"/>
        </w:rPr>
        <w:t>clause</w:t>
      </w:r>
      <w:r w:rsidR="007A319F" w:rsidRPr="00A102E3">
        <w:rPr>
          <w:rFonts w:cstheme="minorHAnsi"/>
          <w:kern w:val="0"/>
          <w:sz w:val="24"/>
          <w:szCs w:val="24"/>
        </w:rPr>
        <w:t xml:space="preserve"> 17) these are referred to as outcomes </w:t>
      </w:r>
      <w:r w:rsidR="00760660" w:rsidRPr="00A102E3">
        <w:rPr>
          <w:rFonts w:cstheme="minorHAnsi"/>
          <w:kern w:val="0"/>
          <w:sz w:val="24"/>
          <w:szCs w:val="24"/>
        </w:rPr>
        <w:t xml:space="preserve">(hence </w:t>
      </w:r>
      <w:r w:rsidR="007A319F" w:rsidRPr="00A102E3">
        <w:rPr>
          <w:rFonts w:cstheme="minorHAnsi"/>
          <w:kern w:val="0"/>
          <w:sz w:val="24"/>
          <w:szCs w:val="24"/>
        </w:rPr>
        <w:t>amenable to measurement</w:t>
      </w:r>
      <w:r w:rsidR="00760660" w:rsidRPr="00A102E3">
        <w:rPr>
          <w:rFonts w:cstheme="minorHAnsi"/>
          <w:kern w:val="0"/>
          <w:sz w:val="24"/>
          <w:szCs w:val="24"/>
        </w:rPr>
        <w:t>)</w:t>
      </w:r>
      <w:r w:rsidR="007A319F" w:rsidRPr="00A102E3">
        <w:rPr>
          <w:rFonts w:cstheme="minorHAnsi"/>
          <w:kern w:val="0"/>
          <w:sz w:val="24"/>
          <w:szCs w:val="24"/>
        </w:rPr>
        <w:t xml:space="preserve"> rather than as </w:t>
      </w:r>
      <w:r w:rsidR="00627C04">
        <w:rPr>
          <w:rFonts w:cstheme="minorHAnsi"/>
          <w:kern w:val="0"/>
          <w:sz w:val="24"/>
          <w:szCs w:val="24"/>
        </w:rPr>
        <w:t>‘</w:t>
      </w:r>
      <w:r w:rsidR="007A319F" w:rsidRPr="00A102E3">
        <w:rPr>
          <w:rFonts w:cstheme="minorHAnsi"/>
          <w:kern w:val="0"/>
          <w:sz w:val="24"/>
          <w:szCs w:val="24"/>
        </w:rPr>
        <w:t>principles</w:t>
      </w:r>
      <w:r w:rsidR="00627C04">
        <w:rPr>
          <w:rFonts w:cstheme="minorHAnsi"/>
          <w:kern w:val="0"/>
          <w:sz w:val="24"/>
          <w:szCs w:val="24"/>
        </w:rPr>
        <w:t>’</w:t>
      </w:r>
      <w:r w:rsidR="00760660" w:rsidRPr="00A102E3">
        <w:rPr>
          <w:rFonts w:cstheme="minorHAnsi"/>
          <w:kern w:val="0"/>
          <w:sz w:val="24"/>
          <w:szCs w:val="24"/>
        </w:rPr>
        <w:t xml:space="preserve"> to ensure better delivery of services.</w:t>
      </w:r>
    </w:p>
    <w:p w14:paraId="670EA024" w14:textId="77777777" w:rsidR="003F2F89" w:rsidRPr="00A102E3" w:rsidRDefault="003F2F89" w:rsidP="003F2F89">
      <w:pPr>
        <w:autoSpaceDE w:val="0"/>
        <w:autoSpaceDN w:val="0"/>
        <w:adjustRightInd w:val="0"/>
        <w:spacing w:after="0" w:line="240" w:lineRule="auto"/>
        <w:rPr>
          <w:rFonts w:cstheme="minorHAnsi"/>
          <w:kern w:val="0"/>
          <w:sz w:val="24"/>
          <w:szCs w:val="24"/>
        </w:rPr>
      </w:pPr>
    </w:p>
    <w:p w14:paraId="739B76EC" w14:textId="70E346E1" w:rsidR="00760660" w:rsidRPr="00A102E3" w:rsidRDefault="003F2F89" w:rsidP="003F2F89">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Alongside these </w:t>
      </w:r>
      <w:r w:rsidR="005C535E">
        <w:rPr>
          <w:rFonts w:cstheme="minorHAnsi"/>
          <w:kern w:val="0"/>
          <w:sz w:val="24"/>
          <w:szCs w:val="24"/>
        </w:rPr>
        <w:t>P</w:t>
      </w:r>
      <w:r w:rsidRPr="00A102E3">
        <w:rPr>
          <w:rFonts w:cstheme="minorHAnsi"/>
          <w:kern w:val="0"/>
          <w:sz w:val="24"/>
          <w:szCs w:val="24"/>
        </w:rPr>
        <w:t xml:space="preserve">riority </w:t>
      </w:r>
      <w:r w:rsidR="005C535E">
        <w:rPr>
          <w:rFonts w:cstheme="minorHAnsi"/>
          <w:kern w:val="0"/>
          <w:sz w:val="24"/>
          <w:szCs w:val="24"/>
        </w:rPr>
        <w:t>R</w:t>
      </w:r>
      <w:r w:rsidRPr="00A102E3">
        <w:rPr>
          <w:rFonts w:cstheme="minorHAnsi"/>
          <w:kern w:val="0"/>
          <w:sz w:val="24"/>
          <w:szCs w:val="24"/>
        </w:rPr>
        <w:t>eforms there are</w:t>
      </w:r>
      <w:r w:rsidR="00760660" w:rsidRPr="00A102E3">
        <w:rPr>
          <w:rFonts w:cstheme="minorHAnsi"/>
          <w:kern w:val="0"/>
          <w:sz w:val="24"/>
          <w:szCs w:val="24"/>
        </w:rPr>
        <w:t xml:space="preserve"> </w:t>
      </w:r>
      <w:r w:rsidRPr="00A102E3">
        <w:rPr>
          <w:rFonts w:cstheme="minorHAnsi"/>
          <w:kern w:val="0"/>
          <w:sz w:val="24"/>
          <w:szCs w:val="24"/>
        </w:rPr>
        <w:t xml:space="preserve">17 outcome areas </w:t>
      </w:r>
      <w:r w:rsidR="00627C04">
        <w:rPr>
          <w:rFonts w:cstheme="minorHAnsi"/>
          <w:kern w:val="0"/>
          <w:sz w:val="24"/>
          <w:szCs w:val="24"/>
        </w:rPr>
        <w:t>with</w:t>
      </w:r>
      <w:r w:rsidRPr="00A102E3">
        <w:rPr>
          <w:rFonts w:cstheme="minorHAnsi"/>
          <w:kern w:val="0"/>
          <w:sz w:val="24"/>
          <w:szCs w:val="24"/>
        </w:rPr>
        <w:t xml:space="preserve"> 19 targets identified in the National Agreement with two </w:t>
      </w:r>
      <w:r w:rsidR="00F5691F" w:rsidRPr="00A102E3">
        <w:rPr>
          <w:rFonts w:cstheme="minorHAnsi"/>
          <w:kern w:val="0"/>
          <w:sz w:val="24"/>
          <w:szCs w:val="24"/>
        </w:rPr>
        <w:t xml:space="preserve">of these </w:t>
      </w:r>
      <w:r w:rsidRPr="00A102E3">
        <w:rPr>
          <w:rFonts w:cstheme="minorHAnsi"/>
          <w:kern w:val="0"/>
          <w:sz w:val="24"/>
          <w:szCs w:val="24"/>
        </w:rPr>
        <w:t>targets added since its signing in 2020. As noted earlier while all the targets</w:t>
      </w:r>
      <w:r w:rsidR="00F5691F" w:rsidRPr="00A102E3">
        <w:rPr>
          <w:rFonts w:cstheme="minorHAnsi"/>
          <w:kern w:val="0"/>
          <w:sz w:val="24"/>
          <w:szCs w:val="24"/>
        </w:rPr>
        <w:t>,</w:t>
      </w:r>
      <w:r w:rsidRPr="00A102E3">
        <w:rPr>
          <w:rFonts w:cstheme="minorHAnsi"/>
          <w:kern w:val="0"/>
          <w:sz w:val="24"/>
          <w:szCs w:val="24"/>
        </w:rPr>
        <w:t xml:space="preserve"> bar two</w:t>
      </w:r>
      <w:r w:rsidR="00F5691F" w:rsidRPr="00A102E3">
        <w:rPr>
          <w:rFonts w:cstheme="minorHAnsi"/>
          <w:kern w:val="0"/>
          <w:sz w:val="24"/>
          <w:szCs w:val="24"/>
        </w:rPr>
        <w:t>,</w:t>
      </w:r>
      <w:r w:rsidRPr="00A102E3">
        <w:rPr>
          <w:rFonts w:cstheme="minorHAnsi"/>
          <w:kern w:val="0"/>
          <w:sz w:val="24"/>
          <w:szCs w:val="24"/>
        </w:rPr>
        <w:t xml:space="preserve"> are defined in absolute terms at the national level, the Productivity Commission is also required </w:t>
      </w:r>
      <w:r w:rsidR="00760660" w:rsidRPr="00A102E3">
        <w:rPr>
          <w:rFonts w:cstheme="minorHAnsi"/>
          <w:kern w:val="0"/>
          <w:sz w:val="24"/>
          <w:szCs w:val="24"/>
        </w:rPr>
        <w:t xml:space="preserve">in the National Agreement </w:t>
      </w:r>
      <w:r w:rsidRPr="00A102E3">
        <w:rPr>
          <w:rFonts w:cstheme="minorHAnsi"/>
          <w:kern w:val="0"/>
          <w:sz w:val="24"/>
          <w:szCs w:val="24"/>
        </w:rPr>
        <w:t xml:space="preserve">to report on outcomes </w:t>
      </w:r>
      <w:r w:rsidR="00E84795" w:rsidRPr="00A102E3">
        <w:rPr>
          <w:rFonts w:cstheme="minorHAnsi"/>
          <w:kern w:val="0"/>
          <w:sz w:val="24"/>
          <w:szCs w:val="24"/>
        </w:rPr>
        <w:t xml:space="preserve">for sub-populations (by </w:t>
      </w:r>
      <w:r w:rsidR="00F5691F" w:rsidRPr="00A102E3">
        <w:rPr>
          <w:rFonts w:cstheme="minorHAnsi"/>
          <w:kern w:val="0"/>
          <w:sz w:val="24"/>
          <w:szCs w:val="24"/>
        </w:rPr>
        <w:t>s</w:t>
      </w:r>
      <w:r w:rsidR="00E84795" w:rsidRPr="00A102E3">
        <w:rPr>
          <w:rFonts w:cstheme="minorHAnsi"/>
          <w:kern w:val="0"/>
          <w:sz w:val="24"/>
          <w:szCs w:val="24"/>
        </w:rPr>
        <w:t>tate/</w:t>
      </w:r>
      <w:r w:rsidR="00F5691F" w:rsidRPr="00A102E3">
        <w:rPr>
          <w:rFonts w:cstheme="minorHAnsi"/>
          <w:kern w:val="0"/>
          <w:sz w:val="24"/>
          <w:szCs w:val="24"/>
        </w:rPr>
        <w:t>t</w:t>
      </w:r>
      <w:r w:rsidR="00E84795" w:rsidRPr="00A102E3">
        <w:rPr>
          <w:rFonts w:cstheme="minorHAnsi"/>
          <w:kern w:val="0"/>
          <w:sz w:val="24"/>
          <w:szCs w:val="24"/>
        </w:rPr>
        <w:t>erritory and by remoteness)</w:t>
      </w:r>
      <w:r w:rsidR="00760660" w:rsidRPr="00A102E3">
        <w:rPr>
          <w:rFonts w:cstheme="minorHAnsi"/>
          <w:kern w:val="0"/>
          <w:sz w:val="24"/>
          <w:szCs w:val="24"/>
        </w:rPr>
        <w:t xml:space="preserve">, </w:t>
      </w:r>
      <w:r w:rsidR="00E84795" w:rsidRPr="00A102E3">
        <w:rPr>
          <w:rFonts w:cstheme="minorHAnsi"/>
          <w:kern w:val="0"/>
          <w:sz w:val="24"/>
          <w:szCs w:val="24"/>
        </w:rPr>
        <w:t xml:space="preserve"> to estimate a </w:t>
      </w:r>
      <w:r w:rsidR="00F5691F" w:rsidRPr="00A102E3">
        <w:rPr>
          <w:rFonts w:cstheme="minorHAnsi"/>
          <w:kern w:val="0"/>
          <w:sz w:val="24"/>
          <w:szCs w:val="24"/>
        </w:rPr>
        <w:t xml:space="preserve">projected </w:t>
      </w:r>
      <w:r w:rsidR="00E84795" w:rsidRPr="00A102E3">
        <w:rPr>
          <w:rFonts w:cstheme="minorHAnsi"/>
          <w:kern w:val="0"/>
          <w:sz w:val="24"/>
          <w:szCs w:val="24"/>
        </w:rPr>
        <w:t xml:space="preserve">track for </w:t>
      </w:r>
      <w:r w:rsidR="00760660" w:rsidRPr="00A102E3">
        <w:rPr>
          <w:rFonts w:cstheme="minorHAnsi"/>
          <w:kern w:val="0"/>
          <w:sz w:val="24"/>
          <w:szCs w:val="24"/>
        </w:rPr>
        <w:t xml:space="preserve">each </w:t>
      </w:r>
      <w:r w:rsidR="00E84795" w:rsidRPr="00A102E3">
        <w:rPr>
          <w:rFonts w:cstheme="minorHAnsi"/>
          <w:kern w:val="0"/>
          <w:sz w:val="24"/>
          <w:szCs w:val="24"/>
        </w:rPr>
        <w:t xml:space="preserve">targets to predict if </w:t>
      </w:r>
      <w:r w:rsidR="00760660" w:rsidRPr="00A102E3">
        <w:rPr>
          <w:rFonts w:cstheme="minorHAnsi"/>
          <w:kern w:val="0"/>
          <w:sz w:val="24"/>
          <w:szCs w:val="24"/>
        </w:rPr>
        <w:t xml:space="preserve">it </w:t>
      </w:r>
      <w:r w:rsidR="00E84795" w:rsidRPr="00A102E3">
        <w:rPr>
          <w:rFonts w:cstheme="minorHAnsi"/>
          <w:kern w:val="0"/>
          <w:sz w:val="24"/>
          <w:szCs w:val="24"/>
        </w:rPr>
        <w:t>will be met</w:t>
      </w:r>
      <w:r w:rsidR="00760660" w:rsidRPr="00A102E3">
        <w:rPr>
          <w:rFonts w:cstheme="minorHAnsi"/>
          <w:kern w:val="0"/>
          <w:sz w:val="24"/>
          <w:szCs w:val="24"/>
        </w:rPr>
        <w:t>; and to calculate relative Indigenous outcomes in target areas against the non-Indigenous population</w:t>
      </w:r>
      <w:r w:rsidR="00E84795" w:rsidRPr="00A102E3">
        <w:rPr>
          <w:rFonts w:cstheme="minorHAnsi"/>
          <w:kern w:val="0"/>
          <w:sz w:val="24"/>
          <w:szCs w:val="24"/>
        </w:rPr>
        <w:t xml:space="preserve">. </w:t>
      </w:r>
    </w:p>
    <w:p w14:paraId="296DCC62" w14:textId="77777777" w:rsidR="00760660" w:rsidRPr="00A102E3" w:rsidRDefault="00760660" w:rsidP="003F2F89">
      <w:pPr>
        <w:autoSpaceDE w:val="0"/>
        <w:autoSpaceDN w:val="0"/>
        <w:adjustRightInd w:val="0"/>
        <w:spacing w:after="0" w:line="240" w:lineRule="auto"/>
        <w:rPr>
          <w:rFonts w:cstheme="minorHAnsi"/>
          <w:kern w:val="0"/>
          <w:sz w:val="24"/>
          <w:szCs w:val="24"/>
        </w:rPr>
      </w:pPr>
    </w:p>
    <w:p w14:paraId="6D77DFC5" w14:textId="77777777" w:rsidR="00FF04CB" w:rsidRDefault="00E84795" w:rsidP="003F2F89">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To date just </w:t>
      </w:r>
      <w:r w:rsidR="00760660" w:rsidRPr="00A102E3">
        <w:rPr>
          <w:rFonts w:cstheme="minorHAnsi"/>
          <w:kern w:val="0"/>
          <w:sz w:val="24"/>
          <w:szCs w:val="24"/>
        </w:rPr>
        <w:t xml:space="preserve">after three years and often with </w:t>
      </w:r>
      <w:r w:rsidR="00627C04">
        <w:rPr>
          <w:rFonts w:cstheme="minorHAnsi"/>
          <w:kern w:val="0"/>
          <w:sz w:val="24"/>
          <w:szCs w:val="24"/>
        </w:rPr>
        <w:t xml:space="preserve">limited </w:t>
      </w:r>
      <w:r w:rsidR="00760660" w:rsidRPr="00A102E3">
        <w:rPr>
          <w:rFonts w:cstheme="minorHAnsi"/>
          <w:kern w:val="0"/>
          <w:sz w:val="24"/>
          <w:szCs w:val="24"/>
        </w:rPr>
        <w:t xml:space="preserve">data from 2021, </w:t>
      </w:r>
      <w:r w:rsidRPr="00A102E3">
        <w:rPr>
          <w:rFonts w:cstheme="minorHAnsi"/>
          <w:kern w:val="0"/>
          <w:sz w:val="24"/>
          <w:szCs w:val="24"/>
        </w:rPr>
        <w:t xml:space="preserve">four targets </w:t>
      </w:r>
      <w:r w:rsidR="00F5691F" w:rsidRPr="00A102E3">
        <w:rPr>
          <w:rFonts w:cstheme="minorHAnsi"/>
          <w:kern w:val="0"/>
          <w:sz w:val="24"/>
          <w:szCs w:val="24"/>
        </w:rPr>
        <w:t>are</w:t>
      </w:r>
      <w:r w:rsidRPr="00A102E3">
        <w:rPr>
          <w:rFonts w:cstheme="minorHAnsi"/>
          <w:kern w:val="0"/>
          <w:sz w:val="24"/>
          <w:szCs w:val="24"/>
        </w:rPr>
        <w:t xml:space="preserve"> on track</w:t>
      </w:r>
      <w:r w:rsidR="00FF04CB">
        <w:rPr>
          <w:rFonts w:cstheme="minorHAnsi"/>
          <w:kern w:val="0"/>
          <w:sz w:val="24"/>
          <w:szCs w:val="24"/>
        </w:rPr>
        <w:t xml:space="preserve">, </w:t>
      </w:r>
      <w:r w:rsidR="00627C04">
        <w:rPr>
          <w:rFonts w:cstheme="minorHAnsi"/>
          <w:kern w:val="0"/>
          <w:sz w:val="24"/>
          <w:szCs w:val="24"/>
        </w:rPr>
        <w:t>ten</w:t>
      </w:r>
      <w:r w:rsidRPr="00A102E3">
        <w:rPr>
          <w:rFonts w:cstheme="minorHAnsi"/>
          <w:kern w:val="0"/>
          <w:sz w:val="24"/>
          <w:szCs w:val="24"/>
        </w:rPr>
        <w:t xml:space="preserve"> are not on track, and for five there is insufficient data to make any </w:t>
      </w:r>
      <w:r w:rsidR="00760660" w:rsidRPr="00A102E3">
        <w:rPr>
          <w:rFonts w:cstheme="minorHAnsi"/>
          <w:kern w:val="0"/>
          <w:sz w:val="24"/>
          <w:szCs w:val="24"/>
        </w:rPr>
        <w:t xml:space="preserve">definitive contemporary statement or </w:t>
      </w:r>
      <w:r w:rsidRPr="00A102E3">
        <w:rPr>
          <w:rFonts w:cstheme="minorHAnsi"/>
          <w:kern w:val="0"/>
          <w:sz w:val="24"/>
          <w:szCs w:val="24"/>
        </w:rPr>
        <w:t xml:space="preserve">prediction. In absolute terms of the </w:t>
      </w:r>
      <w:r w:rsidR="00627C04">
        <w:rPr>
          <w:rFonts w:cstheme="minorHAnsi"/>
          <w:kern w:val="0"/>
          <w:sz w:val="24"/>
          <w:szCs w:val="24"/>
        </w:rPr>
        <w:t>ten</w:t>
      </w:r>
      <w:r w:rsidRPr="00A102E3">
        <w:rPr>
          <w:rFonts w:cstheme="minorHAnsi"/>
          <w:kern w:val="0"/>
          <w:sz w:val="24"/>
          <w:szCs w:val="24"/>
        </w:rPr>
        <w:t xml:space="preserve"> that are not on track</w:t>
      </w:r>
      <w:r w:rsidR="00F5691F" w:rsidRPr="00A102E3">
        <w:rPr>
          <w:rFonts w:cstheme="minorHAnsi"/>
          <w:kern w:val="0"/>
          <w:sz w:val="24"/>
          <w:szCs w:val="24"/>
        </w:rPr>
        <w:t>,</w:t>
      </w:r>
      <w:r w:rsidRPr="00A102E3">
        <w:rPr>
          <w:rFonts w:cstheme="minorHAnsi"/>
          <w:kern w:val="0"/>
          <w:sz w:val="24"/>
          <w:szCs w:val="24"/>
        </w:rPr>
        <w:t xml:space="preserve"> only three are moving in a negative direction nationally. These outcomes after three years of the National Agreement are summarised in infographics and tables in various published report</w:t>
      </w:r>
      <w:r w:rsidR="00F5691F" w:rsidRPr="00A102E3">
        <w:rPr>
          <w:rFonts w:cstheme="minorHAnsi"/>
          <w:kern w:val="0"/>
          <w:sz w:val="24"/>
          <w:szCs w:val="24"/>
        </w:rPr>
        <w:t>s</w:t>
      </w:r>
      <w:r w:rsidR="00FF04CB">
        <w:rPr>
          <w:rFonts w:cstheme="minorHAnsi"/>
          <w:kern w:val="0"/>
          <w:sz w:val="24"/>
          <w:szCs w:val="24"/>
        </w:rPr>
        <w:t xml:space="preserve">. </w:t>
      </w:r>
    </w:p>
    <w:p w14:paraId="1AFF57A1" w14:textId="77777777" w:rsidR="00FF04CB" w:rsidRDefault="00FF04CB" w:rsidP="003F2F89">
      <w:pPr>
        <w:autoSpaceDE w:val="0"/>
        <w:autoSpaceDN w:val="0"/>
        <w:adjustRightInd w:val="0"/>
        <w:spacing w:after="0" w:line="240" w:lineRule="auto"/>
        <w:rPr>
          <w:rFonts w:cstheme="minorHAnsi"/>
          <w:kern w:val="0"/>
          <w:sz w:val="24"/>
          <w:szCs w:val="24"/>
        </w:rPr>
      </w:pPr>
    </w:p>
    <w:p w14:paraId="3E7D5993" w14:textId="2AD07AAF" w:rsidR="003F2F89" w:rsidRPr="00A102E3" w:rsidRDefault="00FF04CB" w:rsidP="003F2F89">
      <w:pPr>
        <w:autoSpaceDE w:val="0"/>
        <w:autoSpaceDN w:val="0"/>
        <w:adjustRightInd w:val="0"/>
        <w:spacing w:after="0" w:line="240" w:lineRule="auto"/>
        <w:rPr>
          <w:rFonts w:cstheme="minorHAnsi"/>
          <w:kern w:val="0"/>
          <w:sz w:val="24"/>
          <w:szCs w:val="24"/>
        </w:rPr>
      </w:pPr>
      <w:r>
        <w:rPr>
          <w:rFonts w:cstheme="minorHAnsi"/>
          <w:kern w:val="0"/>
          <w:sz w:val="24"/>
          <w:szCs w:val="24"/>
        </w:rPr>
        <w:t xml:space="preserve">In all this it is important to </w:t>
      </w:r>
      <w:r w:rsidRPr="00A102E3">
        <w:rPr>
          <w:rFonts w:cstheme="minorHAnsi"/>
          <w:kern w:val="0"/>
          <w:sz w:val="24"/>
          <w:szCs w:val="24"/>
        </w:rPr>
        <w:t xml:space="preserve">bear in mind that the </w:t>
      </w:r>
      <w:r>
        <w:rPr>
          <w:rFonts w:cstheme="minorHAnsi"/>
          <w:kern w:val="0"/>
          <w:sz w:val="24"/>
          <w:szCs w:val="24"/>
        </w:rPr>
        <w:t xml:space="preserve">carefully predicted statistical </w:t>
      </w:r>
      <w:r w:rsidRPr="00A102E3">
        <w:rPr>
          <w:rFonts w:cstheme="minorHAnsi"/>
          <w:kern w:val="0"/>
          <w:sz w:val="24"/>
          <w:szCs w:val="24"/>
        </w:rPr>
        <w:t>track is to meet the target</w:t>
      </w:r>
      <w:r>
        <w:rPr>
          <w:rFonts w:cstheme="minorHAnsi"/>
          <w:kern w:val="0"/>
          <w:sz w:val="24"/>
          <w:szCs w:val="24"/>
        </w:rPr>
        <w:t>s</w:t>
      </w:r>
      <w:r w:rsidRPr="00A102E3">
        <w:rPr>
          <w:rFonts w:cstheme="minorHAnsi"/>
          <w:kern w:val="0"/>
          <w:sz w:val="24"/>
          <w:szCs w:val="24"/>
        </w:rPr>
        <w:t xml:space="preserve"> not to eliminate disparity</w:t>
      </w:r>
      <w:r>
        <w:rPr>
          <w:rFonts w:cstheme="minorHAnsi"/>
          <w:kern w:val="0"/>
          <w:sz w:val="24"/>
          <w:szCs w:val="24"/>
        </w:rPr>
        <w:t xml:space="preserve"> between Indigenous and other Australians.</w:t>
      </w:r>
    </w:p>
    <w:p w14:paraId="06DFC441" w14:textId="77777777" w:rsidR="00C52388" w:rsidRPr="00A102E3" w:rsidRDefault="00C52388" w:rsidP="003F2F89">
      <w:pPr>
        <w:autoSpaceDE w:val="0"/>
        <w:autoSpaceDN w:val="0"/>
        <w:adjustRightInd w:val="0"/>
        <w:spacing w:after="0" w:line="240" w:lineRule="auto"/>
        <w:rPr>
          <w:rFonts w:cstheme="minorHAnsi"/>
          <w:kern w:val="0"/>
          <w:sz w:val="24"/>
          <w:szCs w:val="24"/>
        </w:rPr>
      </w:pPr>
    </w:p>
    <w:p w14:paraId="0A2F652E" w14:textId="1D0FB9CA" w:rsidR="001C33BB" w:rsidRPr="00A102E3" w:rsidRDefault="00E84795" w:rsidP="00204EC2">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The main issue that is highlighted in the Draft Report is the lack of progress in implementing the </w:t>
      </w:r>
      <w:r w:rsidR="00627C04">
        <w:rPr>
          <w:rFonts w:cstheme="minorHAnsi"/>
          <w:kern w:val="0"/>
          <w:sz w:val="24"/>
          <w:szCs w:val="24"/>
        </w:rPr>
        <w:t>P</w:t>
      </w:r>
      <w:r w:rsidRPr="00A102E3">
        <w:rPr>
          <w:rFonts w:cstheme="minorHAnsi"/>
          <w:kern w:val="0"/>
          <w:sz w:val="24"/>
          <w:szCs w:val="24"/>
        </w:rPr>
        <w:t xml:space="preserve">riority </w:t>
      </w:r>
      <w:r w:rsidR="00627C04">
        <w:rPr>
          <w:rFonts w:cstheme="minorHAnsi"/>
          <w:kern w:val="0"/>
          <w:sz w:val="24"/>
          <w:szCs w:val="24"/>
        </w:rPr>
        <w:t>R</w:t>
      </w:r>
      <w:r w:rsidRPr="00A102E3">
        <w:rPr>
          <w:rFonts w:cstheme="minorHAnsi"/>
          <w:kern w:val="0"/>
          <w:sz w:val="24"/>
          <w:szCs w:val="24"/>
        </w:rPr>
        <w:t xml:space="preserve">eforms that are viewed </w:t>
      </w:r>
      <w:r w:rsidR="009B5C32" w:rsidRPr="00A102E3">
        <w:rPr>
          <w:rFonts w:cstheme="minorHAnsi"/>
          <w:kern w:val="0"/>
          <w:sz w:val="24"/>
          <w:szCs w:val="24"/>
        </w:rPr>
        <w:t xml:space="preserve">in the National Agreement </w:t>
      </w:r>
      <w:r w:rsidRPr="00A102E3">
        <w:rPr>
          <w:rFonts w:cstheme="minorHAnsi"/>
          <w:kern w:val="0"/>
          <w:sz w:val="24"/>
          <w:szCs w:val="24"/>
        </w:rPr>
        <w:t xml:space="preserve">as key drivers of </w:t>
      </w:r>
      <w:r w:rsidRPr="00A102E3">
        <w:rPr>
          <w:rFonts w:cstheme="minorHAnsi"/>
          <w:kern w:val="0"/>
          <w:sz w:val="24"/>
          <w:szCs w:val="24"/>
        </w:rPr>
        <w:lastRenderedPageBreak/>
        <w:t>socioeco</w:t>
      </w:r>
      <w:r w:rsidR="009B5C32" w:rsidRPr="00A102E3">
        <w:rPr>
          <w:rFonts w:cstheme="minorHAnsi"/>
          <w:kern w:val="0"/>
          <w:sz w:val="24"/>
          <w:szCs w:val="24"/>
        </w:rPr>
        <w:t>no</w:t>
      </w:r>
      <w:r w:rsidRPr="00A102E3">
        <w:rPr>
          <w:rFonts w:cstheme="minorHAnsi"/>
          <w:kern w:val="0"/>
          <w:sz w:val="24"/>
          <w:szCs w:val="24"/>
        </w:rPr>
        <w:t xml:space="preserve">mic outcomes </w:t>
      </w:r>
      <w:r w:rsidR="009B5C32" w:rsidRPr="00A102E3">
        <w:rPr>
          <w:rFonts w:cstheme="minorHAnsi"/>
          <w:kern w:val="0"/>
          <w:sz w:val="24"/>
          <w:szCs w:val="24"/>
        </w:rPr>
        <w:t>and the difficulty in measuring progress</w:t>
      </w:r>
      <w:r w:rsidR="00760660" w:rsidRPr="00A102E3">
        <w:rPr>
          <w:rFonts w:cstheme="minorHAnsi"/>
          <w:kern w:val="0"/>
          <w:sz w:val="24"/>
          <w:szCs w:val="24"/>
        </w:rPr>
        <w:t xml:space="preserve"> to outcomes achievement</w:t>
      </w:r>
      <w:r w:rsidR="009B5C32" w:rsidRPr="00A102E3">
        <w:rPr>
          <w:rFonts w:cstheme="minorHAnsi"/>
          <w:kern w:val="0"/>
          <w:sz w:val="24"/>
          <w:szCs w:val="24"/>
        </w:rPr>
        <w:t xml:space="preserve"> in these areas. </w:t>
      </w:r>
    </w:p>
    <w:p w14:paraId="6ED535CA" w14:textId="77777777" w:rsidR="009B5C32" w:rsidRPr="00A102E3" w:rsidRDefault="009B5C32" w:rsidP="00204EC2">
      <w:pPr>
        <w:autoSpaceDE w:val="0"/>
        <w:autoSpaceDN w:val="0"/>
        <w:adjustRightInd w:val="0"/>
        <w:spacing w:after="0" w:line="240" w:lineRule="auto"/>
        <w:rPr>
          <w:rFonts w:cstheme="minorHAnsi"/>
          <w:kern w:val="0"/>
          <w:sz w:val="24"/>
          <w:szCs w:val="24"/>
        </w:rPr>
      </w:pPr>
    </w:p>
    <w:p w14:paraId="5EE31756" w14:textId="7021D3D5" w:rsidR="009B5C32" w:rsidRDefault="009B5C32" w:rsidP="00204EC2">
      <w:pPr>
        <w:autoSpaceDE w:val="0"/>
        <w:autoSpaceDN w:val="0"/>
        <w:adjustRightInd w:val="0"/>
        <w:spacing w:after="0" w:line="240" w:lineRule="auto"/>
        <w:rPr>
          <w:rFonts w:cstheme="minorHAnsi"/>
          <w:kern w:val="0"/>
          <w:sz w:val="24"/>
          <w:szCs w:val="24"/>
        </w:rPr>
      </w:pPr>
      <w:r w:rsidRPr="00A102E3">
        <w:rPr>
          <w:rFonts w:cstheme="minorHAnsi"/>
          <w:kern w:val="0"/>
          <w:sz w:val="24"/>
          <w:szCs w:val="24"/>
        </w:rPr>
        <w:t>This strikes me as unsurprising on at least two grounds.</w:t>
      </w:r>
    </w:p>
    <w:p w14:paraId="46567AF9" w14:textId="77777777" w:rsidR="008F581F" w:rsidRPr="00A102E3" w:rsidRDefault="008F581F" w:rsidP="00204EC2">
      <w:pPr>
        <w:autoSpaceDE w:val="0"/>
        <w:autoSpaceDN w:val="0"/>
        <w:adjustRightInd w:val="0"/>
        <w:spacing w:after="0" w:line="240" w:lineRule="auto"/>
        <w:rPr>
          <w:rFonts w:cstheme="minorHAnsi"/>
          <w:kern w:val="0"/>
          <w:sz w:val="24"/>
          <w:szCs w:val="24"/>
        </w:rPr>
      </w:pPr>
    </w:p>
    <w:p w14:paraId="6B0B262C" w14:textId="561C2A06" w:rsidR="009B5C32" w:rsidRPr="00A102E3" w:rsidRDefault="00D02BB9" w:rsidP="00204EC2">
      <w:pPr>
        <w:autoSpaceDE w:val="0"/>
        <w:autoSpaceDN w:val="0"/>
        <w:adjustRightInd w:val="0"/>
        <w:spacing w:after="0" w:line="240" w:lineRule="auto"/>
        <w:rPr>
          <w:rFonts w:cstheme="minorHAnsi"/>
          <w:kern w:val="0"/>
          <w:sz w:val="24"/>
          <w:szCs w:val="24"/>
        </w:rPr>
      </w:pPr>
      <w:r w:rsidRPr="00A102E3">
        <w:rPr>
          <w:rFonts w:cstheme="minorHAnsi"/>
          <w:kern w:val="0"/>
          <w:sz w:val="24"/>
          <w:szCs w:val="24"/>
        </w:rPr>
        <w:t>If</w:t>
      </w:r>
      <w:r w:rsidR="009B5C32" w:rsidRPr="00A102E3">
        <w:rPr>
          <w:rFonts w:cstheme="minorHAnsi"/>
          <w:kern w:val="0"/>
          <w:sz w:val="24"/>
          <w:szCs w:val="24"/>
        </w:rPr>
        <w:t xml:space="preserve"> one goes to the Dashboard, the forms of output and outcome measures proposed for </w:t>
      </w:r>
      <w:r w:rsidR="00EA6094" w:rsidRPr="00A102E3">
        <w:rPr>
          <w:rFonts w:cstheme="minorHAnsi"/>
          <w:kern w:val="0"/>
          <w:sz w:val="24"/>
          <w:szCs w:val="24"/>
        </w:rPr>
        <w:t xml:space="preserve">each </w:t>
      </w:r>
      <w:r w:rsidR="005C535E">
        <w:rPr>
          <w:rFonts w:cstheme="minorHAnsi"/>
          <w:kern w:val="0"/>
          <w:sz w:val="24"/>
          <w:szCs w:val="24"/>
        </w:rPr>
        <w:t>P</w:t>
      </w:r>
      <w:r w:rsidR="009B5C32" w:rsidRPr="00A102E3">
        <w:rPr>
          <w:rFonts w:cstheme="minorHAnsi"/>
          <w:kern w:val="0"/>
          <w:sz w:val="24"/>
          <w:szCs w:val="24"/>
        </w:rPr>
        <w:t xml:space="preserve">riority </w:t>
      </w:r>
      <w:r w:rsidR="005C535E">
        <w:rPr>
          <w:rFonts w:cstheme="minorHAnsi"/>
          <w:kern w:val="0"/>
          <w:sz w:val="24"/>
          <w:szCs w:val="24"/>
        </w:rPr>
        <w:t>R</w:t>
      </w:r>
      <w:r w:rsidR="009B5C32" w:rsidRPr="00A102E3">
        <w:rPr>
          <w:rFonts w:cstheme="minorHAnsi"/>
          <w:kern w:val="0"/>
          <w:sz w:val="24"/>
          <w:szCs w:val="24"/>
        </w:rPr>
        <w:t xml:space="preserve">eform </w:t>
      </w:r>
      <w:r w:rsidR="00EA6094" w:rsidRPr="00A102E3">
        <w:rPr>
          <w:rFonts w:cstheme="minorHAnsi"/>
          <w:kern w:val="0"/>
          <w:sz w:val="24"/>
          <w:szCs w:val="24"/>
        </w:rPr>
        <w:t>seem unrelated to the target</w:t>
      </w:r>
      <w:r w:rsidR="009B5C32" w:rsidRPr="00A102E3">
        <w:rPr>
          <w:rFonts w:cstheme="minorHAnsi"/>
          <w:kern w:val="0"/>
          <w:sz w:val="24"/>
          <w:szCs w:val="24"/>
        </w:rPr>
        <w:t xml:space="preserve">. I will not rehearse them all but just provide </w:t>
      </w:r>
      <w:r w:rsidR="00B16235" w:rsidRPr="00A102E3">
        <w:rPr>
          <w:rFonts w:cstheme="minorHAnsi"/>
          <w:kern w:val="0"/>
          <w:sz w:val="24"/>
          <w:szCs w:val="24"/>
        </w:rPr>
        <w:t>one proposed outcomes</w:t>
      </w:r>
      <w:r w:rsidR="009B5C32" w:rsidRPr="00A102E3">
        <w:rPr>
          <w:rFonts w:cstheme="minorHAnsi"/>
          <w:kern w:val="0"/>
          <w:sz w:val="24"/>
          <w:szCs w:val="24"/>
        </w:rPr>
        <w:t xml:space="preserve"> example from each.</w:t>
      </w:r>
    </w:p>
    <w:p w14:paraId="113A3E8F" w14:textId="77777777" w:rsidR="009B5C32" w:rsidRPr="00A102E3" w:rsidRDefault="009B5C32" w:rsidP="00B16235">
      <w:pPr>
        <w:autoSpaceDE w:val="0"/>
        <w:autoSpaceDN w:val="0"/>
        <w:adjustRightInd w:val="0"/>
        <w:spacing w:after="0" w:line="240" w:lineRule="auto"/>
        <w:rPr>
          <w:rFonts w:cstheme="minorHAnsi"/>
          <w:kern w:val="0"/>
          <w:sz w:val="24"/>
          <w:szCs w:val="24"/>
        </w:rPr>
      </w:pPr>
    </w:p>
    <w:p w14:paraId="16A36FAD" w14:textId="2505EB54" w:rsidR="00B16235" w:rsidRPr="00A102E3" w:rsidRDefault="009B5C32" w:rsidP="00B16235">
      <w:pPr>
        <w:pStyle w:val="ListParagraph"/>
        <w:numPr>
          <w:ilvl w:val="0"/>
          <w:numId w:val="17"/>
        </w:numPr>
        <w:shd w:val="clear" w:color="auto" w:fill="FFFFFF"/>
        <w:spacing w:after="0" w:line="240" w:lineRule="auto"/>
        <w:rPr>
          <w:rFonts w:cstheme="minorHAnsi"/>
          <w:sz w:val="24"/>
          <w:szCs w:val="24"/>
        </w:rPr>
      </w:pPr>
      <w:r w:rsidRPr="00A102E3">
        <w:rPr>
          <w:rFonts w:cstheme="minorHAnsi"/>
          <w:b/>
          <w:bCs/>
          <w:kern w:val="0"/>
          <w:sz w:val="24"/>
          <w:szCs w:val="24"/>
        </w:rPr>
        <w:t>Priority Reform 1</w:t>
      </w:r>
      <w:r w:rsidR="00B16235" w:rsidRPr="00A102E3">
        <w:rPr>
          <w:rFonts w:cstheme="minorHAnsi"/>
          <w:kern w:val="0"/>
          <w:sz w:val="24"/>
          <w:szCs w:val="24"/>
        </w:rPr>
        <w:t xml:space="preserve"> Formal partnerships and shared decision making: Key outcome indicator — </w:t>
      </w:r>
      <w:hyperlink r:id="rId13" w:history="1">
        <w:r w:rsidR="00B16235" w:rsidRPr="00A102E3">
          <w:rPr>
            <w:rStyle w:val="Hyperlink"/>
            <w:rFonts w:cstheme="minorHAnsi"/>
            <w:color w:val="auto"/>
            <w:sz w:val="24"/>
            <w:szCs w:val="24"/>
            <w:u w:val="none"/>
          </w:rPr>
          <w:t>Proportion of Aboriginal and Torres Strait Islander people reporting they are able to have a say in their community on issues important to them</w:t>
        </w:r>
      </w:hyperlink>
      <w:r w:rsidR="00B16235" w:rsidRPr="00A102E3">
        <w:rPr>
          <w:rFonts w:cstheme="minorHAnsi"/>
          <w:sz w:val="24"/>
          <w:szCs w:val="24"/>
        </w:rPr>
        <w:t>.</w:t>
      </w:r>
    </w:p>
    <w:p w14:paraId="7236658C" w14:textId="6F21BBCC" w:rsidR="00B16235" w:rsidRPr="00A102E3" w:rsidRDefault="00B16235" w:rsidP="00B16235">
      <w:pPr>
        <w:pStyle w:val="ListParagraph"/>
        <w:numPr>
          <w:ilvl w:val="0"/>
          <w:numId w:val="17"/>
        </w:numPr>
        <w:shd w:val="clear" w:color="auto" w:fill="FFFFFF"/>
        <w:spacing w:after="0" w:line="240" w:lineRule="auto"/>
        <w:rPr>
          <w:rFonts w:cstheme="minorHAnsi"/>
          <w:sz w:val="24"/>
          <w:szCs w:val="24"/>
        </w:rPr>
      </w:pPr>
      <w:r w:rsidRPr="00A102E3">
        <w:rPr>
          <w:rFonts w:cstheme="minorHAnsi"/>
          <w:b/>
          <w:bCs/>
          <w:sz w:val="24"/>
          <w:szCs w:val="24"/>
        </w:rPr>
        <w:t>Priority Reform 2</w:t>
      </w:r>
      <w:r w:rsidRPr="00A102E3">
        <w:rPr>
          <w:rFonts w:cstheme="minorHAnsi"/>
          <w:sz w:val="24"/>
          <w:szCs w:val="24"/>
        </w:rPr>
        <w:t xml:space="preserve"> Building the community-controlled sector: </w:t>
      </w:r>
      <w:r w:rsidRPr="00A102E3">
        <w:rPr>
          <w:rFonts w:cstheme="minorHAnsi"/>
          <w:kern w:val="0"/>
          <w:sz w:val="24"/>
          <w:szCs w:val="24"/>
        </w:rPr>
        <w:t xml:space="preserve">Key outcome indicator — </w:t>
      </w:r>
      <w:hyperlink r:id="rId14" w:history="1">
        <w:r w:rsidRPr="00A102E3">
          <w:rPr>
            <w:rStyle w:val="Hyperlink"/>
            <w:rFonts w:cstheme="minorHAnsi"/>
            <w:color w:val="auto"/>
            <w:sz w:val="24"/>
            <w:szCs w:val="24"/>
            <w:u w:val="none"/>
          </w:rPr>
          <w:t>Proportion of Aboriginal and Torres Strait Islander people reporting they are able to have a say in their community on issues important to them</w:t>
        </w:r>
      </w:hyperlink>
      <w:r w:rsidRPr="00A102E3">
        <w:rPr>
          <w:rFonts w:cstheme="minorHAnsi"/>
          <w:sz w:val="24"/>
          <w:szCs w:val="24"/>
        </w:rPr>
        <w:t>.</w:t>
      </w:r>
    </w:p>
    <w:p w14:paraId="61F91027" w14:textId="146C97BD" w:rsidR="00B16235" w:rsidRPr="00A102E3" w:rsidRDefault="00B16235" w:rsidP="00B16235">
      <w:pPr>
        <w:pStyle w:val="ListParagraph"/>
        <w:numPr>
          <w:ilvl w:val="0"/>
          <w:numId w:val="17"/>
        </w:numPr>
        <w:shd w:val="clear" w:color="auto" w:fill="FFFFFF"/>
        <w:spacing w:after="0" w:line="240" w:lineRule="auto"/>
        <w:rPr>
          <w:rFonts w:cstheme="minorHAnsi"/>
          <w:sz w:val="24"/>
          <w:szCs w:val="24"/>
        </w:rPr>
      </w:pPr>
      <w:r w:rsidRPr="00A102E3">
        <w:rPr>
          <w:rFonts w:cstheme="minorHAnsi"/>
          <w:b/>
          <w:bCs/>
          <w:sz w:val="24"/>
          <w:szCs w:val="24"/>
        </w:rPr>
        <w:t>Priority Reform 3</w:t>
      </w:r>
      <w:r w:rsidRPr="00A102E3">
        <w:rPr>
          <w:rFonts w:cstheme="minorHAnsi"/>
          <w:sz w:val="24"/>
          <w:szCs w:val="24"/>
        </w:rPr>
        <w:t xml:space="preserve"> Transforming government organisations: </w:t>
      </w:r>
      <w:r w:rsidRPr="00A102E3">
        <w:rPr>
          <w:rFonts w:cstheme="minorHAnsi"/>
          <w:kern w:val="0"/>
          <w:sz w:val="24"/>
          <w:szCs w:val="24"/>
        </w:rPr>
        <w:t xml:space="preserve">Key outcome indicator — </w:t>
      </w:r>
      <w:hyperlink r:id="rId15" w:history="1">
        <w:r w:rsidRPr="00A102E3">
          <w:rPr>
            <w:rStyle w:val="Hyperlink"/>
            <w:rFonts w:cstheme="minorHAnsi"/>
            <w:color w:val="auto"/>
            <w:sz w:val="24"/>
            <w:szCs w:val="24"/>
            <w:u w:val="none"/>
          </w:rPr>
          <w:t>Proportion of Aboriginal and Torres Strait Islander people reporting experiences of racism</w:t>
        </w:r>
      </w:hyperlink>
      <w:r w:rsidRPr="00A102E3">
        <w:rPr>
          <w:rFonts w:cstheme="minorHAnsi"/>
          <w:sz w:val="24"/>
          <w:szCs w:val="24"/>
        </w:rPr>
        <w:t>.</w:t>
      </w:r>
    </w:p>
    <w:p w14:paraId="46962B01" w14:textId="60FDD00B" w:rsidR="00B16235" w:rsidRPr="00A102E3" w:rsidRDefault="00B16235" w:rsidP="00B16235">
      <w:pPr>
        <w:pStyle w:val="ListParagraph"/>
        <w:numPr>
          <w:ilvl w:val="0"/>
          <w:numId w:val="17"/>
        </w:numPr>
        <w:shd w:val="clear" w:color="auto" w:fill="FFFFFF"/>
        <w:spacing w:after="0" w:line="240" w:lineRule="auto"/>
        <w:rPr>
          <w:rFonts w:eastAsia="Times New Roman" w:cstheme="minorHAnsi"/>
          <w:kern w:val="0"/>
          <w:sz w:val="24"/>
          <w:szCs w:val="24"/>
          <w:lang w:eastAsia="en-AU"/>
          <w14:ligatures w14:val="none"/>
        </w:rPr>
      </w:pPr>
      <w:r w:rsidRPr="00A102E3">
        <w:rPr>
          <w:rFonts w:cstheme="minorHAnsi"/>
          <w:b/>
          <w:bCs/>
          <w:sz w:val="24"/>
          <w:szCs w:val="24"/>
        </w:rPr>
        <w:t>Priority Reform 4</w:t>
      </w:r>
      <w:r w:rsidRPr="00A102E3">
        <w:rPr>
          <w:rFonts w:cstheme="minorHAnsi"/>
          <w:sz w:val="24"/>
          <w:szCs w:val="24"/>
        </w:rPr>
        <w:t xml:space="preserve"> Shared access to data at the regional level. Key output indicator as there is no outcome indicator: </w:t>
      </w:r>
      <w:r w:rsidRPr="00A102E3">
        <w:rPr>
          <w:rFonts w:eastAsia="Times New Roman" w:cstheme="minorHAnsi"/>
          <w:kern w:val="0"/>
          <w:sz w:val="24"/>
          <w:szCs w:val="24"/>
          <w:lang w:eastAsia="en-AU"/>
          <w14:ligatures w14:val="none"/>
        </w:rPr>
        <w:t>Number of comprehensive regional data profiles created.</w:t>
      </w:r>
    </w:p>
    <w:p w14:paraId="664DC6CA" w14:textId="77777777" w:rsidR="00D02BB9" w:rsidRPr="00A102E3" w:rsidRDefault="00D02BB9" w:rsidP="00D02BB9">
      <w:pPr>
        <w:shd w:val="clear" w:color="auto" w:fill="FFFFFF"/>
        <w:spacing w:after="0" w:line="240" w:lineRule="auto"/>
        <w:rPr>
          <w:rFonts w:eastAsia="Times New Roman" w:cstheme="minorHAnsi"/>
          <w:kern w:val="0"/>
          <w:sz w:val="24"/>
          <w:szCs w:val="24"/>
          <w:lang w:eastAsia="en-AU"/>
          <w14:ligatures w14:val="none"/>
        </w:rPr>
      </w:pPr>
    </w:p>
    <w:p w14:paraId="2AC2FFA6" w14:textId="2AF75E73" w:rsidR="00EA6094" w:rsidRPr="00A102E3" w:rsidRDefault="00EA6094" w:rsidP="00D02BB9">
      <w:pPr>
        <w:shd w:val="clear" w:color="auto" w:fill="FFFFFF"/>
        <w:spacing w:after="0" w:line="240" w:lineRule="auto"/>
        <w:rPr>
          <w:rFonts w:eastAsia="Times New Roman" w:cstheme="minorHAnsi"/>
          <w:kern w:val="0"/>
          <w:sz w:val="24"/>
          <w:szCs w:val="24"/>
          <w:lang w:eastAsia="en-AU"/>
          <w14:ligatures w14:val="none"/>
        </w:rPr>
      </w:pPr>
      <w:r w:rsidRPr="00A102E3">
        <w:rPr>
          <w:rFonts w:eastAsia="Times New Roman" w:cstheme="minorHAnsi"/>
          <w:kern w:val="0"/>
          <w:sz w:val="24"/>
          <w:szCs w:val="24"/>
          <w:lang w:eastAsia="en-AU"/>
          <w14:ligatures w14:val="none"/>
        </w:rPr>
        <w:t xml:space="preserve">There is clearly need for more consideration of the logical link between targets and outcomes. </w:t>
      </w:r>
    </w:p>
    <w:p w14:paraId="5713179F" w14:textId="77777777" w:rsidR="00EA6094" w:rsidRPr="00A102E3" w:rsidRDefault="00EA6094" w:rsidP="00D02BB9">
      <w:pPr>
        <w:shd w:val="clear" w:color="auto" w:fill="FFFFFF"/>
        <w:spacing w:after="0" w:line="240" w:lineRule="auto"/>
        <w:rPr>
          <w:rFonts w:eastAsia="Times New Roman" w:cstheme="minorHAnsi"/>
          <w:kern w:val="0"/>
          <w:sz w:val="24"/>
          <w:szCs w:val="24"/>
          <w:lang w:eastAsia="en-AU"/>
          <w14:ligatures w14:val="none"/>
        </w:rPr>
      </w:pPr>
    </w:p>
    <w:p w14:paraId="7D5ED43A" w14:textId="73E316A3" w:rsidR="00EA6094" w:rsidRPr="00A102E3" w:rsidRDefault="00EA6094" w:rsidP="00D02BB9">
      <w:pPr>
        <w:shd w:val="clear" w:color="auto" w:fill="FFFFFF"/>
        <w:spacing w:after="0" w:line="240" w:lineRule="auto"/>
        <w:rPr>
          <w:rFonts w:eastAsia="Times New Roman" w:cstheme="minorHAnsi"/>
          <w:kern w:val="0"/>
          <w:sz w:val="24"/>
          <w:szCs w:val="24"/>
          <w:lang w:eastAsia="en-AU"/>
          <w14:ligatures w14:val="none"/>
        </w:rPr>
      </w:pPr>
      <w:r w:rsidRPr="00A102E3">
        <w:rPr>
          <w:rFonts w:eastAsia="Times New Roman" w:cstheme="minorHAnsi"/>
          <w:kern w:val="0"/>
          <w:sz w:val="24"/>
          <w:szCs w:val="24"/>
          <w:lang w:eastAsia="en-AU"/>
          <w14:ligatures w14:val="none"/>
        </w:rPr>
        <w:t xml:space="preserve">Even if the links between the targets and outcomes were clearly established, they would be </w:t>
      </w:r>
      <w:r w:rsidR="00D02BB9" w:rsidRPr="00A102E3">
        <w:rPr>
          <w:rFonts w:eastAsia="Times New Roman" w:cstheme="minorHAnsi"/>
          <w:kern w:val="0"/>
          <w:sz w:val="24"/>
          <w:szCs w:val="24"/>
          <w:lang w:eastAsia="en-AU"/>
          <w14:ligatures w14:val="none"/>
        </w:rPr>
        <w:t xml:space="preserve">extraordinarily difficult to measure </w:t>
      </w:r>
      <w:r w:rsidRPr="00A102E3">
        <w:rPr>
          <w:rFonts w:eastAsia="Times New Roman" w:cstheme="minorHAnsi"/>
          <w:kern w:val="0"/>
          <w:sz w:val="24"/>
          <w:szCs w:val="24"/>
          <w:lang w:eastAsia="en-AU"/>
          <w14:ligatures w14:val="none"/>
        </w:rPr>
        <w:t xml:space="preserve">in any objective or rigorous manner that would be agreed by all parties to the National Agreement </w:t>
      </w:r>
      <w:r w:rsidR="00F5691F" w:rsidRPr="00A102E3">
        <w:rPr>
          <w:rFonts w:eastAsia="Times New Roman" w:cstheme="minorHAnsi"/>
          <w:kern w:val="0"/>
          <w:sz w:val="24"/>
          <w:szCs w:val="24"/>
          <w:lang w:eastAsia="en-AU"/>
          <w14:ligatures w14:val="none"/>
        </w:rPr>
        <w:t xml:space="preserve">even </w:t>
      </w:r>
      <w:r w:rsidR="00627C04">
        <w:rPr>
          <w:rFonts w:eastAsia="Times New Roman" w:cstheme="minorHAnsi"/>
          <w:kern w:val="0"/>
          <w:sz w:val="24"/>
          <w:szCs w:val="24"/>
          <w:lang w:eastAsia="en-AU"/>
          <w14:ligatures w14:val="none"/>
        </w:rPr>
        <w:t xml:space="preserve">if </w:t>
      </w:r>
      <w:r w:rsidR="00F5691F" w:rsidRPr="00A102E3">
        <w:rPr>
          <w:rFonts w:eastAsia="Times New Roman" w:cstheme="minorHAnsi"/>
          <w:kern w:val="0"/>
          <w:sz w:val="24"/>
          <w:szCs w:val="24"/>
          <w:lang w:eastAsia="en-AU"/>
          <w14:ligatures w14:val="none"/>
        </w:rPr>
        <w:t xml:space="preserve">using a </w:t>
      </w:r>
      <w:r w:rsidRPr="00A102E3">
        <w:rPr>
          <w:rFonts w:eastAsia="Times New Roman" w:cstheme="minorHAnsi"/>
          <w:kern w:val="0"/>
          <w:sz w:val="24"/>
          <w:szCs w:val="24"/>
          <w:lang w:eastAsia="en-AU"/>
          <w14:ligatures w14:val="none"/>
        </w:rPr>
        <w:t xml:space="preserve">purpose-built </w:t>
      </w:r>
      <w:r w:rsidR="00F5691F" w:rsidRPr="00A102E3">
        <w:rPr>
          <w:rFonts w:eastAsia="Times New Roman" w:cstheme="minorHAnsi"/>
          <w:kern w:val="0"/>
          <w:sz w:val="24"/>
          <w:szCs w:val="24"/>
          <w:lang w:eastAsia="en-AU"/>
          <w14:ligatures w14:val="none"/>
        </w:rPr>
        <w:t>survey instrument</w:t>
      </w:r>
      <w:r w:rsidR="00D02BB9" w:rsidRPr="00A102E3">
        <w:rPr>
          <w:rFonts w:eastAsia="Times New Roman" w:cstheme="minorHAnsi"/>
          <w:kern w:val="0"/>
          <w:sz w:val="24"/>
          <w:szCs w:val="24"/>
          <w:lang w:eastAsia="en-AU"/>
          <w14:ligatures w14:val="none"/>
        </w:rPr>
        <w:t xml:space="preserve">. </w:t>
      </w:r>
      <w:r w:rsidR="0062310C" w:rsidRPr="00A102E3">
        <w:rPr>
          <w:rFonts w:eastAsia="Times New Roman" w:cstheme="minorHAnsi"/>
          <w:kern w:val="0"/>
          <w:sz w:val="24"/>
          <w:szCs w:val="24"/>
          <w:lang w:eastAsia="en-AU"/>
          <w14:ligatures w14:val="none"/>
        </w:rPr>
        <w:t xml:space="preserve">This </w:t>
      </w:r>
      <w:r w:rsidR="00F5691F" w:rsidRPr="00A102E3">
        <w:rPr>
          <w:rFonts w:eastAsia="Times New Roman" w:cstheme="minorHAnsi"/>
          <w:kern w:val="0"/>
          <w:sz w:val="24"/>
          <w:szCs w:val="24"/>
          <w:lang w:eastAsia="en-AU"/>
          <w14:ligatures w14:val="none"/>
        </w:rPr>
        <w:t xml:space="preserve">is </w:t>
      </w:r>
      <w:r w:rsidR="0062310C" w:rsidRPr="00A102E3">
        <w:rPr>
          <w:rFonts w:eastAsia="Times New Roman" w:cstheme="minorHAnsi"/>
          <w:kern w:val="0"/>
          <w:sz w:val="24"/>
          <w:szCs w:val="24"/>
          <w:lang w:eastAsia="en-AU"/>
          <w14:ligatures w14:val="none"/>
        </w:rPr>
        <w:t xml:space="preserve">certainly clear from a social sciences perspective. </w:t>
      </w:r>
    </w:p>
    <w:p w14:paraId="19F3121E" w14:textId="77777777" w:rsidR="00EA6094" w:rsidRPr="00A102E3" w:rsidRDefault="00EA6094" w:rsidP="00D02BB9">
      <w:pPr>
        <w:shd w:val="clear" w:color="auto" w:fill="FFFFFF"/>
        <w:spacing w:after="0" w:line="240" w:lineRule="auto"/>
        <w:rPr>
          <w:rFonts w:eastAsia="Times New Roman" w:cstheme="minorHAnsi"/>
          <w:kern w:val="0"/>
          <w:sz w:val="24"/>
          <w:szCs w:val="24"/>
          <w:lang w:eastAsia="en-AU"/>
          <w14:ligatures w14:val="none"/>
        </w:rPr>
      </w:pPr>
    </w:p>
    <w:p w14:paraId="533B3782" w14:textId="373FF035" w:rsidR="00D02BB9" w:rsidRPr="00A102E3" w:rsidRDefault="00D02BB9" w:rsidP="00D02BB9">
      <w:pPr>
        <w:shd w:val="clear" w:color="auto" w:fill="FFFFFF"/>
        <w:spacing w:after="0" w:line="240" w:lineRule="auto"/>
        <w:rPr>
          <w:rFonts w:eastAsia="Times New Roman" w:cstheme="minorHAnsi"/>
          <w:kern w:val="0"/>
          <w:sz w:val="24"/>
          <w:szCs w:val="24"/>
          <w:lang w:eastAsia="en-AU"/>
          <w14:ligatures w14:val="none"/>
        </w:rPr>
      </w:pPr>
      <w:r w:rsidRPr="00A102E3">
        <w:rPr>
          <w:rFonts w:eastAsia="Times New Roman" w:cstheme="minorHAnsi"/>
          <w:kern w:val="0"/>
          <w:sz w:val="24"/>
          <w:szCs w:val="24"/>
          <w:lang w:eastAsia="en-AU"/>
          <w14:ligatures w14:val="none"/>
        </w:rPr>
        <w:t xml:space="preserve">Consequently, </w:t>
      </w:r>
      <w:r w:rsidR="00DE5F5E" w:rsidRPr="00A102E3">
        <w:rPr>
          <w:rFonts w:eastAsia="Times New Roman" w:cstheme="minorHAnsi"/>
          <w:kern w:val="0"/>
          <w:sz w:val="24"/>
          <w:szCs w:val="24"/>
          <w:lang w:eastAsia="en-AU"/>
          <w14:ligatures w14:val="none"/>
        </w:rPr>
        <w:t xml:space="preserve">the latest Annual Compilation of Data Report July 2023 indicates that three years after the National Agreement </w:t>
      </w:r>
      <w:r w:rsidR="00F5691F" w:rsidRPr="00A102E3">
        <w:rPr>
          <w:rFonts w:eastAsia="Times New Roman" w:cstheme="minorHAnsi"/>
          <w:kern w:val="0"/>
          <w:sz w:val="24"/>
          <w:szCs w:val="24"/>
          <w:lang w:eastAsia="en-AU"/>
          <w14:ligatures w14:val="none"/>
        </w:rPr>
        <w:t>was</w:t>
      </w:r>
      <w:r w:rsidR="00DE5F5E" w:rsidRPr="00A102E3">
        <w:rPr>
          <w:rFonts w:eastAsia="Times New Roman" w:cstheme="minorHAnsi"/>
          <w:kern w:val="0"/>
          <w:sz w:val="24"/>
          <w:szCs w:val="24"/>
          <w:lang w:eastAsia="en-AU"/>
          <w14:ligatures w14:val="none"/>
        </w:rPr>
        <w:t xml:space="preserve"> signed</w:t>
      </w:r>
      <w:r w:rsidR="00F5691F" w:rsidRPr="00A102E3">
        <w:rPr>
          <w:rFonts w:eastAsia="Times New Roman" w:cstheme="minorHAnsi"/>
          <w:kern w:val="0"/>
          <w:sz w:val="24"/>
          <w:szCs w:val="24"/>
          <w:lang w:eastAsia="en-AU"/>
          <w14:ligatures w14:val="none"/>
        </w:rPr>
        <w:t>,</w:t>
      </w:r>
      <w:r w:rsidR="00DE5F5E" w:rsidRPr="00A102E3">
        <w:rPr>
          <w:rFonts w:eastAsia="Times New Roman" w:cstheme="minorHAnsi"/>
          <w:kern w:val="0"/>
          <w:sz w:val="24"/>
          <w:szCs w:val="24"/>
          <w:lang w:eastAsia="en-AU"/>
          <w14:ligatures w14:val="none"/>
        </w:rPr>
        <w:t xml:space="preserve"> progress on the development of measures is slow. The report identifies five phases for developing measurement approaches. Across the four </w:t>
      </w:r>
      <w:r w:rsidR="005C535E">
        <w:rPr>
          <w:rFonts w:eastAsia="Times New Roman" w:cstheme="minorHAnsi"/>
          <w:kern w:val="0"/>
          <w:sz w:val="24"/>
          <w:szCs w:val="24"/>
          <w:lang w:eastAsia="en-AU"/>
          <w14:ligatures w14:val="none"/>
        </w:rPr>
        <w:t>P</w:t>
      </w:r>
      <w:r w:rsidR="00DE5F5E" w:rsidRPr="00A102E3">
        <w:rPr>
          <w:rFonts w:eastAsia="Times New Roman" w:cstheme="minorHAnsi"/>
          <w:kern w:val="0"/>
          <w:sz w:val="24"/>
          <w:szCs w:val="24"/>
          <w:lang w:eastAsia="en-AU"/>
          <w14:ligatures w14:val="none"/>
        </w:rPr>
        <w:t xml:space="preserve">riority </w:t>
      </w:r>
      <w:r w:rsidR="005C535E">
        <w:rPr>
          <w:rFonts w:eastAsia="Times New Roman" w:cstheme="minorHAnsi"/>
          <w:kern w:val="0"/>
          <w:sz w:val="24"/>
          <w:szCs w:val="24"/>
          <w:lang w:eastAsia="en-AU"/>
          <w14:ligatures w14:val="none"/>
        </w:rPr>
        <w:t>R</w:t>
      </w:r>
      <w:r w:rsidR="00DE5F5E" w:rsidRPr="00A102E3">
        <w:rPr>
          <w:rFonts w:eastAsia="Times New Roman" w:cstheme="minorHAnsi"/>
          <w:kern w:val="0"/>
          <w:sz w:val="24"/>
          <w:szCs w:val="24"/>
          <w:lang w:eastAsia="en-AU"/>
          <w14:ligatures w14:val="none"/>
        </w:rPr>
        <w:t xml:space="preserve">eforms, phase 1 (agreement on approach) has been completed, phase two (agreement on measurement content and computation) is in progress, and consequently phases 3 to 5 (developing data collection instruments, collecting data and reporting data) have not started. </w:t>
      </w:r>
    </w:p>
    <w:p w14:paraId="4D7066DA" w14:textId="77777777" w:rsidR="00805C0D" w:rsidRPr="00A102E3" w:rsidRDefault="00805C0D" w:rsidP="00D02BB9">
      <w:pPr>
        <w:shd w:val="clear" w:color="auto" w:fill="FFFFFF"/>
        <w:spacing w:after="0" w:line="240" w:lineRule="auto"/>
        <w:rPr>
          <w:rFonts w:eastAsia="Times New Roman" w:cstheme="minorHAnsi"/>
          <w:kern w:val="0"/>
          <w:sz w:val="24"/>
          <w:szCs w:val="24"/>
          <w:lang w:eastAsia="en-AU"/>
          <w14:ligatures w14:val="none"/>
        </w:rPr>
      </w:pPr>
    </w:p>
    <w:p w14:paraId="588354AD" w14:textId="139BE323" w:rsidR="00EA6094" w:rsidRPr="00A102E3" w:rsidRDefault="00805C0D" w:rsidP="00D02BB9">
      <w:pPr>
        <w:shd w:val="clear" w:color="auto" w:fill="FFFFFF"/>
        <w:spacing w:after="0" w:line="240" w:lineRule="auto"/>
        <w:rPr>
          <w:rFonts w:cstheme="minorHAnsi"/>
          <w:sz w:val="24"/>
          <w:szCs w:val="24"/>
        </w:rPr>
      </w:pPr>
      <w:r w:rsidRPr="00A102E3">
        <w:rPr>
          <w:rFonts w:eastAsia="Times New Roman" w:cstheme="minorHAnsi"/>
          <w:kern w:val="0"/>
          <w:sz w:val="24"/>
          <w:szCs w:val="24"/>
          <w:lang w:eastAsia="en-AU"/>
          <w14:ligatures w14:val="none"/>
        </w:rPr>
        <w:t xml:space="preserve">It is unclear just how negotiations over data </w:t>
      </w:r>
      <w:r w:rsidR="00F5691F" w:rsidRPr="00A102E3">
        <w:rPr>
          <w:rFonts w:eastAsia="Times New Roman" w:cstheme="minorHAnsi"/>
          <w:kern w:val="0"/>
          <w:sz w:val="24"/>
          <w:szCs w:val="24"/>
          <w:lang w:eastAsia="en-AU"/>
          <w14:ligatures w14:val="none"/>
        </w:rPr>
        <w:t xml:space="preserve">collection </w:t>
      </w:r>
      <w:r w:rsidRPr="00A102E3">
        <w:rPr>
          <w:rFonts w:eastAsia="Times New Roman" w:cstheme="minorHAnsi"/>
          <w:kern w:val="0"/>
          <w:sz w:val="24"/>
          <w:szCs w:val="24"/>
          <w:lang w:eastAsia="en-AU"/>
          <w14:ligatures w14:val="none"/>
        </w:rPr>
        <w:t xml:space="preserve">to </w:t>
      </w:r>
      <w:r w:rsidR="00F5691F" w:rsidRPr="00A102E3">
        <w:rPr>
          <w:rFonts w:eastAsia="Times New Roman" w:cstheme="minorHAnsi"/>
          <w:kern w:val="0"/>
          <w:sz w:val="24"/>
          <w:szCs w:val="24"/>
          <w:lang w:eastAsia="en-AU"/>
          <w14:ligatures w14:val="none"/>
        </w:rPr>
        <w:t>reflect</w:t>
      </w:r>
      <w:r w:rsidRPr="00A102E3">
        <w:rPr>
          <w:rFonts w:eastAsia="Times New Roman" w:cstheme="minorHAnsi"/>
          <w:kern w:val="0"/>
          <w:sz w:val="24"/>
          <w:szCs w:val="24"/>
          <w:lang w:eastAsia="en-AU"/>
          <w14:ligatures w14:val="none"/>
        </w:rPr>
        <w:t xml:space="preserve"> such </w:t>
      </w:r>
      <w:r w:rsidR="00F5691F" w:rsidRPr="00A102E3">
        <w:rPr>
          <w:rFonts w:eastAsia="Times New Roman" w:cstheme="minorHAnsi"/>
          <w:kern w:val="0"/>
          <w:sz w:val="24"/>
          <w:szCs w:val="24"/>
          <w:lang w:eastAsia="en-AU"/>
          <w14:ligatures w14:val="none"/>
        </w:rPr>
        <w:t xml:space="preserve">complex administrative arrangements </w:t>
      </w:r>
      <w:r w:rsidRPr="00A102E3">
        <w:rPr>
          <w:rFonts w:eastAsia="Times New Roman" w:cstheme="minorHAnsi"/>
          <w:kern w:val="0"/>
          <w:sz w:val="24"/>
          <w:szCs w:val="24"/>
          <w:lang w:eastAsia="en-AU"/>
          <w14:ligatures w14:val="none"/>
        </w:rPr>
        <w:t xml:space="preserve">(bar Priority Reform 4 that </w:t>
      </w:r>
      <w:r w:rsidR="001C71D9" w:rsidRPr="00A102E3">
        <w:rPr>
          <w:rFonts w:eastAsia="Times New Roman" w:cstheme="minorHAnsi"/>
          <w:kern w:val="0"/>
          <w:sz w:val="24"/>
          <w:szCs w:val="24"/>
          <w:lang w:eastAsia="en-AU"/>
          <w14:ligatures w14:val="none"/>
        </w:rPr>
        <w:t>h</w:t>
      </w:r>
      <w:r w:rsidRPr="00A102E3">
        <w:rPr>
          <w:rFonts w:eastAsia="Times New Roman" w:cstheme="minorHAnsi"/>
          <w:kern w:val="0"/>
          <w:sz w:val="24"/>
          <w:szCs w:val="24"/>
          <w:lang w:eastAsia="en-AU"/>
          <w14:ligatures w14:val="none"/>
        </w:rPr>
        <w:t>as a quantitative output measure) are being negotiated</w:t>
      </w:r>
      <w:r w:rsidR="00F5691F" w:rsidRPr="00A102E3">
        <w:rPr>
          <w:rFonts w:eastAsia="Times New Roman" w:cstheme="minorHAnsi"/>
          <w:kern w:val="0"/>
          <w:sz w:val="24"/>
          <w:szCs w:val="24"/>
          <w:lang w:eastAsia="en-AU"/>
          <w14:ligatures w14:val="none"/>
        </w:rPr>
        <w:t>,</w:t>
      </w:r>
      <w:r w:rsidRPr="00A102E3">
        <w:rPr>
          <w:rFonts w:eastAsia="Times New Roman" w:cstheme="minorHAnsi"/>
          <w:kern w:val="0"/>
          <w:sz w:val="24"/>
          <w:szCs w:val="24"/>
          <w:lang w:eastAsia="en-AU"/>
          <w14:ligatures w14:val="none"/>
        </w:rPr>
        <w:t xml:space="preserve"> </w:t>
      </w:r>
      <w:r w:rsidR="00627C04" w:rsidRPr="00A102E3">
        <w:rPr>
          <w:rFonts w:eastAsia="Times New Roman" w:cstheme="minorHAnsi"/>
          <w:kern w:val="0"/>
          <w:sz w:val="24"/>
          <w:szCs w:val="24"/>
          <w:lang w:eastAsia="en-AU"/>
          <w14:ligatures w14:val="none"/>
        </w:rPr>
        <w:t>overseen</w:t>
      </w:r>
      <w:r w:rsidRPr="00A102E3">
        <w:rPr>
          <w:rFonts w:eastAsia="Times New Roman" w:cstheme="minorHAnsi"/>
          <w:kern w:val="0"/>
          <w:sz w:val="24"/>
          <w:szCs w:val="24"/>
          <w:lang w:eastAsia="en-AU"/>
          <w14:ligatures w14:val="none"/>
        </w:rPr>
        <w:t xml:space="preserve"> by the </w:t>
      </w:r>
      <w:r w:rsidRPr="00A102E3">
        <w:rPr>
          <w:rFonts w:cstheme="minorHAnsi"/>
          <w:sz w:val="24"/>
          <w:szCs w:val="24"/>
        </w:rPr>
        <w:t xml:space="preserve">Joint Council on Closing the Gap. The Joint Council communiques issued after each of their </w:t>
      </w:r>
      <w:r w:rsidR="00EA6094" w:rsidRPr="00A102E3">
        <w:rPr>
          <w:rFonts w:cstheme="minorHAnsi"/>
          <w:sz w:val="24"/>
          <w:szCs w:val="24"/>
        </w:rPr>
        <w:t xml:space="preserve">twice-yearly </w:t>
      </w:r>
      <w:r w:rsidRPr="00A102E3">
        <w:rPr>
          <w:rFonts w:cstheme="minorHAnsi"/>
          <w:sz w:val="24"/>
          <w:szCs w:val="24"/>
        </w:rPr>
        <w:t xml:space="preserve">meetings do not go into such detail. </w:t>
      </w:r>
    </w:p>
    <w:p w14:paraId="0C79957B" w14:textId="77777777" w:rsidR="00EA6094" w:rsidRPr="00A102E3" w:rsidRDefault="00EA6094" w:rsidP="00D02BB9">
      <w:pPr>
        <w:shd w:val="clear" w:color="auto" w:fill="FFFFFF"/>
        <w:spacing w:after="0" w:line="240" w:lineRule="auto"/>
        <w:rPr>
          <w:rFonts w:cstheme="minorHAnsi"/>
          <w:sz w:val="24"/>
          <w:szCs w:val="24"/>
        </w:rPr>
      </w:pPr>
    </w:p>
    <w:p w14:paraId="20873F10" w14:textId="1D95A53A" w:rsidR="00805C0D" w:rsidRDefault="00EA6094" w:rsidP="00D02BB9">
      <w:pPr>
        <w:shd w:val="clear" w:color="auto" w:fill="FFFFFF"/>
        <w:spacing w:after="0" w:line="240" w:lineRule="auto"/>
        <w:rPr>
          <w:rFonts w:cstheme="minorHAnsi"/>
          <w:sz w:val="24"/>
          <w:szCs w:val="24"/>
        </w:rPr>
      </w:pPr>
      <w:r w:rsidRPr="00A102E3">
        <w:rPr>
          <w:rFonts w:cstheme="minorHAnsi"/>
          <w:sz w:val="24"/>
          <w:szCs w:val="24"/>
        </w:rPr>
        <w:t xml:space="preserve">In relation to these four Priority Reform Areas, the </w:t>
      </w:r>
      <w:r w:rsidR="00805C0D" w:rsidRPr="00A102E3">
        <w:rPr>
          <w:rFonts w:cstheme="minorHAnsi"/>
          <w:sz w:val="24"/>
          <w:szCs w:val="24"/>
        </w:rPr>
        <w:t xml:space="preserve">Draft Report </w:t>
      </w:r>
      <w:r w:rsidRPr="00A102E3">
        <w:rPr>
          <w:rFonts w:cstheme="minorHAnsi"/>
          <w:sz w:val="24"/>
          <w:szCs w:val="24"/>
        </w:rPr>
        <w:t>provides</w:t>
      </w:r>
      <w:r w:rsidR="00805C0D" w:rsidRPr="00A102E3">
        <w:rPr>
          <w:rFonts w:cstheme="minorHAnsi"/>
          <w:sz w:val="24"/>
          <w:szCs w:val="24"/>
        </w:rPr>
        <w:t xml:space="preserve"> </w:t>
      </w:r>
      <w:r w:rsidR="00320BD1" w:rsidRPr="00A102E3">
        <w:rPr>
          <w:rFonts w:cstheme="minorHAnsi"/>
          <w:sz w:val="24"/>
          <w:szCs w:val="24"/>
        </w:rPr>
        <w:t>detail</w:t>
      </w:r>
      <w:r w:rsidRPr="00A102E3">
        <w:rPr>
          <w:rFonts w:cstheme="minorHAnsi"/>
          <w:sz w:val="24"/>
          <w:szCs w:val="24"/>
        </w:rPr>
        <w:t>s</w:t>
      </w:r>
      <w:r w:rsidR="00805C0D" w:rsidRPr="00A102E3">
        <w:rPr>
          <w:rFonts w:cstheme="minorHAnsi"/>
          <w:sz w:val="24"/>
          <w:szCs w:val="24"/>
        </w:rPr>
        <w:t xml:space="preserve"> on </w:t>
      </w:r>
      <w:r w:rsidR="00320BD1" w:rsidRPr="00A102E3">
        <w:rPr>
          <w:rFonts w:cstheme="minorHAnsi"/>
          <w:sz w:val="24"/>
          <w:szCs w:val="24"/>
        </w:rPr>
        <w:t xml:space="preserve">key commitments made </w:t>
      </w:r>
      <w:r w:rsidRPr="00A102E3">
        <w:rPr>
          <w:rFonts w:cstheme="minorHAnsi"/>
          <w:sz w:val="24"/>
          <w:szCs w:val="24"/>
        </w:rPr>
        <w:t>by parties to</w:t>
      </w:r>
      <w:r w:rsidR="00320BD1" w:rsidRPr="00A102E3">
        <w:rPr>
          <w:rFonts w:cstheme="minorHAnsi"/>
          <w:sz w:val="24"/>
          <w:szCs w:val="24"/>
        </w:rPr>
        <w:t xml:space="preserve"> the National Agreement, agreed timing, current progress, issues and barriers to implementation and assessment. I will not rehearse </w:t>
      </w:r>
      <w:r w:rsidR="00C37743" w:rsidRPr="00A102E3">
        <w:rPr>
          <w:rFonts w:cstheme="minorHAnsi"/>
          <w:sz w:val="24"/>
          <w:szCs w:val="24"/>
        </w:rPr>
        <w:t xml:space="preserve">in any detail </w:t>
      </w:r>
      <w:r w:rsidR="00320BD1" w:rsidRPr="00A102E3">
        <w:rPr>
          <w:rFonts w:cstheme="minorHAnsi"/>
          <w:sz w:val="24"/>
          <w:szCs w:val="24"/>
        </w:rPr>
        <w:t>the Draft Report’s reporting on lack of progress</w:t>
      </w:r>
      <w:r w:rsidR="00A15AA1" w:rsidRPr="00A102E3">
        <w:rPr>
          <w:rFonts w:cstheme="minorHAnsi"/>
          <w:sz w:val="24"/>
          <w:szCs w:val="24"/>
        </w:rPr>
        <w:t xml:space="preserve">, it identifies 18 key commitments each referring </w:t>
      </w:r>
      <w:r w:rsidR="00A15AA1" w:rsidRPr="00A102E3">
        <w:rPr>
          <w:rFonts w:cstheme="minorHAnsi"/>
          <w:sz w:val="24"/>
          <w:szCs w:val="24"/>
        </w:rPr>
        <w:lastRenderedPageBreak/>
        <w:t>to a clause in the National Agreement, a significant number of the agreed timeframes for action have already passed</w:t>
      </w:r>
      <w:r w:rsidR="00E931D1" w:rsidRPr="00A102E3">
        <w:rPr>
          <w:rFonts w:cstheme="minorHAnsi"/>
          <w:sz w:val="24"/>
          <w:szCs w:val="24"/>
        </w:rPr>
        <w:t xml:space="preserve"> and there is no indication of when or if they will be implemented which raises questions about the value of the </w:t>
      </w:r>
      <w:r w:rsidR="00C37743" w:rsidRPr="00A102E3">
        <w:rPr>
          <w:rFonts w:cstheme="minorHAnsi"/>
          <w:sz w:val="24"/>
          <w:szCs w:val="24"/>
        </w:rPr>
        <w:t>N</w:t>
      </w:r>
      <w:r w:rsidR="00E931D1" w:rsidRPr="00A102E3">
        <w:rPr>
          <w:rFonts w:cstheme="minorHAnsi"/>
          <w:sz w:val="24"/>
          <w:szCs w:val="24"/>
        </w:rPr>
        <w:t>ational Agreement.</w:t>
      </w:r>
    </w:p>
    <w:p w14:paraId="05998BE4" w14:textId="77777777" w:rsidR="008F581F" w:rsidRPr="00A102E3" w:rsidRDefault="008F581F" w:rsidP="00D02BB9">
      <w:pPr>
        <w:shd w:val="clear" w:color="auto" w:fill="FFFFFF"/>
        <w:spacing w:after="0" w:line="240" w:lineRule="auto"/>
        <w:rPr>
          <w:rFonts w:cstheme="minorHAnsi"/>
          <w:sz w:val="24"/>
          <w:szCs w:val="24"/>
        </w:rPr>
      </w:pPr>
    </w:p>
    <w:p w14:paraId="479BBB93" w14:textId="7BD67B9F" w:rsidR="00C37743" w:rsidRPr="00A102E3" w:rsidRDefault="00C37743" w:rsidP="00D02BB9">
      <w:pPr>
        <w:shd w:val="clear" w:color="auto" w:fill="FFFFFF"/>
        <w:spacing w:after="0" w:line="240" w:lineRule="auto"/>
        <w:rPr>
          <w:rFonts w:cstheme="minorHAnsi"/>
          <w:spacing w:val="7"/>
          <w:sz w:val="24"/>
          <w:szCs w:val="24"/>
        </w:rPr>
      </w:pPr>
      <w:r w:rsidRPr="00A102E3">
        <w:rPr>
          <w:rFonts w:cstheme="minorHAnsi"/>
          <w:sz w:val="24"/>
          <w:szCs w:val="24"/>
        </w:rPr>
        <w:t xml:space="preserve">The Draft Report’s findings are also influenced by its consultations summarised in </w:t>
      </w:r>
      <w:r w:rsidRPr="00A102E3">
        <w:rPr>
          <w:rFonts w:cstheme="minorHAnsi"/>
          <w:i/>
          <w:iCs/>
          <w:spacing w:val="7"/>
          <w:sz w:val="24"/>
          <w:szCs w:val="24"/>
        </w:rPr>
        <w:t>Review Paper 3: What we have heard to date</w:t>
      </w:r>
      <w:r w:rsidRPr="00A102E3">
        <w:rPr>
          <w:rFonts w:cstheme="minorHAnsi"/>
          <w:spacing w:val="7"/>
          <w:sz w:val="24"/>
          <w:szCs w:val="24"/>
        </w:rPr>
        <w:t xml:space="preserve"> and by 32 initial submissions. Its four key findings on the four </w:t>
      </w:r>
      <w:r w:rsidR="00185CF6" w:rsidRPr="00A102E3">
        <w:rPr>
          <w:rFonts w:cstheme="minorHAnsi"/>
          <w:spacing w:val="7"/>
          <w:sz w:val="24"/>
          <w:szCs w:val="24"/>
        </w:rPr>
        <w:t>Priority Reform areas are brutally frank:</w:t>
      </w:r>
    </w:p>
    <w:p w14:paraId="1B9C17A4" w14:textId="77777777" w:rsidR="00185CF6" w:rsidRPr="00A102E3" w:rsidRDefault="00185CF6" w:rsidP="00D02BB9">
      <w:pPr>
        <w:shd w:val="clear" w:color="auto" w:fill="FFFFFF"/>
        <w:spacing w:after="0" w:line="240" w:lineRule="auto"/>
        <w:rPr>
          <w:rFonts w:cstheme="minorHAnsi"/>
          <w:spacing w:val="7"/>
          <w:sz w:val="24"/>
          <w:szCs w:val="24"/>
        </w:rPr>
      </w:pPr>
    </w:p>
    <w:p w14:paraId="2F318742" w14:textId="4519B488" w:rsidR="00185CF6" w:rsidRPr="00A102E3" w:rsidRDefault="00185CF6" w:rsidP="00185CF6">
      <w:pPr>
        <w:pStyle w:val="ListParagraph"/>
        <w:numPr>
          <w:ilvl w:val="0"/>
          <w:numId w:val="17"/>
        </w:numPr>
        <w:shd w:val="clear" w:color="auto" w:fill="FFFFFF"/>
        <w:spacing w:after="0" w:line="240" w:lineRule="auto"/>
        <w:rPr>
          <w:rFonts w:cstheme="minorHAnsi"/>
          <w:sz w:val="24"/>
          <w:szCs w:val="24"/>
        </w:rPr>
      </w:pPr>
      <w:r w:rsidRPr="00A102E3">
        <w:rPr>
          <w:rFonts w:cstheme="minorHAnsi"/>
          <w:b/>
          <w:bCs/>
          <w:kern w:val="0"/>
          <w:sz w:val="24"/>
          <w:szCs w:val="24"/>
        </w:rPr>
        <w:t>On Priority Reform 1</w:t>
      </w:r>
      <w:r w:rsidRPr="00A102E3">
        <w:rPr>
          <w:rFonts w:cstheme="minorHAnsi"/>
          <w:kern w:val="0"/>
          <w:sz w:val="24"/>
          <w:szCs w:val="24"/>
        </w:rPr>
        <w:t xml:space="preserve"> Formal partnerships and shared decision making: </w:t>
      </w:r>
      <w:r w:rsidRPr="00A102E3">
        <w:rPr>
          <w:rFonts w:cstheme="minorHAnsi"/>
          <w:sz w:val="24"/>
          <w:szCs w:val="24"/>
        </w:rPr>
        <w:t>The commitment to shared decision-making is rarely achieved in practice.</w:t>
      </w:r>
    </w:p>
    <w:p w14:paraId="1A1EB291" w14:textId="6E518715" w:rsidR="00185CF6" w:rsidRPr="00A102E3" w:rsidRDefault="00185CF6" w:rsidP="00185CF6">
      <w:pPr>
        <w:pStyle w:val="ListParagraph"/>
        <w:numPr>
          <w:ilvl w:val="0"/>
          <w:numId w:val="17"/>
        </w:numPr>
        <w:shd w:val="clear" w:color="auto" w:fill="FFFFFF"/>
        <w:spacing w:after="0" w:line="240" w:lineRule="auto"/>
        <w:rPr>
          <w:rFonts w:cstheme="minorHAnsi"/>
          <w:sz w:val="24"/>
          <w:szCs w:val="24"/>
        </w:rPr>
      </w:pPr>
      <w:r w:rsidRPr="00A102E3">
        <w:rPr>
          <w:rFonts w:cstheme="minorHAnsi"/>
          <w:b/>
          <w:bCs/>
          <w:sz w:val="24"/>
          <w:szCs w:val="24"/>
        </w:rPr>
        <w:t>Priority Reform 2</w:t>
      </w:r>
      <w:r w:rsidRPr="00A102E3">
        <w:rPr>
          <w:rFonts w:cstheme="minorHAnsi"/>
          <w:sz w:val="24"/>
          <w:szCs w:val="24"/>
        </w:rPr>
        <w:t xml:space="preserve"> Building the community-controlled sector:</w:t>
      </w:r>
      <w:r w:rsidRPr="00A102E3">
        <w:rPr>
          <w:rFonts w:cstheme="minorHAnsi"/>
          <w:kern w:val="0"/>
          <w:sz w:val="24"/>
          <w:szCs w:val="24"/>
        </w:rPr>
        <w:t xml:space="preserve"> </w:t>
      </w:r>
      <w:r w:rsidRPr="00A102E3">
        <w:rPr>
          <w:rFonts w:cstheme="minorHAnsi"/>
          <w:sz w:val="24"/>
          <w:szCs w:val="24"/>
        </w:rPr>
        <w:t>Government policy does not reflect the value of the community-controlled sector.</w:t>
      </w:r>
    </w:p>
    <w:p w14:paraId="26B51202" w14:textId="31B5CF0C" w:rsidR="00185CF6" w:rsidRPr="00A102E3" w:rsidRDefault="00185CF6" w:rsidP="00185CF6">
      <w:pPr>
        <w:pStyle w:val="ListParagraph"/>
        <w:numPr>
          <w:ilvl w:val="0"/>
          <w:numId w:val="17"/>
        </w:numPr>
        <w:shd w:val="clear" w:color="auto" w:fill="FFFFFF"/>
        <w:spacing w:after="0" w:line="240" w:lineRule="auto"/>
        <w:rPr>
          <w:rFonts w:cstheme="minorHAnsi"/>
          <w:sz w:val="24"/>
          <w:szCs w:val="24"/>
        </w:rPr>
      </w:pPr>
      <w:r w:rsidRPr="00A102E3">
        <w:rPr>
          <w:rFonts w:cstheme="minorHAnsi"/>
          <w:b/>
          <w:bCs/>
          <w:sz w:val="24"/>
          <w:szCs w:val="24"/>
        </w:rPr>
        <w:t>Priority Reform 3</w:t>
      </w:r>
      <w:r w:rsidRPr="00A102E3">
        <w:rPr>
          <w:rFonts w:cstheme="minorHAnsi"/>
          <w:sz w:val="24"/>
          <w:szCs w:val="24"/>
        </w:rPr>
        <w:t xml:space="preserve"> Transforming government organisations: The transformation of government organisations has barely begun.</w:t>
      </w:r>
    </w:p>
    <w:p w14:paraId="0B80AC73" w14:textId="05B6E9B4" w:rsidR="00185CF6" w:rsidRPr="00A102E3" w:rsidRDefault="00185CF6" w:rsidP="00185CF6">
      <w:pPr>
        <w:pStyle w:val="ListParagraph"/>
        <w:numPr>
          <w:ilvl w:val="0"/>
          <w:numId w:val="17"/>
        </w:numPr>
        <w:shd w:val="clear" w:color="auto" w:fill="FFFFFF"/>
        <w:spacing w:after="0" w:line="240" w:lineRule="auto"/>
        <w:rPr>
          <w:rFonts w:eastAsia="Times New Roman" w:cstheme="minorHAnsi"/>
          <w:kern w:val="0"/>
          <w:sz w:val="24"/>
          <w:szCs w:val="24"/>
          <w:lang w:eastAsia="en-AU"/>
          <w14:ligatures w14:val="none"/>
        </w:rPr>
      </w:pPr>
      <w:r w:rsidRPr="00A102E3">
        <w:rPr>
          <w:rFonts w:cstheme="minorHAnsi"/>
          <w:b/>
          <w:bCs/>
          <w:sz w:val="24"/>
          <w:szCs w:val="24"/>
        </w:rPr>
        <w:t>Priority Reform 4</w:t>
      </w:r>
      <w:r w:rsidRPr="00A102E3">
        <w:rPr>
          <w:rFonts w:cstheme="minorHAnsi"/>
          <w:sz w:val="24"/>
          <w:szCs w:val="24"/>
        </w:rPr>
        <w:t xml:space="preserve"> Shared access to data at the regional level. Governments are not enabling Aboriginal and Torres Strait Islander-led data</w:t>
      </w:r>
      <w:r w:rsidRPr="00A102E3">
        <w:rPr>
          <w:rFonts w:eastAsia="Times New Roman" w:cstheme="minorHAnsi"/>
          <w:kern w:val="0"/>
          <w:sz w:val="24"/>
          <w:szCs w:val="24"/>
          <w:lang w:eastAsia="en-AU"/>
          <w14:ligatures w14:val="none"/>
        </w:rPr>
        <w:t>.</w:t>
      </w:r>
    </w:p>
    <w:p w14:paraId="7B563444" w14:textId="77777777" w:rsidR="00A15AA1" w:rsidRPr="00A102E3" w:rsidRDefault="00A15AA1" w:rsidP="00D02BB9">
      <w:pPr>
        <w:shd w:val="clear" w:color="auto" w:fill="FFFFFF"/>
        <w:spacing w:after="0" w:line="240" w:lineRule="auto"/>
        <w:rPr>
          <w:rFonts w:cstheme="minorHAnsi"/>
          <w:sz w:val="24"/>
          <w:szCs w:val="24"/>
        </w:rPr>
      </w:pPr>
    </w:p>
    <w:p w14:paraId="2A47C008" w14:textId="5E65709B" w:rsidR="00A15AA1" w:rsidRPr="00A102E3" w:rsidRDefault="00A15AA1" w:rsidP="00D02BB9">
      <w:pPr>
        <w:shd w:val="clear" w:color="auto" w:fill="FFFFFF"/>
        <w:spacing w:after="0" w:line="240" w:lineRule="auto"/>
        <w:rPr>
          <w:rFonts w:cstheme="minorHAnsi"/>
          <w:sz w:val="24"/>
          <w:szCs w:val="24"/>
        </w:rPr>
      </w:pPr>
      <w:r w:rsidRPr="00A102E3">
        <w:rPr>
          <w:rFonts w:cstheme="minorHAnsi"/>
          <w:sz w:val="24"/>
          <w:szCs w:val="24"/>
        </w:rPr>
        <w:t>It is hard to know how to interpret such lack of progress</w:t>
      </w:r>
      <w:r w:rsidR="00185CF6" w:rsidRPr="00A102E3">
        <w:rPr>
          <w:rFonts w:cstheme="minorHAnsi"/>
          <w:sz w:val="24"/>
          <w:szCs w:val="24"/>
        </w:rPr>
        <w:t xml:space="preserve"> and implementation</w:t>
      </w:r>
      <w:r w:rsidRPr="00A102E3">
        <w:rPr>
          <w:rFonts w:cstheme="minorHAnsi"/>
          <w:sz w:val="24"/>
          <w:szCs w:val="24"/>
        </w:rPr>
        <w:t>. Is it that the tasks on hand are too difficult</w:t>
      </w:r>
      <w:r w:rsidR="00E931D1" w:rsidRPr="00A102E3">
        <w:rPr>
          <w:rFonts w:cstheme="minorHAnsi"/>
          <w:sz w:val="24"/>
          <w:szCs w:val="24"/>
        </w:rPr>
        <w:t xml:space="preserve"> for the signatories to comply</w:t>
      </w:r>
      <w:r w:rsidRPr="00A102E3">
        <w:rPr>
          <w:rFonts w:cstheme="minorHAnsi"/>
          <w:sz w:val="24"/>
          <w:szCs w:val="24"/>
        </w:rPr>
        <w:t xml:space="preserve">? Is there are reluctance to convert </w:t>
      </w:r>
      <w:r w:rsidR="00E931D1" w:rsidRPr="00A102E3">
        <w:rPr>
          <w:rFonts w:cstheme="minorHAnsi"/>
          <w:sz w:val="24"/>
          <w:szCs w:val="24"/>
        </w:rPr>
        <w:t xml:space="preserve">the </w:t>
      </w:r>
      <w:r w:rsidR="00F5691F" w:rsidRPr="00A102E3">
        <w:rPr>
          <w:rFonts w:cstheme="minorHAnsi"/>
          <w:sz w:val="24"/>
          <w:szCs w:val="24"/>
        </w:rPr>
        <w:t xml:space="preserve">evident </w:t>
      </w:r>
      <w:r w:rsidRPr="00A102E3">
        <w:rPr>
          <w:rFonts w:cstheme="minorHAnsi"/>
          <w:sz w:val="24"/>
          <w:szCs w:val="24"/>
        </w:rPr>
        <w:t xml:space="preserve">goodwill </w:t>
      </w:r>
      <w:r w:rsidR="00E931D1" w:rsidRPr="00A102E3">
        <w:rPr>
          <w:rFonts w:cstheme="minorHAnsi"/>
          <w:sz w:val="24"/>
          <w:szCs w:val="24"/>
        </w:rPr>
        <w:t xml:space="preserve">in signing the National Agreement </w:t>
      </w:r>
      <w:r w:rsidRPr="00A102E3">
        <w:rPr>
          <w:rFonts w:cstheme="minorHAnsi"/>
          <w:sz w:val="24"/>
          <w:szCs w:val="24"/>
        </w:rPr>
        <w:t xml:space="preserve">into </w:t>
      </w:r>
      <w:r w:rsidR="00E931D1" w:rsidRPr="00A102E3">
        <w:rPr>
          <w:rFonts w:cstheme="minorHAnsi"/>
          <w:sz w:val="24"/>
          <w:szCs w:val="24"/>
        </w:rPr>
        <w:t xml:space="preserve">reporting </w:t>
      </w:r>
      <w:r w:rsidRPr="00A102E3">
        <w:rPr>
          <w:rFonts w:cstheme="minorHAnsi"/>
          <w:sz w:val="24"/>
          <w:szCs w:val="24"/>
        </w:rPr>
        <w:t>action</w:t>
      </w:r>
      <w:r w:rsidR="00E931D1" w:rsidRPr="00A102E3">
        <w:rPr>
          <w:rFonts w:cstheme="minorHAnsi"/>
          <w:sz w:val="24"/>
          <w:szCs w:val="24"/>
        </w:rPr>
        <w:t xml:space="preserve"> and associated accountability</w:t>
      </w:r>
      <w:r w:rsidRPr="00A102E3">
        <w:rPr>
          <w:rFonts w:cstheme="minorHAnsi"/>
          <w:sz w:val="24"/>
          <w:szCs w:val="24"/>
        </w:rPr>
        <w:t xml:space="preserve">? Is it because the National Agreement is not legally enforceable and there are no sanctions for non-compliance? </w:t>
      </w:r>
      <w:r w:rsidR="00E931D1" w:rsidRPr="00A102E3">
        <w:rPr>
          <w:rFonts w:cstheme="minorHAnsi"/>
          <w:sz w:val="24"/>
          <w:szCs w:val="24"/>
        </w:rPr>
        <w:t>Or is it just that the information required is not available and too difficult or expensive to collect?</w:t>
      </w:r>
    </w:p>
    <w:p w14:paraId="54254D3E" w14:textId="77777777" w:rsidR="0062310C" w:rsidRPr="00A102E3" w:rsidRDefault="0062310C" w:rsidP="00D02BB9">
      <w:pPr>
        <w:shd w:val="clear" w:color="auto" w:fill="FFFFFF"/>
        <w:spacing w:after="0" w:line="240" w:lineRule="auto"/>
        <w:rPr>
          <w:rFonts w:cstheme="minorHAnsi"/>
          <w:sz w:val="24"/>
          <w:szCs w:val="24"/>
        </w:rPr>
      </w:pPr>
    </w:p>
    <w:p w14:paraId="4B1E9942" w14:textId="5F73A4A5" w:rsidR="0062310C" w:rsidRPr="00A102E3" w:rsidRDefault="0062310C" w:rsidP="00D02BB9">
      <w:pPr>
        <w:shd w:val="clear" w:color="auto" w:fill="FFFFFF"/>
        <w:spacing w:after="0" w:line="240" w:lineRule="auto"/>
        <w:rPr>
          <w:rFonts w:cstheme="minorHAnsi"/>
          <w:sz w:val="24"/>
          <w:szCs w:val="24"/>
        </w:rPr>
      </w:pPr>
      <w:r w:rsidRPr="00A102E3">
        <w:rPr>
          <w:rFonts w:cstheme="minorHAnsi"/>
          <w:sz w:val="24"/>
          <w:szCs w:val="24"/>
        </w:rPr>
        <w:t xml:space="preserve">There are substantive issues that are embedded in the Draft Report </w:t>
      </w:r>
      <w:r w:rsidR="00185CF6" w:rsidRPr="00A102E3">
        <w:rPr>
          <w:rFonts w:cstheme="minorHAnsi"/>
          <w:sz w:val="24"/>
          <w:szCs w:val="24"/>
        </w:rPr>
        <w:t xml:space="preserve">behind the above frank assessment </w:t>
      </w:r>
      <w:r w:rsidRPr="00A102E3">
        <w:rPr>
          <w:rFonts w:cstheme="minorHAnsi"/>
          <w:sz w:val="24"/>
          <w:szCs w:val="24"/>
        </w:rPr>
        <w:t>that do warrant comment. Let me focus on just three.</w:t>
      </w:r>
    </w:p>
    <w:p w14:paraId="3E379645" w14:textId="77777777" w:rsidR="0062310C" w:rsidRPr="00A102E3" w:rsidRDefault="0062310C" w:rsidP="00D02BB9">
      <w:pPr>
        <w:shd w:val="clear" w:color="auto" w:fill="FFFFFF"/>
        <w:spacing w:after="0" w:line="240" w:lineRule="auto"/>
        <w:rPr>
          <w:rFonts w:cstheme="minorHAnsi"/>
          <w:sz w:val="24"/>
          <w:szCs w:val="24"/>
        </w:rPr>
      </w:pPr>
    </w:p>
    <w:p w14:paraId="27B4C4B8" w14:textId="4325FF57" w:rsidR="00C52388" w:rsidRPr="00A102E3" w:rsidRDefault="001C2475" w:rsidP="00D02BB9">
      <w:pPr>
        <w:shd w:val="clear" w:color="auto" w:fill="FFFFFF"/>
        <w:spacing w:after="0" w:line="240" w:lineRule="auto"/>
        <w:rPr>
          <w:rFonts w:cstheme="minorHAnsi"/>
          <w:sz w:val="24"/>
          <w:szCs w:val="24"/>
        </w:rPr>
      </w:pPr>
      <w:r>
        <w:rPr>
          <w:rFonts w:cstheme="minorHAnsi"/>
          <w:sz w:val="24"/>
          <w:szCs w:val="24"/>
        </w:rPr>
        <w:t>The</w:t>
      </w:r>
      <w:r w:rsidR="0062310C" w:rsidRPr="00A102E3">
        <w:rPr>
          <w:rFonts w:cstheme="minorHAnsi"/>
          <w:sz w:val="24"/>
          <w:szCs w:val="24"/>
        </w:rPr>
        <w:t xml:space="preserve"> Draft Report notes that there is no clear explication of a policy logic either for each of the </w:t>
      </w:r>
      <w:r w:rsidR="005C535E">
        <w:rPr>
          <w:rFonts w:cstheme="minorHAnsi"/>
          <w:sz w:val="24"/>
          <w:szCs w:val="24"/>
        </w:rPr>
        <w:t>P</w:t>
      </w:r>
      <w:r w:rsidR="0062310C" w:rsidRPr="00A102E3">
        <w:rPr>
          <w:rFonts w:cstheme="minorHAnsi"/>
          <w:sz w:val="24"/>
          <w:szCs w:val="24"/>
        </w:rPr>
        <w:t xml:space="preserve">riority </w:t>
      </w:r>
      <w:r w:rsidR="005C535E">
        <w:rPr>
          <w:rFonts w:cstheme="minorHAnsi"/>
          <w:sz w:val="24"/>
          <w:szCs w:val="24"/>
        </w:rPr>
        <w:t>R</w:t>
      </w:r>
      <w:r w:rsidR="0062310C" w:rsidRPr="00A102E3">
        <w:rPr>
          <w:rFonts w:cstheme="minorHAnsi"/>
          <w:sz w:val="24"/>
          <w:szCs w:val="24"/>
        </w:rPr>
        <w:t xml:space="preserve">eforms or the relationship between the </w:t>
      </w:r>
      <w:r w:rsidR="009362EE">
        <w:rPr>
          <w:rFonts w:cstheme="minorHAnsi"/>
          <w:sz w:val="24"/>
          <w:szCs w:val="24"/>
        </w:rPr>
        <w:t>P</w:t>
      </w:r>
      <w:r w:rsidR="0062310C" w:rsidRPr="00A102E3">
        <w:rPr>
          <w:rFonts w:cstheme="minorHAnsi"/>
          <w:sz w:val="24"/>
          <w:szCs w:val="24"/>
        </w:rPr>
        <w:t xml:space="preserve">riority </w:t>
      </w:r>
      <w:r w:rsidR="009362EE">
        <w:rPr>
          <w:rFonts w:cstheme="minorHAnsi"/>
          <w:sz w:val="24"/>
          <w:szCs w:val="24"/>
        </w:rPr>
        <w:t>R</w:t>
      </w:r>
      <w:r w:rsidR="0062310C" w:rsidRPr="00A102E3">
        <w:rPr>
          <w:rFonts w:cstheme="minorHAnsi"/>
          <w:sz w:val="24"/>
          <w:szCs w:val="24"/>
        </w:rPr>
        <w:t xml:space="preserve">eforms as the foundations for the more effective delivery of socioeconomic outcomes. In other words, when and if metrics are developed for assessing </w:t>
      </w:r>
      <w:r w:rsidR="009362EE">
        <w:rPr>
          <w:rFonts w:cstheme="minorHAnsi"/>
          <w:sz w:val="24"/>
          <w:szCs w:val="24"/>
        </w:rPr>
        <w:t>P</w:t>
      </w:r>
      <w:r w:rsidR="0062310C" w:rsidRPr="00A102E3">
        <w:rPr>
          <w:rFonts w:cstheme="minorHAnsi"/>
          <w:sz w:val="24"/>
          <w:szCs w:val="24"/>
        </w:rPr>
        <w:t xml:space="preserve">riority </w:t>
      </w:r>
      <w:r w:rsidR="009362EE">
        <w:rPr>
          <w:rFonts w:cstheme="minorHAnsi"/>
          <w:sz w:val="24"/>
          <w:szCs w:val="24"/>
        </w:rPr>
        <w:t>R</w:t>
      </w:r>
      <w:r w:rsidR="0062310C" w:rsidRPr="00A102E3">
        <w:rPr>
          <w:rFonts w:cstheme="minorHAnsi"/>
          <w:sz w:val="24"/>
          <w:szCs w:val="24"/>
        </w:rPr>
        <w:t xml:space="preserve">eform outcomes in each area, it is unclear how they might individually or </w:t>
      </w:r>
      <w:r w:rsidR="00F5691F" w:rsidRPr="00A102E3">
        <w:rPr>
          <w:rFonts w:cstheme="minorHAnsi"/>
          <w:sz w:val="24"/>
          <w:szCs w:val="24"/>
        </w:rPr>
        <w:t>collectively</w:t>
      </w:r>
      <w:r w:rsidR="0062310C" w:rsidRPr="00A102E3">
        <w:rPr>
          <w:rFonts w:cstheme="minorHAnsi"/>
          <w:sz w:val="24"/>
          <w:szCs w:val="24"/>
        </w:rPr>
        <w:t xml:space="preserve"> be causally linked (or even correlated) with improved socioeconomic outcomes.</w:t>
      </w:r>
      <w:r w:rsidR="00E931D1" w:rsidRPr="00A102E3">
        <w:rPr>
          <w:rFonts w:cstheme="minorHAnsi"/>
          <w:sz w:val="24"/>
          <w:szCs w:val="24"/>
        </w:rPr>
        <w:t xml:space="preserve"> This goes back to my earlier comment that the </w:t>
      </w:r>
      <w:r w:rsidR="009362EE">
        <w:rPr>
          <w:rFonts w:cstheme="minorHAnsi"/>
          <w:sz w:val="24"/>
          <w:szCs w:val="24"/>
        </w:rPr>
        <w:t>P</w:t>
      </w:r>
      <w:r w:rsidR="00E931D1" w:rsidRPr="00A102E3">
        <w:rPr>
          <w:rFonts w:cstheme="minorHAnsi"/>
          <w:sz w:val="24"/>
          <w:szCs w:val="24"/>
        </w:rPr>
        <w:t xml:space="preserve">riority </w:t>
      </w:r>
      <w:r w:rsidR="009362EE">
        <w:rPr>
          <w:rFonts w:cstheme="minorHAnsi"/>
          <w:sz w:val="24"/>
          <w:szCs w:val="24"/>
        </w:rPr>
        <w:t>R</w:t>
      </w:r>
      <w:r w:rsidR="00E931D1" w:rsidRPr="00A102E3">
        <w:rPr>
          <w:rFonts w:cstheme="minorHAnsi"/>
          <w:sz w:val="24"/>
          <w:szCs w:val="24"/>
        </w:rPr>
        <w:t xml:space="preserve">eforms should not have been labelled outcomes to be somehow measured during the life of the National Agreement or at its conclusion; they are </w:t>
      </w:r>
      <w:r w:rsidR="00E931D1" w:rsidRPr="001C2475">
        <w:rPr>
          <w:rFonts w:cstheme="minorHAnsi"/>
          <w:sz w:val="24"/>
          <w:szCs w:val="24"/>
          <w:u w:val="single"/>
        </w:rPr>
        <w:t>principles</w:t>
      </w:r>
      <w:r w:rsidR="00E931D1" w:rsidRPr="00A102E3">
        <w:rPr>
          <w:rFonts w:cstheme="minorHAnsi"/>
          <w:sz w:val="24"/>
          <w:szCs w:val="24"/>
        </w:rPr>
        <w:t xml:space="preserve"> agreed by all signatories to the National Agreement. It is unclear why none of the parties to the National Agreement or the Productivity Commission have raised this as an issue.</w:t>
      </w:r>
      <w:r w:rsidR="00DF3A2B" w:rsidRPr="00A102E3">
        <w:rPr>
          <w:rFonts w:cstheme="minorHAnsi"/>
          <w:sz w:val="24"/>
          <w:szCs w:val="24"/>
        </w:rPr>
        <w:t xml:space="preserve"> </w:t>
      </w:r>
    </w:p>
    <w:p w14:paraId="52613AB5" w14:textId="77777777" w:rsidR="00C52388" w:rsidRPr="00A102E3" w:rsidRDefault="00C52388" w:rsidP="00D02BB9">
      <w:pPr>
        <w:shd w:val="clear" w:color="auto" w:fill="FFFFFF"/>
        <w:spacing w:after="0" w:line="240" w:lineRule="auto"/>
        <w:rPr>
          <w:rFonts w:cstheme="minorHAnsi"/>
          <w:sz w:val="24"/>
          <w:szCs w:val="24"/>
        </w:rPr>
      </w:pPr>
    </w:p>
    <w:p w14:paraId="2EDFE5D2" w14:textId="04882154" w:rsidR="0062310C" w:rsidRPr="00A102E3" w:rsidRDefault="00AF4C48" w:rsidP="00D02BB9">
      <w:pPr>
        <w:shd w:val="clear" w:color="auto" w:fill="FFFFFF"/>
        <w:spacing w:after="0" w:line="240" w:lineRule="auto"/>
        <w:rPr>
          <w:rFonts w:cstheme="minorHAnsi"/>
          <w:sz w:val="24"/>
          <w:szCs w:val="24"/>
        </w:rPr>
      </w:pPr>
      <w:r w:rsidRPr="00A102E3">
        <w:rPr>
          <w:rFonts w:cstheme="minorHAnsi"/>
          <w:sz w:val="24"/>
          <w:szCs w:val="24"/>
        </w:rPr>
        <w:t>The</w:t>
      </w:r>
      <w:r w:rsidR="00DF3A2B" w:rsidRPr="00A102E3">
        <w:rPr>
          <w:rFonts w:cstheme="minorHAnsi"/>
          <w:sz w:val="24"/>
          <w:szCs w:val="24"/>
        </w:rPr>
        <w:t xml:space="preserve"> </w:t>
      </w:r>
      <w:r w:rsidR="001C2475">
        <w:rPr>
          <w:rFonts w:cstheme="minorHAnsi"/>
          <w:sz w:val="24"/>
          <w:szCs w:val="24"/>
        </w:rPr>
        <w:t>17</w:t>
      </w:r>
      <w:r w:rsidR="006A7623" w:rsidRPr="00A102E3">
        <w:rPr>
          <w:rFonts w:cstheme="minorHAnsi"/>
          <w:sz w:val="24"/>
          <w:szCs w:val="24"/>
        </w:rPr>
        <w:t xml:space="preserve"> outcome areas and current 19 targets</w:t>
      </w:r>
      <w:r w:rsidRPr="00A102E3">
        <w:rPr>
          <w:rFonts w:cstheme="minorHAnsi"/>
          <w:sz w:val="24"/>
          <w:szCs w:val="24"/>
        </w:rPr>
        <w:t xml:space="preserve"> on the other hand are more amenable to statistical measurement of performance</w:t>
      </w:r>
      <w:r w:rsidR="00914D2F" w:rsidRPr="00A102E3">
        <w:rPr>
          <w:rFonts w:cstheme="minorHAnsi"/>
          <w:sz w:val="24"/>
          <w:szCs w:val="24"/>
        </w:rPr>
        <w:t>,</w:t>
      </w:r>
      <w:r w:rsidRPr="00A102E3">
        <w:rPr>
          <w:rFonts w:cstheme="minorHAnsi"/>
          <w:sz w:val="24"/>
          <w:szCs w:val="24"/>
        </w:rPr>
        <w:t xml:space="preserve"> although a number will be reliant on data from the five-yearly census in which case 2031 targets will only have one more measurement point (2026) before </w:t>
      </w:r>
      <w:r w:rsidR="001C2475">
        <w:rPr>
          <w:rFonts w:cstheme="minorHAnsi"/>
          <w:sz w:val="24"/>
          <w:szCs w:val="24"/>
        </w:rPr>
        <w:t>completion</w:t>
      </w:r>
      <w:r w:rsidR="006A7623" w:rsidRPr="00A102E3">
        <w:rPr>
          <w:rFonts w:cstheme="minorHAnsi"/>
          <w:sz w:val="24"/>
          <w:szCs w:val="24"/>
        </w:rPr>
        <w:t xml:space="preserve">. </w:t>
      </w:r>
      <w:r w:rsidRPr="00A102E3">
        <w:rPr>
          <w:rFonts w:cstheme="minorHAnsi"/>
          <w:sz w:val="24"/>
          <w:szCs w:val="24"/>
        </w:rPr>
        <w:t>What is more concerning is that the 19 targets</w:t>
      </w:r>
      <w:r w:rsidR="006A7623" w:rsidRPr="00A102E3">
        <w:rPr>
          <w:rFonts w:cstheme="minorHAnsi"/>
          <w:sz w:val="24"/>
          <w:szCs w:val="24"/>
        </w:rPr>
        <w:t xml:space="preserve"> </w:t>
      </w:r>
      <w:r w:rsidR="001C2475">
        <w:rPr>
          <w:rFonts w:cstheme="minorHAnsi"/>
          <w:sz w:val="24"/>
          <w:szCs w:val="24"/>
        </w:rPr>
        <w:t xml:space="preserve">each </w:t>
      </w:r>
      <w:r w:rsidR="006A7623" w:rsidRPr="00A102E3">
        <w:rPr>
          <w:rFonts w:cstheme="minorHAnsi"/>
          <w:sz w:val="24"/>
          <w:szCs w:val="24"/>
        </w:rPr>
        <w:t>lack</w:t>
      </w:r>
      <w:r w:rsidR="001C2475">
        <w:rPr>
          <w:rFonts w:cstheme="minorHAnsi"/>
          <w:sz w:val="24"/>
          <w:szCs w:val="24"/>
        </w:rPr>
        <w:t>s</w:t>
      </w:r>
      <w:r w:rsidR="006A7623" w:rsidRPr="00A102E3">
        <w:rPr>
          <w:rFonts w:cstheme="minorHAnsi"/>
          <w:sz w:val="24"/>
          <w:szCs w:val="24"/>
        </w:rPr>
        <w:t xml:space="preserve"> an explicit policy logic</w:t>
      </w:r>
      <w:r w:rsidRPr="00A102E3">
        <w:rPr>
          <w:rFonts w:cstheme="minorHAnsi"/>
          <w:sz w:val="24"/>
          <w:szCs w:val="24"/>
        </w:rPr>
        <w:t>. It is unclear</w:t>
      </w:r>
      <w:r w:rsidR="006A7623" w:rsidRPr="00A102E3">
        <w:rPr>
          <w:rFonts w:cstheme="minorHAnsi"/>
          <w:sz w:val="24"/>
          <w:szCs w:val="24"/>
        </w:rPr>
        <w:t xml:space="preserve"> why </w:t>
      </w:r>
      <w:r w:rsidRPr="00A102E3">
        <w:rPr>
          <w:rFonts w:cstheme="minorHAnsi"/>
          <w:sz w:val="24"/>
          <w:szCs w:val="24"/>
        </w:rPr>
        <w:t>the targets differ</w:t>
      </w:r>
      <w:r w:rsidR="006A7623" w:rsidRPr="00A102E3">
        <w:rPr>
          <w:rFonts w:cstheme="minorHAnsi"/>
          <w:sz w:val="24"/>
          <w:szCs w:val="24"/>
        </w:rPr>
        <w:t xml:space="preserve"> and add to the earlier seven targets of COAG’s NIRA</w:t>
      </w:r>
      <w:r w:rsidR="009D11AA" w:rsidRPr="00A102E3">
        <w:rPr>
          <w:rFonts w:cstheme="minorHAnsi"/>
          <w:sz w:val="24"/>
          <w:szCs w:val="24"/>
        </w:rPr>
        <w:t xml:space="preserve"> (school attendance and </w:t>
      </w:r>
      <w:r w:rsidR="00F5691F" w:rsidRPr="00A102E3">
        <w:rPr>
          <w:rFonts w:cstheme="minorHAnsi"/>
          <w:sz w:val="24"/>
          <w:szCs w:val="24"/>
        </w:rPr>
        <w:t xml:space="preserve">early </w:t>
      </w:r>
      <w:r w:rsidR="009D11AA" w:rsidRPr="00A102E3">
        <w:rPr>
          <w:rFonts w:cstheme="minorHAnsi"/>
          <w:sz w:val="24"/>
          <w:szCs w:val="24"/>
        </w:rPr>
        <w:t>educational outcomes have disappeared)</w:t>
      </w:r>
      <w:r w:rsidR="006A7623" w:rsidRPr="00A102E3">
        <w:rPr>
          <w:rFonts w:cstheme="minorHAnsi"/>
          <w:sz w:val="24"/>
          <w:szCs w:val="24"/>
        </w:rPr>
        <w:t xml:space="preserve">. Indeed, at the national level </w:t>
      </w:r>
      <w:r w:rsidR="001C2475">
        <w:rPr>
          <w:rFonts w:cstheme="minorHAnsi"/>
          <w:sz w:val="24"/>
          <w:szCs w:val="24"/>
        </w:rPr>
        <w:t>some</w:t>
      </w:r>
      <w:r w:rsidR="006A7623" w:rsidRPr="00A102E3">
        <w:rPr>
          <w:rFonts w:cstheme="minorHAnsi"/>
          <w:sz w:val="24"/>
          <w:szCs w:val="24"/>
        </w:rPr>
        <w:t xml:space="preserve"> the targets </w:t>
      </w:r>
      <w:r w:rsidR="001C2475">
        <w:rPr>
          <w:rFonts w:cstheme="minorHAnsi"/>
          <w:sz w:val="24"/>
          <w:szCs w:val="24"/>
        </w:rPr>
        <w:t>are</w:t>
      </w:r>
      <w:r w:rsidR="006A7623" w:rsidRPr="00A102E3">
        <w:rPr>
          <w:rFonts w:cstheme="minorHAnsi"/>
          <w:sz w:val="24"/>
          <w:szCs w:val="24"/>
        </w:rPr>
        <w:t xml:space="preserve"> </w:t>
      </w:r>
      <w:r w:rsidRPr="00A102E3">
        <w:rPr>
          <w:rFonts w:cstheme="minorHAnsi"/>
          <w:sz w:val="24"/>
          <w:szCs w:val="24"/>
        </w:rPr>
        <w:t>in conflict</w:t>
      </w:r>
      <w:r w:rsidR="006A7623" w:rsidRPr="00A102E3">
        <w:rPr>
          <w:rFonts w:cstheme="minorHAnsi"/>
          <w:sz w:val="24"/>
          <w:szCs w:val="24"/>
        </w:rPr>
        <w:t>. For example, the meeting of targets 15A and 15B, more land (</w:t>
      </w:r>
      <w:r w:rsidR="00F5691F" w:rsidRPr="00A102E3">
        <w:rPr>
          <w:rFonts w:cstheme="minorHAnsi"/>
          <w:sz w:val="24"/>
          <w:szCs w:val="24"/>
        </w:rPr>
        <w:t>o</w:t>
      </w:r>
      <w:r w:rsidR="006A7623" w:rsidRPr="00A102E3">
        <w:rPr>
          <w:rFonts w:cstheme="minorHAnsi"/>
          <w:sz w:val="24"/>
          <w:szCs w:val="24"/>
        </w:rPr>
        <w:t xml:space="preserve">n track) and sea (not on track) rights, that will likely result in </w:t>
      </w:r>
      <w:r w:rsidR="00F5691F" w:rsidRPr="00A102E3">
        <w:rPr>
          <w:rFonts w:cstheme="minorHAnsi"/>
          <w:sz w:val="24"/>
          <w:szCs w:val="24"/>
        </w:rPr>
        <w:t>in</w:t>
      </w:r>
      <w:r w:rsidR="006A7623" w:rsidRPr="00A102E3">
        <w:rPr>
          <w:rFonts w:cstheme="minorHAnsi"/>
          <w:sz w:val="24"/>
          <w:szCs w:val="24"/>
        </w:rPr>
        <w:t>verse impacts on targets 7 (youth engagement in employment, education</w:t>
      </w:r>
      <w:r w:rsidR="00D40C33" w:rsidRPr="00A102E3">
        <w:rPr>
          <w:rFonts w:cstheme="minorHAnsi"/>
          <w:sz w:val="24"/>
          <w:szCs w:val="24"/>
        </w:rPr>
        <w:t>,</w:t>
      </w:r>
      <w:r w:rsidR="006A7623" w:rsidRPr="00A102E3">
        <w:rPr>
          <w:rFonts w:cstheme="minorHAnsi"/>
          <w:sz w:val="24"/>
          <w:szCs w:val="24"/>
        </w:rPr>
        <w:t xml:space="preserve"> and training </w:t>
      </w:r>
      <w:r w:rsidR="009D11AA" w:rsidRPr="00A102E3">
        <w:rPr>
          <w:rFonts w:cstheme="minorHAnsi"/>
          <w:sz w:val="24"/>
          <w:szCs w:val="24"/>
        </w:rPr>
        <w:t xml:space="preserve">to </w:t>
      </w:r>
      <w:r w:rsidR="009D11AA" w:rsidRPr="00A102E3">
        <w:rPr>
          <w:rFonts w:cstheme="minorHAnsi"/>
          <w:sz w:val="24"/>
          <w:szCs w:val="24"/>
        </w:rPr>
        <w:lastRenderedPageBreak/>
        <w:t>increase to 67</w:t>
      </w:r>
      <w:r w:rsidR="00F5691F" w:rsidRPr="00A102E3">
        <w:rPr>
          <w:rFonts w:cstheme="minorHAnsi"/>
          <w:sz w:val="24"/>
          <w:szCs w:val="24"/>
        </w:rPr>
        <w:t xml:space="preserve"> per cent</w:t>
      </w:r>
      <w:r w:rsidR="009D11AA" w:rsidRPr="00A102E3">
        <w:rPr>
          <w:rFonts w:cstheme="minorHAnsi"/>
          <w:sz w:val="24"/>
          <w:szCs w:val="24"/>
        </w:rPr>
        <w:t xml:space="preserve"> by 2031 </w:t>
      </w:r>
      <w:r w:rsidR="006A7623" w:rsidRPr="00A102E3">
        <w:rPr>
          <w:rFonts w:cstheme="minorHAnsi"/>
          <w:sz w:val="24"/>
          <w:szCs w:val="24"/>
        </w:rPr>
        <w:t xml:space="preserve">that is not on track) and 8 (increasing the proportion of </w:t>
      </w:r>
      <w:r w:rsidR="00D40C33" w:rsidRPr="00A102E3">
        <w:rPr>
          <w:rFonts w:cstheme="minorHAnsi"/>
          <w:sz w:val="24"/>
          <w:szCs w:val="24"/>
        </w:rPr>
        <w:t xml:space="preserve">adult </w:t>
      </w:r>
      <w:r w:rsidR="006A7623" w:rsidRPr="00A102E3">
        <w:rPr>
          <w:rFonts w:cstheme="minorHAnsi"/>
          <w:sz w:val="24"/>
          <w:szCs w:val="24"/>
        </w:rPr>
        <w:t>employed to 62</w:t>
      </w:r>
      <w:r w:rsidR="00F5691F" w:rsidRPr="00A102E3">
        <w:rPr>
          <w:rFonts w:cstheme="minorHAnsi"/>
          <w:sz w:val="24"/>
          <w:szCs w:val="24"/>
        </w:rPr>
        <w:t xml:space="preserve"> per cent</w:t>
      </w:r>
      <w:r w:rsidR="006A7623" w:rsidRPr="00A102E3">
        <w:rPr>
          <w:rFonts w:cstheme="minorHAnsi"/>
          <w:sz w:val="24"/>
          <w:szCs w:val="24"/>
        </w:rPr>
        <w:t xml:space="preserve"> </w:t>
      </w:r>
      <w:r w:rsidR="009D11AA" w:rsidRPr="00A102E3">
        <w:rPr>
          <w:rFonts w:cstheme="minorHAnsi"/>
          <w:sz w:val="24"/>
          <w:szCs w:val="24"/>
        </w:rPr>
        <w:t xml:space="preserve">by 2031 </w:t>
      </w:r>
      <w:r w:rsidR="006A7623" w:rsidRPr="00A102E3">
        <w:rPr>
          <w:rFonts w:cstheme="minorHAnsi"/>
          <w:sz w:val="24"/>
          <w:szCs w:val="24"/>
        </w:rPr>
        <w:t>that is currently on track).</w:t>
      </w:r>
      <w:r w:rsidR="00213C9C" w:rsidRPr="00A102E3">
        <w:rPr>
          <w:rFonts w:cstheme="minorHAnsi"/>
          <w:sz w:val="24"/>
          <w:szCs w:val="24"/>
        </w:rPr>
        <w:t xml:space="preserve"> </w:t>
      </w:r>
      <w:r w:rsidR="00D40C33" w:rsidRPr="00A102E3">
        <w:rPr>
          <w:rFonts w:cstheme="minorHAnsi"/>
          <w:sz w:val="24"/>
          <w:szCs w:val="24"/>
        </w:rPr>
        <w:t xml:space="preserve">All </w:t>
      </w:r>
      <w:r w:rsidR="009D11AA" w:rsidRPr="00A102E3">
        <w:rPr>
          <w:rFonts w:cstheme="minorHAnsi"/>
          <w:sz w:val="24"/>
          <w:szCs w:val="24"/>
        </w:rPr>
        <w:t xml:space="preserve">the targets that are </w:t>
      </w:r>
      <w:r w:rsidRPr="00A102E3">
        <w:rPr>
          <w:rFonts w:cstheme="minorHAnsi"/>
          <w:sz w:val="24"/>
          <w:szCs w:val="24"/>
        </w:rPr>
        <w:t xml:space="preserve">most </w:t>
      </w:r>
      <w:r w:rsidR="009D11AA" w:rsidRPr="00A102E3">
        <w:rPr>
          <w:rFonts w:cstheme="minorHAnsi"/>
          <w:sz w:val="24"/>
          <w:szCs w:val="24"/>
        </w:rPr>
        <w:t>amenable to statistical measurement</w:t>
      </w:r>
      <w:r w:rsidR="00D40C33" w:rsidRPr="00A102E3">
        <w:rPr>
          <w:rFonts w:cstheme="minorHAnsi"/>
          <w:sz w:val="24"/>
          <w:szCs w:val="24"/>
        </w:rPr>
        <w:t>,</w:t>
      </w:r>
      <w:r w:rsidR="009D11AA" w:rsidRPr="00A102E3">
        <w:rPr>
          <w:rFonts w:cstheme="minorHAnsi"/>
          <w:sz w:val="24"/>
          <w:szCs w:val="24"/>
        </w:rPr>
        <w:t xml:space="preserve"> </w:t>
      </w:r>
      <w:r w:rsidRPr="00A102E3">
        <w:rPr>
          <w:rFonts w:cstheme="minorHAnsi"/>
          <w:sz w:val="24"/>
          <w:szCs w:val="24"/>
        </w:rPr>
        <w:t xml:space="preserve">especially </w:t>
      </w:r>
      <w:r w:rsidR="009D11AA" w:rsidRPr="00A102E3">
        <w:rPr>
          <w:rFonts w:cstheme="minorHAnsi"/>
          <w:sz w:val="24"/>
          <w:szCs w:val="24"/>
        </w:rPr>
        <w:t xml:space="preserve">targets 1 to </w:t>
      </w:r>
      <w:r w:rsidR="00276FE6" w:rsidRPr="00A102E3">
        <w:rPr>
          <w:rFonts w:cstheme="minorHAnsi"/>
          <w:sz w:val="24"/>
          <w:szCs w:val="24"/>
        </w:rPr>
        <w:t>9, look</w:t>
      </w:r>
      <w:r w:rsidR="009D11AA" w:rsidRPr="00A102E3">
        <w:rPr>
          <w:rFonts w:cstheme="minorHAnsi"/>
          <w:sz w:val="24"/>
          <w:szCs w:val="24"/>
        </w:rPr>
        <w:t xml:space="preserve"> arbitrary </w:t>
      </w:r>
      <w:r w:rsidRPr="00A102E3">
        <w:rPr>
          <w:rFonts w:cstheme="minorHAnsi"/>
          <w:sz w:val="24"/>
          <w:szCs w:val="24"/>
        </w:rPr>
        <w:t>and reflect I suspect what was regarded as</w:t>
      </w:r>
      <w:r w:rsidR="00D40C33" w:rsidRPr="00A102E3">
        <w:rPr>
          <w:rFonts w:cstheme="minorHAnsi"/>
          <w:sz w:val="24"/>
          <w:szCs w:val="24"/>
        </w:rPr>
        <w:t xml:space="preserve"> </w:t>
      </w:r>
      <w:r w:rsidRPr="00A102E3">
        <w:rPr>
          <w:rFonts w:cstheme="minorHAnsi"/>
          <w:sz w:val="24"/>
          <w:szCs w:val="24"/>
        </w:rPr>
        <w:t>realistic</w:t>
      </w:r>
      <w:r w:rsidR="00D40C33" w:rsidRPr="00A102E3">
        <w:rPr>
          <w:rFonts w:cstheme="minorHAnsi"/>
          <w:sz w:val="24"/>
          <w:szCs w:val="24"/>
        </w:rPr>
        <w:t xml:space="preserve"> at the national level </w:t>
      </w:r>
      <w:r w:rsidRPr="00A102E3">
        <w:rPr>
          <w:rFonts w:cstheme="minorHAnsi"/>
          <w:sz w:val="24"/>
          <w:szCs w:val="24"/>
        </w:rPr>
        <w:t>to avoid repeating NIRA’s much publicised failure.</w:t>
      </w:r>
    </w:p>
    <w:p w14:paraId="652AC755" w14:textId="77777777" w:rsidR="00213C9C" w:rsidRPr="00A102E3" w:rsidRDefault="00213C9C" w:rsidP="00D02BB9">
      <w:pPr>
        <w:shd w:val="clear" w:color="auto" w:fill="FFFFFF"/>
        <w:spacing w:after="0" w:line="240" w:lineRule="auto"/>
        <w:rPr>
          <w:rFonts w:cstheme="minorHAnsi"/>
          <w:sz w:val="24"/>
          <w:szCs w:val="24"/>
        </w:rPr>
      </w:pPr>
    </w:p>
    <w:p w14:paraId="3D97D1BD" w14:textId="78461636" w:rsidR="00213C9C" w:rsidRPr="00A102E3" w:rsidRDefault="00213C9C" w:rsidP="00D02BB9">
      <w:pPr>
        <w:shd w:val="clear" w:color="auto" w:fill="FFFFFF"/>
        <w:spacing w:after="0" w:line="240" w:lineRule="auto"/>
        <w:rPr>
          <w:rFonts w:cstheme="minorHAnsi"/>
          <w:sz w:val="24"/>
          <w:szCs w:val="24"/>
        </w:rPr>
      </w:pPr>
      <w:r w:rsidRPr="00A102E3">
        <w:rPr>
          <w:rFonts w:cstheme="minorHAnsi"/>
          <w:sz w:val="24"/>
          <w:szCs w:val="24"/>
        </w:rPr>
        <w:t xml:space="preserve">Such trade-offs reflect in </w:t>
      </w:r>
      <w:r w:rsidR="00AF4C48" w:rsidRPr="00A102E3">
        <w:rPr>
          <w:rFonts w:cstheme="minorHAnsi"/>
          <w:sz w:val="24"/>
          <w:szCs w:val="24"/>
        </w:rPr>
        <w:t xml:space="preserve">some </w:t>
      </w:r>
      <w:r w:rsidRPr="00A102E3">
        <w:rPr>
          <w:rFonts w:cstheme="minorHAnsi"/>
          <w:sz w:val="24"/>
          <w:szCs w:val="24"/>
        </w:rPr>
        <w:t>measure my earlier concern</w:t>
      </w:r>
      <w:r w:rsidR="00AF4C48" w:rsidRPr="00A102E3">
        <w:rPr>
          <w:rFonts w:cstheme="minorHAnsi"/>
          <w:sz w:val="24"/>
          <w:szCs w:val="24"/>
        </w:rPr>
        <w:t>s</w:t>
      </w:r>
      <w:r w:rsidRPr="00A102E3">
        <w:rPr>
          <w:rFonts w:cstheme="minorHAnsi"/>
          <w:sz w:val="24"/>
          <w:szCs w:val="24"/>
        </w:rPr>
        <w:t xml:space="preserve"> </w:t>
      </w:r>
      <w:r w:rsidR="00AF4C48" w:rsidRPr="00A102E3">
        <w:rPr>
          <w:rFonts w:cstheme="minorHAnsi"/>
          <w:sz w:val="24"/>
          <w:szCs w:val="24"/>
        </w:rPr>
        <w:t>in</w:t>
      </w:r>
      <w:r w:rsidRPr="00A102E3">
        <w:rPr>
          <w:rFonts w:cstheme="minorHAnsi"/>
          <w:sz w:val="24"/>
          <w:szCs w:val="24"/>
        </w:rPr>
        <w:t xml:space="preserve"> submission to the Indigenous Evaluation Strategy that </w:t>
      </w:r>
      <w:r w:rsidR="00914D2F" w:rsidRPr="00A102E3">
        <w:rPr>
          <w:rFonts w:cstheme="minorHAnsi"/>
          <w:sz w:val="24"/>
          <w:szCs w:val="24"/>
        </w:rPr>
        <w:t xml:space="preserve">highlighted </w:t>
      </w:r>
      <w:r w:rsidRPr="00A102E3">
        <w:rPr>
          <w:rFonts w:cstheme="minorHAnsi"/>
          <w:sz w:val="24"/>
          <w:szCs w:val="24"/>
        </w:rPr>
        <w:t xml:space="preserve">trade-offs between the dominance of a paradigm of sameness in most statistical social indicators </w:t>
      </w:r>
      <w:r w:rsidR="00F5691F" w:rsidRPr="00A102E3">
        <w:rPr>
          <w:rFonts w:cstheme="minorHAnsi"/>
          <w:sz w:val="24"/>
          <w:szCs w:val="24"/>
        </w:rPr>
        <w:t xml:space="preserve">(and public and political discourse) </w:t>
      </w:r>
      <w:r w:rsidRPr="00A102E3">
        <w:rPr>
          <w:rFonts w:cstheme="minorHAnsi"/>
          <w:sz w:val="24"/>
          <w:szCs w:val="24"/>
        </w:rPr>
        <w:t xml:space="preserve">and the aspiration of many Indigenous people to live differently. This is especially the case for remote living people who might </w:t>
      </w:r>
      <w:r w:rsidR="00914D2F" w:rsidRPr="00A102E3">
        <w:rPr>
          <w:rFonts w:cstheme="minorHAnsi"/>
          <w:sz w:val="24"/>
          <w:szCs w:val="24"/>
        </w:rPr>
        <w:t xml:space="preserve">enjoy </w:t>
      </w:r>
      <w:r w:rsidRPr="00A102E3">
        <w:rPr>
          <w:rFonts w:cstheme="minorHAnsi"/>
          <w:sz w:val="24"/>
          <w:szCs w:val="24"/>
        </w:rPr>
        <w:t xml:space="preserve">native title rights and interests as special citizens </w:t>
      </w:r>
      <w:r w:rsidR="00914D2F" w:rsidRPr="00A102E3">
        <w:rPr>
          <w:rFonts w:cstheme="minorHAnsi"/>
          <w:sz w:val="24"/>
          <w:szCs w:val="24"/>
        </w:rPr>
        <w:t xml:space="preserve">(given that </w:t>
      </w:r>
      <w:r w:rsidRPr="00A102E3">
        <w:rPr>
          <w:rFonts w:cstheme="minorHAnsi"/>
          <w:sz w:val="24"/>
          <w:szCs w:val="24"/>
        </w:rPr>
        <w:t>such rights and interests are not available to other Australians</w:t>
      </w:r>
      <w:r w:rsidR="00914D2F" w:rsidRPr="00A102E3">
        <w:rPr>
          <w:rFonts w:cstheme="minorHAnsi"/>
          <w:sz w:val="24"/>
          <w:szCs w:val="24"/>
        </w:rPr>
        <w:t>) that do not in themselves reduced their extremely high socioeconomic disadvantage</w:t>
      </w:r>
      <w:r w:rsidRPr="00A102E3">
        <w:rPr>
          <w:rFonts w:cstheme="minorHAnsi"/>
          <w:sz w:val="24"/>
          <w:szCs w:val="24"/>
        </w:rPr>
        <w:t xml:space="preserve">. </w:t>
      </w:r>
    </w:p>
    <w:p w14:paraId="09DD186D" w14:textId="77777777" w:rsidR="00914D2F" w:rsidRPr="00A102E3" w:rsidRDefault="00914D2F" w:rsidP="00D02BB9">
      <w:pPr>
        <w:shd w:val="clear" w:color="auto" w:fill="FFFFFF"/>
        <w:spacing w:after="0" w:line="240" w:lineRule="auto"/>
        <w:rPr>
          <w:rFonts w:cstheme="minorHAnsi"/>
          <w:sz w:val="24"/>
          <w:szCs w:val="24"/>
        </w:rPr>
      </w:pPr>
    </w:p>
    <w:p w14:paraId="1302D5C8" w14:textId="607C051E" w:rsidR="00914D2F" w:rsidRPr="00A102E3" w:rsidRDefault="00914D2F" w:rsidP="00D02BB9">
      <w:pPr>
        <w:shd w:val="clear" w:color="auto" w:fill="FFFFFF"/>
        <w:spacing w:after="0" w:line="240" w:lineRule="auto"/>
        <w:rPr>
          <w:rFonts w:cstheme="minorHAnsi"/>
          <w:sz w:val="24"/>
          <w:szCs w:val="24"/>
        </w:rPr>
      </w:pPr>
      <w:r w:rsidRPr="00A102E3">
        <w:rPr>
          <w:rFonts w:cstheme="minorHAnsi"/>
          <w:sz w:val="24"/>
          <w:szCs w:val="24"/>
        </w:rPr>
        <w:t xml:space="preserve">It is surprising that the Productivity Commission has made no comments on this salient issue. </w:t>
      </w:r>
      <w:r w:rsidR="00316FB9" w:rsidRPr="00A102E3">
        <w:rPr>
          <w:rFonts w:cstheme="minorHAnsi"/>
          <w:sz w:val="24"/>
          <w:szCs w:val="24"/>
        </w:rPr>
        <w:t xml:space="preserve">It just generates the Dashboard as if targets are independent of each other. It reflects the unexplained decision to focus this review on </w:t>
      </w:r>
      <w:r w:rsidR="00316FB9" w:rsidRPr="00A102E3">
        <w:rPr>
          <w:rFonts w:cstheme="minorHAnsi"/>
          <w:kern w:val="0"/>
          <w:sz w:val="24"/>
          <w:szCs w:val="24"/>
        </w:rPr>
        <w:t xml:space="preserve">four the Priority Reform ‘outcome’ areas (term of reference 1) rather than </w:t>
      </w:r>
      <w:r w:rsidR="00185CF6" w:rsidRPr="00A102E3">
        <w:rPr>
          <w:rFonts w:cstheme="minorHAnsi"/>
          <w:kern w:val="0"/>
          <w:sz w:val="24"/>
          <w:szCs w:val="24"/>
          <w:u w:val="single"/>
        </w:rPr>
        <w:t>all</w:t>
      </w:r>
      <w:r w:rsidR="00316FB9" w:rsidRPr="00A102E3">
        <w:rPr>
          <w:rFonts w:cstheme="minorHAnsi"/>
          <w:kern w:val="0"/>
          <w:sz w:val="24"/>
          <w:szCs w:val="24"/>
        </w:rPr>
        <w:t xml:space="preserve"> the socioeconomic outcome areas (term of reference 2). </w:t>
      </w:r>
    </w:p>
    <w:p w14:paraId="5DBB01E3" w14:textId="77777777" w:rsidR="00213C9C" w:rsidRPr="00A102E3" w:rsidRDefault="00213C9C" w:rsidP="00D02BB9">
      <w:pPr>
        <w:shd w:val="clear" w:color="auto" w:fill="FFFFFF"/>
        <w:spacing w:after="0" w:line="240" w:lineRule="auto"/>
        <w:rPr>
          <w:rFonts w:cstheme="minorHAnsi"/>
          <w:sz w:val="24"/>
          <w:szCs w:val="24"/>
        </w:rPr>
      </w:pPr>
    </w:p>
    <w:p w14:paraId="5636C163" w14:textId="57E3C28E" w:rsidR="00213C9C" w:rsidRPr="00A102E3" w:rsidRDefault="00213C9C" w:rsidP="00D02BB9">
      <w:pPr>
        <w:shd w:val="clear" w:color="auto" w:fill="FFFFFF"/>
        <w:spacing w:after="0" w:line="240" w:lineRule="auto"/>
        <w:rPr>
          <w:rFonts w:cstheme="minorHAnsi"/>
          <w:sz w:val="24"/>
          <w:szCs w:val="24"/>
        </w:rPr>
      </w:pPr>
      <w:r w:rsidRPr="00A102E3">
        <w:rPr>
          <w:rFonts w:cstheme="minorHAnsi"/>
          <w:sz w:val="24"/>
          <w:szCs w:val="24"/>
        </w:rPr>
        <w:t xml:space="preserve">Much of the emphasis in the </w:t>
      </w:r>
      <w:r w:rsidR="009362EE">
        <w:rPr>
          <w:rFonts w:cstheme="minorHAnsi"/>
          <w:sz w:val="24"/>
          <w:szCs w:val="24"/>
        </w:rPr>
        <w:t>P</w:t>
      </w:r>
      <w:r w:rsidRPr="00A102E3">
        <w:rPr>
          <w:rFonts w:cstheme="minorHAnsi"/>
          <w:sz w:val="24"/>
          <w:szCs w:val="24"/>
        </w:rPr>
        <w:t xml:space="preserve">riority </w:t>
      </w:r>
      <w:r w:rsidR="009362EE">
        <w:rPr>
          <w:rFonts w:cstheme="minorHAnsi"/>
          <w:sz w:val="24"/>
          <w:szCs w:val="24"/>
        </w:rPr>
        <w:t>R</w:t>
      </w:r>
      <w:r w:rsidRPr="00A102E3">
        <w:rPr>
          <w:rFonts w:cstheme="minorHAnsi"/>
          <w:sz w:val="24"/>
          <w:szCs w:val="24"/>
        </w:rPr>
        <w:t xml:space="preserve">eforms </w:t>
      </w:r>
      <w:r w:rsidR="00914D2F" w:rsidRPr="00A102E3">
        <w:rPr>
          <w:rFonts w:cstheme="minorHAnsi"/>
          <w:sz w:val="24"/>
          <w:szCs w:val="24"/>
        </w:rPr>
        <w:t>understandably, given the Coalition of Peaks involvement in co-design, asserts</w:t>
      </w:r>
      <w:r w:rsidRPr="00A102E3">
        <w:rPr>
          <w:rFonts w:cstheme="minorHAnsi"/>
          <w:sz w:val="24"/>
          <w:szCs w:val="24"/>
        </w:rPr>
        <w:t xml:space="preserve"> the right of Indigenous Australians to engage with governments differently, to build a community-controlled sector for service delivery, to ensure government organisations are sensitive to cultural difference and so do not act in a discriminatory manner and for Indigenous aspirations at community and regional levels to be clearly </w:t>
      </w:r>
      <w:r w:rsidR="00914D2F" w:rsidRPr="00A102E3">
        <w:rPr>
          <w:rFonts w:cstheme="minorHAnsi"/>
          <w:sz w:val="24"/>
          <w:szCs w:val="24"/>
        </w:rPr>
        <w:t>documented with information generated at those levels reflecting local and regional needs and priorities</w:t>
      </w:r>
      <w:r w:rsidRPr="00A102E3">
        <w:rPr>
          <w:rFonts w:cstheme="minorHAnsi"/>
          <w:sz w:val="24"/>
          <w:szCs w:val="24"/>
        </w:rPr>
        <w:t xml:space="preserve">. And yet almost all the socioeconomic indicators outlined in the National Agreement emphasise sameness and national outcomes not community or regional outcomes. </w:t>
      </w:r>
      <w:r w:rsidR="00A27D6A" w:rsidRPr="00A102E3">
        <w:rPr>
          <w:rFonts w:cstheme="minorHAnsi"/>
          <w:sz w:val="24"/>
          <w:szCs w:val="24"/>
        </w:rPr>
        <w:t>There is an enduring tension here that is beginning to emerge and that can be demonstrated with the recent addition of Target 9</w:t>
      </w:r>
      <w:r w:rsidR="00914D2F" w:rsidRPr="00A102E3">
        <w:rPr>
          <w:rFonts w:cstheme="minorHAnsi"/>
          <w:sz w:val="24"/>
          <w:szCs w:val="24"/>
        </w:rPr>
        <w:t>B</w:t>
      </w:r>
      <w:r w:rsidR="00A27D6A" w:rsidRPr="00A102E3">
        <w:rPr>
          <w:rFonts w:cstheme="minorHAnsi"/>
          <w:sz w:val="24"/>
          <w:szCs w:val="24"/>
        </w:rPr>
        <w:t xml:space="preserve"> as permitted under the National Agreement.</w:t>
      </w:r>
    </w:p>
    <w:p w14:paraId="22F33505" w14:textId="77777777" w:rsidR="00A27D6A" w:rsidRPr="00A102E3" w:rsidRDefault="00A27D6A" w:rsidP="00D02BB9">
      <w:pPr>
        <w:shd w:val="clear" w:color="auto" w:fill="FFFFFF"/>
        <w:spacing w:after="0" w:line="240" w:lineRule="auto"/>
        <w:rPr>
          <w:rFonts w:cstheme="minorHAnsi"/>
          <w:sz w:val="24"/>
          <w:szCs w:val="24"/>
        </w:rPr>
      </w:pPr>
    </w:p>
    <w:p w14:paraId="6632D4F8" w14:textId="793C58C2" w:rsidR="00914D2F" w:rsidRPr="00A102E3" w:rsidRDefault="00914D2F" w:rsidP="00A27D6A">
      <w:pPr>
        <w:pStyle w:val="Heading2"/>
        <w:shd w:val="clear" w:color="auto" w:fill="FFFFFF"/>
        <w:spacing w:before="0" w:beforeAutospacing="0" w:after="0" w:afterAutospacing="0"/>
        <w:rPr>
          <w:rFonts w:asciiTheme="minorHAnsi" w:hAnsiTheme="minorHAnsi" w:cstheme="minorHAnsi"/>
          <w:b w:val="0"/>
          <w:bCs w:val="0"/>
          <w:sz w:val="24"/>
          <w:szCs w:val="24"/>
        </w:rPr>
      </w:pPr>
      <w:r w:rsidRPr="00A102E3">
        <w:rPr>
          <w:rFonts w:asciiTheme="minorHAnsi" w:hAnsiTheme="minorHAnsi" w:cstheme="minorHAnsi"/>
          <w:b w:val="0"/>
          <w:bCs w:val="0"/>
          <w:sz w:val="24"/>
          <w:szCs w:val="24"/>
        </w:rPr>
        <w:t>The original t</w:t>
      </w:r>
      <w:r w:rsidR="00A27D6A" w:rsidRPr="00A102E3">
        <w:rPr>
          <w:rFonts w:asciiTheme="minorHAnsi" w:hAnsiTheme="minorHAnsi" w:cstheme="minorHAnsi"/>
          <w:b w:val="0"/>
          <w:bCs w:val="0"/>
          <w:sz w:val="24"/>
          <w:szCs w:val="24"/>
        </w:rPr>
        <w:t xml:space="preserve">arget 9 (now 9A) aimed to increase the proportion of Aboriginal and Torres Strait Islander people living in appropriately sized (not overcrowded) housing to 88 per cent by 2031. This is a national target for the national Indigenous population. </w:t>
      </w:r>
    </w:p>
    <w:p w14:paraId="26AEFD12" w14:textId="77777777" w:rsidR="00914D2F" w:rsidRPr="00A102E3" w:rsidRDefault="00914D2F" w:rsidP="00A27D6A">
      <w:pPr>
        <w:pStyle w:val="Heading2"/>
        <w:shd w:val="clear" w:color="auto" w:fill="FFFFFF"/>
        <w:spacing w:before="0" w:beforeAutospacing="0" w:after="0" w:afterAutospacing="0"/>
        <w:rPr>
          <w:rFonts w:asciiTheme="minorHAnsi" w:hAnsiTheme="minorHAnsi" w:cstheme="minorHAnsi"/>
          <w:b w:val="0"/>
          <w:bCs w:val="0"/>
          <w:sz w:val="24"/>
          <w:szCs w:val="24"/>
        </w:rPr>
      </w:pPr>
    </w:p>
    <w:p w14:paraId="5A946848" w14:textId="1EA4787C" w:rsidR="00A27D6A" w:rsidRPr="00A102E3" w:rsidRDefault="00A27D6A" w:rsidP="00A27D6A">
      <w:pPr>
        <w:pStyle w:val="Heading2"/>
        <w:shd w:val="clear" w:color="auto" w:fill="FFFFFF"/>
        <w:spacing w:before="0" w:beforeAutospacing="0" w:after="0" w:afterAutospacing="0"/>
        <w:rPr>
          <w:rFonts w:asciiTheme="minorHAnsi" w:hAnsiTheme="minorHAnsi" w:cstheme="minorHAnsi"/>
          <w:b w:val="0"/>
          <w:bCs w:val="0"/>
          <w:sz w:val="24"/>
          <w:szCs w:val="24"/>
        </w:rPr>
      </w:pPr>
      <w:r w:rsidRPr="00A102E3">
        <w:rPr>
          <w:rFonts w:asciiTheme="minorHAnsi" w:hAnsiTheme="minorHAnsi" w:cstheme="minorHAnsi"/>
          <w:b w:val="0"/>
          <w:bCs w:val="0"/>
          <w:sz w:val="24"/>
          <w:szCs w:val="24"/>
        </w:rPr>
        <w:t>The new target 9B agreed by the Joint Council in 2022 aims to ensure that by 2031, all Aboriginal and Torres Strait Islander households:</w:t>
      </w:r>
    </w:p>
    <w:p w14:paraId="0A718014" w14:textId="77777777" w:rsidR="00A27D6A" w:rsidRPr="00A102E3" w:rsidRDefault="00A27D6A" w:rsidP="00A27D6A">
      <w:pPr>
        <w:pStyle w:val="mt-2"/>
        <w:numPr>
          <w:ilvl w:val="0"/>
          <w:numId w:val="18"/>
        </w:numPr>
        <w:shd w:val="clear" w:color="auto" w:fill="FFFFFF"/>
        <w:outlineLvl w:val="2"/>
        <w:rPr>
          <w:rFonts w:asciiTheme="minorHAnsi" w:hAnsiTheme="minorHAnsi" w:cstheme="minorHAnsi"/>
        </w:rPr>
      </w:pPr>
      <w:r w:rsidRPr="00A102E3">
        <w:rPr>
          <w:rFonts w:asciiTheme="minorHAnsi" w:hAnsiTheme="minorHAnsi" w:cstheme="minorHAnsi"/>
        </w:rPr>
        <w:t>within discrete Aboriginal or Torres Strait Islander communities receive essential services that meet or exceed the relevant jurisdictional standard</w:t>
      </w:r>
    </w:p>
    <w:p w14:paraId="77F474FC" w14:textId="030CBCB3" w:rsidR="00A27D6A" w:rsidRPr="00A102E3" w:rsidRDefault="00A27D6A" w:rsidP="00A27D6A">
      <w:pPr>
        <w:pStyle w:val="mt-2"/>
        <w:numPr>
          <w:ilvl w:val="0"/>
          <w:numId w:val="18"/>
        </w:numPr>
        <w:shd w:val="clear" w:color="auto" w:fill="FFFFFF"/>
        <w:outlineLvl w:val="2"/>
        <w:rPr>
          <w:rFonts w:asciiTheme="minorHAnsi" w:hAnsiTheme="minorHAnsi" w:cstheme="minorHAnsi"/>
        </w:rPr>
      </w:pPr>
      <w:r w:rsidRPr="00A102E3">
        <w:rPr>
          <w:rFonts w:asciiTheme="minorHAnsi" w:hAnsiTheme="minorHAnsi" w:cstheme="minorHAnsi"/>
        </w:rPr>
        <w:t xml:space="preserve">in or near to a town receive essential services that meet or exceed the same standard as applies generally within the town (including if the household might be classified for other purposes as a part of a discrete settlement such as a </w:t>
      </w:r>
      <w:r w:rsidR="009D76DA" w:rsidRPr="00A102E3">
        <w:rPr>
          <w:rFonts w:asciiTheme="minorHAnsi" w:hAnsiTheme="minorHAnsi" w:cstheme="minorHAnsi"/>
        </w:rPr>
        <w:t>‘</w:t>
      </w:r>
      <w:r w:rsidRPr="00A102E3">
        <w:rPr>
          <w:rFonts w:asciiTheme="minorHAnsi" w:hAnsiTheme="minorHAnsi" w:cstheme="minorHAnsi"/>
        </w:rPr>
        <w:t>town camp</w:t>
      </w:r>
      <w:r w:rsidR="009D76DA" w:rsidRPr="00A102E3">
        <w:rPr>
          <w:rFonts w:asciiTheme="minorHAnsi" w:hAnsiTheme="minorHAnsi" w:cstheme="minorHAnsi"/>
        </w:rPr>
        <w:t>’</w:t>
      </w:r>
      <w:r w:rsidRPr="00A102E3">
        <w:rPr>
          <w:rFonts w:asciiTheme="minorHAnsi" w:hAnsiTheme="minorHAnsi" w:cstheme="minorHAnsi"/>
        </w:rPr>
        <w:t xml:space="preserve"> or </w:t>
      </w:r>
      <w:r w:rsidR="009D76DA" w:rsidRPr="00A102E3">
        <w:rPr>
          <w:rFonts w:asciiTheme="minorHAnsi" w:hAnsiTheme="minorHAnsi" w:cstheme="minorHAnsi"/>
        </w:rPr>
        <w:t>‘</w:t>
      </w:r>
      <w:r w:rsidRPr="00A102E3">
        <w:rPr>
          <w:rFonts w:asciiTheme="minorHAnsi" w:hAnsiTheme="minorHAnsi" w:cstheme="minorHAnsi"/>
        </w:rPr>
        <w:t>town</w:t>
      </w:r>
      <w:r w:rsidR="009D76DA" w:rsidRPr="00A102E3">
        <w:rPr>
          <w:rFonts w:asciiTheme="minorHAnsi" w:hAnsiTheme="minorHAnsi" w:cstheme="minorHAnsi"/>
        </w:rPr>
        <w:t>-</w:t>
      </w:r>
      <w:r w:rsidRPr="00A102E3">
        <w:rPr>
          <w:rFonts w:asciiTheme="minorHAnsi" w:hAnsiTheme="minorHAnsi" w:cstheme="minorHAnsi"/>
        </w:rPr>
        <w:t>based reserve</w:t>
      </w:r>
      <w:r w:rsidR="009D76DA" w:rsidRPr="00A102E3">
        <w:rPr>
          <w:rFonts w:asciiTheme="minorHAnsi" w:hAnsiTheme="minorHAnsi" w:cstheme="minorHAnsi"/>
        </w:rPr>
        <w:t>’</w:t>
      </w:r>
      <w:r w:rsidRPr="00A102E3">
        <w:rPr>
          <w:rFonts w:asciiTheme="minorHAnsi" w:hAnsiTheme="minorHAnsi" w:cstheme="minorHAnsi"/>
        </w:rPr>
        <w:t>).</w:t>
      </w:r>
    </w:p>
    <w:p w14:paraId="430A17CA" w14:textId="3D5A0341" w:rsidR="00A27D6A" w:rsidRPr="00A102E3" w:rsidRDefault="00316FB9" w:rsidP="009D76DA">
      <w:pPr>
        <w:pStyle w:val="mt-2"/>
        <w:shd w:val="clear" w:color="auto" w:fill="FFFFFF"/>
        <w:spacing w:before="0" w:beforeAutospacing="0" w:after="0" w:afterAutospacing="0"/>
        <w:outlineLvl w:val="2"/>
        <w:rPr>
          <w:rFonts w:asciiTheme="minorHAnsi" w:hAnsiTheme="minorHAnsi" w:cstheme="minorHAnsi"/>
        </w:rPr>
      </w:pPr>
      <w:r w:rsidRPr="00A102E3">
        <w:rPr>
          <w:rFonts w:asciiTheme="minorHAnsi" w:hAnsiTheme="minorHAnsi" w:cstheme="minorHAnsi"/>
        </w:rPr>
        <w:lastRenderedPageBreak/>
        <w:t xml:space="preserve">While </w:t>
      </w:r>
      <w:r w:rsidR="00A27D6A" w:rsidRPr="00A102E3">
        <w:rPr>
          <w:rFonts w:asciiTheme="minorHAnsi" w:hAnsiTheme="minorHAnsi" w:cstheme="minorHAnsi"/>
        </w:rPr>
        <w:t xml:space="preserve">all other </w:t>
      </w:r>
      <w:r w:rsidRPr="00A102E3">
        <w:rPr>
          <w:rFonts w:asciiTheme="minorHAnsi" w:hAnsiTheme="minorHAnsi" w:cstheme="minorHAnsi"/>
        </w:rPr>
        <w:t xml:space="preserve">18 </w:t>
      </w:r>
      <w:r w:rsidR="00A27D6A" w:rsidRPr="00A102E3">
        <w:rPr>
          <w:rFonts w:asciiTheme="minorHAnsi" w:hAnsiTheme="minorHAnsi" w:cstheme="minorHAnsi"/>
        </w:rPr>
        <w:t>targets are articulated at the national level</w:t>
      </w:r>
      <w:r w:rsidRPr="00A102E3">
        <w:rPr>
          <w:rFonts w:asciiTheme="minorHAnsi" w:hAnsiTheme="minorHAnsi" w:cstheme="minorHAnsi"/>
        </w:rPr>
        <w:t xml:space="preserve">, </w:t>
      </w:r>
      <w:r w:rsidR="00A27D6A" w:rsidRPr="00A102E3">
        <w:rPr>
          <w:rFonts w:asciiTheme="minorHAnsi" w:hAnsiTheme="minorHAnsi" w:cstheme="minorHAnsi"/>
        </w:rPr>
        <w:t xml:space="preserve">this </w:t>
      </w:r>
      <w:r w:rsidRPr="00A102E3">
        <w:rPr>
          <w:rFonts w:asciiTheme="minorHAnsi" w:hAnsiTheme="minorHAnsi" w:cstheme="minorHAnsi"/>
        </w:rPr>
        <w:t xml:space="preserve">one </w:t>
      </w:r>
      <w:r w:rsidR="00F5691F" w:rsidRPr="00A102E3">
        <w:rPr>
          <w:rFonts w:asciiTheme="minorHAnsi" w:hAnsiTheme="minorHAnsi" w:cstheme="minorHAnsi"/>
        </w:rPr>
        <w:t xml:space="preserve">recent </w:t>
      </w:r>
      <w:r w:rsidR="00A27D6A" w:rsidRPr="00A102E3">
        <w:rPr>
          <w:rFonts w:asciiTheme="minorHAnsi" w:hAnsiTheme="minorHAnsi" w:cstheme="minorHAnsi"/>
        </w:rPr>
        <w:t xml:space="preserve">target </w:t>
      </w:r>
      <w:r w:rsidRPr="00A102E3">
        <w:rPr>
          <w:rFonts w:asciiTheme="minorHAnsi" w:hAnsiTheme="minorHAnsi" w:cstheme="minorHAnsi"/>
        </w:rPr>
        <w:t>very differently focuses on</w:t>
      </w:r>
      <w:r w:rsidR="00A27D6A" w:rsidRPr="00A102E3">
        <w:rPr>
          <w:rFonts w:asciiTheme="minorHAnsi" w:hAnsiTheme="minorHAnsi" w:cstheme="minorHAnsi"/>
        </w:rPr>
        <w:t xml:space="preserve"> Indigenous households </w:t>
      </w:r>
      <w:r w:rsidRPr="00A102E3">
        <w:rPr>
          <w:rFonts w:asciiTheme="minorHAnsi" w:hAnsiTheme="minorHAnsi" w:cstheme="minorHAnsi"/>
        </w:rPr>
        <w:t xml:space="preserve">in </w:t>
      </w:r>
      <w:r w:rsidR="00A27D6A" w:rsidRPr="00A102E3">
        <w:rPr>
          <w:rFonts w:asciiTheme="minorHAnsi" w:hAnsiTheme="minorHAnsi" w:cstheme="minorHAnsi"/>
        </w:rPr>
        <w:t>discrete Aboriginal and Torres Strait Islander communities</w:t>
      </w:r>
      <w:r w:rsidRPr="00A102E3">
        <w:rPr>
          <w:rFonts w:asciiTheme="minorHAnsi" w:hAnsiTheme="minorHAnsi" w:cstheme="minorHAnsi"/>
        </w:rPr>
        <w:t xml:space="preserve">, </w:t>
      </w:r>
      <w:r w:rsidR="00A27D6A" w:rsidRPr="00A102E3">
        <w:rPr>
          <w:rFonts w:asciiTheme="minorHAnsi" w:hAnsiTheme="minorHAnsi" w:cstheme="minorHAnsi"/>
        </w:rPr>
        <w:t xml:space="preserve">even within white-majority urban centres like Alice Springs. This is also a target that is seeking </w:t>
      </w:r>
      <w:r w:rsidR="009D76DA" w:rsidRPr="00A102E3">
        <w:rPr>
          <w:rFonts w:asciiTheme="minorHAnsi" w:hAnsiTheme="minorHAnsi" w:cstheme="minorHAnsi"/>
        </w:rPr>
        <w:t xml:space="preserve">total </w:t>
      </w:r>
      <w:r w:rsidR="00A27D6A" w:rsidRPr="00A102E3">
        <w:rPr>
          <w:rFonts w:asciiTheme="minorHAnsi" w:hAnsiTheme="minorHAnsi" w:cstheme="minorHAnsi"/>
        </w:rPr>
        <w:t>equality of outcomes</w:t>
      </w:r>
      <w:r w:rsidR="009D76DA" w:rsidRPr="00A102E3">
        <w:rPr>
          <w:rFonts w:asciiTheme="minorHAnsi" w:hAnsiTheme="minorHAnsi" w:cstheme="minorHAnsi"/>
        </w:rPr>
        <w:t xml:space="preserve"> as is appropriate for all Australian citizens irrespective of ethnicity. This is a case where people who live differently in discrete Indigenous communities should be treated the same. It can be contrasted with Target 15 where people who at least notionally are treated the same aspire to be treated differently as special citizens with native title rights and interests.</w:t>
      </w:r>
      <w:r w:rsidR="001C2475">
        <w:rPr>
          <w:rFonts w:asciiTheme="minorHAnsi" w:hAnsiTheme="minorHAnsi" w:cstheme="minorHAnsi"/>
        </w:rPr>
        <w:t xml:space="preserve"> (Coincidentally, data on this target is updated in real time by the National Native Title Tribunal as each registered claim is determined.)</w:t>
      </w:r>
    </w:p>
    <w:p w14:paraId="10D53FEA" w14:textId="77777777" w:rsidR="009D76DA" w:rsidRPr="00A102E3" w:rsidRDefault="009D76DA" w:rsidP="009D76DA">
      <w:pPr>
        <w:pStyle w:val="mt-2"/>
        <w:shd w:val="clear" w:color="auto" w:fill="FFFFFF"/>
        <w:spacing w:before="0" w:beforeAutospacing="0" w:after="0" w:afterAutospacing="0"/>
        <w:outlineLvl w:val="2"/>
        <w:rPr>
          <w:rFonts w:asciiTheme="minorHAnsi" w:hAnsiTheme="minorHAnsi" w:cstheme="minorHAnsi"/>
        </w:rPr>
      </w:pPr>
    </w:p>
    <w:p w14:paraId="6C2D1C3A" w14:textId="413B9EDE" w:rsidR="00C52388" w:rsidRPr="00A102E3" w:rsidRDefault="009D76DA" w:rsidP="00930C01">
      <w:pPr>
        <w:autoSpaceDE w:val="0"/>
        <w:autoSpaceDN w:val="0"/>
        <w:adjustRightInd w:val="0"/>
        <w:spacing w:after="0" w:line="240" w:lineRule="auto"/>
        <w:rPr>
          <w:rFonts w:cstheme="minorHAnsi"/>
          <w:sz w:val="24"/>
          <w:szCs w:val="24"/>
        </w:rPr>
      </w:pPr>
      <w:r w:rsidRPr="00A102E3">
        <w:rPr>
          <w:rFonts w:cstheme="minorHAnsi"/>
          <w:sz w:val="24"/>
          <w:szCs w:val="24"/>
        </w:rPr>
        <w:t>The Draft Report refers at places to the issue of assessing needs and priorities at the community and regional level; and the need for the development of local Indigenous metrics to assess success</w:t>
      </w:r>
      <w:r w:rsidR="00930C01" w:rsidRPr="00A102E3">
        <w:rPr>
          <w:rFonts w:cstheme="minorHAnsi"/>
          <w:sz w:val="24"/>
          <w:szCs w:val="24"/>
        </w:rPr>
        <w:t xml:space="preserve">. This reflects an abiding tension in the National Agreement to simultaneously </w:t>
      </w:r>
      <w:r w:rsidR="00316FB9" w:rsidRPr="00A102E3">
        <w:rPr>
          <w:rFonts w:cstheme="minorHAnsi"/>
          <w:sz w:val="24"/>
          <w:szCs w:val="24"/>
        </w:rPr>
        <w:t xml:space="preserve">demonstrate success in meeting the </w:t>
      </w:r>
      <w:r w:rsidR="00930C01" w:rsidRPr="00A102E3">
        <w:rPr>
          <w:rFonts w:cstheme="minorHAnsi"/>
          <w:sz w:val="24"/>
          <w:szCs w:val="24"/>
        </w:rPr>
        <w:t>needs and priorities of the national Indigenous population</w:t>
      </w:r>
      <w:r w:rsidR="001C2475">
        <w:rPr>
          <w:rFonts w:cstheme="minorHAnsi"/>
          <w:sz w:val="24"/>
          <w:szCs w:val="24"/>
        </w:rPr>
        <w:t>,</w:t>
      </w:r>
      <w:r w:rsidR="00930C01" w:rsidRPr="00A102E3">
        <w:rPr>
          <w:rFonts w:cstheme="minorHAnsi"/>
          <w:sz w:val="24"/>
          <w:szCs w:val="24"/>
        </w:rPr>
        <w:t xml:space="preserve"> </w:t>
      </w:r>
      <w:r w:rsidR="00316FB9" w:rsidRPr="00A102E3">
        <w:rPr>
          <w:rFonts w:cstheme="minorHAnsi"/>
          <w:sz w:val="24"/>
          <w:szCs w:val="24"/>
        </w:rPr>
        <w:t xml:space="preserve">while at the same time meeting the </w:t>
      </w:r>
      <w:r w:rsidR="00930C01" w:rsidRPr="00A102E3">
        <w:rPr>
          <w:rFonts w:cstheme="minorHAnsi"/>
          <w:sz w:val="24"/>
          <w:szCs w:val="24"/>
        </w:rPr>
        <w:t xml:space="preserve">needs and priorities at community and regional levels. It is difficult to know how this tension </w:t>
      </w:r>
      <w:r w:rsidR="00316FB9" w:rsidRPr="00A102E3">
        <w:rPr>
          <w:rFonts w:cstheme="minorHAnsi"/>
          <w:sz w:val="24"/>
          <w:szCs w:val="24"/>
        </w:rPr>
        <w:t xml:space="preserve">can </w:t>
      </w:r>
      <w:r w:rsidR="00930C01" w:rsidRPr="00A102E3">
        <w:rPr>
          <w:rFonts w:cstheme="minorHAnsi"/>
          <w:sz w:val="24"/>
          <w:szCs w:val="24"/>
        </w:rPr>
        <w:t xml:space="preserve">be resolved unless targets are </w:t>
      </w:r>
      <w:r w:rsidR="00316FB9" w:rsidRPr="00A102E3">
        <w:rPr>
          <w:rFonts w:cstheme="minorHAnsi"/>
          <w:sz w:val="24"/>
          <w:szCs w:val="24"/>
        </w:rPr>
        <w:t xml:space="preserve">revised </w:t>
      </w:r>
      <w:r w:rsidR="00930C01" w:rsidRPr="00A102E3">
        <w:rPr>
          <w:rFonts w:cstheme="minorHAnsi"/>
          <w:sz w:val="24"/>
          <w:szCs w:val="24"/>
        </w:rPr>
        <w:t>to reflect interstate</w:t>
      </w:r>
      <w:r w:rsidR="00316FB9" w:rsidRPr="00A102E3">
        <w:rPr>
          <w:rFonts w:cstheme="minorHAnsi"/>
          <w:sz w:val="24"/>
          <w:szCs w:val="24"/>
        </w:rPr>
        <w:t>,</w:t>
      </w:r>
      <w:r w:rsidR="00930C01" w:rsidRPr="00A102E3">
        <w:rPr>
          <w:rFonts w:cstheme="minorHAnsi"/>
          <w:sz w:val="24"/>
          <w:szCs w:val="24"/>
        </w:rPr>
        <w:t xml:space="preserve"> remoteness</w:t>
      </w:r>
      <w:r w:rsidR="008913EC" w:rsidRPr="00A102E3">
        <w:rPr>
          <w:rFonts w:cstheme="minorHAnsi"/>
          <w:sz w:val="24"/>
          <w:szCs w:val="24"/>
        </w:rPr>
        <w:t>,</w:t>
      </w:r>
      <w:r w:rsidR="00930C01" w:rsidRPr="00A102E3">
        <w:rPr>
          <w:rFonts w:cstheme="minorHAnsi"/>
          <w:sz w:val="24"/>
          <w:szCs w:val="24"/>
        </w:rPr>
        <w:t xml:space="preserve"> and other variations (including land tenure target 15 and flourishing of Indigenous languages target 16)</w:t>
      </w:r>
      <w:r w:rsidR="00BE2136" w:rsidRPr="00A102E3">
        <w:rPr>
          <w:rFonts w:cstheme="minorHAnsi"/>
          <w:sz w:val="24"/>
          <w:szCs w:val="24"/>
        </w:rPr>
        <w:t xml:space="preserve"> that are all reported</w:t>
      </w:r>
      <w:r w:rsidR="00930C01" w:rsidRPr="00A102E3">
        <w:rPr>
          <w:rFonts w:cstheme="minorHAnsi"/>
          <w:sz w:val="24"/>
          <w:szCs w:val="24"/>
        </w:rPr>
        <w:t xml:space="preserve">. </w:t>
      </w:r>
    </w:p>
    <w:p w14:paraId="47F45F2E" w14:textId="77777777" w:rsidR="00C52388" w:rsidRPr="00A102E3" w:rsidRDefault="00C52388" w:rsidP="00930C01">
      <w:pPr>
        <w:autoSpaceDE w:val="0"/>
        <w:autoSpaceDN w:val="0"/>
        <w:adjustRightInd w:val="0"/>
        <w:spacing w:after="0" w:line="240" w:lineRule="auto"/>
        <w:rPr>
          <w:rFonts w:cstheme="minorHAnsi"/>
          <w:sz w:val="24"/>
          <w:szCs w:val="24"/>
        </w:rPr>
      </w:pPr>
    </w:p>
    <w:p w14:paraId="3A87663F" w14:textId="03B05513" w:rsidR="00BE2136" w:rsidRPr="00A102E3" w:rsidRDefault="00BE2136" w:rsidP="00930C01">
      <w:pPr>
        <w:autoSpaceDE w:val="0"/>
        <w:autoSpaceDN w:val="0"/>
        <w:adjustRightInd w:val="0"/>
        <w:spacing w:after="0" w:line="240" w:lineRule="auto"/>
        <w:rPr>
          <w:rFonts w:cstheme="minorHAnsi"/>
          <w:kern w:val="0"/>
          <w:sz w:val="24"/>
          <w:szCs w:val="24"/>
        </w:rPr>
      </w:pPr>
      <w:r w:rsidRPr="00A102E3">
        <w:rPr>
          <w:rFonts w:cstheme="minorHAnsi"/>
          <w:sz w:val="24"/>
          <w:szCs w:val="24"/>
        </w:rPr>
        <w:t>The main strategy</w:t>
      </w:r>
      <w:r w:rsidR="00930C01" w:rsidRPr="00A102E3">
        <w:rPr>
          <w:rFonts w:cstheme="minorHAnsi"/>
          <w:sz w:val="24"/>
          <w:szCs w:val="24"/>
        </w:rPr>
        <w:t xml:space="preserve"> to capture community and regional needs and priorities is reflected in </w:t>
      </w:r>
      <w:r w:rsidRPr="00A102E3">
        <w:rPr>
          <w:rFonts w:cstheme="minorHAnsi"/>
          <w:sz w:val="24"/>
          <w:szCs w:val="24"/>
        </w:rPr>
        <w:t xml:space="preserve">agreed </w:t>
      </w:r>
      <w:r w:rsidR="00930C01" w:rsidRPr="00A102E3">
        <w:rPr>
          <w:rFonts w:cstheme="minorHAnsi"/>
          <w:sz w:val="24"/>
          <w:szCs w:val="24"/>
        </w:rPr>
        <w:t>action being undertaken under Priority Reform 4</w:t>
      </w:r>
      <w:r w:rsidR="00930C01" w:rsidRPr="00A102E3">
        <w:rPr>
          <w:rFonts w:cstheme="minorHAnsi"/>
          <w:kern w:val="0"/>
          <w:sz w:val="24"/>
          <w:szCs w:val="24"/>
        </w:rPr>
        <w:t xml:space="preserve"> to establish data projects in up to six locations across Australia to enable Aboriginal and Torres Strait Islander communities and organisations to access and use location-specific </w:t>
      </w:r>
      <w:r w:rsidR="00F5691F" w:rsidRPr="00A102E3">
        <w:rPr>
          <w:rFonts w:cstheme="minorHAnsi"/>
          <w:kern w:val="0"/>
          <w:sz w:val="24"/>
          <w:szCs w:val="24"/>
        </w:rPr>
        <w:t>information</w:t>
      </w:r>
      <w:r w:rsidR="00930C01" w:rsidRPr="00A102E3">
        <w:rPr>
          <w:rFonts w:cstheme="minorHAnsi"/>
          <w:kern w:val="0"/>
          <w:sz w:val="24"/>
          <w:szCs w:val="24"/>
        </w:rPr>
        <w:t xml:space="preserve"> on the Closing the</w:t>
      </w:r>
      <w:r w:rsidR="00930C01" w:rsidRPr="00A102E3">
        <w:rPr>
          <w:rFonts w:cstheme="minorHAnsi"/>
          <w:sz w:val="24"/>
          <w:szCs w:val="24"/>
        </w:rPr>
        <w:t xml:space="preserve"> </w:t>
      </w:r>
      <w:r w:rsidR="00930C01" w:rsidRPr="00A102E3">
        <w:rPr>
          <w:rFonts w:cstheme="minorHAnsi"/>
          <w:kern w:val="0"/>
          <w:sz w:val="24"/>
          <w:szCs w:val="24"/>
        </w:rPr>
        <w:t xml:space="preserve">Gap outcome areas. </w:t>
      </w:r>
    </w:p>
    <w:p w14:paraId="6483B1A3" w14:textId="77777777" w:rsidR="00BE2136" w:rsidRPr="00A102E3" w:rsidRDefault="00BE2136" w:rsidP="00930C01">
      <w:pPr>
        <w:autoSpaceDE w:val="0"/>
        <w:autoSpaceDN w:val="0"/>
        <w:adjustRightInd w:val="0"/>
        <w:spacing w:after="0" w:line="240" w:lineRule="auto"/>
        <w:rPr>
          <w:rFonts w:cstheme="minorHAnsi"/>
          <w:kern w:val="0"/>
          <w:sz w:val="24"/>
          <w:szCs w:val="24"/>
        </w:rPr>
      </w:pPr>
    </w:p>
    <w:p w14:paraId="2991107E" w14:textId="50F60222" w:rsidR="00BE2136" w:rsidRPr="00A102E3" w:rsidRDefault="00930C01" w:rsidP="00930C01">
      <w:pPr>
        <w:autoSpaceDE w:val="0"/>
        <w:autoSpaceDN w:val="0"/>
        <w:adjustRightInd w:val="0"/>
        <w:spacing w:after="0" w:line="240" w:lineRule="auto"/>
        <w:rPr>
          <w:rFonts w:cstheme="minorHAnsi"/>
          <w:kern w:val="0"/>
          <w:sz w:val="24"/>
          <w:szCs w:val="24"/>
        </w:rPr>
      </w:pPr>
      <w:r w:rsidRPr="00A102E3">
        <w:rPr>
          <w:rFonts w:cstheme="minorHAnsi"/>
          <w:kern w:val="0"/>
          <w:sz w:val="24"/>
          <w:szCs w:val="24"/>
        </w:rPr>
        <w:t>Six localities have been selected</w:t>
      </w:r>
      <w:r w:rsidR="00BE2136" w:rsidRPr="00A102E3">
        <w:rPr>
          <w:rFonts w:cstheme="minorHAnsi"/>
          <w:kern w:val="0"/>
          <w:sz w:val="24"/>
          <w:szCs w:val="24"/>
        </w:rPr>
        <w:t xml:space="preserve">, presumably nominated by Indigenous members of the Joint Council representing state and territory interests, </w:t>
      </w:r>
      <w:r w:rsidRPr="00A102E3">
        <w:rPr>
          <w:rFonts w:cstheme="minorHAnsi"/>
          <w:kern w:val="0"/>
          <w:sz w:val="24"/>
          <w:szCs w:val="24"/>
        </w:rPr>
        <w:t>but the logic for th</w:t>
      </w:r>
      <w:r w:rsidR="00BE2136" w:rsidRPr="00A102E3">
        <w:rPr>
          <w:rFonts w:cstheme="minorHAnsi"/>
          <w:kern w:val="0"/>
          <w:sz w:val="24"/>
          <w:szCs w:val="24"/>
        </w:rPr>
        <w:t>eir</w:t>
      </w:r>
      <w:r w:rsidRPr="00A102E3">
        <w:rPr>
          <w:rFonts w:cstheme="minorHAnsi"/>
          <w:kern w:val="0"/>
          <w:sz w:val="24"/>
          <w:szCs w:val="24"/>
        </w:rPr>
        <w:t xml:space="preserve"> selection is unclear</w:t>
      </w:r>
      <w:r w:rsidR="00BE2136" w:rsidRPr="00A102E3">
        <w:rPr>
          <w:rFonts w:cstheme="minorHAnsi"/>
          <w:kern w:val="0"/>
          <w:sz w:val="24"/>
          <w:szCs w:val="24"/>
        </w:rPr>
        <w:t>:</w:t>
      </w:r>
      <w:r w:rsidRPr="00A102E3">
        <w:rPr>
          <w:rFonts w:cstheme="minorHAnsi"/>
          <w:kern w:val="0"/>
          <w:sz w:val="24"/>
          <w:szCs w:val="24"/>
        </w:rPr>
        <w:t xml:space="preserve"> two are </w:t>
      </w:r>
      <w:r w:rsidR="00C52388" w:rsidRPr="00A102E3">
        <w:rPr>
          <w:rFonts w:cstheme="minorHAnsi"/>
          <w:kern w:val="0"/>
          <w:sz w:val="24"/>
          <w:szCs w:val="24"/>
        </w:rPr>
        <w:t xml:space="preserve">large </w:t>
      </w:r>
      <w:r w:rsidRPr="00A102E3">
        <w:rPr>
          <w:rFonts w:cstheme="minorHAnsi"/>
          <w:kern w:val="0"/>
          <w:sz w:val="24"/>
          <w:szCs w:val="24"/>
        </w:rPr>
        <w:t>discrete Indigenous communities</w:t>
      </w:r>
      <w:r w:rsidR="00C52388" w:rsidRPr="00A102E3">
        <w:rPr>
          <w:rFonts w:cstheme="minorHAnsi"/>
          <w:kern w:val="0"/>
          <w:sz w:val="24"/>
          <w:szCs w:val="24"/>
        </w:rPr>
        <w:t xml:space="preserve"> </w:t>
      </w:r>
      <w:r w:rsidR="00F5691F" w:rsidRPr="00A102E3">
        <w:rPr>
          <w:rFonts w:cstheme="minorHAnsi"/>
          <w:kern w:val="0"/>
          <w:sz w:val="24"/>
          <w:szCs w:val="24"/>
        </w:rPr>
        <w:t>Maningrida and Doomadgee (</w:t>
      </w:r>
      <w:r w:rsidR="00C52388" w:rsidRPr="00A102E3">
        <w:rPr>
          <w:rFonts w:cstheme="minorHAnsi"/>
          <w:kern w:val="0"/>
          <w:sz w:val="24"/>
          <w:szCs w:val="24"/>
        </w:rPr>
        <w:t xml:space="preserve">of </w:t>
      </w:r>
      <w:r w:rsidR="00F93031">
        <w:rPr>
          <w:rFonts w:cstheme="minorHAnsi"/>
          <w:kern w:val="0"/>
          <w:sz w:val="24"/>
          <w:szCs w:val="24"/>
        </w:rPr>
        <w:t>few</w:t>
      </w:r>
      <w:r w:rsidR="00C52388" w:rsidRPr="00A102E3">
        <w:rPr>
          <w:rFonts w:cstheme="minorHAnsi"/>
          <w:kern w:val="0"/>
          <w:sz w:val="24"/>
          <w:szCs w:val="24"/>
        </w:rPr>
        <w:t xml:space="preserve"> </w:t>
      </w:r>
      <w:r w:rsidR="00F5691F" w:rsidRPr="00A102E3">
        <w:rPr>
          <w:rFonts w:cstheme="minorHAnsi"/>
          <w:kern w:val="0"/>
          <w:sz w:val="24"/>
          <w:szCs w:val="24"/>
        </w:rPr>
        <w:t xml:space="preserve">of similar size and remoteness </w:t>
      </w:r>
      <w:r w:rsidR="00C52388" w:rsidRPr="00A102E3">
        <w:rPr>
          <w:rFonts w:cstheme="minorHAnsi"/>
          <w:kern w:val="0"/>
          <w:sz w:val="24"/>
          <w:szCs w:val="24"/>
        </w:rPr>
        <w:t>Australia</w:t>
      </w:r>
      <w:r w:rsidR="00F5691F" w:rsidRPr="00A102E3">
        <w:rPr>
          <w:rFonts w:cstheme="minorHAnsi"/>
          <w:kern w:val="0"/>
          <w:sz w:val="24"/>
          <w:szCs w:val="24"/>
        </w:rPr>
        <w:t>-</w:t>
      </w:r>
      <w:r w:rsidR="00C52388" w:rsidRPr="00A102E3">
        <w:rPr>
          <w:rFonts w:cstheme="minorHAnsi"/>
          <w:kern w:val="0"/>
          <w:sz w:val="24"/>
          <w:szCs w:val="24"/>
        </w:rPr>
        <w:t>wide)</w:t>
      </w:r>
      <w:r w:rsidR="00BE2136" w:rsidRPr="00A102E3">
        <w:rPr>
          <w:rFonts w:cstheme="minorHAnsi"/>
          <w:kern w:val="0"/>
          <w:sz w:val="24"/>
          <w:szCs w:val="24"/>
        </w:rPr>
        <w:t xml:space="preserve"> and </w:t>
      </w:r>
      <w:r w:rsidRPr="00A102E3">
        <w:rPr>
          <w:rFonts w:cstheme="minorHAnsi"/>
          <w:kern w:val="0"/>
          <w:sz w:val="24"/>
          <w:szCs w:val="24"/>
        </w:rPr>
        <w:t>four are regions</w:t>
      </w:r>
      <w:r w:rsidR="0095043C" w:rsidRPr="00A102E3">
        <w:rPr>
          <w:rFonts w:cstheme="minorHAnsi"/>
          <w:kern w:val="0"/>
          <w:sz w:val="24"/>
          <w:szCs w:val="24"/>
        </w:rPr>
        <w:t xml:space="preserve"> </w:t>
      </w:r>
      <w:r w:rsidR="00BE2136" w:rsidRPr="00A102E3">
        <w:rPr>
          <w:rFonts w:cstheme="minorHAnsi"/>
          <w:kern w:val="0"/>
          <w:sz w:val="24"/>
          <w:szCs w:val="24"/>
        </w:rPr>
        <w:t>(</w:t>
      </w:r>
      <w:r w:rsidR="0095043C" w:rsidRPr="00A102E3">
        <w:rPr>
          <w:rFonts w:cstheme="minorHAnsi"/>
          <w:kern w:val="0"/>
          <w:sz w:val="24"/>
          <w:szCs w:val="24"/>
        </w:rPr>
        <w:t>with the East Kimberley also an Empowered Community region</w:t>
      </w:r>
      <w:r w:rsidR="00BE2136" w:rsidRPr="00A102E3">
        <w:rPr>
          <w:rFonts w:cstheme="minorHAnsi"/>
          <w:kern w:val="0"/>
          <w:sz w:val="24"/>
          <w:szCs w:val="24"/>
        </w:rPr>
        <w:t>)</w:t>
      </w:r>
      <w:r w:rsidR="00C52388" w:rsidRPr="00A102E3">
        <w:rPr>
          <w:rFonts w:cstheme="minorHAnsi"/>
          <w:kern w:val="0"/>
          <w:sz w:val="24"/>
          <w:szCs w:val="24"/>
        </w:rPr>
        <w:t xml:space="preserve">. </w:t>
      </w:r>
    </w:p>
    <w:p w14:paraId="5ECF0F06" w14:textId="77777777" w:rsidR="00BE2136" w:rsidRPr="00A102E3" w:rsidRDefault="00BE2136" w:rsidP="00930C01">
      <w:pPr>
        <w:autoSpaceDE w:val="0"/>
        <w:autoSpaceDN w:val="0"/>
        <w:adjustRightInd w:val="0"/>
        <w:spacing w:after="0" w:line="240" w:lineRule="auto"/>
        <w:rPr>
          <w:rFonts w:cstheme="minorHAnsi"/>
          <w:kern w:val="0"/>
          <w:sz w:val="24"/>
          <w:szCs w:val="24"/>
        </w:rPr>
      </w:pPr>
    </w:p>
    <w:p w14:paraId="38A8C70F" w14:textId="05EA8656" w:rsidR="009D76DA" w:rsidRPr="00A102E3" w:rsidRDefault="00C52388" w:rsidP="00930C01">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Such selection of a small number of sites highlights the </w:t>
      </w:r>
      <w:r w:rsidR="00BE2136" w:rsidRPr="00A102E3">
        <w:rPr>
          <w:rFonts w:cstheme="minorHAnsi"/>
          <w:kern w:val="0"/>
          <w:sz w:val="24"/>
          <w:szCs w:val="24"/>
        </w:rPr>
        <w:t xml:space="preserve">urgent </w:t>
      </w:r>
      <w:r w:rsidRPr="00A102E3">
        <w:rPr>
          <w:rFonts w:cstheme="minorHAnsi"/>
          <w:kern w:val="0"/>
          <w:sz w:val="24"/>
          <w:szCs w:val="24"/>
        </w:rPr>
        <w:t xml:space="preserve">need for </w:t>
      </w:r>
      <w:r w:rsidR="00BE2136" w:rsidRPr="00A102E3">
        <w:rPr>
          <w:rFonts w:cstheme="minorHAnsi"/>
          <w:kern w:val="0"/>
          <w:sz w:val="24"/>
          <w:szCs w:val="24"/>
        </w:rPr>
        <w:t xml:space="preserve">comprehensive </w:t>
      </w:r>
      <w:r w:rsidRPr="00A102E3">
        <w:rPr>
          <w:rFonts w:cstheme="minorHAnsi"/>
          <w:kern w:val="0"/>
          <w:sz w:val="24"/>
          <w:szCs w:val="24"/>
        </w:rPr>
        <w:t xml:space="preserve">information </w:t>
      </w:r>
      <w:r w:rsidR="0095043C" w:rsidRPr="00A102E3">
        <w:rPr>
          <w:rFonts w:cstheme="minorHAnsi"/>
          <w:kern w:val="0"/>
          <w:sz w:val="24"/>
          <w:szCs w:val="24"/>
        </w:rPr>
        <w:t xml:space="preserve">community-by-community </w:t>
      </w:r>
      <w:r w:rsidRPr="00A102E3">
        <w:rPr>
          <w:rFonts w:cstheme="minorHAnsi"/>
          <w:kern w:val="0"/>
          <w:sz w:val="24"/>
          <w:szCs w:val="24"/>
        </w:rPr>
        <w:t xml:space="preserve">as provided in the </w:t>
      </w:r>
      <w:r w:rsidR="00F93031">
        <w:rPr>
          <w:rFonts w:cstheme="minorHAnsi"/>
          <w:kern w:val="0"/>
          <w:sz w:val="24"/>
          <w:szCs w:val="24"/>
        </w:rPr>
        <w:t>C</w:t>
      </w:r>
      <w:r w:rsidRPr="00A102E3">
        <w:rPr>
          <w:rFonts w:cstheme="minorHAnsi"/>
          <w:kern w:val="0"/>
          <w:sz w:val="24"/>
          <w:szCs w:val="24"/>
        </w:rPr>
        <w:t xml:space="preserve">ommunity </w:t>
      </w:r>
      <w:r w:rsidR="00F93031">
        <w:rPr>
          <w:rFonts w:cstheme="minorHAnsi"/>
          <w:kern w:val="0"/>
          <w:sz w:val="24"/>
          <w:szCs w:val="24"/>
        </w:rPr>
        <w:t>H</w:t>
      </w:r>
      <w:r w:rsidR="00DC5BD6" w:rsidRPr="00A102E3">
        <w:rPr>
          <w:rFonts w:cstheme="minorHAnsi"/>
          <w:kern w:val="0"/>
          <w:sz w:val="24"/>
          <w:szCs w:val="24"/>
        </w:rPr>
        <w:t xml:space="preserve">ousing and </w:t>
      </w:r>
      <w:r w:rsidR="00F93031">
        <w:rPr>
          <w:rFonts w:cstheme="minorHAnsi"/>
          <w:kern w:val="0"/>
          <w:sz w:val="24"/>
          <w:szCs w:val="24"/>
        </w:rPr>
        <w:t>I</w:t>
      </w:r>
      <w:r w:rsidRPr="00A102E3">
        <w:rPr>
          <w:rFonts w:cstheme="minorHAnsi"/>
          <w:kern w:val="0"/>
          <w:sz w:val="24"/>
          <w:szCs w:val="24"/>
        </w:rPr>
        <w:t xml:space="preserve">nfrastructure </w:t>
      </w:r>
      <w:r w:rsidR="00F93031">
        <w:rPr>
          <w:rFonts w:cstheme="minorHAnsi"/>
          <w:kern w:val="0"/>
          <w:sz w:val="24"/>
          <w:szCs w:val="24"/>
        </w:rPr>
        <w:t>Needs S</w:t>
      </w:r>
      <w:r w:rsidRPr="00A102E3">
        <w:rPr>
          <w:rFonts w:cstheme="minorHAnsi"/>
          <w:kern w:val="0"/>
          <w:sz w:val="24"/>
          <w:szCs w:val="24"/>
        </w:rPr>
        <w:t xml:space="preserve">urvey </w:t>
      </w:r>
      <w:r w:rsidR="00DC5BD6" w:rsidRPr="00A102E3">
        <w:rPr>
          <w:rFonts w:cstheme="minorHAnsi"/>
          <w:kern w:val="0"/>
          <w:sz w:val="24"/>
          <w:szCs w:val="24"/>
        </w:rPr>
        <w:t>(CHINS)</w:t>
      </w:r>
      <w:r w:rsidRPr="00A102E3">
        <w:rPr>
          <w:rFonts w:cstheme="minorHAnsi"/>
          <w:kern w:val="0"/>
          <w:sz w:val="24"/>
          <w:szCs w:val="24"/>
        </w:rPr>
        <w:t xml:space="preserve"> commissioned by </w:t>
      </w:r>
      <w:r w:rsidR="00DC5BD6" w:rsidRPr="00A102E3">
        <w:rPr>
          <w:rFonts w:cstheme="minorHAnsi"/>
          <w:kern w:val="0"/>
          <w:sz w:val="24"/>
          <w:szCs w:val="24"/>
        </w:rPr>
        <w:t>the Aboriginal and Torres Strait Islander Commission (</w:t>
      </w:r>
      <w:r w:rsidRPr="00A102E3">
        <w:rPr>
          <w:rFonts w:cstheme="minorHAnsi"/>
          <w:kern w:val="0"/>
          <w:sz w:val="24"/>
          <w:szCs w:val="24"/>
        </w:rPr>
        <w:t>ATSIC</w:t>
      </w:r>
      <w:r w:rsidR="00DC5BD6" w:rsidRPr="00A102E3">
        <w:rPr>
          <w:rFonts w:cstheme="minorHAnsi"/>
          <w:kern w:val="0"/>
          <w:sz w:val="24"/>
          <w:szCs w:val="24"/>
        </w:rPr>
        <w:t>)</w:t>
      </w:r>
      <w:r w:rsidRPr="00A102E3">
        <w:rPr>
          <w:rFonts w:cstheme="minorHAnsi"/>
          <w:kern w:val="0"/>
          <w:sz w:val="24"/>
          <w:szCs w:val="24"/>
        </w:rPr>
        <w:t xml:space="preserve"> and </w:t>
      </w:r>
      <w:r w:rsidR="00DC5BD6" w:rsidRPr="00A102E3">
        <w:rPr>
          <w:rFonts w:cstheme="minorHAnsi"/>
          <w:kern w:val="0"/>
          <w:sz w:val="24"/>
          <w:szCs w:val="24"/>
        </w:rPr>
        <w:t xml:space="preserve">last </w:t>
      </w:r>
      <w:r w:rsidRPr="00A102E3">
        <w:rPr>
          <w:rFonts w:cstheme="minorHAnsi"/>
          <w:kern w:val="0"/>
          <w:sz w:val="24"/>
          <w:szCs w:val="24"/>
        </w:rPr>
        <w:t xml:space="preserve">undertaken by the </w:t>
      </w:r>
      <w:r w:rsidR="00DC5BD6" w:rsidRPr="00A102E3">
        <w:rPr>
          <w:rFonts w:cstheme="minorHAnsi"/>
          <w:kern w:val="0"/>
          <w:sz w:val="24"/>
          <w:szCs w:val="24"/>
        </w:rPr>
        <w:t>Australian Bureau of Statistics</w:t>
      </w:r>
      <w:r w:rsidRPr="00A102E3">
        <w:rPr>
          <w:rFonts w:cstheme="minorHAnsi"/>
          <w:kern w:val="0"/>
          <w:sz w:val="24"/>
          <w:szCs w:val="24"/>
        </w:rPr>
        <w:t xml:space="preserve"> </w:t>
      </w:r>
      <w:r w:rsidR="00DC5BD6" w:rsidRPr="00A102E3">
        <w:rPr>
          <w:rFonts w:cstheme="minorHAnsi"/>
          <w:kern w:val="0"/>
          <w:sz w:val="24"/>
          <w:szCs w:val="24"/>
        </w:rPr>
        <w:t>in</w:t>
      </w:r>
      <w:r w:rsidRPr="00A102E3">
        <w:rPr>
          <w:rFonts w:cstheme="minorHAnsi"/>
          <w:kern w:val="0"/>
          <w:sz w:val="24"/>
          <w:szCs w:val="24"/>
        </w:rPr>
        <w:t xml:space="preserve"> 2006.</w:t>
      </w:r>
      <w:r w:rsidR="00BE2136" w:rsidRPr="00A102E3">
        <w:rPr>
          <w:rFonts w:cstheme="minorHAnsi"/>
          <w:kern w:val="0"/>
          <w:sz w:val="24"/>
          <w:szCs w:val="24"/>
        </w:rPr>
        <w:t xml:space="preserve"> Such needs analysis systematically informed ATSIC’s Community Housing and Infrastructure Program dismantled in 2006.</w:t>
      </w:r>
    </w:p>
    <w:p w14:paraId="5E0F04A9" w14:textId="77777777" w:rsidR="00F37601" w:rsidRPr="00A102E3" w:rsidRDefault="00F37601" w:rsidP="00D02BB9">
      <w:pPr>
        <w:shd w:val="clear" w:color="auto" w:fill="FFFFFF"/>
        <w:spacing w:after="0" w:line="240" w:lineRule="auto"/>
        <w:rPr>
          <w:rFonts w:cstheme="minorHAnsi"/>
          <w:sz w:val="24"/>
          <w:szCs w:val="24"/>
        </w:rPr>
      </w:pPr>
    </w:p>
    <w:p w14:paraId="3E3750C6" w14:textId="7A7B9771" w:rsidR="00F37601" w:rsidRPr="00A102E3" w:rsidRDefault="00F37601" w:rsidP="00D02BB9">
      <w:pPr>
        <w:shd w:val="clear" w:color="auto" w:fill="FFFFFF"/>
        <w:spacing w:after="0" w:line="240" w:lineRule="auto"/>
        <w:rPr>
          <w:rFonts w:cstheme="minorHAnsi"/>
          <w:sz w:val="24"/>
          <w:szCs w:val="24"/>
        </w:rPr>
      </w:pPr>
      <w:r w:rsidRPr="00A102E3">
        <w:rPr>
          <w:rFonts w:cstheme="minorHAnsi"/>
          <w:sz w:val="24"/>
          <w:szCs w:val="24"/>
        </w:rPr>
        <w:t xml:space="preserve">The </w:t>
      </w:r>
      <w:r w:rsidR="00DC5BD6" w:rsidRPr="00A102E3">
        <w:rPr>
          <w:rFonts w:cstheme="minorHAnsi"/>
          <w:sz w:val="24"/>
          <w:szCs w:val="24"/>
        </w:rPr>
        <w:t xml:space="preserve">final issue that I want to highlight from the Draft Report that is linked to both needs and priorities and output and outcomes is </w:t>
      </w:r>
      <w:r w:rsidRPr="00A102E3">
        <w:rPr>
          <w:rFonts w:cstheme="minorHAnsi"/>
          <w:sz w:val="24"/>
          <w:szCs w:val="24"/>
        </w:rPr>
        <w:t>expenditure</w:t>
      </w:r>
      <w:r w:rsidR="00DC5BD6" w:rsidRPr="00A102E3">
        <w:rPr>
          <w:rFonts w:cstheme="minorHAnsi"/>
          <w:sz w:val="24"/>
          <w:szCs w:val="24"/>
        </w:rPr>
        <w:t>. It seems self-evident that to gain any understanding of both service delivery and housing and infrastructure outcomes it is essential to quantify inputs, with how effectively these inputs are utilised being separate effectiveness of targeting and delivery issue</w:t>
      </w:r>
      <w:r w:rsidR="0095043C" w:rsidRPr="00A102E3">
        <w:rPr>
          <w:rFonts w:cstheme="minorHAnsi"/>
          <w:sz w:val="24"/>
          <w:szCs w:val="24"/>
        </w:rPr>
        <w:t>s</w:t>
      </w:r>
      <w:r w:rsidR="00DC5BD6" w:rsidRPr="00A102E3">
        <w:rPr>
          <w:rFonts w:cstheme="minorHAnsi"/>
          <w:sz w:val="24"/>
          <w:szCs w:val="24"/>
        </w:rPr>
        <w:t>.</w:t>
      </w:r>
    </w:p>
    <w:p w14:paraId="7D3204FB" w14:textId="77777777" w:rsidR="00DC5BD6" w:rsidRPr="00A102E3" w:rsidRDefault="00DC5BD6" w:rsidP="00D02BB9">
      <w:pPr>
        <w:shd w:val="clear" w:color="auto" w:fill="FFFFFF"/>
        <w:spacing w:after="0" w:line="240" w:lineRule="auto"/>
        <w:rPr>
          <w:rFonts w:cstheme="minorHAnsi"/>
          <w:sz w:val="24"/>
          <w:szCs w:val="24"/>
        </w:rPr>
      </w:pPr>
    </w:p>
    <w:p w14:paraId="27CE6375" w14:textId="77777777" w:rsidR="00BE2136" w:rsidRPr="00A102E3" w:rsidRDefault="00DC5BD6" w:rsidP="00EC31ED">
      <w:pPr>
        <w:pStyle w:val="Default"/>
        <w:rPr>
          <w:rStyle w:val="A6"/>
          <w:rFonts w:asciiTheme="minorHAnsi" w:hAnsiTheme="minorHAnsi" w:cstheme="minorHAnsi"/>
          <w:color w:val="auto"/>
          <w:sz w:val="24"/>
          <w:szCs w:val="24"/>
        </w:rPr>
      </w:pPr>
      <w:r w:rsidRPr="00A102E3">
        <w:rPr>
          <w:rFonts w:asciiTheme="minorHAnsi" w:hAnsiTheme="minorHAnsi" w:cstheme="minorHAnsi"/>
          <w:color w:val="auto"/>
        </w:rPr>
        <w:t xml:space="preserve">The National Agreement at clause 113 required </w:t>
      </w:r>
      <w:r w:rsidRPr="00A102E3">
        <w:rPr>
          <w:rStyle w:val="A6"/>
          <w:rFonts w:asciiTheme="minorHAnsi" w:hAnsiTheme="minorHAnsi" w:cstheme="minorHAnsi"/>
          <w:color w:val="auto"/>
          <w:sz w:val="24"/>
          <w:szCs w:val="24"/>
        </w:rPr>
        <w:t xml:space="preserve">Government parties to review and identify current spending on Aboriginal and Torres Strait Islander programs and services to identify </w:t>
      </w:r>
      <w:r w:rsidRPr="00A102E3">
        <w:rPr>
          <w:rStyle w:val="A6"/>
          <w:rFonts w:asciiTheme="minorHAnsi" w:hAnsiTheme="minorHAnsi" w:cstheme="minorHAnsi"/>
          <w:color w:val="auto"/>
          <w:sz w:val="24"/>
          <w:szCs w:val="24"/>
        </w:rPr>
        <w:lastRenderedPageBreak/>
        <w:t>reprioritisation opportunities to Aboriginal and Torres Strait Islander organisations, particularly to community-controlled organisations</w:t>
      </w:r>
      <w:r w:rsidR="00EC31ED" w:rsidRPr="00A102E3">
        <w:rPr>
          <w:rStyle w:val="A6"/>
          <w:rFonts w:asciiTheme="minorHAnsi" w:hAnsiTheme="minorHAnsi" w:cstheme="minorHAnsi"/>
          <w:color w:val="auto"/>
          <w:sz w:val="24"/>
          <w:szCs w:val="24"/>
        </w:rPr>
        <w:t xml:space="preserve"> by July 2022</w:t>
      </w:r>
      <w:r w:rsidR="0095043C" w:rsidRPr="00A102E3">
        <w:rPr>
          <w:rStyle w:val="A6"/>
          <w:rFonts w:asciiTheme="minorHAnsi" w:hAnsiTheme="minorHAnsi" w:cstheme="minorHAnsi"/>
          <w:color w:val="auto"/>
          <w:sz w:val="24"/>
          <w:szCs w:val="24"/>
        </w:rPr>
        <w:t>—</w:t>
      </w:r>
      <w:r w:rsidR="00EC31ED" w:rsidRPr="00A102E3">
        <w:rPr>
          <w:rStyle w:val="A6"/>
          <w:rFonts w:asciiTheme="minorHAnsi" w:hAnsiTheme="minorHAnsi" w:cstheme="minorHAnsi"/>
          <w:color w:val="auto"/>
          <w:sz w:val="24"/>
          <w:szCs w:val="24"/>
          <w:u w:val="single"/>
        </w:rPr>
        <w:t>that is over a year ago</w:t>
      </w:r>
      <w:r w:rsidR="00EC31ED" w:rsidRPr="00A102E3">
        <w:rPr>
          <w:rStyle w:val="A6"/>
          <w:rFonts w:asciiTheme="minorHAnsi" w:hAnsiTheme="minorHAnsi" w:cstheme="minorHAnsi"/>
          <w:color w:val="auto"/>
          <w:sz w:val="24"/>
          <w:szCs w:val="24"/>
        </w:rPr>
        <w:t xml:space="preserve">. </w:t>
      </w:r>
    </w:p>
    <w:p w14:paraId="3F4F2FD9" w14:textId="77777777" w:rsidR="00BE2136" w:rsidRPr="00A102E3" w:rsidRDefault="00BE2136" w:rsidP="00EC31ED">
      <w:pPr>
        <w:pStyle w:val="Default"/>
        <w:rPr>
          <w:rStyle w:val="A6"/>
          <w:rFonts w:asciiTheme="minorHAnsi" w:hAnsiTheme="minorHAnsi" w:cstheme="minorHAnsi"/>
          <w:color w:val="auto"/>
          <w:sz w:val="24"/>
          <w:szCs w:val="24"/>
        </w:rPr>
      </w:pPr>
    </w:p>
    <w:p w14:paraId="309EC491" w14:textId="22D4F68B" w:rsidR="00DC5BD6" w:rsidRPr="00A102E3" w:rsidRDefault="00EC31ED" w:rsidP="00EC31ED">
      <w:pPr>
        <w:pStyle w:val="Default"/>
        <w:rPr>
          <w:rStyle w:val="A6"/>
          <w:rFonts w:asciiTheme="minorHAnsi" w:hAnsiTheme="minorHAnsi" w:cstheme="minorHAnsi"/>
          <w:color w:val="auto"/>
          <w:sz w:val="24"/>
          <w:szCs w:val="24"/>
        </w:rPr>
      </w:pPr>
      <w:r w:rsidRPr="00A102E3">
        <w:rPr>
          <w:rStyle w:val="A6"/>
          <w:rFonts w:asciiTheme="minorHAnsi" w:hAnsiTheme="minorHAnsi" w:cstheme="minorHAnsi"/>
          <w:color w:val="auto"/>
          <w:sz w:val="24"/>
          <w:szCs w:val="24"/>
        </w:rPr>
        <w:t>The Draft Report notes that only NSW and the ACT have publicly released their expenditure reviews. It is mainly because of the absence of such up</w:t>
      </w:r>
      <w:r w:rsidR="0095043C" w:rsidRPr="00A102E3">
        <w:rPr>
          <w:rStyle w:val="A6"/>
          <w:rFonts w:asciiTheme="minorHAnsi" w:hAnsiTheme="minorHAnsi" w:cstheme="minorHAnsi"/>
          <w:color w:val="auto"/>
          <w:sz w:val="24"/>
          <w:szCs w:val="24"/>
        </w:rPr>
        <w:t>-</w:t>
      </w:r>
      <w:r w:rsidRPr="00A102E3">
        <w:rPr>
          <w:rStyle w:val="A6"/>
          <w:rFonts w:asciiTheme="minorHAnsi" w:hAnsiTheme="minorHAnsi" w:cstheme="minorHAnsi"/>
          <w:color w:val="auto"/>
          <w:sz w:val="24"/>
          <w:szCs w:val="24"/>
        </w:rPr>
        <w:t>to</w:t>
      </w:r>
      <w:r w:rsidR="0095043C" w:rsidRPr="00A102E3">
        <w:rPr>
          <w:rStyle w:val="A6"/>
          <w:rFonts w:asciiTheme="minorHAnsi" w:hAnsiTheme="minorHAnsi" w:cstheme="minorHAnsi"/>
          <w:color w:val="auto"/>
          <w:sz w:val="24"/>
          <w:szCs w:val="24"/>
        </w:rPr>
        <w:t>-</w:t>
      </w:r>
      <w:r w:rsidRPr="00A102E3">
        <w:rPr>
          <w:rStyle w:val="A6"/>
          <w:rFonts w:asciiTheme="minorHAnsi" w:hAnsiTheme="minorHAnsi" w:cstheme="minorHAnsi"/>
          <w:color w:val="auto"/>
          <w:sz w:val="24"/>
          <w:szCs w:val="24"/>
        </w:rPr>
        <w:t xml:space="preserve">date information that nationally significant debates about the level and composition of estimated expenditure on Indigenous people </w:t>
      </w:r>
      <w:r w:rsidR="008966B0" w:rsidRPr="00A102E3">
        <w:rPr>
          <w:rStyle w:val="A6"/>
          <w:rFonts w:asciiTheme="minorHAnsi" w:hAnsiTheme="minorHAnsi" w:cstheme="minorHAnsi"/>
          <w:color w:val="auto"/>
          <w:sz w:val="24"/>
          <w:szCs w:val="24"/>
        </w:rPr>
        <w:t xml:space="preserve">have needed to rely on the dated </w:t>
      </w:r>
      <w:r w:rsidR="008966B0" w:rsidRPr="00A102E3">
        <w:rPr>
          <w:rStyle w:val="A6"/>
          <w:rFonts w:asciiTheme="minorHAnsi" w:hAnsiTheme="minorHAnsi" w:cstheme="minorHAnsi"/>
          <w:i/>
          <w:iCs/>
          <w:color w:val="auto"/>
          <w:sz w:val="24"/>
          <w:szCs w:val="24"/>
        </w:rPr>
        <w:t>Indigenous Expenditure Report 2017</w:t>
      </w:r>
      <w:r w:rsidR="008966B0" w:rsidRPr="00A102E3">
        <w:rPr>
          <w:rStyle w:val="A6"/>
          <w:rFonts w:asciiTheme="minorHAnsi" w:hAnsiTheme="minorHAnsi" w:cstheme="minorHAnsi"/>
          <w:color w:val="auto"/>
          <w:sz w:val="24"/>
          <w:szCs w:val="24"/>
        </w:rPr>
        <w:t xml:space="preserve">. It is </w:t>
      </w:r>
      <w:r w:rsidR="00F93031">
        <w:rPr>
          <w:rStyle w:val="A6"/>
          <w:rFonts w:asciiTheme="minorHAnsi" w:hAnsiTheme="minorHAnsi" w:cstheme="minorHAnsi"/>
          <w:color w:val="auto"/>
          <w:sz w:val="24"/>
          <w:szCs w:val="24"/>
        </w:rPr>
        <w:t>unfortunate that just</w:t>
      </w:r>
      <w:r w:rsidR="008966B0" w:rsidRPr="00A102E3">
        <w:rPr>
          <w:rStyle w:val="A6"/>
          <w:rFonts w:asciiTheme="minorHAnsi" w:hAnsiTheme="minorHAnsi" w:cstheme="minorHAnsi"/>
          <w:color w:val="auto"/>
          <w:sz w:val="24"/>
          <w:szCs w:val="24"/>
        </w:rPr>
        <w:t xml:space="preserve"> as the National Agreement was being negotiated this reporting series that began in 2011 ended. What is clear is that having a clear understanding of the estimated division of expenditure between Indigenous-specific programs and mainstream programs and between Commonwealth and </w:t>
      </w:r>
      <w:r w:rsidR="0095043C" w:rsidRPr="00A102E3">
        <w:rPr>
          <w:rStyle w:val="A6"/>
          <w:rFonts w:asciiTheme="minorHAnsi" w:hAnsiTheme="minorHAnsi" w:cstheme="minorHAnsi"/>
          <w:color w:val="auto"/>
          <w:sz w:val="24"/>
          <w:szCs w:val="24"/>
        </w:rPr>
        <w:t>s</w:t>
      </w:r>
      <w:r w:rsidR="008966B0" w:rsidRPr="00A102E3">
        <w:rPr>
          <w:rStyle w:val="A6"/>
          <w:rFonts w:asciiTheme="minorHAnsi" w:hAnsiTheme="minorHAnsi" w:cstheme="minorHAnsi"/>
          <w:color w:val="auto"/>
          <w:sz w:val="24"/>
          <w:szCs w:val="24"/>
        </w:rPr>
        <w:t xml:space="preserve">tate and </w:t>
      </w:r>
      <w:r w:rsidR="0095043C" w:rsidRPr="00A102E3">
        <w:rPr>
          <w:rStyle w:val="A6"/>
          <w:rFonts w:asciiTheme="minorHAnsi" w:hAnsiTheme="minorHAnsi" w:cstheme="minorHAnsi"/>
          <w:color w:val="auto"/>
          <w:sz w:val="24"/>
          <w:szCs w:val="24"/>
        </w:rPr>
        <w:t>t</w:t>
      </w:r>
      <w:r w:rsidR="008966B0" w:rsidRPr="00A102E3">
        <w:rPr>
          <w:rStyle w:val="A6"/>
          <w:rFonts w:asciiTheme="minorHAnsi" w:hAnsiTheme="minorHAnsi" w:cstheme="minorHAnsi"/>
          <w:color w:val="auto"/>
          <w:sz w:val="24"/>
          <w:szCs w:val="24"/>
        </w:rPr>
        <w:t>erritory expenditures a</w:t>
      </w:r>
      <w:r w:rsidR="0095043C" w:rsidRPr="00A102E3">
        <w:rPr>
          <w:rStyle w:val="A6"/>
          <w:rFonts w:asciiTheme="minorHAnsi" w:hAnsiTheme="minorHAnsi" w:cstheme="minorHAnsi"/>
          <w:color w:val="auto"/>
          <w:sz w:val="24"/>
          <w:szCs w:val="24"/>
        </w:rPr>
        <w:t>re</w:t>
      </w:r>
      <w:r w:rsidR="008966B0" w:rsidRPr="00A102E3">
        <w:rPr>
          <w:rStyle w:val="A6"/>
          <w:rFonts w:asciiTheme="minorHAnsi" w:hAnsiTheme="minorHAnsi" w:cstheme="minorHAnsi"/>
          <w:color w:val="auto"/>
          <w:sz w:val="24"/>
          <w:szCs w:val="24"/>
        </w:rPr>
        <w:t xml:space="preserve"> essential element</w:t>
      </w:r>
      <w:r w:rsidR="0095043C" w:rsidRPr="00A102E3">
        <w:rPr>
          <w:rStyle w:val="A6"/>
          <w:rFonts w:asciiTheme="minorHAnsi" w:hAnsiTheme="minorHAnsi" w:cstheme="minorHAnsi"/>
          <w:color w:val="auto"/>
          <w:sz w:val="24"/>
          <w:szCs w:val="24"/>
        </w:rPr>
        <w:t>s</w:t>
      </w:r>
      <w:r w:rsidR="008966B0" w:rsidRPr="00A102E3">
        <w:rPr>
          <w:rStyle w:val="A6"/>
          <w:rFonts w:asciiTheme="minorHAnsi" w:hAnsiTheme="minorHAnsi" w:cstheme="minorHAnsi"/>
          <w:color w:val="auto"/>
          <w:sz w:val="24"/>
          <w:szCs w:val="24"/>
        </w:rPr>
        <w:t xml:space="preserve"> in any assessment of how need is to be underwritten and how measures to reduce Indigenous disadvantage are being financially met. Of especial importance is the </w:t>
      </w:r>
      <w:r w:rsidR="009D11AA" w:rsidRPr="00A102E3">
        <w:rPr>
          <w:rStyle w:val="A6"/>
          <w:rFonts w:asciiTheme="minorHAnsi" w:hAnsiTheme="minorHAnsi" w:cstheme="minorHAnsi"/>
          <w:color w:val="auto"/>
          <w:sz w:val="24"/>
          <w:szCs w:val="24"/>
        </w:rPr>
        <w:t xml:space="preserve">extra needs of Indigenous Australians due not just to historical legacy but also to current location of residence (remoteness) and the demographic composition of the population (youth dependency) as well as the extra costs of </w:t>
      </w:r>
      <w:r w:rsidR="00BE2136" w:rsidRPr="00A102E3">
        <w:rPr>
          <w:rStyle w:val="A6"/>
          <w:rFonts w:asciiTheme="minorHAnsi" w:hAnsiTheme="minorHAnsi" w:cstheme="minorHAnsi"/>
          <w:color w:val="auto"/>
          <w:sz w:val="24"/>
          <w:szCs w:val="24"/>
        </w:rPr>
        <w:t xml:space="preserve">remote </w:t>
      </w:r>
      <w:r w:rsidR="009D11AA" w:rsidRPr="00A102E3">
        <w:rPr>
          <w:rStyle w:val="A6"/>
          <w:rFonts w:asciiTheme="minorHAnsi" w:hAnsiTheme="minorHAnsi" w:cstheme="minorHAnsi"/>
          <w:color w:val="auto"/>
          <w:sz w:val="24"/>
          <w:szCs w:val="24"/>
        </w:rPr>
        <w:t xml:space="preserve">delivery of services and infrastructure. </w:t>
      </w:r>
    </w:p>
    <w:p w14:paraId="4060064E" w14:textId="77777777" w:rsidR="009D11AA" w:rsidRPr="00A102E3" w:rsidRDefault="009D11AA" w:rsidP="00EC31ED">
      <w:pPr>
        <w:pStyle w:val="Default"/>
        <w:rPr>
          <w:rStyle w:val="A6"/>
          <w:rFonts w:asciiTheme="minorHAnsi" w:hAnsiTheme="minorHAnsi" w:cstheme="minorHAnsi"/>
          <w:color w:val="auto"/>
          <w:sz w:val="24"/>
          <w:szCs w:val="24"/>
        </w:rPr>
      </w:pPr>
    </w:p>
    <w:p w14:paraId="29A11E45" w14:textId="0D891FCB" w:rsidR="00C72663" w:rsidRPr="00A102E3" w:rsidRDefault="00185CF6" w:rsidP="00C72663">
      <w:pPr>
        <w:pStyle w:val="Default"/>
        <w:rPr>
          <w:rStyle w:val="A6"/>
          <w:rFonts w:asciiTheme="minorHAnsi" w:hAnsiTheme="minorHAnsi" w:cstheme="minorHAnsi"/>
          <w:b/>
          <w:bCs/>
          <w:color w:val="auto"/>
          <w:sz w:val="24"/>
          <w:szCs w:val="24"/>
        </w:rPr>
      </w:pPr>
      <w:r w:rsidRPr="00A102E3">
        <w:rPr>
          <w:rStyle w:val="A6"/>
          <w:rFonts w:asciiTheme="minorHAnsi" w:hAnsiTheme="minorHAnsi" w:cstheme="minorHAnsi"/>
          <w:b/>
          <w:bCs/>
          <w:color w:val="auto"/>
          <w:sz w:val="24"/>
          <w:szCs w:val="24"/>
        </w:rPr>
        <w:t>The Draft Report’s</w:t>
      </w:r>
      <w:r w:rsidR="009D11AA" w:rsidRPr="00A102E3">
        <w:rPr>
          <w:rStyle w:val="A6"/>
          <w:rFonts w:asciiTheme="minorHAnsi" w:hAnsiTheme="minorHAnsi" w:cstheme="minorHAnsi"/>
          <w:b/>
          <w:bCs/>
          <w:color w:val="auto"/>
          <w:sz w:val="24"/>
          <w:szCs w:val="24"/>
        </w:rPr>
        <w:t xml:space="preserve"> recommendations</w:t>
      </w:r>
    </w:p>
    <w:p w14:paraId="21D5ED28" w14:textId="7EEF60A2" w:rsidR="00A85912" w:rsidRDefault="00C41CCE" w:rsidP="00AE35DE">
      <w:pPr>
        <w:pStyle w:val="Default"/>
        <w:rPr>
          <w:rStyle w:val="A6"/>
          <w:rFonts w:asciiTheme="minorHAnsi" w:hAnsiTheme="minorHAnsi" w:cstheme="minorHAnsi"/>
          <w:color w:val="auto"/>
          <w:sz w:val="24"/>
          <w:szCs w:val="24"/>
        </w:rPr>
      </w:pPr>
      <w:r>
        <w:rPr>
          <w:rStyle w:val="A6"/>
          <w:rFonts w:asciiTheme="minorHAnsi" w:hAnsiTheme="minorHAnsi" w:cstheme="minorHAnsi"/>
          <w:color w:val="auto"/>
          <w:sz w:val="24"/>
          <w:szCs w:val="24"/>
        </w:rPr>
        <w:t>While not privy to the negotiation of the</w:t>
      </w:r>
      <w:r w:rsidR="00AE35DE" w:rsidRPr="00A102E3">
        <w:rPr>
          <w:rStyle w:val="A6"/>
          <w:rFonts w:asciiTheme="minorHAnsi" w:hAnsiTheme="minorHAnsi" w:cstheme="minorHAnsi"/>
          <w:color w:val="auto"/>
          <w:sz w:val="24"/>
          <w:szCs w:val="24"/>
        </w:rPr>
        <w:t xml:space="preserve"> National Agreement</w:t>
      </w:r>
      <w:r w:rsidR="000839C5">
        <w:rPr>
          <w:rStyle w:val="A6"/>
          <w:rFonts w:asciiTheme="minorHAnsi" w:hAnsiTheme="minorHAnsi" w:cstheme="minorHAnsi"/>
          <w:color w:val="auto"/>
          <w:sz w:val="24"/>
          <w:szCs w:val="24"/>
        </w:rPr>
        <w:t>,</w:t>
      </w:r>
      <w:r w:rsidR="0095043C" w:rsidRPr="00A102E3">
        <w:rPr>
          <w:rStyle w:val="A6"/>
          <w:rFonts w:asciiTheme="minorHAnsi" w:hAnsiTheme="minorHAnsi" w:cstheme="minorHAnsi"/>
          <w:color w:val="auto"/>
          <w:sz w:val="24"/>
          <w:szCs w:val="24"/>
        </w:rPr>
        <w:t xml:space="preserve"> </w:t>
      </w:r>
      <w:r>
        <w:rPr>
          <w:rStyle w:val="A6"/>
          <w:rFonts w:asciiTheme="minorHAnsi" w:hAnsiTheme="minorHAnsi" w:cstheme="minorHAnsi"/>
          <w:color w:val="auto"/>
          <w:sz w:val="24"/>
          <w:szCs w:val="24"/>
        </w:rPr>
        <w:t>I sense that it reflects in large measure</w:t>
      </w:r>
      <w:r w:rsidR="00AE35DE" w:rsidRPr="00A102E3">
        <w:rPr>
          <w:rStyle w:val="A6"/>
          <w:rFonts w:asciiTheme="minorHAnsi" w:hAnsiTheme="minorHAnsi" w:cstheme="minorHAnsi"/>
          <w:color w:val="auto"/>
          <w:sz w:val="24"/>
          <w:szCs w:val="24"/>
        </w:rPr>
        <w:t xml:space="preserve"> </w:t>
      </w:r>
      <w:r w:rsidR="0095043C" w:rsidRPr="00A102E3">
        <w:rPr>
          <w:rStyle w:val="A6"/>
          <w:rFonts w:asciiTheme="minorHAnsi" w:hAnsiTheme="minorHAnsi" w:cstheme="minorHAnsi"/>
          <w:color w:val="auto"/>
          <w:sz w:val="24"/>
          <w:szCs w:val="24"/>
        </w:rPr>
        <w:t xml:space="preserve">a frustration </w:t>
      </w:r>
      <w:r>
        <w:rPr>
          <w:rStyle w:val="A6"/>
          <w:rFonts w:asciiTheme="minorHAnsi" w:hAnsiTheme="minorHAnsi" w:cstheme="minorHAnsi"/>
          <w:color w:val="auto"/>
          <w:sz w:val="24"/>
          <w:szCs w:val="24"/>
        </w:rPr>
        <w:t xml:space="preserve">articulated by the Coalition of Peaks at the absence of </w:t>
      </w:r>
      <w:r w:rsidR="00AE35DE" w:rsidRPr="00A102E3">
        <w:rPr>
          <w:rStyle w:val="A6"/>
          <w:rFonts w:asciiTheme="minorHAnsi" w:hAnsiTheme="minorHAnsi" w:cstheme="minorHAnsi"/>
          <w:color w:val="auto"/>
          <w:sz w:val="24"/>
          <w:szCs w:val="24"/>
        </w:rPr>
        <w:t>government</w:t>
      </w:r>
      <w:r>
        <w:rPr>
          <w:rStyle w:val="A6"/>
          <w:rFonts w:asciiTheme="minorHAnsi" w:hAnsiTheme="minorHAnsi" w:cstheme="minorHAnsi"/>
          <w:color w:val="auto"/>
          <w:sz w:val="24"/>
          <w:szCs w:val="24"/>
        </w:rPr>
        <w:t>s</w:t>
      </w:r>
      <w:r w:rsidR="008F581F">
        <w:rPr>
          <w:rStyle w:val="A6"/>
          <w:rFonts w:asciiTheme="minorHAnsi" w:hAnsiTheme="minorHAnsi" w:cstheme="minorHAnsi"/>
          <w:color w:val="auto"/>
          <w:sz w:val="24"/>
          <w:szCs w:val="24"/>
        </w:rPr>
        <w:t>’</w:t>
      </w:r>
      <w:r w:rsidR="00AE35DE" w:rsidRPr="00A102E3">
        <w:rPr>
          <w:rStyle w:val="A6"/>
          <w:rFonts w:asciiTheme="minorHAnsi" w:hAnsiTheme="minorHAnsi" w:cstheme="minorHAnsi"/>
          <w:color w:val="auto"/>
          <w:sz w:val="24"/>
          <w:szCs w:val="24"/>
        </w:rPr>
        <w:t xml:space="preserve"> accountability</w:t>
      </w:r>
      <w:r>
        <w:rPr>
          <w:rStyle w:val="A6"/>
          <w:rFonts w:asciiTheme="minorHAnsi" w:hAnsiTheme="minorHAnsi" w:cstheme="minorHAnsi"/>
          <w:color w:val="auto"/>
          <w:sz w:val="24"/>
          <w:szCs w:val="24"/>
        </w:rPr>
        <w:t>. D</w:t>
      </w:r>
      <w:r w:rsidR="00AE35DE" w:rsidRPr="00A102E3">
        <w:rPr>
          <w:rStyle w:val="A6"/>
          <w:rFonts w:asciiTheme="minorHAnsi" w:hAnsiTheme="minorHAnsi" w:cstheme="minorHAnsi"/>
          <w:color w:val="auto"/>
          <w:sz w:val="24"/>
          <w:szCs w:val="24"/>
        </w:rPr>
        <w:t xml:space="preserve">espite </w:t>
      </w:r>
      <w:r w:rsidR="0095043C" w:rsidRPr="00A102E3">
        <w:rPr>
          <w:rStyle w:val="A6"/>
          <w:rFonts w:asciiTheme="minorHAnsi" w:hAnsiTheme="minorHAnsi" w:cstheme="minorHAnsi"/>
          <w:color w:val="auto"/>
          <w:sz w:val="24"/>
          <w:szCs w:val="24"/>
        </w:rPr>
        <w:t>regular</w:t>
      </w:r>
      <w:r w:rsidR="00AE35DE" w:rsidRPr="00A102E3">
        <w:rPr>
          <w:rStyle w:val="A6"/>
          <w:rFonts w:asciiTheme="minorHAnsi" w:hAnsiTheme="minorHAnsi" w:cstheme="minorHAnsi"/>
          <w:color w:val="auto"/>
          <w:sz w:val="24"/>
          <w:szCs w:val="24"/>
        </w:rPr>
        <w:t xml:space="preserve"> reporting </w:t>
      </w:r>
      <w:r>
        <w:rPr>
          <w:rStyle w:val="A6"/>
          <w:rFonts w:asciiTheme="minorHAnsi" w:hAnsiTheme="minorHAnsi" w:cstheme="minorHAnsi"/>
          <w:color w:val="auto"/>
          <w:sz w:val="24"/>
          <w:szCs w:val="24"/>
        </w:rPr>
        <w:t xml:space="preserve">over a decade </w:t>
      </w:r>
      <w:r w:rsidR="004D516D">
        <w:rPr>
          <w:rStyle w:val="A6"/>
          <w:rFonts w:asciiTheme="minorHAnsi" w:hAnsiTheme="minorHAnsi" w:cstheme="minorHAnsi"/>
          <w:color w:val="auto"/>
          <w:sz w:val="24"/>
          <w:szCs w:val="24"/>
        </w:rPr>
        <w:t xml:space="preserve">to the Australian parliament </w:t>
      </w:r>
      <w:r w:rsidR="0095043C" w:rsidRPr="00A102E3">
        <w:rPr>
          <w:rStyle w:val="A6"/>
          <w:rFonts w:asciiTheme="minorHAnsi" w:hAnsiTheme="minorHAnsi" w:cstheme="minorHAnsi"/>
          <w:color w:val="auto"/>
          <w:sz w:val="24"/>
          <w:szCs w:val="24"/>
        </w:rPr>
        <w:t>that</w:t>
      </w:r>
      <w:r w:rsidR="00AE35DE" w:rsidRPr="00A102E3">
        <w:rPr>
          <w:rStyle w:val="A6"/>
          <w:rFonts w:asciiTheme="minorHAnsi" w:hAnsiTheme="minorHAnsi" w:cstheme="minorHAnsi"/>
          <w:color w:val="auto"/>
          <w:sz w:val="24"/>
          <w:szCs w:val="24"/>
        </w:rPr>
        <w:t xml:space="preserve"> NIRA </w:t>
      </w:r>
      <w:r w:rsidR="0095043C" w:rsidRPr="00A102E3">
        <w:rPr>
          <w:rStyle w:val="A6"/>
          <w:rFonts w:asciiTheme="minorHAnsi" w:hAnsiTheme="minorHAnsi" w:cstheme="minorHAnsi"/>
          <w:color w:val="auto"/>
          <w:sz w:val="24"/>
          <w:szCs w:val="24"/>
        </w:rPr>
        <w:t xml:space="preserve">was failing </w:t>
      </w:r>
      <w:r w:rsidR="00AE35DE" w:rsidRPr="00A102E3">
        <w:rPr>
          <w:rStyle w:val="A6"/>
          <w:rFonts w:asciiTheme="minorHAnsi" w:hAnsiTheme="minorHAnsi" w:cstheme="minorHAnsi"/>
          <w:color w:val="auto"/>
          <w:sz w:val="24"/>
          <w:szCs w:val="24"/>
        </w:rPr>
        <w:t>to meet its modest national targets</w:t>
      </w:r>
      <w:r w:rsidR="004D516D">
        <w:rPr>
          <w:rStyle w:val="A6"/>
          <w:rFonts w:asciiTheme="minorHAnsi" w:hAnsiTheme="minorHAnsi" w:cstheme="minorHAnsi"/>
          <w:color w:val="auto"/>
          <w:sz w:val="24"/>
          <w:szCs w:val="24"/>
        </w:rPr>
        <w:t>,</w:t>
      </w:r>
      <w:r>
        <w:rPr>
          <w:rStyle w:val="A6"/>
          <w:rFonts w:asciiTheme="minorHAnsi" w:hAnsiTheme="minorHAnsi" w:cstheme="minorHAnsi"/>
          <w:color w:val="auto"/>
          <w:sz w:val="24"/>
          <w:szCs w:val="24"/>
        </w:rPr>
        <w:t xml:space="preserve"> there was no correcting response</w:t>
      </w:r>
      <w:r w:rsidR="0095043C" w:rsidRPr="00A102E3">
        <w:rPr>
          <w:rStyle w:val="A6"/>
          <w:rFonts w:asciiTheme="minorHAnsi" w:hAnsiTheme="minorHAnsi" w:cstheme="minorHAnsi"/>
          <w:color w:val="auto"/>
          <w:sz w:val="24"/>
          <w:szCs w:val="24"/>
        </w:rPr>
        <w:t xml:space="preserve">. And </w:t>
      </w:r>
      <w:r w:rsidR="00DA1DC8" w:rsidRPr="00A102E3">
        <w:rPr>
          <w:rStyle w:val="A6"/>
          <w:rFonts w:asciiTheme="minorHAnsi" w:hAnsiTheme="minorHAnsi" w:cstheme="minorHAnsi"/>
          <w:color w:val="auto"/>
          <w:sz w:val="24"/>
          <w:szCs w:val="24"/>
        </w:rPr>
        <w:t>so,</w:t>
      </w:r>
      <w:r w:rsidR="0095043C" w:rsidRPr="00A102E3">
        <w:rPr>
          <w:rStyle w:val="A6"/>
          <w:rFonts w:asciiTheme="minorHAnsi" w:hAnsiTheme="minorHAnsi" w:cstheme="minorHAnsi"/>
          <w:color w:val="auto"/>
          <w:sz w:val="24"/>
          <w:szCs w:val="24"/>
        </w:rPr>
        <w:t xml:space="preserve"> </w:t>
      </w:r>
      <w:r>
        <w:rPr>
          <w:rStyle w:val="A6"/>
          <w:rFonts w:asciiTheme="minorHAnsi" w:hAnsiTheme="minorHAnsi" w:cstheme="minorHAnsi"/>
          <w:color w:val="auto"/>
          <w:sz w:val="24"/>
          <w:szCs w:val="24"/>
        </w:rPr>
        <w:t xml:space="preserve">perhaps to appease this frustration the National Agreement has </w:t>
      </w:r>
      <w:r w:rsidR="00AE35DE" w:rsidRPr="00A102E3">
        <w:rPr>
          <w:rStyle w:val="A6"/>
          <w:rFonts w:asciiTheme="minorHAnsi" w:hAnsiTheme="minorHAnsi" w:cstheme="minorHAnsi"/>
          <w:color w:val="auto"/>
          <w:sz w:val="24"/>
          <w:szCs w:val="24"/>
        </w:rPr>
        <w:t xml:space="preserve">created an evaluation behemoth. </w:t>
      </w:r>
      <w:r>
        <w:rPr>
          <w:rStyle w:val="A6"/>
          <w:rFonts w:asciiTheme="minorHAnsi" w:hAnsiTheme="minorHAnsi" w:cstheme="minorHAnsi"/>
          <w:color w:val="auto"/>
          <w:sz w:val="24"/>
          <w:szCs w:val="24"/>
        </w:rPr>
        <w:t xml:space="preserve">This reflects in my view a conflation of evaluation with accountability. </w:t>
      </w:r>
      <w:r w:rsidR="00AE35DE" w:rsidRPr="00A102E3">
        <w:rPr>
          <w:rStyle w:val="A6"/>
          <w:rFonts w:asciiTheme="minorHAnsi" w:hAnsiTheme="minorHAnsi" w:cstheme="minorHAnsi"/>
          <w:color w:val="auto"/>
          <w:sz w:val="24"/>
          <w:szCs w:val="24"/>
        </w:rPr>
        <w:t xml:space="preserve">And the Productivity Commission with a long track record in this policy space extended back over 20 years now has been identified </w:t>
      </w:r>
      <w:r>
        <w:rPr>
          <w:rStyle w:val="A6"/>
          <w:rFonts w:asciiTheme="minorHAnsi" w:hAnsiTheme="minorHAnsi" w:cstheme="minorHAnsi"/>
          <w:color w:val="auto"/>
          <w:sz w:val="24"/>
          <w:szCs w:val="24"/>
        </w:rPr>
        <w:t xml:space="preserve">in the Agreement </w:t>
      </w:r>
      <w:r w:rsidR="00AE35DE" w:rsidRPr="00A102E3">
        <w:rPr>
          <w:rStyle w:val="A6"/>
          <w:rFonts w:asciiTheme="minorHAnsi" w:hAnsiTheme="minorHAnsi" w:cstheme="minorHAnsi"/>
          <w:color w:val="auto"/>
          <w:sz w:val="24"/>
          <w:szCs w:val="24"/>
        </w:rPr>
        <w:t xml:space="preserve">as the appropriate body to participate in what I have termed in the past </w:t>
      </w:r>
      <w:r w:rsidR="0095043C" w:rsidRPr="00A102E3">
        <w:rPr>
          <w:rStyle w:val="A6"/>
          <w:rFonts w:asciiTheme="minorHAnsi" w:hAnsiTheme="minorHAnsi" w:cstheme="minorHAnsi"/>
          <w:color w:val="auto"/>
          <w:sz w:val="24"/>
          <w:szCs w:val="24"/>
        </w:rPr>
        <w:t>‘</w:t>
      </w:r>
      <w:r w:rsidR="00AE35DE" w:rsidRPr="00A102E3">
        <w:rPr>
          <w:rStyle w:val="A6"/>
          <w:rFonts w:asciiTheme="minorHAnsi" w:hAnsiTheme="minorHAnsi" w:cstheme="minorHAnsi"/>
          <w:color w:val="auto"/>
          <w:sz w:val="24"/>
          <w:szCs w:val="24"/>
        </w:rPr>
        <w:t>evaluation fetishism</w:t>
      </w:r>
      <w:r w:rsidR="0095043C" w:rsidRPr="00A102E3">
        <w:rPr>
          <w:rStyle w:val="A6"/>
          <w:rFonts w:asciiTheme="minorHAnsi" w:hAnsiTheme="minorHAnsi" w:cstheme="minorHAnsi"/>
          <w:color w:val="auto"/>
          <w:sz w:val="24"/>
          <w:szCs w:val="24"/>
        </w:rPr>
        <w:t>’</w:t>
      </w:r>
      <w:r w:rsidR="00AE35DE" w:rsidRPr="00A102E3">
        <w:rPr>
          <w:rStyle w:val="A6"/>
          <w:rFonts w:asciiTheme="minorHAnsi" w:hAnsiTheme="minorHAnsi" w:cstheme="minorHAnsi"/>
          <w:color w:val="auto"/>
          <w:sz w:val="24"/>
          <w:szCs w:val="24"/>
        </w:rPr>
        <w:t xml:space="preserve">. </w:t>
      </w:r>
      <w:r w:rsidR="00A85912">
        <w:rPr>
          <w:rStyle w:val="A6"/>
          <w:rFonts w:asciiTheme="minorHAnsi" w:hAnsiTheme="minorHAnsi" w:cstheme="minorHAnsi"/>
          <w:color w:val="auto"/>
          <w:sz w:val="24"/>
          <w:szCs w:val="24"/>
        </w:rPr>
        <w:t>This evaluation culture is escalating in part because the Agreement and the terms of reference for its review look not just to evaluate outcomes</w:t>
      </w:r>
      <w:r w:rsidR="000839C5">
        <w:rPr>
          <w:rStyle w:val="A6"/>
          <w:rFonts w:asciiTheme="minorHAnsi" w:hAnsiTheme="minorHAnsi" w:cstheme="minorHAnsi"/>
          <w:color w:val="auto"/>
          <w:sz w:val="24"/>
          <w:szCs w:val="24"/>
        </w:rPr>
        <w:t>,</w:t>
      </w:r>
      <w:r w:rsidR="00A85912">
        <w:rPr>
          <w:rStyle w:val="A6"/>
          <w:rFonts w:asciiTheme="minorHAnsi" w:hAnsiTheme="minorHAnsi" w:cstheme="minorHAnsi"/>
          <w:color w:val="auto"/>
          <w:sz w:val="24"/>
          <w:szCs w:val="24"/>
        </w:rPr>
        <w:t xml:space="preserve"> but also to evaluate the processes embedded in the four Priority Reforms.</w:t>
      </w:r>
    </w:p>
    <w:p w14:paraId="0F0DD10B" w14:textId="77777777" w:rsidR="00A85912" w:rsidRDefault="00A85912" w:rsidP="00AE35DE">
      <w:pPr>
        <w:pStyle w:val="Default"/>
        <w:rPr>
          <w:rStyle w:val="A6"/>
          <w:rFonts w:asciiTheme="minorHAnsi" w:hAnsiTheme="minorHAnsi" w:cstheme="minorHAnsi"/>
          <w:color w:val="auto"/>
          <w:sz w:val="24"/>
          <w:szCs w:val="24"/>
        </w:rPr>
      </w:pPr>
    </w:p>
    <w:p w14:paraId="1E831B6B" w14:textId="77777777" w:rsidR="00A85912" w:rsidRDefault="00A85912" w:rsidP="00AE35DE">
      <w:pPr>
        <w:pStyle w:val="Default"/>
        <w:rPr>
          <w:rFonts w:asciiTheme="minorHAnsi" w:hAnsiTheme="minorHAnsi" w:cstheme="minorHAnsi"/>
          <w:color w:val="auto"/>
        </w:rPr>
      </w:pPr>
      <w:r>
        <w:rPr>
          <w:rStyle w:val="A6"/>
          <w:rFonts w:asciiTheme="minorHAnsi" w:hAnsiTheme="minorHAnsi" w:cstheme="minorHAnsi"/>
          <w:color w:val="auto"/>
          <w:sz w:val="24"/>
          <w:szCs w:val="24"/>
        </w:rPr>
        <w:t>In December 2015, a</w:t>
      </w:r>
      <w:r w:rsidR="00AE35DE" w:rsidRPr="00A102E3">
        <w:rPr>
          <w:rStyle w:val="A6"/>
          <w:rFonts w:asciiTheme="minorHAnsi" w:hAnsiTheme="minorHAnsi" w:cstheme="minorHAnsi"/>
          <w:color w:val="auto"/>
          <w:sz w:val="24"/>
          <w:szCs w:val="24"/>
        </w:rPr>
        <w:t xml:space="preserve"> past chairman </w:t>
      </w:r>
      <w:r>
        <w:rPr>
          <w:rStyle w:val="A6"/>
          <w:rFonts w:asciiTheme="minorHAnsi" w:hAnsiTheme="minorHAnsi" w:cstheme="minorHAnsi"/>
          <w:color w:val="auto"/>
          <w:sz w:val="24"/>
          <w:szCs w:val="24"/>
        </w:rPr>
        <w:t xml:space="preserve">of the Productivity Commission </w:t>
      </w:r>
      <w:r w:rsidR="00AE35DE" w:rsidRPr="00A102E3">
        <w:rPr>
          <w:rStyle w:val="A6"/>
          <w:rFonts w:asciiTheme="minorHAnsi" w:hAnsiTheme="minorHAnsi" w:cstheme="minorHAnsi"/>
          <w:color w:val="auto"/>
          <w:sz w:val="24"/>
          <w:szCs w:val="24"/>
        </w:rPr>
        <w:t xml:space="preserve">Peter Harris </w:t>
      </w:r>
      <w:r>
        <w:rPr>
          <w:rStyle w:val="A6"/>
          <w:rFonts w:asciiTheme="minorHAnsi" w:hAnsiTheme="minorHAnsi" w:cstheme="minorHAnsi"/>
          <w:color w:val="auto"/>
          <w:sz w:val="24"/>
          <w:szCs w:val="24"/>
        </w:rPr>
        <w:t>warned of the dangers of escalating evaluations</w:t>
      </w:r>
      <w:r w:rsidR="00AE35DE" w:rsidRPr="00A102E3">
        <w:rPr>
          <w:rStyle w:val="A6"/>
          <w:rFonts w:asciiTheme="minorHAnsi" w:hAnsiTheme="minorHAnsi" w:cstheme="minorHAnsi"/>
          <w:color w:val="auto"/>
          <w:sz w:val="24"/>
          <w:szCs w:val="24"/>
        </w:rPr>
        <w:t>. I</w:t>
      </w:r>
      <w:r w:rsidR="00AE35DE" w:rsidRPr="00A102E3">
        <w:rPr>
          <w:rFonts w:asciiTheme="minorHAnsi" w:hAnsiTheme="minorHAnsi" w:cstheme="minorHAnsi"/>
          <w:color w:val="auto"/>
        </w:rPr>
        <w:t xml:space="preserve">n the preface to the comprehensive </w:t>
      </w:r>
      <w:r w:rsidR="00AE35DE" w:rsidRPr="00A85912">
        <w:rPr>
          <w:rFonts w:asciiTheme="minorHAnsi" w:hAnsiTheme="minorHAnsi" w:cstheme="minorHAnsi"/>
          <w:i/>
          <w:iCs/>
          <w:color w:val="auto"/>
        </w:rPr>
        <w:t>National Indigenous Reform Agreement Performance Assessment 2014–15</w:t>
      </w:r>
      <w:r w:rsidR="00AE35DE" w:rsidRPr="00A102E3">
        <w:rPr>
          <w:rFonts w:asciiTheme="minorHAnsi" w:hAnsiTheme="minorHAnsi" w:cstheme="minorHAnsi"/>
          <w:color w:val="auto"/>
        </w:rPr>
        <w:t xml:space="preserve"> he stated: ‘Our report advocates two main changes in approach — a much greater emphasis on policy evaluation (knowing more about what works and why is the key to designing policies that achieve positive outcomes for Aboriginal and Torres Strait Islander Australians) and rationalising the current extensive and overlapping reporting on Indigenous outcomes and disadvantage’.</w:t>
      </w:r>
    </w:p>
    <w:p w14:paraId="1CCA8D16" w14:textId="77777777" w:rsidR="00A85912" w:rsidRDefault="00A85912" w:rsidP="00AE35DE">
      <w:pPr>
        <w:pStyle w:val="Default"/>
        <w:rPr>
          <w:rFonts w:asciiTheme="minorHAnsi" w:hAnsiTheme="minorHAnsi" w:cstheme="minorHAnsi"/>
          <w:color w:val="auto"/>
        </w:rPr>
      </w:pPr>
    </w:p>
    <w:p w14:paraId="2483FD3B" w14:textId="5EBB7B73" w:rsidR="00AE35DE" w:rsidRPr="00A102E3" w:rsidRDefault="0095043C" w:rsidP="00AE35DE">
      <w:pPr>
        <w:pStyle w:val="Default"/>
        <w:rPr>
          <w:rFonts w:asciiTheme="minorHAnsi" w:hAnsiTheme="minorHAnsi" w:cstheme="minorHAnsi"/>
          <w:color w:val="auto"/>
        </w:rPr>
      </w:pPr>
      <w:r w:rsidRPr="00A102E3">
        <w:rPr>
          <w:rFonts w:asciiTheme="minorHAnsi" w:hAnsiTheme="minorHAnsi" w:cstheme="minorHAnsi"/>
          <w:color w:val="auto"/>
        </w:rPr>
        <w:t>Unfortunately</w:t>
      </w:r>
      <w:r w:rsidR="00AE35DE" w:rsidRPr="00A102E3">
        <w:rPr>
          <w:rFonts w:asciiTheme="minorHAnsi" w:hAnsiTheme="minorHAnsi" w:cstheme="minorHAnsi"/>
          <w:color w:val="auto"/>
        </w:rPr>
        <w:t xml:space="preserve">, the </w:t>
      </w:r>
      <w:r w:rsidR="00A85912">
        <w:rPr>
          <w:rFonts w:asciiTheme="minorHAnsi" w:hAnsiTheme="minorHAnsi" w:cstheme="minorHAnsi"/>
          <w:color w:val="auto"/>
        </w:rPr>
        <w:t>parties to the National Agreement</w:t>
      </w:r>
      <w:r w:rsidR="00AE35DE" w:rsidRPr="00A102E3">
        <w:rPr>
          <w:rFonts w:asciiTheme="minorHAnsi" w:hAnsiTheme="minorHAnsi" w:cstheme="minorHAnsi"/>
          <w:color w:val="auto"/>
        </w:rPr>
        <w:t xml:space="preserve"> ha</w:t>
      </w:r>
      <w:r w:rsidRPr="00A102E3">
        <w:rPr>
          <w:rFonts w:asciiTheme="minorHAnsi" w:hAnsiTheme="minorHAnsi" w:cstheme="minorHAnsi"/>
          <w:color w:val="auto"/>
        </w:rPr>
        <w:t>ve</w:t>
      </w:r>
      <w:r w:rsidR="00AE35DE" w:rsidRPr="00A102E3">
        <w:rPr>
          <w:rFonts w:asciiTheme="minorHAnsi" w:hAnsiTheme="minorHAnsi" w:cstheme="minorHAnsi"/>
          <w:color w:val="auto"/>
        </w:rPr>
        <w:t xml:space="preserve"> not heeded this sound advice. </w:t>
      </w:r>
      <w:r w:rsidR="00A85912">
        <w:rPr>
          <w:rFonts w:asciiTheme="minorHAnsi" w:hAnsiTheme="minorHAnsi" w:cstheme="minorHAnsi"/>
          <w:color w:val="auto"/>
        </w:rPr>
        <w:t xml:space="preserve">And so, the </w:t>
      </w:r>
      <w:r w:rsidRPr="00A102E3">
        <w:rPr>
          <w:rFonts w:asciiTheme="minorHAnsi" w:hAnsiTheme="minorHAnsi" w:cstheme="minorHAnsi"/>
          <w:color w:val="auto"/>
        </w:rPr>
        <w:t>Productivity Commission</w:t>
      </w:r>
      <w:r w:rsidR="00AE35DE" w:rsidRPr="00A102E3">
        <w:rPr>
          <w:rFonts w:asciiTheme="minorHAnsi" w:hAnsiTheme="minorHAnsi" w:cstheme="minorHAnsi"/>
          <w:color w:val="auto"/>
        </w:rPr>
        <w:t xml:space="preserve"> </w:t>
      </w:r>
      <w:r w:rsidR="00A85912">
        <w:rPr>
          <w:rFonts w:asciiTheme="minorHAnsi" w:hAnsiTheme="minorHAnsi" w:cstheme="minorHAnsi"/>
          <w:color w:val="auto"/>
        </w:rPr>
        <w:t xml:space="preserve">is </w:t>
      </w:r>
      <w:r w:rsidR="000839C5">
        <w:rPr>
          <w:rFonts w:asciiTheme="minorHAnsi" w:hAnsiTheme="minorHAnsi" w:cstheme="minorHAnsi"/>
          <w:color w:val="auto"/>
        </w:rPr>
        <w:t>requir</w:t>
      </w:r>
      <w:r w:rsidR="00A85912">
        <w:rPr>
          <w:rFonts w:asciiTheme="minorHAnsi" w:hAnsiTheme="minorHAnsi" w:cstheme="minorHAnsi"/>
          <w:color w:val="auto"/>
        </w:rPr>
        <w:t>ed</w:t>
      </w:r>
      <w:r w:rsidR="00AE35DE" w:rsidRPr="00A102E3">
        <w:rPr>
          <w:rFonts w:asciiTheme="minorHAnsi" w:hAnsiTheme="minorHAnsi" w:cstheme="minorHAnsi"/>
          <w:color w:val="auto"/>
        </w:rPr>
        <w:t xml:space="preserve"> to produce detailed </w:t>
      </w:r>
      <w:r w:rsidR="00A85912">
        <w:rPr>
          <w:rFonts w:asciiTheme="minorHAnsi" w:hAnsiTheme="minorHAnsi" w:cstheme="minorHAnsi"/>
          <w:color w:val="auto"/>
        </w:rPr>
        <w:t>(</w:t>
      </w:r>
      <w:r w:rsidR="00AE35DE" w:rsidRPr="00A102E3">
        <w:rPr>
          <w:rFonts w:asciiTheme="minorHAnsi" w:hAnsiTheme="minorHAnsi" w:cstheme="minorHAnsi"/>
          <w:color w:val="auto"/>
        </w:rPr>
        <w:t>and expensive</w:t>
      </w:r>
      <w:r w:rsidR="00A85912">
        <w:rPr>
          <w:rFonts w:asciiTheme="minorHAnsi" w:hAnsiTheme="minorHAnsi" w:cstheme="minorHAnsi"/>
          <w:color w:val="auto"/>
        </w:rPr>
        <w:t>)</w:t>
      </w:r>
      <w:r w:rsidR="00AE35DE" w:rsidRPr="00A102E3">
        <w:rPr>
          <w:rFonts w:asciiTheme="minorHAnsi" w:hAnsiTheme="minorHAnsi" w:cstheme="minorHAnsi"/>
          <w:color w:val="auto"/>
        </w:rPr>
        <w:t xml:space="preserve"> report after report carefully documenting the nation’s failure to properly address Indigenous disadvantage. But it </w:t>
      </w:r>
      <w:r w:rsidR="00A85912">
        <w:rPr>
          <w:rFonts w:asciiTheme="minorHAnsi" w:hAnsiTheme="minorHAnsi" w:cstheme="minorHAnsi"/>
          <w:color w:val="auto"/>
        </w:rPr>
        <w:t>is not asked to</w:t>
      </w:r>
      <w:r w:rsidR="00AE35DE" w:rsidRPr="00A102E3">
        <w:rPr>
          <w:rFonts w:asciiTheme="minorHAnsi" w:hAnsiTheme="minorHAnsi" w:cstheme="minorHAnsi"/>
          <w:color w:val="auto"/>
        </w:rPr>
        <w:t xml:space="preserve"> address the first order issue: </w:t>
      </w:r>
      <w:r w:rsidRPr="00A102E3">
        <w:rPr>
          <w:rFonts w:asciiTheme="minorHAnsi" w:hAnsiTheme="minorHAnsi" w:cstheme="minorHAnsi"/>
          <w:color w:val="auto"/>
        </w:rPr>
        <w:t>I</w:t>
      </w:r>
      <w:r w:rsidR="00AE35DE" w:rsidRPr="00A102E3">
        <w:rPr>
          <w:rFonts w:asciiTheme="minorHAnsi" w:hAnsiTheme="minorHAnsi" w:cstheme="minorHAnsi"/>
          <w:color w:val="auto"/>
        </w:rPr>
        <w:t>s the National Agreement a sound basis for policy formation? And will valorising notions of statistical improvements at the national level for Indigenous populations as state-defined statistical subjects generate positive wellbeing outcomes for First Nations people in all their diversity?</w:t>
      </w:r>
    </w:p>
    <w:p w14:paraId="0120862F" w14:textId="77777777" w:rsidR="00276FE6" w:rsidRPr="00A102E3" w:rsidRDefault="00276FE6" w:rsidP="00AE35DE">
      <w:pPr>
        <w:pStyle w:val="Default"/>
        <w:rPr>
          <w:rFonts w:asciiTheme="minorHAnsi" w:hAnsiTheme="minorHAnsi" w:cstheme="minorHAnsi"/>
          <w:color w:val="auto"/>
        </w:rPr>
      </w:pPr>
    </w:p>
    <w:p w14:paraId="3E13393E" w14:textId="7CFF6711" w:rsidR="00276FE6" w:rsidRPr="00A102E3" w:rsidRDefault="00276FE6" w:rsidP="00AE35DE">
      <w:pPr>
        <w:pStyle w:val="Default"/>
        <w:rPr>
          <w:rFonts w:asciiTheme="minorHAnsi" w:hAnsiTheme="minorHAnsi" w:cstheme="minorHAnsi"/>
          <w:color w:val="auto"/>
        </w:rPr>
      </w:pPr>
      <w:r w:rsidRPr="00A102E3">
        <w:rPr>
          <w:rFonts w:asciiTheme="minorHAnsi" w:hAnsiTheme="minorHAnsi" w:cstheme="minorHAnsi"/>
          <w:color w:val="auto"/>
        </w:rPr>
        <w:lastRenderedPageBreak/>
        <w:t xml:space="preserve">I am concerned that some of the contradictions and tensions in the National Agreement will see it fail to achieve its </w:t>
      </w:r>
      <w:r w:rsidR="004D516D">
        <w:rPr>
          <w:rFonts w:asciiTheme="minorHAnsi" w:hAnsiTheme="minorHAnsi" w:cstheme="minorHAnsi"/>
          <w:color w:val="auto"/>
        </w:rPr>
        <w:t>important</w:t>
      </w:r>
      <w:r w:rsidRPr="00A102E3">
        <w:rPr>
          <w:rFonts w:asciiTheme="minorHAnsi" w:hAnsiTheme="minorHAnsi" w:cstheme="minorHAnsi"/>
          <w:color w:val="auto"/>
        </w:rPr>
        <w:t xml:space="preserve"> </w:t>
      </w:r>
      <w:r w:rsidR="009362EE">
        <w:rPr>
          <w:rFonts w:asciiTheme="minorHAnsi" w:hAnsiTheme="minorHAnsi" w:cstheme="minorHAnsi"/>
          <w:color w:val="auto"/>
        </w:rPr>
        <w:t>P</w:t>
      </w:r>
      <w:r w:rsidRPr="00A102E3">
        <w:rPr>
          <w:rFonts w:asciiTheme="minorHAnsi" w:hAnsiTheme="minorHAnsi" w:cstheme="minorHAnsi"/>
          <w:color w:val="auto"/>
        </w:rPr>
        <w:t xml:space="preserve">riority </w:t>
      </w:r>
      <w:r w:rsidR="009362EE">
        <w:rPr>
          <w:rFonts w:asciiTheme="minorHAnsi" w:hAnsiTheme="minorHAnsi" w:cstheme="minorHAnsi"/>
          <w:color w:val="auto"/>
        </w:rPr>
        <w:t>R</w:t>
      </w:r>
      <w:r w:rsidRPr="00A102E3">
        <w:rPr>
          <w:rFonts w:asciiTheme="minorHAnsi" w:hAnsiTheme="minorHAnsi" w:cstheme="minorHAnsi"/>
          <w:color w:val="auto"/>
        </w:rPr>
        <w:t xml:space="preserve">eforms and </w:t>
      </w:r>
      <w:r w:rsidR="004D516D">
        <w:rPr>
          <w:rFonts w:asciiTheme="minorHAnsi" w:hAnsiTheme="minorHAnsi" w:cstheme="minorHAnsi"/>
          <w:color w:val="auto"/>
        </w:rPr>
        <w:t xml:space="preserve">modest </w:t>
      </w:r>
      <w:r w:rsidRPr="00A102E3">
        <w:rPr>
          <w:rFonts w:asciiTheme="minorHAnsi" w:hAnsiTheme="minorHAnsi" w:cstheme="minorHAnsi"/>
          <w:color w:val="auto"/>
        </w:rPr>
        <w:t>socioeconomic targets</w:t>
      </w:r>
      <w:r w:rsidR="00A85912">
        <w:rPr>
          <w:rFonts w:asciiTheme="minorHAnsi" w:hAnsiTheme="minorHAnsi" w:cstheme="minorHAnsi"/>
          <w:color w:val="auto"/>
        </w:rPr>
        <w:t xml:space="preserve"> over its ten</w:t>
      </w:r>
      <w:r w:rsidR="004D516D">
        <w:rPr>
          <w:rFonts w:asciiTheme="minorHAnsi" w:hAnsiTheme="minorHAnsi" w:cstheme="minorHAnsi"/>
          <w:color w:val="auto"/>
        </w:rPr>
        <w:t>-</w:t>
      </w:r>
      <w:r w:rsidR="00A85912">
        <w:rPr>
          <w:rFonts w:asciiTheme="minorHAnsi" w:hAnsiTheme="minorHAnsi" w:cstheme="minorHAnsi"/>
          <w:color w:val="auto"/>
        </w:rPr>
        <w:t>year (initial) life</w:t>
      </w:r>
      <w:r w:rsidRPr="00A102E3">
        <w:rPr>
          <w:rFonts w:asciiTheme="minorHAnsi" w:hAnsiTheme="minorHAnsi" w:cstheme="minorHAnsi"/>
          <w:color w:val="auto"/>
        </w:rPr>
        <w:t xml:space="preserve">. I recognise that a great deal of work has been invested in negotiating the National Agreement and its numerous actions at national and subnational levels with associated outputs and outcomes evaluations </w:t>
      </w:r>
      <w:r w:rsidR="004D516D">
        <w:rPr>
          <w:rFonts w:asciiTheme="minorHAnsi" w:hAnsiTheme="minorHAnsi" w:cstheme="minorHAnsi"/>
          <w:color w:val="auto"/>
        </w:rPr>
        <w:t xml:space="preserve">to be undertaken </w:t>
      </w:r>
      <w:r w:rsidRPr="00A102E3">
        <w:rPr>
          <w:rFonts w:asciiTheme="minorHAnsi" w:hAnsiTheme="minorHAnsi" w:cstheme="minorHAnsi"/>
          <w:color w:val="auto"/>
        </w:rPr>
        <w:t>by both the Productivity Commission and an Aboriginal and Torres Strait Islander led review</w:t>
      </w:r>
      <w:r w:rsidR="00A85912">
        <w:rPr>
          <w:rFonts w:asciiTheme="minorHAnsi" w:hAnsiTheme="minorHAnsi" w:cstheme="minorHAnsi"/>
          <w:color w:val="auto"/>
        </w:rPr>
        <w:t>, with</w:t>
      </w:r>
      <w:r w:rsidRPr="00A102E3">
        <w:rPr>
          <w:rFonts w:asciiTheme="minorHAnsi" w:hAnsiTheme="minorHAnsi" w:cstheme="minorHAnsi"/>
          <w:color w:val="auto"/>
        </w:rPr>
        <w:t xml:space="preserve"> </w:t>
      </w:r>
      <w:r w:rsidR="00A85912">
        <w:rPr>
          <w:rFonts w:asciiTheme="minorHAnsi" w:hAnsiTheme="minorHAnsi" w:cstheme="minorHAnsi"/>
          <w:color w:val="auto"/>
        </w:rPr>
        <w:t>t</w:t>
      </w:r>
      <w:r w:rsidRPr="00A102E3">
        <w:rPr>
          <w:rFonts w:asciiTheme="minorHAnsi" w:hAnsiTheme="minorHAnsi" w:cstheme="minorHAnsi"/>
          <w:color w:val="auto"/>
        </w:rPr>
        <w:t xml:space="preserve">he latter a welcome prospect </w:t>
      </w:r>
      <w:r w:rsidR="00A85912">
        <w:rPr>
          <w:rFonts w:asciiTheme="minorHAnsi" w:hAnsiTheme="minorHAnsi" w:cstheme="minorHAnsi"/>
          <w:color w:val="auto"/>
        </w:rPr>
        <w:t>if it can capture the diversity of Indigenous circumstances</w:t>
      </w:r>
      <w:r w:rsidRPr="00A102E3">
        <w:rPr>
          <w:rFonts w:asciiTheme="minorHAnsi" w:hAnsiTheme="minorHAnsi" w:cstheme="minorHAnsi"/>
          <w:color w:val="auto"/>
        </w:rPr>
        <w:t xml:space="preserve">. But it also has a downside as this </w:t>
      </w:r>
      <w:r w:rsidR="002E3751" w:rsidRPr="00A102E3">
        <w:rPr>
          <w:rFonts w:asciiTheme="minorHAnsi" w:hAnsiTheme="minorHAnsi" w:cstheme="minorHAnsi"/>
          <w:color w:val="auto"/>
        </w:rPr>
        <w:t>latter review</w:t>
      </w:r>
      <w:r w:rsidRPr="00A102E3">
        <w:rPr>
          <w:rFonts w:asciiTheme="minorHAnsi" w:hAnsiTheme="minorHAnsi" w:cstheme="minorHAnsi"/>
          <w:color w:val="auto"/>
        </w:rPr>
        <w:t xml:space="preserve"> will be based </w:t>
      </w:r>
      <w:r w:rsidR="002E3751" w:rsidRPr="00A102E3">
        <w:rPr>
          <w:rFonts w:asciiTheme="minorHAnsi" w:hAnsiTheme="minorHAnsi" w:cstheme="minorHAnsi"/>
          <w:color w:val="auto"/>
        </w:rPr>
        <w:t xml:space="preserve">on advice from the Coalition of Peaks, </w:t>
      </w:r>
      <w:r w:rsidR="004D516D">
        <w:rPr>
          <w:rFonts w:asciiTheme="minorHAnsi" w:hAnsiTheme="minorHAnsi" w:cstheme="minorHAnsi"/>
          <w:color w:val="auto"/>
        </w:rPr>
        <w:t>a key</w:t>
      </w:r>
      <w:r w:rsidR="002E3751" w:rsidRPr="00A102E3">
        <w:rPr>
          <w:rFonts w:asciiTheme="minorHAnsi" w:hAnsiTheme="minorHAnsi" w:cstheme="minorHAnsi"/>
          <w:color w:val="auto"/>
        </w:rPr>
        <w:t xml:space="preserve"> </w:t>
      </w:r>
      <w:r w:rsidR="004D516D">
        <w:rPr>
          <w:rFonts w:asciiTheme="minorHAnsi" w:hAnsiTheme="minorHAnsi" w:cstheme="minorHAnsi"/>
          <w:color w:val="auto"/>
        </w:rPr>
        <w:t>member</w:t>
      </w:r>
      <w:r w:rsidR="002E3751" w:rsidRPr="00A102E3">
        <w:rPr>
          <w:rFonts w:asciiTheme="minorHAnsi" w:hAnsiTheme="minorHAnsi" w:cstheme="minorHAnsi"/>
          <w:color w:val="auto"/>
        </w:rPr>
        <w:t xml:space="preserve"> on the Joint Council and a co-designer and signatory to the National Agreement. </w:t>
      </w:r>
    </w:p>
    <w:p w14:paraId="6E5979DE" w14:textId="77777777" w:rsidR="002E3751" w:rsidRPr="00A102E3" w:rsidRDefault="002E3751" w:rsidP="00AE35DE">
      <w:pPr>
        <w:pStyle w:val="Default"/>
        <w:rPr>
          <w:rFonts w:asciiTheme="minorHAnsi" w:hAnsiTheme="minorHAnsi" w:cstheme="minorHAnsi"/>
          <w:color w:val="auto"/>
        </w:rPr>
      </w:pPr>
    </w:p>
    <w:p w14:paraId="492533BD" w14:textId="3FC94D6A" w:rsidR="004D516D" w:rsidRDefault="002E3751" w:rsidP="00AE35DE">
      <w:pPr>
        <w:pStyle w:val="Default"/>
        <w:rPr>
          <w:rFonts w:asciiTheme="minorHAnsi" w:hAnsiTheme="minorHAnsi" w:cstheme="minorHAnsi"/>
          <w:color w:val="auto"/>
        </w:rPr>
      </w:pPr>
      <w:r w:rsidRPr="00A102E3">
        <w:rPr>
          <w:rFonts w:asciiTheme="minorHAnsi" w:hAnsiTheme="minorHAnsi" w:cstheme="minorHAnsi"/>
          <w:color w:val="auto"/>
        </w:rPr>
        <w:t xml:space="preserve">The National Agreement needs to grapple with several foundational issues. One is that it is too </w:t>
      </w:r>
      <w:r w:rsidR="004D516D" w:rsidRPr="00A102E3">
        <w:rPr>
          <w:rFonts w:asciiTheme="minorHAnsi" w:hAnsiTheme="minorHAnsi" w:cstheme="minorHAnsi"/>
          <w:color w:val="auto"/>
        </w:rPr>
        <w:t>c</w:t>
      </w:r>
      <w:r w:rsidR="004D516D">
        <w:rPr>
          <w:rFonts w:asciiTheme="minorHAnsi" w:hAnsiTheme="minorHAnsi" w:cstheme="minorHAnsi"/>
          <w:color w:val="auto"/>
        </w:rPr>
        <w:t>omplicated</w:t>
      </w:r>
      <w:r w:rsidR="004D516D" w:rsidRPr="00A102E3">
        <w:rPr>
          <w:rFonts w:asciiTheme="minorHAnsi" w:hAnsiTheme="minorHAnsi" w:cstheme="minorHAnsi"/>
          <w:color w:val="auto"/>
        </w:rPr>
        <w:t>,</w:t>
      </w:r>
      <w:r w:rsidRPr="00A102E3">
        <w:rPr>
          <w:rFonts w:asciiTheme="minorHAnsi" w:hAnsiTheme="minorHAnsi" w:cstheme="minorHAnsi"/>
          <w:color w:val="auto"/>
        </w:rPr>
        <w:t xml:space="preserve"> and </w:t>
      </w:r>
      <w:r w:rsidR="004D516D">
        <w:rPr>
          <w:rFonts w:asciiTheme="minorHAnsi" w:hAnsiTheme="minorHAnsi" w:cstheme="minorHAnsi"/>
          <w:color w:val="auto"/>
        </w:rPr>
        <w:t>most</w:t>
      </w:r>
      <w:r w:rsidRPr="00A102E3">
        <w:rPr>
          <w:rFonts w:asciiTheme="minorHAnsi" w:hAnsiTheme="minorHAnsi" w:cstheme="minorHAnsi"/>
          <w:color w:val="auto"/>
        </w:rPr>
        <w:t xml:space="preserve"> signatories </w:t>
      </w:r>
      <w:r w:rsidR="004D516D">
        <w:rPr>
          <w:rFonts w:asciiTheme="minorHAnsi" w:hAnsiTheme="minorHAnsi" w:cstheme="minorHAnsi"/>
          <w:color w:val="auto"/>
        </w:rPr>
        <w:t>are</w:t>
      </w:r>
      <w:r w:rsidRPr="00A102E3">
        <w:rPr>
          <w:rFonts w:asciiTheme="minorHAnsi" w:hAnsiTheme="minorHAnsi" w:cstheme="minorHAnsi"/>
          <w:color w:val="auto"/>
        </w:rPr>
        <w:t xml:space="preserve"> unwilling or unable to meet their implementation and reporting commitments in a timely manner. The setting of national targets prior to receiving subnational, community and regional input on needs and priorities forecloses opportunity to respond </w:t>
      </w:r>
      <w:r w:rsidR="004D516D">
        <w:rPr>
          <w:rFonts w:asciiTheme="minorHAnsi" w:hAnsiTheme="minorHAnsi" w:cstheme="minorHAnsi"/>
          <w:color w:val="auto"/>
        </w:rPr>
        <w:t xml:space="preserve">even if these are eventually </w:t>
      </w:r>
      <w:r w:rsidRPr="00A102E3">
        <w:rPr>
          <w:rFonts w:asciiTheme="minorHAnsi" w:hAnsiTheme="minorHAnsi" w:cstheme="minorHAnsi"/>
          <w:color w:val="auto"/>
        </w:rPr>
        <w:t>properly documented. As an element here the tensions and contradictions embedded in the now 19 targets need to be urgently addressed by the Joint Council. The Productivity Commission should be able to assist in such an exercise</w:t>
      </w:r>
      <w:r w:rsidR="004D516D">
        <w:rPr>
          <w:rFonts w:asciiTheme="minorHAnsi" w:hAnsiTheme="minorHAnsi" w:cstheme="minorHAnsi"/>
          <w:color w:val="auto"/>
        </w:rPr>
        <w:t>,</w:t>
      </w:r>
      <w:r w:rsidRPr="00A102E3">
        <w:rPr>
          <w:rFonts w:asciiTheme="minorHAnsi" w:hAnsiTheme="minorHAnsi" w:cstheme="minorHAnsi"/>
          <w:color w:val="auto"/>
        </w:rPr>
        <w:t xml:space="preserve"> as might other </w:t>
      </w:r>
      <w:r w:rsidR="00B42E1D" w:rsidRPr="00A102E3">
        <w:rPr>
          <w:rFonts w:asciiTheme="minorHAnsi" w:hAnsiTheme="minorHAnsi" w:cstheme="minorHAnsi"/>
          <w:color w:val="auto"/>
        </w:rPr>
        <w:t xml:space="preserve">more </w:t>
      </w:r>
      <w:r w:rsidRPr="00A102E3">
        <w:rPr>
          <w:rFonts w:asciiTheme="minorHAnsi" w:hAnsiTheme="minorHAnsi" w:cstheme="minorHAnsi"/>
          <w:color w:val="auto"/>
        </w:rPr>
        <w:t>independent players</w:t>
      </w:r>
      <w:r w:rsidR="00B42E1D" w:rsidRPr="00A102E3">
        <w:rPr>
          <w:rFonts w:asciiTheme="minorHAnsi" w:hAnsiTheme="minorHAnsi" w:cstheme="minorHAnsi"/>
          <w:color w:val="auto"/>
        </w:rPr>
        <w:t xml:space="preserve"> with a wider skill set in the social sciences</w:t>
      </w:r>
      <w:r w:rsidR="00C43340">
        <w:rPr>
          <w:rFonts w:asciiTheme="minorHAnsi" w:hAnsiTheme="minorHAnsi" w:cstheme="minorHAnsi"/>
          <w:color w:val="auto"/>
        </w:rPr>
        <w:t xml:space="preserve"> and more grounded experience</w:t>
      </w:r>
      <w:r w:rsidR="00B42E1D" w:rsidRPr="00A102E3">
        <w:rPr>
          <w:rFonts w:asciiTheme="minorHAnsi" w:hAnsiTheme="minorHAnsi" w:cstheme="minorHAnsi"/>
          <w:color w:val="auto"/>
        </w:rPr>
        <w:t>.</w:t>
      </w:r>
    </w:p>
    <w:p w14:paraId="0A7B6FFB" w14:textId="77777777" w:rsidR="004D516D" w:rsidRDefault="004D516D" w:rsidP="00AE35DE">
      <w:pPr>
        <w:pStyle w:val="Default"/>
        <w:rPr>
          <w:rFonts w:asciiTheme="minorHAnsi" w:hAnsiTheme="minorHAnsi" w:cstheme="minorHAnsi"/>
          <w:color w:val="auto"/>
        </w:rPr>
      </w:pPr>
    </w:p>
    <w:p w14:paraId="002A7686" w14:textId="5717ADB5" w:rsidR="0003319D" w:rsidRDefault="00B42E1D" w:rsidP="00AE35DE">
      <w:pPr>
        <w:pStyle w:val="Default"/>
        <w:rPr>
          <w:rFonts w:asciiTheme="minorHAnsi" w:hAnsiTheme="minorHAnsi" w:cstheme="minorHAnsi"/>
          <w:color w:val="auto"/>
        </w:rPr>
      </w:pPr>
      <w:r w:rsidRPr="00A102E3">
        <w:rPr>
          <w:rFonts w:asciiTheme="minorHAnsi" w:hAnsiTheme="minorHAnsi" w:cstheme="minorHAnsi"/>
          <w:color w:val="auto"/>
        </w:rPr>
        <w:t xml:space="preserve">Reconciling the tensions between </w:t>
      </w:r>
      <w:r w:rsidR="0003319D" w:rsidRPr="00A102E3">
        <w:rPr>
          <w:rFonts w:asciiTheme="minorHAnsi" w:hAnsiTheme="minorHAnsi" w:cstheme="minorHAnsi"/>
          <w:color w:val="auto"/>
        </w:rPr>
        <w:t xml:space="preserve">the need for </w:t>
      </w:r>
      <w:r w:rsidRPr="00A102E3">
        <w:rPr>
          <w:rFonts w:asciiTheme="minorHAnsi" w:hAnsiTheme="minorHAnsi" w:cstheme="minorHAnsi"/>
          <w:color w:val="auto"/>
        </w:rPr>
        <w:t xml:space="preserve">sameness as Australian citizens and difference as special citizens is </w:t>
      </w:r>
      <w:r w:rsidR="004D516D">
        <w:rPr>
          <w:rFonts w:asciiTheme="minorHAnsi" w:hAnsiTheme="minorHAnsi" w:cstheme="minorHAnsi"/>
          <w:color w:val="auto"/>
        </w:rPr>
        <w:t>far from</w:t>
      </w:r>
      <w:r w:rsidRPr="00A102E3">
        <w:rPr>
          <w:rFonts w:asciiTheme="minorHAnsi" w:hAnsiTheme="minorHAnsi" w:cstheme="minorHAnsi"/>
          <w:color w:val="auto"/>
        </w:rPr>
        <w:t xml:space="preserve"> straightforward</w:t>
      </w:r>
      <w:r w:rsidR="004D516D">
        <w:rPr>
          <w:rFonts w:asciiTheme="minorHAnsi" w:hAnsiTheme="minorHAnsi" w:cstheme="minorHAnsi"/>
          <w:color w:val="auto"/>
        </w:rPr>
        <w:t xml:space="preserve">. Similarly, </w:t>
      </w:r>
      <w:r w:rsidRPr="00A102E3">
        <w:rPr>
          <w:rFonts w:asciiTheme="minorHAnsi" w:hAnsiTheme="minorHAnsi" w:cstheme="minorHAnsi"/>
          <w:color w:val="auto"/>
        </w:rPr>
        <w:t>the</w:t>
      </w:r>
      <w:r w:rsidR="004D516D">
        <w:rPr>
          <w:rFonts w:asciiTheme="minorHAnsi" w:hAnsiTheme="minorHAnsi" w:cstheme="minorHAnsi"/>
          <w:color w:val="auto"/>
        </w:rPr>
        <w:t>re are conceptual and delivery challenges in reconciling</w:t>
      </w:r>
      <w:r w:rsidRPr="00A102E3">
        <w:rPr>
          <w:rFonts w:asciiTheme="minorHAnsi" w:hAnsiTheme="minorHAnsi" w:cstheme="minorHAnsi"/>
          <w:color w:val="auto"/>
        </w:rPr>
        <w:t xml:space="preserve"> </w:t>
      </w:r>
      <w:r w:rsidR="004D516D">
        <w:rPr>
          <w:rFonts w:asciiTheme="minorHAnsi" w:hAnsiTheme="minorHAnsi" w:cstheme="minorHAnsi"/>
          <w:color w:val="auto"/>
        </w:rPr>
        <w:t xml:space="preserve">meeting </w:t>
      </w:r>
      <w:r w:rsidRPr="00A102E3">
        <w:rPr>
          <w:rFonts w:asciiTheme="minorHAnsi" w:hAnsiTheme="minorHAnsi" w:cstheme="minorHAnsi"/>
          <w:color w:val="auto"/>
        </w:rPr>
        <w:t xml:space="preserve">national goals for the national Indigenous population and </w:t>
      </w:r>
      <w:r w:rsidR="004D516D">
        <w:rPr>
          <w:rFonts w:asciiTheme="minorHAnsi" w:hAnsiTheme="minorHAnsi" w:cstheme="minorHAnsi"/>
          <w:color w:val="auto"/>
        </w:rPr>
        <w:t>different</w:t>
      </w:r>
      <w:r w:rsidRPr="00A102E3">
        <w:rPr>
          <w:rFonts w:asciiTheme="minorHAnsi" w:hAnsiTheme="minorHAnsi" w:cstheme="minorHAnsi"/>
          <w:color w:val="auto"/>
        </w:rPr>
        <w:t xml:space="preserve"> goals for sub-national populations often informed by </w:t>
      </w:r>
      <w:r w:rsidR="004D516D">
        <w:rPr>
          <w:rFonts w:asciiTheme="minorHAnsi" w:hAnsiTheme="minorHAnsi" w:cstheme="minorHAnsi"/>
          <w:color w:val="auto"/>
        </w:rPr>
        <w:t xml:space="preserve">distinct </w:t>
      </w:r>
      <w:r w:rsidRPr="00A102E3">
        <w:rPr>
          <w:rFonts w:asciiTheme="minorHAnsi" w:hAnsiTheme="minorHAnsi" w:cstheme="minorHAnsi"/>
          <w:color w:val="auto"/>
        </w:rPr>
        <w:t xml:space="preserve">norms and values that </w:t>
      </w:r>
      <w:r w:rsidR="00C43340">
        <w:rPr>
          <w:rFonts w:asciiTheme="minorHAnsi" w:hAnsiTheme="minorHAnsi" w:cstheme="minorHAnsi"/>
          <w:color w:val="auto"/>
        </w:rPr>
        <w:t>are</w:t>
      </w:r>
      <w:r w:rsidRPr="00A102E3">
        <w:rPr>
          <w:rFonts w:asciiTheme="minorHAnsi" w:hAnsiTheme="minorHAnsi" w:cstheme="minorHAnsi"/>
          <w:color w:val="auto"/>
        </w:rPr>
        <w:t xml:space="preserve"> differen</w:t>
      </w:r>
      <w:r w:rsidR="00C43340">
        <w:rPr>
          <w:rFonts w:asciiTheme="minorHAnsi" w:hAnsiTheme="minorHAnsi" w:cstheme="minorHAnsi"/>
          <w:color w:val="auto"/>
        </w:rPr>
        <w:t>t</w:t>
      </w:r>
      <w:r w:rsidRPr="00A102E3">
        <w:rPr>
          <w:rFonts w:asciiTheme="minorHAnsi" w:hAnsiTheme="minorHAnsi" w:cstheme="minorHAnsi"/>
          <w:color w:val="auto"/>
        </w:rPr>
        <w:t xml:space="preserve"> from those of mainstream Australians. I say this as someone who </w:t>
      </w:r>
      <w:r w:rsidR="00C43340">
        <w:rPr>
          <w:rFonts w:asciiTheme="minorHAnsi" w:hAnsiTheme="minorHAnsi" w:cstheme="minorHAnsi"/>
          <w:color w:val="auto"/>
        </w:rPr>
        <w:t>struggled</w:t>
      </w:r>
      <w:r w:rsidRPr="00A102E3">
        <w:rPr>
          <w:rFonts w:asciiTheme="minorHAnsi" w:hAnsiTheme="minorHAnsi" w:cstheme="minorHAnsi"/>
          <w:color w:val="auto"/>
        </w:rPr>
        <w:t xml:space="preserve"> to straddle these tensions in </w:t>
      </w:r>
      <w:r w:rsidR="00C43340">
        <w:rPr>
          <w:rFonts w:asciiTheme="minorHAnsi" w:hAnsiTheme="minorHAnsi" w:cstheme="minorHAnsi"/>
          <w:color w:val="auto"/>
        </w:rPr>
        <w:t>directing</w:t>
      </w:r>
      <w:r w:rsidRPr="00A102E3">
        <w:rPr>
          <w:rFonts w:asciiTheme="minorHAnsi" w:hAnsiTheme="minorHAnsi" w:cstheme="minorHAnsi"/>
          <w:color w:val="auto"/>
        </w:rPr>
        <w:t xml:space="preserve"> a university-based centre </w:t>
      </w:r>
      <w:r w:rsidR="0003319D" w:rsidRPr="00A102E3">
        <w:rPr>
          <w:rFonts w:asciiTheme="minorHAnsi" w:hAnsiTheme="minorHAnsi" w:cstheme="minorHAnsi"/>
          <w:color w:val="auto"/>
        </w:rPr>
        <w:t xml:space="preserve">initially </w:t>
      </w:r>
      <w:r w:rsidRPr="00A102E3">
        <w:rPr>
          <w:rFonts w:asciiTheme="minorHAnsi" w:hAnsiTheme="minorHAnsi" w:cstheme="minorHAnsi"/>
          <w:color w:val="auto"/>
        </w:rPr>
        <w:t xml:space="preserve">established in 1990 to make policy recommendations </w:t>
      </w:r>
      <w:r w:rsidR="0003319D" w:rsidRPr="00A102E3">
        <w:rPr>
          <w:rFonts w:asciiTheme="minorHAnsi" w:hAnsiTheme="minorHAnsi" w:cstheme="minorHAnsi"/>
          <w:color w:val="auto"/>
        </w:rPr>
        <w:t xml:space="preserve">to </w:t>
      </w:r>
      <w:r w:rsidRPr="00A102E3">
        <w:rPr>
          <w:rFonts w:asciiTheme="minorHAnsi" w:hAnsiTheme="minorHAnsi" w:cstheme="minorHAnsi"/>
          <w:color w:val="auto"/>
        </w:rPr>
        <w:t xml:space="preserve">the Australian government </w:t>
      </w:r>
      <w:r w:rsidR="0003319D" w:rsidRPr="00A102E3">
        <w:rPr>
          <w:rFonts w:asciiTheme="minorHAnsi" w:hAnsiTheme="minorHAnsi" w:cstheme="minorHAnsi"/>
          <w:color w:val="auto"/>
        </w:rPr>
        <w:t>on eliminating socioeconomic inequality between Indigenous and other Australians while respecting and accommodating the aspirations of those who seek to live differently.</w:t>
      </w:r>
    </w:p>
    <w:p w14:paraId="5BC0EF14" w14:textId="77777777" w:rsidR="00C43340" w:rsidRDefault="00C43340" w:rsidP="00AE35DE">
      <w:pPr>
        <w:pStyle w:val="Default"/>
        <w:rPr>
          <w:rFonts w:asciiTheme="minorHAnsi" w:hAnsiTheme="minorHAnsi" w:cstheme="minorHAnsi"/>
          <w:color w:val="auto"/>
        </w:rPr>
      </w:pPr>
    </w:p>
    <w:p w14:paraId="6127B9E2" w14:textId="49C30867" w:rsidR="00C43340" w:rsidRDefault="00C43340" w:rsidP="00D328F7">
      <w:pPr>
        <w:pStyle w:val="Default"/>
        <w:rPr>
          <w:rFonts w:asciiTheme="minorHAnsi" w:hAnsiTheme="minorHAnsi" w:cstheme="minorHAnsi"/>
          <w:color w:val="auto"/>
        </w:rPr>
      </w:pPr>
      <w:r>
        <w:rPr>
          <w:rFonts w:asciiTheme="minorHAnsi" w:hAnsiTheme="minorHAnsi" w:cstheme="minorHAnsi"/>
          <w:color w:val="auto"/>
        </w:rPr>
        <w:t xml:space="preserve">The Draft Report makes six draft recommendations for </w:t>
      </w:r>
      <w:r w:rsidR="00D7571F">
        <w:rPr>
          <w:rFonts w:asciiTheme="minorHAnsi" w:hAnsiTheme="minorHAnsi" w:cstheme="minorHAnsi"/>
          <w:color w:val="auto"/>
        </w:rPr>
        <w:t xml:space="preserve">possible </w:t>
      </w:r>
      <w:r>
        <w:rPr>
          <w:rFonts w:asciiTheme="minorHAnsi" w:hAnsiTheme="minorHAnsi" w:cstheme="minorHAnsi"/>
          <w:color w:val="auto"/>
        </w:rPr>
        <w:t>change</w:t>
      </w:r>
      <w:r w:rsidR="00A30513">
        <w:rPr>
          <w:rFonts w:asciiTheme="minorHAnsi" w:hAnsiTheme="minorHAnsi" w:cstheme="minorHAnsi"/>
          <w:color w:val="auto"/>
        </w:rPr>
        <w:t xml:space="preserve"> </w:t>
      </w:r>
      <w:r w:rsidR="00FF04CB">
        <w:rPr>
          <w:rFonts w:asciiTheme="minorHAnsi" w:hAnsiTheme="minorHAnsi" w:cstheme="minorHAnsi"/>
          <w:color w:val="auto"/>
        </w:rPr>
        <w:t>focusing on Priority Reforms processes</w:t>
      </w:r>
      <w:r>
        <w:rPr>
          <w:rFonts w:asciiTheme="minorHAnsi" w:hAnsiTheme="minorHAnsi" w:cstheme="minorHAnsi"/>
          <w:color w:val="auto"/>
        </w:rPr>
        <w:t>. I will comment briefly on four.</w:t>
      </w:r>
    </w:p>
    <w:p w14:paraId="2DD51555" w14:textId="77777777" w:rsidR="00C43340" w:rsidRDefault="00C43340" w:rsidP="00D328F7">
      <w:pPr>
        <w:pStyle w:val="Default"/>
        <w:rPr>
          <w:rFonts w:asciiTheme="minorHAnsi" w:hAnsiTheme="minorHAnsi" w:cstheme="minorHAnsi"/>
          <w:color w:val="auto"/>
        </w:rPr>
      </w:pPr>
    </w:p>
    <w:p w14:paraId="17AD470C" w14:textId="1BCE86E9" w:rsidR="00C43340" w:rsidRDefault="00C43340" w:rsidP="00D328F7">
      <w:pPr>
        <w:pStyle w:val="Default"/>
        <w:rPr>
          <w:rFonts w:asciiTheme="minorHAnsi" w:hAnsiTheme="minorHAnsi" w:cstheme="minorHAnsi"/>
          <w:color w:val="auto"/>
        </w:rPr>
      </w:pPr>
      <w:r w:rsidRPr="00C43340">
        <w:rPr>
          <w:rFonts w:asciiTheme="minorHAnsi" w:hAnsiTheme="minorHAnsi" w:cstheme="minorHAnsi"/>
          <w:color w:val="auto"/>
        </w:rPr>
        <w:t>No doubt conscious of the challenges of reviewing the National Agreement, Draft recommendation 1 proposes the establishment of an organisation to lead data development under the Agreement. This is an important proposal, although its proposed tasks seem to extend well beyond data development to also develop</w:t>
      </w:r>
      <w:r>
        <w:rPr>
          <w:rFonts w:asciiTheme="minorHAnsi" w:hAnsiTheme="minorHAnsi" w:cstheme="minorHAnsi"/>
          <w:color w:val="auto"/>
        </w:rPr>
        <w:t>:</w:t>
      </w:r>
      <w:r w:rsidRPr="00C43340">
        <w:rPr>
          <w:rFonts w:asciiTheme="minorHAnsi" w:hAnsiTheme="minorHAnsi" w:cstheme="minorHAnsi"/>
          <w:color w:val="auto"/>
        </w:rPr>
        <w:t xml:space="preserve"> </w:t>
      </w:r>
      <w:r w:rsidRPr="00C43340">
        <w:rPr>
          <w:rFonts w:asciiTheme="minorHAnsi" w:hAnsiTheme="minorHAnsi" w:cstheme="minorHAnsi"/>
        </w:rPr>
        <w:t>a conceptual logic underpinning the performance monitoring approach; identifying the most critical indicators of change under the Agreement and prioritis</w:t>
      </w:r>
      <w:r>
        <w:rPr>
          <w:rFonts w:asciiTheme="minorHAnsi" w:hAnsiTheme="minorHAnsi" w:cstheme="minorHAnsi"/>
        </w:rPr>
        <w:t>ing</w:t>
      </w:r>
      <w:r w:rsidRPr="00C43340">
        <w:rPr>
          <w:rFonts w:asciiTheme="minorHAnsi" w:hAnsiTheme="minorHAnsi" w:cstheme="minorHAnsi"/>
        </w:rPr>
        <w:t xml:space="preserve"> them for data development, following the conceptual logic; determining the most appropriate level of geographic data disaggregation to hold jurisdictions to account for progress</w:t>
      </w:r>
      <w:r w:rsidRPr="00C43340" w:rsidDel="0088527B">
        <w:rPr>
          <w:rFonts w:asciiTheme="minorHAnsi" w:hAnsiTheme="minorHAnsi" w:cstheme="minorHAnsi"/>
        </w:rPr>
        <w:t xml:space="preserve"> </w:t>
      </w:r>
      <w:r w:rsidRPr="00C43340">
        <w:rPr>
          <w:rFonts w:asciiTheme="minorHAnsi" w:hAnsiTheme="minorHAnsi" w:cstheme="minorHAnsi"/>
        </w:rPr>
        <w:t xml:space="preserve">at a regional level, balancing community needs and data limitations; and </w:t>
      </w:r>
      <w:r w:rsidRPr="00C43340">
        <w:rPr>
          <w:rFonts w:asciiTheme="minorHAnsi" w:hAnsiTheme="minorHAnsi" w:cstheme="minorHAnsi"/>
          <w:color w:val="auto"/>
        </w:rPr>
        <w:t>coordinating and developing solutions for indicators without data with data custodians and Aboriginal and Torres Strait Islander organisations and communities.</w:t>
      </w:r>
      <w:r w:rsidR="00A5781C">
        <w:rPr>
          <w:rFonts w:asciiTheme="minorHAnsi" w:hAnsiTheme="minorHAnsi" w:cstheme="minorHAnsi"/>
          <w:color w:val="auto"/>
        </w:rPr>
        <w:t xml:space="preserve"> In effect this recommendation questions if the National Agreement is fit for purpose and so looks to retrospectively reconfigure the Agreement without saying so explicitly. Establishing such an organisation will be politically fraught in the contested space of Indigenous policy </w:t>
      </w:r>
      <w:r w:rsidR="00A5781C">
        <w:rPr>
          <w:rFonts w:asciiTheme="minorHAnsi" w:hAnsiTheme="minorHAnsi" w:cstheme="minorHAnsi"/>
          <w:color w:val="auto"/>
        </w:rPr>
        <w:lastRenderedPageBreak/>
        <w:t>making</w:t>
      </w:r>
      <w:r w:rsidR="006A1605">
        <w:rPr>
          <w:rFonts w:asciiTheme="minorHAnsi" w:hAnsiTheme="minorHAnsi" w:cstheme="minorHAnsi"/>
          <w:color w:val="auto"/>
        </w:rPr>
        <w:t>.</w:t>
      </w:r>
      <w:r w:rsidR="00A5781C">
        <w:rPr>
          <w:rFonts w:asciiTheme="minorHAnsi" w:hAnsiTheme="minorHAnsi" w:cstheme="minorHAnsi"/>
          <w:color w:val="auto"/>
        </w:rPr>
        <w:t xml:space="preserve"> </w:t>
      </w:r>
      <w:r w:rsidR="006A1605">
        <w:rPr>
          <w:rFonts w:asciiTheme="minorHAnsi" w:hAnsiTheme="minorHAnsi" w:cstheme="minorHAnsi"/>
          <w:color w:val="auto"/>
        </w:rPr>
        <w:t>P</w:t>
      </w:r>
      <w:r w:rsidR="00A5781C">
        <w:rPr>
          <w:rFonts w:asciiTheme="minorHAnsi" w:hAnsiTheme="minorHAnsi" w:cstheme="minorHAnsi"/>
          <w:color w:val="auto"/>
        </w:rPr>
        <w:t>erhaps without saying so</w:t>
      </w:r>
      <w:r w:rsidR="006A1605">
        <w:rPr>
          <w:rFonts w:asciiTheme="minorHAnsi" w:hAnsiTheme="minorHAnsi" w:cstheme="minorHAnsi"/>
          <w:color w:val="auto"/>
        </w:rPr>
        <w:t xml:space="preserve"> explicitly</w:t>
      </w:r>
      <w:r w:rsidR="00A5781C">
        <w:rPr>
          <w:rFonts w:asciiTheme="minorHAnsi" w:hAnsiTheme="minorHAnsi" w:cstheme="minorHAnsi"/>
          <w:color w:val="auto"/>
        </w:rPr>
        <w:t xml:space="preserve">, the Draft Report envisions that the bureaucratic arm of the Voice (if established) will fulfil such a role. At once this recommendation recognises that the </w:t>
      </w:r>
      <w:r w:rsidR="006A1605">
        <w:rPr>
          <w:rFonts w:asciiTheme="minorHAnsi" w:hAnsiTheme="minorHAnsi" w:cstheme="minorHAnsi"/>
          <w:color w:val="auto"/>
        </w:rPr>
        <w:t>P</w:t>
      </w:r>
      <w:r w:rsidR="00A5781C">
        <w:rPr>
          <w:rFonts w:asciiTheme="minorHAnsi" w:hAnsiTheme="minorHAnsi" w:cstheme="minorHAnsi"/>
          <w:color w:val="auto"/>
        </w:rPr>
        <w:t>roductivity Commission and the Joint Council might not be the appropriate bodies to manage evaluation</w:t>
      </w:r>
      <w:r w:rsidR="006A1605">
        <w:rPr>
          <w:rFonts w:asciiTheme="minorHAnsi" w:hAnsiTheme="minorHAnsi" w:cstheme="minorHAnsi"/>
          <w:color w:val="auto"/>
        </w:rPr>
        <w:t>,</w:t>
      </w:r>
      <w:r w:rsidR="00A5781C">
        <w:rPr>
          <w:rFonts w:asciiTheme="minorHAnsi" w:hAnsiTheme="minorHAnsi" w:cstheme="minorHAnsi"/>
          <w:color w:val="auto"/>
        </w:rPr>
        <w:t xml:space="preserve"> while still not questioning </w:t>
      </w:r>
      <w:r w:rsidR="006A1605">
        <w:rPr>
          <w:rFonts w:asciiTheme="minorHAnsi" w:hAnsiTheme="minorHAnsi" w:cstheme="minorHAnsi"/>
          <w:color w:val="auto"/>
        </w:rPr>
        <w:t>and</w:t>
      </w:r>
      <w:r w:rsidR="00A5781C">
        <w:rPr>
          <w:rFonts w:asciiTheme="minorHAnsi" w:hAnsiTheme="minorHAnsi" w:cstheme="minorHAnsi"/>
          <w:color w:val="auto"/>
        </w:rPr>
        <w:t xml:space="preserve"> perhaps acquiescing </w:t>
      </w:r>
      <w:r w:rsidR="006A1605">
        <w:rPr>
          <w:rFonts w:asciiTheme="minorHAnsi" w:hAnsiTheme="minorHAnsi" w:cstheme="minorHAnsi"/>
          <w:color w:val="auto"/>
        </w:rPr>
        <w:t xml:space="preserve">to </w:t>
      </w:r>
      <w:r w:rsidR="00A5781C">
        <w:rPr>
          <w:rFonts w:asciiTheme="minorHAnsi" w:hAnsiTheme="minorHAnsi" w:cstheme="minorHAnsi"/>
          <w:color w:val="auto"/>
        </w:rPr>
        <w:t xml:space="preserve">the </w:t>
      </w:r>
      <w:r w:rsidR="006A1605">
        <w:rPr>
          <w:rFonts w:asciiTheme="minorHAnsi" w:hAnsiTheme="minorHAnsi" w:cstheme="minorHAnsi"/>
          <w:color w:val="auto"/>
        </w:rPr>
        <w:t xml:space="preserve">impossible </w:t>
      </w:r>
      <w:r w:rsidR="00A5781C">
        <w:rPr>
          <w:rFonts w:asciiTheme="minorHAnsi" w:hAnsiTheme="minorHAnsi" w:cstheme="minorHAnsi"/>
          <w:color w:val="auto"/>
        </w:rPr>
        <w:t>maze of evaluations embedded in the National Agreement.</w:t>
      </w:r>
    </w:p>
    <w:p w14:paraId="2F24182F" w14:textId="77777777" w:rsidR="008658C3" w:rsidRDefault="008658C3" w:rsidP="00D328F7">
      <w:pPr>
        <w:pStyle w:val="Default"/>
        <w:rPr>
          <w:rFonts w:asciiTheme="minorHAnsi" w:hAnsiTheme="minorHAnsi" w:cstheme="minorHAnsi"/>
          <w:color w:val="auto"/>
        </w:rPr>
      </w:pPr>
    </w:p>
    <w:p w14:paraId="18A8096E" w14:textId="5D1A53D6" w:rsidR="00C43340" w:rsidRPr="008658C3" w:rsidRDefault="00C43340" w:rsidP="00D328F7">
      <w:pPr>
        <w:pStyle w:val="Default"/>
        <w:rPr>
          <w:rFonts w:asciiTheme="minorHAnsi" w:hAnsiTheme="minorHAnsi" w:cstheme="minorHAnsi"/>
        </w:rPr>
      </w:pPr>
      <w:r w:rsidRPr="008658C3">
        <w:rPr>
          <w:rFonts w:asciiTheme="minorHAnsi" w:hAnsiTheme="minorHAnsi" w:cstheme="minorHAnsi"/>
          <w:color w:val="auto"/>
        </w:rPr>
        <w:t>Draft recommendation 2</w:t>
      </w:r>
      <w:r w:rsidR="008658C3" w:rsidRPr="008658C3">
        <w:rPr>
          <w:rFonts w:asciiTheme="minorHAnsi" w:hAnsiTheme="minorHAnsi" w:cstheme="minorHAnsi"/>
        </w:rPr>
        <w:t xml:space="preserve"> proposes d</w:t>
      </w:r>
      <w:r w:rsidRPr="008658C3">
        <w:rPr>
          <w:rFonts w:asciiTheme="minorHAnsi" w:hAnsiTheme="minorHAnsi" w:cstheme="minorHAnsi"/>
          <w:color w:val="auto"/>
        </w:rPr>
        <w:t xml:space="preserve">esignating a senior leader or leadership group to drive change </w:t>
      </w:r>
      <w:r w:rsidR="008658C3" w:rsidRPr="008658C3">
        <w:rPr>
          <w:rFonts w:asciiTheme="minorHAnsi" w:hAnsiTheme="minorHAnsi" w:cstheme="minorHAnsi"/>
        </w:rPr>
        <w:t>in each jurisdiction. This proposal is for a senior leader or a leadership group with a wide span of influence to be tasked with promoting and embedding changes to public sector systems and culture.</w:t>
      </w:r>
      <w:r w:rsidR="008658C3">
        <w:rPr>
          <w:rFonts w:asciiTheme="minorHAnsi" w:hAnsiTheme="minorHAnsi" w:cstheme="minorHAnsi"/>
        </w:rPr>
        <w:t xml:space="preserve"> I just want to highlight for the </w:t>
      </w:r>
      <w:r w:rsidR="0088514C">
        <w:rPr>
          <w:rFonts w:asciiTheme="minorHAnsi" w:hAnsiTheme="minorHAnsi" w:cstheme="minorHAnsi"/>
        </w:rPr>
        <w:t>P</w:t>
      </w:r>
      <w:r w:rsidR="008658C3">
        <w:rPr>
          <w:rFonts w:asciiTheme="minorHAnsi" w:hAnsiTheme="minorHAnsi" w:cstheme="minorHAnsi"/>
        </w:rPr>
        <w:t>roductivity Commission an earlier attempt at the Commonwealth level with the Secretaries Group and Priority Regions to instigate such change nearly 20 years ago that has been analysed by Will Sanders, an academic, and Bill Gray, a retired senior bureaucrat in 2006.</w:t>
      </w:r>
      <w:r w:rsidR="008658C3">
        <w:rPr>
          <w:rStyle w:val="FootnoteReference"/>
          <w:rFonts w:asciiTheme="minorHAnsi" w:hAnsiTheme="minorHAnsi" w:cstheme="minorHAnsi"/>
        </w:rPr>
        <w:footnoteReference w:id="2"/>
      </w:r>
      <w:r w:rsidR="008658C3">
        <w:rPr>
          <w:rFonts w:asciiTheme="minorHAnsi" w:hAnsiTheme="minorHAnsi" w:cstheme="minorHAnsi"/>
        </w:rPr>
        <w:t xml:space="preserve"> There is no evidence that such an approach was successful</w:t>
      </w:r>
      <w:r w:rsidR="006A1605">
        <w:rPr>
          <w:rFonts w:asciiTheme="minorHAnsi" w:hAnsiTheme="minorHAnsi" w:cstheme="minorHAnsi"/>
        </w:rPr>
        <w:t>,</w:t>
      </w:r>
      <w:r w:rsidR="008658C3">
        <w:rPr>
          <w:rFonts w:asciiTheme="minorHAnsi" w:hAnsiTheme="minorHAnsi" w:cstheme="minorHAnsi"/>
        </w:rPr>
        <w:t xml:space="preserve"> perhaps because senior bureaucrats are more accountable to politicians than to the </w:t>
      </w:r>
      <w:r w:rsidR="0088514C">
        <w:rPr>
          <w:rFonts w:asciiTheme="minorHAnsi" w:hAnsiTheme="minorHAnsi" w:cstheme="minorHAnsi"/>
        </w:rPr>
        <w:t>perspectives of Indigenous stakeholders. It also assumes that designated leaders have appropriate cultural competencies and the drive to institute such challenging cultural transformations.</w:t>
      </w:r>
    </w:p>
    <w:p w14:paraId="017E71F8" w14:textId="77777777" w:rsidR="00C43340" w:rsidRPr="00A102E3" w:rsidRDefault="00C43340" w:rsidP="00D328F7">
      <w:pPr>
        <w:pStyle w:val="Default"/>
        <w:rPr>
          <w:rFonts w:asciiTheme="minorHAnsi" w:hAnsiTheme="minorHAnsi" w:cstheme="minorHAnsi"/>
          <w:color w:val="auto"/>
        </w:rPr>
      </w:pPr>
    </w:p>
    <w:p w14:paraId="7416B6A2" w14:textId="5E2B7EFB" w:rsidR="00C43340" w:rsidRPr="0088514C" w:rsidRDefault="00C43340" w:rsidP="00D328F7">
      <w:pPr>
        <w:pStyle w:val="TableHeading"/>
        <w:keepLines/>
        <w:spacing w:after="0"/>
        <w:contextualSpacing/>
        <w:rPr>
          <w:rFonts w:cstheme="minorHAnsi"/>
          <w:b w:val="0"/>
          <w:bCs/>
          <w:color w:val="auto"/>
          <w:sz w:val="24"/>
          <w:szCs w:val="24"/>
        </w:rPr>
      </w:pPr>
      <w:r w:rsidRPr="0088514C">
        <w:rPr>
          <w:rFonts w:cstheme="minorHAnsi"/>
          <w:b w:val="0"/>
          <w:bCs/>
          <w:color w:val="auto"/>
          <w:sz w:val="24"/>
          <w:szCs w:val="24"/>
        </w:rPr>
        <w:t>Draft recommendation 5</w:t>
      </w:r>
      <w:r w:rsidR="0088514C" w:rsidRPr="0088514C">
        <w:rPr>
          <w:rFonts w:cstheme="minorHAnsi"/>
          <w:b w:val="0"/>
          <w:bCs/>
          <w:color w:val="auto"/>
          <w:sz w:val="24"/>
          <w:szCs w:val="24"/>
        </w:rPr>
        <w:t xml:space="preserve"> proposes the i</w:t>
      </w:r>
      <w:r w:rsidRPr="0088514C">
        <w:rPr>
          <w:rFonts w:cstheme="minorHAnsi"/>
          <w:b w:val="0"/>
          <w:bCs/>
          <w:color w:val="auto"/>
          <w:sz w:val="24"/>
          <w:szCs w:val="24"/>
        </w:rPr>
        <w:t>nclu</w:t>
      </w:r>
      <w:r w:rsidR="0088514C" w:rsidRPr="0088514C">
        <w:rPr>
          <w:rFonts w:cstheme="minorHAnsi"/>
          <w:b w:val="0"/>
          <w:bCs/>
          <w:color w:val="auto"/>
          <w:sz w:val="24"/>
          <w:szCs w:val="24"/>
        </w:rPr>
        <w:t>sion</w:t>
      </w:r>
      <w:r w:rsidRPr="0088514C">
        <w:rPr>
          <w:rFonts w:cstheme="minorHAnsi"/>
          <w:b w:val="0"/>
          <w:bCs/>
          <w:color w:val="auto"/>
          <w:sz w:val="24"/>
          <w:szCs w:val="24"/>
        </w:rPr>
        <w:t xml:space="preserve"> </w:t>
      </w:r>
      <w:r w:rsidR="006A1605">
        <w:rPr>
          <w:rFonts w:cstheme="minorHAnsi"/>
          <w:b w:val="0"/>
          <w:bCs/>
          <w:color w:val="auto"/>
          <w:sz w:val="24"/>
          <w:szCs w:val="24"/>
        </w:rPr>
        <w:t xml:space="preserve">of </w:t>
      </w:r>
      <w:r w:rsidRPr="0088514C">
        <w:rPr>
          <w:rFonts w:cstheme="minorHAnsi"/>
          <w:b w:val="0"/>
          <w:bCs/>
          <w:color w:val="auto"/>
          <w:sz w:val="24"/>
          <w:szCs w:val="24"/>
        </w:rPr>
        <w:t>a statement on Closing the Gap in government agencies’ annual reports</w:t>
      </w:r>
      <w:r w:rsidR="0088514C" w:rsidRPr="0088514C">
        <w:rPr>
          <w:rFonts w:cstheme="minorHAnsi"/>
          <w:b w:val="0"/>
          <w:bCs/>
          <w:color w:val="auto"/>
          <w:sz w:val="24"/>
          <w:szCs w:val="24"/>
        </w:rPr>
        <w:t xml:space="preserve">. </w:t>
      </w:r>
      <w:r w:rsidR="0088514C">
        <w:rPr>
          <w:rFonts w:cstheme="minorHAnsi"/>
          <w:b w:val="0"/>
          <w:bCs/>
          <w:color w:val="auto"/>
          <w:sz w:val="24"/>
          <w:szCs w:val="24"/>
        </w:rPr>
        <w:t>Specifically, it proposes that t</w:t>
      </w:r>
      <w:r w:rsidRPr="0088514C">
        <w:rPr>
          <w:rFonts w:cstheme="minorHAnsi"/>
          <w:b w:val="0"/>
          <w:bCs/>
          <w:color w:val="auto"/>
          <w:sz w:val="24"/>
          <w:szCs w:val="24"/>
        </w:rPr>
        <w:t>he Australian, state and territory governments each have legislation or rules that require government agencies to prepare annual reports containing a statement in annual report</w:t>
      </w:r>
      <w:r w:rsidR="0088514C">
        <w:rPr>
          <w:rFonts w:cstheme="minorHAnsi"/>
          <w:b w:val="0"/>
          <w:bCs/>
          <w:color w:val="auto"/>
          <w:sz w:val="24"/>
          <w:szCs w:val="24"/>
        </w:rPr>
        <w:t>s</w:t>
      </w:r>
      <w:r w:rsidRPr="0088514C">
        <w:rPr>
          <w:rFonts w:cstheme="minorHAnsi"/>
          <w:b w:val="0"/>
          <w:bCs/>
          <w:color w:val="auto"/>
          <w:sz w:val="24"/>
          <w:szCs w:val="24"/>
        </w:rPr>
        <w:t xml:space="preserve"> on the substantive activities </w:t>
      </w:r>
      <w:r w:rsidR="006A1605">
        <w:rPr>
          <w:rFonts w:cstheme="minorHAnsi"/>
          <w:b w:val="0"/>
          <w:bCs/>
          <w:color w:val="auto"/>
          <w:sz w:val="24"/>
          <w:szCs w:val="24"/>
        </w:rPr>
        <w:t>undertaken</w:t>
      </w:r>
      <w:r w:rsidRPr="0088514C">
        <w:rPr>
          <w:rFonts w:cstheme="minorHAnsi"/>
          <w:b w:val="0"/>
          <w:bCs/>
          <w:color w:val="auto"/>
          <w:sz w:val="24"/>
          <w:szCs w:val="24"/>
        </w:rPr>
        <w:t xml:space="preserve"> to implement the </w:t>
      </w:r>
      <w:r w:rsidR="0088514C">
        <w:rPr>
          <w:rFonts w:cstheme="minorHAnsi"/>
          <w:b w:val="0"/>
          <w:bCs/>
          <w:color w:val="auto"/>
          <w:sz w:val="24"/>
          <w:szCs w:val="24"/>
        </w:rPr>
        <w:t xml:space="preserve">National </w:t>
      </w:r>
      <w:r w:rsidRPr="0088514C">
        <w:rPr>
          <w:rFonts w:cstheme="minorHAnsi"/>
          <w:b w:val="0"/>
          <w:bCs/>
          <w:color w:val="auto"/>
          <w:sz w:val="24"/>
          <w:szCs w:val="24"/>
        </w:rPr>
        <w:t>Agreement’s Priority Reforms and the demonstrated outcomes of those activities</w:t>
      </w:r>
      <w:r w:rsidR="0088514C">
        <w:rPr>
          <w:rFonts w:cstheme="minorHAnsi"/>
          <w:b w:val="0"/>
          <w:bCs/>
          <w:color w:val="auto"/>
          <w:sz w:val="24"/>
          <w:szCs w:val="24"/>
        </w:rPr>
        <w:t xml:space="preserve">. This recommendation does not seem to acknowledge the difficulties in evaluating the principles embedded in the Priority Reforms as if </w:t>
      </w:r>
      <w:r w:rsidR="006A1605">
        <w:rPr>
          <w:rFonts w:cstheme="minorHAnsi"/>
          <w:b w:val="0"/>
          <w:bCs/>
          <w:color w:val="auto"/>
          <w:sz w:val="24"/>
          <w:szCs w:val="24"/>
        </w:rPr>
        <w:t xml:space="preserve">they are </w:t>
      </w:r>
      <w:r w:rsidR="0088514C">
        <w:rPr>
          <w:rFonts w:cstheme="minorHAnsi"/>
          <w:b w:val="0"/>
          <w:bCs/>
          <w:color w:val="auto"/>
          <w:sz w:val="24"/>
          <w:szCs w:val="24"/>
        </w:rPr>
        <w:t>quantifiable outcomes as outlined earlier. Nor does it grapple with the current absence of compliance with reporting requirements; additional reporting requirements will just exacerbate current reporting delays and failures.</w:t>
      </w:r>
    </w:p>
    <w:p w14:paraId="2669570B" w14:textId="77777777" w:rsidR="00C43340" w:rsidRPr="00A102E3" w:rsidRDefault="00C43340" w:rsidP="00D328F7">
      <w:pPr>
        <w:pStyle w:val="Default"/>
        <w:rPr>
          <w:rFonts w:asciiTheme="minorHAnsi" w:hAnsiTheme="minorHAnsi" w:cstheme="minorHAnsi"/>
          <w:color w:val="auto"/>
        </w:rPr>
      </w:pPr>
    </w:p>
    <w:p w14:paraId="68E43306" w14:textId="244DC690" w:rsidR="00C43340" w:rsidRDefault="00C43340" w:rsidP="00D328F7">
      <w:pPr>
        <w:pStyle w:val="TableHeading"/>
        <w:keepLines/>
        <w:spacing w:after="0"/>
        <w:contextualSpacing/>
        <w:rPr>
          <w:rFonts w:cstheme="minorHAnsi"/>
          <w:b w:val="0"/>
          <w:bCs/>
          <w:color w:val="auto"/>
          <w:sz w:val="24"/>
          <w:szCs w:val="24"/>
        </w:rPr>
      </w:pPr>
      <w:r w:rsidRPr="00D328F7">
        <w:rPr>
          <w:rFonts w:cstheme="minorHAnsi"/>
          <w:b w:val="0"/>
          <w:bCs/>
          <w:color w:val="auto"/>
          <w:sz w:val="24"/>
          <w:szCs w:val="24"/>
        </w:rPr>
        <w:t>Draft recommendation 6</w:t>
      </w:r>
      <w:r w:rsidR="0088514C" w:rsidRPr="00D328F7">
        <w:rPr>
          <w:rFonts w:cstheme="minorHAnsi"/>
          <w:b w:val="0"/>
          <w:bCs/>
          <w:color w:val="auto"/>
          <w:sz w:val="24"/>
          <w:szCs w:val="24"/>
        </w:rPr>
        <w:t xml:space="preserve"> proposes that </w:t>
      </w:r>
      <w:r w:rsidRPr="00D328F7">
        <w:rPr>
          <w:rFonts w:cstheme="minorHAnsi"/>
          <w:b w:val="0"/>
          <w:bCs/>
          <w:color w:val="auto"/>
          <w:sz w:val="24"/>
          <w:szCs w:val="24"/>
        </w:rPr>
        <w:t xml:space="preserve">all the documents developed under the </w:t>
      </w:r>
      <w:r w:rsidR="0088514C" w:rsidRPr="00D328F7">
        <w:rPr>
          <w:rFonts w:cstheme="minorHAnsi"/>
          <w:b w:val="0"/>
          <w:bCs/>
          <w:color w:val="auto"/>
          <w:sz w:val="24"/>
          <w:szCs w:val="24"/>
        </w:rPr>
        <w:t xml:space="preserve">National </w:t>
      </w:r>
      <w:r w:rsidRPr="00D328F7">
        <w:rPr>
          <w:rFonts w:cstheme="minorHAnsi"/>
          <w:b w:val="0"/>
          <w:bCs/>
          <w:color w:val="auto"/>
          <w:sz w:val="24"/>
          <w:szCs w:val="24"/>
        </w:rPr>
        <w:t>Agreement</w:t>
      </w:r>
      <w:r w:rsidR="0088514C" w:rsidRPr="00D328F7">
        <w:rPr>
          <w:rFonts w:cstheme="minorHAnsi"/>
          <w:b w:val="0"/>
          <w:bCs/>
          <w:color w:val="auto"/>
          <w:sz w:val="24"/>
          <w:szCs w:val="24"/>
        </w:rPr>
        <w:t xml:space="preserve"> be published to</w:t>
      </w:r>
      <w:r w:rsidRPr="00D328F7">
        <w:rPr>
          <w:rFonts w:cstheme="minorHAnsi"/>
          <w:b w:val="0"/>
          <w:bCs/>
          <w:color w:val="auto"/>
          <w:sz w:val="24"/>
          <w:szCs w:val="24"/>
        </w:rPr>
        <w:t xml:space="preserve"> improve transparency and make it easier to assess progress</w:t>
      </w:r>
      <w:r w:rsidR="0088514C" w:rsidRPr="00D328F7">
        <w:rPr>
          <w:rFonts w:cstheme="minorHAnsi"/>
          <w:b w:val="0"/>
          <w:bCs/>
          <w:color w:val="auto"/>
          <w:sz w:val="24"/>
          <w:szCs w:val="24"/>
        </w:rPr>
        <w:t xml:space="preserve">. It is </w:t>
      </w:r>
      <w:r w:rsidR="00D328F7" w:rsidRPr="00D328F7">
        <w:rPr>
          <w:rFonts w:cstheme="minorHAnsi"/>
          <w:b w:val="0"/>
          <w:bCs/>
          <w:color w:val="auto"/>
          <w:sz w:val="24"/>
          <w:szCs w:val="24"/>
        </w:rPr>
        <w:t xml:space="preserve">important that </w:t>
      </w:r>
      <w:r w:rsidRPr="00D328F7">
        <w:rPr>
          <w:rFonts w:cstheme="minorHAnsi"/>
          <w:b w:val="0"/>
          <w:bCs/>
          <w:color w:val="auto"/>
          <w:sz w:val="24"/>
          <w:szCs w:val="24"/>
        </w:rPr>
        <w:t xml:space="preserve">the Australian, state and territory governments should make public all the outputs that are developed under the </w:t>
      </w:r>
      <w:r w:rsidR="00D328F7" w:rsidRPr="00D328F7">
        <w:rPr>
          <w:rFonts w:cstheme="minorHAnsi"/>
          <w:b w:val="0"/>
          <w:bCs/>
          <w:color w:val="auto"/>
          <w:sz w:val="24"/>
          <w:szCs w:val="24"/>
        </w:rPr>
        <w:t xml:space="preserve">National </w:t>
      </w:r>
      <w:r w:rsidRPr="00D328F7">
        <w:rPr>
          <w:rFonts w:cstheme="minorHAnsi"/>
          <w:b w:val="0"/>
          <w:bCs/>
          <w:caps/>
          <w:color w:val="auto"/>
          <w:sz w:val="24"/>
          <w:szCs w:val="24"/>
        </w:rPr>
        <w:t>A</w:t>
      </w:r>
      <w:r w:rsidRPr="00D328F7">
        <w:rPr>
          <w:rFonts w:cstheme="minorHAnsi"/>
          <w:b w:val="0"/>
          <w:bCs/>
          <w:color w:val="auto"/>
          <w:sz w:val="24"/>
          <w:szCs w:val="24"/>
        </w:rPr>
        <w:t xml:space="preserve">greement. </w:t>
      </w:r>
      <w:r w:rsidR="00D328F7">
        <w:rPr>
          <w:rFonts w:cstheme="minorHAnsi"/>
          <w:b w:val="0"/>
          <w:bCs/>
          <w:color w:val="auto"/>
          <w:sz w:val="24"/>
          <w:szCs w:val="24"/>
        </w:rPr>
        <w:t xml:space="preserve">But this recommendation again overlooks the current issue of non-compliance. And it overlooks the comment above that more and more reporting does not </w:t>
      </w:r>
      <w:r w:rsidR="006A1605">
        <w:rPr>
          <w:rFonts w:cstheme="minorHAnsi"/>
          <w:b w:val="0"/>
          <w:bCs/>
          <w:color w:val="auto"/>
          <w:sz w:val="24"/>
          <w:szCs w:val="24"/>
        </w:rPr>
        <w:t>readily translate</w:t>
      </w:r>
      <w:r w:rsidR="00D328F7">
        <w:rPr>
          <w:rFonts w:cstheme="minorHAnsi"/>
          <w:b w:val="0"/>
          <w:bCs/>
          <w:color w:val="auto"/>
          <w:sz w:val="24"/>
          <w:szCs w:val="24"/>
        </w:rPr>
        <w:t xml:space="preserve"> to more and more accountability.</w:t>
      </w:r>
    </w:p>
    <w:p w14:paraId="59E929A4" w14:textId="77777777" w:rsidR="0003319D" w:rsidRPr="00A102E3" w:rsidRDefault="0003319D" w:rsidP="00AE35DE">
      <w:pPr>
        <w:pStyle w:val="Default"/>
        <w:rPr>
          <w:rFonts w:asciiTheme="minorHAnsi" w:hAnsiTheme="minorHAnsi" w:cstheme="minorHAnsi"/>
          <w:color w:val="auto"/>
        </w:rPr>
      </w:pPr>
    </w:p>
    <w:p w14:paraId="098D4210" w14:textId="1DF91265" w:rsidR="00185CF6" w:rsidRPr="00A102E3" w:rsidRDefault="00185CF6" w:rsidP="00AE35DE">
      <w:pPr>
        <w:pStyle w:val="Default"/>
        <w:rPr>
          <w:rFonts w:asciiTheme="minorHAnsi" w:hAnsiTheme="minorHAnsi" w:cstheme="minorHAnsi"/>
          <w:b/>
          <w:bCs/>
          <w:color w:val="auto"/>
        </w:rPr>
      </w:pPr>
      <w:r w:rsidRPr="00A102E3">
        <w:rPr>
          <w:rFonts w:asciiTheme="minorHAnsi" w:hAnsiTheme="minorHAnsi" w:cstheme="minorHAnsi"/>
          <w:b/>
          <w:bCs/>
          <w:color w:val="auto"/>
        </w:rPr>
        <w:t>Conclu</w:t>
      </w:r>
      <w:r w:rsidR="00D328F7">
        <w:rPr>
          <w:rFonts w:asciiTheme="minorHAnsi" w:hAnsiTheme="minorHAnsi" w:cstheme="minorHAnsi"/>
          <w:b/>
          <w:bCs/>
          <w:color w:val="auto"/>
        </w:rPr>
        <w:t>ding observations</w:t>
      </w:r>
      <w:r w:rsidRPr="00A102E3">
        <w:rPr>
          <w:rFonts w:asciiTheme="minorHAnsi" w:hAnsiTheme="minorHAnsi" w:cstheme="minorHAnsi"/>
          <w:b/>
          <w:bCs/>
          <w:color w:val="auto"/>
        </w:rPr>
        <w:t xml:space="preserve"> and recommendations</w:t>
      </w:r>
    </w:p>
    <w:p w14:paraId="64F04239" w14:textId="431F9A57" w:rsidR="00E13649" w:rsidRDefault="00E13649" w:rsidP="00AE35DE">
      <w:pPr>
        <w:pStyle w:val="Default"/>
        <w:rPr>
          <w:rFonts w:asciiTheme="minorHAnsi" w:hAnsiTheme="minorHAnsi" w:cstheme="minorHAnsi"/>
          <w:color w:val="auto"/>
        </w:rPr>
      </w:pPr>
      <w:r>
        <w:rPr>
          <w:rFonts w:asciiTheme="minorHAnsi" w:hAnsiTheme="minorHAnsi" w:cstheme="minorHAnsi"/>
          <w:color w:val="auto"/>
        </w:rPr>
        <w:t xml:space="preserve">The National Agreement was completed in 2020 almost two years before a change in Australian government. One interpretation of the National Agreement is that it is a very progressive development because it was co-designed with input from the Coalition of Peaks, a </w:t>
      </w:r>
      <w:r w:rsidR="006A1605">
        <w:rPr>
          <w:rFonts w:asciiTheme="minorHAnsi" w:hAnsiTheme="minorHAnsi" w:cstheme="minorHAnsi"/>
          <w:color w:val="auto"/>
        </w:rPr>
        <w:t xml:space="preserve">significant </w:t>
      </w:r>
      <w:r>
        <w:rPr>
          <w:rFonts w:asciiTheme="minorHAnsi" w:hAnsiTheme="minorHAnsi" w:cstheme="minorHAnsi"/>
          <w:color w:val="auto"/>
        </w:rPr>
        <w:t xml:space="preserve">move towards self-determination and co-governance. Subsequently, the Coalition of Peaks were signatories to the Agreement and are now majority members of the Joint Council that guides its implementation. Another interpretation is that the Morrison-led Australian government was a willing participant in this process because it accorded </w:t>
      </w:r>
      <w:r>
        <w:rPr>
          <w:rFonts w:asciiTheme="minorHAnsi" w:hAnsiTheme="minorHAnsi" w:cstheme="minorHAnsi"/>
          <w:color w:val="auto"/>
        </w:rPr>
        <w:lastRenderedPageBreak/>
        <w:t xml:space="preserve">favourably with its clear strategy of devolving responsibility for Indigenous affairs administration and funding to the states and territories. Such evidence of an attempt to shift responsibility was very </w:t>
      </w:r>
      <w:r w:rsidR="006A1605">
        <w:rPr>
          <w:rFonts w:asciiTheme="minorHAnsi" w:hAnsiTheme="minorHAnsi" w:cstheme="minorHAnsi"/>
          <w:color w:val="auto"/>
        </w:rPr>
        <w:t>clear</w:t>
      </w:r>
      <w:r>
        <w:rPr>
          <w:rFonts w:asciiTheme="minorHAnsi" w:hAnsiTheme="minorHAnsi" w:cstheme="minorHAnsi"/>
          <w:color w:val="auto"/>
        </w:rPr>
        <w:t xml:space="preserve"> in the last two annual reports on Closing the Gap under NIRA when targets were reported </w:t>
      </w:r>
      <w:r w:rsidR="00514AA0">
        <w:rPr>
          <w:rFonts w:asciiTheme="minorHAnsi" w:hAnsiTheme="minorHAnsi" w:cstheme="minorHAnsi"/>
          <w:color w:val="auto"/>
        </w:rPr>
        <w:t xml:space="preserve">at the national as well as state and territory levels, an attempt to share the responsibility for failure to meet targets. It is also evident in historic information showing a growth in the proportion of estimated expenditures on Indigenous Australians by states and territories vis-à-vis the Commonwealth; and a decline in Indigenous-specific </w:t>
      </w:r>
      <w:r w:rsidR="006A1605">
        <w:rPr>
          <w:rFonts w:asciiTheme="minorHAnsi" w:hAnsiTheme="minorHAnsi" w:cstheme="minorHAnsi"/>
          <w:color w:val="auto"/>
        </w:rPr>
        <w:t xml:space="preserve">program </w:t>
      </w:r>
      <w:r w:rsidR="00514AA0">
        <w:rPr>
          <w:rFonts w:asciiTheme="minorHAnsi" w:hAnsiTheme="minorHAnsi" w:cstheme="minorHAnsi"/>
          <w:color w:val="auto"/>
        </w:rPr>
        <w:t>support mainly by the Commonwealth versus a growth in mainstream funding to the states and territories.</w:t>
      </w:r>
    </w:p>
    <w:p w14:paraId="3D132312" w14:textId="77777777" w:rsidR="00514AA0" w:rsidRDefault="00514AA0" w:rsidP="00AE35DE">
      <w:pPr>
        <w:pStyle w:val="Default"/>
        <w:rPr>
          <w:rFonts w:asciiTheme="minorHAnsi" w:hAnsiTheme="minorHAnsi" w:cstheme="minorHAnsi"/>
          <w:color w:val="auto"/>
        </w:rPr>
      </w:pPr>
    </w:p>
    <w:p w14:paraId="71E7E094" w14:textId="405B28C7" w:rsidR="00514AA0" w:rsidRDefault="00514AA0" w:rsidP="00AE35DE">
      <w:pPr>
        <w:pStyle w:val="Default"/>
        <w:rPr>
          <w:rFonts w:asciiTheme="minorHAnsi" w:hAnsiTheme="minorHAnsi" w:cstheme="minorHAnsi"/>
          <w:color w:val="auto"/>
        </w:rPr>
      </w:pPr>
      <w:r>
        <w:rPr>
          <w:rFonts w:asciiTheme="minorHAnsi" w:hAnsiTheme="minorHAnsi" w:cstheme="minorHAnsi"/>
          <w:color w:val="auto"/>
        </w:rPr>
        <w:t xml:space="preserve">A change of Australian government in May 2022 has seen some significant policy shifts, for example in climate, energy and environmental policies and commitments. But the only substantive change in Indigenous policy has been the new government’s unswerving commitment to embed a Voice to the Australian parliament and executive arm of government in the Constitution. It is paradoxical that as the government seeks to amend the Constitution with a new s 129, </w:t>
      </w:r>
      <w:r w:rsidR="00DB3C58">
        <w:rPr>
          <w:rFonts w:asciiTheme="minorHAnsi" w:hAnsiTheme="minorHAnsi" w:cstheme="minorHAnsi"/>
          <w:color w:val="auto"/>
        </w:rPr>
        <w:t xml:space="preserve">a trend to allow </w:t>
      </w:r>
      <w:r>
        <w:rPr>
          <w:rFonts w:asciiTheme="minorHAnsi" w:hAnsiTheme="minorHAnsi" w:cstheme="minorHAnsi"/>
          <w:color w:val="auto"/>
        </w:rPr>
        <w:t xml:space="preserve">existing powers under s 52 (xxvi) overwhelmingly conferred in the 1967 Referendum </w:t>
      </w:r>
      <w:r w:rsidR="00DB3C58">
        <w:rPr>
          <w:rFonts w:asciiTheme="minorHAnsi" w:hAnsiTheme="minorHAnsi" w:cstheme="minorHAnsi"/>
          <w:color w:val="auto"/>
        </w:rPr>
        <w:t>to decline has continued. In summary, the Commonwealth in the last decade has vacated its leadership role in Indigenous affairs; and the new government has not reversed this trend. This overlooks the historical reasons for conferring power with the Commonwealth; and despite the existence of the National Agreement, it seems that all parties are reluctant to fully implement i</w:t>
      </w:r>
      <w:r w:rsidR="008F581F">
        <w:rPr>
          <w:rFonts w:asciiTheme="minorHAnsi" w:hAnsiTheme="minorHAnsi" w:cstheme="minorHAnsi"/>
          <w:color w:val="auto"/>
        </w:rPr>
        <w:t>t</w:t>
      </w:r>
      <w:r w:rsidR="00DB3C58">
        <w:rPr>
          <w:rFonts w:asciiTheme="minorHAnsi" w:hAnsiTheme="minorHAnsi" w:cstheme="minorHAnsi"/>
          <w:color w:val="auto"/>
        </w:rPr>
        <w:t>s ambitious goals.</w:t>
      </w:r>
    </w:p>
    <w:p w14:paraId="02A35E6B" w14:textId="77777777" w:rsidR="00E13649" w:rsidRDefault="00E13649" w:rsidP="00AE35DE">
      <w:pPr>
        <w:pStyle w:val="Default"/>
        <w:rPr>
          <w:rFonts w:asciiTheme="minorHAnsi" w:hAnsiTheme="minorHAnsi" w:cstheme="minorHAnsi"/>
          <w:color w:val="auto"/>
        </w:rPr>
      </w:pPr>
    </w:p>
    <w:p w14:paraId="4EC69EB0" w14:textId="516AE7C2" w:rsidR="002E3751" w:rsidRPr="00A102E3" w:rsidRDefault="0095043C" w:rsidP="00AE35DE">
      <w:pPr>
        <w:pStyle w:val="Default"/>
        <w:rPr>
          <w:rFonts w:asciiTheme="minorHAnsi" w:hAnsiTheme="minorHAnsi" w:cstheme="minorHAnsi"/>
          <w:color w:val="auto"/>
        </w:rPr>
      </w:pPr>
      <w:r w:rsidRPr="00A102E3">
        <w:rPr>
          <w:rFonts w:asciiTheme="minorHAnsi" w:hAnsiTheme="minorHAnsi" w:cstheme="minorHAnsi"/>
          <w:color w:val="auto"/>
        </w:rPr>
        <w:t xml:space="preserve">I </w:t>
      </w:r>
      <w:r w:rsidR="005825D8">
        <w:rPr>
          <w:rFonts w:asciiTheme="minorHAnsi" w:hAnsiTheme="minorHAnsi" w:cstheme="minorHAnsi"/>
          <w:color w:val="auto"/>
        </w:rPr>
        <w:t>end my submission with three</w:t>
      </w:r>
      <w:r w:rsidRPr="00A102E3">
        <w:rPr>
          <w:rFonts w:asciiTheme="minorHAnsi" w:hAnsiTheme="minorHAnsi" w:cstheme="minorHAnsi"/>
          <w:color w:val="auto"/>
        </w:rPr>
        <w:t xml:space="preserve"> specific recommendations</w:t>
      </w:r>
      <w:r w:rsidR="00DB3C58">
        <w:rPr>
          <w:rFonts w:asciiTheme="minorHAnsi" w:hAnsiTheme="minorHAnsi" w:cstheme="minorHAnsi"/>
          <w:color w:val="auto"/>
        </w:rPr>
        <w:t xml:space="preserve"> </w:t>
      </w:r>
      <w:r w:rsidR="00FF04CB">
        <w:rPr>
          <w:rFonts w:asciiTheme="minorHAnsi" w:hAnsiTheme="minorHAnsi" w:cstheme="minorHAnsi"/>
          <w:color w:val="auto"/>
        </w:rPr>
        <w:t xml:space="preserve">to the Productivity Commission </w:t>
      </w:r>
      <w:r w:rsidR="009362EE">
        <w:rPr>
          <w:rFonts w:asciiTheme="minorHAnsi" w:hAnsiTheme="minorHAnsi" w:cstheme="minorHAnsi"/>
          <w:color w:val="auto"/>
        </w:rPr>
        <w:t xml:space="preserve">that can hopefully be conveyed </w:t>
      </w:r>
      <w:r w:rsidR="00DB3C58">
        <w:rPr>
          <w:rFonts w:asciiTheme="minorHAnsi" w:hAnsiTheme="minorHAnsi" w:cstheme="minorHAnsi"/>
          <w:color w:val="auto"/>
        </w:rPr>
        <w:t>to the Commonwealth government</w:t>
      </w:r>
      <w:r w:rsidR="00F85D50" w:rsidRPr="00A102E3">
        <w:rPr>
          <w:rFonts w:asciiTheme="minorHAnsi" w:hAnsiTheme="minorHAnsi" w:cstheme="minorHAnsi"/>
          <w:color w:val="auto"/>
        </w:rPr>
        <w:t>.</w:t>
      </w:r>
      <w:r w:rsidR="009362EE">
        <w:rPr>
          <w:rFonts w:asciiTheme="minorHAnsi" w:hAnsiTheme="minorHAnsi" w:cstheme="minorHAnsi"/>
          <w:color w:val="auto"/>
        </w:rPr>
        <w:t xml:space="preserve"> My aim is to recommend practical steps to address Indigenous disadvantage especially where it is most egregious rather than the National Agreement’s targets.</w:t>
      </w:r>
    </w:p>
    <w:p w14:paraId="7B561D62" w14:textId="77777777" w:rsidR="00B42E1D" w:rsidRPr="00A102E3" w:rsidRDefault="00B42E1D" w:rsidP="00AE35DE">
      <w:pPr>
        <w:pStyle w:val="Default"/>
        <w:rPr>
          <w:rFonts w:asciiTheme="minorHAnsi" w:hAnsiTheme="minorHAnsi" w:cstheme="minorHAnsi"/>
          <w:color w:val="auto"/>
        </w:rPr>
      </w:pPr>
    </w:p>
    <w:p w14:paraId="32F4F045" w14:textId="043832F0" w:rsidR="00B42E1D" w:rsidRPr="00A102E3" w:rsidRDefault="00F85D50" w:rsidP="00F85D50">
      <w:pPr>
        <w:autoSpaceDE w:val="0"/>
        <w:autoSpaceDN w:val="0"/>
        <w:adjustRightInd w:val="0"/>
        <w:spacing w:after="0" w:line="240" w:lineRule="auto"/>
        <w:rPr>
          <w:rFonts w:cstheme="minorHAnsi"/>
          <w:kern w:val="0"/>
          <w:sz w:val="24"/>
          <w:szCs w:val="24"/>
        </w:rPr>
      </w:pPr>
      <w:r w:rsidRPr="00A102E3">
        <w:rPr>
          <w:rFonts w:cstheme="minorHAnsi"/>
          <w:kern w:val="0"/>
          <w:sz w:val="24"/>
          <w:szCs w:val="24"/>
        </w:rPr>
        <w:t>First, there is an urgent need to re-</w:t>
      </w:r>
      <w:r w:rsidR="00B42E1D" w:rsidRPr="00A102E3">
        <w:rPr>
          <w:rFonts w:cstheme="minorHAnsi"/>
          <w:kern w:val="0"/>
          <w:sz w:val="24"/>
          <w:szCs w:val="24"/>
        </w:rPr>
        <w:t xml:space="preserve">assess the </w:t>
      </w:r>
      <w:r w:rsidR="009362EE">
        <w:rPr>
          <w:rFonts w:cstheme="minorHAnsi"/>
          <w:kern w:val="0"/>
          <w:sz w:val="24"/>
          <w:szCs w:val="24"/>
        </w:rPr>
        <w:t xml:space="preserve">principal aim of the National Agreement, is it to address disadvantage or to eliminate disparities as suggested by the term ‘Closing the Gap’. And how </w:t>
      </w:r>
      <w:r w:rsidR="00B42E1D" w:rsidRPr="00A102E3">
        <w:rPr>
          <w:rFonts w:cstheme="minorHAnsi"/>
          <w:kern w:val="0"/>
          <w:sz w:val="24"/>
          <w:szCs w:val="24"/>
        </w:rPr>
        <w:t>robust</w:t>
      </w:r>
      <w:r w:rsidR="009362EE">
        <w:rPr>
          <w:rFonts w:cstheme="minorHAnsi"/>
          <w:kern w:val="0"/>
          <w:sz w:val="24"/>
          <w:szCs w:val="24"/>
        </w:rPr>
        <w:t xml:space="preserve"> are</w:t>
      </w:r>
      <w:r w:rsidR="00B42E1D" w:rsidRPr="00A102E3">
        <w:rPr>
          <w:rFonts w:cstheme="minorHAnsi"/>
          <w:kern w:val="0"/>
          <w:sz w:val="24"/>
          <w:szCs w:val="24"/>
        </w:rPr>
        <w:t xml:space="preserve"> </w:t>
      </w:r>
      <w:r w:rsidR="00D328F7">
        <w:rPr>
          <w:rFonts w:cstheme="minorHAnsi"/>
          <w:kern w:val="0"/>
          <w:sz w:val="24"/>
          <w:szCs w:val="24"/>
        </w:rPr>
        <w:t>the</w:t>
      </w:r>
      <w:r w:rsidRPr="00A102E3">
        <w:rPr>
          <w:rFonts w:cstheme="minorHAnsi"/>
          <w:kern w:val="0"/>
          <w:sz w:val="24"/>
          <w:szCs w:val="24"/>
        </w:rPr>
        <w:t xml:space="preserve"> </w:t>
      </w:r>
      <w:r w:rsidR="00B42E1D" w:rsidRPr="00A102E3">
        <w:rPr>
          <w:rFonts w:cstheme="minorHAnsi"/>
          <w:kern w:val="0"/>
          <w:sz w:val="24"/>
          <w:szCs w:val="24"/>
        </w:rPr>
        <w:t xml:space="preserve">targets </w:t>
      </w:r>
      <w:r w:rsidRPr="00A102E3">
        <w:rPr>
          <w:rFonts w:cstheme="minorHAnsi"/>
          <w:kern w:val="0"/>
          <w:sz w:val="24"/>
          <w:szCs w:val="24"/>
        </w:rPr>
        <w:t>in the National Agreement and the capacity of standard social indicators and other quantitative measures to assess</w:t>
      </w:r>
      <w:r w:rsidR="00B42E1D" w:rsidRPr="00A102E3">
        <w:rPr>
          <w:rFonts w:cstheme="minorHAnsi"/>
          <w:kern w:val="0"/>
          <w:sz w:val="24"/>
          <w:szCs w:val="24"/>
        </w:rPr>
        <w:t xml:space="preserve"> progress. </w:t>
      </w:r>
      <w:r w:rsidRPr="00A102E3">
        <w:rPr>
          <w:rFonts w:cstheme="minorHAnsi"/>
          <w:kern w:val="0"/>
          <w:sz w:val="24"/>
          <w:szCs w:val="24"/>
        </w:rPr>
        <w:t>The recent h</w:t>
      </w:r>
      <w:r w:rsidR="00B42E1D" w:rsidRPr="00A102E3">
        <w:rPr>
          <w:rFonts w:cstheme="minorHAnsi"/>
          <w:kern w:val="0"/>
          <w:sz w:val="24"/>
          <w:szCs w:val="24"/>
        </w:rPr>
        <w:t>istory of NIRA</w:t>
      </w:r>
      <w:r w:rsidR="00D328F7">
        <w:rPr>
          <w:rFonts w:cstheme="minorHAnsi"/>
          <w:kern w:val="0"/>
          <w:sz w:val="24"/>
          <w:szCs w:val="24"/>
        </w:rPr>
        <w:t xml:space="preserve">’ </w:t>
      </w:r>
      <w:r w:rsidRPr="00A102E3">
        <w:rPr>
          <w:rFonts w:cstheme="minorHAnsi"/>
          <w:kern w:val="0"/>
          <w:sz w:val="24"/>
          <w:szCs w:val="24"/>
        </w:rPr>
        <w:t>s Closing the Gap goals</w:t>
      </w:r>
      <w:r w:rsidR="00B42E1D" w:rsidRPr="00A102E3">
        <w:rPr>
          <w:rFonts w:cstheme="minorHAnsi"/>
          <w:kern w:val="0"/>
          <w:sz w:val="24"/>
          <w:szCs w:val="24"/>
        </w:rPr>
        <w:t xml:space="preserve"> 2008–2018 </w:t>
      </w:r>
      <w:r w:rsidRPr="00A102E3">
        <w:rPr>
          <w:rFonts w:cstheme="minorHAnsi"/>
          <w:kern w:val="0"/>
          <w:sz w:val="24"/>
          <w:szCs w:val="24"/>
        </w:rPr>
        <w:t>indicate</w:t>
      </w:r>
      <w:r w:rsidR="008F581F">
        <w:rPr>
          <w:rFonts w:cstheme="minorHAnsi"/>
          <w:kern w:val="0"/>
          <w:sz w:val="24"/>
          <w:szCs w:val="24"/>
        </w:rPr>
        <w:t>s</w:t>
      </w:r>
      <w:r w:rsidRPr="00A102E3">
        <w:rPr>
          <w:rFonts w:cstheme="minorHAnsi"/>
          <w:kern w:val="0"/>
          <w:sz w:val="24"/>
          <w:szCs w:val="24"/>
        </w:rPr>
        <w:t xml:space="preserve"> that even </w:t>
      </w:r>
      <w:r w:rsidR="00B42E1D" w:rsidRPr="00A102E3">
        <w:rPr>
          <w:rFonts w:cstheme="minorHAnsi"/>
          <w:kern w:val="0"/>
          <w:sz w:val="24"/>
          <w:szCs w:val="24"/>
        </w:rPr>
        <w:t xml:space="preserve">modest absolute targets </w:t>
      </w:r>
      <w:r w:rsidRPr="00A102E3">
        <w:rPr>
          <w:rFonts w:cstheme="minorHAnsi"/>
          <w:kern w:val="0"/>
          <w:sz w:val="24"/>
          <w:szCs w:val="24"/>
        </w:rPr>
        <w:t>are difficult to achieve</w:t>
      </w:r>
      <w:r w:rsidR="00B42E1D" w:rsidRPr="00A102E3">
        <w:rPr>
          <w:rFonts w:cstheme="minorHAnsi"/>
          <w:kern w:val="0"/>
          <w:sz w:val="24"/>
          <w:szCs w:val="24"/>
        </w:rPr>
        <w:t xml:space="preserve">. </w:t>
      </w:r>
      <w:r w:rsidR="00DB3C58">
        <w:rPr>
          <w:rFonts w:cstheme="minorHAnsi"/>
          <w:kern w:val="0"/>
          <w:sz w:val="24"/>
          <w:szCs w:val="24"/>
        </w:rPr>
        <w:t>The</w:t>
      </w:r>
      <w:r w:rsidRPr="00A102E3">
        <w:rPr>
          <w:rFonts w:cstheme="minorHAnsi"/>
          <w:kern w:val="0"/>
          <w:sz w:val="24"/>
          <w:szCs w:val="24"/>
        </w:rPr>
        <w:t xml:space="preserve"> current targets </w:t>
      </w:r>
      <w:r w:rsidR="00B42E1D" w:rsidRPr="00A102E3">
        <w:rPr>
          <w:rFonts w:cstheme="minorHAnsi"/>
          <w:kern w:val="0"/>
          <w:sz w:val="24"/>
          <w:szCs w:val="24"/>
        </w:rPr>
        <w:t>are problematic, arbitrary, some contradictory</w:t>
      </w:r>
      <w:r w:rsidRPr="00A102E3">
        <w:rPr>
          <w:rFonts w:cstheme="minorHAnsi"/>
          <w:kern w:val="0"/>
          <w:sz w:val="24"/>
          <w:szCs w:val="24"/>
        </w:rPr>
        <w:t xml:space="preserve"> and they </w:t>
      </w:r>
      <w:r w:rsidR="00B42E1D" w:rsidRPr="00A102E3">
        <w:rPr>
          <w:rFonts w:cstheme="minorHAnsi"/>
          <w:kern w:val="0"/>
          <w:sz w:val="24"/>
          <w:szCs w:val="24"/>
        </w:rPr>
        <w:t xml:space="preserve">lack </w:t>
      </w:r>
      <w:r w:rsidRPr="00A102E3">
        <w:rPr>
          <w:rFonts w:cstheme="minorHAnsi"/>
          <w:kern w:val="0"/>
          <w:sz w:val="24"/>
          <w:szCs w:val="24"/>
        </w:rPr>
        <w:t>holism</w:t>
      </w:r>
      <w:r w:rsidR="00B42E1D" w:rsidRPr="00A102E3">
        <w:rPr>
          <w:rFonts w:cstheme="minorHAnsi"/>
          <w:kern w:val="0"/>
          <w:sz w:val="24"/>
          <w:szCs w:val="24"/>
        </w:rPr>
        <w:t xml:space="preserve"> and </w:t>
      </w:r>
      <w:r w:rsidRPr="00A102E3">
        <w:rPr>
          <w:rFonts w:cstheme="minorHAnsi"/>
          <w:kern w:val="0"/>
          <w:sz w:val="24"/>
          <w:szCs w:val="24"/>
        </w:rPr>
        <w:t xml:space="preserve">an </w:t>
      </w:r>
      <w:r w:rsidR="00B42E1D" w:rsidRPr="00A102E3">
        <w:rPr>
          <w:rFonts w:cstheme="minorHAnsi"/>
          <w:kern w:val="0"/>
          <w:sz w:val="24"/>
          <w:szCs w:val="24"/>
        </w:rPr>
        <w:t xml:space="preserve">overall policy logic. Even if </w:t>
      </w:r>
      <w:r w:rsidRPr="00A102E3">
        <w:rPr>
          <w:rFonts w:cstheme="minorHAnsi"/>
          <w:kern w:val="0"/>
          <w:sz w:val="24"/>
          <w:szCs w:val="24"/>
        </w:rPr>
        <w:t xml:space="preserve">these targets are </w:t>
      </w:r>
      <w:r w:rsidR="005825D8">
        <w:rPr>
          <w:rFonts w:cstheme="minorHAnsi"/>
          <w:kern w:val="0"/>
          <w:sz w:val="24"/>
          <w:szCs w:val="24"/>
        </w:rPr>
        <w:t>me</w:t>
      </w:r>
      <w:r w:rsidR="00DB3C58">
        <w:rPr>
          <w:rFonts w:cstheme="minorHAnsi"/>
          <w:kern w:val="0"/>
          <w:sz w:val="24"/>
          <w:szCs w:val="24"/>
        </w:rPr>
        <w:t>t</w:t>
      </w:r>
      <w:r w:rsidR="005825D8">
        <w:rPr>
          <w:rFonts w:cstheme="minorHAnsi"/>
          <w:kern w:val="0"/>
          <w:sz w:val="24"/>
          <w:szCs w:val="24"/>
        </w:rPr>
        <w:t>,</w:t>
      </w:r>
      <w:r w:rsidRPr="00A102E3">
        <w:rPr>
          <w:rFonts w:cstheme="minorHAnsi"/>
          <w:kern w:val="0"/>
          <w:sz w:val="24"/>
          <w:szCs w:val="24"/>
        </w:rPr>
        <w:t xml:space="preserve"> most represent </w:t>
      </w:r>
      <w:r w:rsidR="00B42E1D" w:rsidRPr="00A102E3">
        <w:rPr>
          <w:rFonts w:cstheme="minorHAnsi"/>
          <w:kern w:val="0"/>
          <w:sz w:val="24"/>
          <w:szCs w:val="24"/>
        </w:rPr>
        <w:t xml:space="preserve">measures of emerging sameness, not of difference where </w:t>
      </w:r>
      <w:r w:rsidRPr="00A102E3">
        <w:rPr>
          <w:rFonts w:cstheme="minorHAnsi"/>
          <w:kern w:val="0"/>
          <w:sz w:val="24"/>
          <w:szCs w:val="24"/>
        </w:rPr>
        <w:t xml:space="preserve">it is </w:t>
      </w:r>
      <w:r w:rsidR="00B42E1D" w:rsidRPr="00A102E3">
        <w:rPr>
          <w:rFonts w:cstheme="minorHAnsi"/>
          <w:kern w:val="0"/>
          <w:sz w:val="24"/>
          <w:szCs w:val="24"/>
        </w:rPr>
        <w:t xml:space="preserve">desired or sought or indeed inevitable in places like Maningrida and Doomadgee </w:t>
      </w:r>
      <w:r w:rsidRPr="00A102E3">
        <w:rPr>
          <w:rFonts w:cstheme="minorHAnsi"/>
          <w:kern w:val="0"/>
          <w:sz w:val="24"/>
          <w:szCs w:val="24"/>
        </w:rPr>
        <w:t>where</w:t>
      </w:r>
      <w:r w:rsidR="00B42E1D" w:rsidRPr="00A102E3">
        <w:rPr>
          <w:rFonts w:cstheme="minorHAnsi"/>
          <w:kern w:val="0"/>
          <w:sz w:val="24"/>
          <w:szCs w:val="24"/>
        </w:rPr>
        <w:t xml:space="preserve"> people continue to live in remote discrete communities. </w:t>
      </w:r>
      <w:r w:rsidRPr="00A102E3">
        <w:rPr>
          <w:rFonts w:cstheme="minorHAnsi"/>
          <w:kern w:val="0"/>
          <w:sz w:val="24"/>
          <w:szCs w:val="24"/>
        </w:rPr>
        <w:t>It is encouraging to see the Joint Council</w:t>
      </w:r>
      <w:r w:rsidR="00B42E1D" w:rsidRPr="00A102E3">
        <w:rPr>
          <w:rFonts w:cstheme="minorHAnsi"/>
          <w:kern w:val="0"/>
          <w:sz w:val="24"/>
          <w:szCs w:val="24"/>
        </w:rPr>
        <w:t xml:space="preserve"> responsive to </w:t>
      </w:r>
      <w:r w:rsidRPr="00A102E3">
        <w:rPr>
          <w:rFonts w:cstheme="minorHAnsi"/>
          <w:kern w:val="0"/>
          <w:sz w:val="24"/>
          <w:szCs w:val="24"/>
        </w:rPr>
        <w:t xml:space="preserve">immediate </w:t>
      </w:r>
      <w:r w:rsidR="00B42E1D" w:rsidRPr="00A102E3">
        <w:rPr>
          <w:rFonts w:cstheme="minorHAnsi"/>
          <w:kern w:val="0"/>
          <w:sz w:val="24"/>
          <w:szCs w:val="24"/>
        </w:rPr>
        <w:t xml:space="preserve">needs </w:t>
      </w:r>
      <w:r w:rsidRPr="00A102E3">
        <w:rPr>
          <w:rFonts w:cstheme="minorHAnsi"/>
          <w:kern w:val="0"/>
          <w:sz w:val="24"/>
          <w:szCs w:val="24"/>
        </w:rPr>
        <w:t>as demonstrated in</w:t>
      </w:r>
      <w:r w:rsidR="00B42E1D" w:rsidRPr="00A102E3">
        <w:rPr>
          <w:rFonts w:cstheme="minorHAnsi"/>
          <w:kern w:val="0"/>
          <w:sz w:val="24"/>
          <w:szCs w:val="24"/>
        </w:rPr>
        <w:t xml:space="preserve"> a willingness to </w:t>
      </w:r>
      <w:r w:rsidRPr="00A102E3">
        <w:rPr>
          <w:rFonts w:cstheme="minorHAnsi"/>
          <w:kern w:val="0"/>
          <w:sz w:val="24"/>
          <w:szCs w:val="24"/>
        </w:rPr>
        <w:t>add</w:t>
      </w:r>
      <w:r w:rsidR="00B42E1D" w:rsidRPr="00A102E3">
        <w:rPr>
          <w:rFonts w:cstheme="minorHAnsi"/>
          <w:kern w:val="0"/>
          <w:sz w:val="24"/>
          <w:szCs w:val="24"/>
        </w:rPr>
        <w:t xml:space="preserve"> targets to reflect newly identified priorities </w:t>
      </w:r>
      <w:r w:rsidR="00364344" w:rsidRPr="00A102E3">
        <w:rPr>
          <w:rFonts w:cstheme="minorHAnsi"/>
          <w:kern w:val="0"/>
          <w:sz w:val="24"/>
          <w:szCs w:val="24"/>
        </w:rPr>
        <w:t>as with Target</w:t>
      </w:r>
      <w:r w:rsidR="00B42E1D" w:rsidRPr="00A102E3">
        <w:rPr>
          <w:rFonts w:cstheme="minorHAnsi"/>
          <w:kern w:val="0"/>
          <w:sz w:val="24"/>
          <w:szCs w:val="24"/>
        </w:rPr>
        <w:t xml:space="preserve"> 9A.</w:t>
      </w:r>
      <w:r w:rsidR="00DB3C58">
        <w:rPr>
          <w:rFonts w:cstheme="minorHAnsi"/>
          <w:kern w:val="0"/>
          <w:sz w:val="24"/>
          <w:szCs w:val="24"/>
        </w:rPr>
        <w:t xml:space="preserve"> In so far as the Draft Report’s recommendation 1 seeks a re-evaluation of the National Agreement</w:t>
      </w:r>
      <w:r w:rsidR="006A1605">
        <w:rPr>
          <w:rFonts w:cstheme="minorHAnsi"/>
          <w:kern w:val="0"/>
          <w:sz w:val="24"/>
          <w:szCs w:val="24"/>
        </w:rPr>
        <w:t xml:space="preserve">, </w:t>
      </w:r>
      <w:r w:rsidR="00DB3C58">
        <w:rPr>
          <w:rFonts w:cstheme="minorHAnsi"/>
          <w:kern w:val="0"/>
          <w:sz w:val="24"/>
          <w:szCs w:val="24"/>
        </w:rPr>
        <w:t xml:space="preserve">the Commonwealth should take a lead role in such a task with input from the </w:t>
      </w:r>
      <w:r w:rsidR="00FF04CB">
        <w:rPr>
          <w:rFonts w:cstheme="minorHAnsi"/>
          <w:kern w:val="0"/>
          <w:sz w:val="24"/>
          <w:szCs w:val="24"/>
        </w:rPr>
        <w:t xml:space="preserve">grounded and practical experience of the </w:t>
      </w:r>
      <w:r w:rsidR="00DB3C58">
        <w:rPr>
          <w:rFonts w:cstheme="minorHAnsi"/>
          <w:kern w:val="0"/>
          <w:sz w:val="24"/>
          <w:szCs w:val="24"/>
        </w:rPr>
        <w:t>Coalition of Peaks.</w:t>
      </w:r>
    </w:p>
    <w:p w14:paraId="53D2868D" w14:textId="77777777" w:rsidR="00F85D50" w:rsidRPr="00A102E3" w:rsidRDefault="00F85D50" w:rsidP="00F85D50">
      <w:pPr>
        <w:autoSpaceDE w:val="0"/>
        <w:autoSpaceDN w:val="0"/>
        <w:adjustRightInd w:val="0"/>
        <w:spacing w:after="0" w:line="240" w:lineRule="auto"/>
        <w:rPr>
          <w:rFonts w:cstheme="minorHAnsi"/>
          <w:kern w:val="0"/>
          <w:sz w:val="24"/>
          <w:szCs w:val="24"/>
        </w:rPr>
      </w:pPr>
    </w:p>
    <w:p w14:paraId="23A4E01D" w14:textId="7C824B49" w:rsidR="00F85D50" w:rsidRPr="00A102E3" w:rsidRDefault="00F85D50" w:rsidP="00F85D50">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Second, there is </w:t>
      </w:r>
      <w:r w:rsidR="005825D8">
        <w:rPr>
          <w:rFonts w:cstheme="minorHAnsi"/>
          <w:kern w:val="0"/>
          <w:sz w:val="24"/>
          <w:szCs w:val="24"/>
        </w:rPr>
        <w:t>a</w:t>
      </w:r>
      <w:r w:rsidRPr="00A102E3">
        <w:rPr>
          <w:rFonts w:cstheme="minorHAnsi"/>
          <w:kern w:val="0"/>
          <w:sz w:val="24"/>
          <w:szCs w:val="24"/>
        </w:rPr>
        <w:t xml:space="preserve"> need to reinstate some version of the Community Housing and </w:t>
      </w:r>
      <w:r w:rsidR="006A1605">
        <w:rPr>
          <w:rFonts w:cstheme="minorHAnsi"/>
          <w:kern w:val="0"/>
          <w:sz w:val="24"/>
          <w:szCs w:val="24"/>
        </w:rPr>
        <w:t>I</w:t>
      </w:r>
      <w:r w:rsidRPr="00A102E3">
        <w:rPr>
          <w:rFonts w:cstheme="minorHAnsi"/>
          <w:kern w:val="0"/>
          <w:sz w:val="24"/>
          <w:szCs w:val="24"/>
        </w:rPr>
        <w:t xml:space="preserve">nfrastructure Needs Survey discontinued in 2006 to provide some objective assessment of </w:t>
      </w:r>
      <w:r w:rsidR="00897EA6">
        <w:rPr>
          <w:rFonts w:cstheme="minorHAnsi"/>
          <w:kern w:val="0"/>
          <w:sz w:val="24"/>
          <w:szCs w:val="24"/>
        </w:rPr>
        <w:t xml:space="preserve">Indigenous </w:t>
      </w:r>
      <w:r w:rsidRPr="00A102E3">
        <w:rPr>
          <w:rFonts w:cstheme="minorHAnsi"/>
          <w:kern w:val="0"/>
          <w:sz w:val="24"/>
          <w:szCs w:val="24"/>
        </w:rPr>
        <w:t>needs. Indeed</w:t>
      </w:r>
      <w:r w:rsidR="00364344" w:rsidRPr="00A102E3">
        <w:rPr>
          <w:rFonts w:cstheme="minorHAnsi"/>
          <w:kern w:val="0"/>
          <w:sz w:val="24"/>
          <w:szCs w:val="24"/>
        </w:rPr>
        <w:t>,</w:t>
      </w:r>
      <w:r w:rsidRPr="00A102E3">
        <w:rPr>
          <w:rFonts w:cstheme="minorHAnsi"/>
          <w:kern w:val="0"/>
          <w:sz w:val="24"/>
          <w:szCs w:val="24"/>
        </w:rPr>
        <w:t xml:space="preserve"> such a survey could extend beyond housing and infrastructure to undertake a </w:t>
      </w:r>
      <w:r w:rsidR="00364344" w:rsidRPr="00A102E3">
        <w:rPr>
          <w:rFonts w:cstheme="minorHAnsi"/>
          <w:kern w:val="0"/>
          <w:sz w:val="24"/>
          <w:szCs w:val="24"/>
        </w:rPr>
        <w:t xml:space="preserve">comprehensive inquiry into the extent of shortfalls and to quantify the cost of </w:t>
      </w:r>
      <w:r w:rsidR="00364344" w:rsidRPr="00A102E3">
        <w:rPr>
          <w:rFonts w:cstheme="minorHAnsi"/>
          <w:kern w:val="0"/>
          <w:sz w:val="24"/>
          <w:szCs w:val="24"/>
        </w:rPr>
        <w:lastRenderedPageBreak/>
        <w:t xml:space="preserve">meeting such shortfalls to appropriate </w:t>
      </w:r>
      <w:r w:rsidR="00F93031" w:rsidRPr="00A102E3">
        <w:rPr>
          <w:rFonts w:cstheme="minorHAnsi"/>
          <w:kern w:val="0"/>
          <w:sz w:val="24"/>
          <w:szCs w:val="24"/>
        </w:rPr>
        <w:t>time limits</w:t>
      </w:r>
      <w:r w:rsidR="00897EA6">
        <w:rPr>
          <w:rFonts w:cstheme="minorHAnsi"/>
          <w:kern w:val="0"/>
          <w:sz w:val="24"/>
          <w:szCs w:val="24"/>
        </w:rPr>
        <w:t xml:space="preserve"> bearing in mind that delay just perpetuates disadvantage inter-generationally</w:t>
      </w:r>
      <w:r w:rsidR="00364344" w:rsidRPr="00A102E3">
        <w:rPr>
          <w:rFonts w:cstheme="minorHAnsi"/>
          <w:kern w:val="0"/>
          <w:sz w:val="24"/>
          <w:szCs w:val="24"/>
        </w:rPr>
        <w:t>.</w:t>
      </w:r>
      <w:r w:rsidR="00926474">
        <w:rPr>
          <w:rStyle w:val="FootnoteReference"/>
          <w:rFonts w:cstheme="minorHAnsi"/>
          <w:kern w:val="0"/>
          <w:sz w:val="24"/>
          <w:szCs w:val="24"/>
        </w:rPr>
        <w:footnoteReference w:id="3"/>
      </w:r>
      <w:r w:rsidR="005825D8">
        <w:rPr>
          <w:rFonts w:cstheme="minorHAnsi"/>
          <w:kern w:val="0"/>
          <w:sz w:val="24"/>
          <w:szCs w:val="24"/>
        </w:rPr>
        <w:t xml:space="preserve"> It is possible that the National Aboriginal and Torres Strait Islander Social Survey that seems to have declined as a priority for the ABS in the post-ATSIC era could be repurposed to rigorously quantify </w:t>
      </w:r>
      <w:r w:rsidR="00897EA6">
        <w:rPr>
          <w:rFonts w:cstheme="minorHAnsi"/>
          <w:kern w:val="0"/>
          <w:sz w:val="24"/>
          <w:szCs w:val="24"/>
        </w:rPr>
        <w:t xml:space="preserve">using robust survey methods </w:t>
      </w:r>
      <w:r w:rsidR="005825D8">
        <w:rPr>
          <w:rFonts w:cstheme="minorHAnsi"/>
          <w:kern w:val="0"/>
          <w:sz w:val="24"/>
          <w:szCs w:val="24"/>
        </w:rPr>
        <w:t>the extent of current needs and backlogs that will need to be met if disadvantaged is to be addressed.</w:t>
      </w:r>
    </w:p>
    <w:p w14:paraId="524CCD8C" w14:textId="77777777" w:rsidR="00F85D50" w:rsidRPr="00A102E3" w:rsidRDefault="00F85D50" w:rsidP="00F85D50">
      <w:pPr>
        <w:autoSpaceDE w:val="0"/>
        <w:autoSpaceDN w:val="0"/>
        <w:adjustRightInd w:val="0"/>
        <w:spacing w:after="0" w:line="240" w:lineRule="auto"/>
        <w:rPr>
          <w:rFonts w:cstheme="minorHAnsi"/>
          <w:kern w:val="0"/>
          <w:sz w:val="24"/>
          <w:szCs w:val="24"/>
        </w:rPr>
      </w:pPr>
    </w:p>
    <w:p w14:paraId="2B6378A4" w14:textId="6348FACB" w:rsidR="006A0717" w:rsidRPr="00A102E3" w:rsidRDefault="00364344" w:rsidP="00F85D50">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Third, there is an urgent need </w:t>
      </w:r>
      <w:r w:rsidR="00F85D50" w:rsidRPr="00A102E3">
        <w:rPr>
          <w:rFonts w:cstheme="minorHAnsi"/>
          <w:kern w:val="0"/>
          <w:sz w:val="24"/>
          <w:szCs w:val="24"/>
        </w:rPr>
        <w:t xml:space="preserve">to </w:t>
      </w:r>
      <w:r w:rsidR="00B42E1D" w:rsidRPr="00A102E3">
        <w:rPr>
          <w:rFonts w:cstheme="minorHAnsi"/>
          <w:kern w:val="0"/>
          <w:sz w:val="24"/>
          <w:szCs w:val="24"/>
        </w:rPr>
        <w:t xml:space="preserve">reinstate </w:t>
      </w:r>
      <w:r w:rsidR="005825D8">
        <w:rPr>
          <w:rFonts w:cstheme="minorHAnsi"/>
          <w:kern w:val="0"/>
          <w:sz w:val="24"/>
          <w:szCs w:val="24"/>
        </w:rPr>
        <w:t xml:space="preserve">some version of </w:t>
      </w:r>
      <w:r w:rsidR="00B42E1D" w:rsidRPr="00A102E3">
        <w:rPr>
          <w:rFonts w:cstheme="minorHAnsi"/>
          <w:kern w:val="0"/>
          <w:sz w:val="24"/>
          <w:szCs w:val="24"/>
        </w:rPr>
        <w:t>the I</w:t>
      </w:r>
      <w:r w:rsidR="00F85D50" w:rsidRPr="00A102E3">
        <w:rPr>
          <w:rFonts w:cstheme="minorHAnsi"/>
          <w:kern w:val="0"/>
          <w:sz w:val="24"/>
          <w:szCs w:val="24"/>
        </w:rPr>
        <w:t>ndigenous Expenditure Review and its estimation</w:t>
      </w:r>
      <w:r w:rsidRPr="00A102E3">
        <w:rPr>
          <w:rFonts w:cstheme="minorHAnsi"/>
          <w:kern w:val="0"/>
          <w:sz w:val="24"/>
          <w:szCs w:val="24"/>
        </w:rPr>
        <w:t>s of the distinctions between Commonwealth and state and territory expenditures, mainstream and Indigenous-specific expenditures, expenditures by state and territories, and the basis for enhanced expenditures including higher Indigenous needs and higher costs of service delivery</w:t>
      </w:r>
      <w:r w:rsidR="00B42E1D" w:rsidRPr="00A102E3">
        <w:rPr>
          <w:rFonts w:cstheme="minorHAnsi"/>
          <w:kern w:val="0"/>
          <w:sz w:val="24"/>
          <w:szCs w:val="24"/>
        </w:rPr>
        <w:t xml:space="preserve">. </w:t>
      </w:r>
      <w:r w:rsidRPr="00A102E3">
        <w:rPr>
          <w:rFonts w:cstheme="minorHAnsi"/>
          <w:kern w:val="0"/>
          <w:sz w:val="24"/>
          <w:szCs w:val="24"/>
        </w:rPr>
        <w:t xml:space="preserve">In addition, it would be useful to distinguish between negative (incarceration) and positive (education) funding and between invited (language programs) and imposed (income management) expenditures at national and sub-national levels. It is acknowledged </w:t>
      </w:r>
      <w:r w:rsidR="00B42E1D" w:rsidRPr="00A102E3">
        <w:rPr>
          <w:rFonts w:cstheme="minorHAnsi"/>
          <w:kern w:val="0"/>
          <w:sz w:val="24"/>
          <w:szCs w:val="24"/>
        </w:rPr>
        <w:t xml:space="preserve">that there is frequent reference </w:t>
      </w:r>
      <w:r w:rsidRPr="00A102E3">
        <w:rPr>
          <w:rFonts w:cstheme="minorHAnsi"/>
          <w:kern w:val="0"/>
          <w:sz w:val="24"/>
          <w:szCs w:val="24"/>
        </w:rPr>
        <w:t>in the National Agreement and in the Draft Report on</w:t>
      </w:r>
      <w:r w:rsidR="00B42E1D" w:rsidRPr="00A102E3">
        <w:rPr>
          <w:rFonts w:cstheme="minorHAnsi"/>
          <w:kern w:val="0"/>
          <w:sz w:val="24"/>
          <w:szCs w:val="24"/>
        </w:rPr>
        <w:t xml:space="preserve"> obligations on all government parties to provide expenditure </w:t>
      </w:r>
      <w:r w:rsidR="008F581F" w:rsidRPr="00A102E3">
        <w:rPr>
          <w:rFonts w:cstheme="minorHAnsi"/>
          <w:kern w:val="0"/>
          <w:sz w:val="24"/>
          <w:szCs w:val="24"/>
        </w:rPr>
        <w:t>reports,</w:t>
      </w:r>
      <w:r w:rsidR="00B42E1D" w:rsidRPr="00A102E3">
        <w:rPr>
          <w:rFonts w:cstheme="minorHAnsi"/>
          <w:kern w:val="0"/>
          <w:sz w:val="24"/>
          <w:szCs w:val="24"/>
        </w:rPr>
        <w:t xml:space="preserve"> but </w:t>
      </w:r>
      <w:r w:rsidRPr="00A102E3">
        <w:rPr>
          <w:rFonts w:cstheme="minorHAnsi"/>
          <w:kern w:val="0"/>
          <w:sz w:val="24"/>
          <w:szCs w:val="24"/>
        </w:rPr>
        <w:t xml:space="preserve">this </w:t>
      </w:r>
      <w:r w:rsidR="008F581F">
        <w:rPr>
          <w:rFonts w:cstheme="minorHAnsi"/>
          <w:kern w:val="0"/>
          <w:sz w:val="24"/>
          <w:szCs w:val="24"/>
        </w:rPr>
        <w:t xml:space="preserve">is </w:t>
      </w:r>
      <w:r w:rsidR="00B42E1D" w:rsidRPr="00A102E3">
        <w:rPr>
          <w:rFonts w:cstheme="minorHAnsi"/>
          <w:kern w:val="0"/>
          <w:sz w:val="24"/>
          <w:szCs w:val="24"/>
        </w:rPr>
        <w:t xml:space="preserve">only happening in NSW and ACT to date. </w:t>
      </w:r>
      <w:r w:rsidR="005825D8">
        <w:rPr>
          <w:rFonts w:cstheme="minorHAnsi"/>
          <w:kern w:val="0"/>
          <w:sz w:val="24"/>
          <w:szCs w:val="24"/>
        </w:rPr>
        <w:t>As already noted, revitalised C</w:t>
      </w:r>
      <w:r w:rsidR="00B42E1D" w:rsidRPr="00A102E3">
        <w:rPr>
          <w:rFonts w:cstheme="minorHAnsi"/>
          <w:kern w:val="0"/>
          <w:sz w:val="24"/>
          <w:szCs w:val="24"/>
        </w:rPr>
        <w:t xml:space="preserve">ommonwealth leadership </w:t>
      </w:r>
      <w:r w:rsidRPr="00A102E3">
        <w:rPr>
          <w:rFonts w:cstheme="minorHAnsi"/>
          <w:kern w:val="0"/>
          <w:sz w:val="24"/>
          <w:szCs w:val="24"/>
        </w:rPr>
        <w:t xml:space="preserve">in this area </w:t>
      </w:r>
      <w:r w:rsidR="005825D8">
        <w:rPr>
          <w:rFonts w:cstheme="minorHAnsi"/>
          <w:kern w:val="0"/>
          <w:sz w:val="24"/>
          <w:szCs w:val="24"/>
        </w:rPr>
        <w:t>is</w:t>
      </w:r>
      <w:r w:rsidR="00B42E1D" w:rsidRPr="00A102E3">
        <w:rPr>
          <w:rFonts w:cstheme="minorHAnsi"/>
          <w:kern w:val="0"/>
          <w:sz w:val="24"/>
          <w:szCs w:val="24"/>
        </w:rPr>
        <w:t xml:space="preserve"> required</w:t>
      </w:r>
      <w:r w:rsidR="005825D8">
        <w:rPr>
          <w:rFonts w:cstheme="minorHAnsi"/>
          <w:kern w:val="0"/>
          <w:sz w:val="24"/>
          <w:szCs w:val="24"/>
        </w:rPr>
        <w:t xml:space="preserve"> possibly with sanctions imposed on National Agreement partners who will not comply.</w:t>
      </w:r>
    </w:p>
    <w:p w14:paraId="0D91F730" w14:textId="77777777" w:rsidR="006A0717" w:rsidRPr="00A102E3" w:rsidRDefault="006A0717" w:rsidP="00F85D50">
      <w:pPr>
        <w:autoSpaceDE w:val="0"/>
        <w:autoSpaceDN w:val="0"/>
        <w:adjustRightInd w:val="0"/>
        <w:spacing w:after="0" w:line="240" w:lineRule="auto"/>
        <w:rPr>
          <w:rFonts w:cstheme="minorHAnsi"/>
          <w:kern w:val="0"/>
          <w:sz w:val="24"/>
          <w:szCs w:val="24"/>
        </w:rPr>
      </w:pPr>
    </w:p>
    <w:p w14:paraId="142FDA50" w14:textId="4A7ECB27" w:rsidR="000F117D" w:rsidRDefault="00364344" w:rsidP="00897EA6">
      <w:pPr>
        <w:autoSpaceDE w:val="0"/>
        <w:autoSpaceDN w:val="0"/>
        <w:adjustRightInd w:val="0"/>
        <w:spacing w:after="0" w:line="240" w:lineRule="auto"/>
        <w:rPr>
          <w:rFonts w:cstheme="minorHAnsi"/>
          <w:kern w:val="0"/>
          <w:sz w:val="24"/>
          <w:szCs w:val="24"/>
        </w:rPr>
      </w:pPr>
      <w:r w:rsidRPr="00A102E3">
        <w:rPr>
          <w:rFonts w:cstheme="minorHAnsi"/>
          <w:kern w:val="0"/>
          <w:sz w:val="24"/>
          <w:szCs w:val="24"/>
        </w:rPr>
        <w:t xml:space="preserve">It is </w:t>
      </w:r>
      <w:r w:rsidR="006A0717" w:rsidRPr="00A102E3">
        <w:rPr>
          <w:rFonts w:cstheme="minorHAnsi"/>
          <w:kern w:val="0"/>
          <w:sz w:val="24"/>
          <w:szCs w:val="24"/>
        </w:rPr>
        <w:t>instructive</w:t>
      </w:r>
      <w:r w:rsidRPr="00A102E3">
        <w:rPr>
          <w:rFonts w:cstheme="minorHAnsi"/>
          <w:kern w:val="0"/>
          <w:sz w:val="24"/>
          <w:szCs w:val="24"/>
        </w:rPr>
        <w:t xml:space="preserve"> </w:t>
      </w:r>
      <w:r w:rsidR="005825D8">
        <w:rPr>
          <w:rFonts w:cstheme="minorHAnsi"/>
          <w:kern w:val="0"/>
          <w:sz w:val="24"/>
          <w:szCs w:val="24"/>
        </w:rPr>
        <w:t xml:space="preserve">in this regard </w:t>
      </w:r>
      <w:r w:rsidRPr="00A102E3">
        <w:rPr>
          <w:rFonts w:cstheme="minorHAnsi"/>
          <w:kern w:val="0"/>
          <w:sz w:val="24"/>
          <w:szCs w:val="24"/>
        </w:rPr>
        <w:t xml:space="preserve">that </w:t>
      </w:r>
      <w:r w:rsidR="000F117D" w:rsidRPr="00A102E3">
        <w:rPr>
          <w:rFonts w:cstheme="minorHAnsi"/>
          <w:kern w:val="0"/>
          <w:sz w:val="24"/>
          <w:szCs w:val="24"/>
        </w:rPr>
        <w:t xml:space="preserve">specialist </w:t>
      </w:r>
      <w:r w:rsidR="006A0717" w:rsidRPr="00A102E3">
        <w:rPr>
          <w:rFonts w:cstheme="minorHAnsi"/>
          <w:kern w:val="0"/>
          <w:sz w:val="24"/>
          <w:szCs w:val="24"/>
        </w:rPr>
        <w:t xml:space="preserve">staff focusing on Indigenous affairs in </w:t>
      </w:r>
      <w:r w:rsidRPr="00A102E3">
        <w:rPr>
          <w:rFonts w:cstheme="minorHAnsi"/>
          <w:kern w:val="0"/>
          <w:sz w:val="24"/>
          <w:szCs w:val="24"/>
        </w:rPr>
        <w:t xml:space="preserve">the Commonwealth Parliamentary Library </w:t>
      </w:r>
      <w:r w:rsidR="006A0717" w:rsidRPr="00A102E3">
        <w:rPr>
          <w:rFonts w:cstheme="minorHAnsi"/>
          <w:kern w:val="0"/>
          <w:sz w:val="24"/>
          <w:szCs w:val="24"/>
        </w:rPr>
        <w:t>have</w:t>
      </w:r>
      <w:r w:rsidRPr="00A102E3">
        <w:rPr>
          <w:rFonts w:cstheme="minorHAnsi"/>
          <w:kern w:val="0"/>
          <w:sz w:val="24"/>
          <w:szCs w:val="24"/>
        </w:rPr>
        <w:t xml:space="preserve"> recently provided </w:t>
      </w:r>
      <w:r w:rsidR="006A0717" w:rsidRPr="00A102E3">
        <w:rPr>
          <w:rFonts w:cstheme="minorHAnsi"/>
          <w:kern w:val="0"/>
          <w:sz w:val="24"/>
          <w:szCs w:val="24"/>
        </w:rPr>
        <w:t xml:space="preserve">information on Indigenous-specific measures </w:t>
      </w:r>
      <w:r w:rsidR="006A0717" w:rsidRPr="00A102E3">
        <w:rPr>
          <w:rFonts w:eastAsia="Times New Roman" w:cstheme="minorHAnsi"/>
          <w:sz w:val="24"/>
          <w:szCs w:val="24"/>
          <w:lang w:eastAsia="en-AU"/>
        </w:rPr>
        <w:t>across portfolios in the Budget.</w:t>
      </w:r>
      <w:r w:rsidR="00F93031">
        <w:rPr>
          <w:rStyle w:val="FootnoteReference"/>
          <w:rFonts w:eastAsia="Times New Roman" w:cstheme="minorHAnsi"/>
          <w:sz w:val="24"/>
          <w:szCs w:val="24"/>
          <w:lang w:eastAsia="en-AU"/>
        </w:rPr>
        <w:footnoteReference w:id="4"/>
      </w:r>
      <w:r w:rsidR="006A0717" w:rsidRPr="00A102E3">
        <w:rPr>
          <w:rFonts w:eastAsia="Times New Roman" w:cstheme="minorHAnsi"/>
          <w:sz w:val="24"/>
          <w:szCs w:val="24"/>
          <w:lang w:eastAsia="en-AU"/>
        </w:rPr>
        <w:t xml:space="preserve"> </w:t>
      </w:r>
      <w:r w:rsidR="006A0717" w:rsidRPr="00A102E3">
        <w:rPr>
          <w:rFonts w:cstheme="minorHAnsi"/>
          <w:kern w:val="0"/>
          <w:sz w:val="24"/>
          <w:szCs w:val="24"/>
        </w:rPr>
        <w:t>Their analysis shows that less than 1 per cent of Commonwealth budget outlays specifically target programs for Indigenous Australians and that this amount has declined as a proportion of budget, in real terms and per capital over the past decade since 2012/13. In the current year it is estimated at $5.3 billion, 0.78 per cent of the estimated Commonwealth Budget expenditure in 2023/24. Such information has been absent in recent media coverage</w:t>
      </w:r>
      <w:r w:rsidR="005825D8">
        <w:rPr>
          <w:rFonts w:cstheme="minorHAnsi"/>
          <w:kern w:val="0"/>
          <w:sz w:val="24"/>
          <w:szCs w:val="24"/>
        </w:rPr>
        <w:t xml:space="preserve"> about Indigenous expenditure</w:t>
      </w:r>
      <w:r w:rsidR="006A0717" w:rsidRPr="00A102E3">
        <w:rPr>
          <w:rFonts w:cstheme="minorHAnsi"/>
          <w:kern w:val="0"/>
          <w:sz w:val="24"/>
          <w:szCs w:val="24"/>
        </w:rPr>
        <w:t>.</w:t>
      </w:r>
    </w:p>
    <w:p w14:paraId="69491C66" w14:textId="77777777" w:rsidR="006A1605" w:rsidRDefault="006A1605" w:rsidP="00897EA6">
      <w:pPr>
        <w:autoSpaceDE w:val="0"/>
        <w:autoSpaceDN w:val="0"/>
        <w:adjustRightInd w:val="0"/>
        <w:spacing w:after="0" w:line="240" w:lineRule="auto"/>
        <w:rPr>
          <w:rFonts w:cstheme="minorHAnsi"/>
          <w:kern w:val="0"/>
          <w:sz w:val="24"/>
          <w:szCs w:val="24"/>
        </w:rPr>
      </w:pPr>
    </w:p>
    <w:p w14:paraId="4E3AB8A2" w14:textId="21BD86A7" w:rsidR="003F514C" w:rsidRPr="00A102E3" w:rsidRDefault="006A1605" w:rsidP="00DA1DC8">
      <w:pPr>
        <w:autoSpaceDE w:val="0"/>
        <w:autoSpaceDN w:val="0"/>
        <w:adjustRightInd w:val="0"/>
        <w:spacing w:after="0" w:line="240" w:lineRule="auto"/>
        <w:rPr>
          <w:rFonts w:cstheme="minorHAnsi"/>
          <w:kern w:val="0"/>
          <w:sz w:val="24"/>
          <w:szCs w:val="24"/>
        </w:rPr>
      </w:pPr>
      <w:r>
        <w:rPr>
          <w:rFonts w:cstheme="minorHAnsi"/>
          <w:kern w:val="0"/>
          <w:sz w:val="24"/>
          <w:szCs w:val="24"/>
        </w:rPr>
        <w:t>This submission is completed a week out from the date when Australia decides on the Referendum. Irrespective of the outcome, hopefully the finalisation of the review of the National Agreement by year’s end might refocus the Australian government</w:t>
      </w:r>
      <w:r w:rsidR="009362EE">
        <w:rPr>
          <w:rFonts w:cstheme="minorHAnsi"/>
          <w:kern w:val="0"/>
          <w:sz w:val="24"/>
          <w:szCs w:val="24"/>
        </w:rPr>
        <w:t>’</w:t>
      </w:r>
      <w:r>
        <w:rPr>
          <w:rFonts w:cstheme="minorHAnsi"/>
          <w:kern w:val="0"/>
          <w:sz w:val="24"/>
          <w:szCs w:val="24"/>
        </w:rPr>
        <w:t>s policy attention to the issue</w:t>
      </w:r>
      <w:r w:rsidR="008F581F">
        <w:rPr>
          <w:rFonts w:cstheme="minorHAnsi"/>
          <w:kern w:val="0"/>
          <w:sz w:val="24"/>
          <w:szCs w:val="24"/>
        </w:rPr>
        <w:t>s</w:t>
      </w:r>
      <w:r>
        <w:rPr>
          <w:rFonts w:cstheme="minorHAnsi"/>
          <w:kern w:val="0"/>
          <w:sz w:val="24"/>
          <w:szCs w:val="24"/>
        </w:rPr>
        <w:t xml:space="preserve"> that ha</w:t>
      </w:r>
      <w:r w:rsidR="008F581F">
        <w:rPr>
          <w:rFonts w:cstheme="minorHAnsi"/>
          <w:kern w:val="0"/>
          <w:sz w:val="24"/>
          <w:szCs w:val="24"/>
        </w:rPr>
        <w:t>ve</w:t>
      </w:r>
      <w:r>
        <w:rPr>
          <w:rFonts w:cstheme="minorHAnsi"/>
          <w:kern w:val="0"/>
          <w:sz w:val="24"/>
          <w:szCs w:val="24"/>
        </w:rPr>
        <w:t xml:space="preserve"> dominated recent national debate: how to address Indigenous disadvantage in all its diversity and whether the National Agreement constitutes the appropriate set of arrangements for this urgent task.</w:t>
      </w:r>
      <w:bookmarkEnd w:id="0"/>
    </w:p>
    <w:sectPr w:rsidR="003F514C" w:rsidRPr="00A102E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A825" w14:textId="77777777" w:rsidR="001E3F9C" w:rsidRDefault="001E3F9C" w:rsidP="00004A96">
      <w:pPr>
        <w:spacing w:after="0" w:line="240" w:lineRule="auto"/>
      </w:pPr>
      <w:r>
        <w:separator/>
      </w:r>
    </w:p>
  </w:endnote>
  <w:endnote w:type="continuationSeparator" w:id="0">
    <w:p w14:paraId="4D095724" w14:textId="77777777" w:rsidR="001E3F9C" w:rsidRDefault="001E3F9C" w:rsidP="0000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923361"/>
      <w:docPartObj>
        <w:docPartGallery w:val="Page Numbers (Bottom of Page)"/>
        <w:docPartUnique/>
      </w:docPartObj>
    </w:sdtPr>
    <w:sdtEndPr>
      <w:rPr>
        <w:noProof/>
      </w:rPr>
    </w:sdtEndPr>
    <w:sdtContent>
      <w:p w14:paraId="1B37799E" w14:textId="62E327E7" w:rsidR="00004A96" w:rsidRDefault="00004A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A14B7D" w14:textId="77777777" w:rsidR="00004A96" w:rsidRDefault="00004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98ED" w14:textId="77777777" w:rsidR="001E3F9C" w:rsidRDefault="001E3F9C" w:rsidP="00004A96">
      <w:pPr>
        <w:spacing w:after="0" w:line="240" w:lineRule="auto"/>
      </w:pPr>
      <w:r>
        <w:separator/>
      </w:r>
    </w:p>
  </w:footnote>
  <w:footnote w:type="continuationSeparator" w:id="0">
    <w:p w14:paraId="1CC1BB83" w14:textId="77777777" w:rsidR="001E3F9C" w:rsidRDefault="001E3F9C" w:rsidP="00004A96">
      <w:pPr>
        <w:spacing w:after="0" w:line="240" w:lineRule="auto"/>
      </w:pPr>
      <w:r>
        <w:continuationSeparator/>
      </w:r>
    </w:p>
  </w:footnote>
  <w:footnote w:id="1">
    <w:p w14:paraId="310DAF70" w14:textId="274A01DF" w:rsidR="003F47D2" w:rsidRPr="003F47D2" w:rsidRDefault="003F47D2">
      <w:pPr>
        <w:pStyle w:val="FootnoteText"/>
      </w:pPr>
      <w:r w:rsidRPr="003F47D2">
        <w:rPr>
          <w:rStyle w:val="FootnoteReference"/>
        </w:rPr>
        <w:footnoteRef/>
      </w:r>
      <w:r w:rsidRPr="003F47D2">
        <w:t xml:space="preserve"> </w:t>
      </w:r>
      <w:r w:rsidRPr="003F47D2">
        <w:rPr>
          <w:rFonts w:cstheme="minorHAnsi"/>
          <w:kern w:val="0"/>
          <w:szCs w:val="24"/>
        </w:rPr>
        <w:t>My submission is available at https://www.pc.gov.au/inquiries/completed/indigenous-evaluation/submissions#initial.</w:t>
      </w:r>
    </w:p>
  </w:footnote>
  <w:footnote w:id="2">
    <w:p w14:paraId="7120BE82" w14:textId="2E05F26D" w:rsidR="008658C3" w:rsidRDefault="008658C3">
      <w:pPr>
        <w:pStyle w:val="FootnoteText"/>
      </w:pPr>
      <w:r>
        <w:rPr>
          <w:rStyle w:val="FootnoteReference"/>
        </w:rPr>
        <w:footnoteRef/>
      </w:r>
      <w:r>
        <w:t xml:space="preserve"> </w:t>
      </w:r>
      <w:r w:rsidRPr="008658C3">
        <w:rPr>
          <w:rFonts w:cstheme="minorHAnsi"/>
          <w:spacing w:val="2"/>
          <w:shd w:val="clear" w:color="auto" w:fill="FFFFFF"/>
        </w:rPr>
        <w:t>Sanders, W &amp; Gray, W 2006</w:t>
      </w:r>
      <w:r>
        <w:rPr>
          <w:rFonts w:cstheme="minorHAnsi"/>
          <w:spacing w:val="2"/>
          <w:shd w:val="clear" w:color="auto" w:fill="FFFFFF"/>
        </w:rPr>
        <w:t>.</w:t>
      </w:r>
      <w:r w:rsidRPr="008658C3">
        <w:rPr>
          <w:rFonts w:cstheme="minorHAnsi"/>
          <w:spacing w:val="2"/>
          <w:shd w:val="clear" w:color="auto" w:fill="FFFFFF"/>
        </w:rPr>
        <w:t xml:space="preserve"> Views from the top: Secretaries perspectives on the new administrative arrangements in Indigenous Affairs, Discussion Paper 286, Centre for Aboriginal Economic Policy Research, Australian National University</w:t>
      </w:r>
      <w:r>
        <w:rPr>
          <w:rFonts w:cstheme="minorHAnsi"/>
          <w:spacing w:val="2"/>
          <w:shd w:val="clear" w:color="auto" w:fill="FFFFFF"/>
        </w:rPr>
        <w:t>, Canberra</w:t>
      </w:r>
      <w:r w:rsidRPr="008658C3">
        <w:rPr>
          <w:rFonts w:cstheme="minorHAnsi"/>
          <w:spacing w:val="2"/>
          <w:shd w:val="clear" w:color="auto" w:fill="FFFFFF"/>
        </w:rPr>
        <w:t>.</w:t>
      </w:r>
    </w:p>
  </w:footnote>
  <w:footnote w:id="3">
    <w:p w14:paraId="54FD821C" w14:textId="38E9F424" w:rsidR="00926474" w:rsidRDefault="00926474">
      <w:pPr>
        <w:pStyle w:val="FootnoteText"/>
      </w:pPr>
      <w:r>
        <w:rPr>
          <w:rStyle w:val="FootnoteReference"/>
        </w:rPr>
        <w:footnoteRef/>
      </w:r>
      <w:r>
        <w:t xml:space="preserve"> </w:t>
      </w:r>
      <w:r w:rsidR="005825D8">
        <w:rPr>
          <w:rFonts w:cstheme="minorHAnsi"/>
          <w:kern w:val="0"/>
          <w:szCs w:val="24"/>
        </w:rPr>
        <w:t>One</w:t>
      </w:r>
      <w:r w:rsidRPr="00926474">
        <w:rPr>
          <w:rFonts w:cstheme="minorHAnsi"/>
          <w:kern w:val="0"/>
          <w:szCs w:val="24"/>
        </w:rPr>
        <w:t xml:space="preserve"> model for such an exercise might be the US Commission on Civil Rights report </w:t>
      </w:r>
      <w:r w:rsidRPr="00926474">
        <w:rPr>
          <w:rFonts w:cstheme="minorHAnsi"/>
          <w:i/>
          <w:iCs/>
          <w:kern w:val="0"/>
          <w:szCs w:val="24"/>
        </w:rPr>
        <w:t>Broken Promises: Continuing Federal Funding Shortfalls for Native Americans</w:t>
      </w:r>
      <w:r w:rsidRPr="00926474">
        <w:rPr>
          <w:rFonts w:cstheme="minorHAnsi"/>
          <w:kern w:val="0"/>
          <w:szCs w:val="24"/>
        </w:rPr>
        <w:t xml:space="preserve"> completed in 2018</w:t>
      </w:r>
      <w:r>
        <w:rPr>
          <w:rFonts w:cstheme="minorHAnsi"/>
          <w:kern w:val="0"/>
          <w:szCs w:val="24"/>
        </w:rPr>
        <w:t xml:space="preserve"> and available at </w:t>
      </w:r>
      <w:hyperlink r:id="rId1" w:history="1">
        <w:r w:rsidRPr="00F76A11">
          <w:rPr>
            <w:rStyle w:val="Hyperlink"/>
            <w:rFonts w:cstheme="minorHAnsi"/>
            <w:kern w:val="0"/>
            <w:szCs w:val="24"/>
          </w:rPr>
          <w:t>https://www.usccr.gov/files/pubs/2018/12-20-Broken-Promises.pdf</w:t>
        </w:r>
      </w:hyperlink>
      <w:r>
        <w:rPr>
          <w:rFonts w:cstheme="minorHAnsi"/>
          <w:kern w:val="0"/>
          <w:szCs w:val="24"/>
        </w:rPr>
        <w:t xml:space="preserve"> </w:t>
      </w:r>
    </w:p>
  </w:footnote>
  <w:footnote w:id="4">
    <w:p w14:paraId="59A0BB35" w14:textId="6E3E7FE5" w:rsidR="00F93031" w:rsidRDefault="00F93031">
      <w:pPr>
        <w:pStyle w:val="FootnoteText"/>
      </w:pPr>
      <w:r>
        <w:rPr>
          <w:rStyle w:val="FootnoteReference"/>
        </w:rPr>
        <w:footnoteRef/>
      </w:r>
      <w:r w:rsidR="00926474">
        <w:t xml:space="preserve"> </w:t>
      </w:r>
      <w:r w:rsidR="00926474" w:rsidRPr="00926474">
        <w:rPr>
          <w:i/>
          <w:iCs/>
        </w:rPr>
        <w:t>Indigenous Affairs Budget Resources</w:t>
      </w:r>
      <w:r w:rsidR="00926474">
        <w:t xml:space="preserve"> by Sally McNicol and James Hughton available at </w:t>
      </w:r>
      <w:hyperlink r:id="rId2" w:history="1">
        <w:r w:rsidR="00926474" w:rsidRPr="00F76A11">
          <w:rPr>
            <w:rStyle w:val="Hyperlink"/>
          </w:rPr>
          <w:t>https://www.aph.gov.au/About_Parliament/Parliamentary_departments/Parliamentary_Library/Budget/reviews/2023-24/IndigenousAffairs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015"/>
    <w:multiLevelType w:val="hybridMultilevel"/>
    <w:tmpl w:val="37FACDF2"/>
    <w:lvl w:ilvl="0" w:tplc="5C92E854">
      <w:start w:val="1"/>
      <w:numFmt w:val="bullet"/>
      <w:lvlText w:val="•"/>
      <w:lvlJc w:val="left"/>
      <w:pPr>
        <w:tabs>
          <w:tab w:val="num" w:pos="720"/>
        </w:tabs>
        <w:ind w:left="720" w:hanging="360"/>
      </w:pPr>
      <w:rPr>
        <w:rFonts w:ascii="Arial" w:hAnsi="Arial" w:hint="default"/>
      </w:rPr>
    </w:lvl>
    <w:lvl w:ilvl="1" w:tplc="8AAA2778" w:tentative="1">
      <w:start w:val="1"/>
      <w:numFmt w:val="bullet"/>
      <w:lvlText w:val="•"/>
      <w:lvlJc w:val="left"/>
      <w:pPr>
        <w:tabs>
          <w:tab w:val="num" w:pos="1440"/>
        </w:tabs>
        <w:ind w:left="1440" w:hanging="360"/>
      </w:pPr>
      <w:rPr>
        <w:rFonts w:ascii="Arial" w:hAnsi="Arial" w:hint="default"/>
      </w:rPr>
    </w:lvl>
    <w:lvl w:ilvl="2" w:tplc="97FAC706" w:tentative="1">
      <w:start w:val="1"/>
      <w:numFmt w:val="bullet"/>
      <w:lvlText w:val="•"/>
      <w:lvlJc w:val="left"/>
      <w:pPr>
        <w:tabs>
          <w:tab w:val="num" w:pos="2160"/>
        </w:tabs>
        <w:ind w:left="2160" w:hanging="360"/>
      </w:pPr>
      <w:rPr>
        <w:rFonts w:ascii="Arial" w:hAnsi="Arial" w:hint="default"/>
      </w:rPr>
    </w:lvl>
    <w:lvl w:ilvl="3" w:tplc="B16025CC" w:tentative="1">
      <w:start w:val="1"/>
      <w:numFmt w:val="bullet"/>
      <w:lvlText w:val="•"/>
      <w:lvlJc w:val="left"/>
      <w:pPr>
        <w:tabs>
          <w:tab w:val="num" w:pos="2880"/>
        </w:tabs>
        <w:ind w:left="2880" w:hanging="360"/>
      </w:pPr>
      <w:rPr>
        <w:rFonts w:ascii="Arial" w:hAnsi="Arial" w:hint="default"/>
      </w:rPr>
    </w:lvl>
    <w:lvl w:ilvl="4" w:tplc="4984D6B0" w:tentative="1">
      <w:start w:val="1"/>
      <w:numFmt w:val="bullet"/>
      <w:lvlText w:val="•"/>
      <w:lvlJc w:val="left"/>
      <w:pPr>
        <w:tabs>
          <w:tab w:val="num" w:pos="3600"/>
        </w:tabs>
        <w:ind w:left="3600" w:hanging="360"/>
      </w:pPr>
      <w:rPr>
        <w:rFonts w:ascii="Arial" w:hAnsi="Arial" w:hint="default"/>
      </w:rPr>
    </w:lvl>
    <w:lvl w:ilvl="5" w:tplc="D6C6F7A2" w:tentative="1">
      <w:start w:val="1"/>
      <w:numFmt w:val="bullet"/>
      <w:lvlText w:val="•"/>
      <w:lvlJc w:val="left"/>
      <w:pPr>
        <w:tabs>
          <w:tab w:val="num" w:pos="4320"/>
        </w:tabs>
        <w:ind w:left="4320" w:hanging="360"/>
      </w:pPr>
      <w:rPr>
        <w:rFonts w:ascii="Arial" w:hAnsi="Arial" w:hint="default"/>
      </w:rPr>
    </w:lvl>
    <w:lvl w:ilvl="6" w:tplc="BB400EC0" w:tentative="1">
      <w:start w:val="1"/>
      <w:numFmt w:val="bullet"/>
      <w:lvlText w:val="•"/>
      <w:lvlJc w:val="left"/>
      <w:pPr>
        <w:tabs>
          <w:tab w:val="num" w:pos="5040"/>
        </w:tabs>
        <w:ind w:left="5040" w:hanging="360"/>
      </w:pPr>
      <w:rPr>
        <w:rFonts w:ascii="Arial" w:hAnsi="Arial" w:hint="default"/>
      </w:rPr>
    </w:lvl>
    <w:lvl w:ilvl="7" w:tplc="1FD69C26" w:tentative="1">
      <w:start w:val="1"/>
      <w:numFmt w:val="bullet"/>
      <w:lvlText w:val="•"/>
      <w:lvlJc w:val="left"/>
      <w:pPr>
        <w:tabs>
          <w:tab w:val="num" w:pos="5760"/>
        </w:tabs>
        <w:ind w:left="5760" w:hanging="360"/>
      </w:pPr>
      <w:rPr>
        <w:rFonts w:ascii="Arial" w:hAnsi="Arial" w:hint="default"/>
      </w:rPr>
    </w:lvl>
    <w:lvl w:ilvl="8" w:tplc="F8EE46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6027A3"/>
    <w:multiLevelType w:val="hybridMultilevel"/>
    <w:tmpl w:val="F49826E6"/>
    <w:lvl w:ilvl="0" w:tplc="14E056A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1F6F96"/>
    <w:multiLevelType w:val="hybridMultilevel"/>
    <w:tmpl w:val="240C412E"/>
    <w:lvl w:ilvl="0" w:tplc="FF645C76">
      <w:start w:val="1"/>
      <w:numFmt w:val="bullet"/>
      <w:lvlText w:val="•"/>
      <w:lvlJc w:val="left"/>
      <w:pPr>
        <w:tabs>
          <w:tab w:val="num" w:pos="720"/>
        </w:tabs>
        <w:ind w:left="720" w:hanging="360"/>
      </w:pPr>
      <w:rPr>
        <w:rFonts w:ascii="Arial" w:hAnsi="Arial" w:hint="default"/>
      </w:rPr>
    </w:lvl>
    <w:lvl w:ilvl="1" w:tplc="A7BE981C" w:tentative="1">
      <w:start w:val="1"/>
      <w:numFmt w:val="bullet"/>
      <w:lvlText w:val="•"/>
      <w:lvlJc w:val="left"/>
      <w:pPr>
        <w:tabs>
          <w:tab w:val="num" w:pos="1440"/>
        </w:tabs>
        <w:ind w:left="1440" w:hanging="360"/>
      </w:pPr>
      <w:rPr>
        <w:rFonts w:ascii="Arial" w:hAnsi="Arial" w:hint="default"/>
      </w:rPr>
    </w:lvl>
    <w:lvl w:ilvl="2" w:tplc="06F4252A" w:tentative="1">
      <w:start w:val="1"/>
      <w:numFmt w:val="bullet"/>
      <w:lvlText w:val="•"/>
      <w:lvlJc w:val="left"/>
      <w:pPr>
        <w:tabs>
          <w:tab w:val="num" w:pos="2160"/>
        </w:tabs>
        <w:ind w:left="2160" w:hanging="360"/>
      </w:pPr>
      <w:rPr>
        <w:rFonts w:ascii="Arial" w:hAnsi="Arial" w:hint="default"/>
      </w:rPr>
    </w:lvl>
    <w:lvl w:ilvl="3" w:tplc="06DA3A18" w:tentative="1">
      <w:start w:val="1"/>
      <w:numFmt w:val="bullet"/>
      <w:lvlText w:val="•"/>
      <w:lvlJc w:val="left"/>
      <w:pPr>
        <w:tabs>
          <w:tab w:val="num" w:pos="2880"/>
        </w:tabs>
        <w:ind w:left="2880" w:hanging="360"/>
      </w:pPr>
      <w:rPr>
        <w:rFonts w:ascii="Arial" w:hAnsi="Arial" w:hint="default"/>
      </w:rPr>
    </w:lvl>
    <w:lvl w:ilvl="4" w:tplc="0FF45A5C" w:tentative="1">
      <w:start w:val="1"/>
      <w:numFmt w:val="bullet"/>
      <w:lvlText w:val="•"/>
      <w:lvlJc w:val="left"/>
      <w:pPr>
        <w:tabs>
          <w:tab w:val="num" w:pos="3600"/>
        </w:tabs>
        <w:ind w:left="3600" w:hanging="360"/>
      </w:pPr>
      <w:rPr>
        <w:rFonts w:ascii="Arial" w:hAnsi="Arial" w:hint="default"/>
      </w:rPr>
    </w:lvl>
    <w:lvl w:ilvl="5" w:tplc="FA58B072" w:tentative="1">
      <w:start w:val="1"/>
      <w:numFmt w:val="bullet"/>
      <w:lvlText w:val="•"/>
      <w:lvlJc w:val="left"/>
      <w:pPr>
        <w:tabs>
          <w:tab w:val="num" w:pos="4320"/>
        </w:tabs>
        <w:ind w:left="4320" w:hanging="360"/>
      </w:pPr>
      <w:rPr>
        <w:rFonts w:ascii="Arial" w:hAnsi="Arial" w:hint="default"/>
      </w:rPr>
    </w:lvl>
    <w:lvl w:ilvl="6" w:tplc="BA4A2BB6" w:tentative="1">
      <w:start w:val="1"/>
      <w:numFmt w:val="bullet"/>
      <w:lvlText w:val="•"/>
      <w:lvlJc w:val="left"/>
      <w:pPr>
        <w:tabs>
          <w:tab w:val="num" w:pos="5040"/>
        </w:tabs>
        <w:ind w:left="5040" w:hanging="360"/>
      </w:pPr>
      <w:rPr>
        <w:rFonts w:ascii="Arial" w:hAnsi="Arial" w:hint="default"/>
      </w:rPr>
    </w:lvl>
    <w:lvl w:ilvl="7" w:tplc="4DEA6DF0" w:tentative="1">
      <w:start w:val="1"/>
      <w:numFmt w:val="bullet"/>
      <w:lvlText w:val="•"/>
      <w:lvlJc w:val="left"/>
      <w:pPr>
        <w:tabs>
          <w:tab w:val="num" w:pos="5760"/>
        </w:tabs>
        <w:ind w:left="5760" w:hanging="360"/>
      </w:pPr>
      <w:rPr>
        <w:rFonts w:ascii="Arial" w:hAnsi="Arial" w:hint="default"/>
      </w:rPr>
    </w:lvl>
    <w:lvl w:ilvl="8" w:tplc="075EF0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3E6C9D"/>
    <w:multiLevelType w:val="multilevel"/>
    <w:tmpl w:val="FF8069A4"/>
    <w:numStyleLink w:val="Bullets"/>
  </w:abstractNum>
  <w:abstractNum w:abstractNumId="4"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5" w15:restartNumberingAfterBreak="0">
    <w:nsid w:val="10466DF1"/>
    <w:multiLevelType w:val="multilevel"/>
    <w:tmpl w:val="27BC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77CF7"/>
    <w:multiLevelType w:val="hybridMultilevel"/>
    <w:tmpl w:val="CBC84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5246C"/>
    <w:multiLevelType w:val="multilevel"/>
    <w:tmpl w:val="1046C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39090C"/>
    <w:multiLevelType w:val="hybridMultilevel"/>
    <w:tmpl w:val="AA864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690E5C"/>
    <w:multiLevelType w:val="multilevel"/>
    <w:tmpl w:val="2A6C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74BBC"/>
    <w:multiLevelType w:val="hybridMultilevel"/>
    <w:tmpl w:val="45761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6261FE"/>
    <w:multiLevelType w:val="multilevel"/>
    <w:tmpl w:val="5648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34FC8"/>
    <w:multiLevelType w:val="multilevel"/>
    <w:tmpl w:val="EB4E8F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D017CC0"/>
    <w:multiLevelType w:val="hybridMultilevel"/>
    <w:tmpl w:val="50A8C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41725D"/>
    <w:multiLevelType w:val="hybridMultilevel"/>
    <w:tmpl w:val="AE72E2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A1453E"/>
    <w:multiLevelType w:val="hybridMultilevel"/>
    <w:tmpl w:val="4F5836CC"/>
    <w:lvl w:ilvl="0" w:tplc="8F2C100A">
      <w:start w:val="1"/>
      <w:numFmt w:val="bullet"/>
      <w:lvlText w:val="•"/>
      <w:lvlJc w:val="left"/>
      <w:pPr>
        <w:tabs>
          <w:tab w:val="num" w:pos="720"/>
        </w:tabs>
        <w:ind w:left="720" w:hanging="360"/>
      </w:pPr>
      <w:rPr>
        <w:rFonts w:ascii="Arial" w:hAnsi="Arial" w:hint="default"/>
      </w:rPr>
    </w:lvl>
    <w:lvl w:ilvl="1" w:tplc="C4822216" w:tentative="1">
      <w:start w:val="1"/>
      <w:numFmt w:val="bullet"/>
      <w:lvlText w:val="•"/>
      <w:lvlJc w:val="left"/>
      <w:pPr>
        <w:tabs>
          <w:tab w:val="num" w:pos="1440"/>
        </w:tabs>
        <w:ind w:left="1440" w:hanging="360"/>
      </w:pPr>
      <w:rPr>
        <w:rFonts w:ascii="Arial" w:hAnsi="Arial" w:hint="default"/>
      </w:rPr>
    </w:lvl>
    <w:lvl w:ilvl="2" w:tplc="28B409E0" w:tentative="1">
      <w:start w:val="1"/>
      <w:numFmt w:val="bullet"/>
      <w:lvlText w:val="•"/>
      <w:lvlJc w:val="left"/>
      <w:pPr>
        <w:tabs>
          <w:tab w:val="num" w:pos="2160"/>
        </w:tabs>
        <w:ind w:left="2160" w:hanging="360"/>
      </w:pPr>
      <w:rPr>
        <w:rFonts w:ascii="Arial" w:hAnsi="Arial" w:hint="default"/>
      </w:rPr>
    </w:lvl>
    <w:lvl w:ilvl="3" w:tplc="34B6B39C" w:tentative="1">
      <w:start w:val="1"/>
      <w:numFmt w:val="bullet"/>
      <w:lvlText w:val="•"/>
      <w:lvlJc w:val="left"/>
      <w:pPr>
        <w:tabs>
          <w:tab w:val="num" w:pos="2880"/>
        </w:tabs>
        <w:ind w:left="2880" w:hanging="360"/>
      </w:pPr>
      <w:rPr>
        <w:rFonts w:ascii="Arial" w:hAnsi="Arial" w:hint="default"/>
      </w:rPr>
    </w:lvl>
    <w:lvl w:ilvl="4" w:tplc="0FC67D40" w:tentative="1">
      <w:start w:val="1"/>
      <w:numFmt w:val="bullet"/>
      <w:lvlText w:val="•"/>
      <w:lvlJc w:val="left"/>
      <w:pPr>
        <w:tabs>
          <w:tab w:val="num" w:pos="3600"/>
        </w:tabs>
        <w:ind w:left="3600" w:hanging="360"/>
      </w:pPr>
      <w:rPr>
        <w:rFonts w:ascii="Arial" w:hAnsi="Arial" w:hint="default"/>
      </w:rPr>
    </w:lvl>
    <w:lvl w:ilvl="5" w:tplc="9EA249FC" w:tentative="1">
      <w:start w:val="1"/>
      <w:numFmt w:val="bullet"/>
      <w:lvlText w:val="•"/>
      <w:lvlJc w:val="left"/>
      <w:pPr>
        <w:tabs>
          <w:tab w:val="num" w:pos="4320"/>
        </w:tabs>
        <w:ind w:left="4320" w:hanging="360"/>
      </w:pPr>
      <w:rPr>
        <w:rFonts w:ascii="Arial" w:hAnsi="Arial" w:hint="default"/>
      </w:rPr>
    </w:lvl>
    <w:lvl w:ilvl="6" w:tplc="BEAC4F04" w:tentative="1">
      <w:start w:val="1"/>
      <w:numFmt w:val="bullet"/>
      <w:lvlText w:val="•"/>
      <w:lvlJc w:val="left"/>
      <w:pPr>
        <w:tabs>
          <w:tab w:val="num" w:pos="5040"/>
        </w:tabs>
        <w:ind w:left="5040" w:hanging="360"/>
      </w:pPr>
      <w:rPr>
        <w:rFonts w:ascii="Arial" w:hAnsi="Arial" w:hint="default"/>
      </w:rPr>
    </w:lvl>
    <w:lvl w:ilvl="7" w:tplc="E1700D96" w:tentative="1">
      <w:start w:val="1"/>
      <w:numFmt w:val="bullet"/>
      <w:lvlText w:val="•"/>
      <w:lvlJc w:val="left"/>
      <w:pPr>
        <w:tabs>
          <w:tab w:val="num" w:pos="5760"/>
        </w:tabs>
        <w:ind w:left="5760" w:hanging="360"/>
      </w:pPr>
      <w:rPr>
        <w:rFonts w:ascii="Arial" w:hAnsi="Arial" w:hint="default"/>
      </w:rPr>
    </w:lvl>
    <w:lvl w:ilvl="8" w:tplc="77C2C6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22356F"/>
    <w:multiLevelType w:val="multilevel"/>
    <w:tmpl w:val="512A3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474349"/>
    <w:multiLevelType w:val="multilevel"/>
    <w:tmpl w:val="FB7E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E5B2F"/>
    <w:multiLevelType w:val="multilevel"/>
    <w:tmpl w:val="BDCCC7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60277597"/>
    <w:multiLevelType w:val="hybridMultilevel"/>
    <w:tmpl w:val="C9CC4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98712F"/>
    <w:multiLevelType w:val="hybridMultilevel"/>
    <w:tmpl w:val="AE72E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2" w15:restartNumberingAfterBreak="0">
    <w:nsid w:val="645B4F03"/>
    <w:multiLevelType w:val="hybridMultilevel"/>
    <w:tmpl w:val="F49826E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F31371"/>
    <w:multiLevelType w:val="hybridMultilevel"/>
    <w:tmpl w:val="530ECE2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5A72D1"/>
    <w:multiLevelType w:val="hybridMultilevel"/>
    <w:tmpl w:val="FFF64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7976317">
    <w:abstractNumId w:val="14"/>
  </w:num>
  <w:num w:numId="2" w16cid:durableId="419065229">
    <w:abstractNumId w:val="1"/>
  </w:num>
  <w:num w:numId="3" w16cid:durableId="3257891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9314300">
    <w:abstractNumId w:val="13"/>
  </w:num>
  <w:num w:numId="5" w16cid:durableId="1718092480">
    <w:abstractNumId w:val="10"/>
  </w:num>
  <w:num w:numId="6" w16cid:durableId="531842230">
    <w:abstractNumId w:val="8"/>
  </w:num>
  <w:num w:numId="7" w16cid:durableId="801535305">
    <w:abstractNumId w:val="2"/>
  </w:num>
  <w:num w:numId="8" w16cid:durableId="1014309974">
    <w:abstractNumId w:val="15"/>
  </w:num>
  <w:num w:numId="9" w16cid:durableId="958098894">
    <w:abstractNumId w:val="0"/>
  </w:num>
  <w:num w:numId="10" w16cid:durableId="1597787466">
    <w:abstractNumId w:val="18"/>
  </w:num>
  <w:num w:numId="11" w16cid:durableId="1702197855">
    <w:abstractNumId w:val="22"/>
  </w:num>
  <w:num w:numId="12" w16cid:durableId="1441342422">
    <w:abstractNumId w:val="20"/>
  </w:num>
  <w:num w:numId="13" w16cid:durableId="1390106703">
    <w:abstractNumId w:val="17"/>
  </w:num>
  <w:num w:numId="14" w16cid:durableId="1165903243">
    <w:abstractNumId w:val="5"/>
  </w:num>
  <w:num w:numId="15" w16cid:durableId="1828664452">
    <w:abstractNumId w:val="9"/>
  </w:num>
  <w:num w:numId="16" w16cid:durableId="1386832218">
    <w:abstractNumId w:val="11"/>
  </w:num>
  <w:num w:numId="17" w16cid:durableId="783691988">
    <w:abstractNumId w:val="19"/>
  </w:num>
  <w:num w:numId="18" w16cid:durableId="557787035">
    <w:abstractNumId w:val="12"/>
  </w:num>
  <w:num w:numId="19" w16cid:durableId="1826162238">
    <w:abstractNumId w:val="23"/>
  </w:num>
  <w:num w:numId="20" w16cid:durableId="1832208621">
    <w:abstractNumId w:val="24"/>
  </w:num>
  <w:num w:numId="21" w16cid:durableId="1775204537">
    <w:abstractNumId w:val="6"/>
  </w:num>
  <w:num w:numId="22" w16cid:durableId="315376522">
    <w:abstractNumId w:val="16"/>
  </w:num>
  <w:num w:numId="23" w16cid:durableId="189073748">
    <w:abstractNumId w:val="4"/>
  </w:num>
  <w:num w:numId="24" w16cid:durableId="369458098">
    <w:abstractNumId w:val="21"/>
  </w:num>
  <w:num w:numId="25" w16cid:durableId="635568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C2"/>
    <w:rsid w:val="00004A96"/>
    <w:rsid w:val="00011090"/>
    <w:rsid w:val="0003319D"/>
    <w:rsid w:val="000839C5"/>
    <w:rsid w:val="000D0FE9"/>
    <w:rsid w:val="000E0113"/>
    <w:rsid w:val="000F117D"/>
    <w:rsid w:val="00154E75"/>
    <w:rsid w:val="00182733"/>
    <w:rsid w:val="00184429"/>
    <w:rsid w:val="00185CF6"/>
    <w:rsid w:val="001A187C"/>
    <w:rsid w:val="001C2475"/>
    <w:rsid w:val="001C33BB"/>
    <w:rsid w:val="001C71D9"/>
    <w:rsid w:val="001E3F9C"/>
    <w:rsid w:val="001F26E7"/>
    <w:rsid w:val="00204EC2"/>
    <w:rsid w:val="00213C9C"/>
    <w:rsid w:val="00224BF2"/>
    <w:rsid w:val="00240362"/>
    <w:rsid w:val="002435C1"/>
    <w:rsid w:val="00264854"/>
    <w:rsid w:val="00276FE6"/>
    <w:rsid w:val="002C1A53"/>
    <w:rsid w:val="002E3751"/>
    <w:rsid w:val="002F6439"/>
    <w:rsid w:val="00316FB9"/>
    <w:rsid w:val="00320BD1"/>
    <w:rsid w:val="00350BE6"/>
    <w:rsid w:val="00364344"/>
    <w:rsid w:val="00387F5F"/>
    <w:rsid w:val="003B7267"/>
    <w:rsid w:val="003C6C9D"/>
    <w:rsid w:val="003D126F"/>
    <w:rsid w:val="003D3F3F"/>
    <w:rsid w:val="003D6D20"/>
    <w:rsid w:val="003F2F89"/>
    <w:rsid w:val="003F47D2"/>
    <w:rsid w:val="003F514C"/>
    <w:rsid w:val="00401620"/>
    <w:rsid w:val="0041289C"/>
    <w:rsid w:val="004210C8"/>
    <w:rsid w:val="004D44C0"/>
    <w:rsid w:val="004D516D"/>
    <w:rsid w:val="004D6038"/>
    <w:rsid w:val="00514AA0"/>
    <w:rsid w:val="00541E76"/>
    <w:rsid w:val="00572AD0"/>
    <w:rsid w:val="00575BD9"/>
    <w:rsid w:val="005825D8"/>
    <w:rsid w:val="005C535E"/>
    <w:rsid w:val="0062310C"/>
    <w:rsid w:val="00627C04"/>
    <w:rsid w:val="00670BA1"/>
    <w:rsid w:val="006A0717"/>
    <w:rsid w:val="006A140E"/>
    <w:rsid w:val="006A1605"/>
    <w:rsid w:val="006A7623"/>
    <w:rsid w:val="006B2C4D"/>
    <w:rsid w:val="006F4117"/>
    <w:rsid w:val="006F6C7A"/>
    <w:rsid w:val="00721F3C"/>
    <w:rsid w:val="0074797A"/>
    <w:rsid w:val="00760660"/>
    <w:rsid w:val="007A319F"/>
    <w:rsid w:val="007D71DC"/>
    <w:rsid w:val="007E0BA3"/>
    <w:rsid w:val="007E1DD2"/>
    <w:rsid w:val="00805C0D"/>
    <w:rsid w:val="00816A2D"/>
    <w:rsid w:val="008658C3"/>
    <w:rsid w:val="00870A03"/>
    <w:rsid w:val="0088514C"/>
    <w:rsid w:val="008913EC"/>
    <w:rsid w:val="0089657A"/>
    <w:rsid w:val="008966B0"/>
    <w:rsid w:val="00897EA6"/>
    <w:rsid w:val="008C1DCC"/>
    <w:rsid w:val="008F52EA"/>
    <w:rsid w:val="008F581F"/>
    <w:rsid w:val="00902B2E"/>
    <w:rsid w:val="00914D2F"/>
    <w:rsid w:val="00926474"/>
    <w:rsid w:val="00930C01"/>
    <w:rsid w:val="009362EE"/>
    <w:rsid w:val="0095043C"/>
    <w:rsid w:val="009608FB"/>
    <w:rsid w:val="009B5C32"/>
    <w:rsid w:val="009D11AA"/>
    <w:rsid w:val="009D76DA"/>
    <w:rsid w:val="009F31DA"/>
    <w:rsid w:val="00A061CE"/>
    <w:rsid w:val="00A102E3"/>
    <w:rsid w:val="00A15AA1"/>
    <w:rsid w:val="00A1703D"/>
    <w:rsid w:val="00A27D6A"/>
    <w:rsid w:val="00A30513"/>
    <w:rsid w:val="00A5781C"/>
    <w:rsid w:val="00A85912"/>
    <w:rsid w:val="00AD1118"/>
    <w:rsid w:val="00AE35DE"/>
    <w:rsid w:val="00AF2CBE"/>
    <w:rsid w:val="00AF4C48"/>
    <w:rsid w:val="00B16235"/>
    <w:rsid w:val="00B20861"/>
    <w:rsid w:val="00B42E1D"/>
    <w:rsid w:val="00B461F3"/>
    <w:rsid w:val="00B95F20"/>
    <w:rsid w:val="00BA584C"/>
    <w:rsid w:val="00BB0A6B"/>
    <w:rsid w:val="00BE2136"/>
    <w:rsid w:val="00C37743"/>
    <w:rsid w:val="00C41CCE"/>
    <w:rsid w:val="00C43340"/>
    <w:rsid w:val="00C52388"/>
    <w:rsid w:val="00C700E6"/>
    <w:rsid w:val="00C715EB"/>
    <w:rsid w:val="00C72663"/>
    <w:rsid w:val="00C73407"/>
    <w:rsid w:val="00C90CBB"/>
    <w:rsid w:val="00CC567F"/>
    <w:rsid w:val="00D02BB9"/>
    <w:rsid w:val="00D328F7"/>
    <w:rsid w:val="00D40C33"/>
    <w:rsid w:val="00D5680A"/>
    <w:rsid w:val="00D7571F"/>
    <w:rsid w:val="00D85A0E"/>
    <w:rsid w:val="00DA1DC8"/>
    <w:rsid w:val="00DB3C58"/>
    <w:rsid w:val="00DC5BD6"/>
    <w:rsid w:val="00DD06CE"/>
    <w:rsid w:val="00DD0DB5"/>
    <w:rsid w:val="00DD12A2"/>
    <w:rsid w:val="00DD795B"/>
    <w:rsid w:val="00DE5F5E"/>
    <w:rsid w:val="00DF3A2B"/>
    <w:rsid w:val="00E07ACC"/>
    <w:rsid w:val="00E13649"/>
    <w:rsid w:val="00E2023E"/>
    <w:rsid w:val="00E242D6"/>
    <w:rsid w:val="00E84795"/>
    <w:rsid w:val="00E931D1"/>
    <w:rsid w:val="00EA6094"/>
    <w:rsid w:val="00EC02C5"/>
    <w:rsid w:val="00EC31ED"/>
    <w:rsid w:val="00ED3562"/>
    <w:rsid w:val="00EF5E9E"/>
    <w:rsid w:val="00F37601"/>
    <w:rsid w:val="00F5691F"/>
    <w:rsid w:val="00F6300B"/>
    <w:rsid w:val="00F769BE"/>
    <w:rsid w:val="00F85D50"/>
    <w:rsid w:val="00F93031"/>
    <w:rsid w:val="00FE60E4"/>
    <w:rsid w:val="00FF04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168A"/>
  <w15:chartTrackingRefBased/>
  <w15:docId w15:val="{E6B60401-F4FB-46F1-8146-0E8450C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00B"/>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link w:val="Heading2Char"/>
    <w:uiPriority w:val="9"/>
    <w:qFormat/>
    <w:rsid w:val="00F6300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3">
    <w:name w:val="heading 3"/>
    <w:basedOn w:val="Normal"/>
    <w:next w:val="Normal"/>
    <w:link w:val="Heading3Char"/>
    <w:uiPriority w:val="9"/>
    <w:semiHidden/>
    <w:unhideWhenUsed/>
    <w:qFormat/>
    <w:rsid w:val="00F6300B"/>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5">
    <w:name w:val="heading 5"/>
    <w:basedOn w:val="Normal"/>
    <w:next w:val="Normal"/>
    <w:link w:val="Heading5Char"/>
    <w:uiPriority w:val="9"/>
    <w:semiHidden/>
    <w:unhideWhenUsed/>
    <w:qFormat/>
    <w:rsid w:val="00F6300B"/>
    <w:pPr>
      <w:keepNext/>
      <w:keepLines/>
      <w:spacing w:before="40" w:after="0"/>
      <w:outlineLvl w:val="4"/>
    </w:pPr>
    <w:rPr>
      <w:rFonts w:asciiTheme="majorHAnsi" w:eastAsiaTheme="majorEastAsia" w:hAnsiTheme="majorHAnsi" w:cstheme="majorBidi"/>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EC2"/>
    <w:pPr>
      <w:ind w:left="720"/>
      <w:contextualSpacing/>
    </w:pPr>
  </w:style>
  <w:style w:type="character" w:styleId="Hyperlink">
    <w:name w:val="Hyperlink"/>
    <w:basedOn w:val="DefaultParagraphFont"/>
    <w:uiPriority w:val="99"/>
    <w:unhideWhenUsed/>
    <w:rsid w:val="002C1A53"/>
    <w:rPr>
      <w:color w:val="0563C1" w:themeColor="hyperlink"/>
      <w:u w:val="single"/>
    </w:rPr>
  </w:style>
  <w:style w:type="character" w:styleId="UnresolvedMention">
    <w:name w:val="Unresolved Mention"/>
    <w:basedOn w:val="DefaultParagraphFont"/>
    <w:uiPriority w:val="99"/>
    <w:semiHidden/>
    <w:unhideWhenUsed/>
    <w:rsid w:val="002C1A53"/>
    <w:rPr>
      <w:color w:val="605E5C"/>
      <w:shd w:val="clear" w:color="auto" w:fill="E1DFDD"/>
    </w:rPr>
  </w:style>
  <w:style w:type="character" w:customStyle="1" w:styleId="Heading1Char">
    <w:name w:val="Heading 1 Char"/>
    <w:basedOn w:val="DefaultParagraphFont"/>
    <w:link w:val="Heading1"/>
    <w:uiPriority w:val="9"/>
    <w:rsid w:val="00F6300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6300B"/>
    <w:rPr>
      <w:rFonts w:ascii="Times New Roman" w:eastAsia="Times New Roman" w:hAnsi="Times New Roman" w:cs="Times New Roman"/>
      <w:b/>
      <w:bCs/>
      <w:kern w:val="0"/>
      <w:sz w:val="36"/>
      <w:szCs w:val="36"/>
      <w:lang w:eastAsia="en-AU"/>
      <w14:ligatures w14:val="none"/>
    </w:rPr>
  </w:style>
  <w:style w:type="character" w:customStyle="1" w:styleId="Heading3Char">
    <w:name w:val="Heading 3 Char"/>
    <w:basedOn w:val="DefaultParagraphFont"/>
    <w:link w:val="Heading3"/>
    <w:uiPriority w:val="9"/>
    <w:semiHidden/>
    <w:rsid w:val="00F6300B"/>
    <w:rPr>
      <w:rFonts w:asciiTheme="majorHAnsi" w:eastAsiaTheme="majorEastAsia" w:hAnsiTheme="majorHAnsi" w:cstheme="majorBidi"/>
      <w:color w:val="1F3763" w:themeColor="accent1" w:themeShade="7F"/>
      <w:kern w:val="0"/>
      <w:sz w:val="24"/>
      <w:szCs w:val="24"/>
      <w14:ligatures w14:val="none"/>
    </w:rPr>
  </w:style>
  <w:style w:type="character" w:customStyle="1" w:styleId="Heading5Char">
    <w:name w:val="Heading 5 Char"/>
    <w:basedOn w:val="DefaultParagraphFont"/>
    <w:link w:val="Heading5"/>
    <w:uiPriority w:val="9"/>
    <w:semiHidden/>
    <w:rsid w:val="00F6300B"/>
    <w:rPr>
      <w:rFonts w:asciiTheme="majorHAnsi" w:eastAsiaTheme="majorEastAsia" w:hAnsiTheme="majorHAnsi" w:cstheme="majorBidi"/>
      <w:color w:val="2F5496" w:themeColor="accent1" w:themeShade="BF"/>
      <w:kern w:val="0"/>
      <w14:ligatures w14:val="none"/>
    </w:rPr>
  </w:style>
  <w:style w:type="character" w:styleId="Strong">
    <w:name w:val="Strong"/>
    <w:basedOn w:val="DefaultParagraphFont"/>
    <w:uiPriority w:val="22"/>
    <w:qFormat/>
    <w:rsid w:val="00F6300B"/>
    <w:rPr>
      <w:b/>
      <w:bCs/>
    </w:rPr>
  </w:style>
  <w:style w:type="character" w:styleId="Emphasis">
    <w:name w:val="Emphasis"/>
    <w:basedOn w:val="DefaultParagraphFont"/>
    <w:uiPriority w:val="20"/>
    <w:qFormat/>
    <w:rsid w:val="00F6300B"/>
    <w:rPr>
      <w:i/>
      <w:iCs/>
    </w:rPr>
  </w:style>
  <w:style w:type="paragraph" w:customStyle="1" w:styleId="summary">
    <w:name w:val="summary"/>
    <w:basedOn w:val="Normal"/>
    <w:rsid w:val="00F6300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rmalWeb">
    <w:name w:val="Normal (Web)"/>
    <w:basedOn w:val="Normal"/>
    <w:uiPriority w:val="99"/>
    <w:semiHidden/>
    <w:unhideWhenUsed/>
    <w:rsid w:val="00F6300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TMLCite">
    <w:name w:val="HTML Cite"/>
    <w:basedOn w:val="DefaultParagraphFont"/>
    <w:uiPriority w:val="99"/>
    <w:semiHidden/>
    <w:unhideWhenUsed/>
    <w:rsid w:val="00F6300B"/>
    <w:rPr>
      <w:i/>
      <w:iCs/>
    </w:rPr>
  </w:style>
  <w:style w:type="character" w:customStyle="1" w:styleId="sqsrte-text-highlight">
    <w:name w:val="sqsrte-text-highlight"/>
    <w:basedOn w:val="DefaultParagraphFont"/>
    <w:rsid w:val="006A140E"/>
  </w:style>
  <w:style w:type="paragraph" w:customStyle="1" w:styleId="prefade">
    <w:name w:val="prefade"/>
    <w:basedOn w:val="Normal"/>
    <w:rsid w:val="006A140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004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A96"/>
  </w:style>
  <w:style w:type="paragraph" w:styleId="Footer">
    <w:name w:val="footer"/>
    <w:basedOn w:val="Normal"/>
    <w:link w:val="FooterChar"/>
    <w:uiPriority w:val="99"/>
    <w:unhideWhenUsed/>
    <w:rsid w:val="00004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A96"/>
  </w:style>
  <w:style w:type="paragraph" w:customStyle="1" w:styleId="mt-2">
    <w:name w:val="mt-2"/>
    <w:basedOn w:val="Normal"/>
    <w:rsid w:val="002435C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Default">
    <w:name w:val="Default"/>
    <w:rsid w:val="000E0113"/>
    <w:pPr>
      <w:autoSpaceDE w:val="0"/>
      <w:autoSpaceDN w:val="0"/>
      <w:adjustRightInd w:val="0"/>
      <w:spacing w:after="0" w:line="240" w:lineRule="auto"/>
    </w:pPr>
    <w:rPr>
      <w:rFonts w:ascii="Arial" w:hAnsi="Arial" w:cs="Arial"/>
      <w:color w:val="000000"/>
      <w:kern w:val="0"/>
      <w:sz w:val="24"/>
      <w:szCs w:val="24"/>
    </w:rPr>
  </w:style>
  <w:style w:type="character" w:customStyle="1" w:styleId="A6">
    <w:name w:val="A6"/>
    <w:uiPriority w:val="99"/>
    <w:rsid w:val="000E0113"/>
    <w:rPr>
      <w:color w:val="000000"/>
      <w:sz w:val="21"/>
      <w:szCs w:val="21"/>
    </w:rPr>
  </w:style>
  <w:style w:type="paragraph" w:customStyle="1" w:styleId="text-center">
    <w:name w:val="text-center"/>
    <w:basedOn w:val="Normal"/>
    <w:rsid w:val="00AD111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FollowedHyperlink">
    <w:name w:val="FollowedHyperlink"/>
    <w:basedOn w:val="DefaultParagraphFont"/>
    <w:uiPriority w:val="99"/>
    <w:semiHidden/>
    <w:unhideWhenUsed/>
    <w:rsid w:val="00AD1118"/>
    <w:rPr>
      <w:color w:val="954F72" w:themeColor="followedHyperlink"/>
      <w:u w:val="single"/>
    </w:rPr>
  </w:style>
  <w:style w:type="character" w:customStyle="1" w:styleId="rogs-nolink">
    <w:name w:val="rogs-nolink"/>
    <w:basedOn w:val="DefaultParagraphFont"/>
    <w:rsid w:val="00B16235"/>
  </w:style>
  <w:style w:type="paragraph" w:customStyle="1" w:styleId="blue">
    <w:name w:val="blue"/>
    <w:basedOn w:val="Normal"/>
    <w:rsid w:val="00A27D6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Revision">
    <w:name w:val="Revision"/>
    <w:hidden/>
    <w:uiPriority w:val="99"/>
    <w:semiHidden/>
    <w:rsid w:val="006B2C4D"/>
    <w:pPr>
      <w:spacing w:after="0" w:line="240" w:lineRule="auto"/>
    </w:pPr>
  </w:style>
  <w:style w:type="character" w:styleId="CommentReference">
    <w:name w:val="annotation reference"/>
    <w:basedOn w:val="DefaultParagraphFont"/>
    <w:uiPriority w:val="99"/>
    <w:semiHidden/>
    <w:unhideWhenUsed/>
    <w:rsid w:val="006B2C4D"/>
    <w:rPr>
      <w:sz w:val="16"/>
      <w:szCs w:val="16"/>
    </w:rPr>
  </w:style>
  <w:style w:type="paragraph" w:styleId="CommentText">
    <w:name w:val="annotation text"/>
    <w:basedOn w:val="Normal"/>
    <w:link w:val="CommentTextChar"/>
    <w:uiPriority w:val="99"/>
    <w:semiHidden/>
    <w:unhideWhenUsed/>
    <w:rsid w:val="006B2C4D"/>
    <w:pPr>
      <w:spacing w:line="240" w:lineRule="auto"/>
    </w:pPr>
    <w:rPr>
      <w:sz w:val="20"/>
      <w:szCs w:val="20"/>
    </w:rPr>
  </w:style>
  <w:style w:type="character" w:customStyle="1" w:styleId="CommentTextChar">
    <w:name w:val="Comment Text Char"/>
    <w:basedOn w:val="DefaultParagraphFont"/>
    <w:link w:val="CommentText"/>
    <w:uiPriority w:val="99"/>
    <w:semiHidden/>
    <w:rsid w:val="006B2C4D"/>
    <w:rPr>
      <w:sz w:val="20"/>
      <w:szCs w:val="20"/>
    </w:rPr>
  </w:style>
  <w:style w:type="paragraph" w:styleId="CommentSubject">
    <w:name w:val="annotation subject"/>
    <w:basedOn w:val="CommentText"/>
    <w:next w:val="CommentText"/>
    <w:link w:val="CommentSubjectChar"/>
    <w:uiPriority w:val="99"/>
    <w:semiHidden/>
    <w:unhideWhenUsed/>
    <w:rsid w:val="006B2C4D"/>
    <w:rPr>
      <w:b/>
      <w:bCs/>
    </w:rPr>
  </w:style>
  <w:style w:type="character" w:customStyle="1" w:styleId="CommentSubjectChar">
    <w:name w:val="Comment Subject Char"/>
    <w:basedOn w:val="CommentTextChar"/>
    <w:link w:val="CommentSubject"/>
    <w:uiPriority w:val="99"/>
    <w:semiHidden/>
    <w:rsid w:val="006B2C4D"/>
    <w:rPr>
      <w:b/>
      <w:bCs/>
      <w:sz w:val="20"/>
      <w:szCs w:val="20"/>
    </w:rPr>
  </w:style>
  <w:style w:type="paragraph" w:customStyle="1" w:styleId="pf1">
    <w:name w:val="pf1"/>
    <w:basedOn w:val="Normal"/>
    <w:rsid w:val="000F117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pf0">
    <w:name w:val="pf0"/>
    <w:basedOn w:val="Normal"/>
    <w:rsid w:val="000F117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0F117D"/>
    <w:rPr>
      <w:rFonts w:ascii="Segoe UI" w:hAnsi="Segoe UI" w:cs="Segoe UI" w:hint="default"/>
      <w:sz w:val="18"/>
      <w:szCs w:val="18"/>
    </w:rPr>
  </w:style>
  <w:style w:type="paragraph" w:styleId="ListNumber">
    <w:name w:val="List Number"/>
    <w:basedOn w:val="Normal"/>
    <w:uiPriority w:val="2"/>
    <w:qFormat/>
    <w:rsid w:val="007D71DC"/>
    <w:pPr>
      <w:numPr>
        <w:numId w:val="23"/>
      </w:numPr>
      <w:spacing w:before="60" w:after="120" w:line="280" w:lineRule="atLeast"/>
      <w:contextualSpacing/>
    </w:pPr>
    <w:rPr>
      <w:kern w:val="0"/>
      <w:sz w:val="20"/>
      <w:szCs w:val="20"/>
      <w14:ligatures w14:val="none"/>
    </w:rPr>
  </w:style>
  <w:style w:type="paragraph" w:styleId="ListNumber2">
    <w:name w:val="List Number 2"/>
    <w:basedOn w:val="Normal"/>
    <w:uiPriority w:val="13"/>
    <w:semiHidden/>
    <w:qFormat/>
    <w:rsid w:val="007D71DC"/>
    <w:pPr>
      <w:numPr>
        <w:ilvl w:val="1"/>
        <w:numId w:val="23"/>
      </w:numPr>
      <w:spacing w:before="60" w:after="120" w:line="280" w:lineRule="atLeast"/>
      <w:contextualSpacing/>
    </w:pPr>
    <w:rPr>
      <w:kern w:val="0"/>
      <w:sz w:val="20"/>
      <w:szCs w:val="20"/>
      <w14:ligatures w14:val="none"/>
    </w:rPr>
  </w:style>
  <w:style w:type="numbering" w:customStyle="1" w:styleId="Numbering">
    <w:name w:val="Numbering"/>
    <w:uiPriority w:val="99"/>
    <w:rsid w:val="007D71DC"/>
    <w:pPr>
      <w:numPr>
        <w:numId w:val="23"/>
      </w:numPr>
    </w:pPr>
  </w:style>
  <w:style w:type="paragraph" w:styleId="ListNumber3">
    <w:name w:val="List Number 3"/>
    <w:basedOn w:val="Normal"/>
    <w:uiPriority w:val="13"/>
    <w:semiHidden/>
    <w:qFormat/>
    <w:rsid w:val="007D71DC"/>
    <w:pPr>
      <w:numPr>
        <w:ilvl w:val="2"/>
        <w:numId w:val="23"/>
      </w:numPr>
      <w:spacing w:before="60" w:after="120" w:line="280" w:lineRule="atLeast"/>
      <w:contextualSpacing/>
    </w:pPr>
    <w:rPr>
      <w:kern w:val="0"/>
      <w:sz w:val="20"/>
      <w:szCs w:val="20"/>
      <w14:ligatures w14:val="none"/>
    </w:rPr>
  </w:style>
  <w:style w:type="paragraph" w:styleId="ListNumber4">
    <w:name w:val="List Number 4"/>
    <w:basedOn w:val="Normal"/>
    <w:uiPriority w:val="13"/>
    <w:semiHidden/>
    <w:qFormat/>
    <w:rsid w:val="007D71DC"/>
    <w:pPr>
      <w:numPr>
        <w:ilvl w:val="3"/>
        <w:numId w:val="23"/>
      </w:numPr>
      <w:spacing w:before="120" w:after="200" w:line="293" w:lineRule="auto"/>
      <w:contextualSpacing/>
    </w:pPr>
    <w:rPr>
      <w:kern w:val="0"/>
      <w:sz w:val="20"/>
      <w:szCs w:val="20"/>
      <w14:ligatures w14:val="none"/>
    </w:rPr>
  </w:style>
  <w:style w:type="paragraph" w:styleId="ListNumber5">
    <w:name w:val="List Number 5"/>
    <w:basedOn w:val="Normal"/>
    <w:uiPriority w:val="13"/>
    <w:semiHidden/>
    <w:rsid w:val="007D71DC"/>
    <w:pPr>
      <w:numPr>
        <w:ilvl w:val="4"/>
        <w:numId w:val="23"/>
      </w:numPr>
      <w:spacing w:before="120" w:after="200" w:line="293" w:lineRule="auto"/>
      <w:contextualSpacing/>
    </w:pPr>
    <w:rPr>
      <w:kern w:val="0"/>
      <w:sz w:val="20"/>
      <w:szCs w:val="20"/>
      <w14:ligatures w14:val="none"/>
    </w:rPr>
  </w:style>
  <w:style w:type="paragraph" w:customStyle="1" w:styleId="TableHeading">
    <w:name w:val="Table Heading"/>
    <w:basedOn w:val="NoSpacing"/>
    <w:uiPriority w:val="4"/>
    <w:qFormat/>
    <w:rsid w:val="007D71DC"/>
    <w:pPr>
      <w:spacing w:after="20" w:line="280" w:lineRule="atLeast"/>
      <w:ind w:left="57"/>
    </w:pPr>
    <w:rPr>
      <w:b/>
      <w:color w:val="44546A" w:themeColor="text2"/>
      <w:kern w:val="0"/>
      <w:sz w:val="18"/>
      <w:szCs w:val="20"/>
      <w14:ligatures w14:val="none"/>
    </w:rPr>
  </w:style>
  <w:style w:type="paragraph" w:styleId="NoSpacing">
    <w:name w:val="No Spacing"/>
    <w:uiPriority w:val="1"/>
    <w:qFormat/>
    <w:rsid w:val="007D71DC"/>
    <w:pPr>
      <w:spacing w:after="0" w:line="240" w:lineRule="auto"/>
    </w:pPr>
  </w:style>
  <w:style w:type="paragraph" w:styleId="ListBullet">
    <w:name w:val="List Bullet"/>
    <w:basedOn w:val="Normal"/>
    <w:link w:val="ListBulletChar"/>
    <w:uiPriority w:val="1"/>
    <w:qFormat/>
    <w:rsid w:val="007D71DC"/>
    <w:pPr>
      <w:numPr>
        <w:numId w:val="25"/>
      </w:numPr>
      <w:spacing w:before="120" w:after="120" w:line="280" w:lineRule="atLeast"/>
      <w:contextualSpacing/>
    </w:pPr>
    <w:rPr>
      <w:kern w:val="0"/>
      <w:sz w:val="20"/>
      <w:szCs w:val="20"/>
      <w14:ligatures w14:val="none"/>
    </w:rPr>
  </w:style>
  <w:style w:type="paragraph" w:styleId="ListBullet2">
    <w:name w:val="List Bullet 2"/>
    <w:basedOn w:val="Normal"/>
    <w:uiPriority w:val="1"/>
    <w:qFormat/>
    <w:rsid w:val="007D71DC"/>
    <w:pPr>
      <w:numPr>
        <w:ilvl w:val="1"/>
        <w:numId w:val="25"/>
      </w:numPr>
      <w:spacing w:before="120" w:after="120" w:line="280" w:lineRule="atLeast"/>
      <w:contextualSpacing/>
    </w:pPr>
    <w:rPr>
      <w:kern w:val="0"/>
      <w:sz w:val="20"/>
      <w:szCs w:val="20"/>
      <w14:ligatures w14:val="none"/>
    </w:rPr>
  </w:style>
  <w:style w:type="numbering" w:customStyle="1" w:styleId="Bullets">
    <w:name w:val="Bullets"/>
    <w:uiPriority w:val="99"/>
    <w:rsid w:val="007D71DC"/>
    <w:pPr>
      <w:numPr>
        <w:numId w:val="24"/>
      </w:numPr>
    </w:pPr>
  </w:style>
  <w:style w:type="paragraph" w:styleId="ListBullet3">
    <w:name w:val="List Bullet 3"/>
    <w:basedOn w:val="Normal"/>
    <w:uiPriority w:val="1"/>
    <w:qFormat/>
    <w:rsid w:val="007D71DC"/>
    <w:pPr>
      <w:numPr>
        <w:ilvl w:val="2"/>
        <w:numId w:val="25"/>
      </w:numPr>
      <w:spacing w:before="120" w:after="120" w:line="280" w:lineRule="atLeast"/>
      <w:contextualSpacing/>
    </w:pPr>
    <w:rPr>
      <w:kern w:val="0"/>
      <w:sz w:val="20"/>
      <w:szCs w:val="20"/>
      <w14:ligatures w14:val="none"/>
    </w:rPr>
  </w:style>
  <w:style w:type="character" w:customStyle="1" w:styleId="ListBulletChar">
    <w:name w:val="List Bullet Char"/>
    <w:basedOn w:val="DefaultParagraphFont"/>
    <w:link w:val="ListBullet"/>
    <w:uiPriority w:val="1"/>
    <w:rsid w:val="007D71DC"/>
    <w:rPr>
      <w:kern w:val="0"/>
      <w:sz w:val="20"/>
      <w:szCs w:val="20"/>
      <w14:ligatures w14:val="none"/>
    </w:rPr>
  </w:style>
  <w:style w:type="paragraph" w:styleId="BodyText">
    <w:name w:val="Body Text"/>
    <w:basedOn w:val="Normal"/>
    <w:link w:val="BodyTextChar"/>
    <w:qFormat/>
    <w:rsid w:val="00C72663"/>
    <w:pPr>
      <w:spacing w:before="120" w:after="120" w:line="280" w:lineRule="atLeast"/>
    </w:pPr>
    <w:rPr>
      <w:kern w:val="0"/>
      <w:sz w:val="20"/>
      <w:szCs w:val="20"/>
      <w14:ligatures w14:val="none"/>
    </w:rPr>
  </w:style>
  <w:style w:type="character" w:customStyle="1" w:styleId="BodyTextChar">
    <w:name w:val="Body Text Char"/>
    <w:basedOn w:val="DefaultParagraphFont"/>
    <w:link w:val="BodyText"/>
    <w:rsid w:val="00C72663"/>
    <w:rPr>
      <w:kern w:val="0"/>
      <w:sz w:val="20"/>
      <w:szCs w:val="20"/>
      <w14:ligatures w14:val="none"/>
    </w:rPr>
  </w:style>
  <w:style w:type="paragraph" w:styleId="FootnoteText">
    <w:name w:val="footnote text"/>
    <w:basedOn w:val="Normal"/>
    <w:link w:val="FootnoteTextChar"/>
    <w:uiPriority w:val="99"/>
    <w:semiHidden/>
    <w:unhideWhenUsed/>
    <w:rsid w:val="003F47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7D2"/>
    <w:rPr>
      <w:sz w:val="20"/>
      <w:szCs w:val="20"/>
    </w:rPr>
  </w:style>
  <w:style w:type="character" w:styleId="FootnoteReference">
    <w:name w:val="footnote reference"/>
    <w:basedOn w:val="DefaultParagraphFont"/>
    <w:uiPriority w:val="99"/>
    <w:semiHidden/>
    <w:unhideWhenUsed/>
    <w:rsid w:val="003F47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122">
      <w:bodyDiv w:val="1"/>
      <w:marLeft w:val="0"/>
      <w:marRight w:val="0"/>
      <w:marTop w:val="0"/>
      <w:marBottom w:val="0"/>
      <w:divBdr>
        <w:top w:val="none" w:sz="0" w:space="0" w:color="auto"/>
        <w:left w:val="none" w:sz="0" w:space="0" w:color="auto"/>
        <w:bottom w:val="none" w:sz="0" w:space="0" w:color="auto"/>
        <w:right w:val="none" w:sz="0" w:space="0" w:color="auto"/>
      </w:divBdr>
    </w:div>
    <w:div w:id="340547857">
      <w:bodyDiv w:val="1"/>
      <w:marLeft w:val="0"/>
      <w:marRight w:val="0"/>
      <w:marTop w:val="0"/>
      <w:marBottom w:val="0"/>
      <w:divBdr>
        <w:top w:val="none" w:sz="0" w:space="0" w:color="auto"/>
        <w:left w:val="none" w:sz="0" w:space="0" w:color="auto"/>
        <w:bottom w:val="none" w:sz="0" w:space="0" w:color="auto"/>
        <w:right w:val="none" w:sz="0" w:space="0" w:color="auto"/>
      </w:divBdr>
    </w:div>
    <w:div w:id="459224304">
      <w:bodyDiv w:val="1"/>
      <w:marLeft w:val="0"/>
      <w:marRight w:val="0"/>
      <w:marTop w:val="0"/>
      <w:marBottom w:val="0"/>
      <w:divBdr>
        <w:top w:val="none" w:sz="0" w:space="0" w:color="auto"/>
        <w:left w:val="none" w:sz="0" w:space="0" w:color="auto"/>
        <w:bottom w:val="none" w:sz="0" w:space="0" w:color="auto"/>
        <w:right w:val="none" w:sz="0" w:space="0" w:color="auto"/>
      </w:divBdr>
    </w:div>
    <w:div w:id="652492798">
      <w:bodyDiv w:val="1"/>
      <w:marLeft w:val="0"/>
      <w:marRight w:val="0"/>
      <w:marTop w:val="0"/>
      <w:marBottom w:val="0"/>
      <w:divBdr>
        <w:top w:val="none" w:sz="0" w:space="0" w:color="auto"/>
        <w:left w:val="none" w:sz="0" w:space="0" w:color="auto"/>
        <w:bottom w:val="none" w:sz="0" w:space="0" w:color="auto"/>
        <w:right w:val="none" w:sz="0" w:space="0" w:color="auto"/>
      </w:divBdr>
    </w:div>
    <w:div w:id="763501494">
      <w:bodyDiv w:val="1"/>
      <w:marLeft w:val="0"/>
      <w:marRight w:val="0"/>
      <w:marTop w:val="0"/>
      <w:marBottom w:val="0"/>
      <w:divBdr>
        <w:top w:val="none" w:sz="0" w:space="0" w:color="auto"/>
        <w:left w:val="none" w:sz="0" w:space="0" w:color="auto"/>
        <w:bottom w:val="none" w:sz="0" w:space="0" w:color="auto"/>
        <w:right w:val="none" w:sz="0" w:space="0" w:color="auto"/>
      </w:divBdr>
    </w:div>
    <w:div w:id="770853663">
      <w:bodyDiv w:val="1"/>
      <w:marLeft w:val="0"/>
      <w:marRight w:val="0"/>
      <w:marTop w:val="0"/>
      <w:marBottom w:val="0"/>
      <w:divBdr>
        <w:top w:val="none" w:sz="0" w:space="0" w:color="auto"/>
        <w:left w:val="none" w:sz="0" w:space="0" w:color="auto"/>
        <w:bottom w:val="none" w:sz="0" w:space="0" w:color="auto"/>
        <w:right w:val="none" w:sz="0" w:space="0" w:color="auto"/>
      </w:divBdr>
    </w:div>
    <w:div w:id="792987572">
      <w:bodyDiv w:val="1"/>
      <w:marLeft w:val="0"/>
      <w:marRight w:val="0"/>
      <w:marTop w:val="0"/>
      <w:marBottom w:val="0"/>
      <w:divBdr>
        <w:top w:val="none" w:sz="0" w:space="0" w:color="auto"/>
        <w:left w:val="none" w:sz="0" w:space="0" w:color="auto"/>
        <w:bottom w:val="none" w:sz="0" w:space="0" w:color="auto"/>
        <w:right w:val="none" w:sz="0" w:space="0" w:color="auto"/>
      </w:divBdr>
    </w:div>
    <w:div w:id="807624400">
      <w:bodyDiv w:val="1"/>
      <w:marLeft w:val="0"/>
      <w:marRight w:val="0"/>
      <w:marTop w:val="0"/>
      <w:marBottom w:val="0"/>
      <w:divBdr>
        <w:top w:val="none" w:sz="0" w:space="0" w:color="auto"/>
        <w:left w:val="none" w:sz="0" w:space="0" w:color="auto"/>
        <w:bottom w:val="none" w:sz="0" w:space="0" w:color="auto"/>
        <w:right w:val="none" w:sz="0" w:space="0" w:color="auto"/>
      </w:divBdr>
    </w:div>
    <w:div w:id="952174490">
      <w:bodyDiv w:val="1"/>
      <w:marLeft w:val="0"/>
      <w:marRight w:val="0"/>
      <w:marTop w:val="0"/>
      <w:marBottom w:val="0"/>
      <w:divBdr>
        <w:top w:val="none" w:sz="0" w:space="0" w:color="auto"/>
        <w:left w:val="none" w:sz="0" w:space="0" w:color="auto"/>
        <w:bottom w:val="none" w:sz="0" w:space="0" w:color="auto"/>
        <w:right w:val="none" w:sz="0" w:space="0" w:color="auto"/>
      </w:divBdr>
    </w:div>
    <w:div w:id="1010638871">
      <w:bodyDiv w:val="1"/>
      <w:marLeft w:val="0"/>
      <w:marRight w:val="0"/>
      <w:marTop w:val="0"/>
      <w:marBottom w:val="0"/>
      <w:divBdr>
        <w:top w:val="none" w:sz="0" w:space="0" w:color="auto"/>
        <w:left w:val="none" w:sz="0" w:space="0" w:color="auto"/>
        <w:bottom w:val="none" w:sz="0" w:space="0" w:color="auto"/>
        <w:right w:val="none" w:sz="0" w:space="0" w:color="auto"/>
      </w:divBdr>
    </w:div>
    <w:div w:id="1109809861">
      <w:bodyDiv w:val="1"/>
      <w:marLeft w:val="0"/>
      <w:marRight w:val="0"/>
      <w:marTop w:val="0"/>
      <w:marBottom w:val="0"/>
      <w:divBdr>
        <w:top w:val="none" w:sz="0" w:space="0" w:color="auto"/>
        <w:left w:val="none" w:sz="0" w:space="0" w:color="auto"/>
        <w:bottom w:val="none" w:sz="0" w:space="0" w:color="auto"/>
        <w:right w:val="none" w:sz="0" w:space="0" w:color="auto"/>
      </w:divBdr>
      <w:divsChild>
        <w:div w:id="701521228">
          <w:marLeft w:val="1080"/>
          <w:marRight w:val="0"/>
          <w:marTop w:val="0"/>
          <w:marBottom w:val="120"/>
          <w:divBdr>
            <w:top w:val="none" w:sz="0" w:space="0" w:color="auto"/>
            <w:left w:val="none" w:sz="0" w:space="0" w:color="auto"/>
            <w:bottom w:val="none" w:sz="0" w:space="0" w:color="auto"/>
            <w:right w:val="none" w:sz="0" w:space="0" w:color="auto"/>
          </w:divBdr>
        </w:div>
        <w:div w:id="1380666967">
          <w:marLeft w:val="1080"/>
          <w:marRight w:val="0"/>
          <w:marTop w:val="0"/>
          <w:marBottom w:val="120"/>
          <w:divBdr>
            <w:top w:val="none" w:sz="0" w:space="0" w:color="auto"/>
            <w:left w:val="none" w:sz="0" w:space="0" w:color="auto"/>
            <w:bottom w:val="none" w:sz="0" w:space="0" w:color="auto"/>
            <w:right w:val="none" w:sz="0" w:space="0" w:color="auto"/>
          </w:divBdr>
        </w:div>
        <w:div w:id="1178078171">
          <w:marLeft w:val="1080"/>
          <w:marRight w:val="0"/>
          <w:marTop w:val="0"/>
          <w:marBottom w:val="120"/>
          <w:divBdr>
            <w:top w:val="none" w:sz="0" w:space="0" w:color="auto"/>
            <w:left w:val="none" w:sz="0" w:space="0" w:color="auto"/>
            <w:bottom w:val="none" w:sz="0" w:space="0" w:color="auto"/>
            <w:right w:val="none" w:sz="0" w:space="0" w:color="auto"/>
          </w:divBdr>
        </w:div>
        <w:div w:id="859122432">
          <w:marLeft w:val="1080"/>
          <w:marRight w:val="0"/>
          <w:marTop w:val="0"/>
          <w:marBottom w:val="120"/>
          <w:divBdr>
            <w:top w:val="none" w:sz="0" w:space="0" w:color="auto"/>
            <w:left w:val="none" w:sz="0" w:space="0" w:color="auto"/>
            <w:bottom w:val="none" w:sz="0" w:space="0" w:color="auto"/>
            <w:right w:val="none" w:sz="0" w:space="0" w:color="auto"/>
          </w:divBdr>
        </w:div>
        <w:div w:id="1476681885">
          <w:marLeft w:val="1080"/>
          <w:marRight w:val="0"/>
          <w:marTop w:val="0"/>
          <w:marBottom w:val="120"/>
          <w:divBdr>
            <w:top w:val="none" w:sz="0" w:space="0" w:color="auto"/>
            <w:left w:val="none" w:sz="0" w:space="0" w:color="auto"/>
            <w:bottom w:val="none" w:sz="0" w:space="0" w:color="auto"/>
            <w:right w:val="none" w:sz="0" w:space="0" w:color="auto"/>
          </w:divBdr>
        </w:div>
        <w:div w:id="1990591577">
          <w:marLeft w:val="1080"/>
          <w:marRight w:val="0"/>
          <w:marTop w:val="0"/>
          <w:marBottom w:val="120"/>
          <w:divBdr>
            <w:top w:val="none" w:sz="0" w:space="0" w:color="auto"/>
            <w:left w:val="none" w:sz="0" w:space="0" w:color="auto"/>
            <w:bottom w:val="none" w:sz="0" w:space="0" w:color="auto"/>
            <w:right w:val="none" w:sz="0" w:space="0" w:color="auto"/>
          </w:divBdr>
        </w:div>
      </w:divsChild>
    </w:div>
    <w:div w:id="1211846897">
      <w:bodyDiv w:val="1"/>
      <w:marLeft w:val="0"/>
      <w:marRight w:val="0"/>
      <w:marTop w:val="0"/>
      <w:marBottom w:val="0"/>
      <w:divBdr>
        <w:top w:val="none" w:sz="0" w:space="0" w:color="auto"/>
        <w:left w:val="none" w:sz="0" w:space="0" w:color="auto"/>
        <w:bottom w:val="none" w:sz="0" w:space="0" w:color="auto"/>
        <w:right w:val="none" w:sz="0" w:space="0" w:color="auto"/>
      </w:divBdr>
    </w:div>
    <w:div w:id="1477185999">
      <w:bodyDiv w:val="1"/>
      <w:marLeft w:val="0"/>
      <w:marRight w:val="0"/>
      <w:marTop w:val="0"/>
      <w:marBottom w:val="0"/>
      <w:divBdr>
        <w:top w:val="none" w:sz="0" w:space="0" w:color="auto"/>
        <w:left w:val="none" w:sz="0" w:space="0" w:color="auto"/>
        <w:bottom w:val="none" w:sz="0" w:space="0" w:color="auto"/>
        <w:right w:val="none" w:sz="0" w:space="0" w:color="auto"/>
      </w:divBdr>
    </w:div>
    <w:div w:id="1494296033">
      <w:bodyDiv w:val="1"/>
      <w:marLeft w:val="0"/>
      <w:marRight w:val="0"/>
      <w:marTop w:val="0"/>
      <w:marBottom w:val="0"/>
      <w:divBdr>
        <w:top w:val="none" w:sz="0" w:space="0" w:color="auto"/>
        <w:left w:val="none" w:sz="0" w:space="0" w:color="auto"/>
        <w:bottom w:val="none" w:sz="0" w:space="0" w:color="auto"/>
        <w:right w:val="none" w:sz="0" w:space="0" w:color="auto"/>
      </w:divBdr>
    </w:div>
    <w:div w:id="1738671714">
      <w:bodyDiv w:val="1"/>
      <w:marLeft w:val="0"/>
      <w:marRight w:val="0"/>
      <w:marTop w:val="0"/>
      <w:marBottom w:val="0"/>
      <w:divBdr>
        <w:top w:val="none" w:sz="0" w:space="0" w:color="auto"/>
        <w:left w:val="none" w:sz="0" w:space="0" w:color="auto"/>
        <w:bottom w:val="none" w:sz="0" w:space="0" w:color="auto"/>
        <w:right w:val="none" w:sz="0" w:space="0" w:color="auto"/>
      </w:divBdr>
    </w:div>
    <w:div w:id="1864709243">
      <w:bodyDiv w:val="1"/>
      <w:marLeft w:val="0"/>
      <w:marRight w:val="0"/>
      <w:marTop w:val="0"/>
      <w:marBottom w:val="0"/>
      <w:divBdr>
        <w:top w:val="none" w:sz="0" w:space="0" w:color="auto"/>
        <w:left w:val="none" w:sz="0" w:space="0" w:color="auto"/>
        <w:bottom w:val="none" w:sz="0" w:space="0" w:color="auto"/>
        <w:right w:val="none" w:sz="0" w:space="0" w:color="auto"/>
      </w:divBdr>
    </w:div>
    <w:div w:id="1892644089">
      <w:bodyDiv w:val="1"/>
      <w:marLeft w:val="0"/>
      <w:marRight w:val="0"/>
      <w:marTop w:val="0"/>
      <w:marBottom w:val="0"/>
      <w:divBdr>
        <w:top w:val="none" w:sz="0" w:space="0" w:color="auto"/>
        <w:left w:val="none" w:sz="0" w:space="0" w:color="auto"/>
        <w:bottom w:val="none" w:sz="0" w:space="0" w:color="auto"/>
        <w:right w:val="none" w:sz="0" w:space="0" w:color="auto"/>
      </w:divBdr>
    </w:div>
    <w:div w:id="1953970088">
      <w:bodyDiv w:val="1"/>
      <w:marLeft w:val="0"/>
      <w:marRight w:val="0"/>
      <w:marTop w:val="0"/>
      <w:marBottom w:val="0"/>
      <w:divBdr>
        <w:top w:val="none" w:sz="0" w:space="0" w:color="auto"/>
        <w:left w:val="none" w:sz="0" w:space="0" w:color="auto"/>
        <w:bottom w:val="none" w:sz="0" w:space="0" w:color="auto"/>
        <w:right w:val="none" w:sz="0" w:space="0" w:color="auto"/>
      </w:divBdr>
    </w:div>
    <w:div w:id="2017030166">
      <w:bodyDiv w:val="1"/>
      <w:marLeft w:val="0"/>
      <w:marRight w:val="0"/>
      <w:marTop w:val="0"/>
      <w:marBottom w:val="0"/>
      <w:divBdr>
        <w:top w:val="none" w:sz="0" w:space="0" w:color="auto"/>
        <w:left w:val="none" w:sz="0" w:space="0" w:color="auto"/>
        <w:bottom w:val="none" w:sz="0" w:space="0" w:color="auto"/>
        <w:right w:val="none" w:sz="0" w:space="0" w:color="auto"/>
      </w:divBdr>
    </w:div>
    <w:div w:id="21336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c.gov.au/closing-the-gap-data/dashboard/priority/reform1/people-reporting-they-are-able-to-have-a-say-in-their-commun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c.gov.au/closing-the-gap-data/dashboa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c.gov.au/closing-the-gap-data/dashboard/priority/reform3/people-reporting-experiences-of-racis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gov.au/closing-the-gap-data/dashboard/priority/reform1/people-reporting-they-are-able-to-have-a-say-in-their-communit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About_Parliament/Parliamentary_departments/Parliamentary_Library/Budget/reviews/2023-24/IndigenousAffairs" TargetMode="External"/><Relationship Id="rId1" Type="http://schemas.openxmlformats.org/officeDocument/2006/relationships/hyperlink" Target="https://www.usccr.gov/files/pubs/2018/12-20-Broken-Promi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9c6e55a0c3827c3d5f97cbbf9ed1a13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257fb32af72be6ae9a3b362019d10b4"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393cdf-440a-4521-8f19-00ba43423d00">MPWT-2140667901-38211</_dlc_DocId>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Url xmlns="20393cdf-440a-4521-8f19-00ba43423d00">
      <Url>https://pcgov.sharepoint.com/sites/sceteam/_layouts/15/DocIdRedir.aspx?ID=MPWT-2140667901-38211</Url>
      <Description>MPWT-2140667901-38211</Description>
    </_dlc_DocIdUrl>
    <thumbnail xmlns="3d385984-9344-419b-a80b-49c06a2bdab8" xsi:nil="true"/>
    <_Flow_SignoffStatus xmlns="3d385984-9344-419b-a80b-49c06a2bda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1C66-D1FE-44D6-B1E2-01959CFB7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E6051-BC62-4292-A8A5-E03EAD6D14D9}">
  <ds:schemaRefs>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3d385984-9344-419b-a80b-49c06a2bdab8"/>
    <ds:schemaRef ds:uri="http://schemas.microsoft.com/office/2006/documentManagement/types"/>
    <ds:schemaRef ds:uri="20393cdf-440a-4521-8f19-00ba43423d00"/>
    <ds:schemaRef ds:uri="http://purl.org/dc/dcmitype/"/>
  </ds:schemaRefs>
</ds:datastoreItem>
</file>

<file path=customXml/itemProps3.xml><?xml version="1.0" encoding="utf-8"?>
<ds:datastoreItem xmlns:ds="http://schemas.openxmlformats.org/officeDocument/2006/customXml" ds:itemID="{E003FD09-F0B3-4494-AE1F-F2379D5F00C3}">
  <ds:schemaRefs>
    <ds:schemaRef ds:uri="http://schemas.microsoft.com/sharepoint/v3/contenttype/forms"/>
  </ds:schemaRefs>
</ds:datastoreItem>
</file>

<file path=customXml/itemProps4.xml><?xml version="1.0" encoding="utf-8"?>
<ds:datastoreItem xmlns:ds="http://schemas.openxmlformats.org/officeDocument/2006/customXml" ds:itemID="{F894F02F-9DEC-450A-B5BA-4BBC4C7BFA50}">
  <ds:schemaRefs>
    <ds:schemaRef ds:uri="http://schemas.microsoft.com/sharepoint/events"/>
  </ds:schemaRefs>
</ds:datastoreItem>
</file>

<file path=customXml/itemProps5.xml><?xml version="1.0" encoding="utf-8"?>
<ds:datastoreItem xmlns:ds="http://schemas.openxmlformats.org/officeDocument/2006/customXml" ds:itemID="{20918291-84A6-4DE5-AA67-66BC21C5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6964</Words>
  <Characters>39701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Submission 51 - Jon Altman - Closing the Gap Review - Commissioned study</vt:lpstr>
    </vt:vector>
  </TitlesOfParts>
  <Company>Jon Altman</Company>
  <LinksUpToDate>false</LinksUpToDate>
  <CharactersWithSpaces>46572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51 - Jon Altman - Closing the Gap Review - Commissioned study</dc:title>
  <dc:subject/>
  <dc:creator>Jon Altman</dc:creator>
  <cp:keywords/>
  <dc:description/>
  <cp:lastModifiedBy>Chris Alston</cp:lastModifiedBy>
  <cp:revision>4</cp:revision>
  <cp:lastPrinted>2023-10-19T22:37:00Z</cp:lastPrinted>
  <dcterms:created xsi:type="dcterms:W3CDTF">2023-10-19T05:52:00Z</dcterms:created>
  <dcterms:modified xsi:type="dcterms:W3CDTF">2023-10-19T22:39:00Z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0x0101006C0B5E815648EF46B6FA6D42F17E5E9F000C963E276195B04F83BC027CFDC94A8D</vt:lpwstr>
  </property>
  <property fmtid="{D5CDD505-2E9C-101B-9397-08002B2CF9AE}" pid="4" name="_dlc_DocIdItemGuid">
    <vt:lpwstr>70cc0f94-5f07-4c94-b849-891bda3bf487</vt:lpwstr>
  </property>
  <property fmtid="{D5CDD505-2E9C-101B-9397-08002B2CF9AE}" pid="5" name="RevIMBCS">
    <vt:lpwstr>1;#Unclassified|3955eeb1-2d18-4582-aeb2-00144ec3aaf5</vt:lpwstr>
  </property>
</Properties>
</file>