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560D" w14:textId="0DFBAB4C" w:rsidR="004145A6" w:rsidRPr="00C7340D" w:rsidRDefault="004145A6" w:rsidP="00281863">
      <w:pPr>
        <w:rPr>
          <w:rFonts w:asciiTheme="majorHAnsi" w:hAnsiTheme="majorHAnsi" w:cstheme="majorHAnsi"/>
          <w:color w:val="000000" w:themeColor="text1"/>
          <w:sz w:val="20"/>
          <w:szCs w:val="20"/>
        </w:rPr>
      </w:pPr>
    </w:p>
    <w:p w14:paraId="0AE73E68" w14:textId="178E824A" w:rsidR="00C7340D" w:rsidRDefault="00F47425" w:rsidP="00281863">
      <w:pPr>
        <w:rPr>
          <w:rFonts w:asciiTheme="majorHAnsi" w:hAnsiTheme="majorHAnsi" w:cstheme="majorHAnsi"/>
          <w:color w:val="000000" w:themeColor="text1"/>
          <w:sz w:val="20"/>
          <w:szCs w:val="20"/>
        </w:rPr>
      </w:pPr>
      <w:r>
        <w:rPr>
          <w:rStyle w:val="Strong"/>
          <w:rFonts w:ascii="Open Sans" w:hAnsi="Open Sans" w:cs="Open Sans"/>
          <w:color w:val="333333"/>
          <w:spacing w:val="6"/>
          <w:sz w:val="21"/>
          <w:szCs w:val="21"/>
          <w:shd w:val="clear" w:color="auto" w:fill="FFFFFF"/>
        </w:rPr>
        <w:t>National Water Reform 2024</w:t>
      </w:r>
      <w:r>
        <w:rPr>
          <w:rFonts w:ascii="Open Sans" w:hAnsi="Open Sans" w:cs="Open Sans"/>
          <w:color w:val="333333"/>
          <w:spacing w:val="6"/>
          <w:sz w:val="21"/>
          <w:szCs w:val="21"/>
        </w:rPr>
        <w:br/>
      </w:r>
      <w:r>
        <w:rPr>
          <w:rFonts w:ascii="Open Sans" w:hAnsi="Open Sans" w:cs="Open Sans"/>
          <w:color w:val="333333"/>
          <w:spacing w:val="6"/>
          <w:sz w:val="21"/>
          <w:szCs w:val="21"/>
          <w:shd w:val="clear" w:color="auto" w:fill="FFFFFF"/>
        </w:rPr>
        <w:t>Productivity Commission</w:t>
      </w:r>
      <w:r>
        <w:rPr>
          <w:rFonts w:ascii="Open Sans" w:hAnsi="Open Sans" w:cs="Open Sans"/>
          <w:color w:val="333333"/>
          <w:spacing w:val="6"/>
          <w:sz w:val="21"/>
          <w:szCs w:val="21"/>
        </w:rPr>
        <w:br/>
      </w:r>
      <w:r>
        <w:rPr>
          <w:rFonts w:ascii="Open Sans" w:hAnsi="Open Sans" w:cs="Open Sans"/>
          <w:color w:val="333333"/>
          <w:spacing w:val="6"/>
          <w:sz w:val="21"/>
          <w:szCs w:val="21"/>
          <w:shd w:val="clear" w:color="auto" w:fill="FFFFFF"/>
        </w:rPr>
        <w:t>GPO Box 1428</w:t>
      </w:r>
      <w:r>
        <w:rPr>
          <w:rFonts w:ascii="Open Sans" w:hAnsi="Open Sans" w:cs="Open Sans"/>
          <w:color w:val="333333"/>
          <w:spacing w:val="6"/>
          <w:sz w:val="21"/>
          <w:szCs w:val="21"/>
        </w:rPr>
        <w:br/>
      </w:r>
      <w:r>
        <w:rPr>
          <w:rFonts w:ascii="Open Sans" w:hAnsi="Open Sans" w:cs="Open Sans"/>
          <w:color w:val="333333"/>
          <w:spacing w:val="6"/>
          <w:sz w:val="21"/>
          <w:szCs w:val="21"/>
          <w:shd w:val="clear" w:color="auto" w:fill="FFFFFF"/>
        </w:rPr>
        <w:t>Canberra City ACT 2601</w:t>
      </w:r>
    </w:p>
    <w:p w14:paraId="16A67DD8" w14:textId="77777777" w:rsidR="00F2462B" w:rsidRDefault="00F2462B" w:rsidP="006806AF">
      <w:pPr>
        <w:pStyle w:val="BodyText"/>
      </w:pPr>
    </w:p>
    <w:p w14:paraId="47973BE5" w14:textId="41190F59" w:rsidR="006806AF" w:rsidRDefault="00F2462B" w:rsidP="006806AF">
      <w:pPr>
        <w:pStyle w:val="BodyText"/>
      </w:pPr>
      <w:r>
        <w:t xml:space="preserve">Via email: </w:t>
      </w:r>
      <w:r w:rsidR="00F10CF3" w:rsidRPr="00F10CF3">
        <w:t>water.reform.2024@pc.gov.au</w:t>
      </w:r>
      <w:r w:rsidR="006806AF">
        <w:br/>
      </w:r>
    </w:p>
    <w:p w14:paraId="0CD5815B" w14:textId="77777777" w:rsidR="00F2462B" w:rsidRDefault="00F2462B" w:rsidP="006806AF">
      <w:pPr>
        <w:pStyle w:val="BodyText"/>
      </w:pPr>
    </w:p>
    <w:p w14:paraId="5BDEBB0C" w14:textId="55B95D05" w:rsidR="006806AF" w:rsidRDefault="00F47425" w:rsidP="006806AF">
      <w:pPr>
        <w:pStyle w:val="BodyText"/>
      </w:pPr>
      <w:r>
        <w:t>1 February</w:t>
      </w:r>
      <w:r w:rsidR="006806AF">
        <w:t xml:space="preserve"> 202</w:t>
      </w:r>
      <w:r w:rsidR="00540002">
        <w:t>4</w:t>
      </w:r>
    </w:p>
    <w:p w14:paraId="2CDD3DB4" w14:textId="77777777" w:rsidR="006806AF" w:rsidRDefault="006806AF" w:rsidP="006806AF">
      <w:pPr>
        <w:pStyle w:val="BodyText"/>
      </w:pPr>
    </w:p>
    <w:p w14:paraId="51F0C270" w14:textId="77777777" w:rsidR="00F2462B" w:rsidRDefault="00F2462B" w:rsidP="006806AF">
      <w:pPr>
        <w:pStyle w:val="BodyText"/>
      </w:pPr>
    </w:p>
    <w:p w14:paraId="345F072A" w14:textId="682C1321" w:rsidR="006806AF" w:rsidRDefault="006806AF" w:rsidP="006806AF">
      <w:pPr>
        <w:pStyle w:val="BodyText"/>
      </w:pPr>
      <w:r>
        <w:t>Productivity Commission,</w:t>
      </w:r>
    </w:p>
    <w:p w14:paraId="3CA2A35C" w14:textId="77777777" w:rsidR="006806AF" w:rsidRDefault="006806AF" w:rsidP="006806AF">
      <w:pPr>
        <w:pStyle w:val="BodyText"/>
      </w:pPr>
    </w:p>
    <w:p w14:paraId="4661D6BD" w14:textId="439207C9" w:rsidR="006806AF" w:rsidRDefault="00300C57" w:rsidP="006806AF">
      <w:pPr>
        <w:pStyle w:val="BodyText"/>
        <w:rPr>
          <w:b/>
          <w:bCs/>
        </w:rPr>
      </w:pPr>
      <w:r>
        <w:rPr>
          <w:b/>
          <w:bCs/>
        </w:rPr>
        <w:t xml:space="preserve">Re: </w:t>
      </w:r>
      <w:r w:rsidR="006806AF" w:rsidRPr="008C149F">
        <w:rPr>
          <w:b/>
          <w:bCs/>
        </w:rPr>
        <w:t xml:space="preserve">Submission to the Productivity Commission </w:t>
      </w:r>
      <w:r w:rsidR="00F47425">
        <w:rPr>
          <w:b/>
          <w:bCs/>
        </w:rPr>
        <w:t>–</w:t>
      </w:r>
      <w:r w:rsidR="006806AF" w:rsidRPr="008C149F">
        <w:rPr>
          <w:b/>
          <w:bCs/>
        </w:rPr>
        <w:t xml:space="preserve"> </w:t>
      </w:r>
      <w:r w:rsidR="00F47425">
        <w:rPr>
          <w:b/>
          <w:bCs/>
        </w:rPr>
        <w:t>National Water Reform 2024</w:t>
      </w:r>
    </w:p>
    <w:p w14:paraId="46996A92" w14:textId="77777777" w:rsidR="00300C57" w:rsidRPr="008C149F" w:rsidRDefault="00300C57" w:rsidP="006806AF">
      <w:pPr>
        <w:pStyle w:val="BodyText"/>
        <w:rPr>
          <w:b/>
          <w:bCs/>
        </w:rPr>
      </w:pPr>
    </w:p>
    <w:p w14:paraId="43570561" w14:textId="7FFA81EE" w:rsidR="00931A36" w:rsidRDefault="00D616CC" w:rsidP="00931A36">
      <w:pPr>
        <w:pStyle w:val="BodyText"/>
      </w:pPr>
      <w:r>
        <w:t xml:space="preserve">Water in the </w:t>
      </w:r>
      <w:r w:rsidR="00AA22E0">
        <w:t>Murray</w:t>
      </w:r>
      <w:r w:rsidR="001915E7">
        <w:t>-</w:t>
      </w:r>
      <w:r w:rsidR="00AA22E0">
        <w:t>Darling Basin (</w:t>
      </w:r>
      <w:r>
        <w:t>MDB</w:t>
      </w:r>
      <w:r w:rsidR="00AA22E0">
        <w:t>)</w:t>
      </w:r>
      <w:r>
        <w:t xml:space="preserve"> is</w:t>
      </w:r>
      <w:r w:rsidR="00AD43C1">
        <w:t xml:space="preserve"> being </w:t>
      </w:r>
      <w:r w:rsidR="0045497B">
        <w:t xml:space="preserve">controlled and managed by </w:t>
      </w:r>
      <w:r w:rsidR="00DB2FA8">
        <w:t xml:space="preserve">competing </w:t>
      </w:r>
      <w:r w:rsidR="000B0C15">
        <w:t>self</w:t>
      </w:r>
      <w:r w:rsidR="00093C6B">
        <w:t xml:space="preserve"> interest groups </w:t>
      </w:r>
      <w:r w:rsidR="000B0C15">
        <w:t xml:space="preserve">with seemingly little regard </w:t>
      </w:r>
      <w:r w:rsidR="005B6B5F">
        <w:t xml:space="preserve">or </w:t>
      </w:r>
      <w:r w:rsidR="00DB4A4F">
        <w:t>dialogue</w:t>
      </w:r>
      <w:r w:rsidR="005B6B5F">
        <w:t xml:space="preserve"> </w:t>
      </w:r>
      <w:r w:rsidR="000B0C15">
        <w:t>to</w:t>
      </w:r>
      <w:r w:rsidR="00FF1024">
        <w:t xml:space="preserve"> </w:t>
      </w:r>
      <w:r w:rsidR="00DB4A4F">
        <w:t xml:space="preserve">ensure </w:t>
      </w:r>
      <w:r w:rsidR="00151496">
        <w:t xml:space="preserve">water management </w:t>
      </w:r>
      <w:r w:rsidR="00FF1024">
        <w:t>decisions</w:t>
      </w:r>
      <w:r w:rsidR="00DB4A4F">
        <w:t xml:space="preserve"> are</w:t>
      </w:r>
      <w:r w:rsidR="00151496">
        <w:t xml:space="preserve"> continually</w:t>
      </w:r>
      <w:r w:rsidR="00DB4A4F">
        <w:t xml:space="preserve"> made</w:t>
      </w:r>
      <w:r w:rsidR="00893D67">
        <w:t xml:space="preserve"> </w:t>
      </w:r>
      <w:r w:rsidR="00554C54">
        <w:t>(</w:t>
      </w:r>
      <w:r w:rsidR="00893D67">
        <w:t>with the latest information</w:t>
      </w:r>
      <w:r w:rsidR="00766592">
        <w:t>)</w:t>
      </w:r>
      <w:r w:rsidR="000B0C15">
        <w:t xml:space="preserve"> </w:t>
      </w:r>
      <w:r>
        <w:t xml:space="preserve">in </w:t>
      </w:r>
      <w:r w:rsidR="00717035">
        <w:t xml:space="preserve">the </w:t>
      </w:r>
      <w:r w:rsidR="00766592">
        <w:t xml:space="preserve">best </w:t>
      </w:r>
      <w:r w:rsidR="009057F0">
        <w:t>long-term</w:t>
      </w:r>
      <w:r>
        <w:t xml:space="preserve"> </w:t>
      </w:r>
      <w:r w:rsidR="00717035">
        <w:t>National interest</w:t>
      </w:r>
      <w:r w:rsidR="009057F0">
        <w:t>.</w:t>
      </w:r>
      <w:r w:rsidR="00893D67">
        <w:t xml:space="preserve"> </w:t>
      </w:r>
      <w:r w:rsidR="00BE64BE">
        <w:t xml:space="preserve"> The key use</w:t>
      </w:r>
      <w:r w:rsidR="008D48C4">
        <w:t>r groups</w:t>
      </w:r>
      <w:r w:rsidR="00BE64BE">
        <w:t xml:space="preserve"> o</w:t>
      </w:r>
      <w:r w:rsidR="000653E8">
        <w:t>f</w:t>
      </w:r>
      <w:r w:rsidR="00BE64BE">
        <w:t xml:space="preserve"> water (</w:t>
      </w:r>
      <w:r w:rsidR="005B544D">
        <w:t>environment</w:t>
      </w:r>
      <w:r w:rsidR="00645BF9">
        <w:t>al requirements</w:t>
      </w:r>
      <w:r w:rsidR="00D24AD7">
        <w:t>,</w:t>
      </w:r>
      <w:r w:rsidR="00BE64BE">
        <w:t xml:space="preserve"> </w:t>
      </w:r>
      <w:r w:rsidR="00766592">
        <w:t>c</w:t>
      </w:r>
      <w:r w:rsidR="00BE64BE">
        <w:t>onsumptive users</w:t>
      </w:r>
      <w:r w:rsidR="004731B4">
        <w:t>,</w:t>
      </w:r>
      <w:r w:rsidR="00D24AD7">
        <w:t xml:space="preserve"> and water traders</w:t>
      </w:r>
      <w:r w:rsidR="000653E8">
        <w:t xml:space="preserve">) </w:t>
      </w:r>
      <w:r w:rsidR="00075EFE">
        <w:t xml:space="preserve">are not working together collaboratively </w:t>
      </w:r>
      <w:r w:rsidR="00F930E4">
        <w:t xml:space="preserve">to </w:t>
      </w:r>
      <w:r w:rsidR="000D630A">
        <w:t>enhance the</w:t>
      </w:r>
      <w:r w:rsidR="00F930E4">
        <w:t xml:space="preserve"> </w:t>
      </w:r>
      <w:r w:rsidR="000D630A">
        <w:t>National triple bottom line</w:t>
      </w:r>
      <w:r w:rsidR="005329D7">
        <w:t xml:space="preserve"> </w:t>
      </w:r>
      <w:r w:rsidR="00E476D4">
        <w:t>environmental</w:t>
      </w:r>
      <w:r w:rsidR="0045383B">
        <w:t xml:space="preserve">, </w:t>
      </w:r>
      <w:r w:rsidR="00E476D4">
        <w:t xml:space="preserve">social </w:t>
      </w:r>
      <w:r w:rsidR="00CF1305">
        <w:t>and economic</w:t>
      </w:r>
      <w:r w:rsidR="008D48C4">
        <w:t xml:space="preserve"> outcomes.</w:t>
      </w:r>
      <w:r w:rsidR="005F7F07">
        <w:t xml:space="preserve">  Th</w:t>
      </w:r>
      <w:r w:rsidR="00F72491">
        <w:t xml:space="preserve">e current </w:t>
      </w:r>
      <w:r w:rsidR="0047286C">
        <w:t>“</w:t>
      </w:r>
      <w:r w:rsidR="00CA7090">
        <w:t>u</w:t>
      </w:r>
      <w:r w:rsidR="005F7F07">
        <w:t>s</w:t>
      </w:r>
      <w:r w:rsidR="0047286C">
        <w:t>”</w:t>
      </w:r>
      <w:r w:rsidR="005F7F07">
        <w:t xml:space="preserve"> and </w:t>
      </w:r>
      <w:r w:rsidR="0047286C">
        <w:t>“</w:t>
      </w:r>
      <w:r w:rsidR="00CA7090">
        <w:t>t</w:t>
      </w:r>
      <w:r w:rsidR="005F7F07">
        <w:t>hem</w:t>
      </w:r>
      <w:r w:rsidR="0047286C">
        <w:t>”</w:t>
      </w:r>
      <w:r w:rsidR="005F7F07">
        <w:t xml:space="preserve"> mentality </w:t>
      </w:r>
      <w:r w:rsidR="00A972D4">
        <w:t xml:space="preserve">is </w:t>
      </w:r>
      <w:r w:rsidR="001F7F2A">
        <w:t xml:space="preserve">likely </w:t>
      </w:r>
      <w:r w:rsidR="00A972D4">
        <w:t>working against the National interest</w:t>
      </w:r>
      <w:r w:rsidR="001F7F2A">
        <w:t xml:space="preserve"> </w:t>
      </w:r>
      <w:r w:rsidR="0045383B">
        <w:t>and negatively impacting th</w:t>
      </w:r>
      <w:r w:rsidR="0000448E">
        <w:t>ose</w:t>
      </w:r>
      <w:r w:rsidR="0045383B">
        <w:t xml:space="preserve"> </w:t>
      </w:r>
      <w:r w:rsidR="0000448E">
        <w:t>environmental</w:t>
      </w:r>
      <w:r w:rsidR="0045383B">
        <w:t>,</w:t>
      </w:r>
      <w:r w:rsidR="00BC298C">
        <w:t xml:space="preserve"> </w:t>
      </w:r>
      <w:r w:rsidR="00F2462B">
        <w:t>social,</w:t>
      </w:r>
      <w:r w:rsidR="0000448E">
        <w:t xml:space="preserve"> </w:t>
      </w:r>
      <w:r w:rsidR="00BC298C">
        <w:t xml:space="preserve">and </w:t>
      </w:r>
      <w:r w:rsidR="0000448E">
        <w:t xml:space="preserve">economic </w:t>
      </w:r>
      <w:r w:rsidR="00BC298C">
        <w:t xml:space="preserve">outcomes. </w:t>
      </w:r>
      <w:r w:rsidR="0045383B">
        <w:t xml:space="preserve"> </w:t>
      </w:r>
      <w:r w:rsidR="008D48C4">
        <w:t xml:space="preserve"> </w:t>
      </w:r>
    </w:p>
    <w:p w14:paraId="71F2898C" w14:textId="7C762FBA" w:rsidR="00AD43C1" w:rsidRDefault="00AD43C1" w:rsidP="006806AF">
      <w:pPr>
        <w:pStyle w:val="BodyText"/>
      </w:pPr>
    </w:p>
    <w:p w14:paraId="3277F417" w14:textId="24884E13" w:rsidR="006806AF" w:rsidRDefault="00AD43C1" w:rsidP="006806AF">
      <w:pPr>
        <w:pStyle w:val="BodyText"/>
      </w:pPr>
      <w:r>
        <w:t xml:space="preserve">The Productivity Commission are perfectly placed to </w:t>
      </w:r>
      <w:r w:rsidR="005D3B4B">
        <w:t xml:space="preserve">identify the </w:t>
      </w:r>
      <w:r w:rsidR="00F03CCC">
        <w:t xml:space="preserve">issues and </w:t>
      </w:r>
      <w:r>
        <w:t>take a leadership role</w:t>
      </w:r>
      <w:r w:rsidR="001063E9">
        <w:t xml:space="preserve"> in developing frameworks to ensure </w:t>
      </w:r>
      <w:r w:rsidR="001457F4">
        <w:t>decisions are made</w:t>
      </w:r>
      <w:r w:rsidR="00CA5CAE">
        <w:t xml:space="preserve"> with appropriate dialog, justification and </w:t>
      </w:r>
      <w:r w:rsidR="00EE3213">
        <w:t>v</w:t>
      </w:r>
      <w:r w:rsidR="00013823">
        <w:t>igo</w:t>
      </w:r>
      <w:r w:rsidR="00EE3213">
        <w:t>u</w:t>
      </w:r>
      <w:r w:rsidR="00013823">
        <w:t>r</w:t>
      </w:r>
      <w:r w:rsidR="001457F4">
        <w:t xml:space="preserve"> considering the triple bottom line. </w:t>
      </w:r>
      <w:r w:rsidR="001063E9">
        <w:t xml:space="preserve"> </w:t>
      </w:r>
      <w:r w:rsidR="00EE3213">
        <w:t xml:space="preserve"> This is </w:t>
      </w:r>
      <w:r w:rsidR="004731B4">
        <w:t xml:space="preserve">particularly </w:t>
      </w:r>
      <w:r w:rsidR="00990D78">
        <w:t>vital</w:t>
      </w:r>
      <w:r w:rsidR="00EE3213">
        <w:t xml:space="preserve"> during drought periods when </w:t>
      </w:r>
      <w:r w:rsidR="0000482B">
        <w:t>water</w:t>
      </w:r>
      <w:r w:rsidR="00925696">
        <w:t xml:space="preserve"> </w:t>
      </w:r>
      <w:r w:rsidR="00C64786">
        <w:t xml:space="preserve">use </w:t>
      </w:r>
      <w:r w:rsidR="000277C2">
        <w:t>decisions are critical</w:t>
      </w:r>
      <w:r w:rsidR="00C64786">
        <w:t xml:space="preserve">. </w:t>
      </w:r>
    </w:p>
    <w:p w14:paraId="256EE77E" w14:textId="77777777" w:rsidR="00B00C2C" w:rsidRDefault="00B00C2C" w:rsidP="00321103">
      <w:pPr>
        <w:pStyle w:val="BodyText"/>
      </w:pPr>
    </w:p>
    <w:p w14:paraId="0AED3F67" w14:textId="6FAC3E4D" w:rsidR="00321103" w:rsidRDefault="00DF681C" w:rsidP="00321103">
      <w:pPr>
        <w:pStyle w:val="BodyText"/>
      </w:pPr>
      <w:r>
        <w:t xml:space="preserve">Consistent </w:t>
      </w:r>
      <w:r w:rsidR="000B3249">
        <w:t>with the above</w:t>
      </w:r>
      <w:r w:rsidR="001E003E">
        <w:t xml:space="preserve"> preamble</w:t>
      </w:r>
      <w:r w:rsidR="000B3249">
        <w:t xml:space="preserve">, this submission </w:t>
      </w:r>
      <w:r w:rsidR="001E003E">
        <w:t>outlines</w:t>
      </w:r>
      <w:r w:rsidR="00CE5AF1">
        <w:t xml:space="preserve"> two </w:t>
      </w:r>
      <w:r w:rsidR="009A3562">
        <w:t>profoundly important</w:t>
      </w:r>
      <w:r w:rsidR="006806AF">
        <w:t xml:space="preserve"> </w:t>
      </w:r>
      <w:r w:rsidR="00F44072">
        <w:t xml:space="preserve">concerns for the </w:t>
      </w:r>
      <w:r w:rsidR="005C3018">
        <w:t>Productivity</w:t>
      </w:r>
      <w:r w:rsidR="00F44072">
        <w:t xml:space="preserve"> commission </w:t>
      </w:r>
      <w:r w:rsidR="005C3018">
        <w:t xml:space="preserve">to consider/investigate. </w:t>
      </w:r>
      <w:r w:rsidR="00F44072">
        <w:t xml:space="preserve"> </w:t>
      </w:r>
      <w:r w:rsidR="0093292B">
        <w:t>If not addressed, b</w:t>
      </w:r>
      <w:r w:rsidR="00010963">
        <w:t>oth</w:t>
      </w:r>
      <w:r w:rsidR="00273279">
        <w:t xml:space="preserve"> </w:t>
      </w:r>
      <w:r w:rsidR="00937A34">
        <w:t xml:space="preserve">have </w:t>
      </w:r>
      <w:r w:rsidR="005C3018">
        <w:t xml:space="preserve">potential </w:t>
      </w:r>
      <w:r w:rsidR="00937A34">
        <w:t>to have</w:t>
      </w:r>
      <w:r w:rsidR="00EA1F6A">
        <w:t xml:space="preserve"> </w:t>
      </w:r>
      <w:r w:rsidR="00990D78">
        <w:t xml:space="preserve">dire </w:t>
      </w:r>
      <w:r w:rsidR="00EA1F6A">
        <w:t>impacts on</w:t>
      </w:r>
      <w:r w:rsidR="009F044D">
        <w:t xml:space="preserve"> future</w:t>
      </w:r>
      <w:r w:rsidR="003317A0">
        <w:t xml:space="preserve"> productivity</w:t>
      </w:r>
      <w:r w:rsidR="00937A34">
        <w:t xml:space="preserve"> and </w:t>
      </w:r>
      <w:r w:rsidR="0093292B">
        <w:t xml:space="preserve">the </w:t>
      </w:r>
      <w:r w:rsidR="00937A34">
        <w:t xml:space="preserve">triple bottom line </w:t>
      </w:r>
      <w:r w:rsidR="0093292B">
        <w:t>in</w:t>
      </w:r>
      <w:r w:rsidR="005F34C0">
        <w:t xml:space="preserve"> the </w:t>
      </w:r>
      <w:r w:rsidR="001915E7">
        <w:t>MDB</w:t>
      </w:r>
      <w:r w:rsidR="005F34C0">
        <w:t xml:space="preserve"> and </w:t>
      </w:r>
      <w:r w:rsidR="001574C1">
        <w:t xml:space="preserve">therefore </w:t>
      </w:r>
      <w:r w:rsidR="005F34C0">
        <w:t xml:space="preserve">Australia’s </w:t>
      </w:r>
      <w:r w:rsidR="007428B5">
        <w:t xml:space="preserve">food security and </w:t>
      </w:r>
      <w:r w:rsidR="005F34C0">
        <w:t>productivity</w:t>
      </w:r>
      <w:r w:rsidR="000B6A25">
        <w:t xml:space="preserve"> in general</w:t>
      </w:r>
      <w:r w:rsidR="0093292B">
        <w:t xml:space="preserve">.  </w:t>
      </w:r>
      <w:r w:rsidR="00BC2561">
        <w:t>The specific concerns/questions are</w:t>
      </w:r>
      <w:r w:rsidR="001915E7">
        <w:t>:</w:t>
      </w:r>
    </w:p>
    <w:p w14:paraId="66F3E276" w14:textId="573D270E" w:rsidR="006806AF" w:rsidRDefault="00C426FB" w:rsidP="009E3A16">
      <w:pPr>
        <w:pStyle w:val="BodyText"/>
        <w:numPr>
          <w:ilvl w:val="0"/>
          <w:numId w:val="5"/>
        </w:numPr>
      </w:pPr>
      <w:r w:rsidRPr="008255C5">
        <w:rPr>
          <w:b/>
          <w:bCs/>
        </w:rPr>
        <w:t xml:space="preserve">Concerns </w:t>
      </w:r>
      <w:r w:rsidR="006806AF" w:rsidRPr="008255C5">
        <w:rPr>
          <w:b/>
          <w:bCs/>
        </w:rPr>
        <w:t xml:space="preserve">with water trading in the </w:t>
      </w:r>
      <w:r w:rsidR="006806AF" w:rsidRPr="00F2462B">
        <w:rPr>
          <w:b/>
          <w:bCs/>
        </w:rPr>
        <w:t>MDB</w:t>
      </w:r>
      <w:r w:rsidR="00643AF3">
        <w:t>.</w:t>
      </w:r>
      <w:r w:rsidR="00BD0B5B">
        <w:t xml:space="preserve"> </w:t>
      </w:r>
      <w:r w:rsidR="00643AF3">
        <w:t>T</w:t>
      </w:r>
      <w:r w:rsidR="00084AB1">
        <w:t>he growing size and impact of non-</w:t>
      </w:r>
      <w:r w:rsidR="000F53A4">
        <w:t>consumptive</w:t>
      </w:r>
      <w:r w:rsidR="00084AB1">
        <w:t xml:space="preserve"> water</w:t>
      </w:r>
      <w:r w:rsidR="000F53A4">
        <w:t xml:space="preserve"> investors</w:t>
      </w:r>
      <w:r w:rsidR="009E3A16">
        <w:t xml:space="preserve"> </w:t>
      </w:r>
      <w:bookmarkStart w:id="0" w:name="_Hlk157678167"/>
      <w:r w:rsidR="005A3AF8">
        <w:t xml:space="preserve">will have </w:t>
      </w:r>
      <w:r w:rsidR="009E3A16">
        <w:t>a devastating impact on farmers and farm communities during drought periods</w:t>
      </w:r>
      <w:bookmarkEnd w:id="0"/>
      <w:r w:rsidR="000F53A4">
        <w:t xml:space="preserve">. </w:t>
      </w:r>
      <w:r w:rsidR="00084AB1">
        <w:t xml:space="preserve"> </w:t>
      </w:r>
      <w:r w:rsidR="006806AF">
        <w:t xml:space="preserve"> T</w:t>
      </w:r>
      <w:r w:rsidR="003809DD">
        <w:t>he attached report</w:t>
      </w:r>
      <w:r w:rsidR="00175B2B">
        <w:t xml:space="preserve"> </w:t>
      </w:r>
      <w:r w:rsidR="006806AF">
        <w:t xml:space="preserve">highlights potential distortions in the Southern Murray Darling Basin (SMDB) and water market. The </w:t>
      </w:r>
      <w:r w:rsidR="00175B2B">
        <w:t xml:space="preserve">attached report </w:t>
      </w:r>
      <w:r w:rsidR="006806AF">
        <w:t xml:space="preserve">is set out in two parts: </w:t>
      </w:r>
    </w:p>
    <w:p w14:paraId="3543A9D3" w14:textId="47722B4C" w:rsidR="006806AF" w:rsidRDefault="006806AF" w:rsidP="00BE2451">
      <w:pPr>
        <w:pStyle w:val="BodyText"/>
        <w:numPr>
          <w:ilvl w:val="0"/>
          <w:numId w:val="1"/>
        </w:numPr>
        <w:ind w:left="1511"/>
      </w:pPr>
      <w:r>
        <w:t xml:space="preserve">Current governance issues in the water trading market </w:t>
      </w:r>
    </w:p>
    <w:p w14:paraId="7FD6DF23" w14:textId="6F7BCD48" w:rsidR="006806AF" w:rsidRDefault="006806AF" w:rsidP="00BE2451">
      <w:pPr>
        <w:pStyle w:val="BodyText"/>
        <w:numPr>
          <w:ilvl w:val="2"/>
          <w:numId w:val="3"/>
        </w:numPr>
        <w:tabs>
          <w:tab w:val="clear" w:pos="340"/>
          <w:tab w:val="num" w:pos="2149"/>
        </w:tabs>
        <w:ind w:left="1865" w:hanging="283"/>
      </w:pPr>
      <w:r>
        <w:t>Consistent with the findings of the ACCC, there are significant deficiencies in the governance arrangements for the water market that undermine its efficiency, create mistrust</w:t>
      </w:r>
      <w:r w:rsidR="00972DEF">
        <w:t>,</w:t>
      </w:r>
      <w:r>
        <w:t xml:space="preserve"> and allow potential for market manipulation. </w:t>
      </w:r>
    </w:p>
    <w:p w14:paraId="713B3999" w14:textId="77777777" w:rsidR="006806AF" w:rsidRDefault="006806AF" w:rsidP="00BE2451">
      <w:pPr>
        <w:pStyle w:val="BodyText"/>
        <w:numPr>
          <w:ilvl w:val="2"/>
          <w:numId w:val="3"/>
        </w:numPr>
        <w:tabs>
          <w:tab w:val="clear" w:pos="340"/>
          <w:tab w:val="num" w:pos="2149"/>
        </w:tabs>
        <w:ind w:left="1865" w:hanging="283"/>
      </w:pPr>
      <w:r>
        <w:lastRenderedPageBreak/>
        <w:t>Despite governments’ endorsement of the recommendations to address these deficiencies, no changes have yet been implemented to address them.</w:t>
      </w:r>
    </w:p>
    <w:p w14:paraId="081D9467" w14:textId="7FDA5FFD" w:rsidR="006806AF" w:rsidRDefault="006806AF" w:rsidP="00BE2451">
      <w:pPr>
        <w:pStyle w:val="BodyText"/>
        <w:numPr>
          <w:ilvl w:val="0"/>
          <w:numId w:val="3"/>
        </w:numPr>
        <w:ind w:left="1511"/>
      </w:pPr>
      <w:r>
        <w:t>The growing size and impact of non-consumptive water investors in the SMD</w:t>
      </w:r>
      <w:r w:rsidR="004E2538">
        <w:t>B</w:t>
      </w:r>
      <w:r>
        <w:t xml:space="preserve"> water is having a devastating impact on farmers and farm communities during drought periods. </w:t>
      </w:r>
    </w:p>
    <w:p w14:paraId="71D2E398" w14:textId="77777777" w:rsidR="006806AF" w:rsidRDefault="006806AF" w:rsidP="00BE2451">
      <w:pPr>
        <w:pStyle w:val="BodyText"/>
        <w:numPr>
          <w:ilvl w:val="2"/>
          <w:numId w:val="3"/>
        </w:numPr>
        <w:tabs>
          <w:tab w:val="clear" w:pos="340"/>
          <w:tab w:val="num" w:pos="2149"/>
        </w:tabs>
        <w:ind w:left="1865" w:hanging="283"/>
      </w:pPr>
      <w:r>
        <w:t>The frequency and severity of droughts is likely to increase making it more important now than in the past for the government to reassess the role of investors in the market during drought periods.</w:t>
      </w:r>
    </w:p>
    <w:p w14:paraId="509971F6" w14:textId="60102A23" w:rsidR="00967E24" w:rsidRDefault="006806AF" w:rsidP="00CF46A8">
      <w:pPr>
        <w:pStyle w:val="BodyText"/>
        <w:numPr>
          <w:ilvl w:val="2"/>
          <w:numId w:val="3"/>
        </w:numPr>
        <w:tabs>
          <w:tab w:val="clear" w:pos="340"/>
          <w:tab w:val="num" w:pos="2149"/>
        </w:tabs>
        <w:ind w:left="1865" w:hanging="283"/>
      </w:pPr>
      <w:r>
        <w:t xml:space="preserve">During drought conditions the SMDB water market does not work like a textbook market. Misuse of market power or over-pricing caused by low-risk, high-return speculative activity by investors have the potential to distort the market and threaten the very viability of farm businesses and permanently damaging local economies dependent on the farm sector.  </w:t>
      </w:r>
    </w:p>
    <w:p w14:paraId="72EB0D46" w14:textId="3DDA2639" w:rsidR="00682CA1" w:rsidRDefault="00BC3E23" w:rsidP="00682CA1">
      <w:pPr>
        <w:pStyle w:val="BodyText"/>
      </w:pPr>
      <w:r>
        <w:t>(SEE ATTACHED REPORT</w:t>
      </w:r>
      <w:r w:rsidR="00F92C85">
        <w:t xml:space="preserve"> </w:t>
      </w:r>
      <w:r>
        <w:t>“</w:t>
      </w:r>
      <w:r w:rsidR="00810C0D">
        <w:t>ANALYSIS OF INVESTOR INVOL</w:t>
      </w:r>
      <w:r>
        <w:t>VEMENT IN THE SOUTHERN MURRAY DARLING BASIN”}</w:t>
      </w:r>
    </w:p>
    <w:p w14:paraId="03EADD00" w14:textId="77777777" w:rsidR="00BC3E23" w:rsidRDefault="00BC3E23" w:rsidP="00682CA1">
      <w:pPr>
        <w:pStyle w:val="BodyText"/>
      </w:pPr>
    </w:p>
    <w:p w14:paraId="7982E29B" w14:textId="1A51CC04" w:rsidR="001937AE" w:rsidRDefault="00F83E99" w:rsidP="00474920">
      <w:pPr>
        <w:pStyle w:val="BodyText"/>
        <w:numPr>
          <w:ilvl w:val="0"/>
          <w:numId w:val="5"/>
        </w:numPr>
      </w:pPr>
      <w:r w:rsidRPr="008255C5">
        <w:rPr>
          <w:b/>
          <w:bCs/>
        </w:rPr>
        <w:t xml:space="preserve">Concerns </w:t>
      </w:r>
      <w:r w:rsidR="00BD7788" w:rsidRPr="008255C5">
        <w:rPr>
          <w:b/>
          <w:bCs/>
        </w:rPr>
        <w:t xml:space="preserve">with </w:t>
      </w:r>
      <w:r w:rsidR="00545C39" w:rsidRPr="008255C5">
        <w:rPr>
          <w:b/>
          <w:bCs/>
        </w:rPr>
        <w:t>the</w:t>
      </w:r>
      <w:r w:rsidR="00B750C5" w:rsidRPr="008255C5">
        <w:rPr>
          <w:b/>
          <w:bCs/>
        </w:rPr>
        <w:t xml:space="preserve"> sheer</w:t>
      </w:r>
      <w:r w:rsidR="00545C39" w:rsidRPr="008255C5">
        <w:rPr>
          <w:b/>
          <w:bCs/>
        </w:rPr>
        <w:t xml:space="preserve"> </w:t>
      </w:r>
      <w:r w:rsidRPr="008255C5">
        <w:rPr>
          <w:b/>
          <w:bCs/>
        </w:rPr>
        <w:t>volume of water entitlements</w:t>
      </w:r>
      <w:r w:rsidR="00A5202E">
        <w:rPr>
          <w:rStyle w:val="FootnoteReference"/>
          <w:b/>
          <w:bCs/>
        </w:rPr>
        <w:footnoteReference w:id="2"/>
      </w:r>
      <w:r w:rsidR="00D615A0" w:rsidRPr="008255C5">
        <w:rPr>
          <w:b/>
          <w:bCs/>
        </w:rPr>
        <w:t xml:space="preserve"> (circa 30%</w:t>
      </w:r>
      <w:r w:rsidR="00F15AA6" w:rsidRPr="008255C5">
        <w:rPr>
          <w:b/>
          <w:bCs/>
        </w:rPr>
        <w:t xml:space="preserve"> of all </w:t>
      </w:r>
      <w:r w:rsidR="00C419F7">
        <w:rPr>
          <w:b/>
          <w:bCs/>
        </w:rPr>
        <w:t>e</w:t>
      </w:r>
      <w:r w:rsidR="00B83C80" w:rsidRPr="008255C5">
        <w:rPr>
          <w:b/>
          <w:bCs/>
        </w:rPr>
        <w:t>ntitlements</w:t>
      </w:r>
      <w:r w:rsidR="00C419F7">
        <w:rPr>
          <w:b/>
          <w:bCs/>
        </w:rPr>
        <w:t xml:space="preserve"> on issue</w:t>
      </w:r>
      <w:r w:rsidR="00D615A0" w:rsidRPr="008255C5">
        <w:rPr>
          <w:b/>
          <w:bCs/>
        </w:rPr>
        <w:t>)</w:t>
      </w:r>
      <w:r w:rsidRPr="008255C5">
        <w:rPr>
          <w:b/>
          <w:bCs/>
        </w:rPr>
        <w:t xml:space="preserve"> </w:t>
      </w:r>
      <w:r w:rsidR="00C419F7">
        <w:rPr>
          <w:b/>
          <w:bCs/>
        </w:rPr>
        <w:t>purchased in recent years</w:t>
      </w:r>
      <w:r w:rsidR="00545C39" w:rsidRPr="008255C5">
        <w:rPr>
          <w:b/>
          <w:bCs/>
        </w:rPr>
        <w:t xml:space="preserve"> by the</w:t>
      </w:r>
      <w:r w:rsidR="00C419F7">
        <w:rPr>
          <w:b/>
          <w:bCs/>
        </w:rPr>
        <w:t xml:space="preserve"> Commonwealth</w:t>
      </w:r>
      <w:r w:rsidR="00545C39" w:rsidRPr="008255C5">
        <w:rPr>
          <w:b/>
          <w:bCs/>
        </w:rPr>
        <w:t xml:space="preserve"> </w:t>
      </w:r>
      <w:r w:rsidR="00BD7788" w:rsidRPr="008255C5">
        <w:rPr>
          <w:b/>
          <w:bCs/>
        </w:rPr>
        <w:t xml:space="preserve">Environmental </w:t>
      </w:r>
      <w:r w:rsidR="00C419F7">
        <w:rPr>
          <w:b/>
          <w:bCs/>
        </w:rPr>
        <w:t>W</w:t>
      </w:r>
      <w:r w:rsidR="00BD7788" w:rsidRPr="008255C5">
        <w:rPr>
          <w:b/>
          <w:bCs/>
        </w:rPr>
        <w:t xml:space="preserve">ater </w:t>
      </w:r>
      <w:r w:rsidR="00C419F7">
        <w:rPr>
          <w:b/>
          <w:bCs/>
        </w:rPr>
        <w:t>H</w:t>
      </w:r>
      <w:r w:rsidR="00BD7788" w:rsidRPr="008255C5">
        <w:rPr>
          <w:b/>
          <w:bCs/>
        </w:rPr>
        <w:t>older</w:t>
      </w:r>
      <w:r w:rsidR="00C419F7">
        <w:rPr>
          <w:b/>
          <w:bCs/>
        </w:rPr>
        <w:t xml:space="preserve"> (CEWH)</w:t>
      </w:r>
      <w:r w:rsidR="00513718" w:rsidRPr="008255C5">
        <w:rPr>
          <w:b/>
          <w:bCs/>
        </w:rPr>
        <w:t xml:space="preserve"> </w:t>
      </w:r>
      <w:r w:rsidR="00BD7788" w:rsidRPr="008255C5">
        <w:rPr>
          <w:b/>
          <w:bCs/>
        </w:rPr>
        <w:t>and the way it is managed</w:t>
      </w:r>
      <w:r w:rsidR="005A3AF8" w:rsidRPr="008255C5">
        <w:rPr>
          <w:b/>
          <w:bCs/>
        </w:rPr>
        <w:t xml:space="preserve"> </w:t>
      </w:r>
      <w:r w:rsidR="00126ED0" w:rsidRPr="008255C5">
        <w:rPr>
          <w:b/>
          <w:bCs/>
        </w:rPr>
        <w:t>especially in dry years.</w:t>
      </w:r>
      <w:r w:rsidR="001937AE" w:rsidRPr="001937AE">
        <w:t xml:space="preserve"> </w:t>
      </w:r>
      <w:r w:rsidR="001937AE">
        <w:t xml:space="preserve">It is important to note that CEWH entitlements were purchased from Irrigators and have NOT been rescinded </w:t>
      </w:r>
      <w:r w:rsidR="002478E7">
        <w:t xml:space="preserve">to benefit natural river flows </w:t>
      </w:r>
      <w:r w:rsidR="001937AE">
        <w:t>and therefore they now compete directly with</w:t>
      </w:r>
      <w:r w:rsidR="0096651D">
        <w:t xml:space="preserve"> consumptive users </w:t>
      </w:r>
      <w:r w:rsidR="001937AE">
        <w:t>for storage space in reservoirs and delivery capacity</w:t>
      </w:r>
      <w:r w:rsidR="00A5202E">
        <w:rPr>
          <w:rStyle w:val="FootnoteReference"/>
        </w:rPr>
        <w:footnoteReference w:id="3"/>
      </w:r>
      <w:r w:rsidR="001937AE">
        <w:t xml:space="preserve">. </w:t>
      </w:r>
      <w:r w:rsidR="007C7F1B">
        <w:t xml:space="preserve"> </w:t>
      </w:r>
      <w:r w:rsidR="00A64100">
        <w:t xml:space="preserve"> </w:t>
      </w:r>
      <w:r w:rsidR="0078028B">
        <w:t>Arguably, this</w:t>
      </w:r>
      <w:r w:rsidR="00A64100">
        <w:t xml:space="preserve"> has caused </w:t>
      </w:r>
      <w:r w:rsidR="008A2A8A">
        <w:t xml:space="preserve">the volume of water available </w:t>
      </w:r>
      <w:r w:rsidR="00FB5DEC">
        <w:t>(</w:t>
      </w:r>
      <w:r w:rsidR="008A2A8A">
        <w:t xml:space="preserve">for </w:t>
      </w:r>
      <w:r w:rsidR="003B6FE5">
        <w:t xml:space="preserve">agriculture, </w:t>
      </w:r>
      <w:r w:rsidR="002478E7">
        <w:t>industry,</w:t>
      </w:r>
      <w:r w:rsidR="003B6FE5">
        <w:t xml:space="preserve"> and town water</w:t>
      </w:r>
      <w:r w:rsidR="00FB5DEC">
        <w:t xml:space="preserve"> (consumptive users))</w:t>
      </w:r>
      <w:r w:rsidR="003B6FE5">
        <w:t xml:space="preserve"> </w:t>
      </w:r>
      <w:r w:rsidR="00004357">
        <w:t>to drop by approximately 30%</w:t>
      </w:r>
      <w:r w:rsidR="00474920">
        <w:t xml:space="preserve"> in the MDB</w:t>
      </w:r>
      <w:r w:rsidR="00004357">
        <w:t xml:space="preserve"> </w:t>
      </w:r>
      <w:r w:rsidR="00474920">
        <w:t xml:space="preserve">and </w:t>
      </w:r>
      <w:r w:rsidR="007C7F1B">
        <w:t xml:space="preserve">the security of </w:t>
      </w:r>
      <w:r w:rsidR="0029171A">
        <w:t xml:space="preserve">this </w:t>
      </w:r>
      <w:r w:rsidR="007C7F1B">
        <w:t xml:space="preserve">water </w:t>
      </w:r>
      <w:r w:rsidR="007C6412">
        <w:t>is</w:t>
      </w:r>
      <w:r w:rsidR="0029171A">
        <w:t xml:space="preserve"> lower</w:t>
      </w:r>
      <w:r w:rsidR="004D1F1B">
        <w:t xml:space="preserve"> as reservoirs</w:t>
      </w:r>
      <w:r w:rsidR="007C6412">
        <w:t xml:space="preserve"> now</w:t>
      </w:r>
      <w:r w:rsidR="0040795E">
        <w:t xml:space="preserve"> hold huge volumes of CEWH entitlements</w:t>
      </w:r>
      <w:r w:rsidR="00DA2D8D">
        <w:t>.</w:t>
      </w:r>
      <w:r w:rsidR="0040795E">
        <w:t xml:space="preserve"> </w:t>
      </w:r>
      <w:r w:rsidR="004D1F1B">
        <w:t xml:space="preserve"> </w:t>
      </w:r>
      <w:r w:rsidR="0040795E">
        <w:t xml:space="preserve">We believe the </w:t>
      </w:r>
      <w:r w:rsidR="001937AE">
        <w:t>following should be</w:t>
      </w:r>
      <w:r w:rsidR="002C115F">
        <w:t xml:space="preserve"> considered</w:t>
      </w:r>
      <w:r w:rsidR="00A5573F">
        <w:t>.</w:t>
      </w:r>
      <w:r w:rsidR="001937AE">
        <w:t xml:space="preserve"> </w:t>
      </w:r>
    </w:p>
    <w:p w14:paraId="5DADA05C" w14:textId="2D3C4095" w:rsidR="00BE2451" w:rsidRDefault="00BE2451" w:rsidP="001937AE">
      <w:pPr>
        <w:pStyle w:val="BodyText"/>
        <w:ind w:left="720"/>
      </w:pPr>
    </w:p>
    <w:p w14:paraId="20F82B6A" w14:textId="64D8AB59" w:rsidR="00B90633" w:rsidRDefault="00B90633" w:rsidP="00664892">
      <w:pPr>
        <w:pStyle w:val="BodyText"/>
        <w:numPr>
          <w:ilvl w:val="0"/>
          <w:numId w:val="6"/>
        </w:numPr>
      </w:pPr>
      <w:r>
        <w:t xml:space="preserve">Investigate </w:t>
      </w:r>
      <w:r w:rsidR="00867E4E">
        <w:t xml:space="preserve">triple bottom line </w:t>
      </w:r>
      <w:r w:rsidR="004A4C92">
        <w:t>productivity</w:t>
      </w:r>
      <w:r>
        <w:t xml:space="preserve"> gains and benefits that could be made by </w:t>
      </w:r>
      <w:r w:rsidR="00742D94">
        <w:t xml:space="preserve">sharing of the </w:t>
      </w:r>
      <w:r w:rsidR="00C412DE">
        <w:t xml:space="preserve">CEWH </w:t>
      </w:r>
      <w:r w:rsidR="00742D94">
        <w:t>resource</w:t>
      </w:r>
      <w:r w:rsidR="0080731F">
        <w:t xml:space="preserve"> in drought periods bet</w:t>
      </w:r>
      <w:r w:rsidR="009E679A">
        <w:t>ween</w:t>
      </w:r>
      <w:r w:rsidR="00F8329D">
        <w:t xml:space="preserve"> the environment and</w:t>
      </w:r>
      <w:r w:rsidR="003B6FE5">
        <w:t xml:space="preserve"> consumptive users</w:t>
      </w:r>
      <w:r w:rsidR="008067F6">
        <w:t xml:space="preserve"> </w:t>
      </w:r>
      <w:r w:rsidR="004C1684">
        <w:t>from</w:t>
      </w:r>
    </w:p>
    <w:p w14:paraId="5533CFD3" w14:textId="080761C3" w:rsidR="008067F6" w:rsidRDefault="00E433C9" w:rsidP="008067F6">
      <w:pPr>
        <w:pStyle w:val="BodyText"/>
        <w:numPr>
          <w:ilvl w:val="1"/>
          <w:numId w:val="6"/>
        </w:numPr>
      </w:pPr>
      <w:r>
        <w:t xml:space="preserve">leasing </w:t>
      </w:r>
      <w:r w:rsidR="00FD7FF1">
        <w:t>water to consumptive users</w:t>
      </w:r>
      <w:r w:rsidR="004C1684">
        <w:t xml:space="preserve"> </w:t>
      </w:r>
      <w:r w:rsidR="006F5895">
        <w:t xml:space="preserve">during drought </w:t>
      </w:r>
      <w:r w:rsidR="004C1684">
        <w:t xml:space="preserve">to generate </w:t>
      </w:r>
      <w:r w:rsidR="00D26B65">
        <w:t>enormous</w:t>
      </w:r>
      <w:r w:rsidR="004C1684">
        <w:t xml:space="preserve"> revenue </w:t>
      </w:r>
      <w:r w:rsidR="00747F17">
        <w:t xml:space="preserve">to fund </w:t>
      </w:r>
      <w:r w:rsidR="00B7607E">
        <w:t>future environmental</w:t>
      </w:r>
      <w:r w:rsidR="00747F17">
        <w:t xml:space="preserve"> </w:t>
      </w:r>
      <w:r w:rsidR="00B7607E">
        <w:t xml:space="preserve">initiatives. </w:t>
      </w:r>
    </w:p>
    <w:p w14:paraId="34A21786" w14:textId="52F3C8B7" w:rsidR="00FD7FF1" w:rsidRDefault="00E433C9" w:rsidP="008067F6">
      <w:pPr>
        <w:pStyle w:val="BodyText"/>
        <w:numPr>
          <w:ilvl w:val="1"/>
          <w:numId w:val="6"/>
        </w:numPr>
      </w:pPr>
      <w:r>
        <w:t xml:space="preserve">using </w:t>
      </w:r>
      <w:r w:rsidR="00FD7FF1">
        <w:t>water for def</w:t>
      </w:r>
      <w:r w:rsidR="005F79DF">
        <w:t>ined environmental purpose upstream and t</w:t>
      </w:r>
      <w:r w:rsidR="001A33E9">
        <w:t xml:space="preserve">hen leasing any </w:t>
      </w:r>
      <w:r w:rsidR="009277F2">
        <w:t>residual that flows back into the river to downstream users</w:t>
      </w:r>
      <w:r w:rsidR="00F00DF9">
        <w:t xml:space="preserve"> leading to the</w:t>
      </w:r>
      <w:r w:rsidR="00357644">
        <w:t xml:space="preserve"> </w:t>
      </w:r>
      <w:r>
        <w:t xml:space="preserve">use of </w:t>
      </w:r>
      <w:r w:rsidR="00357644">
        <w:t xml:space="preserve">water for two important purposes rather than just one. </w:t>
      </w:r>
    </w:p>
    <w:p w14:paraId="27136D9E" w14:textId="68FE3030" w:rsidR="00357644" w:rsidRDefault="006A2223" w:rsidP="00664892">
      <w:pPr>
        <w:pStyle w:val="BodyText"/>
        <w:numPr>
          <w:ilvl w:val="0"/>
          <w:numId w:val="6"/>
        </w:numPr>
      </w:pPr>
      <w:r>
        <w:t xml:space="preserve">Investigate </w:t>
      </w:r>
      <w:r w:rsidR="004F0664">
        <w:t xml:space="preserve">triple bottom line </w:t>
      </w:r>
      <w:r w:rsidR="00EE6049">
        <w:t xml:space="preserve">gains </w:t>
      </w:r>
      <w:r w:rsidR="00273279">
        <w:t xml:space="preserve">of rescinding part of the </w:t>
      </w:r>
      <w:r w:rsidR="009437A2">
        <w:t xml:space="preserve">CEWH </w:t>
      </w:r>
      <w:r w:rsidR="00273279">
        <w:t xml:space="preserve">water </w:t>
      </w:r>
      <w:r w:rsidR="00A33CC2">
        <w:t>holding</w:t>
      </w:r>
      <w:r w:rsidR="00E807B7">
        <w:t xml:space="preserve"> to </w:t>
      </w:r>
    </w:p>
    <w:p w14:paraId="60F2C902" w14:textId="640EC127" w:rsidR="003F6356" w:rsidRDefault="00E807B7" w:rsidP="00357644">
      <w:pPr>
        <w:pStyle w:val="BodyText"/>
        <w:numPr>
          <w:ilvl w:val="1"/>
          <w:numId w:val="6"/>
        </w:numPr>
      </w:pPr>
      <w:r>
        <w:t>increase natural</w:t>
      </w:r>
      <w:r w:rsidR="003F6356">
        <w:t xml:space="preserve"> river flows</w:t>
      </w:r>
      <w:r w:rsidR="00E433C9">
        <w:t>.</w:t>
      </w:r>
    </w:p>
    <w:p w14:paraId="04274781" w14:textId="6D6808C4" w:rsidR="00F36800" w:rsidRDefault="00E433C9" w:rsidP="00357644">
      <w:pPr>
        <w:pStyle w:val="BodyText"/>
        <w:numPr>
          <w:ilvl w:val="1"/>
          <w:numId w:val="6"/>
        </w:numPr>
      </w:pPr>
      <w:r>
        <w:t xml:space="preserve">increase </w:t>
      </w:r>
      <w:r w:rsidR="003F6356">
        <w:t>water security for consumptive users</w:t>
      </w:r>
      <w:r>
        <w:t>.</w:t>
      </w:r>
      <w:r w:rsidR="003F6356">
        <w:t xml:space="preserve"> </w:t>
      </w:r>
      <w:r w:rsidR="00B45279">
        <w:t xml:space="preserve"> </w:t>
      </w:r>
      <w:r w:rsidR="00E27F8A">
        <w:t xml:space="preserve"> </w:t>
      </w:r>
    </w:p>
    <w:p w14:paraId="0A968EB6" w14:textId="28368931" w:rsidR="00A5202E" w:rsidRDefault="00C93317" w:rsidP="00B27D84">
      <w:pPr>
        <w:pStyle w:val="BodyText"/>
        <w:numPr>
          <w:ilvl w:val="0"/>
          <w:numId w:val="6"/>
        </w:numPr>
      </w:pPr>
      <w:r>
        <w:lastRenderedPageBreak/>
        <w:t xml:space="preserve">Investigate </w:t>
      </w:r>
      <w:r w:rsidR="008067F6">
        <w:t xml:space="preserve">CEWH </w:t>
      </w:r>
      <w:r w:rsidR="00087FE1">
        <w:t xml:space="preserve">mandatorily selling </w:t>
      </w:r>
      <w:r w:rsidR="0086729E">
        <w:t>its “carry</w:t>
      </w:r>
      <w:r w:rsidR="00B10941">
        <w:t xml:space="preserve"> over</w:t>
      </w:r>
      <w:r w:rsidR="0086729E">
        <w:t>”</w:t>
      </w:r>
      <w:r w:rsidR="00B10941">
        <w:t xml:space="preserve"> rights </w:t>
      </w:r>
      <w:r w:rsidR="003F6356">
        <w:t xml:space="preserve">each year </w:t>
      </w:r>
      <w:r w:rsidR="00087FE1">
        <w:t>to consumptive users</w:t>
      </w:r>
      <w:r w:rsidR="009A6DCE">
        <w:t xml:space="preserve"> to</w:t>
      </w:r>
    </w:p>
    <w:p w14:paraId="4B9D65B0" w14:textId="4B2543CF" w:rsidR="001C4699" w:rsidRDefault="009A6DCE" w:rsidP="00A5202E">
      <w:pPr>
        <w:pStyle w:val="BodyText"/>
        <w:numPr>
          <w:ilvl w:val="1"/>
          <w:numId w:val="6"/>
        </w:numPr>
      </w:pPr>
      <w:r>
        <w:t xml:space="preserve">generate </w:t>
      </w:r>
      <w:r w:rsidR="00A5202E">
        <w:t>material revenue to fund important environmental initiatives.</w:t>
      </w:r>
    </w:p>
    <w:p w14:paraId="0A12218B" w14:textId="7D386AA5" w:rsidR="00A5202E" w:rsidRDefault="009A6DCE" w:rsidP="00A5202E">
      <w:pPr>
        <w:pStyle w:val="BodyText"/>
        <w:numPr>
          <w:ilvl w:val="1"/>
          <w:numId w:val="6"/>
        </w:numPr>
      </w:pPr>
      <w:r>
        <w:t xml:space="preserve">improve water </w:t>
      </w:r>
      <w:r w:rsidR="00A5202E">
        <w:t>security for consumptive users</w:t>
      </w:r>
      <w:r>
        <w:t>.</w:t>
      </w:r>
    </w:p>
    <w:p w14:paraId="2669EC4D" w14:textId="77777777" w:rsidR="00A422CF" w:rsidRDefault="00A422CF" w:rsidP="00A422CF">
      <w:pPr>
        <w:pStyle w:val="BodyText"/>
      </w:pPr>
    </w:p>
    <w:p w14:paraId="7E322D7F" w14:textId="77777777" w:rsidR="00A422CF" w:rsidRDefault="00A422CF" w:rsidP="00A422CF">
      <w:pPr>
        <w:pStyle w:val="BodyText"/>
      </w:pPr>
    </w:p>
    <w:p w14:paraId="7C96BCBB" w14:textId="4468BE81" w:rsidR="00BE5E26" w:rsidRDefault="00BE5E26" w:rsidP="006806AF">
      <w:pPr>
        <w:pStyle w:val="BodyText"/>
      </w:pPr>
      <w:r>
        <w:t xml:space="preserve">Thank you for considering this </w:t>
      </w:r>
      <w:r w:rsidR="000936FB">
        <w:t>submission.</w:t>
      </w:r>
    </w:p>
    <w:p w14:paraId="6C315AD8" w14:textId="77777777" w:rsidR="00BE5E26" w:rsidRDefault="00BE5E26" w:rsidP="006806AF">
      <w:pPr>
        <w:pStyle w:val="BodyText"/>
      </w:pPr>
    </w:p>
    <w:p w14:paraId="4D559CE4" w14:textId="3DD33F54" w:rsidR="006806AF" w:rsidRDefault="006806AF" w:rsidP="006806AF">
      <w:pPr>
        <w:pStyle w:val="BodyText"/>
      </w:pPr>
      <w:r>
        <w:t>Yours sincerely</w:t>
      </w:r>
    </w:p>
    <w:tbl>
      <w:tblPr>
        <w:tblW w:w="10204" w:type="dxa"/>
        <w:tblLook w:val="04A0" w:firstRow="1" w:lastRow="0" w:firstColumn="1" w:lastColumn="0" w:noHBand="0" w:noVBand="1"/>
      </w:tblPr>
      <w:tblGrid>
        <w:gridCol w:w="5102"/>
        <w:gridCol w:w="5102"/>
      </w:tblGrid>
      <w:tr w:rsidR="006806AF" w14:paraId="0F189664" w14:textId="77777777" w:rsidTr="00CC2A5B">
        <w:tc>
          <w:tcPr>
            <w:tcW w:w="5102" w:type="dxa"/>
          </w:tcPr>
          <w:p w14:paraId="48D70388" w14:textId="77777777" w:rsidR="006806AF" w:rsidRDefault="006806AF" w:rsidP="00CC2A5B">
            <w:pPr>
              <w:pStyle w:val="BodyText"/>
            </w:pPr>
          </w:p>
        </w:tc>
        <w:tc>
          <w:tcPr>
            <w:tcW w:w="5102" w:type="dxa"/>
          </w:tcPr>
          <w:p w14:paraId="7BAF4C8C" w14:textId="77777777" w:rsidR="006806AF" w:rsidRDefault="006806AF" w:rsidP="00CC2A5B">
            <w:pPr>
              <w:pStyle w:val="BodyText"/>
            </w:pPr>
          </w:p>
        </w:tc>
      </w:tr>
      <w:tr w:rsidR="006806AF" w14:paraId="58BAB0DE" w14:textId="77777777" w:rsidTr="00CC2A5B">
        <w:tc>
          <w:tcPr>
            <w:tcW w:w="5102" w:type="dxa"/>
          </w:tcPr>
          <w:p w14:paraId="3737284D" w14:textId="5070D552" w:rsidR="00F2462B" w:rsidRDefault="006806AF" w:rsidP="00CC2A5B">
            <w:pPr>
              <w:pStyle w:val="BodyText"/>
            </w:pPr>
            <w:r>
              <w:rPr>
                <w:b/>
                <w:bCs/>
              </w:rPr>
              <w:t>Rob McGavin</w:t>
            </w:r>
            <w:r w:rsidRPr="00F05902">
              <w:rPr>
                <w:b/>
                <w:bCs/>
              </w:rPr>
              <w:t xml:space="preserve"> </w:t>
            </w:r>
            <w:r>
              <w:br/>
            </w:r>
            <w:r w:rsidR="00F2462B">
              <w:t>Co-founder and Chair</w:t>
            </w:r>
          </w:p>
          <w:p w14:paraId="3D4E33CC" w14:textId="13B47A84" w:rsidR="006806AF" w:rsidRDefault="006806AF" w:rsidP="00CC2A5B">
            <w:pPr>
              <w:pStyle w:val="BodyText"/>
            </w:pPr>
          </w:p>
        </w:tc>
        <w:tc>
          <w:tcPr>
            <w:tcW w:w="5102" w:type="dxa"/>
          </w:tcPr>
          <w:p w14:paraId="7C25FF29" w14:textId="77777777" w:rsidR="006806AF" w:rsidRDefault="006806AF" w:rsidP="00CC2A5B">
            <w:pPr>
              <w:pStyle w:val="BodyText"/>
            </w:pPr>
          </w:p>
        </w:tc>
      </w:tr>
    </w:tbl>
    <w:p w14:paraId="6B3A8118" w14:textId="77777777" w:rsidR="00C7340D" w:rsidRDefault="00C7340D" w:rsidP="00281863">
      <w:pPr>
        <w:rPr>
          <w:rFonts w:asciiTheme="majorHAnsi" w:hAnsiTheme="majorHAnsi" w:cstheme="majorHAnsi"/>
          <w:color w:val="000000" w:themeColor="text1"/>
          <w:sz w:val="20"/>
          <w:szCs w:val="20"/>
        </w:rPr>
      </w:pPr>
    </w:p>
    <w:sectPr w:rsidR="00C7340D" w:rsidSect="008D0F36">
      <w:headerReference w:type="default" r:id="rId12"/>
      <w:footerReference w:type="default" r:id="rId13"/>
      <w:pgSz w:w="11906" w:h="16838"/>
      <w:pgMar w:top="1701" w:right="851" w:bottom="851" w:left="1134" w:header="2721"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7E7C" w14:textId="77777777" w:rsidR="008D0F36" w:rsidRDefault="008D0F36">
      <w:r>
        <w:separator/>
      </w:r>
    </w:p>
  </w:endnote>
  <w:endnote w:type="continuationSeparator" w:id="0">
    <w:p w14:paraId="610E5994" w14:textId="77777777" w:rsidR="008D0F36" w:rsidRDefault="008D0F36">
      <w:r>
        <w:continuationSeparator/>
      </w:r>
    </w:p>
  </w:endnote>
  <w:endnote w:type="continuationNotice" w:id="1">
    <w:p w14:paraId="5E676664" w14:textId="77777777" w:rsidR="008D0F36" w:rsidRDefault="008D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1C6" w14:textId="2A2FAFA0" w:rsidR="004145A6" w:rsidRDefault="002F5CEE" w:rsidP="00A72E0C">
    <w:pPr>
      <w:pStyle w:val="HeaderFooter"/>
      <w:tabs>
        <w:tab w:val="clear" w:pos="9020"/>
        <w:tab w:val="center" w:pos="5102"/>
        <w:tab w:val="right" w:pos="10205"/>
      </w:tabs>
      <w:spacing w:line="288" w:lineRule="auto"/>
    </w:pPr>
    <w:r>
      <w:rPr>
        <w:rFonts w:ascii="Arial" w:eastAsia="Arial" w:hAnsi="Arial" w:cs="Arial"/>
        <w:b/>
        <w:bCs/>
        <w:noProof/>
        <w:sz w:val="18"/>
        <w:szCs w:val="18"/>
        <w:lang w:val="en-GB"/>
      </w:rPr>
      <mc:AlternateContent>
        <mc:Choice Requires="wps">
          <w:drawing>
            <wp:inline distT="0" distB="0" distL="0" distR="0" wp14:anchorId="00B690E9" wp14:editId="4F75FC2F">
              <wp:extent cx="1705366" cy="823790"/>
              <wp:effectExtent l="0" t="0" r="0" b="14605"/>
              <wp:docPr id="1073741826" name="officeArt object"/>
              <wp:cNvGraphicFramePr/>
              <a:graphic xmlns:a="http://schemas.openxmlformats.org/drawingml/2006/main">
                <a:graphicData uri="http://schemas.microsoft.com/office/word/2010/wordprocessingShape">
                  <wps:wsp>
                    <wps:cNvSpPr txBox="1"/>
                    <wps:spPr>
                      <a:xfrm>
                        <a:off x="0" y="0"/>
                        <a:ext cx="1705366" cy="823790"/>
                      </a:xfrm>
                      <a:prstGeom prst="rect">
                        <a:avLst/>
                      </a:prstGeom>
                      <a:noFill/>
                      <a:ln w="12700" cap="flat">
                        <a:noFill/>
                        <a:miter lim="400000"/>
                      </a:ln>
                      <a:effectLst/>
                    </wps:spPr>
                    <wps:txbx>
                      <w:txbxContent>
                        <w:p w14:paraId="30ED4890" w14:textId="77777777" w:rsidR="0089657C" w:rsidRDefault="0089657C" w:rsidP="0089657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0"/>
                              <w:bdr w:val="none" w:sz="0" w:space="0" w:color="auto"/>
                              <w:lang w:val="en-GB" w:eastAsia="en-GB"/>
                            </w:rPr>
                          </w:pPr>
                          <w:r>
                            <w:rPr>
                              <w:rFonts w:ascii="Arial" w:hAnsi="Arial"/>
                              <w:color w:val="000000" w:themeColor="text1"/>
                              <w:sz w:val="18"/>
                              <w:szCs w:val="20"/>
                              <w:bdr w:val="none" w:sz="0" w:space="0" w:color="auto"/>
                              <w:lang w:val="en-GB" w:eastAsia="en-GB"/>
                            </w:rPr>
                            <w:t>151 Broderick Road</w:t>
                          </w:r>
                          <w:r w:rsidRPr="0089657C">
                            <w:rPr>
                              <w:rFonts w:ascii="Arial" w:hAnsi="Arial"/>
                              <w:color w:val="000000" w:themeColor="text1"/>
                              <w:sz w:val="18"/>
                              <w:szCs w:val="20"/>
                              <w:bdr w:val="none" w:sz="0" w:space="0" w:color="auto"/>
                              <w:lang w:val="en-GB" w:eastAsia="en-GB"/>
                            </w:rPr>
                            <w:t xml:space="preserve">, </w:t>
                          </w:r>
                        </w:p>
                        <w:p w14:paraId="02EED81C" w14:textId="11ABFAEA" w:rsidR="0089657C" w:rsidRDefault="00332D9E" w:rsidP="0089657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0"/>
                              <w:bdr w:val="none" w:sz="0" w:space="0" w:color="auto"/>
                              <w:lang w:val="en-GB" w:eastAsia="en-GB"/>
                            </w:rPr>
                          </w:pPr>
                          <w:r>
                            <w:rPr>
                              <w:rFonts w:ascii="Arial" w:hAnsi="Arial"/>
                              <w:color w:val="000000" w:themeColor="text1"/>
                              <w:sz w:val="18"/>
                              <w:szCs w:val="20"/>
                              <w:bdr w:val="none" w:sz="0" w:space="0" w:color="auto"/>
                              <w:lang w:val="en-GB" w:eastAsia="en-GB"/>
                            </w:rPr>
                            <w:t>Lara, Victoria, 3212</w:t>
                          </w:r>
                        </w:p>
                        <w:p w14:paraId="62F8623C" w14:textId="2EAD329E" w:rsidR="004145A6" w:rsidRDefault="0089657C" w:rsidP="00B074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0"/>
                              <w:bdr w:val="none" w:sz="0" w:space="0" w:color="auto"/>
                              <w:lang w:val="en-GB" w:eastAsia="en-GB"/>
                            </w:rPr>
                          </w:pPr>
                          <w:r w:rsidRPr="0089657C">
                            <w:rPr>
                              <w:rFonts w:ascii="Arial" w:hAnsi="Arial"/>
                              <w:color w:val="000000" w:themeColor="text1"/>
                              <w:sz w:val="18"/>
                              <w:szCs w:val="20"/>
                              <w:bdr w:val="none" w:sz="0" w:space="0" w:color="auto"/>
                              <w:lang w:val="en-GB" w:eastAsia="en-GB"/>
                            </w:rPr>
                            <w:t xml:space="preserve">T: </w:t>
                          </w:r>
                          <w:r>
                            <w:rPr>
                              <w:rFonts w:ascii="Arial" w:hAnsi="Arial"/>
                              <w:color w:val="000000" w:themeColor="text1"/>
                              <w:sz w:val="18"/>
                              <w:szCs w:val="20"/>
                              <w:bdr w:val="none" w:sz="0" w:space="0" w:color="auto"/>
                              <w:lang w:val="en-GB" w:eastAsia="en-GB"/>
                            </w:rPr>
                            <w:t>(</w:t>
                          </w:r>
                          <w:r w:rsidRPr="0089657C">
                            <w:rPr>
                              <w:rFonts w:ascii="Arial" w:hAnsi="Arial"/>
                              <w:color w:val="000000" w:themeColor="text1"/>
                              <w:sz w:val="18"/>
                              <w:szCs w:val="20"/>
                              <w:bdr w:val="none" w:sz="0" w:space="0" w:color="auto"/>
                              <w:lang w:val="en-GB" w:eastAsia="en-GB"/>
                            </w:rPr>
                            <w:t>+61</w:t>
                          </w:r>
                          <w:r>
                            <w:rPr>
                              <w:rFonts w:ascii="Arial" w:hAnsi="Arial"/>
                              <w:color w:val="000000" w:themeColor="text1"/>
                              <w:sz w:val="18"/>
                              <w:szCs w:val="20"/>
                              <w:bdr w:val="none" w:sz="0" w:space="0" w:color="auto"/>
                              <w:lang w:val="en-GB" w:eastAsia="en-GB"/>
                            </w:rPr>
                            <w:t>)</w:t>
                          </w:r>
                          <w:r w:rsidRPr="0089657C">
                            <w:rPr>
                              <w:rFonts w:ascii="Arial" w:hAnsi="Arial"/>
                              <w:color w:val="000000" w:themeColor="text1"/>
                              <w:sz w:val="18"/>
                              <w:szCs w:val="20"/>
                              <w:bdr w:val="none" w:sz="0" w:space="0" w:color="auto"/>
                              <w:lang w:val="en-GB" w:eastAsia="en-GB"/>
                            </w:rPr>
                            <w:t xml:space="preserve"> (0) 3 5272 9500</w:t>
                          </w:r>
                        </w:p>
                        <w:p w14:paraId="0FD5EC63" w14:textId="77777777" w:rsidR="00A72E0C" w:rsidRPr="00EA1672" w:rsidRDefault="00A72E0C" w:rsidP="00A72E0C">
                          <w:pPr>
                            <w:pStyle w:val="Default"/>
                            <w:rPr>
                              <w:rFonts w:ascii="Arial" w:hAnsi="Arial"/>
                              <w:b/>
                              <w:color w:val="000000" w:themeColor="text1"/>
                              <w:sz w:val="18"/>
                              <w:szCs w:val="16"/>
                            </w:rPr>
                          </w:pPr>
                          <w:r>
                            <w:rPr>
                              <w:rFonts w:ascii="Arial" w:hAnsi="Arial"/>
                              <w:color w:val="000000" w:themeColor="text1"/>
                              <w:sz w:val="18"/>
                              <w:szCs w:val="20"/>
                              <w:bdr w:val="none" w:sz="0" w:space="0" w:color="auto"/>
                              <w:lang w:val="en-GB"/>
                            </w:rPr>
                            <w:t xml:space="preserve">E: </w:t>
                          </w:r>
                          <w:r w:rsidRPr="00EA1672">
                            <w:rPr>
                              <w:rFonts w:ascii="Arial" w:hAnsi="Arial"/>
                              <w:b/>
                              <w:color w:val="000000" w:themeColor="text1"/>
                              <w:sz w:val="18"/>
                              <w:szCs w:val="16"/>
                            </w:rPr>
                            <w:t>cobramestateolives.com</w:t>
                          </w:r>
                          <w:r>
                            <w:rPr>
                              <w:rFonts w:ascii="Arial" w:hAnsi="Arial"/>
                              <w:b/>
                              <w:color w:val="000000" w:themeColor="text1"/>
                              <w:sz w:val="18"/>
                              <w:szCs w:val="16"/>
                            </w:rPr>
                            <w:t>.au</w:t>
                          </w:r>
                        </w:p>
                        <w:p w14:paraId="5872B1B1" w14:textId="1CDA5601" w:rsidR="00A72E0C" w:rsidRPr="00B074FE" w:rsidRDefault="00A72E0C" w:rsidP="00B074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2"/>
                              <w:bdr w:val="none" w:sz="0" w:space="0" w:color="auto"/>
                              <w:lang w:val="en-GB" w:eastAsia="en-GB"/>
                            </w:rPr>
                          </w:pPr>
                        </w:p>
                      </w:txbxContent>
                    </wps:txbx>
                    <wps:bodyPr wrap="square" lIns="0" tIns="0" rIns="0" bIns="0" numCol="1" anchor="t">
                      <a:noAutofit/>
                    </wps:bodyPr>
                  </wps:wsp>
                </a:graphicData>
              </a:graphic>
            </wp:inline>
          </w:drawing>
        </mc:Choice>
        <mc:Fallback>
          <w:pict>
            <v:shapetype w14:anchorId="00B690E9" id="_x0000_t202" coordsize="21600,21600" o:spt="202" path="m,l,21600r21600,l21600,xe">
              <v:stroke joinstyle="miter"/>
              <v:path gradientshapeok="t" o:connecttype="rect"/>
            </v:shapetype>
            <v:shape id="officeArt object" o:spid="_x0000_s1026" type="#_x0000_t202" style="width:134.3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" filled="f" stroked="f" strokeweight="1pt">
              <v:stroke miterlimit="4"/>
              <v:textbox inset="0,0,0,0">
                <w:txbxContent>
                  <w:p w14:paraId="30ED4890" w14:textId="77777777" w:rsidR="0089657C" w:rsidRDefault="0089657C" w:rsidP="0089657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0"/>
                        <w:bdr w:val="none" w:sz="0" w:space="0" w:color="auto"/>
                        <w:lang w:val="en-GB" w:eastAsia="en-GB"/>
                      </w:rPr>
                    </w:pPr>
                    <w:r>
                      <w:rPr>
                        <w:rFonts w:ascii="Arial" w:hAnsi="Arial"/>
                        <w:color w:val="000000" w:themeColor="text1"/>
                        <w:sz w:val="18"/>
                        <w:szCs w:val="20"/>
                        <w:bdr w:val="none" w:sz="0" w:space="0" w:color="auto"/>
                        <w:lang w:val="en-GB" w:eastAsia="en-GB"/>
                      </w:rPr>
                      <w:t>151 Broderick Road</w:t>
                    </w:r>
                    <w:r w:rsidRPr="0089657C">
                      <w:rPr>
                        <w:rFonts w:ascii="Arial" w:hAnsi="Arial"/>
                        <w:color w:val="000000" w:themeColor="text1"/>
                        <w:sz w:val="18"/>
                        <w:szCs w:val="20"/>
                        <w:bdr w:val="none" w:sz="0" w:space="0" w:color="auto"/>
                        <w:lang w:val="en-GB" w:eastAsia="en-GB"/>
                      </w:rPr>
                      <w:t xml:space="preserve">, </w:t>
                    </w:r>
                  </w:p>
                  <w:p w14:paraId="02EED81C" w14:textId="11ABFAEA" w:rsidR="0089657C" w:rsidRDefault="00332D9E" w:rsidP="0089657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0"/>
                        <w:bdr w:val="none" w:sz="0" w:space="0" w:color="auto"/>
                        <w:lang w:val="en-GB" w:eastAsia="en-GB"/>
                      </w:rPr>
                    </w:pPr>
                    <w:r>
                      <w:rPr>
                        <w:rFonts w:ascii="Arial" w:hAnsi="Arial"/>
                        <w:color w:val="000000" w:themeColor="text1"/>
                        <w:sz w:val="18"/>
                        <w:szCs w:val="20"/>
                        <w:bdr w:val="none" w:sz="0" w:space="0" w:color="auto"/>
                        <w:lang w:val="en-GB" w:eastAsia="en-GB"/>
                      </w:rPr>
                      <w:t>Lara, Victoria, 3212</w:t>
                    </w:r>
                  </w:p>
                  <w:p w14:paraId="62F8623C" w14:textId="2EAD329E" w:rsidR="004145A6" w:rsidRDefault="0089657C" w:rsidP="00B074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0"/>
                        <w:bdr w:val="none" w:sz="0" w:space="0" w:color="auto"/>
                        <w:lang w:val="en-GB" w:eastAsia="en-GB"/>
                      </w:rPr>
                    </w:pPr>
                    <w:r w:rsidRPr="0089657C">
                      <w:rPr>
                        <w:rFonts w:ascii="Arial" w:hAnsi="Arial"/>
                        <w:color w:val="000000" w:themeColor="text1"/>
                        <w:sz w:val="18"/>
                        <w:szCs w:val="20"/>
                        <w:bdr w:val="none" w:sz="0" w:space="0" w:color="auto"/>
                        <w:lang w:val="en-GB" w:eastAsia="en-GB"/>
                      </w:rPr>
                      <w:t xml:space="preserve">T: </w:t>
                    </w:r>
                    <w:r>
                      <w:rPr>
                        <w:rFonts w:ascii="Arial" w:hAnsi="Arial"/>
                        <w:color w:val="000000" w:themeColor="text1"/>
                        <w:sz w:val="18"/>
                        <w:szCs w:val="20"/>
                        <w:bdr w:val="none" w:sz="0" w:space="0" w:color="auto"/>
                        <w:lang w:val="en-GB" w:eastAsia="en-GB"/>
                      </w:rPr>
                      <w:t>(</w:t>
                    </w:r>
                    <w:r w:rsidRPr="0089657C">
                      <w:rPr>
                        <w:rFonts w:ascii="Arial" w:hAnsi="Arial"/>
                        <w:color w:val="000000" w:themeColor="text1"/>
                        <w:sz w:val="18"/>
                        <w:szCs w:val="20"/>
                        <w:bdr w:val="none" w:sz="0" w:space="0" w:color="auto"/>
                        <w:lang w:val="en-GB" w:eastAsia="en-GB"/>
                      </w:rPr>
                      <w:t>+61</w:t>
                    </w:r>
                    <w:r>
                      <w:rPr>
                        <w:rFonts w:ascii="Arial" w:hAnsi="Arial"/>
                        <w:color w:val="000000" w:themeColor="text1"/>
                        <w:sz w:val="18"/>
                        <w:szCs w:val="20"/>
                        <w:bdr w:val="none" w:sz="0" w:space="0" w:color="auto"/>
                        <w:lang w:val="en-GB" w:eastAsia="en-GB"/>
                      </w:rPr>
                      <w:t>)</w:t>
                    </w:r>
                    <w:r w:rsidRPr="0089657C">
                      <w:rPr>
                        <w:rFonts w:ascii="Arial" w:hAnsi="Arial"/>
                        <w:color w:val="000000" w:themeColor="text1"/>
                        <w:sz w:val="18"/>
                        <w:szCs w:val="20"/>
                        <w:bdr w:val="none" w:sz="0" w:space="0" w:color="auto"/>
                        <w:lang w:val="en-GB" w:eastAsia="en-GB"/>
                      </w:rPr>
                      <w:t xml:space="preserve"> (0) 3 5272 9500</w:t>
                    </w:r>
                  </w:p>
                  <w:p w14:paraId="0FD5EC63" w14:textId="77777777" w:rsidR="00A72E0C" w:rsidRPr="00EA1672" w:rsidRDefault="00A72E0C" w:rsidP="00A72E0C">
                    <w:pPr>
                      <w:pStyle w:val="Default"/>
                      <w:rPr>
                        <w:rFonts w:ascii="Arial" w:hAnsi="Arial"/>
                        <w:b/>
                        <w:color w:val="000000" w:themeColor="text1"/>
                        <w:sz w:val="18"/>
                        <w:szCs w:val="16"/>
                      </w:rPr>
                    </w:pPr>
                    <w:r>
                      <w:rPr>
                        <w:rFonts w:ascii="Arial" w:hAnsi="Arial"/>
                        <w:color w:val="000000" w:themeColor="text1"/>
                        <w:sz w:val="18"/>
                        <w:szCs w:val="20"/>
                        <w:bdr w:val="none" w:sz="0" w:space="0" w:color="auto"/>
                        <w:lang w:val="en-GB"/>
                      </w:rPr>
                      <w:t xml:space="preserve">E: </w:t>
                    </w:r>
                    <w:r w:rsidRPr="00EA1672">
                      <w:rPr>
                        <w:rFonts w:ascii="Arial" w:hAnsi="Arial"/>
                        <w:b/>
                        <w:color w:val="000000" w:themeColor="text1"/>
                        <w:sz w:val="18"/>
                        <w:szCs w:val="16"/>
                      </w:rPr>
                      <w:t>cobramestateolives.com</w:t>
                    </w:r>
                    <w:r>
                      <w:rPr>
                        <w:rFonts w:ascii="Arial" w:hAnsi="Arial"/>
                        <w:b/>
                        <w:color w:val="000000" w:themeColor="text1"/>
                        <w:sz w:val="18"/>
                        <w:szCs w:val="16"/>
                      </w:rPr>
                      <w:t>.au</w:t>
                    </w:r>
                  </w:p>
                  <w:p w14:paraId="5872B1B1" w14:textId="1CDA5601" w:rsidR="00A72E0C" w:rsidRPr="00B074FE" w:rsidRDefault="00A72E0C" w:rsidP="00B074F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000000" w:themeColor="text1"/>
                        <w:sz w:val="18"/>
                        <w:szCs w:val="22"/>
                        <w:bdr w:val="none" w:sz="0" w:space="0" w:color="auto"/>
                        <w:lang w:val="en-GB" w:eastAsia="en-GB"/>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CBDC" w14:textId="77777777" w:rsidR="008D0F36" w:rsidRDefault="008D0F36">
      <w:r>
        <w:separator/>
      </w:r>
    </w:p>
  </w:footnote>
  <w:footnote w:type="continuationSeparator" w:id="0">
    <w:p w14:paraId="17388E5C" w14:textId="77777777" w:rsidR="008D0F36" w:rsidRDefault="008D0F36">
      <w:r>
        <w:continuationSeparator/>
      </w:r>
    </w:p>
  </w:footnote>
  <w:footnote w:type="continuationNotice" w:id="1">
    <w:p w14:paraId="4FD2DA78" w14:textId="77777777" w:rsidR="008D0F36" w:rsidRDefault="008D0F36"/>
  </w:footnote>
  <w:footnote w:id="2">
    <w:p w14:paraId="223F92E4" w14:textId="57A69703" w:rsidR="00A5202E" w:rsidRDefault="00A5202E" w:rsidP="00A5202E">
      <w:pPr>
        <w:pStyle w:val="BodyText"/>
      </w:pPr>
      <w:r>
        <w:rPr>
          <w:rStyle w:val="FootnoteReference"/>
        </w:rPr>
        <w:footnoteRef/>
      </w:r>
      <w:r>
        <w:t xml:space="preserve"> </w:t>
      </w:r>
      <w:r>
        <w:rPr>
          <w:rFonts w:ascii="Open Sans" w:hAnsi="Open Sans" w:cs="Open Sans"/>
          <w:color w:val="000000"/>
          <w:shd w:val="clear" w:color="auto" w:fill="FFFFFF"/>
        </w:rPr>
        <w:t>As at 31 October 2023, the Commonwealth environmental water holdings total 2,888,695 megalitres of registered entitlements</w:t>
      </w:r>
      <w:r w:rsidRPr="005E51AB">
        <w:rPr>
          <w:rFonts w:ascii="Open Sans" w:hAnsi="Open Sans" w:cs="Open Sans"/>
          <w:color w:val="000000"/>
          <w:shd w:val="clear" w:color="auto" w:fill="FFFFFF"/>
        </w:rPr>
        <w:t xml:space="preserve"> </w:t>
      </w:r>
      <w:r>
        <w:rPr>
          <w:rFonts w:ascii="Open Sans" w:hAnsi="Open Sans" w:cs="Open Sans"/>
          <w:color w:val="000000"/>
          <w:shd w:val="clear" w:color="auto" w:fill="FFFFFF"/>
        </w:rPr>
        <w:t>of which 1,729 </w:t>
      </w:r>
      <w:r>
        <w:t>GL is held in the</w:t>
      </w:r>
      <w:r>
        <w:rPr>
          <w:rFonts w:ascii="Open Sans" w:hAnsi="Open Sans" w:cs="Open Sans"/>
          <w:color w:val="000000"/>
          <w:shd w:val="clear" w:color="auto" w:fill="FFFFFF"/>
        </w:rPr>
        <w:t xml:space="preserve"> southern-connected basin. </w:t>
      </w:r>
    </w:p>
  </w:footnote>
  <w:footnote w:id="3">
    <w:p w14:paraId="52B3D286" w14:textId="77777777" w:rsidR="00A5202E" w:rsidRDefault="00A5202E" w:rsidP="00A5202E">
      <w:pPr>
        <w:pStyle w:val="BodyText"/>
      </w:pPr>
      <w:r>
        <w:rPr>
          <w:rStyle w:val="FootnoteReference"/>
        </w:rPr>
        <w:footnoteRef/>
      </w:r>
      <w:r>
        <w:t xml:space="preserve"> </w:t>
      </w:r>
      <w:r w:rsidRPr="001C4699">
        <w:rPr>
          <w:rFonts w:ascii="Open Sans" w:hAnsi="Open Sans" w:cs="Open Sans"/>
          <w:color w:val="000000"/>
          <w:shd w:val="clear" w:color="auto" w:fill="FFFFFF"/>
        </w:rPr>
        <w:t>The Commonwealth Environmental Water Holder (CEWH) is subject to the same rules and regulations as other Basin water entitlement holders and can use, carry-over, transfer and trade annual water allocations to achieve the best possible outcomes and value from the Commonwealth portfolio of environmental water for the Australian community.</w:t>
      </w:r>
    </w:p>
    <w:p w14:paraId="29C10681" w14:textId="57A0506C" w:rsidR="00A5202E" w:rsidRDefault="00A520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3AF5" w14:textId="67525CCB" w:rsidR="004145A6" w:rsidRDefault="00315477" w:rsidP="00295F81">
    <w:pPr>
      <w:pStyle w:val="HeaderFooter"/>
      <w:tabs>
        <w:tab w:val="clear" w:pos="9020"/>
        <w:tab w:val="center" w:pos="5102"/>
        <w:tab w:val="right" w:pos="10205"/>
      </w:tabs>
      <w:spacing w:after="80" w:line="312" w:lineRule="auto"/>
    </w:pPr>
    <w:r>
      <w:rPr>
        <w:rFonts w:eastAsia="Helvetica Neue" w:cs="Helvetica Neue"/>
        <w:noProof/>
        <w:u w:color="000000"/>
        <w:lang w:val="en-GB"/>
      </w:rPr>
      <w:drawing>
        <wp:anchor distT="0" distB="0" distL="114300" distR="114300" simplePos="0" relativeHeight="251658240" behindDoc="1" locked="0" layoutInCell="1" allowOverlap="1" wp14:anchorId="442F8DAA" wp14:editId="6101F5C4">
          <wp:simplePos x="0" y="0"/>
          <wp:positionH relativeFrom="column">
            <wp:posOffset>-16704</wp:posOffset>
          </wp:positionH>
          <wp:positionV relativeFrom="paragraph">
            <wp:posOffset>-1107684</wp:posOffset>
          </wp:positionV>
          <wp:extent cx="1367350" cy="1367350"/>
          <wp:effectExtent l="0" t="0" r="4445" b="444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G_Logo-02.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4429" cy="137442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2F5CEE">
      <w:rPr>
        <w:rFonts w:ascii="Arial" w:eastAsia="Arial" w:hAnsi="Arial" w:cs="Arial"/>
        <w:b/>
        <w:bCs/>
        <w:color w:val="B1875D"/>
        <w:sz w:val="32"/>
        <w:szCs w:val="32"/>
        <w:u w:color="000000"/>
      </w:rPr>
      <w:tab/>
    </w:r>
    <w:r w:rsidR="002F5CEE">
      <w:rPr>
        <w:rFonts w:ascii="Arial" w:eastAsia="Arial" w:hAnsi="Arial" w:cs="Arial"/>
        <w:b/>
        <w:bCs/>
        <w:color w:val="B1875D"/>
        <w:sz w:val="32"/>
        <w:szCs w:val="32"/>
        <w:u w:color="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62D"/>
    <w:multiLevelType w:val="hybridMultilevel"/>
    <w:tmpl w:val="5866C9BE"/>
    <w:lvl w:ilvl="0" w:tplc="70341052">
      <w:start w:val="1"/>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D4665C8"/>
    <w:multiLevelType w:val="hybridMultilevel"/>
    <w:tmpl w:val="C1C2C326"/>
    <w:lvl w:ilvl="0" w:tplc="0C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B0C1CCD"/>
    <w:multiLevelType w:val="hybridMultilevel"/>
    <w:tmpl w:val="A5622436"/>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D2A53A8"/>
    <w:multiLevelType w:val="hybridMultilevel"/>
    <w:tmpl w:val="192E3E0C"/>
    <w:lvl w:ilvl="0" w:tplc="67ACD1D6">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51853"/>
    <w:multiLevelType w:val="hybridMultilevel"/>
    <w:tmpl w:val="9860260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3EB97783"/>
    <w:multiLevelType w:val="hybridMultilevel"/>
    <w:tmpl w:val="269EC790"/>
    <w:lvl w:ilvl="0" w:tplc="FFFFFFFF">
      <w:start w:val="1"/>
      <w:numFmt w:val="upperLetter"/>
      <w:lvlText w:val="%1."/>
      <w:lvlJc w:val="left"/>
      <w:pPr>
        <w:ind w:left="780" w:hanging="360"/>
      </w:pPr>
    </w:lvl>
    <w:lvl w:ilvl="1" w:tplc="FFFFFFFF">
      <w:start w:val="1"/>
      <w:numFmt w:val="bullet"/>
      <w:lvlText w:val="•"/>
      <w:lvlJc w:val="left"/>
      <w:pPr>
        <w:tabs>
          <w:tab w:val="num" w:pos="340"/>
        </w:tabs>
        <w:ind w:left="340" w:hanging="340"/>
      </w:pPr>
      <w:rPr>
        <w:rFonts w:ascii="Arial" w:hAnsi="Arial" w:cs="Arial" w:hint="default"/>
        <w:color w:val="auto"/>
        <w:sz w:val="24"/>
      </w:rPr>
    </w:lvl>
    <w:lvl w:ilvl="2" w:tplc="68E448D6">
      <w:start w:val="1"/>
      <w:numFmt w:val="bullet"/>
      <w:lvlText w:val="•"/>
      <w:lvlJc w:val="left"/>
      <w:pPr>
        <w:tabs>
          <w:tab w:val="num" w:pos="340"/>
        </w:tabs>
        <w:ind w:left="340" w:hanging="340"/>
      </w:pPr>
      <w:rPr>
        <w:rFonts w:ascii="Arial" w:hAnsi="Arial" w:cs="Arial" w:hint="default"/>
        <w:color w:val="auto"/>
        <w:sz w:val="24"/>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4166305E"/>
    <w:multiLevelType w:val="multilevel"/>
    <w:tmpl w:val="8702D120"/>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 w15:restartNumberingAfterBreak="0">
    <w:nsid w:val="466E32FB"/>
    <w:multiLevelType w:val="hybridMultilevel"/>
    <w:tmpl w:val="F71ECCDC"/>
    <w:lvl w:ilvl="0" w:tplc="0C090015">
      <w:start w:val="1"/>
      <w:numFmt w:val="upperLetter"/>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54063F48"/>
    <w:multiLevelType w:val="hybridMultilevel"/>
    <w:tmpl w:val="3008F66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025019">
    <w:abstractNumId w:val="7"/>
  </w:num>
  <w:num w:numId="2" w16cid:durableId="1644312295">
    <w:abstractNumId w:val="6"/>
  </w:num>
  <w:num w:numId="3" w16cid:durableId="1754936985">
    <w:abstractNumId w:val="5"/>
  </w:num>
  <w:num w:numId="4" w16cid:durableId="1808083080">
    <w:abstractNumId w:val="4"/>
  </w:num>
  <w:num w:numId="5" w16cid:durableId="1472870698">
    <w:abstractNumId w:val="3"/>
  </w:num>
  <w:num w:numId="6" w16cid:durableId="70931702">
    <w:abstractNumId w:val="0"/>
  </w:num>
  <w:num w:numId="7" w16cid:durableId="36518187">
    <w:abstractNumId w:val="8"/>
  </w:num>
  <w:num w:numId="8" w16cid:durableId="347369624">
    <w:abstractNumId w:val="2"/>
  </w:num>
  <w:num w:numId="9" w16cid:durableId="202686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A6"/>
    <w:rsid w:val="00004357"/>
    <w:rsid w:val="0000448E"/>
    <w:rsid w:val="0000482B"/>
    <w:rsid w:val="00010963"/>
    <w:rsid w:val="00013823"/>
    <w:rsid w:val="000277C2"/>
    <w:rsid w:val="00064D00"/>
    <w:rsid w:val="000653E8"/>
    <w:rsid w:val="00072443"/>
    <w:rsid w:val="00075EFE"/>
    <w:rsid w:val="00084AB1"/>
    <w:rsid w:val="00087FE1"/>
    <w:rsid w:val="000936FB"/>
    <w:rsid w:val="00093C6B"/>
    <w:rsid w:val="000B0C15"/>
    <w:rsid w:val="000B3249"/>
    <w:rsid w:val="000B6A25"/>
    <w:rsid w:val="000C31F4"/>
    <w:rsid w:val="000D0E38"/>
    <w:rsid w:val="000D630A"/>
    <w:rsid w:val="000F53A4"/>
    <w:rsid w:val="000F7436"/>
    <w:rsid w:val="0010258D"/>
    <w:rsid w:val="001063E9"/>
    <w:rsid w:val="00126ED0"/>
    <w:rsid w:val="00126F9D"/>
    <w:rsid w:val="0013482B"/>
    <w:rsid w:val="001457F4"/>
    <w:rsid w:val="00151496"/>
    <w:rsid w:val="001574C1"/>
    <w:rsid w:val="001611F1"/>
    <w:rsid w:val="00175B2B"/>
    <w:rsid w:val="001907CB"/>
    <w:rsid w:val="001915E7"/>
    <w:rsid w:val="001937AE"/>
    <w:rsid w:val="00197BF6"/>
    <w:rsid w:val="001A33E9"/>
    <w:rsid w:val="001B6ED7"/>
    <w:rsid w:val="001C178A"/>
    <w:rsid w:val="001C4699"/>
    <w:rsid w:val="001C4933"/>
    <w:rsid w:val="001D2B5D"/>
    <w:rsid w:val="001D3BF9"/>
    <w:rsid w:val="001E003E"/>
    <w:rsid w:val="001F7F2A"/>
    <w:rsid w:val="002478E7"/>
    <w:rsid w:val="00251E51"/>
    <w:rsid w:val="00256741"/>
    <w:rsid w:val="00273279"/>
    <w:rsid w:val="00281863"/>
    <w:rsid w:val="0029171A"/>
    <w:rsid w:val="00295F81"/>
    <w:rsid w:val="002A4507"/>
    <w:rsid w:val="002B4D4A"/>
    <w:rsid w:val="002C115F"/>
    <w:rsid w:val="002C6115"/>
    <w:rsid w:val="002D5B2B"/>
    <w:rsid w:val="002D726B"/>
    <w:rsid w:val="002F5CEE"/>
    <w:rsid w:val="00300C57"/>
    <w:rsid w:val="00315477"/>
    <w:rsid w:val="00321103"/>
    <w:rsid w:val="003317A0"/>
    <w:rsid w:val="00332D9E"/>
    <w:rsid w:val="003367B5"/>
    <w:rsid w:val="00340AC1"/>
    <w:rsid w:val="00357644"/>
    <w:rsid w:val="00377610"/>
    <w:rsid w:val="0038072E"/>
    <w:rsid w:val="003809DD"/>
    <w:rsid w:val="003A1409"/>
    <w:rsid w:val="003B6844"/>
    <w:rsid w:val="003B6FE5"/>
    <w:rsid w:val="003F6356"/>
    <w:rsid w:val="003F7DC3"/>
    <w:rsid w:val="0040795E"/>
    <w:rsid w:val="004145A6"/>
    <w:rsid w:val="00433A5D"/>
    <w:rsid w:val="0045383B"/>
    <w:rsid w:val="0045383F"/>
    <w:rsid w:val="0045497B"/>
    <w:rsid w:val="004558F4"/>
    <w:rsid w:val="0047286C"/>
    <w:rsid w:val="004731B4"/>
    <w:rsid w:val="00474920"/>
    <w:rsid w:val="004942F5"/>
    <w:rsid w:val="0049713F"/>
    <w:rsid w:val="004A4C92"/>
    <w:rsid w:val="004C1684"/>
    <w:rsid w:val="004C6BC3"/>
    <w:rsid w:val="004D1F1B"/>
    <w:rsid w:val="004D657B"/>
    <w:rsid w:val="004E2538"/>
    <w:rsid w:val="004F0664"/>
    <w:rsid w:val="00513718"/>
    <w:rsid w:val="005329D7"/>
    <w:rsid w:val="0053584F"/>
    <w:rsid w:val="00540002"/>
    <w:rsid w:val="00540C14"/>
    <w:rsid w:val="00545C39"/>
    <w:rsid w:val="00554C54"/>
    <w:rsid w:val="005A3AF8"/>
    <w:rsid w:val="005B544D"/>
    <w:rsid w:val="005B6B5F"/>
    <w:rsid w:val="005C2ECD"/>
    <w:rsid w:val="005C3018"/>
    <w:rsid w:val="005D3B4B"/>
    <w:rsid w:val="005E2A7E"/>
    <w:rsid w:val="005E51AB"/>
    <w:rsid w:val="005E5565"/>
    <w:rsid w:val="005F34C0"/>
    <w:rsid w:val="005F51C9"/>
    <w:rsid w:val="005F79DF"/>
    <w:rsid w:val="005F7F07"/>
    <w:rsid w:val="00620A09"/>
    <w:rsid w:val="00624F41"/>
    <w:rsid w:val="00634E13"/>
    <w:rsid w:val="00643AF3"/>
    <w:rsid w:val="00645BF9"/>
    <w:rsid w:val="00664151"/>
    <w:rsid w:val="006665F6"/>
    <w:rsid w:val="006729B3"/>
    <w:rsid w:val="006806AF"/>
    <w:rsid w:val="00682CA1"/>
    <w:rsid w:val="0068797D"/>
    <w:rsid w:val="006A0AB1"/>
    <w:rsid w:val="006A2223"/>
    <w:rsid w:val="006E03EF"/>
    <w:rsid w:val="006F37CB"/>
    <w:rsid w:val="006F4DA8"/>
    <w:rsid w:val="006F5895"/>
    <w:rsid w:val="00717035"/>
    <w:rsid w:val="00730E3A"/>
    <w:rsid w:val="007428B5"/>
    <w:rsid w:val="00742D94"/>
    <w:rsid w:val="00747F17"/>
    <w:rsid w:val="00766592"/>
    <w:rsid w:val="00771C80"/>
    <w:rsid w:val="0078028B"/>
    <w:rsid w:val="00792C03"/>
    <w:rsid w:val="00795930"/>
    <w:rsid w:val="007C378B"/>
    <w:rsid w:val="007C6412"/>
    <w:rsid w:val="007C7F1B"/>
    <w:rsid w:val="007E6E75"/>
    <w:rsid w:val="00801718"/>
    <w:rsid w:val="008067F6"/>
    <w:rsid w:val="0080731F"/>
    <w:rsid w:val="00810C0D"/>
    <w:rsid w:val="008255C5"/>
    <w:rsid w:val="0082753A"/>
    <w:rsid w:val="00840B96"/>
    <w:rsid w:val="008509EB"/>
    <w:rsid w:val="0086729E"/>
    <w:rsid w:val="00867755"/>
    <w:rsid w:val="00867E4E"/>
    <w:rsid w:val="00870058"/>
    <w:rsid w:val="00893D67"/>
    <w:rsid w:val="0089657C"/>
    <w:rsid w:val="008A2A8A"/>
    <w:rsid w:val="008D0F36"/>
    <w:rsid w:val="008D4373"/>
    <w:rsid w:val="008D48C4"/>
    <w:rsid w:val="008F2C1E"/>
    <w:rsid w:val="008F42A0"/>
    <w:rsid w:val="009057F0"/>
    <w:rsid w:val="00906753"/>
    <w:rsid w:val="009077B8"/>
    <w:rsid w:val="00925696"/>
    <w:rsid w:val="009277F2"/>
    <w:rsid w:val="00927AC2"/>
    <w:rsid w:val="00931A36"/>
    <w:rsid w:val="0093292B"/>
    <w:rsid w:val="00937A34"/>
    <w:rsid w:val="009437A2"/>
    <w:rsid w:val="0096651D"/>
    <w:rsid w:val="00967E24"/>
    <w:rsid w:val="00972DEF"/>
    <w:rsid w:val="00990D78"/>
    <w:rsid w:val="009A3562"/>
    <w:rsid w:val="009A6DCE"/>
    <w:rsid w:val="009C3B71"/>
    <w:rsid w:val="009C478B"/>
    <w:rsid w:val="009E3A16"/>
    <w:rsid w:val="009E679A"/>
    <w:rsid w:val="009F044D"/>
    <w:rsid w:val="00A06513"/>
    <w:rsid w:val="00A30C25"/>
    <w:rsid w:val="00A33CC2"/>
    <w:rsid w:val="00A42168"/>
    <w:rsid w:val="00A422CF"/>
    <w:rsid w:val="00A5202E"/>
    <w:rsid w:val="00A5573F"/>
    <w:rsid w:val="00A64100"/>
    <w:rsid w:val="00A72E0C"/>
    <w:rsid w:val="00A94E52"/>
    <w:rsid w:val="00A972D4"/>
    <w:rsid w:val="00AA22E0"/>
    <w:rsid w:val="00AD43C1"/>
    <w:rsid w:val="00AD4582"/>
    <w:rsid w:val="00B00C2C"/>
    <w:rsid w:val="00B0689D"/>
    <w:rsid w:val="00B074FE"/>
    <w:rsid w:val="00B10941"/>
    <w:rsid w:val="00B11A6D"/>
    <w:rsid w:val="00B130CD"/>
    <w:rsid w:val="00B15740"/>
    <w:rsid w:val="00B31512"/>
    <w:rsid w:val="00B45279"/>
    <w:rsid w:val="00B66D5B"/>
    <w:rsid w:val="00B750C5"/>
    <w:rsid w:val="00B7607E"/>
    <w:rsid w:val="00B83C80"/>
    <w:rsid w:val="00B90633"/>
    <w:rsid w:val="00B92788"/>
    <w:rsid w:val="00BB047D"/>
    <w:rsid w:val="00BC2561"/>
    <w:rsid w:val="00BC298C"/>
    <w:rsid w:val="00BC3E23"/>
    <w:rsid w:val="00BC5D95"/>
    <w:rsid w:val="00BD0B5B"/>
    <w:rsid w:val="00BD7788"/>
    <w:rsid w:val="00BE06C8"/>
    <w:rsid w:val="00BE2451"/>
    <w:rsid w:val="00BE5E26"/>
    <w:rsid w:val="00BE64BE"/>
    <w:rsid w:val="00C00858"/>
    <w:rsid w:val="00C412DE"/>
    <w:rsid w:val="00C419F7"/>
    <w:rsid w:val="00C41B2A"/>
    <w:rsid w:val="00C426FB"/>
    <w:rsid w:val="00C44B5B"/>
    <w:rsid w:val="00C53E77"/>
    <w:rsid w:val="00C54924"/>
    <w:rsid w:val="00C63A13"/>
    <w:rsid w:val="00C64786"/>
    <w:rsid w:val="00C66167"/>
    <w:rsid w:val="00C7221E"/>
    <w:rsid w:val="00C7340D"/>
    <w:rsid w:val="00C75C98"/>
    <w:rsid w:val="00C93317"/>
    <w:rsid w:val="00CA5CAE"/>
    <w:rsid w:val="00CA7090"/>
    <w:rsid w:val="00CC4E5A"/>
    <w:rsid w:val="00CE1D00"/>
    <w:rsid w:val="00CE5AF1"/>
    <w:rsid w:val="00CF1305"/>
    <w:rsid w:val="00D07907"/>
    <w:rsid w:val="00D2329C"/>
    <w:rsid w:val="00D24AD7"/>
    <w:rsid w:val="00D26B65"/>
    <w:rsid w:val="00D615A0"/>
    <w:rsid w:val="00D616CC"/>
    <w:rsid w:val="00D64779"/>
    <w:rsid w:val="00D74E02"/>
    <w:rsid w:val="00D83C5C"/>
    <w:rsid w:val="00D87BBD"/>
    <w:rsid w:val="00DA2D8D"/>
    <w:rsid w:val="00DA3038"/>
    <w:rsid w:val="00DB19EC"/>
    <w:rsid w:val="00DB2FA8"/>
    <w:rsid w:val="00DB4A4F"/>
    <w:rsid w:val="00DF5E00"/>
    <w:rsid w:val="00DF681C"/>
    <w:rsid w:val="00E20BAF"/>
    <w:rsid w:val="00E27F8A"/>
    <w:rsid w:val="00E433C9"/>
    <w:rsid w:val="00E476D4"/>
    <w:rsid w:val="00E74DA7"/>
    <w:rsid w:val="00E807B7"/>
    <w:rsid w:val="00E92454"/>
    <w:rsid w:val="00E928E0"/>
    <w:rsid w:val="00EA1672"/>
    <w:rsid w:val="00EA1F6A"/>
    <w:rsid w:val="00EE28B1"/>
    <w:rsid w:val="00EE3213"/>
    <w:rsid w:val="00EE6049"/>
    <w:rsid w:val="00F00DF9"/>
    <w:rsid w:val="00F03CCC"/>
    <w:rsid w:val="00F10CF3"/>
    <w:rsid w:val="00F15AA6"/>
    <w:rsid w:val="00F2462B"/>
    <w:rsid w:val="00F34A45"/>
    <w:rsid w:val="00F36800"/>
    <w:rsid w:val="00F44072"/>
    <w:rsid w:val="00F47425"/>
    <w:rsid w:val="00F65BC9"/>
    <w:rsid w:val="00F72491"/>
    <w:rsid w:val="00F8329D"/>
    <w:rsid w:val="00F83E99"/>
    <w:rsid w:val="00F92C85"/>
    <w:rsid w:val="00F930E4"/>
    <w:rsid w:val="00FB5DEC"/>
    <w:rsid w:val="00FC23D3"/>
    <w:rsid w:val="00FD7FF1"/>
    <w:rsid w:val="00FE648B"/>
    <w:rsid w:val="00FE7719"/>
    <w:rsid w:val="00FF1024"/>
    <w:rsid w:val="00FF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45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Default">
    <w:name w:val="Default"/>
    <w:rPr>
      <w:rFonts w:ascii="Helvetica Neue" w:hAnsi="Helvetica Neue" w:cs="Arial Unicode MS"/>
      <w:color w:val="000000"/>
      <w:sz w:val="22"/>
      <w:szCs w:val="22"/>
      <w:lang w:val="nl-NL"/>
    </w:rPr>
  </w:style>
  <w:style w:type="paragraph" w:customStyle="1" w:styleId="Body">
    <w:name w:val="Body"/>
    <w:rPr>
      <w:rFonts w:ascii="Helvetica Neue" w:eastAsia="Helvetica Neue" w:hAnsi="Helvetica Neue" w:cs="Helvetica Neue"/>
      <w:color w:val="000000"/>
      <w:sz w:val="22"/>
      <w:szCs w:val="22"/>
    </w:rPr>
  </w:style>
  <w:style w:type="character" w:customStyle="1" w:styleId="Link">
    <w:name w:val="Link"/>
    <w:rPr>
      <w:u w:val="single"/>
    </w:rPr>
  </w:style>
  <w:style w:type="character" w:customStyle="1" w:styleId="Hyperlink0">
    <w:name w:val="Hyperlink.0"/>
    <w:basedOn w:val="Link"/>
    <w:rPr>
      <w:u w:val="single" w:color="0000FF"/>
    </w:rPr>
  </w:style>
  <w:style w:type="paragraph" w:styleId="Header">
    <w:name w:val="header"/>
    <w:basedOn w:val="Normal"/>
    <w:link w:val="HeaderChar"/>
    <w:uiPriority w:val="99"/>
    <w:unhideWhenUsed/>
    <w:rsid w:val="00295F81"/>
    <w:pPr>
      <w:tabs>
        <w:tab w:val="center" w:pos="4513"/>
        <w:tab w:val="right" w:pos="9026"/>
      </w:tabs>
    </w:pPr>
  </w:style>
  <w:style w:type="character" w:customStyle="1" w:styleId="HeaderChar">
    <w:name w:val="Header Char"/>
    <w:basedOn w:val="DefaultParagraphFont"/>
    <w:link w:val="Header"/>
    <w:uiPriority w:val="99"/>
    <w:rsid w:val="00295F81"/>
    <w:rPr>
      <w:sz w:val="24"/>
      <w:szCs w:val="24"/>
      <w:lang w:val="en-US" w:eastAsia="en-US"/>
    </w:rPr>
  </w:style>
  <w:style w:type="paragraph" w:styleId="Footer">
    <w:name w:val="footer"/>
    <w:basedOn w:val="Normal"/>
    <w:link w:val="FooterChar"/>
    <w:uiPriority w:val="99"/>
    <w:unhideWhenUsed/>
    <w:rsid w:val="00295F81"/>
    <w:pPr>
      <w:tabs>
        <w:tab w:val="center" w:pos="4513"/>
        <w:tab w:val="right" w:pos="9026"/>
      </w:tabs>
    </w:pPr>
  </w:style>
  <w:style w:type="character" w:customStyle="1" w:styleId="FooterChar">
    <w:name w:val="Footer Char"/>
    <w:basedOn w:val="DefaultParagraphFont"/>
    <w:link w:val="Footer"/>
    <w:uiPriority w:val="99"/>
    <w:rsid w:val="00295F81"/>
    <w:rPr>
      <w:sz w:val="24"/>
      <w:szCs w:val="24"/>
      <w:lang w:val="en-US" w:eastAsia="en-US"/>
    </w:rPr>
  </w:style>
  <w:style w:type="character" w:styleId="FollowedHyperlink">
    <w:name w:val="FollowedHyperlink"/>
    <w:basedOn w:val="DefaultParagraphFont"/>
    <w:uiPriority w:val="99"/>
    <w:semiHidden/>
    <w:unhideWhenUsed/>
    <w:rsid w:val="00EA1672"/>
    <w:rPr>
      <w:color w:val="FF00FF" w:themeColor="followedHyperlink"/>
      <w:u w:val="single"/>
    </w:rPr>
  </w:style>
  <w:style w:type="paragraph" w:customStyle="1" w:styleId="f4">
    <w:name w:val="f4"/>
    <w:basedOn w:val="Normal"/>
    <w:rsid w:val="00C734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n-GB" w:eastAsia="en-GB"/>
    </w:rPr>
  </w:style>
  <w:style w:type="character" w:styleId="Emphasis">
    <w:name w:val="Emphasis"/>
    <w:basedOn w:val="DefaultParagraphFont"/>
    <w:uiPriority w:val="20"/>
    <w:qFormat/>
    <w:rsid w:val="00C7340D"/>
    <w:rPr>
      <w:i/>
      <w:iCs/>
    </w:rPr>
  </w:style>
  <w:style w:type="character" w:customStyle="1" w:styleId="apple-converted-space">
    <w:name w:val="apple-converted-space"/>
    <w:basedOn w:val="DefaultParagraphFont"/>
    <w:rsid w:val="00C7340D"/>
  </w:style>
  <w:style w:type="paragraph" w:styleId="BodyText">
    <w:name w:val="Body Text"/>
    <w:link w:val="BodyTextChar"/>
    <w:rsid w:val="006806A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Theme="minorHAnsi" w:hAnsi="Arial" w:cstheme="minorBidi"/>
      <w:color w:val="000000" w:themeColor="text1"/>
      <w:szCs w:val="22"/>
      <w:bdr w:val="none" w:sz="0" w:space="0" w:color="auto"/>
      <w:lang w:val="en-AU" w:eastAsia="en-US"/>
    </w:rPr>
  </w:style>
  <w:style w:type="character" w:customStyle="1" w:styleId="BodyTextChar">
    <w:name w:val="Body Text Char"/>
    <w:basedOn w:val="DefaultParagraphFont"/>
    <w:link w:val="BodyText"/>
    <w:rsid w:val="006806AF"/>
    <w:rPr>
      <w:rFonts w:ascii="Arial" w:eastAsiaTheme="minorHAnsi" w:hAnsi="Arial" w:cstheme="minorBidi"/>
      <w:color w:val="000000" w:themeColor="text1"/>
      <w:szCs w:val="22"/>
      <w:bdr w:val="none" w:sz="0" w:space="0" w:color="auto"/>
      <w:lang w:val="en-AU" w:eastAsia="en-US"/>
    </w:rPr>
  </w:style>
  <w:style w:type="character" w:styleId="Strong">
    <w:name w:val="Strong"/>
    <w:basedOn w:val="DefaultParagraphFont"/>
    <w:uiPriority w:val="22"/>
    <w:qFormat/>
    <w:rsid w:val="00F47425"/>
    <w:rPr>
      <w:b/>
      <w:bCs/>
    </w:rPr>
  </w:style>
  <w:style w:type="paragraph" w:styleId="FootnoteText">
    <w:name w:val="footnote text"/>
    <w:basedOn w:val="Normal"/>
    <w:link w:val="FootnoteTextChar"/>
    <w:uiPriority w:val="99"/>
    <w:semiHidden/>
    <w:unhideWhenUsed/>
    <w:rsid w:val="00A5202E"/>
    <w:rPr>
      <w:sz w:val="20"/>
      <w:szCs w:val="20"/>
    </w:rPr>
  </w:style>
  <w:style w:type="character" w:customStyle="1" w:styleId="FootnoteTextChar">
    <w:name w:val="Footnote Text Char"/>
    <w:basedOn w:val="DefaultParagraphFont"/>
    <w:link w:val="FootnoteText"/>
    <w:uiPriority w:val="99"/>
    <w:semiHidden/>
    <w:rsid w:val="00A5202E"/>
    <w:rPr>
      <w:lang w:val="en-US" w:eastAsia="en-US"/>
    </w:rPr>
  </w:style>
  <w:style w:type="character" w:styleId="FootnoteReference">
    <w:name w:val="footnote reference"/>
    <w:basedOn w:val="DefaultParagraphFont"/>
    <w:uiPriority w:val="99"/>
    <w:semiHidden/>
    <w:unhideWhenUsed/>
    <w:rsid w:val="00A5202E"/>
    <w:rPr>
      <w:vertAlign w:val="superscript"/>
    </w:rPr>
  </w:style>
  <w:style w:type="paragraph" w:styleId="Revision">
    <w:name w:val="Revision"/>
    <w:hidden/>
    <w:uiPriority w:val="99"/>
    <w:semiHidden/>
    <w:rsid w:val="00AA22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3226">
      <w:bodyDiv w:val="1"/>
      <w:marLeft w:val="0"/>
      <w:marRight w:val="0"/>
      <w:marTop w:val="0"/>
      <w:marBottom w:val="0"/>
      <w:divBdr>
        <w:top w:val="none" w:sz="0" w:space="0" w:color="auto"/>
        <w:left w:val="none" w:sz="0" w:space="0" w:color="auto"/>
        <w:bottom w:val="none" w:sz="0" w:space="0" w:color="auto"/>
        <w:right w:val="none" w:sz="0" w:space="0" w:color="auto"/>
      </w:divBdr>
      <w:divsChild>
        <w:div w:id="158028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517385">
              <w:marLeft w:val="0"/>
              <w:marRight w:val="0"/>
              <w:marTop w:val="0"/>
              <w:marBottom w:val="0"/>
              <w:divBdr>
                <w:top w:val="none" w:sz="0" w:space="0" w:color="auto"/>
                <w:left w:val="none" w:sz="0" w:space="0" w:color="auto"/>
                <w:bottom w:val="none" w:sz="0" w:space="0" w:color="auto"/>
                <w:right w:val="none" w:sz="0" w:space="0" w:color="auto"/>
              </w:divBdr>
              <w:divsChild>
                <w:div w:id="17966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6933">
      <w:bodyDiv w:val="1"/>
      <w:marLeft w:val="0"/>
      <w:marRight w:val="0"/>
      <w:marTop w:val="0"/>
      <w:marBottom w:val="0"/>
      <w:divBdr>
        <w:top w:val="none" w:sz="0" w:space="0" w:color="auto"/>
        <w:left w:val="none" w:sz="0" w:space="0" w:color="auto"/>
        <w:bottom w:val="none" w:sz="0" w:space="0" w:color="auto"/>
        <w:right w:val="none" w:sz="0" w:space="0" w:color="auto"/>
      </w:divBdr>
    </w:div>
    <w:div w:id="698504508">
      <w:bodyDiv w:val="1"/>
      <w:marLeft w:val="0"/>
      <w:marRight w:val="0"/>
      <w:marTop w:val="0"/>
      <w:marBottom w:val="0"/>
      <w:divBdr>
        <w:top w:val="none" w:sz="0" w:space="0" w:color="auto"/>
        <w:left w:val="none" w:sz="0" w:space="0" w:color="auto"/>
        <w:bottom w:val="none" w:sz="0" w:space="0" w:color="auto"/>
        <w:right w:val="none" w:sz="0" w:space="0" w:color="auto"/>
      </w:divBdr>
      <w:divsChild>
        <w:div w:id="75760577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MPWT-2140667901-58727</_dlc_DocId>
    <_dlc_DocIdUrl xmlns="20393cdf-440a-4521-8f19-00ba43423d00">
      <Url>https://pcgov.sharepoint.com/sites/sceteam/_layouts/15/DocIdRedir.aspx?ID=MPWT-2140667901-58727</Url>
      <Description>MPWT-2140667901-58727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DAF2-9CEB-40CA-8071-958DB4475197}">
  <ds:schemaRefs>
    <ds:schemaRef ds:uri="http://schemas.microsoft.com/sharepoint/events"/>
  </ds:schemaRefs>
</ds:datastoreItem>
</file>

<file path=customXml/itemProps2.xml><?xml version="1.0" encoding="utf-8"?>
<ds:datastoreItem xmlns:ds="http://schemas.openxmlformats.org/officeDocument/2006/customXml" ds:itemID="{9288F5D2-DF1D-0A4B-849D-56407B1FCDBE}">
  <ds:schemaRefs>
    <ds:schemaRef ds:uri="http://schemas.openxmlformats.org/officeDocument/2006/bibliography"/>
  </ds:schemaRefs>
</ds:datastoreItem>
</file>

<file path=customXml/itemProps3.xml><?xml version="1.0" encoding="utf-8"?>
<ds:datastoreItem xmlns:ds="http://schemas.openxmlformats.org/officeDocument/2006/customXml" ds:itemID="{A3490B1F-25B4-46BC-874D-B4E659CD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D11AC-C1A4-4293-B83A-10D6B77D31D3}">
  <ds:schemaRefs>
    <ds:schemaRef ds:uri="20393cdf-440a-4521-8f19-00ba43423d00"/>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3d385984-9344-419b-a80b-49c06a2bdab8"/>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738683DE-DAAA-440A-B040-FBDF10C8B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4271</Characters>
  <Application>Microsoft Office Word</Application>
  <DocSecurity>0</DocSecurity>
  <Lines>87</Lines>
  <Paragraphs>46</Paragraphs>
  <ScaleCrop>false</ScaleCrop>
  <HeadingPairs>
    <vt:vector size="2" baseType="variant">
      <vt:variant>
        <vt:lpstr>Title</vt:lpstr>
      </vt:variant>
      <vt:variant>
        <vt:i4>1</vt:i4>
      </vt:variant>
    </vt:vector>
  </HeadingPairs>
  <TitlesOfParts>
    <vt:vector size="1" baseType="lpstr">
      <vt:lpstr>Submission 20 - Cobram Estate Olives Limited - National Water Reform 2024 - Public inquiry</vt:lpstr>
    </vt:vector>
  </TitlesOfParts>
  <Company>Cobram Estate Olives Limited</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Cobram Estate Olives Limited - National Water Reform 2024 - Public inquiry</dc:title>
  <dc:creator>Cobram Estate Olives Limited</dc:creator>
  <cp:lastModifiedBy>Bianca Dobson</cp:lastModifiedBy>
  <cp:revision>3</cp:revision>
  <cp:lastPrinted>2021-06-01T03:58:00Z</cp:lastPrinted>
  <dcterms:created xsi:type="dcterms:W3CDTF">2024-02-02T01:36:00Z</dcterms:created>
  <dcterms:modified xsi:type="dcterms:W3CDTF">2024-02-12T04:47:00Z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0x010100C3768BCE0417AD4AB197AB9A07688AB4</vt:lpwstr>
  </property>
  <property fmtid="{D5CDD505-2E9C-101B-9397-08002B2CF9AE}" pid="3" name="MediaServiceImageTags">
    <vt:lpwstr/>
  </property>
  <property fmtid="{D5CDD505-2E9C-101B-9397-08002B2CF9AE}" pid="4" name="_dlc_DocIdItemGuid">
    <vt:lpwstr>ff93ee19-9cd3-43ba-9886-c0c7ca94d503</vt:lpwstr>
  </property>
  <property fmtid="{D5CDD505-2E9C-101B-9397-08002B2CF9AE}" pid="5" name="RevIMBCS">
    <vt:lpwstr>1;#Unclassified|3955eeb1-2d18-4582-aeb2-00144ec3aaf5</vt:lpwstr>
  </property>
</Properties>
</file>