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670463" w14:textId="54DAE9CA" w:rsidR="00EB643F" w:rsidRPr="00533374" w:rsidRDefault="00EB643F" w:rsidP="00E21051">
      <w:pPr>
        <w:jc w:val="both"/>
        <w:rPr>
          <w:szCs w:val="20"/>
        </w:rPr>
      </w:pPr>
      <w:r w:rsidRPr="00533374">
        <w:rPr>
          <w:szCs w:val="20"/>
        </w:rPr>
        <w:t>Productivity Commission</w:t>
      </w:r>
    </w:p>
    <w:p w14:paraId="13F2F260" w14:textId="39B755E5" w:rsidR="00CB5C44" w:rsidRPr="00533374" w:rsidRDefault="0052468D" w:rsidP="00E21051">
      <w:pPr>
        <w:jc w:val="both"/>
        <w:rPr>
          <w:szCs w:val="20"/>
        </w:rPr>
      </w:pPr>
      <w:r w:rsidRPr="00533374">
        <w:rPr>
          <w:szCs w:val="20"/>
        </w:rPr>
        <w:t>2</w:t>
      </w:r>
      <w:r w:rsidR="00540EA8" w:rsidRPr="00533374">
        <w:rPr>
          <w:szCs w:val="20"/>
        </w:rPr>
        <w:t xml:space="preserve">3 </w:t>
      </w:r>
      <w:r w:rsidRPr="00533374">
        <w:rPr>
          <w:szCs w:val="20"/>
        </w:rPr>
        <w:t>February 2024</w:t>
      </w:r>
    </w:p>
    <w:p w14:paraId="6A490BD0" w14:textId="19F55EAD" w:rsidR="00CB5C44" w:rsidRPr="00533374" w:rsidRDefault="0052468D" w:rsidP="00E21051">
      <w:pPr>
        <w:jc w:val="both"/>
        <w:rPr>
          <w:b/>
          <w:bCs/>
          <w:szCs w:val="20"/>
        </w:rPr>
      </w:pPr>
      <w:r w:rsidRPr="00533374">
        <w:rPr>
          <w:b/>
          <w:bCs/>
          <w:szCs w:val="20"/>
        </w:rPr>
        <w:t xml:space="preserve">Submission concerning </w:t>
      </w:r>
      <w:r w:rsidR="00D22246" w:rsidRPr="00533374">
        <w:rPr>
          <w:b/>
          <w:bCs/>
          <w:szCs w:val="20"/>
        </w:rPr>
        <w:t>Recommendation 7.1</w:t>
      </w:r>
      <w:r w:rsidR="00D22246">
        <w:rPr>
          <w:b/>
          <w:bCs/>
          <w:szCs w:val="20"/>
        </w:rPr>
        <w:t xml:space="preserve"> </w:t>
      </w:r>
      <w:r w:rsidRPr="00533374">
        <w:rPr>
          <w:b/>
          <w:bCs/>
          <w:i/>
          <w:iCs/>
          <w:szCs w:val="20"/>
        </w:rPr>
        <w:t>Future Foundations for Giving</w:t>
      </w:r>
      <w:r w:rsidR="00D22246">
        <w:rPr>
          <w:b/>
          <w:bCs/>
          <w:szCs w:val="20"/>
        </w:rPr>
        <w:t xml:space="preserve"> (Draft Report):</w:t>
      </w:r>
      <w:r w:rsidR="0008527F" w:rsidRPr="00533374">
        <w:rPr>
          <w:b/>
          <w:bCs/>
          <w:szCs w:val="20"/>
        </w:rPr>
        <w:t xml:space="preserve"> Basic Religious Charities</w:t>
      </w:r>
    </w:p>
    <w:p w14:paraId="0F571A95" w14:textId="77777777" w:rsidR="0052468D" w:rsidRPr="00533374" w:rsidRDefault="00A54CF4" w:rsidP="00E21051">
      <w:pPr>
        <w:jc w:val="both"/>
        <w:rPr>
          <w:b/>
          <w:bCs/>
          <w:szCs w:val="20"/>
        </w:rPr>
      </w:pPr>
      <w:r w:rsidRPr="00533374">
        <w:rPr>
          <w:b/>
          <w:bCs/>
          <w:szCs w:val="20"/>
        </w:rPr>
        <w:t>Introduction</w:t>
      </w:r>
    </w:p>
    <w:p w14:paraId="1BA38ED0" w14:textId="558A8F15" w:rsidR="00767DE2" w:rsidRPr="00533374" w:rsidRDefault="0052468D" w:rsidP="00E21051">
      <w:pPr>
        <w:spacing w:before="0"/>
        <w:jc w:val="both"/>
        <w:rPr>
          <w:szCs w:val="20"/>
        </w:rPr>
      </w:pPr>
      <w:r w:rsidRPr="00533374">
        <w:rPr>
          <w:szCs w:val="20"/>
        </w:rPr>
        <w:t xml:space="preserve">I am a Professor at the Australian National University with </w:t>
      </w:r>
      <w:r w:rsidR="00A54CF4" w:rsidRPr="00533374">
        <w:rPr>
          <w:szCs w:val="20"/>
        </w:rPr>
        <w:t>research expertise</w:t>
      </w:r>
      <w:r w:rsidRPr="00533374">
        <w:rPr>
          <w:szCs w:val="20"/>
        </w:rPr>
        <w:t xml:space="preserve"> in </w:t>
      </w:r>
      <w:r w:rsidR="000251F3" w:rsidRPr="00533374">
        <w:rPr>
          <w:szCs w:val="20"/>
        </w:rPr>
        <w:t xml:space="preserve">religious charity law and the </w:t>
      </w:r>
      <w:r w:rsidRPr="00533374">
        <w:rPr>
          <w:szCs w:val="20"/>
        </w:rPr>
        <w:t>legal regulation of religious financing</w:t>
      </w:r>
      <w:r w:rsidR="00A54CF4" w:rsidRPr="00533374">
        <w:rPr>
          <w:szCs w:val="20"/>
        </w:rPr>
        <w:t xml:space="preserve">. </w:t>
      </w:r>
      <w:r w:rsidRPr="00533374">
        <w:rPr>
          <w:szCs w:val="20"/>
        </w:rPr>
        <w:t xml:space="preserve">I have published widely on </w:t>
      </w:r>
      <w:r w:rsidR="000251F3" w:rsidRPr="00533374">
        <w:rPr>
          <w:szCs w:val="20"/>
        </w:rPr>
        <w:t>those</w:t>
      </w:r>
      <w:r w:rsidRPr="00533374">
        <w:rPr>
          <w:szCs w:val="20"/>
        </w:rPr>
        <w:t xml:space="preserve"> topic</w:t>
      </w:r>
      <w:r w:rsidR="000251F3" w:rsidRPr="00533374">
        <w:rPr>
          <w:szCs w:val="20"/>
        </w:rPr>
        <w:t>s</w:t>
      </w:r>
      <w:r w:rsidRPr="00533374">
        <w:rPr>
          <w:szCs w:val="20"/>
        </w:rPr>
        <w:t xml:space="preserve"> </w:t>
      </w:r>
      <w:r w:rsidR="00A54CF4" w:rsidRPr="00533374">
        <w:rPr>
          <w:szCs w:val="20"/>
        </w:rPr>
        <w:t xml:space="preserve">in relation to the law </w:t>
      </w:r>
      <w:r w:rsidR="006C36F4" w:rsidRPr="00533374">
        <w:rPr>
          <w:szCs w:val="20"/>
        </w:rPr>
        <w:t>i</w:t>
      </w:r>
      <w:r w:rsidR="00A54CF4" w:rsidRPr="00533374">
        <w:rPr>
          <w:szCs w:val="20"/>
        </w:rPr>
        <w:t xml:space="preserve">n Australia and other jurisdictions with a common charity law heritage. I participated In the Commission's workshop </w:t>
      </w:r>
      <w:r w:rsidR="000251F3" w:rsidRPr="00533374">
        <w:rPr>
          <w:szCs w:val="20"/>
        </w:rPr>
        <w:t>on 6 February 2024</w:t>
      </w:r>
      <w:r w:rsidR="0008527F" w:rsidRPr="00533374">
        <w:rPr>
          <w:szCs w:val="20"/>
        </w:rPr>
        <w:t xml:space="preserve"> </w:t>
      </w:r>
      <w:r w:rsidR="00A54CF4" w:rsidRPr="00533374">
        <w:rPr>
          <w:szCs w:val="20"/>
        </w:rPr>
        <w:t xml:space="preserve">with </w:t>
      </w:r>
      <w:r w:rsidR="000251F3" w:rsidRPr="00533374">
        <w:rPr>
          <w:szCs w:val="20"/>
        </w:rPr>
        <w:t xml:space="preserve">members of the </w:t>
      </w:r>
      <w:r w:rsidR="00A54CF4" w:rsidRPr="00533374">
        <w:rPr>
          <w:szCs w:val="20"/>
        </w:rPr>
        <w:t xml:space="preserve">Charity Law Association of Australia and New Zealand </w:t>
      </w:r>
      <w:r w:rsidR="0008527F" w:rsidRPr="00533374">
        <w:rPr>
          <w:szCs w:val="20"/>
        </w:rPr>
        <w:t xml:space="preserve">(CLAANZ) </w:t>
      </w:r>
      <w:r w:rsidR="00A54CF4" w:rsidRPr="00533374">
        <w:rPr>
          <w:szCs w:val="20"/>
        </w:rPr>
        <w:t xml:space="preserve">concerning the </w:t>
      </w:r>
      <w:r w:rsidR="0008527F" w:rsidRPr="00533374">
        <w:rPr>
          <w:szCs w:val="20"/>
        </w:rPr>
        <w:t>i</w:t>
      </w:r>
      <w:r w:rsidR="00A54CF4" w:rsidRPr="00533374">
        <w:rPr>
          <w:szCs w:val="20"/>
        </w:rPr>
        <w:t xml:space="preserve">mplications </w:t>
      </w:r>
      <w:r w:rsidR="0008527F" w:rsidRPr="00533374">
        <w:rPr>
          <w:szCs w:val="20"/>
        </w:rPr>
        <w:t xml:space="preserve">for religious charities </w:t>
      </w:r>
      <w:r w:rsidR="00A54CF4" w:rsidRPr="00533374">
        <w:rPr>
          <w:szCs w:val="20"/>
        </w:rPr>
        <w:t xml:space="preserve">of </w:t>
      </w:r>
      <w:r w:rsidR="0008527F" w:rsidRPr="00533374">
        <w:rPr>
          <w:szCs w:val="20"/>
        </w:rPr>
        <w:t>the Commission's</w:t>
      </w:r>
      <w:r w:rsidR="00A54CF4" w:rsidRPr="00533374">
        <w:rPr>
          <w:szCs w:val="20"/>
        </w:rPr>
        <w:t xml:space="preserve"> draft report. In this submission I comment on some aspects of the draft report that relate to basic religious charities (BRCs). In doing so, I am responding particularly to </w:t>
      </w:r>
      <w:r w:rsidR="00EE040A" w:rsidRPr="00533374">
        <w:rPr>
          <w:szCs w:val="20"/>
        </w:rPr>
        <w:t>concerns raised</w:t>
      </w:r>
      <w:r w:rsidR="00A54CF4" w:rsidRPr="00533374">
        <w:rPr>
          <w:szCs w:val="20"/>
        </w:rPr>
        <w:t xml:space="preserve"> at that workshop.</w:t>
      </w:r>
      <w:r w:rsidR="0008527F" w:rsidRPr="00533374">
        <w:rPr>
          <w:szCs w:val="20"/>
        </w:rPr>
        <w:t xml:space="preserve"> </w:t>
      </w:r>
      <w:r w:rsidR="0080130E">
        <w:rPr>
          <w:szCs w:val="20"/>
        </w:rPr>
        <w:t>This submission represents my own professional views.</w:t>
      </w:r>
    </w:p>
    <w:p w14:paraId="6CAA7C61" w14:textId="77777777" w:rsidR="000251F3" w:rsidRPr="00533374" w:rsidRDefault="000251F3" w:rsidP="00E21051">
      <w:pPr>
        <w:spacing w:before="0"/>
        <w:jc w:val="both"/>
        <w:rPr>
          <w:szCs w:val="20"/>
        </w:rPr>
      </w:pPr>
    </w:p>
    <w:p w14:paraId="637285A1" w14:textId="77777777" w:rsidR="000251F3" w:rsidRPr="00533374" w:rsidRDefault="00203181" w:rsidP="00E21051">
      <w:pPr>
        <w:spacing w:before="0"/>
        <w:jc w:val="both"/>
        <w:rPr>
          <w:b/>
          <w:bCs/>
          <w:szCs w:val="20"/>
        </w:rPr>
      </w:pPr>
      <w:r w:rsidRPr="00533374">
        <w:rPr>
          <w:b/>
          <w:bCs/>
          <w:szCs w:val="20"/>
        </w:rPr>
        <w:t>Draft recommendation 7.1</w:t>
      </w:r>
    </w:p>
    <w:p w14:paraId="74C59AF2" w14:textId="1B1BDE41" w:rsidR="0008527F" w:rsidRPr="00533374" w:rsidRDefault="00EE040A" w:rsidP="00E21051">
      <w:pPr>
        <w:spacing w:before="0"/>
        <w:jc w:val="both"/>
        <w:rPr>
          <w:szCs w:val="20"/>
        </w:rPr>
      </w:pPr>
      <w:r w:rsidRPr="00533374">
        <w:rPr>
          <w:szCs w:val="20"/>
        </w:rPr>
        <w:t xml:space="preserve">This recommendation </w:t>
      </w:r>
      <w:r w:rsidR="009C7C7A" w:rsidRPr="00533374">
        <w:rPr>
          <w:szCs w:val="20"/>
        </w:rPr>
        <w:t>i</w:t>
      </w:r>
      <w:r w:rsidRPr="00533374">
        <w:rPr>
          <w:szCs w:val="20"/>
        </w:rPr>
        <w:t xml:space="preserve">s that the </w:t>
      </w:r>
      <w:r w:rsidRPr="00533374">
        <w:rPr>
          <w:i/>
          <w:iCs/>
          <w:szCs w:val="20"/>
        </w:rPr>
        <w:t>Australian Charities and Not-for-profits Commission Act 2012</w:t>
      </w:r>
      <w:r w:rsidRPr="00533374">
        <w:rPr>
          <w:szCs w:val="20"/>
        </w:rPr>
        <w:t xml:space="preserve"> (</w:t>
      </w:r>
      <w:proofErr w:type="spellStart"/>
      <w:r w:rsidRPr="00533374">
        <w:rPr>
          <w:szCs w:val="20"/>
        </w:rPr>
        <w:t>Cth</w:t>
      </w:r>
      <w:proofErr w:type="spellEnd"/>
      <w:r w:rsidRPr="00533374">
        <w:rPr>
          <w:szCs w:val="20"/>
        </w:rPr>
        <w:t xml:space="preserve">) be amended to </w:t>
      </w:r>
      <w:r w:rsidR="00FD632C" w:rsidRPr="00533374">
        <w:rPr>
          <w:szCs w:val="20"/>
        </w:rPr>
        <w:t>'</w:t>
      </w:r>
      <w:r w:rsidRPr="00533374">
        <w:rPr>
          <w:szCs w:val="20"/>
        </w:rPr>
        <w:t>remove the concept of ‘basic religious charity’ and associated exemptions, so all charities registered with the Australian Charities and Not-for-profits Commission have the same governance obligations and reporting requirements proportionate to their size.</w:t>
      </w:r>
      <w:r w:rsidR="00D80AC6" w:rsidRPr="00533374">
        <w:rPr>
          <w:szCs w:val="20"/>
        </w:rPr>
        <w:t>'</w:t>
      </w:r>
      <w:r w:rsidRPr="00533374">
        <w:rPr>
          <w:szCs w:val="20"/>
        </w:rPr>
        <w:t xml:space="preserve"> I support this recommendation</w:t>
      </w:r>
      <w:r w:rsidR="007C075E" w:rsidRPr="00533374">
        <w:rPr>
          <w:szCs w:val="20"/>
        </w:rPr>
        <w:t xml:space="preserve"> because I am not persuaded that there are principled grounds </w:t>
      </w:r>
      <w:r w:rsidR="0008527F" w:rsidRPr="00533374">
        <w:rPr>
          <w:szCs w:val="20"/>
        </w:rPr>
        <w:t>(</w:t>
      </w:r>
      <w:proofErr w:type="spellStart"/>
      <w:r w:rsidR="0008527F" w:rsidRPr="00533374">
        <w:rPr>
          <w:szCs w:val="20"/>
        </w:rPr>
        <w:t>eg</w:t>
      </w:r>
      <w:proofErr w:type="spellEnd"/>
      <w:r w:rsidR="0008527F" w:rsidRPr="00533374">
        <w:rPr>
          <w:szCs w:val="20"/>
        </w:rPr>
        <w:t xml:space="preserve"> human rights</w:t>
      </w:r>
      <w:r w:rsidR="002A2E3B" w:rsidRPr="00533374">
        <w:rPr>
          <w:szCs w:val="20"/>
        </w:rPr>
        <w:t>-related</w:t>
      </w:r>
      <w:r w:rsidR="0008527F" w:rsidRPr="00533374">
        <w:rPr>
          <w:szCs w:val="20"/>
        </w:rPr>
        <w:t xml:space="preserve"> </w:t>
      </w:r>
      <w:r w:rsidR="002A2E3B" w:rsidRPr="00533374">
        <w:rPr>
          <w:szCs w:val="20"/>
        </w:rPr>
        <w:t>arguments</w:t>
      </w:r>
      <w:r w:rsidR="0008527F" w:rsidRPr="00533374">
        <w:rPr>
          <w:szCs w:val="20"/>
        </w:rPr>
        <w:t xml:space="preserve">) </w:t>
      </w:r>
      <w:r w:rsidR="007C075E" w:rsidRPr="00533374">
        <w:rPr>
          <w:szCs w:val="20"/>
        </w:rPr>
        <w:t xml:space="preserve">for the BRC </w:t>
      </w:r>
      <w:r w:rsidR="00EC6B38" w:rsidRPr="00533374">
        <w:rPr>
          <w:szCs w:val="20"/>
        </w:rPr>
        <w:t>category</w:t>
      </w:r>
      <w:r w:rsidR="00DC2997" w:rsidRPr="00533374">
        <w:rPr>
          <w:szCs w:val="20"/>
        </w:rPr>
        <w:t>. I also consider</w:t>
      </w:r>
      <w:r w:rsidR="0008527F" w:rsidRPr="00533374">
        <w:rPr>
          <w:szCs w:val="20"/>
        </w:rPr>
        <w:t xml:space="preserve"> that there are some pragmatic </w:t>
      </w:r>
      <w:r w:rsidR="00E16367" w:rsidRPr="00533374">
        <w:rPr>
          <w:szCs w:val="20"/>
        </w:rPr>
        <w:t>reasons why it should be adopted</w:t>
      </w:r>
      <w:r w:rsidR="0008527F" w:rsidRPr="00533374">
        <w:rPr>
          <w:szCs w:val="20"/>
        </w:rPr>
        <w:t xml:space="preserve">. My reasoning </w:t>
      </w:r>
      <w:r w:rsidR="00967678">
        <w:rPr>
          <w:szCs w:val="20"/>
        </w:rPr>
        <w:t>i</w:t>
      </w:r>
      <w:r w:rsidR="0008527F" w:rsidRPr="00533374">
        <w:rPr>
          <w:szCs w:val="20"/>
        </w:rPr>
        <w:t xml:space="preserve">s as follows. </w:t>
      </w:r>
    </w:p>
    <w:p w14:paraId="442BEB8B" w14:textId="77777777" w:rsidR="0008527F" w:rsidRPr="00533374" w:rsidRDefault="0008527F" w:rsidP="00E21051">
      <w:pPr>
        <w:spacing w:before="0"/>
        <w:jc w:val="both"/>
        <w:rPr>
          <w:szCs w:val="20"/>
        </w:rPr>
      </w:pPr>
    </w:p>
    <w:p w14:paraId="6F2A39F9" w14:textId="54551C73" w:rsidR="00F577B2" w:rsidRPr="00533374" w:rsidRDefault="0008527F" w:rsidP="00E21051">
      <w:pPr>
        <w:spacing w:before="0"/>
        <w:jc w:val="both"/>
        <w:rPr>
          <w:szCs w:val="20"/>
        </w:rPr>
      </w:pPr>
      <w:r w:rsidRPr="00533374">
        <w:rPr>
          <w:szCs w:val="20"/>
        </w:rPr>
        <w:t xml:space="preserve">The arguments of principle in favour of the current BRC exemptions that I am aware of relate to </w:t>
      </w:r>
      <w:r w:rsidR="002B43FD">
        <w:rPr>
          <w:szCs w:val="20"/>
        </w:rPr>
        <w:t>protection of</w:t>
      </w:r>
      <w:r w:rsidRPr="00533374">
        <w:rPr>
          <w:szCs w:val="20"/>
        </w:rPr>
        <w:t xml:space="preserve"> freedom of religion.</w:t>
      </w:r>
      <w:r w:rsidR="009520B7" w:rsidRPr="00533374">
        <w:rPr>
          <w:rStyle w:val="FootnoteReference"/>
          <w:szCs w:val="20"/>
        </w:rPr>
        <w:footnoteReference w:id="1"/>
      </w:r>
      <w:r w:rsidR="007C075E" w:rsidRPr="00533374">
        <w:rPr>
          <w:szCs w:val="20"/>
        </w:rPr>
        <w:t xml:space="preserve"> </w:t>
      </w:r>
      <w:r w:rsidRPr="00533374">
        <w:rPr>
          <w:szCs w:val="20"/>
        </w:rPr>
        <w:t>For example, at the CLAANZ workshop that I attended it was suggested that removal of the BRC</w:t>
      </w:r>
      <w:r w:rsidR="005B39E2" w:rsidRPr="00533374">
        <w:rPr>
          <w:szCs w:val="20"/>
        </w:rPr>
        <w:t>-</w:t>
      </w:r>
      <w:r w:rsidRPr="00533374">
        <w:rPr>
          <w:szCs w:val="20"/>
        </w:rPr>
        <w:t xml:space="preserve">associated exemptions would infringe the right to freedom of religion of entities with the charitable </w:t>
      </w:r>
      <w:r w:rsidRPr="00533374">
        <w:rPr>
          <w:szCs w:val="20"/>
        </w:rPr>
        <w:lastRenderedPageBreak/>
        <w:t xml:space="preserve">purpose of the advancement of religion. </w:t>
      </w:r>
      <w:r w:rsidR="00F577B2" w:rsidRPr="00533374">
        <w:rPr>
          <w:szCs w:val="20"/>
        </w:rPr>
        <w:t xml:space="preserve">I have discussed the potential for human rights law to apply in the </w:t>
      </w:r>
      <w:r w:rsidR="00E973FC" w:rsidRPr="00533374">
        <w:rPr>
          <w:szCs w:val="20"/>
        </w:rPr>
        <w:t xml:space="preserve">Australian </w:t>
      </w:r>
      <w:r w:rsidR="00F577B2" w:rsidRPr="00533374">
        <w:rPr>
          <w:szCs w:val="20"/>
        </w:rPr>
        <w:t>religious charity law context in several publications and draw on that material here.</w:t>
      </w:r>
      <w:r w:rsidR="00F577B2" w:rsidRPr="00533374">
        <w:rPr>
          <w:rStyle w:val="FootnoteReference"/>
          <w:szCs w:val="20"/>
        </w:rPr>
        <w:footnoteReference w:id="2"/>
      </w:r>
      <w:r w:rsidR="00F577B2" w:rsidRPr="00533374">
        <w:rPr>
          <w:szCs w:val="20"/>
        </w:rPr>
        <w:t xml:space="preserve"> </w:t>
      </w:r>
      <w:r w:rsidR="00E81612">
        <w:rPr>
          <w:szCs w:val="20"/>
        </w:rPr>
        <w:t>There</w:t>
      </w:r>
      <w:r w:rsidR="00F577B2" w:rsidRPr="00533374">
        <w:rPr>
          <w:szCs w:val="20"/>
        </w:rPr>
        <w:t xml:space="preserve"> are several reasons why </w:t>
      </w:r>
      <w:r w:rsidR="005D2ECC">
        <w:rPr>
          <w:szCs w:val="20"/>
        </w:rPr>
        <w:t>i</w:t>
      </w:r>
      <w:r w:rsidR="00F577B2" w:rsidRPr="00533374">
        <w:rPr>
          <w:szCs w:val="20"/>
        </w:rPr>
        <w:t xml:space="preserve">t would be difficult to mount a human rights challenge regarding Draft Recommendation 7.1. </w:t>
      </w:r>
    </w:p>
    <w:p w14:paraId="4DD85E87" w14:textId="1FCAC901" w:rsidR="00D0186D" w:rsidRPr="00533374" w:rsidRDefault="006D47DF" w:rsidP="00E21051">
      <w:pPr>
        <w:jc w:val="both"/>
        <w:rPr>
          <w:szCs w:val="20"/>
        </w:rPr>
      </w:pPr>
      <w:r w:rsidRPr="00533374">
        <w:rPr>
          <w:szCs w:val="20"/>
        </w:rPr>
        <w:t xml:space="preserve">The first </w:t>
      </w:r>
      <w:r w:rsidR="00A22B09">
        <w:rPr>
          <w:szCs w:val="20"/>
        </w:rPr>
        <w:t>reason</w:t>
      </w:r>
      <w:r w:rsidRPr="00533374">
        <w:rPr>
          <w:szCs w:val="20"/>
        </w:rPr>
        <w:t xml:space="preserve"> is jurisdiction</w:t>
      </w:r>
      <w:r w:rsidR="00F52C33" w:rsidRPr="00533374">
        <w:rPr>
          <w:szCs w:val="20"/>
        </w:rPr>
        <w:t>al</w:t>
      </w:r>
      <w:r w:rsidRPr="00533374">
        <w:rPr>
          <w:szCs w:val="20"/>
        </w:rPr>
        <w:t xml:space="preserve">: what </w:t>
      </w:r>
      <w:r w:rsidR="00ED6D71" w:rsidRPr="00533374">
        <w:rPr>
          <w:szCs w:val="20"/>
        </w:rPr>
        <w:t>i</w:t>
      </w:r>
      <w:r w:rsidR="00F577B2" w:rsidRPr="00533374">
        <w:rPr>
          <w:szCs w:val="20"/>
        </w:rPr>
        <w:t xml:space="preserve">s the source of jurisdiction for a freedom of religion-based challenge?  </w:t>
      </w:r>
      <w:r w:rsidR="009520B7" w:rsidRPr="00533374">
        <w:rPr>
          <w:szCs w:val="20"/>
        </w:rPr>
        <w:t xml:space="preserve">Section 116 restricts the Commonwealth's law-making powers with respect to religion, but not </w:t>
      </w:r>
      <w:r w:rsidR="00E52C45" w:rsidRPr="00533374">
        <w:rPr>
          <w:szCs w:val="20"/>
        </w:rPr>
        <w:t>i</w:t>
      </w:r>
      <w:r w:rsidR="009520B7" w:rsidRPr="00533374">
        <w:rPr>
          <w:szCs w:val="20"/>
        </w:rPr>
        <w:t>n a way that</w:t>
      </w:r>
      <w:r w:rsidR="00A340F0" w:rsidRPr="00533374">
        <w:rPr>
          <w:szCs w:val="20"/>
        </w:rPr>
        <w:t xml:space="preserve"> necessarily</w:t>
      </w:r>
      <w:r w:rsidR="009520B7" w:rsidRPr="00533374">
        <w:rPr>
          <w:szCs w:val="20"/>
        </w:rPr>
        <w:t xml:space="preserve"> precludes recommendation 7.1 (I leave to one side the </w:t>
      </w:r>
      <w:r w:rsidR="00E52C45" w:rsidRPr="00533374">
        <w:rPr>
          <w:szCs w:val="20"/>
        </w:rPr>
        <w:t>question</w:t>
      </w:r>
      <w:r w:rsidR="009520B7" w:rsidRPr="00533374">
        <w:rPr>
          <w:szCs w:val="20"/>
        </w:rPr>
        <w:t xml:space="preserve"> whether the Commonwealth has legislative power at all </w:t>
      </w:r>
      <w:r w:rsidR="00E52C45" w:rsidRPr="00533374">
        <w:rPr>
          <w:szCs w:val="20"/>
        </w:rPr>
        <w:t>here</w:t>
      </w:r>
      <w:r w:rsidR="00431D64" w:rsidRPr="00533374">
        <w:rPr>
          <w:szCs w:val="20"/>
        </w:rPr>
        <w:t>,</w:t>
      </w:r>
      <w:r w:rsidR="00E52C45" w:rsidRPr="00533374">
        <w:rPr>
          <w:szCs w:val="20"/>
        </w:rPr>
        <w:t xml:space="preserve"> </w:t>
      </w:r>
      <w:r w:rsidR="00431D64" w:rsidRPr="00533374">
        <w:rPr>
          <w:szCs w:val="20"/>
        </w:rPr>
        <w:t>as</w:t>
      </w:r>
      <w:r w:rsidR="009520B7" w:rsidRPr="00533374">
        <w:rPr>
          <w:szCs w:val="20"/>
        </w:rPr>
        <w:t xml:space="preserve"> I am not a constitutional lawyer). </w:t>
      </w:r>
      <w:r w:rsidR="00A340F0" w:rsidRPr="00533374">
        <w:rPr>
          <w:rFonts w:eastAsia="Times New Roman"/>
          <w:szCs w:val="20"/>
        </w:rPr>
        <w:t>Section 116</w:t>
      </w:r>
      <w:r w:rsidR="00F577B2" w:rsidRPr="00533374">
        <w:rPr>
          <w:rFonts w:eastAsia="Times New Roman"/>
          <w:szCs w:val="20"/>
        </w:rPr>
        <w:t xml:space="preserve"> d</w:t>
      </w:r>
      <w:r w:rsidR="00F577B2" w:rsidRPr="00533374">
        <w:rPr>
          <w:szCs w:val="20"/>
        </w:rPr>
        <w:t>oes not preclude government funding of religious groups or the facilitation of religious activity through conferral of charitable status,</w:t>
      </w:r>
      <w:r w:rsidR="00F577B2" w:rsidRPr="00533374">
        <w:rPr>
          <w:rFonts w:eastAsia="Times New Roman"/>
          <w:szCs w:val="20"/>
          <w:vertAlign w:val="superscript"/>
        </w:rPr>
        <w:footnoteReference w:id="3"/>
      </w:r>
      <w:r w:rsidR="00F577B2" w:rsidRPr="00533374">
        <w:rPr>
          <w:rFonts w:eastAsia="Times New Roman"/>
          <w:szCs w:val="20"/>
        </w:rPr>
        <w:t xml:space="preserve"> </w:t>
      </w:r>
      <w:r w:rsidR="00F577B2" w:rsidRPr="00533374">
        <w:rPr>
          <w:szCs w:val="20"/>
        </w:rPr>
        <w:t xml:space="preserve">but it has not always been effectual in protecting freedom of religion and it does not </w:t>
      </w:r>
      <w:r w:rsidR="005A6AC0">
        <w:rPr>
          <w:szCs w:val="20"/>
        </w:rPr>
        <w:t>negate</w:t>
      </w:r>
      <w:r w:rsidR="00F577B2" w:rsidRPr="00533374">
        <w:rPr>
          <w:szCs w:val="20"/>
        </w:rPr>
        <w:t xml:space="preserve"> the Commonwealth’s ability, through legislation, </w:t>
      </w:r>
      <w:r w:rsidR="00261D16">
        <w:rPr>
          <w:szCs w:val="20"/>
        </w:rPr>
        <w:t>to refuse</w:t>
      </w:r>
      <w:r w:rsidR="00F577B2" w:rsidRPr="00533374">
        <w:rPr>
          <w:szCs w:val="20"/>
        </w:rPr>
        <w:t xml:space="preserve"> </w:t>
      </w:r>
      <w:r w:rsidR="00EE5720">
        <w:rPr>
          <w:szCs w:val="20"/>
        </w:rPr>
        <w:t xml:space="preserve">or restrict </w:t>
      </w:r>
      <w:r w:rsidR="00F577B2" w:rsidRPr="00533374">
        <w:rPr>
          <w:szCs w:val="20"/>
        </w:rPr>
        <w:t xml:space="preserve">charitable status for </w:t>
      </w:r>
      <w:r w:rsidR="00261D16">
        <w:rPr>
          <w:szCs w:val="20"/>
        </w:rPr>
        <w:t xml:space="preserve">purposes for </w:t>
      </w:r>
      <w:r w:rsidR="00F577B2" w:rsidRPr="00533374">
        <w:rPr>
          <w:szCs w:val="20"/>
        </w:rPr>
        <w:t>the advancement of religion.</w:t>
      </w:r>
      <w:r w:rsidR="00C27158" w:rsidRPr="00533374">
        <w:rPr>
          <w:rStyle w:val="FootnoteReference"/>
          <w:szCs w:val="20"/>
        </w:rPr>
        <w:footnoteReference w:id="4"/>
      </w:r>
      <w:r w:rsidR="00F577B2" w:rsidRPr="00533374">
        <w:rPr>
          <w:szCs w:val="20"/>
        </w:rPr>
        <w:t xml:space="preserve"> </w:t>
      </w:r>
    </w:p>
    <w:p w14:paraId="7030461B" w14:textId="56FBEB21" w:rsidR="00F15F5F" w:rsidRPr="00533374" w:rsidRDefault="00F577B2" w:rsidP="00E21051">
      <w:pPr>
        <w:jc w:val="both"/>
        <w:rPr>
          <w:szCs w:val="20"/>
        </w:rPr>
      </w:pPr>
      <w:r w:rsidRPr="00533374">
        <w:rPr>
          <w:szCs w:val="20"/>
        </w:rPr>
        <w:t>Australia’s international human rights obligations are likely to be</w:t>
      </w:r>
      <w:r w:rsidR="007771FC" w:rsidRPr="00533374">
        <w:rPr>
          <w:szCs w:val="20"/>
        </w:rPr>
        <w:t xml:space="preserve"> more</w:t>
      </w:r>
      <w:r w:rsidRPr="00533374">
        <w:rPr>
          <w:szCs w:val="20"/>
        </w:rPr>
        <w:t xml:space="preserve"> </w:t>
      </w:r>
      <w:r w:rsidR="007771FC" w:rsidRPr="00533374">
        <w:rPr>
          <w:szCs w:val="20"/>
        </w:rPr>
        <w:t>relevant</w:t>
      </w:r>
      <w:r w:rsidRPr="00533374">
        <w:rPr>
          <w:szCs w:val="20"/>
        </w:rPr>
        <w:t xml:space="preserve"> </w:t>
      </w:r>
      <w:r w:rsidR="004D7A47">
        <w:rPr>
          <w:szCs w:val="20"/>
        </w:rPr>
        <w:t>to</w:t>
      </w:r>
      <w:r w:rsidRPr="00533374">
        <w:rPr>
          <w:szCs w:val="20"/>
        </w:rPr>
        <w:t xml:space="preserve"> charity law</w:t>
      </w:r>
      <w:r w:rsidR="00D0186D" w:rsidRPr="00533374">
        <w:rPr>
          <w:szCs w:val="20"/>
        </w:rPr>
        <w:t>, particularly</w:t>
      </w:r>
      <w:r w:rsidR="00F15F5F" w:rsidRPr="00533374">
        <w:rPr>
          <w:szCs w:val="20"/>
        </w:rPr>
        <w:t xml:space="preserve"> the </w:t>
      </w:r>
      <w:r w:rsidR="00F15F5F" w:rsidRPr="00533374">
        <w:rPr>
          <w:i/>
          <w:szCs w:val="20"/>
        </w:rPr>
        <w:t>International Covenant on Civil and Political Rights</w:t>
      </w:r>
      <w:r w:rsidR="00F15F5F" w:rsidRPr="00533374">
        <w:rPr>
          <w:szCs w:val="20"/>
        </w:rPr>
        <w:t xml:space="preserve"> (“</w:t>
      </w:r>
      <w:r w:rsidR="00F15F5F" w:rsidRPr="00533374">
        <w:rPr>
          <w:i/>
          <w:iCs/>
          <w:szCs w:val="20"/>
        </w:rPr>
        <w:t>ICCPR</w:t>
      </w:r>
      <w:r w:rsidR="00F15F5F" w:rsidRPr="00533374">
        <w:rPr>
          <w:szCs w:val="20"/>
        </w:rPr>
        <w:t>”)</w:t>
      </w:r>
      <w:r w:rsidR="00D0186D" w:rsidRPr="00533374">
        <w:rPr>
          <w:szCs w:val="20"/>
        </w:rPr>
        <w:t>.</w:t>
      </w:r>
      <w:r w:rsidR="00F15F5F" w:rsidRPr="00533374">
        <w:rPr>
          <w:rStyle w:val="FootnoteReference"/>
          <w:szCs w:val="20"/>
        </w:rPr>
        <w:footnoteReference w:id="5"/>
      </w:r>
      <w:r w:rsidR="00F15F5F" w:rsidRPr="00533374">
        <w:rPr>
          <w:szCs w:val="20"/>
        </w:rPr>
        <w:t xml:space="preserve"> Article 18(1) of the </w:t>
      </w:r>
      <w:r w:rsidR="00F15F5F" w:rsidRPr="00533374">
        <w:rPr>
          <w:i/>
          <w:szCs w:val="20"/>
        </w:rPr>
        <w:t>ICCPR</w:t>
      </w:r>
      <w:r w:rsidR="00F15F5F" w:rsidRPr="00533374">
        <w:rPr>
          <w:szCs w:val="20"/>
        </w:rPr>
        <w:t xml:space="preserve"> protects the right “in community with others and in public or private, to manifest [one’s] religion or belief in worship, observance, practice and teaching”. </w:t>
      </w:r>
      <w:r w:rsidR="00F26DC7" w:rsidRPr="00533374">
        <w:rPr>
          <w:szCs w:val="20"/>
        </w:rPr>
        <w:t>R</w:t>
      </w:r>
      <w:r w:rsidR="00F15F5F" w:rsidRPr="00533374">
        <w:rPr>
          <w:szCs w:val="20"/>
        </w:rPr>
        <w:t>eligious groups may claim the protection of Article 18 and its equivalents on behalf of their members</w:t>
      </w:r>
      <w:r w:rsidR="00F26DC7" w:rsidRPr="00533374">
        <w:rPr>
          <w:szCs w:val="20"/>
        </w:rPr>
        <w:t>.</w:t>
      </w:r>
      <w:r w:rsidR="00F15F5F" w:rsidRPr="00533374">
        <w:rPr>
          <w:rStyle w:val="FootnoteReference"/>
          <w:szCs w:val="20"/>
        </w:rPr>
        <w:footnoteReference w:id="6"/>
      </w:r>
      <w:r w:rsidR="00F15F5F" w:rsidRPr="00533374">
        <w:rPr>
          <w:szCs w:val="20"/>
        </w:rPr>
        <w:t xml:space="preserve"> The concept of manifestation of religion ‘in community’ encompasses the charity law concept of ‘advancement of religion’.</w:t>
      </w:r>
      <w:r w:rsidR="00F15F5F" w:rsidRPr="00533374">
        <w:rPr>
          <w:rStyle w:val="FootnoteReference"/>
          <w:szCs w:val="20"/>
        </w:rPr>
        <w:footnoteReference w:id="7"/>
      </w:r>
      <w:r w:rsidR="00F15F5F" w:rsidRPr="00533374">
        <w:rPr>
          <w:szCs w:val="20"/>
        </w:rPr>
        <w:t xml:space="preserve"> Thus, in principle, Article 18 applies to a religious group’s claim that the refusal </w:t>
      </w:r>
      <w:r w:rsidR="005B0BC7" w:rsidRPr="00533374">
        <w:rPr>
          <w:szCs w:val="20"/>
        </w:rPr>
        <w:t xml:space="preserve">of </w:t>
      </w:r>
      <w:r w:rsidR="00D0538E" w:rsidRPr="00533374">
        <w:rPr>
          <w:szCs w:val="20"/>
        </w:rPr>
        <w:t xml:space="preserve">(or, arguably, </w:t>
      </w:r>
      <w:r w:rsidR="005B0BC7" w:rsidRPr="00533374">
        <w:rPr>
          <w:szCs w:val="20"/>
        </w:rPr>
        <w:t xml:space="preserve">imposition of limitations on) </w:t>
      </w:r>
      <w:r w:rsidR="00F15F5F" w:rsidRPr="00533374">
        <w:rPr>
          <w:szCs w:val="20"/>
        </w:rPr>
        <w:t>charitable status and concomitant fiscal benefits interferes with the communal manifestation of religious beliefs by its members so as to breach their right to freedom of religion.</w:t>
      </w:r>
    </w:p>
    <w:p w14:paraId="2F3B3797" w14:textId="77777777" w:rsidR="000D5DD1" w:rsidRPr="00533374" w:rsidRDefault="00F15F5F" w:rsidP="00E21051">
      <w:pPr>
        <w:jc w:val="both"/>
        <w:rPr>
          <w:szCs w:val="20"/>
        </w:rPr>
      </w:pPr>
      <w:r w:rsidRPr="00533374">
        <w:rPr>
          <w:szCs w:val="20"/>
        </w:rPr>
        <w:t xml:space="preserve">Nonetheless, such a claim seems unlikely to succeed. Implementation of the ICCPR into domestic legislation has been patchy and, so far as I am aware, does not allow for a direct claim by a religious entity against the </w:t>
      </w:r>
      <w:r w:rsidRPr="00533374">
        <w:rPr>
          <w:szCs w:val="20"/>
        </w:rPr>
        <w:lastRenderedPageBreak/>
        <w:t>Commonwealth or the ACNC.</w:t>
      </w:r>
      <w:r w:rsidRPr="00533374">
        <w:rPr>
          <w:rStyle w:val="FootnoteReference"/>
          <w:szCs w:val="20"/>
        </w:rPr>
        <w:footnoteReference w:id="8"/>
      </w:r>
      <w:r w:rsidRPr="00533374">
        <w:rPr>
          <w:szCs w:val="20"/>
        </w:rPr>
        <w:t xml:space="preserve"> Furthermore, Courts in various jurisdictions have found that the refusal of charitable status and associated tax privileges does not infringe the right to freedom of religion for the simple reason that lack of charitable status does not preclude group members from manifesting their religious beliefs, although it may make it more expensive to do so.</w:t>
      </w:r>
      <w:r w:rsidRPr="00533374">
        <w:rPr>
          <w:rStyle w:val="FootnoteReference"/>
          <w:szCs w:val="20"/>
        </w:rPr>
        <w:footnoteReference w:id="9"/>
      </w:r>
      <w:r w:rsidRPr="00533374">
        <w:rPr>
          <w:szCs w:val="20"/>
        </w:rPr>
        <w:t xml:space="preserve"> Charitable status has a privileging, rather than legalising, function. </w:t>
      </w:r>
      <w:r w:rsidR="008E66C7" w:rsidRPr="00533374">
        <w:rPr>
          <w:szCs w:val="20"/>
        </w:rPr>
        <w:t xml:space="preserve">This would also seem to apply where </w:t>
      </w:r>
      <w:r w:rsidR="00A270CB" w:rsidRPr="00533374">
        <w:rPr>
          <w:szCs w:val="20"/>
        </w:rPr>
        <w:t xml:space="preserve">religious groups are subjected to more onerous </w:t>
      </w:r>
      <w:r w:rsidR="00F8290C" w:rsidRPr="00533374">
        <w:rPr>
          <w:szCs w:val="20"/>
        </w:rPr>
        <w:t>governance and reporting obligations than was previously the case</w:t>
      </w:r>
      <w:r w:rsidR="000D5DD1" w:rsidRPr="00533374">
        <w:rPr>
          <w:szCs w:val="20"/>
        </w:rPr>
        <w:t xml:space="preserve">, pursuant to recommendation 7.1. </w:t>
      </w:r>
    </w:p>
    <w:p w14:paraId="6163FAD7" w14:textId="4ACDFA29" w:rsidR="00F15F5F" w:rsidRPr="00533374" w:rsidRDefault="000D5DD1" w:rsidP="00E21051">
      <w:pPr>
        <w:jc w:val="both"/>
        <w:rPr>
          <w:szCs w:val="20"/>
        </w:rPr>
      </w:pPr>
      <w:r w:rsidRPr="00533374">
        <w:rPr>
          <w:szCs w:val="20"/>
        </w:rPr>
        <w:t>A Canadian lower court</w:t>
      </w:r>
      <w:r w:rsidR="00F15F5F" w:rsidRPr="00533374">
        <w:rPr>
          <w:szCs w:val="20"/>
        </w:rPr>
        <w:t xml:space="preserve"> case to the opposite effect </w:t>
      </w:r>
      <w:r w:rsidR="00020EF4" w:rsidRPr="00533374">
        <w:rPr>
          <w:szCs w:val="20"/>
        </w:rPr>
        <w:t>i</w:t>
      </w:r>
      <w:r w:rsidR="00F15F5F" w:rsidRPr="00533374">
        <w:rPr>
          <w:szCs w:val="20"/>
        </w:rPr>
        <w:t xml:space="preserve">s </w:t>
      </w:r>
      <w:r w:rsidR="00F15F5F" w:rsidRPr="00533374">
        <w:rPr>
          <w:i/>
          <w:szCs w:val="20"/>
        </w:rPr>
        <w:t>Canada Without Poverty v Attorney General Canada</w:t>
      </w:r>
      <w:r w:rsidR="00852FD0" w:rsidRPr="00533374">
        <w:rPr>
          <w:i/>
          <w:szCs w:val="20"/>
        </w:rPr>
        <w:t xml:space="preserve"> </w:t>
      </w:r>
      <w:r w:rsidR="00F15F5F" w:rsidRPr="00533374">
        <w:rPr>
          <w:szCs w:val="20"/>
        </w:rPr>
        <w:t xml:space="preserve"> </w:t>
      </w:r>
      <w:r w:rsidR="00852FD0" w:rsidRPr="00533374">
        <w:rPr>
          <w:szCs w:val="20"/>
        </w:rPr>
        <w:t xml:space="preserve">where </w:t>
      </w:r>
      <w:r w:rsidR="00F15F5F" w:rsidRPr="00533374">
        <w:rPr>
          <w:szCs w:val="20"/>
        </w:rPr>
        <w:t xml:space="preserve">Morgan J </w:t>
      </w:r>
      <w:r w:rsidR="00020EF4" w:rsidRPr="00533374">
        <w:rPr>
          <w:szCs w:val="20"/>
        </w:rPr>
        <w:t>accepted</w:t>
      </w:r>
      <w:r w:rsidR="00F15F5F" w:rsidRPr="00533374">
        <w:rPr>
          <w:szCs w:val="20"/>
        </w:rPr>
        <w:t xml:space="preserve"> the claimant’s argument that it could not continue to operate without the tax benefits associated with its charitable status and that this ‘cost burden’ infringed its right to freedom of expression under s 2(b) of the Canadian </w:t>
      </w:r>
      <w:r w:rsidR="00F15F5F" w:rsidRPr="00533374">
        <w:rPr>
          <w:i/>
          <w:szCs w:val="20"/>
        </w:rPr>
        <w:t>Charter</w:t>
      </w:r>
      <w:r w:rsidR="00020EF4" w:rsidRPr="00533374">
        <w:rPr>
          <w:szCs w:val="20"/>
        </w:rPr>
        <w:t>.</w:t>
      </w:r>
      <w:r w:rsidR="006F7EBF" w:rsidRPr="00533374">
        <w:rPr>
          <w:rStyle w:val="FootnoteReference"/>
          <w:szCs w:val="20"/>
        </w:rPr>
        <w:t xml:space="preserve"> </w:t>
      </w:r>
      <w:r w:rsidR="006F7EBF" w:rsidRPr="00533374">
        <w:rPr>
          <w:rStyle w:val="FootnoteReference"/>
          <w:szCs w:val="20"/>
        </w:rPr>
        <w:footnoteReference w:id="10"/>
      </w:r>
      <w:r w:rsidR="00020EF4" w:rsidRPr="00533374">
        <w:rPr>
          <w:szCs w:val="20"/>
        </w:rPr>
        <w:t xml:space="preserve"> </w:t>
      </w:r>
      <w:r w:rsidR="00F70805" w:rsidRPr="00533374">
        <w:rPr>
          <w:szCs w:val="20"/>
        </w:rPr>
        <w:t xml:space="preserve">It was held that </w:t>
      </w:r>
      <w:r w:rsidR="00F15F5F" w:rsidRPr="00533374">
        <w:rPr>
          <w:szCs w:val="20"/>
        </w:rPr>
        <w:t xml:space="preserve"> </w:t>
      </w:r>
      <w:r w:rsidR="00F70805" w:rsidRPr="00533374">
        <w:rPr>
          <w:szCs w:val="20"/>
        </w:rPr>
        <w:t>'</w:t>
      </w:r>
      <w:r w:rsidR="00F15F5F" w:rsidRPr="00533374">
        <w:rPr>
          <w:szCs w:val="20"/>
        </w:rPr>
        <w:t>[a]</w:t>
      </w:r>
      <w:proofErr w:type="spellStart"/>
      <w:r w:rsidR="00F15F5F" w:rsidRPr="00533374">
        <w:rPr>
          <w:szCs w:val="20"/>
        </w:rPr>
        <w:t>ny</w:t>
      </w:r>
      <w:proofErr w:type="spellEnd"/>
      <w:r w:rsidR="00F15F5F" w:rsidRPr="00533374">
        <w:rPr>
          <w:szCs w:val="20"/>
        </w:rPr>
        <w:t xml:space="preserve"> burden, including a cost burden, imposed by government on the exercise of a fundamental freedom such as religion or expression can qualify as an infringement of that freedom if it is not ‘trivial or insubstantial’</w:t>
      </w:r>
      <w:r w:rsidR="006F7EBF" w:rsidRPr="00533374">
        <w:rPr>
          <w:szCs w:val="20"/>
        </w:rPr>
        <w:t>'.</w:t>
      </w:r>
      <w:r w:rsidR="006F7EBF" w:rsidRPr="00533374">
        <w:rPr>
          <w:rStyle w:val="FootnoteReference"/>
          <w:szCs w:val="20"/>
        </w:rPr>
        <w:footnoteReference w:id="11"/>
      </w:r>
      <w:r w:rsidR="00F15F5F" w:rsidRPr="00533374">
        <w:rPr>
          <w:szCs w:val="20"/>
        </w:rPr>
        <w:t xml:space="preserve"> There are obstacles to reliance on this case </w:t>
      </w:r>
      <w:r w:rsidR="00926365" w:rsidRPr="00533374">
        <w:rPr>
          <w:szCs w:val="20"/>
        </w:rPr>
        <w:t>i</w:t>
      </w:r>
      <w:r w:rsidR="00F15F5F" w:rsidRPr="00533374">
        <w:rPr>
          <w:szCs w:val="20"/>
        </w:rPr>
        <w:t xml:space="preserve">n the Australian legal context. Most obviously, we do not have </w:t>
      </w:r>
      <w:r w:rsidR="00926365" w:rsidRPr="00533374">
        <w:rPr>
          <w:szCs w:val="20"/>
        </w:rPr>
        <w:t>anything</w:t>
      </w:r>
      <w:r w:rsidR="00F15F5F" w:rsidRPr="00533374">
        <w:rPr>
          <w:szCs w:val="20"/>
        </w:rPr>
        <w:t xml:space="preserve"> comparable to the Canadian Charter (such as a Bill of Rights)</w:t>
      </w:r>
      <w:r w:rsidR="009520B7" w:rsidRPr="00533374">
        <w:rPr>
          <w:szCs w:val="20"/>
        </w:rPr>
        <w:t xml:space="preserve">. Furthermore, the Canadian case was at first </w:t>
      </w:r>
      <w:r w:rsidR="00926365" w:rsidRPr="00533374">
        <w:rPr>
          <w:szCs w:val="20"/>
        </w:rPr>
        <w:t>i</w:t>
      </w:r>
      <w:r w:rsidR="009520B7" w:rsidRPr="00533374">
        <w:rPr>
          <w:szCs w:val="20"/>
        </w:rPr>
        <w:t>nstance</w:t>
      </w:r>
      <w:r w:rsidR="005D5080" w:rsidRPr="00533374">
        <w:rPr>
          <w:szCs w:val="20"/>
        </w:rPr>
        <w:t xml:space="preserve"> and the facts are not analogous</w:t>
      </w:r>
      <w:r w:rsidR="00F878FC" w:rsidRPr="00533374">
        <w:rPr>
          <w:szCs w:val="20"/>
        </w:rPr>
        <w:t>.</w:t>
      </w:r>
      <w:r w:rsidR="00E426EA" w:rsidRPr="00533374">
        <w:rPr>
          <w:rStyle w:val="FootnoteReference"/>
          <w:szCs w:val="20"/>
        </w:rPr>
        <w:footnoteReference w:id="12"/>
      </w:r>
      <w:r w:rsidR="009520B7" w:rsidRPr="00533374">
        <w:rPr>
          <w:szCs w:val="20"/>
        </w:rPr>
        <w:t xml:space="preserve"> </w:t>
      </w:r>
      <w:r w:rsidR="00931E12" w:rsidRPr="00533374">
        <w:rPr>
          <w:szCs w:val="20"/>
        </w:rPr>
        <w:t xml:space="preserve">For </w:t>
      </w:r>
      <w:r w:rsidR="00E765CE">
        <w:rPr>
          <w:szCs w:val="20"/>
        </w:rPr>
        <w:t>instance</w:t>
      </w:r>
      <w:r w:rsidR="00931E12" w:rsidRPr="00533374">
        <w:rPr>
          <w:szCs w:val="20"/>
        </w:rPr>
        <w:t>, t</w:t>
      </w:r>
      <w:r w:rsidR="009F2917" w:rsidRPr="00533374">
        <w:rPr>
          <w:szCs w:val="20"/>
        </w:rPr>
        <w:t>he cost burdens of r</w:t>
      </w:r>
      <w:r w:rsidR="0006062B" w:rsidRPr="00533374">
        <w:rPr>
          <w:szCs w:val="20"/>
        </w:rPr>
        <w:t>emoving financial reporting exemptions for BRCs could be argued to be 'trivial or insubstantial'</w:t>
      </w:r>
      <w:r w:rsidR="00715E85" w:rsidRPr="00533374">
        <w:rPr>
          <w:szCs w:val="20"/>
        </w:rPr>
        <w:t>.</w:t>
      </w:r>
      <w:r w:rsidR="009520B7" w:rsidRPr="00533374">
        <w:rPr>
          <w:szCs w:val="20"/>
        </w:rPr>
        <w:t xml:space="preserve"> </w:t>
      </w:r>
    </w:p>
    <w:p w14:paraId="539B04FD" w14:textId="6100CBF8" w:rsidR="00F15F5F" w:rsidRPr="00533374" w:rsidRDefault="0018246E" w:rsidP="00E21051">
      <w:pPr>
        <w:jc w:val="both"/>
        <w:rPr>
          <w:rFonts w:eastAsia="Times New Roman"/>
          <w:szCs w:val="20"/>
        </w:rPr>
      </w:pPr>
      <w:r w:rsidRPr="00533374">
        <w:rPr>
          <w:rFonts w:eastAsia="Times New Roman"/>
          <w:szCs w:val="20"/>
        </w:rPr>
        <w:t>The</w:t>
      </w:r>
      <w:r w:rsidR="007C74AE" w:rsidRPr="00533374">
        <w:rPr>
          <w:rFonts w:eastAsia="Times New Roman"/>
          <w:szCs w:val="20"/>
        </w:rPr>
        <w:t xml:space="preserve"> ICCPR</w:t>
      </w:r>
      <w:r w:rsidRPr="00533374">
        <w:rPr>
          <w:rFonts w:eastAsia="Times New Roman"/>
          <w:szCs w:val="20"/>
        </w:rPr>
        <w:t xml:space="preserve"> also</w:t>
      </w:r>
      <w:r w:rsidR="007C74AE" w:rsidRPr="00533374">
        <w:rPr>
          <w:rFonts w:eastAsia="Times New Roman"/>
          <w:szCs w:val="20"/>
        </w:rPr>
        <w:t xml:space="preserve"> includes </w:t>
      </w:r>
      <w:r w:rsidR="00F15F5F" w:rsidRPr="00533374">
        <w:rPr>
          <w:rFonts w:eastAsia="Times New Roman"/>
          <w:szCs w:val="20"/>
        </w:rPr>
        <w:t xml:space="preserve">the right not to be discriminated against on the ground of one’s religion (for example, where other religious groups are not similarly affected). However, this is not in issue in relation to recommendation 7.1 which seeks to apply the same regulatory requirements to </w:t>
      </w:r>
      <w:r w:rsidR="00F15F5F" w:rsidRPr="00533374">
        <w:rPr>
          <w:rFonts w:eastAsia="Times New Roman"/>
          <w:i/>
          <w:iCs/>
          <w:szCs w:val="20"/>
        </w:rPr>
        <w:t>all</w:t>
      </w:r>
      <w:r w:rsidR="00F15F5F" w:rsidRPr="00533374">
        <w:rPr>
          <w:rFonts w:eastAsia="Times New Roman"/>
          <w:szCs w:val="20"/>
        </w:rPr>
        <w:t xml:space="preserve"> charities</w:t>
      </w:r>
      <w:r w:rsidR="006C72CC">
        <w:rPr>
          <w:rFonts w:eastAsia="Times New Roman"/>
          <w:szCs w:val="20"/>
        </w:rPr>
        <w:t xml:space="preserve">, </w:t>
      </w:r>
      <w:r w:rsidR="00B70E37">
        <w:rPr>
          <w:rFonts w:eastAsia="Times New Roman"/>
          <w:szCs w:val="20"/>
        </w:rPr>
        <w:t>including those</w:t>
      </w:r>
      <w:r w:rsidR="00F15F5F" w:rsidRPr="00533374">
        <w:rPr>
          <w:rFonts w:eastAsia="Times New Roman"/>
          <w:szCs w:val="20"/>
        </w:rPr>
        <w:t xml:space="preserve"> for the advancement of religion. </w:t>
      </w:r>
    </w:p>
    <w:p w14:paraId="0BA71522" w14:textId="0A4A4837" w:rsidR="009520B7" w:rsidRPr="00533374" w:rsidRDefault="0018246E" w:rsidP="00E21051">
      <w:pPr>
        <w:jc w:val="both"/>
        <w:rPr>
          <w:color w:val="000000"/>
          <w:szCs w:val="20"/>
          <w:shd w:val="clear" w:color="auto" w:fill="FFFFFF"/>
        </w:rPr>
      </w:pPr>
      <w:r w:rsidRPr="00533374">
        <w:rPr>
          <w:rFonts w:eastAsia="Times New Roman"/>
          <w:szCs w:val="20"/>
        </w:rPr>
        <w:t xml:space="preserve">It can </w:t>
      </w:r>
      <w:r w:rsidR="00BC3F63" w:rsidRPr="00533374">
        <w:rPr>
          <w:rFonts w:eastAsia="Times New Roman"/>
          <w:szCs w:val="20"/>
        </w:rPr>
        <w:t xml:space="preserve">also </w:t>
      </w:r>
      <w:r w:rsidRPr="00533374">
        <w:rPr>
          <w:rFonts w:eastAsia="Times New Roman"/>
          <w:szCs w:val="20"/>
        </w:rPr>
        <w:t>be noted that</w:t>
      </w:r>
      <w:r w:rsidR="009520B7" w:rsidRPr="00533374">
        <w:rPr>
          <w:rFonts w:eastAsia="Times New Roman"/>
          <w:szCs w:val="20"/>
        </w:rPr>
        <w:t xml:space="preserve"> the right to manifest one’s religious beliefs is </w:t>
      </w:r>
      <w:r w:rsidR="00B70E37">
        <w:rPr>
          <w:rFonts w:eastAsia="Times New Roman"/>
          <w:szCs w:val="20"/>
        </w:rPr>
        <w:t>not</w:t>
      </w:r>
      <w:r w:rsidR="009520B7" w:rsidRPr="00533374">
        <w:rPr>
          <w:rFonts w:eastAsia="Times New Roman"/>
          <w:szCs w:val="20"/>
        </w:rPr>
        <w:t xml:space="preserve"> unqualified. </w:t>
      </w:r>
      <w:r w:rsidR="009520B7" w:rsidRPr="00533374">
        <w:rPr>
          <w:szCs w:val="20"/>
        </w:rPr>
        <w:t>Hence, Article 18(3) states:</w:t>
      </w:r>
      <w:r w:rsidR="009520B7" w:rsidRPr="00533374">
        <w:rPr>
          <w:color w:val="000000"/>
          <w:szCs w:val="20"/>
          <w:shd w:val="clear" w:color="auto" w:fill="FFFFFF"/>
        </w:rPr>
        <w:t xml:space="preserve"> [f]</w:t>
      </w:r>
      <w:proofErr w:type="spellStart"/>
      <w:r w:rsidR="009520B7" w:rsidRPr="00533374">
        <w:rPr>
          <w:color w:val="000000"/>
          <w:szCs w:val="20"/>
          <w:shd w:val="clear" w:color="auto" w:fill="FFFFFF"/>
        </w:rPr>
        <w:t>reedom</w:t>
      </w:r>
      <w:proofErr w:type="spellEnd"/>
      <w:r w:rsidR="009520B7" w:rsidRPr="00533374">
        <w:rPr>
          <w:color w:val="000000"/>
          <w:szCs w:val="20"/>
          <w:shd w:val="clear" w:color="auto" w:fill="FFFFFF"/>
        </w:rPr>
        <w:t xml:space="preserve"> to manifest one’s religion or beliefs may be subject only to such limitations as are prescribed by law and are necessary to protect public safety, order, health, or morals or the fundamental rights and freedoms of others”.</w:t>
      </w:r>
      <w:r w:rsidR="009520B7" w:rsidRPr="00533374">
        <w:rPr>
          <w:szCs w:val="20"/>
        </w:rPr>
        <w:t xml:space="preserve"> </w:t>
      </w:r>
      <w:r w:rsidR="00BC3F63" w:rsidRPr="00533374">
        <w:rPr>
          <w:szCs w:val="20"/>
        </w:rPr>
        <w:t xml:space="preserve">This would apply where, for instance, the ACNC </w:t>
      </w:r>
      <w:r w:rsidR="009D5DBA" w:rsidRPr="00533374">
        <w:rPr>
          <w:szCs w:val="20"/>
        </w:rPr>
        <w:t xml:space="preserve">interfered with a religious charity </w:t>
      </w:r>
      <w:r w:rsidR="00456459">
        <w:rPr>
          <w:szCs w:val="20"/>
        </w:rPr>
        <w:t>due to</w:t>
      </w:r>
      <w:r w:rsidR="009D5DBA" w:rsidRPr="00533374">
        <w:rPr>
          <w:szCs w:val="20"/>
        </w:rPr>
        <w:t xml:space="preserve"> terrorism concerns</w:t>
      </w:r>
      <w:r w:rsidR="00B76521" w:rsidRPr="00533374">
        <w:rPr>
          <w:szCs w:val="20"/>
        </w:rPr>
        <w:t xml:space="preserve"> (see below)</w:t>
      </w:r>
      <w:r w:rsidR="009D5DBA" w:rsidRPr="00533374">
        <w:rPr>
          <w:szCs w:val="20"/>
        </w:rPr>
        <w:t xml:space="preserve">. </w:t>
      </w:r>
      <w:r w:rsidR="00BC3F63" w:rsidRPr="00533374">
        <w:rPr>
          <w:szCs w:val="20"/>
        </w:rPr>
        <w:t xml:space="preserve"> </w:t>
      </w:r>
    </w:p>
    <w:p w14:paraId="55065D25" w14:textId="65D3A837" w:rsidR="00F15F5F" w:rsidRPr="00533374" w:rsidRDefault="00456459" w:rsidP="00E21051">
      <w:pPr>
        <w:jc w:val="both"/>
        <w:rPr>
          <w:szCs w:val="20"/>
        </w:rPr>
      </w:pPr>
      <w:r>
        <w:rPr>
          <w:szCs w:val="20"/>
        </w:rPr>
        <w:lastRenderedPageBreak/>
        <w:t>Religious</w:t>
      </w:r>
      <w:r w:rsidR="009520B7" w:rsidRPr="00533374">
        <w:rPr>
          <w:szCs w:val="20"/>
        </w:rPr>
        <w:t xml:space="preserve"> entities </w:t>
      </w:r>
      <w:r w:rsidR="0018246E" w:rsidRPr="00533374">
        <w:rPr>
          <w:szCs w:val="20"/>
        </w:rPr>
        <w:t>could</w:t>
      </w:r>
      <w:r w:rsidR="00902C67" w:rsidRPr="00533374">
        <w:rPr>
          <w:szCs w:val="20"/>
        </w:rPr>
        <w:t xml:space="preserve"> rely</w:t>
      </w:r>
      <w:r w:rsidR="009520B7" w:rsidRPr="00533374">
        <w:rPr>
          <w:szCs w:val="20"/>
        </w:rPr>
        <w:t xml:space="preserve"> on a fundamental legal norm of freedom of religion that Is embedded </w:t>
      </w:r>
      <w:r w:rsidR="00EE75E0" w:rsidRPr="00533374">
        <w:rPr>
          <w:szCs w:val="20"/>
        </w:rPr>
        <w:t>i</w:t>
      </w:r>
      <w:r w:rsidR="009520B7" w:rsidRPr="00533374">
        <w:rPr>
          <w:szCs w:val="20"/>
        </w:rPr>
        <w:t xml:space="preserve">n our </w:t>
      </w:r>
      <w:r w:rsidR="00EE75E0" w:rsidRPr="00533374">
        <w:rPr>
          <w:szCs w:val="20"/>
        </w:rPr>
        <w:t xml:space="preserve">common </w:t>
      </w:r>
      <w:r w:rsidR="009520B7" w:rsidRPr="00533374">
        <w:rPr>
          <w:szCs w:val="20"/>
        </w:rPr>
        <w:t>law and that has expressive, rather than legal, force.</w:t>
      </w:r>
      <w:r w:rsidR="009520B7" w:rsidRPr="00533374">
        <w:rPr>
          <w:rStyle w:val="FootnoteReference"/>
          <w:szCs w:val="20"/>
        </w:rPr>
        <w:footnoteReference w:id="13"/>
      </w:r>
      <w:r w:rsidR="009520B7" w:rsidRPr="00533374">
        <w:rPr>
          <w:szCs w:val="20"/>
        </w:rPr>
        <w:t xml:space="preserve"> However, the same objections discussed above will apply; most significantly, that </w:t>
      </w:r>
      <w:r w:rsidR="00886DA9" w:rsidRPr="00533374">
        <w:rPr>
          <w:szCs w:val="20"/>
        </w:rPr>
        <w:t xml:space="preserve">introducing greater </w:t>
      </w:r>
      <w:r w:rsidR="009520B7" w:rsidRPr="00533374">
        <w:rPr>
          <w:szCs w:val="20"/>
        </w:rPr>
        <w:t xml:space="preserve">governance </w:t>
      </w:r>
      <w:r w:rsidR="00886DA9" w:rsidRPr="00533374">
        <w:rPr>
          <w:szCs w:val="20"/>
        </w:rPr>
        <w:t xml:space="preserve">obligations </w:t>
      </w:r>
      <w:r w:rsidR="009520B7" w:rsidRPr="00533374">
        <w:rPr>
          <w:szCs w:val="20"/>
        </w:rPr>
        <w:t xml:space="preserve">and regulatory </w:t>
      </w:r>
      <w:r w:rsidR="00886DA9" w:rsidRPr="00533374">
        <w:rPr>
          <w:szCs w:val="20"/>
        </w:rPr>
        <w:t>oversight</w:t>
      </w:r>
      <w:r w:rsidR="009520B7" w:rsidRPr="00533374">
        <w:rPr>
          <w:szCs w:val="20"/>
        </w:rPr>
        <w:t xml:space="preserve"> on BRCs do not </w:t>
      </w:r>
      <w:r w:rsidR="002105AF">
        <w:rPr>
          <w:szCs w:val="20"/>
        </w:rPr>
        <w:t>likely prevent</w:t>
      </w:r>
      <w:r w:rsidR="009520B7" w:rsidRPr="00533374">
        <w:rPr>
          <w:szCs w:val="20"/>
        </w:rPr>
        <w:t xml:space="preserve"> </w:t>
      </w:r>
      <w:r w:rsidR="00886DA9" w:rsidRPr="00533374">
        <w:rPr>
          <w:szCs w:val="20"/>
        </w:rPr>
        <w:t>an</w:t>
      </w:r>
      <w:r w:rsidR="009520B7" w:rsidRPr="00533374">
        <w:rPr>
          <w:szCs w:val="20"/>
        </w:rPr>
        <w:t xml:space="preserve"> entity</w:t>
      </w:r>
      <w:r w:rsidR="002105AF">
        <w:rPr>
          <w:szCs w:val="20"/>
        </w:rPr>
        <w:t>'s freedom</w:t>
      </w:r>
      <w:r w:rsidR="009520B7" w:rsidRPr="00533374">
        <w:rPr>
          <w:szCs w:val="20"/>
        </w:rPr>
        <w:t xml:space="preserve"> or the members' freedom to manifest religion. </w:t>
      </w:r>
    </w:p>
    <w:p w14:paraId="628D07B3" w14:textId="77777777" w:rsidR="00F577B2" w:rsidRPr="00533374" w:rsidRDefault="00F577B2" w:rsidP="00E21051">
      <w:pPr>
        <w:spacing w:before="0"/>
        <w:jc w:val="both"/>
        <w:rPr>
          <w:szCs w:val="20"/>
        </w:rPr>
      </w:pPr>
    </w:p>
    <w:p w14:paraId="6BD28DBE" w14:textId="40D4D0C4" w:rsidR="00BA481C" w:rsidRPr="00533374" w:rsidRDefault="001969DB" w:rsidP="00AB6200">
      <w:pPr>
        <w:spacing w:before="0"/>
        <w:jc w:val="both"/>
        <w:rPr>
          <w:szCs w:val="20"/>
        </w:rPr>
      </w:pPr>
      <w:r w:rsidRPr="00533374">
        <w:rPr>
          <w:szCs w:val="20"/>
        </w:rPr>
        <w:t xml:space="preserve">I do not wish to downplay the concerns of BRCs </w:t>
      </w:r>
      <w:r w:rsidR="0064045A" w:rsidRPr="00533374">
        <w:rPr>
          <w:szCs w:val="20"/>
        </w:rPr>
        <w:t>i</w:t>
      </w:r>
      <w:r w:rsidRPr="00533374">
        <w:rPr>
          <w:szCs w:val="20"/>
        </w:rPr>
        <w:t xml:space="preserve">n relation to Recommendation 7.1, particularly </w:t>
      </w:r>
      <w:r w:rsidR="009D5DBA" w:rsidRPr="00533374">
        <w:rPr>
          <w:szCs w:val="20"/>
        </w:rPr>
        <w:t>in</w:t>
      </w:r>
      <w:r w:rsidRPr="00533374">
        <w:rPr>
          <w:szCs w:val="20"/>
        </w:rPr>
        <w:t xml:space="preserve"> relation to the potential for the </w:t>
      </w:r>
      <w:r w:rsidRPr="00533374">
        <w:rPr>
          <w:color w:val="000000"/>
          <w:szCs w:val="20"/>
          <w:shd w:val="clear" w:color="auto" w:fill="FFFFFF"/>
        </w:rPr>
        <w:t xml:space="preserve">ACNC to remove and replace the responsible entity of a BRC. </w:t>
      </w:r>
      <w:r w:rsidR="00BA481C" w:rsidRPr="00533374">
        <w:rPr>
          <w:rFonts w:eastAsia="Times New Roman"/>
          <w:szCs w:val="20"/>
        </w:rPr>
        <w:t xml:space="preserve">Although religious groups with purposes for the advancement of religion are not obliged to register as charities, the Commonwealth tax incentives and enhanced reputational status that charity registration brings suggest that most will do so. </w:t>
      </w:r>
      <w:r w:rsidR="00BA481C" w:rsidRPr="00533374">
        <w:rPr>
          <w:szCs w:val="20"/>
        </w:rPr>
        <w:t>Through registration by the ACNC, the state secures regulatory control over the activities of charities for the advancement of religion. Such control brings with it the potential for the state, through the regulator, to mould the operation, purposes</w:t>
      </w:r>
      <w:r w:rsidR="00F51CFB">
        <w:rPr>
          <w:szCs w:val="20"/>
        </w:rPr>
        <w:t xml:space="preserve">, </w:t>
      </w:r>
      <w:r w:rsidR="00BA481C" w:rsidRPr="00533374">
        <w:rPr>
          <w:szCs w:val="20"/>
        </w:rPr>
        <w:t>and activities of religious groups to align with public goals and values. This has always been the function of charity law, of course, most obviously through the public benefit requirement of charity. Furthermore, in Australia, the regulator is an independent statutory body. Hence the state’s increase in control over religion should not be exaggerated. Nevertheless, the presence of a regulator exercising ongoing oversight over the operation of religious charities and with the power to intervene in their affairs enhances this controlling aspect of charity law. This brings with it clear risks regarding religious freedom and the separation of religion and state.</w:t>
      </w:r>
      <w:r w:rsidR="00BA481C" w:rsidRPr="00533374">
        <w:rPr>
          <w:rStyle w:val="FootnoteReference"/>
          <w:szCs w:val="20"/>
        </w:rPr>
        <w:footnoteReference w:id="14"/>
      </w:r>
      <w:r w:rsidR="00AB6200">
        <w:rPr>
          <w:szCs w:val="20"/>
        </w:rPr>
        <w:t xml:space="preserve"> </w:t>
      </w:r>
      <w:r w:rsidR="00BA481C" w:rsidRPr="00533374">
        <w:rPr>
          <w:szCs w:val="20"/>
        </w:rPr>
        <w:t>An obvious context in which the ACNC’s powers can be used to control religious activity is counterterrorism, particularly the prevention of financing or incitement of religiously motivated terrorist activity.</w:t>
      </w:r>
      <w:r w:rsidR="00BA481C" w:rsidRPr="00533374">
        <w:rPr>
          <w:rStyle w:val="FootnoteReference"/>
          <w:szCs w:val="20"/>
        </w:rPr>
        <w:footnoteReference w:id="15"/>
      </w:r>
      <w:r w:rsidR="00BA481C" w:rsidRPr="00533374">
        <w:rPr>
          <w:szCs w:val="20"/>
        </w:rPr>
        <w:t xml:space="preserve"> The English Charity Commission’s counter-terrorism interventions in Islamic religious charities in this respect are well-documented and have included removing trustees.</w:t>
      </w:r>
      <w:r w:rsidR="00BA481C" w:rsidRPr="00533374">
        <w:rPr>
          <w:rStyle w:val="FootnoteReference"/>
          <w:szCs w:val="20"/>
        </w:rPr>
        <w:footnoteReference w:id="16"/>
      </w:r>
      <w:r w:rsidR="00BA481C" w:rsidRPr="00533374">
        <w:rPr>
          <w:szCs w:val="20"/>
        </w:rPr>
        <w:t xml:space="preserve"> </w:t>
      </w:r>
    </w:p>
    <w:p w14:paraId="59BBAAEF" w14:textId="7A45E4A5" w:rsidR="00726F36" w:rsidRPr="00533374" w:rsidRDefault="00BA481C" w:rsidP="00E21051">
      <w:pPr>
        <w:jc w:val="both"/>
        <w:rPr>
          <w:szCs w:val="20"/>
        </w:rPr>
      </w:pPr>
      <w:r w:rsidRPr="00533374">
        <w:rPr>
          <w:szCs w:val="20"/>
        </w:rPr>
        <w:t xml:space="preserve">Minds will differ on the relative merits and dangers of increasing regulatory power over religious activity through charity law. </w:t>
      </w:r>
      <w:r w:rsidR="001969DB" w:rsidRPr="00533374">
        <w:rPr>
          <w:szCs w:val="20"/>
        </w:rPr>
        <w:t>My argument here</w:t>
      </w:r>
      <w:r w:rsidRPr="00533374">
        <w:rPr>
          <w:szCs w:val="20"/>
        </w:rPr>
        <w:t xml:space="preserve"> is simply that the potential for such regulatory oversight and control increases the attractions to the state of conferring charitable status </w:t>
      </w:r>
      <w:r w:rsidR="001969DB" w:rsidRPr="00533374">
        <w:rPr>
          <w:szCs w:val="20"/>
        </w:rPr>
        <w:t xml:space="preserve">(and associated benefits) </w:t>
      </w:r>
      <w:r w:rsidRPr="00533374">
        <w:rPr>
          <w:szCs w:val="20"/>
        </w:rPr>
        <w:t>upon groups advancing religion</w:t>
      </w:r>
      <w:r w:rsidR="001969DB" w:rsidRPr="00533374">
        <w:rPr>
          <w:szCs w:val="20"/>
        </w:rPr>
        <w:t xml:space="preserve"> and that there is a corresponding benefit, as well as risks, to religious groups </w:t>
      </w:r>
      <w:r w:rsidR="00726F36" w:rsidRPr="00533374">
        <w:rPr>
          <w:szCs w:val="20"/>
        </w:rPr>
        <w:t xml:space="preserve">in seeking </w:t>
      </w:r>
      <w:r w:rsidR="00726F36" w:rsidRPr="00533374">
        <w:rPr>
          <w:szCs w:val="20"/>
        </w:rPr>
        <w:lastRenderedPageBreak/>
        <w:t>charitable status</w:t>
      </w:r>
      <w:r w:rsidRPr="00533374">
        <w:rPr>
          <w:szCs w:val="20"/>
        </w:rPr>
        <w:t xml:space="preserve">. </w:t>
      </w:r>
      <w:r w:rsidR="00726F36" w:rsidRPr="00533374">
        <w:rPr>
          <w:szCs w:val="20"/>
        </w:rPr>
        <w:t xml:space="preserve">It </w:t>
      </w:r>
      <w:r w:rsidR="00400330" w:rsidRPr="00533374">
        <w:rPr>
          <w:szCs w:val="20"/>
        </w:rPr>
        <w:t>i</w:t>
      </w:r>
      <w:r w:rsidR="00726F36" w:rsidRPr="00533374">
        <w:rPr>
          <w:szCs w:val="20"/>
        </w:rPr>
        <w:t xml:space="preserve">s up to </w:t>
      </w:r>
      <w:r w:rsidR="00B3248E">
        <w:rPr>
          <w:szCs w:val="20"/>
        </w:rPr>
        <w:t xml:space="preserve">current </w:t>
      </w:r>
      <w:r w:rsidR="00726F36" w:rsidRPr="00533374">
        <w:rPr>
          <w:szCs w:val="20"/>
        </w:rPr>
        <w:t xml:space="preserve">BRCs to decide whether the risks of greater regulation outweigh the benefits </w:t>
      </w:r>
      <w:r w:rsidR="00ED2544" w:rsidRPr="00533374">
        <w:rPr>
          <w:szCs w:val="20"/>
        </w:rPr>
        <w:t xml:space="preserve">to them </w:t>
      </w:r>
      <w:r w:rsidR="00726F36" w:rsidRPr="00533374">
        <w:rPr>
          <w:szCs w:val="20"/>
        </w:rPr>
        <w:t xml:space="preserve">of </w:t>
      </w:r>
      <w:r w:rsidR="00293AD9">
        <w:rPr>
          <w:szCs w:val="20"/>
        </w:rPr>
        <w:t xml:space="preserve">registered </w:t>
      </w:r>
      <w:r w:rsidR="00726F36" w:rsidRPr="00533374">
        <w:rPr>
          <w:szCs w:val="20"/>
        </w:rPr>
        <w:t xml:space="preserve">charitable status. </w:t>
      </w:r>
    </w:p>
    <w:p w14:paraId="0794B035" w14:textId="670C5913" w:rsidR="00BA481C" w:rsidRPr="00533374" w:rsidRDefault="00726F36" w:rsidP="00E21051">
      <w:pPr>
        <w:jc w:val="both"/>
        <w:rPr>
          <w:szCs w:val="20"/>
        </w:rPr>
      </w:pPr>
      <w:r w:rsidRPr="00533374">
        <w:rPr>
          <w:szCs w:val="20"/>
        </w:rPr>
        <w:t xml:space="preserve">Finally, I </w:t>
      </w:r>
      <w:r w:rsidR="000D6FE4" w:rsidRPr="00533374">
        <w:rPr>
          <w:szCs w:val="20"/>
        </w:rPr>
        <w:t>note</w:t>
      </w:r>
      <w:r w:rsidRPr="00533374">
        <w:rPr>
          <w:szCs w:val="20"/>
        </w:rPr>
        <w:t xml:space="preserve"> a pragmatic argument </w:t>
      </w:r>
      <w:r w:rsidR="000D6FE4" w:rsidRPr="00533374">
        <w:rPr>
          <w:szCs w:val="20"/>
        </w:rPr>
        <w:t>in</w:t>
      </w:r>
      <w:r w:rsidRPr="00533374">
        <w:rPr>
          <w:szCs w:val="20"/>
        </w:rPr>
        <w:t xml:space="preserve"> support </w:t>
      </w:r>
      <w:r w:rsidR="000D6FE4" w:rsidRPr="00533374">
        <w:rPr>
          <w:szCs w:val="20"/>
        </w:rPr>
        <w:t xml:space="preserve">of </w:t>
      </w:r>
      <w:r w:rsidRPr="00533374">
        <w:rPr>
          <w:szCs w:val="20"/>
        </w:rPr>
        <w:t xml:space="preserve">Recommendation 7.1. </w:t>
      </w:r>
      <w:r w:rsidR="00DD22B1" w:rsidRPr="00533374">
        <w:rPr>
          <w:szCs w:val="20"/>
        </w:rPr>
        <w:t>Some</w:t>
      </w:r>
      <w:r w:rsidRPr="00533374">
        <w:rPr>
          <w:szCs w:val="20"/>
        </w:rPr>
        <w:t xml:space="preserve"> of the criticism </w:t>
      </w:r>
      <w:r w:rsidR="00DD22B1" w:rsidRPr="00533374">
        <w:rPr>
          <w:szCs w:val="20"/>
        </w:rPr>
        <w:t xml:space="preserve">of the recommendation at the CLAANZ workshop that I attended </w:t>
      </w:r>
      <w:r w:rsidRPr="00533374">
        <w:rPr>
          <w:szCs w:val="20"/>
        </w:rPr>
        <w:t xml:space="preserve">assumed that BRCs are </w:t>
      </w:r>
      <w:r w:rsidR="009B708C" w:rsidRPr="00533374">
        <w:rPr>
          <w:szCs w:val="20"/>
        </w:rPr>
        <w:t xml:space="preserve">related to larger religious entities and hence </w:t>
      </w:r>
      <w:r w:rsidR="000D6FE4" w:rsidRPr="00533374">
        <w:rPr>
          <w:szCs w:val="20"/>
        </w:rPr>
        <w:t xml:space="preserve">already </w:t>
      </w:r>
      <w:r w:rsidR="009B708C" w:rsidRPr="00533374">
        <w:rPr>
          <w:szCs w:val="20"/>
        </w:rPr>
        <w:t>subject to other regulatory controls and protections</w:t>
      </w:r>
      <w:r w:rsidR="00DA2A9C">
        <w:rPr>
          <w:szCs w:val="20"/>
        </w:rPr>
        <w:t xml:space="preserve"> through the 'parent' body</w:t>
      </w:r>
      <w:r w:rsidR="009B708C" w:rsidRPr="00533374">
        <w:rPr>
          <w:szCs w:val="20"/>
        </w:rPr>
        <w:t xml:space="preserve">. Imagine, however, a </w:t>
      </w:r>
      <w:r w:rsidR="00D9426C" w:rsidRPr="00533374">
        <w:rPr>
          <w:szCs w:val="20"/>
        </w:rPr>
        <w:t>small</w:t>
      </w:r>
      <w:r w:rsidR="00087A44" w:rsidRPr="00533374">
        <w:rPr>
          <w:szCs w:val="20"/>
        </w:rPr>
        <w:t>,</w:t>
      </w:r>
      <w:r w:rsidR="00B65C2E" w:rsidRPr="00533374">
        <w:rPr>
          <w:szCs w:val="20"/>
        </w:rPr>
        <w:t xml:space="preserve"> newly formed</w:t>
      </w:r>
      <w:r w:rsidR="00D9426C" w:rsidRPr="00533374">
        <w:rPr>
          <w:szCs w:val="20"/>
        </w:rPr>
        <w:t xml:space="preserve"> religious entity that does not have links to an established religion and </w:t>
      </w:r>
      <w:r w:rsidR="001B4FAD" w:rsidRPr="00533374">
        <w:rPr>
          <w:szCs w:val="20"/>
        </w:rPr>
        <w:t xml:space="preserve">whose existence may have been generated by a charismatic religious leader. </w:t>
      </w:r>
      <w:r w:rsidR="00D95CCD" w:rsidRPr="00533374">
        <w:rPr>
          <w:szCs w:val="20"/>
        </w:rPr>
        <w:t>It may also be generating significant revenue</w:t>
      </w:r>
      <w:r w:rsidR="00E45704" w:rsidRPr="00533374">
        <w:rPr>
          <w:szCs w:val="20"/>
        </w:rPr>
        <w:t xml:space="preserve"> from its members</w:t>
      </w:r>
      <w:r w:rsidR="00D95CCD" w:rsidRPr="00533374">
        <w:rPr>
          <w:szCs w:val="20"/>
        </w:rPr>
        <w:t xml:space="preserve">. </w:t>
      </w:r>
      <w:r w:rsidR="00E45704" w:rsidRPr="00533374">
        <w:rPr>
          <w:szCs w:val="20"/>
        </w:rPr>
        <w:t>There is an argument that</w:t>
      </w:r>
      <w:r w:rsidR="001B4FAD" w:rsidRPr="00533374">
        <w:rPr>
          <w:szCs w:val="20"/>
        </w:rPr>
        <w:t xml:space="preserve"> </w:t>
      </w:r>
      <w:r w:rsidR="00E45704" w:rsidRPr="00533374">
        <w:rPr>
          <w:szCs w:val="20"/>
        </w:rPr>
        <w:t>greater</w:t>
      </w:r>
      <w:r w:rsidR="001B4FAD" w:rsidRPr="00533374">
        <w:rPr>
          <w:szCs w:val="20"/>
        </w:rPr>
        <w:t xml:space="preserve"> regulatory oversight and </w:t>
      </w:r>
      <w:r w:rsidR="00826FC7" w:rsidRPr="00533374">
        <w:rPr>
          <w:szCs w:val="20"/>
        </w:rPr>
        <w:t>obligations</w:t>
      </w:r>
      <w:r w:rsidR="001B4FAD" w:rsidRPr="00533374">
        <w:rPr>
          <w:szCs w:val="20"/>
        </w:rPr>
        <w:t xml:space="preserve"> are valuable </w:t>
      </w:r>
      <w:r w:rsidR="001B6777" w:rsidRPr="00533374">
        <w:rPr>
          <w:szCs w:val="20"/>
        </w:rPr>
        <w:t>in such situations</w:t>
      </w:r>
      <w:r w:rsidR="00E45704" w:rsidRPr="00533374">
        <w:rPr>
          <w:szCs w:val="20"/>
        </w:rPr>
        <w:t xml:space="preserve"> as a </w:t>
      </w:r>
      <w:r w:rsidR="00107D58" w:rsidRPr="00533374">
        <w:rPr>
          <w:szCs w:val="20"/>
        </w:rPr>
        <w:t xml:space="preserve">relatively soft </w:t>
      </w:r>
      <w:r w:rsidR="00E45704" w:rsidRPr="00533374">
        <w:rPr>
          <w:szCs w:val="20"/>
        </w:rPr>
        <w:t xml:space="preserve">means to protect </w:t>
      </w:r>
      <w:r w:rsidR="00826FC7" w:rsidRPr="00533374">
        <w:rPr>
          <w:szCs w:val="20"/>
        </w:rPr>
        <w:t>potentially vulnerable</w:t>
      </w:r>
      <w:r w:rsidR="00E45704" w:rsidRPr="00533374">
        <w:rPr>
          <w:szCs w:val="20"/>
        </w:rPr>
        <w:t xml:space="preserve"> group members</w:t>
      </w:r>
      <w:r w:rsidR="001B4FAD" w:rsidRPr="00533374">
        <w:rPr>
          <w:szCs w:val="20"/>
        </w:rPr>
        <w:t>.</w:t>
      </w:r>
    </w:p>
    <w:p w14:paraId="6E38903B" w14:textId="77777777" w:rsidR="00BA481C" w:rsidRPr="00533374" w:rsidRDefault="00BA481C" w:rsidP="00E21051">
      <w:pPr>
        <w:jc w:val="both"/>
        <w:rPr>
          <w:szCs w:val="20"/>
        </w:rPr>
      </w:pPr>
    </w:p>
    <w:p w14:paraId="0B02235E" w14:textId="77777777" w:rsidR="00BA481C" w:rsidRPr="00533374" w:rsidRDefault="00BA481C" w:rsidP="00E21051">
      <w:pPr>
        <w:spacing w:before="0"/>
        <w:jc w:val="both"/>
        <w:rPr>
          <w:szCs w:val="20"/>
        </w:rPr>
      </w:pPr>
    </w:p>
    <w:sectPr w:rsidR="00BA481C" w:rsidRPr="00533374" w:rsidSect="0008527F">
      <w:headerReference w:type="even" r:id="rId11"/>
      <w:headerReference w:type="default" r:id="rId12"/>
      <w:footerReference w:type="even" r:id="rId13"/>
      <w:footerReference w:type="default" r:id="rId14"/>
      <w:headerReference w:type="first" r:id="rId15"/>
      <w:footerReference w:type="first" r:id="rId16"/>
      <w:pgSz w:w="11900" w:h="16840"/>
      <w:pgMar w:top="1701" w:right="1134" w:bottom="2019" w:left="187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B2B494" w14:textId="77777777" w:rsidR="0008527F" w:rsidRDefault="0008527F" w:rsidP="003B695F">
      <w:pPr>
        <w:spacing w:before="0" w:line="240" w:lineRule="auto"/>
      </w:pPr>
      <w:r>
        <w:separator/>
      </w:r>
    </w:p>
  </w:endnote>
  <w:endnote w:type="continuationSeparator" w:id="0">
    <w:p w14:paraId="6ABEEF1E" w14:textId="77777777" w:rsidR="0008527F" w:rsidRDefault="0008527F" w:rsidP="003B695F">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ublic Sans Light">
    <w:altName w:val="Calibri"/>
    <w:charset w:val="4D"/>
    <w:family w:val="auto"/>
    <w:pitch w:val="variable"/>
    <w:sig w:usb0="A00000FF" w:usb1="4000205B" w:usb2="00000000" w:usb3="00000000" w:csb0="00000193" w:csb1="00000000"/>
  </w:font>
  <w:font w:name="Times New Roman">
    <w:panose1 w:val="02020603050405020304"/>
    <w:charset w:val="00"/>
    <w:family w:val="roman"/>
    <w:pitch w:val="variable"/>
    <w:sig w:usb0="E0002EFF" w:usb1="C000785B" w:usb2="00000009" w:usb3="00000000" w:csb0="000001FF" w:csb1="00000000"/>
  </w:font>
  <w:font w:name="Public Sans">
    <w:altName w:val="Calibri"/>
    <w:charset w:val="00"/>
    <w:family w:val="auto"/>
    <w:pitch w:val="variable"/>
    <w:sig w:usb0="A00000FF" w:usb1="4000205B" w:usb2="00000000" w:usb3="00000000" w:csb0="00000193" w:csb1="00000000"/>
  </w:font>
  <w:font w:name="Times New Roman (Headings CS)">
    <w:altName w:val="Times New Roman"/>
    <w:charset w:val="00"/>
    <w:family w:val="roman"/>
    <w:pitch w:val="variable"/>
    <w:sig w:usb0="E0002AEF" w:usb1="C0007841" w:usb2="00000009" w:usb3="00000000" w:csb0="000001FF" w:csb1="00000000"/>
  </w:font>
  <w:font w:name="Simoncini Garamond">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37BF6" w14:textId="77777777" w:rsidR="005245D2" w:rsidRDefault="005245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50A7F" w14:textId="77777777" w:rsidR="0052259E" w:rsidRDefault="00BC0D6D" w:rsidP="00D065F4">
    <w:pPr>
      <w:pStyle w:val="Footer"/>
      <w:framePr w:h="255" w:hRule="exact" w:wrap="none" w:vAnchor="text" w:hAnchor="page" w:x="10655" w:y="61"/>
      <w:spacing w:before="0"/>
      <w:jc w:val="right"/>
      <w:rPr>
        <w:rStyle w:val="PageNumber"/>
      </w:rPr>
    </w:pPr>
    <w:sdt>
      <w:sdtPr>
        <w:rPr>
          <w:rStyle w:val="PageNumber"/>
        </w:rPr>
        <w:id w:val="187193924"/>
        <w:docPartObj>
          <w:docPartGallery w:val="Page Numbers (Bottom of Page)"/>
          <w:docPartUnique/>
        </w:docPartObj>
      </w:sdtPr>
      <w:sdtEndPr>
        <w:rPr>
          <w:rStyle w:val="PageNumber"/>
        </w:rPr>
      </w:sdtEndPr>
      <w:sdtContent>
        <w:r w:rsidR="0052259E">
          <w:rPr>
            <w:rStyle w:val="PageNumber"/>
          </w:rPr>
          <w:fldChar w:fldCharType="begin"/>
        </w:r>
        <w:r w:rsidR="0052259E">
          <w:rPr>
            <w:rStyle w:val="PageNumber"/>
          </w:rPr>
          <w:instrText xml:space="preserve"> PAGE </w:instrText>
        </w:r>
        <w:r w:rsidR="0052259E">
          <w:rPr>
            <w:rStyle w:val="PageNumber"/>
          </w:rPr>
          <w:fldChar w:fldCharType="separate"/>
        </w:r>
        <w:r w:rsidR="0052259E">
          <w:rPr>
            <w:rStyle w:val="PageNumber"/>
          </w:rPr>
          <w:t>2</w:t>
        </w:r>
        <w:r w:rsidR="0052259E">
          <w:rPr>
            <w:rStyle w:val="PageNumber"/>
          </w:rPr>
          <w:fldChar w:fldCharType="end"/>
        </w:r>
      </w:sdtContent>
    </w:sdt>
  </w:p>
  <w:p w14:paraId="03907598" w14:textId="77777777" w:rsidR="0052259E" w:rsidRPr="00A84387" w:rsidRDefault="00767DE2" w:rsidP="00A84387">
    <w:pPr>
      <w:pStyle w:val="Footer"/>
      <w:spacing w:before="40"/>
      <w:rPr>
        <w:sz w:val="20"/>
        <w:szCs w:val="20"/>
      </w:rPr>
    </w:pPr>
    <w:r>
      <w:rPr>
        <w:noProof/>
        <w:color w:val="FFFFFF" w:themeColor="background2"/>
        <w:sz w:val="14"/>
        <w:szCs w:val="14"/>
      </w:rPr>
      <mc:AlternateContent>
        <mc:Choice Requires="wps">
          <w:drawing>
            <wp:anchor distT="0" distB="0" distL="114300" distR="114300" simplePos="0" relativeHeight="251669504" behindDoc="0" locked="0" layoutInCell="1" allowOverlap="1" wp14:anchorId="4C53B9D0" wp14:editId="430C4B7C">
              <wp:simplePos x="0" y="0"/>
              <wp:positionH relativeFrom="column">
                <wp:posOffset>4570730</wp:posOffset>
              </wp:positionH>
              <wp:positionV relativeFrom="paragraph">
                <wp:posOffset>186690</wp:posOffset>
              </wp:positionV>
              <wp:extent cx="1101600" cy="144000"/>
              <wp:effectExtent l="0" t="0" r="3810" b="8890"/>
              <wp:wrapNone/>
              <wp:docPr id="1" name="Text Box 1"/>
              <wp:cNvGraphicFramePr/>
              <a:graphic xmlns:a="http://schemas.openxmlformats.org/drawingml/2006/main">
                <a:graphicData uri="http://schemas.microsoft.com/office/word/2010/wordprocessingShape">
                  <wps:wsp>
                    <wps:cNvSpPr txBox="1"/>
                    <wps:spPr>
                      <a:xfrm>
                        <a:off x="0" y="0"/>
                        <a:ext cx="1101600" cy="144000"/>
                      </a:xfrm>
                      <a:prstGeom prst="rect">
                        <a:avLst/>
                      </a:prstGeom>
                      <a:noFill/>
                      <a:ln w="6350">
                        <a:noFill/>
                      </a:ln>
                    </wps:spPr>
                    <wps:txbx>
                      <w:txbxContent>
                        <w:p w14:paraId="58C3ABEF" w14:textId="77777777" w:rsidR="00767DE2" w:rsidRDefault="00767DE2" w:rsidP="00767DE2">
                          <w:pPr>
                            <w:pStyle w:val="Footer"/>
                            <w:spacing w:before="40"/>
                          </w:pPr>
                          <w:r w:rsidRPr="00107B3B">
                            <w:rPr>
                              <w:color w:val="A6A6A6" w:themeColor="background2" w:themeShade="A6"/>
                              <w:sz w:val="14"/>
                              <w:szCs w:val="14"/>
                            </w:rPr>
                            <w:t>CRICOS Provider #00120C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53B9D0" id="_x0000_t202" coordsize="21600,21600" o:spt="202" path="m,l,21600r21600,l21600,xe">
              <v:stroke joinstyle="miter"/>
              <v:path gradientshapeok="t" o:connecttype="rect"/>
            </v:shapetype>
            <v:shape id="Text Box 1" o:spid="_x0000_s1027" type="#_x0000_t202" style="position:absolute;margin-left:359.9pt;margin-top:14.7pt;width:86.75pt;height:11.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" filled="f" stroked="f" strokeweight=".5pt">
              <v:textbox inset="0,0,0,0">
                <w:txbxContent>
                  <w:p w14:paraId="58C3ABEF" w14:textId="77777777" w:rsidR="00767DE2" w:rsidRDefault="00767DE2" w:rsidP="00767DE2">
                    <w:pPr>
                      <w:pStyle w:val="Footer"/>
                      <w:spacing w:before="40"/>
                    </w:pPr>
                    <w:r w:rsidRPr="00107B3B">
                      <w:rPr>
                        <w:color w:val="A6A6A6" w:themeColor="background2" w:themeShade="A6"/>
                        <w:sz w:val="14"/>
                        <w:szCs w:val="14"/>
                      </w:rPr>
                      <w:t>CRICOS Provider #00120C</w:t>
                    </w:r>
                  </w:p>
                </w:txbxContent>
              </v:textbox>
            </v:shape>
          </w:pict>
        </mc:Fallback>
      </mc:AlternateContent>
    </w:r>
    <w:r w:rsidR="00F11EA2" w:rsidRPr="00A84387">
      <w:rPr>
        <w:sz w:val="20"/>
        <w:szCs w:val="20"/>
      </w:rPr>
      <w:t>The Australian National University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81CF4" w14:textId="77777777" w:rsidR="0052259E" w:rsidRPr="00256236" w:rsidRDefault="0052468D" w:rsidP="00A84387">
    <w:pPr>
      <w:pStyle w:val="Footer"/>
      <w:tabs>
        <w:tab w:val="clear" w:pos="3969"/>
        <w:tab w:val="left" w:pos="3686"/>
      </w:tabs>
      <w:spacing w:before="0"/>
      <w:rPr>
        <w:sz w:val="20"/>
        <w:szCs w:val="20"/>
      </w:rPr>
    </w:pPr>
    <w:r>
      <w:rPr>
        <w:sz w:val="20"/>
        <w:szCs w:val="20"/>
      </w:rPr>
      <w:t>Fellows Road</w:t>
    </w:r>
    <w:r w:rsidR="0052259E" w:rsidRPr="00256236">
      <w:rPr>
        <w:sz w:val="20"/>
        <w:szCs w:val="20"/>
      </w:rPr>
      <w:tab/>
      <w:t>Canberra 2600, ACT Australia</w:t>
    </w:r>
  </w:p>
  <w:p w14:paraId="2C4B8D6A" w14:textId="77777777" w:rsidR="00926827" w:rsidRDefault="0052259E" w:rsidP="00A84387">
    <w:pPr>
      <w:pStyle w:val="Footer"/>
      <w:tabs>
        <w:tab w:val="clear" w:pos="3969"/>
        <w:tab w:val="left" w:pos="3686"/>
      </w:tabs>
      <w:spacing w:before="0"/>
      <w:rPr>
        <w:sz w:val="20"/>
        <w:szCs w:val="20"/>
      </w:rPr>
    </w:pPr>
    <w:r w:rsidRPr="00256236">
      <w:rPr>
        <w:sz w:val="20"/>
        <w:szCs w:val="20"/>
      </w:rPr>
      <w:t>The Australian National University</w:t>
    </w:r>
    <w:r w:rsidRPr="00256236">
      <w:rPr>
        <w:sz w:val="20"/>
        <w:szCs w:val="20"/>
      </w:rPr>
      <w:tab/>
    </w:r>
  </w:p>
  <w:p w14:paraId="697CEE00" w14:textId="77777777" w:rsidR="00926827" w:rsidRDefault="00926827" w:rsidP="00A84387">
    <w:pPr>
      <w:pStyle w:val="Footer"/>
      <w:tabs>
        <w:tab w:val="clear" w:pos="3969"/>
        <w:tab w:val="left" w:pos="3686"/>
      </w:tabs>
      <w:spacing w:before="0"/>
      <w:rPr>
        <w:sz w:val="20"/>
        <w:szCs w:val="20"/>
      </w:rPr>
    </w:pPr>
  </w:p>
  <w:p w14:paraId="78C375AD" w14:textId="77777777" w:rsidR="00926827" w:rsidRDefault="00926827" w:rsidP="00A84387">
    <w:pPr>
      <w:pStyle w:val="Footer"/>
      <w:tabs>
        <w:tab w:val="clear" w:pos="3969"/>
        <w:tab w:val="left" w:pos="3686"/>
      </w:tabs>
      <w:spacing w:before="0"/>
      <w:rPr>
        <w:rFonts w:eastAsia="Times New Roman" w:cs="Times New Roman"/>
        <w:color w:val="242424"/>
        <w:sz w:val="14"/>
        <w:szCs w:val="14"/>
        <w:lang w:eastAsia="en-GB"/>
      </w:rPr>
    </w:pPr>
    <w:r w:rsidRPr="002A1D56">
      <w:rPr>
        <w:rFonts w:eastAsia="Times New Roman" w:cs="Times New Roman"/>
        <w:color w:val="242424"/>
        <w:sz w:val="14"/>
        <w:szCs w:val="14"/>
        <w:lang w:eastAsia="en-GB"/>
      </w:rPr>
      <w:t xml:space="preserve">TEQSA Provider ID: PRV12002 (Australian University) </w:t>
    </w:r>
  </w:p>
  <w:p w14:paraId="7D865B77" w14:textId="77777777" w:rsidR="0052259E" w:rsidRDefault="00926827" w:rsidP="00A84387">
    <w:pPr>
      <w:pStyle w:val="Footer"/>
      <w:tabs>
        <w:tab w:val="clear" w:pos="3969"/>
        <w:tab w:val="left" w:pos="3686"/>
      </w:tabs>
      <w:spacing w:before="0"/>
    </w:pPr>
    <w:r w:rsidRPr="002A1D56">
      <w:rPr>
        <w:rFonts w:eastAsia="Times New Roman" w:cs="Times New Roman"/>
        <w:color w:val="242424"/>
        <w:sz w:val="14"/>
        <w:szCs w:val="14"/>
        <w:lang w:eastAsia="en-GB"/>
      </w:rPr>
      <w:t>CRICOS Provider Code: 00120C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BE2ED4" w14:textId="77777777" w:rsidR="0008527F" w:rsidRDefault="0008527F" w:rsidP="003B695F">
      <w:pPr>
        <w:spacing w:before="0" w:line="240" w:lineRule="auto"/>
      </w:pPr>
      <w:r>
        <w:separator/>
      </w:r>
    </w:p>
  </w:footnote>
  <w:footnote w:type="continuationSeparator" w:id="0">
    <w:p w14:paraId="15B7ABE4" w14:textId="77777777" w:rsidR="0008527F" w:rsidRDefault="0008527F" w:rsidP="003B695F">
      <w:pPr>
        <w:spacing w:before="0" w:line="240" w:lineRule="auto"/>
      </w:pPr>
      <w:r>
        <w:continuationSeparator/>
      </w:r>
    </w:p>
  </w:footnote>
  <w:footnote w:id="1">
    <w:p w14:paraId="24D7AF49" w14:textId="5C3CB1CA" w:rsidR="009520B7" w:rsidRPr="00533374" w:rsidRDefault="009520B7">
      <w:pPr>
        <w:pStyle w:val="FootnoteText"/>
      </w:pPr>
      <w:r w:rsidRPr="00533374">
        <w:rPr>
          <w:rStyle w:val="FootnoteReference"/>
        </w:rPr>
        <w:footnoteRef/>
      </w:r>
      <w:r w:rsidRPr="00533374">
        <w:t xml:space="preserve"> See </w:t>
      </w:r>
      <w:proofErr w:type="spellStart"/>
      <w:r w:rsidR="000C14E2" w:rsidRPr="00533374">
        <w:t>eg</w:t>
      </w:r>
      <w:proofErr w:type="spellEnd"/>
      <w:r w:rsidRPr="00533374">
        <w:t xml:space="preserve"> </w:t>
      </w:r>
      <w:r w:rsidR="009F0687" w:rsidRPr="00533374">
        <w:t xml:space="preserve">Commonwealth, The Treasury, </w:t>
      </w:r>
      <w:r w:rsidR="009F0687" w:rsidRPr="00533374">
        <w:rPr>
          <w:i/>
          <w:iCs/>
        </w:rPr>
        <w:t>Strengthening for Purpose: Australian Charities and Not-for-profits Commission: Legislation Review 2018</w:t>
      </w:r>
      <w:r w:rsidR="005710CC" w:rsidRPr="00533374">
        <w:t xml:space="preserve"> 64</w:t>
      </w:r>
      <w:r w:rsidR="005710CC" w:rsidRPr="00533374">
        <w:rPr>
          <w:shd w:val="clear" w:color="auto" w:fill="FFFFFF"/>
        </w:rPr>
        <w:noBreakHyphen/>
      </w:r>
      <w:r w:rsidR="005710CC" w:rsidRPr="00533374">
        <w:t>70 (suggesting at 65 that respect for the right to freedom of religion may have motivated the BRC exemptions)</w:t>
      </w:r>
      <w:r w:rsidR="003A082A" w:rsidRPr="00533374">
        <w:t>.</w:t>
      </w:r>
    </w:p>
  </w:footnote>
  <w:footnote w:id="2">
    <w:p w14:paraId="0750FDE7" w14:textId="5470A982" w:rsidR="00F577B2" w:rsidRPr="00533374" w:rsidRDefault="00F577B2">
      <w:pPr>
        <w:pStyle w:val="FootnoteText"/>
      </w:pPr>
      <w:r w:rsidRPr="00533374">
        <w:rPr>
          <w:rStyle w:val="FootnoteReference"/>
        </w:rPr>
        <w:footnoteRef/>
      </w:r>
      <w:r w:rsidRPr="00533374">
        <w:t xml:space="preserve"> </w:t>
      </w:r>
      <w:r w:rsidR="00470B58" w:rsidRPr="00533374">
        <w:t xml:space="preserve">See </w:t>
      </w:r>
      <w:proofErr w:type="spellStart"/>
      <w:r w:rsidR="00470B58" w:rsidRPr="00533374">
        <w:t>eg</w:t>
      </w:r>
      <w:proofErr w:type="spellEnd"/>
      <w:r w:rsidR="009F4E46" w:rsidRPr="00533374">
        <w:t xml:space="preserve"> </w:t>
      </w:r>
      <w:r w:rsidR="00386DE8" w:rsidRPr="00533374">
        <w:rPr>
          <w:lang w:val="en-US"/>
        </w:rPr>
        <w:t xml:space="preserve">‘When is the Advancement of Religion Not a Charitable Purpose?’ (2020) 6 </w:t>
      </w:r>
      <w:r w:rsidR="00386DE8" w:rsidRPr="00533374">
        <w:rPr>
          <w:i/>
          <w:lang w:val="en-US"/>
        </w:rPr>
        <w:t xml:space="preserve">Canadian Journal of Comparative and Contemporary Law </w:t>
      </w:r>
      <w:r w:rsidR="00386DE8" w:rsidRPr="00533374">
        <w:rPr>
          <w:lang w:val="en-US"/>
        </w:rPr>
        <w:t xml:space="preserve">360; </w:t>
      </w:r>
      <w:r w:rsidR="00E973FC" w:rsidRPr="00533374">
        <w:rPr>
          <w:lang w:val="en-US"/>
        </w:rPr>
        <w:t xml:space="preserve">‘Not-for-Profit Law and Freedom of Religion’ in Matthew Harding (ed), </w:t>
      </w:r>
      <w:r w:rsidR="00E973FC" w:rsidRPr="00533374">
        <w:rPr>
          <w:i/>
          <w:lang w:val="en-US"/>
        </w:rPr>
        <w:t>Research Handbook on Not-for-Profit Law</w:t>
      </w:r>
      <w:r w:rsidR="00E973FC" w:rsidRPr="00533374">
        <w:rPr>
          <w:lang w:val="en-US"/>
        </w:rPr>
        <w:t xml:space="preserve">, (Edward Elgar Publishing, 2018) 284; </w:t>
      </w:r>
      <w:r w:rsidR="00E973FC" w:rsidRPr="00533374">
        <w:t xml:space="preserve">‘Religious Charitable Status and Public Benefit in Australia’ (2011) 35 </w:t>
      </w:r>
      <w:r w:rsidR="00E973FC" w:rsidRPr="00533374">
        <w:rPr>
          <w:i/>
        </w:rPr>
        <w:t xml:space="preserve">Melbourne University Law Review </w:t>
      </w:r>
      <w:r w:rsidR="00E973FC" w:rsidRPr="00533374">
        <w:t>1071.</w:t>
      </w:r>
    </w:p>
  </w:footnote>
  <w:footnote w:id="3">
    <w:p w14:paraId="6135C900" w14:textId="28CB3FA8" w:rsidR="00F577B2" w:rsidRPr="00533374" w:rsidRDefault="00F577B2" w:rsidP="00F577B2">
      <w:pPr>
        <w:pStyle w:val="NoSpacing"/>
        <w:rPr>
          <w:sz w:val="20"/>
          <w:szCs w:val="20"/>
        </w:rPr>
      </w:pPr>
      <w:r w:rsidRPr="00533374">
        <w:rPr>
          <w:rStyle w:val="FootnoteReference"/>
          <w:sz w:val="20"/>
          <w:szCs w:val="20"/>
        </w:rPr>
        <w:footnoteRef/>
      </w:r>
      <w:r w:rsidRPr="00533374">
        <w:rPr>
          <w:sz w:val="20"/>
          <w:szCs w:val="20"/>
        </w:rPr>
        <w:t xml:space="preserve"> </w:t>
      </w:r>
      <w:r w:rsidRPr="00533374">
        <w:rPr>
          <w:i/>
          <w:sz w:val="20"/>
          <w:szCs w:val="20"/>
        </w:rPr>
        <w:t xml:space="preserve">Attorney-General (Vic); ex </w:t>
      </w:r>
      <w:proofErr w:type="spellStart"/>
      <w:r w:rsidRPr="00533374">
        <w:rPr>
          <w:i/>
          <w:sz w:val="20"/>
          <w:szCs w:val="20"/>
        </w:rPr>
        <w:t>rel</w:t>
      </w:r>
      <w:proofErr w:type="spellEnd"/>
      <w:r w:rsidRPr="00533374">
        <w:rPr>
          <w:i/>
          <w:sz w:val="20"/>
          <w:szCs w:val="20"/>
        </w:rPr>
        <w:t xml:space="preserve"> Black v Commonwealth</w:t>
      </w:r>
      <w:r w:rsidRPr="00533374">
        <w:rPr>
          <w:sz w:val="20"/>
          <w:szCs w:val="20"/>
        </w:rPr>
        <w:t>, (1981) 146 CLR 559</w:t>
      </w:r>
      <w:r w:rsidR="004E343B">
        <w:rPr>
          <w:sz w:val="20"/>
          <w:szCs w:val="20"/>
        </w:rPr>
        <w:t>,</w:t>
      </w:r>
      <w:r w:rsidRPr="00533374">
        <w:rPr>
          <w:sz w:val="20"/>
          <w:szCs w:val="20"/>
        </w:rPr>
        <w:t xml:space="preserve"> 582</w:t>
      </w:r>
      <w:r w:rsidR="004E343B">
        <w:rPr>
          <w:sz w:val="20"/>
          <w:szCs w:val="20"/>
        </w:rPr>
        <w:t>,</w:t>
      </w:r>
      <w:r w:rsidRPr="00533374">
        <w:rPr>
          <w:sz w:val="20"/>
          <w:szCs w:val="20"/>
        </w:rPr>
        <w:t xml:space="preserve"> 616.</w:t>
      </w:r>
    </w:p>
  </w:footnote>
  <w:footnote w:id="4">
    <w:p w14:paraId="413B9CB2" w14:textId="1AD5C35A" w:rsidR="00C27158" w:rsidRPr="00533374" w:rsidRDefault="00C27158">
      <w:pPr>
        <w:pStyle w:val="FootnoteText"/>
      </w:pPr>
      <w:r w:rsidRPr="00533374">
        <w:rPr>
          <w:rStyle w:val="FootnoteReference"/>
        </w:rPr>
        <w:footnoteRef/>
      </w:r>
      <w:r w:rsidRPr="00533374">
        <w:t xml:space="preserve"> </w:t>
      </w:r>
      <w:r w:rsidR="001D5832" w:rsidRPr="00533374">
        <w:t xml:space="preserve">See </w:t>
      </w:r>
      <w:r w:rsidR="001D5832" w:rsidRPr="00533374">
        <w:rPr>
          <w:i/>
          <w:iCs/>
        </w:rPr>
        <w:t>e.g.</w:t>
      </w:r>
      <w:r w:rsidR="001D5832" w:rsidRPr="00533374">
        <w:t xml:space="preserve"> </w:t>
      </w:r>
      <w:r w:rsidR="001D5832" w:rsidRPr="00533374">
        <w:rPr>
          <w:i/>
        </w:rPr>
        <w:t>Adelaide Company of Jehovah’s Witnesses Incorporation v The Commonwealth</w:t>
      </w:r>
      <w:r w:rsidR="001D5832" w:rsidRPr="00533374">
        <w:rPr>
          <w:iCs/>
        </w:rPr>
        <w:t>,</w:t>
      </w:r>
      <w:r w:rsidR="001D5832" w:rsidRPr="00533374">
        <w:t xml:space="preserve"> (1943) 67 CLR 116.</w:t>
      </w:r>
      <w:r w:rsidR="00B32FD8" w:rsidRPr="00533374">
        <w:t xml:space="preserve"> See also Pauline Ridge, </w:t>
      </w:r>
      <w:r w:rsidR="00565B54" w:rsidRPr="00533374">
        <w:t xml:space="preserve">‘The Financing of Religion: Guidelines for Legal Regulation’ (2009) 30 </w:t>
      </w:r>
      <w:r w:rsidR="00565B54" w:rsidRPr="00533374">
        <w:rPr>
          <w:i/>
        </w:rPr>
        <w:t xml:space="preserve">Adelaide Law Review </w:t>
      </w:r>
      <w:r w:rsidR="00565B54" w:rsidRPr="00533374">
        <w:t>85</w:t>
      </w:r>
      <w:r w:rsidR="00550586" w:rsidRPr="00533374">
        <w:t>, 91-95.</w:t>
      </w:r>
    </w:p>
  </w:footnote>
  <w:footnote w:id="5">
    <w:p w14:paraId="758CA0C0" w14:textId="77777777" w:rsidR="00F15F5F" w:rsidRPr="00533374" w:rsidRDefault="00F15F5F" w:rsidP="00F15F5F">
      <w:pPr>
        <w:pStyle w:val="NoSpacing"/>
        <w:rPr>
          <w:sz w:val="20"/>
          <w:szCs w:val="20"/>
        </w:rPr>
      </w:pPr>
      <w:r w:rsidRPr="00533374">
        <w:rPr>
          <w:rStyle w:val="FootnoteReference"/>
          <w:sz w:val="20"/>
          <w:szCs w:val="20"/>
        </w:rPr>
        <w:footnoteRef/>
      </w:r>
      <w:r w:rsidRPr="00533374">
        <w:rPr>
          <w:sz w:val="20"/>
          <w:szCs w:val="20"/>
        </w:rPr>
        <w:t xml:space="preserve"> </w:t>
      </w:r>
      <w:r w:rsidRPr="00533374">
        <w:rPr>
          <w:i/>
          <w:sz w:val="20"/>
          <w:szCs w:val="20"/>
        </w:rPr>
        <w:t>International Covenant on Civil and Political Rights</w:t>
      </w:r>
      <w:r w:rsidRPr="00533374">
        <w:rPr>
          <w:iCs/>
          <w:sz w:val="20"/>
          <w:szCs w:val="20"/>
        </w:rPr>
        <w:t>,</w:t>
      </w:r>
      <w:r w:rsidRPr="00533374">
        <w:rPr>
          <w:sz w:val="20"/>
          <w:szCs w:val="20"/>
        </w:rPr>
        <w:t xml:space="preserve"> 19 December 1966, 999 UNTS 171 (entered into force 23 March 1976, ratified by Australia 13 August 1980) [</w:t>
      </w:r>
      <w:r w:rsidRPr="00533374">
        <w:rPr>
          <w:i/>
          <w:iCs/>
          <w:sz w:val="20"/>
          <w:szCs w:val="20"/>
        </w:rPr>
        <w:t>ICCPR</w:t>
      </w:r>
      <w:r w:rsidRPr="00533374">
        <w:rPr>
          <w:sz w:val="20"/>
          <w:szCs w:val="20"/>
        </w:rPr>
        <w:t xml:space="preserve">]. </w:t>
      </w:r>
    </w:p>
  </w:footnote>
  <w:footnote w:id="6">
    <w:p w14:paraId="690394A2" w14:textId="37CE93D6" w:rsidR="00F15F5F" w:rsidRPr="00533374" w:rsidRDefault="00F15F5F" w:rsidP="00F15F5F">
      <w:pPr>
        <w:pStyle w:val="NoSpacing"/>
        <w:rPr>
          <w:sz w:val="20"/>
          <w:szCs w:val="20"/>
        </w:rPr>
      </w:pPr>
      <w:r w:rsidRPr="00533374">
        <w:rPr>
          <w:rStyle w:val="FootnoteReference"/>
          <w:sz w:val="20"/>
          <w:szCs w:val="20"/>
        </w:rPr>
        <w:footnoteRef/>
      </w:r>
      <w:r w:rsidRPr="00533374">
        <w:rPr>
          <w:sz w:val="20"/>
          <w:szCs w:val="20"/>
        </w:rPr>
        <w:t xml:space="preserve"> </w:t>
      </w:r>
      <w:r w:rsidRPr="00533374">
        <w:rPr>
          <w:i/>
          <w:iCs/>
          <w:sz w:val="20"/>
          <w:szCs w:val="20"/>
        </w:rPr>
        <w:t>Ibid</w:t>
      </w:r>
      <w:r w:rsidR="002D1B57">
        <w:rPr>
          <w:sz w:val="20"/>
          <w:szCs w:val="20"/>
        </w:rPr>
        <w:t xml:space="preserve"> </w:t>
      </w:r>
      <w:r w:rsidRPr="00533374">
        <w:rPr>
          <w:sz w:val="20"/>
          <w:szCs w:val="20"/>
        </w:rPr>
        <w:t xml:space="preserve">art 18. See </w:t>
      </w:r>
      <w:proofErr w:type="spellStart"/>
      <w:r w:rsidRPr="00533374">
        <w:rPr>
          <w:i/>
          <w:iCs/>
          <w:sz w:val="20"/>
          <w:szCs w:val="20"/>
        </w:rPr>
        <w:t>eg</w:t>
      </w:r>
      <w:proofErr w:type="spellEnd"/>
      <w:r w:rsidRPr="00533374">
        <w:rPr>
          <w:rFonts w:eastAsiaTheme="minorEastAsia"/>
          <w:iCs/>
          <w:sz w:val="20"/>
          <w:szCs w:val="20"/>
        </w:rPr>
        <w:t xml:space="preserve"> </w:t>
      </w:r>
      <w:r w:rsidRPr="00533374">
        <w:rPr>
          <w:rFonts w:eastAsiaTheme="minorEastAsia"/>
          <w:i/>
          <w:sz w:val="20"/>
          <w:szCs w:val="20"/>
        </w:rPr>
        <w:t>Church of Jesus Christ of Latter-Day Saints</w:t>
      </w:r>
      <w:r w:rsidR="00CB2F90" w:rsidRPr="00533374">
        <w:rPr>
          <w:rFonts w:eastAsiaTheme="minorEastAsia"/>
          <w:i/>
          <w:sz w:val="20"/>
          <w:szCs w:val="20"/>
        </w:rPr>
        <w:t xml:space="preserve"> </w:t>
      </w:r>
      <w:r w:rsidR="00CB2F90" w:rsidRPr="00533374">
        <w:rPr>
          <w:sz w:val="20"/>
          <w:szCs w:val="20"/>
        </w:rPr>
        <w:t xml:space="preserve">[2008] UKHL 56; </w:t>
      </w:r>
      <w:r w:rsidR="0035115C" w:rsidRPr="00533374">
        <w:rPr>
          <w:sz w:val="20"/>
          <w:szCs w:val="20"/>
        </w:rPr>
        <w:t>[2008] 1 WLR 1852</w:t>
      </w:r>
      <w:r w:rsidRPr="00533374">
        <w:rPr>
          <w:iCs/>
          <w:sz w:val="20"/>
          <w:szCs w:val="20"/>
        </w:rPr>
        <w:t xml:space="preserve">. </w:t>
      </w:r>
      <w:r w:rsidRPr="00533374">
        <w:rPr>
          <w:sz w:val="20"/>
          <w:szCs w:val="20"/>
        </w:rPr>
        <w:t xml:space="preserve"> </w:t>
      </w:r>
      <w:r w:rsidR="00F26DC7" w:rsidRPr="00533374">
        <w:rPr>
          <w:sz w:val="20"/>
          <w:szCs w:val="20"/>
        </w:rPr>
        <w:t xml:space="preserve">I leave to one side the question whether religious groups </w:t>
      </w:r>
      <w:r w:rsidR="00F26DC7" w:rsidRPr="002D1B57">
        <w:rPr>
          <w:i/>
          <w:iCs/>
          <w:sz w:val="20"/>
          <w:szCs w:val="20"/>
        </w:rPr>
        <w:t>themselves</w:t>
      </w:r>
      <w:r w:rsidR="00F26DC7" w:rsidRPr="00533374">
        <w:rPr>
          <w:sz w:val="20"/>
          <w:szCs w:val="20"/>
        </w:rPr>
        <w:t xml:space="preserve"> have religious freedom rights. </w:t>
      </w:r>
    </w:p>
  </w:footnote>
  <w:footnote w:id="7">
    <w:p w14:paraId="496A037C" w14:textId="31B0F9EC" w:rsidR="00F15F5F" w:rsidRPr="00533374" w:rsidRDefault="00F15F5F" w:rsidP="00F15F5F">
      <w:pPr>
        <w:pStyle w:val="NoSpacing"/>
        <w:rPr>
          <w:sz w:val="20"/>
          <w:szCs w:val="20"/>
        </w:rPr>
      </w:pPr>
      <w:r w:rsidRPr="00533374">
        <w:rPr>
          <w:rStyle w:val="FootnoteReference"/>
          <w:sz w:val="20"/>
          <w:szCs w:val="20"/>
        </w:rPr>
        <w:footnoteRef/>
      </w:r>
      <w:r w:rsidRPr="00533374">
        <w:rPr>
          <w:sz w:val="20"/>
          <w:szCs w:val="20"/>
        </w:rPr>
        <w:t xml:space="preserve"> </w:t>
      </w:r>
      <w:r w:rsidR="007642F0" w:rsidRPr="00533374">
        <w:rPr>
          <w:sz w:val="20"/>
          <w:szCs w:val="20"/>
        </w:rPr>
        <w:t>See</w:t>
      </w:r>
      <w:r w:rsidRPr="00533374">
        <w:rPr>
          <w:sz w:val="20"/>
          <w:szCs w:val="20"/>
        </w:rPr>
        <w:t xml:space="preserve"> UN Human Rights Committee, </w:t>
      </w:r>
      <w:r w:rsidRPr="00533374">
        <w:rPr>
          <w:i/>
          <w:iCs/>
          <w:sz w:val="20"/>
          <w:szCs w:val="20"/>
        </w:rPr>
        <w:t>CCPR General Comment No. 22: Article 18 (Freedom of Thought, Conscience and Religion)</w:t>
      </w:r>
      <w:r w:rsidRPr="00533374">
        <w:rPr>
          <w:sz w:val="20"/>
          <w:szCs w:val="20"/>
        </w:rPr>
        <w:t>, HRC, 48</w:t>
      </w:r>
      <w:r w:rsidRPr="00533374">
        <w:rPr>
          <w:sz w:val="20"/>
          <w:szCs w:val="20"/>
          <w:vertAlign w:val="superscript"/>
        </w:rPr>
        <w:t>th</w:t>
      </w:r>
      <w:r w:rsidRPr="00533374">
        <w:rPr>
          <w:sz w:val="20"/>
          <w:szCs w:val="20"/>
        </w:rPr>
        <w:t xml:space="preserve"> </w:t>
      </w:r>
      <w:proofErr w:type="spellStart"/>
      <w:r w:rsidRPr="00533374">
        <w:rPr>
          <w:sz w:val="20"/>
          <w:szCs w:val="20"/>
        </w:rPr>
        <w:t>Sess</w:t>
      </w:r>
      <w:proofErr w:type="spellEnd"/>
      <w:r w:rsidRPr="00533374">
        <w:rPr>
          <w:sz w:val="20"/>
          <w:szCs w:val="20"/>
        </w:rPr>
        <w:t>, UN Doc CCPR/C/21/Rev.1/Add.4, 1993 (the Human Rights Committee has elaborated on the meaning of ‘manifest’ in the context of the right to manifest religion collectively “in worship, observance, practice and teaching” at para 4).</w:t>
      </w:r>
    </w:p>
  </w:footnote>
  <w:footnote w:id="8">
    <w:p w14:paraId="5B63AABD" w14:textId="4DD0BF3A" w:rsidR="00F15F5F" w:rsidRPr="00533374" w:rsidRDefault="00F15F5F" w:rsidP="00F15F5F">
      <w:pPr>
        <w:pStyle w:val="NoSpacing"/>
        <w:rPr>
          <w:sz w:val="20"/>
          <w:szCs w:val="20"/>
        </w:rPr>
      </w:pPr>
      <w:r w:rsidRPr="00533374">
        <w:rPr>
          <w:rStyle w:val="FootnoteReference"/>
          <w:sz w:val="20"/>
          <w:szCs w:val="20"/>
        </w:rPr>
        <w:footnoteRef/>
      </w:r>
      <w:r w:rsidRPr="00533374">
        <w:rPr>
          <w:sz w:val="20"/>
          <w:szCs w:val="20"/>
        </w:rPr>
        <w:t xml:space="preserve"> </w:t>
      </w:r>
      <w:r w:rsidR="00433869" w:rsidRPr="00533374">
        <w:rPr>
          <w:sz w:val="20"/>
          <w:szCs w:val="20"/>
        </w:rPr>
        <w:t xml:space="preserve">See </w:t>
      </w:r>
      <w:proofErr w:type="spellStart"/>
      <w:r w:rsidR="00433869" w:rsidRPr="00533374">
        <w:rPr>
          <w:sz w:val="20"/>
          <w:szCs w:val="20"/>
        </w:rPr>
        <w:t>eg</w:t>
      </w:r>
      <w:proofErr w:type="spellEnd"/>
      <w:r w:rsidRPr="00533374">
        <w:rPr>
          <w:sz w:val="20"/>
          <w:szCs w:val="20"/>
        </w:rPr>
        <w:t xml:space="preserve"> </w:t>
      </w:r>
      <w:r w:rsidRPr="00533374">
        <w:rPr>
          <w:i/>
          <w:sz w:val="20"/>
          <w:szCs w:val="20"/>
        </w:rPr>
        <w:t>Human Rights Act</w:t>
      </w:r>
      <w:r w:rsidRPr="00533374">
        <w:rPr>
          <w:iCs/>
          <w:sz w:val="20"/>
          <w:szCs w:val="20"/>
        </w:rPr>
        <w:t xml:space="preserve"> </w:t>
      </w:r>
      <w:r w:rsidRPr="00533374">
        <w:rPr>
          <w:i/>
          <w:sz w:val="20"/>
          <w:szCs w:val="20"/>
        </w:rPr>
        <w:t xml:space="preserve">2004 </w:t>
      </w:r>
      <w:r w:rsidRPr="00533374">
        <w:rPr>
          <w:iCs/>
          <w:sz w:val="20"/>
          <w:szCs w:val="20"/>
        </w:rPr>
        <w:t>(ACT)</w:t>
      </w:r>
      <w:r w:rsidRPr="00533374">
        <w:rPr>
          <w:sz w:val="20"/>
          <w:szCs w:val="20"/>
        </w:rPr>
        <w:t xml:space="preserve">; </w:t>
      </w:r>
      <w:r w:rsidRPr="00533374">
        <w:rPr>
          <w:i/>
          <w:sz w:val="20"/>
          <w:szCs w:val="20"/>
        </w:rPr>
        <w:t>Charter of Human Rights and Responsibilities Act 2006</w:t>
      </w:r>
      <w:r w:rsidRPr="00533374">
        <w:rPr>
          <w:iCs/>
          <w:sz w:val="20"/>
          <w:szCs w:val="20"/>
        </w:rPr>
        <w:t xml:space="preserve"> (Vic)</w:t>
      </w:r>
      <w:r w:rsidRPr="00533374">
        <w:rPr>
          <w:sz w:val="20"/>
          <w:szCs w:val="20"/>
        </w:rPr>
        <w:t xml:space="preserve">; </w:t>
      </w:r>
      <w:r w:rsidRPr="00533374">
        <w:rPr>
          <w:i/>
          <w:sz w:val="20"/>
          <w:szCs w:val="20"/>
        </w:rPr>
        <w:t>Human Rights Act 2019</w:t>
      </w:r>
      <w:r w:rsidRPr="00533374">
        <w:rPr>
          <w:sz w:val="20"/>
          <w:szCs w:val="20"/>
        </w:rPr>
        <w:t xml:space="preserve"> (Qld). See also </w:t>
      </w:r>
      <w:r w:rsidRPr="00533374">
        <w:rPr>
          <w:i/>
          <w:sz w:val="20"/>
          <w:szCs w:val="20"/>
        </w:rPr>
        <w:t>Human Rights (Parliamentary Scrutiny) Act</w:t>
      </w:r>
      <w:r w:rsidRPr="00533374">
        <w:rPr>
          <w:iCs/>
          <w:sz w:val="20"/>
          <w:szCs w:val="20"/>
        </w:rPr>
        <w:t xml:space="preserve"> </w:t>
      </w:r>
      <w:r w:rsidRPr="00533374">
        <w:rPr>
          <w:i/>
          <w:sz w:val="20"/>
          <w:szCs w:val="20"/>
        </w:rPr>
        <w:t>2011</w:t>
      </w:r>
      <w:r w:rsidRPr="00533374">
        <w:rPr>
          <w:iCs/>
          <w:sz w:val="20"/>
          <w:szCs w:val="20"/>
        </w:rPr>
        <w:t xml:space="preserve"> (</w:t>
      </w:r>
      <w:proofErr w:type="spellStart"/>
      <w:r w:rsidRPr="00533374">
        <w:rPr>
          <w:iCs/>
          <w:sz w:val="20"/>
          <w:szCs w:val="20"/>
        </w:rPr>
        <w:t>Cth</w:t>
      </w:r>
      <w:proofErr w:type="spellEnd"/>
      <w:r w:rsidRPr="00533374">
        <w:rPr>
          <w:iCs/>
          <w:sz w:val="20"/>
          <w:szCs w:val="20"/>
        </w:rPr>
        <w:t>).</w:t>
      </w:r>
      <w:r w:rsidRPr="00533374">
        <w:rPr>
          <w:i/>
          <w:sz w:val="20"/>
          <w:szCs w:val="20"/>
        </w:rPr>
        <w:t xml:space="preserve"> </w:t>
      </w:r>
      <w:r w:rsidRPr="00533374">
        <w:rPr>
          <w:sz w:val="20"/>
          <w:szCs w:val="20"/>
        </w:rPr>
        <w:t xml:space="preserve"> </w:t>
      </w:r>
    </w:p>
  </w:footnote>
  <w:footnote w:id="9">
    <w:p w14:paraId="6134E8E5" w14:textId="00369926" w:rsidR="00F15F5F" w:rsidRPr="00533374" w:rsidRDefault="00F15F5F" w:rsidP="00F15F5F">
      <w:pPr>
        <w:pStyle w:val="NoSpacing"/>
        <w:rPr>
          <w:sz w:val="20"/>
          <w:szCs w:val="20"/>
        </w:rPr>
      </w:pPr>
      <w:r w:rsidRPr="00533374">
        <w:rPr>
          <w:rStyle w:val="FootnoteReference"/>
          <w:sz w:val="20"/>
          <w:szCs w:val="20"/>
        </w:rPr>
        <w:footnoteRef/>
      </w:r>
      <w:r w:rsidRPr="00533374">
        <w:rPr>
          <w:sz w:val="20"/>
          <w:szCs w:val="20"/>
        </w:rPr>
        <w:t xml:space="preserve"> </w:t>
      </w:r>
      <w:r w:rsidR="002579E6" w:rsidRPr="00533374">
        <w:rPr>
          <w:sz w:val="20"/>
          <w:szCs w:val="20"/>
        </w:rPr>
        <w:t xml:space="preserve">See </w:t>
      </w:r>
      <w:proofErr w:type="spellStart"/>
      <w:r w:rsidR="002579E6" w:rsidRPr="00533374">
        <w:rPr>
          <w:sz w:val="20"/>
          <w:szCs w:val="20"/>
        </w:rPr>
        <w:t>eg</w:t>
      </w:r>
      <w:proofErr w:type="spellEnd"/>
      <w:r w:rsidR="002579E6" w:rsidRPr="00533374">
        <w:rPr>
          <w:sz w:val="20"/>
          <w:szCs w:val="20"/>
        </w:rPr>
        <w:t xml:space="preserve"> </w:t>
      </w:r>
      <w:r w:rsidRPr="00533374">
        <w:rPr>
          <w:i/>
          <w:iCs/>
          <w:sz w:val="20"/>
          <w:szCs w:val="20"/>
        </w:rPr>
        <w:t xml:space="preserve">Application </w:t>
      </w:r>
      <w:proofErr w:type="gramStart"/>
      <w:r w:rsidRPr="00533374">
        <w:rPr>
          <w:i/>
          <w:iCs/>
          <w:sz w:val="20"/>
          <w:szCs w:val="20"/>
        </w:rPr>
        <w:t>For</w:t>
      </w:r>
      <w:proofErr w:type="gramEnd"/>
      <w:r w:rsidRPr="00533374">
        <w:rPr>
          <w:i/>
          <w:iCs/>
          <w:sz w:val="20"/>
          <w:szCs w:val="20"/>
        </w:rPr>
        <w:t xml:space="preserve"> Registration as a Charity by the Church of Scientology: Decision of the Charity Commissioners for England and Wales</w:t>
      </w:r>
      <w:r w:rsidRPr="00533374">
        <w:rPr>
          <w:sz w:val="20"/>
          <w:szCs w:val="20"/>
        </w:rPr>
        <w:t xml:space="preserve"> (17 November 1999) at 10, online (pdf): </w:t>
      </w:r>
      <w:r w:rsidRPr="00533374">
        <w:rPr>
          <w:i/>
          <w:iCs/>
          <w:sz w:val="20"/>
          <w:szCs w:val="20"/>
        </w:rPr>
        <w:t xml:space="preserve">Charity Commission of England and Wales </w:t>
      </w:r>
      <w:r w:rsidRPr="00533374">
        <w:rPr>
          <w:sz w:val="20"/>
          <w:szCs w:val="20"/>
        </w:rPr>
        <w:t xml:space="preserve">&lt;assets.publishing.service.gov.uk/government/uploads/system/uploads/attachment_data/file/324212/cosfulldoc.pdf&gt;; </w:t>
      </w:r>
      <w:r w:rsidRPr="00533374">
        <w:rPr>
          <w:i/>
          <w:sz w:val="20"/>
          <w:szCs w:val="20"/>
        </w:rPr>
        <w:t>Bob Jones University</w:t>
      </w:r>
      <w:r w:rsidR="00440419" w:rsidRPr="00533374">
        <w:rPr>
          <w:i/>
          <w:sz w:val="20"/>
          <w:szCs w:val="20"/>
        </w:rPr>
        <w:t xml:space="preserve"> v United States </w:t>
      </w:r>
      <w:r w:rsidR="00440419" w:rsidRPr="00533374">
        <w:rPr>
          <w:sz w:val="20"/>
          <w:szCs w:val="20"/>
        </w:rPr>
        <w:t xml:space="preserve">(1983) </w:t>
      </w:r>
      <w:r w:rsidR="00440419" w:rsidRPr="00533374">
        <w:rPr>
          <w:rFonts w:eastAsia="Times New Roman"/>
          <w:sz w:val="20"/>
          <w:szCs w:val="20"/>
        </w:rPr>
        <w:t>103 S Ct 2017</w:t>
      </w:r>
      <w:r w:rsidR="00785B1E" w:rsidRPr="00533374">
        <w:rPr>
          <w:rFonts w:eastAsia="Times New Roman"/>
          <w:sz w:val="20"/>
          <w:szCs w:val="20"/>
        </w:rPr>
        <w:t>,</w:t>
      </w:r>
      <w:r w:rsidRPr="00533374">
        <w:rPr>
          <w:rFonts w:eastAsia="Times New Roman"/>
          <w:sz w:val="20"/>
          <w:szCs w:val="20"/>
        </w:rPr>
        <w:t xml:space="preserve"> 2035. </w:t>
      </w:r>
    </w:p>
  </w:footnote>
  <w:footnote w:id="10">
    <w:p w14:paraId="05FB7B94" w14:textId="23846C21" w:rsidR="006F7EBF" w:rsidRPr="00533374" w:rsidRDefault="006F7EBF" w:rsidP="006F7EBF">
      <w:pPr>
        <w:pStyle w:val="FootnoteText"/>
      </w:pPr>
      <w:r w:rsidRPr="00533374">
        <w:rPr>
          <w:rStyle w:val="FootnoteReference"/>
        </w:rPr>
        <w:footnoteRef/>
      </w:r>
      <w:r w:rsidRPr="00533374">
        <w:t xml:space="preserve"> 2018 ONSC 4147.</w:t>
      </w:r>
      <w:r w:rsidR="00AC4BAE" w:rsidRPr="00533374">
        <w:t xml:space="preserve"> </w:t>
      </w:r>
    </w:p>
  </w:footnote>
  <w:footnote w:id="11">
    <w:p w14:paraId="270FB5CC" w14:textId="12FE18E8" w:rsidR="006F7EBF" w:rsidRPr="00533374" w:rsidRDefault="006F7EBF">
      <w:pPr>
        <w:pStyle w:val="FootnoteText"/>
      </w:pPr>
      <w:r w:rsidRPr="00533374">
        <w:rPr>
          <w:rStyle w:val="FootnoteReference"/>
        </w:rPr>
        <w:footnoteRef/>
      </w:r>
      <w:r w:rsidRPr="00533374">
        <w:t xml:space="preserve"> Ibid [44].</w:t>
      </w:r>
    </w:p>
  </w:footnote>
  <w:footnote w:id="12">
    <w:p w14:paraId="72F772F7" w14:textId="111474B0" w:rsidR="00E426EA" w:rsidRPr="00533374" w:rsidRDefault="00E426EA">
      <w:pPr>
        <w:pStyle w:val="FootnoteText"/>
      </w:pPr>
      <w:r w:rsidRPr="00533374">
        <w:rPr>
          <w:rStyle w:val="FootnoteReference"/>
        </w:rPr>
        <w:footnoteRef/>
      </w:r>
      <w:r w:rsidRPr="00533374">
        <w:t xml:space="preserve"> The </w:t>
      </w:r>
      <w:r w:rsidR="00F45BC1">
        <w:t>constraint</w:t>
      </w:r>
      <w:r w:rsidRPr="00533374">
        <w:t xml:space="preserve"> complained of was </w:t>
      </w:r>
      <w:r w:rsidR="00296325" w:rsidRPr="00533374">
        <w:t>that</w:t>
      </w:r>
      <w:r w:rsidRPr="00533374">
        <w:t xml:space="preserve"> political advocacy work </w:t>
      </w:r>
      <w:r w:rsidR="00EE1CB1" w:rsidRPr="00533374">
        <w:t xml:space="preserve">could </w:t>
      </w:r>
      <w:r w:rsidRPr="00533374">
        <w:t>constitute only 10% of the charity's work</w:t>
      </w:r>
      <w:r w:rsidR="00EE1CB1" w:rsidRPr="00533374">
        <w:t xml:space="preserve">. It was held that this </w:t>
      </w:r>
      <w:r w:rsidR="00F45BC1" w:rsidRPr="00533374">
        <w:t xml:space="preserve">effectively </w:t>
      </w:r>
      <w:r w:rsidR="006229C2" w:rsidRPr="00533374">
        <w:t xml:space="preserve">precluded the charity from fulfilling its charitable purpose of </w:t>
      </w:r>
      <w:r w:rsidR="00395738" w:rsidRPr="00533374">
        <w:t xml:space="preserve">the </w:t>
      </w:r>
      <w:r w:rsidR="006229C2" w:rsidRPr="00533374">
        <w:t>relief of poverty</w:t>
      </w:r>
      <w:r w:rsidR="00395738" w:rsidRPr="00533374">
        <w:t>.</w:t>
      </w:r>
      <w:r w:rsidR="005D6808" w:rsidRPr="00533374">
        <w:t xml:space="preserve"> </w:t>
      </w:r>
    </w:p>
  </w:footnote>
  <w:footnote w:id="13">
    <w:p w14:paraId="2F4E41D9" w14:textId="1A6B42ED" w:rsidR="009520B7" w:rsidRPr="00533374" w:rsidRDefault="009520B7" w:rsidP="00902C67">
      <w:pPr>
        <w:pStyle w:val="Pa6"/>
        <w:jc w:val="both"/>
        <w:rPr>
          <w:rFonts w:asciiTheme="minorHAnsi" w:hAnsiTheme="minorHAnsi"/>
          <w:sz w:val="20"/>
          <w:szCs w:val="20"/>
        </w:rPr>
      </w:pPr>
      <w:r w:rsidRPr="00533374">
        <w:rPr>
          <w:rStyle w:val="FootnoteReference"/>
          <w:rFonts w:asciiTheme="minorHAnsi" w:hAnsiTheme="minorHAnsi"/>
          <w:sz w:val="20"/>
          <w:szCs w:val="20"/>
        </w:rPr>
        <w:footnoteRef/>
      </w:r>
      <w:r w:rsidRPr="00533374">
        <w:rPr>
          <w:rFonts w:asciiTheme="minorHAnsi" w:hAnsiTheme="minorHAnsi"/>
          <w:sz w:val="20"/>
          <w:szCs w:val="20"/>
        </w:rPr>
        <w:t xml:space="preserve"> See </w:t>
      </w:r>
      <w:proofErr w:type="spellStart"/>
      <w:r w:rsidRPr="00533374">
        <w:rPr>
          <w:rFonts w:asciiTheme="minorHAnsi" w:hAnsiTheme="minorHAnsi"/>
          <w:sz w:val="20"/>
          <w:szCs w:val="20"/>
        </w:rPr>
        <w:t>eg</w:t>
      </w:r>
      <w:proofErr w:type="spellEnd"/>
      <w:r w:rsidRPr="00533374">
        <w:rPr>
          <w:rFonts w:asciiTheme="minorHAnsi" w:hAnsiTheme="minorHAnsi"/>
          <w:sz w:val="20"/>
          <w:szCs w:val="20"/>
        </w:rPr>
        <w:t xml:space="preserve"> </w:t>
      </w:r>
      <w:r w:rsidRPr="00812042">
        <w:rPr>
          <w:rFonts w:asciiTheme="minorHAnsi" w:hAnsiTheme="minorHAnsi" w:cs="Simoncini Garamond"/>
          <w:i/>
          <w:iCs/>
          <w:color w:val="211D1E"/>
          <w:sz w:val="20"/>
          <w:szCs w:val="20"/>
        </w:rPr>
        <w:t>Evans v New South Wales</w:t>
      </w:r>
      <w:r w:rsidRPr="00533374">
        <w:rPr>
          <w:rFonts w:asciiTheme="minorHAnsi" w:hAnsiTheme="minorHAnsi" w:cs="Simoncini Garamond"/>
          <w:color w:val="211D1E"/>
          <w:sz w:val="20"/>
          <w:szCs w:val="20"/>
        </w:rPr>
        <w:t xml:space="preserve"> (2008) 168 FCR 576, 596 [79]; </w:t>
      </w:r>
      <w:r w:rsidRPr="00533374">
        <w:rPr>
          <w:rFonts w:asciiTheme="minorHAnsi" w:hAnsiTheme="minorHAnsi"/>
          <w:i/>
          <w:iCs/>
          <w:sz w:val="20"/>
          <w:szCs w:val="20"/>
        </w:rPr>
        <w:t>Church of the New Faith v Commissioner of Pay-Roll Tax (Vic)</w:t>
      </w:r>
      <w:r w:rsidRPr="00533374">
        <w:rPr>
          <w:rFonts w:asciiTheme="minorHAnsi" w:hAnsiTheme="minorHAnsi"/>
          <w:sz w:val="20"/>
          <w:szCs w:val="20"/>
        </w:rPr>
        <w:t xml:space="preserve"> (1983) 154 CLR 120, 130</w:t>
      </w:r>
      <w:r w:rsidR="00661EBE" w:rsidRPr="00533374">
        <w:rPr>
          <w:rFonts w:asciiTheme="minorHAnsi" w:hAnsiTheme="minorHAnsi"/>
          <w:sz w:val="20"/>
          <w:szCs w:val="20"/>
        </w:rPr>
        <w:t>.</w:t>
      </w:r>
      <w:r w:rsidRPr="00533374">
        <w:rPr>
          <w:rFonts w:asciiTheme="minorHAnsi" w:hAnsiTheme="minorHAnsi"/>
          <w:sz w:val="20"/>
          <w:szCs w:val="20"/>
        </w:rPr>
        <w:t xml:space="preserve"> </w:t>
      </w:r>
    </w:p>
  </w:footnote>
  <w:footnote w:id="14">
    <w:p w14:paraId="0E706F8B" w14:textId="242E4881" w:rsidR="00BA481C" w:rsidRPr="00533374" w:rsidRDefault="00BA481C" w:rsidP="00BA481C">
      <w:pPr>
        <w:pStyle w:val="NoSpacing"/>
        <w:rPr>
          <w:sz w:val="20"/>
          <w:szCs w:val="20"/>
        </w:rPr>
      </w:pPr>
      <w:r w:rsidRPr="00533374">
        <w:rPr>
          <w:rStyle w:val="FootnoteReference"/>
          <w:sz w:val="20"/>
          <w:szCs w:val="20"/>
        </w:rPr>
        <w:footnoteRef/>
      </w:r>
      <w:r w:rsidRPr="00533374">
        <w:rPr>
          <w:sz w:val="20"/>
          <w:szCs w:val="20"/>
        </w:rPr>
        <w:t xml:space="preserve"> See </w:t>
      </w:r>
      <w:r w:rsidR="003D06C3" w:rsidRPr="00533374">
        <w:rPr>
          <w:sz w:val="20"/>
          <w:szCs w:val="20"/>
        </w:rPr>
        <w:t xml:space="preserve">Nicholas </w:t>
      </w:r>
      <w:proofErr w:type="spellStart"/>
      <w:r w:rsidR="003D06C3" w:rsidRPr="00533374">
        <w:rPr>
          <w:sz w:val="20"/>
          <w:szCs w:val="20"/>
        </w:rPr>
        <w:t>Aroney</w:t>
      </w:r>
      <w:proofErr w:type="spellEnd"/>
      <w:r w:rsidR="003D06C3" w:rsidRPr="00533374">
        <w:rPr>
          <w:sz w:val="20"/>
          <w:szCs w:val="20"/>
        </w:rPr>
        <w:t xml:space="preserve"> and Matthew Turnour, “Charities are the New Constitutional Law Frontier” (2017) 41 </w:t>
      </w:r>
      <w:r w:rsidR="003D06C3" w:rsidRPr="00533374">
        <w:rPr>
          <w:i/>
          <w:sz w:val="20"/>
          <w:szCs w:val="20"/>
        </w:rPr>
        <w:t>Melbourne University Law Review</w:t>
      </w:r>
      <w:r w:rsidR="003D06C3" w:rsidRPr="00533374">
        <w:rPr>
          <w:sz w:val="20"/>
          <w:szCs w:val="20"/>
        </w:rPr>
        <w:t xml:space="preserve"> 446</w:t>
      </w:r>
      <w:r w:rsidRPr="00533374">
        <w:rPr>
          <w:sz w:val="20"/>
          <w:szCs w:val="20"/>
        </w:rPr>
        <w:t xml:space="preserve">; Peter W Edge, “Hard Law and Soft Power: Counter-Terrorism, the Power of Sacred Places, and the Establishment of an Anglican Islam” (2010) 12 </w:t>
      </w:r>
      <w:r w:rsidRPr="00533374">
        <w:rPr>
          <w:i/>
          <w:sz w:val="20"/>
          <w:szCs w:val="20"/>
        </w:rPr>
        <w:t>Rutgers Journal of Law and Religion</w:t>
      </w:r>
      <w:r w:rsidRPr="00533374">
        <w:rPr>
          <w:sz w:val="20"/>
          <w:szCs w:val="20"/>
        </w:rPr>
        <w:t xml:space="preserve"> 358 (arguing, at 359, that after 7/7, the Charity Commission was used by the British Government to exercise “soft power, in particular financial power, to effect theological change in Islamic religious communities”).</w:t>
      </w:r>
    </w:p>
  </w:footnote>
  <w:footnote w:id="15">
    <w:p w14:paraId="0A73E910" w14:textId="5CCA2CAB" w:rsidR="00BA481C" w:rsidRPr="00533374" w:rsidRDefault="00BA481C" w:rsidP="00BA481C">
      <w:pPr>
        <w:pStyle w:val="NoSpacing"/>
        <w:rPr>
          <w:sz w:val="20"/>
          <w:szCs w:val="20"/>
        </w:rPr>
      </w:pPr>
      <w:r w:rsidRPr="00533374">
        <w:rPr>
          <w:rStyle w:val="FootnoteReference"/>
          <w:sz w:val="20"/>
          <w:szCs w:val="20"/>
        </w:rPr>
        <w:footnoteRef/>
      </w:r>
      <w:r w:rsidRPr="00533374">
        <w:rPr>
          <w:sz w:val="20"/>
          <w:szCs w:val="20"/>
        </w:rPr>
        <w:t xml:space="preserve"> See </w:t>
      </w:r>
      <w:r w:rsidR="000F7C4C" w:rsidRPr="00533374">
        <w:rPr>
          <w:sz w:val="20"/>
          <w:szCs w:val="20"/>
        </w:rPr>
        <w:t>Susan Pascoe, “A Regulator’s View” in Matthew Harding</w:t>
      </w:r>
      <w:r w:rsidR="00E138D6">
        <w:rPr>
          <w:sz w:val="20"/>
          <w:szCs w:val="20"/>
        </w:rPr>
        <w:t xml:space="preserve"> (</w:t>
      </w:r>
      <w:r w:rsidR="000F7C4C" w:rsidRPr="00533374">
        <w:rPr>
          <w:sz w:val="20"/>
          <w:szCs w:val="20"/>
        </w:rPr>
        <w:t>ed</w:t>
      </w:r>
      <w:r w:rsidR="00E138D6">
        <w:rPr>
          <w:sz w:val="20"/>
          <w:szCs w:val="20"/>
        </w:rPr>
        <w:t>),</w:t>
      </w:r>
      <w:r w:rsidR="000F7C4C" w:rsidRPr="00533374">
        <w:rPr>
          <w:sz w:val="20"/>
          <w:szCs w:val="20"/>
        </w:rPr>
        <w:t xml:space="preserve"> </w:t>
      </w:r>
      <w:r w:rsidR="000F7C4C" w:rsidRPr="00533374">
        <w:rPr>
          <w:i/>
          <w:sz w:val="20"/>
          <w:szCs w:val="20"/>
        </w:rPr>
        <w:t>Research Handbook on Not-For-Profit Law</w:t>
      </w:r>
      <w:r w:rsidR="000F7C4C" w:rsidRPr="00533374">
        <w:rPr>
          <w:sz w:val="20"/>
          <w:szCs w:val="20"/>
        </w:rPr>
        <w:t xml:space="preserve"> (Edward Elgar Publishing Limited, 2018) 570, </w:t>
      </w:r>
      <w:r w:rsidRPr="00533374">
        <w:rPr>
          <w:sz w:val="20"/>
          <w:szCs w:val="20"/>
        </w:rPr>
        <w:t>581</w:t>
      </w:r>
      <w:r w:rsidRPr="00533374">
        <w:rPr>
          <w:sz w:val="20"/>
          <w:szCs w:val="20"/>
        </w:rPr>
        <w:noBreakHyphen/>
        <w:t xml:space="preserve">82. </w:t>
      </w:r>
    </w:p>
  </w:footnote>
  <w:footnote w:id="16">
    <w:p w14:paraId="1BC0BBD1" w14:textId="61C5F7D1" w:rsidR="00BA481C" w:rsidRPr="00533374" w:rsidRDefault="00BA481C" w:rsidP="00BA481C">
      <w:pPr>
        <w:pStyle w:val="NoSpacing"/>
        <w:rPr>
          <w:sz w:val="20"/>
          <w:szCs w:val="20"/>
        </w:rPr>
      </w:pPr>
      <w:r w:rsidRPr="00533374">
        <w:rPr>
          <w:rStyle w:val="FootnoteReference"/>
          <w:sz w:val="20"/>
          <w:szCs w:val="20"/>
        </w:rPr>
        <w:footnoteRef/>
      </w:r>
      <w:r w:rsidRPr="00533374">
        <w:rPr>
          <w:sz w:val="20"/>
          <w:szCs w:val="20"/>
        </w:rPr>
        <w:t xml:space="preserve"> </w:t>
      </w:r>
      <w:r w:rsidR="00F30B55" w:rsidRPr="00533374">
        <w:rPr>
          <w:sz w:val="20"/>
          <w:szCs w:val="20"/>
        </w:rPr>
        <w:t xml:space="preserve">Peter W Edge, “Hard Law and Soft Power: </w:t>
      </w:r>
      <w:proofErr w:type="gramStart"/>
      <w:r w:rsidR="00F30B55" w:rsidRPr="00533374">
        <w:rPr>
          <w:sz w:val="20"/>
          <w:szCs w:val="20"/>
        </w:rPr>
        <w:t>Counter-Terrorism</w:t>
      </w:r>
      <w:proofErr w:type="gramEnd"/>
      <w:r w:rsidR="00F30B55" w:rsidRPr="00533374">
        <w:rPr>
          <w:sz w:val="20"/>
          <w:szCs w:val="20"/>
        </w:rPr>
        <w:t xml:space="preserve">, the Power of Sacred Places, and the Establishment of an Anglican Islam” (2010) 12 </w:t>
      </w:r>
      <w:r w:rsidR="00F30B55" w:rsidRPr="00533374">
        <w:rPr>
          <w:i/>
          <w:sz w:val="20"/>
          <w:szCs w:val="20"/>
        </w:rPr>
        <w:t>Rutgers Journal of Law and Religion</w:t>
      </w:r>
      <w:r w:rsidR="00F30B55" w:rsidRPr="00533374">
        <w:rPr>
          <w:sz w:val="20"/>
          <w:szCs w:val="20"/>
        </w:rPr>
        <w:t xml:space="preserve"> 358</w:t>
      </w:r>
      <w:r w:rsidR="00B33F9B" w:rsidRPr="00533374">
        <w:rPr>
          <w:sz w:val="20"/>
          <w:szCs w:val="20"/>
        </w:rPr>
        <w:t>,</w:t>
      </w:r>
      <w:r w:rsidRPr="00533374">
        <w:rPr>
          <w:sz w:val="20"/>
          <w:szCs w:val="20"/>
        </w:rPr>
        <w:t xml:space="preserve"> 363</w:t>
      </w:r>
      <w:r w:rsidRPr="00533374">
        <w:rPr>
          <w:sz w:val="20"/>
          <w:szCs w:val="20"/>
        </w:rPr>
        <w:noBreakHyphen/>
        <w:t>68.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8A280" w14:textId="58A5B031" w:rsidR="008778FF" w:rsidRDefault="008778FF">
    <w:pPr>
      <w:pStyle w:val="Header"/>
    </w:pPr>
    <w:r>
      <w:rPr>
        <w:noProof/>
      </w:rPr>
      <mc:AlternateContent>
        <mc:Choice Requires="wps">
          <w:drawing>
            <wp:anchor distT="0" distB="0" distL="0" distR="0" simplePos="0" relativeHeight="251671552" behindDoc="0" locked="0" layoutInCell="1" allowOverlap="1" wp14:anchorId="676524B6" wp14:editId="473EA4C2">
              <wp:simplePos x="635" y="635"/>
              <wp:positionH relativeFrom="page">
                <wp:align>center</wp:align>
              </wp:positionH>
              <wp:positionV relativeFrom="page">
                <wp:align>top</wp:align>
              </wp:positionV>
              <wp:extent cx="443865" cy="443865"/>
              <wp:effectExtent l="0" t="0" r="4445" b="6985"/>
              <wp:wrapNone/>
              <wp:docPr id="2064670308" name="Text Box 2" descr="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ED3DC1E" w14:textId="30B03FB8" w:rsidR="008778FF" w:rsidRPr="008778FF" w:rsidRDefault="008778FF" w:rsidP="008778FF">
                          <w:pPr>
                            <w:rPr>
                              <w:rFonts w:ascii="Calibri" w:eastAsia="Calibri" w:hAnsi="Calibri" w:cs="Calibri"/>
                              <w:noProof/>
                              <w:color w:val="000000"/>
                              <w:sz w:val="24"/>
                            </w:rPr>
                          </w:pPr>
                          <w:r w:rsidRPr="008778FF">
                            <w:rPr>
                              <w:rFonts w:ascii="Calibri" w:eastAsia="Calibri" w:hAnsi="Calibri" w:cs="Calibri"/>
                              <w:noProof/>
                              <w:color w:val="000000"/>
                              <w:sz w:val="24"/>
                            </w:rPr>
                            <w:t xml:space="preserve">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76524B6" id="_x0000_t202" coordsize="21600,21600" o:spt="202" path="m,l,21600r21600,l21600,xe">
              <v:stroke joinstyle="miter"/>
              <v:path gradientshapeok="t" o:connecttype="rect"/>
            </v:shapetype>
            <v:shape id="Text Box 2" o:spid="_x0000_s1026" type="#_x0000_t202" alt=" OFFICIAL" style="position:absolute;margin-left:0;margin-top:0;width:34.95pt;height:34.95pt;z-index:2516715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Y2VCgIAABw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Ylv5y630F1oqE8DPsOTq5bKr0RAZ+FpwXTHCRafKKj&#10;1tCVHEaLswb8j7/5Yz7xTlHOOhJMyS0pmjP9zdI+oraSMf+cX+d085N7Nxn2YO6BZDinF+FkMmMe&#10;6smsPZhXkvMqFqKQsJLKlRwn8x4H5dJzkGq1SkkkIydwY7dORuhIV+TypX8V3o2EI23qESY1ieId&#10;70Nu/DO41QGJ/bSUSO1A5Mg4STCtdXwuUeO/3lPW+VEvfwI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LpY2VCgIAABwEAAAOAAAA&#10;AAAAAAAAAAAAAC4CAABkcnMvZTJvRG9jLnhtbFBLAQItABQABgAIAAAAIQDUHg1H2AAAAAMBAAAP&#10;AAAAAAAAAAAAAAAAAGQEAABkcnMvZG93bnJldi54bWxQSwUGAAAAAAQABADzAAAAaQUAAAAA&#10;" filled="f" stroked="f">
              <v:fill o:detectmouseclick="t"/>
              <v:textbox style="mso-fit-shape-to-text:t" inset="0,15pt,0,0">
                <w:txbxContent>
                  <w:p w14:paraId="4ED3DC1E" w14:textId="30B03FB8" w:rsidR="008778FF" w:rsidRPr="008778FF" w:rsidRDefault="008778FF" w:rsidP="008778FF">
                    <w:pPr>
                      <w:rPr>
                        <w:rFonts w:ascii="Calibri" w:eastAsia="Calibri" w:hAnsi="Calibri" w:cs="Calibri"/>
                        <w:noProof/>
                        <w:color w:val="000000"/>
                        <w:sz w:val="24"/>
                      </w:rPr>
                    </w:pPr>
                    <w:r w:rsidRPr="008778FF">
                      <w:rPr>
                        <w:rFonts w:ascii="Calibri" w:eastAsia="Calibri" w:hAnsi="Calibri" w:cs="Calibri"/>
                        <w:noProof/>
                        <w:color w:val="000000"/>
                        <w:sz w:val="24"/>
                      </w:rPr>
                      <w:t xml:space="preserve"> 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56724" w14:textId="2D1C2233" w:rsidR="00EE6BC5" w:rsidRDefault="002954A0">
    <w:pPr>
      <w:pStyle w:val="Header"/>
    </w:pPr>
    <w:r>
      <w:rPr>
        <w:noProof/>
        <w:lang w:eastAsia="en-AU"/>
      </w:rPr>
      <w:drawing>
        <wp:anchor distT="0" distB="0" distL="114300" distR="114300" simplePos="0" relativeHeight="251666432" behindDoc="1" locked="0" layoutInCell="1" allowOverlap="1" wp14:anchorId="5CDA2154" wp14:editId="2B58BBD2">
          <wp:simplePos x="0" y="0"/>
          <wp:positionH relativeFrom="page">
            <wp:posOffset>395</wp:posOffset>
          </wp:positionH>
          <wp:positionV relativeFrom="page">
            <wp:align>top</wp:align>
          </wp:positionV>
          <wp:extent cx="7557184" cy="10689759"/>
          <wp:effectExtent l="0" t="0" r="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tterhead4.jpg"/>
                  <pic:cNvPicPr/>
                </pic:nvPicPr>
                <pic:blipFill>
                  <a:blip r:embed="rId1">
                    <a:extLst>
                      <a:ext uri="{28A0092B-C50C-407E-A947-70E740481C1C}">
                        <a14:useLocalDpi xmlns:a14="http://schemas.microsoft.com/office/drawing/2010/main" val="0"/>
                      </a:ext>
                    </a:extLst>
                  </a:blip>
                  <a:stretch>
                    <a:fillRect/>
                  </a:stretch>
                </pic:blipFill>
                <pic:spPr>
                  <a:xfrm>
                    <a:off x="0" y="0"/>
                    <a:ext cx="7557184" cy="10689759"/>
                  </a:xfrm>
                  <a:prstGeom prst="rect">
                    <a:avLst/>
                  </a:prstGeom>
                </pic:spPr>
              </pic:pic>
            </a:graphicData>
          </a:graphic>
          <wp14:sizeRelH relativeFrom="margin">
            <wp14:pctWidth>0</wp14:pctWidth>
          </wp14:sizeRelH>
          <wp14:sizeRelV relativeFrom="margin">
            <wp14:pctHeight>0</wp14:pctHeight>
          </wp14:sizeRelV>
        </wp:anchor>
      </w:drawing>
    </w:r>
    <w:r w:rsidR="002C21F8">
      <w:rPr>
        <w:noProof/>
      </w:rPr>
      <w:softHyphen/>
    </w:r>
    <w:r w:rsidR="002C21F8">
      <w:rPr>
        <w:noProof/>
      </w:rPr>
      <w:softHyphen/>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25327" w14:textId="36B6CEF3" w:rsidR="00307469" w:rsidRPr="002C3073" w:rsidRDefault="002C21F8" w:rsidP="002C21F8">
    <w:pPr>
      <w:tabs>
        <w:tab w:val="right" w:pos="5670"/>
      </w:tabs>
      <w:spacing w:before="60" w:line="240" w:lineRule="auto"/>
      <w:rPr>
        <w:szCs w:val="20"/>
        <w:lang w:val="en-US"/>
      </w:rPr>
    </w:pPr>
    <w:r>
      <w:rPr>
        <w:noProof/>
        <w:lang w:eastAsia="en-AU"/>
      </w:rPr>
      <mc:AlternateContent>
        <mc:Choice Requires="wps">
          <w:drawing>
            <wp:anchor distT="0" distB="0" distL="114300" distR="114300" simplePos="0" relativeHeight="251667456" behindDoc="1" locked="0" layoutInCell="1" allowOverlap="1" wp14:anchorId="49B8B59A" wp14:editId="1E2E01D6">
              <wp:simplePos x="0" y="0"/>
              <wp:positionH relativeFrom="column">
                <wp:posOffset>4468495</wp:posOffset>
              </wp:positionH>
              <wp:positionV relativeFrom="page">
                <wp:posOffset>373380</wp:posOffset>
              </wp:positionV>
              <wp:extent cx="1521460" cy="1568450"/>
              <wp:effectExtent l="0" t="0" r="0" b="6350"/>
              <wp:wrapTopAndBottom/>
              <wp:docPr id="17" name="Text Box 17"/>
              <wp:cNvGraphicFramePr/>
              <a:graphic xmlns:a="http://schemas.openxmlformats.org/drawingml/2006/main">
                <a:graphicData uri="http://schemas.microsoft.com/office/word/2010/wordprocessingShape">
                  <wps:wsp>
                    <wps:cNvSpPr txBox="1"/>
                    <wps:spPr>
                      <a:xfrm>
                        <a:off x="0" y="0"/>
                        <a:ext cx="1521460" cy="1568450"/>
                      </a:xfrm>
                      <a:prstGeom prst="rect">
                        <a:avLst/>
                      </a:prstGeom>
                      <a:noFill/>
                      <a:ln w="6350">
                        <a:noFill/>
                      </a:ln>
                    </wps:spPr>
                    <wps:txbx>
                      <w:txbxContent>
                        <w:p w14:paraId="7306F85F" w14:textId="77777777" w:rsidR="006D5835" w:rsidRPr="006D5835" w:rsidRDefault="0052468D" w:rsidP="00A34505">
                          <w:pPr>
                            <w:spacing w:before="60" w:line="240" w:lineRule="auto"/>
                            <w:rPr>
                              <w:szCs w:val="20"/>
                              <w:lang w:val="en-US"/>
                            </w:rPr>
                          </w:pPr>
                          <w:r>
                            <w:rPr>
                              <w:szCs w:val="20"/>
                              <w:lang w:val="en-US"/>
                            </w:rPr>
                            <w:t>Professor Pauline Ridge</w:t>
                          </w:r>
                          <w:r w:rsidR="006D5835" w:rsidRPr="006D5835">
                            <w:rPr>
                              <w:szCs w:val="20"/>
                              <w:lang w:val="en-US"/>
                            </w:rPr>
                            <w:br/>
                          </w:r>
                          <w:r>
                            <w:rPr>
                              <w:szCs w:val="20"/>
                              <w:lang w:val="en-US"/>
                            </w:rPr>
                            <w:t>ANU College of Law</w:t>
                          </w:r>
                        </w:p>
                      </w:txbxContent>
                    </wps:txbx>
                    <wps:bodyPr rot="0" spcFirstLastPara="0" vertOverflow="overflow" horzOverflow="overflow" vert="horz" wrap="square" lIns="0" tIns="432000" rIns="9144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9B8B59A" id="_x0000_t202" coordsize="21600,21600" o:spt="202" path="m,l,21600r21600,l21600,xe">
              <v:stroke joinstyle="miter"/>
              <v:path gradientshapeok="t" o:connecttype="rect"/>
            </v:shapetype>
            <v:shape id="Text Box 17" o:spid="_x0000_s1028" type="#_x0000_t202" style="position:absolute;margin-left:351.85pt;margin-top:29.4pt;width:119.8pt;height:12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" filled="f" stroked="f" strokeweight=".5pt">
              <v:textbox inset="0,12mm,,0">
                <w:txbxContent>
                  <w:p w14:paraId="7306F85F" w14:textId="77777777" w:rsidR="006D5835" w:rsidRPr="006D5835" w:rsidRDefault="0052468D" w:rsidP="00A34505">
                    <w:pPr>
                      <w:spacing w:before="60" w:line="240" w:lineRule="auto"/>
                      <w:rPr>
                        <w:szCs w:val="20"/>
                        <w:lang w:val="en-US"/>
                      </w:rPr>
                    </w:pPr>
                    <w:r>
                      <w:rPr>
                        <w:szCs w:val="20"/>
                        <w:lang w:val="en-US"/>
                      </w:rPr>
                      <w:t>Professor Pauline Ridge</w:t>
                    </w:r>
                    <w:r w:rsidR="006D5835" w:rsidRPr="006D5835">
                      <w:rPr>
                        <w:szCs w:val="20"/>
                        <w:lang w:val="en-US"/>
                      </w:rPr>
                      <w:br/>
                    </w:r>
                    <w:r>
                      <w:rPr>
                        <w:szCs w:val="20"/>
                        <w:lang w:val="en-US"/>
                      </w:rPr>
                      <w:t>ANU College of Law</w:t>
                    </w:r>
                  </w:p>
                </w:txbxContent>
              </v:textbox>
              <w10:wrap type="topAndBottom" anchory="page"/>
            </v:shape>
          </w:pict>
        </mc:Fallback>
      </mc:AlternateContent>
    </w:r>
    <w:r w:rsidR="006D5835" w:rsidRPr="00085792">
      <w:rPr>
        <w:noProof/>
        <w:lang w:eastAsia="en-AU"/>
      </w:rPr>
      <w:drawing>
        <wp:anchor distT="0" distB="0" distL="114300" distR="114300" simplePos="0" relativeHeight="251665408" behindDoc="1" locked="0" layoutInCell="1" allowOverlap="1" wp14:anchorId="19E745D8" wp14:editId="586F3DEB">
          <wp:simplePos x="0" y="0"/>
          <wp:positionH relativeFrom="page">
            <wp:posOffset>0</wp:posOffset>
          </wp:positionH>
          <wp:positionV relativeFrom="page">
            <wp:posOffset>-258</wp:posOffset>
          </wp:positionV>
          <wp:extent cx="7559675" cy="10693282"/>
          <wp:effectExtent l="0" t="0" r="0"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U Word template.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0693282"/>
                  </a:xfrm>
                  <a:prstGeom prst="rect">
                    <a:avLst/>
                  </a:prstGeom>
                </pic:spPr>
              </pic:pic>
            </a:graphicData>
          </a:graphic>
          <wp14:sizeRelH relativeFrom="margin">
            <wp14:pctWidth>0</wp14:pctWidth>
          </wp14:sizeRelH>
          <wp14:sizeRelV relativeFrom="margin">
            <wp14:pctHeight>0</wp14:pctHeight>
          </wp14:sizeRelV>
        </wp:anchor>
      </w:drawing>
    </w:r>
    <w:r>
      <w:rPr>
        <w:szCs w:val="20"/>
        <w:lang w:val="en-US"/>
      </w:rPr>
      <w:softHyphen/>
    </w:r>
    <w:r>
      <w:rPr>
        <w:szCs w:val="20"/>
        <w:lang w:val="en-US"/>
      </w:rPr>
      <w:softHyphen/>
    </w:r>
    <w:r>
      <w:rPr>
        <w:szCs w:val="20"/>
        <w:lang w:val="en-US"/>
      </w:rPr>
      <w:softHyphen/>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81"/>
  <w:drawingGridVerticalSpacing w:val="181"/>
  <w:displayHorizontalDrawingGridEvery w:val="11"/>
  <w:displayVerticalDrawingGridEvery w:val="1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527F"/>
    <w:rsid w:val="0001036C"/>
    <w:rsid w:val="00017C77"/>
    <w:rsid w:val="00020EF4"/>
    <w:rsid w:val="000251F3"/>
    <w:rsid w:val="0004018F"/>
    <w:rsid w:val="000510F3"/>
    <w:rsid w:val="0006062B"/>
    <w:rsid w:val="0006646D"/>
    <w:rsid w:val="00076026"/>
    <w:rsid w:val="00082A3E"/>
    <w:rsid w:val="0008527F"/>
    <w:rsid w:val="00085792"/>
    <w:rsid w:val="00087A44"/>
    <w:rsid w:val="000B5187"/>
    <w:rsid w:val="000C14E2"/>
    <w:rsid w:val="000D14B3"/>
    <w:rsid w:val="000D505B"/>
    <w:rsid w:val="000D5DD1"/>
    <w:rsid w:val="000D6FE4"/>
    <w:rsid w:val="000D74BB"/>
    <w:rsid w:val="000F7C4C"/>
    <w:rsid w:val="00107D58"/>
    <w:rsid w:val="00130B7D"/>
    <w:rsid w:val="001525FB"/>
    <w:rsid w:val="0018246E"/>
    <w:rsid w:val="001969DB"/>
    <w:rsid w:val="001A1B27"/>
    <w:rsid w:val="001B4FAD"/>
    <w:rsid w:val="001B6777"/>
    <w:rsid w:val="001B7A81"/>
    <w:rsid w:val="001B7F33"/>
    <w:rsid w:val="001C4FE9"/>
    <w:rsid w:val="001D5832"/>
    <w:rsid w:val="002000AD"/>
    <w:rsid w:val="00203181"/>
    <w:rsid w:val="002105AF"/>
    <w:rsid w:val="0021273C"/>
    <w:rsid w:val="0023408D"/>
    <w:rsid w:val="00256236"/>
    <w:rsid w:val="002579E6"/>
    <w:rsid w:val="00261D16"/>
    <w:rsid w:val="00270244"/>
    <w:rsid w:val="0027791E"/>
    <w:rsid w:val="00293AD9"/>
    <w:rsid w:val="002954A0"/>
    <w:rsid w:val="00296325"/>
    <w:rsid w:val="00297DAA"/>
    <w:rsid w:val="002A2E3B"/>
    <w:rsid w:val="002B1CEA"/>
    <w:rsid w:val="002B43FD"/>
    <w:rsid w:val="002C21F8"/>
    <w:rsid w:val="002C3073"/>
    <w:rsid w:val="002D1B57"/>
    <w:rsid w:val="002E0336"/>
    <w:rsid w:val="00307469"/>
    <w:rsid w:val="00332E79"/>
    <w:rsid w:val="0034495B"/>
    <w:rsid w:val="0035115C"/>
    <w:rsid w:val="00354863"/>
    <w:rsid w:val="003572CC"/>
    <w:rsid w:val="00386DE8"/>
    <w:rsid w:val="00395738"/>
    <w:rsid w:val="003A082A"/>
    <w:rsid w:val="003A707E"/>
    <w:rsid w:val="003B695F"/>
    <w:rsid w:val="003C20C3"/>
    <w:rsid w:val="003C2175"/>
    <w:rsid w:val="003D06C3"/>
    <w:rsid w:val="003E70A8"/>
    <w:rsid w:val="003F797E"/>
    <w:rsid w:val="003F7B45"/>
    <w:rsid w:val="00400330"/>
    <w:rsid w:val="00413CD7"/>
    <w:rsid w:val="0041543B"/>
    <w:rsid w:val="00431D64"/>
    <w:rsid w:val="00433869"/>
    <w:rsid w:val="004374A5"/>
    <w:rsid w:val="00440419"/>
    <w:rsid w:val="00440B9D"/>
    <w:rsid w:val="00452C56"/>
    <w:rsid w:val="00456459"/>
    <w:rsid w:val="00470B58"/>
    <w:rsid w:val="00471BDB"/>
    <w:rsid w:val="004726DC"/>
    <w:rsid w:val="00476E4C"/>
    <w:rsid w:val="00492BA9"/>
    <w:rsid w:val="004A5996"/>
    <w:rsid w:val="004A5A17"/>
    <w:rsid w:val="004C7885"/>
    <w:rsid w:val="004D126C"/>
    <w:rsid w:val="004D7A47"/>
    <w:rsid w:val="004E343B"/>
    <w:rsid w:val="005135DB"/>
    <w:rsid w:val="0052259E"/>
    <w:rsid w:val="005245D2"/>
    <w:rsid w:val="0052468D"/>
    <w:rsid w:val="00533374"/>
    <w:rsid w:val="00540EA8"/>
    <w:rsid w:val="00550586"/>
    <w:rsid w:val="00554296"/>
    <w:rsid w:val="0056042B"/>
    <w:rsid w:val="0056091B"/>
    <w:rsid w:val="00565B54"/>
    <w:rsid w:val="005710CC"/>
    <w:rsid w:val="005831AA"/>
    <w:rsid w:val="00590220"/>
    <w:rsid w:val="005A6AC0"/>
    <w:rsid w:val="005B0BC7"/>
    <w:rsid w:val="005B361A"/>
    <w:rsid w:val="005B39E2"/>
    <w:rsid w:val="005C1F1A"/>
    <w:rsid w:val="005C4590"/>
    <w:rsid w:val="005D2ECC"/>
    <w:rsid w:val="005D5080"/>
    <w:rsid w:val="005D6808"/>
    <w:rsid w:val="006229C2"/>
    <w:rsid w:val="006234FA"/>
    <w:rsid w:val="006258E6"/>
    <w:rsid w:val="00627182"/>
    <w:rsid w:val="0064045A"/>
    <w:rsid w:val="00646231"/>
    <w:rsid w:val="00661EBE"/>
    <w:rsid w:val="0068090F"/>
    <w:rsid w:val="006A3720"/>
    <w:rsid w:val="006B25A8"/>
    <w:rsid w:val="006B77D5"/>
    <w:rsid w:val="006C17E1"/>
    <w:rsid w:val="006C36F4"/>
    <w:rsid w:val="006C72CC"/>
    <w:rsid w:val="006D47DF"/>
    <w:rsid w:val="006D5835"/>
    <w:rsid w:val="006E123E"/>
    <w:rsid w:val="006F7EBF"/>
    <w:rsid w:val="00700E73"/>
    <w:rsid w:val="00715E85"/>
    <w:rsid w:val="00721968"/>
    <w:rsid w:val="00722C05"/>
    <w:rsid w:val="00726F36"/>
    <w:rsid w:val="00731518"/>
    <w:rsid w:val="00740552"/>
    <w:rsid w:val="00755BA5"/>
    <w:rsid w:val="00760A52"/>
    <w:rsid w:val="007642F0"/>
    <w:rsid w:val="00767DE2"/>
    <w:rsid w:val="007771FC"/>
    <w:rsid w:val="007772EA"/>
    <w:rsid w:val="00785B1E"/>
    <w:rsid w:val="00794D3D"/>
    <w:rsid w:val="007A3F54"/>
    <w:rsid w:val="007A6A73"/>
    <w:rsid w:val="007C075E"/>
    <w:rsid w:val="007C74AE"/>
    <w:rsid w:val="007E4731"/>
    <w:rsid w:val="0080130E"/>
    <w:rsid w:val="00810F47"/>
    <w:rsid w:val="00812042"/>
    <w:rsid w:val="00820D02"/>
    <w:rsid w:val="00824E72"/>
    <w:rsid w:val="00826FC7"/>
    <w:rsid w:val="00852FD0"/>
    <w:rsid w:val="00862800"/>
    <w:rsid w:val="00871D59"/>
    <w:rsid w:val="008778FF"/>
    <w:rsid w:val="00886DA9"/>
    <w:rsid w:val="0089329C"/>
    <w:rsid w:val="008E0FBF"/>
    <w:rsid w:val="008E66C7"/>
    <w:rsid w:val="008F1C2A"/>
    <w:rsid w:val="00902C67"/>
    <w:rsid w:val="00915B8B"/>
    <w:rsid w:val="00926365"/>
    <w:rsid w:val="00926827"/>
    <w:rsid w:val="00931E12"/>
    <w:rsid w:val="0094104B"/>
    <w:rsid w:val="009520B7"/>
    <w:rsid w:val="00961CDE"/>
    <w:rsid w:val="00964C96"/>
    <w:rsid w:val="00967678"/>
    <w:rsid w:val="0098236B"/>
    <w:rsid w:val="00992962"/>
    <w:rsid w:val="009B0494"/>
    <w:rsid w:val="009B708C"/>
    <w:rsid w:val="009C7C7A"/>
    <w:rsid w:val="009D1C3C"/>
    <w:rsid w:val="009D5DBA"/>
    <w:rsid w:val="009E1207"/>
    <w:rsid w:val="009F0687"/>
    <w:rsid w:val="009F2917"/>
    <w:rsid w:val="009F4E46"/>
    <w:rsid w:val="009F4E83"/>
    <w:rsid w:val="00A04A35"/>
    <w:rsid w:val="00A16B65"/>
    <w:rsid w:val="00A16E2C"/>
    <w:rsid w:val="00A22B09"/>
    <w:rsid w:val="00A270CB"/>
    <w:rsid w:val="00A340F0"/>
    <w:rsid w:val="00A34505"/>
    <w:rsid w:val="00A4590B"/>
    <w:rsid w:val="00A45B2B"/>
    <w:rsid w:val="00A54CF4"/>
    <w:rsid w:val="00A55CAF"/>
    <w:rsid w:val="00A56F85"/>
    <w:rsid w:val="00A84387"/>
    <w:rsid w:val="00A92673"/>
    <w:rsid w:val="00AA27DC"/>
    <w:rsid w:val="00AB45F8"/>
    <w:rsid w:val="00AB6200"/>
    <w:rsid w:val="00AC4BAE"/>
    <w:rsid w:val="00AE6364"/>
    <w:rsid w:val="00B3248E"/>
    <w:rsid w:val="00B32FD8"/>
    <w:rsid w:val="00B33F9B"/>
    <w:rsid w:val="00B35402"/>
    <w:rsid w:val="00B4020D"/>
    <w:rsid w:val="00B51469"/>
    <w:rsid w:val="00B64C5B"/>
    <w:rsid w:val="00B65C2E"/>
    <w:rsid w:val="00B70E37"/>
    <w:rsid w:val="00B76521"/>
    <w:rsid w:val="00B81476"/>
    <w:rsid w:val="00B83585"/>
    <w:rsid w:val="00B87AF9"/>
    <w:rsid w:val="00BA481C"/>
    <w:rsid w:val="00BB090D"/>
    <w:rsid w:val="00BC0D6D"/>
    <w:rsid w:val="00BC3F63"/>
    <w:rsid w:val="00BC6C9C"/>
    <w:rsid w:val="00BD31E0"/>
    <w:rsid w:val="00BE120E"/>
    <w:rsid w:val="00BE4388"/>
    <w:rsid w:val="00BE6A4C"/>
    <w:rsid w:val="00BF6F78"/>
    <w:rsid w:val="00C27158"/>
    <w:rsid w:val="00C3570A"/>
    <w:rsid w:val="00C55BE2"/>
    <w:rsid w:val="00CB040A"/>
    <w:rsid w:val="00CB2F90"/>
    <w:rsid w:val="00CB5C44"/>
    <w:rsid w:val="00CF37F6"/>
    <w:rsid w:val="00D0186D"/>
    <w:rsid w:val="00D0538E"/>
    <w:rsid w:val="00D065F4"/>
    <w:rsid w:val="00D11A1A"/>
    <w:rsid w:val="00D204A9"/>
    <w:rsid w:val="00D20FC8"/>
    <w:rsid w:val="00D22246"/>
    <w:rsid w:val="00D306BE"/>
    <w:rsid w:val="00D3209A"/>
    <w:rsid w:val="00D4526C"/>
    <w:rsid w:val="00D542BA"/>
    <w:rsid w:val="00D65EC8"/>
    <w:rsid w:val="00D74282"/>
    <w:rsid w:val="00D80AC6"/>
    <w:rsid w:val="00D91BFF"/>
    <w:rsid w:val="00D9426C"/>
    <w:rsid w:val="00D95CCD"/>
    <w:rsid w:val="00D97101"/>
    <w:rsid w:val="00DA2A9C"/>
    <w:rsid w:val="00DB0B07"/>
    <w:rsid w:val="00DC2997"/>
    <w:rsid w:val="00DC3D61"/>
    <w:rsid w:val="00DD18DE"/>
    <w:rsid w:val="00DD22B1"/>
    <w:rsid w:val="00DD31DB"/>
    <w:rsid w:val="00DE2C7B"/>
    <w:rsid w:val="00E07FD0"/>
    <w:rsid w:val="00E138D6"/>
    <w:rsid w:val="00E16367"/>
    <w:rsid w:val="00E21051"/>
    <w:rsid w:val="00E426EA"/>
    <w:rsid w:val="00E45704"/>
    <w:rsid w:val="00E52C45"/>
    <w:rsid w:val="00E569AD"/>
    <w:rsid w:val="00E65343"/>
    <w:rsid w:val="00E765CE"/>
    <w:rsid w:val="00E81612"/>
    <w:rsid w:val="00E81E4F"/>
    <w:rsid w:val="00E973FC"/>
    <w:rsid w:val="00EB6336"/>
    <w:rsid w:val="00EB643F"/>
    <w:rsid w:val="00EC440F"/>
    <w:rsid w:val="00EC6B38"/>
    <w:rsid w:val="00ED2544"/>
    <w:rsid w:val="00ED38AB"/>
    <w:rsid w:val="00ED4E0E"/>
    <w:rsid w:val="00ED6D71"/>
    <w:rsid w:val="00EE040A"/>
    <w:rsid w:val="00EE1CB1"/>
    <w:rsid w:val="00EE3C1B"/>
    <w:rsid w:val="00EE5720"/>
    <w:rsid w:val="00EE6BC5"/>
    <w:rsid w:val="00EE728C"/>
    <w:rsid w:val="00EE75E0"/>
    <w:rsid w:val="00EF3722"/>
    <w:rsid w:val="00F001F2"/>
    <w:rsid w:val="00F11EA2"/>
    <w:rsid w:val="00F15F5F"/>
    <w:rsid w:val="00F26DC7"/>
    <w:rsid w:val="00F30B55"/>
    <w:rsid w:val="00F33442"/>
    <w:rsid w:val="00F40749"/>
    <w:rsid w:val="00F45BC1"/>
    <w:rsid w:val="00F51CFB"/>
    <w:rsid w:val="00F52C33"/>
    <w:rsid w:val="00F5613C"/>
    <w:rsid w:val="00F577B2"/>
    <w:rsid w:val="00F65C26"/>
    <w:rsid w:val="00F70805"/>
    <w:rsid w:val="00F71EB3"/>
    <w:rsid w:val="00F8290C"/>
    <w:rsid w:val="00F878FC"/>
    <w:rsid w:val="00FA64EF"/>
    <w:rsid w:val="00FB28AD"/>
    <w:rsid w:val="00FB2D9E"/>
    <w:rsid w:val="00FD632C"/>
    <w:rsid w:val="00FE0E72"/>
    <w:rsid w:val="00FE12D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0B109E"/>
  <w15:chartTrackingRefBased/>
  <w15:docId w15:val="{ABE0437D-4F39-4C9D-827C-CCA10A9F1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440F"/>
    <w:pPr>
      <w:spacing w:before="240" w:line="360" w:lineRule="auto"/>
    </w:pPr>
    <w:rPr>
      <w:sz w:val="20"/>
    </w:rPr>
  </w:style>
  <w:style w:type="paragraph" w:styleId="Heading1">
    <w:name w:val="heading 1"/>
    <w:basedOn w:val="Normal"/>
    <w:next w:val="Normal"/>
    <w:link w:val="Heading1Char"/>
    <w:uiPriority w:val="9"/>
    <w:qFormat/>
    <w:rsid w:val="00871D59"/>
    <w:pPr>
      <w:keepNext/>
      <w:keepLines/>
      <w:spacing w:before="360" w:after="120"/>
      <w:outlineLvl w:val="0"/>
    </w:pPr>
    <w:rPr>
      <w:rFonts w:asciiTheme="majorHAnsi" w:eastAsiaTheme="majorEastAsia" w:hAnsiTheme="majorHAnsi" w:cs="Times New Roman (Headings CS)"/>
      <w:color w:val="BE830E" w:themeColor="accent1"/>
      <w:sz w:val="36"/>
      <w:szCs w:val="32"/>
    </w:rPr>
  </w:style>
  <w:style w:type="paragraph" w:styleId="Heading2">
    <w:name w:val="heading 2"/>
    <w:basedOn w:val="Normal"/>
    <w:next w:val="Normal"/>
    <w:link w:val="Heading2Char"/>
    <w:uiPriority w:val="9"/>
    <w:unhideWhenUsed/>
    <w:qFormat/>
    <w:rsid w:val="00EE3C1B"/>
    <w:pPr>
      <w:keepNext/>
      <w:keepLines/>
      <w:spacing w:before="40"/>
      <w:outlineLvl w:val="1"/>
    </w:pPr>
    <w:rPr>
      <w:rFonts w:asciiTheme="majorHAnsi" w:eastAsiaTheme="majorEastAsia" w:hAnsiTheme="majorHAnsi" w:cstheme="majorBidi"/>
      <w:color w:val="BE830E" w:themeColor="accent1"/>
      <w:sz w:val="28"/>
      <w:szCs w:val="26"/>
    </w:rPr>
  </w:style>
  <w:style w:type="paragraph" w:styleId="Heading3">
    <w:name w:val="heading 3"/>
    <w:basedOn w:val="Normal"/>
    <w:next w:val="Normal"/>
    <w:link w:val="Heading3Char"/>
    <w:uiPriority w:val="9"/>
    <w:unhideWhenUsed/>
    <w:qFormat/>
    <w:rsid w:val="00EE3C1B"/>
    <w:pPr>
      <w:keepNext/>
      <w:keepLines/>
      <w:spacing w:before="40"/>
      <w:outlineLvl w:val="2"/>
    </w:pPr>
    <w:rPr>
      <w:rFonts w:asciiTheme="majorHAnsi" w:eastAsiaTheme="majorEastAsia" w:hAnsiTheme="majorHAnsi" w:cstheme="majorBidi"/>
      <w:color w:val="BE830E" w:themeColor="accent1"/>
      <w:sz w:val="26"/>
    </w:rPr>
  </w:style>
  <w:style w:type="paragraph" w:styleId="Heading4">
    <w:name w:val="heading 4"/>
    <w:basedOn w:val="Normal"/>
    <w:next w:val="Normal"/>
    <w:link w:val="Heading4Char"/>
    <w:uiPriority w:val="9"/>
    <w:unhideWhenUsed/>
    <w:qFormat/>
    <w:rsid w:val="00EE3C1B"/>
    <w:pPr>
      <w:keepNext/>
      <w:keepLines/>
      <w:spacing w:before="40"/>
      <w:outlineLvl w:val="3"/>
    </w:pPr>
    <w:rPr>
      <w:rFonts w:asciiTheme="majorHAnsi" w:eastAsiaTheme="majorEastAsia" w:hAnsiTheme="majorHAnsi" w:cstheme="majorBidi"/>
      <w:i/>
      <w:iCs/>
      <w:color w:val="BE830E" w:themeColor="accent1"/>
    </w:rPr>
  </w:style>
  <w:style w:type="paragraph" w:styleId="Heading5">
    <w:name w:val="heading 5"/>
    <w:basedOn w:val="Normal"/>
    <w:next w:val="Normal"/>
    <w:link w:val="Heading5Char"/>
    <w:uiPriority w:val="9"/>
    <w:unhideWhenUsed/>
    <w:qFormat/>
    <w:rsid w:val="00EE3C1B"/>
    <w:pPr>
      <w:keepNext/>
      <w:keepLines/>
      <w:spacing w:before="40"/>
      <w:outlineLvl w:val="4"/>
    </w:pPr>
    <w:rPr>
      <w:rFonts w:asciiTheme="majorHAnsi" w:eastAsiaTheme="majorEastAsia" w:hAnsiTheme="majorHAnsi" w:cstheme="majorBidi"/>
      <w:color w:val="BE830E" w:themeColor="accent1"/>
    </w:rPr>
  </w:style>
  <w:style w:type="paragraph" w:styleId="Heading6">
    <w:name w:val="heading 6"/>
    <w:basedOn w:val="Normal"/>
    <w:next w:val="Normal"/>
    <w:link w:val="Heading6Char"/>
    <w:uiPriority w:val="9"/>
    <w:unhideWhenUsed/>
    <w:qFormat/>
    <w:rsid w:val="00EE3C1B"/>
    <w:pPr>
      <w:keepNext/>
      <w:keepLines/>
      <w:spacing w:before="40"/>
      <w:outlineLvl w:val="5"/>
    </w:pPr>
    <w:rPr>
      <w:rFonts w:asciiTheme="majorHAnsi" w:eastAsiaTheme="majorEastAsia" w:hAnsiTheme="majorHAnsi" w:cstheme="majorBidi"/>
      <w:color w:val="BE830E" w:themeColor="accent1"/>
    </w:rPr>
  </w:style>
  <w:style w:type="paragraph" w:styleId="Heading7">
    <w:name w:val="heading 7"/>
    <w:basedOn w:val="Normal"/>
    <w:next w:val="Normal"/>
    <w:link w:val="Heading7Char"/>
    <w:uiPriority w:val="9"/>
    <w:semiHidden/>
    <w:unhideWhenUsed/>
    <w:qFormat/>
    <w:rsid w:val="00EE3C1B"/>
    <w:pPr>
      <w:keepNext/>
      <w:keepLines/>
      <w:spacing w:before="40"/>
      <w:outlineLvl w:val="6"/>
    </w:pPr>
    <w:rPr>
      <w:rFonts w:asciiTheme="majorHAnsi" w:eastAsiaTheme="majorEastAsia" w:hAnsiTheme="majorHAnsi" w:cstheme="majorBidi"/>
      <w:i/>
      <w:iCs/>
      <w:color w:val="BE830E"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695F"/>
    <w:pPr>
      <w:tabs>
        <w:tab w:val="center" w:pos="4680"/>
        <w:tab w:val="right" w:pos="9360"/>
      </w:tabs>
      <w:spacing w:before="120"/>
    </w:pPr>
  </w:style>
  <w:style w:type="character" w:customStyle="1" w:styleId="HeaderChar">
    <w:name w:val="Header Char"/>
    <w:basedOn w:val="DefaultParagraphFont"/>
    <w:link w:val="Header"/>
    <w:uiPriority w:val="99"/>
    <w:rsid w:val="003B695F"/>
  </w:style>
  <w:style w:type="paragraph" w:styleId="Footer">
    <w:name w:val="footer"/>
    <w:basedOn w:val="Normal"/>
    <w:link w:val="FooterChar"/>
    <w:uiPriority w:val="99"/>
    <w:unhideWhenUsed/>
    <w:qFormat/>
    <w:rsid w:val="00871D59"/>
    <w:pPr>
      <w:tabs>
        <w:tab w:val="left" w:pos="3969"/>
      </w:tabs>
      <w:spacing w:before="60" w:line="240" w:lineRule="auto"/>
    </w:pPr>
    <w:rPr>
      <w:sz w:val="18"/>
      <w:szCs w:val="18"/>
      <w:lang w:val="en-US"/>
    </w:rPr>
  </w:style>
  <w:style w:type="character" w:customStyle="1" w:styleId="FooterChar">
    <w:name w:val="Footer Char"/>
    <w:basedOn w:val="DefaultParagraphFont"/>
    <w:link w:val="Footer"/>
    <w:uiPriority w:val="99"/>
    <w:rsid w:val="00871D59"/>
    <w:rPr>
      <w:sz w:val="18"/>
      <w:szCs w:val="18"/>
      <w:lang w:val="en-US"/>
    </w:rPr>
  </w:style>
  <w:style w:type="character" w:styleId="Hyperlink">
    <w:name w:val="Hyperlink"/>
    <w:basedOn w:val="DefaultParagraphFont"/>
    <w:uiPriority w:val="99"/>
    <w:unhideWhenUsed/>
    <w:rsid w:val="00820D02"/>
    <w:rPr>
      <w:color w:val="0070C0"/>
      <w:u w:val="single"/>
    </w:rPr>
  </w:style>
  <w:style w:type="character" w:customStyle="1" w:styleId="UnresolvedMention1">
    <w:name w:val="Unresolved Mention1"/>
    <w:basedOn w:val="DefaultParagraphFont"/>
    <w:uiPriority w:val="99"/>
    <w:semiHidden/>
    <w:unhideWhenUsed/>
    <w:rsid w:val="002000AD"/>
    <w:rPr>
      <w:color w:val="605E5C"/>
      <w:shd w:val="clear" w:color="auto" w:fill="E1DFDD"/>
    </w:rPr>
  </w:style>
  <w:style w:type="character" w:styleId="FollowedHyperlink">
    <w:name w:val="FollowedHyperlink"/>
    <w:basedOn w:val="DefaultParagraphFont"/>
    <w:uiPriority w:val="99"/>
    <w:semiHidden/>
    <w:unhideWhenUsed/>
    <w:rsid w:val="002000AD"/>
    <w:rPr>
      <w:color w:val="BE4E0E" w:themeColor="followedHyperlink"/>
      <w:u w:val="single"/>
    </w:rPr>
  </w:style>
  <w:style w:type="paragraph" w:styleId="NoSpacing">
    <w:name w:val="No Spacing"/>
    <w:uiPriority w:val="1"/>
    <w:qFormat/>
    <w:rsid w:val="00EE3C1B"/>
  </w:style>
  <w:style w:type="character" w:customStyle="1" w:styleId="Heading1Char">
    <w:name w:val="Heading 1 Char"/>
    <w:basedOn w:val="DefaultParagraphFont"/>
    <w:link w:val="Heading1"/>
    <w:uiPriority w:val="9"/>
    <w:rsid w:val="00871D59"/>
    <w:rPr>
      <w:rFonts w:asciiTheme="majorHAnsi" w:eastAsiaTheme="majorEastAsia" w:hAnsiTheme="majorHAnsi" w:cs="Times New Roman (Headings CS)"/>
      <w:color w:val="BE830E" w:themeColor="accent1"/>
      <w:sz w:val="36"/>
      <w:szCs w:val="32"/>
    </w:rPr>
  </w:style>
  <w:style w:type="character" w:customStyle="1" w:styleId="Heading2Char">
    <w:name w:val="Heading 2 Char"/>
    <w:basedOn w:val="DefaultParagraphFont"/>
    <w:link w:val="Heading2"/>
    <w:uiPriority w:val="9"/>
    <w:rsid w:val="00EE3C1B"/>
    <w:rPr>
      <w:rFonts w:asciiTheme="majorHAnsi" w:eastAsiaTheme="majorEastAsia" w:hAnsiTheme="majorHAnsi" w:cstheme="majorBidi"/>
      <w:color w:val="BE830E" w:themeColor="accent1"/>
      <w:sz w:val="28"/>
      <w:szCs w:val="26"/>
    </w:rPr>
  </w:style>
  <w:style w:type="character" w:customStyle="1" w:styleId="Heading3Char">
    <w:name w:val="Heading 3 Char"/>
    <w:basedOn w:val="DefaultParagraphFont"/>
    <w:link w:val="Heading3"/>
    <w:uiPriority w:val="9"/>
    <w:rsid w:val="00EE3C1B"/>
    <w:rPr>
      <w:rFonts w:asciiTheme="majorHAnsi" w:eastAsiaTheme="majorEastAsia" w:hAnsiTheme="majorHAnsi" w:cstheme="majorBidi"/>
      <w:color w:val="BE830E" w:themeColor="accent1"/>
      <w:sz w:val="26"/>
    </w:rPr>
  </w:style>
  <w:style w:type="character" w:customStyle="1" w:styleId="Heading4Char">
    <w:name w:val="Heading 4 Char"/>
    <w:basedOn w:val="DefaultParagraphFont"/>
    <w:link w:val="Heading4"/>
    <w:uiPriority w:val="9"/>
    <w:rsid w:val="00EE3C1B"/>
    <w:rPr>
      <w:rFonts w:asciiTheme="majorHAnsi" w:eastAsiaTheme="majorEastAsia" w:hAnsiTheme="majorHAnsi" w:cstheme="majorBidi"/>
      <w:i/>
      <w:iCs/>
      <w:color w:val="BE830E" w:themeColor="accent1"/>
    </w:rPr>
  </w:style>
  <w:style w:type="character" w:customStyle="1" w:styleId="Heading5Char">
    <w:name w:val="Heading 5 Char"/>
    <w:basedOn w:val="DefaultParagraphFont"/>
    <w:link w:val="Heading5"/>
    <w:uiPriority w:val="9"/>
    <w:rsid w:val="00EE3C1B"/>
    <w:rPr>
      <w:rFonts w:asciiTheme="majorHAnsi" w:eastAsiaTheme="majorEastAsia" w:hAnsiTheme="majorHAnsi" w:cstheme="majorBidi"/>
      <w:color w:val="BE830E" w:themeColor="accent1"/>
    </w:rPr>
  </w:style>
  <w:style w:type="character" w:customStyle="1" w:styleId="Heading6Char">
    <w:name w:val="Heading 6 Char"/>
    <w:basedOn w:val="DefaultParagraphFont"/>
    <w:link w:val="Heading6"/>
    <w:uiPriority w:val="9"/>
    <w:rsid w:val="00EE3C1B"/>
    <w:rPr>
      <w:rFonts w:asciiTheme="majorHAnsi" w:eastAsiaTheme="majorEastAsia" w:hAnsiTheme="majorHAnsi" w:cstheme="majorBidi"/>
      <w:color w:val="BE830E" w:themeColor="accent1"/>
    </w:rPr>
  </w:style>
  <w:style w:type="character" w:customStyle="1" w:styleId="Heading7Char">
    <w:name w:val="Heading 7 Char"/>
    <w:basedOn w:val="DefaultParagraphFont"/>
    <w:link w:val="Heading7"/>
    <w:uiPriority w:val="9"/>
    <w:semiHidden/>
    <w:rsid w:val="00EE3C1B"/>
    <w:rPr>
      <w:rFonts w:asciiTheme="majorHAnsi" w:eastAsiaTheme="majorEastAsia" w:hAnsiTheme="majorHAnsi" w:cstheme="majorBidi"/>
      <w:i/>
      <w:iCs/>
      <w:color w:val="BE830E" w:themeColor="accent1"/>
    </w:rPr>
  </w:style>
  <w:style w:type="paragraph" w:styleId="Title">
    <w:name w:val="Title"/>
    <w:basedOn w:val="Normal"/>
    <w:next w:val="Normal"/>
    <w:link w:val="TitleChar"/>
    <w:uiPriority w:val="10"/>
    <w:qFormat/>
    <w:rsid w:val="00871D59"/>
    <w:pPr>
      <w:spacing w:before="0" w:after="120" w:line="312"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71D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71D59"/>
    <w:pPr>
      <w:numPr>
        <w:ilvl w:val="1"/>
      </w:numPr>
      <w:spacing w:before="0" w:after="120"/>
    </w:pPr>
    <w:rPr>
      <w:rFonts w:eastAsiaTheme="minorEastAsia"/>
      <w:spacing w:val="15"/>
      <w:sz w:val="40"/>
      <w:szCs w:val="22"/>
    </w:rPr>
  </w:style>
  <w:style w:type="character" w:customStyle="1" w:styleId="SubtitleChar">
    <w:name w:val="Subtitle Char"/>
    <w:basedOn w:val="DefaultParagraphFont"/>
    <w:link w:val="Subtitle"/>
    <w:uiPriority w:val="11"/>
    <w:rsid w:val="00871D59"/>
    <w:rPr>
      <w:rFonts w:eastAsiaTheme="minorEastAsia"/>
      <w:spacing w:val="15"/>
      <w:sz w:val="40"/>
      <w:szCs w:val="22"/>
    </w:rPr>
  </w:style>
  <w:style w:type="character" w:styleId="SubtleEmphasis">
    <w:name w:val="Subtle Emphasis"/>
    <w:basedOn w:val="DefaultParagraphFont"/>
    <w:uiPriority w:val="19"/>
    <w:qFormat/>
    <w:rsid w:val="00871D59"/>
    <w:rPr>
      <w:i/>
      <w:iCs/>
      <w:color w:val="auto"/>
    </w:rPr>
  </w:style>
  <w:style w:type="character" w:styleId="Emphasis">
    <w:name w:val="Emphasis"/>
    <w:basedOn w:val="DefaultParagraphFont"/>
    <w:uiPriority w:val="20"/>
    <w:qFormat/>
    <w:rsid w:val="00871D59"/>
    <w:rPr>
      <w:i/>
      <w:iCs/>
    </w:rPr>
  </w:style>
  <w:style w:type="character" w:styleId="IntenseEmphasis">
    <w:name w:val="Intense Emphasis"/>
    <w:basedOn w:val="DefaultParagraphFont"/>
    <w:uiPriority w:val="21"/>
    <w:qFormat/>
    <w:rsid w:val="00871D59"/>
    <w:rPr>
      <w:i/>
      <w:iCs/>
      <w:color w:val="BE830E" w:themeColor="accent1"/>
    </w:rPr>
  </w:style>
  <w:style w:type="character" w:styleId="Strong">
    <w:name w:val="Strong"/>
    <w:basedOn w:val="DefaultParagraphFont"/>
    <w:uiPriority w:val="22"/>
    <w:qFormat/>
    <w:rsid w:val="00871D59"/>
    <w:rPr>
      <w:b/>
      <w:bCs/>
    </w:rPr>
  </w:style>
  <w:style w:type="paragraph" w:styleId="Quote">
    <w:name w:val="Quote"/>
    <w:basedOn w:val="Normal"/>
    <w:next w:val="Normal"/>
    <w:link w:val="QuoteChar"/>
    <w:uiPriority w:val="29"/>
    <w:qFormat/>
    <w:rsid w:val="00871D59"/>
    <w:pPr>
      <w:spacing w:before="200" w:after="160"/>
      <w:ind w:left="864" w:right="864"/>
      <w:jc w:val="center"/>
    </w:pPr>
    <w:rPr>
      <w:i/>
      <w:iCs/>
    </w:rPr>
  </w:style>
  <w:style w:type="character" w:customStyle="1" w:styleId="QuoteChar">
    <w:name w:val="Quote Char"/>
    <w:basedOn w:val="DefaultParagraphFont"/>
    <w:link w:val="Quote"/>
    <w:uiPriority w:val="29"/>
    <w:rsid w:val="00871D59"/>
    <w:rPr>
      <w:i/>
      <w:iCs/>
    </w:rPr>
  </w:style>
  <w:style w:type="paragraph" w:styleId="IntenseQuote">
    <w:name w:val="Intense Quote"/>
    <w:basedOn w:val="Normal"/>
    <w:next w:val="Normal"/>
    <w:link w:val="IntenseQuoteChar"/>
    <w:uiPriority w:val="30"/>
    <w:qFormat/>
    <w:rsid w:val="00871D59"/>
    <w:pPr>
      <w:pBdr>
        <w:top w:val="single" w:sz="4" w:space="10" w:color="BE830E" w:themeColor="accent1"/>
        <w:bottom w:val="single" w:sz="4" w:space="10" w:color="BE830E" w:themeColor="accent1"/>
      </w:pBdr>
      <w:spacing w:before="360" w:after="360"/>
      <w:ind w:left="864" w:right="864"/>
      <w:jc w:val="center"/>
    </w:pPr>
    <w:rPr>
      <w:i/>
      <w:iCs/>
      <w:color w:val="BE830E" w:themeColor="accent1"/>
    </w:rPr>
  </w:style>
  <w:style w:type="character" w:customStyle="1" w:styleId="IntenseQuoteChar">
    <w:name w:val="Intense Quote Char"/>
    <w:basedOn w:val="DefaultParagraphFont"/>
    <w:link w:val="IntenseQuote"/>
    <w:uiPriority w:val="30"/>
    <w:rsid w:val="00871D59"/>
    <w:rPr>
      <w:i/>
      <w:iCs/>
      <w:color w:val="BE830E" w:themeColor="accent1"/>
    </w:rPr>
  </w:style>
  <w:style w:type="character" w:styleId="SubtleReference">
    <w:name w:val="Subtle Reference"/>
    <w:basedOn w:val="DefaultParagraphFont"/>
    <w:uiPriority w:val="31"/>
    <w:qFormat/>
    <w:rsid w:val="00871D59"/>
    <w:rPr>
      <w:smallCaps/>
      <w:color w:val="auto"/>
    </w:rPr>
  </w:style>
  <w:style w:type="character" w:styleId="IntenseReference">
    <w:name w:val="Intense Reference"/>
    <w:basedOn w:val="DefaultParagraphFont"/>
    <w:uiPriority w:val="32"/>
    <w:qFormat/>
    <w:rsid w:val="00871D59"/>
    <w:rPr>
      <w:b/>
      <w:bCs/>
      <w:smallCaps/>
      <w:color w:val="BE830E" w:themeColor="accent1"/>
      <w:spacing w:val="5"/>
    </w:rPr>
  </w:style>
  <w:style w:type="character" w:styleId="BookTitle">
    <w:name w:val="Book Title"/>
    <w:basedOn w:val="DefaultParagraphFont"/>
    <w:uiPriority w:val="33"/>
    <w:qFormat/>
    <w:rsid w:val="00871D59"/>
    <w:rPr>
      <w:b/>
      <w:bCs/>
      <w:i/>
      <w:iCs/>
      <w:spacing w:val="5"/>
    </w:rPr>
  </w:style>
  <w:style w:type="paragraph" w:styleId="ListParagraph">
    <w:name w:val="List Paragraph"/>
    <w:basedOn w:val="Normal"/>
    <w:uiPriority w:val="34"/>
    <w:qFormat/>
    <w:rsid w:val="00871D59"/>
    <w:pPr>
      <w:spacing w:before="120"/>
      <w:ind w:left="720"/>
      <w:contextualSpacing/>
    </w:pPr>
  </w:style>
  <w:style w:type="character" w:styleId="PageNumber">
    <w:name w:val="page number"/>
    <w:basedOn w:val="DefaultParagraphFont"/>
    <w:uiPriority w:val="99"/>
    <w:semiHidden/>
    <w:unhideWhenUsed/>
    <w:rsid w:val="006B25A8"/>
  </w:style>
  <w:style w:type="paragraph" w:styleId="FootnoteText">
    <w:name w:val="footnote text"/>
    <w:basedOn w:val="Normal"/>
    <w:link w:val="FootnoteTextChar"/>
    <w:uiPriority w:val="99"/>
    <w:semiHidden/>
    <w:unhideWhenUsed/>
    <w:rsid w:val="00EE728C"/>
    <w:pPr>
      <w:spacing w:before="0" w:line="240" w:lineRule="auto"/>
    </w:pPr>
    <w:rPr>
      <w:szCs w:val="20"/>
    </w:rPr>
  </w:style>
  <w:style w:type="character" w:customStyle="1" w:styleId="FootnoteTextChar">
    <w:name w:val="Footnote Text Char"/>
    <w:basedOn w:val="DefaultParagraphFont"/>
    <w:link w:val="FootnoteText"/>
    <w:uiPriority w:val="99"/>
    <w:semiHidden/>
    <w:rsid w:val="00EE728C"/>
    <w:rPr>
      <w:sz w:val="20"/>
      <w:szCs w:val="20"/>
    </w:rPr>
  </w:style>
  <w:style w:type="character" w:styleId="FootnoteReference">
    <w:name w:val="footnote reference"/>
    <w:basedOn w:val="DefaultParagraphFont"/>
    <w:unhideWhenUsed/>
    <w:rsid w:val="00EE728C"/>
    <w:rPr>
      <w:vertAlign w:val="superscript"/>
    </w:rPr>
  </w:style>
  <w:style w:type="paragraph" w:customStyle="1" w:styleId="Pa6">
    <w:name w:val="Pa6"/>
    <w:basedOn w:val="Normal"/>
    <w:next w:val="Normal"/>
    <w:uiPriority w:val="99"/>
    <w:rsid w:val="00BA481C"/>
    <w:pPr>
      <w:autoSpaceDE w:val="0"/>
      <w:autoSpaceDN w:val="0"/>
      <w:adjustRightInd w:val="0"/>
      <w:spacing w:before="0" w:line="221" w:lineRule="atLeast"/>
    </w:pPr>
    <w:rPr>
      <w:rFonts w:ascii="Simoncini Garamond" w:hAnsi="Simoncini Garamond"/>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8613731\OneDrive%20-%20Australian%20National%20University\Homedrive\Data\BOOK%20ON%20RELIGIOUS%20GIVING\Productivity%20Comm%20Inquiry%20Feb24\Submission%20to%20Productivity%20Commission%20Ridge%2020Feb24.dotx" TargetMode="External"/></Relationships>
</file>

<file path=word/theme/theme1.xml><?xml version="1.0" encoding="utf-8"?>
<a:theme xmlns:a="http://schemas.openxmlformats.org/drawingml/2006/main" name="ANU Light">
  <a:themeElements>
    <a:clrScheme name="ANU">
      <a:dk1>
        <a:sysClr val="windowText" lastClr="000000"/>
      </a:dk1>
      <a:lt1>
        <a:sysClr val="window" lastClr="FFFFFF"/>
      </a:lt1>
      <a:dk2>
        <a:srgbClr val="000000"/>
      </a:dk2>
      <a:lt2>
        <a:srgbClr val="FFFFFF"/>
      </a:lt2>
      <a:accent1>
        <a:srgbClr val="BE830E"/>
      </a:accent1>
      <a:accent2>
        <a:srgbClr val="DFC187"/>
      </a:accent2>
      <a:accent3>
        <a:srgbClr val="F5EDDE"/>
      </a:accent3>
      <a:accent4>
        <a:srgbClr val="BE4E0E"/>
      </a:accent4>
      <a:accent5>
        <a:srgbClr val="CB7352"/>
      </a:accent5>
      <a:accent6>
        <a:srgbClr val="F2DCD4"/>
      </a:accent6>
      <a:hlink>
        <a:srgbClr val="BE830E"/>
      </a:hlink>
      <a:folHlink>
        <a:srgbClr val="BE4E0E"/>
      </a:folHlink>
    </a:clrScheme>
    <a:fontScheme name="ANU">
      <a:majorFont>
        <a:latin typeface="Public Sans"/>
        <a:ea typeface=""/>
        <a:cs typeface=""/>
      </a:majorFont>
      <a:minorFont>
        <a:latin typeface="Public Sans Light"/>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ANU Light" id="{D6110B67-1046-5445-B2D7-264C31C5A8B7}" vid="{3BC23ECF-AE84-C44D-AD25-3250A919A45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20393cdf-440a-4521-8f19-00ba43423d00">
      <Value>1</Value>
    </TaxCatchAll>
    <lcf76f155ced4ddcb4097134ff3c332f xmlns="3d385984-9344-419b-a80b-49c06a2bdab8">
      <Terms xmlns="http://schemas.microsoft.com/office/infopath/2007/PartnerControls"/>
    </lcf76f155ced4ddcb4097134ff3c332f>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humbnail xmlns="3d385984-9344-419b-a80b-49c06a2bdab8" xsi:nil="true"/>
    <_Flow_SignoffStatus xmlns="3d385984-9344-419b-a80b-49c06a2bdab8" xsi:nil="true"/>
    <_dlc_DocId xmlns="20393cdf-440a-4521-8f19-00ba43423d00">MPWT-2140667901-61109</_dlc_DocId>
    <_dlc_DocIdUrl xmlns="20393cdf-440a-4521-8f19-00ba43423d00">
      <Url>https://pcgov.sharepoint.com/sites/sceteam/_layouts/15/DocIdRedir.aspx?ID=MPWT-2140667901-61109</Url>
      <Description>MPWT-2140667901-61109</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19" ma:contentTypeDescription="" ma:contentTypeScope="" ma:versionID="42c7a4b5dd0556e555ada761e525c736">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bc8bb63fa664bc1f2ea3da6f134c8aa8"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E99A230-6E3D-4B6B-8B68-1A01D70AB339}">
  <ds:schemaRefs>
    <ds:schemaRef ds:uri="http://schemas.openxmlformats.org/officeDocument/2006/bibliography"/>
  </ds:schemaRefs>
</ds:datastoreItem>
</file>

<file path=customXml/itemProps2.xml><?xml version="1.0" encoding="utf-8"?>
<ds:datastoreItem xmlns:ds="http://schemas.openxmlformats.org/officeDocument/2006/customXml" ds:itemID="{1B99D905-9898-4074-A16F-53795F956015}">
  <ds:schemaRefs>
    <ds:schemaRef ds:uri="http://schemas.microsoft.com/office/2006/metadata/properties"/>
    <ds:schemaRef ds:uri="http://purl.org/dc/dcmitype/"/>
    <ds:schemaRef ds:uri="http://schemas.microsoft.com/office/2006/documentManagement/types"/>
    <ds:schemaRef ds:uri="20393cdf-440a-4521-8f19-00ba43423d00"/>
    <ds:schemaRef ds:uri="http://schemas.openxmlformats.org/package/2006/metadata/core-properties"/>
    <ds:schemaRef ds:uri="http://purl.org/dc/elements/1.1/"/>
    <ds:schemaRef ds:uri="http://schemas.microsoft.com/office/infopath/2007/PartnerControls"/>
    <ds:schemaRef ds:uri="3d385984-9344-419b-a80b-49c06a2bdab8"/>
    <ds:schemaRef ds:uri="http://www.w3.org/XML/1998/namespace"/>
    <ds:schemaRef ds:uri="http://purl.org/dc/terms/"/>
  </ds:schemaRefs>
</ds:datastoreItem>
</file>

<file path=customXml/itemProps3.xml><?xml version="1.0" encoding="utf-8"?>
<ds:datastoreItem xmlns:ds="http://schemas.openxmlformats.org/officeDocument/2006/customXml" ds:itemID="{135FA7F9-295C-4F93-9CE4-A38789B1B5EF}">
  <ds:schemaRefs>
    <ds:schemaRef ds:uri="http://schemas.microsoft.com/sharepoint/v3/contenttype/forms"/>
  </ds:schemaRefs>
</ds:datastoreItem>
</file>

<file path=customXml/itemProps4.xml><?xml version="1.0" encoding="utf-8"?>
<ds:datastoreItem xmlns:ds="http://schemas.openxmlformats.org/officeDocument/2006/customXml" ds:itemID="{06B95852-46F2-45D5-806A-B50184422881}">
  <ds:schemaRefs>
    <ds:schemaRef ds:uri="http://schemas.microsoft.com/sharepoint/events"/>
  </ds:schemaRefs>
</ds:datastoreItem>
</file>

<file path=customXml/itemProps5.xml><?xml version="1.0" encoding="utf-8"?>
<ds:datastoreItem xmlns:ds="http://schemas.openxmlformats.org/officeDocument/2006/customXml" ds:itemID="{9E8073DE-91DF-4245-8323-EB8A118194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Submission to Productivity Commission Ridge 20Feb24.dotx</Template>
  <TotalTime>133</TotalTime>
  <Pages>5</Pages>
  <Words>1510</Words>
  <Characters>8607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Submission 732 - Prof Pauline Ridge - Philanthropy - Public inquiry</vt:lpstr>
    </vt:vector>
  </TitlesOfParts>
  <Company>Prof Pauline Ridge</Company>
  <LinksUpToDate>false</LinksUpToDate>
  <CharactersWithSpaces>10097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732 - Prof Pauline Ridge - Philanthropy - Public inquiry</dc:title>
  <dc:subject/>
  <dc:creator>Prof Pauline Ridge</dc:creator>
  <cp:keywords/>
  <dc:description/>
  <cp:lastModifiedBy>Chris Alston</cp:lastModifiedBy>
  <cp:revision>163</cp:revision>
  <cp:lastPrinted>2021-02-23T04:17:00Z</cp:lastPrinted>
  <dcterms:created xsi:type="dcterms:W3CDTF">2024-02-22T05:55:00Z</dcterms:created>
  <dcterms:modified xsi:type="dcterms:W3CDTF">2024-03-03T23:38:00Z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0x010100EF009AC5283E95468D41B3B02A942082</vt:lpwstr>
  </property>
  <property fmtid="{D5CDD505-2E9C-101B-9397-08002B2CF9AE}" pid="3" name="ClassificationContentMarkingHeaderShapeIds">
    <vt:lpwstr>3ac3cec5,7b105e64,2545d6e7</vt:lpwstr>
  </property>
  <property fmtid="{D5CDD505-2E9C-101B-9397-08002B2CF9AE}" pid="4" name="ClassificationContentMarkingHeaderFontProps">
    <vt:lpwstr>#000000,12,Calibri</vt:lpwstr>
  </property>
  <property fmtid="{D5CDD505-2E9C-101B-9397-08002B2CF9AE}" pid="5" name="ClassificationContentMarkingHeaderText">
    <vt:lpwstr> OFFICIAL</vt:lpwstr>
  </property>
  <property fmtid="{D5CDD505-2E9C-101B-9397-08002B2CF9AE}" pid="6" name="MSIP_Label_f7467c1a-e0ed-413c-a72b-aac8e8e94f41_Enabled">
    <vt:lpwstr>true</vt:lpwstr>
  </property>
  <property fmtid="{D5CDD505-2E9C-101B-9397-08002B2CF9AE}" pid="7" name="MSIP_Label_f7467c1a-e0ed-413c-a72b-aac8e8e94f41_SetDate">
    <vt:lpwstr>2024-02-29T03:42:33Z</vt:lpwstr>
  </property>
  <property fmtid="{D5CDD505-2E9C-101B-9397-08002B2CF9AE}" pid="8" name="MSIP_Label_f7467c1a-e0ed-413c-a72b-aac8e8e94f41_Method">
    <vt:lpwstr>Privileged</vt:lpwstr>
  </property>
  <property fmtid="{D5CDD505-2E9C-101B-9397-08002B2CF9AE}" pid="9" name="MSIP_Label_f7467c1a-e0ed-413c-a72b-aac8e8e94f41_Name">
    <vt:lpwstr>OFFICIAL</vt:lpwstr>
  </property>
  <property fmtid="{D5CDD505-2E9C-101B-9397-08002B2CF9AE}" pid="10" name="MSIP_Label_f7467c1a-e0ed-413c-a72b-aac8e8e94f41_SiteId">
    <vt:lpwstr>29f9330b-c0fe-4244-830e-ba9f275d6c34</vt:lpwstr>
  </property>
  <property fmtid="{D5CDD505-2E9C-101B-9397-08002B2CF9AE}" pid="11" name="MSIP_Label_f7467c1a-e0ed-413c-a72b-aac8e8e94f41_ActionId">
    <vt:lpwstr>ad2c6216-5e09-4d72-8055-0f62a85370b3</vt:lpwstr>
  </property>
  <property fmtid="{D5CDD505-2E9C-101B-9397-08002B2CF9AE}" pid="12" name="MSIP_Label_f7467c1a-e0ed-413c-a72b-aac8e8e94f41_ContentBits">
    <vt:lpwstr>1</vt:lpwstr>
  </property>
  <property fmtid="{D5CDD505-2E9C-101B-9397-08002B2CF9AE}" pid="13" name="MediaServiceImageTags">
    <vt:lpwstr/>
  </property>
  <property fmtid="{D5CDD505-2E9C-101B-9397-08002B2CF9AE}" pid="14" name="_dlc_DocIdItemGuid">
    <vt:lpwstr>e0e8f3fc-9b31-498f-99ba-7dbacf3eac46</vt:lpwstr>
  </property>
  <property fmtid="{D5CDD505-2E9C-101B-9397-08002B2CF9AE}" pid="15" name="RevIMBCS">
    <vt:lpwstr>1;#Unclassified|3955eeb1-2d18-4582-aeb2-00144ec3aaf5</vt:lpwstr>
  </property>
</Properties>
</file>