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9982F" w14:textId="77777777" w:rsidR="00582CB2" w:rsidRPr="00582CB2" w:rsidRDefault="00582CB2" w:rsidP="00582CB2">
      <w:pPr>
        <w:spacing w:after="0" w:line="276" w:lineRule="auto"/>
        <w:jc w:val="center"/>
        <w:rPr>
          <w:b/>
          <w:bCs/>
          <w:sz w:val="24"/>
          <w:szCs w:val="24"/>
        </w:rPr>
      </w:pPr>
      <w:r w:rsidRPr="00582CB2">
        <w:rPr>
          <w:b/>
          <w:bCs/>
          <w:sz w:val="24"/>
          <w:szCs w:val="24"/>
        </w:rPr>
        <w:t>Submission to the</w:t>
      </w:r>
    </w:p>
    <w:p w14:paraId="6FC029F3" w14:textId="77777777" w:rsidR="00582CB2" w:rsidRPr="00582CB2" w:rsidRDefault="00582CB2" w:rsidP="00582CB2">
      <w:pPr>
        <w:spacing w:after="0" w:line="276" w:lineRule="auto"/>
        <w:jc w:val="center"/>
        <w:rPr>
          <w:b/>
          <w:bCs/>
          <w:sz w:val="24"/>
          <w:szCs w:val="24"/>
        </w:rPr>
      </w:pPr>
      <w:r w:rsidRPr="00582CB2">
        <w:rPr>
          <w:b/>
          <w:bCs/>
          <w:sz w:val="24"/>
          <w:szCs w:val="24"/>
        </w:rPr>
        <w:t>Productivity Commission’s Review of Philanthropy 2024</w:t>
      </w:r>
    </w:p>
    <w:p w14:paraId="3A163841" w14:textId="77777777" w:rsidR="00582CB2" w:rsidRDefault="00582CB2" w:rsidP="00582CB2">
      <w:pPr>
        <w:spacing w:after="0" w:line="276" w:lineRule="auto"/>
        <w:jc w:val="center"/>
        <w:rPr>
          <w:b/>
          <w:bCs/>
          <w:sz w:val="24"/>
          <w:szCs w:val="24"/>
        </w:rPr>
      </w:pPr>
      <w:r w:rsidRPr="00582CB2">
        <w:rPr>
          <w:b/>
          <w:bCs/>
          <w:sz w:val="24"/>
          <w:szCs w:val="24"/>
        </w:rPr>
        <w:t>Submitted by Dr Phil Saj PhD CPA</w:t>
      </w:r>
    </w:p>
    <w:p w14:paraId="0178DB87" w14:textId="77777777" w:rsidR="00582CB2" w:rsidRPr="00582CB2" w:rsidRDefault="00582CB2" w:rsidP="00582CB2">
      <w:pPr>
        <w:spacing w:after="0" w:line="276" w:lineRule="auto"/>
        <w:jc w:val="center"/>
        <w:rPr>
          <w:b/>
          <w:bCs/>
          <w:sz w:val="24"/>
          <w:szCs w:val="24"/>
        </w:rPr>
      </w:pPr>
    </w:p>
    <w:p w14:paraId="148A6937" w14:textId="77777777" w:rsidR="000C4223" w:rsidRDefault="00304F8A" w:rsidP="000C4223">
      <w:pPr>
        <w:spacing w:after="0" w:line="360" w:lineRule="auto"/>
        <w:rPr>
          <w:sz w:val="24"/>
          <w:szCs w:val="24"/>
        </w:rPr>
      </w:pPr>
      <w:r w:rsidRPr="00E63263">
        <w:rPr>
          <w:sz w:val="24"/>
          <w:szCs w:val="24"/>
        </w:rPr>
        <w:t xml:space="preserve">I make this submission with respect to Draft Recommendation 7.1. </w:t>
      </w:r>
      <w:r w:rsidR="00D04B14">
        <w:rPr>
          <w:sz w:val="24"/>
          <w:szCs w:val="24"/>
        </w:rPr>
        <w:t xml:space="preserve">It is my view that there are no valid reasons for exempting Basic religious Charities (BRCs) from reporting financial information under the ACNC Act.  This submission  </w:t>
      </w:r>
      <w:r w:rsidR="00A533AA">
        <w:rPr>
          <w:sz w:val="24"/>
          <w:szCs w:val="24"/>
        </w:rPr>
        <w:t xml:space="preserve">is </w:t>
      </w:r>
      <w:r w:rsidRPr="00E63263">
        <w:rPr>
          <w:sz w:val="24"/>
          <w:szCs w:val="24"/>
        </w:rPr>
        <w:t xml:space="preserve"> based on </w:t>
      </w:r>
      <w:r w:rsidR="000C4223">
        <w:rPr>
          <w:sz w:val="24"/>
          <w:szCs w:val="24"/>
        </w:rPr>
        <w:t xml:space="preserve">research undertaken by me </w:t>
      </w:r>
      <w:r w:rsidR="00C50820">
        <w:rPr>
          <w:sz w:val="24"/>
          <w:szCs w:val="24"/>
        </w:rPr>
        <w:t xml:space="preserve">at the Adelaide Business School </w:t>
      </w:r>
      <w:r w:rsidR="000C4223">
        <w:rPr>
          <w:sz w:val="24"/>
          <w:szCs w:val="24"/>
        </w:rPr>
        <w:t xml:space="preserve">in 2022,  </w:t>
      </w:r>
      <w:r w:rsidR="00D04B14">
        <w:rPr>
          <w:sz w:val="24"/>
          <w:szCs w:val="24"/>
        </w:rPr>
        <w:t>in which</w:t>
      </w:r>
      <w:r w:rsidR="0094735D">
        <w:rPr>
          <w:sz w:val="24"/>
          <w:szCs w:val="24"/>
        </w:rPr>
        <w:t xml:space="preserve"> </w:t>
      </w:r>
      <w:r w:rsidR="00D04B14">
        <w:rPr>
          <w:sz w:val="24"/>
          <w:szCs w:val="24"/>
        </w:rPr>
        <w:t xml:space="preserve">I </w:t>
      </w:r>
      <w:r w:rsidR="0094735D">
        <w:rPr>
          <w:sz w:val="24"/>
          <w:szCs w:val="24"/>
        </w:rPr>
        <w:t>examine</w:t>
      </w:r>
      <w:r w:rsidR="00D04B14">
        <w:rPr>
          <w:sz w:val="24"/>
          <w:szCs w:val="24"/>
        </w:rPr>
        <w:t>d</w:t>
      </w:r>
      <w:r w:rsidR="00C812ED">
        <w:rPr>
          <w:sz w:val="24"/>
          <w:szCs w:val="24"/>
        </w:rPr>
        <w:t xml:space="preserve"> the </w:t>
      </w:r>
      <w:r w:rsidR="00D04B14">
        <w:rPr>
          <w:sz w:val="24"/>
          <w:szCs w:val="24"/>
        </w:rPr>
        <w:t>nature of</w:t>
      </w:r>
      <w:r w:rsidR="00C812ED">
        <w:rPr>
          <w:sz w:val="24"/>
          <w:szCs w:val="24"/>
        </w:rPr>
        <w:t xml:space="preserve"> BRCs, their human resource capacit</w:t>
      </w:r>
      <w:r w:rsidR="00D04B14">
        <w:rPr>
          <w:sz w:val="24"/>
          <w:szCs w:val="24"/>
        </w:rPr>
        <w:t>ies</w:t>
      </w:r>
      <w:r w:rsidR="00C812ED">
        <w:rPr>
          <w:sz w:val="24"/>
          <w:szCs w:val="24"/>
        </w:rPr>
        <w:t>, extant financial reporting practices, and fundraising</w:t>
      </w:r>
      <w:r w:rsidR="00D04B14">
        <w:rPr>
          <w:sz w:val="24"/>
          <w:szCs w:val="24"/>
        </w:rPr>
        <w:t xml:space="preserve">. </w:t>
      </w:r>
      <w:r w:rsidR="000C4223">
        <w:rPr>
          <w:sz w:val="24"/>
          <w:szCs w:val="24"/>
        </w:rPr>
        <w:t xml:space="preserve"> </w:t>
      </w:r>
      <w:r w:rsidR="00D04B14">
        <w:rPr>
          <w:sz w:val="24"/>
          <w:szCs w:val="24"/>
        </w:rPr>
        <w:t>A</w:t>
      </w:r>
      <w:r w:rsidR="00D04B14" w:rsidRPr="00E63263">
        <w:rPr>
          <w:sz w:val="24"/>
          <w:szCs w:val="24"/>
        </w:rPr>
        <w:t xml:space="preserve"> full report </w:t>
      </w:r>
      <w:r w:rsidR="00D04B14">
        <w:rPr>
          <w:sz w:val="24"/>
          <w:szCs w:val="24"/>
        </w:rPr>
        <w:t xml:space="preserve">on this research is included as an attachment.  </w:t>
      </w:r>
    </w:p>
    <w:p w14:paraId="1CF32C0A" w14:textId="77777777" w:rsidR="000C4223" w:rsidRDefault="000C4223" w:rsidP="000C4223">
      <w:pPr>
        <w:spacing w:after="0" w:line="348" w:lineRule="auto"/>
        <w:rPr>
          <w:sz w:val="24"/>
          <w:szCs w:val="24"/>
        </w:rPr>
      </w:pPr>
    </w:p>
    <w:p w14:paraId="37ED3E6F" w14:textId="77777777" w:rsidR="00A533AA" w:rsidRDefault="000C4223" w:rsidP="00A533AA">
      <w:pPr>
        <w:spacing w:after="0" w:line="348" w:lineRule="auto"/>
        <w:rPr>
          <w:rFonts w:cstheme="minorHAnsi"/>
          <w:sz w:val="24"/>
          <w:szCs w:val="24"/>
        </w:rPr>
      </w:pPr>
      <w:r>
        <w:rPr>
          <w:sz w:val="24"/>
          <w:szCs w:val="24"/>
        </w:rPr>
        <w:t>The research was undertaken in order to</w:t>
      </w:r>
      <w:r>
        <w:rPr>
          <w:rFonts w:cstheme="minorHAnsi"/>
          <w:sz w:val="24"/>
          <w:szCs w:val="24"/>
        </w:rPr>
        <w:t xml:space="preserve"> </w:t>
      </w:r>
      <w:r w:rsidR="00D04B14">
        <w:rPr>
          <w:rFonts w:cstheme="minorHAnsi"/>
          <w:sz w:val="24"/>
          <w:szCs w:val="24"/>
        </w:rPr>
        <w:t>better understand</w:t>
      </w:r>
      <w:r>
        <w:rPr>
          <w:rFonts w:cstheme="minorHAnsi"/>
          <w:sz w:val="24"/>
          <w:szCs w:val="24"/>
        </w:rPr>
        <w:t xml:space="preserve"> BRCs</w:t>
      </w:r>
      <w:r w:rsidR="00D44BE4">
        <w:rPr>
          <w:rFonts w:cstheme="minorHAnsi"/>
          <w:sz w:val="24"/>
          <w:szCs w:val="24"/>
        </w:rPr>
        <w:t>,</w:t>
      </w:r>
      <w:r>
        <w:rPr>
          <w:rFonts w:cstheme="minorHAnsi"/>
          <w:sz w:val="24"/>
          <w:szCs w:val="24"/>
        </w:rPr>
        <w:t xml:space="preserve"> and to test the validity of the arguments </w:t>
      </w:r>
      <w:r w:rsidR="00D04B14">
        <w:rPr>
          <w:rFonts w:cstheme="minorHAnsi"/>
          <w:sz w:val="24"/>
          <w:szCs w:val="24"/>
        </w:rPr>
        <w:t>on the public record that have been put forward</w:t>
      </w:r>
      <w:r>
        <w:rPr>
          <w:rFonts w:cstheme="minorHAnsi"/>
          <w:sz w:val="24"/>
          <w:szCs w:val="24"/>
        </w:rPr>
        <w:t xml:space="preserve"> to justify their exemption from reporting financial information</w:t>
      </w:r>
      <w:r w:rsidR="00C812ED">
        <w:rPr>
          <w:rFonts w:cstheme="minorHAnsi"/>
          <w:sz w:val="24"/>
          <w:szCs w:val="24"/>
        </w:rPr>
        <w:t xml:space="preserve"> under the ACNC Act</w:t>
      </w:r>
      <w:r>
        <w:rPr>
          <w:rFonts w:cstheme="minorHAnsi"/>
          <w:sz w:val="24"/>
          <w:szCs w:val="24"/>
        </w:rPr>
        <w:t>.</w:t>
      </w:r>
      <w:r w:rsidR="00C812ED">
        <w:rPr>
          <w:rFonts w:cstheme="minorHAnsi"/>
          <w:sz w:val="24"/>
          <w:szCs w:val="24"/>
        </w:rPr>
        <w:t xml:space="preserve"> The rationale for such an investigation was twofold: </w:t>
      </w:r>
      <w:r w:rsidR="00D44BE4">
        <w:rPr>
          <w:rFonts w:cstheme="minorHAnsi"/>
          <w:sz w:val="24"/>
          <w:szCs w:val="24"/>
        </w:rPr>
        <w:t>Firstly, t</w:t>
      </w:r>
      <w:r w:rsidR="00C812ED">
        <w:rPr>
          <w:rFonts w:cstheme="minorHAnsi"/>
          <w:sz w:val="24"/>
          <w:szCs w:val="24"/>
        </w:rPr>
        <w:t xml:space="preserve">he exemption from financial reporting afforded to BRCs appeared to be at odds with one of the </w:t>
      </w:r>
      <w:r w:rsidR="00A533AA">
        <w:rPr>
          <w:sz w:val="24"/>
          <w:szCs w:val="24"/>
        </w:rPr>
        <w:t xml:space="preserve"> three objectives of the ACNC Act (2012)</w:t>
      </w:r>
      <w:r w:rsidR="00D04B14">
        <w:rPr>
          <w:sz w:val="24"/>
          <w:szCs w:val="24"/>
        </w:rPr>
        <w:t xml:space="preserve">, which </w:t>
      </w:r>
      <w:r w:rsidR="00A533AA">
        <w:rPr>
          <w:sz w:val="24"/>
          <w:szCs w:val="24"/>
        </w:rPr>
        <w:t xml:space="preserve"> is, ‘</w:t>
      </w:r>
      <w:r w:rsidR="00A533AA" w:rsidRPr="00A533AA">
        <w:rPr>
          <w:rFonts w:cstheme="minorHAnsi"/>
          <w:sz w:val="24"/>
          <w:szCs w:val="24"/>
        </w:rPr>
        <w:t>to maintain, protect and enhance public trust and confidence in</w:t>
      </w:r>
      <w:r w:rsidR="00D44BE4">
        <w:rPr>
          <w:rFonts w:cstheme="minorHAnsi"/>
          <w:sz w:val="24"/>
          <w:szCs w:val="24"/>
        </w:rPr>
        <w:t xml:space="preserve"> t</w:t>
      </w:r>
      <w:r w:rsidR="00A533AA" w:rsidRPr="00A533AA">
        <w:rPr>
          <w:rFonts w:cstheme="minorHAnsi"/>
          <w:sz w:val="24"/>
          <w:szCs w:val="24"/>
        </w:rPr>
        <w:t>he Australian not</w:t>
      </w:r>
      <w:r w:rsidR="00A533AA" w:rsidRPr="00A533AA">
        <w:rPr>
          <w:rFonts w:ascii="Cambria Math" w:hAnsi="Cambria Math" w:cs="Cambria Math"/>
          <w:sz w:val="24"/>
          <w:szCs w:val="24"/>
        </w:rPr>
        <w:t>‑</w:t>
      </w:r>
      <w:r w:rsidR="00A533AA" w:rsidRPr="00A533AA">
        <w:rPr>
          <w:rFonts w:cstheme="minorHAnsi"/>
          <w:sz w:val="24"/>
          <w:szCs w:val="24"/>
        </w:rPr>
        <w:t>for</w:t>
      </w:r>
      <w:r w:rsidR="00A533AA" w:rsidRPr="00A533AA">
        <w:rPr>
          <w:rFonts w:ascii="Cambria Math" w:hAnsi="Cambria Math" w:cs="Cambria Math"/>
          <w:sz w:val="24"/>
          <w:szCs w:val="24"/>
        </w:rPr>
        <w:t>‑</w:t>
      </w:r>
      <w:r w:rsidR="00D44BE4">
        <w:rPr>
          <w:rFonts w:ascii="Cambria Math" w:hAnsi="Cambria Math" w:cs="Cambria Math"/>
          <w:sz w:val="24"/>
          <w:szCs w:val="24"/>
        </w:rPr>
        <w:t xml:space="preserve"> </w:t>
      </w:r>
      <w:r w:rsidR="00A533AA" w:rsidRPr="00A533AA">
        <w:rPr>
          <w:rFonts w:cstheme="minorHAnsi"/>
          <w:sz w:val="24"/>
          <w:szCs w:val="24"/>
        </w:rPr>
        <w:t>profit sector</w:t>
      </w:r>
      <w:r w:rsidR="00A533AA" w:rsidRPr="00D04B14">
        <w:rPr>
          <w:rFonts w:cstheme="minorHAnsi"/>
          <w:sz w:val="24"/>
          <w:szCs w:val="24"/>
        </w:rPr>
        <w:t xml:space="preserve">” (s. </w:t>
      </w:r>
      <w:r w:rsidR="00D04B14" w:rsidRPr="00D04B14">
        <w:rPr>
          <w:rFonts w:cstheme="minorHAnsi"/>
          <w:sz w:val="24"/>
          <w:szCs w:val="24"/>
        </w:rPr>
        <w:t>15.5</w:t>
      </w:r>
      <w:r w:rsidR="00A533AA" w:rsidRPr="00D04B14">
        <w:rPr>
          <w:rFonts w:cstheme="minorHAnsi"/>
          <w:sz w:val="24"/>
          <w:szCs w:val="24"/>
        </w:rPr>
        <w:t>)</w:t>
      </w:r>
      <w:r w:rsidR="00C812ED" w:rsidRPr="00D04B14">
        <w:rPr>
          <w:rFonts w:cstheme="minorHAnsi"/>
          <w:sz w:val="24"/>
          <w:szCs w:val="24"/>
        </w:rPr>
        <w:t xml:space="preserve">; </w:t>
      </w:r>
      <w:r w:rsidR="00C812ED">
        <w:rPr>
          <w:rFonts w:cstheme="minorHAnsi"/>
          <w:sz w:val="24"/>
          <w:szCs w:val="24"/>
        </w:rPr>
        <w:t>an objective that</w:t>
      </w:r>
      <w:r w:rsidR="00A533AA" w:rsidRPr="000E6430">
        <w:rPr>
          <w:rFonts w:cstheme="minorHAnsi"/>
          <w:sz w:val="24"/>
          <w:szCs w:val="24"/>
        </w:rPr>
        <w:t xml:space="preserve"> is underpinned by principles of transparency and accountability</w:t>
      </w:r>
      <w:r w:rsidR="00C812ED">
        <w:rPr>
          <w:rFonts w:cstheme="minorHAnsi"/>
          <w:sz w:val="24"/>
          <w:szCs w:val="24"/>
        </w:rPr>
        <w:t xml:space="preserve">, and which </w:t>
      </w:r>
      <w:r w:rsidR="00A533AA" w:rsidRPr="000E6430">
        <w:rPr>
          <w:rFonts w:cstheme="minorHAnsi"/>
          <w:sz w:val="24"/>
          <w:szCs w:val="24"/>
        </w:rPr>
        <w:t>find form in</w:t>
      </w:r>
      <w:r w:rsidR="00A533AA">
        <w:rPr>
          <w:rFonts w:cstheme="minorHAnsi"/>
          <w:sz w:val="24"/>
          <w:szCs w:val="24"/>
        </w:rPr>
        <w:t xml:space="preserve"> the</w:t>
      </w:r>
      <w:r w:rsidR="00A533AA" w:rsidRPr="000E6430">
        <w:rPr>
          <w:rFonts w:cstheme="minorHAnsi"/>
          <w:sz w:val="24"/>
          <w:szCs w:val="24"/>
        </w:rPr>
        <w:t xml:space="preserve"> requirements of the </w:t>
      </w:r>
      <w:r w:rsidR="00A533AA">
        <w:rPr>
          <w:rFonts w:cstheme="minorHAnsi"/>
          <w:sz w:val="24"/>
          <w:szCs w:val="24"/>
        </w:rPr>
        <w:t xml:space="preserve">Australian Charities and </w:t>
      </w:r>
      <w:r w:rsidR="00A533AA" w:rsidRPr="000E6430">
        <w:rPr>
          <w:rFonts w:cstheme="minorHAnsi"/>
          <w:sz w:val="24"/>
          <w:szCs w:val="24"/>
        </w:rPr>
        <w:t xml:space="preserve">Not-for-Profit Commission Act 2012 (the ACNC Act) for charities to </w:t>
      </w:r>
      <w:r w:rsidR="00A533AA">
        <w:rPr>
          <w:rFonts w:cstheme="minorHAnsi"/>
          <w:sz w:val="24"/>
          <w:szCs w:val="24"/>
        </w:rPr>
        <w:t xml:space="preserve">report key information to the regulator, and for the regulator to provide </w:t>
      </w:r>
      <w:r w:rsidR="00A533AA" w:rsidRPr="000E6430">
        <w:rPr>
          <w:rFonts w:cstheme="minorHAnsi"/>
          <w:sz w:val="24"/>
          <w:szCs w:val="24"/>
        </w:rPr>
        <w:t xml:space="preserve">public access to </w:t>
      </w:r>
      <w:r w:rsidR="00A533AA">
        <w:rPr>
          <w:rFonts w:cstheme="minorHAnsi"/>
          <w:sz w:val="24"/>
          <w:szCs w:val="24"/>
        </w:rPr>
        <w:t xml:space="preserve">information about charities </w:t>
      </w:r>
      <w:r w:rsidR="00A533AA" w:rsidRPr="000E6430">
        <w:rPr>
          <w:rFonts w:cstheme="minorHAnsi"/>
          <w:sz w:val="24"/>
          <w:szCs w:val="24"/>
        </w:rPr>
        <w:t xml:space="preserve">through </w:t>
      </w:r>
      <w:r w:rsidR="00A533AA">
        <w:rPr>
          <w:rFonts w:cstheme="minorHAnsi"/>
          <w:sz w:val="24"/>
          <w:szCs w:val="24"/>
        </w:rPr>
        <w:t xml:space="preserve">an online </w:t>
      </w:r>
      <w:r w:rsidR="00A533AA" w:rsidRPr="000E6430">
        <w:rPr>
          <w:rFonts w:cstheme="minorHAnsi"/>
          <w:sz w:val="24"/>
          <w:szCs w:val="24"/>
        </w:rPr>
        <w:t>portal.</w:t>
      </w:r>
      <w:r w:rsidR="00C812ED">
        <w:rPr>
          <w:rFonts w:cstheme="minorHAnsi"/>
          <w:sz w:val="24"/>
          <w:szCs w:val="24"/>
        </w:rPr>
        <w:t xml:space="preserve"> </w:t>
      </w:r>
      <w:r w:rsidR="00D44BE4">
        <w:rPr>
          <w:rFonts w:cstheme="minorHAnsi"/>
          <w:sz w:val="24"/>
          <w:szCs w:val="24"/>
        </w:rPr>
        <w:t>Secondly,</w:t>
      </w:r>
      <w:r w:rsidR="00C812ED">
        <w:rPr>
          <w:rFonts w:cstheme="minorHAnsi"/>
          <w:sz w:val="24"/>
          <w:szCs w:val="24"/>
        </w:rPr>
        <w:t xml:space="preserve"> </w:t>
      </w:r>
      <w:r w:rsidR="00D44BE4">
        <w:rPr>
          <w:rFonts w:cstheme="minorHAnsi"/>
          <w:sz w:val="24"/>
          <w:szCs w:val="24"/>
        </w:rPr>
        <w:t>w</w:t>
      </w:r>
      <w:r w:rsidR="00A533AA">
        <w:rPr>
          <w:rFonts w:cstheme="minorHAnsi"/>
          <w:sz w:val="24"/>
          <w:szCs w:val="24"/>
        </w:rPr>
        <w:t>hile the ACNC Act was developed through a process of widespread public consultation over a two-year period, there was no debate around this exemption</w:t>
      </w:r>
      <w:r w:rsidR="008040EB">
        <w:rPr>
          <w:rFonts w:cstheme="minorHAnsi"/>
          <w:sz w:val="24"/>
          <w:szCs w:val="24"/>
        </w:rPr>
        <w:t>;</w:t>
      </w:r>
      <w:r w:rsidR="00A533AA">
        <w:rPr>
          <w:rFonts w:cstheme="minorHAnsi"/>
          <w:sz w:val="24"/>
          <w:szCs w:val="24"/>
        </w:rPr>
        <w:t xml:space="preserve"> and nor were any reasons put forward for establishing such a charity category, or the way in which it was defined. Indeed, the concept of the BRC is unique to the ACNC Act and appeared only in a late draft of the ACNC Bill. The</w:t>
      </w:r>
      <w:r w:rsidR="00A533AA">
        <w:rPr>
          <w:sz w:val="24"/>
          <w:szCs w:val="24"/>
        </w:rPr>
        <w:t xml:space="preserve"> only justification on the public record for the existence of this category, and arguments for the exemption from reporting financial information, can be found in submissions by those who support it, principally bodies representing the Anglican and Catholic Churches in </w:t>
      </w:r>
      <w:r w:rsidR="00A533AA" w:rsidRPr="00936987">
        <w:rPr>
          <w:rFonts w:cstheme="minorHAnsi"/>
          <w:sz w:val="24"/>
          <w:szCs w:val="24"/>
        </w:rPr>
        <w:t>Australia</w:t>
      </w:r>
      <w:r w:rsidR="00A533AA">
        <w:rPr>
          <w:rFonts w:cstheme="minorHAnsi"/>
          <w:sz w:val="24"/>
          <w:szCs w:val="24"/>
        </w:rPr>
        <w:t xml:space="preserve">, </w:t>
      </w:r>
      <w:r w:rsidR="00A533AA" w:rsidRPr="00936987">
        <w:rPr>
          <w:rFonts w:cstheme="minorHAnsi"/>
          <w:sz w:val="24"/>
          <w:szCs w:val="24"/>
        </w:rPr>
        <w:t xml:space="preserve"> to </w:t>
      </w:r>
      <w:r w:rsidR="00A533AA">
        <w:rPr>
          <w:rFonts w:cstheme="minorHAnsi"/>
          <w:sz w:val="24"/>
          <w:szCs w:val="24"/>
        </w:rPr>
        <w:t xml:space="preserve">the </w:t>
      </w:r>
      <w:r w:rsidR="00A533AA" w:rsidRPr="00936987">
        <w:rPr>
          <w:rFonts w:eastAsia="Times New Roman" w:cstheme="minorHAnsi"/>
          <w:color w:val="000000"/>
          <w:sz w:val="24"/>
          <w:szCs w:val="24"/>
          <w:lang w:eastAsia="en-AU"/>
        </w:rPr>
        <w:t>Parliamentary Joint Committee</w:t>
      </w:r>
      <w:r w:rsidR="00A533AA">
        <w:rPr>
          <w:rFonts w:eastAsia="Times New Roman" w:cstheme="minorHAnsi"/>
          <w:color w:val="000000"/>
          <w:sz w:val="24"/>
          <w:szCs w:val="24"/>
          <w:lang w:eastAsia="en-AU"/>
        </w:rPr>
        <w:t xml:space="preserve"> </w:t>
      </w:r>
      <w:r w:rsidR="00A533AA" w:rsidRPr="00936987">
        <w:rPr>
          <w:rFonts w:eastAsia="Times New Roman" w:cstheme="minorHAnsi"/>
          <w:color w:val="000000"/>
          <w:sz w:val="24"/>
          <w:szCs w:val="24"/>
          <w:lang w:eastAsia="en-AU"/>
        </w:rPr>
        <w:t>on Corporations and Financial Services</w:t>
      </w:r>
      <w:r w:rsidR="00A533AA">
        <w:rPr>
          <w:rFonts w:eastAsia="Times New Roman" w:cstheme="minorHAnsi"/>
          <w:color w:val="000000"/>
          <w:sz w:val="24"/>
          <w:szCs w:val="24"/>
          <w:lang w:eastAsia="en-AU"/>
        </w:rPr>
        <w:t xml:space="preserve">, which examined the ACNC Bill when it was before the Parliament in in 2012; and </w:t>
      </w:r>
      <w:r w:rsidR="00A533AA" w:rsidRPr="00936987">
        <w:rPr>
          <w:rFonts w:cstheme="minorHAnsi"/>
          <w:sz w:val="24"/>
          <w:szCs w:val="24"/>
        </w:rPr>
        <w:t xml:space="preserve">the </w:t>
      </w:r>
      <w:r w:rsidR="00A533AA">
        <w:rPr>
          <w:rFonts w:cstheme="minorHAnsi"/>
          <w:sz w:val="24"/>
          <w:szCs w:val="24"/>
        </w:rPr>
        <w:t xml:space="preserve">Commonwealth Government’s </w:t>
      </w:r>
      <w:r w:rsidR="00A533AA" w:rsidRPr="00936987">
        <w:rPr>
          <w:rFonts w:cstheme="minorHAnsi"/>
          <w:sz w:val="24"/>
          <w:szCs w:val="24"/>
        </w:rPr>
        <w:t>five-year review of the</w:t>
      </w:r>
      <w:r w:rsidR="00A533AA">
        <w:rPr>
          <w:rFonts w:cstheme="minorHAnsi"/>
          <w:sz w:val="24"/>
          <w:szCs w:val="24"/>
        </w:rPr>
        <w:t xml:space="preserve"> </w:t>
      </w:r>
      <w:r w:rsidR="00A533AA" w:rsidRPr="00936987">
        <w:rPr>
          <w:rFonts w:cstheme="minorHAnsi"/>
          <w:sz w:val="24"/>
          <w:szCs w:val="24"/>
        </w:rPr>
        <w:t>ACNC</w:t>
      </w:r>
      <w:r w:rsidR="00A533AA">
        <w:rPr>
          <w:rFonts w:cstheme="minorHAnsi"/>
          <w:sz w:val="24"/>
          <w:szCs w:val="24"/>
        </w:rPr>
        <w:t xml:space="preserve"> legislation in 2018</w:t>
      </w:r>
      <w:r w:rsidR="00A533AA" w:rsidRPr="00936987">
        <w:rPr>
          <w:rFonts w:cstheme="minorHAnsi"/>
          <w:sz w:val="24"/>
          <w:szCs w:val="24"/>
        </w:rPr>
        <w:t>.</w:t>
      </w:r>
      <w:r w:rsidR="00A533AA">
        <w:rPr>
          <w:rFonts w:cstheme="minorHAnsi"/>
          <w:sz w:val="24"/>
          <w:szCs w:val="24"/>
        </w:rPr>
        <w:t xml:space="preserve"> </w:t>
      </w:r>
      <w:r w:rsidR="008247FE">
        <w:rPr>
          <w:rFonts w:cstheme="minorHAnsi"/>
          <w:sz w:val="24"/>
          <w:szCs w:val="24"/>
        </w:rPr>
        <w:t>Extracts from these submissions are included in Appendix A of the attached report.</w:t>
      </w:r>
    </w:p>
    <w:p w14:paraId="2380EC66" w14:textId="77777777" w:rsidR="000C4223" w:rsidRPr="00E63263" w:rsidRDefault="000C4223" w:rsidP="000C4223">
      <w:pPr>
        <w:spacing w:after="0" w:line="360" w:lineRule="auto"/>
        <w:rPr>
          <w:sz w:val="24"/>
          <w:szCs w:val="24"/>
        </w:rPr>
      </w:pPr>
      <w:r w:rsidRPr="00E63263">
        <w:rPr>
          <w:sz w:val="24"/>
          <w:szCs w:val="24"/>
        </w:rPr>
        <w:lastRenderedPageBreak/>
        <w:t>Th</w:t>
      </w:r>
      <w:r w:rsidR="008247FE">
        <w:rPr>
          <w:sz w:val="24"/>
          <w:szCs w:val="24"/>
        </w:rPr>
        <w:t>is</w:t>
      </w:r>
      <w:r w:rsidRPr="00E63263">
        <w:rPr>
          <w:sz w:val="24"/>
          <w:szCs w:val="24"/>
        </w:rPr>
        <w:t xml:space="preserve"> submission comprises three parts: in Part 1</w:t>
      </w:r>
      <w:r>
        <w:rPr>
          <w:sz w:val="24"/>
          <w:szCs w:val="24"/>
        </w:rPr>
        <w:t>,</w:t>
      </w:r>
      <w:r w:rsidRPr="00E63263">
        <w:rPr>
          <w:sz w:val="24"/>
          <w:szCs w:val="24"/>
        </w:rPr>
        <w:t xml:space="preserve"> I outline </w:t>
      </w:r>
      <w:r w:rsidR="00D44BE4">
        <w:rPr>
          <w:sz w:val="24"/>
          <w:szCs w:val="24"/>
        </w:rPr>
        <w:t>the methodology applied</w:t>
      </w:r>
      <w:r w:rsidRPr="00E63263">
        <w:rPr>
          <w:sz w:val="24"/>
          <w:szCs w:val="24"/>
        </w:rPr>
        <w:t>;  in Part 2</w:t>
      </w:r>
      <w:r>
        <w:rPr>
          <w:sz w:val="24"/>
          <w:szCs w:val="24"/>
        </w:rPr>
        <w:t>,</w:t>
      </w:r>
      <w:r w:rsidRPr="00E63263">
        <w:rPr>
          <w:sz w:val="24"/>
          <w:szCs w:val="24"/>
        </w:rPr>
        <w:t xml:space="preserve"> I provided a summary of </w:t>
      </w:r>
      <w:r>
        <w:rPr>
          <w:sz w:val="24"/>
          <w:szCs w:val="24"/>
        </w:rPr>
        <w:t>my findings</w:t>
      </w:r>
      <w:r w:rsidRPr="00E63263">
        <w:rPr>
          <w:sz w:val="24"/>
          <w:szCs w:val="24"/>
        </w:rPr>
        <w:t>; and  in Part  3</w:t>
      </w:r>
      <w:r>
        <w:rPr>
          <w:sz w:val="24"/>
          <w:szCs w:val="24"/>
        </w:rPr>
        <w:t>,</w:t>
      </w:r>
      <w:r w:rsidRPr="00E63263">
        <w:rPr>
          <w:sz w:val="24"/>
          <w:szCs w:val="24"/>
        </w:rPr>
        <w:t xml:space="preserve">  I discusses, in light of these findings, the arguments on the public record that have been advanced to justify  the present exemption enjoyed by BRCs from reporting financial information to the ACNC</w:t>
      </w:r>
      <w:r>
        <w:rPr>
          <w:sz w:val="24"/>
          <w:szCs w:val="24"/>
        </w:rPr>
        <w:t>.</w:t>
      </w:r>
    </w:p>
    <w:p w14:paraId="23F9CC8A" w14:textId="77777777" w:rsidR="00A533AA" w:rsidRDefault="00A533AA" w:rsidP="00E63263">
      <w:pPr>
        <w:spacing w:after="0" w:line="360" w:lineRule="auto"/>
        <w:rPr>
          <w:sz w:val="24"/>
          <w:szCs w:val="24"/>
        </w:rPr>
      </w:pPr>
    </w:p>
    <w:p w14:paraId="4128888C" w14:textId="77777777" w:rsidR="00824D88" w:rsidRPr="00E63263" w:rsidRDefault="00845F91" w:rsidP="00E63263">
      <w:pPr>
        <w:spacing w:after="0" w:line="360" w:lineRule="auto"/>
        <w:rPr>
          <w:b/>
          <w:sz w:val="24"/>
          <w:szCs w:val="24"/>
        </w:rPr>
      </w:pPr>
      <w:r w:rsidRPr="00E63263">
        <w:rPr>
          <w:b/>
          <w:sz w:val="24"/>
          <w:szCs w:val="24"/>
        </w:rPr>
        <w:t>PART 1:</w:t>
      </w:r>
      <w:r w:rsidRPr="00E63263">
        <w:rPr>
          <w:sz w:val="24"/>
          <w:szCs w:val="24"/>
        </w:rPr>
        <w:t xml:space="preserve"> </w:t>
      </w:r>
      <w:r w:rsidR="00824D88" w:rsidRPr="00E63263">
        <w:rPr>
          <w:b/>
          <w:sz w:val="24"/>
          <w:szCs w:val="24"/>
        </w:rPr>
        <w:t>METHODOLGY</w:t>
      </w:r>
    </w:p>
    <w:p w14:paraId="4B0B4876" w14:textId="77777777" w:rsidR="00E63263" w:rsidRPr="00E63263" w:rsidRDefault="00E63263" w:rsidP="00E63263">
      <w:pPr>
        <w:pStyle w:val="ListParagraph"/>
        <w:numPr>
          <w:ilvl w:val="1"/>
          <w:numId w:val="2"/>
        </w:numPr>
        <w:spacing w:after="0" w:line="360" w:lineRule="auto"/>
        <w:rPr>
          <w:sz w:val="24"/>
          <w:szCs w:val="24"/>
        </w:rPr>
      </w:pPr>
      <w:r w:rsidRPr="00E63263">
        <w:rPr>
          <w:b/>
          <w:sz w:val="24"/>
          <w:szCs w:val="24"/>
        </w:rPr>
        <w:t>Data Sources</w:t>
      </w:r>
      <w:r w:rsidRPr="00E63263">
        <w:rPr>
          <w:sz w:val="24"/>
          <w:szCs w:val="24"/>
        </w:rPr>
        <w:t xml:space="preserve">: </w:t>
      </w:r>
    </w:p>
    <w:p w14:paraId="0AE7BC66" w14:textId="77777777" w:rsidR="00341653" w:rsidRPr="00E63263" w:rsidRDefault="00341653" w:rsidP="00E63263">
      <w:pPr>
        <w:spacing w:after="0" w:line="360" w:lineRule="auto"/>
        <w:rPr>
          <w:sz w:val="24"/>
          <w:szCs w:val="24"/>
        </w:rPr>
      </w:pPr>
      <w:r w:rsidRPr="00E63263">
        <w:rPr>
          <w:sz w:val="24"/>
          <w:szCs w:val="24"/>
        </w:rPr>
        <w:t xml:space="preserve">The data on which this paper is based is the ACNC 2020 Annual Information Statement (AIS) Data (&lt;https://data.gov.au/data/organization/acnc  accessed August 7th 2022&gt;), and the Australian Charities Report 8th Edition (ACNC, 2022). The population is the 8,319 charities that were listed on the above-mentioned database on August 7th 2022. Charities were identified by their Australian Business Number (ABN) and this number was used to search the ACNC portal in order to ascertain: (1) the activities undertaken by the charity; (2) its size; (3) the human resources deployed (paid and volunteer); and (4) the financial reporting requirements contained in its Governing Document. This information was taken from the charity’s Profile, Annual Information Statement and Governing Document. Where the BRC had a website (as indicated on its Profile), that too was examined.  For BRCs that operated within a denominational structure, publicly available information, such as policies, reporting templates, and financial statements were also inspected. </w:t>
      </w:r>
    </w:p>
    <w:p w14:paraId="77334D3F" w14:textId="77777777" w:rsidR="00341653" w:rsidRPr="00E63263" w:rsidRDefault="00341653" w:rsidP="00E63263">
      <w:pPr>
        <w:spacing w:after="0" w:line="360" w:lineRule="auto"/>
        <w:rPr>
          <w:sz w:val="24"/>
          <w:szCs w:val="24"/>
        </w:rPr>
      </w:pPr>
    </w:p>
    <w:p w14:paraId="062772EF" w14:textId="77777777" w:rsidR="00E63263" w:rsidRPr="00E63263" w:rsidRDefault="00E63263" w:rsidP="00E63263">
      <w:pPr>
        <w:spacing w:after="0" w:line="360" w:lineRule="auto"/>
        <w:rPr>
          <w:sz w:val="24"/>
          <w:szCs w:val="24"/>
        </w:rPr>
      </w:pPr>
      <w:r w:rsidRPr="00E63263">
        <w:rPr>
          <w:b/>
          <w:sz w:val="24"/>
          <w:szCs w:val="24"/>
        </w:rPr>
        <w:t>1.</w:t>
      </w:r>
      <w:r w:rsidR="00341653" w:rsidRPr="00E63263">
        <w:rPr>
          <w:b/>
          <w:sz w:val="24"/>
          <w:szCs w:val="24"/>
        </w:rPr>
        <w:t>2: Classification of BRCs</w:t>
      </w:r>
      <w:r w:rsidRPr="00E63263">
        <w:rPr>
          <w:sz w:val="24"/>
          <w:szCs w:val="24"/>
        </w:rPr>
        <w:t xml:space="preserve">: </w:t>
      </w:r>
    </w:p>
    <w:p w14:paraId="3270F6D8" w14:textId="77777777" w:rsidR="00341653" w:rsidRPr="00E63263" w:rsidRDefault="00341653" w:rsidP="00E63263">
      <w:pPr>
        <w:spacing w:after="0" w:line="360" w:lineRule="auto"/>
        <w:rPr>
          <w:sz w:val="24"/>
          <w:szCs w:val="24"/>
        </w:rPr>
      </w:pPr>
      <w:r w:rsidRPr="00E63263">
        <w:rPr>
          <w:sz w:val="24"/>
          <w:szCs w:val="24"/>
        </w:rPr>
        <w:t xml:space="preserve">BRCs were classified according to their size, and the activities they undertook.  </w:t>
      </w:r>
    </w:p>
    <w:p w14:paraId="32BA82E7" w14:textId="77777777" w:rsidR="00E63263" w:rsidRPr="00E63263" w:rsidRDefault="00E63263" w:rsidP="00E63263">
      <w:pPr>
        <w:spacing w:after="0" w:line="360" w:lineRule="auto"/>
        <w:rPr>
          <w:sz w:val="24"/>
          <w:szCs w:val="24"/>
        </w:rPr>
      </w:pPr>
    </w:p>
    <w:p w14:paraId="383CA7DE" w14:textId="77777777" w:rsidR="00E63263" w:rsidRPr="00E63263" w:rsidRDefault="00E63263" w:rsidP="00E63263">
      <w:pPr>
        <w:spacing w:after="0" w:line="360" w:lineRule="auto"/>
        <w:rPr>
          <w:spacing w:val="-2"/>
          <w:sz w:val="24"/>
          <w:szCs w:val="24"/>
        </w:rPr>
      </w:pPr>
      <w:r w:rsidRPr="00E63263">
        <w:rPr>
          <w:b/>
          <w:sz w:val="24"/>
          <w:szCs w:val="24"/>
        </w:rPr>
        <w:t>1.</w:t>
      </w:r>
      <w:r w:rsidR="00341653" w:rsidRPr="00E63263">
        <w:rPr>
          <w:b/>
          <w:sz w:val="24"/>
          <w:szCs w:val="24"/>
        </w:rPr>
        <w:t>2.1: Size</w:t>
      </w:r>
      <w:r w:rsidR="00341653" w:rsidRPr="00E63263">
        <w:rPr>
          <w:sz w:val="24"/>
          <w:szCs w:val="24"/>
        </w:rPr>
        <w:t>: A BRC’s size (</w:t>
      </w:r>
      <w:r w:rsidRPr="00E63263">
        <w:rPr>
          <w:sz w:val="24"/>
          <w:szCs w:val="24"/>
        </w:rPr>
        <w:t xml:space="preserve">small, medium or </w:t>
      </w:r>
      <w:r w:rsidR="00341653" w:rsidRPr="00E63263">
        <w:rPr>
          <w:sz w:val="24"/>
          <w:szCs w:val="24"/>
        </w:rPr>
        <w:t>larg</w:t>
      </w:r>
      <w:r w:rsidRPr="00E63263">
        <w:rPr>
          <w:sz w:val="24"/>
          <w:szCs w:val="24"/>
        </w:rPr>
        <w:t>e</w:t>
      </w:r>
      <w:r w:rsidR="00341653" w:rsidRPr="00E63263">
        <w:rPr>
          <w:sz w:val="24"/>
          <w:szCs w:val="24"/>
        </w:rPr>
        <w:t xml:space="preserve">) was taken to be that  which was self-reported  on its 2020 AIS. </w:t>
      </w:r>
      <w:r w:rsidRPr="00E63263">
        <w:rPr>
          <w:spacing w:val="-2"/>
          <w:sz w:val="24"/>
          <w:szCs w:val="24"/>
        </w:rPr>
        <w:t xml:space="preserve">In 2020, the following thresholds applied:  small (annual revenue is less than $250,000); medium (annual revenue is at least $250,000 but less than $1m.); and large (revenue is $1m. or more).  </w:t>
      </w:r>
    </w:p>
    <w:p w14:paraId="0A00C239" w14:textId="77777777" w:rsidR="00C812ED" w:rsidRDefault="00C812ED" w:rsidP="00E63263">
      <w:pPr>
        <w:spacing w:after="0" w:line="360" w:lineRule="auto"/>
        <w:rPr>
          <w:b/>
          <w:sz w:val="24"/>
          <w:szCs w:val="24"/>
        </w:rPr>
      </w:pPr>
    </w:p>
    <w:p w14:paraId="5A27BEA0" w14:textId="77777777" w:rsidR="00341653" w:rsidRPr="00E63263" w:rsidRDefault="00CC2A33" w:rsidP="00E63263">
      <w:pPr>
        <w:spacing w:after="0" w:line="360" w:lineRule="auto"/>
        <w:rPr>
          <w:sz w:val="24"/>
          <w:szCs w:val="24"/>
        </w:rPr>
      </w:pPr>
      <w:r>
        <w:rPr>
          <w:b/>
          <w:sz w:val="24"/>
          <w:szCs w:val="24"/>
        </w:rPr>
        <w:t>1.</w:t>
      </w:r>
      <w:r w:rsidR="00341653" w:rsidRPr="00E63263">
        <w:rPr>
          <w:b/>
          <w:sz w:val="24"/>
          <w:szCs w:val="24"/>
        </w:rPr>
        <w:t>2.2: Activities undertaken</w:t>
      </w:r>
      <w:r>
        <w:rPr>
          <w:b/>
          <w:sz w:val="24"/>
          <w:szCs w:val="24"/>
        </w:rPr>
        <w:t xml:space="preserve"> by BRCs</w:t>
      </w:r>
      <w:r w:rsidR="00341653" w:rsidRPr="00E63263">
        <w:rPr>
          <w:sz w:val="24"/>
          <w:szCs w:val="24"/>
        </w:rPr>
        <w:t>.</w:t>
      </w:r>
    </w:p>
    <w:p w14:paraId="41C8E9A0" w14:textId="77777777" w:rsidR="00E63263" w:rsidRPr="00E63263" w:rsidRDefault="00341653" w:rsidP="00E63263">
      <w:pPr>
        <w:spacing w:after="0" w:line="360" w:lineRule="auto"/>
        <w:rPr>
          <w:sz w:val="24"/>
          <w:szCs w:val="24"/>
        </w:rPr>
      </w:pPr>
      <w:r w:rsidRPr="00E63263">
        <w:rPr>
          <w:sz w:val="24"/>
          <w:szCs w:val="24"/>
        </w:rPr>
        <w:t xml:space="preserve">A BRC’s activities were taken to be those that were self-reported under ‘Summary of Activities’ on its Profile; the ‘Description of the Charity’s Activities and Outcomes’ on its 2020 AIS; and the ‘Objects’ (or equivalent) clause in its Governing Document. In some cases </w:t>
      </w:r>
      <w:r w:rsidRPr="00E63263">
        <w:rPr>
          <w:sz w:val="24"/>
          <w:szCs w:val="24"/>
        </w:rPr>
        <w:lastRenderedPageBreak/>
        <w:t>where the BRC had a website, this was inspected in order to confirm information lodged with the ACNC.  Ten distinct activities were identified.</w:t>
      </w:r>
      <w:r w:rsidR="00E63263" w:rsidRPr="00E63263">
        <w:rPr>
          <w:sz w:val="24"/>
          <w:szCs w:val="24"/>
        </w:rPr>
        <w:t xml:space="preserve"> A description of each category and one example of a BRC in each category is</w:t>
      </w:r>
      <w:r w:rsidR="00E63263">
        <w:rPr>
          <w:sz w:val="24"/>
          <w:szCs w:val="24"/>
        </w:rPr>
        <w:t xml:space="preserve"> provided below. The ten activities were</w:t>
      </w:r>
      <w:r w:rsidR="00E63263" w:rsidRPr="00E63263">
        <w:rPr>
          <w:sz w:val="24"/>
          <w:szCs w:val="24"/>
        </w:rPr>
        <w:t>:</w:t>
      </w:r>
    </w:p>
    <w:p w14:paraId="53B76F5F" w14:textId="77777777" w:rsidR="00341653" w:rsidRPr="00E63263" w:rsidRDefault="00341653" w:rsidP="00E63263">
      <w:pPr>
        <w:spacing w:after="0" w:line="360" w:lineRule="auto"/>
        <w:ind w:firstLine="720"/>
        <w:rPr>
          <w:sz w:val="24"/>
          <w:szCs w:val="24"/>
        </w:rPr>
      </w:pPr>
      <w:r w:rsidRPr="00E63263">
        <w:rPr>
          <w:sz w:val="24"/>
          <w:szCs w:val="24"/>
        </w:rPr>
        <w:t>1: Religious Charitable Development Fund</w:t>
      </w:r>
    </w:p>
    <w:p w14:paraId="3F387DF5" w14:textId="77777777" w:rsidR="00341653" w:rsidRPr="00E63263" w:rsidRDefault="00341653" w:rsidP="00E63263">
      <w:pPr>
        <w:spacing w:after="0" w:line="360" w:lineRule="auto"/>
        <w:ind w:firstLine="720"/>
        <w:rPr>
          <w:sz w:val="24"/>
          <w:szCs w:val="24"/>
        </w:rPr>
      </w:pPr>
      <w:r w:rsidRPr="00E63263">
        <w:rPr>
          <w:sz w:val="24"/>
          <w:szCs w:val="24"/>
        </w:rPr>
        <w:t>2: Other</w:t>
      </w:r>
      <w:r w:rsidR="00E63263">
        <w:rPr>
          <w:sz w:val="24"/>
          <w:szCs w:val="24"/>
        </w:rPr>
        <w:t xml:space="preserve"> </w:t>
      </w:r>
      <w:r w:rsidRPr="00E63263">
        <w:rPr>
          <w:sz w:val="24"/>
          <w:szCs w:val="24"/>
        </w:rPr>
        <w:t>Fund</w:t>
      </w:r>
    </w:p>
    <w:p w14:paraId="7544EFCD" w14:textId="77777777" w:rsidR="00341653" w:rsidRPr="00E63263" w:rsidRDefault="00341653" w:rsidP="00E63263">
      <w:pPr>
        <w:spacing w:after="0" w:line="360" w:lineRule="auto"/>
        <w:ind w:firstLine="720"/>
        <w:rPr>
          <w:sz w:val="24"/>
          <w:szCs w:val="24"/>
        </w:rPr>
      </w:pPr>
      <w:r w:rsidRPr="00E63263">
        <w:rPr>
          <w:sz w:val="24"/>
          <w:szCs w:val="24"/>
        </w:rPr>
        <w:t xml:space="preserve">3: Property Trust </w:t>
      </w:r>
    </w:p>
    <w:p w14:paraId="70B07678" w14:textId="77777777" w:rsidR="00341653" w:rsidRPr="00E63263" w:rsidRDefault="00341653" w:rsidP="00E63263">
      <w:pPr>
        <w:spacing w:after="0" w:line="360" w:lineRule="auto"/>
        <w:ind w:firstLine="720"/>
        <w:rPr>
          <w:sz w:val="24"/>
          <w:szCs w:val="24"/>
        </w:rPr>
      </w:pPr>
      <w:r w:rsidRPr="00E63263">
        <w:rPr>
          <w:sz w:val="24"/>
          <w:szCs w:val="24"/>
        </w:rPr>
        <w:t>4: Non-Financial Support Provider</w:t>
      </w:r>
    </w:p>
    <w:p w14:paraId="3CBDC21F" w14:textId="77777777" w:rsidR="00341653" w:rsidRPr="00E63263" w:rsidRDefault="00341653" w:rsidP="00E63263">
      <w:pPr>
        <w:spacing w:after="0" w:line="360" w:lineRule="auto"/>
        <w:ind w:firstLine="720"/>
        <w:rPr>
          <w:sz w:val="24"/>
          <w:szCs w:val="24"/>
        </w:rPr>
      </w:pPr>
      <w:r w:rsidRPr="00E63263">
        <w:rPr>
          <w:sz w:val="24"/>
          <w:szCs w:val="24"/>
        </w:rPr>
        <w:t>5: Trading Entity</w:t>
      </w:r>
    </w:p>
    <w:p w14:paraId="56CCE1B9" w14:textId="77777777" w:rsidR="00341653" w:rsidRPr="00E63263" w:rsidRDefault="00341653" w:rsidP="00E63263">
      <w:pPr>
        <w:spacing w:after="0" w:line="360" w:lineRule="auto"/>
        <w:ind w:firstLine="720"/>
        <w:rPr>
          <w:sz w:val="24"/>
          <w:szCs w:val="24"/>
        </w:rPr>
      </w:pPr>
      <w:r w:rsidRPr="00E63263">
        <w:rPr>
          <w:sz w:val="24"/>
          <w:szCs w:val="24"/>
        </w:rPr>
        <w:t xml:space="preserve">6: Welfare Services Provider </w:t>
      </w:r>
    </w:p>
    <w:p w14:paraId="0CFC5478" w14:textId="77777777" w:rsidR="00341653" w:rsidRPr="00E63263" w:rsidRDefault="00341653" w:rsidP="00E63263">
      <w:pPr>
        <w:spacing w:after="0" w:line="360" w:lineRule="auto"/>
        <w:ind w:firstLine="720"/>
        <w:rPr>
          <w:sz w:val="24"/>
          <w:szCs w:val="24"/>
        </w:rPr>
      </w:pPr>
      <w:r w:rsidRPr="00E63263">
        <w:rPr>
          <w:sz w:val="24"/>
          <w:szCs w:val="24"/>
        </w:rPr>
        <w:t>7: Governance, Administration and / or Coordination</w:t>
      </w:r>
    </w:p>
    <w:p w14:paraId="47414667" w14:textId="77777777" w:rsidR="00341653" w:rsidRPr="00E63263" w:rsidRDefault="00341653" w:rsidP="00E63263">
      <w:pPr>
        <w:spacing w:after="0" w:line="360" w:lineRule="auto"/>
        <w:ind w:firstLine="720"/>
        <w:rPr>
          <w:sz w:val="24"/>
          <w:szCs w:val="24"/>
        </w:rPr>
      </w:pPr>
      <w:r w:rsidRPr="00E63263">
        <w:rPr>
          <w:sz w:val="24"/>
          <w:szCs w:val="24"/>
        </w:rPr>
        <w:t>8: Religious Orders &amp; Faith Based Movements</w:t>
      </w:r>
    </w:p>
    <w:p w14:paraId="2E36A9D9" w14:textId="77777777" w:rsidR="00341653" w:rsidRPr="00E63263" w:rsidRDefault="00341653" w:rsidP="00E63263">
      <w:pPr>
        <w:spacing w:after="0" w:line="360" w:lineRule="auto"/>
        <w:ind w:firstLine="720"/>
        <w:rPr>
          <w:sz w:val="24"/>
          <w:szCs w:val="24"/>
        </w:rPr>
      </w:pPr>
      <w:r w:rsidRPr="00E63263">
        <w:rPr>
          <w:sz w:val="24"/>
          <w:szCs w:val="24"/>
        </w:rPr>
        <w:t>9: Parishes and Churches</w:t>
      </w:r>
    </w:p>
    <w:p w14:paraId="021EA7CD" w14:textId="77777777" w:rsidR="00341653" w:rsidRPr="00E63263" w:rsidRDefault="00341653" w:rsidP="00E63263">
      <w:pPr>
        <w:spacing w:after="0" w:line="360" w:lineRule="auto"/>
        <w:ind w:firstLine="720"/>
        <w:rPr>
          <w:sz w:val="24"/>
          <w:szCs w:val="24"/>
        </w:rPr>
      </w:pPr>
      <w:r w:rsidRPr="00E63263">
        <w:rPr>
          <w:sz w:val="24"/>
          <w:szCs w:val="24"/>
        </w:rPr>
        <w:t xml:space="preserve">10: Other Ministry </w:t>
      </w:r>
    </w:p>
    <w:p w14:paraId="6D181F43" w14:textId="77777777" w:rsidR="00824D88" w:rsidRPr="00E63263" w:rsidRDefault="00824D88" w:rsidP="00E63263">
      <w:pPr>
        <w:spacing w:after="0" w:line="360" w:lineRule="auto"/>
        <w:rPr>
          <w:b/>
          <w:sz w:val="24"/>
          <w:szCs w:val="24"/>
        </w:rPr>
      </w:pPr>
    </w:p>
    <w:p w14:paraId="51744B98" w14:textId="77777777" w:rsidR="00F6217B" w:rsidRPr="00E63263" w:rsidRDefault="00F6217B" w:rsidP="00E63263">
      <w:pPr>
        <w:spacing w:after="0" w:line="360" w:lineRule="auto"/>
        <w:rPr>
          <w:b/>
          <w:sz w:val="24"/>
          <w:szCs w:val="24"/>
        </w:rPr>
      </w:pPr>
      <w:bookmarkStart w:id="0" w:name="_Hlk116706644"/>
      <w:r w:rsidRPr="00E63263">
        <w:rPr>
          <w:rFonts w:cstheme="minorHAnsi"/>
          <w:b/>
          <w:sz w:val="24"/>
          <w:szCs w:val="24"/>
        </w:rPr>
        <w:t xml:space="preserve">Category 1: </w:t>
      </w:r>
      <w:bookmarkEnd w:id="0"/>
      <w:r w:rsidRPr="00E63263">
        <w:rPr>
          <w:rFonts w:cstheme="minorHAnsi"/>
          <w:b/>
          <w:sz w:val="24"/>
          <w:szCs w:val="24"/>
        </w:rPr>
        <w:t xml:space="preserve">Religious Charitable Development Funds. </w:t>
      </w:r>
      <w:r w:rsidRPr="00E63263">
        <w:rPr>
          <w:rFonts w:cstheme="minorHAnsi"/>
          <w:sz w:val="24"/>
          <w:szCs w:val="24"/>
        </w:rPr>
        <w:t xml:space="preserve">These BRCs provide financial services.  They accept deposits from investors pay interest on such deposits, and lend money to religious institutions such as churches and schools for building and other purposes. An example from this category is </w:t>
      </w:r>
      <w:r w:rsidRPr="00E63263">
        <w:rPr>
          <w:rFonts w:cstheme="minorHAnsi"/>
          <w:color w:val="212529"/>
          <w:sz w:val="24"/>
          <w:szCs w:val="24"/>
          <w:shd w:val="clear" w:color="auto" w:fill="FFFFFF"/>
        </w:rPr>
        <w:t xml:space="preserve">Catholic Development Fund Diocese of Wollongong (ABN 74896491936). </w:t>
      </w:r>
    </w:p>
    <w:p w14:paraId="7584F988" w14:textId="77777777" w:rsidR="00F6217B" w:rsidRPr="00E63263" w:rsidRDefault="00F6217B" w:rsidP="00E63263">
      <w:pPr>
        <w:spacing w:after="0" w:line="360" w:lineRule="auto"/>
        <w:rPr>
          <w:b/>
          <w:sz w:val="24"/>
          <w:szCs w:val="24"/>
        </w:rPr>
      </w:pPr>
    </w:p>
    <w:p w14:paraId="0965C527" w14:textId="77777777" w:rsidR="00F6217B" w:rsidRPr="00E63263" w:rsidRDefault="00F6217B" w:rsidP="00E63263">
      <w:pPr>
        <w:spacing w:after="0" w:line="360" w:lineRule="auto"/>
        <w:rPr>
          <w:b/>
          <w:sz w:val="24"/>
          <w:szCs w:val="24"/>
        </w:rPr>
      </w:pPr>
      <w:r w:rsidRPr="00E63263">
        <w:rPr>
          <w:rFonts w:cstheme="minorHAnsi"/>
          <w:b/>
          <w:sz w:val="24"/>
          <w:szCs w:val="24"/>
        </w:rPr>
        <w:t>Category 2: Other Funds.</w:t>
      </w:r>
      <w:r w:rsidRPr="00E63263">
        <w:rPr>
          <w:rFonts w:cstheme="minorHAnsi"/>
          <w:sz w:val="24"/>
          <w:szCs w:val="24"/>
        </w:rPr>
        <w:t xml:space="preserve"> These BRCs hold financial assets, such as equities, bonds and cash, for the purpose of funding the activities of religious entities. An example from this category of BRCs is Priest's Remuneration Fund (ABN 99049307162)</w:t>
      </w:r>
    </w:p>
    <w:p w14:paraId="20492EA1" w14:textId="77777777" w:rsidR="00F6217B" w:rsidRPr="00E63263" w:rsidRDefault="00F6217B" w:rsidP="00E63263">
      <w:pPr>
        <w:spacing w:after="0" w:line="360" w:lineRule="auto"/>
        <w:rPr>
          <w:b/>
          <w:sz w:val="24"/>
          <w:szCs w:val="24"/>
        </w:rPr>
      </w:pPr>
    </w:p>
    <w:p w14:paraId="328E9894" w14:textId="77777777" w:rsidR="00F6217B" w:rsidRDefault="00F6217B" w:rsidP="00E63263">
      <w:pPr>
        <w:spacing w:after="0" w:line="360" w:lineRule="auto"/>
        <w:rPr>
          <w:rFonts w:cstheme="minorHAnsi"/>
          <w:color w:val="212529"/>
          <w:sz w:val="24"/>
          <w:szCs w:val="24"/>
          <w:shd w:val="clear" w:color="auto" w:fill="FFFFFF"/>
        </w:rPr>
      </w:pPr>
      <w:r w:rsidRPr="00E63263">
        <w:rPr>
          <w:rFonts w:cstheme="minorHAnsi"/>
          <w:b/>
          <w:sz w:val="24"/>
          <w:szCs w:val="24"/>
        </w:rPr>
        <w:t>Category 3: Property Trusts</w:t>
      </w:r>
      <w:r w:rsidRPr="00E63263">
        <w:rPr>
          <w:rFonts w:cstheme="minorHAnsi"/>
          <w:sz w:val="24"/>
          <w:szCs w:val="24"/>
        </w:rPr>
        <w:t xml:space="preserve">. These BRCs hold property that is used by churches and other denominational entities to conduct activities, and/ or to generate income.  An example of BRC that holds property for use is, </w:t>
      </w:r>
      <w:r w:rsidRPr="00E63263">
        <w:rPr>
          <w:rFonts w:cstheme="minorHAnsi"/>
          <w:color w:val="212529"/>
          <w:sz w:val="24"/>
          <w:szCs w:val="24"/>
          <w:shd w:val="clear" w:color="auto" w:fill="FFFFFF"/>
        </w:rPr>
        <w:t xml:space="preserve">The Trustee for Forestville Parish - </w:t>
      </w:r>
      <w:proofErr w:type="spellStart"/>
      <w:r w:rsidRPr="00E63263">
        <w:rPr>
          <w:rFonts w:cstheme="minorHAnsi"/>
          <w:color w:val="212529"/>
          <w:sz w:val="24"/>
          <w:szCs w:val="24"/>
          <w:shd w:val="clear" w:color="auto" w:fill="FFFFFF"/>
        </w:rPr>
        <w:t>Acpt</w:t>
      </w:r>
      <w:proofErr w:type="spellEnd"/>
      <w:r w:rsidRPr="00E63263">
        <w:rPr>
          <w:rFonts w:cstheme="minorHAnsi"/>
          <w:color w:val="212529"/>
          <w:sz w:val="24"/>
          <w:szCs w:val="24"/>
          <w:shd w:val="clear" w:color="auto" w:fill="FFFFFF"/>
        </w:rPr>
        <w:t xml:space="preserve"> (1142) (ABN 57573017323).</w:t>
      </w:r>
    </w:p>
    <w:p w14:paraId="23802130" w14:textId="77777777" w:rsidR="00582CB2" w:rsidRPr="00E63263" w:rsidRDefault="00582CB2" w:rsidP="00E63263">
      <w:pPr>
        <w:spacing w:after="0" w:line="360" w:lineRule="auto"/>
        <w:rPr>
          <w:b/>
          <w:sz w:val="24"/>
          <w:szCs w:val="24"/>
        </w:rPr>
      </w:pPr>
    </w:p>
    <w:p w14:paraId="0585E37E" w14:textId="77777777" w:rsidR="00F6217B" w:rsidRPr="00E63263" w:rsidRDefault="00F6217B" w:rsidP="00E63263">
      <w:pPr>
        <w:spacing w:after="0" w:line="360" w:lineRule="auto"/>
        <w:rPr>
          <w:b/>
          <w:sz w:val="24"/>
          <w:szCs w:val="24"/>
        </w:rPr>
      </w:pPr>
      <w:r w:rsidRPr="00E63263">
        <w:rPr>
          <w:rFonts w:cstheme="minorHAnsi"/>
          <w:b/>
          <w:sz w:val="24"/>
          <w:szCs w:val="24"/>
        </w:rPr>
        <w:t xml:space="preserve">Category 4: Providers of Non-Financial Support. </w:t>
      </w:r>
      <w:r w:rsidRPr="00E63263">
        <w:rPr>
          <w:rFonts w:cstheme="minorHAnsi"/>
          <w:sz w:val="24"/>
          <w:szCs w:val="24"/>
        </w:rPr>
        <w:t>These</w:t>
      </w:r>
      <w:r w:rsidRPr="00E63263">
        <w:rPr>
          <w:rFonts w:cstheme="minorHAnsi"/>
          <w:b/>
          <w:sz w:val="24"/>
          <w:szCs w:val="24"/>
        </w:rPr>
        <w:t xml:space="preserve"> </w:t>
      </w:r>
      <w:r w:rsidRPr="00E63263">
        <w:rPr>
          <w:rFonts w:cstheme="minorHAnsi"/>
          <w:sz w:val="24"/>
          <w:szCs w:val="24"/>
        </w:rPr>
        <w:t>BRCs provide goods and/ or services to faith-based entities to assist them in furthering their objectives. An example of a professional services provider is Sydney Diocesan Services (ABN 69266342710)</w:t>
      </w:r>
      <w:r w:rsidR="008247FE">
        <w:rPr>
          <w:rFonts w:cstheme="minorHAnsi"/>
          <w:sz w:val="24"/>
          <w:szCs w:val="24"/>
        </w:rPr>
        <w:t>.</w:t>
      </w:r>
    </w:p>
    <w:p w14:paraId="7C74FCF6" w14:textId="77777777" w:rsidR="00F6217B" w:rsidRPr="00E63263" w:rsidRDefault="00F6217B" w:rsidP="00E63263">
      <w:pPr>
        <w:spacing w:after="0" w:line="360" w:lineRule="auto"/>
        <w:rPr>
          <w:b/>
          <w:sz w:val="24"/>
          <w:szCs w:val="24"/>
        </w:rPr>
      </w:pPr>
      <w:r w:rsidRPr="00E63263">
        <w:rPr>
          <w:rFonts w:cstheme="minorHAnsi"/>
          <w:b/>
          <w:sz w:val="24"/>
          <w:szCs w:val="24"/>
        </w:rPr>
        <w:lastRenderedPageBreak/>
        <w:t>Category 5: Trading Enterprises.</w:t>
      </w:r>
      <w:r w:rsidRPr="00E63263">
        <w:rPr>
          <w:rFonts w:cstheme="minorHAnsi"/>
          <w:color w:val="212529"/>
          <w:sz w:val="24"/>
          <w:szCs w:val="24"/>
          <w:shd w:val="clear" w:color="auto" w:fill="FFFFFF"/>
        </w:rPr>
        <w:t xml:space="preserve"> These BRCs trade in the open market goods and/ or services that appear to complement the work of religious denominations</w:t>
      </w:r>
      <w:r w:rsidRPr="00E63263">
        <w:rPr>
          <w:rFonts w:cstheme="minorHAnsi"/>
          <w:sz w:val="24"/>
          <w:szCs w:val="24"/>
        </w:rPr>
        <w:t xml:space="preserve">. An example </w:t>
      </w:r>
      <w:r w:rsidR="008930F3" w:rsidRPr="00E63263">
        <w:rPr>
          <w:rFonts w:cstheme="minorHAnsi"/>
          <w:sz w:val="24"/>
          <w:szCs w:val="24"/>
        </w:rPr>
        <w:t>is</w:t>
      </w:r>
      <w:r w:rsidRPr="00E63263">
        <w:rPr>
          <w:rFonts w:cstheme="minorHAnsi"/>
          <w:sz w:val="24"/>
          <w:szCs w:val="24"/>
        </w:rPr>
        <w:t xml:space="preserve"> The Corporation of the Roman Catholic Archdiocese of Brisbane - Holy Cross Funerals (ABN: 97591742721)</w:t>
      </w:r>
      <w:r w:rsidR="008930F3" w:rsidRPr="00E63263">
        <w:rPr>
          <w:rFonts w:cstheme="minorHAnsi"/>
          <w:sz w:val="24"/>
          <w:szCs w:val="24"/>
        </w:rPr>
        <w:t>.</w:t>
      </w:r>
    </w:p>
    <w:p w14:paraId="2F195F4E" w14:textId="77777777" w:rsidR="00F6217B" w:rsidRPr="00E63263" w:rsidRDefault="00F6217B" w:rsidP="00E63263">
      <w:pPr>
        <w:spacing w:after="0" w:line="360" w:lineRule="auto"/>
        <w:rPr>
          <w:b/>
          <w:sz w:val="24"/>
          <w:szCs w:val="24"/>
        </w:rPr>
      </w:pPr>
    </w:p>
    <w:p w14:paraId="7B6A0993" w14:textId="77777777" w:rsidR="008930F3" w:rsidRPr="00E63263" w:rsidRDefault="008930F3" w:rsidP="00E63263">
      <w:pPr>
        <w:tabs>
          <w:tab w:val="left" w:pos="426"/>
        </w:tabs>
        <w:spacing w:after="0" w:line="360" w:lineRule="auto"/>
        <w:rPr>
          <w:b/>
          <w:sz w:val="24"/>
          <w:szCs w:val="24"/>
        </w:rPr>
      </w:pPr>
      <w:r w:rsidRPr="00E63263">
        <w:rPr>
          <w:rFonts w:cstheme="minorHAnsi"/>
          <w:b/>
          <w:sz w:val="24"/>
          <w:szCs w:val="24"/>
        </w:rPr>
        <w:t>Category 6: Welfare Service Providers</w:t>
      </w:r>
      <w:r w:rsidRPr="00E63263">
        <w:rPr>
          <w:rFonts w:cstheme="minorHAnsi"/>
          <w:sz w:val="24"/>
          <w:szCs w:val="24"/>
        </w:rPr>
        <w:t xml:space="preserve">. These BRCs provide welfare services that are typical of many charities that are not BRCs such as student accommodation, after school hours care, and addiction counselling.  An example of a medium-sized BRC that provides student accommodation is </w:t>
      </w:r>
      <w:r w:rsidRPr="00E63263">
        <w:rPr>
          <w:rFonts w:cstheme="minorHAnsi"/>
          <w:color w:val="212529"/>
          <w:sz w:val="24"/>
          <w:szCs w:val="24"/>
          <w:shd w:val="clear" w:color="auto" w:fill="FFFFFF"/>
        </w:rPr>
        <w:t>Petersham Baptist Church - Flo Harris Lodge (ABN 28834397879),</w:t>
      </w:r>
    </w:p>
    <w:p w14:paraId="2DFE4F3B" w14:textId="77777777" w:rsidR="008930F3" w:rsidRPr="00E63263" w:rsidRDefault="008930F3" w:rsidP="00E63263">
      <w:pPr>
        <w:spacing w:after="0" w:line="360" w:lineRule="auto"/>
        <w:rPr>
          <w:b/>
          <w:sz w:val="24"/>
          <w:szCs w:val="24"/>
        </w:rPr>
      </w:pPr>
    </w:p>
    <w:p w14:paraId="1032439B" w14:textId="77777777" w:rsidR="008930F3" w:rsidRPr="00E63263" w:rsidRDefault="008930F3" w:rsidP="00E63263">
      <w:pPr>
        <w:tabs>
          <w:tab w:val="left" w:pos="426"/>
        </w:tabs>
        <w:spacing w:after="0" w:line="360" w:lineRule="auto"/>
        <w:rPr>
          <w:b/>
          <w:sz w:val="24"/>
          <w:szCs w:val="24"/>
        </w:rPr>
      </w:pPr>
      <w:bookmarkStart w:id="1" w:name="_Hlk121238537"/>
      <w:r w:rsidRPr="00E63263">
        <w:rPr>
          <w:rFonts w:cstheme="minorHAnsi"/>
          <w:b/>
          <w:sz w:val="24"/>
          <w:szCs w:val="24"/>
        </w:rPr>
        <w:t xml:space="preserve">Category 7: </w:t>
      </w:r>
      <w:bookmarkEnd w:id="1"/>
      <w:r w:rsidRPr="00E63263">
        <w:rPr>
          <w:b/>
          <w:sz w:val="24"/>
          <w:szCs w:val="24"/>
        </w:rPr>
        <w:t xml:space="preserve">Governance, Administration and/or Coordination. </w:t>
      </w:r>
      <w:r w:rsidRPr="00E63263">
        <w:rPr>
          <w:rFonts w:cstheme="minorHAnsi"/>
          <w:color w:val="212529"/>
          <w:sz w:val="24"/>
          <w:szCs w:val="24"/>
          <w:shd w:val="clear" w:color="auto" w:fill="FFFFFF"/>
        </w:rPr>
        <w:t xml:space="preserve">BRCs in this category undertook a range of activities that varied in nature and scope according to the denominational structure. An example is </w:t>
      </w:r>
      <w:r w:rsidRPr="00E63263">
        <w:rPr>
          <w:rFonts w:cstheme="minorHAnsi"/>
          <w:sz w:val="24"/>
          <w:szCs w:val="24"/>
        </w:rPr>
        <w:t>Sydney Diocesan Synod Fund (ABN 54022096494</w:t>
      </w:r>
      <w:r w:rsidRPr="008247FE">
        <w:rPr>
          <w:rFonts w:cstheme="minorHAnsi"/>
          <w:sz w:val="24"/>
          <w:szCs w:val="24"/>
        </w:rPr>
        <w:t>)</w:t>
      </w:r>
      <w:r w:rsidRPr="00E63263">
        <w:rPr>
          <w:rFonts w:cstheme="minorHAnsi"/>
          <w:sz w:val="24"/>
          <w:szCs w:val="24"/>
        </w:rPr>
        <w:t xml:space="preserve"> is a BRC that performs an administrative function at a district level within a denominational framework.</w:t>
      </w:r>
    </w:p>
    <w:p w14:paraId="73585B7C" w14:textId="77777777" w:rsidR="008930F3" w:rsidRPr="00E63263" w:rsidRDefault="008930F3" w:rsidP="00E63263">
      <w:pPr>
        <w:spacing w:after="0" w:line="360" w:lineRule="auto"/>
        <w:rPr>
          <w:b/>
          <w:sz w:val="24"/>
          <w:szCs w:val="24"/>
        </w:rPr>
      </w:pPr>
    </w:p>
    <w:p w14:paraId="1FBA9D82" w14:textId="77777777" w:rsidR="008930F3" w:rsidRPr="00E63263" w:rsidRDefault="008930F3" w:rsidP="00E63263">
      <w:pPr>
        <w:spacing w:after="0" w:line="360" w:lineRule="auto"/>
        <w:rPr>
          <w:rFonts w:cstheme="minorHAnsi"/>
          <w:sz w:val="24"/>
          <w:szCs w:val="24"/>
        </w:rPr>
      </w:pPr>
      <w:r w:rsidRPr="00E63263">
        <w:rPr>
          <w:rFonts w:cstheme="minorHAnsi"/>
          <w:b/>
          <w:sz w:val="24"/>
          <w:szCs w:val="24"/>
        </w:rPr>
        <w:t>Category 8 Religious Orders and Faith Based Movements</w:t>
      </w:r>
      <w:r w:rsidRPr="00E63263">
        <w:rPr>
          <w:rFonts w:cstheme="minorHAnsi"/>
          <w:sz w:val="24"/>
          <w:szCs w:val="24"/>
        </w:rPr>
        <w:t xml:space="preserve">. Religious orders comprise communities and/ or members that bind themselves through vows. An example from this category of BRC is </w:t>
      </w:r>
      <w:r w:rsidRPr="00E63263">
        <w:rPr>
          <w:rFonts w:cstheme="minorHAnsi"/>
          <w:color w:val="212529"/>
          <w:sz w:val="24"/>
          <w:szCs w:val="24"/>
          <w:shd w:val="clear" w:color="auto" w:fill="FFFFFF"/>
        </w:rPr>
        <w:t>The Maronite Order of the Blessed Virgin Mary (ABN 48170166309).</w:t>
      </w:r>
      <w:r w:rsidRPr="00E63263">
        <w:rPr>
          <w:rFonts w:cstheme="minorHAnsi"/>
          <w:sz w:val="24"/>
          <w:szCs w:val="24"/>
        </w:rPr>
        <w:t xml:space="preserve"> </w:t>
      </w:r>
    </w:p>
    <w:p w14:paraId="553948A3" w14:textId="77777777" w:rsidR="008930F3" w:rsidRPr="00E63263" w:rsidRDefault="008930F3" w:rsidP="00E63263">
      <w:pPr>
        <w:spacing w:after="0" w:line="360" w:lineRule="auto"/>
        <w:rPr>
          <w:b/>
          <w:sz w:val="24"/>
          <w:szCs w:val="24"/>
        </w:rPr>
      </w:pPr>
    </w:p>
    <w:p w14:paraId="11A468D7" w14:textId="77777777" w:rsidR="008930F3" w:rsidRPr="00E63263" w:rsidRDefault="008930F3" w:rsidP="00E63263">
      <w:pPr>
        <w:spacing w:after="0" w:line="360" w:lineRule="auto"/>
        <w:rPr>
          <w:b/>
          <w:sz w:val="24"/>
          <w:szCs w:val="24"/>
        </w:rPr>
      </w:pPr>
      <w:r w:rsidRPr="00E63263">
        <w:rPr>
          <w:b/>
          <w:sz w:val="24"/>
          <w:szCs w:val="24"/>
        </w:rPr>
        <w:t xml:space="preserve">Category 9 Parishes and Churches: </w:t>
      </w:r>
      <w:r w:rsidRPr="00E63263">
        <w:rPr>
          <w:rFonts w:cstheme="minorHAnsi"/>
          <w:sz w:val="24"/>
          <w:szCs w:val="24"/>
        </w:rPr>
        <w:t>These BRCs comprise congregations who share a particular a faith and gather for worship in a specific locale under the leadership of a designated minister of religion. An example of this type of BRC is the Maronite Catholic Parish of Our Lady of Lebanon Harris Park (ABN 92475205390).</w:t>
      </w:r>
    </w:p>
    <w:p w14:paraId="6B56A87D" w14:textId="77777777" w:rsidR="008930F3" w:rsidRPr="00E63263" w:rsidRDefault="008930F3" w:rsidP="00E63263">
      <w:pPr>
        <w:spacing w:after="0" w:line="360" w:lineRule="auto"/>
        <w:rPr>
          <w:b/>
          <w:sz w:val="24"/>
          <w:szCs w:val="24"/>
        </w:rPr>
      </w:pPr>
    </w:p>
    <w:p w14:paraId="768ABFF0" w14:textId="77777777" w:rsidR="008930F3" w:rsidRPr="00E63263" w:rsidRDefault="008930F3" w:rsidP="00E63263">
      <w:pPr>
        <w:spacing w:after="0" w:line="360" w:lineRule="auto"/>
        <w:rPr>
          <w:b/>
          <w:sz w:val="24"/>
          <w:szCs w:val="24"/>
        </w:rPr>
      </w:pPr>
      <w:r w:rsidRPr="00E63263">
        <w:rPr>
          <w:rFonts w:cstheme="minorHAnsi"/>
          <w:b/>
          <w:sz w:val="24"/>
          <w:szCs w:val="24"/>
        </w:rPr>
        <w:t xml:space="preserve">Category 10: Other Ministry. </w:t>
      </w:r>
      <w:r w:rsidRPr="00E63263">
        <w:rPr>
          <w:rFonts w:cstheme="minorHAnsi"/>
          <w:sz w:val="24"/>
          <w:szCs w:val="24"/>
        </w:rPr>
        <w:t>These BRCs promote a religious faith and facilitate religious observance, primarily through evangelising, but are not necessarily tied to a particular congregation or physical church. An example is Spirit Alive Australia (ABN 55548483116).</w:t>
      </w:r>
    </w:p>
    <w:p w14:paraId="43F25632" w14:textId="77777777" w:rsidR="00582CB2" w:rsidRDefault="00582CB2" w:rsidP="00341653">
      <w:pPr>
        <w:spacing w:after="0" w:line="360" w:lineRule="auto"/>
        <w:rPr>
          <w:b/>
          <w:sz w:val="24"/>
          <w:szCs w:val="24"/>
        </w:rPr>
      </w:pPr>
    </w:p>
    <w:p w14:paraId="42E18751" w14:textId="77777777" w:rsidR="00582CB2" w:rsidRDefault="00582CB2">
      <w:pPr>
        <w:rPr>
          <w:b/>
          <w:sz w:val="24"/>
          <w:szCs w:val="24"/>
        </w:rPr>
      </w:pPr>
      <w:r>
        <w:rPr>
          <w:b/>
          <w:sz w:val="24"/>
          <w:szCs w:val="24"/>
        </w:rPr>
        <w:br w:type="page"/>
      </w:r>
    </w:p>
    <w:p w14:paraId="61110F62" w14:textId="77777777" w:rsidR="00C2590E" w:rsidRPr="000E3BB6" w:rsidRDefault="00845F91" w:rsidP="00341653">
      <w:pPr>
        <w:spacing w:after="0" w:line="360" w:lineRule="auto"/>
        <w:rPr>
          <w:sz w:val="24"/>
          <w:szCs w:val="24"/>
        </w:rPr>
      </w:pPr>
      <w:r w:rsidRPr="000E3BB6">
        <w:rPr>
          <w:b/>
          <w:sz w:val="24"/>
          <w:szCs w:val="24"/>
        </w:rPr>
        <w:lastRenderedPageBreak/>
        <w:t>PART 2</w:t>
      </w:r>
      <w:r w:rsidR="00E63263" w:rsidRPr="000E3BB6">
        <w:rPr>
          <w:b/>
          <w:sz w:val="24"/>
          <w:szCs w:val="24"/>
        </w:rPr>
        <w:t xml:space="preserve">: </w:t>
      </w:r>
      <w:r w:rsidRPr="000E3BB6">
        <w:rPr>
          <w:b/>
          <w:sz w:val="24"/>
          <w:szCs w:val="24"/>
        </w:rPr>
        <w:t xml:space="preserve"> </w:t>
      </w:r>
      <w:r w:rsidR="00E63263" w:rsidRPr="000E3BB6">
        <w:rPr>
          <w:b/>
          <w:sz w:val="24"/>
          <w:szCs w:val="24"/>
        </w:rPr>
        <w:t xml:space="preserve">SUMMARY OF </w:t>
      </w:r>
      <w:r w:rsidR="00C2590E" w:rsidRPr="000E3BB6">
        <w:rPr>
          <w:b/>
          <w:sz w:val="24"/>
          <w:szCs w:val="24"/>
        </w:rPr>
        <w:t xml:space="preserve"> FINDINGS</w:t>
      </w:r>
      <w:r w:rsidR="00C2590E" w:rsidRPr="000E3BB6">
        <w:rPr>
          <w:sz w:val="24"/>
          <w:szCs w:val="24"/>
        </w:rPr>
        <w:t>:</w:t>
      </w:r>
    </w:p>
    <w:p w14:paraId="6687FE16" w14:textId="77777777" w:rsidR="00C2590E" w:rsidRPr="000E3BB6" w:rsidRDefault="000E3BB6" w:rsidP="00341653">
      <w:pPr>
        <w:spacing w:after="0" w:line="360" w:lineRule="auto"/>
        <w:rPr>
          <w:b/>
          <w:sz w:val="24"/>
          <w:szCs w:val="24"/>
        </w:rPr>
      </w:pPr>
      <w:r>
        <w:rPr>
          <w:b/>
          <w:sz w:val="24"/>
          <w:szCs w:val="24"/>
        </w:rPr>
        <w:t>2</w:t>
      </w:r>
      <w:r w:rsidR="00F57CCB" w:rsidRPr="000E3BB6">
        <w:rPr>
          <w:b/>
          <w:sz w:val="24"/>
          <w:szCs w:val="24"/>
        </w:rPr>
        <w:t xml:space="preserve">.1: </w:t>
      </w:r>
      <w:r w:rsidR="00C2590E" w:rsidRPr="000E3BB6">
        <w:rPr>
          <w:b/>
          <w:sz w:val="24"/>
          <w:szCs w:val="24"/>
        </w:rPr>
        <w:t>N</w:t>
      </w:r>
      <w:r w:rsidR="007F57D9" w:rsidRPr="000E3BB6">
        <w:rPr>
          <w:b/>
          <w:sz w:val="24"/>
          <w:szCs w:val="24"/>
        </w:rPr>
        <w:t xml:space="preserve">umber, </w:t>
      </w:r>
      <w:r>
        <w:rPr>
          <w:b/>
          <w:sz w:val="24"/>
          <w:szCs w:val="24"/>
        </w:rPr>
        <w:t>S</w:t>
      </w:r>
      <w:r w:rsidR="00C2590E" w:rsidRPr="000E3BB6">
        <w:rPr>
          <w:b/>
          <w:sz w:val="24"/>
          <w:szCs w:val="24"/>
        </w:rPr>
        <w:t xml:space="preserve">ize and </w:t>
      </w:r>
      <w:r>
        <w:rPr>
          <w:b/>
          <w:sz w:val="24"/>
          <w:szCs w:val="24"/>
        </w:rPr>
        <w:t>A</w:t>
      </w:r>
      <w:r w:rsidR="00C2590E" w:rsidRPr="000E3BB6">
        <w:rPr>
          <w:b/>
          <w:sz w:val="24"/>
          <w:szCs w:val="24"/>
        </w:rPr>
        <w:t>ctivities</w:t>
      </w:r>
      <w:r>
        <w:rPr>
          <w:b/>
          <w:sz w:val="24"/>
          <w:szCs w:val="24"/>
        </w:rPr>
        <w:t xml:space="preserve"> Performed.</w:t>
      </w:r>
    </w:p>
    <w:p w14:paraId="0A2B89E2" w14:textId="77777777" w:rsidR="00824D88" w:rsidRPr="000E3BB6" w:rsidRDefault="00824D88" w:rsidP="00341653">
      <w:pPr>
        <w:spacing w:after="0" w:line="360" w:lineRule="auto"/>
        <w:rPr>
          <w:sz w:val="24"/>
          <w:szCs w:val="24"/>
        </w:rPr>
      </w:pPr>
      <w:r w:rsidRPr="000E3BB6">
        <w:rPr>
          <w:sz w:val="24"/>
          <w:szCs w:val="24"/>
        </w:rPr>
        <w:t>In 2020</w:t>
      </w:r>
      <w:r w:rsidR="008930F3" w:rsidRPr="000E3BB6">
        <w:rPr>
          <w:sz w:val="24"/>
          <w:szCs w:val="24"/>
        </w:rPr>
        <w:t xml:space="preserve">, </w:t>
      </w:r>
      <w:r w:rsidRPr="000E3BB6">
        <w:rPr>
          <w:sz w:val="24"/>
          <w:szCs w:val="24"/>
        </w:rPr>
        <w:t>there  were 8,319 BRCs</w:t>
      </w:r>
      <w:r w:rsidR="00E63263" w:rsidRPr="000E3BB6">
        <w:rPr>
          <w:sz w:val="24"/>
          <w:szCs w:val="24"/>
        </w:rPr>
        <w:t xml:space="preserve"> listed on the aforementioned database</w:t>
      </w:r>
      <w:r w:rsidRPr="000E3BB6">
        <w:rPr>
          <w:sz w:val="24"/>
          <w:szCs w:val="24"/>
        </w:rPr>
        <w:t>. Of these, it was not possible to ascertain the activities undertaken by 147 entities</w:t>
      </w:r>
      <w:r w:rsidR="00E63263" w:rsidRPr="000E3BB6">
        <w:rPr>
          <w:sz w:val="24"/>
          <w:szCs w:val="24"/>
        </w:rPr>
        <w:t>,</w:t>
      </w:r>
      <w:r w:rsidRPr="000E3BB6">
        <w:rPr>
          <w:sz w:val="24"/>
          <w:szCs w:val="24"/>
        </w:rPr>
        <w:t xml:space="preserve"> and </w:t>
      </w:r>
      <w:r w:rsidR="00E63263" w:rsidRPr="000E3BB6">
        <w:rPr>
          <w:sz w:val="24"/>
          <w:szCs w:val="24"/>
        </w:rPr>
        <w:t xml:space="preserve"> </w:t>
      </w:r>
      <w:r w:rsidRPr="000E3BB6">
        <w:rPr>
          <w:sz w:val="24"/>
          <w:szCs w:val="24"/>
        </w:rPr>
        <w:t xml:space="preserve">86 </w:t>
      </w:r>
      <w:r w:rsidR="00E63263" w:rsidRPr="000E3BB6">
        <w:rPr>
          <w:sz w:val="24"/>
          <w:szCs w:val="24"/>
        </w:rPr>
        <w:t xml:space="preserve">entities </w:t>
      </w:r>
      <w:r w:rsidRPr="000E3BB6">
        <w:rPr>
          <w:sz w:val="24"/>
          <w:szCs w:val="24"/>
        </w:rPr>
        <w:t xml:space="preserve">were listed as “Charity Status Voluntarily Revoked”. </w:t>
      </w:r>
      <w:r w:rsidR="00E63263" w:rsidRPr="000E3BB6">
        <w:rPr>
          <w:sz w:val="24"/>
          <w:szCs w:val="24"/>
        </w:rPr>
        <w:t xml:space="preserve"> </w:t>
      </w:r>
      <w:r w:rsidR="009F0293" w:rsidRPr="000E3BB6">
        <w:rPr>
          <w:sz w:val="24"/>
          <w:szCs w:val="24"/>
        </w:rPr>
        <w:t xml:space="preserve">Consequently, the following analysis is based on a </w:t>
      </w:r>
      <w:r w:rsidRPr="000E3BB6">
        <w:rPr>
          <w:sz w:val="24"/>
          <w:szCs w:val="24"/>
        </w:rPr>
        <w:t>total of 8,086 charities that self-classified as a BRC.</w:t>
      </w:r>
      <w:r w:rsidR="007F57D9" w:rsidRPr="000E3BB6">
        <w:rPr>
          <w:sz w:val="24"/>
          <w:szCs w:val="24"/>
        </w:rPr>
        <w:t xml:space="preserve"> Tables 1-3 provide descriptive statistics.</w:t>
      </w:r>
    </w:p>
    <w:p w14:paraId="43554831" w14:textId="77777777" w:rsidR="008930F3" w:rsidRDefault="008930F3" w:rsidP="008930F3">
      <w:pPr>
        <w:pStyle w:val="BodyText"/>
        <w:spacing w:before="120" w:line="276" w:lineRule="auto"/>
        <w:ind w:right="96"/>
        <w:rPr>
          <w:b/>
        </w:rPr>
      </w:pPr>
      <w:r>
        <w:rPr>
          <w:b/>
        </w:rPr>
        <w:t xml:space="preserve">Table 1: </w:t>
      </w:r>
      <w:r w:rsidRPr="00EA5B48">
        <w:rPr>
          <w:b/>
        </w:rPr>
        <w:t xml:space="preserve">BRCs </w:t>
      </w:r>
      <w:r>
        <w:rPr>
          <w:b/>
        </w:rPr>
        <w:t xml:space="preserve">for which an </w:t>
      </w:r>
      <w:r w:rsidR="007F57D9">
        <w:rPr>
          <w:b/>
        </w:rPr>
        <w:t>a</w:t>
      </w:r>
      <w:r>
        <w:rPr>
          <w:b/>
        </w:rPr>
        <w:t xml:space="preserve">ctivity can be </w:t>
      </w:r>
      <w:r w:rsidR="007F57D9">
        <w:rPr>
          <w:b/>
        </w:rPr>
        <w:t>a</w:t>
      </w:r>
      <w:r>
        <w:rPr>
          <w:b/>
        </w:rPr>
        <w:t xml:space="preserve">scertained </w:t>
      </w:r>
      <w:r w:rsidR="007F57D9">
        <w:rPr>
          <w:b/>
        </w:rPr>
        <w:t>c</w:t>
      </w:r>
      <w:r>
        <w:rPr>
          <w:b/>
        </w:rPr>
        <w:t xml:space="preserve">lassified by </w:t>
      </w:r>
      <w:r w:rsidR="007F57D9">
        <w:rPr>
          <w:b/>
        </w:rPr>
        <w:t>a</w:t>
      </w:r>
      <w:r>
        <w:rPr>
          <w:b/>
        </w:rPr>
        <w:t xml:space="preserve">ctivity and </w:t>
      </w:r>
      <w:r w:rsidR="007F57D9">
        <w:rPr>
          <w:b/>
        </w:rPr>
        <w:t>s</w:t>
      </w:r>
      <w:r>
        <w:rPr>
          <w:b/>
        </w:rPr>
        <w:t xml:space="preserve">ize </w:t>
      </w:r>
    </w:p>
    <w:bookmarkStart w:id="2" w:name="_MON_1735992300"/>
    <w:bookmarkEnd w:id="2"/>
    <w:p w14:paraId="39BF5645" w14:textId="77777777" w:rsidR="008930F3" w:rsidRDefault="008930F3" w:rsidP="008930F3">
      <w:pPr>
        <w:pStyle w:val="BodyText"/>
        <w:spacing w:line="360" w:lineRule="auto"/>
        <w:ind w:right="95"/>
      </w:pPr>
      <w:r>
        <w:object w:dxaOrig="9384" w:dyaOrig="4136" w14:anchorId="641A7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07pt" o:ole="">
            <v:imagedata r:id="rId11" o:title=""/>
          </v:shape>
          <o:OLEObject Type="Embed" ProgID="Excel.Sheet.12" ShapeID="_x0000_i1025" DrawAspect="Content" ObjectID="_1776670983" r:id="rId12"/>
        </w:object>
      </w:r>
    </w:p>
    <w:p w14:paraId="59BD874D" w14:textId="77777777" w:rsidR="009F0293" w:rsidRDefault="009F0293" w:rsidP="008930F3">
      <w:pPr>
        <w:pStyle w:val="BodyText"/>
        <w:spacing w:line="360" w:lineRule="auto"/>
        <w:ind w:right="95"/>
      </w:pPr>
    </w:p>
    <w:p w14:paraId="56FC7302" w14:textId="77777777" w:rsidR="008930F3" w:rsidRDefault="008930F3" w:rsidP="008930F3">
      <w:pPr>
        <w:pStyle w:val="BodyText"/>
        <w:spacing w:line="360" w:lineRule="auto"/>
        <w:ind w:right="95"/>
      </w:pPr>
      <w:r>
        <w:t xml:space="preserve">Table 1 </w:t>
      </w:r>
      <w:r w:rsidRPr="000907AF">
        <w:t xml:space="preserve">shows </w:t>
      </w:r>
      <w:r>
        <w:t xml:space="preserve">that </w:t>
      </w:r>
      <w:r w:rsidRPr="000907AF">
        <w:t xml:space="preserve">the vast majority of BRCs </w:t>
      </w:r>
      <w:r>
        <w:t xml:space="preserve">(85.30%) </w:t>
      </w:r>
      <w:r w:rsidRPr="000907AF">
        <w:t xml:space="preserve">are directly involved in religious observance as </w:t>
      </w:r>
      <w:r>
        <w:t xml:space="preserve">Religious Orders or Faith-Based Movements (Category 8); </w:t>
      </w:r>
      <w:r w:rsidRPr="000907AF">
        <w:t xml:space="preserve">Parishes </w:t>
      </w:r>
      <w:r>
        <w:t>or</w:t>
      </w:r>
      <w:r w:rsidRPr="000907AF">
        <w:t xml:space="preserve"> Churches (</w:t>
      </w:r>
      <w:r>
        <w:t>C</w:t>
      </w:r>
      <w:r w:rsidRPr="000907AF">
        <w:t xml:space="preserve">ategory </w:t>
      </w:r>
      <w:r>
        <w:t>9</w:t>
      </w:r>
      <w:r w:rsidRPr="000907AF">
        <w:t>)</w:t>
      </w:r>
      <w:r>
        <w:t xml:space="preserve">, or </w:t>
      </w:r>
      <w:r w:rsidRPr="000907AF">
        <w:t xml:space="preserve">through </w:t>
      </w:r>
      <w:r>
        <w:t>Other Ministries</w:t>
      </w:r>
      <w:r w:rsidRPr="000907AF">
        <w:t xml:space="preserve"> (</w:t>
      </w:r>
      <w:r>
        <w:t>C</w:t>
      </w:r>
      <w:r w:rsidRPr="000907AF">
        <w:t>ategory 1</w:t>
      </w:r>
      <w:r>
        <w:t>0</w:t>
      </w:r>
      <w:r w:rsidRPr="000907AF">
        <w:t>)</w:t>
      </w:r>
      <w:r>
        <w:t xml:space="preserve">, with more than 80% of them being </w:t>
      </w:r>
      <w:r w:rsidRPr="000907AF">
        <w:t>small (annual revenue is less than $250,000)</w:t>
      </w:r>
      <w:r>
        <w:t xml:space="preserve">.  Table 1 also shows the extent to which charities classified as BRCs perform other functions. 989 </w:t>
      </w:r>
      <w:r w:rsidRPr="000907AF">
        <w:t>BRCs</w:t>
      </w:r>
      <w:r>
        <w:t xml:space="preserve"> (12.2%) </w:t>
      </w:r>
      <w:r w:rsidRPr="000907AF">
        <w:t xml:space="preserve">are </w:t>
      </w:r>
      <w:r>
        <w:t xml:space="preserve">in some way </w:t>
      </w:r>
      <w:r w:rsidRPr="000907AF">
        <w:t>resource providers</w:t>
      </w:r>
      <w:r>
        <w:t xml:space="preserve"> (Categories 1,2,3,4 and 5)</w:t>
      </w:r>
      <w:r w:rsidRPr="000907AF">
        <w:t>. Of these 2</w:t>
      </w:r>
      <w:r>
        <w:t>1</w:t>
      </w:r>
      <w:r w:rsidRPr="000907AF">
        <w:t xml:space="preserve"> (.2</w:t>
      </w:r>
      <w:r>
        <w:t>6</w:t>
      </w:r>
      <w:r w:rsidRPr="000907AF">
        <w:t xml:space="preserve">%) are </w:t>
      </w:r>
      <w:r>
        <w:t xml:space="preserve">Religious Charitable Development Funds </w:t>
      </w:r>
      <w:r w:rsidRPr="000907AF">
        <w:t>(</w:t>
      </w:r>
      <w:r>
        <w:t>C</w:t>
      </w:r>
      <w:r w:rsidRPr="000907AF">
        <w:t xml:space="preserve">ategory 1); </w:t>
      </w:r>
      <w:r>
        <w:t xml:space="preserve">104 (1.29%) are </w:t>
      </w:r>
      <w:r w:rsidRPr="000907AF">
        <w:t>Other Funds (</w:t>
      </w:r>
      <w:r>
        <w:t>C</w:t>
      </w:r>
      <w:r w:rsidRPr="000907AF">
        <w:t>ategor</w:t>
      </w:r>
      <w:r>
        <w:t>y</w:t>
      </w:r>
      <w:r w:rsidRPr="000907AF">
        <w:t xml:space="preserve"> 2)</w:t>
      </w:r>
      <w:r>
        <w:t>; 436</w:t>
      </w:r>
      <w:r w:rsidRPr="000907AF">
        <w:t xml:space="preserve"> (</w:t>
      </w:r>
      <w:r>
        <w:t>5.39</w:t>
      </w:r>
      <w:r w:rsidRPr="000907AF">
        <w:t>%)</w:t>
      </w:r>
      <w:r>
        <w:t xml:space="preserve"> </w:t>
      </w:r>
      <w:r w:rsidRPr="000907AF">
        <w:t xml:space="preserve">are Property Trusts </w:t>
      </w:r>
      <w:r>
        <w:t xml:space="preserve">(Category 3); 401 (4.96%) provide non-financial support to religious entities (Category 4) and 26 (.32%) are Trading Enterprises (Category 5). </w:t>
      </w:r>
      <w:r w:rsidRPr="000907AF">
        <w:t>A further 1</w:t>
      </w:r>
      <w:r>
        <w:t>61</w:t>
      </w:r>
      <w:r w:rsidRPr="000907AF">
        <w:t xml:space="preserve"> BRCs (</w:t>
      </w:r>
      <w:r>
        <w:t>1.99</w:t>
      </w:r>
      <w:r w:rsidRPr="000907AF">
        <w:t>%) are involved in</w:t>
      </w:r>
      <w:r>
        <w:t xml:space="preserve"> Governance, A</w:t>
      </w:r>
      <w:r w:rsidRPr="000907AF">
        <w:t xml:space="preserve">dministration </w:t>
      </w:r>
      <w:r>
        <w:t>and /</w:t>
      </w:r>
      <w:r w:rsidRPr="000907AF">
        <w:t xml:space="preserve">or </w:t>
      </w:r>
      <w:r>
        <w:t>Coordination</w:t>
      </w:r>
      <w:r w:rsidRPr="000907AF">
        <w:t xml:space="preserve"> (</w:t>
      </w:r>
      <w:r>
        <w:t>C</w:t>
      </w:r>
      <w:r w:rsidRPr="000907AF">
        <w:t>ategor</w:t>
      </w:r>
      <w:r>
        <w:t>y</w:t>
      </w:r>
      <w:r w:rsidRPr="000907AF">
        <w:t xml:space="preserve"> 7). </w:t>
      </w:r>
    </w:p>
    <w:p w14:paraId="2DD4EBFE" w14:textId="77777777" w:rsidR="009F0293" w:rsidRDefault="009F0293" w:rsidP="008930F3">
      <w:pPr>
        <w:spacing w:before="120" w:after="0" w:line="360" w:lineRule="auto"/>
        <w:rPr>
          <w:b/>
          <w:sz w:val="24"/>
          <w:szCs w:val="24"/>
        </w:rPr>
      </w:pPr>
    </w:p>
    <w:p w14:paraId="5C6E4810" w14:textId="77777777" w:rsidR="00C812ED" w:rsidRDefault="00C812ED">
      <w:pPr>
        <w:rPr>
          <w:b/>
          <w:sz w:val="24"/>
          <w:szCs w:val="24"/>
        </w:rPr>
      </w:pPr>
      <w:r>
        <w:rPr>
          <w:b/>
          <w:sz w:val="24"/>
          <w:szCs w:val="24"/>
        </w:rPr>
        <w:br w:type="page"/>
      </w:r>
    </w:p>
    <w:p w14:paraId="0DCF7105" w14:textId="77777777" w:rsidR="008930F3" w:rsidRPr="007633D7" w:rsidRDefault="008930F3" w:rsidP="008930F3">
      <w:pPr>
        <w:spacing w:before="120" w:after="0" w:line="360" w:lineRule="auto"/>
        <w:rPr>
          <w:b/>
          <w:sz w:val="24"/>
          <w:szCs w:val="24"/>
        </w:rPr>
      </w:pPr>
      <w:r w:rsidRPr="007633D7">
        <w:rPr>
          <w:b/>
          <w:sz w:val="24"/>
          <w:szCs w:val="24"/>
        </w:rPr>
        <w:lastRenderedPageBreak/>
        <w:t>TABLE 2: Proportion of Each Category by Size Tier</w:t>
      </w:r>
    </w:p>
    <w:p w14:paraId="6A2F932C" w14:textId="77777777" w:rsidR="008930F3" w:rsidRDefault="008930F3" w:rsidP="008930F3">
      <w:pPr>
        <w:rPr>
          <w:b/>
          <w:u w:val="single"/>
        </w:rPr>
      </w:pPr>
      <w:r>
        <w:rPr>
          <w:b/>
          <w:u w:val="single"/>
        </w:rPr>
        <w:object w:dxaOrig="8628" w:dyaOrig="3805" w14:anchorId="1030C1DC">
          <v:shape id="_x0000_i1026" type="#_x0000_t75" style="width:431.4pt;height:190.45pt" o:ole="">
            <v:imagedata r:id="rId13" o:title=""/>
          </v:shape>
          <o:OLEObject Type="Embed" ProgID="Excel.Sheet.12" ShapeID="_x0000_i1026" DrawAspect="Content" ObjectID="_1776670984" r:id="rId14"/>
        </w:object>
      </w:r>
    </w:p>
    <w:p w14:paraId="75039C5C" w14:textId="77777777" w:rsidR="008930F3" w:rsidRDefault="008930F3" w:rsidP="008930F3">
      <w:pPr>
        <w:spacing w:before="240" w:after="0" w:line="360" w:lineRule="auto"/>
        <w:rPr>
          <w:sz w:val="24"/>
          <w:szCs w:val="24"/>
        </w:rPr>
      </w:pPr>
      <w:r w:rsidRPr="008E291D">
        <w:rPr>
          <w:sz w:val="24"/>
          <w:szCs w:val="24"/>
        </w:rPr>
        <w:t xml:space="preserve">Table 2 shows the composition of each of the three size tires by category. For example, it tells us that while only 34.13 % of large BRCs are Parishes and </w:t>
      </w:r>
      <w:r w:rsidR="009F0293">
        <w:rPr>
          <w:sz w:val="24"/>
          <w:szCs w:val="24"/>
        </w:rPr>
        <w:t>C</w:t>
      </w:r>
      <w:r w:rsidRPr="008E291D">
        <w:rPr>
          <w:sz w:val="24"/>
          <w:szCs w:val="24"/>
        </w:rPr>
        <w:t xml:space="preserve">hurches, the overwhelming majority of medium BRCs (87.25 %), and small BRCs (81.93%), are Parishes and Churches. It also tells us that less than 50% of large charities are directly involved in religious observance (Categories 8, 9 and 10); and that 27.99 % of large BRCs </w:t>
      </w:r>
      <w:r>
        <w:rPr>
          <w:sz w:val="24"/>
          <w:szCs w:val="24"/>
        </w:rPr>
        <w:t xml:space="preserve">are </w:t>
      </w:r>
      <w:r w:rsidRPr="008E291D">
        <w:rPr>
          <w:sz w:val="24"/>
          <w:szCs w:val="24"/>
        </w:rPr>
        <w:t xml:space="preserve">involved in resource provision (Categories 1,2,3,4 and 5).  Interestingly, the proportion of small BRCs (12.92%) involved in resource provision is much greater than the proportion of medium BRCs (4.07%). Most medium BRCs (91.94%) and small BRCs (85.89%) are directly involved in religious observance (Categories 8,9 and 10).  </w:t>
      </w:r>
    </w:p>
    <w:p w14:paraId="26926212" w14:textId="77777777" w:rsidR="009F0293" w:rsidRDefault="009F0293" w:rsidP="008930F3">
      <w:pPr>
        <w:rPr>
          <w:b/>
          <w:sz w:val="24"/>
          <w:szCs w:val="24"/>
        </w:rPr>
      </w:pPr>
    </w:p>
    <w:p w14:paraId="58C90EB3" w14:textId="77777777" w:rsidR="009F0293" w:rsidRPr="008E291D" w:rsidRDefault="009F0293" w:rsidP="009F0293">
      <w:pPr>
        <w:spacing w:after="0" w:line="360" w:lineRule="auto"/>
        <w:rPr>
          <w:sz w:val="24"/>
          <w:szCs w:val="24"/>
        </w:rPr>
      </w:pPr>
      <w:r w:rsidRPr="008E291D">
        <w:rPr>
          <w:sz w:val="24"/>
          <w:szCs w:val="24"/>
        </w:rPr>
        <w:t>Table</w:t>
      </w:r>
      <w:r>
        <w:rPr>
          <w:sz w:val="24"/>
          <w:szCs w:val="24"/>
        </w:rPr>
        <w:t xml:space="preserve"> 3</w:t>
      </w:r>
      <w:r w:rsidRPr="008E291D">
        <w:rPr>
          <w:sz w:val="24"/>
          <w:szCs w:val="24"/>
        </w:rPr>
        <w:t xml:space="preserve"> shows the composition of each category by size tier. For example, it shows that almost all (90.48%) Religious Charitable Development Funds are large BRCs; and almost all Property Trusts (93.35%) are small BRCs. It also shows that more than 50% of BRCs that perform Governing, Administration and/ or Coordinating roles are medium and small charities. Notably, very few (1.55%) large BRCs are parishes and churches; and only 15.17% </w:t>
      </w:r>
      <w:r>
        <w:rPr>
          <w:sz w:val="24"/>
          <w:szCs w:val="24"/>
        </w:rPr>
        <w:t xml:space="preserve">of </w:t>
      </w:r>
      <w:r w:rsidRPr="008E291D">
        <w:rPr>
          <w:sz w:val="24"/>
          <w:szCs w:val="24"/>
        </w:rPr>
        <w:t>medium</w:t>
      </w:r>
      <w:r>
        <w:rPr>
          <w:sz w:val="24"/>
          <w:szCs w:val="24"/>
        </w:rPr>
        <w:t xml:space="preserve"> BRCs are parishes and churches</w:t>
      </w:r>
      <w:r w:rsidRPr="008E291D">
        <w:rPr>
          <w:sz w:val="24"/>
          <w:szCs w:val="24"/>
        </w:rPr>
        <w:t xml:space="preserve">.  Overall, the very high proportion of small charities in the population of BRCs (82.41% as shown in Table </w:t>
      </w:r>
      <w:r>
        <w:rPr>
          <w:sz w:val="24"/>
          <w:szCs w:val="24"/>
        </w:rPr>
        <w:t>2</w:t>
      </w:r>
      <w:r w:rsidRPr="008E291D">
        <w:rPr>
          <w:sz w:val="24"/>
          <w:szCs w:val="24"/>
        </w:rPr>
        <w:t xml:space="preserve">) explains why, in all but </w:t>
      </w:r>
      <w:r>
        <w:rPr>
          <w:sz w:val="24"/>
          <w:szCs w:val="24"/>
        </w:rPr>
        <w:t>four</w:t>
      </w:r>
      <w:r w:rsidRPr="008E291D">
        <w:rPr>
          <w:sz w:val="24"/>
          <w:szCs w:val="24"/>
        </w:rPr>
        <w:t xml:space="preserve"> categories (1</w:t>
      </w:r>
      <w:r>
        <w:rPr>
          <w:sz w:val="24"/>
          <w:szCs w:val="24"/>
        </w:rPr>
        <w:t xml:space="preserve">. 5, 7 </w:t>
      </w:r>
      <w:r w:rsidRPr="008E291D">
        <w:rPr>
          <w:sz w:val="24"/>
          <w:szCs w:val="24"/>
        </w:rPr>
        <w:t xml:space="preserve">and </w:t>
      </w:r>
      <w:r>
        <w:rPr>
          <w:sz w:val="24"/>
          <w:szCs w:val="24"/>
        </w:rPr>
        <w:t>8</w:t>
      </w:r>
      <w:r w:rsidRPr="008E291D">
        <w:rPr>
          <w:sz w:val="24"/>
          <w:szCs w:val="24"/>
        </w:rPr>
        <w:t>) the overwhelming majority of BRCs small.</w:t>
      </w:r>
    </w:p>
    <w:p w14:paraId="3445D1C7" w14:textId="77777777" w:rsidR="00C812ED" w:rsidRDefault="00C812ED">
      <w:pPr>
        <w:rPr>
          <w:b/>
          <w:sz w:val="24"/>
          <w:szCs w:val="24"/>
        </w:rPr>
      </w:pPr>
      <w:r>
        <w:rPr>
          <w:b/>
          <w:sz w:val="24"/>
          <w:szCs w:val="24"/>
        </w:rPr>
        <w:br w:type="page"/>
      </w:r>
    </w:p>
    <w:p w14:paraId="758D9695" w14:textId="77777777" w:rsidR="008930F3" w:rsidRPr="008E291D" w:rsidRDefault="008930F3" w:rsidP="008930F3">
      <w:pPr>
        <w:spacing w:before="120" w:after="0" w:line="360" w:lineRule="auto"/>
        <w:rPr>
          <w:b/>
          <w:sz w:val="24"/>
          <w:szCs w:val="24"/>
        </w:rPr>
      </w:pPr>
      <w:r w:rsidRPr="008E291D">
        <w:rPr>
          <w:b/>
          <w:sz w:val="24"/>
          <w:szCs w:val="24"/>
        </w:rPr>
        <w:lastRenderedPageBreak/>
        <w:t xml:space="preserve">TABLE </w:t>
      </w:r>
      <w:r w:rsidR="007F57D9">
        <w:rPr>
          <w:b/>
          <w:sz w:val="24"/>
          <w:szCs w:val="24"/>
        </w:rPr>
        <w:t>3</w:t>
      </w:r>
      <w:r w:rsidRPr="008E291D">
        <w:rPr>
          <w:b/>
          <w:sz w:val="24"/>
          <w:szCs w:val="24"/>
        </w:rPr>
        <w:t>:  Proportion of Each Size Tier by Category</w:t>
      </w:r>
    </w:p>
    <w:p w14:paraId="53D6C36B" w14:textId="77777777" w:rsidR="008930F3" w:rsidRDefault="008930F3" w:rsidP="008930F3">
      <w:pPr>
        <w:rPr>
          <w:b/>
          <w:u w:val="single"/>
        </w:rPr>
      </w:pPr>
      <w:r>
        <w:rPr>
          <w:b/>
          <w:u w:val="single"/>
        </w:rPr>
        <w:object w:dxaOrig="9302" w:dyaOrig="3805" w14:anchorId="5D87EB18">
          <v:shape id="_x0000_i1027" type="#_x0000_t75" style="width:464.65pt;height:190.45pt" o:ole="">
            <v:imagedata r:id="rId15" o:title=""/>
          </v:shape>
          <o:OLEObject Type="Embed" ProgID="Excel.Sheet.12" ShapeID="_x0000_i1027" DrawAspect="Content" ObjectID="_1776670985" r:id="rId16"/>
        </w:object>
      </w:r>
    </w:p>
    <w:p w14:paraId="0109EC6C" w14:textId="77777777" w:rsidR="008930F3" w:rsidRDefault="008930F3" w:rsidP="00341653">
      <w:pPr>
        <w:spacing w:after="0" w:line="360" w:lineRule="auto"/>
      </w:pPr>
    </w:p>
    <w:p w14:paraId="74BFA7EC" w14:textId="77777777" w:rsidR="00C2590E" w:rsidRPr="000E3BB6" w:rsidRDefault="00F57CCB" w:rsidP="00341653">
      <w:pPr>
        <w:spacing w:after="0" w:line="360" w:lineRule="auto"/>
        <w:rPr>
          <w:b/>
          <w:sz w:val="24"/>
          <w:szCs w:val="24"/>
        </w:rPr>
      </w:pPr>
      <w:r w:rsidRPr="000E3BB6">
        <w:rPr>
          <w:b/>
          <w:sz w:val="24"/>
          <w:szCs w:val="24"/>
        </w:rPr>
        <w:t>2.2:</w:t>
      </w:r>
      <w:r w:rsidR="000E3BB6">
        <w:rPr>
          <w:b/>
          <w:sz w:val="24"/>
          <w:szCs w:val="24"/>
        </w:rPr>
        <w:t xml:space="preserve"> </w:t>
      </w:r>
      <w:r w:rsidR="00C2590E" w:rsidRPr="000E3BB6">
        <w:rPr>
          <w:b/>
          <w:sz w:val="24"/>
          <w:szCs w:val="24"/>
        </w:rPr>
        <w:t>H</w:t>
      </w:r>
      <w:r w:rsidR="007F57D9" w:rsidRPr="000E3BB6">
        <w:rPr>
          <w:b/>
          <w:sz w:val="24"/>
          <w:szCs w:val="24"/>
        </w:rPr>
        <w:t>uman Resource</w:t>
      </w:r>
      <w:r w:rsidR="00C2590E" w:rsidRPr="000E3BB6">
        <w:rPr>
          <w:b/>
          <w:sz w:val="24"/>
          <w:szCs w:val="24"/>
        </w:rPr>
        <w:t xml:space="preserve"> Capacity</w:t>
      </w:r>
      <w:r w:rsidR="000E3BB6">
        <w:rPr>
          <w:b/>
          <w:sz w:val="24"/>
          <w:szCs w:val="24"/>
        </w:rPr>
        <w:t xml:space="preserve"> of BRCs</w:t>
      </w:r>
    </w:p>
    <w:p w14:paraId="779A0DE1" w14:textId="77777777" w:rsidR="000E3BB6" w:rsidRPr="000E3BB6" w:rsidRDefault="009F0293" w:rsidP="000E3BB6">
      <w:pPr>
        <w:spacing w:after="0" w:line="360" w:lineRule="auto"/>
        <w:rPr>
          <w:sz w:val="24"/>
          <w:szCs w:val="24"/>
        </w:rPr>
      </w:pPr>
      <w:r w:rsidRPr="000E3BB6">
        <w:rPr>
          <w:sz w:val="24"/>
          <w:szCs w:val="24"/>
        </w:rPr>
        <w:t xml:space="preserve">BRCs are required to report in the AISs the following indicators of human resource capacity: (1)  </w:t>
      </w:r>
      <w:r w:rsidR="000E3BB6" w:rsidRPr="000E3BB6">
        <w:rPr>
          <w:sz w:val="24"/>
          <w:szCs w:val="24"/>
        </w:rPr>
        <w:t>t</w:t>
      </w:r>
      <w:r w:rsidRPr="000E3BB6">
        <w:rPr>
          <w:sz w:val="24"/>
          <w:szCs w:val="24"/>
        </w:rPr>
        <w:t xml:space="preserve">he number of </w:t>
      </w:r>
      <w:r w:rsidR="000E3BB6" w:rsidRPr="000E3BB6">
        <w:rPr>
          <w:sz w:val="24"/>
          <w:szCs w:val="24"/>
        </w:rPr>
        <w:t xml:space="preserve">full-time  paid staff; (2) the number of part-time paid staff; (3) the number of </w:t>
      </w:r>
      <w:r w:rsidR="008247FE">
        <w:rPr>
          <w:sz w:val="24"/>
          <w:szCs w:val="24"/>
        </w:rPr>
        <w:t xml:space="preserve">paid </w:t>
      </w:r>
      <w:r w:rsidR="000E3BB6" w:rsidRPr="000E3BB6">
        <w:rPr>
          <w:sz w:val="24"/>
          <w:szCs w:val="24"/>
        </w:rPr>
        <w:t>casual staff;</w:t>
      </w:r>
      <w:r w:rsidR="000E3BB6">
        <w:rPr>
          <w:sz w:val="24"/>
          <w:szCs w:val="24"/>
        </w:rPr>
        <w:t xml:space="preserve"> </w:t>
      </w:r>
      <w:r w:rsidR="000E3BB6" w:rsidRPr="000E3BB6">
        <w:rPr>
          <w:sz w:val="24"/>
          <w:szCs w:val="24"/>
        </w:rPr>
        <w:t xml:space="preserve">(4) the number of full-time equivalent (FTE) paid staff; and (5) the number of volunteers deployed. A comparison of the human resource capacities of charities in each of the ten activity categories </w:t>
      </w:r>
      <w:r w:rsidR="000E3BB6">
        <w:rPr>
          <w:sz w:val="24"/>
          <w:szCs w:val="24"/>
        </w:rPr>
        <w:t>is provided below  in Table 4 (large BRCs); Table 5 (medium BRCs</w:t>
      </w:r>
      <w:r w:rsidR="00CC2A33">
        <w:rPr>
          <w:sz w:val="24"/>
          <w:szCs w:val="24"/>
        </w:rPr>
        <w:t>)</w:t>
      </w:r>
      <w:r w:rsidR="000E3BB6">
        <w:rPr>
          <w:sz w:val="24"/>
          <w:szCs w:val="24"/>
        </w:rPr>
        <w:t xml:space="preserve"> and Table 6 (small BRCs).</w:t>
      </w:r>
    </w:p>
    <w:p w14:paraId="6C1373EF" w14:textId="77777777" w:rsidR="00CC2A33" w:rsidRDefault="00CC2A33" w:rsidP="009F0293">
      <w:pPr>
        <w:spacing w:after="0" w:line="360" w:lineRule="auto"/>
        <w:rPr>
          <w:rFonts w:cstheme="minorHAnsi"/>
          <w:b/>
          <w:sz w:val="24"/>
          <w:szCs w:val="24"/>
        </w:rPr>
      </w:pPr>
    </w:p>
    <w:p w14:paraId="41539A20" w14:textId="77777777" w:rsidR="000E3BB6" w:rsidRDefault="000E3BB6" w:rsidP="009F0293">
      <w:pPr>
        <w:spacing w:after="0" w:line="360" w:lineRule="auto"/>
        <w:rPr>
          <w:rFonts w:cstheme="minorHAnsi"/>
          <w:sz w:val="24"/>
          <w:szCs w:val="24"/>
          <w:u w:val="single"/>
        </w:rPr>
      </w:pPr>
      <w:r w:rsidRPr="000E3BB6">
        <w:rPr>
          <w:rFonts w:cstheme="minorHAnsi"/>
          <w:b/>
          <w:sz w:val="24"/>
          <w:szCs w:val="24"/>
        </w:rPr>
        <w:t xml:space="preserve">2.2.1: </w:t>
      </w:r>
      <w:r w:rsidR="009F0293" w:rsidRPr="000E3BB6">
        <w:rPr>
          <w:rFonts w:cstheme="minorHAnsi"/>
          <w:b/>
          <w:sz w:val="24"/>
          <w:szCs w:val="24"/>
        </w:rPr>
        <w:t>Large BRCs</w:t>
      </w:r>
      <w:r w:rsidR="009F0293">
        <w:rPr>
          <w:rFonts w:cstheme="minorHAnsi"/>
          <w:sz w:val="24"/>
          <w:szCs w:val="24"/>
          <w:u w:val="single"/>
        </w:rPr>
        <w:t xml:space="preserve"> </w:t>
      </w:r>
    </w:p>
    <w:p w14:paraId="3F4C92AB" w14:textId="77777777" w:rsidR="002A62A2" w:rsidRDefault="002A62A2" w:rsidP="002A62A2">
      <w:pPr>
        <w:spacing w:after="0" w:line="360" w:lineRule="auto"/>
        <w:rPr>
          <w:rFonts w:cstheme="minorHAnsi"/>
          <w:sz w:val="24"/>
          <w:szCs w:val="24"/>
        </w:rPr>
      </w:pPr>
      <w:bookmarkStart w:id="3" w:name="_Hlk158133433"/>
      <w:r>
        <w:rPr>
          <w:rFonts w:cstheme="minorHAnsi"/>
          <w:sz w:val="24"/>
          <w:szCs w:val="24"/>
        </w:rPr>
        <w:t xml:space="preserve">The highest levels of paid staff deployment (on all measures) were in large BRCs involved in Governing, Administration and Coordination (Category 7). This </w:t>
      </w:r>
      <w:r w:rsidR="008247FE">
        <w:rPr>
          <w:rFonts w:cstheme="minorHAnsi"/>
          <w:sz w:val="24"/>
          <w:szCs w:val="24"/>
        </w:rPr>
        <w:t xml:space="preserve">is </w:t>
      </w:r>
      <w:r>
        <w:rPr>
          <w:rFonts w:cstheme="minorHAnsi"/>
          <w:sz w:val="24"/>
          <w:szCs w:val="24"/>
        </w:rPr>
        <w:t>perhaps not surprising given the wide range of staff required to govern or administer a diocese or presbytery.</w:t>
      </w:r>
    </w:p>
    <w:p w14:paraId="77A38A2D" w14:textId="77777777" w:rsidR="009325BC" w:rsidRDefault="009325BC" w:rsidP="002A62A2">
      <w:pPr>
        <w:spacing w:after="0" w:line="360" w:lineRule="auto"/>
        <w:rPr>
          <w:rFonts w:cstheme="minorHAnsi"/>
          <w:sz w:val="24"/>
          <w:szCs w:val="24"/>
        </w:rPr>
      </w:pPr>
    </w:p>
    <w:p w14:paraId="57F8DB4E" w14:textId="77777777" w:rsidR="002A62A2" w:rsidRDefault="002A62A2" w:rsidP="002A62A2">
      <w:pPr>
        <w:spacing w:after="0" w:line="360" w:lineRule="auto"/>
        <w:rPr>
          <w:rFonts w:cstheme="minorHAnsi"/>
          <w:sz w:val="24"/>
          <w:szCs w:val="24"/>
        </w:rPr>
      </w:pPr>
      <w:r>
        <w:rPr>
          <w:rFonts w:cstheme="minorHAnsi"/>
          <w:sz w:val="24"/>
          <w:szCs w:val="24"/>
        </w:rPr>
        <w:t>Volunteer deployment also was highest in BRCs involved in Governing, Administration and Coordination (Category 7) and parishes and Churches (Category 9).</w:t>
      </w:r>
    </w:p>
    <w:p w14:paraId="01021C07" w14:textId="77777777" w:rsidR="002A62A2" w:rsidRDefault="002A62A2" w:rsidP="002A62A2">
      <w:pPr>
        <w:spacing w:after="0" w:line="360" w:lineRule="auto"/>
        <w:rPr>
          <w:rFonts w:cstheme="minorHAnsi"/>
          <w:sz w:val="24"/>
          <w:szCs w:val="24"/>
        </w:rPr>
      </w:pPr>
    </w:p>
    <w:p w14:paraId="48F9E01B" w14:textId="77777777" w:rsidR="002A62A2" w:rsidRDefault="002A62A2" w:rsidP="002A62A2">
      <w:pPr>
        <w:spacing w:after="0" w:line="360" w:lineRule="auto"/>
        <w:rPr>
          <w:rFonts w:cstheme="minorHAnsi"/>
          <w:sz w:val="24"/>
          <w:szCs w:val="24"/>
        </w:rPr>
      </w:pPr>
      <w:r>
        <w:rPr>
          <w:rFonts w:cstheme="minorHAnsi"/>
          <w:sz w:val="24"/>
          <w:szCs w:val="24"/>
        </w:rPr>
        <w:t xml:space="preserve">The human resource capacity indicated by the data in rows eleven to fifteen  show that  many BRCs in Categories 2 (Other Funds) and 3 (Property Trusts) have very low levels of paid or volunteer staff.  This finding suggests that many BRCs in these categories are passive vehicles for  holding property and/ or financial management. </w:t>
      </w:r>
    </w:p>
    <w:bookmarkEnd w:id="3"/>
    <w:p w14:paraId="3517420E" w14:textId="77777777" w:rsidR="00BA58C4" w:rsidRDefault="00BA58C4" w:rsidP="00BA58C4">
      <w:pPr>
        <w:spacing w:after="0" w:line="360" w:lineRule="auto"/>
        <w:rPr>
          <w:rFonts w:cstheme="minorHAnsi"/>
          <w:sz w:val="24"/>
          <w:szCs w:val="24"/>
          <w:u w:val="single"/>
        </w:rPr>
      </w:pPr>
      <w:r w:rsidRPr="000E3BB6">
        <w:rPr>
          <w:rFonts w:cstheme="minorHAnsi"/>
          <w:b/>
          <w:sz w:val="24"/>
          <w:szCs w:val="24"/>
        </w:rPr>
        <w:lastRenderedPageBreak/>
        <w:t>2.2.</w:t>
      </w:r>
      <w:r>
        <w:rPr>
          <w:rFonts w:cstheme="minorHAnsi"/>
          <w:b/>
          <w:sz w:val="24"/>
          <w:szCs w:val="24"/>
        </w:rPr>
        <w:t>2</w:t>
      </w:r>
      <w:r w:rsidRPr="000E3BB6">
        <w:rPr>
          <w:rFonts w:cstheme="minorHAnsi"/>
          <w:b/>
          <w:sz w:val="24"/>
          <w:szCs w:val="24"/>
        </w:rPr>
        <w:t xml:space="preserve">: </w:t>
      </w:r>
      <w:r>
        <w:rPr>
          <w:rFonts w:cstheme="minorHAnsi"/>
          <w:b/>
          <w:sz w:val="24"/>
          <w:szCs w:val="24"/>
        </w:rPr>
        <w:t>Medium</w:t>
      </w:r>
      <w:r w:rsidRPr="000E3BB6">
        <w:rPr>
          <w:rFonts w:cstheme="minorHAnsi"/>
          <w:b/>
          <w:sz w:val="24"/>
          <w:szCs w:val="24"/>
        </w:rPr>
        <w:t xml:space="preserve"> BRCs</w:t>
      </w:r>
      <w:r>
        <w:rPr>
          <w:rFonts w:cstheme="minorHAnsi"/>
          <w:sz w:val="24"/>
          <w:szCs w:val="24"/>
          <w:u w:val="single"/>
        </w:rPr>
        <w:t xml:space="preserve"> </w:t>
      </w:r>
    </w:p>
    <w:p w14:paraId="584DD4A6" w14:textId="77777777" w:rsidR="00500D5B" w:rsidRDefault="009F0293" w:rsidP="009F0293">
      <w:pPr>
        <w:spacing w:line="360" w:lineRule="auto"/>
        <w:rPr>
          <w:rFonts w:cstheme="minorHAnsi"/>
          <w:sz w:val="24"/>
          <w:szCs w:val="24"/>
        </w:rPr>
      </w:pPr>
      <w:r>
        <w:rPr>
          <w:rFonts w:cstheme="minorHAnsi"/>
          <w:sz w:val="24"/>
          <w:szCs w:val="24"/>
        </w:rPr>
        <w:t xml:space="preserve">Because many of the </w:t>
      </w:r>
      <w:r w:rsidR="00BA58C4">
        <w:rPr>
          <w:rFonts w:cstheme="minorHAnsi"/>
          <w:sz w:val="24"/>
          <w:szCs w:val="24"/>
        </w:rPr>
        <w:t>c</w:t>
      </w:r>
      <w:r>
        <w:rPr>
          <w:rFonts w:cstheme="minorHAnsi"/>
          <w:sz w:val="24"/>
          <w:szCs w:val="24"/>
        </w:rPr>
        <w:t>ategories for medium BRCs had low counts, analysis is somewhat limited. However, for categories that had a count of at least ten BRCs, th</w:t>
      </w:r>
      <w:r w:rsidR="00CC2A33">
        <w:rPr>
          <w:rFonts w:cstheme="minorHAnsi"/>
          <w:sz w:val="24"/>
          <w:szCs w:val="24"/>
        </w:rPr>
        <w:t>ose in Categories 4,7,8 and 9 had the highest number of paid staff and those in Category 9, the largest volunteer cohorts</w:t>
      </w:r>
      <w:r w:rsidR="00500D5B">
        <w:rPr>
          <w:rFonts w:cstheme="minorHAnsi"/>
          <w:sz w:val="24"/>
          <w:szCs w:val="24"/>
        </w:rPr>
        <w:t xml:space="preserve"> followed by those in Category 7.</w:t>
      </w:r>
    </w:p>
    <w:p w14:paraId="3CE3BBAC" w14:textId="77777777" w:rsidR="00500D5B" w:rsidRDefault="00500D5B" w:rsidP="009F0293">
      <w:pPr>
        <w:spacing w:line="360" w:lineRule="auto"/>
        <w:rPr>
          <w:rFonts w:cstheme="minorHAnsi"/>
          <w:sz w:val="24"/>
          <w:szCs w:val="24"/>
        </w:rPr>
      </w:pPr>
      <w:r>
        <w:rPr>
          <w:rFonts w:cstheme="minorHAnsi"/>
          <w:sz w:val="24"/>
          <w:szCs w:val="24"/>
        </w:rPr>
        <w:t>Medium BRCs with the lowest human resource capacity (both paid and volunteer) were those in Categories 2 and 3; with these BRCs also reporting the highest  rates for having no paid or volunteer staff. This also suggests that many of these BRCs were passive vehicles for financial management and/ or holding property.</w:t>
      </w:r>
    </w:p>
    <w:p w14:paraId="07A38762" w14:textId="77777777" w:rsidR="009F0293" w:rsidRDefault="009F0293" w:rsidP="00500D5B">
      <w:pPr>
        <w:spacing w:line="360" w:lineRule="auto"/>
        <w:rPr>
          <w:rFonts w:cstheme="minorHAnsi"/>
          <w:sz w:val="24"/>
          <w:szCs w:val="24"/>
        </w:rPr>
      </w:pPr>
      <w:r>
        <w:rPr>
          <w:rFonts w:cstheme="minorHAnsi"/>
          <w:sz w:val="24"/>
          <w:szCs w:val="24"/>
        </w:rPr>
        <w:t xml:space="preserve"> </w:t>
      </w:r>
    </w:p>
    <w:p w14:paraId="278D8289" w14:textId="77777777" w:rsidR="00BA58C4" w:rsidRDefault="00BA58C4" w:rsidP="00BA58C4">
      <w:pPr>
        <w:spacing w:after="0" w:line="360" w:lineRule="auto"/>
        <w:rPr>
          <w:rFonts w:cstheme="minorHAnsi"/>
          <w:sz w:val="24"/>
          <w:szCs w:val="24"/>
          <w:u w:val="single"/>
        </w:rPr>
      </w:pPr>
      <w:r w:rsidRPr="000E3BB6">
        <w:rPr>
          <w:rFonts w:cstheme="minorHAnsi"/>
          <w:b/>
          <w:sz w:val="24"/>
          <w:szCs w:val="24"/>
        </w:rPr>
        <w:t>2.2.</w:t>
      </w:r>
      <w:r>
        <w:rPr>
          <w:rFonts w:cstheme="minorHAnsi"/>
          <w:b/>
          <w:sz w:val="24"/>
          <w:szCs w:val="24"/>
        </w:rPr>
        <w:t>3</w:t>
      </w:r>
      <w:r w:rsidRPr="000E3BB6">
        <w:rPr>
          <w:rFonts w:cstheme="minorHAnsi"/>
          <w:b/>
          <w:sz w:val="24"/>
          <w:szCs w:val="24"/>
        </w:rPr>
        <w:t xml:space="preserve">: </w:t>
      </w:r>
      <w:r>
        <w:rPr>
          <w:rFonts w:cstheme="minorHAnsi"/>
          <w:b/>
          <w:sz w:val="24"/>
          <w:szCs w:val="24"/>
        </w:rPr>
        <w:t>Small</w:t>
      </w:r>
      <w:r w:rsidRPr="000E3BB6">
        <w:rPr>
          <w:rFonts w:cstheme="minorHAnsi"/>
          <w:b/>
          <w:sz w:val="24"/>
          <w:szCs w:val="24"/>
        </w:rPr>
        <w:t xml:space="preserve"> BRCs</w:t>
      </w:r>
      <w:r>
        <w:rPr>
          <w:rFonts w:cstheme="minorHAnsi"/>
          <w:sz w:val="24"/>
          <w:szCs w:val="24"/>
          <w:u w:val="single"/>
        </w:rPr>
        <w:t xml:space="preserve"> </w:t>
      </w:r>
    </w:p>
    <w:p w14:paraId="7AD583A1" w14:textId="77777777" w:rsidR="009F0293" w:rsidRDefault="009325BC" w:rsidP="009F0293">
      <w:pPr>
        <w:spacing w:line="360" w:lineRule="auto"/>
        <w:rPr>
          <w:rFonts w:cstheme="minorHAnsi"/>
          <w:sz w:val="24"/>
          <w:szCs w:val="24"/>
        </w:rPr>
      </w:pPr>
      <w:r>
        <w:rPr>
          <w:rFonts w:cstheme="minorHAnsi"/>
          <w:sz w:val="24"/>
          <w:szCs w:val="24"/>
        </w:rPr>
        <w:t>The</w:t>
      </w:r>
      <w:r w:rsidR="009F0293">
        <w:rPr>
          <w:rFonts w:cstheme="minorHAnsi"/>
          <w:sz w:val="24"/>
          <w:szCs w:val="24"/>
        </w:rPr>
        <w:t xml:space="preserve"> raw numbers for average deployment of paid staff </w:t>
      </w:r>
      <w:r>
        <w:rPr>
          <w:rFonts w:cstheme="minorHAnsi"/>
          <w:sz w:val="24"/>
          <w:szCs w:val="24"/>
        </w:rPr>
        <w:t xml:space="preserve">also </w:t>
      </w:r>
      <w:r w:rsidR="009F0293">
        <w:rPr>
          <w:rFonts w:cstheme="minorHAnsi"/>
          <w:sz w:val="24"/>
          <w:szCs w:val="24"/>
        </w:rPr>
        <w:t>show BRCs in Category 7: Governing, Administration and Coordination to be the largest employers, with those in Category 9: Parishes and Churches the second largest employer.</w:t>
      </w:r>
    </w:p>
    <w:p w14:paraId="6C27AABA" w14:textId="77777777" w:rsidR="009325BC" w:rsidRPr="006F161D" w:rsidRDefault="009F0293" w:rsidP="009325BC">
      <w:pPr>
        <w:spacing w:line="360" w:lineRule="auto"/>
        <w:rPr>
          <w:sz w:val="24"/>
          <w:szCs w:val="24"/>
        </w:rPr>
      </w:pPr>
      <w:r>
        <w:rPr>
          <w:rFonts w:cstheme="minorHAnsi"/>
          <w:sz w:val="24"/>
          <w:szCs w:val="24"/>
        </w:rPr>
        <w:t>Resource providers, Categories 2,3 and 4 in particular, had very low levels of paid staff, which is reflected in the data for every capacity indicator relating to paid staff. BRCs in these Categories also displayed relatively high ratios of volunteer to paid positions, with that for small BRCs in Category 3: Property Trusts being far higher</w:t>
      </w:r>
      <w:r w:rsidR="008247FE">
        <w:rPr>
          <w:rFonts w:cstheme="minorHAnsi"/>
          <w:sz w:val="24"/>
          <w:szCs w:val="24"/>
        </w:rPr>
        <w:t xml:space="preserve">. </w:t>
      </w:r>
      <w:r>
        <w:rPr>
          <w:rFonts w:cstheme="minorHAnsi"/>
          <w:sz w:val="24"/>
          <w:szCs w:val="24"/>
        </w:rPr>
        <w:t>The dearth of paid human resources for small Property Trusts is also reflected in the indicators that show the proportion of BRCs with no person in a human resource class. For small Property Trusts the percentages of BRCs with no person in a paid capacity range from 98.8</w:t>
      </w:r>
      <w:r w:rsidR="009325BC">
        <w:rPr>
          <w:rFonts w:cstheme="minorHAnsi"/>
          <w:sz w:val="24"/>
          <w:szCs w:val="24"/>
        </w:rPr>
        <w:t>7</w:t>
      </w:r>
      <w:r>
        <w:rPr>
          <w:rFonts w:cstheme="minorHAnsi"/>
          <w:sz w:val="24"/>
          <w:szCs w:val="24"/>
        </w:rPr>
        <w:t xml:space="preserve">% to 99.75%, but only 7.37% have no volunteers. This </w:t>
      </w:r>
      <w:r w:rsidR="009325BC">
        <w:rPr>
          <w:rFonts w:cstheme="minorHAnsi"/>
          <w:sz w:val="24"/>
          <w:szCs w:val="24"/>
        </w:rPr>
        <w:t>shows</w:t>
      </w:r>
      <w:r>
        <w:rPr>
          <w:rFonts w:cstheme="minorHAnsi"/>
          <w:sz w:val="24"/>
          <w:szCs w:val="24"/>
        </w:rPr>
        <w:t xml:space="preserve"> that managing small property trusts requires much less time and attention than that required for other activities</w:t>
      </w:r>
      <w:r w:rsidR="009325BC">
        <w:rPr>
          <w:rFonts w:cstheme="minorHAnsi"/>
          <w:sz w:val="24"/>
          <w:szCs w:val="24"/>
        </w:rPr>
        <w:t>,</w:t>
      </w:r>
      <w:r>
        <w:rPr>
          <w:rFonts w:cstheme="minorHAnsi"/>
          <w:sz w:val="24"/>
          <w:szCs w:val="24"/>
        </w:rPr>
        <w:t xml:space="preserve"> that they are </w:t>
      </w:r>
      <w:r w:rsidR="009325BC">
        <w:rPr>
          <w:rFonts w:cstheme="minorHAnsi"/>
          <w:sz w:val="24"/>
          <w:szCs w:val="24"/>
        </w:rPr>
        <w:t xml:space="preserve">mainly </w:t>
      </w:r>
      <w:r>
        <w:rPr>
          <w:rFonts w:cstheme="minorHAnsi"/>
          <w:sz w:val="24"/>
          <w:szCs w:val="24"/>
        </w:rPr>
        <w:t xml:space="preserve">managed by volunteer trustees. </w:t>
      </w:r>
      <w:r w:rsidR="009325BC">
        <w:rPr>
          <w:sz w:val="24"/>
          <w:szCs w:val="24"/>
        </w:rPr>
        <w:t>and</w:t>
      </w:r>
      <w:r w:rsidR="009325BC" w:rsidRPr="006F161D">
        <w:rPr>
          <w:sz w:val="24"/>
          <w:szCs w:val="24"/>
        </w:rPr>
        <w:t xml:space="preserve"> are merely passive financial entities</w:t>
      </w:r>
      <w:r w:rsidR="009325BC">
        <w:rPr>
          <w:sz w:val="24"/>
          <w:szCs w:val="24"/>
        </w:rPr>
        <w:t xml:space="preserve"> that hold assets.</w:t>
      </w:r>
      <w:r w:rsidR="009325BC" w:rsidRPr="006F161D">
        <w:rPr>
          <w:sz w:val="24"/>
          <w:szCs w:val="24"/>
        </w:rPr>
        <w:t xml:space="preserve"> </w:t>
      </w:r>
    </w:p>
    <w:p w14:paraId="48CD897F" w14:textId="77777777" w:rsidR="00983AD4" w:rsidRDefault="00983AD4">
      <w:pPr>
        <w:rPr>
          <w:b/>
          <w:sz w:val="24"/>
          <w:szCs w:val="24"/>
        </w:rPr>
      </w:pPr>
      <w:r>
        <w:rPr>
          <w:b/>
          <w:sz w:val="24"/>
          <w:szCs w:val="24"/>
        </w:rPr>
        <w:br w:type="page"/>
      </w:r>
    </w:p>
    <w:p w14:paraId="1020A495" w14:textId="77777777" w:rsidR="00F50D74" w:rsidRDefault="00F50D74" w:rsidP="00F50D74">
      <w:pPr>
        <w:rPr>
          <w:b/>
          <w:sz w:val="24"/>
          <w:szCs w:val="24"/>
        </w:rPr>
      </w:pPr>
      <w:r>
        <w:rPr>
          <w:b/>
          <w:sz w:val="24"/>
          <w:szCs w:val="24"/>
        </w:rPr>
        <w:lastRenderedPageBreak/>
        <w:t>Table 4: Comparison of Human Resources Deployed by Large BRCs</w:t>
      </w:r>
    </w:p>
    <w:p w14:paraId="4F569AA1" w14:textId="77777777" w:rsidR="00F50D74" w:rsidRDefault="00F50D74" w:rsidP="00F50D74">
      <w:pPr>
        <w:rPr>
          <w:b/>
          <w:sz w:val="24"/>
          <w:szCs w:val="24"/>
        </w:rPr>
      </w:pPr>
      <w:r>
        <w:rPr>
          <w:b/>
          <w:noProof/>
          <w:sz w:val="24"/>
          <w:szCs w:val="24"/>
        </w:rPr>
        <w:drawing>
          <wp:inline distT="0" distB="0" distL="0" distR="0" wp14:anchorId="4CDA67E4" wp14:editId="71D06699">
            <wp:extent cx="7962088" cy="4512760"/>
            <wp:effectExtent l="0" t="889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6200000">
                      <a:off x="0" y="0"/>
                      <a:ext cx="8008627" cy="4539138"/>
                    </a:xfrm>
                    <a:prstGeom prst="rect">
                      <a:avLst/>
                    </a:prstGeom>
                    <a:noFill/>
                  </pic:spPr>
                </pic:pic>
              </a:graphicData>
            </a:graphic>
          </wp:inline>
        </w:drawing>
      </w:r>
      <w:r>
        <w:rPr>
          <w:b/>
          <w:sz w:val="24"/>
          <w:szCs w:val="24"/>
        </w:rPr>
        <w:br w:type="page"/>
      </w:r>
    </w:p>
    <w:p w14:paraId="4876FCA9" w14:textId="77777777" w:rsidR="00F50D74" w:rsidRDefault="00F50D74" w:rsidP="00F50D74">
      <w:pPr>
        <w:rPr>
          <w:b/>
          <w:sz w:val="24"/>
          <w:szCs w:val="24"/>
        </w:rPr>
      </w:pPr>
      <w:r>
        <w:rPr>
          <w:b/>
          <w:sz w:val="24"/>
          <w:szCs w:val="24"/>
        </w:rPr>
        <w:lastRenderedPageBreak/>
        <w:t>Table 5: Comparison of Human Resources Deployed by Medium BRCs</w:t>
      </w:r>
    </w:p>
    <w:p w14:paraId="17C7C7FF" w14:textId="77777777" w:rsidR="00F50D74" w:rsidRDefault="00F50D74" w:rsidP="00F50D74">
      <w:pPr>
        <w:rPr>
          <w:b/>
          <w:sz w:val="24"/>
          <w:szCs w:val="24"/>
        </w:rPr>
      </w:pPr>
      <w:r>
        <w:rPr>
          <w:b/>
          <w:noProof/>
          <w:sz w:val="24"/>
          <w:szCs w:val="24"/>
        </w:rPr>
        <w:drawing>
          <wp:inline distT="0" distB="0" distL="0" distR="0" wp14:anchorId="62FCF471" wp14:editId="1D3A6C71">
            <wp:extent cx="7870358" cy="4460769"/>
            <wp:effectExtent l="9525" t="0" r="698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7923325" cy="4490790"/>
                    </a:xfrm>
                    <a:prstGeom prst="rect">
                      <a:avLst/>
                    </a:prstGeom>
                    <a:noFill/>
                  </pic:spPr>
                </pic:pic>
              </a:graphicData>
            </a:graphic>
          </wp:inline>
        </w:drawing>
      </w:r>
      <w:r>
        <w:rPr>
          <w:b/>
          <w:sz w:val="24"/>
          <w:szCs w:val="24"/>
        </w:rPr>
        <w:br w:type="page"/>
      </w:r>
    </w:p>
    <w:p w14:paraId="66504AFD" w14:textId="77777777" w:rsidR="00F50D74" w:rsidRDefault="00F50D74" w:rsidP="00F50D74">
      <w:pPr>
        <w:rPr>
          <w:b/>
          <w:sz w:val="24"/>
          <w:szCs w:val="24"/>
        </w:rPr>
      </w:pPr>
      <w:r>
        <w:rPr>
          <w:b/>
          <w:sz w:val="24"/>
          <w:szCs w:val="24"/>
        </w:rPr>
        <w:lastRenderedPageBreak/>
        <w:t>Table 6: Comparison of Human Resources Deployed by Small BRCs</w:t>
      </w:r>
    </w:p>
    <w:p w14:paraId="3159C572" w14:textId="77777777" w:rsidR="00F50D74" w:rsidRDefault="00F50D74" w:rsidP="00F50D74">
      <w:pPr>
        <w:spacing w:after="0" w:line="360" w:lineRule="auto"/>
      </w:pPr>
      <w:r>
        <w:rPr>
          <w:b/>
          <w:noProof/>
          <w:sz w:val="24"/>
          <w:szCs w:val="24"/>
        </w:rPr>
        <w:drawing>
          <wp:inline distT="0" distB="0" distL="0" distR="0" wp14:anchorId="655EF946" wp14:editId="078DE48D">
            <wp:extent cx="7520940" cy="4251960"/>
            <wp:effectExtent l="0" t="381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7520940" cy="4251960"/>
                    </a:xfrm>
                    <a:prstGeom prst="rect">
                      <a:avLst/>
                    </a:prstGeom>
                    <a:noFill/>
                  </pic:spPr>
                </pic:pic>
              </a:graphicData>
            </a:graphic>
          </wp:inline>
        </w:drawing>
      </w:r>
    </w:p>
    <w:p w14:paraId="5BF871B7" w14:textId="77777777" w:rsidR="00F50D74" w:rsidRDefault="00F50D74" w:rsidP="00341653">
      <w:pPr>
        <w:spacing w:after="0" w:line="360" w:lineRule="auto"/>
      </w:pPr>
    </w:p>
    <w:p w14:paraId="652F685F" w14:textId="77777777" w:rsidR="00F50D74" w:rsidRDefault="00F50D74" w:rsidP="00341653">
      <w:pPr>
        <w:spacing w:after="0" w:line="360" w:lineRule="auto"/>
      </w:pPr>
    </w:p>
    <w:p w14:paraId="66C3FE1E" w14:textId="77777777" w:rsidR="00F50D74" w:rsidRDefault="00F50D74" w:rsidP="00341653">
      <w:pPr>
        <w:spacing w:after="0" w:line="360" w:lineRule="auto"/>
      </w:pPr>
    </w:p>
    <w:p w14:paraId="07F8BD89" w14:textId="77777777" w:rsidR="00F50D74" w:rsidRDefault="00F50D74" w:rsidP="00341653">
      <w:pPr>
        <w:spacing w:after="0" w:line="360" w:lineRule="auto"/>
      </w:pPr>
    </w:p>
    <w:p w14:paraId="6C8BF52D" w14:textId="77777777" w:rsidR="00C2590E" w:rsidRPr="00582CB2" w:rsidRDefault="00E9398A" w:rsidP="00B115B9">
      <w:pPr>
        <w:spacing w:after="0" w:line="360" w:lineRule="auto"/>
        <w:rPr>
          <w:b/>
          <w:sz w:val="24"/>
          <w:szCs w:val="24"/>
        </w:rPr>
      </w:pPr>
      <w:r w:rsidRPr="00582CB2">
        <w:rPr>
          <w:b/>
          <w:sz w:val="24"/>
          <w:szCs w:val="24"/>
        </w:rPr>
        <w:lastRenderedPageBreak/>
        <w:t>3</w:t>
      </w:r>
      <w:r w:rsidR="00F57CCB" w:rsidRPr="00582CB2">
        <w:rPr>
          <w:b/>
          <w:sz w:val="24"/>
          <w:szCs w:val="24"/>
        </w:rPr>
        <w:t xml:space="preserve">: </w:t>
      </w:r>
      <w:r w:rsidR="00413B4E" w:rsidRPr="00582CB2">
        <w:rPr>
          <w:b/>
          <w:sz w:val="24"/>
          <w:szCs w:val="24"/>
        </w:rPr>
        <w:t xml:space="preserve">Financial Reporting of BRCs that </w:t>
      </w:r>
      <w:r w:rsidR="00B115B9" w:rsidRPr="00582CB2">
        <w:rPr>
          <w:b/>
          <w:sz w:val="24"/>
          <w:szCs w:val="24"/>
        </w:rPr>
        <w:t>O</w:t>
      </w:r>
      <w:r w:rsidR="00F57CCB" w:rsidRPr="00582CB2">
        <w:rPr>
          <w:b/>
          <w:sz w:val="24"/>
          <w:szCs w:val="24"/>
        </w:rPr>
        <w:t xml:space="preserve">perate </w:t>
      </w:r>
      <w:r w:rsidR="00717125" w:rsidRPr="00582CB2">
        <w:rPr>
          <w:b/>
          <w:sz w:val="24"/>
          <w:szCs w:val="24"/>
        </w:rPr>
        <w:t>W</w:t>
      </w:r>
      <w:r w:rsidR="00F57CCB" w:rsidRPr="00582CB2">
        <w:rPr>
          <w:b/>
          <w:sz w:val="24"/>
          <w:szCs w:val="24"/>
        </w:rPr>
        <w:t xml:space="preserve">ithin a </w:t>
      </w:r>
      <w:r w:rsidR="00717125" w:rsidRPr="00582CB2">
        <w:rPr>
          <w:b/>
          <w:sz w:val="24"/>
          <w:szCs w:val="24"/>
        </w:rPr>
        <w:t>D</w:t>
      </w:r>
      <w:r w:rsidR="00F57CCB" w:rsidRPr="00582CB2">
        <w:rPr>
          <w:b/>
          <w:sz w:val="24"/>
          <w:szCs w:val="24"/>
        </w:rPr>
        <w:t xml:space="preserve">enominational </w:t>
      </w:r>
      <w:r w:rsidR="00717125" w:rsidRPr="00582CB2">
        <w:rPr>
          <w:b/>
          <w:sz w:val="24"/>
          <w:szCs w:val="24"/>
        </w:rPr>
        <w:t>S</w:t>
      </w:r>
      <w:r w:rsidR="00F57CCB" w:rsidRPr="00582CB2">
        <w:rPr>
          <w:b/>
          <w:sz w:val="24"/>
          <w:szCs w:val="24"/>
        </w:rPr>
        <w:t>tructure</w:t>
      </w:r>
      <w:r w:rsidR="008247FE">
        <w:rPr>
          <w:rStyle w:val="FootnoteReference"/>
          <w:b/>
          <w:sz w:val="24"/>
          <w:szCs w:val="24"/>
        </w:rPr>
        <w:footnoteReference w:id="1"/>
      </w:r>
      <w:r w:rsidR="00F57CCB" w:rsidRPr="00582CB2">
        <w:rPr>
          <w:b/>
          <w:sz w:val="24"/>
          <w:szCs w:val="24"/>
        </w:rPr>
        <w:t>.</w:t>
      </w:r>
    </w:p>
    <w:p w14:paraId="3C85B6A8" w14:textId="77777777" w:rsidR="00F230D6" w:rsidRDefault="00F230D6" w:rsidP="00B115B9">
      <w:pPr>
        <w:spacing w:after="0" w:line="360" w:lineRule="auto"/>
        <w:rPr>
          <w:sz w:val="24"/>
          <w:szCs w:val="24"/>
        </w:rPr>
      </w:pPr>
      <w:r>
        <w:rPr>
          <w:rFonts w:cstheme="minorHAnsi"/>
          <w:sz w:val="24"/>
          <w:szCs w:val="24"/>
        </w:rPr>
        <w:t>The overwhelming majority of BRCs operate within a denominational structure and are required, through their Governing Document</w:t>
      </w:r>
      <w:r w:rsidR="004E68BD">
        <w:rPr>
          <w:rFonts w:cstheme="minorHAnsi"/>
          <w:sz w:val="24"/>
          <w:szCs w:val="24"/>
        </w:rPr>
        <w:t>s</w:t>
      </w:r>
      <w:r>
        <w:rPr>
          <w:rFonts w:cstheme="minorHAnsi"/>
          <w:sz w:val="24"/>
          <w:szCs w:val="24"/>
        </w:rPr>
        <w:t xml:space="preserve"> to report financial information to a denominational authority.</w:t>
      </w:r>
      <w:r w:rsidR="00B115B9">
        <w:rPr>
          <w:rFonts w:cstheme="minorHAnsi"/>
          <w:sz w:val="24"/>
          <w:szCs w:val="24"/>
        </w:rPr>
        <w:t xml:space="preserve"> </w:t>
      </w:r>
      <w:r w:rsidRPr="00426D23">
        <w:rPr>
          <w:rFonts w:cstheme="minorHAnsi"/>
          <w:sz w:val="24"/>
          <w:szCs w:val="24"/>
        </w:rPr>
        <w:t>Evidence of the nature and extent of such financial reporting was obtained by inspecting each BRC</w:t>
      </w:r>
      <w:r w:rsidR="001E73C1">
        <w:rPr>
          <w:rFonts w:cstheme="minorHAnsi"/>
          <w:sz w:val="24"/>
          <w:szCs w:val="24"/>
        </w:rPr>
        <w:t>’</w:t>
      </w:r>
      <w:r w:rsidRPr="00426D23">
        <w:rPr>
          <w:rFonts w:cstheme="minorHAnsi"/>
          <w:sz w:val="24"/>
          <w:szCs w:val="24"/>
        </w:rPr>
        <w:t xml:space="preserve">s Governing Document, and where available,  financial reporting requirements published by </w:t>
      </w:r>
      <w:r w:rsidR="001E73C1">
        <w:rPr>
          <w:rFonts w:cstheme="minorHAnsi"/>
          <w:sz w:val="24"/>
          <w:szCs w:val="24"/>
        </w:rPr>
        <w:t xml:space="preserve">the related </w:t>
      </w:r>
      <w:r w:rsidR="00426D23" w:rsidRPr="00426D23">
        <w:rPr>
          <w:rFonts w:cstheme="minorHAnsi"/>
          <w:sz w:val="24"/>
          <w:szCs w:val="24"/>
        </w:rPr>
        <w:t>denominational  authorit</w:t>
      </w:r>
      <w:r w:rsidR="001E73C1">
        <w:rPr>
          <w:rFonts w:cstheme="minorHAnsi"/>
          <w:sz w:val="24"/>
          <w:szCs w:val="24"/>
        </w:rPr>
        <w:t>y</w:t>
      </w:r>
      <w:r w:rsidR="00426D23" w:rsidRPr="00426D23">
        <w:rPr>
          <w:rFonts w:cstheme="minorHAnsi"/>
          <w:sz w:val="24"/>
          <w:szCs w:val="24"/>
        </w:rPr>
        <w:t xml:space="preserve">.  </w:t>
      </w:r>
      <w:r w:rsidR="00FB20D7">
        <w:rPr>
          <w:rFonts w:cstheme="minorHAnsi"/>
          <w:sz w:val="24"/>
          <w:szCs w:val="24"/>
        </w:rPr>
        <w:t xml:space="preserve">Examples of the financial reporting requirements of three denominational authorities, </w:t>
      </w:r>
      <w:r w:rsidR="00426D23" w:rsidRPr="00426D23">
        <w:rPr>
          <w:rFonts w:cstheme="minorHAnsi"/>
          <w:sz w:val="24"/>
          <w:szCs w:val="24"/>
        </w:rPr>
        <w:t>the Anglican Diocese of Sydney</w:t>
      </w:r>
      <w:r w:rsidR="00FB20D7">
        <w:rPr>
          <w:rFonts w:cstheme="minorHAnsi"/>
          <w:sz w:val="24"/>
          <w:szCs w:val="24"/>
        </w:rPr>
        <w:t>,</w:t>
      </w:r>
      <w:r w:rsidR="00426D23" w:rsidRPr="00426D23">
        <w:rPr>
          <w:rFonts w:cstheme="minorHAnsi"/>
          <w:sz w:val="24"/>
          <w:szCs w:val="24"/>
        </w:rPr>
        <w:t xml:space="preserve"> the </w:t>
      </w:r>
      <w:r w:rsidR="00426D23" w:rsidRPr="00426D23">
        <w:rPr>
          <w:sz w:val="24"/>
          <w:szCs w:val="24"/>
        </w:rPr>
        <w:t>Uniting Church in Australia Synod of NSW and ACT Canberra</w:t>
      </w:r>
      <w:r w:rsidR="00FB20D7">
        <w:rPr>
          <w:sz w:val="24"/>
          <w:szCs w:val="24"/>
        </w:rPr>
        <w:t>,</w:t>
      </w:r>
      <w:r w:rsidR="00426D23" w:rsidRPr="00426D23">
        <w:rPr>
          <w:sz w:val="24"/>
          <w:szCs w:val="24"/>
        </w:rPr>
        <w:t xml:space="preserve"> and </w:t>
      </w:r>
      <w:r w:rsidR="00426D23">
        <w:rPr>
          <w:sz w:val="24"/>
          <w:szCs w:val="24"/>
        </w:rPr>
        <w:t xml:space="preserve">the </w:t>
      </w:r>
      <w:r w:rsidR="00426D23" w:rsidRPr="00426D23">
        <w:rPr>
          <w:sz w:val="24"/>
          <w:szCs w:val="24"/>
        </w:rPr>
        <w:t>Lutheran Church of Australia</w:t>
      </w:r>
      <w:r w:rsidR="00426D23">
        <w:rPr>
          <w:sz w:val="24"/>
          <w:szCs w:val="24"/>
        </w:rPr>
        <w:t xml:space="preserve"> </w:t>
      </w:r>
      <w:r w:rsidR="00FB20D7">
        <w:rPr>
          <w:sz w:val="24"/>
          <w:szCs w:val="24"/>
        </w:rPr>
        <w:t>are</w:t>
      </w:r>
      <w:r w:rsidR="00426D23">
        <w:rPr>
          <w:sz w:val="24"/>
          <w:szCs w:val="24"/>
        </w:rPr>
        <w:t xml:space="preserve"> provided as Appendices 3</w:t>
      </w:r>
      <w:r w:rsidR="00B115B9">
        <w:rPr>
          <w:sz w:val="24"/>
          <w:szCs w:val="24"/>
        </w:rPr>
        <w:t xml:space="preserve">, </w:t>
      </w:r>
      <w:r w:rsidR="00426D23">
        <w:rPr>
          <w:sz w:val="24"/>
          <w:szCs w:val="24"/>
        </w:rPr>
        <w:t>4,</w:t>
      </w:r>
      <w:r w:rsidR="00B115B9">
        <w:rPr>
          <w:sz w:val="24"/>
          <w:szCs w:val="24"/>
        </w:rPr>
        <w:t xml:space="preserve"> </w:t>
      </w:r>
      <w:r w:rsidR="00426D23">
        <w:rPr>
          <w:sz w:val="24"/>
          <w:szCs w:val="24"/>
        </w:rPr>
        <w:t xml:space="preserve">5 and 6 of the attached </w:t>
      </w:r>
      <w:r w:rsidR="001E73C1">
        <w:rPr>
          <w:sz w:val="24"/>
          <w:szCs w:val="24"/>
        </w:rPr>
        <w:t>report</w:t>
      </w:r>
      <w:r w:rsidR="00426D23">
        <w:rPr>
          <w:sz w:val="24"/>
          <w:szCs w:val="24"/>
        </w:rPr>
        <w:t xml:space="preserve">. </w:t>
      </w:r>
      <w:r w:rsidR="00FB20D7">
        <w:rPr>
          <w:sz w:val="24"/>
          <w:szCs w:val="24"/>
        </w:rPr>
        <w:t>The</w:t>
      </w:r>
      <w:r w:rsidR="00BB1FE8">
        <w:rPr>
          <w:sz w:val="24"/>
          <w:szCs w:val="24"/>
        </w:rPr>
        <w:t xml:space="preserve"> evidence indicates </w:t>
      </w:r>
      <w:r w:rsidR="00FB20D7">
        <w:rPr>
          <w:sz w:val="24"/>
          <w:szCs w:val="24"/>
        </w:rPr>
        <w:t xml:space="preserve">that the financial reporting requirements of BRCs that operate within a denominational framework are significant and, for small BRCs at least, are  far more extensive than those required under the ACNC Act. Three examples from the attached </w:t>
      </w:r>
      <w:r w:rsidR="001E73C1">
        <w:rPr>
          <w:sz w:val="24"/>
          <w:szCs w:val="24"/>
        </w:rPr>
        <w:t>report</w:t>
      </w:r>
      <w:r w:rsidR="00FB20D7">
        <w:rPr>
          <w:sz w:val="24"/>
          <w:szCs w:val="24"/>
        </w:rPr>
        <w:t xml:space="preserve"> are provided below.</w:t>
      </w:r>
    </w:p>
    <w:p w14:paraId="70BD2086" w14:textId="77777777" w:rsidR="00D739B2" w:rsidRDefault="00D739B2" w:rsidP="00C22F96">
      <w:pPr>
        <w:spacing w:after="0" w:line="360" w:lineRule="auto"/>
        <w:rPr>
          <w:rFonts w:cstheme="minorHAnsi"/>
          <w:sz w:val="24"/>
          <w:szCs w:val="24"/>
          <w:u w:val="single"/>
        </w:rPr>
      </w:pPr>
    </w:p>
    <w:p w14:paraId="22959830" w14:textId="77777777" w:rsidR="00C22F96" w:rsidRPr="00CD3379" w:rsidRDefault="00C22F96" w:rsidP="00C22F96">
      <w:pPr>
        <w:spacing w:after="0" w:line="360" w:lineRule="auto"/>
        <w:rPr>
          <w:rFonts w:cstheme="minorHAnsi"/>
          <w:sz w:val="24"/>
          <w:szCs w:val="24"/>
          <w:u w:val="single"/>
        </w:rPr>
      </w:pPr>
      <w:r w:rsidRPr="00CD3379">
        <w:rPr>
          <w:rFonts w:cstheme="minorHAnsi"/>
          <w:sz w:val="24"/>
          <w:szCs w:val="24"/>
          <w:u w:val="single"/>
        </w:rPr>
        <w:t>1: Maronite Catholic Parish of Our Lady of Lebanon Harris Park (ABN 92475205390)</w:t>
      </w:r>
    </w:p>
    <w:p w14:paraId="5FFC254E" w14:textId="77777777" w:rsidR="00C22F96" w:rsidRPr="00CD3379" w:rsidRDefault="00C22F96" w:rsidP="00C22F96">
      <w:pPr>
        <w:spacing w:after="0" w:line="360" w:lineRule="auto"/>
        <w:rPr>
          <w:rFonts w:cstheme="minorHAnsi"/>
          <w:sz w:val="24"/>
          <w:szCs w:val="24"/>
        </w:rPr>
      </w:pPr>
      <w:r w:rsidRPr="00CD3379">
        <w:rPr>
          <w:rFonts w:cstheme="minorHAnsi"/>
          <w:sz w:val="24"/>
          <w:szCs w:val="24"/>
        </w:rPr>
        <w:t xml:space="preserve">The Governing Document of Maronite Catholic Parish of Our Lady of Lebanon Harris Park, a large BRC, is titled, </w:t>
      </w:r>
      <w:r w:rsidRPr="00CD3379">
        <w:rPr>
          <w:rFonts w:cstheme="minorHAnsi"/>
          <w:i/>
          <w:sz w:val="24"/>
          <w:szCs w:val="24"/>
        </w:rPr>
        <w:t>Maronite Eparchy of Australia Parish Governance</w:t>
      </w:r>
      <w:r w:rsidRPr="00CD3379">
        <w:rPr>
          <w:rFonts w:cstheme="minorHAnsi"/>
          <w:sz w:val="24"/>
          <w:szCs w:val="24"/>
        </w:rPr>
        <w:t xml:space="preserve">. </w:t>
      </w:r>
      <w:r w:rsidR="00D44BE4">
        <w:rPr>
          <w:rFonts w:cstheme="minorHAnsi"/>
          <w:sz w:val="24"/>
          <w:szCs w:val="24"/>
        </w:rPr>
        <w:t>It</w:t>
      </w:r>
      <w:r w:rsidRPr="00CD3379">
        <w:rPr>
          <w:rFonts w:cstheme="minorHAnsi"/>
          <w:sz w:val="24"/>
          <w:szCs w:val="24"/>
        </w:rPr>
        <w:t xml:space="preserve"> includes the following  financial reporting requirements: </w:t>
      </w:r>
    </w:p>
    <w:p w14:paraId="67300031" w14:textId="77777777" w:rsidR="00C22F96" w:rsidRPr="00CD3379" w:rsidRDefault="00C22F96" w:rsidP="00C22F96">
      <w:pPr>
        <w:pStyle w:val="ListParagraph"/>
        <w:numPr>
          <w:ilvl w:val="0"/>
          <w:numId w:val="3"/>
        </w:numPr>
        <w:spacing w:after="0" w:line="360" w:lineRule="auto"/>
        <w:rPr>
          <w:spacing w:val="-2"/>
          <w:sz w:val="24"/>
          <w:szCs w:val="24"/>
        </w:rPr>
      </w:pPr>
      <w:r w:rsidRPr="00CD3379">
        <w:rPr>
          <w:spacing w:val="-2"/>
          <w:sz w:val="24"/>
          <w:szCs w:val="24"/>
        </w:rPr>
        <w:t>Preparation of an Annual Financial Report, which is to be approved by the Parish Stewardship  Committee, and  reviewed by an external independent auditor. This report is to be provided to an annual general meeting of parishioners and to the Bishop through the Diocesan Financial Administrator.</w:t>
      </w:r>
    </w:p>
    <w:p w14:paraId="3784565B" w14:textId="77777777" w:rsidR="00C22F96" w:rsidRPr="00CD3379" w:rsidRDefault="00C22F96" w:rsidP="00C22F96">
      <w:pPr>
        <w:pStyle w:val="ListParagraph"/>
        <w:numPr>
          <w:ilvl w:val="0"/>
          <w:numId w:val="3"/>
        </w:numPr>
        <w:spacing w:after="0" w:line="360" w:lineRule="auto"/>
        <w:rPr>
          <w:spacing w:val="-2"/>
          <w:sz w:val="24"/>
          <w:szCs w:val="24"/>
        </w:rPr>
      </w:pPr>
      <w:r w:rsidRPr="00CD3379">
        <w:rPr>
          <w:spacing w:val="-2"/>
          <w:sz w:val="24"/>
          <w:szCs w:val="24"/>
        </w:rPr>
        <w:t xml:space="preserve"> Reporting collections to parishioners weekly and annually.</w:t>
      </w:r>
    </w:p>
    <w:p w14:paraId="6AF1B2E1" w14:textId="77777777" w:rsidR="00C22F96" w:rsidRPr="00CD3379" w:rsidRDefault="001E73C1" w:rsidP="00C22F96">
      <w:pPr>
        <w:pStyle w:val="ListParagraph"/>
        <w:numPr>
          <w:ilvl w:val="0"/>
          <w:numId w:val="3"/>
        </w:numPr>
        <w:spacing w:after="0" w:line="360" w:lineRule="auto"/>
        <w:rPr>
          <w:spacing w:val="-2"/>
          <w:sz w:val="24"/>
          <w:szCs w:val="24"/>
        </w:rPr>
      </w:pPr>
      <w:r>
        <w:rPr>
          <w:spacing w:val="-2"/>
          <w:sz w:val="24"/>
          <w:szCs w:val="24"/>
        </w:rPr>
        <w:t xml:space="preserve">A </w:t>
      </w:r>
      <w:r w:rsidR="00C22F96" w:rsidRPr="00CD3379">
        <w:rPr>
          <w:spacing w:val="-2"/>
          <w:sz w:val="24"/>
          <w:szCs w:val="24"/>
        </w:rPr>
        <w:t>report of the Parish Church Account is to be prepared in accordance with the standard diocesan Chart-of-Accounts and submitted to the Diocesan Business Office in an electronic format for the period to the end of each quarter.</w:t>
      </w:r>
    </w:p>
    <w:p w14:paraId="55684910" w14:textId="77777777" w:rsidR="00C22F96" w:rsidRPr="00CD3379" w:rsidRDefault="00C22F96" w:rsidP="00C22F96">
      <w:pPr>
        <w:pStyle w:val="ListParagraph"/>
        <w:numPr>
          <w:ilvl w:val="0"/>
          <w:numId w:val="3"/>
        </w:numPr>
        <w:spacing w:after="0" w:line="360" w:lineRule="auto"/>
        <w:rPr>
          <w:spacing w:val="-2"/>
          <w:sz w:val="24"/>
          <w:szCs w:val="24"/>
        </w:rPr>
      </w:pPr>
      <w:r w:rsidRPr="00CD3379">
        <w:rPr>
          <w:spacing w:val="-2"/>
          <w:sz w:val="24"/>
          <w:szCs w:val="24"/>
        </w:rPr>
        <w:t>A full report of th</w:t>
      </w:r>
      <w:r w:rsidR="001E73C1">
        <w:rPr>
          <w:spacing w:val="-2"/>
          <w:sz w:val="24"/>
          <w:szCs w:val="24"/>
        </w:rPr>
        <w:t>e</w:t>
      </w:r>
      <w:r w:rsidR="001E73C1" w:rsidRPr="00CD3379">
        <w:rPr>
          <w:spacing w:val="-2"/>
          <w:sz w:val="24"/>
          <w:szCs w:val="24"/>
        </w:rPr>
        <w:t xml:space="preserve"> Presbytery Account </w:t>
      </w:r>
      <w:r w:rsidRPr="00CD3379">
        <w:rPr>
          <w:spacing w:val="-2"/>
          <w:sz w:val="24"/>
          <w:szCs w:val="24"/>
        </w:rPr>
        <w:t xml:space="preserve"> is to be provided to the Clergy Fund Board on, at least, an annual basis.</w:t>
      </w:r>
    </w:p>
    <w:p w14:paraId="1CC7D73C" w14:textId="77777777" w:rsidR="00C22F96" w:rsidRPr="00CD3379" w:rsidRDefault="00C22F96" w:rsidP="00C22F96">
      <w:pPr>
        <w:pStyle w:val="ListParagraph"/>
        <w:numPr>
          <w:ilvl w:val="0"/>
          <w:numId w:val="3"/>
        </w:numPr>
        <w:spacing w:after="0" w:line="360" w:lineRule="auto"/>
        <w:rPr>
          <w:spacing w:val="-2"/>
          <w:sz w:val="24"/>
          <w:szCs w:val="24"/>
        </w:rPr>
      </w:pPr>
      <w:r w:rsidRPr="00CD3379">
        <w:rPr>
          <w:spacing w:val="-2"/>
          <w:sz w:val="24"/>
          <w:szCs w:val="24"/>
        </w:rPr>
        <w:lastRenderedPageBreak/>
        <w:t>If a Special Purpose Account is established These accounts form part of the parish’s temporal goods and are to be included in the financial reports to the Parish Finance Council.</w:t>
      </w:r>
    </w:p>
    <w:p w14:paraId="3998EC45" w14:textId="77777777" w:rsidR="00C22F96" w:rsidRPr="00CD3379" w:rsidRDefault="00C22F96" w:rsidP="00C22F96">
      <w:pPr>
        <w:pStyle w:val="ListParagraph"/>
        <w:numPr>
          <w:ilvl w:val="0"/>
          <w:numId w:val="3"/>
        </w:numPr>
        <w:spacing w:after="0" w:line="360" w:lineRule="auto"/>
        <w:rPr>
          <w:spacing w:val="-2"/>
          <w:sz w:val="24"/>
          <w:szCs w:val="24"/>
        </w:rPr>
      </w:pPr>
      <w:r w:rsidRPr="00CD3379">
        <w:rPr>
          <w:spacing w:val="-2"/>
          <w:sz w:val="24"/>
          <w:szCs w:val="24"/>
        </w:rPr>
        <w:t>Budget for parish, aged care, community and welfare services, report them to the Bishop’s Office.</w:t>
      </w:r>
    </w:p>
    <w:p w14:paraId="3AACD3E1" w14:textId="77777777" w:rsidR="00F230D6" w:rsidRDefault="00F230D6" w:rsidP="00571045">
      <w:pPr>
        <w:spacing w:after="0" w:line="360" w:lineRule="auto"/>
        <w:rPr>
          <w:rFonts w:cstheme="minorHAnsi"/>
          <w:sz w:val="24"/>
          <w:szCs w:val="24"/>
        </w:rPr>
      </w:pPr>
    </w:p>
    <w:p w14:paraId="13493D27" w14:textId="77777777" w:rsidR="00D2248E" w:rsidRPr="00DE1101" w:rsidRDefault="00D2248E" w:rsidP="00D2248E">
      <w:pPr>
        <w:spacing w:after="0" w:line="360" w:lineRule="auto"/>
        <w:rPr>
          <w:rFonts w:cstheme="minorHAnsi"/>
          <w:sz w:val="24"/>
          <w:szCs w:val="24"/>
        </w:rPr>
      </w:pPr>
      <w:r>
        <w:rPr>
          <w:rFonts w:cstheme="minorHAnsi"/>
          <w:sz w:val="24"/>
          <w:szCs w:val="24"/>
          <w:u w:val="single"/>
        </w:rPr>
        <w:t xml:space="preserve">2: </w:t>
      </w:r>
      <w:r w:rsidRPr="00B33CF8">
        <w:rPr>
          <w:rFonts w:cstheme="minorHAnsi"/>
          <w:sz w:val="24"/>
          <w:szCs w:val="24"/>
          <w:u w:val="single"/>
        </w:rPr>
        <w:t xml:space="preserve">Anglican Church of Australia Quakers Hill (ABN 48296443042) </w:t>
      </w:r>
      <w:r>
        <w:rPr>
          <w:rFonts w:cstheme="minorHAnsi"/>
          <w:sz w:val="24"/>
          <w:szCs w:val="24"/>
        </w:rPr>
        <w:t xml:space="preserve">The Governing Document for this medium BRC, is an Ordinance of the Anglican Diocese of Sydney (the Diocese) that applies to all parishes within the Diocese. It is titled </w:t>
      </w:r>
      <w:r w:rsidRPr="008577BD">
        <w:rPr>
          <w:rFonts w:cstheme="minorHAnsi"/>
          <w:i/>
          <w:sz w:val="24"/>
          <w:szCs w:val="24"/>
        </w:rPr>
        <w:t>Parish Administration Ordinance 2008</w:t>
      </w:r>
      <w:r>
        <w:rPr>
          <w:rFonts w:cstheme="minorHAnsi"/>
          <w:i/>
          <w:sz w:val="24"/>
          <w:szCs w:val="24"/>
        </w:rPr>
        <w:t>.</w:t>
      </w:r>
      <w:r>
        <w:rPr>
          <w:rFonts w:cstheme="minorHAnsi"/>
          <w:sz w:val="24"/>
          <w:szCs w:val="24"/>
        </w:rPr>
        <w:t xml:space="preserve"> This ordinance requires parishes within the Diocese to prepare, and have audited a Financial Report; and a Financial </w:t>
      </w:r>
      <w:r w:rsidR="00C22F96">
        <w:rPr>
          <w:rFonts w:cstheme="minorHAnsi"/>
          <w:sz w:val="24"/>
          <w:szCs w:val="24"/>
        </w:rPr>
        <w:t>R</w:t>
      </w:r>
      <w:r>
        <w:rPr>
          <w:rFonts w:cstheme="minorHAnsi"/>
          <w:sz w:val="24"/>
          <w:szCs w:val="24"/>
        </w:rPr>
        <w:t>eporting Package. The   Financial Report comprises a</w:t>
      </w:r>
      <w:r w:rsidRPr="00100B96">
        <w:rPr>
          <w:rFonts w:cstheme="minorHAnsi"/>
          <w:sz w:val="24"/>
          <w:szCs w:val="24"/>
        </w:rPr>
        <w:t xml:space="preserve"> Statement</w:t>
      </w:r>
      <w:r w:rsidRPr="00100B96">
        <w:rPr>
          <w:rFonts w:cstheme="minorHAnsi"/>
          <w:spacing w:val="-7"/>
          <w:sz w:val="24"/>
          <w:szCs w:val="24"/>
        </w:rPr>
        <w:t xml:space="preserve"> </w:t>
      </w:r>
      <w:r w:rsidRPr="00100B96">
        <w:rPr>
          <w:rFonts w:cstheme="minorHAnsi"/>
          <w:sz w:val="24"/>
          <w:szCs w:val="24"/>
        </w:rPr>
        <w:t>of</w:t>
      </w:r>
      <w:r w:rsidRPr="00100B96">
        <w:rPr>
          <w:rFonts w:cstheme="minorHAnsi"/>
          <w:spacing w:val="-10"/>
          <w:sz w:val="24"/>
          <w:szCs w:val="24"/>
        </w:rPr>
        <w:t xml:space="preserve"> </w:t>
      </w:r>
      <w:r w:rsidRPr="00100B96">
        <w:rPr>
          <w:rFonts w:cstheme="minorHAnsi"/>
          <w:sz w:val="24"/>
          <w:szCs w:val="24"/>
        </w:rPr>
        <w:t>Comprehensive</w:t>
      </w:r>
      <w:r w:rsidRPr="00100B96">
        <w:rPr>
          <w:rFonts w:cstheme="minorHAnsi"/>
          <w:spacing w:val="-9"/>
          <w:sz w:val="24"/>
          <w:szCs w:val="24"/>
        </w:rPr>
        <w:t xml:space="preserve"> </w:t>
      </w:r>
      <w:r w:rsidRPr="00100B96">
        <w:rPr>
          <w:rFonts w:cstheme="minorHAnsi"/>
          <w:spacing w:val="-2"/>
          <w:sz w:val="24"/>
          <w:szCs w:val="24"/>
        </w:rPr>
        <w:t>Income,</w:t>
      </w:r>
      <w:r>
        <w:rPr>
          <w:rFonts w:cstheme="minorHAnsi"/>
          <w:spacing w:val="-2"/>
          <w:sz w:val="24"/>
          <w:szCs w:val="24"/>
        </w:rPr>
        <w:t xml:space="preserve"> a </w:t>
      </w:r>
      <w:r w:rsidRPr="00DE1101">
        <w:rPr>
          <w:rFonts w:cstheme="minorHAnsi"/>
          <w:sz w:val="24"/>
          <w:szCs w:val="24"/>
        </w:rPr>
        <w:t>Statement of Financial Position</w:t>
      </w:r>
      <w:r>
        <w:rPr>
          <w:rFonts w:cstheme="minorHAnsi"/>
          <w:sz w:val="24"/>
          <w:szCs w:val="24"/>
        </w:rPr>
        <w:t xml:space="preserve">, a </w:t>
      </w:r>
      <w:r w:rsidRPr="00100B96">
        <w:rPr>
          <w:rFonts w:cstheme="minorHAnsi"/>
          <w:sz w:val="24"/>
          <w:szCs w:val="24"/>
        </w:rPr>
        <w:t>Statement</w:t>
      </w:r>
      <w:r w:rsidRPr="00100B96">
        <w:rPr>
          <w:rFonts w:cstheme="minorHAnsi"/>
          <w:spacing w:val="-5"/>
          <w:sz w:val="24"/>
          <w:szCs w:val="24"/>
        </w:rPr>
        <w:t xml:space="preserve"> </w:t>
      </w:r>
      <w:r w:rsidRPr="00100B96">
        <w:rPr>
          <w:rFonts w:cstheme="minorHAnsi"/>
          <w:sz w:val="24"/>
          <w:szCs w:val="24"/>
        </w:rPr>
        <w:t>of</w:t>
      </w:r>
      <w:r w:rsidRPr="00100B96">
        <w:rPr>
          <w:rFonts w:cstheme="minorHAnsi"/>
          <w:spacing w:val="-7"/>
          <w:sz w:val="24"/>
          <w:szCs w:val="24"/>
        </w:rPr>
        <w:t xml:space="preserve"> </w:t>
      </w:r>
      <w:r w:rsidRPr="00100B96">
        <w:rPr>
          <w:rFonts w:cstheme="minorHAnsi"/>
          <w:sz w:val="24"/>
          <w:szCs w:val="24"/>
        </w:rPr>
        <w:t>Changes</w:t>
      </w:r>
      <w:r w:rsidRPr="00100B96">
        <w:rPr>
          <w:rFonts w:cstheme="minorHAnsi"/>
          <w:spacing w:val="-8"/>
          <w:sz w:val="24"/>
          <w:szCs w:val="24"/>
        </w:rPr>
        <w:t xml:space="preserve"> </w:t>
      </w:r>
      <w:r w:rsidRPr="00100B96">
        <w:rPr>
          <w:rFonts w:cstheme="minorHAnsi"/>
          <w:sz w:val="24"/>
          <w:szCs w:val="24"/>
        </w:rPr>
        <w:t>in</w:t>
      </w:r>
      <w:r w:rsidRPr="00100B96">
        <w:rPr>
          <w:rFonts w:cstheme="minorHAnsi"/>
          <w:spacing w:val="-7"/>
          <w:sz w:val="24"/>
          <w:szCs w:val="24"/>
        </w:rPr>
        <w:t xml:space="preserve"> </w:t>
      </w:r>
      <w:r w:rsidRPr="00100B96">
        <w:rPr>
          <w:rFonts w:cstheme="minorHAnsi"/>
          <w:sz w:val="24"/>
          <w:szCs w:val="24"/>
        </w:rPr>
        <w:t>Funds</w:t>
      </w:r>
      <w:r w:rsidRPr="00100B96">
        <w:rPr>
          <w:rFonts w:cstheme="minorHAnsi"/>
          <w:spacing w:val="-8"/>
          <w:sz w:val="24"/>
          <w:szCs w:val="24"/>
        </w:rPr>
        <w:t xml:space="preserve"> </w:t>
      </w:r>
      <w:r w:rsidRPr="00100B96">
        <w:rPr>
          <w:rFonts w:cstheme="minorHAnsi"/>
          <w:sz w:val="24"/>
          <w:szCs w:val="24"/>
        </w:rPr>
        <w:t>(where</w:t>
      </w:r>
      <w:r w:rsidRPr="00100B96">
        <w:rPr>
          <w:rFonts w:cstheme="minorHAnsi"/>
          <w:spacing w:val="-8"/>
          <w:sz w:val="24"/>
          <w:szCs w:val="24"/>
        </w:rPr>
        <w:t xml:space="preserve"> </w:t>
      </w:r>
      <w:r w:rsidRPr="00100B96">
        <w:rPr>
          <w:rFonts w:cstheme="minorHAnsi"/>
          <w:sz w:val="24"/>
          <w:szCs w:val="24"/>
        </w:rPr>
        <w:t>applicable),</w:t>
      </w:r>
      <w:r w:rsidRPr="00100B96">
        <w:rPr>
          <w:rFonts w:cstheme="minorHAnsi"/>
          <w:spacing w:val="-8"/>
          <w:sz w:val="24"/>
          <w:szCs w:val="24"/>
        </w:rPr>
        <w:t xml:space="preserve"> </w:t>
      </w:r>
      <w:r w:rsidRPr="00100B96">
        <w:rPr>
          <w:rFonts w:cstheme="minorHAnsi"/>
          <w:spacing w:val="-5"/>
          <w:sz w:val="24"/>
          <w:szCs w:val="24"/>
        </w:rPr>
        <w:t>and</w:t>
      </w:r>
      <w:r>
        <w:rPr>
          <w:rFonts w:cstheme="minorHAnsi"/>
          <w:sz w:val="24"/>
          <w:szCs w:val="24"/>
        </w:rPr>
        <w:t xml:space="preserve"> </w:t>
      </w:r>
      <w:r w:rsidRPr="00100B96">
        <w:rPr>
          <w:rFonts w:cstheme="minorHAnsi"/>
          <w:sz w:val="24"/>
          <w:szCs w:val="24"/>
        </w:rPr>
        <w:t>Notes</w:t>
      </w:r>
      <w:r w:rsidRPr="00100B96">
        <w:rPr>
          <w:rFonts w:cstheme="minorHAnsi"/>
          <w:spacing w:val="-6"/>
          <w:sz w:val="24"/>
          <w:szCs w:val="24"/>
        </w:rPr>
        <w:t xml:space="preserve"> </w:t>
      </w:r>
      <w:r w:rsidRPr="00100B96">
        <w:rPr>
          <w:rFonts w:cstheme="minorHAnsi"/>
          <w:sz w:val="24"/>
          <w:szCs w:val="24"/>
        </w:rPr>
        <w:t>to</w:t>
      </w:r>
      <w:r w:rsidRPr="00100B96">
        <w:rPr>
          <w:rFonts w:cstheme="minorHAnsi"/>
          <w:spacing w:val="-6"/>
          <w:sz w:val="24"/>
          <w:szCs w:val="24"/>
        </w:rPr>
        <w:t xml:space="preserve"> </w:t>
      </w:r>
      <w:r w:rsidRPr="00100B96">
        <w:rPr>
          <w:rFonts w:cstheme="minorHAnsi"/>
          <w:sz w:val="24"/>
          <w:szCs w:val="24"/>
        </w:rPr>
        <w:t>the</w:t>
      </w:r>
      <w:r w:rsidRPr="00100B96">
        <w:rPr>
          <w:rFonts w:cstheme="minorHAnsi"/>
          <w:spacing w:val="-5"/>
          <w:sz w:val="24"/>
          <w:szCs w:val="24"/>
        </w:rPr>
        <w:t xml:space="preserve"> </w:t>
      </w:r>
      <w:r w:rsidRPr="00100B96">
        <w:rPr>
          <w:rFonts w:cstheme="minorHAnsi"/>
          <w:sz w:val="24"/>
          <w:szCs w:val="24"/>
        </w:rPr>
        <w:t>Financial</w:t>
      </w:r>
      <w:r w:rsidRPr="00100B96">
        <w:rPr>
          <w:rFonts w:cstheme="minorHAnsi"/>
          <w:spacing w:val="-2"/>
          <w:sz w:val="24"/>
          <w:szCs w:val="24"/>
        </w:rPr>
        <w:t xml:space="preserve"> Statements</w:t>
      </w:r>
      <w:r>
        <w:rPr>
          <w:rFonts w:cstheme="minorHAnsi"/>
          <w:spacing w:val="-2"/>
          <w:sz w:val="24"/>
          <w:szCs w:val="24"/>
        </w:rPr>
        <w:t>. The Statement of Comprehensive Income, for example, may include up to 72 line items (as illustrated in Appendix 4 of the attached report).</w:t>
      </w:r>
      <w:r>
        <w:rPr>
          <w:rFonts w:cstheme="minorHAnsi"/>
          <w:sz w:val="24"/>
          <w:szCs w:val="24"/>
        </w:rPr>
        <w:t xml:space="preserve"> The </w:t>
      </w:r>
      <w:hyperlink r:id="rId20">
        <w:r w:rsidRPr="00100B96">
          <w:rPr>
            <w:rFonts w:cstheme="minorHAnsi"/>
            <w:sz w:val="24"/>
            <w:szCs w:val="24"/>
          </w:rPr>
          <w:t>Financial</w:t>
        </w:r>
        <w:r w:rsidRPr="00100B96">
          <w:rPr>
            <w:rFonts w:cstheme="minorHAnsi"/>
            <w:spacing w:val="-9"/>
            <w:sz w:val="24"/>
            <w:szCs w:val="24"/>
          </w:rPr>
          <w:t xml:space="preserve"> </w:t>
        </w:r>
        <w:r w:rsidRPr="00100B96">
          <w:rPr>
            <w:rFonts w:cstheme="minorHAnsi"/>
            <w:sz w:val="24"/>
            <w:szCs w:val="24"/>
          </w:rPr>
          <w:t>Reports</w:t>
        </w:r>
        <w:r w:rsidRPr="00100B96">
          <w:rPr>
            <w:rFonts w:cstheme="minorHAnsi"/>
            <w:spacing w:val="-6"/>
            <w:sz w:val="24"/>
            <w:szCs w:val="24"/>
          </w:rPr>
          <w:t xml:space="preserve"> </w:t>
        </w:r>
        <w:r>
          <w:rPr>
            <w:rFonts w:cstheme="minorHAnsi"/>
            <w:sz w:val="24"/>
            <w:szCs w:val="24"/>
          </w:rPr>
          <w:t>P</w:t>
        </w:r>
        <w:r w:rsidRPr="00100B96">
          <w:rPr>
            <w:rFonts w:cstheme="minorHAnsi"/>
            <w:sz w:val="24"/>
            <w:szCs w:val="24"/>
          </w:rPr>
          <w:t>ackage</w:t>
        </w:r>
      </w:hyperlink>
      <w:r w:rsidRPr="00100B96">
        <w:rPr>
          <w:rFonts w:cstheme="minorHAnsi"/>
          <w:b/>
          <w:spacing w:val="-1"/>
          <w:sz w:val="24"/>
          <w:szCs w:val="24"/>
        </w:rPr>
        <w:t xml:space="preserve"> </w:t>
      </w:r>
      <w:r w:rsidRPr="00100B96">
        <w:rPr>
          <w:rFonts w:cstheme="minorHAnsi"/>
          <w:sz w:val="24"/>
          <w:szCs w:val="24"/>
        </w:rPr>
        <w:t>compris</w:t>
      </w:r>
      <w:r>
        <w:rPr>
          <w:rFonts w:cstheme="minorHAnsi"/>
          <w:sz w:val="24"/>
          <w:szCs w:val="24"/>
        </w:rPr>
        <w:t xml:space="preserve">es  a </w:t>
      </w:r>
      <w:r w:rsidRPr="00DE1101">
        <w:rPr>
          <w:rFonts w:cstheme="minorHAnsi"/>
          <w:sz w:val="24"/>
          <w:szCs w:val="24"/>
        </w:rPr>
        <w:t>Wardens’</w:t>
      </w:r>
      <w:r w:rsidRPr="00DE1101">
        <w:rPr>
          <w:rFonts w:cstheme="minorHAnsi"/>
          <w:spacing w:val="-10"/>
          <w:sz w:val="24"/>
          <w:szCs w:val="24"/>
        </w:rPr>
        <w:t xml:space="preserve"> </w:t>
      </w:r>
      <w:r w:rsidRPr="00DE1101">
        <w:rPr>
          <w:rFonts w:cstheme="minorHAnsi"/>
          <w:sz w:val="24"/>
          <w:szCs w:val="24"/>
        </w:rPr>
        <w:t>and</w:t>
      </w:r>
      <w:r w:rsidRPr="00DE1101">
        <w:rPr>
          <w:rFonts w:cstheme="minorHAnsi"/>
          <w:spacing w:val="-8"/>
          <w:sz w:val="24"/>
          <w:szCs w:val="24"/>
        </w:rPr>
        <w:t xml:space="preserve"> </w:t>
      </w:r>
      <w:r w:rsidRPr="00DE1101">
        <w:rPr>
          <w:rFonts w:cstheme="minorHAnsi"/>
          <w:sz w:val="24"/>
          <w:szCs w:val="24"/>
        </w:rPr>
        <w:t>Treasurer’s</w:t>
      </w:r>
      <w:r w:rsidRPr="00DE1101">
        <w:rPr>
          <w:rFonts w:cstheme="minorHAnsi"/>
          <w:spacing w:val="-10"/>
          <w:sz w:val="24"/>
          <w:szCs w:val="24"/>
        </w:rPr>
        <w:t xml:space="preserve"> </w:t>
      </w:r>
      <w:r w:rsidRPr="00DE1101">
        <w:rPr>
          <w:rFonts w:cstheme="minorHAnsi"/>
          <w:spacing w:val="-2"/>
          <w:sz w:val="24"/>
          <w:szCs w:val="24"/>
        </w:rPr>
        <w:t>Report</w:t>
      </w:r>
      <w:r>
        <w:rPr>
          <w:rFonts w:cstheme="minorHAnsi"/>
          <w:spacing w:val="-2"/>
          <w:sz w:val="24"/>
          <w:szCs w:val="24"/>
        </w:rPr>
        <w:t xml:space="preserve">; a </w:t>
      </w:r>
      <w:r w:rsidRPr="00100B96">
        <w:rPr>
          <w:rFonts w:cstheme="minorHAnsi"/>
          <w:sz w:val="24"/>
          <w:szCs w:val="24"/>
        </w:rPr>
        <w:t>Wardens’</w:t>
      </w:r>
      <w:r w:rsidRPr="00100B96">
        <w:rPr>
          <w:rFonts w:cstheme="minorHAnsi"/>
          <w:spacing w:val="40"/>
          <w:sz w:val="24"/>
          <w:szCs w:val="24"/>
        </w:rPr>
        <w:t xml:space="preserve"> </w:t>
      </w:r>
      <w:r w:rsidRPr="00100B96">
        <w:rPr>
          <w:rFonts w:cstheme="minorHAnsi"/>
          <w:sz w:val="24"/>
          <w:szCs w:val="24"/>
        </w:rPr>
        <w:t>Declaration</w:t>
      </w:r>
      <w:r w:rsidRPr="00100B96">
        <w:rPr>
          <w:rFonts w:cstheme="minorHAnsi"/>
          <w:spacing w:val="40"/>
          <w:sz w:val="24"/>
          <w:szCs w:val="24"/>
        </w:rPr>
        <w:t xml:space="preserve"> </w:t>
      </w:r>
      <w:r w:rsidRPr="00100B96">
        <w:rPr>
          <w:rFonts w:cstheme="minorHAnsi"/>
          <w:sz w:val="24"/>
          <w:szCs w:val="24"/>
        </w:rPr>
        <w:t>in</w:t>
      </w:r>
      <w:r w:rsidRPr="00100B96">
        <w:rPr>
          <w:rFonts w:cstheme="minorHAnsi"/>
          <w:spacing w:val="40"/>
          <w:sz w:val="24"/>
          <w:szCs w:val="24"/>
        </w:rPr>
        <w:t xml:space="preserve"> </w:t>
      </w:r>
      <w:r w:rsidRPr="00100B96">
        <w:rPr>
          <w:rFonts w:cstheme="minorHAnsi"/>
          <w:sz w:val="24"/>
          <w:szCs w:val="24"/>
        </w:rPr>
        <w:t>relation</w:t>
      </w:r>
      <w:r w:rsidRPr="00100B96">
        <w:rPr>
          <w:rFonts w:cstheme="minorHAnsi"/>
          <w:spacing w:val="40"/>
          <w:sz w:val="24"/>
          <w:szCs w:val="24"/>
        </w:rPr>
        <w:t xml:space="preserve"> </w:t>
      </w:r>
      <w:r w:rsidRPr="00100B96">
        <w:rPr>
          <w:rFonts w:cstheme="minorHAnsi"/>
          <w:sz w:val="24"/>
          <w:szCs w:val="24"/>
        </w:rPr>
        <w:t>to</w:t>
      </w:r>
      <w:r w:rsidRPr="00100B96">
        <w:rPr>
          <w:rFonts w:cstheme="minorHAnsi"/>
          <w:spacing w:val="40"/>
          <w:sz w:val="24"/>
          <w:szCs w:val="24"/>
        </w:rPr>
        <w:t xml:space="preserve"> </w:t>
      </w:r>
      <w:r w:rsidRPr="00100B96">
        <w:rPr>
          <w:rFonts w:cstheme="minorHAnsi"/>
          <w:sz w:val="24"/>
          <w:szCs w:val="24"/>
        </w:rPr>
        <w:t>the</w:t>
      </w:r>
      <w:r w:rsidRPr="00100B96">
        <w:rPr>
          <w:rFonts w:cstheme="minorHAnsi"/>
          <w:spacing w:val="40"/>
          <w:sz w:val="24"/>
          <w:szCs w:val="24"/>
        </w:rPr>
        <w:t xml:space="preserve"> </w:t>
      </w:r>
      <w:r w:rsidRPr="00100B96">
        <w:rPr>
          <w:rFonts w:cstheme="minorHAnsi"/>
          <w:sz w:val="24"/>
          <w:szCs w:val="24"/>
        </w:rPr>
        <w:t>Australian</w:t>
      </w:r>
      <w:r w:rsidRPr="00100B96">
        <w:rPr>
          <w:rFonts w:cstheme="minorHAnsi"/>
          <w:spacing w:val="40"/>
          <w:sz w:val="24"/>
          <w:szCs w:val="24"/>
        </w:rPr>
        <w:t xml:space="preserve"> </w:t>
      </w:r>
      <w:r w:rsidRPr="00100B96">
        <w:rPr>
          <w:rFonts w:cstheme="minorHAnsi"/>
          <w:sz w:val="24"/>
          <w:szCs w:val="24"/>
        </w:rPr>
        <w:t>Charities</w:t>
      </w:r>
      <w:r w:rsidRPr="00100B96">
        <w:rPr>
          <w:rFonts w:cstheme="minorHAnsi"/>
          <w:spacing w:val="40"/>
          <w:sz w:val="24"/>
          <w:szCs w:val="24"/>
        </w:rPr>
        <w:t xml:space="preserve"> </w:t>
      </w:r>
      <w:r w:rsidRPr="00100B96">
        <w:rPr>
          <w:rFonts w:cstheme="minorHAnsi"/>
          <w:sz w:val="24"/>
          <w:szCs w:val="24"/>
        </w:rPr>
        <w:t>and</w:t>
      </w:r>
      <w:r w:rsidRPr="00100B96">
        <w:rPr>
          <w:rFonts w:cstheme="minorHAnsi"/>
          <w:spacing w:val="40"/>
          <w:sz w:val="24"/>
          <w:szCs w:val="24"/>
        </w:rPr>
        <w:t xml:space="preserve"> </w:t>
      </w:r>
      <w:r w:rsidRPr="00100B96">
        <w:rPr>
          <w:rFonts w:cstheme="minorHAnsi"/>
          <w:sz w:val="24"/>
          <w:szCs w:val="24"/>
        </w:rPr>
        <w:t>Not-for-profits</w:t>
      </w:r>
      <w:r w:rsidRPr="00100B96">
        <w:rPr>
          <w:rFonts w:cstheme="minorHAnsi"/>
          <w:spacing w:val="40"/>
          <w:sz w:val="24"/>
          <w:szCs w:val="24"/>
        </w:rPr>
        <w:t xml:space="preserve"> </w:t>
      </w:r>
      <w:r w:rsidRPr="00100B96">
        <w:rPr>
          <w:rFonts w:cstheme="minorHAnsi"/>
          <w:sz w:val="24"/>
          <w:szCs w:val="24"/>
        </w:rPr>
        <w:t>Commission (ACNC)</w:t>
      </w:r>
      <w:r>
        <w:rPr>
          <w:rFonts w:cstheme="minorHAnsi"/>
          <w:sz w:val="24"/>
          <w:szCs w:val="24"/>
        </w:rPr>
        <w:t xml:space="preserve">; an </w:t>
      </w:r>
      <w:r w:rsidRPr="00DE1101">
        <w:rPr>
          <w:rFonts w:cstheme="minorHAnsi"/>
          <w:sz w:val="24"/>
          <w:szCs w:val="24"/>
        </w:rPr>
        <w:t>Independent</w:t>
      </w:r>
      <w:r w:rsidRPr="00DE1101">
        <w:rPr>
          <w:rFonts w:cstheme="minorHAnsi"/>
          <w:spacing w:val="-11"/>
          <w:sz w:val="24"/>
          <w:szCs w:val="24"/>
        </w:rPr>
        <w:t xml:space="preserve"> </w:t>
      </w:r>
      <w:r w:rsidRPr="00DE1101">
        <w:rPr>
          <w:rFonts w:cstheme="minorHAnsi"/>
          <w:sz w:val="24"/>
          <w:szCs w:val="24"/>
        </w:rPr>
        <w:t>Assurance</w:t>
      </w:r>
      <w:r w:rsidRPr="00DE1101">
        <w:rPr>
          <w:rFonts w:cstheme="minorHAnsi"/>
          <w:spacing w:val="-10"/>
          <w:sz w:val="24"/>
          <w:szCs w:val="24"/>
        </w:rPr>
        <w:t xml:space="preserve"> </w:t>
      </w:r>
      <w:r w:rsidRPr="00DE1101">
        <w:rPr>
          <w:rFonts w:cstheme="minorHAnsi"/>
          <w:sz w:val="24"/>
          <w:szCs w:val="24"/>
        </w:rPr>
        <w:t>Practitioner’s</w:t>
      </w:r>
      <w:r w:rsidRPr="00DE1101">
        <w:rPr>
          <w:rFonts w:cstheme="minorHAnsi"/>
          <w:spacing w:val="-13"/>
          <w:sz w:val="24"/>
          <w:szCs w:val="24"/>
        </w:rPr>
        <w:t xml:space="preserve"> </w:t>
      </w:r>
      <w:r w:rsidRPr="00DE1101">
        <w:rPr>
          <w:rFonts w:cstheme="minorHAnsi"/>
          <w:sz w:val="24"/>
          <w:szCs w:val="24"/>
        </w:rPr>
        <w:t>Review</w:t>
      </w:r>
      <w:r w:rsidRPr="00DE1101">
        <w:rPr>
          <w:rFonts w:cstheme="minorHAnsi"/>
          <w:spacing w:val="-11"/>
          <w:sz w:val="24"/>
          <w:szCs w:val="24"/>
        </w:rPr>
        <w:t xml:space="preserve"> </w:t>
      </w:r>
      <w:r w:rsidRPr="00DE1101">
        <w:rPr>
          <w:rFonts w:cstheme="minorHAnsi"/>
          <w:sz w:val="24"/>
          <w:szCs w:val="24"/>
        </w:rPr>
        <w:t>Report</w:t>
      </w:r>
      <w:r w:rsidRPr="00DE1101">
        <w:rPr>
          <w:rFonts w:cstheme="minorHAnsi"/>
          <w:spacing w:val="-11"/>
          <w:sz w:val="24"/>
          <w:szCs w:val="24"/>
        </w:rPr>
        <w:t xml:space="preserve"> </w:t>
      </w:r>
      <w:r w:rsidRPr="00DE1101">
        <w:rPr>
          <w:rFonts w:cstheme="minorHAnsi"/>
          <w:sz w:val="24"/>
          <w:szCs w:val="24"/>
        </w:rPr>
        <w:t>(Auditor’s</w:t>
      </w:r>
      <w:r w:rsidRPr="00DE1101">
        <w:rPr>
          <w:rFonts w:cstheme="minorHAnsi"/>
          <w:spacing w:val="-9"/>
          <w:sz w:val="24"/>
          <w:szCs w:val="24"/>
        </w:rPr>
        <w:t xml:space="preserve"> </w:t>
      </w:r>
      <w:r w:rsidRPr="00DE1101">
        <w:rPr>
          <w:rFonts w:cstheme="minorHAnsi"/>
          <w:spacing w:val="-2"/>
          <w:sz w:val="24"/>
          <w:szCs w:val="24"/>
        </w:rPr>
        <w:t>Report),</w:t>
      </w:r>
      <w:r>
        <w:rPr>
          <w:rFonts w:cstheme="minorHAnsi"/>
          <w:sz w:val="24"/>
          <w:szCs w:val="24"/>
        </w:rPr>
        <w:t xml:space="preserve"> a </w:t>
      </w:r>
      <w:r w:rsidRPr="00AB4FB3">
        <w:rPr>
          <w:rFonts w:cstheme="minorHAnsi"/>
          <w:sz w:val="24"/>
          <w:szCs w:val="24"/>
        </w:rPr>
        <w:t>Property Income Worksheet (audited) and</w:t>
      </w:r>
      <w:r>
        <w:rPr>
          <w:rFonts w:cstheme="minorHAnsi"/>
          <w:sz w:val="24"/>
          <w:szCs w:val="24"/>
        </w:rPr>
        <w:t xml:space="preserve"> a </w:t>
      </w:r>
      <w:r w:rsidRPr="00DE1101">
        <w:rPr>
          <w:rFonts w:cstheme="minorHAnsi"/>
          <w:sz w:val="24"/>
          <w:szCs w:val="24"/>
        </w:rPr>
        <w:t>Statement of Insurance Policies</w:t>
      </w:r>
      <w:r>
        <w:rPr>
          <w:rFonts w:cstheme="minorHAnsi"/>
          <w:sz w:val="24"/>
          <w:szCs w:val="24"/>
        </w:rPr>
        <w:t>.</w:t>
      </w:r>
    </w:p>
    <w:p w14:paraId="7BBBAF8C" w14:textId="77777777" w:rsidR="00717125" w:rsidRDefault="00717125" w:rsidP="00571045">
      <w:pPr>
        <w:spacing w:after="0" w:line="360" w:lineRule="auto"/>
        <w:rPr>
          <w:rFonts w:cstheme="minorHAnsi"/>
          <w:sz w:val="24"/>
          <w:szCs w:val="24"/>
        </w:rPr>
      </w:pPr>
    </w:p>
    <w:p w14:paraId="6A4A7868" w14:textId="77777777" w:rsidR="00D2248E" w:rsidRDefault="00D2248E" w:rsidP="00571045">
      <w:pPr>
        <w:spacing w:after="0" w:line="360" w:lineRule="auto"/>
        <w:rPr>
          <w:rFonts w:cstheme="minorHAnsi"/>
          <w:sz w:val="24"/>
          <w:szCs w:val="24"/>
        </w:rPr>
      </w:pPr>
    </w:p>
    <w:p w14:paraId="45FA1302" w14:textId="77777777" w:rsidR="00D739B2" w:rsidRDefault="00D739B2" w:rsidP="00D739B2">
      <w:pPr>
        <w:pStyle w:val="BodyText"/>
        <w:spacing w:line="360" w:lineRule="auto"/>
        <w:rPr>
          <w:rFonts w:asciiTheme="minorHAnsi" w:hAnsiTheme="minorHAnsi" w:cstheme="minorHAnsi"/>
        </w:rPr>
      </w:pPr>
      <w:r>
        <w:rPr>
          <w:rFonts w:asciiTheme="minorHAnsi" w:hAnsiTheme="minorHAnsi" w:cstheme="minorHAnsi"/>
          <w:u w:val="single"/>
        </w:rPr>
        <w:t xml:space="preserve">3: </w:t>
      </w:r>
      <w:r w:rsidRPr="005D5F97">
        <w:rPr>
          <w:rFonts w:asciiTheme="minorHAnsi" w:hAnsiTheme="minorHAnsi" w:cstheme="minorHAnsi"/>
          <w:u w:val="single"/>
        </w:rPr>
        <w:t xml:space="preserve">UCA - St Arnaud </w:t>
      </w:r>
      <w:r w:rsidRPr="00A7202E">
        <w:rPr>
          <w:rFonts w:asciiTheme="minorHAnsi" w:hAnsiTheme="minorHAnsi" w:cstheme="minorHAnsi"/>
          <w:u w:val="single"/>
        </w:rPr>
        <w:t xml:space="preserve">(ABN </w:t>
      </w:r>
      <w:r w:rsidRPr="005D5F97">
        <w:rPr>
          <w:rFonts w:asciiTheme="minorHAnsi" w:hAnsiTheme="minorHAnsi" w:cstheme="minorHAnsi"/>
          <w:u w:val="single"/>
        </w:rPr>
        <w:t>62992953292</w:t>
      </w:r>
      <w:r w:rsidRPr="00A7202E">
        <w:rPr>
          <w:rFonts w:asciiTheme="minorHAnsi" w:hAnsiTheme="minorHAnsi" w:cstheme="minorHAnsi"/>
          <w:u w:val="single"/>
        </w:rPr>
        <w:t>).</w:t>
      </w:r>
      <w:r>
        <w:rPr>
          <w:rFonts w:asciiTheme="minorHAnsi" w:hAnsiTheme="minorHAnsi" w:cstheme="minorHAnsi"/>
        </w:rPr>
        <w:t xml:space="preserve"> </w:t>
      </w:r>
    </w:p>
    <w:p w14:paraId="25B81CC7" w14:textId="77777777" w:rsidR="00D739B2" w:rsidRDefault="00D739B2" w:rsidP="00D739B2">
      <w:pPr>
        <w:pStyle w:val="BodyText"/>
        <w:spacing w:line="360" w:lineRule="auto"/>
        <w:rPr>
          <w:rFonts w:asciiTheme="minorHAnsi" w:hAnsiTheme="minorHAnsi" w:cstheme="minorHAnsi"/>
        </w:rPr>
      </w:pPr>
      <w:r>
        <w:rPr>
          <w:rFonts w:asciiTheme="minorHAnsi" w:hAnsiTheme="minorHAnsi" w:cstheme="minorHAnsi"/>
        </w:rPr>
        <w:t xml:space="preserve">The Governing Document lodged with the ACNC by </w:t>
      </w:r>
      <w:r w:rsidRPr="00A7202E">
        <w:rPr>
          <w:rFonts w:asciiTheme="minorHAnsi" w:hAnsiTheme="minorHAnsi" w:cstheme="minorHAnsi"/>
        </w:rPr>
        <w:t xml:space="preserve">Uca </w:t>
      </w:r>
      <w:r>
        <w:rPr>
          <w:rFonts w:asciiTheme="minorHAnsi" w:hAnsiTheme="minorHAnsi" w:cstheme="minorHAnsi"/>
        </w:rPr>
        <w:t>–</w:t>
      </w:r>
      <w:r w:rsidRPr="00A7202E">
        <w:rPr>
          <w:rFonts w:asciiTheme="minorHAnsi" w:hAnsiTheme="minorHAnsi" w:cstheme="minorHAnsi"/>
        </w:rPr>
        <w:t xml:space="preserve"> </w:t>
      </w:r>
      <w:r>
        <w:rPr>
          <w:rFonts w:asciiTheme="minorHAnsi" w:hAnsiTheme="minorHAnsi" w:cstheme="minorHAnsi"/>
        </w:rPr>
        <w:t>St Arnaud, a small BRC,</w:t>
      </w:r>
      <w:r w:rsidRPr="005D5F97">
        <w:rPr>
          <w:rFonts w:asciiTheme="minorHAnsi" w:hAnsiTheme="minorHAnsi" w:cstheme="minorHAnsi"/>
        </w:rPr>
        <w:t xml:space="preserve"> </w:t>
      </w:r>
      <w:r>
        <w:rPr>
          <w:rFonts w:asciiTheme="minorHAnsi" w:hAnsiTheme="minorHAnsi" w:cstheme="minorHAnsi"/>
        </w:rPr>
        <w:t xml:space="preserve">is titled, </w:t>
      </w:r>
      <w:bookmarkStart w:id="4" w:name="_Hlk123670165"/>
      <w:r w:rsidRPr="005D5F97">
        <w:rPr>
          <w:rFonts w:asciiTheme="minorHAnsi" w:hAnsiTheme="minorHAnsi" w:cstheme="minorHAnsi"/>
          <w:i/>
        </w:rPr>
        <w:t>The Uniting Church in</w:t>
      </w:r>
      <w:r>
        <w:rPr>
          <w:rFonts w:asciiTheme="minorHAnsi" w:hAnsiTheme="minorHAnsi" w:cstheme="minorHAnsi"/>
        </w:rPr>
        <w:t xml:space="preserve"> Australia </w:t>
      </w:r>
      <w:r w:rsidRPr="00110353">
        <w:rPr>
          <w:rFonts w:asciiTheme="minorHAnsi" w:hAnsiTheme="minorHAnsi" w:cstheme="minorHAnsi"/>
          <w:i/>
        </w:rPr>
        <w:t>Constitution</w:t>
      </w:r>
      <w:r>
        <w:rPr>
          <w:rFonts w:asciiTheme="minorHAnsi" w:hAnsiTheme="minorHAnsi" w:cstheme="minorHAnsi"/>
          <w:i/>
        </w:rPr>
        <w:t xml:space="preserve">. </w:t>
      </w:r>
      <w:r>
        <w:rPr>
          <w:rFonts w:asciiTheme="minorHAnsi" w:hAnsiTheme="minorHAnsi" w:cstheme="minorHAnsi"/>
        </w:rPr>
        <w:t xml:space="preserve">The financial reporting requirements are listed in the part titled, </w:t>
      </w:r>
      <w:r w:rsidRPr="005D5F97">
        <w:rPr>
          <w:rFonts w:asciiTheme="minorHAnsi" w:hAnsiTheme="minorHAnsi" w:cstheme="minorHAnsi"/>
          <w:i/>
        </w:rPr>
        <w:t>Uniting Church in Australia Regulations</w:t>
      </w:r>
      <w:r>
        <w:rPr>
          <w:rFonts w:asciiTheme="minorHAnsi" w:hAnsiTheme="minorHAnsi" w:cstheme="minorHAnsi"/>
          <w:i/>
        </w:rPr>
        <w:t xml:space="preserve">. </w:t>
      </w:r>
      <w:r w:rsidRPr="00D44BE4">
        <w:rPr>
          <w:rFonts w:asciiTheme="minorHAnsi" w:hAnsiTheme="minorHAnsi" w:cstheme="minorHAnsi"/>
        </w:rPr>
        <w:t>They are</w:t>
      </w:r>
      <w:r>
        <w:rPr>
          <w:rFonts w:asciiTheme="minorHAnsi" w:hAnsiTheme="minorHAnsi" w:cstheme="minorHAnsi"/>
          <w:i/>
        </w:rPr>
        <w:t xml:space="preserve">: </w:t>
      </w:r>
      <w:r>
        <w:rPr>
          <w:rFonts w:asciiTheme="minorHAnsi" w:hAnsiTheme="minorHAnsi" w:cstheme="minorHAnsi"/>
        </w:rPr>
        <w:t xml:space="preserve"> </w:t>
      </w:r>
    </w:p>
    <w:p w14:paraId="2334CB19" w14:textId="77777777" w:rsidR="00D739B2" w:rsidRPr="00D44BE4" w:rsidRDefault="00D739B2" w:rsidP="00D739B2">
      <w:pPr>
        <w:pStyle w:val="BodyText"/>
        <w:spacing w:line="360" w:lineRule="auto"/>
        <w:rPr>
          <w:rFonts w:asciiTheme="minorHAnsi" w:hAnsiTheme="minorHAnsi" w:cstheme="minorHAnsi"/>
        </w:rPr>
      </w:pPr>
      <w:r w:rsidRPr="00D44BE4">
        <w:rPr>
          <w:rFonts w:asciiTheme="minorHAnsi" w:hAnsiTheme="minorHAnsi" w:cstheme="minorHAnsi"/>
        </w:rPr>
        <w:t xml:space="preserve">3.8.7 </w:t>
      </w:r>
      <w:r w:rsidRPr="00D44BE4">
        <w:rPr>
          <w:rFonts w:asciiTheme="minorHAnsi" w:hAnsiTheme="minorHAnsi" w:cstheme="minorHAnsi"/>
          <w:u w:val="single"/>
        </w:rPr>
        <w:t>Books of Account</w:t>
      </w:r>
    </w:p>
    <w:p w14:paraId="3B603887" w14:textId="77777777" w:rsidR="00D739B2" w:rsidRPr="00D44BE4" w:rsidRDefault="00D739B2" w:rsidP="00D739B2">
      <w:pPr>
        <w:pStyle w:val="BodyText"/>
        <w:spacing w:line="360" w:lineRule="auto"/>
        <w:ind w:left="851" w:hanging="142"/>
        <w:rPr>
          <w:rFonts w:asciiTheme="minorHAnsi" w:hAnsiTheme="minorHAnsi" w:cstheme="minorHAnsi"/>
        </w:rPr>
      </w:pPr>
      <w:r w:rsidRPr="00D44BE4">
        <w:rPr>
          <w:rFonts w:asciiTheme="minorHAnsi" w:hAnsiTheme="minorHAnsi" w:cstheme="minorHAnsi"/>
        </w:rPr>
        <w:t xml:space="preserve">(a) All funds of the Church shall be accounted for using proper, approved methods of accounting. The body responsible for funds shall keep proper books of account. The books of account shall include all receipts and disbursements received or made, all credits and debts owing or due and all other relevant matters necessary including a full explanation of the accounts .The body responsible shall, upon the request of the chairperson of the Church Council or other appointing body or the Synod Property Officer or any person authorized by any one of them, produce the books </w:t>
      </w:r>
      <w:r w:rsidRPr="00D44BE4">
        <w:rPr>
          <w:rFonts w:asciiTheme="minorHAnsi" w:hAnsiTheme="minorHAnsi" w:cstheme="minorHAnsi"/>
        </w:rPr>
        <w:lastRenderedPageBreak/>
        <w:t>of account together with all supporting or relevant accounts, receipts, and documents for inspection, and shall permit extracts to be taken and copies to be made by any such authorised officer.</w:t>
      </w:r>
    </w:p>
    <w:p w14:paraId="75656097" w14:textId="77777777" w:rsidR="00D739B2" w:rsidRPr="00D44BE4" w:rsidRDefault="00D739B2" w:rsidP="00D739B2">
      <w:pPr>
        <w:pStyle w:val="BodyText"/>
        <w:spacing w:line="360" w:lineRule="auto"/>
        <w:ind w:firstLine="720"/>
        <w:rPr>
          <w:rFonts w:asciiTheme="minorHAnsi" w:hAnsiTheme="minorHAnsi" w:cstheme="minorHAnsi"/>
          <w:u w:val="single"/>
        </w:rPr>
      </w:pPr>
      <w:r w:rsidRPr="00D44BE4">
        <w:rPr>
          <w:rFonts w:asciiTheme="minorHAnsi" w:hAnsiTheme="minorHAnsi" w:cstheme="minorHAnsi"/>
          <w:u w:val="single"/>
        </w:rPr>
        <w:t>Audit</w:t>
      </w:r>
    </w:p>
    <w:p w14:paraId="4D3780FB" w14:textId="77777777" w:rsidR="00D739B2" w:rsidRPr="00D44BE4" w:rsidRDefault="00D739B2" w:rsidP="00D739B2">
      <w:pPr>
        <w:pStyle w:val="BodyText"/>
        <w:spacing w:line="360" w:lineRule="auto"/>
        <w:ind w:left="851" w:hanging="131"/>
        <w:rPr>
          <w:rFonts w:asciiTheme="minorHAnsi" w:hAnsiTheme="minorHAnsi" w:cstheme="minorHAnsi"/>
        </w:rPr>
      </w:pPr>
      <w:r w:rsidRPr="00D44BE4">
        <w:rPr>
          <w:rFonts w:asciiTheme="minorHAnsi" w:hAnsiTheme="minorHAnsi" w:cstheme="minorHAnsi"/>
        </w:rPr>
        <w:t>(c) The books of account shall be audited and certified by the auditors at</w:t>
      </w:r>
    </w:p>
    <w:p w14:paraId="655C0E66" w14:textId="77777777" w:rsidR="00D739B2" w:rsidRPr="00D44BE4" w:rsidRDefault="00D739B2" w:rsidP="00D739B2">
      <w:pPr>
        <w:pStyle w:val="BodyText"/>
        <w:spacing w:line="360" w:lineRule="auto"/>
        <w:ind w:left="284" w:firstLine="720"/>
        <w:rPr>
          <w:rFonts w:asciiTheme="minorHAnsi" w:hAnsiTheme="minorHAnsi" w:cstheme="minorHAnsi"/>
        </w:rPr>
      </w:pPr>
      <w:r w:rsidRPr="00D44BE4">
        <w:rPr>
          <w:rFonts w:asciiTheme="minorHAnsi" w:hAnsiTheme="minorHAnsi" w:cstheme="minorHAnsi"/>
        </w:rPr>
        <w:t>least once in every year and at such other times as may be required by the</w:t>
      </w:r>
    </w:p>
    <w:p w14:paraId="17A14A81" w14:textId="77777777" w:rsidR="00D739B2" w:rsidRPr="00D44BE4" w:rsidRDefault="00D739B2" w:rsidP="00D739B2">
      <w:pPr>
        <w:pStyle w:val="BodyText"/>
        <w:spacing w:line="360" w:lineRule="auto"/>
        <w:ind w:left="993"/>
        <w:rPr>
          <w:rFonts w:asciiTheme="minorHAnsi" w:hAnsiTheme="minorHAnsi" w:cstheme="minorHAnsi"/>
        </w:rPr>
      </w:pPr>
      <w:r w:rsidRPr="00D44BE4">
        <w:rPr>
          <w:rFonts w:asciiTheme="minorHAnsi" w:hAnsiTheme="minorHAnsi" w:cstheme="minorHAnsi"/>
        </w:rPr>
        <w:t>chairperson of the Church Council or other body responsible as the case</w:t>
      </w:r>
    </w:p>
    <w:p w14:paraId="21B3FC79" w14:textId="77777777" w:rsidR="00D739B2" w:rsidRPr="00D44BE4" w:rsidRDefault="00D739B2" w:rsidP="00D739B2">
      <w:pPr>
        <w:pStyle w:val="BodyText"/>
        <w:spacing w:line="360" w:lineRule="auto"/>
        <w:ind w:firstLine="993"/>
        <w:rPr>
          <w:rFonts w:asciiTheme="minorHAnsi" w:hAnsiTheme="minorHAnsi" w:cstheme="minorHAnsi"/>
        </w:rPr>
      </w:pPr>
      <w:r w:rsidRPr="00D44BE4">
        <w:rPr>
          <w:rFonts w:asciiTheme="minorHAnsi" w:hAnsiTheme="minorHAnsi" w:cstheme="minorHAnsi"/>
        </w:rPr>
        <w:t>may require.</w:t>
      </w:r>
    </w:p>
    <w:bookmarkEnd w:id="4"/>
    <w:p w14:paraId="10E97DFC" w14:textId="77777777" w:rsidR="00D739B2" w:rsidRPr="00D44BE4" w:rsidRDefault="00D739B2" w:rsidP="00D739B2">
      <w:pPr>
        <w:pStyle w:val="BodyText"/>
        <w:spacing w:line="360" w:lineRule="auto"/>
        <w:rPr>
          <w:rFonts w:asciiTheme="minorHAnsi" w:hAnsiTheme="minorHAnsi" w:cstheme="minorHAnsi"/>
        </w:rPr>
      </w:pPr>
    </w:p>
    <w:p w14:paraId="6892DFB9" w14:textId="77777777" w:rsidR="00D739B2" w:rsidRDefault="00D739B2" w:rsidP="00D739B2">
      <w:pPr>
        <w:pStyle w:val="BodyText"/>
        <w:spacing w:line="360" w:lineRule="auto"/>
        <w:rPr>
          <w:rFonts w:asciiTheme="minorHAnsi" w:hAnsiTheme="minorHAnsi" w:cstheme="minorHAnsi"/>
        </w:rPr>
      </w:pPr>
      <w:r>
        <w:rPr>
          <w:rFonts w:asciiTheme="minorHAnsi" w:hAnsiTheme="minorHAnsi" w:cstheme="minorHAnsi"/>
        </w:rPr>
        <w:t>To comply with the above noted regulations on financial reporting, Uca-St Arnaud is required by t</w:t>
      </w:r>
      <w:r w:rsidRPr="00C4611D">
        <w:rPr>
          <w:rFonts w:asciiTheme="minorHAnsi" w:hAnsiTheme="minorHAnsi" w:cstheme="minorHAnsi"/>
        </w:rPr>
        <w:t xml:space="preserve">he Synod under whose authority </w:t>
      </w:r>
      <w:r>
        <w:rPr>
          <w:rFonts w:asciiTheme="minorHAnsi" w:hAnsiTheme="minorHAnsi" w:cstheme="minorHAnsi"/>
        </w:rPr>
        <w:t>it</w:t>
      </w:r>
      <w:r w:rsidRPr="00C4611D">
        <w:rPr>
          <w:rFonts w:asciiTheme="minorHAnsi" w:hAnsiTheme="minorHAnsi" w:cstheme="minorHAnsi"/>
        </w:rPr>
        <w:t xml:space="preserve"> operates</w:t>
      </w:r>
      <w:r>
        <w:rPr>
          <w:rFonts w:asciiTheme="minorHAnsi" w:hAnsiTheme="minorHAnsi" w:cstheme="minorHAnsi"/>
        </w:rPr>
        <w:t xml:space="preserve">, </w:t>
      </w:r>
      <w:r w:rsidRPr="00C4611D">
        <w:rPr>
          <w:rFonts w:asciiTheme="minorHAnsi" w:hAnsiTheme="minorHAnsi" w:cstheme="minorHAnsi"/>
        </w:rPr>
        <w:t>the Uniting Church Synod</w:t>
      </w:r>
      <w:r>
        <w:rPr>
          <w:rFonts w:asciiTheme="minorHAnsi" w:hAnsiTheme="minorHAnsi" w:cstheme="minorHAnsi"/>
        </w:rPr>
        <w:t xml:space="preserve"> NSW and ACT, to provide specific financial information in a format determined by the Synod. The template for this report is titled, Annual</w:t>
      </w:r>
      <w:r w:rsidRPr="004B3651">
        <w:rPr>
          <w:rFonts w:asciiTheme="minorHAnsi" w:hAnsiTheme="minorHAnsi" w:cstheme="minorHAnsi"/>
          <w:i/>
        </w:rPr>
        <w:t xml:space="preserve"> Financial Return</w:t>
      </w:r>
      <w:r>
        <w:rPr>
          <w:rFonts w:asciiTheme="minorHAnsi" w:hAnsiTheme="minorHAnsi" w:cstheme="minorHAnsi"/>
        </w:rPr>
        <w:t xml:space="preserve">. It is included in the attached </w:t>
      </w:r>
      <w:r w:rsidR="00B65DC3">
        <w:rPr>
          <w:rFonts w:asciiTheme="minorHAnsi" w:hAnsiTheme="minorHAnsi" w:cstheme="minorHAnsi"/>
        </w:rPr>
        <w:t>report as</w:t>
      </w:r>
      <w:r>
        <w:rPr>
          <w:rFonts w:asciiTheme="minorHAnsi" w:hAnsiTheme="minorHAnsi" w:cstheme="minorHAnsi"/>
        </w:rPr>
        <w:t xml:space="preserve"> Appendix 5. </w:t>
      </w:r>
      <w:r w:rsidRPr="00C4611D">
        <w:rPr>
          <w:rFonts w:asciiTheme="minorHAnsi" w:hAnsiTheme="minorHAnsi" w:cstheme="minorHAnsi"/>
        </w:rPr>
        <w:t xml:space="preserve"> </w:t>
      </w:r>
      <w:r>
        <w:rPr>
          <w:rFonts w:asciiTheme="minorHAnsi" w:hAnsiTheme="minorHAnsi" w:cstheme="minorHAnsi"/>
        </w:rPr>
        <w:t>The introduction to the template reads,</w:t>
      </w:r>
      <w:r w:rsidRPr="00C4611D">
        <w:rPr>
          <w:rFonts w:asciiTheme="minorHAnsi" w:hAnsiTheme="minorHAnsi" w:cstheme="minorHAnsi"/>
        </w:rPr>
        <w:t xml:space="preserve"> </w:t>
      </w:r>
    </w:p>
    <w:p w14:paraId="659D985E" w14:textId="77777777" w:rsidR="00D739B2" w:rsidRPr="003E2F9A" w:rsidRDefault="00D739B2" w:rsidP="00D739B2">
      <w:pPr>
        <w:pStyle w:val="BodyText"/>
        <w:spacing w:line="360" w:lineRule="auto"/>
        <w:ind w:left="720"/>
        <w:rPr>
          <w:rFonts w:asciiTheme="minorHAnsi" w:hAnsiTheme="minorHAnsi" w:cstheme="minorHAnsi"/>
          <w:i/>
          <w:sz w:val="22"/>
          <w:szCs w:val="22"/>
        </w:rPr>
      </w:pPr>
      <w:r w:rsidRPr="003E2F9A">
        <w:rPr>
          <w:rFonts w:asciiTheme="minorHAnsi" w:hAnsiTheme="minorHAnsi" w:cstheme="minorHAnsi"/>
          <w:i/>
          <w:sz w:val="22"/>
          <w:szCs w:val="22"/>
        </w:rPr>
        <w:t>According to the Uniting Church in Australia Constitution and Regulations regarding the Presentation of Accounts, “at least once in every year Audited Financial Statements … shall be submitted to the Church Council or other appointing body of the body responsible for their administrative and control.” (Section 3.8.7).</w:t>
      </w:r>
    </w:p>
    <w:p w14:paraId="69EB3805" w14:textId="77777777" w:rsidR="00D739B2" w:rsidRPr="001B316A" w:rsidRDefault="00D739B2" w:rsidP="00D739B2">
      <w:pPr>
        <w:pStyle w:val="BodyText"/>
        <w:spacing w:before="120" w:line="360" w:lineRule="auto"/>
        <w:rPr>
          <w:rFonts w:asciiTheme="minorHAnsi" w:hAnsiTheme="minorHAnsi" w:cstheme="minorHAnsi"/>
        </w:rPr>
      </w:pPr>
      <w:r>
        <w:rPr>
          <w:rFonts w:asciiTheme="minorHAnsi" w:hAnsiTheme="minorHAnsi" w:cstheme="minorHAnsi"/>
        </w:rPr>
        <w:t xml:space="preserve">While the </w:t>
      </w:r>
      <w:r w:rsidRPr="004B3651">
        <w:rPr>
          <w:rFonts w:asciiTheme="minorHAnsi" w:hAnsiTheme="minorHAnsi" w:cstheme="minorHAnsi"/>
          <w:i/>
        </w:rPr>
        <w:t>Annual Financial Return</w:t>
      </w:r>
      <w:r w:rsidRPr="001B316A">
        <w:rPr>
          <w:rFonts w:asciiTheme="minorHAnsi" w:hAnsiTheme="minorHAnsi" w:cstheme="minorHAnsi"/>
        </w:rPr>
        <w:t xml:space="preserve"> is a highly prescriptive and detailed financial report</w:t>
      </w:r>
      <w:r>
        <w:rPr>
          <w:rFonts w:asciiTheme="minorHAnsi" w:hAnsiTheme="minorHAnsi" w:cstheme="minorHAnsi"/>
        </w:rPr>
        <w:t xml:space="preserve">, churches </w:t>
      </w:r>
      <w:r w:rsidRPr="001B316A">
        <w:rPr>
          <w:rFonts w:asciiTheme="minorHAnsi" w:hAnsiTheme="minorHAnsi" w:cstheme="minorHAnsi"/>
        </w:rPr>
        <w:t>are</w:t>
      </w:r>
      <w:r>
        <w:rPr>
          <w:rFonts w:asciiTheme="minorHAnsi" w:hAnsiTheme="minorHAnsi" w:cstheme="minorHAnsi"/>
        </w:rPr>
        <w:t xml:space="preserve"> permitted to choose to report on either </w:t>
      </w:r>
      <w:r w:rsidRPr="001B316A">
        <w:rPr>
          <w:rFonts w:asciiTheme="minorHAnsi" w:hAnsiTheme="minorHAnsi" w:cstheme="minorHAnsi"/>
        </w:rPr>
        <w:t>a calendar year or financial year basis</w:t>
      </w:r>
      <w:r>
        <w:rPr>
          <w:rFonts w:asciiTheme="minorHAnsi" w:hAnsiTheme="minorHAnsi" w:cstheme="minorHAnsi"/>
        </w:rPr>
        <w:t>, and, it appears, to report on either a cash or an accrual basis</w:t>
      </w:r>
      <w:r w:rsidRPr="001B316A">
        <w:rPr>
          <w:rFonts w:asciiTheme="minorHAnsi" w:hAnsiTheme="minorHAnsi" w:cstheme="minorHAnsi"/>
        </w:rPr>
        <w:t xml:space="preserve">. </w:t>
      </w:r>
    </w:p>
    <w:p w14:paraId="7FD10AE7" w14:textId="77777777" w:rsidR="00D2248E" w:rsidRDefault="00D2248E" w:rsidP="00571045">
      <w:pPr>
        <w:spacing w:after="0" w:line="360" w:lineRule="auto"/>
        <w:rPr>
          <w:rFonts w:cstheme="minorHAnsi"/>
          <w:sz w:val="24"/>
          <w:szCs w:val="24"/>
        </w:rPr>
      </w:pPr>
    </w:p>
    <w:p w14:paraId="119C4020" w14:textId="77777777" w:rsidR="00E9398A" w:rsidRPr="00DF15AB" w:rsidRDefault="00E9398A" w:rsidP="00E9398A">
      <w:pPr>
        <w:spacing w:after="0" w:line="360" w:lineRule="auto"/>
        <w:rPr>
          <w:b/>
          <w:sz w:val="24"/>
          <w:szCs w:val="24"/>
        </w:rPr>
      </w:pPr>
      <w:r w:rsidRPr="00DF15AB">
        <w:rPr>
          <w:b/>
          <w:sz w:val="24"/>
          <w:szCs w:val="24"/>
        </w:rPr>
        <w:t>4:</w:t>
      </w:r>
      <w:r w:rsidR="00582CB2">
        <w:rPr>
          <w:b/>
          <w:sz w:val="24"/>
          <w:szCs w:val="24"/>
        </w:rPr>
        <w:t xml:space="preserve"> </w:t>
      </w:r>
      <w:r w:rsidRPr="00DF15AB">
        <w:rPr>
          <w:b/>
          <w:sz w:val="24"/>
          <w:szCs w:val="24"/>
        </w:rPr>
        <w:t>Fundraising</w:t>
      </w:r>
    </w:p>
    <w:p w14:paraId="3254B702" w14:textId="77777777" w:rsidR="008E436F" w:rsidRPr="001E73C1" w:rsidRDefault="008E436F" w:rsidP="008E436F">
      <w:pPr>
        <w:spacing w:line="360" w:lineRule="auto"/>
        <w:rPr>
          <w:rFonts w:cstheme="minorHAnsi"/>
          <w:color w:val="000000" w:themeColor="text1"/>
          <w:sz w:val="24"/>
          <w:szCs w:val="24"/>
        </w:rPr>
      </w:pPr>
      <w:bookmarkStart w:id="5" w:name="_Hlk158297358"/>
      <w:bookmarkStart w:id="6" w:name="_Hlk158298917"/>
      <w:r w:rsidRPr="00D55AA4">
        <w:rPr>
          <w:sz w:val="24"/>
          <w:szCs w:val="24"/>
        </w:rPr>
        <w:t>In 2020, 7.3% of</w:t>
      </w:r>
      <w:r w:rsidRPr="00A66DBE">
        <w:rPr>
          <w:sz w:val="24"/>
          <w:szCs w:val="24"/>
        </w:rPr>
        <w:t xml:space="preserve"> </w:t>
      </w:r>
      <w:r w:rsidRPr="00D55AA4">
        <w:rPr>
          <w:sz w:val="24"/>
          <w:szCs w:val="24"/>
        </w:rPr>
        <w:t xml:space="preserve">BRCs indicated on their AISs that they undertook </w:t>
      </w:r>
      <w:r>
        <w:rPr>
          <w:sz w:val="24"/>
          <w:szCs w:val="24"/>
        </w:rPr>
        <w:t xml:space="preserve">online </w:t>
      </w:r>
      <w:r w:rsidRPr="00D55AA4">
        <w:rPr>
          <w:sz w:val="24"/>
          <w:szCs w:val="24"/>
        </w:rPr>
        <w:t xml:space="preserve">fundraising. </w:t>
      </w:r>
      <w:r>
        <w:rPr>
          <w:sz w:val="24"/>
          <w:szCs w:val="24"/>
        </w:rPr>
        <w:t xml:space="preserve"> </w:t>
      </w:r>
      <w:r w:rsidR="00501884">
        <w:rPr>
          <w:sz w:val="24"/>
          <w:szCs w:val="24"/>
        </w:rPr>
        <w:t>However</w:t>
      </w:r>
      <w:r>
        <w:rPr>
          <w:sz w:val="24"/>
          <w:szCs w:val="24"/>
        </w:rPr>
        <w:t>, i</w:t>
      </w:r>
      <w:r>
        <w:rPr>
          <w:rFonts w:cstheme="minorHAnsi"/>
          <w:color w:val="000000" w:themeColor="text1"/>
          <w:sz w:val="24"/>
          <w:szCs w:val="24"/>
        </w:rPr>
        <w:t xml:space="preserve">t became apparent while inspecting websites of BRCs to determine what activities they performed that it </w:t>
      </w:r>
      <w:r w:rsidR="00D101F5">
        <w:rPr>
          <w:rFonts w:cstheme="minorHAnsi"/>
          <w:color w:val="000000" w:themeColor="text1"/>
          <w:sz w:val="24"/>
          <w:szCs w:val="24"/>
        </w:rPr>
        <w:t>was</w:t>
      </w:r>
      <w:r>
        <w:rPr>
          <w:rFonts w:cstheme="minorHAnsi"/>
          <w:color w:val="000000" w:themeColor="text1"/>
          <w:sz w:val="24"/>
          <w:szCs w:val="24"/>
        </w:rPr>
        <w:t xml:space="preserve"> certainly not uncommon for BRCs of all sizes to </w:t>
      </w:r>
      <w:r w:rsidR="00D101F5">
        <w:rPr>
          <w:rFonts w:cstheme="minorHAnsi"/>
          <w:color w:val="000000" w:themeColor="text1"/>
          <w:sz w:val="24"/>
          <w:szCs w:val="24"/>
        </w:rPr>
        <w:t>have an online facility to accept financial contributions</w:t>
      </w:r>
      <w:r>
        <w:rPr>
          <w:rFonts w:cstheme="minorHAnsi"/>
          <w:color w:val="000000" w:themeColor="text1"/>
          <w:sz w:val="24"/>
          <w:szCs w:val="24"/>
        </w:rPr>
        <w:t xml:space="preserve">. </w:t>
      </w:r>
      <w:r w:rsidR="00D101F5">
        <w:rPr>
          <w:rFonts w:cstheme="minorHAnsi"/>
          <w:color w:val="000000" w:themeColor="text1"/>
          <w:sz w:val="24"/>
          <w:szCs w:val="24"/>
        </w:rPr>
        <w:t>Such facilities include, f</w:t>
      </w:r>
      <w:r w:rsidR="00A66DBE">
        <w:rPr>
          <w:rFonts w:cstheme="minorHAnsi"/>
          <w:color w:val="000000" w:themeColor="text1"/>
          <w:sz w:val="24"/>
          <w:szCs w:val="24"/>
        </w:rPr>
        <w:t>or example, having a “Support Us” or “Donate” tile on the</w:t>
      </w:r>
      <w:r w:rsidR="00D101F5">
        <w:rPr>
          <w:rFonts w:cstheme="minorHAnsi"/>
          <w:color w:val="000000" w:themeColor="text1"/>
          <w:sz w:val="24"/>
          <w:szCs w:val="24"/>
        </w:rPr>
        <w:t>ir</w:t>
      </w:r>
      <w:r w:rsidR="00A66DBE">
        <w:rPr>
          <w:rFonts w:cstheme="minorHAnsi"/>
          <w:color w:val="000000" w:themeColor="text1"/>
          <w:sz w:val="24"/>
          <w:szCs w:val="24"/>
        </w:rPr>
        <w:t xml:space="preserve"> web page, which, when activated took one to an online facility to donate either my credit card or electronic funds transfer.</w:t>
      </w:r>
      <w:r w:rsidR="00F57BEC">
        <w:rPr>
          <w:rFonts w:cstheme="minorHAnsi"/>
          <w:color w:val="000000" w:themeColor="text1"/>
          <w:sz w:val="24"/>
          <w:szCs w:val="24"/>
        </w:rPr>
        <w:t xml:space="preserve"> An example of the wording above such a facility was, </w:t>
      </w:r>
      <w:r w:rsidR="00A66DBE">
        <w:rPr>
          <w:rFonts w:cstheme="minorHAnsi"/>
          <w:color w:val="000000" w:themeColor="text1"/>
          <w:sz w:val="24"/>
          <w:szCs w:val="24"/>
        </w:rPr>
        <w:t xml:space="preserve"> </w:t>
      </w:r>
      <w:r w:rsidR="00F57BEC" w:rsidRPr="00F57BEC">
        <w:rPr>
          <w:rFonts w:cstheme="minorHAnsi"/>
          <w:color w:val="000000" w:themeColor="text1"/>
          <w:sz w:val="24"/>
          <w:szCs w:val="24"/>
        </w:rPr>
        <w:t>“</w:t>
      </w:r>
      <w:r w:rsidR="00F57BEC" w:rsidRPr="00F57BEC">
        <w:rPr>
          <w:rFonts w:cstheme="minorHAnsi"/>
          <w:i/>
          <w:color w:val="000000" w:themeColor="text1"/>
          <w:sz w:val="24"/>
          <w:szCs w:val="24"/>
        </w:rPr>
        <w:t>If you would like to donate to support our parish please send it through the details below”</w:t>
      </w:r>
      <w:r w:rsidR="00F57BEC">
        <w:rPr>
          <w:rFonts w:cstheme="minorHAnsi"/>
          <w:color w:val="000000" w:themeColor="text1"/>
          <w:sz w:val="24"/>
          <w:szCs w:val="24"/>
        </w:rPr>
        <w:t xml:space="preserve">. </w:t>
      </w:r>
      <w:r>
        <w:rPr>
          <w:rFonts w:cstheme="minorHAnsi"/>
          <w:color w:val="000000" w:themeColor="text1"/>
          <w:sz w:val="24"/>
          <w:szCs w:val="24"/>
        </w:rPr>
        <w:t xml:space="preserve">Accordingly, a small sampling exercise was undertaken </w:t>
      </w:r>
      <w:r>
        <w:rPr>
          <w:rFonts w:cstheme="minorHAnsi"/>
          <w:color w:val="000000" w:themeColor="text1"/>
          <w:sz w:val="24"/>
          <w:szCs w:val="24"/>
        </w:rPr>
        <w:lastRenderedPageBreak/>
        <w:t xml:space="preserve">by inspecting the websites of a random sample of small, medium and large BRCs in </w:t>
      </w:r>
      <w:r w:rsidRPr="001E73C1">
        <w:rPr>
          <w:rFonts w:cstheme="minorHAnsi"/>
          <w:color w:val="000000" w:themeColor="text1"/>
          <w:sz w:val="24"/>
          <w:szCs w:val="24"/>
        </w:rPr>
        <w:t>Category 9</w:t>
      </w:r>
      <w:r w:rsidR="001E73C1" w:rsidRPr="001E73C1">
        <w:rPr>
          <w:rFonts w:cstheme="minorHAnsi"/>
          <w:color w:val="000000" w:themeColor="text1"/>
          <w:sz w:val="24"/>
          <w:szCs w:val="24"/>
        </w:rPr>
        <w:t xml:space="preserve"> (</w:t>
      </w:r>
      <w:r w:rsidRPr="001E73C1">
        <w:rPr>
          <w:rFonts w:cstheme="minorHAnsi"/>
          <w:color w:val="000000" w:themeColor="text1"/>
          <w:sz w:val="24"/>
          <w:szCs w:val="24"/>
        </w:rPr>
        <w:t>Parishes and Churchs</w:t>
      </w:r>
      <w:r w:rsidR="001E73C1" w:rsidRPr="001E73C1">
        <w:rPr>
          <w:rFonts w:cstheme="minorHAnsi"/>
          <w:color w:val="000000" w:themeColor="text1"/>
          <w:sz w:val="24"/>
          <w:szCs w:val="24"/>
        </w:rPr>
        <w:t>)</w:t>
      </w:r>
      <w:r w:rsidRPr="001E73C1">
        <w:rPr>
          <w:rFonts w:cstheme="minorHAnsi"/>
          <w:color w:val="000000" w:themeColor="text1"/>
          <w:sz w:val="24"/>
          <w:szCs w:val="24"/>
        </w:rPr>
        <w:t xml:space="preserve"> were inspected. The results are shown in Table 7. </w:t>
      </w:r>
    </w:p>
    <w:bookmarkEnd w:id="5"/>
    <w:p w14:paraId="76FDA815" w14:textId="77777777" w:rsidR="00D101F5" w:rsidRPr="00E61D99" w:rsidRDefault="008E436F" w:rsidP="00D101F5">
      <w:pPr>
        <w:pStyle w:val="ListParagraph"/>
        <w:spacing w:after="0" w:line="360" w:lineRule="auto"/>
        <w:rPr>
          <w:b/>
          <w:sz w:val="24"/>
          <w:szCs w:val="24"/>
        </w:rPr>
      </w:pPr>
      <w:r w:rsidRPr="002D6910">
        <w:rPr>
          <w:sz w:val="24"/>
          <w:szCs w:val="24"/>
        </w:rPr>
        <w:t xml:space="preserve"> </w:t>
      </w:r>
      <w:r w:rsidR="00D101F5" w:rsidRPr="00E61D99">
        <w:rPr>
          <w:b/>
          <w:sz w:val="24"/>
          <w:szCs w:val="24"/>
        </w:rPr>
        <w:t xml:space="preserve">Table </w:t>
      </w:r>
      <w:r w:rsidR="00D101F5">
        <w:rPr>
          <w:b/>
          <w:sz w:val="24"/>
          <w:szCs w:val="24"/>
        </w:rPr>
        <w:t>7: Online Acceptance of Financial Contributions by Parishes and Churches</w:t>
      </w:r>
    </w:p>
    <w:tbl>
      <w:tblPr>
        <w:tblStyle w:val="TableGrid"/>
        <w:tblW w:w="7497" w:type="dxa"/>
        <w:tblInd w:w="720" w:type="dxa"/>
        <w:tblLook w:val="04A0" w:firstRow="1" w:lastRow="0" w:firstColumn="1" w:lastColumn="0" w:noHBand="0" w:noVBand="1"/>
      </w:tblPr>
      <w:tblGrid>
        <w:gridCol w:w="1059"/>
        <w:gridCol w:w="4028"/>
        <w:gridCol w:w="992"/>
        <w:gridCol w:w="1418"/>
      </w:tblGrid>
      <w:tr w:rsidR="00D101F5" w14:paraId="76B27B32" w14:textId="77777777" w:rsidTr="00F87757">
        <w:tc>
          <w:tcPr>
            <w:tcW w:w="1059" w:type="dxa"/>
          </w:tcPr>
          <w:bookmarkEnd w:id="6"/>
          <w:p w14:paraId="7C261E18" w14:textId="77777777" w:rsidR="00D101F5" w:rsidRPr="00BC1B4E" w:rsidRDefault="00D101F5" w:rsidP="00F87757">
            <w:pPr>
              <w:pStyle w:val="ListParagraph"/>
              <w:ind w:left="0"/>
              <w:rPr>
                <w:b/>
                <w:sz w:val="24"/>
                <w:szCs w:val="24"/>
              </w:rPr>
            </w:pPr>
            <w:r w:rsidRPr="00BC1B4E">
              <w:rPr>
                <w:b/>
                <w:sz w:val="24"/>
                <w:szCs w:val="24"/>
              </w:rPr>
              <w:t>Size</w:t>
            </w:r>
          </w:p>
        </w:tc>
        <w:tc>
          <w:tcPr>
            <w:tcW w:w="4028" w:type="dxa"/>
          </w:tcPr>
          <w:p w14:paraId="5D5D7148" w14:textId="77777777" w:rsidR="00D101F5" w:rsidRPr="00BC1B4E" w:rsidRDefault="00D101F5" w:rsidP="00F87757">
            <w:pPr>
              <w:pStyle w:val="ListParagraph"/>
              <w:ind w:left="0"/>
              <w:rPr>
                <w:b/>
                <w:sz w:val="24"/>
                <w:szCs w:val="24"/>
              </w:rPr>
            </w:pPr>
            <w:r w:rsidRPr="00BC1B4E">
              <w:rPr>
                <w:b/>
                <w:sz w:val="24"/>
                <w:szCs w:val="24"/>
              </w:rPr>
              <w:t xml:space="preserve">Percent of Parishes  and Churches  in Sample with an online facility to accept donations </w:t>
            </w:r>
          </w:p>
        </w:tc>
        <w:tc>
          <w:tcPr>
            <w:tcW w:w="992" w:type="dxa"/>
          </w:tcPr>
          <w:p w14:paraId="64CFCD04" w14:textId="77777777" w:rsidR="00D101F5" w:rsidRPr="00BC1B4E" w:rsidRDefault="00D101F5" w:rsidP="00F87757">
            <w:pPr>
              <w:pStyle w:val="ListParagraph"/>
              <w:ind w:left="0"/>
              <w:rPr>
                <w:b/>
                <w:sz w:val="24"/>
                <w:szCs w:val="24"/>
              </w:rPr>
            </w:pPr>
            <w:r w:rsidRPr="00BC1B4E">
              <w:rPr>
                <w:b/>
                <w:sz w:val="24"/>
                <w:szCs w:val="24"/>
              </w:rPr>
              <w:t>Sample Size</w:t>
            </w:r>
          </w:p>
        </w:tc>
        <w:tc>
          <w:tcPr>
            <w:tcW w:w="1418" w:type="dxa"/>
          </w:tcPr>
          <w:p w14:paraId="12F907F2" w14:textId="77777777" w:rsidR="00D101F5" w:rsidRPr="00BC1B4E" w:rsidRDefault="00D101F5" w:rsidP="00F87757">
            <w:pPr>
              <w:pStyle w:val="ListParagraph"/>
              <w:ind w:left="0"/>
              <w:rPr>
                <w:b/>
                <w:sz w:val="24"/>
                <w:szCs w:val="24"/>
              </w:rPr>
            </w:pPr>
            <w:r w:rsidRPr="00BC1B4E">
              <w:rPr>
                <w:b/>
                <w:sz w:val="24"/>
                <w:szCs w:val="24"/>
              </w:rPr>
              <w:t>Percent of Size Tier Sampled</w:t>
            </w:r>
          </w:p>
        </w:tc>
      </w:tr>
      <w:tr w:rsidR="00D101F5" w14:paraId="3C97A4F8" w14:textId="77777777" w:rsidTr="00F87757">
        <w:tc>
          <w:tcPr>
            <w:tcW w:w="1059" w:type="dxa"/>
          </w:tcPr>
          <w:p w14:paraId="382D146B" w14:textId="77777777" w:rsidR="00D101F5" w:rsidRPr="00BC1B4E" w:rsidRDefault="00D101F5" w:rsidP="00F87757">
            <w:pPr>
              <w:pStyle w:val="ListParagraph"/>
              <w:spacing w:line="360" w:lineRule="auto"/>
              <w:ind w:left="0"/>
              <w:rPr>
                <w:b/>
                <w:sz w:val="24"/>
                <w:szCs w:val="24"/>
              </w:rPr>
            </w:pPr>
            <w:r w:rsidRPr="00BC1B4E">
              <w:rPr>
                <w:b/>
                <w:sz w:val="24"/>
                <w:szCs w:val="24"/>
              </w:rPr>
              <w:t>Small</w:t>
            </w:r>
          </w:p>
        </w:tc>
        <w:tc>
          <w:tcPr>
            <w:tcW w:w="4028" w:type="dxa"/>
          </w:tcPr>
          <w:p w14:paraId="34750C09" w14:textId="77777777" w:rsidR="00D101F5" w:rsidRDefault="00D101F5" w:rsidP="00F87757">
            <w:pPr>
              <w:pStyle w:val="ListParagraph"/>
              <w:spacing w:line="360" w:lineRule="auto"/>
              <w:ind w:left="0"/>
              <w:jc w:val="right"/>
              <w:rPr>
                <w:sz w:val="24"/>
                <w:szCs w:val="24"/>
              </w:rPr>
            </w:pPr>
            <w:r>
              <w:rPr>
                <w:sz w:val="24"/>
                <w:szCs w:val="24"/>
              </w:rPr>
              <w:t>19.8</w:t>
            </w:r>
          </w:p>
        </w:tc>
        <w:tc>
          <w:tcPr>
            <w:tcW w:w="992" w:type="dxa"/>
          </w:tcPr>
          <w:p w14:paraId="095B93D5" w14:textId="77777777" w:rsidR="00D101F5" w:rsidRDefault="00D101F5" w:rsidP="00F87757">
            <w:pPr>
              <w:pStyle w:val="ListParagraph"/>
              <w:spacing w:line="360" w:lineRule="auto"/>
              <w:ind w:left="0"/>
              <w:jc w:val="right"/>
              <w:rPr>
                <w:sz w:val="24"/>
                <w:szCs w:val="24"/>
              </w:rPr>
            </w:pPr>
            <w:r>
              <w:rPr>
                <w:sz w:val="24"/>
                <w:szCs w:val="24"/>
              </w:rPr>
              <w:t>273</w:t>
            </w:r>
          </w:p>
        </w:tc>
        <w:tc>
          <w:tcPr>
            <w:tcW w:w="1418" w:type="dxa"/>
          </w:tcPr>
          <w:p w14:paraId="19430EB3" w14:textId="77777777" w:rsidR="00D101F5" w:rsidRDefault="00D101F5" w:rsidP="00F87757">
            <w:pPr>
              <w:pStyle w:val="ListParagraph"/>
              <w:spacing w:line="360" w:lineRule="auto"/>
              <w:ind w:left="0"/>
              <w:jc w:val="right"/>
              <w:rPr>
                <w:sz w:val="24"/>
                <w:szCs w:val="24"/>
              </w:rPr>
            </w:pPr>
            <w:r>
              <w:rPr>
                <w:sz w:val="24"/>
                <w:szCs w:val="24"/>
              </w:rPr>
              <w:t>5</w:t>
            </w:r>
          </w:p>
        </w:tc>
      </w:tr>
      <w:tr w:rsidR="00D101F5" w14:paraId="62781CDB" w14:textId="77777777" w:rsidTr="00F87757">
        <w:tc>
          <w:tcPr>
            <w:tcW w:w="1059" w:type="dxa"/>
          </w:tcPr>
          <w:p w14:paraId="20A0A3EC" w14:textId="77777777" w:rsidR="00D101F5" w:rsidRPr="00BC1B4E" w:rsidRDefault="00D101F5" w:rsidP="00F87757">
            <w:pPr>
              <w:pStyle w:val="ListParagraph"/>
              <w:spacing w:line="360" w:lineRule="auto"/>
              <w:ind w:left="0"/>
              <w:rPr>
                <w:b/>
                <w:sz w:val="24"/>
                <w:szCs w:val="24"/>
              </w:rPr>
            </w:pPr>
            <w:r w:rsidRPr="00BC1B4E">
              <w:rPr>
                <w:b/>
                <w:sz w:val="24"/>
                <w:szCs w:val="24"/>
              </w:rPr>
              <w:t>Medium</w:t>
            </w:r>
          </w:p>
        </w:tc>
        <w:tc>
          <w:tcPr>
            <w:tcW w:w="4028" w:type="dxa"/>
          </w:tcPr>
          <w:p w14:paraId="4DBD68CE" w14:textId="77777777" w:rsidR="00D101F5" w:rsidRDefault="00D101F5" w:rsidP="00F87757">
            <w:pPr>
              <w:pStyle w:val="ListParagraph"/>
              <w:spacing w:line="360" w:lineRule="auto"/>
              <w:ind w:left="0"/>
              <w:jc w:val="right"/>
              <w:rPr>
                <w:sz w:val="24"/>
                <w:szCs w:val="24"/>
              </w:rPr>
            </w:pPr>
            <w:r>
              <w:rPr>
                <w:sz w:val="24"/>
                <w:szCs w:val="24"/>
              </w:rPr>
              <w:t>56.6</w:t>
            </w:r>
          </w:p>
        </w:tc>
        <w:tc>
          <w:tcPr>
            <w:tcW w:w="992" w:type="dxa"/>
          </w:tcPr>
          <w:p w14:paraId="766A7907" w14:textId="77777777" w:rsidR="00D101F5" w:rsidRDefault="00D101F5" w:rsidP="00F87757">
            <w:pPr>
              <w:pStyle w:val="ListParagraph"/>
              <w:spacing w:line="360" w:lineRule="auto"/>
              <w:ind w:left="0"/>
              <w:jc w:val="right"/>
              <w:rPr>
                <w:sz w:val="24"/>
                <w:szCs w:val="24"/>
              </w:rPr>
            </w:pPr>
            <w:r>
              <w:rPr>
                <w:sz w:val="24"/>
                <w:szCs w:val="24"/>
              </w:rPr>
              <w:t>99</w:t>
            </w:r>
          </w:p>
        </w:tc>
        <w:tc>
          <w:tcPr>
            <w:tcW w:w="1418" w:type="dxa"/>
          </w:tcPr>
          <w:p w14:paraId="6DB20BB5" w14:textId="77777777" w:rsidR="00D101F5" w:rsidRDefault="00D101F5" w:rsidP="00F87757">
            <w:pPr>
              <w:pStyle w:val="ListParagraph"/>
              <w:spacing w:line="360" w:lineRule="auto"/>
              <w:ind w:left="0"/>
              <w:jc w:val="right"/>
              <w:rPr>
                <w:sz w:val="24"/>
                <w:szCs w:val="24"/>
              </w:rPr>
            </w:pPr>
            <w:r>
              <w:rPr>
                <w:sz w:val="24"/>
                <w:szCs w:val="24"/>
              </w:rPr>
              <w:t>10</w:t>
            </w:r>
          </w:p>
        </w:tc>
      </w:tr>
      <w:tr w:rsidR="00D101F5" w14:paraId="18440FD0" w14:textId="77777777" w:rsidTr="00F87757">
        <w:tc>
          <w:tcPr>
            <w:tcW w:w="1059" w:type="dxa"/>
          </w:tcPr>
          <w:p w14:paraId="34F7F25F" w14:textId="77777777" w:rsidR="00D101F5" w:rsidRPr="00BC1B4E" w:rsidRDefault="00D101F5" w:rsidP="00F87757">
            <w:pPr>
              <w:pStyle w:val="ListParagraph"/>
              <w:spacing w:line="360" w:lineRule="auto"/>
              <w:ind w:left="0"/>
              <w:rPr>
                <w:b/>
                <w:sz w:val="24"/>
                <w:szCs w:val="24"/>
              </w:rPr>
            </w:pPr>
            <w:r w:rsidRPr="00BC1B4E">
              <w:rPr>
                <w:b/>
                <w:sz w:val="24"/>
                <w:szCs w:val="24"/>
              </w:rPr>
              <w:t>Large</w:t>
            </w:r>
          </w:p>
        </w:tc>
        <w:tc>
          <w:tcPr>
            <w:tcW w:w="4028" w:type="dxa"/>
          </w:tcPr>
          <w:p w14:paraId="271A072C" w14:textId="77777777" w:rsidR="00D101F5" w:rsidRDefault="00D101F5" w:rsidP="00F87757">
            <w:pPr>
              <w:pStyle w:val="ListParagraph"/>
              <w:spacing w:line="360" w:lineRule="auto"/>
              <w:ind w:left="0"/>
              <w:jc w:val="right"/>
              <w:rPr>
                <w:sz w:val="24"/>
                <w:szCs w:val="24"/>
              </w:rPr>
            </w:pPr>
            <w:r>
              <w:rPr>
                <w:sz w:val="24"/>
                <w:szCs w:val="24"/>
              </w:rPr>
              <w:t>75.0</w:t>
            </w:r>
          </w:p>
        </w:tc>
        <w:tc>
          <w:tcPr>
            <w:tcW w:w="992" w:type="dxa"/>
          </w:tcPr>
          <w:p w14:paraId="2C91E29A" w14:textId="77777777" w:rsidR="00D101F5" w:rsidRDefault="00D101F5" w:rsidP="00F87757">
            <w:pPr>
              <w:pStyle w:val="ListParagraph"/>
              <w:spacing w:line="360" w:lineRule="auto"/>
              <w:ind w:left="0"/>
              <w:jc w:val="right"/>
              <w:rPr>
                <w:sz w:val="24"/>
                <w:szCs w:val="24"/>
              </w:rPr>
            </w:pPr>
            <w:r>
              <w:rPr>
                <w:sz w:val="24"/>
                <w:szCs w:val="24"/>
              </w:rPr>
              <w:t>20</w:t>
            </w:r>
          </w:p>
        </w:tc>
        <w:tc>
          <w:tcPr>
            <w:tcW w:w="1418" w:type="dxa"/>
          </w:tcPr>
          <w:p w14:paraId="73AEE996" w14:textId="77777777" w:rsidR="00D101F5" w:rsidRDefault="00D101F5" w:rsidP="00F87757">
            <w:pPr>
              <w:pStyle w:val="ListParagraph"/>
              <w:spacing w:line="360" w:lineRule="auto"/>
              <w:ind w:left="0"/>
              <w:jc w:val="right"/>
              <w:rPr>
                <w:sz w:val="24"/>
                <w:szCs w:val="24"/>
              </w:rPr>
            </w:pPr>
            <w:r>
              <w:rPr>
                <w:sz w:val="24"/>
                <w:szCs w:val="24"/>
              </w:rPr>
              <w:t>20</w:t>
            </w:r>
          </w:p>
        </w:tc>
      </w:tr>
    </w:tbl>
    <w:p w14:paraId="061F5CD5" w14:textId="77777777" w:rsidR="008E436F" w:rsidRDefault="008E436F" w:rsidP="00D101F5">
      <w:pPr>
        <w:spacing w:after="0" w:line="360" w:lineRule="auto"/>
        <w:rPr>
          <w:sz w:val="24"/>
          <w:szCs w:val="24"/>
        </w:rPr>
      </w:pPr>
    </w:p>
    <w:p w14:paraId="7C3908AE" w14:textId="77777777" w:rsidR="008E436F" w:rsidRPr="005C6232" w:rsidRDefault="008E436F" w:rsidP="008E436F">
      <w:pPr>
        <w:spacing w:after="0" w:line="360" w:lineRule="auto"/>
        <w:rPr>
          <w:sz w:val="24"/>
          <w:szCs w:val="24"/>
        </w:rPr>
      </w:pPr>
      <w:bookmarkStart w:id="7" w:name="_Hlk158298941"/>
      <w:r w:rsidRPr="005C6232">
        <w:rPr>
          <w:sz w:val="24"/>
          <w:szCs w:val="24"/>
        </w:rPr>
        <w:t xml:space="preserve">Table </w:t>
      </w:r>
      <w:r>
        <w:rPr>
          <w:sz w:val="24"/>
          <w:szCs w:val="24"/>
        </w:rPr>
        <w:t>7</w:t>
      </w:r>
      <w:r w:rsidRPr="005C6232">
        <w:rPr>
          <w:sz w:val="24"/>
          <w:szCs w:val="24"/>
        </w:rPr>
        <w:t xml:space="preserve"> shows that the majority of large and medium sized parishes and churches directly solicited donations</w:t>
      </w:r>
      <w:r>
        <w:rPr>
          <w:sz w:val="24"/>
          <w:szCs w:val="24"/>
        </w:rPr>
        <w:t>,</w:t>
      </w:r>
      <w:r w:rsidRPr="005C6232">
        <w:rPr>
          <w:sz w:val="24"/>
          <w:szCs w:val="24"/>
        </w:rPr>
        <w:t xml:space="preserve"> and that almost one fifth of small parishes and churches did so. This represents </w:t>
      </w:r>
      <w:r>
        <w:rPr>
          <w:sz w:val="24"/>
          <w:szCs w:val="24"/>
        </w:rPr>
        <w:t>31.9</w:t>
      </w:r>
      <w:r w:rsidRPr="005C6232">
        <w:rPr>
          <w:sz w:val="24"/>
          <w:szCs w:val="24"/>
        </w:rPr>
        <w:t xml:space="preserve">% of parishes and churches. </w:t>
      </w:r>
      <w:r w:rsidR="00D101F5">
        <w:rPr>
          <w:sz w:val="24"/>
          <w:szCs w:val="24"/>
        </w:rPr>
        <w:t xml:space="preserve">While it is possible that some online facilities to accept donations were put in place during the COVID-19 pandemic because members of congregations were unable to attend their churches in person, there was no evidence to suggest that contributions were limited </w:t>
      </w:r>
      <w:r w:rsidR="00901F0A">
        <w:rPr>
          <w:sz w:val="24"/>
          <w:szCs w:val="24"/>
        </w:rPr>
        <w:t>to members. Rather, some were clearly open calls for donations.  This issue requires further attention.</w:t>
      </w:r>
    </w:p>
    <w:bookmarkEnd w:id="7"/>
    <w:p w14:paraId="330EE8FB" w14:textId="77777777" w:rsidR="00571045" w:rsidRDefault="00571045" w:rsidP="00341653">
      <w:pPr>
        <w:spacing w:after="0" w:line="360" w:lineRule="auto"/>
        <w:ind w:left="142" w:hanging="142"/>
      </w:pPr>
    </w:p>
    <w:p w14:paraId="5E0CC311" w14:textId="77777777" w:rsidR="00DF15AB" w:rsidRDefault="00845F91" w:rsidP="00DF15AB">
      <w:pPr>
        <w:spacing w:after="0" w:line="276" w:lineRule="auto"/>
        <w:ind w:left="142" w:hanging="142"/>
        <w:rPr>
          <w:b/>
          <w:sz w:val="24"/>
          <w:szCs w:val="24"/>
        </w:rPr>
      </w:pPr>
      <w:r w:rsidRPr="00DF15AB">
        <w:rPr>
          <w:b/>
          <w:sz w:val="24"/>
          <w:szCs w:val="24"/>
        </w:rPr>
        <w:t>PART 3</w:t>
      </w:r>
      <w:r w:rsidR="00C2590E" w:rsidRPr="00DF15AB">
        <w:rPr>
          <w:sz w:val="24"/>
          <w:szCs w:val="24"/>
        </w:rPr>
        <w:t xml:space="preserve">: </w:t>
      </w:r>
      <w:r w:rsidR="00F57BEC" w:rsidRPr="00DF15AB">
        <w:rPr>
          <w:b/>
          <w:sz w:val="24"/>
          <w:szCs w:val="24"/>
        </w:rPr>
        <w:t>TESTING THE ARGUMENTS PUT FORWARD ON THE PUBLIC RECORD TO JUSTIFY</w:t>
      </w:r>
    </w:p>
    <w:p w14:paraId="2AA453DF" w14:textId="77777777" w:rsidR="00C2590E" w:rsidRPr="00DF15AB" w:rsidRDefault="00F57BEC" w:rsidP="00DF15AB">
      <w:pPr>
        <w:spacing w:after="0" w:line="276" w:lineRule="auto"/>
        <w:ind w:left="142" w:hanging="142"/>
        <w:rPr>
          <w:b/>
          <w:sz w:val="24"/>
          <w:szCs w:val="24"/>
        </w:rPr>
      </w:pPr>
      <w:r w:rsidRPr="00DF15AB">
        <w:rPr>
          <w:b/>
          <w:sz w:val="24"/>
          <w:szCs w:val="24"/>
        </w:rPr>
        <w:t>THE</w:t>
      </w:r>
      <w:r w:rsidR="00DF15AB">
        <w:rPr>
          <w:b/>
          <w:sz w:val="24"/>
          <w:szCs w:val="24"/>
        </w:rPr>
        <w:t xml:space="preserve"> </w:t>
      </w:r>
      <w:r w:rsidRPr="00DF15AB">
        <w:rPr>
          <w:b/>
          <w:sz w:val="24"/>
          <w:szCs w:val="24"/>
        </w:rPr>
        <w:t>PRESENT EXEMPTION FORM REPORTING FINANCIAL INFORMATION</w:t>
      </w:r>
    </w:p>
    <w:p w14:paraId="7D324CAD" w14:textId="77777777" w:rsidR="004B00D0" w:rsidRDefault="004B00D0" w:rsidP="001E73C1">
      <w:pPr>
        <w:spacing w:before="120" w:after="0" w:line="360" w:lineRule="auto"/>
        <w:ind w:left="142" w:hanging="142"/>
        <w:rPr>
          <w:sz w:val="24"/>
          <w:szCs w:val="24"/>
        </w:rPr>
      </w:pPr>
      <w:r w:rsidRPr="004B00D0">
        <w:rPr>
          <w:sz w:val="24"/>
          <w:szCs w:val="24"/>
        </w:rPr>
        <w:t>As noted above, the only justification on the public record for the existence of this category,</w:t>
      </w:r>
    </w:p>
    <w:p w14:paraId="0DB491AC" w14:textId="77777777" w:rsidR="004B00D0" w:rsidRDefault="004B00D0" w:rsidP="00341653">
      <w:pPr>
        <w:spacing w:after="0" w:line="360" w:lineRule="auto"/>
        <w:ind w:left="142" w:hanging="142"/>
        <w:rPr>
          <w:sz w:val="24"/>
          <w:szCs w:val="24"/>
        </w:rPr>
      </w:pPr>
      <w:r w:rsidRPr="004B00D0">
        <w:rPr>
          <w:sz w:val="24"/>
          <w:szCs w:val="24"/>
        </w:rPr>
        <w:t>and arguments for the exemption from reporting financial information, can be found in</w:t>
      </w:r>
    </w:p>
    <w:p w14:paraId="63451AAC" w14:textId="77777777" w:rsidR="004B00D0" w:rsidRDefault="004B00D0" w:rsidP="00341653">
      <w:pPr>
        <w:spacing w:after="0" w:line="360" w:lineRule="auto"/>
        <w:ind w:left="142" w:hanging="142"/>
        <w:rPr>
          <w:sz w:val="24"/>
          <w:szCs w:val="24"/>
        </w:rPr>
      </w:pPr>
      <w:r w:rsidRPr="004B00D0">
        <w:rPr>
          <w:sz w:val="24"/>
          <w:szCs w:val="24"/>
        </w:rPr>
        <w:t>submissions by those who support it, principally bodies representing the Anglican and</w:t>
      </w:r>
    </w:p>
    <w:p w14:paraId="6D1D123F" w14:textId="77777777" w:rsidR="004B00D0" w:rsidRDefault="004B00D0" w:rsidP="00341653">
      <w:pPr>
        <w:spacing w:after="0" w:line="360" w:lineRule="auto"/>
        <w:ind w:left="142" w:hanging="142"/>
        <w:rPr>
          <w:sz w:val="24"/>
          <w:szCs w:val="24"/>
        </w:rPr>
      </w:pPr>
      <w:r w:rsidRPr="004B00D0">
        <w:rPr>
          <w:sz w:val="24"/>
          <w:szCs w:val="24"/>
        </w:rPr>
        <w:t>Catholic Churches in Australia,  to the Parliamentary Joint Committee on Corporations and</w:t>
      </w:r>
    </w:p>
    <w:p w14:paraId="0F51EBF5" w14:textId="77777777" w:rsidR="004D0EFF" w:rsidRPr="004B00D0" w:rsidRDefault="004B00D0" w:rsidP="004B00D0">
      <w:pPr>
        <w:spacing w:after="0" w:line="360" w:lineRule="auto"/>
        <w:rPr>
          <w:sz w:val="24"/>
          <w:szCs w:val="24"/>
        </w:rPr>
      </w:pPr>
      <w:r w:rsidRPr="004B00D0">
        <w:rPr>
          <w:sz w:val="24"/>
          <w:szCs w:val="24"/>
        </w:rPr>
        <w:t>Government’s five-year review of the ACNC legislation in 2018. E</w:t>
      </w:r>
      <w:r w:rsidR="00FA78ED" w:rsidRPr="004B00D0">
        <w:rPr>
          <w:sz w:val="24"/>
          <w:szCs w:val="24"/>
        </w:rPr>
        <w:t xml:space="preserve">xtracts from </w:t>
      </w:r>
      <w:r w:rsidRPr="004B00D0">
        <w:rPr>
          <w:sz w:val="24"/>
          <w:szCs w:val="24"/>
        </w:rPr>
        <w:t xml:space="preserve">these </w:t>
      </w:r>
      <w:r w:rsidR="00FA78ED" w:rsidRPr="004B00D0">
        <w:rPr>
          <w:sz w:val="24"/>
          <w:szCs w:val="24"/>
        </w:rPr>
        <w:t>submissions are</w:t>
      </w:r>
      <w:r>
        <w:rPr>
          <w:sz w:val="24"/>
          <w:szCs w:val="24"/>
        </w:rPr>
        <w:t xml:space="preserve"> </w:t>
      </w:r>
      <w:r w:rsidR="00FA78ED" w:rsidRPr="004B00D0">
        <w:rPr>
          <w:sz w:val="24"/>
          <w:szCs w:val="24"/>
        </w:rPr>
        <w:t>included as Appendix 1 in the attached paper.</w:t>
      </w:r>
      <w:r>
        <w:rPr>
          <w:sz w:val="24"/>
          <w:szCs w:val="24"/>
        </w:rPr>
        <w:t xml:space="preserve"> Such arguments were largely made </w:t>
      </w:r>
      <w:r w:rsidRPr="004B00D0">
        <w:rPr>
          <w:sz w:val="24"/>
          <w:szCs w:val="24"/>
        </w:rPr>
        <w:t>o</w:t>
      </w:r>
      <w:r w:rsidR="004D0EFF" w:rsidRPr="004B00D0">
        <w:rPr>
          <w:spacing w:val="-2"/>
          <w:sz w:val="24"/>
          <w:szCs w:val="24"/>
        </w:rPr>
        <w:t>n three</w:t>
      </w:r>
      <w:r w:rsidRPr="004B00D0">
        <w:rPr>
          <w:spacing w:val="-2"/>
          <w:sz w:val="24"/>
          <w:szCs w:val="24"/>
        </w:rPr>
        <w:t xml:space="preserve"> grounds</w:t>
      </w:r>
      <w:r w:rsidR="004D0EFF" w:rsidRPr="004B00D0">
        <w:rPr>
          <w:spacing w:val="-2"/>
          <w:sz w:val="24"/>
          <w:szCs w:val="24"/>
        </w:rPr>
        <w:t xml:space="preserve"> : (1) accountability, (2) capacity and (3) burden grounds</w:t>
      </w:r>
      <w:r w:rsidRPr="004B00D0">
        <w:rPr>
          <w:spacing w:val="-2"/>
          <w:sz w:val="24"/>
          <w:szCs w:val="24"/>
        </w:rPr>
        <w:t>.</w:t>
      </w:r>
      <w:r w:rsidR="004D0EFF" w:rsidRPr="004B00D0">
        <w:rPr>
          <w:spacing w:val="-2"/>
          <w:sz w:val="24"/>
          <w:szCs w:val="24"/>
        </w:rPr>
        <w:t xml:space="preserve"> In the following discussion, </w:t>
      </w:r>
      <w:r w:rsidRPr="004B00D0">
        <w:rPr>
          <w:spacing w:val="-2"/>
          <w:sz w:val="24"/>
          <w:szCs w:val="24"/>
        </w:rPr>
        <w:t xml:space="preserve">I test </w:t>
      </w:r>
      <w:r w:rsidR="004D0EFF" w:rsidRPr="004B00D0">
        <w:rPr>
          <w:spacing w:val="-2"/>
          <w:sz w:val="24"/>
          <w:szCs w:val="24"/>
        </w:rPr>
        <w:t xml:space="preserve">each of the main arguments </w:t>
      </w:r>
      <w:r w:rsidRPr="004B00D0">
        <w:rPr>
          <w:spacing w:val="-2"/>
          <w:sz w:val="24"/>
          <w:szCs w:val="24"/>
        </w:rPr>
        <w:t>against the</w:t>
      </w:r>
      <w:r w:rsidR="004D0EFF" w:rsidRPr="004B00D0">
        <w:rPr>
          <w:spacing w:val="-2"/>
          <w:sz w:val="24"/>
          <w:szCs w:val="24"/>
        </w:rPr>
        <w:t xml:space="preserve"> evidence obtained </w:t>
      </w:r>
      <w:r w:rsidRPr="004B00D0">
        <w:rPr>
          <w:spacing w:val="-2"/>
          <w:sz w:val="24"/>
          <w:szCs w:val="24"/>
        </w:rPr>
        <w:t>in my research.</w:t>
      </w:r>
      <w:r>
        <w:rPr>
          <w:spacing w:val="-2"/>
          <w:sz w:val="24"/>
          <w:szCs w:val="24"/>
        </w:rPr>
        <w:t xml:space="preserve"> I conclude that none of the reasons put forward  for an exemption from financial reporting by BRCs under the ACNC Act is </w:t>
      </w:r>
      <w:r w:rsidR="00587409">
        <w:rPr>
          <w:spacing w:val="-2"/>
          <w:sz w:val="24"/>
          <w:szCs w:val="24"/>
        </w:rPr>
        <w:t>justified.</w:t>
      </w:r>
    </w:p>
    <w:p w14:paraId="54D5CD3A" w14:textId="77777777" w:rsidR="00A9554A" w:rsidRDefault="00A9554A">
      <w:pPr>
        <w:rPr>
          <w:rFonts w:cstheme="minorHAnsi"/>
          <w:b/>
          <w:sz w:val="24"/>
          <w:szCs w:val="24"/>
        </w:rPr>
      </w:pPr>
      <w:r>
        <w:rPr>
          <w:rFonts w:cstheme="minorHAnsi"/>
          <w:b/>
          <w:sz w:val="24"/>
          <w:szCs w:val="24"/>
        </w:rPr>
        <w:br w:type="page"/>
      </w:r>
    </w:p>
    <w:p w14:paraId="292EFEE4" w14:textId="77777777" w:rsidR="00450330" w:rsidRPr="00587409" w:rsidRDefault="00450330" w:rsidP="00450330">
      <w:pPr>
        <w:spacing w:after="0" w:line="360" w:lineRule="auto"/>
        <w:ind w:left="142" w:hanging="142"/>
        <w:rPr>
          <w:rFonts w:cstheme="minorHAnsi"/>
          <w:b/>
          <w:sz w:val="24"/>
          <w:szCs w:val="24"/>
        </w:rPr>
      </w:pPr>
      <w:r w:rsidRPr="00587409">
        <w:rPr>
          <w:rFonts w:cstheme="minorHAnsi"/>
          <w:b/>
          <w:sz w:val="24"/>
          <w:szCs w:val="24"/>
        </w:rPr>
        <w:lastRenderedPageBreak/>
        <w:t>Argument 1</w:t>
      </w:r>
    </w:p>
    <w:p w14:paraId="0AF53BFC" w14:textId="77777777" w:rsidR="00D44BE4" w:rsidRDefault="00450330" w:rsidP="00450330">
      <w:pPr>
        <w:spacing w:after="0" w:line="360" w:lineRule="auto"/>
        <w:ind w:left="142" w:hanging="142"/>
        <w:rPr>
          <w:rFonts w:cstheme="minorHAnsi"/>
          <w:sz w:val="24"/>
          <w:szCs w:val="24"/>
        </w:rPr>
      </w:pPr>
      <w:r w:rsidRPr="00587409">
        <w:rPr>
          <w:rFonts w:cstheme="minorHAnsi"/>
          <w:sz w:val="24"/>
          <w:szCs w:val="24"/>
        </w:rPr>
        <w:t>Most BRCs receive their financial support from  their members, and it is unusual for BRCs to</w:t>
      </w:r>
    </w:p>
    <w:p w14:paraId="7D0AED23" w14:textId="77777777" w:rsidR="00D44BE4" w:rsidRDefault="001E73C1" w:rsidP="00450330">
      <w:pPr>
        <w:spacing w:after="0" w:line="360" w:lineRule="auto"/>
        <w:ind w:left="142" w:hanging="142"/>
        <w:rPr>
          <w:rFonts w:cstheme="minorHAnsi"/>
          <w:sz w:val="24"/>
          <w:szCs w:val="24"/>
        </w:rPr>
      </w:pPr>
      <w:r>
        <w:rPr>
          <w:rFonts w:cstheme="minorHAnsi"/>
          <w:sz w:val="24"/>
          <w:szCs w:val="24"/>
        </w:rPr>
        <w:t>m</w:t>
      </w:r>
      <w:r w:rsidR="00450330" w:rsidRPr="00587409">
        <w:rPr>
          <w:rFonts w:cstheme="minorHAnsi"/>
          <w:sz w:val="24"/>
          <w:szCs w:val="24"/>
        </w:rPr>
        <w:t>ake</w:t>
      </w:r>
      <w:r w:rsidR="00D44BE4">
        <w:rPr>
          <w:rFonts w:cstheme="minorHAnsi"/>
          <w:sz w:val="24"/>
          <w:szCs w:val="24"/>
        </w:rPr>
        <w:t xml:space="preserve"> </w:t>
      </w:r>
      <w:r w:rsidR="00450330" w:rsidRPr="00587409">
        <w:rPr>
          <w:rFonts w:cstheme="minorHAnsi"/>
          <w:sz w:val="24"/>
          <w:szCs w:val="24"/>
        </w:rPr>
        <w:t>appeals to the general public. Consequently, only the members or other stakeholders</w:t>
      </w:r>
    </w:p>
    <w:p w14:paraId="27385991" w14:textId="77777777" w:rsidR="00D44BE4" w:rsidRDefault="00450330" w:rsidP="00450330">
      <w:pPr>
        <w:spacing w:after="0" w:line="360" w:lineRule="auto"/>
        <w:ind w:left="142" w:hanging="142"/>
        <w:rPr>
          <w:rFonts w:cstheme="minorHAnsi"/>
          <w:sz w:val="24"/>
          <w:szCs w:val="24"/>
        </w:rPr>
      </w:pPr>
      <w:r w:rsidRPr="00587409">
        <w:rPr>
          <w:rFonts w:cstheme="minorHAnsi"/>
          <w:sz w:val="24"/>
          <w:szCs w:val="24"/>
        </w:rPr>
        <w:t>of the BRC,</w:t>
      </w:r>
      <w:r w:rsidR="00D44BE4">
        <w:rPr>
          <w:rFonts w:cstheme="minorHAnsi"/>
          <w:sz w:val="24"/>
          <w:szCs w:val="24"/>
        </w:rPr>
        <w:t xml:space="preserve"> </w:t>
      </w:r>
      <w:r w:rsidRPr="00587409">
        <w:rPr>
          <w:rFonts w:cstheme="minorHAnsi"/>
          <w:sz w:val="24"/>
          <w:szCs w:val="24"/>
        </w:rPr>
        <w:t>have an interest in the financial information, or the capacity to understand its</w:t>
      </w:r>
    </w:p>
    <w:p w14:paraId="37D0E146" w14:textId="77777777" w:rsidR="00450330" w:rsidRPr="00587409" w:rsidRDefault="00450330" w:rsidP="00450330">
      <w:pPr>
        <w:spacing w:after="0" w:line="360" w:lineRule="auto"/>
        <w:ind w:left="142" w:hanging="142"/>
        <w:rPr>
          <w:rFonts w:cstheme="minorHAnsi"/>
          <w:sz w:val="24"/>
          <w:szCs w:val="24"/>
        </w:rPr>
      </w:pPr>
      <w:r w:rsidRPr="00587409">
        <w:rPr>
          <w:rFonts w:cstheme="minorHAnsi"/>
          <w:sz w:val="24"/>
          <w:szCs w:val="24"/>
        </w:rPr>
        <w:t xml:space="preserve">nature and  relevance. </w:t>
      </w:r>
    </w:p>
    <w:p w14:paraId="635F0CD9" w14:textId="77777777" w:rsidR="00450330" w:rsidRPr="00587409" w:rsidRDefault="00450330" w:rsidP="00450330">
      <w:pPr>
        <w:spacing w:after="0" w:line="360" w:lineRule="auto"/>
        <w:ind w:left="142" w:hanging="142"/>
        <w:rPr>
          <w:rFonts w:cstheme="minorHAnsi"/>
          <w:b/>
          <w:sz w:val="24"/>
          <w:szCs w:val="24"/>
        </w:rPr>
      </w:pPr>
    </w:p>
    <w:p w14:paraId="507CD98A" w14:textId="77777777" w:rsidR="00450330" w:rsidRPr="00587409" w:rsidRDefault="00450330" w:rsidP="00450330">
      <w:pPr>
        <w:spacing w:after="0" w:line="360" w:lineRule="auto"/>
        <w:ind w:left="142" w:hanging="142"/>
        <w:rPr>
          <w:rFonts w:cstheme="minorHAnsi"/>
          <w:b/>
          <w:sz w:val="24"/>
          <w:szCs w:val="24"/>
        </w:rPr>
      </w:pPr>
      <w:r w:rsidRPr="00587409">
        <w:rPr>
          <w:rFonts w:cstheme="minorHAnsi"/>
          <w:b/>
          <w:sz w:val="24"/>
          <w:szCs w:val="24"/>
        </w:rPr>
        <w:t xml:space="preserve">Rebuttal  </w:t>
      </w:r>
    </w:p>
    <w:p w14:paraId="60B274DF" w14:textId="77777777" w:rsidR="00450330" w:rsidRPr="00587409" w:rsidRDefault="00450330" w:rsidP="00EF1106">
      <w:pPr>
        <w:pStyle w:val="ListParagraph"/>
        <w:numPr>
          <w:ilvl w:val="0"/>
          <w:numId w:val="4"/>
        </w:numPr>
        <w:spacing w:after="0" w:line="360" w:lineRule="auto"/>
        <w:ind w:left="284" w:hanging="284"/>
        <w:rPr>
          <w:rFonts w:cstheme="minorHAnsi"/>
          <w:sz w:val="24"/>
          <w:szCs w:val="24"/>
        </w:rPr>
      </w:pPr>
      <w:r w:rsidRPr="00587409">
        <w:rPr>
          <w:rFonts w:cstheme="minorHAnsi"/>
          <w:sz w:val="24"/>
          <w:szCs w:val="24"/>
        </w:rPr>
        <w:t>BRCs receive concessions on taxes,</w:t>
      </w:r>
      <w:r w:rsidR="00EF1106" w:rsidRPr="00587409">
        <w:rPr>
          <w:rFonts w:cstheme="minorHAnsi"/>
          <w:sz w:val="24"/>
          <w:szCs w:val="24"/>
        </w:rPr>
        <w:t xml:space="preserve"> such as Income Tax, </w:t>
      </w:r>
      <w:r w:rsidR="00E01057" w:rsidRPr="00587409">
        <w:rPr>
          <w:rFonts w:cstheme="minorHAnsi"/>
          <w:sz w:val="24"/>
          <w:szCs w:val="24"/>
        </w:rPr>
        <w:t xml:space="preserve">Goods and Services Tax, </w:t>
      </w:r>
      <w:r w:rsidR="00EF1106" w:rsidRPr="00587409">
        <w:rPr>
          <w:rFonts w:cstheme="minorHAnsi"/>
          <w:sz w:val="24"/>
          <w:szCs w:val="24"/>
        </w:rPr>
        <w:t>Fringe Benefits Tax, and Payroll Tax; Local</w:t>
      </w:r>
      <w:r w:rsidR="00F000CC" w:rsidRPr="00587409">
        <w:rPr>
          <w:rFonts w:cstheme="minorHAnsi"/>
          <w:sz w:val="24"/>
          <w:szCs w:val="24"/>
        </w:rPr>
        <w:t xml:space="preserve"> </w:t>
      </w:r>
      <w:r w:rsidR="00EF1106" w:rsidRPr="00587409">
        <w:rPr>
          <w:rFonts w:cstheme="minorHAnsi"/>
          <w:sz w:val="24"/>
          <w:szCs w:val="24"/>
        </w:rPr>
        <w:t>Council R</w:t>
      </w:r>
      <w:r w:rsidRPr="00587409">
        <w:rPr>
          <w:rFonts w:cstheme="minorHAnsi"/>
          <w:sz w:val="24"/>
          <w:szCs w:val="24"/>
        </w:rPr>
        <w:t>ates</w:t>
      </w:r>
      <w:r w:rsidR="00EF1106" w:rsidRPr="00587409">
        <w:rPr>
          <w:rFonts w:cstheme="minorHAnsi"/>
          <w:sz w:val="24"/>
          <w:szCs w:val="24"/>
        </w:rPr>
        <w:t xml:space="preserve">; </w:t>
      </w:r>
      <w:r w:rsidRPr="00587409">
        <w:rPr>
          <w:rFonts w:cstheme="minorHAnsi"/>
          <w:sz w:val="24"/>
          <w:szCs w:val="24"/>
        </w:rPr>
        <w:t>and levies</w:t>
      </w:r>
      <w:r w:rsidR="00EF1106" w:rsidRPr="00587409">
        <w:rPr>
          <w:rFonts w:cstheme="minorHAnsi"/>
          <w:sz w:val="24"/>
          <w:szCs w:val="24"/>
        </w:rPr>
        <w:t xml:space="preserve"> on the supply of utilities</w:t>
      </w:r>
      <w:r w:rsidRPr="00587409">
        <w:rPr>
          <w:rFonts w:cstheme="minorHAnsi"/>
          <w:sz w:val="24"/>
          <w:szCs w:val="24"/>
        </w:rPr>
        <w:t>.</w:t>
      </w:r>
      <w:r w:rsidR="00EF1106" w:rsidRPr="00587409">
        <w:rPr>
          <w:rFonts w:cstheme="minorHAnsi"/>
          <w:sz w:val="24"/>
          <w:szCs w:val="24"/>
        </w:rPr>
        <w:t xml:space="preserve"> As a result of revenue forgone by governments, councils and suppliers of utilities, individuals, businesses and other organisations pay more. </w:t>
      </w:r>
    </w:p>
    <w:p w14:paraId="393A84E0" w14:textId="77777777" w:rsidR="00EF1106" w:rsidRPr="00587409" w:rsidRDefault="00F000CC" w:rsidP="00F000CC">
      <w:pPr>
        <w:pStyle w:val="ListParagraph"/>
        <w:numPr>
          <w:ilvl w:val="0"/>
          <w:numId w:val="4"/>
        </w:numPr>
        <w:spacing w:after="0" w:line="360" w:lineRule="auto"/>
        <w:ind w:left="284" w:hanging="284"/>
        <w:rPr>
          <w:rFonts w:cstheme="minorHAnsi"/>
          <w:sz w:val="24"/>
          <w:szCs w:val="24"/>
        </w:rPr>
      </w:pPr>
      <w:r w:rsidRPr="00587409">
        <w:rPr>
          <w:rFonts w:cstheme="minorHAnsi"/>
          <w:sz w:val="24"/>
          <w:szCs w:val="24"/>
        </w:rPr>
        <w:t xml:space="preserve"> </w:t>
      </w:r>
      <w:r w:rsidR="00E01057" w:rsidRPr="00587409">
        <w:rPr>
          <w:rFonts w:cstheme="minorHAnsi"/>
          <w:sz w:val="24"/>
          <w:szCs w:val="24"/>
        </w:rPr>
        <w:t xml:space="preserve">Ministers of religion can salary sacrifice 100% of their  income under </w:t>
      </w:r>
      <w:r w:rsidR="00EF1106" w:rsidRPr="00587409">
        <w:rPr>
          <w:rFonts w:cstheme="minorHAnsi"/>
          <w:sz w:val="24"/>
          <w:szCs w:val="24"/>
        </w:rPr>
        <w:t xml:space="preserve"> </w:t>
      </w:r>
      <w:r w:rsidR="00E01057" w:rsidRPr="00587409">
        <w:rPr>
          <w:rFonts w:cstheme="minorHAnsi"/>
          <w:sz w:val="24"/>
          <w:szCs w:val="24"/>
        </w:rPr>
        <w:t xml:space="preserve">s. 57 </w:t>
      </w:r>
      <w:r w:rsidR="00EF1106" w:rsidRPr="00587409">
        <w:rPr>
          <w:rFonts w:cstheme="minorHAnsi"/>
          <w:sz w:val="24"/>
          <w:szCs w:val="24"/>
        </w:rPr>
        <w:t>the Fringe Benefits Tax Assessment Act</w:t>
      </w:r>
      <w:r w:rsidR="00E01057" w:rsidRPr="00587409">
        <w:rPr>
          <w:rFonts w:cstheme="minorHAnsi"/>
          <w:sz w:val="24"/>
          <w:szCs w:val="24"/>
        </w:rPr>
        <w:t>.</w:t>
      </w:r>
    </w:p>
    <w:p w14:paraId="15085481" w14:textId="77777777" w:rsidR="00E9398A" w:rsidRPr="00587409" w:rsidRDefault="00E01057" w:rsidP="00F000CC">
      <w:pPr>
        <w:pStyle w:val="ListParagraph"/>
        <w:numPr>
          <w:ilvl w:val="0"/>
          <w:numId w:val="4"/>
        </w:numPr>
        <w:tabs>
          <w:tab w:val="left" w:pos="426"/>
        </w:tabs>
        <w:spacing w:after="0" w:line="360" w:lineRule="auto"/>
        <w:ind w:left="284" w:hanging="284"/>
        <w:rPr>
          <w:rFonts w:cstheme="minorHAnsi"/>
          <w:sz w:val="24"/>
          <w:szCs w:val="24"/>
        </w:rPr>
      </w:pPr>
      <w:r w:rsidRPr="00587409">
        <w:rPr>
          <w:rFonts w:cstheme="minorHAnsi"/>
          <w:sz w:val="24"/>
          <w:szCs w:val="24"/>
        </w:rPr>
        <w:t>As noted above (Part 2, section 4) a significant prop</w:t>
      </w:r>
      <w:r w:rsidR="00F000CC" w:rsidRPr="00587409">
        <w:rPr>
          <w:rFonts w:cstheme="minorHAnsi"/>
          <w:sz w:val="24"/>
          <w:szCs w:val="24"/>
        </w:rPr>
        <w:t xml:space="preserve">ortion </w:t>
      </w:r>
      <w:r w:rsidRPr="00587409">
        <w:rPr>
          <w:rFonts w:cstheme="minorHAnsi"/>
          <w:sz w:val="24"/>
          <w:szCs w:val="24"/>
        </w:rPr>
        <w:t xml:space="preserve"> of BRCs </w:t>
      </w:r>
      <w:r w:rsidR="00F000CC" w:rsidRPr="00587409">
        <w:rPr>
          <w:rFonts w:cstheme="minorHAnsi"/>
          <w:sz w:val="24"/>
          <w:szCs w:val="24"/>
        </w:rPr>
        <w:t xml:space="preserve">do </w:t>
      </w:r>
      <w:r w:rsidR="001E73C1">
        <w:rPr>
          <w:rFonts w:cstheme="minorHAnsi"/>
          <w:sz w:val="24"/>
          <w:szCs w:val="24"/>
        </w:rPr>
        <w:t xml:space="preserve">solicit </w:t>
      </w:r>
      <w:r w:rsidR="00450330" w:rsidRPr="00587409">
        <w:rPr>
          <w:rFonts w:cstheme="minorHAnsi"/>
          <w:sz w:val="24"/>
          <w:szCs w:val="24"/>
        </w:rPr>
        <w:t>funding from the public</w:t>
      </w:r>
      <w:r w:rsidR="00D44BE4">
        <w:rPr>
          <w:rFonts w:cstheme="minorHAnsi"/>
          <w:sz w:val="24"/>
          <w:szCs w:val="24"/>
        </w:rPr>
        <w:t>.</w:t>
      </w:r>
    </w:p>
    <w:p w14:paraId="7B9E8525" w14:textId="77777777" w:rsidR="006A1828" w:rsidRPr="00587409" w:rsidRDefault="006A1828" w:rsidP="00341653">
      <w:pPr>
        <w:spacing w:after="0" w:line="360" w:lineRule="auto"/>
        <w:ind w:left="142" w:hanging="142"/>
        <w:rPr>
          <w:rFonts w:cstheme="minorHAnsi"/>
          <w:sz w:val="24"/>
          <w:szCs w:val="24"/>
        </w:rPr>
      </w:pPr>
    </w:p>
    <w:p w14:paraId="0B66C3B2" w14:textId="77777777" w:rsidR="00587409" w:rsidRPr="00587409" w:rsidRDefault="00587409" w:rsidP="00587409">
      <w:pPr>
        <w:spacing w:after="0" w:line="360" w:lineRule="auto"/>
        <w:ind w:left="142" w:hanging="142"/>
        <w:rPr>
          <w:rFonts w:cstheme="minorHAnsi"/>
          <w:b/>
          <w:sz w:val="24"/>
          <w:szCs w:val="24"/>
        </w:rPr>
      </w:pPr>
      <w:r w:rsidRPr="00587409">
        <w:rPr>
          <w:rFonts w:cstheme="minorHAnsi"/>
          <w:b/>
          <w:sz w:val="24"/>
          <w:szCs w:val="24"/>
        </w:rPr>
        <w:t xml:space="preserve">Argument 2 </w:t>
      </w:r>
    </w:p>
    <w:p w14:paraId="006E42D5" w14:textId="77777777" w:rsidR="00D44BE4" w:rsidRDefault="00587409" w:rsidP="00F000CC">
      <w:pPr>
        <w:spacing w:after="0" w:line="360" w:lineRule="auto"/>
        <w:ind w:left="142" w:hanging="142"/>
        <w:rPr>
          <w:rFonts w:cstheme="minorHAnsi"/>
          <w:sz w:val="24"/>
          <w:szCs w:val="24"/>
        </w:rPr>
      </w:pPr>
      <w:r w:rsidRPr="00587409">
        <w:rPr>
          <w:rFonts w:cstheme="minorHAnsi"/>
          <w:sz w:val="24"/>
          <w:szCs w:val="24"/>
        </w:rPr>
        <w:t xml:space="preserve">BRCs that operate </w:t>
      </w:r>
      <w:r w:rsidR="00D44BE4" w:rsidRPr="00587409">
        <w:rPr>
          <w:rFonts w:cstheme="minorHAnsi"/>
          <w:sz w:val="24"/>
          <w:szCs w:val="24"/>
        </w:rPr>
        <w:t xml:space="preserve">within a denominational </w:t>
      </w:r>
      <w:r w:rsidR="00D44BE4">
        <w:rPr>
          <w:rFonts w:cstheme="minorHAnsi"/>
          <w:sz w:val="24"/>
          <w:szCs w:val="24"/>
        </w:rPr>
        <w:t xml:space="preserve"> </w:t>
      </w:r>
      <w:r w:rsidR="00F000CC" w:rsidRPr="00587409">
        <w:rPr>
          <w:rFonts w:cstheme="minorHAnsi"/>
          <w:sz w:val="24"/>
          <w:szCs w:val="24"/>
        </w:rPr>
        <w:t>structure are subject to binding financial</w:t>
      </w:r>
    </w:p>
    <w:p w14:paraId="21069D94" w14:textId="77777777" w:rsidR="00F000CC" w:rsidRPr="00587409" w:rsidRDefault="00F000CC" w:rsidP="00F000CC">
      <w:pPr>
        <w:spacing w:after="0" w:line="360" w:lineRule="auto"/>
        <w:ind w:left="142" w:hanging="142"/>
        <w:rPr>
          <w:rFonts w:cstheme="minorHAnsi"/>
          <w:sz w:val="24"/>
          <w:szCs w:val="24"/>
        </w:rPr>
      </w:pPr>
      <w:r w:rsidRPr="00587409">
        <w:rPr>
          <w:rFonts w:cstheme="minorHAnsi"/>
          <w:sz w:val="24"/>
          <w:szCs w:val="24"/>
        </w:rPr>
        <w:t>reporting</w:t>
      </w:r>
      <w:r w:rsidR="00D44BE4">
        <w:rPr>
          <w:rFonts w:cstheme="minorHAnsi"/>
          <w:sz w:val="24"/>
          <w:szCs w:val="24"/>
        </w:rPr>
        <w:t xml:space="preserve"> </w:t>
      </w:r>
      <w:r w:rsidRPr="00587409">
        <w:rPr>
          <w:rFonts w:cstheme="minorHAnsi"/>
          <w:sz w:val="24"/>
          <w:szCs w:val="24"/>
        </w:rPr>
        <w:t>requirements of the denomination.</w:t>
      </w:r>
    </w:p>
    <w:p w14:paraId="15D7F316" w14:textId="77777777" w:rsidR="00F000CC" w:rsidRPr="00587409" w:rsidRDefault="00F000CC" w:rsidP="00F000CC">
      <w:pPr>
        <w:spacing w:after="0" w:line="360" w:lineRule="auto"/>
        <w:ind w:left="142" w:hanging="142"/>
        <w:rPr>
          <w:rFonts w:cstheme="minorHAnsi"/>
          <w:sz w:val="24"/>
          <w:szCs w:val="24"/>
        </w:rPr>
      </w:pPr>
    </w:p>
    <w:p w14:paraId="18955A70" w14:textId="77777777" w:rsidR="00F000CC" w:rsidRPr="00587409" w:rsidRDefault="00F000CC" w:rsidP="00F000CC">
      <w:pPr>
        <w:spacing w:after="0" w:line="360" w:lineRule="auto"/>
        <w:ind w:left="142" w:hanging="142"/>
        <w:rPr>
          <w:rFonts w:cstheme="minorHAnsi"/>
          <w:b/>
          <w:sz w:val="24"/>
          <w:szCs w:val="24"/>
        </w:rPr>
      </w:pPr>
      <w:r w:rsidRPr="00587409">
        <w:rPr>
          <w:rFonts w:cstheme="minorHAnsi"/>
          <w:b/>
          <w:sz w:val="24"/>
          <w:szCs w:val="24"/>
        </w:rPr>
        <w:t xml:space="preserve">Rebuttal </w:t>
      </w:r>
    </w:p>
    <w:p w14:paraId="34BB48CD" w14:textId="77777777" w:rsidR="00F000CC" w:rsidRPr="00587409" w:rsidRDefault="00F000CC" w:rsidP="00F000CC">
      <w:pPr>
        <w:pStyle w:val="ListParagraph"/>
        <w:numPr>
          <w:ilvl w:val="0"/>
          <w:numId w:val="6"/>
        </w:numPr>
        <w:spacing w:after="0" w:line="360" w:lineRule="auto"/>
        <w:rPr>
          <w:rFonts w:cstheme="minorHAnsi"/>
          <w:sz w:val="24"/>
          <w:szCs w:val="24"/>
        </w:rPr>
      </w:pPr>
      <w:r w:rsidRPr="00587409">
        <w:rPr>
          <w:rFonts w:cstheme="minorHAnsi"/>
          <w:sz w:val="24"/>
          <w:szCs w:val="24"/>
        </w:rPr>
        <w:t xml:space="preserve">This is true, and the research on which this submission is based has comprehensively document such requirements. However,  the principles of transparency and accountability that underpin the ACNC Act are those relating to public rather than private relationships. </w:t>
      </w:r>
    </w:p>
    <w:p w14:paraId="0FE4B4F5" w14:textId="77777777" w:rsidR="00F000CC" w:rsidRPr="00587409" w:rsidRDefault="00F000CC" w:rsidP="00F000CC">
      <w:pPr>
        <w:pStyle w:val="ListParagraph"/>
        <w:numPr>
          <w:ilvl w:val="0"/>
          <w:numId w:val="6"/>
        </w:numPr>
        <w:spacing w:after="0" w:line="360" w:lineRule="auto"/>
        <w:rPr>
          <w:rFonts w:cstheme="minorHAnsi"/>
          <w:sz w:val="24"/>
          <w:szCs w:val="24"/>
        </w:rPr>
      </w:pPr>
      <w:r w:rsidRPr="00587409">
        <w:rPr>
          <w:rFonts w:cstheme="minorHAnsi"/>
          <w:sz w:val="24"/>
          <w:szCs w:val="24"/>
        </w:rPr>
        <w:t xml:space="preserve">The research on which this paper is based has demonstrated that, especially for small BRCs, </w:t>
      </w:r>
      <w:r w:rsidR="00E7713D">
        <w:rPr>
          <w:rFonts w:cstheme="minorHAnsi"/>
          <w:sz w:val="24"/>
          <w:szCs w:val="24"/>
        </w:rPr>
        <w:t xml:space="preserve"> extant financial reporting </w:t>
      </w:r>
      <w:r w:rsidRPr="00587409">
        <w:rPr>
          <w:rFonts w:cstheme="minorHAnsi"/>
          <w:sz w:val="24"/>
          <w:szCs w:val="24"/>
        </w:rPr>
        <w:t xml:space="preserve"> </w:t>
      </w:r>
      <w:r w:rsidR="00E7713D">
        <w:rPr>
          <w:rFonts w:cstheme="minorHAnsi"/>
          <w:sz w:val="24"/>
          <w:szCs w:val="24"/>
        </w:rPr>
        <w:t>practices of BRCs that operate within a denominational structure</w:t>
      </w:r>
      <w:r w:rsidRPr="00587409">
        <w:rPr>
          <w:rFonts w:cstheme="minorHAnsi"/>
          <w:sz w:val="24"/>
          <w:szCs w:val="24"/>
        </w:rPr>
        <w:t xml:space="preserve"> far exceed those of the ACNC Act. As such  there is little impediment for BRCs to report financial information to the ACNC.</w:t>
      </w:r>
    </w:p>
    <w:p w14:paraId="53FED9FB" w14:textId="77777777" w:rsidR="006A1828" w:rsidRPr="00587409" w:rsidRDefault="00F000CC" w:rsidP="00F000CC">
      <w:pPr>
        <w:pStyle w:val="ListParagraph"/>
        <w:numPr>
          <w:ilvl w:val="0"/>
          <w:numId w:val="6"/>
        </w:numPr>
        <w:spacing w:after="0" w:line="360" w:lineRule="auto"/>
        <w:rPr>
          <w:rFonts w:cstheme="minorHAnsi"/>
          <w:sz w:val="24"/>
          <w:szCs w:val="24"/>
        </w:rPr>
      </w:pPr>
      <w:r w:rsidRPr="00587409">
        <w:rPr>
          <w:rFonts w:cstheme="minorHAnsi"/>
          <w:sz w:val="24"/>
          <w:szCs w:val="24"/>
        </w:rPr>
        <w:t xml:space="preserve"> Many Small BRCs  are required under  denominational  frameworks to be audited. Audits not required for small BRCs under the ACNC Act.</w:t>
      </w:r>
    </w:p>
    <w:p w14:paraId="72FD5280" w14:textId="77777777" w:rsidR="00D44BE4" w:rsidRDefault="00D44BE4">
      <w:pPr>
        <w:rPr>
          <w:rFonts w:cstheme="minorHAnsi"/>
          <w:b/>
          <w:sz w:val="24"/>
          <w:szCs w:val="24"/>
        </w:rPr>
      </w:pPr>
      <w:r>
        <w:rPr>
          <w:rFonts w:cstheme="minorHAnsi"/>
          <w:b/>
          <w:sz w:val="24"/>
          <w:szCs w:val="24"/>
        </w:rPr>
        <w:br w:type="page"/>
      </w:r>
    </w:p>
    <w:p w14:paraId="7B52F8A0" w14:textId="77777777" w:rsidR="003D26D8" w:rsidRPr="00587409" w:rsidRDefault="003D26D8" w:rsidP="003D26D8">
      <w:pPr>
        <w:spacing w:after="0" w:line="360" w:lineRule="auto"/>
        <w:ind w:left="142" w:hanging="142"/>
        <w:rPr>
          <w:rFonts w:cstheme="minorHAnsi"/>
          <w:b/>
          <w:sz w:val="24"/>
          <w:szCs w:val="24"/>
        </w:rPr>
      </w:pPr>
      <w:r w:rsidRPr="00587409">
        <w:rPr>
          <w:rFonts w:cstheme="minorHAnsi"/>
          <w:b/>
          <w:sz w:val="24"/>
          <w:szCs w:val="24"/>
        </w:rPr>
        <w:lastRenderedPageBreak/>
        <w:t xml:space="preserve">Argument 3 </w:t>
      </w:r>
    </w:p>
    <w:p w14:paraId="39190358" w14:textId="77777777" w:rsidR="00D44BE4" w:rsidRDefault="003D26D8" w:rsidP="003D26D8">
      <w:pPr>
        <w:spacing w:after="0" w:line="360" w:lineRule="auto"/>
        <w:ind w:left="142" w:hanging="142"/>
        <w:rPr>
          <w:rFonts w:cstheme="minorHAnsi"/>
          <w:sz w:val="24"/>
          <w:szCs w:val="24"/>
        </w:rPr>
      </w:pPr>
      <w:r w:rsidRPr="00587409">
        <w:rPr>
          <w:rFonts w:cstheme="minorHAnsi"/>
          <w:sz w:val="24"/>
          <w:szCs w:val="24"/>
        </w:rPr>
        <w:t xml:space="preserve">The present legislation strikes the correct balance by providing a high  degree of  </w:t>
      </w:r>
    </w:p>
    <w:p w14:paraId="0FA20C21" w14:textId="77777777" w:rsidR="00D44BE4" w:rsidRDefault="00D44BE4" w:rsidP="003D26D8">
      <w:pPr>
        <w:spacing w:after="0" w:line="360" w:lineRule="auto"/>
        <w:ind w:left="142" w:hanging="142"/>
        <w:rPr>
          <w:rFonts w:cstheme="minorHAnsi"/>
          <w:sz w:val="24"/>
          <w:szCs w:val="24"/>
        </w:rPr>
      </w:pPr>
      <w:r>
        <w:rPr>
          <w:rFonts w:cstheme="minorHAnsi"/>
          <w:sz w:val="24"/>
          <w:szCs w:val="24"/>
        </w:rPr>
        <w:t>t</w:t>
      </w:r>
      <w:r w:rsidR="003D26D8" w:rsidRPr="00587409">
        <w:rPr>
          <w:rFonts w:cstheme="minorHAnsi"/>
          <w:sz w:val="24"/>
          <w:szCs w:val="24"/>
        </w:rPr>
        <w:t>ransparency about the activities, personnel, size, governance  and responsible  persons of</w:t>
      </w:r>
    </w:p>
    <w:p w14:paraId="56B81A90" w14:textId="77777777" w:rsidR="00D44BE4" w:rsidRDefault="003D26D8" w:rsidP="003D26D8">
      <w:pPr>
        <w:spacing w:after="0" w:line="360" w:lineRule="auto"/>
        <w:ind w:left="142" w:hanging="142"/>
        <w:rPr>
          <w:rFonts w:cstheme="minorHAnsi"/>
          <w:sz w:val="24"/>
          <w:szCs w:val="24"/>
        </w:rPr>
      </w:pPr>
      <w:r w:rsidRPr="00587409">
        <w:rPr>
          <w:rFonts w:cstheme="minorHAnsi"/>
          <w:sz w:val="24"/>
          <w:szCs w:val="24"/>
        </w:rPr>
        <w:t>Basic Religious Charities, while recognising   the unique nature of these  charities by not</w:t>
      </w:r>
    </w:p>
    <w:p w14:paraId="6FDFF893" w14:textId="77777777" w:rsidR="003D26D8" w:rsidRPr="00587409" w:rsidRDefault="003D26D8" w:rsidP="003D26D8">
      <w:pPr>
        <w:spacing w:after="0" w:line="360" w:lineRule="auto"/>
        <w:ind w:left="142" w:hanging="142"/>
        <w:rPr>
          <w:rFonts w:cstheme="minorHAnsi"/>
          <w:sz w:val="24"/>
          <w:szCs w:val="24"/>
        </w:rPr>
      </w:pPr>
      <w:r w:rsidRPr="00587409">
        <w:rPr>
          <w:rFonts w:cstheme="minorHAnsi"/>
          <w:sz w:val="24"/>
          <w:szCs w:val="24"/>
        </w:rPr>
        <w:t>imposing an unnecessary  compliance burden.</w:t>
      </w:r>
    </w:p>
    <w:p w14:paraId="7E501FAD" w14:textId="77777777" w:rsidR="003D26D8" w:rsidRPr="00587409" w:rsidRDefault="003D26D8" w:rsidP="003D26D8">
      <w:pPr>
        <w:spacing w:after="0" w:line="360" w:lineRule="auto"/>
        <w:ind w:left="142" w:hanging="142"/>
        <w:rPr>
          <w:rFonts w:cstheme="minorHAnsi"/>
          <w:sz w:val="24"/>
          <w:szCs w:val="24"/>
        </w:rPr>
      </w:pPr>
    </w:p>
    <w:p w14:paraId="62DC2ED9" w14:textId="77777777" w:rsidR="003D26D8" w:rsidRPr="004806BD" w:rsidRDefault="003D26D8" w:rsidP="004806BD">
      <w:pPr>
        <w:spacing w:after="0" w:line="360" w:lineRule="auto"/>
        <w:ind w:left="142" w:hanging="142"/>
        <w:rPr>
          <w:rFonts w:cstheme="minorHAnsi"/>
          <w:b/>
          <w:sz w:val="24"/>
          <w:szCs w:val="24"/>
        </w:rPr>
      </w:pPr>
      <w:r w:rsidRPr="004806BD">
        <w:rPr>
          <w:rFonts w:cstheme="minorHAnsi"/>
          <w:b/>
          <w:sz w:val="24"/>
          <w:szCs w:val="24"/>
        </w:rPr>
        <w:t xml:space="preserve">Rebuttal  </w:t>
      </w:r>
    </w:p>
    <w:p w14:paraId="33FE368A" w14:textId="77777777" w:rsidR="003D26D8" w:rsidRPr="004806BD" w:rsidRDefault="00D44BE4" w:rsidP="004806BD">
      <w:pPr>
        <w:pStyle w:val="ListParagraph"/>
        <w:numPr>
          <w:ilvl w:val="0"/>
          <w:numId w:val="11"/>
        </w:numPr>
        <w:spacing w:after="0" w:line="360" w:lineRule="auto"/>
        <w:ind w:left="567" w:hanging="141"/>
        <w:rPr>
          <w:rFonts w:cstheme="minorHAnsi"/>
          <w:sz w:val="24"/>
          <w:szCs w:val="24"/>
        </w:rPr>
      </w:pPr>
      <w:r w:rsidRPr="004806BD">
        <w:rPr>
          <w:rFonts w:cstheme="minorHAnsi"/>
          <w:sz w:val="24"/>
          <w:szCs w:val="24"/>
        </w:rPr>
        <w:t>While t</w:t>
      </w:r>
      <w:r w:rsidR="003D26D8" w:rsidRPr="004806BD">
        <w:rPr>
          <w:rFonts w:cstheme="minorHAnsi"/>
          <w:sz w:val="24"/>
          <w:szCs w:val="24"/>
        </w:rPr>
        <w:t xml:space="preserve">here is transparency about these matters, </w:t>
      </w:r>
      <w:r w:rsidRPr="004806BD">
        <w:rPr>
          <w:rFonts w:cstheme="minorHAnsi"/>
          <w:sz w:val="24"/>
          <w:szCs w:val="24"/>
        </w:rPr>
        <w:t xml:space="preserve">there is </w:t>
      </w:r>
      <w:r w:rsidR="004806BD" w:rsidRPr="004806BD">
        <w:rPr>
          <w:rFonts w:cstheme="minorHAnsi"/>
          <w:sz w:val="24"/>
          <w:szCs w:val="24"/>
        </w:rPr>
        <w:t xml:space="preserve">currently no transparency </w:t>
      </w:r>
      <w:r w:rsidRPr="004806BD">
        <w:rPr>
          <w:rFonts w:cstheme="minorHAnsi"/>
          <w:sz w:val="24"/>
          <w:szCs w:val="24"/>
        </w:rPr>
        <w:t xml:space="preserve">regarding </w:t>
      </w:r>
      <w:r w:rsidR="003D26D8" w:rsidRPr="004806BD">
        <w:rPr>
          <w:rFonts w:cstheme="minorHAnsi"/>
          <w:sz w:val="24"/>
          <w:szCs w:val="24"/>
        </w:rPr>
        <w:t>financial</w:t>
      </w:r>
      <w:r w:rsidR="004806BD">
        <w:rPr>
          <w:rFonts w:cstheme="minorHAnsi"/>
          <w:sz w:val="24"/>
          <w:szCs w:val="24"/>
        </w:rPr>
        <w:t xml:space="preserve"> </w:t>
      </w:r>
      <w:r w:rsidR="003D26D8" w:rsidRPr="004806BD">
        <w:rPr>
          <w:rFonts w:cstheme="minorHAnsi"/>
          <w:sz w:val="24"/>
          <w:szCs w:val="24"/>
        </w:rPr>
        <w:t>information.</w:t>
      </w:r>
    </w:p>
    <w:p w14:paraId="3A7F21B4" w14:textId="77777777" w:rsidR="004806BD" w:rsidRDefault="003D26D8" w:rsidP="004806BD">
      <w:pPr>
        <w:pStyle w:val="ListParagraph"/>
        <w:numPr>
          <w:ilvl w:val="0"/>
          <w:numId w:val="11"/>
        </w:numPr>
        <w:spacing w:after="0" w:line="360" w:lineRule="auto"/>
        <w:rPr>
          <w:rFonts w:cstheme="minorHAnsi"/>
          <w:sz w:val="24"/>
          <w:szCs w:val="24"/>
        </w:rPr>
      </w:pPr>
      <w:r w:rsidRPr="004806BD">
        <w:rPr>
          <w:rFonts w:cstheme="minorHAnsi"/>
          <w:sz w:val="24"/>
          <w:szCs w:val="24"/>
        </w:rPr>
        <w:t>It is difficult to understand what is “unique” about BRCs.</w:t>
      </w:r>
      <w:r w:rsidR="004806BD" w:rsidRPr="004806BD">
        <w:rPr>
          <w:rFonts w:cstheme="minorHAnsi"/>
          <w:sz w:val="24"/>
          <w:szCs w:val="24"/>
        </w:rPr>
        <w:t xml:space="preserve"> </w:t>
      </w:r>
    </w:p>
    <w:p w14:paraId="3A3CBA80" w14:textId="77777777" w:rsidR="004806BD" w:rsidRDefault="004806BD" w:rsidP="004806BD">
      <w:pPr>
        <w:pStyle w:val="ListParagraph"/>
        <w:numPr>
          <w:ilvl w:val="0"/>
          <w:numId w:val="12"/>
        </w:numPr>
        <w:spacing w:after="0" w:line="360" w:lineRule="auto"/>
        <w:rPr>
          <w:rFonts w:cstheme="minorHAnsi"/>
          <w:sz w:val="24"/>
          <w:szCs w:val="24"/>
        </w:rPr>
      </w:pPr>
      <w:r>
        <w:rPr>
          <w:rFonts w:cstheme="minorHAnsi"/>
          <w:sz w:val="24"/>
          <w:szCs w:val="24"/>
        </w:rPr>
        <w:t xml:space="preserve">As  noted above, BRCs undertake a very wide </w:t>
      </w:r>
      <w:r w:rsidR="00B65DC3">
        <w:rPr>
          <w:rFonts w:cstheme="minorHAnsi"/>
          <w:sz w:val="24"/>
          <w:szCs w:val="24"/>
        </w:rPr>
        <w:t>range</w:t>
      </w:r>
      <w:r>
        <w:rPr>
          <w:rFonts w:cstheme="minorHAnsi"/>
          <w:sz w:val="24"/>
          <w:szCs w:val="24"/>
        </w:rPr>
        <w:t xml:space="preserve"> of activities;</w:t>
      </w:r>
    </w:p>
    <w:p w14:paraId="46CB9E9C" w14:textId="77777777" w:rsidR="004806BD" w:rsidRDefault="004806BD" w:rsidP="004806BD">
      <w:pPr>
        <w:pStyle w:val="ListParagraph"/>
        <w:numPr>
          <w:ilvl w:val="0"/>
          <w:numId w:val="12"/>
        </w:numPr>
        <w:spacing w:after="0" w:line="360" w:lineRule="auto"/>
        <w:rPr>
          <w:rFonts w:cstheme="minorHAnsi"/>
          <w:sz w:val="24"/>
          <w:szCs w:val="24"/>
        </w:rPr>
      </w:pPr>
      <w:r w:rsidRPr="004806BD">
        <w:rPr>
          <w:rFonts w:cstheme="minorHAnsi"/>
          <w:sz w:val="24"/>
          <w:szCs w:val="24"/>
        </w:rPr>
        <w:t>With the exception of Category 8 BRCs (Religious Orders or Faith-Based Movements), it is possible to identify a charity perf</w:t>
      </w:r>
      <w:r>
        <w:rPr>
          <w:rFonts w:cstheme="minorHAnsi"/>
          <w:sz w:val="24"/>
          <w:szCs w:val="24"/>
        </w:rPr>
        <w:t>or</w:t>
      </w:r>
      <w:r w:rsidRPr="004806BD">
        <w:rPr>
          <w:rFonts w:cstheme="minorHAnsi"/>
          <w:sz w:val="24"/>
          <w:szCs w:val="24"/>
        </w:rPr>
        <w:t xml:space="preserve">ming identical activities that does not self-classify as a BRC. </w:t>
      </w:r>
    </w:p>
    <w:p w14:paraId="0C90A5E9" w14:textId="77777777" w:rsidR="003D26D8" w:rsidRPr="004806BD" w:rsidRDefault="004806BD" w:rsidP="004806BD">
      <w:pPr>
        <w:pStyle w:val="ListParagraph"/>
        <w:numPr>
          <w:ilvl w:val="0"/>
          <w:numId w:val="12"/>
        </w:numPr>
        <w:spacing w:after="0" w:line="360" w:lineRule="auto"/>
        <w:rPr>
          <w:rFonts w:cstheme="minorHAnsi"/>
          <w:sz w:val="24"/>
          <w:szCs w:val="24"/>
        </w:rPr>
      </w:pPr>
      <w:r>
        <w:rPr>
          <w:rFonts w:cstheme="minorHAnsi"/>
          <w:sz w:val="24"/>
          <w:szCs w:val="24"/>
        </w:rPr>
        <w:t>Only</w:t>
      </w:r>
      <w:r w:rsidRPr="004806BD">
        <w:rPr>
          <w:rFonts w:cstheme="minorHAnsi"/>
          <w:sz w:val="24"/>
          <w:szCs w:val="24"/>
        </w:rPr>
        <w:t xml:space="preserve"> 56% of charities  having the sole objective of advancing religion</w:t>
      </w:r>
      <w:r>
        <w:rPr>
          <w:rFonts w:cstheme="minorHAnsi"/>
          <w:sz w:val="24"/>
          <w:szCs w:val="24"/>
        </w:rPr>
        <w:t xml:space="preserve"> (one of the criteria that defines a charity as a BRC) self-classified as a BRC</w:t>
      </w:r>
      <w:r w:rsidRPr="004806BD">
        <w:rPr>
          <w:rFonts w:cstheme="minorHAnsi"/>
          <w:sz w:val="24"/>
          <w:szCs w:val="24"/>
        </w:rPr>
        <w:t>.</w:t>
      </w:r>
    </w:p>
    <w:p w14:paraId="243989F4" w14:textId="77777777" w:rsidR="003D26D8" w:rsidRPr="00587409" w:rsidRDefault="003D26D8" w:rsidP="00F87757">
      <w:pPr>
        <w:spacing w:after="0" w:line="360" w:lineRule="auto"/>
        <w:ind w:left="142" w:hanging="142"/>
        <w:rPr>
          <w:rFonts w:cstheme="minorHAnsi"/>
          <w:b/>
          <w:sz w:val="24"/>
          <w:szCs w:val="24"/>
        </w:rPr>
      </w:pPr>
    </w:p>
    <w:p w14:paraId="4E6E12DB" w14:textId="77777777" w:rsidR="003D26D8" w:rsidRPr="00587409" w:rsidRDefault="003D26D8" w:rsidP="003D26D8">
      <w:pPr>
        <w:spacing w:after="0" w:line="360" w:lineRule="auto"/>
        <w:ind w:left="142" w:hanging="142"/>
        <w:rPr>
          <w:rFonts w:cstheme="minorHAnsi"/>
          <w:b/>
          <w:sz w:val="24"/>
          <w:szCs w:val="24"/>
        </w:rPr>
      </w:pPr>
      <w:r w:rsidRPr="00587409">
        <w:rPr>
          <w:rFonts w:cstheme="minorHAnsi"/>
          <w:b/>
          <w:sz w:val="24"/>
          <w:szCs w:val="24"/>
        </w:rPr>
        <w:t xml:space="preserve">Argument 4 </w:t>
      </w:r>
    </w:p>
    <w:p w14:paraId="6FD644C1" w14:textId="77777777" w:rsidR="004806BD" w:rsidRDefault="003D26D8" w:rsidP="003D26D8">
      <w:pPr>
        <w:spacing w:after="0" w:line="360" w:lineRule="auto"/>
        <w:ind w:left="142" w:hanging="142"/>
        <w:rPr>
          <w:rFonts w:cstheme="minorHAnsi"/>
          <w:sz w:val="24"/>
          <w:szCs w:val="24"/>
        </w:rPr>
      </w:pPr>
      <w:r w:rsidRPr="00587409">
        <w:rPr>
          <w:rFonts w:cstheme="minorHAnsi"/>
          <w:sz w:val="24"/>
          <w:szCs w:val="24"/>
        </w:rPr>
        <w:t>Although other religious charities will also meet the criteria to be registered as a BRC, the</w:t>
      </w:r>
    </w:p>
    <w:p w14:paraId="0A18A138" w14:textId="77777777" w:rsidR="004806BD" w:rsidRDefault="003D26D8" w:rsidP="003D26D8">
      <w:pPr>
        <w:spacing w:after="0" w:line="360" w:lineRule="auto"/>
        <w:ind w:left="142" w:hanging="142"/>
        <w:rPr>
          <w:rFonts w:cstheme="minorHAnsi"/>
          <w:sz w:val="24"/>
          <w:szCs w:val="24"/>
        </w:rPr>
      </w:pPr>
      <w:r w:rsidRPr="00587409">
        <w:rPr>
          <w:rFonts w:cstheme="minorHAnsi"/>
          <w:sz w:val="24"/>
          <w:szCs w:val="24"/>
        </w:rPr>
        <w:t>main types of entity that will be classified as BRCs will be local churches and parishes, which</w:t>
      </w:r>
    </w:p>
    <w:p w14:paraId="6DED939E" w14:textId="77777777" w:rsidR="003D26D8" w:rsidRPr="00587409" w:rsidRDefault="003D26D8" w:rsidP="003D26D8">
      <w:pPr>
        <w:spacing w:after="0" w:line="360" w:lineRule="auto"/>
        <w:ind w:left="142" w:hanging="142"/>
        <w:rPr>
          <w:rFonts w:cstheme="minorHAnsi"/>
          <w:b/>
          <w:sz w:val="24"/>
          <w:szCs w:val="24"/>
        </w:rPr>
      </w:pPr>
      <w:r w:rsidRPr="00587409">
        <w:rPr>
          <w:rFonts w:cstheme="minorHAnsi"/>
          <w:sz w:val="24"/>
          <w:szCs w:val="24"/>
        </w:rPr>
        <w:t xml:space="preserve">have limited administrative capacity. </w:t>
      </w:r>
    </w:p>
    <w:p w14:paraId="4E451008" w14:textId="77777777" w:rsidR="003D26D8" w:rsidRPr="00587409" w:rsidRDefault="003D26D8" w:rsidP="003D26D8">
      <w:pPr>
        <w:spacing w:after="0" w:line="360" w:lineRule="auto"/>
        <w:ind w:left="142" w:hanging="142"/>
        <w:rPr>
          <w:rFonts w:cstheme="minorHAnsi"/>
          <w:b/>
          <w:sz w:val="24"/>
          <w:szCs w:val="24"/>
        </w:rPr>
      </w:pPr>
      <w:r w:rsidRPr="00587409">
        <w:rPr>
          <w:rFonts w:cstheme="minorHAnsi"/>
          <w:b/>
          <w:sz w:val="24"/>
          <w:szCs w:val="24"/>
        </w:rPr>
        <w:t> </w:t>
      </w:r>
    </w:p>
    <w:p w14:paraId="4A84D1A8" w14:textId="77777777" w:rsidR="003D26D8" w:rsidRPr="004806BD" w:rsidRDefault="003D26D8" w:rsidP="003D26D8">
      <w:pPr>
        <w:spacing w:after="0" w:line="360" w:lineRule="auto"/>
        <w:ind w:left="142" w:hanging="142"/>
        <w:rPr>
          <w:rFonts w:cstheme="minorHAnsi"/>
          <w:b/>
          <w:sz w:val="24"/>
          <w:szCs w:val="24"/>
        </w:rPr>
      </w:pPr>
      <w:r w:rsidRPr="004806BD">
        <w:rPr>
          <w:rFonts w:cstheme="minorHAnsi"/>
          <w:b/>
          <w:sz w:val="24"/>
          <w:szCs w:val="24"/>
        </w:rPr>
        <w:t xml:space="preserve">Rebuttal: </w:t>
      </w:r>
    </w:p>
    <w:p w14:paraId="646BF032" w14:textId="77777777" w:rsidR="00AA6CE4" w:rsidRDefault="004806BD" w:rsidP="00AA6CE4">
      <w:pPr>
        <w:pStyle w:val="ListParagraph"/>
        <w:numPr>
          <w:ilvl w:val="0"/>
          <w:numId w:val="13"/>
        </w:numPr>
        <w:spacing w:after="0" w:line="360" w:lineRule="auto"/>
        <w:rPr>
          <w:rFonts w:cstheme="minorHAnsi"/>
          <w:sz w:val="24"/>
          <w:szCs w:val="24"/>
        </w:rPr>
      </w:pPr>
      <w:r w:rsidRPr="00AA6CE4">
        <w:rPr>
          <w:rFonts w:cstheme="minorHAnsi"/>
          <w:sz w:val="24"/>
          <w:szCs w:val="24"/>
        </w:rPr>
        <w:t>While it is true that a large majority (81%) of</w:t>
      </w:r>
      <w:r w:rsidRPr="00AA6CE4">
        <w:rPr>
          <w:rFonts w:cstheme="minorHAnsi"/>
          <w:b/>
          <w:sz w:val="24"/>
          <w:szCs w:val="24"/>
        </w:rPr>
        <w:t xml:space="preserve"> </w:t>
      </w:r>
      <w:r w:rsidRPr="00AA6CE4">
        <w:rPr>
          <w:rFonts w:cstheme="minorHAnsi"/>
          <w:sz w:val="24"/>
          <w:szCs w:val="24"/>
        </w:rPr>
        <w:t>BRCs are local parishes and churches</w:t>
      </w:r>
      <w:r w:rsidR="00AA6CE4" w:rsidRPr="00AA6CE4">
        <w:rPr>
          <w:rFonts w:cstheme="minorHAnsi"/>
          <w:sz w:val="24"/>
          <w:szCs w:val="24"/>
        </w:rPr>
        <w:t xml:space="preserve">. This still </w:t>
      </w:r>
      <w:r w:rsidR="00AA6CE4">
        <w:rPr>
          <w:rFonts w:cstheme="minorHAnsi"/>
          <w:sz w:val="24"/>
          <w:szCs w:val="24"/>
        </w:rPr>
        <w:t xml:space="preserve">leaves 19% that are not, many of which have significant resource </w:t>
      </w:r>
      <w:r w:rsidR="00B65DC3">
        <w:rPr>
          <w:rFonts w:cstheme="minorHAnsi"/>
          <w:sz w:val="24"/>
          <w:szCs w:val="24"/>
        </w:rPr>
        <w:t>at</w:t>
      </w:r>
      <w:r w:rsidR="00AA6CE4">
        <w:rPr>
          <w:rFonts w:cstheme="minorHAnsi"/>
          <w:sz w:val="24"/>
          <w:szCs w:val="24"/>
        </w:rPr>
        <w:t xml:space="preserve"> their disposal.</w:t>
      </w:r>
    </w:p>
    <w:p w14:paraId="1BEAAA06" w14:textId="77777777" w:rsidR="00AA6CE4" w:rsidRPr="00AA6CE4" w:rsidRDefault="00AA6CE4" w:rsidP="00AA6CE4">
      <w:pPr>
        <w:pStyle w:val="ListParagraph"/>
        <w:numPr>
          <w:ilvl w:val="0"/>
          <w:numId w:val="13"/>
        </w:numPr>
        <w:spacing w:after="0" w:line="360" w:lineRule="auto"/>
        <w:rPr>
          <w:rFonts w:cstheme="minorHAnsi"/>
          <w:sz w:val="24"/>
          <w:szCs w:val="24"/>
        </w:rPr>
      </w:pPr>
      <w:r>
        <w:rPr>
          <w:rFonts w:cstheme="minorHAnsi"/>
          <w:sz w:val="24"/>
          <w:szCs w:val="24"/>
        </w:rPr>
        <w:t>The f</w:t>
      </w:r>
      <w:r w:rsidRPr="00AA6CE4">
        <w:rPr>
          <w:rFonts w:cstheme="minorHAnsi"/>
          <w:sz w:val="24"/>
          <w:szCs w:val="24"/>
        </w:rPr>
        <w:t xml:space="preserve">inancial reporting requirements for </w:t>
      </w:r>
      <w:r>
        <w:rPr>
          <w:rFonts w:cstheme="minorHAnsi"/>
          <w:sz w:val="24"/>
          <w:szCs w:val="24"/>
        </w:rPr>
        <w:t xml:space="preserve">BRCs </w:t>
      </w:r>
      <w:r w:rsidRPr="00AA6CE4">
        <w:rPr>
          <w:rFonts w:cstheme="minorHAnsi"/>
          <w:sz w:val="24"/>
          <w:szCs w:val="24"/>
        </w:rPr>
        <w:t xml:space="preserve"> operating within a denominational structure </w:t>
      </w:r>
      <w:r>
        <w:rPr>
          <w:rFonts w:cstheme="minorHAnsi"/>
          <w:sz w:val="24"/>
          <w:szCs w:val="24"/>
        </w:rPr>
        <w:t xml:space="preserve"> (the majority) </w:t>
      </w:r>
      <w:r w:rsidRPr="00AA6CE4">
        <w:rPr>
          <w:rFonts w:cstheme="minorHAnsi"/>
          <w:sz w:val="24"/>
          <w:szCs w:val="24"/>
        </w:rPr>
        <w:t xml:space="preserve">are far more </w:t>
      </w:r>
      <w:r>
        <w:rPr>
          <w:rFonts w:cstheme="minorHAnsi"/>
          <w:sz w:val="24"/>
          <w:szCs w:val="24"/>
        </w:rPr>
        <w:t xml:space="preserve">extensive (and, one might say, onerous) </w:t>
      </w:r>
      <w:r w:rsidRPr="00AA6CE4">
        <w:rPr>
          <w:rFonts w:cstheme="minorHAnsi"/>
          <w:sz w:val="24"/>
          <w:szCs w:val="24"/>
        </w:rPr>
        <w:t xml:space="preserve"> than those of  the ACNC Act.</w:t>
      </w:r>
    </w:p>
    <w:p w14:paraId="14896553" w14:textId="77777777" w:rsidR="00AA6CE4" w:rsidRPr="00AA6CE4" w:rsidRDefault="00AA6CE4" w:rsidP="00AA6CE4">
      <w:pPr>
        <w:pStyle w:val="ListParagraph"/>
        <w:numPr>
          <w:ilvl w:val="0"/>
          <w:numId w:val="13"/>
        </w:numPr>
        <w:tabs>
          <w:tab w:val="left" w:pos="851"/>
        </w:tabs>
        <w:spacing w:after="0" w:line="360" w:lineRule="auto"/>
        <w:ind w:left="851" w:hanging="425"/>
        <w:rPr>
          <w:rFonts w:cstheme="minorHAnsi"/>
          <w:sz w:val="24"/>
          <w:szCs w:val="24"/>
          <w:u w:val="single"/>
        </w:rPr>
      </w:pPr>
      <w:r w:rsidRPr="00AA6CE4">
        <w:rPr>
          <w:rFonts w:cstheme="minorHAnsi"/>
          <w:sz w:val="24"/>
          <w:szCs w:val="24"/>
        </w:rPr>
        <w:t xml:space="preserve"> </w:t>
      </w:r>
      <w:r w:rsidR="003D26D8" w:rsidRPr="00AA6CE4">
        <w:rPr>
          <w:rFonts w:cstheme="minorHAnsi"/>
          <w:sz w:val="24"/>
          <w:szCs w:val="24"/>
        </w:rPr>
        <w:t>The human resource</w:t>
      </w:r>
      <w:r>
        <w:rPr>
          <w:rFonts w:cstheme="minorHAnsi"/>
          <w:sz w:val="24"/>
          <w:szCs w:val="24"/>
        </w:rPr>
        <w:t xml:space="preserve"> capacity </w:t>
      </w:r>
      <w:r w:rsidR="003D26D8" w:rsidRPr="00AA6CE4">
        <w:rPr>
          <w:rFonts w:cstheme="minorHAnsi"/>
          <w:sz w:val="24"/>
          <w:szCs w:val="24"/>
        </w:rPr>
        <w:t xml:space="preserve"> </w:t>
      </w:r>
      <w:r>
        <w:rPr>
          <w:rFonts w:cstheme="minorHAnsi"/>
          <w:sz w:val="24"/>
          <w:szCs w:val="24"/>
        </w:rPr>
        <w:t xml:space="preserve">of </w:t>
      </w:r>
      <w:r w:rsidR="003D26D8" w:rsidRPr="00AA6CE4">
        <w:rPr>
          <w:rFonts w:cstheme="minorHAnsi"/>
          <w:sz w:val="24"/>
          <w:szCs w:val="24"/>
        </w:rPr>
        <w:t xml:space="preserve"> small</w:t>
      </w:r>
      <w:r w:rsidRPr="00AA6CE4">
        <w:rPr>
          <w:rFonts w:cstheme="minorHAnsi"/>
          <w:sz w:val="24"/>
          <w:szCs w:val="24"/>
        </w:rPr>
        <w:t xml:space="preserve"> </w:t>
      </w:r>
      <w:r w:rsidR="003D26D8" w:rsidRPr="00AA6CE4">
        <w:rPr>
          <w:rFonts w:cstheme="minorHAnsi"/>
          <w:sz w:val="24"/>
          <w:szCs w:val="24"/>
        </w:rPr>
        <w:t xml:space="preserve">parishes and churches is </w:t>
      </w:r>
      <w:r>
        <w:rPr>
          <w:rFonts w:cstheme="minorHAnsi"/>
          <w:sz w:val="24"/>
          <w:szCs w:val="24"/>
        </w:rPr>
        <w:t xml:space="preserve">actually </w:t>
      </w:r>
      <w:r w:rsidR="003D26D8" w:rsidRPr="00AA6CE4">
        <w:rPr>
          <w:rFonts w:cstheme="minorHAnsi"/>
          <w:sz w:val="24"/>
          <w:szCs w:val="24"/>
        </w:rPr>
        <w:t>greater than</w:t>
      </w:r>
      <w:r w:rsidRPr="00AA6CE4">
        <w:rPr>
          <w:rFonts w:cstheme="minorHAnsi"/>
          <w:sz w:val="24"/>
          <w:szCs w:val="24"/>
        </w:rPr>
        <w:t xml:space="preserve">   </w:t>
      </w:r>
      <w:r>
        <w:rPr>
          <w:rFonts w:cstheme="minorHAnsi"/>
          <w:sz w:val="24"/>
          <w:szCs w:val="24"/>
        </w:rPr>
        <w:t xml:space="preserve">that of </w:t>
      </w:r>
      <w:r w:rsidR="003D26D8" w:rsidRPr="00AA6CE4">
        <w:rPr>
          <w:rFonts w:cstheme="minorHAnsi"/>
          <w:sz w:val="24"/>
          <w:szCs w:val="24"/>
        </w:rPr>
        <w:t xml:space="preserve"> small charities that are not BRCs, </w:t>
      </w:r>
      <w:r w:rsidR="003D26D8" w:rsidRPr="00AA6CE4">
        <w:rPr>
          <w:rFonts w:cstheme="minorHAnsi"/>
          <w:sz w:val="24"/>
          <w:szCs w:val="24"/>
          <w:u w:val="single"/>
        </w:rPr>
        <w:t>and which must report</w:t>
      </w:r>
    </w:p>
    <w:p w14:paraId="7600DD04" w14:textId="77777777" w:rsidR="003D26D8" w:rsidRDefault="00AA6CE4" w:rsidP="00AA6CE4">
      <w:pPr>
        <w:pStyle w:val="ListParagraph"/>
        <w:spacing w:after="0" w:line="360" w:lineRule="auto"/>
        <w:ind w:left="426"/>
        <w:rPr>
          <w:rFonts w:cstheme="minorHAnsi"/>
          <w:sz w:val="24"/>
          <w:szCs w:val="24"/>
        </w:rPr>
      </w:pPr>
      <w:r w:rsidRPr="00AA6CE4">
        <w:rPr>
          <w:rFonts w:cstheme="minorHAnsi"/>
          <w:sz w:val="24"/>
          <w:szCs w:val="24"/>
        </w:rPr>
        <w:t xml:space="preserve">        </w:t>
      </w:r>
      <w:r w:rsidR="003D26D8" w:rsidRPr="00AA6CE4">
        <w:rPr>
          <w:rFonts w:cstheme="minorHAnsi"/>
          <w:sz w:val="24"/>
          <w:szCs w:val="24"/>
        </w:rPr>
        <w:t xml:space="preserve"> </w:t>
      </w:r>
      <w:r w:rsidR="003D26D8" w:rsidRPr="00AA6CE4">
        <w:rPr>
          <w:rFonts w:cstheme="minorHAnsi"/>
          <w:sz w:val="24"/>
          <w:szCs w:val="24"/>
          <w:u w:val="single"/>
        </w:rPr>
        <w:t>financial information under the ACNC Act.</w:t>
      </w:r>
      <w:r>
        <w:rPr>
          <w:rFonts w:cstheme="minorHAnsi"/>
          <w:sz w:val="24"/>
          <w:szCs w:val="24"/>
          <w:u w:val="single"/>
        </w:rPr>
        <w:t xml:space="preserve"> </w:t>
      </w:r>
      <w:r w:rsidRPr="00AA6CE4">
        <w:rPr>
          <w:rFonts w:cstheme="minorHAnsi"/>
          <w:sz w:val="24"/>
          <w:szCs w:val="24"/>
        </w:rPr>
        <w:t>This</w:t>
      </w:r>
      <w:r>
        <w:rPr>
          <w:rFonts w:cstheme="minorHAnsi"/>
          <w:sz w:val="24"/>
          <w:szCs w:val="24"/>
        </w:rPr>
        <w:t xml:space="preserve"> is shown in Table 8 (below).</w:t>
      </w:r>
    </w:p>
    <w:p w14:paraId="1A2BE7AE" w14:textId="77777777" w:rsidR="003D26D8" w:rsidRPr="00587409" w:rsidRDefault="00AA6CE4" w:rsidP="00AA6CE4">
      <w:pPr>
        <w:pStyle w:val="ListParagraph"/>
        <w:spacing w:after="0" w:line="360" w:lineRule="auto"/>
        <w:ind w:left="426"/>
        <w:rPr>
          <w:rFonts w:cstheme="minorHAnsi"/>
          <w:sz w:val="24"/>
          <w:szCs w:val="24"/>
        </w:rPr>
      </w:pPr>
      <w:r>
        <w:rPr>
          <w:rFonts w:cstheme="minorHAnsi"/>
          <w:sz w:val="24"/>
          <w:szCs w:val="24"/>
        </w:rPr>
        <w:lastRenderedPageBreak/>
        <w:t xml:space="preserve">Table 8 ( below) </w:t>
      </w:r>
      <w:r w:rsidR="003D26D8" w:rsidRPr="00587409">
        <w:rPr>
          <w:rFonts w:cstheme="minorHAnsi"/>
          <w:sz w:val="24"/>
          <w:szCs w:val="24"/>
        </w:rPr>
        <w:t xml:space="preserve">shows the human resource </w:t>
      </w:r>
      <w:r>
        <w:rPr>
          <w:rFonts w:cstheme="minorHAnsi"/>
          <w:sz w:val="24"/>
          <w:szCs w:val="24"/>
        </w:rPr>
        <w:t>capacity of</w:t>
      </w:r>
      <w:r w:rsidR="003D26D8" w:rsidRPr="00587409">
        <w:rPr>
          <w:rFonts w:cstheme="minorHAnsi"/>
          <w:sz w:val="24"/>
          <w:szCs w:val="24"/>
        </w:rPr>
        <w:t xml:space="preserve"> small Parishes and Churches (Category 9)</w:t>
      </w:r>
      <w:r>
        <w:rPr>
          <w:rFonts w:cstheme="minorHAnsi"/>
          <w:sz w:val="24"/>
          <w:szCs w:val="24"/>
        </w:rPr>
        <w:t xml:space="preserve"> alongside the human capacity of small charities that are not BRCs. </w:t>
      </w:r>
      <w:r w:rsidR="003D26D8" w:rsidRPr="00587409">
        <w:rPr>
          <w:rFonts w:cstheme="minorHAnsi"/>
          <w:sz w:val="24"/>
          <w:szCs w:val="24"/>
        </w:rPr>
        <w:t xml:space="preserve">. </w:t>
      </w:r>
    </w:p>
    <w:p w14:paraId="2163B031" w14:textId="77777777" w:rsidR="00A9554A" w:rsidRDefault="00A9554A" w:rsidP="003D7470">
      <w:pPr>
        <w:spacing w:after="120" w:line="276" w:lineRule="auto"/>
        <w:rPr>
          <w:rFonts w:cstheme="minorHAnsi"/>
          <w:b/>
          <w:sz w:val="24"/>
          <w:szCs w:val="24"/>
        </w:rPr>
      </w:pPr>
    </w:p>
    <w:p w14:paraId="086B0133" w14:textId="77777777" w:rsidR="003D26D8" w:rsidRPr="00587409" w:rsidRDefault="003D26D8" w:rsidP="003D7470">
      <w:pPr>
        <w:spacing w:after="120" w:line="276" w:lineRule="auto"/>
        <w:rPr>
          <w:rFonts w:cstheme="minorHAnsi"/>
          <w:b/>
          <w:bCs/>
          <w:color w:val="000000"/>
          <w:sz w:val="24"/>
          <w:szCs w:val="24"/>
        </w:rPr>
      </w:pPr>
      <w:r w:rsidRPr="00587409">
        <w:rPr>
          <w:rFonts w:cstheme="minorHAnsi"/>
          <w:b/>
          <w:sz w:val="24"/>
          <w:szCs w:val="24"/>
        </w:rPr>
        <w:t xml:space="preserve">Table 8: </w:t>
      </w:r>
      <w:r w:rsidR="003D7470" w:rsidRPr="00587409">
        <w:rPr>
          <w:rFonts w:cstheme="minorHAnsi"/>
          <w:b/>
          <w:sz w:val="24"/>
          <w:szCs w:val="24"/>
        </w:rPr>
        <w:t>Human Resource Capacity of Small BRCs compared with the Human resource Capacity of Small Charities that are not BRCs.</w:t>
      </w:r>
    </w:p>
    <w:tbl>
      <w:tblPr>
        <w:tblW w:w="9381" w:type="dxa"/>
        <w:tblInd w:w="-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56"/>
        <w:gridCol w:w="1032"/>
        <w:gridCol w:w="1201"/>
        <w:gridCol w:w="992"/>
      </w:tblGrid>
      <w:tr w:rsidR="003D26D8" w:rsidRPr="000A2538" w14:paraId="76B09E1A" w14:textId="77777777" w:rsidTr="00B65DC3">
        <w:trPr>
          <w:trHeight w:val="1001"/>
        </w:trPr>
        <w:tc>
          <w:tcPr>
            <w:tcW w:w="6156" w:type="dxa"/>
          </w:tcPr>
          <w:p w14:paraId="0C19BA40" w14:textId="77777777" w:rsidR="003D26D8" w:rsidRDefault="003D26D8" w:rsidP="00341DFB">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                                                                                                                                        </w:t>
            </w:r>
          </w:p>
          <w:p w14:paraId="520AEFFB" w14:textId="77777777" w:rsidR="003D26D8" w:rsidRDefault="003D26D8" w:rsidP="00341DFB">
            <w:pPr>
              <w:autoSpaceDE w:val="0"/>
              <w:autoSpaceDN w:val="0"/>
              <w:adjustRightInd w:val="0"/>
              <w:spacing w:after="0" w:line="240" w:lineRule="auto"/>
              <w:rPr>
                <w:rFonts w:ascii="Calibri" w:hAnsi="Calibri" w:cs="Calibri"/>
                <w:b/>
                <w:bCs/>
                <w:color w:val="000000"/>
              </w:rPr>
            </w:pPr>
          </w:p>
          <w:p w14:paraId="08A55C02" w14:textId="77777777" w:rsidR="003D26D8" w:rsidRPr="000A2538" w:rsidRDefault="003D26D8" w:rsidP="00341DFB">
            <w:pPr>
              <w:autoSpaceDE w:val="0"/>
              <w:autoSpaceDN w:val="0"/>
              <w:adjustRightInd w:val="0"/>
              <w:spacing w:after="0" w:line="240" w:lineRule="auto"/>
              <w:rPr>
                <w:rFonts w:ascii="Calibri" w:hAnsi="Calibri" w:cs="Calibri"/>
                <w:b/>
                <w:bCs/>
                <w:color w:val="000000"/>
                <w:u w:val="single"/>
              </w:rPr>
            </w:pPr>
            <w:r w:rsidRPr="000A2538">
              <w:rPr>
                <w:rFonts w:ascii="Calibri" w:hAnsi="Calibri" w:cs="Calibri"/>
                <w:b/>
                <w:bCs/>
                <w:color w:val="000000"/>
                <w:u w:val="single"/>
              </w:rPr>
              <w:t>CAPACITY INDICATOR</w:t>
            </w:r>
          </w:p>
        </w:tc>
        <w:tc>
          <w:tcPr>
            <w:tcW w:w="1032" w:type="dxa"/>
          </w:tcPr>
          <w:p w14:paraId="4AC77AD0" w14:textId="77777777" w:rsidR="003D26D8" w:rsidRPr="000A2538" w:rsidRDefault="003D26D8" w:rsidP="00341DFB">
            <w:pPr>
              <w:autoSpaceDE w:val="0"/>
              <w:autoSpaceDN w:val="0"/>
              <w:adjustRightInd w:val="0"/>
              <w:spacing w:after="0" w:line="240" w:lineRule="auto"/>
              <w:jc w:val="center"/>
              <w:rPr>
                <w:rFonts w:ascii="Calibri" w:hAnsi="Calibri" w:cs="Calibri"/>
                <w:b/>
                <w:bCs/>
                <w:color w:val="000000"/>
                <w:sz w:val="20"/>
                <w:szCs w:val="20"/>
              </w:rPr>
            </w:pPr>
            <w:r w:rsidRPr="000A2538">
              <w:rPr>
                <w:rFonts w:ascii="Calibri" w:hAnsi="Calibri" w:cs="Calibri"/>
                <w:b/>
                <w:bCs/>
                <w:color w:val="000000"/>
                <w:sz w:val="20"/>
                <w:szCs w:val="20"/>
              </w:rPr>
              <w:t>Small Parishes and Churches</w:t>
            </w:r>
          </w:p>
        </w:tc>
        <w:tc>
          <w:tcPr>
            <w:tcW w:w="1201" w:type="dxa"/>
          </w:tcPr>
          <w:p w14:paraId="61BF5F58" w14:textId="77777777" w:rsidR="003D26D8" w:rsidRPr="000A2538" w:rsidRDefault="003D26D8" w:rsidP="00341DFB">
            <w:pPr>
              <w:autoSpaceDE w:val="0"/>
              <w:autoSpaceDN w:val="0"/>
              <w:adjustRightInd w:val="0"/>
              <w:spacing w:after="0" w:line="240" w:lineRule="auto"/>
              <w:jc w:val="center"/>
              <w:rPr>
                <w:rFonts w:ascii="Calibri" w:hAnsi="Calibri" w:cs="Calibri"/>
                <w:b/>
                <w:bCs/>
                <w:color w:val="000000"/>
                <w:sz w:val="20"/>
                <w:szCs w:val="20"/>
              </w:rPr>
            </w:pPr>
            <w:r w:rsidRPr="000A2538">
              <w:rPr>
                <w:rFonts w:ascii="Calibri" w:hAnsi="Calibri" w:cs="Calibri"/>
                <w:b/>
                <w:bCs/>
                <w:color w:val="000000"/>
                <w:sz w:val="20"/>
                <w:szCs w:val="20"/>
              </w:rPr>
              <w:t>Small Non-BRC Charities (adjusted)</w:t>
            </w:r>
            <w:r w:rsidR="00E7713D">
              <w:rPr>
                <w:rStyle w:val="FootnoteReference"/>
                <w:rFonts w:ascii="Calibri" w:hAnsi="Calibri" w:cs="Calibri"/>
                <w:b/>
                <w:bCs/>
                <w:color w:val="000000"/>
                <w:sz w:val="20"/>
                <w:szCs w:val="20"/>
              </w:rPr>
              <w:footnoteReference w:id="2"/>
            </w:r>
          </w:p>
        </w:tc>
        <w:tc>
          <w:tcPr>
            <w:tcW w:w="992" w:type="dxa"/>
          </w:tcPr>
          <w:p w14:paraId="3A981028" w14:textId="77777777" w:rsidR="003D26D8" w:rsidRPr="000A2538" w:rsidRDefault="003D26D8" w:rsidP="00341DFB">
            <w:pPr>
              <w:autoSpaceDE w:val="0"/>
              <w:autoSpaceDN w:val="0"/>
              <w:adjustRightInd w:val="0"/>
              <w:spacing w:after="0" w:line="240" w:lineRule="auto"/>
              <w:jc w:val="center"/>
              <w:rPr>
                <w:rFonts w:ascii="Calibri" w:hAnsi="Calibri" w:cs="Calibri"/>
                <w:b/>
                <w:bCs/>
                <w:color w:val="000000"/>
                <w:sz w:val="20"/>
                <w:szCs w:val="20"/>
              </w:rPr>
            </w:pPr>
            <w:r w:rsidRPr="000A2538">
              <w:rPr>
                <w:rFonts w:ascii="Calibri" w:hAnsi="Calibri" w:cs="Calibri"/>
                <w:b/>
                <w:bCs/>
                <w:color w:val="000000"/>
                <w:sz w:val="20"/>
                <w:szCs w:val="20"/>
              </w:rPr>
              <w:t>All Small Non-BRC Charities</w:t>
            </w:r>
          </w:p>
        </w:tc>
      </w:tr>
      <w:tr w:rsidR="003D26D8" w:rsidRPr="000A2538" w14:paraId="3CF884DE" w14:textId="77777777" w:rsidTr="00B65DC3">
        <w:trPr>
          <w:trHeight w:val="290"/>
        </w:trPr>
        <w:tc>
          <w:tcPr>
            <w:tcW w:w="6156" w:type="dxa"/>
          </w:tcPr>
          <w:p w14:paraId="70AE47E6" w14:textId="77777777" w:rsidR="003D26D8" w:rsidRPr="000A2538" w:rsidRDefault="003D26D8" w:rsidP="00341DFB">
            <w:pPr>
              <w:autoSpaceDE w:val="0"/>
              <w:autoSpaceDN w:val="0"/>
              <w:adjustRightInd w:val="0"/>
              <w:spacing w:after="0" w:line="240" w:lineRule="auto"/>
              <w:rPr>
                <w:rFonts w:ascii="Calibri" w:hAnsi="Calibri" w:cs="Calibri"/>
                <w:b/>
                <w:bCs/>
                <w:color w:val="000000"/>
              </w:rPr>
            </w:pPr>
            <w:r w:rsidRPr="000A2538">
              <w:rPr>
                <w:rFonts w:ascii="Calibri" w:hAnsi="Calibri" w:cs="Calibri"/>
                <w:b/>
                <w:bCs/>
                <w:color w:val="000000"/>
              </w:rPr>
              <w:t>Data for Each Class of Human Resource</w:t>
            </w:r>
          </w:p>
        </w:tc>
        <w:tc>
          <w:tcPr>
            <w:tcW w:w="1032" w:type="dxa"/>
          </w:tcPr>
          <w:p w14:paraId="69093784" w14:textId="77777777" w:rsidR="003D26D8" w:rsidRPr="000A2538" w:rsidRDefault="003D26D8" w:rsidP="00341DFB">
            <w:pPr>
              <w:autoSpaceDE w:val="0"/>
              <w:autoSpaceDN w:val="0"/>
              <w:adjustRightInd w:val="0"/>
              <w:spacing w:after="0" w:line="240" w:lineRule="auto"/>
              <w:jc w:val="center"/>
              <w:rPr>
                <w:rFonts w:ascii="Calibri" w:hAnsi="Calibri" w:cs="Calibri"/>
                <w:b/>
                <w:bCs/>
                <w:color w:val="000000"/>
              </w:rPr>
            </w:pPr>
          </w:p>
        </w:tc>
        <w:tc>
          <w:tcPr>
            <w:tcW w:w="1201" w:type="dxa"/>
          </w:tcPr>
          <w:p w14:paraId="21A3B1A0" w14:textId="77777777" w:rsidR="003D26D8" w:rsidRPr="000A2538" w:rsidRDefault="003D26D8" w:rsidP="00341DFB">
            <w:pPr>
              <w:autoSpaceDE w:val="0"/>
              <w:autoSpaceDN w:val="0"/>
              <w:adjustRightInd w:val="0"/>
              <w:spacing w:after="0" w:line="240" w:lineRule="auto"/>
              <w:jc w:val="center"/>
              <w:rPr>
                <w:rFonts w:ascii="Calibri" w:hAnsi="Calibri" w:cs="Calibri"/>
                <w:b/>
                <w:bCs/>
                <w:color w:val="000000"/>
              </w:rPr>
            </w:pPr>
          </w:p>
        </w:tc>
        <w:tc>
          <w:tcPr>
            <w:tcW w:w="992" w:type="dxa"/>
          </w:tcPr>
          <w:p w14:paraId="1FE20578" w14:textId="77777777" w:rsidR="003D26D8" w:rsidRPr="000A2538" w:rsidRDefault="003D26D8" w:rsidP="00341DFB">
            <w:pPr>
              <w:autoSpaceDE w:val="0"/>
              <w:autoSpaceDN w:val="0"/>
              <w:adjustRightInd w:val="0"/>
              <w:spacing w:after="0" w:line="240" w:lineRule="auto"/>
              <w:jc w:val="center"/>
              <w:rPr>
                <w:rFonts w:ascii="Calibri" w:hAnsi="Calibri" w:cs="Calibri"/>
                <w:b/>
                <w:bCs/>
                <w:color w:val="000000"/>
              </w:rPr>
            </w:pPr>
          </w:p>
        </w:tc>
      </w:tr>
      <w:tr w:rsidR="003D26D8" w:rsidRPr="000A2538" w14:paraId="4631F302" w14:textId="77777777" w:rsidTr="00B65DC3">
        <w:trPr>
          <w:trHeight w:val="290"/>
        </w:trPr>
        <w:tc>
          <w:tcPr>
            <w:tcW w:w="7188" w:type="dxa"/>
            <w:gridSpan w:val="2"/>
          </w:tcPr>
          <w:p w14:paraId="250DFBF0" w14:textId="77777777" w:rsidR="003D26D8" w:rsidRPr="000A2538" w:rsidRDefault="003D26D8" w:rsidP="00341DFB">
            <w:pPr>
              <w:autoSpaceDE w:val="0"/>
              <w:autoSpaceDN w:val="0"/>
              <w:adjustRightInd w:val="0"/>
              <w:spacing w:after="0" w:line="240" w:lineRule="auto"/>
              <w:rPr>
                <w:rFonts w:ascii="Calibri" w:hAnsi="Calibri" w:cs="Calibri"/>
                <w:b/>
                <w:bCs/>
                <w:color w:val="000000"/>
              </w:rPr>
            </w:pPr>
            <w:r w:rsidRPr="000A2538">
              <w:rPr>
                <w:rFonts w:ascii="Calibri" w:hAnsi="Calibri" w:cs="Calibri"/>
                <w:b/>
                <w:bCs/>
                <w:color w:val="000000"/>
              </w:rPr>
              <w:t xml:space="preserve">    Average Number for Each</w:t>
            </w:r>
            <w:r>
              <w:rPr>
                <w:rFonts w:ascii="Calibri" w:hAnsi="Calibri" w:cs="Calibri"/>
                <w:b/>
                <w:bCs/>
                <w:color w:val="000000"/>
              </w:rPr>
              <w:t xml:space="preserve"> </w:t>
            </w:r>
            <w:r w:rsidRPr="000A2538">
              <w:rPr>
                <w:rFonts w:ascii="Calibri" w:hAnsi="Calibri" w:cs="Calibri"/>
                <w:b/>
                <w:bCs/>
                <w:color w:val="000000"/>
              </w:rPr>
              <w:t>Class of Human Resource Deployed</w:t>
            </w:r>
          </w:p>
        </w:tc>
        <w:tc>
          <w:tcPr>
            <w:tcW w:w="1201" w:type="dxa"/>
          </w:tcPr>
          <w:p w14:paraId="2486DE03"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c>
          <w:tcPr>
            <w:tcW w:w="992" w:type="dxa"/>
          </w:tcPr>
          <w:p w14:paraId="64FFD8ED"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r>
      <w:tr w:rsidR="003D26D8" w:rsidRPr="000A2538" w14:paraId="06B8ABE5" w14:textId="77777777" w:rsidTr="00B65DC3">
        <w:trPr>
          <w:trHeight w:val="290"/>
        </w:trPr>
        <w:tc>
          <w:tcPr>
            <w:tcW w:w="6156" w:type="dxa"/>
          </w:tcPr>
          <w:p w14:paraId="054477AF"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Average number of full-time paid staff deployed</w:t>
            </w:r>
          </w:p>
        </w:tc>
        <w:tc>
          <w:tcPr>
            <w:tcW w:w="1032" w:type="dxa"/>
          </w:tcPr>
          <w:p w14:paraId="2EB033E4"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0.33</w:t>
            </w:r>
          </w:p>
        </w:tc>
        <w:tc>
          <w:tcPr>
            <w:tcW w:w="1201" w:type="dxa"/>
          </w:tcPr>
          <w:p w14:paraId="38C377F6"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0.12</w:t>
            </w:r>
          </w:p>
        </w:tc>
        <w:tc>
          <w:tcPr>
            <w:tcW w:w="992" w:type="dxa"/>
          </w:tcPr>
          <w:p w14:paraId="3DDDF2CE"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0.36</w:t>
            </w:r>
          </w:p>
        </w:tc>
      </w:tr>
      <w:tr w:rsidR="003D26D8" w:rsidRPr="000A2538" w14:paraId="7579C0CE" w14:textId="77777777" w:rsidTr="00B65DC3">
        <w:trPr>
          <w:trHeight w:val="290"/>
        </w:trPr>
        <w:tc>
          <w:tcPr>
            <w:tcW w:w="6156" w:type="dxa"/>
          </w:tcPr>
          <w:p w14:paraId="75A7289C"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Average number of part-time paid staff deployed</w:t>
            </w:r>
          </w:p>
        </w:tc>
        <w:tc>
          <w:tcPr>
            <w:tcW w:w="1032" w:type="dxa"/>
          </w:tcPr>
          <w:p w14:paraId="28CDE042"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0.5</w:t>
            </w:r>
          </w:p>
        </w:tc>
        <w:tc>
          <w:tcPr>
            <w:tcW w:w="1201" w:type="dxa"/>
          </w:tcPr>
          <w:p w14:paraId="7D2119EA"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0.28</w:t>
            </w:r>
          </w:p>
        </w:tc>
        <w:tc>
          <w:tcPr>
            <w:tcW w:w="992" w:type="dxa"/>
          </w:tcPr>
          <w:p w14:paraId="79EC3352"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0.46</w:t>
            </w:r>
          </w:p>
        </w:tc>
      </w:tr>
      <w:tr w:rsidR="003D26D8" w:rsidRPr="000A2538" w14:paraId="12E5ABF0" w14:textId="77777777" w:rsidTr="00B65DC3">
        <w:trPr>
          <w:trHeight w:val="290"/>
        </w:trPr>
        <w:tc>
          <w:tcPr>
            <w:tcW w:w="6156" w:type="dxa"/>
          </w:tcPr>
          <w:p w14:paraId="5AE68DF4"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w:t>
            </w:r>
            <w:r>
              <w:rPr>
                <w:rFonts w:ascii="Calibri" w:hAnsi="Calibri" w:cs="Calibri"/>
                <w:color w:val="000000"/>
              </w:rPr>
              <w:t xml:space="preserve"> </w:t>
            </w:r>
            <w:r w:rsidRPr="000A2538">
              <w:rPr>
                <w:rFonts w:ascii="Calibri" w:hAnsi="Calibri" w:cs="Calibri"/>
                <w:color w:val="000000"/>
              </w:rPr>
              <w:t>Average number of casual paid staff deployed</w:t>
            </w:r>
          </w:p>
        </w:tc>
        <w:tc>
          <w:tcPr>
            <w:tcW w:w="1032" w:type="dxa"/>
          </w:tcPr>
          <w:p w14:paraId="59E0B1DD"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0.32</w:t>
            </w:r>
          </w:p>
        </w:tc>
        <w:tc>
          <w:tcPr>
            <w:tcW w:w="1201" w:type="dxa"/>
          </w:tcPr>
          <w:p w14:paraId="1C145E87"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0.38</w:t>
            </w:r>
          </w:p>
        </w:tc>
        <w:tc>
          <w:tcPr>
            <w:tcW w:w="992" w:type="dxa"/>
          </w:tcPr>
          <w:p w14:paraId="547B2274"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0.46</w:t>
            </w:r>
          </w:p>
        </w:tc>
      </w:tr>
      <w:tr w:rsidR="003D26D8" w:rsidRPr="000A2538" w14:paraId="7EB0B5F6" w14:textId="77777777" w:rsidTr="00B65DC3">
        <w:trPr>
          <w:trHeight w:val="290"/>
        </w:trPr>
        <w:tc>
          <w:tcPr>
            <w:tcW w:w="6156" w:type="dxa"/>
          </w:tcPr>
          <w:p w14:paraId="1001C9F7"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w:t>
            </w:r>
            <w:r>
              <w:rPr>
                <w:rFonts w:ascii="Calibri" w:hAnsi="Calibri" w:cs="Calibri"/>
                <w:color w:val="000000"/>
              </w:rPr>
              <w:t xml:space="preserve"> </w:t>
            </w:r>
            <w:r w:rsidRPr="000A2538">
              <w:rPr>
                <w:rFonts w:ascii="Calibri" w:hAnsi="Calibri" w:cs="Calibri"/>
                <w:color w:val="000000"/>
              </w:rPr>
              <w:t>Average number of FTE paid staff deployed</w:t>
            </w:r>
          </w:p>
        </w:tc>
        <w:tc>
          <w:tcPr>
            <w:tcW w:w="1032" w:type="dxa"/>
          </w:tcPr>
          <w:p w14:paraId="2FADCFEA"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0.47</w:t>
            </w:r>
          </w:p>
        </w:tc>
        <w:tc>
          <w:tcPr>
            <w:tcW w:w="1201" w:type="dxa"/>
          </w:tcPr>
          <w:p w14:paraId="3A0E0CEA"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0.4</w:t>
            </w:r>
          </w:p>
        </w:tc>
        <w:tc>
          <w:tcPr>
            <w:tcW w:w="992" w:type="dxa"/>
          </w:tcPr>
          <w:p w14:paraId="48123CBB"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0.73</w:t>
            </w:r>
          </w:p>
        </w:tc>
      </w:tr>
      <w:tr w:rsidR="003D26D8" w:rsidRPr="000A2538" w14:paraId="68908F10" w14:textId="77777777" w:rsidTr="00B65DC3">
        <w:trPr>
          <w:trHeight w:val="290"/>
        </w:trPr>
        <w:tc>
          <w:tcPr>
            <w:tcW w:w="6156" w:type="dxa"/>
          </w:tcPr>
          <w:p w14:paraId="5C418B03"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w:t>
            </w:r>
            <w:r>
              <w:rPr>
                <w:rFonts w:ascii="Calibri" w:hAnsi="Calibri" w:cs="Calibri"/>
                <w:color w:val="000000"/>
              </w:rPr>
              <w:t xml:space="preserve"> </w:t>
            </w:r>
            <w:r w:rsidRPr="000A2538">
              <w:rPr>
                <w:rFonts w:ascii="Calibri" w:hAnsi="Calibri" w:cs="Calibri"/>
                <w:color w:val="000000"/>
              </w:rPr>
              <w:t xml:space="preserve"> Average number of volunteers deployed</w:t>
            </w:r>
          </w:p>
        </w:tc>
        <w:tc>
          <w:tcPr>
            <w:tcW w:w="1032" w:type="dxa"/>
          </w:tcPr>
          <w:p w14:paraId="597EDA9D"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26.27</w:t>
            </w:r>
          </w:p>
        </w:tc>
        <w:tc>
          <w:tcPr>
            <w:tcW w:w="1201" w:type="dxa"/>
          </w:tcPr>
          <w:p w14:paraId="7295A1C8"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24.12</w:t>
            </w:r>
          </w:p>
        </w:tc>
        <w:tc>
          <w:tcPr>
            <w:tcW w:w="992" w:type="dxa"/>
          </w:tcPr>
          <w:p w14:paraId="716C734F"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24.15</w:t>
            </w:r>
          </w:p>
        </w:tc>
      </w:tr>
      <w:tr w:rsidR="003D26D8" w:rsidRPr="000A2538" w14:paraId="60BEDFC1" w14:textId="77777777" w:rsidTr="00B65DC3">
        <w:trPr>
          <w:trHeight w:val="290"/>
        </w:trPr>
        <w:tc>
          <w:tcPr>
            <w:tcW w:w="6156" w:type="dxa"/>
          </w:tcPr>
          <w:p w14:paraId="0CCD5246"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c>
          <w:tcPr>
            <w:tcW w:w="1032" w:type="dxa"/>
          </w:tcPr>
          <w:p w14:paraId="3BDA0BC4"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c>
          <w:tcPr>
            <w:tcW w:w="1201" w:type="dxa"/>
          </w:tcPr>
          <w:p w14:paraId="37022ADB"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c>
          <w:tcPr>
            <w:tcW w:w="992" w:type="dxa"/>
          </w:tcPr>
          <w:p w14:paraId="6932E66D"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r>
      <w:tr w:rsidR="003D26D8" w:rsidRPr="000A2538" w14:paraId="1C06564A" w14:textId="77777777" w:rsidTr="00B65DC3">
        <w:trPr>
          <w:trHeight w:val="290"/>
        </w:trPr>
        <w:tc>
          <w:tcPr>
            <w:tcW w:w="7188" w:type="dxa"/>
            <w:gridSpan w:val="2"/>
          </w:tcPr>
          <w:p w14:paraId="159AC822" w14:textId="77777777" w:rsidR="003D26D8" w:rsidRPr="000A2538" w:rsidRDefault="003D26D8" w:rsidP="00341DFB">
            <w:pPr>
              <w:autoSpaceDE w:val="0"/>
              <w:autoSpaceDN w:val="0"/>
              <w:adjustRightInd w:val="0"/>
              <w:spacing w:after="0" w:line="240" w:lineRule="auto"/>
              <w:rPr>
                <w:rFonts w:ascii="Calibri" w:hAnsi="Calibri" w:cs="Calibri"/>
                <w:b/>
                <w:bCs/>
                <w:color w:val="000000"/>
              </w:rPr>
            </w:pPr>
            <w:r w:rsidRPr="000A2538">
              <w:rPr>
                <w:rFonts w:ascii="Calibri" w:hAnsi="Calibri" w:cs="Calibri"/>
                <w:b/>
                <w:bCs/>
                <w:color w:val="000000"/>
              </w:rPr>
              <w:t xml:space="preserve">    Proportion of </w:t>
            </w:r>
            <w:r>
              <w:rPr>
                <w:rFonts w:ascii="Calibri" w:hAnsi="Calibri" w:cs="Calibri"/>
                <w:b/>
                <w:bCs/>
                <w:color w:val="000000"/>
              </w:rPr>
              <w:t>E</w:t>
            </w:r>
            <w:r w:rsidRPr="000A2538">
              <w:rPr>
                <w:rFonts w:ascii="Calibri" w:hAnsi="Calibri" w:cs="Calibri"/>
                <w:b/>
                <w:bCs/>
                <w:color w:val="000000"/>
              </w:rPr>
              <w:t xml:space="preserve">ntities with at </w:t>
            </w:r>
            <w:r>
              <w:rPr>
                <w:rFonts w:ascii="Calibri" w:hAnsi="Calibri" w:cs="Calibri"/>
                <w:b/>
                <w:bCs/>
                <w:color w:val="000000"/>
              </w:rPr>
              <w:t>L</w:t>
            </w:r>
            <w:r w:rsidRPr="000A2538">
              <w:rPr>
                <w:rFonts w:ascii="Calibri" w:hAnsi="Calibri" w:cs="Calibri"/>
                <w:b/>
                <w:bCs/>
                <w:color w:val="000000"/>
              </w:rPr>
              <w:t xml:space="preserve">east </w:t>
            </w:r>
            <w:r>
              <w:rPr>
                <w:rFonts w:ascii="Calibri" w:hAnsi="Calibri" w:cs="Calibri"/>
                <w:b/>
                <w:bCs/>
                <w:color w:val="000000"/>
              </w:rPr>
              <w:t>O</w:t>
            </w:r>
            <w:r w:rsidRPr="000A2538">
              <w:rPr>
                <w:rFonts w:ascii="Calibri" w:hAnsi="Calibri" w:cs="Calibri"/>
                <w:b/>
                <w:bCs/>
                <w:color w:val="000000"/>
              </w:rPr>
              <w:t xml:space="preserve">ne </w:t>
            </w:r>
            <w:r>
              <w:rPr>
                <w:rFonts w:ascii="Calibri" w:hAnsi="Calibri" w:cs="Calibri"/>
                <w:b/>
                <w:bCs/>
                <w:color w:val="000000"/>
              </w:rPr>
              <w:t>P</w:t>
            </w:r>
            <w:r w:rsidRPr="000A2538">
              <w:rPr>
                <w:rFonts w:ascii="Calibri" w:hAnsi="Calibri" w:cs="Calibri"/>
                <w:b/>
                <w:bCs/>
                <w:color w:val="000000"/>
              </w:rPr>
              <w:t>erson in the HR Class</w:t>
            </w:r>
          </w:p>
        </w:tc>
        <w:tc>
          <w:tcPr>
            <w:tcW w:w="1201" w:type="dxa"/>
          </w:tcPr>
          <w:p w14:paraId="6DFC6BBC"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c>
          <w:tcPr>
            <w:tcW w:w="992" w:type="dxa"/>
          </w:tcPr>
          <w:p w14:paraId="07BDEBA9"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r>
      <w:tr w:rsidR="003D26D8" w:rsidRPr="000A2538" w14:paraId="0B93ABEB" w14:textId="77777777" w:rsidTr="00B65DC3">
        <w:trPr>
          <w:trHeight w:val="290"/>
        </w:trPr>
        <w:tc>
          <w:tcPr>
            <w:tcW w:w="6156" w:type="dxa"/>
          </w:tcPr>
          <w:p w14:paraId="3A290896"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Percent of entities with at least one full-time paid staff </w:t>
            </w:r>
          </w:p>
        </w:tc>
        <w:tc>
          <w:tcPr>
            <w:tcW w:w="1032" w:type="dxa"/>
          </w:tcPr>
          <w:p w14:paraId="533B22B4"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28.3</w:t>
            </w:r>
          </w:p>
        </w:tc>
        <w:tc>
          <w:tcPr>
            <w:tcW w:w="1201" w:type="dxa"/>
          </w:tcPr>
          <w:p w14:paraId="1EAF46C8"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8.85</w:t>
            </w:r>
          </w:p>
        </w:tc>
        <w:tc>
          <w:tcPr>
            <w:tcW w:w="992" w:type="dxa"/>
          </w:tcPr>
          <w:p w14:paraId="453B3601"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9.05</w:t>
            </w:r>
          </w:p>
        </w:tc>
      </w:tr>
      <w:tr w:rsidR="003D26D8" w:rsidRPr="000A2538" w14:paraId="79A56F05" w14:textId="77777777" w:rsidTr="00B65DC3">
        <w:trPr>
          <w:trHeight w:val="290"/>
        </w:trPr>
        <w:tc>
          <w:tcPr>
            <w:tcW w:w="6156" w:type="dxa"/>
          </w:tcPr>
          <w:p w14:paraId="3B370AE5"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Percent of entities with at least one part-time paid staff </w:t>
            </w:r>
          </w:p>
        </w:tc>
        <w:tc>
          <w:tcPr>
            <w:tcW w:w="1032" w:type="dxa"/>
          </w:tcPr>
          <w:p w14:paraId="49A9D9B1"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32</w:t>
            </w:r>
            <w:r>
              <w:rPr>
                <w:rFonts w:ascii="Calibri" w:hAnsi="Calibri" w:cs="Calibri"/>
                <w:color w:val="000000"/>
              </w:rPr>
              <w:t>.0</w:t>
            </w:r>
          </w:p>
        </w:tc>
        <w:tc>
          <w:tcPr>
            <w:tcW w:w="1201" w:type="dxa"/>
          </w:tcPr>
          <w:p w14:paraId="141147BA"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14.27</w:t>
            </w:r>
          </w:p>
        </w:tc>
        <w:tc>
          <w:tcPr>
            <w:tcW w:w="992" w:type="dxa"/>
          </w:tcPr>
          <w:p w14:paraId="75F957AD"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14.41</w:t>
            </w:r>
          </w:p>
        </w:tc>
      </w:tr>
      <w:tr w:rsidR="003D26D8" w:rsidRPr="000A2538" w14:paraId="65DC51DC" w14:textId="77777777" w:rsidTr="00B65DC3">
        <w:trPr>
          <w:trHeight w:val="290"/>
        </w:trPr>
        <w:tc>
          <w:tcPr>
            <w:tcW w:w="6156" w:type="dxa"/>
          </w:tcPr>
          <w:p w14:paraId="5AA117AA"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w:t>
            </w:r>
            <w:r>
              <w:rPr>
                <w:rFonts w:ascii="Calibri" w:hAnsi="Calibri" w:cs="Calibri"/>
                <w:color w:val="000000"/>
              </w:rPr>
              <w:t xml:space="preserve"> </w:t>
            </w:r>
            <w:r w:rsidRPr="000A2538">
              <w:rPr>
                <w:rFonts w:ascii="Calibri" w:hAnsi="Calibri" w:cs="Calibri"/>
                <w:color w:val="000000"/>
              </w:rPr>
              <w:t xml:space="preserve">Percent of entities with at least one casual paid staff </w:t>
            </w:r>
          </w:p>
        </w:tc>
        <w:tc>
          <w:tcPr>
            <w:tcW w:w="1032" w:type="dxa"/>
          </w:tcPr>
          <w:p w14:paraId="7115B08B"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12.3</w:t>
            </w:r>
          </w:p>
        </w:tc>
        <w:tc>
          <w:tcPr>
            <w:tcW w:w="1201" w:type="dxa"/>
          </w:tcPr>
          <w:p w14:paraId="6822B1E4"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10.79</w:t>
            </w:r>
          </w:p>
        </w:tc>
        <w:tc>
          <w:tcPr>
            <w:tcW w:w="992" w:type="dxa"/>
          </w:tcPr>
          <w:p w14:paraId="160F592A"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10.92</w:t>
            </w:r>
          </w:p>
        </w:tc>
      </w:tr>
      <w:tr w:rsidR="003D26D8" w:rsidRPr="000A2538" w14:paraId="0B9F018B" w14:textId="77777777" w:rsidTr="00B65DC3">
        <w:trPr>
          <w:trHeight w:val="290"/>
        </w:trPr>
        <w:tc>
          <w:tcPr>
            <w:tcW w:w="6156" w:type="dxa"/>
          </w:tcPr>
          <w:p w14:paraId="503D4834"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w:t>
            </w:r>
            <w:r>
              <w:rPr>
                <w:rFonts w:ascii="Calibri" w:hAnsi="Calibri" w:cs="Calibri"/>
                <w:color w:val="000000"/>
              </w:rPr>
              <w:t xml:space="preserve"> </w:t>
            </w:r>
            <w:r w:rsidRPr="000A2538">
              <w:rPr>
                <w:rFonts w:ascii="Calibri" w:hAnsi="Calibri" w:cs="Calibri"/>
                <w:color w:val="000000"/>
              </w:rPr>
              <w:t xml:space="preserve"> Percent of entities with at least one FTE paid staff </w:t>
            </w:r>
          </w:p>
        </w:tc>
        <w:tc>
          <w:tcPr>
            <w:tcW w:w="1032" w:type="dxa"/>
          </w:tcPr>
          <w:p w14:paraId="5A07C037"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22.5</w:t>
            </w:r>
          </w:p>
        </w:tc>
        <w:tc>
          <w:tcPr>
            <w:tcW w:w="1201" w:type="dxa"/>
          </w:tcPr>
          <w:p w14:paraId="7665E933"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12.54</w:t>
            </w:r>
          </w:p>
        </w:tc>
        <w:tc>
          <w:tcPr>
            <w:tcW w:w="992" w:type="dxa"/>
          </w:tcPr>
          <w:p w14:paraId="3EB046F5"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12.69</w:t>
            </w:r>
          </w:p>
        </w:tc>
      </w:tr>
      <w:tr w:rsidR="003D26D8" w:rsidRPr="000A2538" w14:paraId="0E2C5580" w14:textId="77777777" w:rsidTr="00B65DC3">
        <w:trPr>
          <w:trHeight w:val="290"/>
        </w:trPr>
        <w:tc>
          <w:tcPr>
            <w:tcW w:w="6156" w:type="dxa"/>
          </w:tcPr>
          <w:p w14:paraId="6E0AF17B"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w:t>
            </w:r>
            <w:r>
              <w:rPr>
                <w:rFonts w:ascii="Calibri" w:hAnsi="Calibri" w:cs="Calibri"/>
                <w:color w:val="000000"/>
              </w:rPr>
              <w:t xml:space="preserve"> </w:t>
            </w:r>
            <w:r w:rsidRPr="000A2538">
              <w:rPr>
                <w:rFonts w:ascii="Calibri" w:hAnsi="Calibri" w:cs="Calibri"/>
                <w:color w:val="000000"/>
              </w:rPr>
              <w:t>Percent of entities with at least one FTE Volunteer</w:t>
            </w:r>
          </w:p>
        </w:tc>
        <w:tc>
          <w:tcPr>
            <w:tcW w:w="1032" w:type="dxa"/>
          </w:tcPr>
          <w:p w14:paraId="34DF0088"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94.4</w:t>
            </w:r>
          </w:p>
        </w:tc>
        <w:tc>
          <w:tcPr>
            <w:tcW w:w="1201" w:type="dxa"/>
          </w:tcPr>
          <w:p w14:paraId="6A243D31"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84.3</w:t>
            </w:r>
          </w:p>
        </w:tc>
        <w:tc>
          <w:tcPr>
            <w:tcW w:w="992" w:type="dxa"/>
          </w:tcPr>
          <w:p w14:paraId="0B4C6E33"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84.26</w:t>
            </w:r>
          </w:p>
        </w:tc>
      </w:tr>
      <w:tr w:rsidR="003D26D8" w:rsidRPr="000A2538" w14:paraId="13490A94" w14:textId="77777777" w:rsidTr="00B65DC3">
        <w:trPr>
          <w:trHeight w:val="290"/>
        </w:trPr>
        <w:tc>
          <w:tcPr>
            <w:tcW w:w="6156" w:type="dxa"/>
          </w:tcPr>
          <w:p w14:paraId="55D8C11A"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c>
          <w:tcPr>
            <w:tcW w:w="1032" w:type="dxa"/>
          </w:tcPr>
          <w:p w14:paraId="7774E5B9"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c>
          <w:tcPr>
            <w:tcW w:w="1201" w:type="dxa"/>
          </w:tcPr>
          <w:p w14:paraId="5A9DDDE5"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c>
          <w:tcPr>
            <w:tcW w:w="992" w:type="dxa"/>
          </w:tcPr>
          <w:p w14:paraId="75568569"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r>
      <w:tr w:rsidR="003D26D8" w:rsidRPr="000A2538" w14:paraId="7C4F8360" w14:textId="77777777" w:rsidTr="00B65DC3">
        <w:trPr>
          <w:trHeight w:val="290"/>
        </w:trPr>
        <w:tc>
          <w:tcPr>
            <w:tcW w:w="6156" w:type="dxa"/>
          </w:tcPr>
          <w:p w14:paraId="742785F0" w14:textId="77777777" w:rsidR="003D26D8" w:rsidRPr="000A2538" w:rsidRDefault="003D26D8" w:rsidP="00341DFB">
            <w:pPr>
              <w:autoSpaceDE w:val="0"/>
              <w:autoSpaceDN w:val="0"/>
              <w:adjustRightInd w:val="0"/>
              <w:spacing w:after="0" w:line="240" w:lineRule="auto"/>
              <w:rPr>
                <w:rFonts w:ascii="Calibri" w:hAnsi="Calibri" w:cs="Calibri"/>
                <w:b/>
                <w:bCs/>
                <w:color w:val="000000"/>
              </w:rPr>
            </w:pPr>
            <w:r w:rsidRPr="000A2538">
              <w:rPr>
                <w:rFonts w:ascii="Calibri" w:hAnsi="Calibri" w:cs="Calibri"/>
                <w:b/>
                <w:bCs/>
                <w:color w:val="000000"/>
              </w:rPr>
              <w:t xml:space="preserve">    Proportion of </w:t>
            </w:r>
            <w:r>
              <w:rPr>
                <w:rFonts w:ascii="Calibri" w:hAnsi="Calibri" w:cs="Calibri"/>
                <w:b/>
                <w:bCs/>
                <w:color w:val="000000"/>
              </w:rPr>
              <w:t>E</w:t>
            </w:r>
            <w:r w:rsidRPr="000A2538">
              <w:rPr>
                <w:rFonts w:ascii="Calibri" w:hAnsi="Calibri" w:cs="Calibri"/>
                <w:b/>
                <w:bCs/>
                <w:color w:val="000000"/>
              </w:rPr>
              <w:t xml:space="preserve">ntities with </w:t>
            </w:r>
            <w:r>
              <w:rPr>
                <w:rFonts w:ascii="Calibri" w:hAnsi="Calibri" w:cs="Calibri"/>
                <w:b/>
                <w:bCs/>
                <w:color w:val="000000"/>
              </w:rPr>
              <w:t>N</w:t>
            </w:r>
            <w:r w:rsidRPr="000A2538">
              <w:rPr>
                <w:rFonts w:ascii="Calibri" w:hAnsi="Calibri" w:cs="Calibri"/>
                <w:b/>
                <w:bCs/>
                <w:color w:val="000000"/>
              </w:rPr>
              <w:t xml:space="preserve">o </w:t>
            </w:r>
            <w:r>
              <w:rPr>
                <w:rFonts w:ascii="Calibri" w:hAnsi="Calibri" w:cs="Calibri"/>
                <w:b/>
                <w:bCs/>
                <w:color w:val="000000"/>
              </w:rPr>
              <w:t>P</w:t>
            </w:r>
            <w:r w:rsidRPr="000A2538">
              <w:rPr>
                <w:rFonts w:ascii="Calibri" w:hAnsi="Calibri" w:cs="Calibri"/>
                <w:b/>
                <w:bCs/>
                <w:color w:val="000000"/>
              </w:rPr>
              <w:t>ersons in the HR Class</w:t>
            </w:r>
          </w:p>
        </w:tc>
        <w:tc>
          <w:tcPr>
            <w:tcW w:w="1032" w:type="dxa"/>
          </w:tcPr>
          <w:p w14:paraId="2B4A2E8B"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c>
          <w:tcPr>
            <w:tcW w:w="1201" w:type="dxa"/>
          </w:tcPr>
          <w:p w14:paraId="57E842C4"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c>
          <w:tcPr>
            <w:tcW w:w="992" w:type="dxa"/>
          </w:tcPr>
          <w:p w14:paraId="045642DB"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p>
        </w:tc>
      </w:tr>
      <w:tr w:rsidR="003D26D8" w:rsidRPr="000A2538" w14:paraId="5C8854E9" w14:textId="77777777" w:rsidTr="00B65DC3">
        <w:trPr>
          <w:trHeight w:val="290"/>
        </w:trPr>
        <w:tc>
          <w:tcPr>
            <w:tcW w:w="6156" w:type="dxa"/>
          </w:tcPr>
          <w:p w14:paraId="11700672"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w:t>
            </w:r>
            <w:r>
              <w:rPr>
                <w:rFonts w:ascii="Calibri" w:hAnsi="Calibri" w:cs="Calibri"/>
                <w:color w:val="000000"/>
              </w:rPr>
              <w:t xml:space="preserve"> </w:t>
            </w:r>
            <w:r w:rsidRPr="000A2538">
              <w:rPr>
                <w:rFonts w:ascii="Calibri" w:hAnsi="Calibri" w:cs="Calibri"/>
                <w:color w:val="000000"/>
              </w:rPr>
              <w:t xml:space="preserve">Percent of entities with no full-time paid staff </w:t>
            </w:r>
          </w:p>
        </w:tc>
        <w:tc>
          <w:tcPr>
            <w:tcW w:w="1032" w:type="dxa"/>
          </w:tcPr>
          <w:p w14:paraId="11B3ED9A"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71.7</w:t>
            </w:r>
          </w:p>
        </w:tc>
        <w:tc>
          <w:tcPr>
            <w:tcW w:w="1201" w:type="dxa"/>
          </w:tcPr>
          <w:p w14:paraId="3EAEEA89"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91.15</w:t>
            </w:r>
          </w:p>
        </w:tc>
        <w:tc>
          <w:tcPr>
            <w:tcW w:w="992" w:type="dxa"/>
          </w:tcPr>
          <w:p w14:paraId="57686F72"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90.95</w:t>
            </w:r>
          </w:p>
        </w:tc>
      </w:tr>
      <w:tr w:rsidR="003D26D8" w:rsidRPr="000A2538" w14:paraId="695AEED0" w14:textId="77777777" w:rsidTr="00B65DC3">
        <w:trPr>
          <w:trHeight w:val="290"/>
        </w:trPr>
        <w:tc>
          <w:tcPr>
            <w:tcW w:w="6156" w:type="dxa"/>
          </w:tcPr>
          <w:p w14:paraId="752E4914"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w:t>
            </w:r>
            <w:r>
              <w:rPr>
                <w:rFonts w:ascii="Calibri" w:hAnsi="Calibri" w:cs="Calibri"/>
                <w:color w:val="000000"/>
              </w:rPr>
              <w:t xml:space="preserve"> </w:t>
            </w:r>
            <w:r w:rsidRPr="000A2538">
              <w:rPr>
                <w:rFonts w:ascii="Calibri" w:hAnsi="Calibri" w:cs="Calibri"/>
                <w:color w:val="000000"/>
              </w:rPr>
              <w:t xml:space="preserve"> Percent of entities with no part-time paid staff </w:t>
            </w:r>
          </w:p>
        </w:tc>
        <w:tc>
          <w:tcPr>
            <w:tcW w:w="1032" w:type="dxa"/>
          </w:tcPr>
          <w:p w14:paraId="0BB68DB0"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68</w:t>
            </w:r>
            <w:r>
              <w:rPr>
                <w:rFonts w:ascii="Calibri" w:hAnsi="Calibri" w:cs="Calibri"/>
                <w:color w:val="000000"/>
              </w:rPr>
              <w:t>.0</w:t>
            </w:r>
          </w:p>
        </w:tc>
        <w:tc>
          <w:tcPr>
            <w:tcW w:w="1201" w:type="dxa"/>
          </w:tcPr>
          <w:p w14:paraId="75665181"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85.74</w:t>
            </w:r>
          </w:p>
        </w:tc>
        <w:tc>
          <w:tcPr>
            <w:tcW w:w="992" w:type="dxa"/>
          </w:tcPr>
          <w:p w14:paraId="7151C762"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85.59</w:t>
            </w:r>
          </w:p>
        </w:tc>
      </w:tr>
      <w:tr w:rsidR="003D26D8" w:rsidRPr="000A2538" w14:paraId="438353ED" w14:textId="77777777" w:rsidTr="00B65DC3">
        <w:trPr>
          <w:trHeight w:val="290"/>
        </w:trPr>
        <w:tc>
          <w:tcPr>
            <w:tcW w:w="6156" w:type="dxa"/>
          </w:tcPr>
          <w:p w14:paraId="60889746"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w:t>
            </w:r>
            <w:r>
              <w:rPr>
                <w:rFonts w:ascii="Calibri" w:hAnsi="Calibri" w:cs="Calibri"/>
                <w:color w:val="000000"/>
              </w:rPr>
              <w:t xml:space="preserve"> </w:t>
            </w:r>
            <w:r w:rsidRPr="000A2538">
              <w:rPr>
                <w:rFonts w:ascii="Calibri" w:hAnsi="Calibri" w:cs="Calibri"/>
                <w:color w:val="000000"/>
              </w:rPr>
              <w:t xml:space="preserve"> Percent of entities with no casual paid staff </w:t>
            </w:r>
          </w:p>
        </w:tc>
        <w:tc>
          <w:tcPr>
            <w:tcW w:w="1032" w:type="dxa"/>
          </w:tcPr>
          <w:p w14:paraId="73203FFA"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87.7</w:t>
            </w:r>
          </w:p>
        </w:tc>
        <w:tc>
          <w:tcPr>
            <w:tcW w:w="1201" w:type="dxa"/>
          </w:tcPr>
          <w:p w14:paraId="37435B13"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89.22</w:t>
            </w:r>
          </w:p>
        </w:tc>
        <w:tc>
          <w:tcPr>
            <w:tcW w:w="992" w:type="dxa"/>
          </w:tcPr>
          <w:p w14:paraId="2E09A81E"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89.08</w:t>
            </w:r>
          </w:p>
        </w:tc>
      </w:tr>
      <w:tr w:rsidR="003D26D8" w:rsidRPr="000A2538" w14:paraId="3A2E9EFA" w14:textId="77777777" w:rsidTr="00B65DC3">
        <w:trPr>
          <w:trHeight w:val="290"/>
        </w:trPr>
        <w:tc>
          <w:tcPr>
            <w:tcW w:w="6156" w:type="dxa"/>
          </w:tcPr>
          <w:p w14:paraId="20377A73"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w:t>
            </w:r>
            <w:r>
              <w:rPr>
                <w:rFonts w:ascii="Calibri" w:hAnsi="Calibri" w:cs="Calibri"/>
                <w:color w:val="000000"/>
              </w:rPr>
              <w:t xml:space="preserve"> </w:t>
            </w:r>
            <w:r w:rsidRPr="000A2538">
              <w:rPr>
                <w:rFonts w:ascii="Calibri" w:hAnsi="Calibri" w:cs="Calibri"/>
                <w:color w:val="000000"/>
              </w:rPr>
              <w:t xml:space="preserve">Percent of entities with no FTE paid staff </w:t>
            </w:r>
          </w:p>
        </w:tc>
        <w:tc>
          <w:tcPr>
            <w:tcW w:w="1032" w:type="dxa"/>
          </w:tcPr>
          <w:p w14:paraId="0B614EF8"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68.7</w:t>
            </w:r>
          </w:p>
        </w:tc>
        <w:tc>
          <w:tcPr>
            <w:tcW w:w="1201" w:type="dxa"/>
          </w:tcPr>
          <w:p w14:paraId="2F1F349F"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81.77</w:t>
            </w:r>
          </w:p>
        </w:tc>
        <w:tc>
          <w:tcPr>
            <w:tcW w:w="992" w:type="dxa"/>
          </w:tcPr>
          <w:p w14:paraId="5B3277E6"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81.63</w:t>
            </w:r>
          </w:p>
        </w:tc>
      </w:tr>
      <w:tr w:rsidR="003D26D8" w:rsidRPr="000A2538" w14:paraId="1E44EB62" w14:textId="77777777" w:rsidTr="00B65DC3">
        <w:trPr>
          <w:trHeight w:val="290"/>
        </w:trPr>
        <w:tc>
          <w:tcPr>
            <w:tcW w:w="6156" w:type="dxa"/>
          </w:tcPr>
          <w:p w14:paraId="2995B04B" w14:textId="77777777" w:rsidR="003D26D8" w:rsidRPr="000A2538" w:rsidRDefault="003D26D8" w:rsidP="00341DFB">
            <w:pPr>
              <w:autoSpaceDE w:val="0"/>
              <w:autoSpaceDN w:val="0"/>
              <w:adjustRightInd w:val="0"/>
              <w:spacing w:after="0" w:line="240" w:lineRule="auto"/>
              <w:rPr>
                <w:rFonts w:ascii="Calibri" w:hAnsi="Calibri" w:cs="Calibri"/>
                <w:color w:val="000000"/>
              </w:rPr>
            </w:pPr>
            <w:r w:rsidRPr="000A2538">
              <w:rPr>
                <w:rFonts w:ascii="Calibri" w:hAnsi="Calibri" w:cs="Calibri"/>
                <w:color w:val="000000"/>
              </w:rPr>
              <w:t xml:space="preserve">      </w:t>
            </w:r>
            <w:r>
              <w:rPr>
                <w:rFonts w:ascii="Calibri" w:hAnsi="Calibri" w:cs="Calibri"/>
                <w:color w:val="000000"/>
              </w:rPr>
              <w:t xml:space="preserve"> </w:t>
            </w:r>
            <w:r w:rsidRPr="000A2538">
              <w:rPr>
                <w:rFonts w:ascii="Calibri" w:hAnsi="Calibri" w:cs="Calibri"/>
                <w:color w:val="000000"/>
              </w:rPr>
              <w:t>Percent of entities with no Volunteers</w:t>
            </w:r>
          </w:p>
        </w:tc>
        <w:tc>
          <w:tcPr>
            <w:tcW w:w="1032" w:type="dxa"/>
          </w:tcPr>
          <w:p w14:paraId="6E98EE0E"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5.6</w:t>
            </w:r>
          </w:p>
        </w:tc>
        <w:tc>
          <w:tcPr>
            <w:tcW w:w="1201" w:type="dxa"/>
          </w:tcPr>
          <w:p w14:paraId="7BF193DB"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15.71</w:t>
            </w:r>
          </w:p>
        </w:tc>
        <w:tc>
          <w:tcPr>
            <w:tcW w:w="992" w:type="dxa"/>
          </w:tcPr>
          <w:p w14:paraId="7DC233AA" w14:textId="77777777" w:rsidR="003D26D8" w:rsidRPr="000A2538" w:rsidRDefault="003D26D8" w:rsidP="00341DFB">
            <w:pPr>
              <w:autoSpaceDE w:val="0"/>
              <w:autoSpaceDN w:val="0"/>
              <w:adjustRightInd w:val="0"/>
              <w:spacing w:after="0" w:line="240" w:lineRule="auto"/>
              <w:jc w:val="right"/>
              <w:rPr>
                <w:rFonts w:ascii="Calibri" w:hAnsi="Calibri" w:cs="Calibri"/>
                <w:color w:val="000000"/>
              </w:rPr>
            </w:pPr>
            <w:r w:rsidRPr="000A2538">
              <w:rPr>
                <w:rFonts w:ascii="Calibri" w:hAnsi="Calibri" w:cs="Calibri"/>
                <w:color w:val="000000"/>
              </w:rPr>
              <w:t>15.74</w:t>
            </w:r>
          </w:p>
        </w:tc>
      </w:tr>
    </w:tbl>
    <w:p w14:paraId="5506D45C" w14:textId="77777777" w:rsidR="003D26D8" w:rsidRDefault="003D26D8" w:rsidP="00F87757">
      <w:pPr>
        <w:spacing w:after="0" w:line="360" w:lineRule="auto"/>
        <w:ind w:left="142" w:hanging="142"/>
        <w:rPr>
          <w:b/>
        </w:rPr>
      </w:pPr>
    </w:p>
    <w:p w14:paraId="020DAB63" w14:textId="77777777" w:rsidR="003D26D8" w:rsidRDefault="003D26D8" w:rsidP="00F87757">
      <w:pPr>
        <w:spacing w:after="0" w:line="360" w:lineRule="auto"/>
        <w:ind w:left="142" w:hanging="142"/>
        <w:rPr>
          <w:b/>
        </w:rPr>
      </w:pPr>
    </w:p>
    <w:p w14:paraId="61749FE6" w14:textId="77777777" w:rsidR="003D26D8" w:rsidRPr="00B65DC3" w:rsidRDefault="00AA6CE4" w:rsidP="00F87757">
      <w:pPr>
        <w:spacing w:after="0" w:line="360" w:lineRule="auto"/>
        <w:ind w:left="142" w:hanging="142"/>
        <w:rPr>
          <w:rFonts w:cstheme="minorHAnsi"/>
          <w:color w:val="FF0000"/>
          <w:sz w:val="24"/>
          <w:szCs w:val="24"/>
        </w:rPr>
      </w:pPr>
      <w:r w:rsidRPr="00E7713D">
        <w:rPr>
          <w:rFonts w:cstheme="minorHAnsi"/>
          <w:color w:val="000000" w:themeColor="text1"/>
          <w:sz w:val="24"/>
          <w:szCs w:val="24"/>
        </w:rPr>
        <w:t xml:space="preserve"> </w:t>
      </w:r>
    </w:p>
    <w:p w14:paraId="52271778" w14:textId="77777777" w:rsidR="00AA6CE4" w:rsidRPr="00587409" w:rsidRDefault="00AA6CE4" w:rsidP="00F87757">
      <w:pPr>
        <w:spacing w:after="0" w:line="360" w:lineRule="auto"/>
        <w:ind w:left="142" w:hanging="142"/>
        <w:rPr>
          <w:b/>
          <w:sz w:val="24"/>
          <w:szCs w:val="24"/>
        </w:rPr>
      </w:pPr>
    </w:p>
    <w:p w14:paraId="40BC2A10" w14:textId="77777777" w:rsidR="00F87757" w:rsidRPr="00587409" w:rsidRDefault="00F87757" w:rsidP="00A9554A">
      <w:pPr>
        <w:spacing w:after="0" w:line="360" w:lineRule="auto"/>
        <w:ind w:left="142" w:hanging="142"/>
        <w:rPr>
          <w:b/>
          <w:sz w:val="24"/>
          <w:szCs w:val="24"/>
        </w:rPr>
      </w:pPr>
      <w:r w:rsidRPr="00587409">
        <w:rPr>
          <w:b/>
          <w:sz w:val="24"/>
          <w:szCs w:val="24"/>
        </w:rPr>
        <w:lastRenderedPageBreak/>
        <w:t xml:space="preserve">Argument </w:t>
      </w:r>
      <w:r w:rsidR="003D26D8" w:rsidRPr="00587409">
        <w:rPr>
          <w:b/>
          <w:sz w:val="24"/>
          <w:szCs w:val="24"/>
        </w:rPr>
        <w:t>5</w:t>
      </w:r>
    </w:p>
    <w:p w14:paraId="0DA68EFE" w14:textId="77777777" w:rsidR="00F87757" w:rsidRPr="00587409" w:rsidRDefault="00F87757" w:rsidP="00A9554A">
      <w:pPr>
        <w:spacing w:after="0" w:line="360" w:lineRule="auto"/>
        <w:ind w:left="142" w:hanging="142"/>
        <w:rPr>
          <w:sz w:val="24"/>
          <w:szCs w:val="24"/>
        </w:rPr>
      </w:pPr>
      <w:r w:rsidRPr="00587409">
        <w:rPr>
          <w:sz w:val="24"/>
          <w:szCs w:val="24"/>
        </w:rPr>
        <w:t>Denominational financial reporting requirements are typically the same for all BRCs in that</w:t>
      </w:r>
    </w:p>
    <w:p w14:paraId="49C85E52" w14:textId="77777777" w:rsidR="00B65DC3" w:rsidRDefault="00F87757" w:rsidP="00A9554A">
      <w:pPr>
        <w:spacing w:after="0" w:line="360" w:lineRule="auto"/>
        <w:ind w:left="142" w:hanging="142"/>
        <w:rPr>
          <w:sz w:val="24"/>
          <w:szCs w:val="24"/>
        </w:rPr>
      </w:pPr>
      <w:r w:rsidRPr="00587409">
        <w:rPr>
          <w:sz w:val="24"/>
          <w:szCs w:val="24"/>
        </w:rPr>
        <w:t>denomination, irrespective of the size of the entity. Without the BRC category, a</w:t>
      </w:r>
    </w:p>
    <w:p w14:paraId="26D74489" w14:textId="77777777" w:rsidR="00B65DC3" w:rsidRDefault="00F87757" w:rsidP="00A9554A">
      <w:pPr>
        <w:spacing w:after="0" w:line="360" w:lineRule="auto"/>
        <w:ind w:left="142" w:hanging="142"/>
        <w:rPr>
          <w:sz w:val="24"/>
          <w:szCs w:val="24"/>
        </w:rPr>
      </w:pPr>
      <w:r w:rsidRPr="00587409">
        <w:rPr>
          <w:sz w:val="24"/>
          <w:szCs w:val="24"/>
        </w:rPr>
        <w:t>denominational</w:t>
      </w:r>
      <w:r w:rsidR="00B65DC3">
        <w:rPr>
          <w:sz w:val="24"/>
          <w:szCs w:val="24"/>
        </w:rPr>
        <w:t xml:space="preserve"> </w:t>
      </w:r>
      <w:r w:rsidRPr="00587409">
        <w:rPr>
          <w:sz w:val="24"/>
          <w:szCs w:val="24"/>
        </w:rPr>
        <w:t>authority which wished to continue to use a standardised form of accounts</w:t>
      </w:r>
    </w:p>
    <w:p w14:paraId="2B6CFFF5" w14:textId="77777777" w:rsidR="00B65DC3" w:rsidRDefault="00F87757" w:rsidP="00A9554A">
      <w:pPr>
        <w:spacing w:after="0" w:line="360" w:lineRule="auto"/>
        <w:ind w:left="142" w:hanging="142"/>
        <w:rPr>
          <w:sz w:val="24"/>
          <w:szCs w:val="24"/>
        </w:rPr>
      </w:pPr>
      <w:r w:rsidRPr="00587409">
        <w:rPr>
          <w:sz w:val="24"/>
          <w:szCs w:val="24"/>
        </w:rPr>
        <w:t>across all parishes would</w:t>
      </w:r>
      <w:r w:rsidR="00B65DC3">
        <w:rPr>
          <w:sz w:val="24"/>
          <w:szCs w:val="24"/>
        </w:rPr>
        <w:t xml:space="preserve"> </w:t>
      </w:r>
      <w:r w:rsidRPr="00587409">
        <w:rPr>
          <w:sz w:val="24"/>
          <w:szCs w:val="24"/>
        </w:rPr>
        <w:t>either need to require those parishes which are categorised as</w:t>
      </w:r>
    </w:p>
    <w:p w14:paraId="0FA418B9" w14:textId="77777777" w:rsidR="00B65DC3" w:rsidRDefault="00F87757" w:rsidP="00A9554A">
      <w:pPr>
        <w:spacing w:after="0" w:line="360" w:lineRule="auto"/>
        <w:ind w:left="142" w:hanging="142"/>
        <w:rPr>
          <w:sz w:val="24"/>
          <w:szCs w:val="24"/>
        </w:rPr>
      </w:pPr>
      <w:r w:rsidRPr="00587409">
        <w:rPr>
          <w:sz w:val="24"/>
          <w:szCs w:val="24"/>
        </w:rPr>
        <w:t>small charities to also comply with</w:t>
      </w:r>
      <w:r w:rsidR="00B65DC3">
        <w:rPr>
          <w:sz w:val="24"/>
          <w:szCs w:val="24"/>
        </w:rPr>
        <w:t xml:space="preserve"> </w:t>
      </w:r>
      <w:r w:rsidRPr="00587409">
        <w:rPr>
          <w:sz w:val="24"/>
          <w:szCs w:val="24"/>
        </w:rPr>
        <w:t>the Accounting Standards, or require those parishes</w:t>
      </w:r>
    </w:p>
    <w:p w14:paraId="255525F5" w14:textId="77777777" w:rsidR="006A1828" w:rsidRPr="00587409" w:rsidRDefault="00F87757" w:rsidP="00A9554A">
      <w:pPr>
        <w:spacing w:after="0" w:line="360" w:lineRule="auto"/>
        <w:ind w:left="142" w:hanging="142"/>
        <w:rPr>
          <w:sz w:val="24"/>
          <w:szCs w:val="24"/>
        </w:rPr>
      </w:pPr>
      <w:r w:rsidRPr="00587409">
        <w:rPr>
          <w:sz w:val="24"/>
          <w:szCs w:val="24"/>
        </w:rPr>
        <w:t>categorised as medium or large to maintain two</w:t>
      </w:r>
      <w:r w:rsidR="00B65DC3">
        <w:rPr>
          <w:sz w:val="24"/>
          <w:szCs w:val="24"/>
        </w:rPr>
        <w:t xml:space="preserve"> </w:t>
      </w:r>
      <w:r w:rsidRPr="00587409">
        <w:rPr>
          <w:sz w:val="24"/>
          <w:szCs w:val="24"/>
        </w:rPr>
        <w:t>sets of accounts.</w:t>
      </w:r>
    </w:p>
    <w:p w14:paraId="4E9DFD0C" w14:textId="77777777" w:rsidR="001175EC" w:rsidRPr="00587409" w:rsidRDefault="001175EC" w:rsidP="00A9554A">
      <w:pPr>
        <w:spacing w:after="0" w:line="360" w:lineRule="auto"/>
        <w:ind w:left="142" w:hanging="142"/>
        <w:rPr>
          <w:sz w:val="24"/>
          <w:szCs w:val="24"/>
        </w:rPr>
      </w:pPr>
    </w:p>
    <w:p w14:paraId="1E01956B" w14:textId="77777777" w:rsidR="001175EC" w:rsidRPr="00587409" w:rsidRDefault="00AC12AA" w:rsidP="00A9554A">
      <w:pPr>
        <w:spacing w:after="0" w:line="360" w:lineRule="auto"/>
        <w:ind w:left="142" w:hanging="142"/>
        <w:rPr>
          <w:b/>
          <w:sz w:val="24"/>
          <w:szCs w:val="24"/>
        </w:rPr>
      </w:pPr>
      <w:r w:rsidRPr="00587409">
        <w:rPr>
          <w:b/>
          <w:sz w:val="24"/>
          <w:szCs w:val="24"/>
        </w:rPr>
        <w:t>Rebuttal</w:t>
      </w:r>
    </w:p>
    <w:p w14:paraId="3DCDFE77" w14:textId="77777777" w:rsidR="00AC12AA" w:rsidRPr="00587409" w:rsidRDefault="00AC12AA" w:rsidP="00A9554A">
      <w:pPr>
        <w:pStyle w:val="ListParagraph"/>
        <w:numPr>
          <w:ilvl w:val="0"/>
          <w:numId w:val="7"/>
        </w:numPr>
        <w:spacing w:after="0" w:line="360" w:lineRule="auto"/>
        <w:rPr>
          <w:sz w:val="24"/>
          <w:szCs w:val="24"/>
        </w:rPr>
      </w:pPr>
      <w:r w:rsidRPr="00587409">
        <w:rPr>
          <w:sz w:val="24"/>
          <w:szCs w:val="24"/>
        </w:rPr>
        <w:t>Standardised reporting may have been required in the past, but not today. The  accounting requirements for three major denominations showed:</w:t>
      </w:r>
    </w:p>
    <w:p w14:paraId="22A7F7D8" w14:textId="77777777" w:rsidR="00AC12AA" w:rsidRPr="00587409" w:rsidRDefault="00AC12AA" w:rsidP="00A9554A">
      <w:pPr>
        <w:pStyle w:val="ListParagraph"/>
        <w:numPr>
          <w:ilvl w:val="0"/>
          <w:numId w:val="8"/>
        </w:numPr>
        <w:spacing w:after="0" w:line="360" w:lineRule="auto"/>
        <w:rPr>
          <w:sz w:val="24"/>
          <w:szCs w:val="24"/>
        </w:rPr>
      </w:pPr>
      <w:r w:rsidRPr="00587409">
        <w:rPr>
          <w:sz w:val="24"/>
          <w:szCs w:val="24"/>
        </w:rPr>
        <w:t>BRCs can choose between cash and accrual accounting; and</w:t>
      </w:r>
    </w:p>
    <w:p w14:paraId="20DBE06E" w14:textId="77777777" w:rsidR="00AC12AA" w:rsidRPr="00587409" w:rsidRDefault="00AC12AA" w:rsidP="00A9554A">
      <w:pPr>
        <w:pStyle w:val="ListParagraph"/>
        <w:numPr>
          <w:ilvl w:val="0"/>
          <w:numId w:val="8"/>
        </w:numPr>
        <w:spacing w:after="0" w:line="360" w:lineRule="auto"/>
        <w:rPr>
          <w:sz w:val="24"/>
          <w:szCs w:val="24"/>
        </w:rPr>
      </w:pPr>
      <w:r w:rsidRPr="00587409">
        <w:rPr>
          <w:sz w:val="24"/>
          <w:szCs w:val="24"/>
        </w:rPr>
        <w:t xml:space="preserve">Can present their financial reports  in a prescribed format, or in a format of their choosing, so long as they include the information required by the denominational authority.  </w:t>
      </w:r>
    </w:p>
    <w:p w14:paraId="2E3D8FF6" w14:textId="77777777" w:rsidR="00AC12AA" w:rsidRPr="00587409" w:rsidRDefault="00AC12AA" w:rsidP="00A9554A">
      <w:pPr>
        <w:pStyle w:val="ListParagraph"/>
        <w:numPr>
          <w:ilvl w:val="0"/>
          <w:numId w:val="7"/>
        </w:numPr>
        <w:spacing w:after="0" w:line="360" w:lineRule="auto"/>
        <w:rPr>
          <w:sz w:val="24"/>
          <w:szCs w:val="24"/>
        </w:rPr>
      </w:pPr>
      <w:r w:rsidRPr="00587409">
        <w:rPr>
          <w:sz w:val="24"/>
          <w:szCs w:val="24"/>
        </w:rPr>
        <w:t xml:space="preserve">Under the ACNC Act, </w:t>
      </w:r>
    </w:p>
    <w:p w14:paraId="0AC8AC75" w14:textId="77777777" w:rsidR="00AC12AA" w:rsidRPr="00587409" w:rsidRDefault="00AC12AA" w:rsidP="00A9554A">
      <w:pPr>
        <w:pStyle w:val="ListParagraph"/>
        <w:numPr>
          <w:ilvl w:val="0"/>
          <w:numId w:val="9"/>
        </w:numPr>
        <w:spacing w:after="0" w:line="360" w:lineRule="auto"/>
        <w:rPr>
          <w:sz w:val="24"/>
          <w:szCs w:val="24"/>
        </w:rPr>
      </w:pPr>
      <w:r w:rsidRPr="00587409">
        <w:rPr>
          <w:sz w:val="24"/>
          <w:szCs w:val="24"/>
        </w:rPr>
        <w:t>Small charities do not have to apply accounting standards;</w:t>
      </w:r>
    </w:p>
    <w:p w14:paraId="4F8CC10C" w14:textId="77777777" w:rsidR="00AC12AA" w:rsidRPr="00587409" w:rsidRDefault="00AC12AA" w:rsidP="00A9554A">
      <w:pPr>
        <w:pStyle w:val="ListParagraph"/>
        <w:numPr>
          <w:ilvl w:val="0"/>
          <w:numId w:val="9"/>
        </w:numPr>
        <w:spacing w:after="0" w:line="360" w:lineRule="auto"/>
        <w:rPr>
          <w:sz w:val="24"/>
          <w:szCs w:val="24"/>
        </w:rPr>
      </w:pPr>
      <w:r w:rsidRPr="00587409">
        <w:rPr>
          <w:sz w:val="24"/>
          <w:szCs w:val="24"/>
        </w:rPr>
        <w:t xml:space="preserve">Medium and large charities can choose between preparing Special Purpose or General Purpose Financial Report (which does require the application of all relevant accounting standards, albeit with reduced disclosures) </w:t>
      </w:r>
    </w:p>
    <w:p w14:paraId="65D6BA34" w14:textId="77777777" w:rsidR="00AC12AA" w:rsidRPr="00587409" w:rsidRDefault="00AC12AA" w:rsidP="00A9554A">
      <w:pPr>
        <w:pStyle w:val="ListParagraph"/>
        <w:numPr>
          <w:ilvl w:val="0"/>
          <w:numId w:val="9"/>
        </w:numPr>
        <w:spacing w:after="0" w:line="360" w:lineRule="auto"/>
        <w:rPr>
          <w:sz w:val="24"/>
          <w:szCs w:val="24"/>
        </w:rPr>
      </w:pPr>
      <w:r w:rsidRPr="00587409">
        <w:rPr>
          <w:sz w:val="24"/>
          <w:szCs w:val="24"/>
        </w:rPr>
        <w:t xml:space="preserve"> If a charity  chooses to prepare a Special Purpose Financial Report, it is required only to apply the following accounting standards, which focus on presentation:  AASB 101; AASB 107: AASB108; AASB 124; AASB 1048 and AASB 1054</w:t>
      </w:r>
      <w:r w:rsidR="00587409">
        <w:rPr>
          <w:sz w:val="24"/>
          <w:szCs w:val="24"/>
        </w:rPr>
        <w:t>.</w:t>
      </w:r>
      <w:r w:rsidRPr="00587409">
        <w:rPr>
          <w:sz w:val="24"/>
          <w:szCs w:val="24"/>
        </w:rPr>
        <w:t xml:space="preserve">    </w:t>
      </w:r>
    </w:p>
    <w:p w14:paraId="79B25CB7" w14:textId="77777777" w:rsidR="00B65DC3" w:rsidRDefault="00B65DC3" w:rsidP="00A9554A">
      <w:pPr>
        <w:spacing w:after="0" w:line="360" w:lineRule="auto"/>
        <w:ind w:left="142" w:hanging="142"/>
        <w:rPr>
          <w:b/>
          <w:sz w:val="24"/>
          <w:szCs w:val="24"/>
        </w:rPr>
      </w:pPr>
    </w:p>
    <w:p w14:paraId="4A9BD409" w14:textId="77777777" w:rsidR="00AC12AA" w:rsidRPr="00587409" w:rsidRDefault="00AC12AA" w:rsidP="00A9554A">
      <w:pPr>
        <w:spacing w:after="0" w:line="360" w:lineRule="auto"/>
        <w:ind w:left="142" w:hanging="142"/>
        <w:rPr>
          <w:b/>
          <w:sz w:val="24"/>
          <w:szCs w:val="24"/>
        </w:rPr>
      </w:pPr>
      <w:r w:rsidRPr="00587409">
        <w:rPr>
          <w:b/>
          <w:sz w:val="24"/>
          <w:szCs w:val="24"/>
        </w:rPr>
        <w:t xml:space="preserve">Argument </w:t>
      </w:r>
      <w:r w:rsidR="003D26D8" w:rsidRPr="00587409">
        <w:rPr>
          <w:b/>
          <w:sz w:val="24"/>
          <w:szCs w:val="24"/>
        </w:rPr>
        <w:t>6</w:t>
      </w:r>
    </w:p>
    <w:p w14:paraId="57224B57" w14:textId="77777777" w:rsidR="00AC12AA" w:rsidRPr="00587409" w:rsidRDefault="00AC12AA" w:rsidP="00A9554A">
      <w:pPr>
        <w:spacing w:after="0" w:line="360" w:lineRule="auto"/>
        <w:ind w:left="142" w:hanging="142"/>
        <w:rPr>
          <w:sz w:val="24"/>
          <w:szCs w:val="24"/>
        </w:rPr>
      </w:pPr>
      <w:r w:rsidRPr="00587409">
        <w:rPr>
          <w:sz w:val="24"/>
          <w:szCs w:val="24"/>
        </w:rPr>
        <w:t>Parishes would be required to obtain valuations for all of the real property (some of which is</w:t>
      </w:r>
    </w:p>
    <w:p w14:paraId="59B11BED" w14:textId="77777777" w:rsidR="00A9554A" w:rsidRDefault="00AC12AA" w:rsidP="00A9554A">
      <w:pPr>
        <w:spacing w:after="0" w:line="360" w:lineRule="auto"/>
        <w:ind w:left="142" w:hanging="142"/>
        <w:rPr>
          <w:sz w:val="24"/>
          <w:szCs w:val="24"/>
        </w:rPr>
      </w:pPr>
      <w:r w:rsidRPr="00587409">
        <w:rPr>
          <w:sz w:val="24"/>
          <w:szCs w:val="24"/>
        </w:rPr>
        <w:t>heritage listed and/ or subject to special zoning rues), which would be an expensive and</w:t>
      </w:r>
    </w:p>
    <w:p w14:paraId="7A892C56" w14:textId="77777777" w:rsidR="001175EC" w:rsidRPr="00587409" w:rsidRDefault="00AC12AA" w:rsidP="00A9554A">
      <w:pPr>
        <w:spacing w:after="0" w:line="360" w:lineRule="auto"/>
        <w:ind w:left="142" w:hanging="142"/>
        <w:rPr>
          <w:sz w:val="24"/>
          <w:szCs w:val="24"/>
        </w:rPr>
      </w:pPr>
      <w:r w:rsidRPr="00587409">
        <w:rPr>
          <w:sz w:val="24"/>
          <w:szCs w:val="24"/>
        </w:rPr>
        <w:t>complex</w:t>
      </w:r>
      <w:r w:rsidR="00587409">
        <w:rPr>
          <w:sz w:val="24"/>
          <w:szCs w:val="24"/>
        </w:rPr>
        <w:t xml:space="preserve"> </w:t>
      </w:r>
      <w:r w:rsidRPr="00587409">
        <w:rPr>
          <w:sz w:val="24"/>
          <w:szCs w:val="24"/>
        </w:rPr>
        <w:t>exercise.</w:t>
      </w:r>
    </w:p>
    <w:p w14:paraId="7B76C5E4" w14:textId="77777777" w:rsidR="00AC12AA" w:rsidRPr="00587409" w:rsidRDefault="00AC12AA" w:rsidP="00AC12AA">
      <w:pPr>
        <w:spacing w:after="0" w:line="360" w:lineRule="auto"/>
        <w:ind w:left="142" w:hanging="142"/>
        <w:rPr>
          <w:sz w:val="24"/>
          <w:szCs w:val="24"/>
        </w:rPr>
      </w:pPr>
    </w:p>
    <w:p w14:paraId="1692B657" w14:textId="77777777" w:rsidR="00A9554A" w:rsidRDefault="00A9554A">
      <w:pPr>
        <w:rPr>
          <w:b/>
          <w:sz w:val="24"/>
          <w:szCs w:val="24"/>
        </w:rPr>
      </w:pPr>
      <w:r>
        <w:rPr>
          <w:b/>
          <w:sz w:val="24"/>
          <w:szCs w:val="24"/>
        </w:rPr>
        <w:br w:type="page"/>
      </w:r>
    </w:p>
    <w:p w14:paraId="1569DA7C" w14:textId="77777777" w:rsidR="00AC12AA" w:rsidRPr="00587409" w:rsidRDefault="00AC12AA" w:rsidP="00AC12AA">
      <w:pPr>
        <w:spacing w:after="0" w:line="360" w:lineRule="auto"/>
        <w:ind w:left="142" w:hanging="142"/>
        <w:rPr>
          <w:b/>
          <w:sz w:val="24"/>
          <w:szCs w:val="24"/>
        </w:rPr>
      </w:pPr>
      <w:r w:rsidRPr="00587409">
        <w:rPr>
          <w:b/>
          <w:sz w:val="24"/>
          <w:szCs w:val="24"/>
        </w:rPr>
        <w:lastRenderedPageBreak/>
        <w:t xml:space="preserve">Rebuttal: </w:t>
      </w:r>
    </w:p>
    <w:p w14:paraId="18EF8757" w14:textId="77777777" w:rsidR="003D26D8" w:rsidRPr="00587409" w:rsidRDefault="00AC12AA" w:rsidP="00AC12AA">
      <w:pPr>
        <w:pStyle w:val="ListParagraph"/>
        <w:numPr>
          <w:ilvl w:val="0"/>
          <w:numId w:val="10"/>
        </w:numPr>
        <w:spacing w:after="0" w:line="360" w:lineRule="auto"/>
        <w:rPr>
          <w:sz w:val="24"/>
          <w:szCs w:val="24"/>
        </w:rPr>
      </w:pPr>
      <w:r w:rsidRPr="00587409">
        <w:rPr>
          <w:sz w:val="24"/>
          <w:szCs w:val="24"/>
        </w:rPr>
        <w:t>This is not true. The relevant Accounting Standard, AASB116 Property Plant and Equipment (at paragraph 31), provides those preparing financial statements with the choice to recognise assets at either cost or at fair value</w:t>
      </w:r>
      <w:r w:rsidR="00E7713D">
        <w:rPr>
          <w:sz w:val="24"/>
          <w:szCs w:val="24"/>
        </w:rPr>
        <w:t>,</w:t>
      </w:r>
      <w:r w:rsidRPr="00587409">
        <w:rPr>
          <w:sz w:val="24"/>
          <w:szCs w:val="24"/>
        </w:rPr>
        <w:t xml:space="preserve"> and only if “fair value can be reliably measured”</w:t>
      </w:r>
      <w:r w:rsidR="003D26D8" w:rsidRPr="00587409">
        <w:rPr>
          <w:sz w:val="24"/>
          <w:szCs w:val="24"/>
        </w:rPr>
        <w:t>.</w:t>
      </w:r>
    </w:p>
    <w:p w14:paraId="3827C23D" w14:textId="77777777" w:rsidR="00AC12AA" w:rsidRPr="00587409" w:rsidRDefault="00AC12AA" w:rsidP="003D26D8">
      <w:pPr>
        <w:pStyle w:val="ListParagraph"/>
        <w:numPr>
          <w:ilvl w:val="0"/>
          <w:numId w:val="10"/>
        </w:numPr>
        <w:spacing w:after="0" w:line="360" w:lineRule="auto"/>
        <w:rPr>
          <w:sz w:val="24"/>
          <w:szCs w:val="24"/>
        </w:rPr>
      </w:pPr>
      <w:r w:rsidRPr="00587409">
        <w:rPr>
          <w:sz w:val="24"/>
          <w:szCs w:val="24"/>
        </w:rPr>
        <w:t xml:space="preserve"> In one very large diocese examined during the present study, all property of Parishes and Churches is held in trust by a Trustee and revalued every three years by the Trustee. </w:t>
      </w:r>
    </w:p>
    <w:p w14:paraId="68536963" w14:textId="77777777" w:rsidR="00AC12AA" w:rsidRPr="00587409" w:rsidRDefault="00AC12AA" w:rsidP="003D26D8">
      <w:pPr>
        <w:pStyle w:val="ListParagraph"/>
        <w:numPr>
          <w:ilvl w:val="0"/>
          <w:numId w:val="10"/>
        </w:numPr>
        <w:spacing w:after="0" w:line="360" w:lineRule="auto"/>
        <w:rPr>
          <w:sz w:val="24"/>
          <w:szCs w:val="24"/>
        </w:rPr>
      </w:pPr>
      <w:r w:rsidRPr="00587409">
        <w:rPr>
          <w:sz w:val="24"/>
          <w:szCs w:val="24"/>
        </w:rPr>
        <w:t>Furthermore</w:t>
      </w:r>
      <w:r w:rsidR="00E7713D">
        <w:rPr>
          <w:sz w:val="24"/>
          <w:szCs w:val="24"/>
        </w:rPr>
        <w:t>,</w:t>
      </w:r>
      <w:r w:rsidRPr="00587409">
        <w:rPr>
          <w:sz w:val="24"/>
          <w:szCs w:val="24"/>
        </w:rPr>
        <w:t xml:space="preserve">  an example was found where a parish included</w:t>
      </w:r>
      <w:r w:rsidR="003D26D8" w:rsidRPr="00587409">
        <w:rPr>
          <w:sz w:val="24"/>
          <w:szCs w:val="24"/>
        </w:rPr>
        <w:t xml:space="preserve"> property held in trust (by a trustee) as an asset on its balance sheet.</w:t>
      </w:r>
    </w:p>
    <w:p w14:paraId="62FEE2E3" w14:textId="77777777" w:rsidR="003D26D8" w:rsidRPr="00587409" w:rsidRDefault="003D26D8" w:rsidP="003D26D8">
      <w:pPr>
        <w:spacing w:after="0" w:line="360" w:lineRule="auto"/>
        <w:rPr>
          <w:sz w:val="24"/>
          <w:szCs w:val="24"/>
        </w:rPr>
      </w:pPr>
    </w:p>
    <w:p w14:paraId="67531C31" w14:textId="77777777" w:rsidR="00E9398A" w:rsidRDefault="0066621E" w:rsidP="00E9398A">
      <w:pPr>
        <w:spacing w:after="0" w:line="360" w:lineRule="auto"/>
        <w:rPr>
          <w:b/>
          <w:sz w:val="24"/>
          <w:szCs w:val="24"/>
        </w:rPr>
      </w:pPr>
      <w:r w:rsidRPr="00587409">
        <w:rPr>
          <w:b/>
          <w:sz w:val="24"/>
          <w:szCs w:val="24"/>
        </w:rPr>
        <w:t>Concluding Comments</w:t>
      </w:r>
    </w:p>
    <w:p w14:paraId="7A6D7C0F" w14:textId="77777777" w:rsidR="00B65DC3" w:rsidRDefault="00B65DC3" w:rsidP="00E9398A">
      <w:pPr>
        <w:spacing w:after="0" w:line="360" w:lineRule="auto"/>
        <w:rPr>
          <w:sz w:val="24"/>
          <w:szCs w:val="24"/>
        </w:rPr>
      </w:pPr>
      <w:r w:rsidRPr="00B65DC3">
        <w:rPr>
          <w:sz w:val="24"/>
          <w:szCs w:val="24"/>
        </w:rPr>
        <w:t>Thank you for accepting my submission. I am more than happy to provide clarification on any matter raised in this submission or in the attached report.</w:t>
      </w:r>
    </w:p>
    <w:p w14:paraId="553D39BE" w14:textId="77777777" w:rsidR="00B65DC3" w:rsidRDefault="00B65DC3" w:rsidP="00E9398A">
      <w:pPr>
        <w:spacing w:after="0" w:line="360" w:lineRule="auto"/>
        <w:rPr>
          <w:sz w:val="24"/>
          <w:szCs w:val="24"/>
        </w:rPr>
      </w:pPr>
    </w:p>
    <w:p w14:paraId="28DD1640" w14:textId="77777777" w:rsidR="00B65DC3" w:rsidRDefault="00B65DC3" w:rsidP="00E9398A">
      <w:pPr>
        <w:spacing w:after="0" w:line="360" w:lineRule="auto"/>
        <w:rPr>
          <w:sz w:val="24"/>
          <w:szCs w:val="24"/>
        </w:rPr>
      </w:pPr>
      <w:r>
        <w:rPr>
          <w:sz w:val="24"/>
          <w:szCs w:val="24"/>
        </w:rPr>
        <w:t>Yours sincerely,</w:t>
      </w:r>
    </w:p>
    <w:p w14:paraId="44AB6220" w14:textId="77777777" w:rsidR="00582CB2" w:rsidRDefault="00582CB2" w:rsidP="00582CB2">
      <w:pPr>
        <w:spacing w:after="0" w:line="360" w:lineRule="auto"/>
        <w:rPr>
          <w:sz w:val="24"/>
          <w:szCs w:val="24"/>
        </w:rPr>
      </w:pPr>
      <w:r>
        <w:rPr>
          <w:sz w:val="24"/>
          <w:szCs w:val="24"/>
        </w:rPr>
        <w:t>Dr Phil Saj</w:t>
      </w:r>
    </w:p>
    <w:p w14:paraId="7DE04D66" w14:textId="77777777" w:rsidR="00A9554A" w:rsidRDefault="00A9554A" w:rsidP="00A9554A">
      <w:pPr>
        <w:spacing w:after="0" w:line="360" w:lineRule="auto"/>
        <w:rPr>
          <w:sz w:val="24"/>
          <w:szCs w:val="24"/>
        </w:rPr>
      </w:pPr>
      <w:r>
        <w:rPr>
          <w:sz w:val="24"/>
          <w:szCs w:val="24"/>
        </w:rPr>
        <w:t>February 9 2024</w:t>
      </w:r>
    </w:p>
    <w:p w14:paraId="05B32BFA" w14:textId="77777777" w:rsidR="00B65DC3" w:rsidRPr="00587409" w:rsidRDefault="00B65DC3" w:rsidP="00E9398A">
      <w:pPr>
        <w:spacing w:after="0" w:line="360" w:lineRule="auto"/>
        <w:rPr>
          <w:b/>
          <w:sz w:val="24"/>
          <w:szCs w:val="24"/>
        </w:rPr>
      </w:pPr>
    </w:p>
    <w:sectPr w:rsidR="00B65DC3" w:rsidRPr="00587409">
      <w:headerReference w:type="even"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85402" w14:textId="77777777" w:rsidR="00F87757" w:rsidRDefault="00F87757" w:rsidP="00845F91">
      <w:pPr>
        <w:spacing w:after="0" w:line="240" w:lineRule="auto"/>
      </w:pPr>
      <w:r>
        <w:separator/>
      </w:r>
    </w:p>
  </w:endnote>
  <w:endnote w:type="continuationSeparator" w:id="0">
    <w:p w14:paraId="6D8B8F37" w14:textId="77777777" w:rsidR="00F87757" w:rsidRDefault="00F87757" w:rsidP="0084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0168441"/>
      <w:docPartObj>
        <w:docPartGallery w:val="Page Numbers (Bottom of Page)"/>
        <w:docPartUnique/>
      </w:docPartObj>
    </w:sdtPr>
    <w:sdtEndPr>
      <w:rPr>
        <w:noProof/>
      </w:rPr>
    </w:sdtEndPr>
    <w:sdtContent>
      <w:p w14:paraId="04DD09C0" w14:textId="77777777" w:rsidR="00F87757" w:rsidRDefault="00F877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CBC798" w14:textId="77777777" w:rsidR="00F87757" w:rsidRDefault="00F87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4D893" w14:textId="77777777" w:rsidR="00F87757" w:rsidRDefault="00F87757" w:rsidP="00845F91">
      <w:pPr>
        <w:spacing w:after="0" w:line="240" w:lineRule="auto"/>
      </w:pPr>
      <w:r>
        <w:separator/>
      </w:r>
    </w:p>
  </w:footnote>
  <w:footnote w:type="continuationSeparator" w:id="0">
    <w:p w14:paraId="66E56EBE" w14:textId="77777777" w:rsidR="00F87757" w:rsidRDefault="00F87757" w:rsidP="00845F91">
      <w:pPr>
        <w:spacing w:after="0" w:line="240" w:lineRule="auto"/>
      </w:pPr>
      <w:r>
        <w:continuationSeparator/>
      </w:r>
    </w:p>
  </w:footnote>
  <w:footnote w:id="1">
    <w:p w14:paraId="0AD66C15" w14:textId="77777777" w:rsidR="008247FE" w:rsidRDefault="008247FE">
      <w:pPr>
        <w:pStyle w:val="FootnoteText"/>
      </w:pPr>
      <w:r>
        <w:rPr>
          <w:rStyle w:val="FootnoteReference"/>
        </w:rPr>
        <w:footnoteRef/>
      </w:r>
      <w:r>
        <w:t xml:space="preserve"> </w:t>
      </w:r>
      <w:r w:rsidR="001E73C1" w:rsidRPr="001E73C1">
        <w:t>Evidence of the extant financial reporting practices of BRCs presented here should be seen as indicative, rather than representative, because the information available was not uniform. For example, while financial reporting requirements of three major Australian Christian Denominations, the Anglican, Uniting and Lutheran Churches were available, those of the largest denomination, the Catholic Church, were largely unavailable.</w:t>
      </w:r>
    </w:p>
  </w:footnote>
  <w:footnote w:id="2">
    <w:p w14:paraId="5EFD1B2C" w14:textId="77777777" w:rsidR="00E7713D" w:rsidRPr="00E7713D" w:rsidRDefault="00E7713D" w:rsidP="00E7713D">
      <w:pPr>
        <w:spacing w:after="0" w:line="360" w:lineRule="auto"/>
        <w:ind w:left="142" w:hanging="142"/>
      </w:pPr>
      <w:r>
        <w:rPr>
          <w:rStyle w:val="FootnoteReference"/>
        </w:rPr>
        <w:footnoteRef/>
      </w:r>
      <w:r>
        <w:t xml:space="preserve"> </w:t>
      </w:r>
      <w:r w:rsidRPr="00E7713D">
        <w:rPr>
          <w:rFonts w:cstheme="minorHAnsi"/>
          <w:color w:val="000000" w:themeColor="text1"/>
        </w:rPr>
        <w:t>Table 8 shows the human resource effort deployed by the complete population (25,072)</w:t>
      </w:r>
      <w:r>
        <w:rPr>
          <w:rFonts w:cstheme="minorHAnsi"/>
          <w:color w:val="000000" w:themeColor="text1"/>
        </w:rPr>
        <w:t xml:space="preserve"> </w:t>
      </w:r>
      <w:r w:rsidRPr="00E7713D">
        <w:rPr>
          <w:rFonts w:cstheme="minorHAnsi"/>
          <w:color w:val="000000" w:themeColor="text1"/>
        </w:rPr>
        <w:t xml:space="preserve">small charities that are not classified as BRCs. However, because of data reporting problems </w:t>
      </w:r>
      <w:r>
        <w:rPr>
          <w:rFonts w:cstheme="minorHAnsi"/>
          <w:color w:val="000000" w:themeColor="text1"/>
        </w:rPr>
        <w:t xml:space="preserve"> </w:t>
      </w:r>
      <w:r w:rsidRPr="00E7713D">
        <w:rPr>
          <w:rFonts w:cstheme="minorHAnsi"/>
          <w:color w:val="000000" w:themeColor="text1"/>
        </w:rPr>
        <w:t>the population of small non-BRC charities was adjusted to remove 45 entities that reported</w:t>
      </w:r>
      <w:r>
        <w:rPr>
          <w:rFonts w:cstheme="minorHAnsi"/>
          <w:color w:val="000000" w:themeColor="text1"/>
        </w:rPr>
        <w:t xml:space="preserve"> </w:t>
      </w:r>
      <w:r w:rsidRPr="00E7713D">
        <w:rPr>
          <w:rFonts w:cstheme="minorHAnsi"/>
          <w:color w:val="000000" w:themeColor="text1"/>
        </w:rPr>
        <w:t>clearly erroneous figures, i.e. they reported a full-time staff complement of 10 or more</w:t>
      </w:r>
      <w:r>
        <w:rPr>
          <w:rFonts w:cstheme="minorHAnsi"/>
          <w:color w:val="000000" w:themeColor="text1"/>
        </w:rPr>
        <w:t xml:space="preserve"> </w:t>
      </w:r>
      <w:r w:rsidRPr="00E7713D">
        <w:rPr>
          <w:rFonts w:cstheme="minorHAnsi"/>
          <w:color w:val="000000" w:themeColor="text1"/>
        </w:rPr>
        <w:t>persons. (These 45 charities, with the human resource figures they reported in their 2020</w:t>
      </w:r>
      <w:r>
        <w:rPr>
          <w:rFonts w:cstheme="minorHAnsi"/>
          <w:color w:val="000000" w:themeColor="text1"/>
        </w:rPr>
        <w:t xml:space="preserve"> </w:t>
      </w:r>
      <w:r w:rsidRPr="00E7713D">
        <w:rPr>
          <w:rFonts w:cstheme="minorHAnsi"/>
          <w:color w:val="000000" w:themeColor="text1"/>
        </w:rPr>
        <w:t xml:space="preserve">AISs are shown included as Appendix 7 of the attached paper.)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48646" w14:textId="261AE851" w:rsidR="00F35A54" w:rsidRDefault="00F35A54">
    <w:pPr>
      <w:pStyle w:val="Header"/>
    </w:pPr>
    <w:r>
      <w:rPr>
        <w:noProof/>
      </w:rPr>
      <mc:AlternateContent>
        <mc:Choice Requires="wps">
          <w:drawing>
            <wp:anchor distT="0" distB="0" distL="0" distR="0" simplePos="0" relativeHeight="251659264" behindDoc="0" locked="0" layoutInCell="1" allowOverlap="1" wp14:anchorId="714F377A" wp14:editId="55181231">
              <wp:simplePos x="635" y="635"/>
              <wp:positionH relativeFrom="page">
                <wp:align>center</wp:align>
              </wp:positionH>
              <wp:positionV relativeFrom="page">
                <wp:align>top</wp:align>
              </wp:positionV>
              <wp:extent cx="443865" cy="443865"/>
              <wp:effectExtent l="0" t="0" r="11430" b="8890"/>
              <wp:wrapNone/>
              <wp:docPr id="2054750215" name="Text Box 2" descr="OFFICIAL // FOR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ED05C" w14:textId="4A5C3F19" w:rsidR="00F35A54" w:rsidRPr="00F35A54" w:rsidRDefault="00F35A54" w:rsidP="00F35A54">
                          <w:pPr>
                            <w:spacing w:after="0"/>
                            <w:rPr>
                              <w:rFonts w:ascii="Calibri" w:eastAsia="Calibri" w:hAnsi="Calibri" w:cs="Calibri"/>
                              <w:noProof/>
                              <w:color w:val="000000"/>
                              <w:sz w:val="24"/>
                              <w:szCs w:val="24"/>
                            </w:rPr>
                          </w:pPr>
                          <w:r w:rsidRPr="00F35A54">
                            <w:rPr>
                              <w:rFonts w:ascii="Calibri" w:eastAsia="Calibri" w:hAnsi="Calibri" w:cs="Calibri"/>
                              <w:noProof/>
                              <w:color w:val="000000"/>
                              <w:sz w:val="24"/>
                              <w:szCs w:val="24"/>
                            </w:rPr>
                            <w:t>OFFICIAL // FOR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F377A" id="_x0000_t202" coordsize="21600,21600" o:spt="202" path="m,l,21600r21600,l21600,xe">
              <v:stroke joinstyle="miter"/>
              <v:path gradientshapeok="t" o:connecttype="rect"/>
            </v:shapetype>
            <v:shape id="Text Box 2" o:spid="_x0000_s1026" type="#_x0000_t202" alt="OFFICIAL // FOR INTERNAL USE ONLY"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30ED05C" w14:textId="4A5C3F19" w:rsidR="00F35A54" w:rsidRPr="00F35A54" w:rsidRDefault="00F35A54" w:rsidP="00F35A54">
                    <w:pPr>
                      <w:spacing w:after="0"/>
                      <w:rPr>
                        <w:rFonts w:ascii="Calibri" w:eastAsia="Calibri" w:hAnsi="Calibri" w:cs="Calibri"/>
                        <w:noProof/>
                        <w:color w:val="000000"/>
                        <w:sz w:val="24"/>
                        <w:szCs w:val="24"/>
                      </w:rPr>
                    </w:pPr>
                    <w:r w:rsidRPr="00F35A54">
                      <w:rPr>
                        <w:rFonts w:ascii="Calibri" w:eastAsia="Calibri" w:hAnsi="Calibri" w:cs="Calibri"/>
                        <w:noProof/>
                        <w:color w:val="000000"/>
                        <w:sz w:val="24"/>
                        <w:szCs w:val="24"/>
                      </w:rPr>
                      <w:t>OFFICIAL // FOR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D08BC" w14:textId="23AEED5D" w:rsidR="00F35A54" w:rsidRDefault="00F35A54">
    <w:pPr>
      <w:pStyle w:val="Header"/>
    </w:pPr>
    <w:r>
      <w:rPr>
        <w:noProof/>
      </w:rPr>
      <mc:AlternateContent>
        <mc:Choice Requires="wps">
          <w:drawing>
            <wp:anchor distT="0" distB="0" distL="0" distR="0" simplePos="0" relativeHeight="251658240" behindDoc="0" locked="0" layoutInCell="1" allowOverlap="1" wp14:anchorId="08D4D344" wp14:editId="2AC05E04">
              <wp:simplePos x="635" y="635"/>
              <wp:positionH relativeFrom="page">
                <wp:align>center</wp:align>
              </wp:positionH>
              <wp:positionV relativeFrom="page">
                <wp:align>top</wp:align>
              </wp:positionV>
              <wp:extent cx="443865" cy="443865"/>
              <wp:effectExtent l="0" t="0" r="11430" b="8890"/>
              <wp:wrapNone/>
              <wp:docPr id="1273808898" name="Text Box 1" descr="OFFICIAL // FOR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266F28" w14:textId="52833CAE" w:rsidR="00F35A54" w:rsidRPr="00F35A54" w:rsidRDefault="00F35A54" w:rsidP="00F35A54">
                          <w:pPr>
                            <w:spacing w:after="0"/>
                            <w:rPr>
                              <w:rFonts w:ascii="Calibri" w:eastAsia="Calibri" w:hAnsi="Calibri" w:cs="Calibri"/>
                              <w:noProof/>
                              <w:color w:val="000000"/>
                              <w:sz w:val="24"/>
                              <w:szCs w:val="24"/>
                            </w:rPr>
                          </w:pPr>
                          <w:r w:rsidRPr="00F35A54">
                            <w:rPr>
                              <w:rFonts w:ascii="Calibri" w:eastAsia="Calibri" w:hAnsi="Calibri" w:cs="Calibri"/>
                              <w:noProof/>
                              <w:color w:val="000000"/>
                              <w:sz w:val="24"/>
                              <w:szCs w:val="24"/>
                            </w:rPr>
                            <w:t>OFFICIAL // FOR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4D344" id="_x0000_t202" coordsize="21600,21600" o:spt="202" path="m,l,21600r21600,l21600,xe">
              <v:stroke joinstyle="miter"/>
              <v:path gradientshapeok="t" o:connecttype="rect"/>
            </v:shapetype>
            <v:shape id="Text Box 1" o:spid="_x0000_s1027" type="#_x0000_t202" alt="OFFICIAL // FOR INTERNAL USE ONLY"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9266F28" w14:textId="52833CAE" w:rsidR="00F35A54" w:rsidRPr="00F35A54" w:rsidRDefault="00F35A54" w:rsidP="00F35A54">
                    <w:pPr>
                      <w:spacing w:after="0"/>
                      <w:rPr>
                        <w:rFonts w:ascii="Calibri" w:eastAsia="Calibri" w:hAnsi="Calibri" w:cs="Calibri"/>
                        <w:noProof/>
                        <w:color w:val="000000"/>
                        <w:sz w:val="24"/>
                        <w:szCs w:val="24"/>
                      </w:rPr>
                    </w:pPr>
                    <w:r w:rsidRPr="00F35A54">
                      <w:rPr>
                        <w:rFonts w:ascii="Calibri" w:eastAsia="Calibri" w:hAnsi="Calibri" w:cs="Calibri"/>
                        <w:noProof/>
                        <w:color w:val="000000"/>
                        <w:sz w:val="24"/>
                        <w:szCs w:val="24"/>
                      </w:rPr>
                      <w:t>OFFICIAL // FOR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2755F"/>
    <w:multiLevelType w:val="hybridMultilevel"/>
    <w:tmpl w:val="78ACFCFC"/>
    <w:lvl w:ilvl="0" w:tplc="CB70FC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4E0BB8"/>
    <w:multiLevelType w:val="hybridMultilevel"/>
    <w:tmpl w:val="62CA3F46"/>
    <w:lvl w:ilvl="0" w:tplc="E3780EC6">
      <w:start w:val="1"/>
      <w:numFmt w:val="upp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D42D32"/>
    <w:multiLevelType w:val="hybridMultilevel"/>
    <w:tmpl w:val="3C980DAE"/>
    <w:lvl w:ilvl="0" w:tplc="E3780EC6">
      <w:start w:val="1"/>
      <w:numFmt w:val="upp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F84B6B"/>
    <w:multiLevelType w:val="hybridMultilevel"/>
    <w:tmpl w:val="242AA550"/>
    <w:lvl w:ilvl="0" w:tplc="E3780EC6">
      <w:start w:val="1"/>
      <w:numFmt w:val="upp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E43292"/>
    <w:multiLevelType w:val="hybridMultilevel"/>
    <w:tmpl w:val="C7907CC6"/>
    <w:lvl w:ilvl="0" w:tplc="00BA27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4C72BF"/>
    <w:multiLevelType w:val="hybridMultilevel"/>
    <w:tmpl w:val="67B87576"/>
    <w:lvl w:ilvl="0" w:tplc="91E220C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927F1C"/>
    <w:multiLevelType w:val="hybridMultilevel"/>
    <w:tmpl w:val="584E2602"/>
    <w:lvl w:ilvl="0" w:tplc="DC9A89C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49712A0B"/>
    <w:multiLevelType w:val="multilevel"/>
    <w:tmpl w:val="2856DD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C83125A"/>
    <w:multiLevelType w:val="hybridMultilevel"/>
    <w:tmpl w:val="013A50F0"/>
    <w:lvl w:ilvl="0" w:tplc="DC9A89C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5B1755AF"/>
    <w:multiLevelType w:val="hybridMultilevel"/>
    <w:tmpl w:val="E528B084"/>
    <w:lvl w:ilvl="0" w:tplc="608088DA">
      <w:start w:val="1"/>
      <w:numFmt w:val="upp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6612D5D"/>
    <w:multiLevelType w:val="hybridMultilevel"/>
    <w:tmpl w:val="E3C0BA48"/>
    <w:lvl w:ilvl="0" w:tplc="E3780EC6">
      <w:start w:val="1"/>
      <w:numFmt w:val="upp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D01800"/>
    <w:multiLevelType w:val="hybridMultilevel"/>
    <w:tmpl w:val="31C0127E"/>
    <w:lvl w:ilvl="0" w:tplc="E3780EC6">
      <w:start w:val="1"/>
      <w:numFmt w:val="upp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4248CD"/>
    <w:multiLevelType w:val="hybridMultilevel"/>
    <w:tmpl w:val="4B624A04"/>
    <w:lvl w:ilvl="0" w:tplc="DC9A89C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632398120">
    <w:abstractNumId w:val="4"/>
  </w:num>
  <w:num w:numId="2" w16cid:durableId="1081949591">
    <w:abstractNumId w:val="7"/>
  </w:num>
  <w:num w:numId="3" w16cid:durableId="489292158">
    <w:abstractNumId w:val="0"/>
  </w:num>
  <w:num w:numId="4" w16cid:durableId="1630011407">
    <w:abstractNumId w:val="5"/>
  </w:num>
  <w:num w:numId="5" w16cid:durableId="1043214181">
    <w:abstractNumId w:val="11"/>
  </w:num>
  <w:num w:numId="6" w16cid:durableId="907887611">
    <w:abstractNumId w:val="3"/>
  </w:num>
  <w:num w:numId="7" w16cid:durableId="1522470977">
    <w:abstractNumId w:val="2"/>
  </w:num>
  <w:num w:numId="8" w16cid:durableId="70468747">
    <w:abstractNumId w:val="8"/>
  </w:num>
  <w:num w:numId="9" w16cid:durableId="847982716">
    <w:abstractNumId w:val="6"/>
  </w:num>
  <w:num w:numId="10" w16cid:durableId="276454411">
    <w:abstractNumId w:val="9"/>
  </w:num>
  <w:num w:numId="11" w16cid:durableId="252318549">
    <w:abstractNumId w:val="1"/>
  </w:num>
  <w:num w:numId="12" w16cid:durableId="611866845">
    <w:abstractNumId w:val="12"/>
  </w:num>
  <w:num w:numId="13" w16cid:durableId="1760324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1C"/>
    <w:rsid w:val="0000091C"/>
    <w:rsid w:val="00015233"/>
    <w:rsid w:val="000740E4"/>
    <w:rsid w:val="000C4223"/>
    <w:rsid w:val="000E3BB6"/>
    <w:rsid w:val="0011289C"/>
    <w:rsid w:val="001175EC"/>
    <w:rsid w:val="001E04C6"/>
    <w:rsid w:val="001E73C1"/>
    <w:rsid w:val="002A62A2"/>
    <w:rsid w:val="00304F8A"/>
    <w:rsid w:val="003305B0"/>
    <w:rsid w:val="00341653"/>
    <w:rsid w:val="003D26D8"/>
    <w:rsid w:val="003D7470"/>
    <w:rsid w:val="00413B4E"/>
    <w:rsid w:val="00426D23"/>
    <w:rsid w:val="00450330"/>
    <w:rsid w:val="004510F4"/>
    <w:rsid w:val="004806BD"/>
    <w:rsid w:val="004B00D0"/>
    <w:rsid w:val="004D0EFF"/>
    <w:rsid w:val="004E68BD"/>
    <w:rsid w:val="00500D5B"/>
    <w:rsid w:val="00501884"/>
    <w:rsid w:val="00531986"/>
    <w:rsid w:val="00571045"/>
    <w:rsid w:val="00582CB2"/>
    <w:rsid w:val="00587409"/>
    <w:rsid w:val="005B7509"/>
    <w:rsid w:val="005D7AF8"/>
    <w:rsid w:val="00612FDB"/>
    <w:rsid w:val="0066621E"/>
    <w:rsid w:val="006A1828"/>
    <w:rsid w:val="006E3908"/>
    <w:rsid w:val="00717125"/>
    <w:rsid w:val="007D3D77"/>
    <w:rsid w:val="007F57D9"/>
    <w:rsid w:val="008040EB"/>
    <w:rsid w:val="008247FE"/>
    <w:rsid w:val="00824D88"/>
    <w:rsid w:val="00845F91"/>
    <w:rsid w:val="008930F3"/>
    <w:rsid w:val="008E436F"/>
    <w:rsid w:val="00901F0A"/>
    <w:rsid w:val="009325BC"/>
    <w:rsid w:val="0094735D"/>
    <w:rsid w:val="00983AD4"/>
    <w:rsid w:val="009F0293"/>
    <w:rsid w:val="00A329E8"/>
    <w:rsid w:val="00A533AA"/>
    <w:rsid w:val="00A66DBE"/>
    <w:rsid w:val="00A9554A"/>
    <w:rsid w:val="00AA6CE4"/>
    <w:rsid w:val="00AC12AA"/>
    <w:rsid w:val="00B115B9"/>
    <w:rsid w:val="00B65DC3"/>
    <w:rsid w:val="00B94B2A"/>
    <w:rsid w:val="00BA58C4"/>
    <w:rsid w:val="00BB1FE8"/>
    <w:rsid w:val="00C22F96"/>
    <w:rsid w:val="00C2590E"/>
    <w:rsid w:val="00C50820"/>
    <w:rsid w:val="00C812ED"/>
    <w:rsid w:val="00CC2A33"/>
    <w:rsid w:val="00D04B14"/>
    <w:rsid w:val="00D04E41"/>
    <w:rsid w:val="00D101F5"/>
    <w:rsid w:val="00D2248E"/>
    <w:rsid w:val="00D43E85"/>
    <w:rsid w:val="00D44BE4"/>
    <w:rsid w:val="00D739B2"/>
    <w:rsid w:val="00DA3C40"/>
    <w:rsid w:val="00DD4AE8"/>
    <w:rsid w:val="00DF15AB"/>
    <w:rsid w:val="00E01057"/>
    <w:rsid w:val="00E24781"/>
    <w:rsid w:val="00E63263"/>
    <w:rsid w:val="00E7713D"/>
    <w:rsid w:val="00E9398A"/>
    <w:rsid w:val="00EF1106"/>
    <w:rsid w:val="00F000CC"/>
    <w:rsid w:val="00F230D6"/>
    <w:rsid w:val="00F35A54"/>
    <w:rsid w:val="00F50D74"/>
    <w:rsid w:val="00F57BEC"/>
    <w:rsid w:val="00F57CCB"/>
    <w:rsid w:val="00F6217B"/>
    <w:rsid w:val="00F87757"/>
    <w:rsid w:val="00FA78ED"/>
    <w:rsid w:val="00FB20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20748"/>
  <w15:chartTrackingRefBased/>
  <w15:docId w15:val="{A88BB9A7-F625-4586-B80C-746D6386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90E"/>
    <w:pPr>
      <w:ind w:left="720"/>
      <w:contextualSpacing/>
    </w:pPr>
  </w:style>
  <w:style w:type="paragraph" w:styleId="BodyText">
    <w:name w:val="Body Text"/>
    <w:basedOn w:val="Normal"/>
    <w:link w:val="BodyTextChar"/>
    <w:uiPriority w:val="1"/>
    <w:qFormat/>
    <w:rsid w:val="008930F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8930F3"/>
    <w:rPr>
      <w:rFonts w:ascii="Calibri" w:eastAsia="Calibri" w:hAnsi="Calibri" w:cs="Calibri"/>
      <w:sz w:val="24"/>
      <w:szCs w:val="24"/>
      <w:lang w:val="en-US"/>
    </w:rPr>
  </w:style>
  <w:style w:type="character" w:styleId="Hyperlink">
    <w:name w:val="Hyperlink"/>
    <w:basedOn w:val="DefaultParagraphFont"/>
    <w:uiPriority w:val="99"/>
    <w:unhideWhenUsed/>
    <w:rsid w:val="00571045"/>
    <w:rPr>
      <w:color w:val="0563C1" w:themeColor="hyperlink"/>
      <w:u w:val="single"/>
    </w:rPr>
  </w:style>
  <w:style w:type="paragraph" w:styleId="Header">
    <w:name w:val="header"/>
    <w:basedOn w:val="Normal"/>
    <w:link w:val="HeaderChar"/>
    <w:uiPriority w:val="99"/>
    <w:unhideWhenUsed/>
    <w:rsid w:val="00845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F91"/>
  </w:style>
  <w:style w:type="paragraph" w:styleId="Footer">
    <w:name w:val="footer"/>
    <w:basedOn w:val="Normal"/>
    <w:link w:val="FooterChar"/>
    <w:uiPriority w:val="99"/>
    <w:unhideWhenUsed/>
    <w:rsid w:val="00845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F91"/>
  </w:style>
  <w:style w:type="table" w:styleId="TableGrid">
    <w:name w:val="Table Grid"/>
    <w:basedOn w:val="TableNormal"/>
    <w:uiPriority w:val="39"/>
    <w:rsid w:val="00D10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289C"/>
    <w:rPr>
      <w:color w:val="605E5C"/>
      <w:shd w:val="clear" w:color="auto" w:fill="E1DFDD"/>
    </w:rPr>
  </w:style>
  <w:style w:type="paragraph" w:styleId="BalloonText">
    <w:name w:val="Balloon Text"/>
    <w:basedOn w:val="Normal"/>
    <w:link w:val="BalloonTextChar"/>
    <w:uiPriority w:val="99"/>
    <w:semiHidden/>
    <w:unhideWhenUsed/>
    <w:rsid w:val="00804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0EB"/>
    <w:rPr>
      <w:rFonts w:ascii="Segoe UI" w:hAnsi="Segoe UI" w:cs="Segoe UI"/>
      <w:sz w:val="18"/>
      <w:szCs w:val="18"/>
    </w:rPr>
  </w:style>
  <w:style w:type="paragraph" w:styleId="FootnoteText">
    <w:name w:val="footnote text"/>
    <w:basedOn w:val="Normal"/>
    <w:link w:val="FootnoteTextChar"/>
    <w:uiPriority w:val="99"/>
    <w:semiHidden/>
    <w:unhideWhenUsed/>
    <w:rsid w:val="008247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7FE"/>
    <w:rPr>
      <w:sz w:val="20"/>
      <w:szCs w:val="20"/>
    </w:rPr>
  </w:style>
  <w:style w:type="character" w:styleId="FootnoteReference">
    <w:name w:val="footnote reference"/>
    <w:basedOn w:val="DefaultParagraphFont"/>
    <w:uiPriority w:val="99"/>
    <w:semiHidden/>
    <w:unhideWhenUsed/>
    <w:rsid w:val="008247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2.xlsx"/><Relationship Id="rId20" Type="http://schemas.openxmlformats.org/officeDocument/2006/relationships/hyperlink" Target="https://www.sds.asn.au/2019-financial-reports-pack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4d5135a97f55a5d0ad084e59d456e0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f47ccfeabc291d3583557cceef0d56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9011A-AC62-47AA-803D-88827745AE47}">
  <ds:schemaRefs>
    <ds:schemaRef ds:uri="http://schemas.openxmlformats.org/officeDocument/2006/bibliography"/>
  </ds:schemaRefs>
</ds:datastoreItem>
</file>

<file path=customXml/itemProps2.xml><?xml version="1.0" encoding="utf-8"?>
<ds:datastoreItem xmlns:ds="http://schemas.openxmlformats.org/officeDocument/2006/customXml" ds:itemID="{A0859503-9E53-42C1-A177-D199719FBE96}">
  <ds:schemaRefs>
    <ds:schemaRef ds:uri="http://schemas.microsoft.com/sharepoint/events"/>
  </ds:schemaRefs>
</ds:datastoreItem>
</file>

<file path=customXml/itemProps3.xml><?xml version="1.0" encoding="utf-8"?>
<ds:datastoreItem xmlns:ds="http://schemas.openxmlformats.org/officeDocument/2006/customXml" ds:itemID="{22779433-9A58-4BFA-A6ED-935100AD8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3F4E7-7E90-4999-90C4-337077A05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3306</TotalTime>
  <Pages>20</Pages>
  <Words>4633</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Submission 762 - Dr Phil Saj - Philanthropy - Public inquiry</vt:lpstr>
    </vt:vector>
  </TitlesOfParts>
  <Company>Dr Phil Saj</Company>
  <LinksUpToDate>false</LinksUpToDate>
  <CharactersWithSpaces>30986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762 - Dr Phil Saj - Philanthropy - Public inquiry</dc:title>
  <dc:subject/>
  <dc:creator>Dr Phil Saj</dc:creator>
  <cp:keywords/>
  <dc:description/>
  <cp:lastModifiedBy>Chris Alston</cp:lastModifiedBy>
  <cp:revision>30</cp:revision>
  <cp:lastPrinted>2024-02-09T03:31:00Z</cp:lastPrinted>
  <dcterms:created xsi:type="dcterms:W3CDTF">2024-02-04T05:14:00Z</dcterms:created>
  <dcterms:modified xsi:type="dcterms:W3CDTF">2024-05-08T00:57:00Z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4becc802,7a790007,11bb2bfb</vt:lpwstr>
  </property>
  <property fmtid="{D5CDD505-2E9C-101B-9397-08002B2CF9AE}" pid="3" name="ClassificationContentMarkingHeaderFontProps">
    <vt:lpwstr>#000000,12,Calibri</vt:lpwstr>
  </property>
  <property fmtid="{D5CDD505-2E9C-101B-9397-08002B2CF9AE}" pid="4" name="ClassificationContentMarkingHeaderText">
    <vt:lpwstr>OFFICIAL // FOR INTERNAL USE ONLY</vt:lpwstr>
  </property>
  <property fmtid="{D5CDD505-2E9C-101B-9397-08002B2CF9AE}" pid="5" name="MSIP_Label_0b6c7bd6-484a-4db3-95ba-dac3a08e6b47_Enabled">
    <vt:lpwstr>true</vt:lpwstr>
  </property>
  <property fmtid="{D5CDD505-2E9C-101B-9397-08002B2CF9AE}" pid="6" name="MSIP_Label_0b6c7bd6-484a-4db3-95ba-dac3a08e6b47_SetDate">
    <vt:lpwstr>2024-05-07T20:43:43Z</vt:lpwstr>
  </property>
  <property fmtid="{D5CDD505-2E9C-101B-9397-08002B2CF9AE}" pid="7" name="MSIP_Label_0b6c7bd6-484a-4db3-95ba-dac3a08e6b47_Method">
    <vt:lpwstr>Privileged</vt:lpwstr>
  </property>
  <property fmtid="{D5CDD505-2E9C-101B-9397-08002B2CF9AE}" pid="8" name="MSIP_Label_0b6c7bd6-484a-4db3-95ba-dac3a08e6b47_Name">
    <vt:lpwstr>OFFICIAL - FOR INTERNAL USE ONLY</vt:lpwstr>
  </property>
  <property fmtid="{D5CDD505-2E9C-101B-9397-08002B2CF9AE}" pid="9" name="MSIP_Label_0b6c7bd6-484a-4db3-95ba-dac3a08e6b47_SiteId">
    <vt:lpwstr>29f9330b-c0fe-4244-830e-ba9f275d6c34</vt:lpwstr>
  </property>
  <property fmtid="{D5CDD505-2E9C-101B-9397-08002B2CF9AE}" pid="10" name="MSIP_Label_0b6c7bd6-484a-4db3-95ba-dac3a08e6b47_ActionId">
    <vt:lpwstr>88cc3a33-ddb9-4336-9e35-d3f981ca5206</vt:lpwstr>
  </property>
  <property fmtid="{D5CDD505-2E9C-101B-9397-08002B2CF9AE}" pid="11" name="MSIP_Label_0b6c7bd6-484a-4db3-95ba-dac3a08e6b47_ContentBits">
    <vt:lpwstr>1</vt:lpwstr>
  </property>
</Properties>
</file>