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4F" w:rsidRPr="006C2408" w:rsidRDefault="00540A34" w:rsidP="000B4E4F">
      <w:pPr>
        <w:rPr>
          <w:rFonts w:cs="Arial"/>
          <w:sz w:val="22"/>
          <w:szCs w:val="22"/>
          <w:u w:val="single"/>
        </w:rPr>
      </w:pPr>
      <w:r>
        <w:rPr>
          <w:rFonts w:cs="Arial"/>
          <w:b/>
          <w:sz w:val="22"/>
          <w:szCs w:val="22"/>
          <w:u w:val="single"/>
        </w:rPr>
        <w:t xml:space="preserve">Safe Work Australia: </w:t>
      </w:r>
      <w:r w:rsidR="000B4E4F" w:rsidRPr="006C2408">
        <w:rPr>
          <w:rFonts w:cs="Arial"/>
          <w:b/>
          <w:sz w:val="22"/>
          <w:szCs w:val="22"/>
          <w:u w:val="single"/>
        </w:rPr>
        <w:t xml:space="preserve"> Submission to the </w:t>
      </w:r>
      <w:r w:rsidR="007B4099" w:rsidRPr="006C2408">
        <w:rPr>
          <w:rFonts w:cs="Arial"/>
          <w:b/>
          <w:sz w:val="22"/>
          <w:szCs w:val="22"/>
          <w:u w:val="single"/>
        </w:rPr>
        <w:t xml:space="preserve">Productivity Commission Inquiry into </w:t>
      </w:r>
      <w:r w:rsidR="00001BF2" w:rsidRPr="006C2408">
        <w:rPr>
          <w:rFonts w:cs="Arial"/>
          <w:b/>
          <w:sz w:val="22"/>
          <w:szCs w:val="22"/>
          <w:u w:val="single"/>
        </w:rPr>
        <w:t>Regul</w:t>
      </w:r>
      <w:r w:rsidR="007F421A">
        <w:rPr>
          <w:rFonts w:cs="Arial"/>
          <w:b/>
          <w:sz w:val="22"/>
          <w:szCs w:val="22"/>
          <w:u w:val="single"/>
        </w:rPr>
        <w:t>ation of Australian Agriculture</w:t>
      </w:r>
    </w:p>
    <w:p w:rsidR="003732CB" w:rsidRPr="006C2408" w:rsidRDefault="000B4E4F" w:rsidP="00A4305D">
      <w:pPr>
        <w:rPr>
          <w:rFonts w:cs="Arial"/>
          <w:sz w:val="22"/>
          <w:szCs w:val="22"/>
        </w:rPr>
      </w:pPr>
      <w:r w:rsidRPr="006C2408">
        <w:rPr>
          <w:rFonts w:cs="Arial"/>
          <w:sz w:val="22"/>
          <w:szCs w:val="22"/>
        </w:rPr>
        <w:t xml:space="preserve">Safe Work Australia leads the development of national policy to improve work health and safety </w:t>
      </w:r>
      <w:r w:rsidR="004E15DC" w:rsidRPr="006C2408">
        <w:rPr>
          <w:rFonts w:cs="Arial"/>
          <w:sz w:val="22"/>
          <w:szCs w:val="22"/>
        </w:rPr>
        <w:t xml:space="preserve">(WHS) </w:t>
      </w:r>
      <w:r w:rsidRPr="006C2408">
        <w:rPr>
          <w:rFonts w:cs="Arial"/>
          <w:sz w:val="22"/>
          <w:szCs w:val="22"/>
        </w:rPr>
        <w:t>and workers’ compensation arrangements across Austr</w:t>
      </w:r>
      <w:r w:rsidR="004E15DC" w:rsidRPr="006C2408">
        <w:rPr>
          <w:rFonts w:cs="Arial"/>
          <w:sz w:val="22"/>
          <w:szCs w:val="22"/>
        </w:rPr>
        <w:t xml:space="preserve">alia. This submission focuses </w:t>
      </w:r>
      <w:r w:rsidRPr="006C2408">
        <w:rPr>
          <w:rFonts w:cs="Arial"/>
          <w:sz w:val="22"/>
          <w:szCs w:val="22"/>
        </w:rPr>
        <w:t xml:space="preserve">on </w:t>
      </w:r>
      <w:r w:rsidR="0002797E" w:rsidRPr="006C2408">
        <w:rPr>
          <w:rFonts w:cs="Arial"/>
          <w:sz w:val="22"/>
          <w:szCs w:val="22"/>
        </w:rPr>
        <w:t>WHS</w:t>
      </w:r>
      <w:r w:rsidR="00001BF2" w:rsidRPr="006C2408">
        <w:rPr>
          <w:rFonts w:cs="Arial"/>
          <w:sz w:val="22"/>
          <w:szCs w:val="22"/>
        </w:rPr>
        <w:t xml:space="preserve"> regulation of the Australian Agriculture industry.</w:t>
      </w:r>
      <w:r w:rsidRPr="006C2408">
        <w:rPr>
          <w:rFonts w:cs="Arial"/>
          <w:sz w:val="22"/>
          <w:szCs w:val="22"/>
        </w:rPr>
        <w:t xml:space="preserve"> </w:t>
      </w:r>
    </w:p>
    <w:p w:rsidR="00001BF2" w:rsidRPr="006C2408" w:rsidRDefault="007B4099" w:rsidP="00FE30FA">
      <w:pPr>
        <w:spacing w:before="0" w:after="0"/>
        <w:rPr>
          <w:rFonts w:cs="Arial"/>
          <w:sz w:val="22"/>
          <w:szCs w:val="22"/>
        </w:rPr>
      </w:pPr>
      <w:r w:rsidRPr="006C2408">
        <w:rPr>
          <w:rFonts w:cs="Arial"/>
          <w:sz w:val="22"/>
          <w:szCs w:val="22"/>
        </w:rPr>
        <w:t xml:space="preserve">In particular this submission examines the following: </w:t>
      </w:r>
    </w:p>
    <w:p w:rsidR="005135EB" w:rsidRPr="006C2408" w:rsidRDefault="00FE30FA" w:rsidP="00FE30FA">
      <w:pPr>
        <w:pStyle w:val="ListParagraph"/>
        <w:numPr>
          <w:ilvl w:val="0"/>
          <w:numId w:val="58"/>
        </w:numPr>
        <w:spacing w:before="0" w:after="0"/>
        <w:rPr>
          <w:rFonts w:cs="Arial"/>
          <w:sz w:val="22"/>
          <w:szCs w:val="22"/>
        </w:rPr>
      </w:pPr>
      <w:r w:rsidRPr="006C2408">
        <w:rPr>
          <w:rFonts w:cs="Arial"/>
          <w:sz w:val="22"/>
          <w:szCs w:val="22"/>
        </w:rPr>
        <w:t>h</w:t>
      </w:r>
      <w:r w:rsidR="005135EB" w:rsidRPr="006C2408">
        <w:rPr>
          <w:rFonts w:cs="Arial"/>
          <w:sz w:val="22"/>
          <w:szCs w:val="22"/>
        </w:rPr>
        <w:t xml:space="preserve">armonisation of </w:t>
      </w:r>
      <w:r w:rsidR="0027522E">
        <w:rPr>
          <w:rFonts w:cs="Arial"/>
          <w:sz w:val="22"/>
          <w:szCs w:val="22"/>
        </w:rPr>
        <w:t>WHS</w:t>
      </w:r>
      <w:r w:rsidR="005135EB" w:rsidRPr="006C2408">
        <w:rPr>
          <w:rFonts w:cs="Arial"/>
          <w:sz w:val="22"/>
          <w:szCs w:val="22"/>
        </w:rPr>
        <w:t xml:space="preserve"> laws in Australia</w:t>
      </w:r>
    </w:p>
    <w:p w:rsidR="00F45FBB" w:rsidRPr="006C2408" w:rsidRDefault="00F45FBB" w:rsidP="00F45FBB">
      <w:pPr>
        <w:pStyle w:val="ListParagraph"/>
        <w:numPr>
          <w:ilvl w:val="0"/>
          <w:numId w:val="58"/>
        </w:numPr>
        <w:spacing w:before="0" w:after="0"/>
        <w:rPr>
          <w:rFonts w:cs="Arial"/>
          <w:sz w:val="22"/>
          <w:szCs w:val="22"/>
        </w:rPr>
      </w:pPr>
      <w:r w:rsidRPr="006C2408">
        <w:rPr>
          <w:rFonts w:cs="Arial"/>
          <w:sz w:val="22"/>
          <w:szCs w:val="22"/>
        </w:rPr>
        <w:t xml:space="preserve">the model </w:t>
      </w:r>
      <w:r w:rsidR="00313BCD">
        <w:rPr>
          <w:rFonts w:cs="Arial"/>
          <w:sz w:val="22"/>
          <w:szCs w:val="22"/>
        </w:rPr>
        <w:t>WHS</w:t>
      </w:r>
      <w:r w:rsidRPr="006C2408">
        <w:rPr>
          <w:rFonts w:cs="Arial"/>
          <w:sz w:val="22"/>
          <w:szCs w:val="22"/>
        </w:rPr>
        <w:t xml:space="preserve"> Act </w:t>
      </w:r>
    </w:p>
    <w:p w:rsidR="005135EB" w:rsidRPr="006C2408" w:rsidRDefault="008D2E51" w:rsidP="007B4099">
      <w:pPr>
        <w:pStyle w:val="ListParagraph"/>
        <w:numPr>
          <w:ilvl w:val="0"/>
          <w:numId w:val="58"/>
        </w:numPr>
        <w:rPr>
          <w:rFonts w:cs="Arial"/>
          <w:sz w:val="22"/>
          <w:szCs w:val="22"/>
        </w:rPr>
      </w:pPr>
      <w:r>
        <w:rPr>
          <w:rFonts w:cs="Arial"/>
          <w:sz w:val="22"/>
          <w:szCs w:val="22"/>
        </w:rPr>
        <w:t>responsive regulation – T</w:t>
      </w:r>
      <w:r w:rsidR="00FE30FA" w:rsidRPr="006C2408">
        <w:rPr>
          <w:rFonts w:cs="Arial"/>
          <w:sz w:val="22"/>
          <w:szCs w:val="22"/>
        </w:rPr>
        <w:t>he N</w:t>
      </w:r>
      <w:r w:rsidR="005135EB" w:rsidRPr="006C2408">
        <w:rPr>
          <w:rFonts w:cs="Arial"/>
          <w:sz w:val="22"/>
          <w:szCs w:val="22"/>
        </w:rPr>
        <w:t>ational Complian</w:t>
      </w:r>
      <w:bookmarkStart w:id="0" w:name="_GoBack"/>
      <w:bookmarkEnd w:id="0"/>
      <w:r w:rsidR="005135EB" w:rsidRPr="006C2408">
        <w:rPr>
          <w:rFonts w:cs="Arial"/>
          <w:sz w:val="22"/>
          <w:szCs w:val="22"/>
        </w:rPr>
        <w:t>ce and Enforcement Policy</w:t>
      </w:r>
    </w:p>
    <w:p w:rsidR="005135EB" w:rsidRPr="006C2408" w:rsidRDefault="00FE30FA" w:rsidP="007B4099">
      <w:pPr>
        <w:pStyle w:val="ListParagraph"/>
        <w:numPr>
          <w:ilvl w:val="0"/>
          <w:numId w:val="58"/>
        </w:numPr>
        <w:rPr>
          <w:rFonts w:cs="Arial"/>
          <w:sz w:val="22"/>
          <w:szCs w:val="22"/>
        </w:rPr>
      </w:pPr>
      <w:r w:rsidRPr="006C2408">
        <w:rPr>
          <w:rFonts w:cs="Arial"/>
          <w:sz w:val="22"/>
          <w:szCs w:val="22"/>
        </w:rPr>
        <w:t>r</w:t>
      </w:r>
      <w:r w:rsidR="005135EB" w:rsidRPr="006C2408">
        <w:rPr>
          <w:rFonts w:cs="Arial"/>
          <w:sz w:val="22"/>
          <w:szCs w:val="22"/>
        </w:rPr>
        <w:t xml:space="preserve">ural </w:t>
      </w:r>
      <w:r w:rsidR="00B70DB0">
        <w:rPr>
          <w:rFonts w:cs="Arial"/>
          <w:sz w:val="22"/>
          <w:szCs w:val="22"/>
        </w:rPr>
        <w:t>machinery</w:t>
      </w:r>
      <w:r w:rsidR="00B70DB0" w:rsidRPr="006C2408">
        <w:rPr>
          <w:rFonts w:cs="Arial"/>
          <w:sz w:val="22"/>
          <w:szCs w:val="22"/>
        </w:rPr>
        <w:t xml:space="preserve"> </w:t>
      </w:r>
      <w:r w:rsidR="005135EB" w:rsidRPr="006C2408">
        <w:rPr>
          <w:rFonts w:cs="Arial"/>
          <w:sz w:val="22"/>
          <w:szCs w:val="22"/>
        </w:rPr>
        <w:t>including tractors and quad bikes</w:t>
      </w:r>
      <w:r w:rsidRPr="006C2408">
        <w:rPr>
          <w:rFonts w:cs="Arial"/>
          <w:sz w:val="22"/>
          <w:szCs w:val="22"/>
        </w:rPr>
        <w:t>, and</w:t>
      </w:r>
    </w:p>
    <w:p w:rsidR="005135EB" w:rsidRPr="006C2408" w:rsidRDefault="005135EB" w:rsidP="00313BCD">
      <w:pPr>
        <w:pStyle w:val="ListParagraph"/>
        <w:numPr>
          <w:ilvl w:val="0"/>
          <w:numId w:val="58"/>
        </w:numPr>
        <w:rPr>
          <w:rFonts w:cs="Arial"/>
          <w:sz w:val="22"/>
          <w:szCs w:val="22"/>
        </w:rPr>
      </w:pPr>
      <w:r w:rsidRPr="006C2408">
        <w:rPr>
          <w:rFonts w:cs="Arial"/>
          <w:sz w:val="22"/>
          <w:szCs w:val="22"/>
        </w:rPr>
        <w:t>GHS labelling requirements for</w:t>
      </w:r>
      <w:r w:rsidR="008F6553">
        <w:rPr>
          <w:rFonts w:cs="Arial"/>
          <w:sz w:val="22"/>
          <w:szCs w:val="22"/>
        </w:rPr>
        <w:t xml:space="preserve"> </w:t>
      </w:r>
      <w:r w:rsidR="00313BCD" w:rsidRPr="00313BCD">
        <w:rPr>
          <w:rFonts w:cs="Arial"/>
          <w:sz w:val="22"/>
          <w:szCs w:val="22"/>
        </w:rPr>
        <w:t>Agricultural and Veterinary (AgVet) chemicals</w:t>
      </w:r>
      <w:r w:rsidR="00313BCD">
        <w:rPr>
          <w:rFonts w:cs="Arial"/>
          <w:sz w:val="22"/>
          <w:szCs w:val="22"/>
        </w:rPr>
        <w:t>.</w:t>
      </w:r>
    </w:p>
    <w:p w:rsidR="005D52DA" w:rsidRPr="006C2408" w:rsidRDefault="00FE30FA" w:rsidP="00FE30FA">
      <w:pPr>
        <w:rPr>
          <w:rFonts w:cs="Arial"/>
          <w:sz w:val="22"/>
          <w:szCs w:val="22"/>
        </w:rPr>
      </w:pPr>
      <w:r w:rsidRPr="006C2408">
        <w:rPr>
          <w:rFonts w:cs="Arial"/>
          <w:sz w:val="22"/>
          <w:szCs w:val="22"/>
        </w:rPr>
        <w:t xml:space="preserve">The Issues </w:t>
      </w:r>
      <w:r w:rsidR="00313BCD">
        <w:rPr>
          <w:rFonts w:cs="Arial"/>
          <w:sz w:val="22"/>
          <w:szCs w:val="22"/>
        </w:rPr>
        <w:t>P</w:t>
      </w:r>
      <w:r w:rsidRPr="006C2408">
        <w:rPr>
          <w:rFonts w:cs="Arial"/>
          <w:sz w:val="22"/>
          <w:szCs w:val="22"/>
        </w:rPr>
        <w:t xml:space="preserve">aper notes “regulation can be of benefit to the agriculture sector </w:t>
      </w:r>
      <w:r w:rsidR="007F421A">
        <w:rPr>
          <w:rFonts w:cs="Arial"/>
          <w:sz w:val="22"/>
          <w:szCs w:val="22"/>
        </w:rPr>
        <w:t xml:space="preserve">(and the community more broadly) </w:t>
      </w:r>
      <w:r w:rsidRPr="006C2408">
        <w:rPr>
          <w:rFonts w:cs="Arial"/>
          <w:sz w:val="22"/>
          <w:szCs w:val="22"/>
        </w:rPr>
        <w:t>where it meets economic, social and/or environmental objectives</w:t>
      </w:r>
      <w:r w:rsidR="00540A34">
        <w:rPr>
          <w:rFonts w:cs="Arial"/>
          <w:sz w:val="22"/>
          <w:szCs w:val="22"/>
        </w:rPr>
        <w:t xml:space="preserve"> </w:t>
      </w:r>
      <w:r w:rsidR="00540A34" w:rsidRPr="006B3FED">
        <w:rPr>
          <w:rFonts w:cs="Arial"/>
          <w:sz w:val="22"/>
          <w:szCs w:val="22"/>
        </w:rPr>
        <w:t>and is designed and implemented efficiently and effectively.</w:t>
      </w:r>
      <w:r w:rsidR="00540A34">
        <w:rPr>
          <w:rFonts w:cs="Arial"/>
          <w:sz w:val="22"/>
          <w:szCs w:val="22"/>
        </w:rPr>
        <w:t>”</w:t>
      </w:r>
      <w:r w:rsidR="00E77FEC" w:rsidRPr="006C2408">
        <w:rPr>
          <w:rFonts w:cs="Arial"/>
          <w:sz w:val="22"/>
          <w:szCs w:val="22"/>
        </w:rPr>
        <w:t xml:space="preserve"> </w:t>
      </w:r>
    </w:p>
    <w:p w:rsidR="005D52DA" w:rsidRPr="006C2408" w:rsidRDefault="005D52DA" w:rsidP="00FE30FA">
      <w:pPr>
        <w:rPr>
          <w:rFonts w:cs="Arial"/>
          <w:sz w:val="22"/>
          <w:szCs w:val="22"/>
        </w:rPr>
      </w:pPr>
      <w:r w:rsidRPr="006C2408">
        <w:rPr>
          <w:rFonts w:cs="Arial"/>
          <w:sz w:val="22"/>
          <w:szCs w:val="22"/>
        </w:rPr>
        <w:t xml:space="preserve">From a </w:t>
      </w:r>
      <w:r w:rsidR="00313BCD">
        <w:rPr>
          <w:rFonts w:cs="Arial"/>
          <w:sz w:val="22"/>
          <w:szCs w:val="22"/>
        </w:rPr>
        <w:t>WHS</w:t>
      </w:r>
      <w:r w:rsidRPr="006C2408">
        <w:rPr>
          <w:rFonts w:cs="Arial"/>
          <w:sz w:val="22"/>
          <w:szCs w:val="22"/>
        </w:rPr>
        <w:t xml:space="preserve"> p</w:t>
      </w:r>
      <w:r w:rsidR="00313BCD">
        <w:rPr>
          <w:rFonts w:cs="Arial"/>
          <w:sz w:val="22"/>
          <w:szCs w:val="22"/>
        </w:rPr>
        <w:t>erspective</w:t>
      </w:r>
      <w:r w:rsidRPr="006C2408">
        <w:rPr>
          <w:rFonts w:cs="Arial"/>
          <w:sz w:val="22"/>
          <w:szCs w:val="22"/>
        </w:rPr>
        <w:t xml:space="preserve">, agriculture is unique. While other industries share some of the hazards of farming such as plant, chemicals, noise, dust, </w:t>
      </w:r>
      <w:r w:rsidR="00BC0EE1" w:rsidRPr="006C2408">
        <w:rPr>
          <w:rFonts w:cs="Arial"/>
          <w:sz w:val="22"/>
          <w:szCs w:val="22"/>
        </w:rPr>
        <w:t>sun exposure or</w:t>
      </w:r>
      <w:r w:rsidRPr="006C2408">
        <w:rPr>
          <w:rFonts w:cs="Arial"/>
          <w:sz w:val="22"/>
          <w:szCs w:val="22"/>
        </w:rPr>
        <w:t xml:space="preserve"> working with animals, the combination of hazards found in agriculture, make it one of the most dangerous industries in which to work.</w:t>
      </w:r>
    </w:p>
    <w:p w:rsidR="00BC0EE1" w:rsidRPr="006C2408" w:rsidRDefault="00FE30FA" w:rsidP="00FE30FA">
      <w:pPr>
        <w:rPr>
          <w:rFonts w:cs="Arial"/>
          <w:sz w:val="22"/>
          <w:szCs w:val="22"/>
        </w:rPr>
      </w:pPr>
      <w:r w:rsidRPr="006C2408">
        <w:rPr>
          <w:rFonts w:cs="Arial"/>
          <w:sz w:val="22"/>
          <w:szCs w:val="22"/>
        </w:rPr>
        <w:t xml:space="preserve">Agriculture workers have the highest fatality rate in Australia and also the highest rate of serious workers’ compensation claims (see </w:t>
      </w:r>
      <w:r w:rsidRPr="006C2408">
        <w:rPr>
          <w:rFonts w:cs="Arial"/>
          <w:sz w:val="22"/>
          <w:szCs w:val="22"/>
          <w:u w:val="single"/>
        </w:rPr>
        <w:t>Appendix A</w:t>
      </w:r>
      <w:r w:rsidRPr="006C2408">
        <w:rPr>
          <w:rFonts w:cs="Arial"/>
          <w:sz w:val="22"/>
          <w:szCs w:val="22"/>
        </w:rPr>
        <w:t xml:space="preserve">). </w:t>
      </w:r>
      <w:r w:rsidR="00BC0EE1" w:rsidRPr="006C2408">
        <w:rPr>
          <w:rFonts w:cs="Arial"/>
          <w:sz w:val="22"/>
          <w:szCs w:val="22"/>
        </w:rPr>
        <w:t xml:space="preserve">Agriculture is one of seven priority industries identified under the </w:t>
      </w:r>
      <w:r w:rsidR="00BC0EE1" w:rsidRPr="006C2408">
        <w:rPr>
          <w:rFonts w:cs="Arial"/>
          <w:i/>
          <w:sz w:val="22"/>
          <w:szCs w:val="22"/>
        </w:rPr>
        <w:t>Australian Work Health and Safety Strategy 2012-2002</w:t>
      </w:r>
      <w:r w:rsidR="00BC0EE1" w:rsidRPr="006C2408">
        <w:rPr>
          <w:rFonts w:cs="Arial"/>
          <w:sz w:val="22"/>
          <w:szCs w:val="22"/>
        </w:rPr>
        <w:t xml:space="preserve"> (Australian Strategy).</w:t>
      </w:r>
      <w:r w:rsidR="005F4E4E" w:rsidRPr="006C2408">
        <w:rPr>
          <w:rFonts w:cs="Arial"/>
          <w:sz w:val="22"/>
          <w:szCs w:val="22"/>
        </w:rPr>
        <w:t>The priority industries are the focus of activities by regulators, employer and employee groups to identify the common causes of injury and fatality and to find and implement solutions.</w:t>
      </w:r>
    </w:p>
    <w:p w:rsidR="002248AF" w:rsidRPr="006C2408" w:rsidRDefault="00FE30FA" w:rsidP="00FE30FA">
      <w:pPr>
        <w:rPr>
          <w:rFonts w:cs="Arial"/>
          <w:sz w:val="22"/>
          <w:szCs w:val="22"/>
        </w:rPr>
      </w:pPr>
      <w:r w:rsidRPr="006C2408">
        <w:rPr>
          <w:rFonts w:cs="Arial"/>
          <w:sz w:val="22"/>
          <w:szCs w:val="22"/>
        </w:rPr>
        <w:t xml:space="preserve">Safe Work Australia estimates that in 2012–13 the cost of work-related injuries and fatalities </w:t>
      </w:r>
      <w:r w:rsidR="002248AF" w:rsidRPr="006C2408">
        <w:rPr>
          <w:rFonts w:cs="Arial"/>
          <w:sz w:val="22"/>
          <w:szCs w:val="22"/>
        </w:rPr>
        <w:t xml:space="preserve">in </w:t>
      </w:r>
      <w:r w:rsidR="008D55C3" w:rsidRPr="006C2408">
        <w:rPr>
          <w:rFonts w:cs="Arial"/>
          <w:sz w:val="22"/>
          <w:szCs w:val="22"/>
        </w:rPr>
        <w:t xml:space="preserve">the </w:t>
      </w:r>
      <w:r w:rsidR="002248AF" w:rsidRPr="006C2408">
        <w:rPr>
          <w:rFonts w:cs="Arial"/>
          <w:sz w:val="22"/>
          <w:szCs w:val="22"/>
        </w:rPr>
        <w:t xml:space="preserve">Agriculture </w:t>
      </w:r>
      <w:r w:rsidR="008D55C3" w:rsidRPr="006C2408">
        <w:rPr>
          <w:rFonts w:cs="Arial"/>
          <w:sz w:val="22"/>
          <w:szCs w:val="22"/>
        </w:rPr>
        <w:t xml:space="preserve">industry </w:t>
      </w:r>
      <w:r w:rsidRPr="006C2408">
        <w:rPr>
          <w:rFonts w:cs="Arial"/>
          <w:sz w:val="22"/>
          <w:szCs w:val="22"/>
        </w:rPr>
        <w:t>to the Australian economy was $2.35 billion</w:t>
      </w:r>
      <w:r w:rsidRPr="006C2408">
        <w:rPr>
          <w:rStyle w:val="EndnoteReference"/>
          <w:rFonts w:cs="Arial"/>
          <w:sz w:val="22"/>
          <w:szCs w:val="22"/>
        </w:rPr>
        <w:endnoteReference w:id="1"/>
      </w:r>
      <w:r w:rsidRPr="006C2408">
        <w:rPr>
          <w:rFonts w:cs="Arial"/>
          <w:sz w:val="22"/>
          <w:szCs w:val="22"/>
        </w:rPr>
        <w:t xml:space="preserve">. </w:t>
      </w:r>
    </w:p>
    <w:p w:rsidR="006C2408" w:rsidRPr="006C2408" w:rsidRDefault="002248AF" w:rsidP="006C2408">
      <w:pPr>
        <w:spacing w:before="0" w:after="0"/>
        <w:rPr>
          <w:b/>
          <w:bCs/>
          <w:sz w:val="22"/>
          <w:szCs w:val="22"/>
        </w:rPr>
      </w:pPr>
      <w:r w:rsidRPr="006C2408">
        <w:rPr>
          <w:rFonts w:cs="Arial"/>
          <w:sz w:val="22"/>
          <w:szCs w:val="22"/>
        </w:rPr>
        <w:t xml:space="preserve">The health and safety regulation of </w:t>
      </w:r>
      <w:r w:rsidR="005C3812" w:rsidRPr="006C2408">
        <w:rPr>
          <w:rFonts w:cs="Arial"/>
          <w:sz w:val="22"/>
          <w:szCs w:val="22"/>
        </w:rPr>
        <w:t>the a</w:t>
      </w:r>
      <w:r w:rsidRPr="006C2408">
        <w:rPr>
          <w:rFonts w:cs="Arial"/>
          <w:sz w:val="22"/>
          <w:szCs w:val="22"/>
        </w:rPr>
        <w:t xml:space="preserve">griculture industry is commensurate with the level of risk in the industry. There are clear economic and social benefits for Australia in </w:t>
      </w:r>
      <w:r w:rsidR="008D55C3" w:rsidRPr="006C2408">
        <w:rPr>
          <w:rFonts w:cs="Arial"/>
          <w:sz w:val="22"/>
          <w:szCs w:val="22"/>
        </w:rPr>
        <w:t>impr</w:t>
      </w:r>
      <w:r w:rsidR="005C3812" w:rsidRPr="006C2408">
        <w:rPr>
          <w:rFonts w:cs="Arial"/>
          <w:sz w:val="22"/>
          <w:szCs w:val="22"/>
        </w:rPr>
        <w:t>oving the safety of agriculture</w:t>
      </w:r>
      <w:r w:rsidR="008D55C3" w:rsidRPr="006C2408">
        <w:rPr>
          <w:rFonts w:cs="Arial"/>
          <w:sz w:val="22"/>
          <w:szCs w:val="22"/>
        </w:rPr>
        <w:t xml:space="preserve"> workers</w:t>
      </w:r>
      <w:r w:rsidR="005C3812" w:rsidRPr="006C2408">
        <w:rPr>
          <w:rFonts w:cs="Arial"/>
          <w:sz w:val="22"/>
          <w:szCs w:val="22"/>
        </w:rPr>
        <w:t xml:space="preserve"> (both employees and self-employed)</w:t>
      </w:r>
      <w:r w:rsidR="008D55C3" w:rsidRPr="006C2408">
        <w:rPr>
          <w:rFonts w:cs="Arial"/>
          <w:sz w:val="22"/>
          <w:szCs w:val="22"/>
        </w:rPr>
        <w:t xml:space="preserve"> through regulation and </w:t>
      </w:r>
      <w:r w:rsidR="00BC0EE1" w:rsidRPr="006C2408">
        <w:rPr>
          <w:rFonts w:cs="Arial"/>
          <w:sz w:val="22"/>
          <w:szCs w:val="22"/>
        </w:rPr>
        <w:t>consistent and proportional compliance and enforcement activities</w:t>
      </w:r>
      <w:r w:rsidR="005F4E4E" w:rsidRPr="006C2408">
        <w:rPr>
          <w:rFonts w:cs="Arial"/>
          <w:sz w:val="22"/>
          <w:szCs w:val="22"/>
        </w:rPr>
        <w:t xml:space="preserve"> as well as through other initiatives such as those identified under the Australian Strategy.</w:t>
      </w:r>
      <w:r w:rsidR="00BC0EE1" w:rsidRPr="006C2408">
        <w:rPr>
          <w:rFonts w:cs="Arial"/>
          <w:sz w:val="22"/>
          <w:szCs w:val="22"/>
        </w:rPr>
        <w:t xml:space="preserve"> </w:t>
      </w:r>
    </w:p>
    <w:p w:rsidR="0027522E" w:rsidRDefault="0027522E" w:rsidP="006C2408">
      <w:pPr>
        <w:spacing w:before="0" w:after="0"/>
        <w:rPr>
          <w:b/>
          <w:bCs/>
          <w:sz w:val="22"/>
          <w:szCs w:val="22"/>
        </w:rPr>
      </w:pPr>
    </w:p>
    <w:p w:rsidR="006C2408" w:rsidRDefault="008D2E51" w:rsidP="006C2408">
      <w:pPr>
        <w:spacing w:before="0" w:after="0"/>
        <w:rPr>
          <w:b/>
          <w:bCs/>
          <w:sz w:val="22"/>
          <w:szCs w:val="22"/>
        </w:rPr>
      </w:pPr>
      <w:r>
        <w:rPr>
          <w:b/>
          <w:bCs/>
          <w:sz w:val="22"/>
          <w:szCs w:val="22"/>
        </w:rPr>
        <w:t>Harmonisation of WHS laws in Australia</w:t>
      </w:r>
    </w:p>
    <w:p w:rsidR="0027522E" w:rsidRPr="006C2408" w:rsidRDefault="0027522E" w:rsidP="006C2408">
      <w:pPr>
        <w:spacing w:before="0" w:after="0"/>
        <w:rPr>
          <w:b/>
          <w:bCs/>
          <w:sz w:val="22"/>
          <w:szCs w:val="22"/>
        </w:rPr>
      </w:pPr>
    </w:p>
    <w:p w:rsidR="006C2408" w:rsidRPr="0027522E" w:rsidRDefault="006C2408" w:rsidP="0027522E">
      <w:pPr>
        <w:spacing w:before="0" w:after="0"/>
        <w:rPr>
          <w:sz w:val="22"/>
          <w:szCs w:val="22"/>
        </w:rPr>
      </w:pPr>
      <w:r w:rsidRPr="0027522E">
        <w:rPr>
          <w:sz w:val="22"/>
          <w:szCs w:val="22"/>
        </w:rPr>
        <w:t xml:space="preserve">In July 2008, the Council of Australian Governments signed the </w:t>
      </w:r>
      <w:r w:rsidRPr="0027522E">
        <w:rPr>
          <w:i/>
          <w:iCs/>
          <w:sz w:val="22"/>
          <w:szCs w:val="22"/>
        </w:rPr>
        <w:t>Intergovernmental Agreement for Regulatory and Operational Reform in Occupational Health and Safety</w:t>
      </w:r>
      <w:r w:rsidRPr="0027522E">
        <w:rPr>
          <w:sz w:val="22"/>
          <w:szCs w:val="22"/>
        </w:rPr>
        <w:t xml:space="preserve">, which included a commitment that the Commonwealth, state and territory governments would harmonise WHS legislation by 1 January 2012 to improve </w:t>
      </w:r>
      <w:r w:rsidR="0027522E">
        <w:rPr>
          <w:sz w:val="22"/>
          <w:szCs w:val="22"/>
        </w:rPr>
        <w:t>WHS</w:t>
      </w:r>
      <w:r w:rsidRPr="0027522E">
        <w:rPr>
          <w:sz w:val="22"/>
          <w:szCs w:val="22"/>
        </w:rPr>
        <w:t xml:space="preserve">, provide consistent protection for Australian workers and reduce regulatory burden. </w:t>
      </w:r>
    </w:p>
    <w:p w:rsidR="0027522E" w:rsidRPr="006C2408" w:rsidRDefault="0027522E" w:rsidP="0027522E">
      <w:pPr>
        <w:pStyle w:val="ListParagraph"/>
        <w:spacing w:before="0" w:after="0"/>
        <w:ind w:left="360"/>
        <w:contextualSpacing w:val="0"/>
        <w:rPr>
          <w:sz w:val="22"/>
          <w:szCs w:val="22"/>
        </w:rPr>
      </w:pPr>
    </w:p>
    <w:p w:rsidR="006C2408" w:rsidRPr="006C2408" w:rsidRDefault="006C2408" w:rsidP="0027522E">
      <w:pPr>
        <w:spacing w:before="0" w:after="0"/>
        <w:rPr>
          <w:sz w:val="22"/>
          <w:szCs w:val="22"/>
        </w:rPr>
      </w:pPr>
      <w:r w:rsidRPr="006C2408">
        <w:rPr>
          <w:sz w:val="22"/>
          <w:szCs w:val="22"/>
        </w:rPr>
        <w:t>Seven of the nine Australian jurisdictions had adopted the model WHS laws by 1 January 2013. Queensland, South Australia and the Australian Capital Territory have made a number of substantive amendments to their WHS laws however core provisions remain the same in all of the jurisdictions that have adopted the model WHS laws.</w:t>
      </w:r>
    </w:p>
    <w:p w:rsidR="0027522E" w:rsidRDefault="0027522E" w:rsidP="0027522E">
      <w:pPr>
        <w:spacing w:before="0" w:after="0"/>
        <w:ind w:left="360"/>
        <w:rPr>
          <w:sz w:val="22"/>
          <w:szCs w:val="22"/>
        </w:rPr>
      </w:pPr>
    </w:p>
    <w:p w:rsidR="006C2408" w:rsidRDefault="006C2408" w:rsidP="0027522E">
      <w:pPr>
        <w:spacing w:before="0" w:after="0"/>
        <w:rPr>
          <w:sz w:val="22"/>
          <w:szCs w:val="22"/>
        </w:rPr>
      </w:pPr>
      <w:r w:rsidRPr="006C2408">
        <w:rPr>
          <w:sz w:val="22"/>
          <w:szCs w:val="22"/>
        </w:rPr>
        <w:t xml:space="preserve">Victoria and Western Australia have not yet adopted the model WHS laws. Western Australia is developing legislation which would adopt </w:t>
      </w:r>
      <w:r w:rsidR="00C835E7">
        <w:rPr>
          <w:sz w:val="22"/>
          <w:szCs w:val="22"/>
        </w:rPr>
        <w:t xml:space="preserve">key provisions of </w:t>
      </w:r>
      <w:r w:rsidRPr="006C2408">
        <w:rPr>
          <w:sz w:val="22"/>
          <w:szCs w:val="22"/>
        </w:rPr>
        <w:t>the model WHS laws. The Western Australia Government tabled the Work Health and Safety Bill 2014</w:t>
      </w:r>
      <w:r w:rsidRPr="006C2408">
        <w:rPr>
          <w:i/>
          <w:iCs/>
          <w:sz w:val="22"/>
          <w:szCs w:val="22"/>
        </w:rPr>
        <w:t xml:space="preserve"> </w:t>
      </w:r>
      <w:r w:rsidRPr="006C2408">
        <w:rPr>
          <w:sz w:val="22"/>
          <w:szCs w:val="22"/>
        </w:rPr>
        <w:t xml:space="preserve">on 23 October 2014 for a </w:t>
      </w:r>
      <w:r w:rsidRPr="006C2408">
        <w:rPr>
          <w:sz w:val="22"/>
          <w:szCs w:val="22"/>
        </w:rPr>
        <w:lastRenderedPageBreak/>
        <w:t>three-month public comment period. Public consultation closed on 30 January 2015 and the Western Australia Government is now considering its position.</w:t>
      </w:r>
    </w:p>
    <w:p w:rsidR="008D2E51" w:rsidRDefault="008D2E51" w:rsidP="008D2E51">
      <w:pPr>
        <w:spacing w:before="0" w:after="0"/>
        <w:ind w:left="360"/>
        <w:rPr>
          <w:sz w:val="22"/>
          <w:szCs w:val="22"/>
        </w:rPr>
      </w:pPr>
    </w:p>
    <w:p w:rsidR="00F45FBB" w:rsidRDefault="00F45FBB" w:rsidP="00F45FBB">
      <w:pPr>
        <w:spacing w:before="0" w:after="0"/>
        <w:rPr>
          <w:rFonts w:cs="Arial"/>
          <w:b/>
          <w:sz w:val="22"/>
          <w:szCs w:val="22"/>
        </w:rPr>
      </w:pPr>
      <w:r w:rsidRPr="006C2408">
        <w:rPr>
          <w:rFonts w:cs="Arial"/>
          <w:b/>
          <w:sz w:val="22"/>
          <w:szCs w:val="22"/>
        </w:rPr>
        <w:t xml:space="preserve">The model </w:t>
      </w:r>
      <w:r w:rsidR="00313BCD">
        <w:rPr>
          <w:rFonts w:cs="Arial"/>
          <w:b/>
          <w:sz w:val="22"/>
          <w:szCs w:val="22"/>
        </w:rPr>
        <w:t>WHS</w:t>
      </w:r>
      <w:r w:rsidRPr="006C2408">
        <w:rPr>
          <w:rFonts w:cs="Arial"/>
          <w:b/>
          <w:sz w:val="22"/>
          <w:szCs w:val="22"/>
        </w:rPr>
        <w:t xml:space="preserve"> </w:t>
      </w:r>
      <w:r>
        <w:rPr>
          <w:rFonts w:cs="Arial"/>
          <w:b/>
          <w:sz w:val="22"/>
          <w:szCs w:val="22"/>
        </w:rPr>
        <w:t>laws</w:t>
      </w:r>
    </w:p>
    <w:p w:rsidR="00F45FBB" w:rsidRDefault="00F45FBB" w:rsidP="00F45FBB">
      <w:pPr>
        <w:spacing w:before="0" w:after="0"/>
        <w:rPr>
          <w:sz w:val="22"/>
          <w:szCs w:val="22"/>
        </w:rPr>
      </w:pPr>
    </w:p>
    <w:p w:rsidR="00F45FBB" w:rsidRDefault="00F45FBB" w:rsidP="00F45FBB">
      <w:pPr>
        <w:spacing w:before="0" w:after="0"/>
        <w:rPr>
          <w:sz w:val="22"/>
          <w:szCs w:val="22"/>
        </w:rPr>
      </w:pPr>
      <w:r w:rsidRPr="006C2408">
        <w:rPr>
          <w:sz w:val="22"/>
          <w:szCs w:val="22"/>
        </w:rPr>
        <w:t>The model WHS laws have a three-tiered approach of a principal Act supported by Regulations and codes of practice. The model WHS Act contains broad ‘general duties’, based on the common law duty of care, and allows duty holders to determine, in consultation with workers, how they will comply with the general duties. The outcome-based duties are accompanied by detailed requirements in the model WHS Regulations setting out how to meet obligations in specific areas where there are significant risks to health and safety, such as major hazard facilities, construction work, and hazardous chemicals. Non-mandatory codes of practice provide further practical guidance on how to meet the requirements in the model Act and Regulations.</w:t>
      </w:r>
    </w:p>
    <w:p w:rsidR="008F6553" w:rsidRDefault="008F6553" w:rsidP="00F45FBB">
      <w:pPr>
        <w:spacing w:before="0" w:after="0"/>
        <w:rPr>
          <w:color w:val="1F497D"/>
        </w:rPr>
      </w:pPr>
    </w:p>
    <w:p w:rsidR="00C5051D" w:rsidRPr="006C2408" w:rsidRDefault="00C5051D" w:rsidP="00F45FBB">
      <w:pPr>
        <w:spacing w:before="0" w:after="0"/>
        <w:rPr>
          <w:sz w:val="22"/>
          <w:szCs w:val="22"/>
        </w:rPr>
      </w:pPr>
      <w:r w:rsidRPr="008F6553">
        <w:rPr>
          <w:sz w:val="22"/>
          <w:szCs w:val="22"/>
        </w:rPr>
        <w:t>Unlike other high risk industries such as construction, there are no specific regulations under the model WHS laws targeted at agriculture, therefore farming businesses are subject to the same WHS requirements as other workplaces.</w:t>
      </w:r>
    </w:p>
    <w:p w:rsidR="00F45FBB" w:rsidRPr="006C2408" w:rsidRDefault="00F45FBB" w:rsidP="00F45FBB">
      <w:pPr>
        <w:spacing w:before="0" w:after="0"/>
        <w:rPr>
          <w:sz w:val="22"/>
          <w:szCs w:val="22"/>
        </w:rPr>
      </w:pPr>
    </w:p>
    <w:p w:rsidR="006C2408" w:rsidRDefault="006C2408" w:rsidP="006C2408">
      <w:pPr>
        <w:spacing w:before="0" w:after="0"/>
        <w:rPr>
          <w:b/>
          <w:bCs/>
          <w:sz w:val="22"/>
          <w:szCs w:val="22"/>
        </w:rPr>
      </w:pPr>
      <w:r w:rsidRPr="006C2408">
        <w:rPr>
          <w:b/>
          <w:bCs/>
          <w:sz w:val="22"/>
          <w:szCs w:val="22"/>
        </w:rPr>
        <w:t>Responsive</w:t>
      </w:r>
      <w:r w:rsidR="008F6553">
        <w:rPr>
          <w:b/>
          <w:bCs/>
          <w:sz w:val="22"/>
          <w:szCs w:val="22"/>
        </w:rPr>
        <w:t xml:space="preserve"> </w:t>
      </w:r>
      <w:r w:rsidRPr="006C2408">
        <w:rPr>
          <w:b/>
          <w:bCs/>
          <w:sz w:val="22"/>
          <w:szCs w:val="22"/>
        </w:rPr>
        <w:t xml:space="preserve">regulation – </w:t>
      </w:r>
      <w:r w:rsidR="008D2E51">
        <w:rPr>
          <w:b/>
          <w:bCs/>
          <w:sz w:val="22"/>
          <w:szCs w:val="22"/>
        </w:rPr>
        <w:t>The N</w:t>
      </w:r>
      <w:r w:rsidRPr="006C2408">
        <w:rPr>
          <w:b/>
          <w:bCs/>
          <w:sz w:val="22"/>
          <w:szCs w:val="22"/>
        </w:rPr>
        <w:t xml:space="preserve">ational </w:t>
      </w:r>
      <w:r w:rsidR="008D2E51">
        <w:rPr>
          <w:b/>
          <w:bCs/>
          <w:sz w:val="22"/>
          <w:szCs w:val="22"/>
        </w:rPr>
        <w:t>C</w:t>
      </w:r>
      <w:r w:rsidRPr="006C2408">
        <w:rPr>
          <w:b/>
          <w:bCs/>
          <w:sz w:val="22"/>
          <w:szCs w:val="22"/>
        </w:rPr>
        <w:t xml:space="preserve">ompliance and </w:t>
      </w:r>
      <w:r w:rsidR="008D2E51">
        <w:rPr>
          <w:b/>
          <w:bCs/>
          <w:sz w:val="22"/>
          <w:szCs w:val="22"/>
        </w:rPr>
        <w:t>E</w:t>
      </w:r>
      <w:r w:rsidRPr="006C2408">
        <w:rPr>
          <w:b/>
          <w:bCs/>
          <w:sz w:val="22"/>
          <w:szCs w:val="22"/>
        </w:rPr>
        <w:t xml:space="preserve">nforcement </w:t>
      </w:r>
      <w:r w:rsidR="008D2E51">
        <w:rPr>
          <w:b/>
          <w:bCs/>
          <w:sz w:val="22"/>
          <w:szCs w:val="22"/>
        </w:rPr>
        <w:t>P</w:t>
      </w:r>
      <w:r w:rsidRPr="006C2408">
        <w:rPr>
          <w:b/>
          <w:bCs/>
          <w:sz w:val="22"/>
          <w:szCs w:val="22"/>
        </w:rPr>
        <w:t>olicy</w:t>
      </w:r>
    </w:p>
    <w:p w:rsidR="008D2E51" w:rsidRPr="006C2408" w:rsidRDefault="008D2E51" w:rsidP="006C2408">
      <w:pPr>
        <w:spacing w:before="0" w:after="0"/>
        <w:rPr>
          <w:b/>
          <w:bCs/>
          <w:sz w:val="22"/>
          <w:szCs w:val="22"/>
        </w:rPr>
      </w:pPr>
    </w:p>
    <w:p w:rsidR="006C2408" w:rsidRDefault="006C2408" w:rsidP="0027522E">
      <w:pPr>
        <w:spacing w:before="0" w:after="0"/>
        <w:rPr>
          <w:sz w:val="22"/>
          <w:szCs w:val="22"/>
        </w:rPr>
      </w:pPr>
      <w:r w:rsidRPr="006C2408">
        <w:rPr>
          <w:sz w:val="22"/>
          <w:szCs w:val="22"/>
        </w:rPr>
        <w:t xml:space="preserve">To fully realise the benefits of harmonised </w:t>
      </w:r>
      <w:r w:rsidR="008D2E51">
        <w:rPr>
          <w:sz w:val="22"/>
          <w:szCs w:val="22"/>
        </w:rPr>
        <w:t>WHS</w:t>
      </w:r>
      <w:r w:rsidRPr="006C2408">
        <w:rPr>
          <w:sz w:val="22"/>
          <w:szCs w:val="22"/>
        </w:rPr>
        <w:t xml:space="preserve"> laws, the Commonwealth, state and territory governments recognised the need for laws to be complemented by a nationally consistent approach to compliance and enforcement. </w:t>
      </w:r>
    </w:p>
    <w:p w:rsidR="0027522E" w:rsidRPr="006C2408" w:rsidRDefault="0027522E" w:rsidP="0027522E">
      <w:pPr>
        <w:spacing w:before="0" w:after="0"/>
        <w:rPr>
          <w:sz w:val="22"/>
          <w:szCs w:val="22"/>
        </w:rPr>
      </w:pPr>
    </w:p>
    <w:p w:rsidR="006C2408" w:rsidRPr="006C2408" w:rsidRDefault="006C2408" w:rsidP="0027522E">
      <w:pPr>
        <w:spacing w:before="0" w:after="0"/>
        <w:rPr>
          <w:sz w:val="22"/>
          <w:szCs w:val="22"/>
        </w:rPr>
      </w:pPr>
      <w:r w:rsidRPr="006C2408">
        <w:rPr>
          <w:sz w:val="22"/>
          <w:szCs w:val="22"/>
        </w:rPr>
        <w:t xml:space="preserve">The </w:t>
      </w:r>
      <w:hyperlink r:id="rId9" w:history="1">
        <w:r w:rsidRPr="006C2408">
          <w:rPr>
            <w:rStyle w:val="Hyperlink"/>
            <w:sz w:val="22"/>
            <w:szCs w:val="22"/>
          </w:rPr>
          <w:t>National Compliance and Enforcement Policy</w:t>
        </w:r>
      </w:hyperlink>
      <w:r w:rsidRPr="006C2408">
        <w:rPr>
          <w:sz w:val="22"/>
          <w:szCs w:val="22"/>
        </w:rPr>
        <w:t xml:space="preserve"> </w:t>
      </w:r>
      <w:r w:rsidR="004C264F">
        <w:rPr>
          <w:sz w:val="22"/>
          <w:szCs w:val="22"/>
        </w:rPr>
        <w:t>(</w:t>
      </w:r>
      <w:hyperlink r:id="rId10" w:history="1">
        <w:r w:rsidR="004C264F" w:rsidRPr="00450B59">
          <w:rPr>
            <w:rStyle w:val="Hyperlink"/>
            <w:sz w:val="22"/>
            <w:szCs w:val="22"/>
          </w:rPr>
          <w:t>http://www.safeworkaustralia.gov.au/sites/swa/about/publications/pages/national-compliance-enforcement-policy</w:t>
        </w:r>
      </w:hyperlink>
      <w:r w:rsidR="004C264F">
        <w:rPr>
          <w:sz w:val="22"/>
          <w:szCs w:val="22"/>
        </w:rPr>
        <w:t xml:space="preserve">) </w:t>
      </w:r>
      <w:r w:rsidRPr="006C2408">
        <w:rPr>
          <w:sz w:val="22"/>
          <w:szCs w:val="22"/>
        </w:rPr>
        <w:t xml:space="preserve">was collaboratively developed by the Heads of Workplace Safety Authorities and endorsed by the Workplace Relations Ministers’ Council in July 2011. This policy sets out the approach </w:t>
      </w:r>
      <w:r w:rsidR="0027522E">
        <w:rPr>
          <w:sz w:val="22"/>
          <w:szCs w:val="22"/>
        </w:rPr>
        <w:t xml:space="preserve">WHS </w:t>
      </w:r>
      <w:r w:rsidRPr="006C2408">
        <w:rPr>
          <w:sz w:val="22"/>
          <w:szCs w:val="22"/>
        </w:rPr>
        <w:t>regulators will take to monitoring and enforcing compliance under the model WHS Act and Regulations.</w:t>
      </w:r>
    </w:p>
    <w:p w:rsidR="0027522E" w:rsidRDefault="0027522E" w:rsidP="0027522E">
      <w:pPr>
        <w:spacing w:before="0" w:after="0"/>
        <w:ind w:left="360"/>
        <w:rPr>
          <w:sz w:val="22"/>
          <w:szCs w:val="22"/>
        </w:rPr>
      </w:pPr>
    </w:p>
    <w:p w:rsidR="006C2408" w:rsidRPr="006C2408" w:rsidRDefault="006C2408" w:rsidP="0027522E">
      <w:pPr>
        <w:spacing w:before="0" w:after="0"/>
        <w:rPr>
          <w:sz w:val="22"/>
          <w:szCs w:val="22"/>
        </w:rPr>
      </w:pPr>
      <w:r w:rsidRPr="006C2408">
        <w:rPr>
          <w:sz w:val="22"/>
          <w:szCs w:val="22"/>
        </w:rPr>
        <w:t>It is a high level, principle-based document that reflects the functions and powers of the regulators as established under the model WHS legislation. In addition, WHS regulators developed common principles, frameworks, operational protocols and procedures to support the administration and enforcement of the model WHS legislation.</w:t>
      </w:r>
    </w:p>
    <w:p w:rsidR="006C2408" w:rsidRPr="006C2408" w:rsidRDefault="006C2408" w:rsidP="006C2408">
      <w:pPr>
        <w:spacing w:before="0" w:after="0"/>
        <w:rPr>
          <w:rFonts w:cs="Arial"/>
          <w:sz w:val="22"/>
          <w:szCs w:val="22"/>
          <w:highlight w:val="yellow"/>
        </w:rPr>
      </w:pPr>
    </w:p>
    <w:p w:rsidR="002D54A2" w:rsidRPr="006C2408" w:rsidRDefault="002D54A2" w:rsidP="002D54A2">
      <w:pPr>
        <w:spacing w:before="0" w:after="0"/>
        <w:rPr>
          <w:rFonts w:cs="Arial"/>
          <w:b/>
          <w:sz w:val="22"/>
          <w:szCs w:val="22"/>
        </w:rPr>
      </w:pPr>
      <w:r w:rsidRPr="006C2408">
        <w:rPr>
          <w:rFonts w:cs="Arial"/>
          <w:b/>
          <w:sz w:val="22"/>
          <w:szCs w:val="22"/>
        </w:rPr>
        <w:t xml:space="preserve">Rural </w:t>
      </w:r>
      <w:r w:rsidR="00C835E7">
        <w:rPr>
          <w:rFonts w:cs="Arial"/>
          <w:b/>
          <w:sz w:val="22"/>
          <w:szCs w:val="22"/>
        </w:rPr>
        <w:t xml:space="preserve">machinery </w:t>
      </w:r>
      <w:r w:rsidRPr="006C2408">
        <w:rPr>
          <w:rFonts w:cs="Arial"/>
          <w:b/>
          <w:sz w:val="22"/>
          <w:szCs w:val="22"/>
        </w:rPr>
        <w:t>including tractors and quad bikes</w:t>
      </w:r>
    </w:p>
    <w:p w:rsidR="008D55C3" w:rsidRPr="006C2408" w:rsidRDefault="008D55C3" w:rsidP="002D54A2">
      <w:pPr>
        <w:spacing w:before="0" w:after="0"/>
        <w:rPr>
          <w:rFonts w:cs="Arial"/>
          <w:sz w:val="22"/>
          <w:szCs w:val="22"/>
        </w:rPr>
      </w:pPr>
    </w:p>
    <w:p w:rsidR="002D54A2" w:rsidRPr="006C2408" w:rsidRDefault="002D54A2" w:rsidP="002D54A2">
      <w:pPr>
        <w:spacing w:before="0" w:after="0"/>
        <w:rPr>
          <w:rFonts w:cs="Arial"/>
          <w:sz w:val="22"/>
          <w:szCs w:val="22"/>
        </w:rPr>
      </w:pPr>
      <w:r w:rsidRPr="006C2408">
        <w:rPr>
          <w:rFonts w:cs="Arial"/>
          <w:sz w:val="22"/>
          <w:szCs w:val="22"/>
        </w:rPr>
        <w:t xml:space="preserve">In 2015, Queensland and NSW held coronial inquests into quad bike related deaths. The coronial inquests made a number of recommendations </w:t>
      </w:r>
      <w:r w:rsidR="00C835E7">
        <w:rPr>
          <w:rFonts w:cs="Arial"/>
          <w:sz w:val="22"/>
          <w:szCs w:val="22"/>
        </w:rPr>
        <w:t>that include</w:t>
      </w:r>
      <w:r w:rsidRPr="006C2408">
        <w:rPr>
          <w:rFonts w:cs="Arial"/>
          <w:sz w:val="22"/>
          <w:szCs w:val="22"/>
        </w:rPr>
        <w:t xml:space="preserve"> developing a quad bike safety rating system and Australian Standards for quad bikes and helmets, </w:t>
      </w:r>
      <w:r w:rsidR="00C835E7">
        <w:rPr>
          <w:rFonts w:cs="Arial"/>
          <w:sz w:val="22"/>
          <w:szCs w:val="22"/>
        </w:rPr>
        <w:t xml:space="preserve">banning children from riding adult size quad bikes, </w:t>
      </w:r>
      <w:r w:rsidRPr="006C2408">
        <w:rPr>
          <w:rFonts w:cs="Arial"/>
          <w:sz w:val="22"/>
          <w:szCs w:val="22"/>
        </w:rPr>
        <w:t>improving training and educational campaigns.</w:t>
      </w:r>
    </w:p>
    <w:p w:rsidR="002D54A2" w:rsidRPr="006C2408" w:rsidRDefault="002D54A2" w:rsidP="002D54A2">
      <w:pPr>
        <w:spacing w:before="0" w:after="0"/>
        <w:rPr>
          <w:rFonts w:cs="Arial"/>
          <w:sz w:val="22"/>
          <w:szCs w:val="22"/>
        </w:rPr>
      </w:pPr>
    </w:p>
    <w:p w:rsidR="002D54A2" w:rsidRPr="006C2408" w:rsidRDefault="002D54A2" w:rsidP="002D54A2">
      <w:pPr>
        <w:spacing w:before="0" w:after="0"/>
        <w:rPr>
          <w:rFonts w:cs="Arial"/>
          <w:sz w:val="22"/>
          <w:szCs w:val="22"/>
        </w:rPr>
      </w:pPr>
      <w:r w:rsidRPr="006C2408">
        <w:rPr>
          <w:rFonts w:cs="Arial"/>
          <w:sz w:val="22"/>
          <w:szCs w:val="22"/>
        </w:rPr>
        <w:t>Safe Work Australia is working to improve the safe</w:t>
      </w:r>
      <w:r w:rsidR="00C835E7">
        <w:rPr>
          <w:rFonts w:cs="Arial"/>
          <w:sz w:val="22"/>
          <w:szCs w:val="22"/>
        </w:rPr>
        <w:t xml:space="preserve"> use</w:t>
      </w:r>
      <w:r w:rsidRPr="006C2408">
        <w:rPr>
          <w:rFonts w:cs="Arial"/>
          <w:sz w:val="22"/>
          <w:szCs w:val="22"/>
        </w:rPr>
        <w:t xml:space="preserve"> of tractors, quad bikes and other types of vehicles used in rural workplaces. Safe Work Australia recently published national guidance material on </w:t>
      </w:r>
      <w:r w:rsidRPr="006C2408">
        <w:rPr>
          <w:rFonts w:cs="Arial"/>
          <w:i/>
          <w:iCs/>
          <w:sz w:val="22"/>
          <w:szCs w:val="22"/>
        </w:rPr>
        <w:t>Managing the risks of machinery in rural workplaces</w:t>
      </w:r>
      <w:r w:rsidR="00141689" w:rsidRPr="006C2408">
        <w:rPr>
          <w:rStyle w:val="EndnoteReference"/>
          <w:rFonts w:cs="Arial"/>
          <w:i/>
          <w:iCs/>
          <w:sz w:val="22"/>
          <w:szCs w:val="22"/>
        </w:rPr>
        <w:endnoteReference w:id="2"/>
      </w:r>
      <w:r w:rsidRPr="006C2408">
        <w:rPr>
          <w:rFonts w:cs="Arial"/>
          <w:i/>
          <w:iCs/>
          <w:sz w:val="22"/>
          <w:szCs w:val="22"/>
        </w:rPr>
        <w:t xml:space="preserve"> </w:t>
      </w:r>
      <w:r w:rsidRPr="006C2408">
        <w:rPr>
          <w:rFonts w:cs="Arial"/>
          <w:sz w:val="22"/>
          <w:szCs w:val="22"/>
        </w:rPr>
        <w:t xml:space="preserve">and </w:t>
      </w:r>
      <w:r w:rsidRPr="006C2408">
        <w:rPr>
          <w:rFonts w:cs="Arial"/>
          <w:i/>
          <w:iCs/>
          <w:sz w:val="22"/>
          <w:szCs w:val="22"/>
        </w:rPr>
        <w:t>Quad bikes in rural workplaces</w:t>
      </w:r>
      <w:r w:rsidR="00141689" w:rsidRPr="006C2408">
        <w:rPr>
          <w:rStyle w:val="EndnoteReference"/>
          <w:rFonts w:cs="Arial"/>
          <w:i/>
          <w:iCs/>
          <w:sz w:val="22"/>
          <w:szCs w:val="22"/>
        </w:rPr>
        <w:endnoteReference w:id="3"/>
      </w:r>
      <w:r w:rsidR="008D55C3" w:rsidRPr="006C2408">
        <w:rPr>
          <w:rFonts w:cs="Arial"/>
          <w:sz w:val="22"/>
          <w:szCs w:val="22"/>
        </w:rPr>
        <w:t xml:space="preserve"> which provide</w:t>
      </w:r>
      <w:r w:rsidRPr="006C2408">
        <w:rPr>
          <w:rFonts w:cs="Arial"/>
          <w:sz w:val="22"/>
          <w:szCs w:val="22"/>
        </w:rPr>
        <w:t xml:space="preserve"> information on using and selecting different types of rural machinery.</w:t>
      </w:r>
    </w:p>
    <w:p w:rsidR="002D54A2" w:rsidRPr="006C2408" w:rsidRDefault="002D54A2" w:rsidP="002D54A2">
      <w:pPr>
        <w:spacing w:before="0" w:after="0"/>
        <w:rPr>
          <w:rFonts w:cs="Arial"/>
          <w:sz w:val="22"/>
          <w:szCs w:val="22"/>
        </w:rPr>
      </w:pPr>
    </w:p>
    <w:p w:rsidR="002D54A2" w:rsidRPr="006C2408" w:rsidRDefault="002D54A2" w:rsidP="002D54A2">
      <w:pPr>
        <w:spacing w:before="0" w:after="0"/>
        <w:rPr>
          <w:rFonts w:cs="Arial"/>
          <w:sz w:val="22"/>
          <w:szCs w:val="22"/>
        </w:rPr>
      </w:pPr>
      <w:r w:rsidRPr="006C2408">
        <w:rPr>
          <w:rFonts w:cs="Arial"/>
          <w:sz w:val="22"/>
          <w:szCs w:val="22"/>
          <w:lang w:val="en-GB"/>
        </w:rPr>
        <w:t xml:space="preserve">Quad bikes are also used for </w:t>
      </w:r>
      <w:r w:rsidRPr="006C2408">
        <w:rPr>
          <w:rFonts w:cs="Arial"/>
          <w:sz w:val="22"/>
          <w:szCs w:val="22"/>
        </w:rPr>
        <w:t>activities that are not work-related.</w:t>
      </w:r>
      <w:r w:rsidRPr="006C2408">
        <w:rPr>
          <w:rFonts w:cs="Arial"/>
          <w:sz w:val="22"/>
          <w:szCs w:val="22"/>
          <w:lang w:val="en-GB"/>
        </w:rPr>
        <w:t xml:space="preserve"> Improving quad bike safety is therefore a broader issue that </w:t>
      </w:r>
      <w:r w:rsidRPr="006C2408">
        <w:rPr>
          <w:rFonts w:cs="Arial"/>
          <w:sz w:val="22"/>
          <w:szCs w:val="22"/>
        </w:rPr>
        <w:t xml:space="preserve">requires a coordinated response from the Commonwealth, state and territory governments as well as support from quad bike manufacturers. </w:t>
      </w:r>
    </w:p>
    <w:p w:rsidR="0027522E" w:rsidRDefault="0027522E" w:rsidP="00930E01">
      <w:pPr>
        <w:spacing w:before="0" w:after="0"/>
        <w:rPr>
          <w:rFonts w:cs="Arial"/>
          <w:b/>
          <w:sz w:val="22"/>
          <w:szCs w:val="22"/>
          <w:lang w:val="en-GB"/>
        </w:rPr>
      </w:pPr>
    </w:p>
    <w:p w:rsidR="00930E01" w:rsidRPr="006C2408" w:rsidRDefault="00B70DB0" w:rsidP="00930E01">
      <w:pPr>
        <w:spacing w:before="0" w:after="0"/>
        <w:rPr>
          <w:rFonts w:cs="Arial"/>
          <w:b/>
          <w:sz w:val="22"/>
          <w:szCs w:val="22"/>
          <w:lang w:val="en-GB"/>
        </w:rPr>
      </w:pPr>
      <w:r>
        <w:rPr>
          <w:rFonts w:cs="Arial"/>
          <w:b/>
          <w:sz w:val="22"/>
          <w:szCs w:val="22"/>
          <w:lang w:val="en-GB"/>
        </w:rPr>
        <w:t>L</w:t>
      </w:r>
      <w:r w:rsidR="00930E01" w:rsidRPr="006C2408">
        <w:rPr>
          <w:rFonts w:cs="Arial"/>
          <w:b/>
          <w:sz w:val="22"/>
          <w:szCs w:val="22"/>
          <w:lang w:val="en-GB"/>
        </w:rPr>
        <w:t>abelling requirements for Agricultural and Veterinary (AgVet) chemicals</w:t>
      </w:r>
    </w:p>
    <w:p w:rsidR="008D55C3" w:rsidRPr="006C2408" w:rsidRDefault="008D55C3" w:rsidP="00930E01">
      <w:pPr>
        <w:spacing w:before="0" w:after="0"/>
        <w:rPr>
          <w:rFonts w:cs="Arial"/>
          <w:sz w:val="22"/>
          <w:szCs w:val="22"/>
          <w:lang w:val="en-GB"/>
        </w:rPr>
      </w:pPr>
    </w:p>
    <w:p w:rsidR="00866529" w:rsidRDefault="00930E01" w:rsidP="00930E01">
      <w:pPr>
        <w:spacing w:before="0" w:after="0"/>
        <w:rPr>
          <w:rFonts w:cs="Arial"/>
          <w:sz w:val="22"/>
          <w:szCs w:val="22"/>
          <w:lang w:val="en-GB"/>
        </w:rPr>
      </w:pPr>
      <w:r w:rsidRPr="006C2408">
        <w:rPr>
          <w:rFonts w:cs="Arial"/>
          <w:sz w:val="22"/>
          <w:szCs w:val="22"/>
          <w:lang w:val="en-GB"/>
        </w:rPr>
        <w:lastRenderedPageBreak/>
        <w:t xml:space="preserve">From 1 January 2017 the </w:t>
      </w:r>
      <w:r w:rsidR="00313BCD">
        <w:rPr>
          <w:rFonts w:cs="Arial"/>
          <w:sz w:val="22"/>
          <w:szCs w:val="22"/>
          <w:lang w:val="en-GB"/>
        </w:rPr>
        <w:t xml:space="preserve">model </w:t>
      </w:r>
      <w:r w:rsidR="00180AB6" w:rsidRPr="006C2408">
        <w:rPr>
          <w:rFonts w:cs="Arial"/>
          <w:sz w:val="22"/>
          <w:szCs w:val="22"/>
          <w:lang w:val="en-GB"/>
        </w:rPr>
        <w:t>WHS</w:t>
      </w:r>
      <w:r w:rsidRPr="006C2408">
        <w:rPr>
          <w:rFonts w:cs="Arial"/>
          <w:sz w:val="22"/>
          <w:szCs w:val="22"/>
          <w:lang w:val="en-GB"/>
        </w:rPr>
        <w:t xml:space="preserve"> </w:t>
      </w:r>
      <w:r w:rsidR="00313BCD">
        <w:rPr>
          <w:rFonts w:cs="Arial"/>
          <w:sz w:val="22"/>
          <w:szCs w:val="22"/>
          <w:lang w:val="en-GB"/>
        </w:rPr>
        <w:t>R</w:t>
      </w:r>
      <w:r w:rsidRPr="006C2408">
        <w:rPr>
          <w:rFonts w:cs="Arial"/>
          <w:sz w:val="22"/>
          <w:szCs w:val="22"/>
          <w:lang w:val="en-GB"/>
        </w:rPr>
        <w:t xml:space="preserve">egulations </w:t>
      </w:r>
      <w:r w:rsidR="00313BCD">
        <w:rPr>
          <w:rFonts w:cs="Arial"/>
          <w:sz w:val="22"/>
          <w:szCs w:val="22"/>
          <w:lang w:val="en-GB"/>
        </w:rPr>
        <w:t xml:space="preserve">will </w:t>
      </w:r>
      <w:r w:rsidRPr="006C2408">
        <w:rPr>
          <w:rFonts w:cs="Arial"/>
          <w:sz w:val="22"/>
          <w:szCs w:val="22"/>
          <w:lang w:val="en-GB"/>
        </w:rPr>
        <w:t xml:space="preserve">require that registered AgVet chemicals for use in workplaces include hazard and precautionary statements consistent with </w:t>
      </w:r>
      <w:r w:rsidR="00B70DB0">
        <w:rPr>
          <w:rFonts w:cs="Arial"/>
          <w:sz w:val="22"/>
          <w:szCs w:val="22"/>
          <w:lang w:val="en-GB"/>
        </w:rPr>
        <w:t>the Globally Harmonised System of Classification and Labelling of Chemicals.</w:t>
      </w:r>
      <w:r w:rsidR="00A57FB2" w:rsidRPr="006C2408">
        <w:rPr>
          <w:rFonts w:cs="Arial"/>
          <w:sz w:val="22"/>
          <w:szCs w:val="22"/>
          <w:lang w:val="en-GB"/>
        </w:rPr>
        <w:t xml:space="preserve"> These statements are</w:t>
      </w:r>
      <w:r w:rsidRPr="006C2408">
        <w:rPr>
          <w:rFonts w:cs="Arial"/>
          <w:sz w:val="22"/>
          <w:szCs w:val="22"/>
          <w:lang w:val="en-GB"/>
        </w:rPr>
        <w:t xml:space="preserve"> to be included on the label where the </w:t>
      </w:r>
      <w:r w:rsidR="00D71E8E" w:rsidRPr="006C2408">
        <w:rPr>
          <w:rFonts w:cs="Arial"/>
          <w:sz w:val="22"/>
          <w:szCs w:val="22"/>
          <w:lang w:val="en-GB"/>
        </w:rPr>
        <w:t xml:space="preserve">Australian Pesticides and Veterinary Medicines Authority </w:t>
      </w:r>
      <w:r w:rsidRPr="006C2408">
        <w:rPr>
          <w:rFonts w:cs="Arial"/>
          <w:sz w:val="22"/>
          <w:szCs w:val="22"/>
          <w:lang w:val="en-GB"/>
        </w:rPr>
        <w:t xml:space="preserve">mandated first aid and safety directions do not already include equivalent information. Safe Work Australia has recently published a series of information sheets explaining the policy rationale and requirements on the </w:t>
      </w:r>
      <w:hyperlink r:id="rId11" w:history="1">
        <w:r w:rsidRPr="00866529">
          <w:rPr>
            <w:rStyle w:val="Hyperlink"/>
            <w:rFonts w:cs="Arial"/>
            <w:sz w:val="22"/>
            <w:szCs w:val="22"/>
            <w:lang w:val="en-GB"/>
          </w:rPr>
          <w:t>Safe Work Australia Website</w:t>
        </w:r>
      </w:hyperlink>
      <w:r w:rsidR="004C264F">
        <w:rPr>
          <w:rFonts w:cs="Arial"/>
          <w:sz w:val="22"/>
          <w:szCs w:val="22"/>
          <w:lang w:val="en-GB"/>
        </w:rPr>
        <w:t xml:space="preserve"> </w:t>
      </w:r>
      <w:r w:rsidR="00D71E8E" w:rsidRPr="006C2408">
        <w:rPr>
          <w:rFonts w:cs="Arial"/>
          <w:sz w:val="22"/>
          <w:szCs w:val="22"/>
          <w:lang w:val="en-GB"/>
        </w:rPr>
        <w:t xml:space="preserve"> </w:t>
      </w:r>
      <w:r w:rsidR="004C264F">
        <w:rPr>
          <w:rFonts w:cs="Arial"/>
          <w:sz w:val="22"/>
          <w:szCs w:val="22"/>
          <w:lang w:val="en-GB"/>
        </w:rPr>
        <w:t>(</w:t>
      </w:r>
      <w:hyperlink r:id="rId12" w:history="1">
        <w:r w:rsidR="004C264F" w:rsidRPr="00450B59">
          <w:rPr>
            <w:rStyle w:val="Hyperlink"/>
            <w:rFonts w:cs="Arial"/>
            <w:sz w:val="22"/>
            <w:szCs w:val="22"/>
            <w:lang w:val="en-GB"/>
          </w:rPr>
          <w:t>http://www.safeworkaustralia.gov.au/sites/swa/about/publications/pages/labelling-agvet-chemicals</w:t>
        </w:r>
      </w:hyperlink>
      <w:r w:rsidR="004C264F">
        <w:rPr>
          <w:rFonts w:cs="Arial"/>
          <w:sz w:val="22"/>
          <w:szCs w:val="22"/>
          <w:lang w:val="en-GB"/>
        </w:rPr>
        <w:t>).</w:t>
      </w:r>
    </w:p>
    <w:p w:rsidR="004C264F" w:rsidRDefault="004C264F" w:rsidP="00930E01">
      <w:pPr>
        <w:spacing w:before="0" w:after="0"/>
        <w:rPr>
          <w:rFonts w:cs="Arial"/>
          <w:sz w:val="22"/>
          <w:szCs w:val="22"/>
          <w:lang w:val="en-GB"/>
        </w:rPr>
      </w:pPr>
    </w:p>
    <w:p w:rsidR="00930E01" w:rsidRPr="006C2408" w:rsidRDefault="00930E01" w:rsidP="00930E01">
      <w:pPr>
        <w:spacing w:before="0" w:after="0"/>
        <w:rPr>
          <w:rFonts w:cs="Arial"/>
          <w:sz w:val="22"/>
          <w:szCs w:val="22"/>
          <w:lang w:val="en-GB"/>
        </w:rPr>
      </w:pPr>
      <w:r w:rsidRPr="006C2408">
        <w:rPr>
          <w:color w:val="1F497D"/>
          <w:sz w:val="22"/>
          <w:szCs w:val="22"/>
        </w:rPr>
        <w:br/>
      </w:r>
      <w:r w:rsidRPr="006C2408">
        <w:rPr>
          <w:rFonts w:cs="Arial"/>
          <w:sz w:val="22"/>
          <w:szCs w:val="22"/>
          <w:lang w:val="en-GB"/>
        </w:rPr>
        <w:t xml:space="preserve">Safe Work Australia is </w:t>
      </w:r>
      <w:r w:rsidR="00B70DB0">
        <w:rPr>
          <w:rFonts w:cs="Arial"/>
          <w:sz w:val="22"/>
          <w:szCs w:val="22"/>
          <w:lang w:val="en-GB"/>
        </w:rPr>
        <w:t xml:space="preserve">also </w:t>
      </w:r>
      <w:r w:rsidRPr="006C2408">
        <w:rPr>
          <w:rFonts w:cs="Arial"/>
          <w:sz w:val="22"/>
          <w:szCs w:val="22"/>
          <w:lang w:val="en-GB"/>
        </w:rPr>
        <w:t xml:space="preserve">participating in the Department of Agriculture review of potential duplication between AgVet chemicals and </w:t>
      </w:r>
      <w:r w:rsidR="00180AB6" w:rsidRPr="006C2408">
        <w:rPr>
          <w:rFonts w:cs="Arial"/>
          <w:sz w:val="22"/>
          <w:szCs w:val="22"/>
          <w:lang w:val="en-GB"/>
        </w:rPr>
        <w:t xml:space="preserve">WHS </w:t>
      </w:r>
      <w:r w:rsidRPr="006C2408">
        <w:rPr>
          <w:rFonts w:cs="Arial"/>
          <w:sz w:val="22"/>
          <w:szCs w:val="22"/>
          <w:lang w:val="en-GB"/>
        </w:rPr>
        <w:t>legislation for AgVet chemical</w:t>
      </w:r>
      <w:bookmarkStart w:id="1" w:name="_MailEndCompose"/>
      <w:r w:rsidRPr="006C2408">
        <w:rPr>
          <w:rFonts w:cs="Arial"/>
          <w:sz w:val="22"/>
          <w:szCs w:val="22"/>
          <w:lang w:val="en-GB"/>
        </w:rPr>
        <w:t>s</w:t>
      </w:r>
      <w:r w:rsidR="00B70DB0">
        <w:rPr>
          <w:rFonts w:cs="Arial"/>
          <w:sz w:val="22"/>
          <w:szCs w:val="22"/>
          <w:lang w:val="en-GB"/>
        </w:rPr>
        <w:t>.</w:t>
      </w:r>
      <w:r w:rsidRPr="006C2408">
        <w:rPr>
          <w:rFonts w:cs="Arial"/>
          <w:sz w:val="22"/>
          <w:szCs w:val="22"/>
          <w:lang w:val="en-GB"/>
        </w:rPr>
        <w:t xml:space="preserve"> </w:t>
      </w:r>
      <w:bookmarkEnd w:id="1"/>
    </w:p>
    <w:p w:rsidR="00930E01" w:rsidRPr="006C2408" w:rsidRDefault="00930E01" w:rsidP="00930E01">
      <w:pPr>
        <w:spacing w:before="0" w:after="0"/>
        <w:rPr>
          <w:rFonts w:cs="Arial"/>
          <w:sz w:val="22"/>
          <w:szCs w:val="22"/>
          <w:lang w:val="en-GB"/>
        </w:rPr>
      </w:pPr>
    </w:p>
    <w:p w:rsidR="007B4099" w:rsidRPr="006C2408" w:rsidRDefault="007B4099">
      <w:pPr>
        <w:spacing w:before="0" w:after="200" w:line="276" w:lineRule="auto"/>
        <w:rPr>
          <w:rFonts w:cs="Arial"/>
          <w:sz w:val="22"/>
          <w:szCs w:val="22"/>
        </w:rPr>
      </w:pPr>
      <w:r w:rsidRPr="006C2408">
        <w:rPr>
          <w:rFonts w:cs="Arial"/>
          <w:sz w:val="22"/>
          <w:szCs w:val="22"/>
        </w:rPr>
        <w:br w:type="page"/>
      </w:r>
    </w:p>
    <w:p w:rsidR="007B4099" w:rsidRPr="007B4099" w:rsidRDefault="007B4099" w:rsidP="007B4099">
      <w:pPr>
        <w:jc w:val="right"/>
        <w:rPr>
          <w:rFonts w:cs="Arial"/>
          <w:sz w:val="22"/>
          <w:szCs w:val="22"/>
          <w:u w:val="single"/>
        </w:rPr>
      </w:pPr>
      <w:r w:rsidRPr="007B4099">
        <w:rPr>
          <w:rFonts w:cs="Arial"/>
          <w:sz w:val="22"/>
          <w:szCs w:val="22"/>
          <w:u w:val="single"/>
        </w:rPr>
        <w:lastRenderedPageBreak/>
        <w:t>Appendix A</w:t>
      </w:r>
    </w:p>
    <w:p w:rsidR="007B4099" w:rsidRDefault="007B4099" w:rsidP="007B4099">
      <w:pPr>
        <w:pStyle w:val="Heading1"/>
      </w:pPr>
      <w:r>
        <w:t>Agriculture statistics</w:t>
      </w:r>
    </w:p>
    <w:p w:rsidR="007B4099" w:rsidRDefault="007B4099" w:rsidP="007B4099">
      <w:pPr>
        <w:pStyle w:val="Heading3"/>
      </w:pPr>
      <w:r>
        <w:t>Agriculture workers have the highest fatality rate in Australia</w:t>
      </w:r>
    </w:p>
    <w:p w:rsidR="007B4099" w:rsidRDefault="007B4099" w:rsidP="007B4099">
      <w:r>
        <w:t xml:space="preserve">Despite constituting only 3 per cent of the Australian workforce between 2003 and 2014, the agriculture industry accounted for 19 per cent (574) of fatally injured workers. Over the 12-year period, the fatality rate for agriculture workers was 15.19 injury fatalities per 100 000 workers, which was over six times higher than the rate for all industries (2.35) and significantly higher than </w:t>
      </w:r>
      <w:r w:rsidR="00313BCD">
        <w:t xml:space="preserve">for </w:t>
      </w:r>
      <w:r>
        <w:t xml:space="preserve">every other industry. Figure 1 shows fatality rates for each of the 19 Australian industries for the period 2003 </w:t>
      </w:r>
      <w:r w:rsidR="00313BCD">
        <w:t>to</w:t>
      </w:r>
      <w:r>
        <w:t xml:space="preserve"> 2014.</w:t>
      </w:r>
    </w:p>
    <w:p w:rsidR="007B4099" w:rsidRDefault="007B4099" w:rsidP="007B4099">
      <w:pPr>
        <w:rPr>
          <w:b/>
        </w:rPr>
      </w:pPr>
      <w:r>
        <w:rPr>
          <w:b/>
        </w:rPr>
        <w:t>Figure 1: Fatality rates by industry, 2003 to 2014</w:t>
      </w:r>
    </w:p>
    <w:p w:rsidR="007B4099" w:rsidRDefault="007B4099" w:rsidP="007B4099">
      <w:r>
        <w:rPr>
          <w:noProof/>
        </w:rPr>
        <w:drawing>
          <wp:inline distT="0" distB="0" distL="0" distR="0" wp14:anchorId="03D0632F" wp14:editId="6C79B03A">
            <wp:extent cx="5421630" cy="3609340"/>
            <wp:effectExtent l="0" t="0" r="2667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B4099" w:rsidRDefault="007B4099" w:rsidP="007B4099">
      <w:pPr>
        <w:rPr>
          <w:sz w:val="16"/>
          <w:szCs w:val="16"/>
        </w:rPr>
      </w:pPr>
      <w:r>
        <w:rPr>
          <w:sz w:val="16"/>
          <w:szCs w:val="16"/>
        </w:rPr>
        <w:t>Source: Traumatic Injury Fatalities database.</w:t>
      </w:r>
    </w:p>
    <w:p w:rsidR="007B4099" w:rsidRDefault="007B4099" w:rsidP="007B4099">
      <w:pPr>
        <w:pStyle w:val="Heading3"/>
        <w:rPr>
          <w:szCs w:val="22"/>
        </w:rPr>
      </w:pPr>
      <w:r>
        <w:t>Agriculture employees have the highest rate of serious claims in Australia</w:t>
      </w:r>
    </w:p>
    <w:p w:rsidR="007B4099" w:rsidRDefault="007B4099" w:rsidP="007B4099">
      <w:r>
        <w:t>A serious claim is an accepted workers’ compensation claim that involves one or more weeks away from work and excludes all fatalities, and all injuries experienced while travelling to or from work or while on a break away from the workplace.</w:t>
      </w:r>
    </w:p>
    <w:p w:rsidR="007B4099" w:rsidRDefault="007B4099" w:rsidP="007B4099">
      <w:r>
        <w:t xml:space="preserve">Over the five-year period between 2009–10 and 2013–14, the rate for agriculture workers was 11.0 serious claims per million hours worked, which was 59 per cent higher than the rate for all industries (6.9) and higher than every other industry. Figure 2 shows the rate of serious claims for each of the 19 Australian industries for the period 2009–10 </w:t>
      </w:r>
      <w:r w:rsidR="00313BCD">
        <w:t xml:space="preserve">to </w:t>
      </w:r>
      <w:r>
        <w:t>2013–14.</w:t>
      </w:r>
    </w:p>
    <w:p w:rsidR="007B4099" w:rsidRDefault="007B4099" w:rsidP="007B4099">
      <w:pPr>
        <w:rPr>
          <w:b/>
        </w:rPr>
      </w:pPr>
    </w:p>
    <w:p w:rsidR="007B4099" w:rsidRDefault="007B4099" w:rsidP="007B4099">
      <w:r>
        <w:rPr>
          <w:b/>
        </w:rPr>
        <w:t>Figure 2: Rates of serious claims by industry, 2009–10 to 2013–14</w:t>
      </w:r>
    </w:p>
    <w:p w:rsidR="007B4099" w:rsidRDefault="007B4099" w:rsidP="007B4099">
      <w:r>
        <w:rPr>
          <w:noProof/>
        </w:rPr>
        <w:drawing>
          <wp:inline distT="0" distB="0" distL="0" distR="0" wp14:anchorId="136A9D14" wp14:editId="7C18D36A">
            <wp:extent cx="5421630" cy="3609340"/>
            <wp:effectExtent l="0" t="0" r="2667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4099" w:rsidRDefault="007B4099" w:rsidP="007B4099">
      <w:pPr>
        <w:rPr>
          <w:sz w:val="16"/>
          <w:szCs w:val="16"/>
        </w:rPr>
      </w:pPr>
      <w:r>
        <w:rPr>
          <w:sz w:val="16"/>
          <w:szCs w:val="16"/>
        </w:rPr>
        <w:t>Source: National Data Set for Compensation-Based Statistics.</w:t>
      </w:r>
    </w:p>
    <w:p w:rsidR="00001BF2" w:rsidRDefault="00001BF2" w:rsidP="00A4305D">
      <w:pPr>
        <w:rPr>
          <w:rFonts w:cs="Arial"/>
          <w:sz w:val="22"/>
          <w:szCs w:val="22"/>
        </w:rPr>
      </w:pPr>
    </w:p>
    <w:p w:rsidR="007B4099" w:rsidRDefault="007B4099" w:rsidP="00A4305D">
      <w:pPr>
        <w:rPr>
          <w:rFonts w:cs="Arial"/>
          <w:sz w:val="22"/>
          <w:szCs w:val="22"/>
        </w:rPr>
      </w:pPr>
    </w:p>
    <w:sectPr w:rsidR="007B4099" w:rsidSect="00591AFB">
      <w:headerReference w:type="default" r:id="rId15"/>
      <w:footerReference w:type="default" r:id="rId16"/>
      <w:headerReference w:type="first" r:id="rId17"/>
      <w:endnotePr>
        <w:numFmt w:val="decimal"/>
      </w:endnotePr>
      <w:pgSz w:w="11906" w:h="16838" w:code="9"/>
      <w:pgMar w:top="1134" w:right="99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7D" w:rsidRDefault="00364C7D" w:rsidP="00364C7D">
      <w:pPr>
        <w:spacing w:before="0" w:after="0"/>
      </w:pPr>
      <w:r>
        <w:separator/>
      </w:r>
    </w:p>
  </w:endnote>
  <w:endnote w:type="continuationSeparator" w:id="0">
    <w:p w:rsidR="00364C7D" w:rsidRDefault="00364C7D" w:rsidP="00364C7D">
      <w:pPr>
        <w:spacing w:before="0" w:after="0"/>
      </w:pPr>
      <w:r>
        <w:continuationSeparator/>
      </w:r>
    </w:p>
  </w:endnote>
  <w:endnote w:id="1">
    <w:p w:rsidR="00FE30FA" w:rsidRDefault="00FE30FA" w:rsidP="00FE30FA">
      <w:pPr>
        <w:pStyle w:val="EndnoteText"/>
      </w:pPr>
      <w:r>
        <w:rPr>
          <w:rStyle w:val="EndnoteReference"/>
        </w:rPr>
        <w:endnoteRef/>
      </w:r>
      <w:r>
        <w:t xml:space="preserve"> Safe Work Australia 2015, </w:t>
      </w:r>
      <w:hyperlink r:id="rId1" w:history="1">
        <w:r w:rsidRPr="0002797E">
          <w:rPr>
            <w:rStyle w:val="Hyperlink"/>
          </w:rPr>
          <w:t>The Cost of Work-related Injury and Illness for Australian Employers, Workers and the Community: 2012–13</w:t>
        </w:r>
      </w:hyperlink>
      <w:r w:rsidR="004C264F">
        <w:t xml:space="preserve"> (</w:t>
      </w:r>
      <w:hyperlink r:id="rId2" w:history="1">
        <w:r w:rsidR="004C264F" w:rsidRPr="00450B59">
          <w:rPr>
            <w:rStyle w:val="Hyperlink"/>
          </w:rPr>
          <w:t>http://www.safeworkaustralia.gov.au/sites/SWA/about/Publications/Documents/940/cost-of-work-related-injury-and-disease-2012-13.docx.pdf</w:t>
        </w:r>
      </w:hyperlink>
      <w:r w:rsidR="004C264F">
        <w:t>)</w:t>
      </w:r>
    </w:p>
  </w:endnote>
  <w:endnote w:id="2">
    <w:p w:rsidR="004C264F" w:rsidRDefault="00141689">
      <w:pPr>
        <w:pStyle w:val="EndnoteText"/>
      </w:pPr>
      <w:r>
        <w:rPr>
          <w:rStyle w:val="EndnoteReference"/>
        </w:rPr>
        <w:endnoteRef/>
      </w:r>
      <w:r>
        <w:t xml:space="preserve"> Safe Work Australia 2016, </w:t>
      </w:r>
      <w:hyperlink r:id="rId3" w:history="1">
        <w:r w:rsidRPr="00141689">
          <w:rPr>
            <w:rStyle w:val="Hyperlink"/>
          </w:rPr>
          <w:t>General guide for managing the risks of machinery in rural workplaces</w:t>
        </w:r>
      </w:hyperlink>
      <w:r w:rsidR="004C264F">
        <w:rPr>
          <w:rStyle w:val="Hyperlink"/>
        </w:rPr>
        <w:t xml:space="preserve"> (</w:t>
      </w:r>
      <w:hyperlink r:id="rId4" w:history="1">
        <w:r w:rsidR="004C264F" w:rsidRPr="00450B59">
          <w:rPr>
            <w:rStyle w:val="Hyperlink"/>
          </w:rPr>
          <w:t>http://www.safeworkaustralia.gov.au/sites/SWA/about/Publications/Documents/951/general_guide_managing_risks_machinery_rural_workplaces.pdf</w:t>
        </w:r>
      </w:hyperlink>
      <w:r w:rsidR="004C264F">
        <w:t>)</w:t>
      </w:r>
    </w:p>
  </w:endnote>
  <w:endnote w:id="3">
    <w:p w:rsidR="004C264F" w:rsidRDefault="00141689">
      <w:pPr>
        <w:pStyle w:val="EndnoteText"/>
      </w:pPr>
      <w:r>
        <w:rPr>
          <w:rStyle w:val="EndnoteReference"/>
        </w:rPr>
        <w:endnoteRef/>
      </w:r>
      <w:r>
        <w:t xml:space="preserve"> Safe Work Australia 2016, </w:t>
      </w:r>
      <w:hyperlink r:id="rId5" w:history="1">
        <w:r w:rsidRPr="00141689">
          <w:rPr>
            <w:rStyle w:val="Hyperlink"/>
          </w:rPr>
          <w:t>Quad bikes in rural workplaces – Information sheet</w:t>
        </w:r>
      </w:hyperlink>
      <w:r w:rsidR="004C264F">
        <w:t xml:space="preserve"> (</w:t>
      </w:r>
      <w:hyperlink r:id="rId6" w:history="1">
        <w:r w:rsidR="004C264F" w:rsidRPr="00450B59">
          <w:rPr>
            <w:rStyle w:val="Hyperlink"/>
          </w:rPr>
          <w:t>http://www.safeworkaustralia.gov.au/sites/SWA/about/Publications/Documents/950/quad_bikes_rural_workplaces_information-sheet.pdf</w:t>
        </w:r>
      </w:hyperlink>
      <w:r w:rsidR="004C264F">
        <w:t>)</w:t>
      </w:r>
    </w:p>
    <w:p w:rsidR="004C264F" w:rsidRDefault="004C264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00C" w:rsidRDefault="009E457D" w:rsidP="00CE7182">
    <w:pPr>
      <w:pStyle w:val="Footer"/>
      <w:spacing w:before="0"/>
    </w:pPr>
    <w:r w:rsidRPr="0090165F">
      <w:fldChar w:fldCharType="begin"/>
    </w:r>
    <w:r w:rsidRPr="0090165F">
      <w:instrText xml:space="preserve"> PAGE   \* MERGEFORMAT </w:instrText>
    </w:r>
    <w:r w:rsidRPr="0090165F">
      <w:fldChar w:fldCharType="separate"/>
    </w:r>
    <w:r w:rsidR="003C252C">
      <w:rPr>
        <w:noProof/>
      </w:rPr>
      <w:t>2</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7D" w:rsidRDefault="00364C7D" w:rsidP="00364C7D">
      <w:pPr>
        <w:spacing w:before="0" w:after="0"/>
      </w:pPr>
      <w:r>
        <w:separator/>
      </w:r>
    </w:p>
  </w:footnote>
  <w:footnote w:type="continuationSeparator" w:id="0">
    <w:p w:rsidR="00364C7D" w:rsidRDefault="00364C7D" w:rsidP="00364C7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CE" w:rsidRDefault="006B7939" w:rsidP="001816CE">
    <w:pPr>
      <w:pStyle w:val="Header"/>
      <w:jc w:val="left"/>
    </w:pPr>
    <w:r>
      <w:rPr>
        <w:noProof/>
      </w:rPr>
      <w:drawing>
        <wp:inline distT="0" distB="0" distL="0" distR="0" wp14:anchorId="782880F9" wp14:editId="44E8BCF4">
          <wp:extent cx="2519045" cy="522605"/>
          <wp:effectExtent l="19050" t="0" r="0" b="0"/>
          <wp:docPr id="3" name="Picture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2519045" cy="5226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CE" w:rsidRDefault="00364C7D" w:rsidP="001816CE">
    <w:pPr>
      <w:pStyle w:val="Header"/>
      <w:jc w:val="left"/>
    </w:pPr>
    <w:r>
      <w:rPr>
        <w:noProof/>
      </w:rPr>
      <w:drawing>
        <wp:inline distT="0" distB="0" distL="0" distR="0" wp14:anchorId="2FA5B715" wp14:editId="036D5D53">
          <wp:extent cx="2519045" cy="522605"/>
          <wp:effectExtent l="19050" t="0" r="0" b="0"/>
          <wp:docPr id="6" name="Picture 6"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2519045" cy="522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349"/>
    <w:multiLevelType w:val="hybridMultilevel"/>
    <w:tmpl w:val="0EB80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ED0DAF"/>
    <w:multiLevelType w:val="multilevel"/>
    <w:tmpl w:val="6494DB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0E76B2"/>
    <w:multiLevelType w:val="hybridMultilevel"/>
    <w:tmpl w:val="CCD2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F06124"/>
    <w:multiLevelType w:val="hybridMultilevel"/>
    <w:tmpl w:val="F5A093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8FA0BF5"/>
    <w:multiLevelType w:val="hybridMultilevel"/>
    <w:tmpl w:val="C658C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D73A06"/>
    <w:multiLevelType w:val="multilevel"/>
    <w:tmpl w:val="7DB646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FF022D2"/>
    <w:multiLevelType w:val="hybridMultilevel"/>
    <w:tmpl w:val="8D209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4B106F"/>
    <w:multiLevelType w:val="hybridMultilevel"/>
    <w:tmpl w:val="48AC77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13E728D5"/>
    <w:multiLevelType w:val="hybridMultilevel"/>
    <w:tmpl w:val="24D2D5F2"/>
    <w:lvl w:ilvl="0" w:tplc="25FEFB4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5C1436A"/>
    <w:multiLevelType w:val="hybridMultilevel"/>
    <w:tmpl w:val="1924E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5978D4"/>
    <w:multiLevelType w:val="hybridMultilevel"/>
    <w:tmpl w:val="5B56549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nsid w:val="193F4DA9"/>
    <w:multiLevelType w:val="multilevel"/>
    <w:tmpl w:val="223A93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A90335E"/>
    <w:multiLevelType w:val="multilevel"/>
    <w:tmpl w:val="CDF0FE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6414442"/>
    <w:multiLevelType w:val="hybridMultilevel"/>
    <w:tmpl w:val="7CDC642E"/>
    <w:lvl w:ilvl="0" w:tplc="B79C8EC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69A21E3"/>
    <w:multiLevelType w:val="hybridMultilevel"/>
    <w:tmpl w:val="938CE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7482159"/>
    <w:multiLevelType w:val="hybridMultilevel"/>
    <w:tmpl w:val="01CC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936608"/>
    <w:multiLevelType w:val="multilevel"/>
    <w:tmpl w:val="1DB294DC"/>
    <w:lvl w:ilvl="0">
      <w:start w:val="8"/>
      <w:numFmt w:val="upperLetter"/>
      <w:lvlText w:val="%1."/>
      <w:lvlJc w:val="left"/>
      <w:pPr>
        <w:tabs>
          <w:tab w:val="num" w:pos="567"/>
        </w:tabs>
        <w:ind w:left="567" w:hanging="567"/>
      </w:pPr>
      <w:rPr>
        <w:rFonts w:cs="Times New Roman" w:hint="default"/>
        <w:b/>
        <w:bCs/>
        <w:i w:val="0"/>
        <w:iCs w:val="0"/>
        <w:sz w:val="28"/>
        <w:szCs w:val="28"/>
      </w:rPr>
    </w:lvl>
    <w:lvl w:ilvl="1">
      <w:start w:val="1"/>
      <w:numFmt w:val="decimal"/>
      <w:lvlText w:val="%1.%2"/>
      <w:lvlJc w:val="left"/>
      <w:pPr>
        <w:tabs>
          <w:tab w:val="num" w:pos="567"/>
        </w:tabs>
        <w:ind w:left="1134" w:hanging="1134"/>
      </w:pPr>
      <w:rPr>
        <w:rFonts w:ascii="Arial" w:hAnsi="Arial" w:cs="Arial" w:hint="default"/>
        <w:b w:val="0"/>
        <w:bCs w:val="0"/>
        <w:i w:val="0"/>
        <w:iCs w:val="0"/>
        <w:color w:val="auto"/>
        <w:sz w:val="22"/>
        <w:szCs w:val="22"/>
      </w:rPr>
    </w:lvl>
    <w:lvl w:ilvl="2">
      <w:start w:val="1"/>
      <w:numFmt w:val="decimal"/>
      <w:lvlText w:val="%1.%2.%3"/>
      <w:lvlJc w:val="left"/>
      <w:pPr>
        <w:tabs>
          <w:tab w:val="num" w:pos="1854"/>
        </w:tabs>
        <w:ind w:left="1854" w:hanging="851"/>
      </w:pPr>
      <w:rPr>
        <w:rFonts w:cs="Times New Roman" w:hint="default"/>
        <w:b w:val="0"/>
        <w:bCs w:val="0"/>
        <w:i w:val="0"/>
        <w:iCs w:val="0"/>
      </w:rPr>
    </w:lvl>
    <w:lvl w:ilvl="3">
      <w:start w:val="1"/>
      <w:numFmt w:val="decimal"/>
      <w:lvlText w:val="%1.%2.%3.%4"/>
      <w:lvlJc w:val="left"/>
      <w:pPr>
        <w:tabs>
          <w:tab w:val="num" w:pos="1867"/>
        </w:tabs>
        <w:ind w:left="1867" w:hanging="864"/>
      </w:pPr>
      <w:rPr>
        <w:rFonts w:cs="Times New Roman" w:hint="default"/>
      </w:rPr>
    </w:lvl>
    <w:lvl w:ilvl="4">
      <w:start w:val="1"/>
      <w:numFmt w:val="decimal"/>
      <w:lvlText w:val="%1.%2.%3.%4.%5"/>
      <w:lvlJc w:val="left"/>
      <w:pPr>
        <w:tabs>
          <w:tab w:val="num" w:pos="2011"/>
        </w:tabs>
        <w:ind w:left="2011" w:hanging="1008"/>
      </w:pPr>
      <w:rPr>
        <w:rFonts w:cs="Times New Roman" w:hint="default"/>
      </w:rPr>
    </w:lvl>
    <w:lvl w:ilvl="5">
      <w:start w:val="1"/>
      <w:numFmt w:val="decimal"/>
      <w:lvlText w:val="%1.%2.%3.%4.%5.%6"/>
      <w:lvlJc w:val="left"/>
      <w:pPr>
        <w:tabs>
          <w:tab w:val="num" w:pos="2155"/>
        </w:tabs>
        <w:ind w:left="2155" w:hanging="1152"/>
      </w:pPr>
      <w:rPr>
        <w:rFonts w:cs="Times New Roman" w:hint="default"/>
      </w:rPr>
    </w:lvl>
    <w:lvl w:ilvl="6">
      <w:start w:val="1"/>
      <w:numFmt w:val="decimal"/>
      <w:lvlText w:val="%1.%2.%3.%4.%5.%6.%7"/>
      <w:lvlJc w:val="left"/>
      <w:pPr>
        <w:tabs>
          <w:tab w:val="num" w:pos="2299"/>
        </w:tabs>
        <w:ind w:left="2299" w:hanging="1296"/>
      </w:pPr>
      <w:rPr>
        <w:rFonts w:cs="Times New Roman" w:hint="default"/>
      </w:rPr>
    </w:lvl>
    <w:lvl w:ilvl="7">
      <w:start w:val="1"/>
      <w:numFmt w:val="decimal"/>
      <w:lvlText w:val="%1.%2.%3.%4.%5.%6.%7.%8"/>
      <w:lvlJc w:val="left"/>
      <w:pPr>
        <w:tabs>
          <w:tab w:val="num" w:pos="2443"/>
        </w:tabs>
        <w:ind w:left="2443" w:hanging="1440"/>
      </w:pPr>
      <w:rPr>
        <w:rFonts w:cs="Times New Roman" w:hint="default"/>
      </w:rPr>
    </w:lvl>
    <w:lvl w:ilvl="8">
      <w:start w:val="1"/>
      <w:numFmt w:val="decimal"/>
      <w:lvlText w:val="%1.%2.%3.%4.%5.%6.%7.%8.%9"/>
      <w:lvlJc w:val="left"/>
      <w:pPr>
        <w:tabs>
          <w:tab w:val="num" w:pos="2587"/>
        </w:tabs>
        <w:ind w:left="2587" w:hanging="1584"/>
      </w:pPr>
      <w:rPr>
        <w:rFonts w:cs="Times New Roman" w:hint="default"/>
      </w:rPr>
    </w:lvl>
  </w:abstractNum>
  <w:abstractNum w:abstractNumId="17">
    <w:nsid w:val="297817C3"/>
    <w:multiLevelType w:val="multilevel"/>
    <w:tmpl w:val="5D560C5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9CF1222"/>
    <w:multiLevelType w:val="multilevel"/>
    <w:tmpl w:val="90E4E3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B0E0264"/>
    <w:multiLevelType w:val="hybridMultilevel"/>
    <w:tmpl w:val="C1B4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BDA059A"/>
    <w:multiLevelType w:val="hybridMultilevel"/>
    <w:tmpl w:val="2D2C4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227877"/>
    <w:multiLevelType w:val="multilevel"/>
    <w:tmpl w:val="8E7CC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F6279A3"/>
    <w:multiLevelType w:val="hybridMultilevel"/>
    <w:tmpl w:val="25466FB8"/>
    <w:lvl w:ilvl="0" w:tplc="84448DC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350A7D36"/>
    <w:multiLevelType w:val="multilevel"/>
    <w:tmpl w:val="93B64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8D873E1"/>
    <w:multiLevelType w:val="hybridMultilevel"/>
    <w:tmpl w:val="9F4CA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B2412A4"/>
    <w:multiLevelType w:val="multilevel"/>
    <w:tmpl w:val="B01A78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DB16D37"/>
    <w:multiLevelType w:val="hybridMultilevel"/>
    <w:tmpl w:val="302ECB2C"/>
    <w:lvl w:ilvl="0" w:tplc="8D94F1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3456A19"/>
    <w:multiLevelType w:val="hybridMultilevel"/>
    <w:tmpl w:val="26FE5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0F46B5"/>
    <w:multiLevelType w:val="multilevel"/>
    <w:tmpl w:val="7CCAF4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4E264CB"/>
    <w:multiLevelType w:val="hybridMultilevel"/>
    <w:tmpl w:val="C532B1EA"/>
    <w:lvl w:ilvl="0" w:tplc="E01640FA">
      <w:start w:val="1"/>
      <w:numFmt w:val="bullet"/>
      <w:lvlText w:val=""/>
      <w:lvlJc w:val="left"/>
      <w:pPr>
        <w:ind w:left="720" w:hanging="360"/>
      </w:pPr>
      <w:rPr>
        <w:rFonts w:ascii="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582621B"/>
    <w:multiLevelType w:val="hybridMultilevel"/>
    <w:tmpl w:val="68284340"/>
    <w:lvl w:ilvl="0" w:tplc="A606C0C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8C43CC8"/>
    <w:multiLevelType w:val="hybridMultilevel"/>
    <w:tmpl w:val="D902A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8CE5CD1"/>
    <w:multiLevelType w:val="hybridMultilevel"/>
    <w:tmpl w:val="EBBE7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96C714D"/>
    <w:multiLevelType w:val="multilevel"/>
    <w:tmpl w:val="B650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AE02F9"/>
    <w:multiLevelType w:val="hybridMultilevel"/>
    <w:tmpl w:val="57945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DFF7160"/>
    <w:multiLevelType w:val="hybridMultilevel"/>
    <w:tmpl w:val="B9B298A2"/>
    <w:lvl w:ilvl="0" w:tplc="7736F65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04954A1"/>
    <w:multiLevelType w:val="hybridMultilevel"/>
    <w:tmpl w:val="0F72E660"/>
    <w:lvl w:ilvl="0" w:tplc="5E3A4E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37F07F2"/>
    <w:multiLevelType w:val="hybridMultilevel"/>
    <w:tmpl w:val="EAAC4E72"/>
    <w:lvl w:ilvl="0" w:tplc="8B82694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53B341F8"/>
    <w:multiLevelType w:val="multilevel"/>
    <w:tmpl w:val="3028CE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55607EC"/>
    <w:multiLevelType w:val="hybridMultilevel"/>
    <w:tmpl w:val="4A88A6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561B100D"/>
    <w:multiLevelType w:val="hybridMultilevel"/>
    <w:tmpl w:val="C7E6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80627F0"/>
    <w:multiLevelType w:val="multilevel"/>
    <w:tmpl w:val="C0749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8DA5DB1"/>
    <w:multiLevelType w:val="hybridMultilevel"/>
    <w:tmpl w:val="1806EE1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3">
    <w:nsid w:val="5A094792"/>
    <w:multiLevelType w:val="hybridMultilevel"/>
    <w:tmpl w:val="F3B0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B2F51BC"/>
    <w:multiLevelType w:val="multilevel"/>
    <w:tmpl w:val="D98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591EB4"/>
    <w:multiLevelType w:val="hybridMultilevel"/>
    <w:tmpl w:val="31700B1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6">
    <w:nsid w:val="5B8D0C84"/>
    <w:multiLevelType w:val="hybridMultilevel"/>
    <w:tmpl w:val="ADB0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F7C60B6"/>
    <w:multiLevelType w:val="hybridMultilevel"/>
    <w:tmpl w:val="B2C00C20"/>
    <w:lvl w:ilvl="0" w:tplc="9A0663EC">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nsid w:val="63905F82"/>
    <w:multiLevelType w:val="hybridMultilevel"/>
    <w:tmpl w:val="86FAC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49F6187"/>
    <w:multiLevelType w:val="multilevel"/>
    <w:tmpl w:val="6B2CEB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657050E5"/>
    <w:multiLevelType w:val="hybridMultilevel"/>
    <w:tmpl w:val="30A0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7C0797C"/>
    <w:multiLevelType w:val="hybridMultilevel"/>
    <w:tmpl w:val="D8BC3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68E572C5"/>
    <w:multiLevelType w:val="hybridMultilevel"/>
    <w:tmpl w:val="F47026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6D8429D7"/>
    <w:multiLevelType w:val="multilevel"/>
    <w:tmpl w:val="BD561300"/>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54">
    <w:nsid w:val="7A207353"/>
    <w:multiLevelType w:val="hybridMultilevel"/>
    <w:tmpl w:val="1DE64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F0D61A9"/>
    <w:multiLevelType w:val="hybridMultilevel"/>
    <w:tmpl w:val="BD061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F413475"/>
    <w:multiLevelType w:val="hybridMultilevel"/>
    <w:tmpl w:val="5AE0D2A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7">
    <w:nsid w:val="7F7B6408"/>
    <w:multiLevelType w:val="hybridMultilevel"/>
    <w:tmpl w:val="C230617C"/>
    <w:lvl w:ilvl="0" w:tplc="AC4EC8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8"/>
  </w:num>
  <w:num w:numId="6">
    <w:abstractNumId w:val="35"/>
  </w:num>
  <w:num w:numId="7">
    <w:abstractNumId w:val="57"/>
  </w:num>
  <w:num w:numId="8">
    <w:abstractNumId w:val="47"/>
  </w:num>
  <w:num w:numId="9">
    <w:abstractNumId w:val="37"/>
  </w:num>
  <w:num w:numId="10">
    <w:abstractNumId w:val="22"/>
  </w:num>
  <w:num w:numId="11">
    <w:abstractNumId w:val="26"/>
  </w:num>
  <w:num w:numId="12">
    <w:abstractNumId w:val="52"/>
  </w:num>
  <w:num w:numId="13">
    <w:abstractNumId w:val="36"/>
  </w:num>
  <w:num w:numId="14">
    <w:abstractNumId w:val="28"/>
  </w:num>
  <w:num w:numId="15">
    <w:abstractNumId w:val="41"/>
  </w:num>
  <w:num w:numId="16">
    <w:abstractNumId w:val="21"/>
  </w:num>
  <w:num w:numId="17">
    <w:abstractNumId w:val="25"/>
  </w:num>
  <w:num w:numId="18">
    <w:abstractNumId w:val="12"/>
  </w:num>
  <w:num w:numId="19">
    <w:abstractNumId w:val="5"/>
  </w:num>
  <w:num w:numId="20">
    <w:abstractNumId w:val="38"/>
  </w:num>
  <w:num w:numId="21">
    <w:abstractNumId w:val="23"/>
  </w:num>
  <w:num w:numId="22">
    <w:abstractNumId w:val="11"/>
  </w:num>
  <w:num w:numId="23">
    <w:abstractNumId w:val="1"/>
  </w:num>
  <w:num w:numId="24">
    <w:abstractNumId w:val="53"/>
  </w:num>
  <w:num w:numId="25">
    <w:abstractNumId w:val="18"/>
  </w:num>
  <w:num w:numId="26">
    <w:abstractNumId w:val="49"/>
  </w:num>
  <w:num w:numId="27">
    <w:abstractNumId w:val="31"/>
  </w:num>
  <w:num w:numId="28">
    <w:abstractNumId w:val="51"/>
  </w:num>
  <w:num w:numId="29">
    <w:abstractNumId w:val="39"/>
  </w:num>
  <w:num w:numId="30">
    <w:abstractNumId w:val="0"/>
  </w:num>
  <w:num w:numId="31">
    <w:abstractNumId w:val="6"/>
  </w:num>
  <w:num w:numId="32">
    <w:abstractNumId w:val="55"/>
  </w:num>
  <w:num w:numId="33">
    <w:abstractNumId w:val="20"/>
  </w:num>
  <w:num w:numId="34">
    <w:abstractNumId w:val="40"/>
  </w:num>
  <w:num w:numId="35">
    <w:abstractNumId w:val="48"/>
  </w:num>
  <w:num w:numId="36">
    <w:abstractNumId w:val="39"/>
  </w:num>
  <w:num w:numId="37">
    <w:abstractNumId w:val="3"/>
  </w:num>
  <w:num w:numId="38">
    <w:abstractNumId w:val="29"/>
  </w:num>
  <w:num w:numId="39">
    <w:abstractNumId w:val="4"/>
  </w:num>
  <w:num w:numId="40">
    <w:abstractNumId w:val="32"/>
  </w:num>
  <w:num w:numId="41">
    <w:abstractNumId w:val="16"/>
  </w:num>
  <w:num w:numId="42">
    <w:abstractNumId w:val="56"/>
  </w:num>
  <w:num w:numId="43">
    <w:abstractNumId w:val="10"/>
  </w:num>
  <w:num w:numId="44">
    <w:abstractNumId w:val="45"/>
  </w:num>
  <w:num w:numId="45">
    <w:abstractNumId w:val="27"/>
  </w:num>
  <w:num w:numId="46">
    <w:abstractNumId w:val="30"/>
  </w:num>
  <w:num w:numId="47">
    <w:abstractNumId w:val="24"/>
  </w:num>
  <w:num w:numId="48">
    <w:abstractNumId w:val="44"/>
  </w:num>
  <w:num w:numId="49">
    <w:abstractNumId w:val="15"/>
  </w:num>
  <w:num w:numId="50">
    <w:abstractNumId w:val="33"/>
  </w:num>
  <w:num w:numId="51">
    <w:abstractNumId w:val="54"/>
  </w:num>
  <w:num w:numId="52">
    <w:abstractNumId w:val="34"/>
  </w:num>
  <w:num w:numId="53">
    <w:abstractNumId w:val="50"/>
  </w:num>
  <w:num w:numId="54">
    <w:abstractNumId w:val="2"/>
  </w:num>
  <w:num w:numId="55">
    <w:abstractNumId w:val="9"/>
  </w:num>
  <w:num w:numId="56">
    <w:abstractNumId w:val="42"/>
  </w:num>
  <w:num w:numId="57">
    <w:abstractNumId w:val="19"/>
  </w:num>
  <w:num w:numId="58">
    <w:abstractNumId w:val="43"/>
  </w:num>
  <w:num w:numId="59">
    <w:abstractNumId w:val="7"/>
  </w:num>
  <w:num w:numId="6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98"/>
    <w:rsid w:val="00001BF2"/>
    <w:rsid w:val="000054AF"/>
    <w:rsid w:val="00005FCF"/>
    <w:rsid w:val="00015BC4"/>
    <w:rsid w:val="00021273"/>
    <w:rsid w:val="0002690F"/>
    <w:rsid w:val="0002797E"/>
    <w:rsid w:val="000342F4"/>
    <w:rsid w:val="00034EEF"/>
    <w:rsid w:val="00035847"/>
    <w:rsid w:val="00061052"/>
    <w:rsid w:val="00061C10"/>
    <w:rsid w:val="0008377B"/>
    <w:rsid w:val="00084EA5"/>
    <w:rsid w:val="000B3925"/>
    <w:rsid w:val="000B4E4F"/>
    <w:rsid w:val="000C46EC"/>
    <w:rsid w:val="000D346C"/>
    <w:rsid w:val="000E1E72"/>
    <w:rsid w:val="000E2AF2"/>
    <w:rsid w:val="000F0F77"/>
    <w:rsid w:val="000F361E"/>
    <w:rsid w:val="00105A8E"/>
    <w:rsid w:val="0012297F"/>
    <w:rsid w:val="001275B7"/>
    <w:rsid w:val="0013194E"/>
    <w:rsid w:val="00141689"/>
    <w:rsid w:val="00144C44"/>
    <w:rsid w:val="0016213B"/>
    <w:rsid w:val="00166328"/>
    <w:rsid w:val="00167CF4"/>
    <w:rsid w:val="00177E59"/>
    <w:rsid w:val="00180AB6"/>
    <w:rsid w:val="00190BF2"/>
    <w:rsid w:val="00196724"/>
    <w:rsid w:val="001A00AA"/>
    <w:rsid w:val="001A5A6C"/>
    <w:rsid w:val="001A6BB9"/>
    <w:rsid w:val="001B327F"/>
    <w:rsid w:val="001C1FA6"/>
    <w:rsid w:val="001C6C59"/>
    <w:rsid w:val="001D7CAB"/>
    <w:rsid w:val="001E65D0"/>
    <w:rsid w:val="001F24F5"/>
    <w:rsid w:val="001F7931"/>
    <w:rsid w:val="00211678"/>
    <w:rsid w:val="002248AF"/>
    <w:rsid w:val="0022496A"/>
    <w:rsid w:val="002377CF"/>
    <w:rsid w:val="0025347F"/>
    <w:rsid w:val="002548C0"/>
    <w:rsid w:val="00260414"/>
    <w:rsid w:val="002606DB"/>
    <w:rsid w:val="00273AB6"/>
    <w:rsid w:val="0027522E"/>
    <w:rsid w:val="00282090"/>
    <w:rsid w:val="00283169"/>
    <w:rsid w:val="0028780C"/>
    <w:rsid w:val="002C7498"/>
    <w:rsid w:val="002D3D07"/>
    <w:rsid w:val="002D54A2"/>
    <w:rsid w:val="002E3530"/>
    <w:rsid w:val="002F126A"/>
    <w:rsid w:val="002F7308"/>
    <w:rsid w:val="00313BCD"/>
    <w:rsid w:val="00342EF4"/>
    <w:rsid w:val="00345160"/>
    <w:rsid w:val="003569A2"/>
    <w:rsid w:val="00356BA5"/>
    <w:rsid w:val="00364C7D"/>
    <w:rsid w:val="00370DCD"/>
    <w:rsid w:val="003732CB"/>
    <w:rsid w:val="003748AC"/>
    <w:rsid w:val="00374F07"/>
    <w:rsid w:val="00383CEF"/>
    <w:rsid w:val="003931A1"/>
    <w:rsid w:val="003942AE"/>
    <w:rsid w:val="003A2BD7"/>
    <w:rsid w:val="003A5325"/>
    <w:rsid w:val="003C12C6"/>
    <w:rsid w:val="003C252C"/>
    <w:rsid w:val="003C2A82"/>
    <w:rsid w:val="003D45BB"/>
    <w:rsid w:val="003D73AF"/>
    <w:rsid w:val="003E480D"/>
    <w:rsid w:val="00407636"/>
    <w:rsid w:val="00434779"/>
    <w:rsid w:val="00443200"/>
    <w:rsid w:val="00471C7B"/>
    <w:rsid w:val="00477A8D"/>
    <w:rsid w:val="004818D8"/>
    <w:rsid w:val="0048702D"/>
    <w:rsid w:val="004A37FC"/>
    <w:rsid w:val="004A7E30"/>
    <w:rsid w:val="004C264F"/>
    <w:rsid w:val="004C439E"/>
    <w:rsid w:val="004D058A"/>
    <w:rsid w:val="004E15DC"/>
    <w:rsid w:val="004E6EA9"/>
    <w:rsid w:val="004E7BB3"/>
    <w:rsid w:val="004F22E4"/>
    <w:rsid w:val="005135EB"/>
    <w:rsid w:val="00530566"/>
    <w:rsid w:val="00540A34"/>
    <w:rsid w:val="005463B1"/>
    <w:rsid w:val="005620A5"/>
    <w:rsid w:val="00583ED8"/>
    <w:rsid w:val="00584942"/>
    <w:rsid w:val="00591AFB"/>
    <w:rsid w:val="00592762"/>
    <w:rsid w:val="00592BE6"/>
    <w:rsid w:val="0059717E"/>
    <w:rsid w:val="005B2D2E"/>
    <w:rsid w:val="005B7AE6"/>
    <w:rsid w:val="005C3812"/>
    <w:rsid w:val="005D52DA"/>
    <w:rsid w:val="005E1D34"/>
    <w:rsid w:val="005F4E4E"/>
    <w:rsid w:val="00601D7E"/>
    <w:rsid w:val="00615CDA"/>
    <w:rsid w:val="006318CD"/>
    <w:rsid w:val="00637825"/>
    <w:rsid w:val="00642AA3"/>
    <w:rsid w:val="006432FA"/>
    <w:rsid w:val="0064422F"/>
    <w:rsid w:val="006454FC"/>
    <w:rsid w:val="00651D16"/>
    <w:rsid w:val="00670CD0"/>
    <w:rsid w:val="00672CFD"/>
    <w:rsid w:val="00674C88"/>
    <w:rsid w:val="0068731C"/>
    <w:rsid w:val="006B3FED"/>
    <w:rsid w:val="006B529C"/>
    <w:rsid w:val="006B7939"/>
    <w:rsid w:val="006C2408"/>
    <w:rsid w:val="006C5985"/>
    <w:rsid w:val="006C5A74"/>
    <w:rsid w:val="006D1730"/>
    <w:rsid w:val="006D6187"/>
    <w:rsid w:val="006E0119"/>
    <w:rsid w:val="006E7BE4"/>
    <w:rsid w:val="006F429C"/>
    <w:rsid w:val="007024EB"/>
    <w:rsid w:val="007059B5"/>
    <w:rsid w:val="0071542D"/>
    <w:rsid w:val="00723058"/>
    <w:rsid w:val="00735BC7"/>
    <w:rsid w:val="00736B16"/>
    <w:rsid w:val="00740846"/>
    <w:rsid w:val="00750C0B"/>
    <w:rsid w:val="0075766E"/>
    <w:rsid w:val="007601CA"/>
    <w:rsid w:val="00770675"/>
    <w:rsid w:val="007736C5"/>
    <w:rsid w:val="00786194"/>
    <w:rsid w:val="007907A9"/>
    <w:rsid w:val="00790A80"/>
    <w:rsid w:val="007916DE"/>
    <w:rsid w:val="00796E5D"/>
    <w:rsid w:val="007B4099"/>
    <w:rsid w:val="007D4EA4"/>
    <w:rsid w:val="007D6EDF"/>
    <w:rsid w:val="007E0277"/>
    <w:rsid w:val="007E768B"/>
    <w:rsid w:val="007F3ACE"/>
    <w:rsid w:val="007F421A"/>
    <w:rsid w:val="00806B1F"/>
    <w:rsid w:val="008102A0"/>
    <w:rsid w:val="00812C91"/>
    <w:rsid w:val="00834D9B"/>
    <w:rsid w:val="00837E20"/>
    <w:rsid w:val="00851874"/>
    <w:rsid w:val="00853194"/>
    <w:rsid w:val="00854F57"/>
    <w:rsid w:val="008556DD"/>
    <w:rsid w:val="00861F39"/>
    <w:rsid w:val="00862874"/>
    <w:rsid w:val="00866529"/>
    <w:rsid w:val="008803C1"/>
    <w:rsid w:val="00895358"/>
    <w:rsid w:val="00896BC7"/>
    <w:rsid w:val="0089752F"/>
    <w:rsid w:val="008B3695"/>
    <w:rsid w:val="008B7E5C"/>
    <w:rsid w:val="008C10E8"/>
    <w:rsid w:val="008D17E5"/>
    <w:rsid w:val="008D2E51"/>
    <w:rsid w:val="008D55C3"/>
    <w:rsid w:val="008E3081"/>
    <w:rsid w:val="008E4672"/>
    <w:rsid w:val="008F6553"/>
    <w:rsid w:val="00902F9B"/>
    <w:rsid w:val="00930E01"/>
    <w:rsid w:val="00932FAA"/>
    <w:rsid w:val="00954D37"/>
    <w:rsid w:val="00964E2B"/>
    <w:rsid w:val="00977A38"/>
    <w:rsid w:val="00980F29"/>
    <w:rsid w:val="009827DB"/>
    <w:rsid w:val="009900D0"/>
    <w:rsid w:val="009A1768"/>
    <w:rsid w:val="009B526E"/>
    <w:rsid w:val="009C48AD"/>
    <w:rsid w:val="009C661C"/>
    <w:rsid w:val="009D5B1B"/>
    <w:rsid w:val="009E457D"/>
    <w:rsid w:val="00A10151"/>
    <w:rsid w:val="00A10D5C"/>
    <w:rsid w:val="00A3329B"/>
    <w:rsid w:val="00A34472"/>
    <w:rsid w:val="00A4305D"/>
    <w:rsid w:val="00A57FB2"/>
    <w:rsid w:val="00A62810"/>
    <w:rsid w:val="00A65C51"/>
    <w:rsid w:val="00A837A1"/>
    <w:rsid w:val="00A85F86"/>
    <w:rsid w:val="00AB2CEA"/>
    <w:rsid w:val="00AC220E"/>
    <w:rsid w:val="00AD7B5A"/>
    <w:rsid w:val="00AE4A63"/>
    <w:rsid w:val="00AF090F"/>
    <w:rsid w:val="00AF3329"/>
    <w:rsid w:val="00B31BCC"/>
    <w:rsid w:val="00B41DDE"/>
    <w:rsid w:val="00B42989"/>
    <w:rsid w:val="00B60910"/>
    <w:rsid w:val="00B70DB0"/>
    <w:rsid w:val="00B73268"/>
    <w:rsid w:val="00B74098"/>
    <w:rsid w:val="00B80C04"/>
    <w:rsid w:val="00B940A4"/>
    <w:rsid w:val="00B95091"/>
    <w:rsid w:val="00BA709C"/>
    <w:rsid w:val="00BB5BBF"/>
    <w:rsid w:val="00BC0EE1"/>
    <w:rsid w:val="00BC5416"/>
    <w:rsid w:val="00BD2ACE"/>
    <w:rsid w:val="00BF11CA"/>
    <w:rsid w:val="00BF4D4F"/>
    <w:rsid w:val="00C0022A"/>
    <w:rsid w:val="00C16070"/>
    <w:rsid w:val="00C2738B"/>
    <w:rsid w:val="00C31D6C"/>
    <w:rsid w:val="00C50433"/>
    <w:rsid w:val="00C5051D"/>
    <w:rsid w:val="00C544BB"/>
    <w:rsid w:val="00C6088A"/>
    <w:rsid w:val="00C835E7"/>
    <w:rsid w:val="00C836FB"/>
    <w:rsid w:val="00CB22E8"/>
    <w:rsid w:val="00CB2F6A"/>
    <w:rsid w:val="00CB300B"/>
    <w:rsid w:val="00CB702E"/>
    <w:rsid w:val="00CC02B2"/>
    <w:rsid w:val="00CC0811"/>
    <w:rsid w:val="00CC24DE"/>
    <w:rsid w:val="00CC7F03"/>
    <w:rsid w:val="00CD72C2"/>
    <w:rsid w:val="00CE095F"/>
    <w:rsid w:val="00CE3B89"/>
    <w:rsid w:val="00CE79A5"/>
    <w:rsid w:val="00D1254C"/>
    <w:rsid w:val="00D15A01"/>
    <w:rsid w:val="00D32509"/>
    <w:rsid w:val="00D71E8E"/>
    <w:rsid w:val="00D831FE"/>
    <w:rsid w:val="00DA18D9"/>
    <w:rsid w:val="00DE4228"/>
    <w:rsid w:val="00DF0920"/>
    <w:rsid w:val="00DF1BBE"/>
    <w:rsid w:val="00DF1D4F"/>
    <w:rsid w:val="00E01A23"/>
    <w:rsid w:val="00E233A6"/>
    <w:rsid w:val="00E54CA9"/>
    <w:rsid w:val="00E60009"/>
    <w:rsid w:val="00E76C30"/>
    <w:rsid w:val="00E7743D"/>
    <w:rsid w:val="00E77FEC"/>
    <w:rsid w:val="00E80043"/>
    <w:rsid w:val="00E8128B"/>
    <w:rsid w:val="00E972A6"/>
    <w:rsid w:val="00EB6598"/>
    <w:rsid w:val="00EC5B1E"/>
    <w:rsid w:val="00EE6DE0"/>
    <w:rsid w:val="00EF095F"/>
    <w:rsid w:val="00EF209B"/>
    <w:rsid w:val="00EF3193"/>
    <w:rsid w:val="00EF36A6"/>
    <w:rsid w:val="00F02ED0"/>
    <w:rsid w:val="00F115E0"/>
    <w:rsid w:val="00F14D6E"/>
    <w:rsid w:val="00F15F92"/>
    <w:rsid w:val="00F2218B"/>
    <w:rsid w:val="00F40D98"/>
    <w:rsid w:val="00F450F8"/>
    <w:rsid w:val="00F45FBB"/>
    <w:rsid w:val="00F56516"/>
    <w:rsid w:val="00F608CF"/>
    <w:rsid w:val="00F67628"/>
    <w:rsid w:val="00F7144E"/>
    <w:rsid w:val="00F77B7D"/>
    <w:rsid w:val="00F84538"/>
    <w:rsid w:val="00F87DBA"/>
    <w:rsid w:val="00F90538"/>
    <w:rsid w:val="00F93B25"/>
    <w:rsid w:val="00F94542"/>
    <w:rsid w:val="00FB5586"/>
    <w:rsid w:val="00FB6C32"/>
    <w:rsid w:val="00FE30FA"/>
    <w:rsid w:val="00FE33DB"/>
    <w:rsid w:val="00FE4D18"/>
    <w:rsid w:val="00FE6602"/>
    <w:rsid w:val="00FF07BA"/>
    <w:rsid w:val="00FF0F4E"/>
    <w:rsid w:val="00FF5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98"/>
    <w:pPr>
      <w:spacing w:before="240" w:after="24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qFormat/>
    <w:rsid w:val="002C749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2C7498"/>
    <w:pPr>
      <w:numPr>
        <w:ilvl w:val="1"/>
      </w:numPr>
      <w:outlineLvl w:val="1"/>
    </w:pPr>
    <w:rPr>
      <w:bCs w:val="0"/>
      <w:i/>
      <w:color w:val="000000"/>
      <w:szCs w:val="26"/>
    </w:rPr>
  </w:style>
  <w:style w:type="paragraph" w:styleId="Heading3">
    <w:name w:val="heading 3"/>
    <w:basedOn w:val="Heading2"/>
    <w:next w:val="Normal"/>
    <w:link w:val="Heading3Char"/>
    <w:qFormat/>
    <w:rsid w:val="002C7498"/>
    <w:pPr>
      <w:numPr>
        <w:ilvl w:val="2"/>
      </w:numPr>
      <w:outlineLvl w:val="2"/>
    </w:pPr>
    <w:rPr>
      <w:b w:val="0"/>
      <w:bCs/>
      <w:color w:val="auto"/>
      <w:sz w:val="24"/>
    </w:rPr>
  </w:style>
  <w:style w:type="paragraph" w:styleId="Heading4">
    <w:name w:val="heading 4"/>
    <w:basedOn w:val="Heading3"/>
    <w:next w:val="Normal"/>
    <w:link w:val="Heading4Char"/>
    <w:qFormat/>
    <w:rsid w:val="002C7498"/>
    <w:pPr>
      <w:numPr>
        <w:ilvl w:val="3"/>
      </w:numPr>
      <w:outlineLvl w:val="3"/>
    </w:pPr>
    <w:rPr>
      <w:bCs w:val="0"/>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498"/>
    <w:rPr>
      <w:rFonts w:ascii="Arial" w:eastAsia="Times New Roman" w:hAnsi="Arial" w:cs="Times New Roman"/>
      <w:b/>
      <w:bCs/>
      <w:sz w:val="28"/>
      <w:szCs w:val="28"/>
      <w:lang w:eastAsia="en-AU"/>
    </w:rPr>
  </w:style>
  <w:style w:type="character" w:customStyle="1" w:styleId="Heading2Char">
    <w:name w:val="Heading 2 Char"/>
    <w:basedOn w:val="DefaultParagraphFont"/>
    <w:link w:val="Heading2"/>
    <w:rsid w:val="002C7498"/>
    <w:rPr>
      <w:rFonts w:ascii="Arial" w:eastAsia="Times New Roman" w:hAnsi="Arial" w:cs="Times New Roman"/>
      <w:b/>
      <w:i/>
      <w:color w:val="000000"/>
      <w:sz w:val="28"/>
      <w:szCs w:val="26"/>
      <w:lang w:eastAsia="en-AU"/>
    </w:rPr>
  </w:style>
  <w:style w:type="character" w:customStyle="1" w:styleId="Heading3Char">
    <w:name w:val="Heading 3 Char"/>
    <w:basedOn w:val="DefaultParagraphFont"/>
    <w:link w:val="Heading3"/>
    <w:rsid w:val="002C7498"/>
    <w:rPr>
      <w:rFonts w:ascii="Arial" w:eastAsia="Times New Roman" w:hAnsi="Arial" w:cs="Times New Roman"/>
      <w:bCs/>
      <w:i/>
      <w:sz w:val="24"/>
      <w:szCs w:val="26"/>
      <w:lang w:eastAsia="en-AU"/>
    </w:rPr>
  </w:style>
  <w:style w:type="character" w:customStyle="1" w:styleId="Heading4Char">
    <w:name w:val="Heading 4 Char"/>
    <w:basedOn w:val="DefaultParagraphFont"/>
    <w:link w:val="Heading4"/>
    <w:rsid w:val="002C7498"/>
    <w:rPr>
      <w:rFonts w:ascii="Arial" w:eastAsia="Times New Roman" w:hAnsi="Arial" w:cs="Times New Roman"/>
      <w:iCs/>
      <w:sz w:val="24"/>
      <w:szCs w:val="26"/>
      <w:lang w:eastAsia="en-AU"/>
    </w:rPr>
  </w:style>
  <w:style w:type="paragraph" w:styleId="Header">
    <w:name w:val="header"/>
    <w:basedOn w:val="Normal"/>
    <w:link w:val="HeaderChar"/>
    <w:semiHidden/>
    <w:rsid w:val="002C7498"/>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2C7498"/>
    <w:rPr>
      <w:rFonts w:ascii="Arial" w:eastAsia="Times New Roman" w:hAnsi="Arial" w:cs="Times New Roman"/>
      <w:szCs w:val="24"/>
      <w:lang w:eastAsia="en-AU"/>
    </w:rPr>
  </w:style>
  <w:style w:type="paragraph" w:styleId="Footer">
    <w:name w:val="footer"/>
    <w:basedOn w:val="Normal"/>
    <w:link w:val="FooterChar"/>
    <w:uiPriority w:val="99"/>
    <w:semiHidden/>
    <w:rsid w:val="002C7498"/>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2C7498"/>
    <w:rPr>
      <w:rFonts w:ascii="Arial" w:eastAsia="Times New Roman" w:hAnsi="Arial" w:cs="Times New Roman"/>
      <w:szCs w:val="24"/>
      <w:lang w:eastAsia="en-AU"/>
    </w:rPr>
  </w:style>
  <w:style w:type="character" w:styleId="CommentReference">
    <w:name w:val="annotation reference"/>
    <w:basedOn w:val="DefaultParagraphFont"/>
    <w:unhideWhenUsed/>
    <w:rsid w:val="002C7498"/>
    <w:rPr>
      <w:sz w:val="16"/>
      <w:szCs w:val="16"/>
    </w:rPr>
  </w:style>
  <w:style w:type="paragraph" w:styleId="CommentText">
    <w:name w:val="annotation text"/>
    <w:basedOn w:val="Normal"/>
    <w:link w:val="CommentTextChar"/>
    <w:unhideWhenUsed/>
    <w:rsid w:val="002C7498"/>
    <w:rPr>
      <w:sz w:val="20"/>
      <w:szCs w:val="20"/>
    </w:rPr>
  </w:style>
  <w:style w:type="character" w:customStyle="1" w:styleId="CommentTextChar">
    <w:name w:val="Comment Text Char"/>
    <w:basedOn w:val="DefaultParagraphFont"/>
    <w:link w:val="CommentText"/>
    <w:rsid w:val="002C7498"/>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C749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98"/>
    <w:rPr>
      <w:rFonts w:ascii="Tahoma" w:eastAsia="Times New Roman" w:hAnsi="Tahoma" w:cs="Tahoma"/>
      <w:sz w:val="16"/>
      <w:szCs w:val="16"/>
      <w:lang w:eastAsia="en-AU"/>
    </w:rPr>
  </w:style>
  <w:style w:type="character" w:styleId="Hyperlink">
    <w:name w:val="Hyperlink"/>
    <w:basedOn w:val="DefaultParagraphFont"/>
    <w:uiPriority w:val="99"/>
    <w:unhideWhenUsed/>
    <w:rsid w:val="00364C7D"/>
    <w:rPr>
      <w:color w:val="0000FF"/>
      <w:u w:val="single"/>
    </w:rPr>
  </w:style>
  <w:style w:type="paragraph" w:styleId="ListParagraph">
    <w:name w:val="List Paragraph"/>
    <w:basedOn w:val="Normal"/>
    <w:uiPriority w:val="34"/>
    <w:qFormat/>
    <w:rsid w:val="00364C7D"/>
    <w:pPr>
      <w:ind w:left="720"/>
      <w:contextualSpacing/>
    </w:pPr>
  </w:style>
  <w:style w:type="paragraph" w:styleId="CommentSubject">
    <w:name w:val="annotation subject"/>
    <w:basedOn w:val="CommentText"/>
    <w:next w:val="CommentText"/>
    <w:link w:val="CommentSubjectChar"/>
    <w:uiPriority w:val="99"/>
    <w:semiHidden/>
    <w:unhideWhenUsed/>
    <w:rsid w:val="004E6EA9"/>
    <w:rPr>
      <w:b/>
      <w:bCs/>
    </w:rPr>
  </w:style>
  <w:style w:type="character" w:customStyle="1" w:styleId="CommentSubjectChar">
    <w:name w:val="Comment Subject Char"/>
    <w:basedOn w:val="CommentTextChar"/>
    <w:link w:val="CommentSubject"/>
    <w:uiPriority w:val="99"/>
    <w:semiHidden/>
    <w:rsid w:val="004E6EA9"/>
    <w:rPr>
      <w:rFonts w:ascii="Arial" w:eastAsia="Times New Roman" w:hAnsi="Arial" w:cs="Times New Roman"/>
      <w:b/>
      <w:bCs/>
      <w:sz w:val="20"/>
      <w:szCs w:val="20"/>
      <w:lang w:eastAsia="en-AU"/>
    </w:rPr>
  </w:style>
  <w:style w:type="table" w:styleId="TableGrid">
    <w:name w:val="Table Grid"/>
    <w:basedOn w:val="TableNormal"/>
    <w:rsid w:val="008D17E5"/>
    <w:pPr>
      <w:spacing w:after="0" w:line="240" w:lineRule="auto"/>
    </w:pPr>
    <w:rPr>
      <w:rFonts w:ascii="Arial" w:hAnsi="Arial" w:cs="Arial"/>
      <w:kern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7E0277"/>
    <w:pPr>
      <w:spacing w:before="0" w:after="0"/>
      <w:jc w:val="both"/>
    </w:pPr>
    <w:rPr>
      <w:rFonts w:eastAsiaTheme="minorHAnsi" w:cstheme="minorBidi"/>
      <w:sz w:val="20"/>
      <w:szCs w:val="20"/>
      <w:lang w:eastAsia="en-US"/>
    </w:rPr>
  </w:style>
  <w:style w:type="character" w:customStyle="1" w:styleId="FootnoteTextChar">
    <w:name w:val="Footnote Text Char"/>
    <w:basedOn w:val="DefaultParagraphFont"/>
    <w:link w:val="FootnoteText"/>
    <w:rsid w:val="007E0277"/>
    <w:rPr>
      <w:rFonts w:ascii="Arial" w:hAnsi="Arial"/>
      <w:sz w:val="20"/>
      <w:szCs w:val="20"/>
    </w:rPr>
  </w:style>
  <w:style w:type="character" w:styleId="FootnoteReference">
    <w:name w:val="footnote reference"/>
    <w:basedOn w:val="DefaultParagraphFont"/>
    <w:unhideWhenUsed/>
    <w:rsid w:val="007E0277"/>
    <w:rPr>
      <w:vertAlign w:val="superscript"/>
    </w:rPr>
  </w:style>
  <w:style w:type="paragraph" w:customStyle="1" w:styleId="SecBody">
    <w:name w:val="Sec Body"/>
    <w:basedOn w:val="Normal"/>
    <w:link w:val="SecBodyChar"/>
    <w:uiPriority w:val="99"/>
    <w:qFormat/>
    <w:rsid w:val="00005FCF"/>
    <w:pPr>
      <w:spacing w:before="120" w:after="120"/>
      <w:ind w:left="567"/>
    </w:pPr>
    <w:rPr>
      <w:rFonts w:eastAsiaTheme="minorHAnsi" w:cs="Arial"/>
      <w:sz w:val="22"/>
      <w:szCs w:val="22"/>
      <w:lang w:eastAsia="en-US"/>
    </w:rPr>
  </w:style>
  <w:style w:type="character" w:customStyle="1" w:styleId="SecBodyChar">
    <w:name w:val="Sec Body Char"/>
    <w:basedOn w:val="DefaultParagraphFont"/>
    <w:link w:val="SecBody"/>
    <w:uiPriority w:val="99"/>
    <w:rsid w:val="00005FCF"/>
    <w:rPr>
      <w:rFonts w:ascii="Arial" w:hAnsi="Arial" w:cs="Arial"/>
    </w:rPr>
  </w:style>
  <w:style w:type="paragraph" w:customStyle="1" w:styleId="SecBullets">
    <w:name w:val="Sec Bullets"/>
    <w:basedOn w:val="SecBody"/>
    <w:next w:val="SecBody"/>
    <w:qFormat/>
    <w:rsid w:val="00CE095F"/>
    <w:pPr>
      <w:numPr>
        <w:numId w:val="8"/>
      </w:numPr>
      <w:spacing w:before="60" w:after="60"/>
    </w:pPr>
  </w:style>
  <w:style w:type="paragraph" w:customStyle="1" w:styleId="acthead5">
    <w:name w:val="acthead5"/>
    <w:basedOn w:val="Normal"/>
    <w:rsid w:val="00F40D98"/>
    <w:pPr>
      <w:spacing w:before="100" w:beforeAutospacing="1" w:after="100" w:afterAutospacing="1"/>
    </w:pPr>
    <w:rPr>
      <w:rFonts w:ascii="Times New Roman" w:hAnsi="Times New Roman"/>
    </w:rPr>
  </w:style>
  <w:style w:type="character" w:customStyle="1" w:styleId="charsectno">
    <w:name w:val="charsectno"/>
    <w:basedOn w:val="DefaultParagraphFont"/>
    <w:rsid w:val="00F40D98"/>
  </w:style>
  <w:style w:type="paragraph" w:customStyle="1" w:styleId="subsection">
    <w:name w:val="subsection"/>
    <w:basedOn w:val="Normal"/>
    <w:rsid w:val="00F40D98"/>
    <w:pPr>
      <w:spacing w:before="100" w:beforeAutospacing="1" w:after="100" w:afterAutospacing="1"/>
    </w:pPr>
    <w:rPr>
      <w:rFonts w:ascii="Times New Roman" w:hAnsi="Times New Roman"/>
    </w:rPr>
  </w:style>
  <w:style w:type="paragraph" w:customStyle="1" w:styleId="paragraph">
    <w:name w:val="paragraph"/>
    <w:basedOn w:val="Normal"/>
    <w:rsid w:val="0013194E"/>
    <w:pPr>
      <w:spacing w:before="100" w:beforeAutospacing="1" w:after="100" w:afterAutospacing="1"/>
    </w:pPr>
    <w:rPr>
      <w:rFonts w:ascii="Times New Roman" w:hAnsi="Times New Roman"/>
    </w:rPr>
  </w:style>
  <w:style w:type="paragraph" w:customStyle="1" w:styleId="paragraphsub">
    <w:name w:val="paragraphsub"/>
    <w:basedOn w:val="Normal"/>
    <w:rsid w:val="0013194E"/>
    <w:pPr>
      <w:spacing w:before="100" w:beforeAutospacing="1" w:after="100" w:afterAutospacing="1"/>
    </w:pPr>
    <w:rPr>
      <w:rFonts w:ascii="Times New Roman" w:hAnsi="Times New Roman"/>
    </w:rPr>
  </w:style>
  <w:style w:type="paragraph" w:customStyle="1" w:styleId="Default">
    <w:name w:val="Default"/>
    <w:rsid w:val="00F15F9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16213B"/>
    <w:rPr>
      <w:color w:val="800080" w:themeColor="followedHyperlink"/>
      <w:u w:val="single"/>
    </w:rPr>
  </w:style>
  <w:style w:type="paragraph" w:styleId="BodyText">
    <w:name w:val="Body Text"/>
    <w:basedOn w:val="Normal"/>
    <w:link w:val="BodyTextChar"/>
    <w:uiPriority w:val="99"/>
    <w:rsid w:val="00C836FB"/>
    <w:pPr>
      <w:suppressAutoHyphens/>
      <w:autoSpaceDE w:val="0"/>
      <w:autoSpaceDN w:val="0"/>
      <w:adjustRightInd w:val="0"/>
      <w:spacing w:before="57" w:after="57" w:line="288" w:lineRule="auto"/>
      <w:ind w:left="113"/>
      <w:textAlignment w:val="center"/>
    </w:pPr>
    <w:rPr>
      <w:rFonts w:ascii="Gotham Light" w:hAnsi="Gotham Light" w:cs="Gotham Light"/>
      <w:color w:val="000000"/>
      <w:sz w:val="20"/>
      <w:szCs w:val="20"/>
      <w:lang w:val="en-GB" w:eastAsia="en-US"/>
    </w:rPr>
  </w:style>
  <w:style w:type="character" w:customStyle="1" w:styleId="BodyTextChar">
    <w:name w:val="Body Text Char"/>
    <w:basedOn w:val="DefaultParagraphFont"/>
    <w:link w:val="BodyText"/>
    <w:uiPriority w:val="99"/>
    <w:rsid w:val="00C836FB"/>
    <w:rPr>
      <w:rFonts w:ascii="Gotham Light" w:eastAsia="Times New Roman" w:hAnsi="Gotham Light" w:cs="Gotham Light"/>
      <w:color w:val="000000"/>
      <w:sz w:val="20"/>
      <w:szCs w:val="20"/>
      <w:lang w:val="en-GB"/>
    </w:rPr>
  </w:style>
  <w:style w:type="paragraph" w:styleId="List">
    <w:name w:val="List"/>
    <w:basedOn w:val="BodyText"/>
    <w:uiPriority w:val="99"/>
    <w:rsid w:val="00C836FB"/>
    <w:pPr>
      <w:ind w:left="473" w:hanging="360"/>
    </w:pPr>
  </w:style>
  <w:style w:type="paragraph" w:styleId="NormalWeb">
    <w:name w:val="Normal (Web)"/>
    <w:basedOn w:val="Normal"/>
    <w:uiPriority w:val="99"/>
    <w:semiHidden/>
    <w:unhideWhenUsed/>
    <w:rsid w:val="002606DB"/>
    <w:pPr>
      <w:spacing w:before="100" w:beforeAutospacing="1" w:after="100" w:afterAutospacing="1"/>
    </w:pPr>
    <w:rPr>
      <w:rFonts w:ascii="Times New Roman" w:hAnsi="Times New Roman"/>
    </w:rPr>
  </w:style>
  <w:style w:type="paragraph" w:styleId="Revision">
    <w:name w:val="Revision"/>
    <w:hidden/>
    <w:uiPriority w:val="99"/>
    <w:semiHidden/>
    <w:rsid w:val="007907A9"/>
    <w:pPr>
      <w:spacing w:after="0" w:line="240" w:lineRule="auto"/>
    </w:pPr>
    <w:rPr>
      <w:rFonts w:ascii="Arial" w:eastAsia="Times New Roman" w:hAnsi="Arial" w:cs="Times New Roman"/>
      <w:sz w:val="24"/>
      <w:szCs w:val="24"/>
      <w:lang w:eastAsia="en-AU"/>
    </w:rPr>
  </w:style>
  <w:style w:type="paragraph" w:styleId="EndnoteText">
    <w:name w:val="endnote text"/>
    <w:basedOn w:val="Normal"/>
    <w:link w:val="EndnoteTextChar"/>
    <w:uiPriority w:val="99"/>
    <w:semiHidden/>
    <w:unhideWhenUsed/>
    <w:rsid w:val="0002797E"/>
    <w:pPr>
      <w:spacing w:before="0" w:after="0"/>
    </w:pPr>
    <w:rPr>
      <w:sz w:val="20"/>
      <w:szCs w:val="20"/>
    </w:rPr>
  </w:style>
  <w:style w:type="character" w:customStyle="1" w:styleId="EndnoteTextChar">
    <w:name w:val="Endnote Text Char"/>
    <w:basedOn w:val="DefaultParagraphFont"/>
    <w:link w:val="EndnoteText"/>
    <w:uiPriority w:val="99"/>
    <w:semiHidden/>
    <w:rsid w:val="0002797E"/>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0279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98"/>
    <w:pPr>
      <w:spacing w:before="240" w:after="24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qFormat/>
    <w:rsid w:val="002C749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2C7498"/>
    <w:pPr>
      <w:numPr>
        <w:ilvl w:val="1"/>
      </w:numPr>
      <w:outlineLvl w:val="1"/>
    </w:pPr>
    <w:rPr>
      <w:bCs w:val="0"/>
      <w:i/>
      <w:color w:val="000000"/>
      <w:szCs w:val="26"/>
    </w:rPr>
  </w:style>
  <w:style w:type="paragraph" w:styleId="Heading3">
    <w:name w:val="heading 3"/>
    <w:basedOn w:val="Heading2"/>
    <w:next w:val="Normal"/>
    <w:link w:val="Heading3Char"/>
    <w:qFormat/>
    <w:rsid w:val="002C7498"/>
    <w:pPr>
      <w:numPr>
        <w:ilvl w:val="2"/>
      </w:numPr>
      <w:outlineLvl w:val="2"/>
    </w:pPr>
    <w:rPr>
      <w:b w:val="0"/>
      <w:bCs/>
      <w:color w:val="auto"/>
      <w:sz w:val="24"/>
    </w:rPr>
  </w:style>
  <w:style w:type="paragraph" w:styleId="Heading4">
    <w:name w:val="heading 4"/>
    <w:basedOn w:val="Heading3"/>
    <w:next w:val="Normal"/>
    <w:link w:val="Heading4Char"/>
    <w:qFormat/>
    <w:rsid w:val="002C7498"/>
    <w:pPr>
      <w:numPr>
        <w:ilvl w:val="3"/>
      </w:numPr>
      <w:outlineLvl w:val="3"/>
    </w:pPr>
    <w:rPr>
      <w:bCs w:val="0"/>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498"/>
    <w:rPr>
      <w:rFonts w:ascii="Arial" w:eastAsia="Times New Roman" w:hAnsi="Arial" w:cs="Times New Roman"/>
      <w:b/>
      <w:bCs/>
      <w:sz w:val="28"/>
      <w:szCs w:val="28"/>
      <w:lang w:eastAsia="en-AU"/>
    </w:rPr>
  </w:style>
  <w:style w:type="character" w:customStyle="1" w:styleId="Heading2Char">
    <w:name w:val="Heading 2 Char"/>
    <w:basedOn w:val="DefaultParagraphFont"/>
    <w:link w:val="Heading2"/>
    <w:rsid w:val="002C7498"/>
    <w:rPr>
      <w:rFonts w:ascii="Arial" w:eastAsia="Times New Roman" w:hAnsi="Arial" w:cs="Times New Roman"/>
      <w:b/>
      <w:i/>
      <w:color w:val="000000"/>
      <w:sz w:val="28"/>
      <w:szCs w:val="26"/>
      <w:lang w:eastAsia="en-AU"/>
    </w:rPr>
  </w:style>
  <w:style w:type="character" w:customStyle="1" w:styleId="Heading3Char">
    <w:name w:val="Heading 3 Char"/>
    <w:basedOn w:val="DefaultParagraphFont"/>
    <w:link w:val="Heading3"/>
    <w:rsid w:val="002C7498"/>
    <w:rPr>
      <w:rFonts w:ascii="Arial" w:eastAsia="Times New Roman" w:hAnsi="Arial" w:cs="Times New Roman"/>
      <w:bCs/>
      <w:i/>
      <w:sz w:val="24"/>
      <w:szCs w:val="26"/>
      <w:lang w:eastAsia="en-AU"/>
    </w:rPr>
  </w:style>
  <w:style w:type="character" w:customStyle="1" w:styleId="Heading4Char">
    <w:name w:val="Heading 4 Char"/>
    <w:basedOn w:val="DefaultParagraphFont"/>
    <w:link w:val="Heading4"/>
    <w:rsid w:val="002C7498"/>
    <w:rPr>
      <w:rFonts w:ascii="Arial" w:eastAsia="Times New Roman" w:hAnsi="Arial" w:cs="Times New Roman"/>
      <w:iCs/>
      <w:sz w:val="24"/>
      <w:szCs w:val="26"/>
      <w:lang w:eastAsia="en-AU"/>
    </w:rPr>
  </w:style>
  <w:style w:type="paragraph" w:styleId="Header">
    <w:name w:val="header"/>
    <w:basedOn w:val="Normal"/>
    <w:link w:val="HeaderChar"/>
    <w:semiHidden/>
    <w:rsid w:val="002C7498"/>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2C7498"/>
    <w:rPr>
      <w:rFonts w:ascii="Arial" w:eastAsia="Times New Roman" w:hAnsi="Arial" w:cs="Times New Roman"/>
      <w:szCs w:val="24"/>
      <w:lang w:eastAsia="en-AU"/>
    </w:rPr>
  </w:style>
  <w:style w:type="paragraph" w:styleId="Footer">
    <w:name w:val="footer"/>
    <w:basedOn w:val="Normal"/>
    <w:link w:val="FooterChar"/>
    <w:uiPriority w:val="99"/>
    <w:semiHidden/>
    <w:rsid w:val="002C7498"/>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2C7498"/>
    <w:rPr>
      <w:rFonts w:ascii="Arial" w:eastAsia="Times New Roman" w:hAnsi="Arial" w:cs="Times New Roman"/>
      <w:szCs w:val="24"/>
      <w:lang w:eastAsia="en-AU"/>
    </w:rPr>
  </w:style>
  <w:style w:type="character" w:styleId="CommentReference">
    <w:name w:val="annotation reference"/>
    <w:basedOn w:val="DefaultParagraphFont"/>
    <w:unhideWhenUsed/>
    <w:rsid w:val="002C7498"/>
    <w:rPr>
      <w:sz w:val="16"/>
      <w:szCs w:val="16"/>
    </w:rPr>
  </w:style>
  <w:style w:type="paragraph" w:styleId="CommentText">
    <w:name w:val="annotation text"/>
    <w:basedOn w:val="Normal"/>
    <w:link w:val="CommentTextChar"/>
    <w:unhideWhenUsed/>
    <w:rsid w:val="002C7498"/>
    <w:rPr>
      <w:sz w:val="20"/>
      <w:szCs w:val="20"/>
    </w:rPr>
  </w:style>
  <w:style w:type="character" w:customStyle="1" w:styleId="CommentTextChar">
    <w:name w:val="Comment Text Char"/>
    <w:basedOn w:val="DefaultParagraphFont"/>
    <w:link w:val="CommentText"/>
    <w:rsid w:val="002C7498"/>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C749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98"/>
    <w:rPr>
      <w:rFonts w:ascii="Tahoma" w:eastAsia="Times New Roman" w:hAnsi="Tahoma" w:cs="Tahoma"/>
      <w:sz w:val="16"/>
      <w:szCs w:val="16"/>
      <w:lang w:eastAsia="en-AU"/>
    </w:rPr>
  </w:style>
  <w:style w:type="character" w:styleId="Hyperlink">
    <w:name w:val="Hyperlink"/>
    <w:basedOn w:val="DefaultParagraphFont"/>
    <w:uiPriority w:val="99"/>
    <w:unhideWhenUsed/>
    <w:rsid w:val="00364C7D"/>
    <w:rPr>
      <w:color w:val="0000FF"/>
      <w:u w:val="single"/>
    </w:rPr>
  </w:style>
  <w:style w:type="paragraph" w:styleId="ListParagraph">
    <w:name w:val="List Paragraph"/>
    <w:basedOn w:val="Normal"/>
    <w:uiPriority w:val="34"/>
    <w:qFormat/>
    <w:rsid w:val="00364C7D"/>
    <w:pPr>
      <w:ind w:left="720"/>
      <w:contextualSpacing/>
    </w:pPr>
  </w:style>
  <w:style w:type="paragraph" w:styleId="CommentSubject">
    <w:name w:val="annotation subject"/>
    <w:basedOn w:val="CommentText"/>
    <w:next w:val="CommentText"/>
    <w:link w:val="CommentSubjectChar"/>
    <w:uiPriority w:val="99"/>
    <w:semiHidden/>
    <w:unhideWhenUsed/>
    <w:rsid w:val="004E6EA9"/>
    <w:rPr>
      <w:b/>
      <w:bCs/>
    </w:rPr>
  </w:style>
  <w:style w:type="character" w:customStyle="1" w:styleId="CommentSubjectChar">
    <w:name w:val="Comment Subject Char"/>
    <w:basedOn w:val="CommentTextChar"/>
    <w:link w:val="CommentSubject"/>
    <w:uiPriority w:val="99"/>
    <w:semiHidden/>
    <w:rsid w:val="004E6EA9"/>
    <w:rPr>
      <w:rFonts w:ascii="Arial" w:eastAsia="Times New Roman" w:hAnsi="Arial" w:cs="Times New Roman"/>
      <w:b/>
      <w:bCs/>
      <w:sz w:val="20"/>
      <w:szCs w:val="20"/>
      <w:lang w:eastAsia="en-AU"/>
    </w:rPr>
  </w:style>
  <w:style w:type="table" w:styleId="TableGrid">
    <w:name w:val="Table Grid"/>
    <w:basedOn w:val="TableNormal"/>
    <w:rsid w:val="008D17E5"/>
    <w:pPr>
      <w:spacing w:after="0" w:line="240" w:lineRule="auto"/>
    </w:pPr>
    <w:rPr>
      <w:rFonts w:ascii="Arial" w:hAnsi="Arial" w:cs="Arial"/>
      <w:kern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7E0277"/>
    <w:pPr>
      <w:spacing w:before="0" w:after="0"/>
      <w:jc w:val="both"/>
    </w:pPr>
    <w:rPr>
      <w:rFonts w:eastAsiaTheme="minorHAnsi" w:cstheme="minorBidi"/>
      <w:sz w:val="20"/>
      <w:szCs w:val="20"/>
      <w:lang w:eastAsia="en-US"/>
    </w:rPr>
  </w:style>
  <w:style w:type="character" w:customStyle="1" w:styleId="FootnoteTextChar">
    <w:name w:val="Footnote Text Char"/>
    <w:basedOn w:val="DefaultParagraphFont"/>
    <w:link w:val="FootnoteText"/>
    <w:rsid w:val="007E0277"/>
    <w:rPr>
      <w:rFonts w:ascii="Arial" w:hAnsi="Arial"/>
      <w:sz w:val="20"/>
      <w:szCs w:val="20"/>
    </w:rPr>
  </w:style>
  <w:style w:type="character" w:styleId="FootnoteReference">
    <w:name w:val="footnote reference"/>
    <w:basedOn w:val="DefaultParagraphFont"/>
    <w:unhideWhenUsed/>
    <w:rsid w:val="007E0277"/>
    <w:rPr>
      <w:vertAlign w:val="superscript"/>
    </w:rPr>
  </w:style>
  <w:style w:type="paragraph" w:customStyle="1" w:styleId="SecBody">
    <w:name w:val="Sec Body"/>
    <w:basedOn w:val="Normal"/>
    <w:link w:val="SecBodyChar"/>
    <w:uiPriority w:val="99"/>
    <w:qFormat/>
    <w:rsid w:val="00005FCF"/>
    <w:pPr>
      <w:spacing w:before="120" w:after="120"/>
      <w:ind w:left="567"/>
    </w:pPr>
    <w:rPr>
      <w:rFonts w:eastAsiaTheme="minorHAnsi" w:cs="Arial"/>
      <w:sz w:val="22"/>
      <w:szCs w:val="22"/>
      <w:lang w:eastAsia="en-US"/>
    </w:rPr>
  </w:style>
  <w:style w:type="character" w:customStyle="1" w:styleId="SecBodyChar">
    <w:name w:val="Sec Body Char"/>
    <w:basedOn w:val="DefaultParagraphFont"/>
    <w:link w:val="SecBody"/>
    <w:uiPriority w:val="99"/>
    <w:rsid w:val="00005FCF"/>
    <w:rPr>
      <w:rFonts w:ascii="Arial" w:hAnsi="Arial" w:cs="Arial"/>
    </w:rPr>
  </w:style>
  <w:style w:type="paragraph" w:customStyle="1" w:styleId="SecBullets">
    <w:name w:val="Sec Bullets"/>
    <w:basedOn w:val="SecBody"/>
    <w:next w:val="SecBody"/>
    <w:qFormat/>
    <w:rsid w:val="00CE095F"/>
    <w:pPr>
      <w:numPr>
        <w:numId w:val="8"/>
      </w:numPr>
      <w:spacing w:before="60" w:after="60"/>
    </w:pPr>
  </w:style>
  <w:style w:type="paragraph" w:customStyle="1" w:styleId="acthead5">
    <w:name w:val="acthead5"/>
    <w:basedOn w:val="Normal"/>
    <w:rsid w:val="00F40D98"/>
    <w:pPr>
      <w:spacing w:before="100" w:beforeAutospacing="1" w:after="100" w:afterAutospacing="1"/>
    </w:pPr>
    <w:rPr>
      <w:rFonts w:ascii="Times New Roman" w:hAnsi="Times New Roman"/>
    </w:rPr>
  </w:style>
  <w:style w:type="character" w:customStyle="1" w:styleId="charsectno">
    <w:name w:val="charsectno"/>
    <w:basedOn w:val="DefaultParagraphFont"/>
    <w:rsid w:val="00F40D98"/>
  </w:style>
  <w:style w:type="paragraph" w:customStyle="1" w:styleId="subsection">
    <w:name w:val="subsection"/>
    <w:basedOn w:val="Normal"/>
    <w:rsid w:val="00F40D98"/>
    <w:pPr>
      <w:spacing w:before="100" w:beforeAutospacing="1" w:after="100" w:afterAutospacing="1"/>
    </w:pPr>
    <w:rPr>
      <w:rFonts w:ascii="Times New Roman" w:hAnsi="Times New Roman"/>
    </w:rPr>
  </w:style>
  <w:style w:type="paragraph" w:customStyle="1" w:styleId="paragraph">
    <w:name w:val="paragraph"/>
    <w:basedOn w:val="Normal"/>
    <w:rsid w:val="0013194E"/>
    <w:pPr>
      <w:spacing w:before="100" w:beforeAutospacing="1" w:after="100" w:afterAutospacing="1"/>
    </w:pPr>
    <w:rPr>
      <w:rFonts w:ascii="Times New Roman" w:hAnsi="Times New Roman"/>
    </w:rPr>
  </w:style>
  <w:style w:type="paragraph" w:customStyle="1" w:styleId="paragraphsub">
    <w:name w:val="paragraphsub"/>
    <w:basedOn w:val="Normal"/>
    <w:rsid w:val="0013194E"/>
    <w:pPr>
      <w:spacing w:before="100" w:beforeAutospacing="1" w:after="100" w:afterAutospacing="1"/>
    </w:pPr>
    <w:rPr>
      <w:rFonts w:ascii="Times New Roman" w:hAnsi="Times New Roman"/>
    </w:rPr>
  </w:style>
  <w:style w:type="paragraph" w:customStyle="1" w:styleId="Default">
    <w:name w:val="Default"/>
    <w:rsid w:val="00F15F9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16213B"/>
    <w:rPr>
      <w:color w:val="800080" w:themeColor="followedHyperlink"/>
      <w:u w:val="single"/>
    </w:rPr>
  </w:style>
  <w:style w:type="paragraph" w:styleId="BodyText">
    <w:name w:val="Body Text"/>
    <w:basedOn w:val="Normal"/>
    <w:link w:val="BodyTextChar"/>
    <w:uiPriority w:val="99"/>
    <w:rsid w:val="00C836FB"/>
    <w:pPr>
      <w:suppressAutoHyphens/>
      <w:autoSpaceDE w:val="0"/>
      <w:autoSpaceDN w:val="0"/>
      <w:adjustRightInd w:val="0"/>
      <w:spacing w:before="57" w:after="57" w:line="288" w:lineRule="auto"/>
      <w:ind w:left="113"/>
      <w:textAlignment w:val="center"/>
    </w:pPr>
    <w:rPr>
      <w:rFonts w:ascii="Gotham Light" w:hAnsi="Gotham Light" w:cs="Gotham Light"/>
      <w:color w:val="000000"/>
      <w:sz w:val="20"/>
      <w:szCs w:val="20"/>
      <w:lang w:val="en-GB" w:eastAsia="en-US"/>
    </w:rPr>
  </w:style>
  <w:style w:type="character" w:customStyle="1" w:styleId="BodyTextChar">
    <w:name w:val="Body Text Char"/>
    <w:basedOn w:val="DefaultParagraphFont"/>
    <w:link w:val="BodyText"/>
    <w:uiPriority w:val="99"/>
    <w:rsid w:val="00C836FB"/>
    <w:rPr>
      <w:rFonts w:ascii="Gotham Light" w:eastAsia="Times New Roman" w:hAnsi="Gotham Light" w:cs="Gotham Light"/>
      <w:color w:val="000000"/>
      <w:sz w:val="20"/>
      <w:szCs w:val="20"/>
      <w:lang w:val="en-GB"/>
    </w:rPr>
  </w:style>
  <w:style w:type="paragraph" w:styleId="List">
    <w:name w:val="List"/>
    <w:basedOn w:val="BodyText"/>
    <w:uiPriority w:val="99"/>
    <w:rsid w:val="00C836FB"/>
    <w:pPr>
      <w:ind w:left="473" w:hanging="360"/>
    </w:pPr>
  </w:style>
  <w:style w:type="paragraph" w:styleId="NormalWeb">
    <w:name w:val="Normal (Web)"/>
    <w:basedOn w:val="Normal"/>
    <w:uiPriority w:val="99"/>
    <w:semiHidden/>
    <w:unhideWhenUsed/>
    <w:rsid w:val="002606DB"/>
    <w:pPr>
      <w:spacing w:before="100" w:beforeAutospacing="1" w:after="100" w:afterAutospacing="1"/>
    </w:pPr>
    <w:rPr>
      <w:rFonts w:ascii="Times New Roman" w:hAnsi="Times New Roman"/>
    </w:rPr>
  </w:style>
  <w:style w:type="paragraph" w:styleId="Revision">
    <w:name w:val="Revision"/>
    <w:hidden/>
    <w:uiPriority w:val="99"/>
    <w:semiHidden/>
    <w:rsid w:val="007907A9"/>
    <w:pPr>
      <w:spacing w:after="0" w:line="240" w:lineRule="auto"/>
    </w:pPr>
    <w:rPr>
      <w:rFonts w:ascii="Arial" w:eastAsia="Times New Roman" w:hAnsi="Arial" w:cs="Times New Roman"/>
      <w:sz w:val="24"/>
      <w:szCs w:val="24"/>
      <w:lang w:eastAsia="en-AU"/>
    </w:rPr>
  </w:style>
  <w:style w:type="paragraph" w:styleId="EndnoteText">
    <w:name w:val="endnote text"/>
    <w:basedOn w:val="Normal"/>
    <w:link w:val="EndnoteTextChar"/>
    <w:uiPriority w:val="99"/>
    <w:semiHidden/>
    <w:unhideWhenUsed/>
    <w:rsid w:val="0002797E"/>
    <w:pPr>
      <w:spacing w:before="0" w:after="0"/>
    </w:pPr>
    <w:rPr>
      <w:sz w:val="20"/>
      <w:szCs w:val="20"/>
    </w:rPr>
  </w:style>
  <w:style w:type="character" w:customStyle="1" w:styleId="EndnoteTextChar">
    <w:name w:val="Endnote Text Char"/>
    <w:basedOn w:val="DefaultParagraphFont"/>
    <w:link w:val="EndnoteText"/>
    <w:uiPriority w:val="99"/>
    <w:semiHidden/>
    <w:rsid w:val="0002797E"/>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027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5849">
      <w:bodyDiv w:val="1"/>
      <w:marLeft w:val="0"/>
      <w:marRight w:val="0"/>
      <w:marTop w:val="0"/>
      <w:marBottom w:val="0"/>
      <w:divBdr>
        <w:top w:val="none" w:sz="0" w:space="0" w:color="auto"/>
        <w:left w:val="none" w:sz="0" w:space="0" w:color="auto"/>
        <w:bottom w:val="none" w:sz="0" w:space="0" w:color="auto"/>
        <w:right w:val="none" w:sz="0" w:space="0" w:color="auto"/>
      </w:divBdr>
      <w:divsChild>
        <w:div w:id="1392272711">
          <w:marLeft w:val="0"/>
          <w:marRight w:val="0"/>
          <w:marTop w:val="192"/>
          <w:marBottom w:val="0"/>
          <w:divBdr>
            <w:top w:val="none" w:sz="0" w:space="0" w:color="auto"/>
            <w:left w:val="none" w:sz="0" w:space="0" w:color="auto"/>
            <w:bottom w:val="none" w:sz="0" w:space="0" w:color="auto"/>
            <w:right w:val="none" w:sz="0" w:space="0" w:color="auto"/>
          </w:divBdr>
          <w:divsChild>
            <w:div w:id="1716932772">
              <w:marLeft w:val="0"/>
              <w:marRight w:val="0"/>
              <w:marTop w:val="0"/>
              <w:marBottom w:val="0"/>
              <w:divBdr>
                <w:top w:val="none" w:sz="0" w:space="0" w:color="auto"/>
                <w:left w:val="none" w:sz="0" w:space="0" w:color="auto"/>
                <w:bottom w:val="none" w:sz="0" w:space="0" w:color="auto"/>
                <w:right w:val="none" w:sz="0" w:space="0" w:color="auto"/>
              </w:divBdr>
              <w:divsChild>
                <w:div w:id="401873257">
                  <w:marLeft w:val="0"/>
                  <w:marRight w:val="0"/>
                  <w:marTop w:val="0"/>
                  <w:marBottom w:val="240"/>
                  <w:divBdr>
                    <w:top w:val="dotted" w:sz="6" w:space="5" w:color="DCDCDC"/>
                    <w:left w:val="none" w:sz="0" w:space="0" w:color="auto"/>
                    <w:bottom w:val="single" w:sz="6" w:space="1" w:color="DCDCDC"/>
                    <w:right w:val="none" w:sz="0" w:space="0" w:color="auto"/>
                  </w:divBdr>
                </w:div>
              </w:divsChild>
            </w:div>
          </w:divsChild>
        </w:div>
      </w:divsChild>
    </w:div>
    <w:div w:id="51737779">
      <w:bodyDiv w:val="1"/>
      <w:marLeft w:val="0"/>
      <w:marRight w:val="0"/>
      <w:marTop w:val="0"/>
      <w:marBottom w:val="0"/>
      <w:divBdr>
        <w:top w:val="none" w:sz="0" w:space="0" w:color="auto"/>
        <w:left w:val="none" w:sz="0" w:space="0" w:color="auto"/>
        <w:bottom w:val="none" w:sz="0" w:space="0" w:color="auto"/>
        <w:right w:val="none" w:sz="0" w:space="0" w:color="auto"/>
      </w:divBdr>
    </w:div>
    <w:div w:id="96759334">
      <w:bodyDiv w:val="1"/>
      <w:marLeft w:val="0"/>
      <w:marRight w:val="0"/>
      <w:marTop w:val="0"/>
      <w:marBottom w:val="0"/>
      <w:divBdr>
        <w:top w:val="none" w:sz="0" w:space="0" w:color="auto"/>
        <w:left w:val="none" w:sz="0" w:space="0" w:color="auto"/>
        <w:bottom w:val="none" w:sz="0" w:space="0" w:color="auto"/>
        <w:right w:val="none" w:sz="0" w:space="0" w:color="auto"/>
      </w:divBdr>
      <w:divsChild>
        <w:div w:id="148182618">
          <w:marLeft w:val="0"/>
          <w:marRight w:val="0"/>
          <w:marTop w:val="0"/>
          <w:marBottom w:val="0"/>
          <w:divBdr>
            <w:top w:val="none" w:sz="0" w:space="0" w:color="auto"/>
            <w:left w:val="none" w:sz="0" w:space="0" w:color="auto"/>
            <w:bottom w:val="none" w:sz="0" w:space="0" w:color="auto"/>
            <w:right w:val="none" w:sz="0" w:space="0" w:color="auto"/>
          </w:divBdr>
          <w:divsChild>
            <w:div w:id="1119956515">
              <w:marLeft w:val="0"/>
              <w:marRight w:val="0"/>
              <w:marTop w:val="0"/>
              <w:marBottom w:val="0"/>
              <w:divBdr>
                <w:top w:val="none" w:sz="0" w:space="0" w:color="auto"/>
                <w:left w:val="none" w:sz="0" w:space="0" w:color="auto"/>
                <w:bottom w:val="none" w:sz="0" w:space="0" w:color="auto"/>
                <w:right w:val="none" w:sz="0" w:space="0" w:color="auto"/>
              </w:divBdr>
              <w:divsChild>
                <w:div w:id="636304497">
                  <w:marLeft w:val="0"/>
                  <w:marRight w:val="0"/>
                  <w:marTop w:val="0"/>
                  <w:marBottom w:val="0"/>
                  <w:divBdr>
                    <w:top w:val="none" w:sz="0" w:space="0" w:color="auto"/>
                    <w:left w:val="none" w:sz="0" w:space="0" w:color="auto"/>
                    <w:bottom w:val="none" w:sz="0" w:space="0" w:color="auto"/>
                    <w:right w:val="none" w:sz="0" w:space="0" w:color="auto"/>
                  </w:divBdr>
                  <w:divsChild>
                    <w:div w:id="1348171435">
                      <w:marLeft w:val="0"/>
                      <w:marRight w:val="0"/>
                      <w:marTop w:val="0"/>
                      <w:marBottom w:val="0"/>
                      <w:divBdr>
                        <w:top w:val="none" w:sz="0" w:space="0" w:color="auto"/>
                        <w:left w:val="none" w:sz="0" w:space="0" w:color="auto"/>
                        <w:bottom w:val="none" w:sz="0" w:space="0" w:color="auto"/>
                        <w:right w:val="none" w:sz="0" w:space="0" w:color="auto"/>
                      </w:divBdr>
                      <w:divsChild>
                        <w:div w:id="12804559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75385">
      <w:bodyDiv w:val="1"/>
      <w:marLeft w:val="0"/>
      <w:marRight w:val="0"/>
      <w:marTop w:val="0"/>
      <w:marBottom w:val="0"/>
      <w:divBdr>
        <w:top w:val="none" w:sz="0" w:space="0" w:color="auto"/>
        <w:left w:val="none" w:sz="0" w:space="0" w:color="auto"/>
        <w:bottom w:val="none" w:sz="0" w:space="0" w:color="auto"/>
        <w:right w:val="none" w:sz="0" w:space="0" w:color="auto"/>
      </w:divBdr>
      <w:divsChild>
        <w:div w:id="1926917715">
          <w:marLeft w:val="0"/>
          <w:marRight w:val="0"/>
          <w:marTop w:val="0"/>
          <w:marBottom w:val="0"/>
          <w:divBdr>
            <w:top w:val="none" w:sz="0" w:space="0" w:color="auto"/>
            <w:left w:val="none" w:sz="0" w:space="0" w:color="auto"/>
            <w:bottom w:val="none" w:sz="0" w:space="0" w:color="auto"/>
            <w:right w:val="none" w:sz="0" w:space="0" w:color="auto"/>
          </w:divBdr>
          <w:divsChild>
            <w:div w:id="414283764">
              <w:marLeft w:val="0"/>
              <w:marRight w:val="0"/>
              <w:marTop w:val="0"/>
              <w:marBottom w:val="0"/>
              <w:divBdr>
                <w:top w:val="none" w:sz="0" w:space="0" w:color="auto"/>
                <w:left w:val="none" w:sz="0" w:space="0" w:color="auto"/>
                <w:bottom w:val="none" w:sz="0" w:space="0" w:color="auto"/>
                <w:right w:val="none" w:sz="0" w:space="0" w:color="auto"/>
              </w:divBdr>
              <w:divsChild>
                <w:div w:id="1032002446">
                  <w:marLeft w:val="0"/>
                  <w:marRight w:val="0"/>
                  <w:marTop w:val="0"/>
                  <w:marBottom w:val="0"/>
                  <w:divBdr>
                    <w:top w:val="none" w:sz="0" w:space="0" w:color="auto"/>
                    <w:left w:val="none" w:sz="0" w:space="0" w:color="auto"/>
                    <w:bottom w:val="none" w:sz="0" w:space="0" w:color="auto"/>
                    <w:right w:val="none" w:sz="0" w:space="0" w:color="auto"/>
                  </w:divBdr>
                  <w:divsChild>
                    <w:div w:id="684406336">
                      <w:marLeft w:val="0"/>
                      <w:marRight w:val="0"/>
                      <w:marTop w:val="0"/>
                      <w:marBottom w:val="0"/>
                      <w:divBdr>
                        <w:top w:val="none" w:sz="0" w:space="0" w:color="auto"/>
                        <w:left w:val="none" w:sz="0" w:space="0" w:color="auto"/>
                        <w:bottom w:val="none" w:sz="0" w:space="0" w:color="auto"/>
                        <w:right w:val="none" w:sz="0" w:space="0" w:color="auto"/>
                      </w:divBdr>
                      <w:divsChild>
                        <w:div w:id="1211847053">
                          <w:marLeft w:val="0"/>
                          <w:marRight w:val="0"/>
                          <w:marTop w:val="0"/>
                          <w:marBottom w:val="0"/>
                          <w:divBdr>
                            <w:top w:val="none" w:sz="0" w:space="0" w:color="auto"/>
                            <w:left w:val="none" w:sz="0" w:space="0" w:color="auto"/>
                            <w:bottom w:val="none" w:sz="0" w:space="0" w:color="auto"/>
                            <w:right w:val="none" w:sz="0" w:space="0" w:color="auto"/>
                          </w:divBdr>
                          <w:divsChild>
                            <w:div w:id="1023241359">
                              <w:marLeft w:val="0"/>
                              <w:marRight w:val="0"/>
                              <w:marTop w:val="0"/>
                              <w:marBottom w:val="0"/>
                              <w:divBdr>
                                <w:top w:val="single" w:sz="6" w:space="0" w:color="828282"/>
                                <w:left w:val="single" w:sz="6" w:space="0" w:color="828282"/>
                                <w:bottom w:val="single" w:sz="6" w:space="0" w:color="828282"/>
                                <w:right w:val="single" w:sz="6" w:space="0" w:color="828282"/>
                              </w:divBdr>
                              <w:divsChild>
                                <w:div w:id="223420116">
                                  <w:marLeft w:val="0"/>
                                  <w:marRight w:val="0"/>
                                  <w:marTop w:val="0"/>
                                  <w:marBottom w:val="0"/>
                                  <w:divBdr>
                                    <w:top w:val="none" w:sz="0" w:space="0" w:color="auto"/>
                                    <w:left w:val="none" w:sz="0" w:space="0" w:color="auto"/>
                                    <w:bottom w:val="none" w:sz="0" w:space="0" w:color="auto"/>
                                    <w:right w:val="none" w:sz="0" w:space="0" w:color="auto"/>
                                  </w:divBdr>
                                  <w:divsChild>
                                    <w:div w:id="1261644526">
                                      <w:marLeft w:val="0"/>
                                      <w:marRight w:val="0"/>
                                      <w:marTop w:val="0"/>
                                      <w:marBottom w:val="0"/>
                                      <w:divBdr>
                                        <w:top w:val="none" w:sz="0" w:space="0" w:color="auto"/>
                                        <w:left w:val="none" w:sz="0" w:space="0" w:color="auto"/>
                                        <w:bottom w:val="none" w:sz="0" w:space="0" w:color="auto"/>
                                        <w:right w:val="none" w:sz="0" w:space="0" w:color="auto"/>
                                      </w:divBdr>
                                      <w:divsChild>
                                        <w:div w:id="1736270353">
                                          <w:marLeft w:val="0"/>
                                          <w:marRight w:val="0"/>
                                          <w:marTop w:val="0"/>
                                          <w:marBottom w:val="0"/>
                                          <w:divBdr>
                                            <w:top w:val="none" w:sz="0" w:space="0" w:color="auto"/>
                                            <w:left w:val="none" w:sz="0" w:space="0" w:color="auto"/>
                                            <w:bottom w:val="none" w:sz="0" w:space="0" w:color="auto"/>
                                            <w:right w:val="none" w:sz="0" w:space="0" w:color="auto"/>
                                          </w:divBdr>
                                          <w:divsChild>
                                            <w:div w:id="81268621">
                                              <w:marLeft w:val="0"/>
                                              <w:marRight w:val="0"/>
                                              <w:marTop w:val="0"/>
                                              <w:marBottom w:val="0"/>
                                              <w:divBdr>
                                                <w:top w:val="none" w:sz="0" w:space="0" w:color="auto"/>
                                                <w:left w:val="none" w:sz="0" w:space="0" w:color="auto"/>
                                                <w:bottom w:val="none" w:sz="0" w:space="0" w:color="auto"/>
                                                <w:right w:val="none" w:sz="0" w:space="0" w:color="auto"/>
                                              </w:divBdr>
                                              <w:divsChild>
                                                <w:div w:id="1693451671">
                                                  <w:marLeft w:val="0"/>
                                                  <w:marRight w:val="0"/>
                                                  <w:marTop w:val="0"/>
                                                  <w:marBottom w:val="0"/>
                                                  <w:divBdr>
                                                    <w:top w:val="none" w:sz="0" w:space="0" w:color="auto"/>
                                                    <w:left w:val="none" w:sz="0" w:space="0" w:color="auto"/>
                                                    <w:bottom w:val="none" w:sz="0" w:space="0" w:color="auto"/>
                                                    <w:right w:val="none" w:sz="0" w:space="0" w:color="auto"/>
                                                  </w:divBdr>
                                                  <w:divsChild>
                                                    <w:div w:id="1895463597">
                                                      <w:marLeft w:val="0"/>
                                                      <w:marRight w:val="0"/>
                                                      <w:marTop w:val="0"/>
                                                      <w:marBottom w:val="0"/>
                                                      <w:divBdr>
                                                        <w:top w:val="none" w:sz="0" w:space="0" w:color="auto"/>
                                                        <w:left w:val="none" w:sz="0" w:space="0" w:color="auto"/>
                                                        <w:bottom w:val="none" w:sz="0" w:space="0" w:color="auto"/>
                                                        <w:right w:val="none" w:sz="0" w:space="0" w:color="auto"/>
                                                      </w:divBdr>
                                                      <w:divsChild>
                                                        <w:div w:id="10504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477496">
      <w:bodyDiv w:val="1"/>
      <w:marLeft w:val="0"/>
      <w:marRight w:val="0"/>
      <w:marTop w:val="0"/>
      <w:marBottom w:val="0"/>
      <w:divBdr>
        <w:top w:val="none" w:sz="0" w:space="0" w:color="auto"/>
        <w:left w:val="none" w:sz="0" w:space="0" w:color="auto"/>
        <w:bottom w:val="none" w:sz="0" w:space="0" w:color="auto"/>
        <w:right w:val="none" w:sz="0" w:space="0" w:color="auto"/>
      </w:divBdr>
      <w:divsChild>
        <w:div w:id="1782799774">
          <w:marLeft w:val="0"/>
          <w:marRight w:val="0"/>
          <w:marTop w:val="0"/>
          <w:marBottom w:val="0"/>
          <w:divBdr>
            <w:top w:val="none" w:sz="0" w:space="0" w:color="auto"/>
            <w:left w:val="none" w:sz="0" w:space="0" w:color="auto"/>
            <w:bottom w:val="none" w:sz="0" w:space="0" w:color="auto"/>
            <w:right w:val="none" w:sz="0" w:space="0" w:color="auto"/>
          </w:divBdr>
          <w:divsChild>
            <w:div w:id="1292975238">
              <w:marLeft w:val="0"/>
              <w:marRight w:val="0"/>
              <w:marTop w:val="0"/>
              <w:marBottom w:val="0"/>
              <w:divBdr>
                <w:top w:val="none" w:sz="0" w:space="0" w:color="auto"/>
                <w:left w:val="none" w:sz="0" w:space="0" w:color="auto"/>
                <w:bottom w:val="none" w:sz="0" w:space="0" w:color="auto"/>
                <w:right w:val="none" w:sz="0" w:space="0" w:color="auto"/>
              </w:divBdr>
              <w:divsChild>
                <w:div w:id="1277442891">
                  <w:marLeft w:val="0"/>
                  <w:marRight w:val="0"/>
                  <w:marTop w:val="0"/>
                  <w:marBottom w:val="0"/>
                  <w:divBdr>
                    <w:top w:val="none" w:sz="0" w:space="0" w:color="auto"/>
                    <w:left w:val="none" w:sz="0" w:space="0" w:color="auto"/>
                    <w:bottom w:val="none" w:sz="0" w:space="0" w:color="auto"/>
                    <w:right w:val="none" w:sz="0" w:space="0" w:color="auto"/>
                  </w:divBdr>
                  <w:divsChild>
                    <w:div w:id="1230312805">
                      <w:marLeft w:val="0"/>
                      <w:marRight w:val="0"/>
                      <w:marTop w:val="0"/>
                      <w:marBottom w:val="0"/>
                      <w:divBdr>
                        <w:top w:val="none" w:sz="0" w:space="0" w:color="auto"/>
                        <w:left w:val="none" w:sz="0" w:space="0" w:color="auto"/>
                        <w:bottom w:val="none" w:sz="0" w:space="0" w:color="auto"/>
                        <w:right w:val="none" w:sz="0" w:space="0" w:color="auto"/>
                      </w:divBdr>
                      <w:divsChild>
                        <w:div w:id="999045346">
                          <w:marLeft w:val="0"/>
                          <w:marRight w:val="0"/>
                          <w:marTop w:val="0"/>
                          <w:marBottom w:val="0"/>
                          <w:divBdr>
                            <w:top w:val="none" w:sz="0" w:space="0" w:color="auto"/>
                            <w:left w:val="none" w:sz="0" w:space="0" w:color="auto"/>
                            <w:bottom w:val="none" w:sz="0" w:space="0" w:color="auto"/>
                            <w:right w:val="none" w:sz="0" w:space="0" w:color="auto"/>
                          </w:divBdr>
                          <w:divsChild>
                            <w:div w:id="855775425">
                              <w:marLeft w:val="0"/>
                              <w:marRight w:val="0"/>
                              <w:marTop w:val="0"/>
                              <w:marBottom w:val="0"/>
                              <w:divBdr>
                                <w:top w:val="single" w:sz="6" w:space="0" w:color="828282"/>
                                <w:left w:val="single" w:sz="6" w:space="0" w:color="828282"/>
                                <w:bottom w:val="single" w:sz="6" w:space="0" w:color="828282"/>
                                <w:right w:val="single" w:sz="6" w:space="0" w:color="828282"/>
                              </w:divBdr>
                              <w:divsChild>
                                <w:div w:id="570384485">
                                  <w:marLeft w:val="0"/>
                                  <w:marRight w:val="0"/>
                                  <w:marTop w:val="0"/>
                                  <w:marBottom w:val="0"/>
                                  <w:divBdr>
                                    <w:top w:val="none" w:sz="0" w:space="0" w:color="auto"/>
                                    <w:left w:val="none" w:sz="0" w:space="0" w:color="auto"/>
                                    <w:bottom w:val="none" w:sz="0" w:space="0" w:color="auto"/>
                                    <w:right w:val="none" w:sz="0" w:space="0" w:color="auto"/>
                                  </w:divBdr>
                                  <w:divsChild>
                                    <w:div w:id="330916999">
                                      <w:marLeft w:val="0"/>
                                      <w:marRight w:val="0"/>
                                      <w:marTop w:val="0"/>
                                      <w:marBottom w:val="0"/>
                                      <w:divBdr>
                                        <w:top w:val="none" w:sz="0" w:space="0" w:color="auto"/>
                                        <w:left w:val="none" w:sz="0" w:space="0" w:color="auto"/>
                                        <w:bottom w:val="none" w:sz="0" w:space="0" w:color="auto"/>
                                        <w:right w:val="none" w:sz="0" w:space="0" w:color="auto"/>
                                      </w:divBdr>
                                      <w:divsChild>
                                        <w:div w:id="766265923">
                                          <w:marLeft w:val="0"/>
                                          <w:marRight w:val="0"/>
                                          <w:marTop w:val="0"/>
                                          <w:marBottom w:val="0"/>
                                          <w:divBdr>
                                            <w:top w:val="none" w:sz="0" w:space="0" w:color="auto"/>
                                            <w:left w:val="none" w:sz="0" w:space="0" w:color="auto"/>
                                            <w:bottom w:val="none" w:sz="0" w:space="0" w:color="auto"/>
                                            <w:right w:val="none" w:sz="0" w:space="0" w:color="auto"/>
                                          </w:divBdr>
                                          <w:divsChild>
                                            <w:div w:id="1453206398">
                                              <w:marLeft w:val="0"/>
                                              <w:marRight w:val="0"/>
                                              <w:marTop w:val="0"/>
                                              <w:marBottom w:val="0"/>
                                              <w:divBdr>
                                                <w:top w:val="none" w:sz="0" w:space="0" w:color="auto"/>
                                                <w:left w:val="none" w:sz="0" w:space="0" w:color="auto"/>
                                                <w:bottom w:val="none" w:sz="0" w:space="0" w:color="auto"/>
                                                <w:right w:val="none" w:sz="0" w:space="0" w:color="auto"/>
                                              </w:divBdr>
                                              <w:divsChild>
                                                <w:div w:id="239798308">
                                                  <w:marLeft w:val="0"/>
                                                  <w:marRight w:val="0"/>
                                                  <w:marTop w:val="0"/>
                                                  <w:marBottom w:val="0"/>
                                                  <w:divBdr>
                                                    <w:top w:val="none" w:sz="0" w:space="0" w:color="auto"/>
                                                    <w:left w:val="none" w:sz="0" w:space="0" w:color="auto"/>
                                                    <w:bottom w:val="none" w:sz="0" w:space="0" w:color="auto"/>
                                                    <w:right w:val="none" w:sz="0" w:space="0" w:color="auto"/>
                                                  </w:divBdr>
                                                  <w:divsChild>
                                                    <w:div w:id="237788881">
                                                      <w:marLeft w:val="0"/>
                                                      <w:marRight w:val="0"/>
                                                      <w:marTop w:val="0"/>
                                                      <w:marBottom w:val="0"/>
                                                      <w:divBdr>
                                                        <w:top w:val="none" w:sz="0" w:space="0" w:color="auto"/>
                                                        <w:left w:val="none" w:sz="0" w:space="0" w:color="auto"/>
                                                        <w:bottom w:val="none" w:sz="0" w:space="0" w:color="auto"/>
                                                        <w:right w:val="none" w:sz="0" w:space="0" w:color="auto"/>
                                                      </w:divBdr>
                                                      <w:divsChild>
                                                        <w:div w:id="5360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766650">
      <w:bodyDiv w:val="1"/>
      <w:marLeft w:val="0"/>
      <w:marRight w:val="0"/>
      <w:marTop w:val="0"/>
      <w:marBottom w:val="0"/>
      <w:divBdr>
        <w:top w:val="none" w:sz="0" w:space="0" w:color="auto"/>
        <w:left w:val="none" w:sz="0" w:space="0" w:color="auto"/>
        <w:bottom w:val="none" w:sz="0" w:space="0" w:color="auto"/>
        <w:right w:val="none" w:sz="0" w:space="0" w:color="auto"/>
      </w:divBdr>
    </w:div>
    <w:div w:id="373818759">
      <w:bodyDiv w:val="1"/>
      <w:marLeft w:val="0"/>
      <w:marRight w:val="0"/>
      <w:marTop w:val="0"/>
      <w:marBottom w:val="0"/>
      <w:divBdr>
        <w:top w:val="none" w:sz="0" w:space="0" w:color="auto"/>
        <w:left w:val="none" w:sz="0" w:space="0" w:color="auto"/>
        <w:bottom w:val="none" w:sz="0" w:space="0" w:color="auto"/>
        <w:right w:val="none" w:sz="0" w:space="0" w:color="auto"/>
      </w:divBdr>
    </w:div>
    <w:div w:id="541481581">
      <w:bodyDiv w:val="1"/>
      <w:marLeft w:val="0"/>
      <w:marRight w:val="0"/>
      <w:marTop w:val="0"/>
      <w:marBottom w:val="0"/>
      <w:divBdr>
        <w:top w:val="none" w:sz="0" w:space="0" w:color="auto"/>
        <w:left w:val="none" w:sz="0" w:space="0" w:color="auto"/>
        <w:bottom w:val="none" w:sz="0" w:space="0" w:color="auto"/>
        <w:right w:val="none" w:sz="0" w:space="0" w:color="auto"/>
      </w:divBdr>
      <w:divsChild>
        <w:div w:id="1482230068">
          <w:marLeft w:val="0"/>
          <w:marRight w:val="0"/>
          <w:marTop w:val="0"/>
          <w:marBottom w:val="0"/>
          <w:divBdr>
            <w:top w:val="none" w:sz="0" w:space="0" w:color="auto"/>
            <w:left w:val="none" w:sz="0" w:space="0" w:color="auto"/>
            <w:bottom w:val="none" w:sz="0" w:space="0" w:color="auto"/>
            <w:right w:val="none" w:sz="0" w:space="0" w:color="auto"/>
          </w:divBdr>
          <w:divsChild>
            <w:div w:id="1415205472">
              <w:marLeft w:val="0"/>
              <w:marRight w:val="0"/>
              <w:marTop w:val="0"/>
              <w:marBottom w:val="0"/>
              <w:divBdr>
                <w:top w:val="none" w:sz="0" w:space="0" w:color="auto"/>
                <w:left w:val="none" w:sz="0" w:space="0" w:color="auto"/>
                <w:bottom w:val="none" w:sz="0" w:space="0" w:color="auto"/>
                <w:right w:val="none" w:sz="0" w:space="0" w:color="auto"/>
              </w:divBdr>
              <w:divsChild>
                <w:div w:id="1251547377">
                  <w:marLeft w:val="0"/>
                  <w:marRight w:val="0"/>
                  <w:marTop w:val="0"/>
                  <w:marBottom w:val="0"/>
                  <w:divBdr>
                    <w:top w:val="none" w:sz="0" w:space="0" w:color="auto"/>
                    <w:left w:val="none" w:sz="0" w:space="0" w:color="auto"/>
                    <w:bottom w:val="none" w:sz="0" w:space="0" w:color="auto"/>
                    <w:right w:val="none" w:sz="0" w:space="0" w:color="auto"/>
                  </w:divBdr>
                  <w:divsChild>
                    <w:div w:id="1528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01395">
      <w:bodyDiv w:val="1"/>
      <w:marLeft w:val="0"/>
      <w:marRight w:val="0"/>
      <w:marTop w:val="0"/>
      <w:marBottom w:val="0"/>
      <w:divBdr>
        <w:top w:val="none" w:sz="0" w:space="0" w:color="auto"/>
        <w:left w:val="none" w:sz="0" w:space="0" w:color="auto"/>
        <w:bottom w:val="none" w:sz="0" w:space="0" w:color="auto"/>
        <w:right w:val="none" w:sz="0" w:space="0" w:color="auto"/>
      </w:divBdr>
    </w:div>
    <w:div w:id="838347069">
      <w:bodyDiv w:val="1"/>
      <w:marLeft w:val="0"/>
      <w:marRight w:val="0"/>
      <w:marTop w:val="0"/>
      <w:marBottom w:val="0"/>
      <w:divBdr>
        <w:top w:val="none" w:sz="0" w:space="0" w:color="auto"/>
        <w:left w:val="none" w:sz="0" w:space="0" w:color="auto"/>
        <w:bottom w:val="none" w:sz="0" w:space="0" w:color="auto"/>
        <w:right w:val="none" w:sz="0" w:space="0" w:color="auto"/>
      </w:divBdr>
    </w:div>
    <w:div w:id="1037699436">
      <w:bodyDiv w:val="1"/>
      <w:marLeft w:val="0"/>
      <w:marRight w:val="0"/>
      <w:marTop w:val="0"/>
      <w:marBottom w:val="0"/>
      <w:divBdr>
        <w:top w:val="none" w:sz="0" w:space="0" w:color="auto"/>
        <w:left w:val="none" w:sz="0" w:space="0" w:color="auto"/>
        <w:bottom w:val="none" w:sz="0" w:space="0" w:color="auto"/>
        <w:right w:val="none" w:sz="0" w:space="0" w:color="auto"/>
      </w:divBdr>
    </w:div>
    <w:div w:id="1055549913">
      <w:bodyDiv w:val="1"/>
      <w:marLeft w:val="0"/>
      <w:marRight w:val="0"/>
      <w:marTop w:val="0"/>
      <w:marBottom w:val="0"/>
      <w:divBdr>
        <w:top w:val="none" w:sz="0" w:space="0" w:color="auto"/>
        <w:left w:val="none" w:sz="0" w:space="0" w:color="auto"/>
        <w:bottom w:val="none" w:sz="0" w:space="0" w:color="auto"/>
        <w:right w:val="none" w:sz="0" w:space="0" w:color="auto"/>
      </w:divBdr>
    </w:div>
    <w:div w:id="1104687216">
      <w:bodyDiv w:val="1"/>
      <w:marLeft w:val="0"/>
      <w:marRight w:val="0"/>
      <w:marTop w:val="0"/>
      <w:marBottom w:val="0"/>
      <w:divBdr>
        <w:top w:val="none" w:sz="0" w:space="0" w:color="auto"/>
        <w:left w:val="none" w:sz="0" w:space="0" w:color="auto"/>
        <w:bottom w:val="none" w:sz="0" w:space="0" w:color="auto"/>
        <w:right w:val="none" w:sz="0" w:space="0" w:color="auto"/>
      </w:divBdr>
    </w:div>
    <w:div w:id="1142233570">
      <w:bodyDiv w:val="1"/>
      <w:marLeft w:val="0"/>
      <w:marRight w:val="0"/>
      <w:marTop w:val="0"/>
      <w:marBottom w:val="0"/>
      <w:divBdr>
        <w:top w:val="none" w:sz="0" w:space="0" w:color="auto"/>
        <w:left w:val="none" w:sz="0" w:space="0" w:color="auto"/>
        <w:bottom w:val="none" w:sz="0" w:space="0" w:color="auto"/>
        <w:right w:val="none" w:sz="0" w:space="0" w:color="auto"/>
      </w:divBdr>
    </w:div>
    <w:div w:id="1205871214">
      <w:bodyDiv w:val="1"/>
      <w:marLeft w:val="0"/>
      <w:marRight w:val="0"/>
      <w:marTop w:val="0"/>
      <w:marBottom w:val="0"/>
      <w:divBdr>
        <w:top w:val="none" w:sz="0" w:space="0" w:color="auto"/>
        <w:left w:val="none" w:sz="0" w:space="0" w:color="auto"/>
        <w:bottom w:val="none" w:sz="0" w:space="0" w:color="auto"/>
        <w:right w:val="none" w:sz="0" w:space="0" w:color="auto"/>
      </w:divBdr>
    </w:div>
    <w:div w:id="1527136989">
      <w:bodyDiv w:val="1"/>
      <w:marLeft w:val="0"/>
      <w:marRight w:val="0"/>
      <w:marTop w:val="0"/>
      <w:marBottom w:val="0"/>
      <w:divBdr>
        <w:top w:val="none" w:sz="0" w:space="0" w:color="auto"/>
        <w:left w:val="none" w:sz="0" w:space="0" w:color="auto"/>
        <w:bottom w:val="none" w:sz="0" w:space="0" w:color="auto"/>
        <w:right w:val="none" w:sz="0" w:space="0" w:color="auto"/>
      </w:divBdr>
    </w:div>
    <w:div w:id="1556118063">
      <w:bodyDiv w:val="1"/>
      <w:marLeft w:val="0"/>
      <w:marRight w:val="0"/>
      <w:marTop w:val="0"/>
      <w:marBottom w:val="0"/>
      <w:divBdr>
        <w:top w:val="none" w:sz="0" w:space="0" w:color="auto"/>
        <w:left w:val="none" w:sz="0" w:space="0" w:color="auto"/>
        <w:bottom w:val="none" w:sz="0" w:space="0" w:color="auto"/>
        <w:right w:val="none" w:sz="0" w:space="0" w:color="auto"/>
      </w:divBdr>
    </w:div>
    <w:div w:id="1621447299">
      <w:bodyDiv w:val="1"/>
      <w:marLeft w:val="0"/>
      <w:marRight w:val="0"/>
      <w:marTop w:val="0"/>
      <w:marBottom w:val="0"/>
      <w:divBdr>
        <w:top w:val="none" w:sz="0" w:space="0" w:color="auto"/>
        <w:left w:val="none" w:sz="0" w:space="0" w:color="auto"/>
        <w:bottom w:val="none" w:sz="0" w:space="0" w:color="auto"/>
        <w:right w:val="none" w:sz="0" w:space="0" w:color="auto"/>
      </w:divBdr>
    </w:div>
    <w:div w:id="1699352329">
      <w:bodyDiv w:val="1"/>
      <w:marLeft w:val="0"/>
      <w:marRight w:val="0"/>
      <w:marTop w:val="0"/>
      <w:marBottom w:val="0"/>
      <w:divBdr>
        <w:top w:val="none" w:sz="0" w:space="0" w:color="auto"/>
        <w:left w:val="none" w:sz="0" w:space="0" w:color="auto"/>
        <w:bottom w:val="none" w:sz="0" w:space="0" w:color="auto"/>
        <w:right w:val="none" w:sz="0" w:space="0" w:color="auto"/>
      </w:divBdr>
    </w:div>
    <w:div w:id="1771655258">
      <w:bodyDiv w:val="1"/>
      <w:marLeft w:val="0"/>
      <w:marRight w:val="0"/>
      <w:marTop w:val="0"/>
      <w:marBottom w:val="0"/>
      <w:divBdr>
        <w:top w:val="none" w:sz="0" w:space="0" w:color="auto"/>
        <w:left w:val="none" w:sz="0" w:space="0" w:color="auto"/>
        <w:bottom w:val="none" w:sz="0" w:space="0" w:color="auto"/>
        <w:right w:val="none" w:sz="0" w:space="0" w:color="auto"/>
      </w:divBdr>
      <w:divsChild>
        <w:div w:id="2136412714">
          <w:marLeft w:val="0"/>
          <w:marRight w:val="0"/>
          <w:marTop w:val="0"/>
          <w:marBottom w:val="0"/>
          <w:divBdr>
            <w:top w:val="none" w:sz="0" w:space="0" w:color="auto"/>
            <w:left w:val="none" w:sz="0" w:space="0" w:color="auto"/>
            <w:bottom w:val="none" w:sz="0" w:space="0" w:color="auto"/>
            <w:right w:val="none" w:sz="0" w:space="0" w:color="auto"/>
          </w:divBdr>
          <w:divsChild>
            <w:div w:id="1249845247">
              <w:marLeft w:val="0"/>
              <w:marRight w:val="0"/>
              <w:marTop w:val="0"/>
              <w:marBottom w:val="0"/>
              <w:divBdr>
                <w:top w:val="none" w:sz="0" w:space="0" w:color="auto"/>
                <w:left w:val="none" w:sz="0" w:space="0" w:color="auto"/>
                <w:bottom w:val="none" w:sz="0" w:space="0" w:color="auto"/>
                <w:right w:val="none" w:sz="0" w:space="0" w:color="auto"/>
              </w:divBdr>
              <w:divsChild>
                <w:div w:id="61804557">
                  <w:marLeft w:val="0"/>
                  <w:marRight w:val="0"/>
                  <w:marTop w:val="0"/>
                  <w:marBottom w:val="0"/>
                  <w:divBdr>
                    <w:top w:val="none" w:sz="0" w:space="0" w:color="auto"/>
                    <w:left w:val="none" w:sz="0" w:space="0" w:color="auto"/>
                    <w:bottom w:val="none" w:sz="0" w:space="0" w:color="auto"/>
                    <w:right w:val="none" w:sz="0" w:space="0" w:color="auto"/>
                  </w:divBdr>
                  <w:divsChild>
                    <w:div w:id="643120366">
                      <w:marLeft w:val="0"/>
                      <w:marRight w:val="0"/>
                      <w:marTop w:val="0"/>
                      <w:marBottom w:val="0"/>
                      <w:divBdr>
                        <w:top w:val="none" w:sz="0" w:space="0" w:color="auto"/>
                        <w:left w:val="none" w:sz="0" w:space="0" w:color="auto"/>
                        <w:bottom w:val="none" w:sz="0" w:space="0" w:color="auto"/>
                        <w:right w:val="none" w:sz="0" w:space="0" w:color="auto"/>
                      </w:divBdr>
                      <w:divsChild>
                        <w:div w:id="1990477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610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67">
          <w:marLeft w:val="0"/>
          <w:marRight w:val="0"/>
          <w:marTop w:val="0"/>
          <w:marBottom w:val="0"/>
          <w:divBdr>
            <w:top w:val="none" w:sz="0" w:space="0" w:color="auto"/>
            <w:left w:val="none" w:sz="0" w:space="0" w:color="auto"/>
            <w:bottom w:val="none" w:sz="0" w:space="0" w:color="auto"/>
            <w:right w:val="none" w:sz="0" w:space="0" w:color="auto"/>
          </w:divBdr>
          <w:divsChild>
            <w:div w:id="2070180010">
              <w:marLeft w:val="0"/>
              <w:marRight w:val="0"/>
              <w:marTop w:val="0"/>
              <w:marBottom w:val="0"/>
              <w:divBdr>
                <w:top w:val="none" w:sz="0" w:space="0" w:color="auto"/>
                <w:left w:val="none" w:sz="0" w:space="0" w:color="auto"/>
                <w:bottom w:val="none" w:sz="0" w:space="0" w:color="auto"/>
                <w:right w:val="none" w:sz="0" w:space="0" w:color="auto"/>
              </w:divBdr>
              <w:divsChild>
                <w:div w:id="1889369056">
                  <w:marLeft w:val="0"/>
                  <w:marRight w:val="0"/>
                  <w:marTop w:val="0"/>
                  <w:marBottom w:val="0"/>
                  <w:divBdr>
                    <w:top w:val="none" w:sz="0" w:space="0" w:color="auto"/>
                    <w:left w:val="none" w:sz="0" w:space="0" w:color="auto"/>
                    <w:bottom w:val="none" w:sz="0" w:space="0" w:color="auto"/>
                    <w:right w:val="none" w:sz="0" w:space="0" w:color="auto"/>
                  </w:divBdr>
                  <w:divsChild>
                    <w:div w:id="9042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feworkaustralia.gov.au/sites/swa/about/publications/pages/labelling-agvet-chemica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feworkaustralia.gov.au/sites/swa/about/publications/pages/labelling-agvet-chemical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afeworkaustralia.gov.au/sites/swa/about/publications/pages/national-compliance-enforcement-polic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afeworkaustralia.gov.au/sites/swa/about/publications/pages/national-compliance-enforcement-policy" TargetMode="Externa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3" Type="http://schemas.openxmlformats.org/officeDocument/2006/relationships/hyperlink" Target="http://www.safeworkaustralia.gov.au/sites/SWA/about/Publications/Documents/951/general_guide_managing_risks_machinery_rural_workplaces.pdf" TargetMode="External"/><Relationship Id="rId2" Type="http://schemas.openxmlformats.org/officeDocument/2006/relationships/hyperlink" Target="http://www.safeworkaustralia.gov.au/sites/SWA/about/Publications/Documents/940/cost-of-work-related-injury-and-disease-2012-13.docx.pdf" TargetMode="External"/><Relationship Id="rId1" Type="http://schemas.openxmlformats.org/officeDocument/2006/relationships/hyperlink" Target="http://www.safeworkaustralia.gov.au/sites/SWA/about/Publications/Documents/940/cost-of-work-related-injury-and-disease-2012-13.docx.pdf" TargetMode="External"/><Relationship Id="rId6" Type="http://schemas.openxmlformats.org/officeDocument/2006/relationships/hyperlink" Target="http://www.safeworkaustralia.gov.au/sites/SWA/about/Publications/Documents/950/quad_bikes_rural_workplaces_information-sheet.pdf" TargetMode="External"/><Relationship Id="rId5" Type="http://schemas.openxmlformats.org/officeDocument/2006/relationships/hyperlink" Target="http://www.safeworkaustralia.gov.au/sites/SWA/about/Publications/Documents/950/quad_bikes_rural_workplaces_information-sheet.pdf" TargetMode="External"/><Relationship Id="rId4" Type="http://schemas.openxmlformats.org/officeDocument/2006/relationships/hyperlink" Target="http://www.safeworkaustralia.gov.au/sites/SWA/about/Publications/Documents/951/general_guide_managing_risks_machinery_rural_workplac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NAS100\51000186\Data%20and%20Analysis\Publications\Australian%20Strategy%20Publications\Priority%20industries\Agriculture\data\tif,%202003%20to%20201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NAS100\51000186\Data%20and%20Analysis\Publications\Australian%20Strategy%20Publications\Priority%20industries\Agriculture\data\nds,%20industry%20groups,%202000-01%20to%202013-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722779548626055"/>
          <c:y val="3.8596480564586109E-2"/>
          <c:w val="0.51861967672994125"/>
          <c:h val="0.82879950818545434"/>
        </c:manualLayout>
      </c:layout>
      <c:barChart>
        <c:barDir val="bar"/>
        <c:grouping val="clustered"/>
        <c:varyColors val="0"/>
        <c:ser>
          <c:idx val="0"/>
          <c:order val="0"/>
          <c:spPr>
            <a:solidFill>
              <a:schemeClr val="tx1">
                <a:lumMod val="65000"/>
                <a:lumOff val="35000"/>
              </a:schemeClr>
            </a:solidFill>
          </c:spPr>
          <c:invertIfNegative val="0"/>
          <c:dPt>
            <c:idx val="4"/>
            <c:invertIfNegative val="0"/>
            <c:bubble3D val="0"/>
            <c:spPr>
              <a:solidFill>
                <a:schemeClr val="tx1">
                  <a:lumMod val="50000"/>
                  <a:lumOff val="50000"/>
                </a:schemeClr>
              </a:solidFill>
            </c:spPr>
          </c:dPt>
          <c:dPt>
            <c:idx val="19"/>
            <c:invertIfNegative val="0"/>
            <c:bubble3D val="0"/>
            <c:spPr>
              <a:solidFill>
                <a:srgbClr val="00B050"/>
              </a:solidFill>
            </c:spPr>
          </c:dPt>
          <c:dPt>
            <c:idx val="20"/>
            <c:invertIfNegative val="0"/>
            <c:bubble3D val="0"/>
            <c:spPr>
              <a:solidFill>
                <a:srgbClr val="00B050"/>
              </a:solidFill>
            </c:spPr>
          </c:dPt>
          <c:dLbls>
            <c:delete val="1"/>
          </c:dLbls>
          <c:cat>
            <c:strRef>
              <c:f>Rates!$AE$15:$AE$34</c:f>
              <c:strCache>
                <c:ptCount val="20"/>
                <c:pt idx="0">
                  <c:v>All industries</c:v>
                </c:pt>
                <c:pt idx="1">
                  <c:v>Financial and insurance services</c:v>
                </c:pt>
                <c:pt idx="2">
                  <c:v>Health care and social assistance</c:v>
                </c:pt>
                <c:pt idx="3">
                  <c:v>Education and training</c:v>
                </c:pt>
                <c:pt idx="4">
                  <c:v>Accommodation and food services</c:v>
                </c:pt>
                <c:pt idx="5">
                  <c:v>Professional, scientific and technical services</c:v>
                </c:pt>
                <c:pt idx="6">
                  <c:v>Retail trade</c:v>
                </c:pt>
                <c:pt idx="7">
                  <c:v>Information media and telecommunications</c:v>
                </c:pt>
                <c:pt idx="8">
                  <c:v>Other services</c:v>
                </c:pt>
                <c:pt idx="9">
                  <c:v>Public administration and safety</c:v>
                </c:pt>
                <c:pt idx="10">
                  <c:v>Rental, hiring and real estate services</c:v>
                </c:pt>
                <c:pt idx="11">
                  <c:v>Wholesale trade</c:v>
                </c:pt>
                <c:pt idx="12">
                  <c:v>Manufacturing</c:v>
                </c:pt>
                <c:pt idx="13">
                  <c:v>Administrative and support services</c:v>
                </c:pt>
                <c:pt idx="14">
                  <c:v>Arts and recreation services</c:v>
                </c:pt>
                <c:pt idx="15">
                  <c:v>Electricity, gas, water and waste services</c:v>
                </c:pt>
                <c:pt idx="16">
                  <c:v>Construction</c:v>
                </c:pt>
                <c:pt idx="17">
                  <c:v>Mining</c:v>
                </c:pt>
                <c:pt idx="18">
                  <c:v>Transport, postal and warehousing</c:v>
                </c:pt>
                <c:pt idx="19">
                  <c:v>Agriculture</c:v>
                </c:pt>
              </c:strCache>
            </c:strRef>
          </c:cat>
          <c:val>
            <c:numRef>
              <c:f>Rates!$AF$15:$AF$34</c:f>
              <c:numCache>
                <c:formatCode>0.00</c:formatCode>
                <c:ptCount val="20"/>
                <c:pt idx="0">
                  <c:v>2.3466019692859721</c:v>
                </c:pt>
                <c:pt idx="1">
                  <c:v>0.16982523921477055</c:v>
                </c:pt>
                <c:pt idx="2">
                  <c:v>0.23712049493514215</c:v>
                </c:pt>
                <c:pt idx="3">
                  <c:v>0.31279732036962216</c:v>
                </c:pt>
                <c:pt idx="4">
                  <c:v>0.4546527589553479</c:v>
                </c:pt>
                <c:pt idx="5">
                  <c:v>0.51051609986971203</c:v>
                </c:pt>
                <c:pt idx="6">
                  <c:v>0.55763000190582412</c:v>
                </c:pt>
                <c:pt idx="7">
                  <c:v>0.56464211100863904</c:v>
                </c:pt>
                <c:pt idx="8">
                  <c:v>1.1724825900518634</c:v>
                </c:pt>
                <c:pt idx="9">
                  <c:v>1.3651863194912288</c:v>
                </c:pt>
                <c:pt idx="10">
                  <c:v>1.9549068161084322</c:v>
                </c:pt>
                <c:pt idx="11">
                  <c:v>1.956751581970533</c:v>
                </c:pt>
                <c:pt idx="12">
                  <c:v>2.1945866861741039</c:v>
                </c:pt>
                <c:pt idx="13">
                  <c:v>2.328727247821099</c:v>
                </c:pt>
                <c:pt idx="14">
                  <c:v>2.9351922884493513</c:v>
                </c:pt>
                <c:pt idx="15">
                  <c:v>3.7250884708511824</c:v>
                </c:pt>
                <c:pt idx="16">
                  <c:v>3.8740186932534186</c:v>
                </c:pt>
                <c:pt idx="17">
                  <c:v>5.3652052071232683</c:v>
                </c:pt>
                <c:pt idx="18">
                  <c:v>10.940307140695568</c:v>
                </c:pt>
                <c:pt idx="19">
                  <c:v>15.192419670742682</c:v>
                </c:pt>
              </c:numCache>
            </c:numRef>
          </c:val>
        </c:ser>
        <c:dLbls>
          <c:dLblPos val="outEnd"/>
          <c:showLegendKey val="0"/>
          <c:showVal val="1"/>
          <c:showCatName val="0"/>
          <c:showSerName val="0"/>
          <c:showPercent val="0"/>
          <c:showBubbleSize val="0"/>
        </c:dLbls>
        <c:gapWidth val="150"/>
        <c:axId val="142360576"/>
        <c:axId val="142362112"/>
      </c:barChart>
      <c:catAx>
        <c:axId val="142360576"/>
        <c:scaling>
          <c:orientation val="minMax"/>
        </c:scaling>
        <c:delete val="0"/>
        <c:axPos val="l"/>
        <c:numFmt formatCode="General" sourceLinked="1"/>
        <c:majorTickMark val="none"/>
        <c:minorTickMark val="out"/>
        <c:tickLblPos val="nextTo"/>
        <c:txPr>
          <a:bodyPr rot="0" vert="horz"/>
          <a:lstStyle/>
          <a:p>
            <a:pPr>
              <a:defRPr sz="800" b="0" i="0" u="none" strike="noStrike" baseline="0">
                <a:solidFill>
                  <a:srgbClr val="000000"/>
                </a:solidFill>
                <a:latin typeface="Arial"/>
                <a:ea typeface="Arial"/>
                <a:cs typeface="Arial"/>
              </a:defRPr>
            </a:pPr>
            <a:endParaRPr lang="en-US"/>
          </a:p>
        </c:txPr>
        <c:crossAx val="142362112"/>
        <c:crosses val="autoZero"/>
        <c:auto val="1"/>
        <c:lblAlgn val="ctr"/>
        <c:lblOffset val="100"/>
        <c:noMultiLvlLbl val="0"/>
      </c:catAx>
      <c:valAx>
        <c:axId val="142362112"/>
        <c:scaling>
          <c:orientation val="minMax"/>
          <c:max val="17"/>
          <c:min val="0"/>
        </c:scaling>
        <c:delete val="0"/>
        <c:axPos val="b"/>
        <c:majorGridlines/>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n-US"/>
          </a:p>
        </c:txPr>
        <c:crossAx val="142360576"/>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722779548626055"/>
          <c:y val="3.8596480564586109E-2"/>
          <c:w val="0.51861967672994125"/>
          <c:h val="0.82879950818545434"/>
        </c:manualLayout>
      </c:layout>
      <c:barChart>
        <c:barDir val="bar"/>
        <c:grouping val="clustered"/>
        <c:varyColors val="0"/>
        <c:ser>
          <c:idx val="0"/>
          <c:order val="0"/>
          <c:spPr>
            <a:solidFill>
              <a:schemeClr val="tx1">
                <a:lumMod val="65000"/>
                <a:lumOff val="35000"/>
              </a:schemeClr>
            </a:solidFill>
          </c:spPr>
          <c:invertIfNegative val="0"/>
          <c:dPt>
            <c:idx val="4"/>
            <c:invertIfNegative val="0"/>
            <c:bubble3D val="0"/>
          </c:dPt>
          <c:dPt>
            <c:idx val="19"/>
            <c:invertIfNegative val="0"/>
            <c:bubble3D val="0"/>
          </c:dPt>
          <c:dPt>
            <c:idx val="20"/>
            <c:invertIfNegative val="0"/>
            <c:bubble3D val="0"/>
            <c:spPr>
              <a:solidFill>
                <a:srgbClr val="00B050"/>
              </a:solidFill>
            </c:spPr>
          </c:dPt>
          <c:dLbls>
            <c:delete val="1"/>
          </c:dLbls>
          <c:cat>
            <c:strRef>
              <c:f>Industry!$A$33:$A$53</c:f>
              <c:strCache>
                <c:ptCount val="21"/>
                <c:pt idx="0">
                  <c:v>All industries</c:v>
                </c:pt>
                <c:pt idx="1">
                  <c:v>Financial and insurance services</c:v>
                </c:pt>
                <c:pt idx="2">
                  <c:v>Professional, scientific and technical services</c:v>
                </c:pt>
                <c:pt idx="3">
                  <c:v>Information media and telecommunications</c:v>
                </c:pt>
                <c:pt idx="4">
                  <c:v>Rental, hiring and real estate services</c:v>
                </c:pt>
                <c:pt idx="5">
                  <c:v>Electricity, gas, water and waste services</c:v>
                </c:pt>
                <c:pt idx="6">
                  <c:v>Education and training</c:v>
                </c:pt>
                <c:pt idx="7">
                  <c:v>Mining</c:v>
                </c:pt>
                <c:pt idx="8">
                  <c:v>Other services</c:v>
                </c:pt>
                <c:pt idx="9">
                  <c:v>Retail trade</c:v>
                </c:pt>
                <c:pt idx="10">
                  <c:v>Accommodation and food services</c:v>
                </c:pt>
                <c:pt idx="11">
                  <c:v>Wholesale trade</c:v>
                </c:pt>
                <c:pt idx="12">
                  <c:v>Arts and recreation services</c:v>
                </c:pt>
                <c:pt idx="13">
                  <c:v>Administrative and support services</c:v>
                </c:pt>
                <c:pt idx="14">
                  <c:v>Public administration and safety</c:v>
                </c:pt>
                <c:pt idx="15">
                  <c:v>Construction</c:v>
                </c:pt>
                <c:pt idx="16">
                  <c:v>Manufacturing</c:v>
                </c:pt>
                <c:pt idx="17">
                  <c:v>Health care and social assistance</c:v>
                </c:pt>
                <c:pt idx="18">
                  <c:v>Agriculture, forestry and fishing</c:v>
                </c:pt>
                <c:pt idx="19">
                  <c:v>Transport, postal and warehousing</c:v>
                </c:pt>
                <c:pt idx="20">
                  <c:v>Agriculture</c:v>
                </c:pt>
              </c:strCache>
            </c:strRef>
          </c:cat>
          <c:val>
            <c:numRef>
              <c:f>Industry!$B$33:$B$53</c:f>
              <c:numCache>
                <c:formatCode>0.0</c:formatCode>
                <c:ptCount val="21"/>
                <c:pt idx="0">
                  <c:v>6.8788915656707799</c:v>
                </c:pt>
                <c:pt idx="1">
                  <c:v>1.3010321656268922</c:v>
                </c:pt>
                <c:pt idx="2">
                  <c:v>1.4643239833989827</c:v>
                </c:pt>
                <c:pt idx="3">
                  <c:v>1.8815891352633771</c:v>
                </c:pt>
                <c:pt idx="4">
                  <c:v>3.8404161772129699</c:v>
                </c:pt>
                <c:pt idx="5">
                  <c:v>4.7726674058996528</c:v>
                </c:pt>
                <c:pt idx="6">
                  <c:v>4.9649962000876489</c:v>
                </c:pt>
                <c:pt idx="7">
                  <c:v>5.2041121631078964</c:v>
                </c:pt>
                <c:pt idx="8">
                  <c:v>5.6615084491760772</c:v>
                </c:pt>
                <c:pt idx="9">
                  <c:v>5.9334167003780482</c:v>
                </c:pt>
                <c:pt idx="10">
                  <c:v>6.685161673957178</c:v>
                </c:pt>
                <c:pt idx="11">
                  <c:v>7.3764831422715673</c:v>
                </c:pt>
                <c:pt idx="12">
                  <c:v>7.8904804868160561</c:v>
                </c:pt>
                <c:pt idx="13">
                  <c:v>8.0141683828563348</c:v>
                </c:pt>
                <c:pt idx="14">
                  <c:v>8.0303502602359558</c:v>
                </c:pt>
                <c:pt idx="15">
                  <c:v>8.4692652242270583</c:v>
                </c:pt>
                <c:pt idx="16">
                  <c:v>9.6717935583372974</c:v>
                </c:pt>
                <c:pt idx="17">
                  <c:v>9.9484043877573622</c:v>
                </c:pt>
                <c:pt idx="18">
                  <c:v>10.196770294188731</c:v>
                </c:pt>
                <c:pt idx="19">
                  <c:v>10.801591140285074</c:v>
                </c:pt>
                <c:pt idx="20">
                  <c:v>11.03294753471706</c:v>
                </c:pt>
              </c:numCache>
            </c:numRef>
          </c:val>
        </c:ser>
        <c:dLbls>
          <c:dLblPos val="outEnd"/>
          <c:showLegendKey val="0"/>
          <c:showVal val="1"/>
          <c:showCatName val="0"/>
          <c:showSerName val="0"/>
          <c:showPercent val="0"/>
          <c:showBubbleSize val="0"/>
        </c:dLbls>
        <c:gapWidth val="150"/>
        <c:axId val="142395648"/>
        <c:axId val="142397440"/>
      </c:barChart>
      <c:catAx>
        <c:axId val="142395648"/>
        <c:scaling>
          <c:orientation val="minMax"/>
        </c:scaling>
        <c:delete val="0"/>
        <c:axPos val="l"/>
        <c:numFmt formatCode="General" sourceLinked="1"/>
        <c:majorTickMark val="none"/>
        <c:minorTickMark val="out"/>
        <c:tickLblPos val="nextTo"/>
        <c:txPr>
          <a:bodyPr rot="0" vert="horz"/>
          <a:lstStyle/>
          <a:p>
            <a:pPr>
              <a:defRPr sz="800" b="0" i="0" u="none" strike="noStrike" baseline="0">
                <a:solidFill>
                  <a:srgbClr val="000000"/>
                </a:solidFill>
                <a:latin typeface="Arial"/>
                <a:ea typeface="Arial"/>
                <a:cs typeface="Arial"/>
              </a:defRPr>
            </a:pPr>
            <a:endParaRPr lang="en-US"/>
          </a:p>
        </c:txPr>
        <c:crossAx val="142397440"/>
        <c:crosses val="autoZero"/>
        <c:auto val="1"/>
        <c:lblAlgn val="ctr"/>
        <c:lblOffset val="100"/>
        <c:noMultiLvlLbl val="0"/>
      </c:catAx>
      <c:valAx>
        <c:axId val="142397440"/>
        <c:scaling>
          <c:orientation val="minMax"/>
        </c:scaling>
        <c:delete val="0"/>
        <c:axPos val="b"/>
        <c:majorGridlines/>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n-US"/>
          </a:p>
        </c:txPr>
        <c:crossAx val="142395648"/>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0.00683</cdr:x>
      <cdr:y>0.3534</cdr:y>
    </cdr:from>
    <cdr:to>
      <cdr:x>0.03628</cdr:x>
      <cdr:y>0.5772</cdr:y>
    </cdr:to>
    <cdr:sp macro="" textlink="">
      <cdr:nvSpPr>
        <cdr:cNvPr id="2" name="TextBox 1"/>
        <cdr:cNvSpPr txBox="1"/>
      </cdr:nvSpPr>
      <cdr:spPr>
        <a:xfrm xmlns:a="http://schemas.openxmlformats.org/drawingml/2006/main" rot="-5400000">
          <a:off x="-276978" y="1604126"/>
          <a:ext cx="814304" cy="1778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Industry</a:t>
          </a:r>
        </a:p>
      </cdr:txBody>
    </cdr:sp>
  </cdr:relSizeAnchor>
  <cdr:relSizeAnchor xmlns:cdr="http://schemas.openxmlformats.org/drawingml/2006/chartDrawing">
    <cdr:from>
      <cdr:x>0.52917</cdr:x>
      <cdr:y>0.92981</cdr:y>
    </cdr:from>
    <cdr:to>
      <cdr:x>0.87842</cdr:x>
      <cdr:y>0.97896</cdr:y>
    </cdr:to>
    <cdr:sp macro="" textlink="">
      <cdr:nvSpPr>
        <cdr:cNvPr id="4" name="TextBox 1"/>
        <cdr:cNvSpPr txBox="1"/>
      </cdr:nvSpPr>
      <cdr:spPr>
        <a:xfrm xmlns:a="http://schemas.openxmlformats.org/drawingml/2006/main">
          <a:off x="2857502" y="3347330"/>
          <a:ext cx="1885947" cy="1769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Injury fatalities per 100 000 workers</a:t>
          </a:r>
        </a:p>
      </cdr:txBody>
    </cdr:sp>
  </cdr:relSizeAnchor>
</c:userShapes>
</file>

<file path=word/drawings/drawing2.xml><?xml version="1.0" encoding="utf-8"?>
<c:userShapes xmlns:c="http://schemas.openxmlformats.org/drawingml/2006/chart">
  <cdr:relSizeAnchor xmlns:cdr="http://schemas.openxmlformats.org/drawingml/2006/chartDrawing">
    <cdr:from>
      <cdr:x>0.00683</cdr:x>
      <cdr:y>0.3534</cdr:y>
    </cdr:from>
    <cdr:to>
      <cdr:x>0.03628</cdr:x>
      <cdr:y>0.5772</cdr:y>
    </cdr:to>
    <cdr:sp macro="" textlink="">
      <cdr:nvSpPr>
        <cdr:cNvPr id="2" name="TextBox 1"/>
        <cdr:cNvSpPr txBox="1"/>
      </cdr:nvSpPr>
      <cdr:spPr>
        <a:xfrm xmlns:a="http://schemas.openxmlformats.org/drawingml/2006/main" rot="-5400000">
          <a:off x="-276978" y="1604126"/>
          <a:ext cx="814304" cy="1778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Industry</a:t>
          </a:r>
        </a:p>
      </cdr:txBody>
    </cdr:sp>
  </cdr:relSizeAnchor>
  <cdr:relSizeAnchor xmlns:cdr="http://schemas.openxmlformats.org/drawingml/2006/chartDrawing">
    <cdr:from>
      <cdr:x>0.49742</cdr:x>
      <cdr:y>0.9351</cdr:y>
    </cdr:from>
    <cdr:to>
      <cdr:x>0.88018</cdr:x>
      <cdr:y>0.9869</cdr:y>
    </cdr:to>
    <cdr:sp macro="" textlink="">
      <cdr:nvSpPr>
        <cdr:cNvPr id="4" name="TextBox 1"/>
        <cdr:cNvSpPr txBox="1"/>
      </cdr:nvSpPr>
      <cdr:spPr>
        <a:xfrm xmlns:a="http://schemas.openxmlformats.org/drawingml/2006/main">
          <a:off x="2686067" y="3366365"/>
          <a:ext cx="2066907" cy="1864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Serious claims per million hours worked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C26B-66E3-4E77-AF38-2AE6877A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10 - Safe Work Australia - Regulation of Agriculture - Public inquiry</vt:lpstr>
    </vt:vector>
  </TitlesOfParts>
  <Company>Safe Work Australia</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Safe Work Australia - Regulation of Agriculture - Public inquiry</dc:title>
  <dc:creator>Safe Work Australia</dc:creator>
  <cp:lastModifiedBy>Productivity Commission</cp:lastModifiedBy>
  <cp:revision>3</cp:revision>
  <cp:lastPrinted>2015-11-20T02:28:00Z</cp:lastPrinted>
  <dcterms:created xsi:type="dcterms:W3CDTF">2016-02-12T02:48:00Z</dcterms:created>
  <dcterms:modified xsi:type="dcterms:W3CDTF">2016-02-12T03:02:00Z</dcterms:modified>
</cp:coreProperties>
</file>