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C62ED" w14:textId="2FD6CCF6" w:rsidR="00BB1903" w:rsidRPr="00450EA1" w:rsidRDefault="00575187">
      <w:pPr>
        <w:pStyle w:val="Heading1"/>
        <w:rPr>
          <w:lang w:val="es-ES"/>
        </w:rPr>
      </w:pPr>
      <w:bookmarkStart w:id="0" w:name="_GoBack"/>
      <w:bookmarkEnd w:id="0"/>
      <w:r>
        <w:rPr>
          <w:lang w:val="en-AU"/>
        </w:rPr>
        <w:t xml:space="preserve">Superannuation </w:t>
      </w:r>
      <w:r w:rsidR="00781BB1">
        <w:rPr>
          <w:lang w:val="en-AU"/>
        </w:rPr>
        <w:t xml:space="preserve">competitiveness and </w:t>
      </w:r>
      <w:r>
        <w:rPr>
          <w:lang w:val="en-AU"/>
        </w:rPr>
        <w:t>efficiency</w:t>
      </w:r>
    </w:p>
    <w:p w14:paraId="601BE5F4" w14:textId="0292E9B4" w:rsidR="00BB1903" w:rsidRDefault="00781BB1">
      <w:pPr>
        <w:rPr>
          <w:lang w:val="en-AU"/>
        </w:rPr>
      </w:pPr>
      <w:r>
        <w:rPr>
          <w:lang w:val="en-AU"/>
        </w:rPr>
        <w:t>Submission to the Productivity Commission</w:t>
      </w:r>
      <w:r w:rsidR="00177BA7">
        <w:rPr>
          <w:lang w:val="en-AU"/>
        </w:rPr>
        <w:t xml:space="preserve"> (</w:t>
      </w:r>
      <w:r w:rsidR="00BA4B94">
        <w:rPr>
          <w:lang w:val="en-AU"/>
        </w:rPr>
        <w:t>“</w:t>
      </w:r>
      <w:r w:rsidR="00177BA7">
        <w:rPr>
          <w:lang w:val="en-AU"/>
        </w:rPr>
        <w:t>PC</w:t>
      </w:r>
      <w:r w:rsidR="00BA4B94">
        <w:rPr>
          <w:lang w:val="en-AU"/>
        </w:rPr>
        <w:t>”</w:t>
      </w:r>
      <w:r w:rsidR="00177BA7">
        <w:rPr>
          <w:lang w:val="en-AU"/>
        </w:rPr>
        <w:t xml:space="preserve">) </w:t>
      </w:r>
      <w:r>
        <w:rPr>
          <w:lang w:val="en-AU"/>
        </w:rPr>
        <w:t xml:space="preserve"> review into Superannuation </w:t>
      </w:r>
      <w:r w:rsidR="00177BA7">
        <w:rPr>
          <w:lang w:val="en-AU"/>
        </w:rPr>
        <w:t>Competitiveness</w:t>
      </w:r>
      <w:r>
        <w:rPr>
          <w:lang w:val="en-AU"/>
        </w:rPr>
        <w:t xml:space="preserve"> and Efficiency</w:t>
      </w:r>
      <w:r w:rsidR="00177BA7">
        <w:rPr>
          <w:lang w:val="en-AU"/>
        </w:rPr>
        <w:t xml:space="preserve"> (</w:t>
      </w:r>
      <w:r w:rsidR="00BA4B94">
        <w:rPr>
          <w:lang w:val="en-AU"/>
        </w:rPr>
        <w:t>“Review”)</w:t>
      </w:r>
    </w:p>
    <w:p w14:paraId="3DF6D72A" w14:textId="006773B0" w:rsidR="00177BA7" w:rsidRPr="00450EA1" w:rsidRDefault="00177BA7">
      <w:pPr>
        <w:rPr>
          <w:lang w:val="es-ES"/>
        </w:rPr>
      </w:pPr>
      <w:r>
        <w:rPr>
          <w:lang w:val="en-AU"/>
        </w:rPr>
        <w:t>Submission by Bruce Wilson</w:t>
      </w:r>
      <w:r w:rsidR="00EF3D30">
        <w:rPr>
          <w:lang w:val="en-AU"/>
        </w:rPr>
        <w:t xml:space="preserve"> (</w:t>
      </w:r>
      <w:proofErr w:type="spellStart"/>
      <w:r w:rsidR="00EF3D30">
        <w:rPr>
          <w:lang w:val="en-AU"/>
        </w:rPr>
        <w:t>Superspectator.com.au</w:t>
      </w:r>
      <w:proofErr w:type="spellEnd"/>
      <w:r w:rsidR="00EF3D30">
        <w:rPr>
          <w:lang w:val="en-AU"/>
        </w:rPr>
        <w:t>)</w:t>
      </w:r>
    </w:p>
    <w:p w14:paraId="2951A2E6" w14:textId="30A0D354" w:rsidR="00BB1903" w:rsidRPr="00450EA1" w:rsidRDefault="00177BA7">
      <w:pPr>
        <w:pStyle w:val="Heading2"/>
        <w:rPr>
          <w:lang w:val="es-ES"/>
        </w:rPr>
      </w:pPr>
      <w:r>
        <w:rPr>
          <w:lang w:val="en-AU"/>
        </w:rPr>
        <w:t>introduction</w:t>
      </w:r>
    </w:p>
    <w:p w14:paraId="4E91405F" w14:textId="091F63A0" w:rsidR="00AD5D3C" w:rsidRDefault="00177BA7">
      <w:pPr>
        <w:rPr>
          <w:lang w:val="en-AU"/>
        </w:rPr>
      </w:pPr>
      <w:r>
        <w:rPr>
          <w:lang w:val="en-AU"/>
        </w:rPr>
        <w:t xml:space="preserve">The </w:t>
      </w:r>
      <w:r w:rsidR="00BA4B94">
        <w:rPr>
          <w:lang w:val="en-AU"/>
        </w:rPr>
        <w:t>PC will receive</w:t>
      </w:r>
      <w:r w:rsidR="00461746">
        <w:rPr>
          <w:lang w:val="en-AU"/>
        </w:rPr>
        <w:t xml:space="preserve"> a multitude of detailed, </w:t>
      </w:r>
      <w:r w:rsidR="005A5B38">
        <w:rPr>
          <w:lang w:val="en-AU"/>
        </w:rPr>
        <w:t>complex submissions. This submission</w:t>
      </w:r>
      <w:r w:rsidR="00EF3D30">
        <w:rPr>
          <w:lang w:val="en-AU"/>
        </w:rPr>
        <w:t xml:space="preserve"> will be short and to the point, partly to allow the PC to spend more time on the detailed submissions, but </w:t>
      </w:r>
      <w:r w:rsidR="00745111">
        <w:rPr>
          <w:lang w:val="en-AU"/>
        </w:rPr>
        <w:t>also to try to demonstrate</w:t>
      </w:r>
      <w:r w:rsidR="00AD5D3C">
        <w:rPr>
          <w:lang w:val="en-AU"/>
        </w:rPr>
        <w:t xml:space="preserve"> to </w:t>
      </w:r>
      <w:r w:rsidR="00194CB7">
        <w:rPr>
          <w:lang w:val="en-AU"/>
        </w:rPr>
        <w:t>the PC that we are not dealing with rocket science.</w:t>
      </w:r>
    </w:p>
    <w:p w14:paraId="47B3B021" w14:textId="0CE8BCDD" w:rsidR="005A5B38" w:rsidRDefault="005A5B38">
      <w:pPr>
        <w:rPr>
          <w:lang w:val="en-AU"/>
        </w:rPr>
      </w:pPr>
      <w:r>
        <w:rPr>
          <w:lang w:val="en-AU"/>
        </w:rPr>
        <w:t>It will argue that</w:t>
      </w:r>
      <w:r w:rsidR="00D3714E">
        <w:rPr>
          <w:lang w:val="en-AU"/>
        </w:rPr>
        <w:t xml:space="preserve"> because of the imperfect nature of information about </w:t>
      </w:r>
      <w:r w:rsidR="0023648B">
        <w:rPr>
          <w:lang w:val="en-AU"/>
        </w:rPr>
        <w:t xml:space="preserve">superannuation and investing </w:t>
      </w:r>
      <w:r w:rsidR="00D3714E">
        <w:rPr>
          <w:lang w:val="en-AU"/>
        </w:rPr>
        <w:t xml:space="preserve">that </w:t>
      </w:r>
      <w:r w:rsidR="00477E3A">
        <w:rPr>
          <w:lang w:val="en-AU"/>
        </w:rPr>
        <w:t>is</w:t>
      </w:r>
      <w:r w:rsidR="00D3714E">
        <w:rPr>
          <w:lang w:val="en-AU"/>
        </w:rPr>
        <w:t xml:space="preserve"> available to consumers it is </w:t>
      </w:r>
      <w:r w:rsidR="005E40E1">
        <w:rPr>
          <w:lang w:val="en-AU"/>
        </w:rPr>
        <w:t>naïve to think that giving consumers more choice</w:t>
      </w:r>
      <w:r w:rsidR="00477E3A">
        <w:rPr>
          <w:lang w:val="en-AU"/>
        </w:rPr>
        <w:t xml:space="preserve"> of product will le</w:t>
      </w:r>
      <w:r w:rsidR="00953DA9">
        <w:rPr>
          <w:lang w:val="en-AU"/>
        </w:rPr>
        <w:t>ad to a better outcome than is currently the case.</w:t>
      </w:r>
      <w:r w:rsidR="00CC392F">
        <w:rPr>
          <w:lang w:val="en-AU"/>
        </w:rPr>
        <w:t xml:space="preserve"> In fact it will argue that less competition, in other words fewer providers would benefit consumers.</w:t>
      </w:r>
    </w:p>
    <w:p w14:paraId="20EAE3B7" w14:textId="63E77243" w:rsidR="0023648B" w:rsidRDefault="002D018F">
      <w:pPr>
        <w:rPr>
          <w:lang w:val="en-AU"/>
        </w:rPr>
      </w:pPr>
      <w:r>
        <w:rPr>
          <w:lang w:val="en-AU"/>
        </w:rPr>
        <w:t xml:space="preserve">Evidence </w:t>
      </w:r>
      <w:r w:rsidR="0023648B">
        <w:rPr>
          <w:lang w:val="en-AU"/>
        </w:rPr>
        <w:t xml:space="preserve"> will be cited to supp</w:t>
      </w:r>
      <w:r w:rsidR="00320BE4">
        <w:rPr>
          <w:lang w:val="en-AU"/>
        </w:rPr>
        <w:t>ort these views, but anyone who has worked in or been close to the industry</w:t>
      </w:r>
      <w:r w:rsidR="00385F9E">
        <w:rPr>
          <w:lang w:val="en-AU"/>
        </w:rPr>
        <w:t xml:space="preserve"> just knows it to be so.</w:t>
      </w:r>
    </w:p>
    <w:p w14:paraId="6F38AFB7" w14:textId="15C489FB" w:rsidR="003C36E4" w:rsidRDefault="001C5573">
      <w:pPr>
        <w:rPr>
          <w:rFonts w:asciiTheme="majorHAnsi" w:hAnsiTheme="majorHAnsi"/>
          <w:sz w:val="40"/>
          <w:szCs w:val="40"/>
          <w:lang w:val="en-AU"/>
        </w:rPr>
      </w:pPr>
      <w:r>
        <w:rPr>
          <w:rFonts w:asciiTheme="majorHAnsi" w:hAnsiTheme="majorHAnsi"/>
          <w:sz w:val="40"/>
          <w:szCs w:val="40"/>
          <w:lang w:val="en-AU"/>
        </w:rPr>
        <w:t>IMPERFECT INFORMATION</w:t>
      </w:r>
    </w:p>
    <w:p w14:paraId="7763CFDB" w14:textId="77777777" w:rsidR="00A76090" w:rsidRDefault="0086404B">
      <w:pPr>
        <w:rPr>
          <w:rFonts w:cstheme="minorHAnsi"/>
          <w:i/>
          <w:lang w:val="en-AU"/>
        </w:rPr>
      </w:pPr>
      <w:r>
        <w:rPr>
          <w:rFonts w:cstheme="minorHAnsi"/>
          <w:i/>
          <w:lang w:val="en-AU"/>
        </w:rPr>
        <w:t>“</w:t>
      </w:r>
      <w:r w:rsidR="00824360" w:rsidRPr="0086404B">
        <w:rPr>
          <w:rFonts w:cstheme="minorHAnsi"/>
          <w:i/>
          <w:lang w:val="en-AU"/>
        </w:rPr>
        <w:t>They [free market policies] were never based on solid empirical and theoretical foundations, and even as many of these policies were being pushed, academic economists were explaining the limitations of markets — for instance, whenever information is imperfect, which is to say always.</w:t>
      </w:r>
      <w:r>
        <w:rPr>
          <w:rFonts w:cstheme="minorHAnsi"/>
          <w:i/>
          <w:lang w:val="en-AU"/>
        </w:rPr>
        <w:t xml:space="preserve">” Joseph </w:t>
      </w:r>
      <w:r w:rsidR="004D0C25">
        <w:rPr>
          <w:rFonts w:cstheme="minorHAnsi"/>
          <w:i/>
          <w:lang w:val="en-AU"/>
        </w:rPr>
        <w:t xml:space="preserve">E </w:t>
      </w:r>
      <w:proofErr w:type="spellStart"/>
      <w:r w:rsidR="004D0C25">
        <w:rPr>
          <w:rFonts w:cstheme="minorHAnsi"/>
          <w:i/>
          <w:lang w:val="en-AU"/>
        </w:rPr>
        <w:t>Stiglitz</w:t>
      </w:r>
      <w:proofErr w:type="spellEnd"/>
      <w:r w:rsidR="004D0C25">
        <w:rPr>
          <w:rFonts w:cstheme="minorHAnsi"/>
          <w:i/>
          <w:lang w:val="en-AU"/>
        </w:rPr>
        <w:t xml:space="preserve"> in “</w:t>
      </w:r>
      <w:proofErr w:type="spellStart"/>
      <w:r w:rsidR="004D0C25">
        <w:rPr>
          <w:rFonts w:cstheme="minorHAnsi"/>
          <w:i/>
          <w:lang w:val="en-AU"/>
        </w:rPr>
        <w:t>Bleakonomics</w:t>
      </w:r>
      <w:proofErr w:type="spellEnd"/>
      <w:r w:rsidR="004D0C25">
        <w:rPr>
          <w:rFonts w:cstheme="minorHAnsi"/>
          <w:i/>
          <w:lang w:val="en-AU"/>
        </w:rPr>
        <w:t>”</w:t>
      </w:r>
    </w:p>
    <w:p w14:paraId="6B9E95C6" w14:textId="08642EAC" w:rsidR="004D0C25" w:rsidRPr="00A76090" w:rsidRDefault="005600F7">
      <w:pPr>
        <w:rPr>
          <w:rFonts w:cstheme="minorHAnsi"/>
          <w:i/>
          <w:lang w:val="en-AU"/>
        </w:rPr>
      </w:pPr>
      <w:r>
        <w:rPr>
          <w:rFonts w:cstheme="minorHAnsi"/>
          <w:lang w:val="en-AU"/>
        </w:rPr>
        <w:lastRenderedPageBreak/>
        <w:t>To the interested observer, this makes complete sense. The</w:t>
      </w:r>
      <w:r w:rsidR="00FC7B3B">
        <w:rPr>
          <w:rFonts w:cstheme="minorHAnsi"/>
          <w:lang w:val="en-AU"/>
        </w:rPr>
        <w:t xml:space="preserve"> literature supporting this view</w:t>
      </w:r>
      <w:r w:rsidR="004D0C25">
        <w:rPr>
          <w:rFonts w:cstheme="minorHAnsi"/>
          <w:lang w:val="en-AU"/>
        </w:rPr>
        <w:t xml:space="preserve"> is </w:t>
      </w:r>
      <w:r>
        <w:rPr>
          <w:rFonts w:cstheme="minorHAnsi"/>
          <w:lang w:val="en-AU"/>
        </w:rPr>
        <w:t>expansive and</w:t>
      </w:r>
      <w:r w:rsidR="00FC7B3B">
        <w:rPr>
          <w:rFonts w:cstheme="minorHAnsi"/>
          <w:lang w:val="en-AU"/>
        </w:rPr>
        <w:t xml:space="preserve"> convincing. With superannuation and investing the imperfections are extreme</w:t>
      </w:r>
      <w:r w:rsidR="00212E54">
        <w:rPr>
          <w:rFonts w:cstheme="minorHAnsi"/>
          <w:lang w:val="en-AU"/>
        </w:rPr>
        <w:t xml:space="preserve">. The simple fact is that even the experts </w:t>
      </w:r>
      <w:r w:rsidR="00F41327">
        <w:rPr>
          <w:rFonts w:cstheme="minorHAnsi"/>
          <w:lang w:val="en-AU"/>
        </w:rPr>
        <w:t xml:space="preserve">have difficulty </w:t>
      </w:r>
      <w:r w:rsidR="003A23AE">
        <w:rPr>
          <w:rFonts w:cstheme="minorHAnsi"/>
          <w:lang w:val="en-AU"/>
        </w:rPr>
        <w:t>determining in advance</w:t>
      </w:r>
      <w:r w:rsidR="002F4BBA">
        <w:rPr>
          <w:rFonts w:cstheme="minorHAnsi"/>
          <w:lang w:val="en-AU"/>
        </w:rPr>
        <w:t xml:space="preserve"> </w:t>
      </w:r>
      <w:r w:rsidR="00F41327">
        <w:rPr>
          <w:rFonts w:cstheme="minorHAnsi"/>
          <w:lang w:val="en-AU"/>
        </w:rPr>
        <w:t>who can out-perform the market</w:t>
      </w:r>
      <w:r w:rsidR="002F4BBA">
        <w:rPr>
          <w:rFonts w:cstheme="minorHAnsi"/>
          <w:lang w:val="en-AU"/>
        </w:rPr>
        <w:t>. John Bogle has made his, very successful</w:t>
      </w:r>
      <w:r w:rsidR="00DE0BFE">
        <w:rPr>
          <w:rFonts w:cstheme="minorHAnsi"/>
          <w:lang w:val="en-AU"/>
        </w:rPr>
        <w:t>, career by arguing for the superiority of index funds over</w:t>
      </w:r>
      <w:r w:rsidR="005C5E43">
        <w:rPr>
          <w:rFonts w:cstheme="minorHAnsi"/>
          <w:lang w:val="en-AU"/>
        </w:rPr>
        <w:t xml:space="preserve"> funds that are actively managed. </w:t>
      </w:r>
      <w:r w:rsidR="00FD356F">
        <w:rPr>
          <w:rFonts w:cstheme="minorHAnsi"/>
          <w:lang w:val="en-AU"/>
        </w:rPr>
        <w:t xml:space="preserve">Others have shown that random selections will </w:t>
      </w:r>
      <w:r w:rsidR="00F74C97">
        <w:rPr>
          <w:rFonts w:cstheme="minorHAnsi"/>
          <w:lang w:val="en-AU"/>
        </w:rPr>
        <w:t>do as well as the experts.</w:t>
      </w:r>
      <w:r w:rsidR="00E633CF">
        <w:rPr>
          <w:rFonts w:cstheme="minorHAnsi"/>
          <w:lang w:val="en-AU"/>
        </w:rPr>
        <w:t xml:space="preserve"> The debate rages </w:t>
      </w:r>
      <w:r w:rsidR="00055BA6">
        <w:rPr>
          <w:rFonts w:cstheme="minorHAnsi"/>
          <w:lang w:val="en-AU"/>
        </w:rPr>
        <w:t>o</w:t>
      </w:r>
      <w:r w:rsidR="00EA70AC">
        <w:rPr>
          <w:rFonts w:cstheme="minorHAnsi"/>
          <w:lang w:val="en-AU"/>
        </w:rPr>
        <w:t xml:space="preserve">n, which just proves the point; </w:t>
      </w:r>
      <w:r w:rsidR="00055BA6">
        <w:rPr>
          <w:rFonts w:cstheme="minorHAnsi"/>
          <w:lang w:val="en-AU"/>
        </w:rPr>
        <w:t xml:space="preserve">knowledge of the superannuation market </w:t>
      </w:r>
      <w:r w:rsidR="003A23AE">
        <w:rPr>
          <w:rFonts w:cstheme="minorHAnsi"/>
          <w:lang w:val="en-AU"/>
        </w:rPr>
        <w:t>and how it works is imperfect, extremely so.</w:t>
      </w:r>
    </w:p>
    <w:p w14:paraId="66C18DA1" w14:textId="320DA84F" w:rsidR="009612E1" w:rsidRDefault="00FF0ECD">
      <w:pPr>
        <w:rPr>
          <w:rFonts w:cstheme="minorHAnsi"/>
          <w:lang w:val="en-AU"/>
        </w:rPr>
      </w:pPr>
      <w:r>
        <w:rPr>
          <w:rFonts w:cstheme="minorHAnsi"/>
          <w:lang w:val="en-AU"/>
        </w:rPr>
        <w:t>The situation with superannuation is made worse by the fact that consumers are investing</w:t>
      </w:r>
      <w:r w:rsidR="004636A6">
        <w:rPr>
          <w:rFonts w:cstheme="minorHAnsi"/>
          <w:lang w:val="en-AU"/>
        </w:rPr>
        <w:t xml:space="preserve"> over a time h</w:t>
      </w:r>
      <w:r w:rsidR="0056058E">
        <w:rPr>
          <w:rFonts w:cstheme="minorHAnsi"/>
          <w:lang w:val="en-AU"/>
        </w:rPr>
        <w:t>orizon of more than</w:t>
      </w:r>
      <w:r w:rsidR="00D20D4E">
        <w:rPr>
          <w:rFonts w:cstheme="minorHAnsi"/>
          <w:lang w:val="en-AU"/>
        </w:rPr>
        <w:t xml:space="preserve"> fo</w:t>
      </w:r>
      <w:r w:rsidR="00981050">
        <w:rPr>
          <w:rFonts w:cstheme="minorHAnsi"/>
          <w:lang w:val="en-AU"/>
        </w:rPr>
        <w:t>rty years which complicates matters fu</w:t>
      </w:r>
      <w:r w:rsidR="00916080">
        <w:rPr>
          <w:rFonts w:cstheme="minorHAnsi"/>
          <w:lang w:val="en-AU"/>
        </w:rPr>
        <w:t>rther and raises the level of uncertainty to a level that most individuals cannot deal with.</w:t>
      </w:r>
    </w:p>
    <w:p w14:paraId="5B822D95" w14:textId="17E8CF09" w:rsidR="005135F9" w:rsidRPr="00F41327" w:rsidRDefault="005135F9">
      <w:pPr>
        <w:rPr>
          <w:rFonts w:ascii="Apple Color Emoji" w:hAnsi="Apple Color Emoji" w:cs="Apple Color Emoji"/>
          <w:lang w:val="en-AU"/>
        </w:rPr>
      </w:pPr>
      <w:r>
        <w:rPr>
          <w:rFonts w:cstheme="minorHAnsi"/>
          <w:lang w:val="en-AU"/>
        </w:rPr>
        <w:t>So, if even the experts can't pick the best funds or investors what chance has the average consumer?</w:t>
      </w:r>
    </w:p>
    <w:p w14:paraId="13B162A0" w14:textId="4774543C" w:rsidR="00BB1903" w:rsidRPr="006257FF" w:rsidRDefault="006257FF" w:rsidP="006257FF">
      <w:pPr>
        <w:pStyle w:val="Quote"/>
        <w:ind w:left="0"/>
        <w:rPr>
          <w:i w:val="0"/>
          <w:lang w:val="es-ES"/>
        </w:rPr>
      </w:pPr>
      <w:r>
        <w:rPr>
          <w:i w:val="0"/>
          <w:lang w:val="en-AU"/>
        </w:rPr>
        <w:t>COSTS AND FEES</w:t>
      </w:r>
    </w:p>
    <w:p w14:paraId="17216114" w14:textId="2AEAB740" w:rsidR="00BB1903" w:rsidRDefault="008F79E5">
      <w:pPr>
        <w:rPr>
          <w:lang w:val="en-AU"/>
        </w:rPr>
      </w:pPr>
      <w:r>
        <w:rPr>
          <w:lang w:val="en-AU"/>
        </w:rPr>
        <w:t xml:space="preserve">The </w:t>
      </w:r>
      <w:r w:rsidR="00E97D5A">
        <w:rPr>
          <w:lang w:val="en-AU"/>
        </w:rPr>
        <w:t xml:space="preserve">Grattan Institute (2014) </w:t>
      </w:r>
      <w:r w:rsidR="005B4CA9">
        <w:rPr>
          <w:lang w:val="en-AU"/>
        </w:rPr>
        <w:t xml:space="preserve">, among others, </w:t>
      </w:r>
      <w:r w:rsidR="00E97D5A">
        <w:rPr>
          <w:lang w:val="en-AU"/>
        </w:rPr>
        <w:t>has shown</w:t>
      </w:r>
      <w:r w:rsidR="005B4CA9">
        <w:rPr>
          <w:lang w:val="en-AU"/>
        </w:rPr>
        <w:t xml:space="preserve"> that not only are fees </w:t>
      </w:r>
      <w:r w:rsidR="0020118B">
        <w:rPr>
          <w:lang w:val="en-AU"/>
        </w:rPr>
        <w:t xml:space="preserve">and therefore costs </w:t>
      </w:r>
      <w:r w:rsidR="005B4CA9">
        <w:rPr>
          <w:lang w:val="en-AU"/>
        </w:rPr>
        <w:t>the best predictor of future returns, but that those funds with the lowest fees, on average, produce the highest returns</w:t>
      </w:r>
      <w:r w:rsidR="00487BFF">
        <w:rPr>
          <w:lang w:val="en-AU"/>
        </w:rPr>
        <w:t>. This supports the John Bogle view of the benefits of indexed funds, because they have low fees.</w:t>
      </w:r>
    </w:p>
    <w:p w14:paraId="0984CAAD" w14:textId="2849174C" w:rsidR="0020118B" w:rsidRDefault="008D65EF">
      <w:pPr>
        <w:rPr>
          <w:lang w:val="en-AU"/>
        </w:rPr>
      </w:pPr>
      <w:r>
        <w:rPr>
          <w:lang w:val="en-AU"/>
        </w:rPr>
        <w:t xml:space="preserve">The Australian superannuation industry is characterised by a plethora of different providers whose product is generally indistinguishable </w:t>
      </w:r>
      <w:r w:rsidR="0065677B">
        <w:rPr>
          <w:lang w:val="en-AU"/>
        </w:rPr>
        <w:t xml:space="preserve">one form another. </w:t>
      </w:r>
      <w:r w:rsidR="00F41D91">
        <w:rPr>
          <w:lang w:val="en-AU"/>
        </w:rPr>
        <w:t>The way the public offer funds compete with each other is through</w:t>
      </w:r>
      <w:r w:rsidR="0024535B">
        <w:rPr>
          <w:lang w:val="en-AU"/>
        </w:rPr>
        <w:t xml:space="preserve"> the</w:t>
      </w:r>
      <w:r w:rsidR="00760CA5">
        <w:rPr>
          <w:lang w:val="en-AU"/>
        </w:rPr>
        <w:t xml:space="preserve"> meaningless, but somehow compelling</w:t>
      </w:r>
      <w:r w:rsidR="009E2C30">
        <w:rPr>
          <w:lang w:val="en-AU"/>
        </w:rPr>
        <w:t>,</w:t>
      </w:r>
      <w:r w:rsidR="00345906">
        <w:rPr>
          <w:lang w:val="en-AU"/>
        </w:rPr>
        <w:t xml:space="preserve"> use o</w:t>
      </w:r>
      <w:r w:rsidR="004E66AF">
        <w:rPr>
          <w:lang w:val="en-AU"/>
        </w:rPr>
        <w:t>f historical return</w:t>
      </w:r>
      <w:r w:rsidR="00345906">
        <w:rPr>
          <w:lang w:val="en-AU"/>
        </w:rPr>
        <w:t xml:space="preserve"> rates</w:t>
      </w:r>
      <w:r w:rsidR="00760CA5">
        <w:rPr>
          <w:lang w:val="en-AU"/>
        </w:rPr>
        <w:t xml:space="preserve"> and </w:t>
      </w:r>
      <w:r w:rsidR="00F41D91">
        <w:rPr>
          <w:lang w:val="en-AU"/>
        </w:rPr>
        <w:t xml:space="preserve">inane marketing and advertising </w:t>
      </w:r>
      <w:r w:rsidR="007C7F49">
        <w:rPr>
          <w:lang w:val="en-AU"/>
        </w:rPr>
        <w:t>to the superannuation contributor</w:t>
      </w:r>
      <w:r w:rsidR="00CE6B2A">
        <w:rPr>
          <w:lang w:val="en-AU"/>
        </w:rPr>
        <w:t xml:space="preserve"> </w:t>
      </w:r>
      <w:r w:rsidR="00F41D91">
        <w:rPr>
          <w:lang w:val="en-AU"/>
        </w:rPr>
        <w:t>( glossy documents all showing the same happy families )</w:t>
      </w:r>
      <w:r w:rsidR="00CE6B2A">
        <w:rPr>
          <w:lang w:val="en-AU"/>
        </w:rPr>
        <w:t xml:space="preserve"> and through trying to coerce emplo</w:t>
      </w:r>
      <w:r w:rsidR="0043060A">
        <w:rPr>
          <w:lang w:val="en-AU"/>
        </w:rPr>
        <w:t>yers, at great cost to existing</w:t>
      </w:r>
      <w:r w:rsidR="00CE6B2A">
        <w:rPr>
          <w:lang w:val="en-AU"/>
        </w:rPr>
        <w:t xml:space="preserve"> members</w:t>
      </w:r>
      <w:r w:rsidR="0043060A">
        <w:rPr>
          <w:lang w:val="en-AU"/>
        </w:rPr>
        <w:t xml:space="preserve"> of the fund,</w:t>
      </w:r>
      <w:r w:rsidR="00CE6B2A">
        <w:rPr>
          <w:lang w:val="en-AU"/>
        </w:rPr>
        <w:t xml:space="preserve"> to switch</w:t>
      </w:r>
      <w:r w:rsidR="00FB3539">
        <w:rPr>
          <w:lang w:val="en-AU"/>
        </w:rPr>
        <w:t xml:space="preserve"> the default fund for their employees,</w:t>
      </w:r>
      <w:r w:rsidR="00CE6B2A">
        <w:rPr>
          <w:lang w:val="en-AU"/>
        </w:rPr>
        <w:t xml:space="preserve"> at least for </w:t>
      </w:r>
      <w:r w:rsidR="0043060A">
        <w:rPr>
          <w:lang w:val="en-AU"/>
        </w:rPr>
        <w:t>those</w:t>
      </w:r>
      <w:r w:rsidR="00CE6B2A">
        <w:rPr>
          <w:lang w:val="en-AU"/>
        </w:rPr>
        <w:t xml:space="preserve"> funds that are contestable</w:t>
      </w:r>
      <w:r w:rsidR="005216BB">
        <w:rPr>
          <w:lang w:val="en-AU"/>
        </w:rPr>
        <w:t>.</w:t>
      </w:r>
    </w:p>
    <w:p w14:paraId="071B9A4D" w14:textId="465FF9B5" w:rsidR="003234F3" w:rsidRDefault="005216BB">
      <w:pPr>
        <w:rPr>
          <w:lang w:val="en-AU"/>
        </w:rPr>
      </w:pPr>
      <w:r>
        <w:rPr>
          <w:lang w:val="en-AU"/>
        </w:rPr>
        <w:t xml:space="preserve"> </w:t>
      </w:r>
      <w:r w:rsidR="008C4B6F">
        <w:rPr>
          <w:lang w:val="en-AU"/>
        </w:rPr>
        <w:t>At the risk of digressing, the Australian superannuation industry is beginning to remind me of a trip to the toothpaste aisle in a supermarket – all I want</w:t>
      </w:r>
      <w:r w:rsidR="00B51395">
        <w:rPr>
          <w:lang w:val="en-AU"/>
        </w:rPr>
        <w:t xml:space="preserve"> is toothpaste that works and all I get is confused and irritated by the pointless choice and irrelevant differentiation.</w:t>
      </w:r>
    </w:p>
    <w:p w14:paraId="73AEF1C8" w14:textId="77777777" w:rsidR="00550B9C" w:rsidRDefault="006A5950">
      <w:pPr>
        <w:rPr>
          <w:lang w:val="en-AU"/>
        </w:rPr>
      </w:pPr>
      <w:r>
        <w:rPr>
          <w:lang w:val="en-AU"/>
        </w:rPr>
        <w:lastRenderedPageBreak/>
        <w:t>In addition</w:t>
      </w:r>
      <w:r w:rsidR="005216BB">
        <w:rPr>
          <w:lang w:val="en-AU"/>
        </w:rPr>
        <w:t xml:space="preserve"> funds </w:t>
      </w:r>
      <w:r w:rsidR="00550B9C">
        <w:rPr>
          <w:lang w:val="en-AU"/>
        </w:rPr>
        <w:t xml:space="preserve">do not generally </w:t>
      </w:r>
      <w:r w:rsidR="005216BB">
        <w:rPr>
          <w:lang w:val="en-AU"/>
        </w:rPr>
        <w:t>have sufficient sca</w:t>
      </w:r>
      <w:r w:rsidR="00550B9C">
        <w:rPr>
          <w:lang w:val="en-AU"/>
        </w:rPr>
        <w:t>le to be truly effective.</w:t>
      </w:r>
    </w:p>
    <w:p w14:paraId="4BC7838A" w14:textId="068DF011" w:rsidR="00372220" w:rsidRDefault="00550B9C">
      <w:pPr>
        <w:rPr>
          <w:lang w:val="en-AU"/>
        </w:rPr>
      </w:pPr>
      <w:r>
        <w:rPr>
          <w:lang w:val="en-AU"/>
        </w:rPr>
        <w:t xml:space="preserve">The </w:t>
      </w:r>
      <w:r w:rsidR="005216BB">
        <w:rPr>
          <w:lang w:val="en-AU"/>
        </w:rPr>
        <w:t xml:space="preserve"> result </w:t>
      </w:r>
      <w:r w:rsidR="000A6288">
        <w:rPr>
          <w:lang w:val="en-AU"/>
        </w:rPr>
        <w:t>of all this inefficiency has been the depriving</w:t>
      </w:r>
      <w:r w:rsidR="005D5256">
        <w:rPr>
          <w:lang w:val="en-AU"/>
        </w:rPr>
        <w:t xml:space="preserve"> of the Australian superannuant </w:t>
      </w:r>
      <w:r w:rsidR="000A6288">
        <w:rPr>
          <w:lang w:val="en-AU"/>
        </w:rPr>
        <w:t xml:space="preserve">of a significant part of his or her potential </w:t>
      </w:r>
      <w:r w:rsidR="00101887">
        <w:rPr>
          <w:lang w:val="en-AU"/>
        </w:rPr>
        <w:t>retirement</w:t>
      </w:r>
      <w:r w:rsidR="000A6288">
        <w:rPr>
          <w:lang w:val="en-AU"/>
        </w:rPr>
        <w:t xml:space="preserve"> benefit. (Grattan Institute </w:t>
      </w:r>
      <w:r w:rsidR="00101887">
        <w:rPr>
          <w:lang w:val="en-AU"/>
        </w:rPr>
        <w:t>2014)</w:t>
      </w:r>
    </w:p>
    <w:p w14:paraId="1359368F" w14:textId="64AFEE4A" w:rsidR="00684700" w:rsidRDefault="00F76523">
      <w:pPr>
        <w:rPr>
          <w:lang w:val="en-AU"/>
        </w:rPr>
      </w:pPr>
      <w:r>
        <w:rPr>
          <w:lang w:val="en-AU"/>
        </w:rPr>
        <w:t>The number of funds needs to be reduced dramatically and the wasteful marketing and advertising</w:t>
      </w:r>
      <w:r w:rsidR="00F51830">
        <w:rPr>
          <w:lang w:val="en-AU"/>
        </w:rPr>
        <w:t>, not to mention the bureaucracies</w:t>
      </w:r>
      <w:r w:rsidR="002C0FA2">
        <w:rPr>
          <w:lang w:val="en-AU"/>
        </w:rPr>
        <w:t>,</w:t>
      </w:r>
      <w:r>
        <w:rPr>
          <w:lang w:val="en-AU"/>
        </w:rPr>
        <w:t xml:space="preserve"> </w:t>
      </w:r>
      <w:r w:rsidR="00CD0334">
        <w:rPr>
          <w:lang w:val="en-AU"/>
        </w:rPr>
        <w:t>reduced almost</w:t>
      </w:r>
      <w:r w:rsidR="006A5801">
        <w:rPr>
          <w:lang w:val="en-AU"/>
        </w:rPr>
        <w:t xml:space="preserve"> to z</w:t>
      </w:r>
      <w:r w:rsidR="00F46D40">
        <w:rPr>
          <w:lang w:val="en-AU"/>
        </w:rPr>
        <w:t>ero. A large, self-serving and counter-productive industry has grown up around the Australian Superannuation Guarantee</w:t>
      </w:r>
      <w:r w:rsidR="00684700">
        <w:rPr>
          <w:lang w:val="en-AU"/>
        </w:rPr>
        <w:t xml:space="preserve">. </w:t>
      </w:r>
      <w:r w:rsidR="00A0264C">
        <w:rPr>
          <w:lang w:val="en-AU"/>
        </w:rPr>
        <w:t>It has a vested interest in main</w:t>
      </w:r>
      <w:r w:rsidR="002878E1">
        <w:rPr>
          <w:lang w:val="en-AU"/>
        </w:rPr>
        <w:t xml:space="preserve">taining the status quo and </w:t>
      </w:r>
      <w:r w:rsidR="00A0264C">
        <w:rPr>
          <w:lang w:val="en-AU"/>
        </w:rPr>
        <w:t xml:space="preserve">expanding itself. </w:t>
      </w:r>
      <w:r w:rsidR="00684700">
        <w:rPr>
          <w:lang w:val="en-AU"/>
        </w:rPr>
        <w:t xml:space="preserve">It will be hard to dislodge and </w:t>
      </w:r>
      <w:r w:rsidR="00CD0334">
        <w:rPr>
          <w:lang w:val="en-AU"/>
        </w:rPr>
        <w:t xml:space="preserve">will lobby aggressively, and probably with the use if </w:t>
      </w:r>
      <w:r w:rsidR="00AB7BEF">
        <w:rPr>
          <w:lang w:val="en-AU"/>
        </w:rPr>
        <w:t xml:space="preserve">its </w:t>
      </w:r>
      <w:r w:rsidR="00CD0334">
        <w:rPr>
          <w:lang w:val="en-AU"/>
        </w:rPr>
        <w:t>members’ superannuation money</w:t>
      </w:r>
      <w:r w:rsidR="00AB7BEF">
        <w:rPr>
          <w:lang w:val="en-AU"/>
        </w:rPr>
        <w:t xml:space="preserve">, </w:t>
      </w:r>
      <w:r w:rsidR="001A05D3">
        <w:rPr>
          <w:lang w:val="en-AU"/>
        </w:rPr>
        <w:t xml:space="preserve">to </w:t>
      </w:r>
      <w:r w:rsidR="003D517B">
        <w:rPr>
          <w:lang w:val="en-AU"/>
        </w:rPr>
        <w:t>resist change.</w:t>
      </w:r>
    </w:p>
    <w:p w14:paraId="71E1442A" w14:textId="4204D2D2" w:rsidR="00600F98" w:rsidRDefault="00600F98">
      <w:pPr>
        <w:rPr>
          <w:rFonts w:asciiTheme="majorHAnsi" w:hAnsiTheme="majorHAnsi"/>
          <w:sz w:val="40"/>
          <w:szCs w:val="40"/>
          <w:lang w:val="en-AU"/>
        </w:rPr>
      </w:pPr>
      <w:r>
        <w:rPr>
          <w:rFonts w:asciiTheme="majorHAnsi" w:hAnsiTheme="majorHAnsi"/>
          <w:sz w:val="40"/>
          <w:szCs w:val="40"/>
          <w:lang w:val="en-AU"/>
        </w:rPr>
        <w:t>FUND GOVERNANCE</w:t>
      </w:r>
    </w:p>
    <w:p w14:paraId="4DA6A890" w14:textId="4BC5BE2B" w:rsidR="00257C17" w:rsidRDefault="005809D1">
      <w:pPr>
        <w:rPr>
          <w:rFonts w:cstheme="minorHAnsi"/>
          <w:lang w:val="en-AU"/>
        </w:rPr>
      </w:pPr>
      <w:r>
        <w:rPr>
          <w:rFonts w:cstheme="minorHAnsi"/>
          <w:lang w:val="en-AU"/>
        </w:rPr>
        <w:t xml:space="preserve">Kevin Yi Liu in his </w:t>
      </w:r>
      <w:r w:rsidR="00477258">
        <w:rPr>
          <w:rFonts w:cstheme="minorHAnsi"/>
          <w:lang w:val="en-AU"/>
        </w:rPr>
        <w:t xml:space="preserve">June 2013 doctoral thesis entitled, </w:t>
      </w:r>
      <w:r w:rsidR="00003F1A">
        <w:rPr>
          <w:rFonts w:cstheme="minorHAnsi"/>
          <w:lang w:val="en-AU"/>
        </w:rPr>
        <w:t>Australian Superannuation</w:t>
      </w:r>
      <w:r w:rsidR="00EC5C20">
        <w:rPr>
          <w:rFonts w:cstheme="minorHAnsi"/>
          <w:lang w:val="en-AU"/>
        </w:rPr>
        <w:t>, Operational Structure, Investment Perf</w:t>
      </w:r>
      <w:r w:rsidR="00914038">
        <w:rPr>
          <w:rFonts w:cstheme="minorHAnsi"/>
          <w:lang w:val="en-AU"/>
        </w:rPr>
        <w:t>ormance and Trustee Governance found that</w:t>
      </w:r>
      <w:r w:rsidR="001C65AE">
        <w:rPr>
          <w:rFonts w:cstheme="minorHAnsi"/>
          <w:lang w:val="en-AU"/>
        </w:rPr>
        <w:t xml:space="preserve"> </w:t>
      </w:r>
      <w:r w:rsidR="00BA1A48" w:rsidRPr="00975F85">
        <w:rPr>
          <w:rFonts w:cstheme="minorHAnsi"/>
          <w:i/>
          <w:lang w:val="en-AU"/>
        </w:rPr>
        <w:t>“ retail funds significantly under-</w:t>
      </w:r>
      <w:r w:rsidR="00ED7497" w:rsidRPr="00975F85">
        <w:rPr>
          <w:rFonts w:cstheme="minorHAnsi"/>
          <w:i/>
          <w:lang w:val="en-AU"/>
        </w:rPr>
        <w:t xml:space="preserve">performed their not-for-profit </w:t>
      </w:r>
      <w:r w:rsidR="00031D32" w:rsidRPr="00975F85">
        <w:rPr>
          <w:rFonts w:cstheme="minorHAnsi"/>
          <w:i/>
          <w:lang w:val="en-AU"/>
        </w:rPr>
        <w:t>counterparts</w:t>
      </w:r>
      <w:r w:rsidR="005868B0" w:rsidRPr="00975F85">
        <w:rPr>
          <w:rFonts w:cstheme="minorHAnsi"/>
          <w:i/>
          <w:lang w:val="en-AU"/>
        </w:rPr>
        <w:t xml:space="preserve"> </w:t>
      </w:r>
      <w:r w:rsidR="005D5298" w:rsidRPr="00975F85">
        <w:rPr>
          <w:rFonts w:cstheme="minorHAnsi"/>
          <w:i/>
          <w:lang w:val="en-AU"/>
        </w:rPr>
        <w:t xml:space="preserve">using the new risk-adjusted </w:t>
      </w:r>
      <w:r w:rsidR="00A44060" w:rsidRPr="00975F85">
        <w:rPr>
          <w:rFonts w:cstheme="minorHAnsi"/>
          <w:i/>
          <w:lang w:val="en-AU"/>
        </w:rPr>
        <w:t xml:space="preserve">performance measure </w:t>
      </w:r>
      <w:r w:rsidR="00E42D60" w:rsidRPr="00975F85">
        <w:rPr>
          <w:rFonts w:cstheme="minorHAnsi"/>
          <w:i/>
          <w:lang w:val="en-AU"/>
        </w:rPr>
        <w:t>(</w:t>
      </w:r>
      <w:r w:rsidR="00D60788" w:rsidRPr="00975F85">
        <w:rPr>
          <w:rFonts w:cstheme="minorHAnsi"/>
          <w:i/>
          <w:lang w:val="en-AU"/>
        </w:rPr>
        <w:t xml:space="preserve">the </w:t>
      </w:r>
      <w:proofErr w:type="spellStart"/>
      <w:r w:rsidR="00E42D60" w:rsidRPr="00975F85">
        <w:rPr>
          <w:rFonts w:cstheme="minorHAnsi"/>
          <w:i/>
          <w:lang w:val="en-AU"/>
        </w:rPr>
        <w:t>RAVA</w:t>
      </w:r>
      <w:proofErr w:type="spellEnd"/>
      <w:r w:rsidR="00D60788" w:rsidRPr="00975F85">
        <w:rPr>
          <w:rFonts w:cstheme="minorHAnsi"/>
          <w:i/>
          <w:lang w:val="en-AU"/>
        </w:rPr>
        <w:t xml:space="preserve"> method) </w:t>
      </w:r>
      <w:r w:rsidR="00AF65E7" w:rsidRPr="00975F85">
        <w:rPr>
          <w:rFonts w:cstheme="minorHAnsi"/>
          <w:i/>
          <w:lang w:val="en-AU"/>
        </w:rPr>
        <w:t xml:space="preserve">at the total fund level. </w:t>
      </w:r>
      <w:r w:rsidR="002E19B9" w:rsidRPr="00975F85">
        <w:rPr>
          <w:rFonts w:cstheme="minorHAnsi"/>
          <w:i/>
          <w:lang w:val="en-AU"/>
        </w:rPr>
        <w:t>Furthermore, I found that</w:t>
      </w:r>
      <w:r w:rsidR="00542C49" w:rsidRPr="00975F85">
        <w:rPr>
          <w:rFonts w:cstheme="minorHAnsi"/>
          <w:i/>
          <w:lang w:val="en-AU"/>
        </w:rPr>
        <w:t xml:space="preserve"> the under-performance of</w:t>
      </w:r>
      <w:r w:rsidR="00BA571C" w:rsidRPr="00975F85">
        <w:rPr>
          <w:rFonts w:cstheme="minorHAnsi"/>
          <w:i/>
          <w:lang w:val="en-AU"/>
        </w:rPr>
        <w:t xml:space="preserve"> the</w:t>
      </w:r>
      <w:r w:rsidR="00542C49" w:rsidRPr="00975F85">
        <w:rPr>
          <w:rFonts w:cstheme="minorHAnsi"/>
          <w:i/>
          <w:lang w:val="en-AU"/>
        </w:rPr>
        <w:t xml:space="preserve"> retail funds</w:t>
      </w:r>
      <w:r w:rsidR="00276A3C" w:rsidRPr="00975F85">
        <w:rPr>
          <w:rFonts w:cstheme="minorHAnsi"/>
          <w:i/>
          <w:lang w:val="en-AU"/>
        </w:rPr>
        <w:t xml:space="preserve"> was not driven by asset allocation</w:t>
      </w:r>
      <w:r w:rsidR="003C54E3" w:rsidRPr="00975F85">
        <w:rPr>
          <w:rFonts w:cstheme="minorHAnsi"/>
          <w:i/>
          <w:lang w:val="en-AU"/>
        </w:rPr>
        <w:t xml:space="preserve"> differences or investment manager skill</w:t>
      </w:r>
      <w:r w:rsidR="008E4A88" w:rsidRPr="00975F85">
        <w:rPr>
          <w:rFonts w:cstheme="minorHAnsi"/>
          <w:i/>
          <w:lang w:val="en-AU"/>
        </w:rPr>
        <w:t xml:space="preserve"> </w:t>
      </w:r>
      <w:r w:rsidR="00B52CEC" w:rsidRPr="00975F85">
        <w:rPr>
          <w:rFonts w:cstheme="minorHAnsi"/>
          <w:i/>
          <w:lang w:val="en-AU"/>
        </w:rPr>
        <w:t>differences but due to the cost differences</w:t>
      </w:r>
      <w:r w:rsidR="00A22FE0" w:rsidRPr="00975F85">
        <w:rPr>
          <w:rFonts w:cstheme="minorHAnsi"/>
          <w:i/>
          <w:lang w:val="en-AU"/>
        </w:rPr>
        <w:t xml:space="preserve"> between the two types of funds</w:t>
      </w:r>
      <w:r w:rsidR="00975F85">
        <w:rPr>
          <w:rFonts w:cstheme="minorHAnsi"/>
          <w:lang w:val="en-AU"/>
        </w:rPr>
        <w:t>.”</w:t>
      </w:r>
      <w:r w:rsidR="00803D9D">
        <w:rPr>
          <w:rFonts w:cstheme="minorHAnsi"/>
          <w:lang w:val="en-AU"/>
        </w:rPr>
        <w:t xml:space="preserve"> </w:t>
      </w:r>
      <w:r w:rsidR="00D5796B">
        <w:rPr>
          <w:rFonts w:cstheme="minorHAnsi"/>
          <w:lang w:val="en-AU"/>
        </w:rPr>
        <w:t>(Liu, 2013. Page 286)</w:t>
      </w:r>
    </w:p>
    <w:p w14:paraId="72B13F0F" w14:textId="19D42AA1" w:rsidR="0066629A" w:rsidRDefault="00975F85">
      <w:pPr>
        <w:rPr>
          <w:rFonts w:cstheme="minorHAnsi"/>
          <w:lang w:val="en-AU"/>
        </w:rPr>
      </w:pPr>
      <w:r>
        <w:rPr>
          <w:rFonts w:cstheme="minorHAnsi"/>
          <w:lang w:val="en-AU"/>
        </w:rPr>
        <w:t>This conclusion supports</w:t>
      </w:r>
      <w:r w:rsidR="0014634D">
        <w:rPr>
          <w:rFonts w:cstheme="minorHAnsi"/>
          <w:lang w:val="en-AU"/>
        </w:rPr>
        <w:t xml:space="preserve"> the Grattan findings about the impact of cost</w:t>
      </w:r>
      <w:r w:rsidR="00B7712F">
        <w:rPr>
          <w:rFonts w:cstheme="minorHAnsi"/>
          <w:lang w:val="en-AU"/>
        </w:rPr>
        <w:t xml:space="preserve"> </w:t>
      </w:r>
      <w:r w:rsidR="003E166C">
        <w:rPr>
          <w:rFonts w:cstheme="minorHAnsi"/>
          <w:lang w:val="en-AU"/>
        </w:rPr>
        <w:t>on superannuation outcomes</w:t>
      </w:r>
      <w:r w:rsidR="0014634D">
        <w:rPr>
          <w:rFonts w:cstheme="minorHAnsi"/>
          <w:lang w:val="en-AU"/>
        </w:rPr>
        <w:t xml:space="preserve">. </w:t>
      </w:r>
      <w:r w:rsidR="003E166C">
        <w:rPr>
          <w:rFonts w:cstheme="minorHAnsi"/>
          <w:lang w:val="en-AU"/>
        </w:rPr>
        <w:t>It also suggests that</w:t>
      </w:r>
      <w:r w:rsidR="009369BF">
        <w:rPr>
          <w:rFonts w:cstheme="minorHAnsi"/>
          <w:lang w:val="en-AU"/>
        </w:rPr>
        <w:t xml:space="preserve"> funds operated for profit </w:t>
      </w:r>
      <w:r w:rsidR="003E166C">
        <w:rPr>
          <w:rFonts w:cstheme="minorHAnsi"/>
          <w:lang w:val="en-AU"/>
        </w:rPr>
        <w:t>and the best outcomes for sup</w:t>
      </w:r>
      <w:r w:rsidR="009369BF">
        <w:rPr>
          <w:rFonts w:cstheme="minorHAnsi"/>
          <w:lang w:val="en-AU"/>
        </w:rPr>
        <w:t xml:space="preserve">erannuation consumers are not compatible. </w:t>
      </w:r>
      <w:r w:rsidR="005B4CFB">
        <w:rPr>
          <w:rFonts w:cstheme="minorHAnsi"/>
          <w:lang w:val="en-AU"/>
        </w:rPr>
        <w:t xml:space="preserve">A </w:t>
      </w:r>
      <w:r w:rsidR="0047225C">
        <w:rPr>
          <w:rFonts w:cstheme="minorHAnsi"/>
          <w:lang w:val="en-AU"/>
        </w:rPr>
        <w:t xml:space="preserve">superannuation fund trustee board </w:t>
      </w:r>
      <w:r w:rsidR="005B4CFB">
        <w:rPr>
          <w:rFonts w:cstheme="minorHAnsi"/>
          <w:lang w:val="en-AU"/>
        </w:rPr>
        <w:t xml:space="preserve">cannot </w:t>
      </w:r>
      <w:r w:rsidR="0047225C">
        <w:rPr>
          <w:rFonts w:cstheme="minorHAnsi"/>
          <w:lang w:val="en-AU"/>
        </w:rPr>
        <w:t>act in the best interests of its members whilst maximising profits for the owners of the trustee</w:t>
      </w:r>
      <w:r w:rsidR="0029589A">
        <w:rPr>
          <w:rFonts w:cstheme="minorHAnsi"/>
          <w:lang w:val="en-AU"/>
        </w:rPr>
        <w:t xml:space="preserve">. </w:t>
      </w:r>
      <w:r w:rsidR="00171B16">
        <w:rPr>
          <w:rFonts w:cstheme="minorHAnsi"/>
          <w:lang w:val="en-AU"/>
        </w:rPr>
        <w:t>This is just common sense.</w:t>
      </w:r>
    </w:p>
    <w:p w14:paraId="1DB0A4C1" w14:textId="1F875C46" w:rsidR="00975F85" w:rsidRDefault="0066629A">
      <w:pPr>
        <w:rPr>
          <w:rFonts w:cstheme="minorHAnsi"/>
          <w:lang w:val="en-AU"/>
        </w:rPr>
      </w:pPr>
      <w:r>
        <w:rPr>
          <w:rFonts w:cstheme="minorHAnsi"/>
          <w:lang w:val="en-AU"/>
        </w:rPr>
        <w:t xml:space="preserve">One </w:t>
      </w:r>
      <w:r w:rsidR="009743A4">
        <w:rPr>
          <w:rFonts w:cstheme="minorHAnsi"/>
          <w:lang w:val="en-AU"/>
        </w:rPr>
        <w:t xml:space="preserve">solution to this </w:t>
      </w:r>
      <w:r w:rsidR="00D5796B">
        <w:rPr>
          <w:rFonts w:cstheme="minorHAnsi"/>
          <w:lang w:val="en-AU"/>
        </w:rPr>
        <w:t>particular source of inefficiency</w:t>
      </w:r>
      <w:r w:rsidR="009743A4">
        <w:rPr>
          <w:rFonts w:cstheme="minorHAnsi"/>
          <w:lang w:val="en-AU"/>
        </w:rPr>
        <w:t xml:space="preserve"> is simple, only permit </w:t>
      </w:r>
      <w:r w:rsidR="00171B16">
        <w:rPr>
          <w:rFonts w:cstheme="minorHAnsi"/>
          <w:lang w:val="en-AU"/>
        </w:rPr>
        <w:t>superfunds</w:t>
      </w:r>
      <w:r w:rsidR="0031563F">
        <w:rPr>
          <w:rFonts w:cstheme="minorHAnsi"/>
          <w:lang w:val="en-AU"/>
        </w:rPr>
        <w:t xml:space="preserve"> whose trustee</w:t>
      </w:r>
      <w:r w:rsidR="00171B16">
        <w:rPr>
          <w:rFonts w:cstheme="minorHAnsi"/>
          <w:lang w:val="en-AU"/>
        </w:rPr>
        <w:t xml:space="preserve">s are </w:t>
      </w:r>
      <w:r w:rsidR="00B704EA">
        <w:rPr>
          <w:rFonts w:cstheme="minorHAnsi"/>
          <w:lang w:val="en-AU"/>
        </w:rPr>
        <w:t>a not-for-</w:t>
      </w:r>
      <w:r w:rsidR="00171B16">
        <w:rPr>
          <w:rFonts w:cstheme="minorHAnsi"/>
          <w:lang w:val="en-AU"/>
        </w:rPr>
        <w:t>profit entities</w:t>
      </w:r>
      <w:r w:rsidR="0040251D">
        <w:rPr>
          <w:rFonts w:cstheme="minorHAnsi"/>
          <w:lang w:val="en-AU"/>
        </w:rPr>
        <w:t xml:space="preserve"> with no ownership ties to a for-profit entity to operate an Australian superannuation fund. </w:t>
      </w:r>
      <w:r w:rsidR="009743A4">
        <w:rPr>
          <w:rFonts w:cstheme="minorHAnsi"/>
          <w:lang w:val="en-AU"/>
        </w:rPr>
        <w:t>This</w:t>
      </w:r>
      <w:r w:rsidR="00B704EA">
        <w:rPr>
          <w:rFonts w:cstheme="minorHAnsi"/>
          <w:lang w:val="en-AU"/>
        </w:rPr>
        <w:t xml:space="preserve"> suggestion is </w:t>
      </w:r>
      <w:r w:rsidR="00297122">
        <w:rPr>
          <w:rFonts w:cstheme="minorHAnsi"/>
          <w:lang w:val="en-AU"/>
        </w:rPr>
        <w:t>supported by findings from research by</w:t>
      </w:r>
      <w:r w:rsidR="0014634D">
        <w:rPr>
          <w:rFonts w:cstheme="minorHAnsi"/>
          <w:lang w:val="en-AU"/>
        </w:rPr>
        <w:t xml:space="preserve"> </w:t>
      </w:r>
      <w:r w:rsidR="005A5333">
        <w:rPr>
          <w:rFonts w:cstheme="minorHAnsi"/>
          <w:lang w:val="en-AU"/>
        </w:rPr>
        <w:t>Keith Ambachtscheer.</w:t>
      </w:r>
      <w:r w:rsidR="00297122">
        <w:rPr>
          <w:rFonts w:cstheme="minorHAnsi"/>
          <w:lang w:val="en-AU"/>
        </w:rPr>
        <w:t>.</w:t>
      </w:r>
    </w:p>
    <w:p w14:paraId="39805B9E" w14:textId="31AE0099" w:rsidR="006208B3" w:rsidRDefault="006208B3">
      <w:pPr>
        <w:rPr>
          <w:rFonts w:cstheme="minorHAnsi"/>
          <w:lang w:val="en-AU"/>
        </w:rPr>
      </w:pPr>
    </w:p>
    <w:p w14:paraId="5405181B" w14:textId="14FEBAFB" w:rsidR="002D6EC9" w:rsidRDefault="002D6EC9">
      <w:pPr>
        <w:rPr>
          <w:rFonts w:asciiTheme="majorHAnsi" w:hAnsiTheme="majorHAnsi" w:cstheme="minorHAnsi"/>
          <w:sz w:val="40"/>
          <w:szCs w:val="40"/>
          <w:lang w:val="en-AU"/>
        </w:rPr>
      </w:pPr>
      <w:r>
        <w:rPr>
          <w:rFonts w:asciiTheme="majorHAnsi" w:hAnsiTheme="majorHAnsi" w:cstheme="minorHAnsi"/>
          <w:sz w:val="40"/>
          <w:szCs w:val="40"/>
          <w:lang w:val="en-AU"/>
        </w:rPr>
        <w:t>CONCLUSION</w:t>
      </w:r>
    </w:p>
    <w:p w14:paraId="008BA176" w14:textId="07FF89BE" w:rsidR="004E71B2" w:rsidRDefault="004E71B2">
      <w:pPr>
        <w:rPr>
          <w:rFonts w:cstheme="minorHAnsi"/>
          <w:lang w:val="en-AU"/>
        </w:rPr>
      </w:pPr>
      <w:r>
        <w:rPr>
          <w:rFonts w:cstheme="minorHAnsi"/>
          <w:lang w:val="en-AU"/>
        </w:rPr>
        <w:t>In conclusion, and to s</w:t>
      </w:r>
      <w:r w:rsidR="000E6492">
        <w:rPr>
          <w:rFonts w:cstheme="minorHAnsi"/>
          <w:lang w:val="en-AU"/>
        </w:rPr>
        <w:t>ave the PC time, I recommend</w:t>
      </w:r>
      <w:r w:rsidR="009749B2">
        <w:rPr>
          <w:rFonts w:cstheme="minorHAnsi"/>
          <w:lang w:val="en-AU"/>
        </w:rPr>
        <w:t xml:space="preserve"> reading </w:t>
      </w:r>
      <w:r w:rsidR="00BD13E3">
        <w:rPr>
          <w:rFonts w:cstheme="minorHAnsi"/>
          <w:lang w:val="en-AU"/>
        </w:rPr>
        <w:t xml:space="preserve">the Grattan report </w:t>
      </w:r>
      <w:r w:rsidR="009749B2">
        <w:rPr>
          <w:rFonts w:cstheme="minorHAnsi"/>
          <w:lang w:val="en-AU"/>
        </w:rPr>
        <w:t>and</w:t>
      </w:r>
      <w:r w:rsidR="000E6492">
        <w:rPr>
          <w:rFonts w:cstheme="minorHAnsi"/>
          <w:lang w:val="en-AU"/>
        </w:rPr>
        <w:t xml:space="preserve"> </w:t>
      </w:r>
      <w:r>
        <w:rPr>
          <w:rFonts w:cstheme="minorHAnsi"/>
          <w:lang w:val="en-AU"/>
        </w:rPr>
        <w:t xml:space="preserve"> implementing a </w:t>
      </w:r>
      <w:r w:rsidR="00107791">
        <w:rPr>
          <w:rFonts w:cstheme="minorHAnsi"/>
          <w:lang w:val="en-AU"/>
        </w:rPr>
        <w:t xml:space="preserve">contestable </w:t>
      </w:r>
      <w:r>
        <w:rPr>
          <w:rFonts w:cstheme="minorHAnsi"/>
          <w:lang w:val="en-AU"/>
        </w:rPr>
        <w:t>default process with annual “nudges” to</w:t>
      </w:r>
      <w:r w:rsidR="00107791">
        <w:rPr>
          <w:rFonts w:cstheme="minorHAnsi"/>
          <w:lang w:val="en-AU"/>
        </w:rPr>
        <w:t xml:space="preserve"> the consumer</w:t>
      </w:r>
      <w:r>
        <w:rPr>
          <w:rFonts w:cstheme="minorHAnsi"/>
          <w:lang w:val="en-AU"/>
        </w:rPr>
        <w:t xml:space="preserve"> via the tax return system to consider </w:t>
      </w:r>
      <w:r w:rsidR="0013433F">
        <w:rPr>
          <w:rFonts w:cstheme="minorHAnsi"/>
          <w:lang w:val="en-AU"/>
        </w:rPr>
        <w:t xml:space="preserve">changing to </w:t>
      </w:r>
      <w:r w:rsidR="00107791">
        <w:rPr>
          <w:rFonts w:cstheme="minorHAnsi"/>
          <w:lang w:val="en-AU"/>
        </w:rPr>
        <w:t xml:space="preserve">one of the </w:t>
      </w:r>
      <w:r w:rsidR="00883FA0">
        <w:rPr>
          <w:rFonts w:cstheme="minorHAnsi"/>
          <w:lang w:val="en-AU"/>
        </w:rPr>
        <w:t xml:space="preserve">selected </w:t>
      </w:r>
      <w:r w:rsidR="00107791">
        <w:rPr>
          <w:rFonts w:cstheme="minorHAnsi"/>
          <w:lang w:val="en-AU"/>
        </w:rPr>
        <w:t>default funds</w:t>
      </w:r>
      <w:r w:rsidR="000E6492">
        <w:rPr>
          <w:rFonts w:cstheme="minorHAnsi"/>
          <w:lang w:val="en-AU"/>
        </w:rPr>
        <w:t xml:space="preserve">. In other words a system based on that </w:t>
      </w:r>
      <w:r w:rsidR="0066629A">
        <w:rPr>
          <w:rFonts w:cstheme="minorHAnsi"/>
          <w:lang w:val="en-AU"/>
        </w:rPr>
        <w:t>advocated by the Grattan Institute.</w:t>
      </w:r>
      <w:r w:rsidR="00256C03">
        <w:rPr>
          <w:rFonts w:cstheme="minorHAnsi"/>
          <w:lang w:val="en-AU"/>
        </w:rPr>
        <w:t xml:space="preserve"> </w:t>
      </w:r>
      <w:r w:rsidR="00256854">
        <w:rPr>
          <w:rFonts w:cstheme="minorHAnsi"/>
          <w:lang w:val="en-AU"/>
        </w:rPr>
        <w:t>Obviously there will be many devils</w:t>
      </w:r>
      <w:r w:rsidR="00C17255">
        <w:rPr>
          <w:rFonts w:cstheme="minorHAnsi"/>
          <w:lang w:val="en-AU"/>
        </w:rPr>
        <w:t xml:space="preserve"> </w:t>
      </w:r>
      <w:r w:rsidR="00256C03">
        <w:rPr>
          <w:rFonts w:cstheme="minorHAnsi"/>
          <w:lang w:val="en-AU"/>
        </w:rPr>
        <w:t>in the detail.</w:t>
      </w:r>
    </w:p>
    <w:p w14:paraId="62CA4628" w14:textId="3F20A896" w:rsidR="00DA155C" w:rsidRPr="004E71B2" w:rsidRDefault="0013433F">
      <w:pPr>
        <w:rPr>
          <w:rFonts w:cstheme="minorHAnsi"/>
          <w:lang w:val="en-AU"/>
        </w:rPr>
      </w:pPr>
      <w:r>
        <w:rPr>
          <w:rFonts w:cstheme="minorHAnsi"/>
          <w:lang w:val="en-AU"/>
        </w:rPr>
        <w:t xml:space="preserve">A worthwhile enhancement to the Grattan model would be to </w:t>
      </w:r>
      <w:r w:rsidR="00E77C00">
        <w:rPr>
          <w:rFonts w:cstheme="minorHAnsi"/>
          <w:lang w:val="en-AU"/>
        </w:rPr>
        <w:t>ensure that all operators are not-for-profit. However, the possibility of that happening while the Australian banks and FIRE ind</w:t>
      </w:r>
      <w:r w:rsidR="0029547A">
        <w:rPr>
          <w:rFonts w:cstheme="minorHAnsi"/>
          <w:lang w:val="en-AU"/>
        </w:rPr>
        <w:t xml:space="preserve">ustry has the influence it currently has is zero, so we should focus on what is, </w:t>
      </w:r>
      <w:r w:rsidR="00C058F9">
        <w:rPr>
          <w:rFonts w:cstheme="minorHAnsi"/>
          <w:lang w:val="en-AU"/>
        </w:rPr>
        <w:t xml:space="preserve">even if only </w:t>
      </w:r>
      <w:r w:rsidR="0029547A">
        <w:rPr>
          <w:rFonts w:cstheme="minorHAnsi"/>
          <w:lang w:val="en-AU"/>
        </w:rPr>
        <w:t>remotely</w:t>
      </w:r>
      <w:r w:rsidR="00B3183B">
        <w:rPr>
          <w:rFonts w:cstheme="minorHAnsi"/>
          <w:lang w:val="en-AU"/>
        </w:rPr>
        <w:t xml:space="preserve"> so</w:t>
      </w:r>
      <w:r w:rsidR="0029547A">
        <w:rPr>
          <w:rFonts w:cstheme="minorHAnsi"/>
          <w:lang w:val="en-AU"/>
        </w:rPr>
        <w:t>, pos</w:t>
      </w:r>
      <w:r w:rsidR="00C17255">
        <w:rPr>
          <w:rFonts w:cstheme="minorHAnsi"/>
          <w:lang w:val="en-AU"/>
        </w:rPr>
        <w:t>sible</w:t>
      </w:r>
      <w:r w:rsidR="002A0DB3">
        <w:rPr>
          <w:rFonts w:cstheme="minorHAnsi"/>
          <w:lang w:val="en-AU"/>
        </w:rPr>
        <w:t>. So it might be better to wait</w:t>
      </w:r>
      <w:r w:rsidR="00C17255">
        <w:rPr>
          <w:rFonts w:cstheme="minorHAnsi"/>
          <w:lang w:val="en-AU"/>
        </w:rPr>
        <w:t xml:space="preserve"> and see if the for-profit funds can change the way they do business. </w:t>
      </w:r>
      <w:r w:rsidR="00DA155C">
        <w:rPr>
          <w:rFonts w:cstheme="minorHAnsi"/>
          <w:lang w:val="en-AU"/>
        </w:rPr>
        <w:t>If the benefits to consumers and the community as a whole are anything like those estimated by the Grattan report, it would be very hard for any</w:t>
      </w:r>
      <w:r w:rsidR="0031698F">
        <w:rPr>
          <w:rFonts w:cstheme="minorHAnsi"/>
          <w:lang w:val="en-AU"/>
        </w:rPr>
        <w:t>o</w:t>
      </w:r>
      <w:r w:rsidR="00EA70AC">
        <w:rPr>
          <w:rFonts w:cstheme="minorHAnsi"/>
          <w:lang w:val="en-AU"/>
        </w:rPr>
        <w:t xml:space="preserve">ne to argue against it, </w:t>
      </w:r>
      <w:r w:rsidR="00B3183B">
        <w:rPr>
          <w:rFonts w:cstheme="minorHAnsi"/>
          <w:lang w:val="en-AU"/>
        </w:rPr>
        <w:t>with integrity</w:t>
      </w:r>
      <w:r w:rsidR="0031698F">
        <w:rPr>
          <w:rFonts w:cstheme="minorHAnsi"/>
          <w:lang w:val="en-AU"/>
        </w:rPr>
        <w:t>. But they will.</w:t>
      </w:r>
    </w:p>
    <w:p w14:paraId="627A9DA5" w14:textId="77777777" w:rsidR="002D6EC9" w:rsidRPr="002D6EC9" w:rsidRDefault="002D6EC9">
      <w:pPr>
        <w:rPr>
          <w:rFonts w:cstheme="minorHAnsi"/>
          <w:lang w:val="en-AU"/>
        </w:rPr>
      </w:pPr>
    </w:p>
    <w:p w14:paraId="6A00F6B1" w14:textId="77777777" w:rsidR="00600F98" w:rsidRPr="00600F98" w:rsidRDefault="00600F98">
      <w:pPr>
        <w:rPr>
          <w:rFonts w:cstheme="minorHAnsi"/>
          <w:lang w:val="en-AU"/>
        </w:rPr>
      </w:pPr>
    </w:p>
    <w:p w14:paraId="743D199C" w14:textId="4EB796E5" w:rsidR="00BB1903" w:rsidRDefault="00C058F9" w:rsidP="00C058F9">
      <w:pPr>
        <w:pStyle w:val="ListBullet"/>
        <w:numPr>
          <w:ilvl w:val="0"/>
          <w:numId w:val="0"/>
        </w:numPr>
        <w:rPr>
          <w:lang w:val="en-AU"/>
        </w:rPr>
      </w:pPr>
      <w:r>
        <w:rPr>
          <w:lang w:val="en-AU"/>
        </w:rPr>
        <w:t>References:</w:t>
      </w:r>
    </w:p>
    <w:p w14:paraId="3D891356" w14:textId="2E53B18B" w:rsidR="00C058F9" w:rsidRDefault="002E73C4" w:rsidP="00C058F9">
      <w:pPr>
        <w:pStyle w:val="ListBullet"/>
        <w:numPr>
          <w:ilvl w:val="0"/>
          <w:numId w:val="0"/>
        </w:numPr>
        <w:rPr>
          <w:lang w:val="en-AU"/>
        </w:rPr>
      </w:pPr>
      <w:r>
        <w:rPr>
          <w:lang w:val="en-AU"/>
        </w:rPr>
        <w:t xml:space="preserve">Grattan Institute (2014) </w:t>
      </w:r>
      <w:r w:rsidR="000D0AC9">
        <w:rPr>
          <w:lang w:val="en-AU"/>
        </w:rPr>
        <w:t>–</w:t>
      </w:r>
      <w:r>
        <w:rPr>
          <w:lang w:val="en-AU"/>
        </w:rPr>
        <w:t xml:space="preserve"> </w:t>
      </w:r>
      <w:r w:rsidR="000D0AC9">
        <w:rPr>
          <w:lang w:val="en-AU"/>
        </w:rPr>
        <w:t>“</w:t>
      </w:r>
      <w:proofErr w:type="spellStart"/>
      <w:r w:rsidR="000D0AC9">
        <w:rPr>
          <w:lang w:val="en-AU"/>
        </w:rPr>
        <w:t>Supersting</w:t>
      </w:r>
      <w:proofErr w:type="spellEnd"/>
      <w:r w:rsidR="000D0AC9">
        <w:rPr>
          <w:lang w:val="en-AU"/>
        </w:rPr>
        <w:t xml:space="preserve"> : How to stop Australians </w:t>
      </w:r>
      <w:r w:rsidR="009700BA">
        <w:rPr>
          <w:lang w:val="en-AU"/>
        </w:rPr>
        <w:t xml:space="preserve">paying too much for </w:t>
      </w:r>
      <w:r w:rsidR="000D0AC9">
        <w:rPr>
          <w:lang w:val="en-AU"/>
        </w:rPr>
        <w:t xml:space="preserve"> superannuation”</w:t>
      </w:r>
      <w:r w:rsidR="009700BA">
        <w:rPr>
          <w:lang w:val="en-AU"/>
        </w:rPr>
        <w:t xml:space="preserve">; John </w:t>
      </w:r>
      <w:proofErr w:type="spellStart"/>
      <w:r w:rsidR="009700BA">
        <w:rPr>
          <w:lang w:val="en-AU"/>
        </w:rPr>
        <w:t>Minifie</w:t>
      </w:r>
      <w:proofErr w:type="spellEnd"/>
      <w:r w:rsidR="009700BA">
        <w:rPr>
          <w:lang w:val="en-AU"/>
        </w:rPr>
        <w:t>; Published by the Grattan Institute; April 201</w:t>
      </w:r>
      <w:r w:rsidR="00CF79C4">
        <w:rPr>
          <w:lang w:val="en-AU"/>
        </w:rPr>
        <w:t>4.</w:t>
      </w:r>
    </w:p>
    <w:p w14:paraId="4D1FAAC7" w14:textId="77777777" w:rsidR="00CF79C4" w:rsidRDefault="00CF79C4" w:rsidP="00C058F9">
      <w:pPr>
        <w:pStyle w:val="ListBullet"/>
        <w:numPr>
          <w:ilvl w:val="0"/>
          <w:numId w:val="0"/>
        </w:numPr>
        <w:rPr>
          <w:lang w:val="en-AU"/>
        </w:rPr>
      </w:pPr>
    </w:p>
    <w:p w14:paraId="52E76A16" w14:textId="5738B131" w:rsidR="00CF79C4" w:rsidRDefault="001E0B75" w:rsidP="00C058F9">
      <w:pPr>
        <w:pStyle w:val="ListBullet"/>
        <w:numPr>
          <w:ilvl w:val="0"/>
          <w:numId w:val="0"/>
        </w:numPr>
        <w:rPr>
          <w:lang w:val="en-AU"/>
        </w:rPr>
      </w:pPr>
      <w:r>
        <w:rPr>
          <w:rFonts w:cstheme="minorHAnsi"/>
          <w:lang w:val="en-AU"/>
        </w:rPr>
        <w:t xml:space="preserve">Liu (2013) -, Australian Superannuation, Operational Structure, Investment Performance and Trustee Governance; Kevin Yi Liu; </w:t>
      </w:r>
      <w:r w:rsidR="00236CCB">
        <w:rPr>
          <w:rFonts w:cstheme="minorHAnsi"/>
          <w:lang w:val="en-AU"/>
        </w:rPr>
        <w:t xml:space="preserve"> Doctoral</w:t>
      </w:r>
      <w:r>
        <w:rPr>
          <w:rFonts w:cstheme="minorHAnsi"/>
          <w:lang w:val="en-AU"/>
        </w:rPr>
        <w:t xml:space="preserve"> </w:t>
      </w:r>
      <w:r w:rsidR="00236CCB">
        <w:rPr>
          <w:rFonts w:cstheme="minorHAnsi"/>
          <w:lang w:val="en-AU"/>
        </w:rPr>
        <w:t xml:space="preserve">thesis; </w:t>
      </w:r>
      <w:r w:rsidR="001D44B6">
        <w:rPr>
          <w:rFonts w:cstheme="minorHAnsi"/>
          <w:lang w:val="en-AU"/>
        </w:rPr>
        <w:t>The University of Sydney</w:t>
      </w:r>
      <w:r w:rsidR="009C36C7">
        <w:rPr>
          <w:rFonts w:cstheme="minorHAnsi"/>
          <w:lang w:val="en-AU"/>
        </w:rPr>
        <w:t xml:space="preserve">; </w:t>
      </w:r>
      <w:r w:rsidR="00B540C4">
        <w:rPr>
          <w:rFonts w:cstheme="minorHAnsi"/>
          <w:lang w:val="en-AU"/>
        </w:rPr>
        <w:t>June 2013</w:t>
      </w:r>
    </w:p>
    <w:p w14:paraId="190D4D1B" w14:textId="77777777" w:rsidR="00CF79C4" w:rsidRDefault="00CF79C4" w:rsidP="00C058F9">
      <w:pPr>
        <w:pStyle w:val="ListBullet"/>
        <w:numPr>
          <w:ilvl w:val="0"/>
          <w:numId w:val="0"/>
        </w:numPr>
      </w:pPr>
    </w:p>
    <w:sectPr w:rsidR="00CF79C4" w:rsidSect="00450EA1">
      <w:footerReference w:type="default" r:id="rId14"/>
      <w:footerReference w:type="first" r:id="rId15"/>
      <w:pgSz w:w="11907" w:h="16839" w:code="9"/>
      <w:pgMar w:top="1901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B012E" w14:textId="77777777" w:rsidR="00CF73D5" w:rsidRDefault="00CF73D5">
      <w:pPr>
        <w:spacing w:before="0" w:after="0" w:line="240" w:lineRule="auto"/>
      </w:pPr>
      <w:r>
        <w:separator/>
      </w:r>
    </w:p>
    <w:p w14:paraId="5578F69C" w14:textId="77777777" w:rsidR="00CF73D5" w:rsidRDefault="00CF73D5"/>
  </w:endnote>
  <w:endnote w:type="continuationSeparator" w:id="0">
    <w:p w14:paraId="4CDB5B7C" w14:textId="77777777" w:rsidR="00CF73D5" w:rsidRDefault="00CF73D5">
      <w:pPr>
        <w:spacing w:before="0" w:after="0" w:line="240" w:lineRule="auto"/>
      </w:pPr>
      <w:r>
        <w:continuationSeparator/>
      </w:r>
    </w:p>
    <w:p w14:paraId="16517965" w14:textId="77777777" w:rsidR="00CF73D5" w:rsidRDefault="00CF7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2743F" w14:textId="77777777" w:rsidR="00637315" w:rsidRPr="00892A93" w:rsidRDefault="00637315" w:rsidP="00637315">
        <w:pPr>
          <w:pStyle w:val="Footer"/>
          <w:rPr>
            <w:lang w:val="en-AU"/>
          </w:rPr>
        </w:pPr>
        <w:r>
          <w:rPr>
            <w:lang w:val="en-AU"/>
          </w:rPr>
          <w:t xml:space="preserve">Superannuation Competitiveness and Efficiency – Submission by Bruce Wilson - </w:t>
        </w:r>
        <w:proofErr w:type="spellStart"/>
        <w:r>
          <w:rPr>
            <w:lang w:val="en-AU"/>
          </w:rPr>
          <w:t>Superspectator.com.au</w:t>
        </w:r>
        <w:proofErr w:type="spellEnd"/>
      </w:p>
      <w:p w14:paraId="5103AC8C" w14:textId="77777777" w:rsidR="00BB1903" w:rsidRDefault="00F51A4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9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8EDC6" w14:textId="7CFEAF20" w:rsidR="00BB1903" w:rsidRPr="00892A93" w:rsidRDefault="00892A93">
    <w:pPr>
      <w:pStyle w:val="Footer"/>
      <w:rPr>
        <w:lang w:val="en-AU"/>
      </w:rPr>
    </w:pPr>
    <w:r>
      <w:rPr>
        <w:lang w:val="en-AU"/>
      </w:rPr>
      <w:t xml:space="preserve">Superannuation Competitiveness and Efficiency – Submission </w:t>
    </w:r>
    <w:r w:rsidR="009B2617">
      <w:rPr>
        <w:lang w:val="en-AU"/>
      </w:rPr>
      <w:t xml:space="preserve">by Bruce Wilson - </w:t>
    </w:r>
    <w:proofErr w:type="spellStart"/>
    <w:r>
      <w:rPr>
        <w:lang w:val="en-AU"/>
      </w:rPr>
      <w:t>Superspectator.com.au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E09DB" w14:textId="77777777" w:rsidR="00CF73D5" w:rsidRDefault="00CF73D5">
      <w:pPr>
        <w:spacing w:before="0" w:after="0" w:line="240" w:lineRule="auto"/>
      </w:pPr>
      <w:r>
        <w:separator/>
      </w:r>
    </w:p>
    <w:p w14:paraId="7F4CFD22" w14:textId="77777777" w:rsidR="00CF73D5" w:rsidRDefault="00CF73D5"/>
  </w:footnote>
  <w:footnote w:type="continuationSeparator" w:id="0">
    <w:p w14:paraId="2B97CC52" w14:textId="77777777" w:rsidR="00CF73D5" w:rsidRDefault="00CF73D5">
      <w:pPr>
        <w:spacing w:before="0" w:after="0" w:line="240" w:lineRule="auto"/>
      </w:pPr>
      <w:r>
        <w:continuationSeparator/>
      </w:r>
    </w:p>
    <w:p w14:paraId="798629D2" w14:textId="77777777" w:rsidR="00CF73D5" w:rsidRDefault="00CF73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1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4B5103"/>
    <w:multiLevelType w:val="hybridMultilevel"/>
    <w:tmpl w:val="AD0AC416"/>
    <w:lvl w:ilvl="0" w:tplc="1A6C1D10">
      <w:start w:val="1"/>
      <w:numFmt w:val="decimal"/>
      <w:pStyle w:val="ListNumb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87"/>
    <w:rsid w:val="00003F1A"/>
    <w:rsid w:val="00031D32"/>
    <w:rsid w:val="00055BA6"/>
    <w:rsid w:val="000A6288"/>
    <w:rsid w:val="000D0AC9"/>
    <w:rsid w:val="000E6492"/>
    <w:rsid w:val="00101887"/>
    <w:rsid w:val="00107791"/>
    <w:rsid w:val="0013433F"/>
    <w:rsid w:val="0014634D"/>
    <w:rsid w:val="00171B16"/>
    <w:rsid w:val="00177BA7"/>
    <w:rsid w:val="00190248"/>
    <w:rsid w:val="00194CB7"/>
    <w:rsid w:val="001A05D3"/>
    <w:rsid w:val="001C06D6"/>
    <w:rsid w:val="001C5573"/>
    <w:rsid w:val="001C65AE"/>
    <w:rsid w:val="001D44B6"/>
    <w:rsid w:val="001E0B75"/>
    <w:rsid w:val="0020118B"/>
    <w:rsid w:val="00212E54"/>
    <w:rsid w:val="002227CA"/>
    <w:rsid w:val="0023648B"/>
    <w:rsid w:val="00236CCB"/>
    <w:rsid w:val="0024535B"/>
    <w:rsid w:val="00256854"/>
    <w:rsid w:val="00256C03"/>
    <w:rsid w:val="00257C17"/>
    <w:rsid w:val="00276A3C"/>
    <w:rsid w:val="002878E1"/>
    <w:rsid w:val="0029547A"/>
    <w:rsid w:val="0029589A"/>
    <w:rsid w:val="00297122"/>
    <w:rsid w:val="002A0DB3"/>
    <w:rsid w:val="002C0FA2"/>
    <w:rsid w:val="002D018F"/>
    <w:rsid w:val="002D6EC9"/>
    <w:rsid w:val="002E0DB5"/>
    <w:rsid w:val="002E19B9"/>
    <w:rsid w:val="002E73C4"/>
    <w:rsid w:val="002F4BBA"/>
    <w:rsid w:val="0031563F"/>
    <w:rsid w:val="0031698F"/>
    <w:rsid w:val="00320BE4"/>
    <w:rsid w:val="003234F3"/>
    <w:rsid w:val="00345906"/>
    <w:rsid w:val="00372220"/>
    <w:rsid w:val="00373175"/>
    <w:rsid w:val="00385F9E"/>
    <w:rsid w:val="003A23AE"/>
    <w:rsid w:val="003C36E4"/>
    <w:rsid w:val="003C54E3"/>
    <w:rsid w:val="003D517B"/>
    <w:rsid w:val="003D5CE2"/>
    <w:rsid w:val="003E166C"/>
    <w:rsid w:val="0040251D"/>
    <w:rsid w:val="0043060A"/>
    <w:rsid w:val="00450EA1"/>
    <w:rsid w:val="00461746"/>
    <w:rsid w:val="004636A6"/>
    <w:rsid w:val="0047225C"/>
    <w:rsid w:val="00477258"/>
    <w:rsid w:val="00477E3A"/>
    <w:rsid w:val="00480D66"/>
    <w:rsid w:val="00487BFF"/>
    <w:rsid w:val="004D0C25"/>
    <w:rsid w:val="004E66AF"/>
    <w:rsid w:val="004E71B2"/>
    <w:rsid w:val="005135F9"/>
    <w:rsid w:val="005216BB"/>
    <w:rsid w:val="00542C49"/>
    <w:rsid w:val="00550B9C"/>
    <w:rsid w:val="005600F7"/>
    <w:rsid w:val="0056058E"/>
    <w:rsid w:val="0056646F"/>
    <w:rsid w:val="00575187"/>
    <w:rsid w:val="005809D1"/>
    <w:rsid w:val="005868B0"/>
    <w:rsid w:val="005A5333"/>
    <w:rsid w:val="005A5B38"/>
    <w:rsid w:val="005B4CA9"/>
    <w:rsid w:val="005B4CFB"/>
    <w:rsid w:val="005C5E43"/>
    <w:rsid w:val="005D5256"/>
    <w:rsid w:val="005D5298"/>
    <w:rsid w:val="005E40E1"/>
    <w:rsid w:val="00600F98"/>
    <w:rsid w:val="006208B3"/>
    <w:rsid w:val="006257FF"/>
    <w:rsid w:val="00637315"/>
    <w:rsid w:val="0065677B"/>
    <w:rsid w:val="0066629A"/>
    <w:rsid w:val="00684700"/>
    <w:rsid w:val="006A5801"/>
    <w:rsid w:val="006A5950"/>
    <w:rsid w:val="00745111"/>
    <w:rsid w:val="00760CA5"/>
    <w:rsid w:val="00781BB1"/>
    <w:rsid w:val="007C7F49"/>
    <w:rsid w:val="00803D9D"/>
    <w:rsid w:val="00824360"/>
    <w:rsid w:val="00836470"/>
    <w:rsid w:val="0086404B"/>
    <w:rsid w:val="00883FA0"/>
    <w:rsid w:val="00892A93"/>
    <w:rsid w:val="008C4B6F"/>
    <w:rsid w:val="008D65EF"/>
    <w:rsid w:val="008E4A88"/>
    <w:rsid w:val="008F79E5"/>
    <w:rsid w:val="00914038"/>
    <w:rsid w:val="00916080"/>
    <w:rsid w:val="009369BF"/>
    <w:rsid w:val="00953DA9"/>
    <w:rsid w:val="009612E1"/>
    <w:rsid w:val="009700BA"/>
    <w:rsid w:val="009743A4"/>
    <w:rsid w:val="009749B2"/>
    <w:rsid w:val="00975F85"/>
    <w:rsid w:val="00981050"/>
    <w:rsid w:val="009B2617"/>
    <w:rsid w:val="009C36C7"/>
    <w:rsid w:val="009E2C30"/>
    <w:rsid w:val="00A0264C"/>
    <w:rsid w:val="00A22FE0"/>
    <w:rsid w:val="00A44060"/>
    <w:rsid w:val="00A76090"/>
    <w:rsid w:val="00AB7BEF"/>
    <w:rsid w:val="00AD5D3C"/>
    <w:rsid w:val="00AF3690"/>
    <w:rsid w:val="00AF65E7"/>
    <w:rsid w:val="00B3183B"/>
    <w:rsid w:val="00B51395"/>
    <w:rsid w:val="00B52CEC"/>
    <w:rsid w:val="00B540C4"/>
    <w:rsid w:val="00B704EA"/>
    <w:rsid w:val="00B7712F"/>
    <w:rsid w:val="00B778E4"/>
    <w:rsid w:val="00BA1A48"/>
    <w:rsid w:val="00BA4B94"/>
    <w:rsid w:val="00BA571C"/>
    <w:rsid w:val="00BB1903"/>
    <w:rsid w:val="00BB52D5"/>
    <w:rsid w:val="00BD13E3"/>
    <w:rsid w:val="00C058F9"/>
    <w:rsid w:val="00C17255"/>
    <w:rsid w:val="00C42B3D"/>
    <w:rsid w:val="00CC392F"/>
    <w:rsid w:val="00CD0334"/>
    <w:rsid w:val="00CE6B2A"/>
    <w:rsid w:val="00CF73D5"/>
    <w:rsid w:val="00CF79C4"/>
    <w:rsid w:val="00D20D4E"/>
    <w:rsid w:val="00D3714E"/>
    <w:rsid w:val="00D5796B"/>
    <w:rsid w:val="00D6071B"/>
    <w:rsid w:val="00D60788"/>
    <w:rsid w:val="00DA155C"/>
    <w:rsid w:val="00DE0BFE"/>
    <w:rsid w:val="00E118F8"/>
    <w:rsid w:val="00E24947"/>
    <w:rsid w:val="00E42D60"/>
    <w:rsid w:val="00E633CF"/>
    <w:rsid w:val="00E77C00"/>
    <w:rsid w:val="00E97D5A"/>
    <w:rsid w:val="00EA70AC"/>
    <w:rsid w:val="00EC5C20"/>
    <w:rsid w:val="00ED7497"/>
    <w:rsid w:val="00EF3D30"/>
    <w:rsid w:val="00F41327"/>
    <w:rsid w:val="00F41962"/>
    <w:rsid w:val="00F41D91"/>
    <w:rsid w:val="00F4330A"/>
    <w:rsid w:val="00F46D40"/>
    <w:rsid w:val="00F51830"/>
    <w:rsid w:val="00F51A45"/>
    <w:rsid w:val="00F74C97"/>
    <w:rsid w:val="00F76523"/>
    <w:rsid w:val="00F77C89"/>
    <w:rsid w:val="00FB3539"/>
    <w:rsid w:val="00FC7B3B"/>
    <w:rsid w:val="00FD356F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9E3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A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ListBullet">
    <w:name w:val="List Bullet"/>
    <w:basedOn w:val="Normal"/>
    <w:uiPriority w:val="31"/>
    <w:qFormat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F98723" w:themeColor="accent2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Ind w:w="0" w:type="dxa"/>
      <w:tblBorders>
        <w:bottom w:val="single" w:sz="6" w:space="0" w:color="0072C6" w:themeColor="accent1"/>
        <w:insideH w:val="single" w:sz="6" w:space="0" w:color="0072C6" w:themeColor="accent1"/>
      </w:tblBorders>
      <w:tblCellMar>
        <w:top w:w="0" w:type="dxa"/>
        <w:left w:w="230" w:type="dxa"/>
        <w:bottom w:w="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72C6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olor w:val="F98723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F98723" w:themeColor="accent2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0072C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Pr>
      <w:color w:val="FFFFFF" w:themeColor="background1"/>
      <w:shd w:val="clear" w:color="auto" w:fill="0072C6" w:themeFill="accent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i/>
      <w:iCs/>
      <w:color w:val="F98723" w:themeColor="accent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ListNumber">
    <w:name w:val="List Number"/>
    <w:basedOn w:val="Normal"/>
    <w:uiPriority w:val="32"/>
    <w:qFormat/>
    <w:pPr>
      <w:numPr>
        <w:numId w:val="7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72C6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A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ListBullet">
    <w:name w:val="List Bullet"/>
    <w:basedOn w:val="Normal"/>
    <w:uiPriority w:val="31"/>
    <w:qFormat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F98723" w:themeColor="accent2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Ind w:w="0" w:type="dxa"/>
      <w:tblBorders>
        <w:bottom w:val="single" w:sz="6" w:space="0" w:color="0072C6" w:themeColor="accent1"/>
        <w:insideH w:val="single" w:sz="6" w:space="0" w:color="0072C6" w:themeColor="accent1"/>
      </w:tblBorders>
      <w:tblCellMar>
        <w:top w:w="0" w:type="dxa"/>
        <w:left w:w="230" w:type="dxa"/>
        <w:bottom w:w="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72C6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olor w:val="F98723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F98723" w:themeColor="accent2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0072C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Pr>
      <w:color w:val="FFFFFF" w:themeColor="background1"/>
      <w:shd w:val="clear" w:color="auto" w:fill="0072C6" w:themeFill="accent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i/>
      <w:iCs/>
      <w:color w:val="F98723" w:themeColor="accent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ListNumber">
    <w:name w:val="List Number"/>
    <w:basedOn w:val="Normal"/>
    <w:uiPriority w:val="32"/>
    <w:qFormat/>
    <w:pPr>
      <w:numPr>
        <w:numId w:val="7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72C6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  <Value>3590</Value>
    </TaxCatchAll>
  </documentManagement>
</p:properties>
</file>

<file path=customXml/item2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6540C88292F9BF4D820E6FE7B022D1B4" ma:contentTypeVersion="0" ma:contentTypeDescription="" ma:contentTypeScope="" ma:versionID="eb968a10da6f4df43845e45702f02628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76dc22100f0faf9b7160c3b4cb32206b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A331CED9-0716-4476-A2AD-4F9CFCAF8AB6}">
  <ds:schemaRefs>
    <ds:schemaRef ds:uri="http://schemas.openxmlformats.org/package/2006/metadata/core-properties"/>
    <ds:schemaRef ds:uri="8044c801-d84b-4ee1-a77e-678f8dcdee17"/>
    <ds:schemaRef ds:uri="3f4bcce7-ac1a-4c9d-aa3e-7e77695652db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33273FC-426D-418D-8A17-DE8D3E2D3A9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89BEC11-9462-4039-B509-141CA9989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6B45C-1FCD-42C4-8049-23328C3DCB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6BCA13-4D90-4CA9-B944-CD45D8C7B96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119DFF5-A322-490B-BBF6-10B704262CC1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1082</Words>
  <Characters>5835</Characters>
  <Application>Microsoft Office Word</Application>
  <DocSecurity>0</DocSecurity>
  <Lines>97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13 - Bruce Wilson - Superannuation Competitiveness and Efficiency - Commissioned study</vt:lpstr>
    </vt:vector>
  </TitlesOfParts>
  <Company>Bruce Wilson</Company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13 - Bruce Wilson - Superannuation Competitiveness and Efficiency - Commissioned study</dc:title>
  <dc:subject/>
  <dc:creator>Bruce Wilson</dc:creator>
  <cp:keywords/>
  <dc:description/>
  <cp:lastModifiedBy>Productivity Commission</cp:lastModifiedBy>
  <cp:revision>4</cp:revision>
  <dcterms:created xsi:type="dcterms:W3CDTF">2016-04-21T00:17:00Z</dcterms:created>
  <dcterms:modified xsi:type="dcterms:W3CDTF">2016-04-21T03:26:00Z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0x0101007916246811615643A710C6FEAFF56A871105006540C88292F9BF4D820E6FE7B022D1B4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Order">
    <vt:r8>1600</vt:r8>
  </property>
  <property fmtid="{D5CDD505-2E9C-101B-9397-08002B2CF9AE}" pid="5" name="TaxKeyword">
    <vt:lpwstr>3590;#Bruce Wilson|ec66934a-d30b-4b8e-b317-2143bb7d998b</vt:lpwstr>
  </property>
  <property fmtid="{D5CDD505-2E9C-101B-9397-08002B2CF9AE}" pid="6" name="Record_x0020_Tag">
    <vt:lpwstr>139;#Submissions|c6e0dbf8-5444-433c-844d-d567dd519a05</vt:lpwstr>
  </property>
  <property fmtid="{D5CDD505-2E9C-101B-9397-08002B2CF9AE}" pid="7" name="Retain">
    <vt:lpwstr>138;#Reference Only|923c7a19-3b10-4b1a-aa53-490b73d512fc</vt:lpwstr>
  </property>
  <property fmtid="{D5CDD505-2E9C-101B-9397-08002B2CF9AE}" pid="8" name="Record Tag">
    <vt:lpwstr>139</vt:lpwstr>
  </property>
</Properties>
</file>