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17ED3" w14:textId="77777777" w:rsidR="001D1FB1" w:rsidRDefault="001D1FB1">
      <w:bookmarkStart w:id="0" w:name="_GoBack"/>
      <w:bookmarkEnd w:id="0"/>
    </w:p>
    <w:p w14:paraId="718B672D" w14:textId="77777777" w:rsidR="00C92547" w:rsidRDefault="00C92547"/>
    <w:p w14:paraId="44F4ACE4" w14:textId="77777777" w:rsidR="00405869" w:rsidRPr="001877AC" w:rsidRDefault="00AD620B" w:rsidP="00405869">
      <w:pPr>
        <w:rPr>
          <w:b/>
        </w:rPr>
      </w:pPr>
      <w:r w:rsidRPr="00AD620B">
        <w:rPr>
          <w:b/>
        </w:rPr>
        <w:t>Post Draft</w:t>
      </w:r>
      <w:r>
        <w:t xml:space="preserve"> </w:t>
      </w:r>
      <w:r w:rsidR="00C92547" w:rsidRPr="00C602F2">
        <w:rPr>
          <w:b/>
        </w:rPr>
        <w:t>Submission</w:t>
      </w:r>
      <w:r w:rsidR="001877AC">
        <w:rPr>
          <w:b/>
        </w:rPr>
        <w:t xml:space="preserve">: </w:t>
      </w:r>
      <w:r w:rsidR="00405869" w:rsidRPr="001877AC">
        <w:rPr>
          <w:b/>
        </w:rPr>
        <w:t>Dr John Cooke</w:t>
      </w:r>
    </w:p>
    <w:p w14:paraId="0A264CE1" w14:textId="77777777" w:rsidR="00AD620B" w:rsidRDefault="00AD620B" w:rsidP="00C92547">
      <w:pPr>
        <w:outlineLvl w:val="0"/>
        <w:rPr>
          <w:b/>
        </w:rPr>
      </w:pPr>
    </w:p>
    <w:p w14:paraId="46ADFE40" w14:textId="79997965" w:rsidR="00C92547" w:rsidRPr="00405869" w:rsidRDefault="001877AC" w:rsidP="00405869">
      <w:pPr>
        <w:outlineLvl w:val="0"/>
        <w:rPr>
          <w:b/>
        </w:rPr>
      </w:pPr>
      <w:r w:rsidRPr="001877AC">
        <w:rPr>
          <w:b/>
          <w:i/>
        </w:rPr>
        <w:t>Draft Recommendations into Regulation of Australian Agriculture</w:t>
      </w:r>
    </w:p>
    <w:p w14:paraId="1BFFB5D1" w14:textId="6F0EB1A8" w:rsidR="00C92547" w:rsidRPr="00284DC1" w:rsidRDefault="00C92547" w:rsidP="00112848">
      <w:pPr>
        <w:pStyle w:val="ListParagraph"/>
        <w:numPr>
          <w:ilvl w:val="0"/>
          <w:numId w:val="4"/>
        </w:numPr>
        <w:spacing w:before="240"/>
        <w:rPr>
          <w:i/>
        </w:rPr>
      </w:pPr>
      <w:r>
        <w:t>The purpose of this Post Draft Submission is to respond to the Productivity Commission</w:t>
      </w:r>
      <w:r w:rsidR="00284DC1">
        <w:t>’s</w:t>
      </w:r>
      <w:r>
        <w:t xml:space="preserve"> </w:t>
      </w:r>
      <w:r w:rsidR="001814C7">
        <w:rPr>
          <w:i/>
        </w:rPr>
        <w:t xml:space="preserve">Draft Recommendations </w:t>
      </w:r>
      <w:r w:rsidRPr="00284DC1">
        <w:rPr>
          <w:i/>
        </w:rPr>
        <w:t>into Regul</w:t>
      </w:r>
      <w:r w:rsidR="00112848">
        <w:rPr>
          <w:i/>
        </w:rPr>
        <w:t>ation of Australian Agriculture</w:t>
      </w:r>
      <w:r w:rsidRPr="00284DC1">
        <w:rPr>
          <w:i/>
        </w:rPr>
        <w:t xml:space="preserve"> </w:t>
      </w:r>
      <w:r w:rsidR="00112848">
        <w:rPr>
          <w:i/>
        </w:rPr>
        <w:t xml:space="preserve">(The </w:t>
      </w:r>
      <w:r w:rsidR="00112848" w:rsidRPr="00284DC1">
        <w:rPr>
          <w:i/>
        </w:rPr>
        <w:t>Draft Recommendations</w:t>
      </w:r>
      <w:r w:rsidR="00112848">
        <w:rPr>
          <w:i/>
        </w:rPr>
        <w:t>).</w:t>
      </w:r>
    </w:p>
    <w:p w14:paraId="3BEEE13A" w14:textId="77777777" w:rsidR="00C92547" w:rsidRDefault="00C92547" w:rsidP="00C92547"/>
    <w:p w14:paraId="564340CA" w14:textId="77EC22D3" w:rsidR="00C92547" w:rsidRDefault="00C92547" w:rsidP="00DD2B66">
      <w:pPr>
        <w:pStyle w:val="ListParagraph"/>
        <w:numPr>
          <w:ilvl w:val="0"/>
          <w:numId w:val="4"/>
        </w:numPr>
      </w:pPr>
      <w:r>
        <w:t xml:space="preserve">This </w:t>
      </w:r>
      <w:r w:rsidRPr="00112848">
        <w:rPr>
          <w:i/>
        </w:rPr>
        <w:t>Post Draft Submission</w:t>
      </w:r>
      <w:r>
        <w:t xml:space="preserve"> will focus on </w:t>
      </w:r>
      <w:r w:rsidRPr="00284DC1">
        <w:rPr>
          <w:i/>
        </w:rPr>
        <w:t>Draft Recommendations</w:t>
      </w:r>
      <w:r>
        <w:t xml:space="preserve"> relevant to environmental regulation, protection and enhancement of native vegetation and future environmental management of pastoral leas</w:t>
      </w:r>
      <w:r w:rsidR="00112848">
        <w:t>es and public land of Australia.</w:t>
      </w:r>
      <w:r>
        <w:t xml:space="preserve"> </w:t>
      </w:r>
    </w:p>
    <w:p w14:paraId="6D19739A" w14:textId="77777777" w:rsidR="00C92547" w:rsidRDefault="00C92547" w:rsidP="00C92547"/>
    <w:p w14:paraId="0474BC35" w14:textId="77777777" w:rsidR="00C92547" w:rsidRPr="00DD2B66" w:rsidRDefault="00C92547" w:rsidP="00DD2B66">
      <w:pPr>
        <w:rPr>
          <w:b/>
        </w:rPr>
      </w:pPr>
      <w:r w:rsidRPr="00DD2B66">
        <w:rPr>
          <w:b/>
        </w:rPr>
        <w:t>The burden of regulations pertaining to protection of native vegetation at a national scale.</w:t>
      </w:r>
    </w:p>
    <w:p w14:paraId="0D64E80B" w14:textId="77777777" w:rsidR="00C92547" w:rsidRDefault="00C92547" w:rsidP="00C92547"/>
    <w:p w14:paraId="7326969B" w14:textId="3C9A4E80" w:rsidR="00C92547" w:rsidRDefault="00C92547" w:rsidP="00DD2B66">
      <w:pPr>
        <w:pStyle w:val="ListParagraph"/>
        <w:numPr>
          <w:ilvl w:val="0"/>
          <w:numId w:val="4"/>
        </w:numPr>
      </w:pPr>
      <w:r>
        <w:t>Much of the evidence and observation provided in the case studies relate to localized issues for which there has not been any independent evaluation of the merits or otherwise of the claims made.</w:t>
      </w:r>
      <w:r w:rsidR="00DD2B66" w:rsidRPr="00DD2B66">
        <w:t xml:space="preserve"> </w:t>
      </w:r>
      <w:r w:rsidR="00DD2B66">
        <w:t>The information provided in the</w:t>
      </w:r>
      <w:r w:rsidR="00112848">
        <w:t xml:space="preserve"> </w:t>
      </w:r>
      <w:r w:rsidR="00112848" w:rsidRPr="00284DC1">
        <w:rPr>
          <w:i/>
        </w:rPr>
        <w:t>Draft Recommendations</w:t>
      </w:r>
      <w:r w:rsidR="00DD2B66">
        <w:t>, does not establish that land clearing is posing an unreasonable burden on Australian agriculture at a national scale.</w:t>
      </w:r>
    </w:p>
    <w:p w14:paraId="2A6CA362" w14:textId="77777777" w:rsidR="00C92547" w:rsidRDefault="00C92547" w:rsidP="00C92547">
      <w:pPr>
        <w:pStyle w:val="ListParagraph"/>
      </w:pPr>
    </w:p>
    <w:p w14:paraId="24C4AFCF" w14:textId="210AF9AF" w:rsidR="00C92547" w:rsidRDefault="00DD2B66" w:rsidP="00DD2B66">
      <w:pPr>
        <w:pStyle w:val="ListParagraph"/>
        <w:numPr>
          <w:ilvl w:val="0"/>
          <w:numId w:val="4"/>
        </w:numPr>
      </w:pPr>
      <w:r>
        <w:t xml:space="preserve">The following </w:t>
      </w:r>
      <w:r w:rsidR="00C92547">
        <w:t>important economic and practical imperatives</w:t>
      </w:r>
      <w:r>
        <w:t xml:space="preserve"> are</w:t>
      </w:r>
      <w:r w:rsidR="00112848">
        <w:t xml:space="preserve"> not addressed in the</w:t>
      </w:r>
      <w:r w:rsidR="00112848" w:rsidRPr="00112848">
        <w:rPr>
          <w:i/>
        </w:rPr>
        <w:t xml:space="preserve"> </w:t>
      </w:r>
      <w:r w:rsidR="00112848" w:rsidRPr="00284DC1">
        <w:rPr>
          <w:i/>
        </w:rPr>
        <w:t>Draft Recommendations</w:t>
      </w:r>
      <w:r w:rsidR="00C92547">
        <w:t>;</w:t>
      </w:r>
    </w:p>
    <w:p w14:paraId="28995D6F" w14:textId="5238F754" w:rsidR="00C92547" w:rsidRDefault="00C92547" w:rsidP="00DD2B66">
      <w:pPr>
        <w:pStyle w:val="ListParagraph"/>
        <w:numPr>
          <w:ilvl w:val="1"/>
          <w:numId w:val="4"/>
        </w:numPr>
      </w:pPr>
      <w:r>
        <w:t>clearing of native vegetation is generally associated with land on the margins of sustainable agriculture, and that t</w:t>
      </w:r>
      <w:r w:rsidR="00FA7CF7">
        <w:t>he most productive land has al</w:t>
      </w:r>
      <w:r>
        <w:t>ready been cleared of its nati</w:t>
      </w:r>
      <w:r w:rsidR="00BE29EE">
        <w:t>ve vegetation,</w:t>
      </w:r>
    </w:p>
    <w:p w14:paraId="1EA23EDF" w14:textId="77777777" w:rsidR="00BE29EE" w:rsidRDefault="00BE29EE" w:rsidP="00BE29EE">
      <w:pPr>
        <w:pStyle w:val="ListParagraph"/>
        <w:ind w:left="1440"/>
      </w:pPr>
    </w:p>
    <w:p w14:paraId="5152B8CB" w14:textId="73BBD324" w:rsidR="00C92547" w:rsidRDefault="00C92547" w:rsidP="00DD2B66">
      <w:pPr>
        <w:pStyle w:val="ListParagraph"/>
        <w:numPr>
          <w:ilvl w:val="1"/>
          <w:numId w:val="4"/>
        </w:numPr>
      </w:pPr>
      <w:r>
        <w:t>for the vast majority of farms and farming areas across Australia,</w:t>
      </w:r>
      <w:r w:rsidR="00FA7CF7">
        <w:t xml:space="preserve"> there </w:t>
      </w:r>
      <w:r w:rsidR="00405869">
        <w:t xml:space="preserve">does </w:t>
      </w:r>
      <w:r w:rsidR="00FA7CF7">
        <w:t>not appear to be a strong argument for clearing more land,</w:t>
      </w:r>
    </w:p>
    <w:p w14:paraId="6D881E08" w14:textId="77777777" w:rsidR="00BE29EE" w:rsidRDefault="00BE29EE" w:rsidP="00BE29EE"/>
    <w:p w14:paraId="19F51464" w14:textId="41B5BA92" w:rsidR="00C92547" w:rsidRDefault="00C92547" w:rsidP="00DD2B66">
      <w:pPr>
        <w:pStyle w:val="ListParagraph"/>
        <w:numPr>
          <w:ilvl w:val="1"/>
          <w:numId w:val="4"/>
        </w:numPr>
      </w:pPr>
      <w:r>
        <w:t xml:space="preserve">the likelihood of economic failure and further environmental damage is high, </w:t>
      </w:r>
    </w:p>
    <w:p w14:paraId="6A1C00FD" w14:textId="77777777" w:rsidR="00BE29EE" w:rsidRDefault="00BE29EE" w:rsidP="00BE29EE"/>
    <w:p w14:paraId="4F5EE0BF" w14:textId="57D97003" w:rsidR="00C92547" w:rsidRDefault="00C92547" w:rsidP="00DD2B66">
      <w:pPr>
        <w:pStyle w:val="ListParagraph"/>
        <w:numPr>
          <w:ilvl w:val="1"/>
          <w:numId w:val="4"/>
        </w:numPr>
      </w:pPr>
      <w:r>
        <w:t xml:space="preserve">the cost to public values </w:t>
      </w:r>
      <w:r w:rsidR="00DD2B66">
        <w:t xml:space="preserve">of additional land clearing </w:t>
      </w:r>
      <w:r w:rsidR="00FA7CF7">
        <w:t xml:space="preserve"> is not taken into account </w:t>
      </w:r>
      <w:r w:rsidR="002A1830">
        <w:t>in many of the references cited,</w:t>
      </w:r>
      <w:r w:rsidR="002A1830" w:rsidRPr="002A1830">
        <w:t xml:space="preserve"> </w:t>
      </w:r>
      <w:r w:rsidR="002A1830">
        <w:t>and</w:t>
      </w:r>
    </w:p>
    <w:p w14:paraId="7B487606" w14:textId="77777777" w:rsidR="002A1830" w:rsidRDefault="002A1830" w:rsidP="002A1830"/>
    <w:p w14:paraId="1E731250" w14:textId="3BC570B4" w:rsidR="00C92547" w:rsidRDefault="002A1830" w:rsidP="00E468D0">
      <w:pPr>
        <w:pStyle w:val="ListParagraph"/>
        <w:numPr>
          <w:ilvl w:val="1"/>
          <w:numId w:val="4"/>
        </w:numPr>
      </w:pPr>
      <w:r>
        <w:t>The substantial benefits that accrue to farming through having access to public land and public resources for water supply, transport and services.</w:t>
      </w:r>
    </w:p>
    <w:p w14:paraId="1D94D1A1" w14:textId="77777777" w:rsidR="002A1830" w:rsidRDefault="002A1830" w:rsidP="00E468D0">
      <w:pPr>
        <w:pStyle w:val="ListParagraph"/>
      </w:pPr>
    </w:p>
    <w:p w14:paraId="246336CC" w14:textId="0878BA5A" w:rsidR="00E468D0" w:rsidRDefault="00C92547" w:rsidP="00DD2B66">
      <w:pPr>
        <w:pStyle w:val="ListParagraph"/>
        <w:numPr>
          <w:ilvl w:val="0"/>
          <w:numId w:val="4"/>
        </w:numPr>
      </w:pPr>
      <w:r>
        <w:t>At a national scale, the burden of regulation cau</w:t>
      </w:r>
      <w:r w:rsidR="00E468D0">
        <w:t>sed by environmental management</w:t>
      </w:r>
      <w:r>
        <w:t xml:space="preserve"> should be evaluated as a component of a comprehensive nationwide strategy addressing environmental management for agriculture in Australia. No such national framework exists and relevant policy i</w:t>
      </w:r>
      <w:r w:rsidR="009F1EBC">
        <w:t>s fragmented at the n</w:t>
      </w:r>
      <w:r>
        <w:t xml:space="preserve">ational level. </w:t>
      </w:r>
    </w:p>
    <w:p w14:paraId="0252725B" w14:textId="77777777" w:rsidR="00E468D0" w:rsidRDefault="00E468D0" w:rsidP="00E468D0">
      <w:pPr>
        <w:pStyle w:val="ListParagraph"/>
      </w:pPr>
    </w:p>
    <w:p w14:paraId="2EEF528C" w14:textId="0D39ED54" w:rsidR="00C92547" w:rsidRDefault="00C92547" w:rsidP="00DD2B66">
      <w:pPr>
        <w:pStyle w:val="ListParagraph"/>
        <w:numPr>
          <w:ilvl w:val="0"/>
          <w:numId w:val="4"/>
        </w:numPr>
      </w:pPr>
      <w:r>
        <w:t xml:space="preserve">Australian agriculture is viewed as </w:t>
      </w:r>
      <w:r w:rsidR="00405347">
        <w:t>clean and green and this hard fo</w:t>
      </w:r>
      <w:r>
        <w:t>ught reputation should not be put at risk</w:t>
      </w:r>
      <w:r w:rsidR="00E468D0">
        <w:t xml:space="preserve"> through the further clearing of land</w:t>
      </w:r>
      <w:r>
        <w:t xml:space="preserve">. </w:t>
      </w:r>
    </w:p>
    <w:p w14:paraId="2E3EA1C6" w14:textId="77777777" w:rsidR="00DD2B66" w:rsidRDefault="00DD2B66" w:rsidP="00DD2B66"/>
    <w:p w14:paraId="33D0E566" w14:textId="77777777" w:rsidR="00C92547" w:rsidRDefault="00C92547" w:rsidP="00C92547">
      <w:pPr>
        <w:pStyle w:val="ListParagraph"/>
      </w:pPr>
    </w:p>
    <w:p w14:paraId="3078A7B1" w14:textId="77777777" w:rsidR="009F1EBC" w:rsidRDefault="009F1EBC">
      <w:pPr>
        <w:rPr>
          <w:b/>
        </w:rPr>
      </w:pPr>
      <w:r>
        <w:rPr>
          <w:b/>
        </w:rPr>
        <w:br w:type="page"/>
      </w:r>
    </w:p>
    <w:p w14:paraId="6FFD43EE" w14:textId="44F97134" w:rsidR="00C92547" w:rsidRPr="00405347" w:rsidRDefault="00C92547" w:rsidP="00405347">
      <w:pPr>
        <w:rPr>
          <w:b/>
        </w:rPr>
      </w:pPr>
      <w:r w:rsidRPr="00405347">
        <w:rPr>
          <w:b/>
        </w:rPr>
        <w:lastRenderedPageBreak/>
        <w:t xml:space="preserve">The burden of regulations pertaining to protection of native vegetation at a </w:t>
      </w:r>
      <w:r w:rsidR="00405347" w:rsidRPr="00405347">
        <w:rPr>
          <w:b/>
        </w:rPr>
        <w:t xml:space="preserve">local  and farm </w:t>
      </w:r>
      <w:r w:rsidRPr="00405347">
        <w:rPr>
          <w:b/>
        </w:rPr>
        <w:t>scale.</w:t>
      </w:r>
    </w:p>
    <w:p w14:paraId="62240568" w14:textId="77777777" w:rsidR="00C92547" w:rsidRDefault="00C92547" w:rsidP="00C92547">
      <w:pPr>
        <w:pStyle w:val="ListParagraph"/>
      </w:pPr>
    </w:p>
    <w:p w14:paraId="1AF0620A" w14:textId="68B5AE00" w:rsidR="00C92547" w:rsidRDefault="00C92547" w:rsidP="00DD2B66">
      <w:pPr>
        <w:pStyle w:val="ListParagraph"/>
        <w:numPr>
          <w:ilvl w:val="0"/>
          <w:numId w:val="4"/>
        </w:numPr>
      </w:pPr>
      <w:r>
        <w:t xml:space="preserve">The </w:t>
      </w:r>
      <w:r w:rsidR="001814C7" w:rsidRPr="001814C7">
        <w:rPr>
          <w:i/>
        </w:rPr>
        <w:t>Draft Recommendations</w:t>
      </w:r>
      <w:r w:rsidR="001814C7">
        <w:t xml:space="preserve"> </w:t>
      </w:r>
      <w:r>
        <w:t xml:space="preserve">rightly identifies that the regulation and administration of regulations pertaining to land clearing has become burdensome. At the farm and local landscape level the </w:t>
      </w:r>
      <w:r w:rsidR="001814C7" w:rsidRPr="001814C7">
        <w:rPr>
          <w:i/>
        </w:rPr>
        <w:t>Draft Recommendations</w:t>
      </w:r>
      <w:r w:rsidR="001814C7">
        <w:t xml:space="preserve"> </w:t>
      </w:r>
      <w:r>
        <w:t>are sensible and may lead to practical outcomes.</w:t>
      </w:r>
    </w:p>
    <w:p w14:paraId="055B7125" w14:textId="77777777" w:rsidR="00C92547" w:rsidRDefault="00C92547" w:rsidP="00C92547"/>
    <w:p w14:paraId="20104015" w14:textId="444FE4B3" w:rsidR="00C92547" w:rsidRDefault="00C17D19" w:rsidP="00C17D19">
      <w:pPr>
        <w:pStyle w:val="ListParagraph"/>
        <w:numPr>
          <w:ilvl w:val="0"/>
          <w:numId w:val="4"/>
        </w:numPr>
      </w:pPr>
      <w:r>
        <w:t>S</w:t>
      </w:r>
      <w:r w:rsidR="00C92547">
        <w:t xml:space="preserve">ome of the causes of concerns, </w:t>
      </w:r>
      <w:r w:rsidR="00952C69">
        <w:t xml:space="preserve">eg </w:t>
      </w:r>
      <w:r w:rsidR="00C92547">
        <w:t>the management</w:t>
      </w:r>
      <w:r w:rsidR="00952C69">
        <w:t xml:space="preserve"> constraints that </w:t>
      </w:r>
      <w:r w:rsidR="009F79ED">
        <w:t xml:space="preserve">remnant single trees have on </w:t>
      </w:r>
      <w:r w:rsidR="00C92547">
        <w:t>the ever</w:t>
      </w:r>
      <w:r w:rsidR="003277CB">
        <w:t>-</w:t>
      </w:r>
      <w:r w:rsidR="00C92547">
        <w:t>i</w:t>
      </w:r>
      <w:r w:rsidR="009F79ED">
        <w:t xml:space="preserve">ncreasing size of farm equipment, </w:t>
      </w:r>
      <w:r w:rsidR="00C92547">
        <w:t xml:space="preserve">is broader than </w:t>
      </w:r>
      <w:r w:rsidR="005852D6">
        <w:t xml:space="preserve">just the </w:t>
      </w:r>
      <w:r w:rsidR="00C92547">
        <w:t>clearing</w:t>
      </w:r>
      <w:r w:rsidR="009F79ED">
        <w:t xml:space="preserve"> of the trees.</w:t>
      </w:r>
      <w:r w:rsidR="00C92547">
        <w:t xml:space="preserve"> </w:t>
      </w:r>
      <w:r w:rsidR="009F79ED">
        <w:t xml:space="preserve">The size of machinery is also </w:t>
      </w:r>
      <w:r w:rsidR="00C92547">
        <w:t xml:space="preserve">an issue for transport </w:t>
      </w:r>
      <w:r w:rsidR="009F79ED">
        <w:t xml:space="preserve">of the machinery </w:t>
      </w:r>
      <w:r w:rsidR="00C92547">
        <w:t>along roads</w:t>
      </w:r>
      <w:r w:rsidR="00405347">
        <w:t xml:space="preserve">. </w:t>
      </w:r>
      <w:r w:rsidR="005852D6">
        <w:t>Th</w:t>
      </w:r>
      <w:r w:rsidR="00673691">
        <w:t xml:space="preserve">e GPS systems that are used to </w:t>
      </w:r>
      <w:r w:rsidR="005852D6">
        <w:t xml:space="preserve">guide the </w:t>
      </w:r>
      <w:r w:rsidR="00673691">
        <w:t xml:space="preserve">large </w:t>
      </w:r>
      <w:r w:rsidR="005852D6">
        <w:t xml:space="preserve">machinery </w:t>
      </w:r>
      <w:r w:rsidR="00673691">
        <w:t>could be utilized to guide the machinery around vegetation</w:t>
      </w:r>
      <w:r>
        <w:t xml:space="preserve"> retained and enhanced as an offset for the clearing.</w:t>
      </w:r>
      <w:r w:rsidR="00673691">
        <w:t xml:space="preserve">  </w:t>
      </w:r>
      <w:r w:rsidR="00405347">
        <w:t>This issue would be best addressed at a</w:t>
      </w:r>
      <w:r w:rsidR="005852D6">
        <w:t xml:space="preserve"> farm and </w:t>
      </w:r>
      <w:r w:rsidR="00405347">
        <w:t>local scale</w:t>
      </w:r>
      <w:r>
        <w:t>, within an agreed regulatory framework.</w:t>
      </w:r>
    </w:p>
    <w:p w14:paraId="79256611" w14:textId="77777777" w:rsidR="00C17D19" w:rsidRDefault="00C17D19" w:rsidP="00C17D19"/>
    <w:p w14:paraId="1546A28D" w14:textId="36BBFAE3" w:rsidR="00C17D19" w:rsidRDefault="00C17D19" w:rsidP="00C17D19">
      <w:pPr>
        <w:pStyle w:val="ListParagraph"/>
        <w:numPr>
          <w:ilvl w:val="0"/>
          <w:numId w:val="4"/>
        </w:numPr>
      </w:pPr>
      <w:r>
        <w:t xml:space="preserve">Any revision and improvement of regulations and administration pertaining to clearing of native vegetation, should take account of the full cost and benefits impacting on both private and pubic values, </w:t>
      </w:r>
    </w:p>
    <w:p w14:paraId="2A771C7A" w14:textId="77777777" w:rsidR="00C92547" w:rsidRDefault="00C92547" w:rsidP="00C92547"/>
    <w:p w14:paraId="368C4CA9" w14:textId="705C2632" w:rsidR="00C92547" w:rsidRDefault="00C92547" w:rsidP="00DD2B66">
      <w:pPr>
        <w:pStyle w:val="ListParagraph"/>
        <w:numPr>
          <w:ilvl w:val="1"/>
          <w:numId w:val="4"/>
        </w:numPr>
      </w:pPr>
      <w:r>
        <w:t>government supported investments such as that directed at irrigation development in northern Australia should ensure</w:t>
      </w:r>
      <w:r w:rsidR="005852D6">
        <w:t xml:space="preserve"> that environmental offsets are </w:t>
      </w:r>
      <w:r>
        <w:t xml:space="preserve">part of the project and </w:t>
      </w:r>
      <w:r w:rsidR="009F1EBC">
        <w:t xml:space="preserve">not </w:t>
      </w:r>
      <w:r>
        <w:t xml:space="preserve">be left to landholders to argue the case later, </w:t>
      </w:r>
    </w:p>
    <w:p w14:paraId="102742A4" w14:textId="77777777" w:rsidR="00510C55" w:rsidRDefault="00510C55" w:rsidP="00510C55">
      <w:pPr>
        <w:pStyle w:val="ListParagraph"/>
        <w:ind w:left="1440"/>
      </w:pPr>
    </w:p>
    <w:p w14:paraId="64949F85" w14:textId="2149C8B4" w:rsidR="00C17D19" w:rsidRDefault="00510C55" w:rsidP="00DD2B66">
      <w:pPr>
        <w:pStyle w:val="ListParagraph"/>
        <w:numPr>
          <w:ilvl w:val="1"/>
          <w:numId w:val="4"/>
        </w:numPr>
      </w:pPr>
      <w:r>
        <w:t>where the clearing of land is one</w:t>
      </w:r>
      <w:r w:rsidR="00C17D19">
        <w:t xml:space="preserve"> component of </w:t>
      </w:r>
      <w:r>
        <w:t xml:space="preserve">a raft of matters that are required to be addressed eg irrigation development, then </w:t>
      </w:r>
      <w:r w:rsidR="00981AAA">
        <w:t>the evaluation and approval processes should be coordinated,</w:t>
      </w:r>
      <w:r>
        <w:t xml:space="preserve"> </w:t>
      </w:r>
    </w:p>
    <w:p w14:paraId="1E5FBB34" w14:textId="77777777" w:rsidR="00E3413A" w:rsidRDefault="00E3413A" w:rsidP="00284DC1"/>
    <w:p w14:paraId="04B89228" w14:textId="3D88571D" w:rsidR="00673691" w:rsidRDefault="00981AAA" w:rsidP="005F2B15">
      <w:pPr>
        <w:pStyle w:val="ListParagraph"/>
        <w:numPr>
          <w:ilvl w:val="0"/>
          <w:numId w:val="4"/>
        </w:numPr>
      </w:pPr>
      <w:r>
        <w:t>T</w:t>
      </w:r>
      <w:r w:rsidR="00E3413A">
        <w:t xml:space="preserve">he high number of submissions, relevant to other matters before the Commission, should not be taken </w:t>
      </w:r>
      <w:r w:rsidR="00284DC1">
        <w:t xml:space="preserve">as a measure of the burden of regulation. </w:t>
      </w:r>
      <w:r>
        <w:t xml:space="preserve">The submissions and case studies appear to be localized to parts of NSW and Queensland. The </w:t>
      </w:r>
      <w:r w:rsidRPr="001814C7">
        <w:rPr>
          <w:i/>
        </w:rPr>
        <w:t>Draft Recommendations</w:t>
      </w:r>
      <w:r>
        <w:t xml:space="preserve"> do not shed light on the underlying cause of the </w:t>
      </w:r>
      <w:r w:rsidR="005F2B15">
        <w:t xml:space="preserve">apparent </w:t>
      </w:r>
      <w:r>
        <w:t xml:space="preserve">regional variation in </w:t>
      </w:r>
      <w:r w:rsidR="005F2B15">
        <w:t xml:space="preserve">the </w:t>
      </w:r>
      <w:r>
        <w:t xml:space="preserve">level of concern. </w:t>
      </w:r>
      <w:r w:rsidR="005F2B15">
        <w:t xml:space="preserve">Objective assessment is warranted. </w:t>
      </w:r>
    </w:p>
    <w:p w14:paraId="1B0D058D" w14:textId="77777777" w:rsidR="00E3413A" w:rsidRDefault="00E3413A" w:rsidP="00284DC1">
      <w:pPr>
        <w:pStyle w:val="ListParagraph"/>
        <w:ind w:left="1440"/>
      </w:pPr>
    </w:p>
    <w:p w14:paraId="19CF8659" w14:textId="77777777" w:rsidR="00C92547" w:rsidRDefault="00C92547" w:rsidP="00C92547"/>
    <w:p w14:paraId="4961C9CA" w14:textId="77777777" w:rsidR="00C92547" w:rsidRPr="00405347" w:rsidRDefault="00CF46C9" w:rsidP="00405347">
      <w:pPr>
        <w:rPr>
          <w:b/>
          <w:i/>
        </w:rPr>
      </w:pPr>
      <w:r>
        <w:rPr>
          <w:b/>
          <w:i/>
        </w:rPr>
        <w:t>E</w:t>
      </w:r>
      <w:r w:rsidR="00C92547" w:rsidRPr="00405347">
        <w:rPr>
          <w:b/>
          <w:i/>
        </w:rPr>
        <w:t>vidence underpinning the burden of regulation involved</w:t>
      </w:r>
      <w:r>
        <w:rPr>
          <w:b/>
          <w:i/>
        </w:rPr>
        <w:t xml:space="preserve"> in native vegetation protection is limited and localised</w:t>
      </w:r>
      <w:r w:rsidR="00C92547" w:rsidRPr="00405347">
        <w:rPr>
          <w:b/>
          <w:i/>
        </w:rPr>
        <w:t>.</w:t>
      </w:r>
    </w:p>
    <w:p w14:paraId="478732D5" w14:textId="77777777" w:rsidR="00C92547" w:rsidRDefault="00C92547" w:rsidP="00C92547">
      <w:pPr>
        <w:pStyle w:val="ListParagraph"/>
      </w:pPr>
    </w:p>
    <w:p w14:paraId="77C92EAB" w14:textId="511ED4A0" w:rsidR="004B0DC3" w:rsidRDefault="00C0791F" w:rsidP="004B0DC3">
      <w:pPr>
        <w:pStyle w:val="ListParagraph"/>
        <w:numPr>
          <w:ilvl w:val="0"/>
          <w:numId w:val="4"/>
        </w:numPr>
      </w:pPr>
      <w:r>
        <w:t xml:space="preserve">The Davidson </w:t>
      </w:r>
      <w:r w:rsidRPr="00AD620B">
        <w:rPr>
          <w:i/>
        </w:rPr>
        <w:t>et al</w:t>
      </w:r>
      <w:r w:rsidR="002943AC">
        <w:t>.</w:t>
      </w:r>
      <w:r>
        <w:t xml:space="preserve"> </w:t>
      </w:r>
      <w:r w:rsidR="00CF46C9">
        <w:t>appears to be the only contemporary broad-scale research focusing on</w:t>
      </w:r>
      <w:r w:rsidR="004B0DC3">
        <w:t xml:space="preserve"> the cost to agriculture of </w:t>
      </w:r>
      <w:r w:rsidR="00CF46C9">
        <w:t xml:space="preserve">native vegetation management. </w:t>
      </w:r>
      <w:r w:rsidR="00AD620B">
        <w:t xml:space="preserve">It focuses on a band of land in New South Wales. </w:t>
      </w:r>
    </w:p>
    <w:p w14:paraId="533FBE9F" w14:textId="77777777" w:rsidR="00CF0ED6" w:rsidRDefault="00CF0ED6" w:rsidP="00CF0ED6">
      <w:pPr>
        <w:pStyle w:val="ListParagraph"/>
      </w:pPr>
    </w:p>
    <w:p w14:paraId="5A399040" w14:textId="173F82CE" w:rsidR="00C92547" w:rsidRDefault="00CF0ED6" w:rsidP="00DD2B66">
      <w:pPr>
        <w:pStyle w:val="ListParagraph"/>
        <w:numPr>
          <w:ilvl w:val="0"/>
          <w:numId w:val="4"/>
        </w:numPr>
      </w:pPr>
      <w:r>
        <w:t>T</w:t>
      </w:r>
      <w:r w:rsidR="00755CCC">
        <w:t xml:space="preserve">he model used by Davidson </w:t>
      </w:r>
      <w:r w:rsidR="00755CCC" w:rsidRPr="002943AC">
        <w:rPr>
          <w:i/>
        </w:rPr>
        <w:t>et al</w:t>
      </w:r>
      <w:r w:rsidR="00755CCC">
        <w:t xml:space="preserve">. </w:t>
      </w:r>
      <w:r w:rsidR="002F6E15">
        <w:t xml:space="preserve">contains a number of limitations </w:t>
      </w:r>
      <w:r w:rsidR="004B0DC3">
        <w:t xml:space="preserve">that should </w:t>
      </w:r>
      <w:r w:rsidR="002F6E15">
        <w:t xml:space="preserve">be considered </w:t>
      </w:r>
      <w:r w:rsidR="004B0DC3">
        <w:t>in any discussion around native vegetation management. For example</w:t>
      </w:r>
      <w:r w:rsidR="003277CB">
        <w:t>;</w:t>
      </w:r>
      <w:r w:rsidR="00C92547">
        <w:t xml:space="preserve"> </w:t>
      </w:r>
    </w:p>
    <w:p w14:paraId="081EF38E" w14:textId="77777777" w:rsidR="002943AC" w:rsidRDefault="00C92547" w:rsidP="00DD2B66">
      <w:pPr>
        <w:pStyle w:val="ListParagraph"/>
        <w:numPr>
          <w:ilvl w:val="1"/>
          <w:numId w:val="4"/>
        </w:numPr>
      </w:pPr>
      <w:r>
        <w:t xml:space="preserve">the release of carbon upon clearing was not taken into account in the model and hence the release of carbon upon clearing is treated as a right rather than as a cost of clearing, </w:t>
      </w:r>
    </w:p>
    <w:p w14:paraId="07AAF982" w14:textId="77777777" w:rsidR="002943AC" w:rsidRDefault="002943AC" w:rsidP="002943AC">
      <w:pPr>
        <w:pStyle w:val="ListParagraph"/>
        <w:ind w:left="1440"/>
      </w:pPr>
    </w:p>
    <w:p w14:paraId="11B55089" w14:textId="5622545A" w:rsidR="00C92547" w:rsidRDefault="00C92547" w:rsidP="00DD2B66">
      <w:pPr>
        <w:pStyle w:val="ListParagraph"/>
        <w:numPr>
          <w:ilvl w:val="1"/>
          <w:numId w:val="4"/>
        </w:numPr>
      </w:pPr>
      <w:r>
        <w:t xml:space="preserve">the deterioration of water quality and salinity impacts should </w:t>
      </w:r>
      <w:r w:rsidR="003277CB">
        <w:t xml:space="preserve">also </w:t>
      </w:r>
      <w:r>
        <w:t xml:space="preserve">be treated as a cost against land clearing, </w:t>
      </w:r>
    </w:p>
    <w:p w14:paraId="45329637" w14:textId="1A91D116" w:rsidR="009F1EBC" w:rsidRDefault="009F1EBC">
      <w:r>
        <w:br w:type="page"/>
      </w:r>
    </w:p>
    <w:p w14:paraId="670EE9EB" w14:textId="77777777" w:rsidR="002943AC" w:rsidRDefault="002943AC" w:rsidP="003277CB"/>
    <w:p w14:paraId="0E969104" w14:textId="042BEBE4" w:rsidR="002943AC" w:rsidRDefault="00C92547" w:rsidP="00DD2B66">
      <w:pPr>
        <w:pStyle w:val="ListParagraph"/>
        <w:numPr>
          <w:ilvl w:val="1"/>
          <w:numId w:val="4"/>
        </w:numPr>
      </w:pPr>
      <w:r>
        <w:t>the land</w:t>
      </w:r>
      <w:r w:rsidR="007B2D7F">
        <w:t xml:space="preserve"> capability  </w:t>
      </w:r>
      <w:r>
        <w:t>assessment tool use</w:t>
      </w:r>
      <w:r w:rsidR="007B2D7F">
        <w:t>d</w:t>
      </w:r>
      <w:r>
        <w:t xml:space="preserve"> in the modeling may be </w:t>
      </w:r>
      <w:r w:rsidR="003277CB">
        <w:t xml:space="preserve">at </w:t>
      </w:r>
      <w:r w:rsidR="007B2D7F">
        <w:t xml:space="preserve">a scale </w:t>
      </w:r>
      <w:r>
        <w:t xml:space="preserve">too course to adequately describe capability of the </w:t>
      </w:r>
      <w:r w:rsidR="007B2D7F">
        <w:t>land</w:t>
      </w:r>
      <w:r w:rsidR="00AB4570">
        <w:t xml:space="preserve">scape to support cropping. The scale at which land capability is mapped is crucially important in </w:t>
      </w:r>
      <w:r>
        <w:t xml:space="preserve">marginal cropping areas. The implied assumption appears to be that all land within the sub zones has equal reliability for cropping, This is unlikely to be the case, and </w:t>
      </w:r>
    </w:p>
    <w:p w14:paraId="73DF4001" w14:textId="41460505" w:rsidR="00C92547" w:rsidRDefault="00C92547" w:rsidP="002943AC">
      <w:pPr>
        <w:pStyle w:val="ListParagraph"/>
        <w:ind w:left="1440"/>
      </w:pPr>
      <w:r>
        <w:t xml:space="preserve"> </w:t>
      </w:r>
    </w:p>
    <w:p w14:paraId="56A754F5" w14:textId="7A89D274" w:rsidR="00C92547" w:rsidRDefault="00C92547" w:rsidP="00DD2B66">
      <w:pPr>
        <w:pStyle w:val="ListParagraph"/>
        <w:numPr>
          <w:ilvl w:val="1"/>
          <w:numId w:val="4"/>
        </w:numPr>
      </w:pPr>
      <w:r>
        <w:t>the cost of clearing assumed as $30-$150/ Ha  seems very low and this needs better justification.</w:t>
      </w:r>
    </w:p>
    <w:p w14:paraId="6C7318BD" w14:textId="77777777" w:rsidR="00405347" w:rsidRDefault="00405347" w:rsidP="002943AC"/>
    <w:p w14:paraId="1688ED6B" w14:textId="2BBBE6A9" w:rsidR="006C0EC5" w:rsidRDefault="00C92547" w:rsidP="00C92547">
      <w:pPr>
        <w:pStyle w:val="ListParagraph"/>
        <w:numPr>
          <w:ilvl w:val="0"/>
          <w:numId w:val="4"/>
        </w:numPr>
      </w:pPr>
      <w:r>
        <w:t xml:space="preserve">Campbell </w:t>
      </w:r>
      <w:r w:rsidRPr="002943AC">
        <w:rPr>
          <w:i/>
        </w:rPr>
        <w:t>et a</w:t>
      </w:r>
      <w:r w:rsidR="002943AC">
        <w:rPr>
          <w:i/>
        </w:rPr>
        <w:t>.</w:t>
      </w:r>
      <w:r w:rsidRPr="002943AC">
        <w:rPr>
          <w:i/>
        </w:rPr>
        <w:t>l</w:t>
      </w:r>
      <w:r>
        <w:t xml:space="preserve">  in commenting on the Davidson </w:t>
      </w:r>
      <w:r w:rsidRPr="002943AC">
        <w:rPr>
          <w:i/>
        </w:rPr>
        <w:t>et al</w:t>
      </w:r>
      <w:r w:rsidR="002943AC">
        <w:t>.</w:t>
      </w:r>
      <w:r w:rsidR="00C0791F">
        <w:t xml:space="preserve"> research</w:t>
      </w:r>
      <w:r>
        <w:t xml:space="preserve"> </w:t>
      </w:r>
      <w:r w:rsidR="00C03A07">
        <w:t>highlighted that the cost of native vegetation retention was ranked 9</w:t>
      </w:r>
      <w:r w:rsidR="00C03A07" w:rsidRPr="008823BF">
        <w:rPr>
          <w:vertAlign w:val="superscript"/>
        </w:rPr>
        <w:t>th</w:t>
      </w:r>
      <w:r w:rsidR="00C03A07">
        <w:t xml:space="preserve"> out of the 9 factors assessed by Davidson </w:t>
      </w:r>
      <w:r w:rsidR="00C03A07" w:rsidRPr="002943AC">
        <w:rPr>
          <w:i/>
        </w:rPr>
        <w:t>et al</w:t>
      </w:r>
      <w:r w:rsidR="00C03A07">
        <w:t xml:space="preserve">. </w:t>
      </w:r>
      <w:r w:rsidR="006C0EC5">
        <w:t xml:space="preserve">and </w:t>
      </w:r>
      <w:r w:rsidR="002943AC">
        <w:t>concluded that</w:t>
      </w:r>
      <w:r w:rsidR="006C0EC5">
        <w:t>;</w:t>
      </w:r>
    </w:p>
    <w:p w14:paraId="1E08E4EF" w14:textId="628CBC81" w:rsidR="006C0EC5" w:rsidRDefault="00C92547" w:rsidP="006C0EC5">
      <w:pPr>
        <w:pStyle w:val="ListParagraph"/>
        <w:numPr>
          <w:ilvl w:val="1"/>
          <w:numId w:val="4"/>
        </w:numPr>
      </w:pPr>
      <w:r>
        <w:t>for most landholders in NSW</w:t>
      </w:r>
      <w:r w:rsidR="002943AC">
        <w:t>,</w:t>
      </w:r>
      <w:r>
        <w:t xml:space="preserve"> the existing regulation around native vegetation presents a minimal cost and potential benefit, and</w:t>
      </w:r>
    </w:p>
    <w:p w14:paraId="4C289C45" w14:textId="77777777" w:rsidR="002943AC" w:rsidRDefault="002943AC" w:rsidP="002943AC">
      <w:pPr>
        <w:pStyle w:val="ListParagraph"/>
        <w:ind w:left="1440"/>
      </w:pPr>
    </w:p>
    <w:p w14:paraId="56436E1A" w14:textId="1A3243FA" w:rsidR="00C92547" w:rsidRDefault="00C92547" w:rsidP="006C0EC5">
      <w:pPr>
        <w:pStyle w:val="ListParagraph"/>
        <w:numPr>
          <w:ilvl w:val="1"/>
          <w:numId w:val="4"/>
        </w:numPr>
      </w:pPr>
      <w:r>
        <w:t xml:space="preserve"> that changes to address the impact on the small minority of farmers would  have no overall impact on the economic output on NSW agriculture.</w:t>
      </w:r>
    </w:p>
    <w:p w14:paraId="63B2258E" w14:textId="77777777" w:rsidR="002F6E15" w:rsidRDefault="002F6E15" w:rsidP="002F6E15"/>
    <w:p w14:paraId="7A3523FA" w14:textId="48A95E4F" w:rsidR="002F6E15" w:rsidRDefault="004B0DC3" w:rsidP="00CF0ED6">
      <w:pPr>
        <w:pStyle w:val="ListParagraph"/>
        <w:numPr>
          <w:ilvl w:val="0"/>
          <w:numId w:val="4"/>
        </w:numPr>
      </w:pPr>
      <w:r>
        <w:t xml:space="preserve">Davidson </w:t>
      </w:r>
      <w:r w:rsidRPr="003277CB">
        <w:rPr>
          <w:i/>
        </w:rPr>
        <w:t>et al</w:t>
      </w:r>
      <w:r>
        <w:t xml:space="preserve">. </w:t>
      </w:r>
      <w:r w:rsidR="00CF0ED6">
        <w:t xml:space="preserve">put forward </w:t>
      </w:r>
      <w:r>
        <w:t xml:space="preserve">some </w:t>
      </w:r>
      <w:r w:rsidR="003277CB">
        <w:t xml:space="preserve">general </w:t>
      </w:r>
      <w:r>
        <w:t>principles that should be taken into account in the development and revision of regulations and administration of nat</w:t>
      </w:r>
      <w:r w:rsidR="00CF0ED6">
        <w:t>ive vegetation management. The</w:t>
      </w:r>
      <w:r>
        <w:t xml:space="preserve"> general </w:t>
      </w:r>
      <w:r w:rsidR="00CF0ED6">
        <w:t xml:space="preserve">principles </w:t>
      </w:r>
      <w:r>
        <w:t xml:space="preserve">are sensible, but </w:t>
      </w:r>
      <w:r w:rsidR="003277CB">
        <w:t xml:space="preserve">would </w:t>
      </w:r>
      <w:r>
        <w:t>need to be applied with caution.</w:t>
      </w:r>
    </w:p>
    <w:p w14:paraId="76393519" w14:textId="77777777" w:rsidR="00041804" w:rsidRDefault="00041804" w:rsidP="00041804">
      <w:pPr>
        <w:pStyle w:val="ListParagraph"/>
      </w:pPr>
    </w:p>
    <w:p w14:paraId="08330916" w14:textId="227178EF" w:rsidR="00041804" w:rsidRPr="00041804" w:rsidRDefault="00041804" w:rsidP="00041804">
      <w:pPr>
        <w:ind w:left="360"/>
        <w:rPr>
          <w:b/>
        </w:rPr>
      </w:pPr>
      <w:r w:rsidRPr="00041804">
        <w:rPr>
          <w:b/>
        </w:rPr>
        <w:t xml:space="preserve">Summary </w:t>
      </w:r>
    </w:p>
    <w:p w14:paraId="28F036C2" w14:textId="77777777" w:rsidR="00041804" w:rsidRDefault="00041804" w:rsidP="00041804">
      <w:pPr>
        <w:pStyle w:val="ListParagraph"/>
      </w:pPr>
    </w:p>
    <w:p w14:paraId="6123A24F" w14:textId="77777777" w:rsidR="00041804" w:rsidRDefault="00041804" w:rsidP="00041804">
      <w:pPr>
        <w:pStyle w:val="ListParagraph"/>
        <w:numPr>
          <w:ilvl w:val="0"/>
          <w:numId w:val="4"/>
        </w:numPr>
      </w:pPr>
      <w:r>
        <w:t xml:space="preserve">The information provided in the </w:t>
      </w:r>
      <w:r w:rsidRPr="00284DC1">
        <w:rPr>
          <w:i/>
        </w:rPr>
        <w:t>Draft Recommendations</w:t>
      </w:r>
      <w:r>
        <w:t>, does not establish that land clearing is posing an unreasonable burden on Australian agriculture at a national scale. Much of the evidence and observation provided in the case studies relate to localized issues for which there has not been any independent evaluation of the merits or otherwise of the claims made.</w:t>
      </w:r>
      <w:r w:rsidRPr="00DD2B66">
        <w:t xml:space="preserve"> </w:t>
      </w:r>
    </w:p>
    <w:p w14:paraId="12C485BF" w14:textId="77777777" w:rsidR="00041804" w:rsidRDefault="00041804" w:rsidP="00041804">
      <w:pPr>
        <w:pStyle w:val="ListParagraph"/>
      </w:pPr>
    </w:p>
    <w:p w14:paraId="1CD782E0" w14:textId="77777777" w:rsidR="00041804" w:rsidRDefault="00041804" w:rsidP="00041804">
      <w:pPr>
        <w:pStyle w:val="ListParagraph"/>
        <w:numPr>
          <w:ilvl w:val="0"/>
          <w:numId w:val="4"/>
        </w:numPr>
      </w:pPr>
      <w:r>
        <w:t xml:space="preserve">The </w:t>
      </w:r>
      <w:r w:rsidRPr="001814C7">
        <w:rPr>
          <w:i/>
        </w:rPr>
        <w:t>Draft Recommendations</w:t>
      </w:r>
      <w:r>
        <w:t xml:space="preserve"> rightly identifies that the regulation and administration of regulations pertaining to land clearing has become burdensome. At the farm and local landscape level the </w:t>
      </w:r>
      <w:r w:rsidRPr="001814C7">
        <w:rPr>
          <w:i/>
        </w:rPr>
        <w:t>Draft Recommendations</w:t>
      </w:r>
      <w:r>
        <w:t xml:space="preserve"> are sensible and may lead to practical outcomes.</w:t>
      </w:r>
    </w:p>
    <w:p w14:paraId="2C38D884" w14:textId="77777777" w:rsidR="00041804" w:rsidRDefault="00041804" w:rsidP="00041804"/>
    <w:p w14:paraId="7E97FB5C" w14:textId="7AA4DE02" w:rsidR="00405869" w:rsidRDefault="00041804" w:rsidP="00405869">
      <w:pPr>
        <w:pStyle w:val="ListParagraph"/>
        <w:numPr>
          <w:ilvl w:val="0"/>
          <w:numId w:val="4"/>
        </w:numPr>
      </w:pPr>
      <w:r>
        <w:t>Australian agriculture is viewed as clean and green and this hard fought reputation should not be put at risk through the further clearing of land</w:t>
      </w:r>
      <w:r w:rsidR="00D961C3">
        <w:t>.</w:t>
      </w:r>
    </w:p>
    <w:p w14:paraId="2BB725FB" w14:textId="77777777" w:rsidR="00041804" w:rsidRDefault="00041804" w:rsidP="00041804">
      <w:pPr>
        <w:pStyle w:val="ListParagraph"/>
      </w:pPr>
    </w:p>
    <w:p w14:paraId="6ED5D84A" w14:textId="21E5E9DE" w:rsidR="00041804" w:rsidRDefault="00D961C3" w:rsidP="00D961C3">
      <w:pPr>
        <w:pStyle w:val="ListParagraph"/>
        <w:ind w:left="118"/>
        <w:rPr>
          <w:b/>
        </w:rPr>
      </w:pPr>
      <w:r w:rsidRPr="00D961C3">
        <w:rPr>
          <w:b/>
        </w:rPr>
        <w:t>References</w:t>
      </w:r>
    </w:p>
    <w:p w14:paraId="05C98400" w14:textId="77777777" w:rsidR="00D961C3" w:rsidRPr="00D961C3" w:rsidRDefault="00D961C3" w:rsidP="00D961C3">
      <w:pPr>
        <w:pStyle w:val="ListParagraph"/>
        <w:ind w:left="118"/>
        <w:rPr>
          <w:b/>
        </w:rPr>
      </w:pPr>
    </w:p>
    <w:p w14:paraId="6C7666FD" w14:textId="77777777" w:rsidR="00D961C3" w:rsidRPr="00D961C3" w:rsidRDefault="00D961C3" w:rsidP="00D961C3">
      <w:pPr>
        <w:spacing w:before="1"/>
        <w:ind w:left="87" w:right="392"/>
        <w:rPr>
          <w:sz w:val="20"/>
          <w:szCs w:val="20"/>
        </w:rPr>
      </w:pPr>
      <w:r w:rsidRPr="00D961C3">
        <w:rPr>
          <w:sz w:val="20"/>
          <w:szCs w:val="20"/>
        </w:rPr>
        <w:t xml:space="preserve">Davidson, A., Lawson, K., Kokic, P., Elliston, L., Nossal, K., Beare, S., &amp; Fisher, B. (2006). </w:t>
      </w:r>
      <w:r w:rsidRPr="00D961C3">
        <w:rPr>
          <w:i/>
          <w:sz w:val="20"/>
          <w:szCs w:val="20"/>
        </w:rPr>
        <w:t>Native vegetation management on broadacre farms in New South Wales: Impacts on productivity and returns</w:t>
      </w:r>
      <w:r w:rsidRPr="00D961C3">
        <w:rPr>
          <w:sz w:val="20"/>
          <w:szCs w:val="20"/>
        </w:rPr>
        <w:t xml:space="preserve">. ABARE eReport 06.3, Canberra, March. Retrieved from </w:t>
      </w:r>
      <w:hyperlink r:id="rId14">
        <w:r w:rsidRPr="00D961C3">
          <w:rPr>
            <w:sz w:val="20"/>
            <w:szCs w:val="20"/>
          </w:rPr>
          <w:t>http://data.daff.gov.au/brs/data/warehouse/pe_abarebrs99001222/pc13335.pdf</w:t>
        </w:r>
      </w:hyperlink>
    </w:p>
    <w:p w14:paraId="3F15A312" w14:textId="77777777" w:rsidR="003277CB" w:rsidRPr="00D961C3" w:rsidRDefault="003277CB" w:rsidP="003277CB">
      <w:pPr>
        <w:rPr>
          <w:sz w:val="20"/>
          <w:szCs w:val="20"/>
        </w:rPr>
      </w:pPr>
    </w:p>
    <w:p w14:paraId="5DAF0878" w14:textId="2D5A9381" w:rsidR="003277CB" w:rsidRPr="00D961C3" w:rsidRDefault="00100EA9" w:rsidP="003277CB">
      <w:pPr>
        <w:rPr>
          <w:sz w:val="20"/>
          <w:szCs w:val="20"/>
        </w:rPr>
      </w:pPr>
      <w:r w:rsidRPr="00D961C3">
        <w:rPr>
          <w:sz w:val="20"/>
          <w:szCs w:val="20"/>
        </w:rPr>
        <w:t xml:space="preserve">Campbell, R. and Scarlett, A. 2014 Economics , agriculture and native vegetation in NSW The Australian Institute </w:t>
      </w:r>
      <w:r w:rsidR="0003494C" w:rsidRPr="00D961C3">
        <w:rPr>
          <w:sz w:val="20"/>
          <w:szCs w:val="20"/>
        </w:rPr>
        <w:t>http://tai.org.au/content/economics-agriculture-and-native-vegetation-nsw</w:t>
      </w:r>
    </w:p>
    <w:p w14:paraId="1EE4C30E" w14:textId="77777777" w:rsidR="003277CB" w:rsidRDefault="003277CB" w:rsidP="003277CB"/>
    <w:p w14:paraId="51CD7586" w14:textId="77777777" w:rsidR="003277CB" w:rsidRDefault="003277CB" w:rsidP="003277CB"/>
    <w:p w14:paraId="5222828D" w14:textId="77777777" w:rsidR="003277CB" w:rsidRDefault="003277CB" w:rsidP="003277CB"/>
    <w:p w14:paraId="05631885" w14:textId="77777777" w:rsidR="00C92547" w:rsidRDefault="00C92547" w:rsidP="00C92547"/>
    <w:p w14:paraId="45B44683" w14:textId="77777777" w:rsidR="00C92547" w:rsidRDefault="00C92547"/>
    <w:sectPr w:rsidR="00C92547" w:rsidSect="00C01EEC">
      <w:footerReference w:type="even" r:id="rId15"/>
      <w:footerReference w:type="default" r:id="rId16"/>
      <w:type w:val="oddPage"/>
      <w:pgSz w:w="11900" w:h="16840"/>
      <w:pgMar w:top="567" w:right="1800" w:bottom="-22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85824" w14:textId="77777777" w:rsidR="00D961C3" w:rsidRDefault="00D961C3" w:rsidP="00182DA1">
      <w:r>
        <w:separator/>
      </w:r>
    </w:p>
  </w:endnote>
  <w:endnote w:type="continuationSeparator" w:id="0">
    <w:p w14:paraId="268C95FD" w14:textId="77777777" w:rsidR="00D961C3" w:rsidRDefault="00D961C3" w:rsidP="0018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C66A2" w14:textId="77777777" w:rsidR="00D961C3" w:rsidRDefault="00D961C3" w:rsidP="00E34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3951E" w14:textId="77777777" w:rsidR="00D961C3" w:rsidRDefault="00D961C3" w:rsidP="00182D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6097" w14:textId="77777777" w:rsidR="00D961C3" w:rsidRDefault="00D961C3" w:rsidP="00E34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1D07">
      <w:rPr>
        <w:rStyle w:val="PageNumber"/>
        <w:noProof/>
      </w:rPr>
      <w:t>1</w:t>
    </w:r>
    <w:r>
      <w:rPr>
        <w:rStyle w:val="PageNumber"/>
      </w:rPr>
      <w:fldChar w:fldCharType="end"/>
    </w:r>
  </w:p>
  <w:p w14:paraId="28603127" w14:textId="77777777" w:rsidR="00D961C3" w:rsidRDefault="00D961C3" w:rsidP="00182D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5E0E7" w14:textId="77777777" w:rsidR="00D961C3" w:rsidRDefault="00D961C3" w:rsidP="00182DA1">
      <w:r>
        <w:separator/>
      </w:r>
    </w:p>
  </w:footnote>
  <w:footnote w:type="continuationSeparator" w:id="0">
    <w:p w14:paraId="55749FEC" w14:textId="77777777" w:rsidR="00D961C3" w:rsidRDefault="00D961C3" w:rsidP="00182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916"/>
    <w:multiLevelType w:val="hybridMultilevel"/>
    <w:tmpl w:val="6DF8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97FBD"/>
    <w:multiLevelType w:val="hybridMultilevel"/>
    <w:tmpl w:val="9DD0A0DE"/>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
    <w:nsid w:val="297B0EAD"/>
    <w:multiLevelType w:val="hybridMultilevel"/>
    <w:tmpl w:val="ACF0D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955D3"/>
    <w:multiLevelType w:val="hybridMultilevel"/>
    <w:tmpl w:val="B0E038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F2C11"/>
    <w:multiLevelType w:val="hybridMultilevel"/>
    <w:tmpl w:val="ACF0D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47"/>
    <w:rsid w:val="0003494C"/>
    <w:rsid w:val="00041804"/>
    <w:rsid w:val="00100EA9"/>
    <w:rsid w:val="00112848"/>
    <w:rsid w:val="00120DDB"/>
    <w:rsid w:val="00175429"/>
    <w:rsid w:val="001814C7"/>
    <w:rsid w:val="00182DA1"/>
    <w:rsid w:val="001877AC"/>
    <w:rsid w:val="001D1FB1"/>
    <w:rsid w:val="00284DC1"/>
    <w:rsid w:val="002943AC"/>
    <w:rsid w:val="002A1830"/>
    <w:rsid w:val="002E67CB"/>
    <w:rsid w:val="002F6E15"/>
    <w:rsid w:val="003277CB"/>
    <w:rsid w:val="003429D6"/>
    <w:rsid w:val="00365224"/>
    <w:rsid w:val="00375575"/>
    <w:rsid w:val="00405347"/>
    <w:rsid w:val="00405869"/>
    <w:rsid w:val="004B0DC3"/>
    <w:rsid w:val="00510C55"/>
    <w:rsid w:val="005852D6"/>
    <w:rsid w:val="005B083E"/>
    <w:rsid w:val="005B1D07"/>
    <w:rsid w:val="005F2B15"/>
    <w:rsid w:val="00673691"/>
    <w:rsid w:val="006C0EC5"/>
    <w:rsid w:val="006C3BB0"/>
    <w:rsid w:val="00755CCC"/>
    <w:rsid w:val="0076055A"/>
    <w:rsid w:val="007B2D7F"/>
    <w:rsid w:val="00952C69"/>
    <w:rsid w:val="00981AAA"/>
    <w:rsid w:val="009F1EBC"/>
    <w:rsid w:val="009F79ED"/>
    <w:rsid w:val="00A56830"/>
    <w:rsid w:val="00AB4570"/>
    <w:rsid w:val="00AD620B"/>
    <w:rsid w:val="00B2351F"/>
    <w:rsid w:val="00BE29EE"/>
    <w:rsid w:val="00C01EEC"/>
    <w:rsid w:val="00C03A07"/>
    <w:rsid w:val="00C0791F"/>
    <w:rsid w:val="00C17D19"/>
    <w:rsid w:val="00C92547"/>
    <w:rsid w:val="00CF0ED6"/>
    <w:rsid w:val="00CF46C9"/>
    <w:rsid w:val="00D91FC9"/>
    <w:rsid w:val="00D961C3"/>
    <w:rsid w:val="00DD2B66"/>
    <w:rsid w:val="00E3413A"/>
    <w:rsid w:val="00E36F87"/>
    <w:rsid w:val="00E468D0"/>
    <w:rsid w:val="00F51E7B"/>
    <w:rsid w:val="00FA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5E0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547"/>
    <w:pPr>
      <w:ind w:left="720"/>
      <w:contextualSpacing/>
    </w:pPr>
  </w:style>
  <w:style w:type="paragraph" w:styleId="Footer">
    <w:name w:val="footer"/>
    <w:basedOn w:val="Normal"/>
    <w:link w:val="FooterChar"/>
    <w:uiPriority w:val="99"/>
    <w:unhideWhenUsed/>
    <w:rsid w:val="00182DA1"/>
    <w:pPr>
      <w:tabs>
        <w:tab w:val="center" w:pos="4320"/>
        <w:tab w:val="right" w:pos="8640"/>
      </w:tabs>
    </w:pPr>
  </w:style>
  <w:style w:type="character" w:customStyle="1" w:styleId="FooterChar">
    <w:name w:val="Footer Char"/>
    <w:basedOn w:val="DefaultParagraphFont"/>
    <w:link w:val="Footer"/>
    <w:uiPriority w:val="99"/>
    <w:rsid w:val="00182DA1"/>
  </w:style>
  <w:style w:type="character" w:styleId="PageNumber">
    <w:name w:val="page number"/>
    <w:basedOn w:val="DefaultParagraphFont"/>
    <w:uiPriority w:val="99"/>
    <w:semiHidden/>
    <w:unhideWhenUsed/>
    <w:rsid w:val="00182DA1"/>
  </w:style>
  <w:style w:type="paragraph" w:styleId="BalloonText">
    <w:name w:val="Balloon Text"/>
    <w:basedOn w:val="Normal"/>
    <w:link w:val="BalloonTextChar"/>
    <w:uiPriority w:val="99"/>
    <w:semiHidden/>
    <w:unhideWhenUsed/>
    <w:rsid w:val="002E67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7C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547"/>
    <w:pPr>
      <w:ind w:left="720"/>
      <w:contextualSpacing/>
    </w:pPr>
  </w:style>
  <w:style w:type="paragraph" w:styleId="Footer">
    <w:name w:val="footer"/>
    <w:basedOn w:val="Normal"/>
    <w:link w:val="FooterChar"/>
    <w:uiPriority w:val="99"/>
    <w:unhideWhenUsed/>
    <w:rsid w:val="00182DA1"/>
    <w:pPr>
      <w:tabs>
        <w:tab w:val="center" w:pos="4320"/>
        <w:tab w:val="right" w:pos="8640"/>
      </w:tabs>
    </w:pPr>
  </w:style>
  <w:style w:type="character" w:customStyle="1" w:styleId="FooterChar">
    <w:name w:val="Footer Char"/>
    <w:basedOn w:val="DefaultParagraphFont"/>
    <w:link w:val="Footer"/>
    <w:uiPriority w:val="99"/>
    <w:rsid w:val="00182DA1"/>
  </w:style>
  <w:style w:type="character" w:styleId="PageNumber">
    <w:name w:val="page number"/>
    <w:basedOn w:val="DefaultParagraphFont"/>
    <w:uiPriority w:val="99"/>
    <w:semiHidden/>
    <w:unhideWhenUsed/>
    <w:rsid w:val="00182DA1"/>
  </w:style>
  <w:style w:type="paragraph" w:styleId="BalloonText">
    <w:name w:val="Balloon Text"/>
    <w:basedOn w:val="Normal"/>
    <w:link w:val="BalloonTextChar"/>
    <w:uiPriority w:val="99"/>
    <w:semiHidden/>
    <w:unhideWhenUsed/>
    <w:rsid w:val="002E67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7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data.daff.gov.au/brs/data/warehouse/pe_abarebrs99001222/pc13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C5C3E2E1-4846-4FC1-A8B7-35C5364DF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48B5D-009F-4D7A-95B0-0F02A4669FB2}">
  <ds:schemaRefs>
    <ds:schemaRef ds:uri="http://schemas.microsoft.com/office/2006/metadata/properties"/>
    <ds:schemaRef ds:uri="http://purl.org/dc/dcmitype/"/>
    <ds:schemaRef ds:uri="http://purl.org/dc/elements/1.1/"/>
    <ds:schemaRef ds:uri="8044c801-d84b-4ee1-a77e-678f8dcdee17"/>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f4bcce7-ac1a-4c9d-aa3e-7e77695652db"/>
  </ds:schemaRefs>
</ds:datastoreItem>
</file>

<file path=customXml/itemProps3.xml><?xml version="1.0" encoding="utf-8"?>
<ds:datastoreItem xmlns:ds="http://schemas.openxmlformats.org/officeDocument/2006/customXml" ds:itemID="{D55A6E29-738C-48FF-BC7C-F4E1DD5C2AE6}">
  <ds:schemaRefs>
    <ds:schemaRef ds:uri="http://schemas.microsoft.com/sharepoint/v3/contenttype/forms"/>
  </ds:schemaRefs>
</ds:datastoreItem>
</file>

<file path=customXml/itemProps4.xml><?xml version="1.0" encoding="utf-8"?>
<ds:datastoreItem xmlns:ds="http://schemas.openxmlformats.org/officeDocument/2006/customXml" ds:itemID="{602005EC-CB92-4009-916D-87DFAE554257}">
  <ds:schemaRefs>
    <ds:schemaRef ds:uri="http://schemas.microsoft.com/sharepoint/events"/>
  </ds:schemaRefs>
</ds:datastoreItem>
</file>

<file path=customXml/itemProps5.xml><?xml version="1.0" encoding="utf-8"?>
<ds:datastoreItem xmlns:ds="http://schemas.openxmlformats.org/officeDocument/2006/customXml" ds:itemID="{03F584BE-694D-4617-8DFC-E58F905E8963}">
  <ds:schemaRefs>
    <ds:schemaRef ds:uri="http://schemas.microsoft.com/office/2006/metadata/customXsn"/>
  </ds:schemaRefs>
</ds:datastoreItem>
</file>

<file path=customXml/itemProps6.xml><?xml version="1.0" encoding="utf-8"?>
<ds:datastoreItem xmlns:ds="http://schemas.openxmlformats.org/officeDocument/2006/customXml" ds:itemID="{27BA1EB9-AD9E-480F-863E-BAB5957CF4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DR263 - Dr John Cooke - Regulation of Agriculture - Public inquiry</vt:lpstr>
    </vt:vector>
  </TitlesOfParts>
  <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DR263 - Dr John Cooke - Regulation of Agriculture - Public inquiry</dc:title>
  <dc:subject/>
  <dc:creator>Dr John Cooke</dc:creator>
  <cp:keywords/>
  <dc:description/>
  <cp:lastModifiedBy>Pimperl, Mark</cp:lastModifiedBy>
  <cp:revision>3</cp:revision>
  <cp:lastPrinted>2016-08-31T00:08:00Z</cp:lastPrinted>
  <dcterms:created xsi:type="dcterms:W3CDTF">2016-09-02T03:54:00Z</dcterms:created>
  <dcterms:modified xsi:type="dcterms:W3CDTF">2016-09-02T05:57:00Z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