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F7D5CF" w14:textId="77777777" w:rsidR="00FC4602" w:rsidRPr="00EE0D45" w:rsidRDefault="00FC4602" w:rsidP="00FC4602">
      <w:pPr>
        <w:pStyle w:val="BodyText1"/>
      </w:pPr>
    </w:p>
    <w:p w14:paraId="08D25818" w14:textId="01D2ED0B" w:rsidR="00034B91" w:rsidRPr="00DC0854" w:rsidRDefault="00C10005" w:rsidP="00034B91">
      <w:pPr>
        <w:pStyle w:val="BodyText1"/>
        <w:rPr>
          <w:sz w:val="20"/>
        </w:rPr>
      </w:pPr>
      <w:r w:rsidRPr="00DC0854">
        <w:rPr>
          <w:sz w:val="20"/>
        </w:rPr>
        <w:t xml:space="preserve">31 </w:t>
      </w:r>
      <w:r w:rsidR="00497168" w:rsidRPr="00DC0854">
        <w:rPr>
          <w:sz w:val="20"/>
        </w:rPr>
        <w:t>October</w:t>
      </w:r>
      <w:r w:rsidR="00034B91" w:rsidRPr="00DC0854">
        <w:rPr>
          <w:sz w:val="20"/>
        </w:rPr>
        <w:t xml:space="preserve"> 2016</w:t>
      </w:r>
    </w:p>
    <w:p w14:paraId="088A47CB" w14:textId="77777777" w:rsidR="00034B91" w:rsidRPr="00DC0854" w:rsidRDefault="00034B91" w:rsidP="00034B91">
      <w:pPr>
        <w:pStyle w:val="BodyText1"/>
        <w:rPr>
          <w:sz w:val="20"/>
        </w:rPr>
      </w:pPr>
    </w:p>
    <w:p w14:paraId="3BF0FDA1" w14:textId="77777777" w:rsidR="00FE387F" w:rsidRPr="00DC0854" w:rsidRDefault="00FE387F" w:rsidP="00034B91">
      <w:pPr>
        <w:pStyle w:val="BodyText1"/>
        <w:rPr>
          <w:sz w:val="20"/>
        </w:rPr>
      </w:pPr>
      <w:r w:rsidRPr="00DC0854">
        <w:rPr>
          <w:sz w:val="20"/>
        </w:rPr>
        <w:t xml:space="preserve">Superannuation Productivity Commission </w:t>
      </w:r>
    </w:p>
    <w:p w14:paraId="273EDCE3" w14:textId="77777777" w:rsidR="00FE387F" w:rsidRPr="00DC0854" w:rsidRDefault="00FE387F" w:rsidP="00034B91">
      <w:pPr>
        <w:pStyle w:val="BodyText1"/>
        <w:rPr>
          <w:sz w:val="20"/>
        </w:rPr>
      </w:pPr>
      <w:r w:rsidRPr="00DC0854">
        <w:rPr>
          <w:sz w:val="20"/>
        </w:rPr>
        <w:t xml:space="preserve">Locked Bag 2, Collins St East </w:t>
      </w:r>
    </w:p>
    <w:p w14:paraId="31ACAA50" w14:textId="77777777" w:rsidR="00FE387F" w:rsidRPr="00DC0854" w:rsidRDefault="00FE387F" w:rsidP="00034B91">
      <w:pPr>
        <w:pStyle w:val="BodyText1"/>
        <w:rPr>
          <w:sz w:val="20"/>
        </w:rPr>
      </w:pPr>
      <w:r w:rsidRPr="00DC0854">
        <w:rPr>
          <w:sz w:val="20"/>
        </w:rPr>
        <w:t>Melbourne VIC 8003</w:t>
      </w:r>
    </w:p>
    <w:p w14:paraId="480E7B3B" w14:textId="77777777" w:rsidR="00034B91" w:rsidRPr="00DC0854" w:rsidRDefault="004A3D18" w:rsidP="00034B91">
      <w:pPr>
        <w:pStyle w:val="BodyText1"/>
        <w:rPr>
          <w:b/>
          <w:sz w:val="20"/>
          <w:szCs w:val="20"/>
        </w:rPr>
      </w:pPr>
      <w:r w:rsidRPr="00DC0854">
        <w:rPr>
          <w:b/>
          <w:sz w:val="20"/>
          <w:szCs w:val="20"/>
        </w:rPr>
        <w:t>Email</w:t>
      </w:r>
      <w:r w:rsidRPr="00DC0854">
        <w:rPr>
          <w:sz w:val="20"/>
          <w:szCs w:val="20"/>
        </w:rPr>
        <w:t xml:space="preserve">: </w:t>
      </w:r>
      <w:hyperlink r:id="rId15" w:history="1">
        <w:proofErr w:type="spellStart"/>
        <w:r w:rsidR="00FE387F" w:rsidRPr="00DC0854">
          <w:rPr>
            <w:rStyle w:val="Hyperlink"/>
            <w:sz w:val="20"/>
            <w:szCs w:val="20"/>
          </w:rPr>
          <w:t>super@pc.gov.au</w:t>
        </w:r>
        <w:proofErr w:type="spellEnd"/>
      </w:hyperlink>
      <w:r w:rsidR="00FE387F" w:rsidRPr="00DC0854">
        <w:rPr>
          <w:sz w:val="20"/>
          <w:szCs w:val="20"/>
        </w:rPr>
        <w:t xml:space="preserve"> </w:t>
      </w:r>
    </w:p>
    <w:p w14:paraId="6E9A5ACD" w14:textId="77777777" w:rsidR="00A879B5" w:rsidRPr="00DC0854" w:rsidRDefault="00A879B5" w:rsidP="00034B91">
      <w:pPr>
        <w:pStyle w:val="BodyText1"/>
        <w:rPr>
          <w:sz w:val="20"/>
        </w:rPr>
      </w:pPr>
    </w:p>
    <w:p w14:paraId="329A588B" w14:textId="46DD75C5" w:rsidR="00034B91" w:rsidRPr="00DC0854" w:rsidRDefault="00034B91" w:rsidP="00034B91">
      <w:pPr>
        <w:pStyle w:val="BodyText1"/>
        <w:rPr>
          <w:sz w:val="20"/>
        </w:rPr>
      </w:pPr>
      <w:r w:rsidRPr="00DC0854">
        <w:rPr>
          <w:sz w:val="20"/>
        </w:rPr>
        <w:t xml:space="preserve">Re. </w:t>
      </w:r>
      <w:r w:rsidRPr="00DC0854">
        <w:rPr>
          <w:sz w:val="20"/>
        </w:rPr>
        <w:tab/>
      </w:r>
      <w:r w:rsidR="00FD1026">
        <w:rPr>
          <w:sz w:val="20"/>
        </w:rPr>
        <w:t>Inquiry into alternative default models</w:t>
      </w:r>
    </w:p>
    <w:p w14:paraId="66439FE4" w14:textId="77777777" w:rsidR="00A879B5" w:rsidRPr="00DC0854" w:rsidRDefault="00A879B5" w:rsidP="00034B91">
      <w:pPr>
        <w:pStyle w:val="BodyText1"/>
        <w:rPr>
          <w:sz w:val="20"/>
        </w:rPr>
      </w:pPr>
    </w:p>
    <w:p w14:paraId="4B59CE09" w14:textId="77777777" w:rsidR="00034B91" w:rsidRPr="00DC0854" w:rsidRDefault="00034B91" w:rsidP="00034B91">
      <w:pPr>
        <w:pStyle w:val="BodyText1"/>
        <w:rPr>
          <w:sz w:val="20"/>
        </w:rPr>
      </w:pPr>
      <w:r w:rsidRPr="00DC0854">
        <w:rPr>
          <w:sz w:val="20"/>
        </w:rPr>
        <w:t>Dear Sir</w:t>
      </w:r>
      <w:r w:rsidR="00C90C36" w:rsidRPr="00DC0854">
        <w:rPr>
          <w:sz w:val="20"/>
        </w:rPr>
        <w:t>/Madam</w:t>
      </w:r>
      <w:r w:rsidRPr="00DC0854">
        <w:rPr>
          <w:sz w:val="20"/>
        </w:rPr>
        <w:t>,</w:t>
      </w:r>
    </w:p>
    <w:p w14:paraId="4F4211CD" w14:textId="77777777" w:rsidR="00C90C36" w:rsidRPr="00DC0854" w:rsidRDefault="00C90C36" w:rsidP="00034B91">
      <w:pPr>
        <w:pStyle w:val="BodyText1"/>
        <w:rPr>
          <w:sz w:val="20"/>
        </w:rPr>
      </w:pPr>
    </w:p>
    <w:p w14:paraId="4A3DA0AB" w14:textId="335CF50E" w:rsidR="00C1200A" w:rsidRPr="00DC0854" w:rsidRDefault="004A3D18" w:rsidP="00497168">
      <w:pPr>
        <w:pStyle w:val="BodyText1"/>
        <w:rPr>
          <w:sz w:val="20"/>
        </w:rPr>
      </w:pPr>
      <w:r w:rsidRPr="00DC0854">
        <w:rPr>
          <w:sz w:val="20"/>
        </w:rPr>
        <w:t>The Financial Planning Association of Australia (</w:t>
      </w:r>
      <w:proofErr w:type="spellStart"/>
      <w:r w:rsidRPr="00DC0854">
        <w:rPr>
          <w:sz w:val="20"/>
        </w:rPr>
        <w:t>FPA</w:t>
      </w:r>
      <w:proofErr w:type="spellEnd"/>
      <w:r w:rsidRPr="00DC0854">
        <w:rPr>
          <w:sz w:val="20"/>
        </w:rPr>
        <w:t xml:space="preserve">) welcomes the opportunity to provide feedback on </w:t>
      </w:r>
      <w:r w:rsidR="00AF748D" w:rsidRPr="00DC0854">
        <w:rPr>
          <w:sz w:val="20"/>
        </w:rPr>
        <w:t xml:space="preserve">the </w:t>
      </w:r>
      <w:r w:rsidR="00FD1026">
        <w:rPr>
          <w:sz w:val="20"/>
        </w:rPr>
        <w:t>Commission’s inquiry into alternative default models for the superannuation system.</w:t>
      </w:r>
      <w:r w:rsidR="001D1FE0">
        <w:rPr>
          <w:sz w:val="20"/>
        </w:rPr>
        <w:t xml:space="preserve"> </w:t>
      </w:r>
      <w:r w:rsidR="00FD1026">
        <w:rPr>
          <w:sz w:val="20"/>
        </w:rPr>
        <w:t>While we support enhancing compe</w:t>
      </w:r>
      <w:r w:rsidR="00E76D63">
        <w:rPr>
          <w:sz w:val="20"/>
        </w:rPr>
        <w:t>tition</w:t>
      </w:r>
      <w:r w:rsidR="00FD1026">
        <w:rPr>
          <w:sz w:val="20"/>
        </w:rPr>
        <w:t xml:space="preserve"> in the system, we would encourage the Commission to focus on default models that accommodate the different patterns of preferences of each firm’s employees.</w:t>
      </w:r>
    </w:p>
    <w:p w14:paraId="3949995D" w14:textId="77777777" w:rsidR="00C1200A" w:rsidRPr="00DC0854" w:rsidRDefault="00C1200A" w:rsidP="00034B91">
      <w:pPr>
        <w:pStyle w:val="BodyText1"/>
        <w:rPr>
          <w:sz w:val="20"/>
        </w:rPr>
      </w:pPr>
    </w:p>
    <w:p w14:paraId="578D4513" w14:textId="7909C75C" w:rsidR="00034B91" w:rsidRDefault="00034B91" w:rsidP="00034B91">
      <w:pPr>
        <w:pStyle w:val="BodyText1"/>
        <w:rPr>
          <w:sz w:val="20"/>
          <w:lang w:val="en-US"/>
        </w:rPr>
      </w:pPr>
      <w:r w:rsidRPr="00DC0854">
        <w:rPr>
          <w:sz w:val="20"/>
        </w:rPr>
        <w:t>If you have any queries or comments, please do not hesitate to contact me</w:t>
      </w:r>
      <w:r w:rsidR="00A16F8C" w:rsidRPr="00DC0854">
        <w:rPr>
          <w:sz w:val="20"/>
        </w:rPr>
        <w:t xml:space="preserve"> </w:t>
      </w:r>
      <w:r w:rsidR="00A16F8C" w:rsidRPr="00DC0854">
        <w:rPr>
          <w:sz w:val="20"/>
          <w:lang w:val="en-US"/>
        </w:rPr>
        <w:t xml:space="preserve">at </w:t>
      </w:r>
      <w:hyperlink r:id="rId16" w:history="1">
        <w:proofErr w:type="spellStart"/>
        <w:r w:rsidR="00A16F8C" w:rsidRPr="00DC0854">
          <w:rPr>
            <w:rStyle w:val="Hyperlink"/>
            <w:sz w:val="20"/>
            <w:lang w:val="en-US"/>
          </w:rPr>
          <w:t>policy@fpa.com.au</w:t>
        </w:r>
        <w:proofErr w:type="spellEnd"/>
      </w:hyperlink>
      <w:r w:rsidR="00A16F8C" w:rsidRPr="00DC0854">
        <w:rPr>
          <w:sz w:val="20"/>
          <w:lang w:val="en-US"/>
        </w:rPr>
        <w:t xml:space="preserve"> </w:t>
      </w:r>
    </w:p>
    <w:p w14:paraId="073202B8" w14:textId="77777777" w:rsidR="00AA52B3" w:rsidRPr="00DC0854" w:rsidRDefault="00AA52B3" w:rsidP="00034B91">
      <w:pPr>
        <w:pStyle w:val="BodyText1"/>
        <w:rPr>
          <w:sz w:val="20"/>
        </w:rPr>
      </w:pPr>
      <w:bookmarkStart w:id="0" w:name="_GoBack"/>
      <w:bookmarkEnd w:id="0"/>
    </w:p>
    <w:p w14:paraId="619FBDE5" w14:textId="77777777" w:rsidR="00A16F8C" w:rsidRPr="00DC0854" w:rsidRDefault="00A16F8C" w:rsidP="00034B91">
      <w:pPr>
        <w:pStyle w:val="BodyText1"/>
        <w:rPr>
          <w:sz w:val="20"/>
        </w:rPr>
      </w:pPr>
    </w:p>
    <w:p w14:paraId="4844EBC8" w14:textId="77777777" w:rsidR="00034B91" w:rsidRPr="00DC0854" w:rsidRDefault="00034B91" w:rsidP="00034B91">
      <w:pPr>
        <w:pStyle w:val="BodyText1"/>
        <w:rPr>
          <w:sz w:val="20"/>
        </w:rPr>
      </w:pPr>
      <w:r w:rsidRPr="00DC0854">
        <w:rPr>
          <w:sz w:val="20"/>
        </w:rPr>
        <w:t>Yours sincerely</w:t>
      </w:r>
    </w:p>
    <w:p w14:paraId="17163F96" w14:textId="77777777" w:rsidR="00034B91" w:rsidRPr="00DC0854" w:rsidRDefault="00034B91" w:rsidP="00034B91">
      <w:pPr>
        <w:pStyle w:val="BodyText1"/>
        <w:rPr>
          <w:sz w:val="20"/>
        </w:rPr>
      </w:pPr>
    </w:p>
    <w:p w14:paraId="4B920E7F" w14:textId="77777777" w:rsidR="00A879B5" w:rsidRPr="00DC0854" w:rsidRDefault="00A879B5" w:rsidP="00034B91">
      <w:pPr>
        <w:pStyle w:val="BodyText1"/>
        <w:rPr>
          <w:sz w:val="20"/>
        </w:rPr>
      </w:pPr>
    </w:p>
    <w:p w14:paraId="3D42F009" w14:textId="77777777" w:rsidR="00034B91" w:rsidRPr="00DC0854" w:rsidRDefault="00A879B5" w:rsidP="00034B91">
      <w:pPr>
        <w:pStyle w:val="BodyText1"/>
        <w:rPr>
          <w:sz w:val="20"/>
        </w:rPr>
      </w:pPr>
      <w:r w:rsidRPr="00DC0854">
        <w:rPr>
          <w:b/>
          <w:sz w:val="20"/>
        </w:rPr>
        <w:br/>
      </w:r>
      <w:r w:rsidR="00034B91" w:rsidRPr="00DC0854">
        <w:rPr>
          <w:b/>
          <w:sz w:val="20"/>
        </w:rPr>
        <w:t>Dimitri Diamantes</w:t>
      </w:r>
      <w:r w:rsidRPr="00DC0854">
        <w:rPr>
          <w:b/>
          <w:sz w:val="20"/>
        </w:rPr>
        <w:br/>
      </w:r>
      <w:r w:rsidR="00034B91" w:rsidRPr="00DC0854">
        <w:rPr>
          <w:i/>
          <w:sz w:val="20"/>
        </w:rPr>
        <w:t>Policy Manager</w:t>
      </w:r>
      <w:r w:rsidRPr="00DC0854">
        <w:rPr>
          <w:i/>
          <w:sz w:val="20"/>
        </w:rPr>
        <w:br/>
      </w:r>
      <w:r w:rsidR="00034B91" w:rsidRPr="00DC0854">
        <w:rPr>
          <w:sz w:val="20"/>
        </w:rPr>
        <w:t>Financial Planning Association of Australia</w:t>
      </w:r>
      <w:r w:rsidR="00034B91" w:rsidRPr="00DC0854">
        <w:rPr>
          <w:rStyle w:val="FootnoteReference"/>
          <w:sz w:val="20"/>
        </w:rPr>
        <w:footnoteReference w:id="1"/>
      </w:r>
      <w:r w:rsidR="00034B91" w:rsidRPr="00DC0854">
        <w:rPr>
          <w:sz w:val="20"/>
        </w:rPr>
        <w:t xml:space="preserve"> </w:t>
      </w:r>
    </w:p>
    <w:p w14:paraId="4BFF5133" w14:textId="77777777" w:rsidR="00FC4602" w:rsidRPr="00DC0854" w:rsidRDefault="00FC4602" w:rsidP="00FC4602">
      <w:pPr>
        <w:pStyle w:val="BodyText1"/>
        <w:rPr>
          <w:sz w:val="20"/>
        </w:rPr>
        <w:sectPr w:rsidR="00FC4602" w:rsidRPr="00DC0854" w:rsidSect="00FC4602">
          <w:headerReference w:type="even" r:id="rId17"/>
          <w:headerReference w:type="default" r:id="rId18"/>
          <w:footerReference w:type="even" r:id="rId19"/>
          <w:footerReference w:type="default" r:id="rId20"/>
          <w:headerReference w:type="first" r:id="rId21"/>
          <w:type w:val="continuous"/>
          <w:pgSz w:w="11901" w:h="16840"/>
          <w:pgMar w:top="2268" w:right="851" w:bottom="1134" w:left="2268" w:header="0" w:footer="0" w:gutter="0"/>
          <w:pgNumType w:start="1"/>
          <w:cols w:space="708"/>
          <w:formProt w:val="0"/>
          <w:titlePg/>
          <w:docGrid w:linePitch="360"/>
        </w:sectPr>
      </w:pPr>
    </w:p>
    <w:p w14:paraId="1CDAF9C1" w14:textId="77777777" w:rsidR="00034B91" w:rsidRPr="00DC0854" w:rsidRDefault="00034B91" w:rsidP="00034B91">
      <w:pPr>
        <w:spacing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4" w:type="dxa"/>
          <w:left w:w="0" w:type="dxa"/>
          <w:right w:w="0" w:type="dxa"/>
        </w:tblCellMar>
        <w:tblLook w:val="04A0" w:firstRow="1" w:lastRow="0" w:firstColumn="1" w:lastColumn="0" w:noHBand="0" w:noVBand="1"/>
      </w:tblPr>
      <w:tblGrid>
        <w:gridCol w:w="8300"/>
      </w:tblGrid>
      <w:tr w:rsidR="00034B91" w:rsidRPr="00DC0854" w14:paraId="4E0B6B5E" w14:textId="77777777" w:rsidTr="00E47F1D">
        <w:trPr>
          <w:trHeight w:hRule="exact" w:val="2493"/>
        </w:trPr>
        <w:tc>
          <w:tcPr>
            <w:tcW w:w="8300" w:type="dxa"/>
            <w:vAlign w:val="bottom"/>
          </w:tcPr>
          <w:p w14:paraId="17AC2DFE" w14:textId="77777777" w:rsidR="003D4B2A" w:rsidRPr="00DC0854" w:rsidRDefault="003D4B2A" w:rsidP="003D4B2A">
            <w:pPr>
              <w:pStyle w:val="DOCUMENTTITLE"/>
              <w:rPr>
                <w:b/>
                <w:lang w:val="en-AU"/>
              </w:rPr>
            </w:pPr>
            <w:r w:rsidRPr="00DC0854">
              <w:rPr>
                <w:b/>
                <w:lang w:val="en-AU"/>
              </w:rPr>
              <w:t>Superannuation:</w:t>
            </w:r>
          </w:p>
          <w:p w14:paraId="436D2AB0" w14:textId="77777777" w:rsidR="00034B91" w:rsidRPr="00DC0854" w:rsidRDefault="003D4B2A" w:rsidP="003D4B2A">
            <w:pPr>
              <w:pStyle w:val="DOCUMENTTITLE"/>
              <w:rPr>
                <w:b/>
              </w:rPr>
            </w:pPr>
            <w:r w:rsidRPr="00DC0854">
              <w:rPr>
                <w:b/>
                <w:lang w:val="en-AU"/>
              </w:rPr>
              <w:t>Alternative Default Models</w:t>
            </w:r>
          </w:p>
        </w:tc>
      </w:tr>
      <w:tr w:rsidR="00034B91" w:rsidRPr="00DC0854" w14:paraId="256CD6BF" w14:textId="77777777" w:rsidTr="00E47F1D">
        <w:trPr>
          <w:trHeight w:hRule="exact" w:val="1602"/>
        </w:trPr>
        <w:tc>
          <w:tcPr>
            <w:tcW w:w="8300" w:type="dxa"/>
          </w:tcPr>
          <w:p w14:paraId="2722CF4A" w14:textId="77777777" w:rsidR="00034B91" w:rsidRPr="00DC0854" w:rsidRDefault="00034B91" w:rsidP="00E47F1D">
            <w:proofErr w:type="spellStart"/>
            <w:r w:rsidRPr="00DC0854">
              <w:t>FPA</w:t>
            </w:r>
            <w:proofErr w:type="spellEnd"/>
            <w:r w:rsidRPr="00DC0854">
              <w:t xml:space="preserve"> submission to:</w:t>
            </w:r>
          </w:p>
          <w:p w14:paraId="7D771110" w14:textId="77777777" w:rsidR="00034B91" w:rsidRPr="00DC0854" w:rsidRDefault="003D4B2A" w:rsidP="00BD56E8">
            <w:pPr>
              <w:ind w:left="720" w:hanging="720"/>
            </w:pPr>
            <w:r w:rsidRPr="00DC0854">
              <w:t>Productivity Commission</w:t>
            </w:r>
          </w:p>
          <w:p w14:paraId="5BD68214" w14:textId="77777777" w:rsidR="00034B91" w:rsidRPr="00DC0854" w:rsidRDefault="00034B91" w:rsidP="00E47F1D"/>
          <w:p w14:paraId="4F492F6D" w14:textId="6264C362" w:rsidR="00034B91" w:rsidRPr="00DC0854" w:rsidRDefault="00C10005" w:rsidP="00E47F1D">
            <w:r w:rsidRPr="00DC0854">
              <w:t>31</w:t>
            </w:r>
            <w:r w:rsidR="00BD56E8" w:rsidRPr="00DC0854">
              <w:t xml:space="preserve"> October</w:t>
            </w:r>
            <w:r w:rsidR="00034B91" w:rsidRPr="00DC0854">
              <w:t xml:space="preserve"> 2016</w:t>
            </w:r>
          </w:p>
          <w:p w14:paraId="45AD5398" w14:textId="77777777" w:rsidR="00034B91" w:rsidRPr="00DC0854" w:rsidRDefault="00034B91" w:rsidP="00E47F1D"/>
        </w:tc>
      </w:tr>
    </w:tbl>
    <w:p w14:paraId="5B771FC6" w14:textId="77777777" w:rsidR="00034B91" w:rsidRPr="00DC0854" w:rsidRDefault="00034B91">
      <w:pPr>
        <w:spacing w:line="240" w:lineRule="auto"/>
        <w:rPr>
          <w:rFonts w:eastAsia="Cambria" w:cs="Arial"/>
          <w:sz w:val="20"/>
          <w:szCs w:val="20"/>
        </w:rPr>
      </w:pPr>
      <w:r w:rsidRPr="00DC0854">
        <w:rPr>
          <w:rFonts w:eastAsia="Cambria" w:cs="Arial"/>
          <w:sz w:val="20"/>
          <w:szCs w:val="20"/>
        </w:rPr>
        <w:br w:type="page"/>
      </w:r>
    </w:p>
    <w:p w14:paraId="040AC63A" w14:textId="77777777" w:rsidR="00034B91" w:rsidRPr="00DC0854" w:rsidRDefault="00034B91" w:rsidP="00034B91">
      <w:pPr>
        <w:spacing w:after="240" w:line="276" w:lineRule="auto"/>
        <w:rPr>
          <w:rFonts w:eastAsiaTheme="minorHAnsi" w:cs="Arial"/>
          <w:b/>
          <w:color w:val="000000" w:themeColor="text1"/>
          <w:sz w:val="24"/>
        </w:rPr>
      </w:pPr>
      <w:r w:rsidRPr="00DC0854">
        <w:rPr>
          <w:rFonts w:eastAsiaTheme="minorHAnsi" w:cs="Arial"/>
          <w:b/>
          <w:color w:val="000000" w:themeColor="text1"/>
          <w:sz w:val="24"/>
        </w:rPr>
        <w:lastRenderedPageBreak/>
        <w:t>INTRODUCTION</w:t>
      </w:r>
    </w:p>
    <w:p w14:paraId="2C6343A3" w14:textId="6802D5C9" w:rsidR="00E343F2" w:rsidRDefault="00740AEA" w:rsidP="00E343F2">
      <w:pPr>
        <w:spacing w:after="240" w:line="276" w:lineRule="auto"/>
        <w:rPr>
          <w:rFonts w:eastAsia="Cambria" w:cs="Arial"/>
          <w:sz w:val="20"/>
          <w:szCs w:val="20"/>
        </w:rPr>
      </w:pPr>
      <w:r>
        <w:rPr>
          <w:rFonts w:eastAsia="Cambria" w:cs="Arial"/>
          <w:sz w:val="20"/>
          <w:szCs w:val="20"/>
        </w:rPr>
        <w:t xml:space="preserve">The high level of disengagement of members </w:t>
      </w:r>
      <w:r w:rsidR="00E76D63">
        <w:rPr>
          <w:rFonts w:eastAsia="Cambria" w:cs="Arial"/>
          <w:sz w:val="20"/>
          <w:szCs w:val="20"/>
        </w:rPr>
        <w:t xml:space="preserve">of superannuation funds </w:t>
      </w:r>
      <w:r>
        <w:rPr>
          <w:rFonts w:eastAsia="Cambria" w:cs="Arial"/>
          <w:sz w:val="20"/>
          <w:szCs w:val="20"/>
        </w:rPr>
        <w:t xml:space="preserve">means there is a potential mismatch between the attributes of default superannuation products and the would-be preferences of members. </w:t>
      </w:r>
    </w:p>
    <w:p w14:paraId="77269044" w14:textId="2DAAF3AA" w:rsidR="00034B91" w:rsidRPr="00DC0854" w:rsidRDefault="00740AEA" w:rsidP="00034B91">
      <w:pPr>
        <w:spacing w:after="240" w:line="276" w:lineRule="auto"/>
        <w:jc w:val="both"/>
        <w:rPr>
          <w:rFonts w:eastAsia="Cambria" w:cs="Arial"/>
          <w:sz w:val="20"/>
          <w:szCs w:val="20"/>
        </w:rPr>
      </w:pPr>
      <w:r w:rsidRPr="00740AEA">
        <w:rPr>
          <w:rFonts w:eastAsia="Cambria" w:cs="Arial"/>
          <w:sz w:val="20"/>
          <w:szCs w:val="20"/>
        </w:rPr>
        <w:t>While we are support enhancing completion in the system, we would encourage the Commission to focus on default models that accommodate the different patterns of preferences of each firm’s employees.</w:t>
      </w:r>
      <w:r w:rsidR="00034B91" w:rsidRPr="00DC0854">
        <w:rPr>
          <w:rFonts w:eastAsia="Cambria" w:cs="Arial"/>
          <w:sz w:val="20"/>
          <w:szCs w:val="20"/>
        </w:rPr>
        <w:t xml:space="preserve"> </w:t>
      </w:r>
    </w:p>
    <w:p w14:paraId="1D79688E" w14:textId="77777777" w:rsidR="00034B91" w:rsidRPr="00DC0854" w:rsidRDefault="00034B91" w:rsidP="00034B91">
      <w:pPr>
        <w:spacing w:after="240" w:line="276" w:lineRule="auto"/>
        <w:jc w:val="both"/>
        <w:rPr>
          <w:rFonts w:eastAsia="Cambria" w:cs="Arial"/>
          <w:sz w:val="20"/>
          <w:szCs w:val="20"/>
        </w:rPr>
      </w:pPr>
    </w:p>
    <w:p w14:paraId="55ACE022" w14:textId="77777777" w:rsidR="00034B91" w:rsidRPr="00DC0854" w:rsidRDefault="00034B91" w:rsidP="00034B91">
      <w:pPr>
        <w:spacing w:after="240" w:line="276" w:lineRule="auto"/>
        <w:jc w:val="both"/>
        <w:rPr>
          <w:rFonts w:eastAsiaTheme="minorHAnsi" w:cs="Arial"/>
          <w:b/>
          <w:color w:val="5C7F92"/>
          <w:sz w:val="24"/>
        </w:rPr>
      </w:pPr>
    </w:p>
    <w:p w14:paraId="641F5C4E" w14:textId="77777777" w:rsidR="00034B91" w:rsidRPr="00DC0854" w:rsidRDefault="00034B91" w:rsidP="00034B91">
      <w:pPr>
        <w:spacing w:after="200" w:line="276" w:lineRule="auto"/>
        <w:rPr>
          <w:rFonts w:eastAsiaTheme="minorHAnsi" w:cs="Arial"/>
          <w:b/>
          <w:color w:val="5C7F92"/>
          <w:sz w:val="24"/>
        </w:rPr>
      </w:pPr>
      <w:r w:rsidRPr="00DC0854">
        <w:rPr>
          <w:rFonts w:eastAsiaTheme="minorHAnsi" w:cs="Arial"/>
          <w:b/>
          <w:color w:val="5C7F92"/>
          <w:sz w:val="24"/>
        </w:rPr>
        <w:br w:type="page"/>
      </w:r>
    </w:p>
    <w:p w14:paraId="22250204" w14:textId="77777777" w:rsidR="0014150A" w:rsidRPr="00DC0854" w:rsidRDefault="0014150A" w:rsidP="0014150A">
      <w:pPr>
        <w:pStyle w:val="Heading1"/>
      </w:pPr>
      <w:r w:rsidRPr="00DC0854">
        <w:lastRenderedPageBreak/>
        <w:t>Developing alternative allocation models</w:t>
      </w:r>
    </w:p>
    <w:p w14:paraId="00CB1997" w14:textId="77777777" w:rsidR="002C5747" w:rsidRPr="00DC0854" w:rsidRDefault="002C5747" w:rsidP="007F7519">
      <w:pPr>
        <w:pStyle w:val="Heading2"/>
        <w:rPr>
          <w:sz w:val="24"/>
          <w:szCs w:val="24"/>
        </w:rPr>
      </w:pPr>
      <w:r w:rsidRPr="00DC0854">
        <w:rPr>
          <w:sz w:val="24"/>
          <w:szCs w:val="24"/>
        </w:rPr>
        <w:t>Criteria for assessing alternative models</w:t>
      </w:r>
    </w:p>
    <w:p w14:paraId="0AA169EF" w14:textId="77777777" w:rsidR="002C5747" w:rsidRPr="00DC0854" w:rsidRDefault="002C5747" w:rsidP="00455360">
      <w:pPr>
        <w:pStyle w:val="Heading4"/>
        <w:numPr>
          <w:ilvl w:val="0"/>
          <w:numId w:val="12"/>
        </w:numPr>
        <w:rPr>
          <w:i w:val="0"/>
          <w:color w:val="auto"/>
          <w:sz w:val="20"/>
          <w:szCs w:val="20"/>
          <w:lang w:eastAsia="en-AU" w:bidi="en-US"/>
        </w:rPr>
      </w:pPr>
      <w:r w:rsidRPr="00DC0854">
        <w:rPr>
          <w:i w:val="0"/>
          <w:color w:val="auto"/>
          <w:sz w:val="20"/>
          <w:szCs w:val="20"/>
          <w:lang w:eastAsia="en-AU" w:bidi="en-US"/>
        </w:rPr>
        <w:t>How should the principles and considerations in the terms of reference be operationalised? Are the Commission’s proposed criteria suitable? What trade-offs might arise between criteria and how should these be handled?</w:t>
      </w:r>
    </w:p>
    <w:p w14:paraId="6D69B284" w14:textId="77777777" w:rsidR="002C5747" w:rsidRPr="00DC0854" w:rsidRDefault="002C5747" w:rsidP="002C5747">
      <w:pPr>
        <w:spacing w:line="240" w:lineRule="auto"/>
        <w:rPr>
          <w:rFonts w:eastAsia="Times New Roman" w:cs="Arial"/>
          <w:color w:val="000000"/>
          <w:sz w:val="20"/>
          <w:szCs w:val="20"/>
          <w:lang w:eastAsia="en-AU"/>
        </w:rPr>
      </w:pPr>
    </w:p>
    <w:p w14:paraId="346C8555" w14:textId="77777777" w:rsidR="007B76A5" w:rsidRPr="00DC0854" w:rsidRDefault="007B76A5" w:rsidP="007B76A5">
      <w:pPr>
        <w:spacing w:line="240" w:lineRule="auto"/>
        <w:rPr>
          <w:rFonts w:eastAsia="Times New Roman" w:cs="Arial"/>
          <w:color w:val="000000"/>
          <w:sz w:val="20"/>
          <w:szCs w:val="20"/>
          <w:lang w:eastAsia="en-AU"/>
        </w:rPr>
      </w:pPr>
      <w:proofErr w:type="spellStart"/>
      <w:r w:rsidRPr="00DC0854">
        <w:rPr>
          <w:rFonts w:eastAsia="Times New Roman" w:cs="Arial"/>
          <w:i/>
          <w:color w:val="000000"/>
          <w:sz w:val="20"/>
          <w:szCs w:val="20"/>
          <w:lang w:eastAsia="en-AU"/>
        </w:rPr>
        <w:t>Operationalisation</w:t>
      </w:r>
      <w:proofErr w:type="spellEnd"/>
    </w:p>
    <w:p w14:paraId="4243EEE9" w14:textId="71C93281" w:rsidR="00226921" w:rsidRPr="00DC0854" w:rsidRDefault="002837DB" w:rsidP="007B76A5">
      <w:p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Indicators of</w:t>
      </w:r>
      <w:r w:rsidR="009A5364" w:rsidRPr="00DC0854">
        <w:rPr>
          <w:rFonts w:eastAsia="Times New Roman" w:cs="Arial"/>
          <w:color w:val="000000"/>
          <w:sz w:val="20"/>
          <w:szCs w:val="20"/>
          <w:lang w:eastAsia="en-AU"/>
        </w:rPr>
        <w:t xml:space="preserve"> </w:t>
      </w:r>
      <w:r w:rsidR="009D678B" w:rsidRPr="00DC0854">
        <w:rPr>
          <w:rFonts w:eastAsia="Times New Roman" w:cs="Arial"/>
          <w:color w:val="000000"/>
          <w:sz w:val="20"/>
          <w:szCs w:val="20"/>
          <w:lang w:eastAsia="en-AU"/>
        </w:rPr>
        <w:t xml:space="preserve">each </w:t>
      </w:r>
      <w:r w:rsidR="009A5364" w:rsidRPr="00DC0854">
        <w:rPr>
          <w:rFonts w:eastAsia="Times New Roman" w:cs="Arial"/>
          <w:color w:val="000000"/>
          <w:sz w:val="20"/>
          <w:szCs w:val="20"/>
          <w:lang w:eastAsia="en-AU"/>
        </w:rPr>
        <w:t>model</w:t>
      </w:r>
      <w:r w:rsidR="009D678B" w:rsidRPr="00DC0854">
        <w:rPr>
          <w:rFonts w:eastAsia="Times New Roman" w:cs="Arial"/>
          <w:color w:val="000000"/>
          <w:sz w:val="20"/>
          <w:szCs w:val="20"/>
          <w:lang w:eastAsia="en-AU"/>
        </w:rPr>
        <w:t>’</w:t>
      </w:r>
      <w:r w:rsidR="009A5364" w:rsidRPr="00DC0854">
        <w:rPr>
          <w:rFonts w:eastAsia="Times New Roman" w:cs="Arial"/>
          <w:color w:val="000000"/>
          <w:sz w:val="20"/>
          <w:szCs w:val="20"/>
          <w:lang w:eastAsia="en-AU"/>
        </w:rPr>
        <w:t>s likely</w:t>
      </w:r>
      <w:r w:rsidRPr="00DC0854">
        <w:rPr>
          <w:rFonts w:eastAsia="Times New Roman" w:cs="Arial"/>
          <w:color w:val="000000"/>
          <w:sz w:val="20"/>
          <w:szCs w:val="20"/>
          <w:lang w:eastAsia="en-AU"/>
        </w:rPr>
        <w:t xml:space="preserve"> performance against the criteria need to be identified. For example:</w:t>
      </w:r>
      <w:r w:rsidR="006F5FA4" w:rsidRPr="00DC0854">
        <w:rPr>
          <w:rFonts w:eastAsia="Times New Roman" w:cs="Arial"/>
          <w:color w:val="000000"/>
          <w:sz w:val="20"/>
          <w:szCs w:val="20"/>
          <w:lang w:eastAsia="en-AU"/>
        </w:rPr>
        <w:t xml:space="preserve"> </w:t>
      </w:r>
    </w:p>
    <w:p w14:paraId="4331431A" w14:textId="77777777" w:rsidR="006F5FA4" w:rsidRPr="00DC0854" w:rsidRDefault="006F5FA4" w:rsidP="007B76A5">
      <w:p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 xml:space="preserve"> </w:t>
      </w:r>
    </w:p>
    <w:p w14:paraId="53E809D8" w14:textId="0C1582BE" w:rsidR="003214B1" w:rsidRPr="00DC0854" w:rsidRDefault="000F2F94" w:rsidP="00455360">
      <w:pPr>
        <w:pStyle w:val="ListParagraph"/>
        <w:numPr>
          <w:ilvl w:val="0"/>
          <w:numId w:val="14"/>
        </w:num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members’ best interests:</w:t>
      </w:r>
      <w:r w:rsidR="00E76D63" w:rsidRPr="00DC0854">
        <w:rPr>
          <w:rFonts w:eastAsia="Times New Roman" w:cs="Arial"/>
          <w:color w:val="000000"/>
          <w:sz w:val="20"/>
          <w:szCs w:val="20"/>
          <w:lang w:eastAsia="en-AU"/>
        </w:rPr>
        <w:t xml:space="preserve"> </w:t>
      </w:r>
      <w:r w:rsidR="00E76D63">
        <w:rPr>
          <w:rFonts w:eastAsia="Times New Roman" w:cs="Arial"/>
          <w:color w:val="000000"/>
          <w:sz w:val="20"/>
          <w:szCs w:val="20"/>
          <w:lang w:eastAsia="en-AU"/>
        </w:rPr>
        <w:t xml:space="preserve">expected </w:t>
      </w:r>
      <w:r w:rsidRPr="00DC0854">
        <w:rPr>
          <w:rFonts w:eastAsia="Times New Roman" w:cs="Arial"/>
          <w:color w:val="000000"/>
          <w:sz w:val="20"/>
          <w:szCs w:val="20"/>
          <w:lang w:eastAsia="en-AU"/>
        </w:rPr>
        <w:t xml:space="preserve">risk-adjusted </w:t>
      </w:r>
      <w:r w:rsidR="00E76D63">
        <w:rPr>
          <w:rFonts w:eastAsia="Times New Roman" w:cs="Arial"/>
          <w:color w:val="000000"/>
          <w:sz w:val="20"/>
          <w:szCs w:val="20"/>
          <w:lang w:eastAsia="en-AU"/>
        </w:rPr>
        <w:t>returns</w:t>
      </w:r>
      <w:r w:rsidRPr="00DC0854">
        <w:rPr>
          <w:rStyle w:val="FootnoteReference"/>
          <w:rFonts w:eastAsia="Times New Roman"/>
          <w:color w:val="000000"/>
          <w:sz w:val="20"/>
          <w:szCs w:val="20"/>
          <w:lang w:eastAsia="en-AU"/>
        </w:rPr>
        <w:footnoteReference w:id="2"/>
      </w:r>
      <w:r w:rsidR="00E96A6D" w:rsidRPr="00DC0854">
        <w:rPr>
          <w:rFonts w:eastAsia="Times New Roman" w:cs="Arial"/>
          <w:color w:val="000000"/>
          <w:sz w:val="20"/>
          <w:szCs w:val="20"/>
          <w:lang w:eastAsia="en-AU"/>
        </w:rPr>
        <w:t>; risk premium for insurance; and consumer satisfaction scores</w:t>
      </w:r>
    </w:p>
    <w:p w14:paraId="07CE95AA" w14:textId="77777777" w:rsidR="002837DB" w:rsidRPr="00DC0854" w:rsidRDefault="003214B1" w:rsidP="00455360">
      <w:pPr>
        <w:pStyle w:val="ListParagraph"/>
        <w:numPr>
          <w:ilvl w:val="0"/>
          <w:numId w:val="14"/>
        </w:num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 xml:space="preserve">competition: </w:t>
      </w:r>
      <w:r w:rsidR="000A2BEE" w:rsidRPr="00DC0854">
        <w:rPr>
          <w:rFonts w:eastAsia="Times New Roman" w:cs="Arial"/>
          <w:color w:val="000000"/>
          <w:sz w:val="20"/>
          <w:szCs w:val="20"/>
          <w:lang w:eastAsia="en-AU"/>
        </w:rPr>
        <w:t xml:space="preserve">number and severity of </w:t>
      </w:r>
      <w:r w:rsidR="002837DB" w:rsidRPr="00DC0854">
        <w:rPr>
          <w:rFonts w:eastAsia="Times New Roman" w:cs="Arial"/>
          <w:color w:val="000000"/>
          <w:sz w:val="20"/>
          <w:szCs w:val="20"/>
          <w:lang w:eastAsia="en-AU"/>
        </w:rPr>
        <w:t xml:space="preserve">barriers to entry and exit; </w:t>
      </w:r>
      <w:r w:rsidR="009A5364" w:rsidRPr="00DC0854">
        <w:rPr>
          <w:rFonts w:eastAsia="Times New Roman" w:cs="Arial"/>
          <w:color w:val="000000"/>
          <w:sz w:val="20"/>
          <w:szCs w:val="20"/>
          <w:lang w:eastAsia="en-AU"/>
        </w:rPr>
        <w:t xml:space="preserve">and </w:t>
      </w:r>
      <w:r w:rsidR="002837DB" w:rsidRPr="00DC0854">
        <w:rPr>
          <w:rFonts w:eastAsia="Times New Roman" w:cs="Arial"/>
          <w:color w:val="000000"/>
          <w:sz w:val="20"/>
          <w:szCs w:val="20"/>
          <w:lang w:eastAsia="en-AU"/>
        </w:rPr>
        <w:t>measures of market concentration</w:t>
      </w:r>
    </w:p>
    <w:p w14:paraId="1B504758" w14:textId="77777777" w:rsidR="008A1A6B" w:rsidRPr="00DC0854" w:rsidRDefault="009A5364" w:rsidP="00455360">
      <w:pPr>
        <w:pStyle w:val="ListParagraph"/>
        <w:numPr>
          <w:ilvl w:val="0"/>
          <w:numId w:val="14"/>
        </w:num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 xml:space="preserve">integrity: </w:t>
      </w:r>
      <w:r w:rsidR="004F7362" w:rsidRPr="00DC0854">
        <w:rPr>
          <w:rFonts w:eastAsia="Times New Roman" w:cs="Arial"/>
          <w:color w:val="000000"/>
          <w:sz w:val="20"/>
          <w:szCs w:val="20"/>
          <w:lang w:eastAsia="en-AU"/>
        </w:rPr>
        <w:t xml:space="preserve">number </w:t>
      </w:r>
      <w:r w:rsidR="00243D3D" w:rsidRPr="00DC0854">
        <w:rPr>
          <w:rFonts w:eastAsia="Times New Roman" w:cs="Arial"/>
          <w:color w:val="000000"/>
          <w:sz w:val="20"/>
          <w:szCs w:val="20"/>
          <w:lang w:eastAsia="en-AU"/>
        </w:rPr>
        <w:t>(</w:t>
      </w:r>
      <w:r w:rsidR="004F7362" w:rsidRPr="00DC0854">
        <w:rPr>
          <w:rFonts w:eastAsia="Times New Roman" w:cs="Arial"/>
          <w:color w:val="000000"/>
          <w:sz w:val="20"/>
          <w:szCs w:val="20"/>
          <w:lang w:eastAsia="en-AU"/>
        </w:rPr>
        <w:t xml:space="preserve">and </w:t>
      </w:r>
      <w:r w:rsidR="00031C2A" w:rsidRPr="00DC0854">
        <w:rPr>
          <w:rFonts w:eastAsia="Times New Roman" w:cs="Arial"/>
          <w:color w:val="000000"/>
          <w:sz w:val="20"/>
          <w:szCs w:val="20"/>
          <w:lang w:eastAsia="en-AU"/>
        </w:rPr>
        <w:t>d</w:t>
      </w:r>
      <w:r w:rsidR="008A413E" w:rsidRPr="00DC0854">
        <w:rPr>
          <w:rFonts w:eastAsia="Times New Roman" w:cs="Arial"/>
          <w:color w:val="000000"/>
          <w:sz w:val="20"/>
          <w:szCs w:val="20"/>
          <w:lang w:eastAsia="en-AU"/>
        </w:rPr>
        <w:t>egree of danger</w:t>
      </w:r>
      <w:r w:rsidR="00243D3D" w:rsidRPr="00DC0854">
        <w:rPr>
          <w:rFonts w:eastAsia="Times New Roman" w:cs="Arial"/>
          <w:color w:val="000000"/>
          <w:sz w:val="20"/>
          <w:szCs w:val="20"/>
          <w:lang w:eastAsia="en-AU"/>
        </w:rPr>
        <w:t xml:space="preserve">) of </w:t>
      </w:r>
      <w:r w:rsidR="004F7362" w:rsidRPr="00DC0854">
        <w:rPr>
          <w:rFonts w:eastAsia="Times New Roman" w:cs="Arial"/>
          <w:color w:val="000000"/>
          <w:sz w:val="20"/>
          <w:szCs w:val="20"/>
          <w:lang w:eastAsia="en-AU"/>
        </w:rPr>
        <w:t>opportunities for gaming</w:t>
      </w:r>
    </w:p>
    <w:p w14:paraId="71CDB15D" w14:textId="77777777" w:rsidR="00A1374F" w:rsidRPr="00DC0854" w:rsidRDefault="00A1374F" w:rsidP="00455360">
      <w:pPr>
        <w:pStyle w:val="ListParagraph"/>
        <w:numPr>
          <w:ilvl w:val="0"/>
          <w:numId w:val="14"/>
        </w:num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stability:</w:t>
      </w:r>
      <w:r w:rsidR="009A5364" w:rsidRPr="00DC0854">
        <w:rPr>
          <w:rFonts w:eastAsia="Times New Roman" w:cs="Arial"/>
          <w:color w:val="000000"/>
          <w:sz w:val="20"/>
          <w:szCs w:val="20"/>
          <w:lang w:eastAsia="en-AU"/>
        </w:rPr>
        <w:t xml:space="preserve"> measures of </w:t>
      </w:r>
      <w:r w:rsidR="00263588" w:rsidRPr="00DC0854">
        <w:rPr>
          <w:rFonts w:eastAsia="Times New Roman" w:cs="Arial"/>
          <w:color w:val="000000"/>
          <w:sz w:val="20"/>
          <w:szCs w:val="20"/>
          <w:lang w:eastAsia="en-AU"/>
        </w:rPr>
        <w:t>diversity (as to, e.g., risk philosophy, outsourced providers and corporate governance)</w:t>
      </w:r>
      <w:r w:rsidR="00617281" w:rsidRPr="00DC0854">
        <w:rPr>
          <w:rStyle w:val="FootnoteReference"/>
          <w:rFonts w:eastAsia="Times New Roman"/>
          <w:color w:val="000000"/>
          <w:sz w:val="20"/>
          <w:szCs w:val="20"/>
          <w:lang w:eastAsia="en-AU"/>
        </w:rPr>
        <w:footnoteReference w:id="3"/>
      </w:r>
    </w:p>
    <w:p w14:paraId="7B1A380A" w14:textId="77777777" w:rsidR="007B76A5" w:rsidRPr="00DC0854" w:rsidRDefault="002E0661" w:rsidP="00455360">
      <w:pPr>
        <w:pStyle w:val="ListParagraph"/>
        <w:numPr>
          <w:ilvl w:val="0"/>
          <w:numId w:val="14"/>
        </w:num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 xml:space="preserve">system-wide costs: </w:t>
      </w:r>
      <w:r w:rsidR="002A2A2F" w:rsidRPr="00DC0854">
        <w:rPr>
          <w:rFonts w:eastAsia="Times New Roman" w:cs="Arial"/>
          <w:color w:val="000000"/>
          <w:sz w:val="20"/>
          <w:szCs w:val="20"/>
          <w:lang w:eastAsia="en-AU"/>
        </w:rPr>
        <w:t>estimate</w:t>
      </w:r>
      <w:r w:rsidR="00243D3D" w:rsidRPr="00DC0854">
        <w:rPr>
          <w:rFonts w:eastAsia="Times New Roman" w:cs="Arial"/>
          <w:color w:val="000000"/>
          <w:sz w:val="20"/>
          <w:szCs w:val="20"/>
          <w:lang w:eastAsia="en-AU"/>
        </w:rPr>
        <w:t xml:space="preserve"> of </w:t>
      </w:r>
      <w:r w:rsidR="002A2A2F" w:rsidRPr="00DC0854">
        <w:rPr>
          <w:rFonts w:eastAsia="Times New Roman" w:cs="Arial"/>
          <w:color w:val="000000"/>
          <w:sz w:val="20"/>
          <w:szCs w:val="20"/>
          <w:lang w:eastAsia="en-AU"/>
        </w:rPr>
        <w:t>costs (at an aggregate and stakeholder level) of each model</w:t>
      </w:r>
    </w:p>
    <w:p w14:paraId="37E4D031" w14:textId="77777777" w:rsidR="007B76A5" w:rsidRPr="00DC0854" w:rsidRDefault="007B76A5" w:rsidP="007B76A5">
      <w:pPr>
        <w:spacing w:line="240" w:lineRule="auto"/>
        <w:rPr>
          <w:rFonts w:eastAsia="Times New Roman" w:cs="Arial"/>
          <w:i/>
          <w:color w:val="000000"/>
          <w:sz w:val="20"/>
          <w:szCs w:val="20"/>
          <w:lang w:eastAsia="en-AU"/>
        </w:rPr>
      </w:pPr>
      <w:r w:rsidRPr="00DC0854">
        <w:rPr>
          <w:rFonts w:eastAsia="Times New Roman" w:cs="Arial"/>
          <w:i/>
          <w:color w:val="000000"/>
          <w:sz w:val="20"/>
          <w:szCs w:val="20"/>
          <w:lang w:eastAsia="en-AU"/>
        </w:rPr>
        <w:t>Suitability</w:t>
      </w:r>
    </w:p>
    <w:p w14:paraId="6013CBAE" w14:textId="77777777" w:rsidR="007B76A5" w:rsidRPr="00DC0854" w:rsidRDefault="00F31145" w:rsidP="007B76A5">
      <w:p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We support the Commission’s criteria.</w:t>
      </w:r>
    </w:p>
    <w:p w14:paraId="7279B0EB" w14:textId="77777777" w:rsidR="007B76A5" w:rsidRPr="00DC0854" w:rsidRDefault="007B76A5" w:rsidP="007B76A5">
      <w:pPr>
        <w:spacing w:line="240" w:lineRule="auto"/>
        <w:rPr>
          <w:rFonts w:eastAsia="Times New Roman" w:cs="Arial"/>
          <w:color w:val="000000"/>
          <w:sz w:val="20"/>
          <w:szCs w:val="20"/>
          <w:lang w:eastAsia="en-AU"/>
        </w:rPr>
      </w:pPr>
    </w:p>
    <w:p w14:paraId="418517FD" w14:textId="77777777" w:rsidR="007B76A5" w:rsidRPr="00DC0854" w:rsidRDefault="007B76A5" w:rsidP="007B76A5">
      <w:pPr>
        <w:spacing w:line="240" w:lineRule="auto"/>
        <w:rPr>
          <w:rFonts w:eastAsia="Times New Roman" w:cs="Arial"/>
          <w:i/>
          <w:color w:val="000000"/>
          <w:sz w:val="20"/>
          <w:szCs w:val="20"/>
          <w:lang w:eastAsia="en-AU"/>
        </w:rPr>
      </w:pPr>
      <w:r w:rsidRPr="00DC0854">
        <w:rPr>
          <w:rFonts w:eastAsia="Times New Roman" w:cs="Arial"/>
          <w:i/>
          <w:color w:val="000000"/>
          <w:sz w:val="20"/>
          <w:szCs w:val="20"/>
          <w:lang w:eastAsia="en-AU"/>
        </w:rPr>
        <w:t>Trade-offs</w:t>
      </w:r>
    </w:p>
    <w:p w14:paraId="6720192F" w14:textId="10CB2F4F" w:rsidR="007B76A5" w:rsidRPr="00DC0854" w:rsidRDefault="00DC7975" w:rsidP="007B76A5">
      <w:p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 xml:space="preserve">There will eventually be a trade-off between minimising system-wide costs and all other criteria. </w:t>
      </w:r>
      <w:r w:rsidR="005E7556" w:rsidRPr="00DC0854">
        <w:rPr>
          <w:rFonts w:eastAsia="Times New Roman" w:cs="Arial"/>
          <w:color w:val="000000"/>
          <w:sz w:val="20"/>
          <w:szCs w:val="20"/>
          <w:lang w:eastAsia="en-AU"/>
        </w:rPr>
        <w:t xml:space="preserve">A model would need to be developed that seeks to optimise the trade-off. </w:t>
      </w:r>
      <w:r w:rsidR="002C27A4" w:rsidRPr="00DC0854">
        <w:rPr>
          <w:rFonts w:eastAsia="Times New Roman" w:cs="Arial"/>
          <w:color w:val="000000"/>
          <w:sz w:val="20"/>
          <w:szCs w:val="20"/>
          <w:lang w:eastAsia="en-AU"/>
        </w:rPr>
        <w:t>We also note that, e</w:t>
      </w:r>
      <w:r w:rsidR="0011009B" w:rsidRPr="00DC0854">
        <w:rPr>
          <w:rFonts w:eastAsia="Times New Roman" w:cs="Arial"/>
          <w:color w:val="000000"/>
          <w:sz w:val="20"/>
          <w:szCs w:val="20"/>
          <w:lang w:eastAsia="en-AU"/>
        </w:rPr>
        <w:t xml:space="preserve">ventually, there will be a trade-off between returns </w:t>
      </w:r>
      <w:r w:rsidR="00387E5F" w:rsidRPr="00DC0854">
        <w:rPr>
          <w:rFonts w:eastAsia="Times New Roman" w:cs="Arial"/>
          <w:color w:val="000000"/>
          <w:sz w:val="20"/>
          <w:szCs w:val="20"/>
          <w:lang w:eastAsia="en-AU"/>
        </w:rPr>
        <w:t xml:space="preserve">(net of fees) </w:t>
      </w:r>
      <w:r w:rsidR="0011009B" w:rsidRPr="00DC0854">
        <w:rPr>
          <w:rFonts w:eastAsia="Times New Roman" w:cs="Arial"/>
          <w:color w:val="000000"/>
          <w:sz w:val="20"/>
          <w:szCs w:val="20"/>
          <w:lang w:eastAsia="en-AU"/>
        </w:rPr>
        <w:t xml:space="preserve">on </w:t>
      </w:r>
      <w:r w:rsidR="002B7ECC" w:rsidRPr="00DC0854">
        <w:rPr>
          <w:rFonts w:eastAsia="Times New Roman" w:cs="Arial"/>
          <w:color w:val="000000"/>
          <w:sz w:val="20"/>
          <w:szCs w:val="20"/>
          <w:lang w:eastAsia="en-AU"/>
        </w:rPr>
        <w:t>i</w:t>
      </w:r>
      <w:r w:rsidR="0011009B" w:rsidRPr="00DC0854">
        <w:rPr>
          <w:rFonts w:eastAsia="Times New Roman" w:cs="Arial"/>
          <w:color w:val="000000"/>
          <w:sz w:val="20"/>
          <w:szCs w:val="20"/>
          <w:lang w:eastAsia="en-AU"/>
        </w:rPr>
        <w:t>nvested contributions</w:t>
      </w:r>
      <w:r w:rsidR="002B7ECC" w:rsidRPr="00DC0854">
        <w:rPr>
          <w:rFonts w:eastAsia="Times New Roman" w:cs="Arial"/>
          <w:color w:val="000000"/>
          <w:sz w:val="20"/>
          <w:szCs w:val="20"/>
          <w:lang w:eastAsia="en-AU"/>
        </w:rPr>
        <w:t xml:space="preserve">, </w:t>
      </w:r>
      <w:r w:rsidR="0011009B" w:rsidRPr="00DC0854">
        <w:rPr>
          <w:rFonts w:eastAsia="Times New Roman" w:cs="Arial"/>
          <w:color w:val="000000"/>
          <w:sz w:val="20"/>
          <w:szCs w:val="20"/>
          <w:lang w:eastAsia="en-AU"/>
        </w:rPr>
        <w:t xml:space="preserve">and </w:t>
      </w:r>
      <w:r w:rsidR="002341E4" w:rsidRPr="00DC0854">
        <w:rPr>
          <w:rFonts w:eastAsia="Times New Roman" w:cs="Arial"/>
          <w:color w:val="000000"/>
          <w:sz w:val="20"/>
          <w:szCs w:val="20"/>
          <w:lang w:eastAsia="en-AU"/>
        </w:rPr>
        <w:t xml:space="preserve">non-financial measures of </w:t>
      </w:r>
      <w:r w:rsidR="0011009B" w:rsidRPr="00DC0854">
        <w:rPr>
          <w:rFonts w:eastAsia="Times New Roman" w:cs="Arial"/>
          <w:color w:val="000000"/>
          <w:sz w:val="20"/>
          <w:szCs w:val="20"/>
          <w:lang w:eastAsia="en-AU"/>
        </w:rPr>
        <w:t>product quality.</w:t>
      </w:r>
      <w:r w:rsidR="00F01166" w:rsidRPr="00DC0854">
        <w:rPr>
          <w:rFonts w:eastAsia="Times New Roman" w:cs="Arial"/>
          <w:color w:val="000000"/>
          <w:sz w:val="20"/>
          <w:szCs w:val="20"/>
          <w:lang w:eastAsia="en-AU"/>
        </w:rPr>
        <w:t xml:space="preserve"> </w:t>
      </w:r>
      <w:r w:rsidR="00386464" w:rsidRPr="00DC0854">
        <w:rPr>
          <w:rFonts w:eastAsia="Times New Roman" w:cs="Arial"/>
          <w:color w:val="000000"/>
          <w:sz w:val="20"/>
          <w:szCs w:val="20"/>
          <w:lang w:eastAsia="en-AU"/>
        </w:rPr>
        <w:t xml:space="preserve">Again, </w:t>
      </w:r>
      <w:r w:rsidR="00E57BA6" w:rsidRPr="00DC0854">
        <w:rPr>
          <w:rFonts w:eastAsia="Times New Roman" w:cs="Arial"/>
          <w:color w:val="000000"/>
          <w:sz w:val="20"/>
          <w:szCs w:val="20"/>
          <w:lang w:eastAsia="en-AU"/>
        </w:rPr>
        <w:t>we need to optimise the trade-off.</w:t>
      </w:r>
    </w:p>
    <w:p w14:paraId="55731629" w14:textId="77777777" w:rsidR="002C5747" w:rsidRPr="00DC0854" w:rsidRDefault="002C5747" w:rsidP="00455360">
      <w:pPr>
        <w:pStyle w:val="Heading4"/>
        <w:numPr>
          <w:ilvl w:val="0"/>
          <w:numId w:val="12"/>
        </w:numPr>
        <w:rPr>
          <w:i w:val="0"/>
          <w:color w:val="auto"/>
          <w:sz w:val="20"/>
          <w:szCs w:val="20"/>
          <w:lang w:eastAsia="en-AU" w:bidi="en-US"/>
        </w:rPr>
      </w:pPr>
      <w:r w:rsidRPr="00DC0854">
        <w:rPr>
          <w:i w:val="0"/>
          <w:color w:val="auto"/>
          <w:sz w:val="20"/>
          <w:szCs w:val="20"/>
          <w:lang w:eastAsia="en-AU" w:bidi="en-US"/>
        </w:rPr>
        <w:t>What regulatory impediments to optimal competition might be relevant?</w:t>
      </w:r>
    </w:p>
    <w:p w14:paraId="3B2606ED" w14:textId="77777777" w:rsidR="002C5747" w:rsidRPr="00DC0854" w:rsidRDefault="002C5747" w:rsidP="002C5747">
      <w:pPr>
        <w:spacing w:line="240" w:lineRule="auto"/>
        <w:rPr>
          <w:rFonts w:eastAsia="Times New Roman" w:cs="Arial"/>
          <w:color w:val="000000"/>
          <w:sz w:val="20"/>
          <w:szCs w:val="20"/>
          <w:lang w:eastAsia="en-AU"/>
        </w:rPr>
      </w:pPr>
    </w:p>
    <w:p w14:paraId="3CE47862" w14:textId="77777777" w:rsidR="002C5747" w:rsidRPr="00DC0854" w:rsidRDefault="00455360" w:rsidP="002C5747">
      <w:p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Regulatory impediments include:</w:t>
      </w:r>
    </w:p>
    <w:p w14:paraId="23EB099E" w14:textId="77777777" w:rsidR="00455360" w:rsidRPr="00DC0854" w:rsidRDefault="00455360" w:rsidP="002C5747">
      <w:pPr>
        <w:spacing w:line="240" w:lineRule="auto"/>
        <w:rPr>
          <w:rFonts w:eastAsia="Times New Roman" w:cs="Arial"/>
          <w:color w:val="000000"/>
          <w:sz w:val="20"/>
          <w:szCs w:val="20"/>
          <w:lang w:eastAsia="en-AU"/>
        </w:rPr>
      </w:pPr>
    </w:p>
    <w:p w14:paraId="0ADCA6DA" w14:textId="5DE29A40" w:rsidR="00455360" w:rsidRPr="00DC0854" w:rsidRDefault="00455360" w:rsidP="00455360">
      <w:pPr>
        <w:pStyle w:val="ListParagraph"/>
        <w:numPr>
          <w:ilvl w:val="0"/>
          <w:numId w:val="15"/>
        </w:num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 xml:space="preserve">default funds being prescribed in </w:t>
      </w:r>
      <w:r w:rsidR="009F403F" w:rsidRPr="00DC0854">
        <w:rPr>
          <w:rFonts w:eastAsia="Times New Roman" w:cs="Arial"/>
          <w:color w:val="000000"/>
          <w:sz w:val="20"/>
          <w:szCs w:val="20"/>
          <w:lang w:eastAsia="en-AU"/>
        </w:rPr>
        <w:t xml:space="preserve">industrial </w:t>
      </w:r>
      <w:r w:rsidRPr="00DC0854">
        <w:rPr>
          <w:rFonts w:eastAsia="Times New Roman" w:cs="Arial"/>
          <w:color w:val="000000"/>
          <w:sz w:val="20"/>
          <w:szCs w:val="20"/>
          <w:lang w:eastAsia="en-AU"/>
        </w:rPr>
        <w:t>awards</w:t>
      </w:r>
      <w:r w:rsidR="009F403F" w:rsidRPr="00DC0854">
        <w:rPr>
          <w:rFonts w:eastAsia="Times New Roman" w:cs="Arial"/>
          <w:color w:val="000000"/>
          <w:sz w:val="20"/>
          <w:szCs w:val="20"/>
          <w:lang w:eastAsia="en-AU"/>
        </w:rPr>
        <w:t xml:space="preserve"> and agreements</w:t>
      </w:r>
    </w:p>
    <w:p w14:paraId="4DF9B25D" w14:textId="59447E10" w:rsidR="009F403F" w:rsidRPr="00DC0854" w:rsidRDefault="009F403F" w:rsidP="00455360">
      <w:pPr>
        <w:pStyle w:val="ListParagraph"/>
        <w:numPr>
          <w:ilvl w:val="0"/>
          <w:numId w:val="15"/>
        </w:num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employers acting in their own interests rather than those of their employees (e.g., gaining benefits from bundling default superannuation with business and personal financial services)</w:t>
      </w:r>
    </w:p>
    <w:p w14:paraId="7F3C8A53" w14:textId="77777777" w:rsidR="00873EBD" w:rsidRPr="00DC0854" w:rsidRDefault="00873EBD" w:rsidP="00873EBD">
      <w:pPr>
        <w:pStyle w:val="Heading2"/>
        <w:rPr>
          <w:sz w:val="24"/>
          <w:szCs w:val="24"/>
        </w:rPr>
      </w:pPr>
      <w:r w:rsidRPr="00DC0854">
        <w:rPr>
          <w:sz w:val="24"/>
          <w:szCs w:val="24"/>
        </w:rPr>
        <w:t>Designing the models</w:t>
      </w:r>
    </w:p>
    <w:p w14:paraId="50938B9C" w14:textId="77777777" w:rsidR="005204FE" w:rsidRPr="00DC0854" w:rsidRDefault="005204FE" w:rsidP="00455360">
      <w:pPr>
        <w:pStyle w:val="Heading4"/>
        <w:numPr>
          <w:ilvl w:val="0"/>
          <w:numId w:val="12"/>
        </w:numPr>
        <w:rPr>
          <w:i w:val="0"/>
          <w:color w:val="auto"/>
          <w:sz w:val="20"/>
          <w:szCs w:val="20"/>
          <w:lang w:eastAsia="en-AU" w:bidi="en-US"/>
        </w:rPr>
      </w:pPr>
      <w:r w:rsidRPr="00DC0854">
        <w:rPr>
          <w:i w:val="0"/>
          <w:color w:val="auto"/>
          <w:sz w:val="20"/>
          <w:szCs w:val="20"/>
          <w:lang w:eastAsia="en-AU" w:bidi="en-US"/>
        </w:rPr>
        <w:t>Is this framework suitable for designing alternative models? What other steps might be necessary?</w:t>
      </w:r>
    </w:p>
    <w:p w14:paraId="475FCA72" w14:textId="77777777" w:rsidR="005204FE" w:rsidRPr="00DC0854" w:rsidRDefault="005204FE" w:rsidP="005204FE">
      <w:pPr>
        <w:spacing w:line="240" w:lineRule="auto"/>
        <w:rPr>
          <w:rFonts w:eastAsia="Times New Roman" w:cs="Arial"/>
          <w:color w:val="000000"/>
          <w:sz w:val="20"/>
          <w:szCs w:val="20"/>
          <w:lang w:eastAsia="en-AU"/>
        </w:rPr>
      </w:pPr>
    </w:p>
    <w:p w14:paraId="40E64B09" w14:textId="77777777" w:rsidR="005204FE" w:rsidRPr="00DC0854" w:rsidRDefault="005B4885" w:rsidP="005204FE">
      <w:p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We believe the following steps, which have been identified by the Commission, are suitable:</w:t>
      </w:r>
    </w:p>
    <w:p w14:paraId="5DD96705" w14:textId="77777777" w:rsidR="005B4885" w:rsidRPr="00DC0854" w:rsidRDefault="005B4885" w:rsidP="005204FE">
      <w:pPr>
        <w:spacing w:line="240" w:lineRule="auto"/>
        <w:rPr>
          <w:rFonts w:eastAsia="Times New Roman" w:cs="Arial"/>
          <w:color w:val="000000"/>
          <w:sz w:val="20"/>
          <w:szCs w:val="20"/>
          <w:lang w:eastAsia="en-AU"/>
        </w:rPr>
      </w:pPr>
    </w:p>
    <w:p w14:paraId="785200FB" w14:textId="77777777" w:rsidR="005B4885" w:rsidRPr="00DC0854" w:rsidRDefault="005B4885" w:rsidP="005B4885">
      <w:pPr>
        <w:pStyle w:val="ListParagraph"/>
        <w:numPr>
          <w:ilvl w:val="0"/>
          <w:numId w:val="16"/>
        </w:num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lastRenderedPageBreak/>
        <w:t>identifying which employees the model would cover</w:t>
      </w:r>
    </w:p>
    <w:p w14:paraId="7CFC9909" w14:textId="77777777" w:rsidR="005B4885" w:rsidRPr="00DC0854" w:rsidRDefault="005B4885" w:rsidP="005B4885">
      <w:pPr>
        <w:pStyle w:val="ListParagraph"/>
        <w:numPr>
          <w:ilvl w:val="0"/>
          <w:numId w:val="16"/>
        </w:num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specifying a competitive process to determine which products are eligible to be used as defaults</w:t>
      </w:r>
    </w:p>
    <w:p w14:paraId="0187F837" w14:textId="77777777" w:rsidR="005B4885" w:rsidRPr="00DC0854" w:rsidRDefault="005B4885" w:rsidP="005B4885">
      <w:pPr>
        <w:pStyle w:val="ListParagraph"/>
        <w:numPr>
          <w:ilvl w:val="0"/>
          <w:numId w:val="16"/>
        </w:num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specifying how employees would be allocated to eligible default products</w:t>
      </w:r>
    </w:p>
    <w:p w14:paraId="584A18E4" w14:textId="77777777" w:rsidR="00873EBD" w:rsidRPr="00DC0854" w:rsidRDefault="005204FE" w:rsidP="00455360">
      <w:pPr>
        <w:pStyle w:val="Heading4"/>
        <w:numPr>
          <w:ilvl w:val="0"/>
          <w:numId w:val="12"/>
        </w:numPr>
        <w:rPr>
          <w:i w:val="0"/>
          <w:color w:val="auto"/>
          <w:sz w:val="20"/>
          <w:szCs w:val="20"/>
          <w:lang w:eastAsia="en-AU" w:bidi="en-US"/>
        </w:rPr>
      </w:pPr>
      <w:r w:rsidRPr="00DC0854">
        <w:rPr>
          <w:i w:val="0"/>
          <w:color w:val="auto"/>
          <w:sz w:val="20"/>
          <w:szCs w:val="20"/>
          <w:lang w:eastAsia="en-AU" w:bidi="en-US"/>
        </w:rPr>
        <w:t>What lessons arise from models used in other countries and sectors? How applicable are these to Australia’s superannuation system?</w:t>
      </w:r>
    </w:p>
    <w:p w14:paraId="2DA9C48A" w14:textId="77777777" w:rsidR="005204FE" w:rsidRPr="00DC0854" w:rsidRDefault="005204FE" w:rsidP="005204FE">
      <w:pPr>
        <w:spacing w:line="240" w:lineRule="auto"/>
        <w:rPr>
          <w:rFonts w:eastAsia="Times New Roman" w:cs="Arial"/>
          <w:color w:val="000000"/>
          <w:sz w:val="20"/>
          <w:szCs w:val="20"/>
          <w:lang w:eastAsia="en-AU"/>
        </w:rPr>
      </w:pPr>
    </w:p>
    <w:p w14:paraId="64E59BAD" w14:textId="77777777" w:rsidR="005204FE" w:rsidRPr="00DC0854" w:rsidRDefault="00E14AA6" w:rsidP="005204FE">
      <w:pPr>
        <w:spacing w:line="240" w:lineRule="auto"/>
        <w:rPr>
          <w:rFonts w:eastAsia="Times New Roman" w:cs="Arial"/>
          <w:i/>
          <w:color w:val="000000"/>
          <w:sz w:val="20"/>
          <w:szCs w:val="20"/>
          <w:lang w:eastAsia="en-AU"/>
        </w:rPr>
      </w:pPr>
      <w:r w:rsidRPr="00DC0854">
        <w:rPr>
          <w:rFonts w:eastAsia="Times New Roman" w:cs="Arial"/>
          <w:i/>
          <w:color w:val="000000"/>
          <w:sz w:val="20"/>
          <w:szCs w:val="20"/>
          <w:lang w:eastAsia="en-AU"/>
        </w:rPr>
        <w:t>Chile</w:t>
      </w:r>
    </w:p>
    <w:p w14:paraId="579228DE" w14:textId="77777777" w:rsidR="008A6C0E" w:rsidRPr="00DC0854" w:rsidRDefault="008A6C0E" w:rsidP="005204FE">
      <w:pPr>
        <w:spacing w:line="240" w:lineRule="auto"/>
        <w:rPr>
          <w:rFonts w:eastAsia="Times New Roman" w:cs="Arial"/>
          <w:color w:val="000000"/>
          <w:sz w:val="20"/>
          <w:szCs w:val="20"/>
          <w:lang w:eastAsia="en-AU"/>
        </w:rPr>
      </w:pPr>
    </w:p>
    <w:p w14:paraId="08282CFE" w14:textId="77777777" w:rsidR="00B930B2" w:rsidRPr="00DC0854" w:rsidRDefault="00B930B2" w:rsidP="00B930B2">
      <w:p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Noting the following observations from Chant West</w:t>
      </w:r>
      <w:r w:rsidRPr="00DC0854">
        <w:rPr>
          <w:rStyle w:val="FootnoteReference"/>
          <w:rFonts w:eastAsia="Times New Roman"/>
          <w:color w:val="000000"/>
          <w:sz w:val="20"/>
          <w:szCs w:val="20"/>
          <w:lang w:eastAsia="en-AU"/>
        </w:rPr>
        <w:footnoteReference w:id="4"/>
      </w:r>
      <w:r w:rsidRPr="00DC0854">
        <w:rPr>
          <w:rFonts w:eastAsia="Times New Roman" w:cs="Arial"/>
          <w:color w:val="000000"/>
          <w:sz w:val="20"/>
          <w:szCs w:val="20"/>
          <w:lang w:eastAsia="en-AU"/>
        </w:rPr>
        <w:t>, we are concerned about the merits of introducing a tender system:</w:t>
      </w:r>
    </w:p>
    <w:p w14:paraId="56446812" w14:textId="77777777" w:rsidR="008A6C0E" w:rsidRPr="00DC0854" w:rsidRDefault="008A6C0E" w:rsidP="00E14AA6">
      <w:pPr>
        <w:spacing w:line="240" w:lineRule="auto"/>
        <w:ind w:left="720"/>
        <w:rPr>
          <w:rFonts w:eastAsia="Times New Roman" w:cs="Arial"/>
          <w:color w:val="000000"/>
          <w:sz w:val="20"/>
          <w:szCs w:val="20"/>
          <w:lang w:eastAsia="en-AU"/>
        </w:rPr>
      </w:pPr>
    </w:p>
    <w:p w14:paraId="5E9015A2" w14:textId="77777777" w:rsidR="00CC348A" w:rsidRPr="00DC0854" w:rsidRDefault="00E14AA6" w:rsidP="00E14AA6">
      <w:pPr>
        <w:spacing w:line="240" w:lineRule="auto"/>
        <w:ind w:left="720"/>
        <w:rPr>
          <w:rFonts w:eastAsia="Times New Roman" w:cs="Arial"/>
          <w:color w:val="000000"/>
          <w:sz w:val="20"/>
          <w:szCs w:val="20"/>
          <w:lang w:eastAsia="en-AU"/>
        </w:rPr>
      </w:pPr>
      <w:r w:rsidRPr="00DC0854">
        <w:rPr>
          <w:rFonts w:eastAsia="Times New Roman" w:cs="Arial"/>
          <w:color w:val="000000"/>
          <w:sz w:val="20"/>
          <w:szCs w:val="20"/>
          <w:lang w:eastAsia="en-AU"/>
        </w:rPr>
        <w:t xml:space="preserve">[We do not] see any merit in the suggestion of a tender process. The initial idea for this came from the Grattan Institute, and grew mainly from their observation of the tender system used in Chile. Grattan claimed that Chile’s default fees are less than one-third of </w:t>
      </w:r>
      <w:proofErr w:type="spellStart"/>
      <w:r w:rsidRPr="00DC0854">
        <w:rPr>
          <w:rFonts w:eastAsia="Times New Roman" w:cs="Arial"/>
          <w:color w:val="000000"/>
          <w:sz w:val="20"/>
          <w:szCs w:val="20"/>
          <w:lang w:eastAsia="en-AU"/>
        </w:rPr>
        <w:t>MySuper</w:t>
      </w:r>
      <w:proofErr w:type="spellEnd"/>
      <w:r w:rsidRPr="00DC0854">
        <w:rPr>
          <w:rFonts w:eastAsia="Times New Roman" w:cs="Arial"/>
          <w:color w:val="000000"/>
          <w:sz w:val="20"/>
          <w:szCs w:val="20"/>
          <w:lang w:eastAsia="en-AU"/>
        </w:rPr>
        <w:t xml:space="preserve"> fees, but it based that claim on analysis that compared ‘apples with oranges’. It only included administration fees for the Chilean funds, but included both administration and investment fees for the Australian </w:t>
      </w:r>
      <w:proofErr w:type="spellStart"/>
      <w:r w:rsidRPr="00DC0854">
        <w:rPr>
          <w:rFonts w:eastAsia="Times New Roman" w:cs="Arial"/>
          <w:color w:val="000000"/>
          <w:sz w:val="20"/>
          <w:szCs w:val="20"/>
          <w:lang w:eastAsia="en-AU"/>
        </w:rPr>
        <w:t>MySuper</w:t>
      </w:r>
      <w:proofErr w:type="spellEnd"/>
      <w:r w:rsidRPr="00DC0854">
        <w:rPr>
          <w:rFonts w:eastAsia="Times New Roman" w:cs="Arial"/>
          <w:color w:val="000000"/>
          <w:sz w:val="20"/>
          <w:szCs w:val="20"/>
          <w:lang w:eastAsia="en-AU"/>
        </w:rPr>
        <w:t xml:space="preserve"> products. </w:t>
      </w:r>
    </w:p>
    <w:p w14:paraId="451F284C" w14:textId="77777777" w:rsidR="00CC348A" w:rsidRPr="00DC0854" w:rsidRDefault="00CC348A" w:rsidP="00E14AA6">
      <w:pPr>
        <w:spacing w:line="240" w:lineRule="auto"/>
        <w:ind w:left="720"/>
        <w:rPr>
          <w:rFonts w:eastAsia="Times New Roman" w:cs="Arial"/>
          <w:color w:val="000000"/>
          <w:sz w:val="20"/>
          <w:szCs w:val="20"/>
          <w:lang w:eastAsia="en-AU"/>
        </w:rPr>
      </w:pPr>
    </w:p>
    <w:p w14:paraId="5759D721" w14:textId="77777777" w:rsidR="00CC348A" w:rsidRPr="00DC0854" w:rsidRDefault="00E14AA6" w:rsidP="00E14AA6">
      <w:pPr>
        <w:spacing w:line="240" w:lineRule="auto"/>
        <w:ind w:left="720"/>
        <w:rPr>
          <w:rFonts w:eastAsia="Times New Roman" w:cs="Arial"/>
          <w:color w:val="000000"/>
          <w:sz w:val="20"/>
          <w:szCs w:val="20"/>
          <w:lang w:eastAsia="en-AU"/>
        </w:rPr>
      </w:pPr>
      <w:r w:rsidRPr="00DC0854">
        <w:rPr>
          <w:rFonts w:eastAsia="Times New Roman" w:cs="Arial"/>
          <w:color w:val="000000"/>
          <w:sz w:val="20"/>
          <w:szCs w:val="20"/>
          <w:lang w:eastAsia="en-AU"/>
        </w:rPr>
        <w:t xml:space="preserve">We would argue that not only did Grattan draw conclusions about fees based on inappropriate data, its tender suggestion ignores the fact that Chile has a very different market structure to Australia. </w:t>
      </w:r>
    </w:p>
    <w:p w14:paraId="6ACD195C" w14:textId="77777777" w:rsidR="00CC348A" w:rsidRPr="00DC0854" w:rsidRDefault="00CC348A" w:rsidP="00E14AA6">
      <w:pPr>
        <w:spacing w:line="240" w:lineRule="auto"/>
        <w:ind w:left="720"/>
        <w:rPr>
          <w:rFonts w:eastAsia="Times New Roman" w:cs="Arial"/>
          <w:color w:val="000000"/>
          <w:sz w:val="20"/>
          <w:szCs w:val="20"/>
          <w:lang w:eastAsia="en-AU"/>
        </w:rPr>
      </w:pPr>
    </w:p>
    <w:p w14:paraId="5952DEB3" w14:textId="77777777" w:rsidR="00CC348A" w:rsidRPr="00DC0854" w:rsidRDefault="00E14AA6" w:rsidP="00E14AA6">
      <w:pPr>
        <w:spacing w:line="240" w:lineRule="auto"/>
        <w:ind w:left="720"/>
        <w:rPr>
          <w:rFonts w:eastAsia="Times New Roman" w:cs="Arial"/>
          <w:color w:val="000000"/>
          <w:sz w:val="20"/>
          <w:szCs w:val="20"/>
          <w:lang w:eastAsia="en-AU"/>
        </w:rPr>
      </w:pPr>
      <w:r w:rsidRPr="00DC0854">
        <w:rPr>
          <w:rFonts w:eastAsia="Times New Roman" w:cs="Arial"/>
          <w:color w:val="000000"/>
          <w:sz w:val="20"/>
          <w:szCs w:val="20"/>
          <w:lang w:eastAsia="en-AU"/>
        </w:rPr>
        <w:t xml:space="preserve">When Chile introduced its tender system in 2010 there were only five pension funds – four very large funds and one small fund. Fees were generally considered to be high because of the lack of competition. The Government introduced the tender system with the objective of increasing competition and reducing administration fees. </w:t>
      </w:r>
    </w:p>
    <w:p w14:paraId="4DE7E264" w14:textId="77777777" w:rsidR="00CC348A" w:rsidRPr="00DC0854" w:rsidRDefault="00CC348A" w:rsidP="00E14AA6">
      <w:pPr>
        <w:spacing w:line="240" w:lineRule="auto"/>
        <w:ind w:left="720"/>
        <w:rPr>
          <w:rFonts w:eastAsia="Times New Roman" w:cs="Arial"/>
          <w:color w:val="000000"/>
          <w:sz w:val="20"/>
          <w:szCs w:val="20"/>
          <w:lang w:eastAsia="en-AU"/>
        </w:rPr>
      </w:pPr>
    </w:p>
    <w:p w14:paraId="53E4E4ED" w14:textId="77777777" w:rsidR="00CC348A" w:rsidRPr="00DC0854" w:rsidRDefault="00E14AA6" w:rsidP="00E14AA6">
      <w:pPr>
        <w:spacing w:line="240" w:lineRule="auto"/>
        <w:ind w:left="720"/>
        <w:rPr>
          <w:rFonts w:eastAsia="Times New Roman" w:cs="Arial"/>
          <w:color w:val="000000"/>
          <w:sz w:val="20"/>
          <w:szCs w:val="20"/>
          <w:lang w:eastAsia="en-AU"/>
        </w:rPr>
      </w:pPr>
      <w:r w:rsidRPr="00DC0854">
        <w:rPr>
          <w:rFonts w:eastAsia="Times New Roman" w:cs="Arial"/>
          <w:color w:val="000000"/>
          <w:sz w:val="20"/>
          <w:szCs w:val="20"/>
          <w:lang w:eastAsia="en-AU"/>
        </w:rPr>
        <w:t xml:space="preserve">Five years on, Chile still has only six pension funds and there are serious doubts as to whether the pricing of the current default fund is sustainable. The Chilean model, therefore, has not increased competition in any meaningful way and it has resulted in a short-term reduction in fees that is likely to be reversed. We do not believe this is a model that Australia should seek to emulate. </w:t>
      </w:r>
    </w:p>
    <w:p w14:paraId="23B7D20A" w14:textId="77777777" w:rsidR="00CC348A" w:rsidRPr="00DC0854" w:rsidRDefault="00CC348A" w:rsidP="00E14AA6">
      <w:pPr>
        <w:spacing w:line="240" w:lineRule="auto"/>
        <w:ind w:left="720"/>
        <w:rPr>
          <w:rFonts w:eastAsia="Times New Roman" w:cs="Arial"/>
          <w:color w:val="000000"/>
          <w:sz w:val="20"/>
          <w:szCs w:val="20"/>
          <w:lang w:eastAsia="en-AU"/>
        </w:rPr>
      </w:pPr>
    </w:p>
    <w:p w14:paraId="5E018606" w14:textId="77777777" w:rsidR="00CC348A" w:rsidRPr="00DC0854" w:rsidRDefault="00E14AA6" w:rsidP="00E14AA6">
      <w:pPr>
        <w:spacing w:line="240" w:lineRule="auto"/>
        <w:ind w:left="720"/>
        <w:rPr>
          <w:rFonts w:eastAsia="Times New Roman" w:cs="Arial"/>
          <w:color w:val="000000"/>
          <w:sz w:val="20"/>
          <w:szCs w:val="20"/>
          <w:lang w:eastAsia="en-AU"/>
        </w:rPr>
      </w:pPr>
      <w:r w:rsidRPr="00DC0854">
        <w:rPr>
          <w:rFonts w:eastAsia="Times New Roman" w:cs="Arial"/>
          <w:color w:val="000000"/>
          <w:sz w:val="20"/>
          <w:szCs w:val="20"/>
          <w:lang w:eastAsia="en-AU"/>
        </w:rPr>
        <w:t xml:space="preserve">Contrast the Chilean market with Australia where, at June 2014, there were 116 </w:t>
      </w:r>
      <w:proofErr w:type="spellStart"/>
      <w:r w:rsidRPr="00DC0854">
        <w:rPr>
          <w:rFonts w:eastAsia="Times New Roman" w:cs="Arial"/>
          <w:color w:val="000000"/>
          <w:sz w:val="20"/>
          <w:szCs w:val="20"/>
          <w:lang w:eastAsia="en-AU"/>
        </w:rPr>
        <w:t>MySuper</w:t>
      </w:r>
      <w:proofErr w:type="spellEnd"/>
      <w:r w:rsidRPr="00DC0854">
        <w:rPr>
          <w:rFonts w:eastAsia="Times New Roman" w:cs="Arial"/>
          <w:color w:val="000000"/>
          <w:sz w:val="20"/>
          <w:szCs w:val="20"/>
          <w:lang w:eastAsia="en-AU"/>
        </w:rPr>
        <w:t xml:space="preserve"> products competing for default superannuation. Of these, 16 had assets over $10 billion and 29 had assets over $5 billion. Clearly, there are enough funds with sufficient scale to generate vigorous price competition. This was not the case in Chile. </w:t>
      </w:r>
    </w:p>
    <w:p w14:paraId="64FCACD8" w14:textId="77777777" w:rsidR="00CC348A" w:rsidRPr="00DC0854" w:rsidRDefault="00CC348A" w:rsidP="00E14AA6">
      <w:pPr>
        <w:spacing w:line="240" w:lineRule="auto"/>
        <w:ind w:left="720"/>
        <w:rPr>
          <w:rFonts w:eastAsia="Times New Roman" w:cs="Arial"/>
          <w:color w:val="000000"/>
          <w:sz w:val="20"/>
          <w:szCs w:val="20"/>
          <w:lang w:eastAsia="en-AU"/>
        </w:rPr>
      </w:pPr>
    </w:p>
    <w:p w14:paraId="4C7FD547" w14:textId="45F11786" w:rsidR="00CC348A" w:rsidRPr="00DC0854" w:rsidRDefault="00E14AA6" w:rsidP="00E14AA6">
      <w:pPr>
        <w:spacing w:line="240" w:lineRule="auto"/>
        <w:ind w:left="720"/>
        <w:rPr>
          <w:rFonts w:eastAsia="Times New Roman" w:cs="Arial"/>
          <w:color w:val="000000"/>
          <w:sz w:val="20"/>
          <w:szCs w:val="20"/>
          <w:lang w:eastAsia="en-AU"/>
        </w:rPr>
      </w:pPr>
      <w:r w:rsidRPr="00DC0854">
        <w:rPr>
          <w:rFonts w:eastAsia="Times New Roman" w:cs="Arial"/>
          <w:color w:val="000000"/>
          <w:sz w:val="20"/>
          <w:szCs w:val="20"/>
          <w:lang w:eastAsia="en-AU"/>
        </w:rPr>
        <w:t xml:space="preserve">From our like-with-like comparison, which is included in the Financial Services Council’s second round submission to the </w:t>
      </w:r>
      <w:r w:rsidR="00D42C90">
        <w:rPr>
          <w:rFonts w:eastAsia="Times New Roman" w:cs="Arial"/>
          <w:color w:val="000000"/>
          <w:sz w:val="20"/>
          <w:szCs w:val="20"/>
          <w:lang w:eastAsia="en-AU"/>
        </w:rPr>
        <w:t xml:space="preserve">[Financial Systems] </w:t>
      </w:r>
      <w:r w:rsidRPr="00DC0854">
        <w:rPr>
          <w:rFonts w:eastAsia="Times New Roman" w:cs="Arial"/>
          <w:color w:val="000000"/>
          <w:sz w:val="20"/>
          <w:szCs w:val="20"/>
          <w:lang w:eastAsia="en-AU"/>
        </w:rPr>
        <w:t xml:space="preserve">Inquiry, it is clear that Australia’s </w:t>
      </w:r>
      <w:proofErr w:type="spellStart"/>
      <w:r w:rsidRPr="00DC0854">
        <w:rPr>
          <w:rFonts w:eastAsia="Times New Roman" w:cs="Arial"/>
          <w:color w:val="000000"/>
          <w:sz w:val="20"/>
          <w:szCs w:val="20"/>
          <w:lang w:eastAsia="en-AU"/>
        </w:rPr>
        <w:t>MySuper</w:t>
      </w:r>
      <w:proofErr w:type="spellEnd"/>
      <w:r w:rsidRPr="00DC0854">
        <w:rPr>
          <w:rFonts w:eastAsia="Times New Roman" w:cs="Arial"/>
          <w:color w:val="000000"/>
          <w:sz w:val="20"/>
          <w:szCs w:val="20"/>
          <w:lang w:eastAsia="en-AU"/>
        </w:rPr>
        <w:t xml:space="preserve"> fees compare more than favourably with Chile’s default fees. </w:t>
      </w:r>
    </w:p>
    <w:p w14:paraId="492E71CB" w14:textId="77777777" w:rsidR="00CC348A" w:rsidRPr="00DC0854" w:rsidRDefault="00CC348A" w:rsidP="00E14AA6">
      <w:pPr>
        <w:spacing w:line="240" w:lineRule="auto"/>
        <w:ind w:left="720"/>
        <w:rPr>
          <w:rFonts w:eastAsia="Times New Roman" w:cs="Arial"/>
          <w:color w:val="000000"/>
          <w:sz w:val="20"/>
          <w:szCs w:val="20"/>
          <w:lang w:eastAsia="en-AU"/>
        </w:rPr>
      </w:pPr>
    </w:p>
    <w:p w14:paraId="15D0525D" w14:textId="77777777" w:rsidR="00CC348A" w:rsidRPr="00DC0854" w:rsidRDefault="00E14AA6" w:rsidP="00E14AA6">
      <w:pPr>
        <w:spacing w:line="240" w:lineRule="auto"/>
        <w:ind w:left="720"/>
        <w:rPr>
          <w:rFonts w:eastAsia="Times New Roman" w:cs="Arial"/>
          <w:color w:val="000000"/>
          <w:sz w:val="20"/>
          <w:szCs w:val="20"/>
          <w:lang w:eastAsia="en-AU"/>
        </w:rPr>
      </w:pPr>
      <w:r w:rsidRPr="00DC0854">
        <w:rPr>
          <w:rFonts w:eastAsia="Times New Roman" w:cs="Arial"/>
          <w:color w:val="000000"/>
          <w:sz w:val="20"/>
          <w:szCs w:val="20"/>
          <w:lang w:eastAsia="en-AU"/>
        </w:rPr>
        <w:t xml:space="preserve">Using OECD methodology, the average </w:t>
      </w:r>
      <w:proofErr w:type="spellStart"/>
      <w:r w:rsidRPr="00DC0854">
        <w:rPr>
          <w:rFonts w:eastAsia="Times New Roman" w:cs="Arial"/>
          <w:color w:val="000000"/>
          <w:sz w:val="20"/>
          <w:szCs w:val="20"/>
          <w:lang w:eastAsia="en-AU"/>
        </w:rPr>
        <w:t>non-profit</w:t>
      </w:r>
      <w:proofErr w:type="spellEnd"/>
      <w:r w:rsidRPr="00DC0854">
        <w:rPr>
          <w:rFonts w:eastAsia="Times New Roman" w:cs="Arial"/>
          <w:color w:val="000000"/>
          <w:sz w:val="20"/>
          <w:szCs w:val="20"/>
          <w:lang w:eastAsia="en-AU"/>
        </w:rPr>
        <w:t xml:space="preserve"> </w:t>
      </w:r>
      <w:proofErr w:type="spellStart"/>
      <w:r w:rsidRPr="00DC0854">
        <w:rPr>
          <w:rFonts w:eastAsia="Times New Roman" w:cs="Arial"/>
          <w:color w:val="000000"/>
          <w:sz w:val="20"/>
          <w:szCs w:val="20"/>
          <w:lang w:eastAsia="en-AU"/>
        </w:rPr>
        <w:t>MySuper</w:t>
      </w:r>
      <w:proofErr w:type="spellEnd"/>
      <w:r w:rsidRPr="00DC0854">
        <w:rPr>
          <w:rFonts w:eastAsia="Times New Roman" w:cs="Arial"/>
          <w:color w:val="000000"/>
          <w:sz w:val="20"/>
          <w:szCs w:val="20"/>
          <w:lang w:eastAsia="en-AU"/>
        </w:rPr>
        <w:t xml:space="preserve"> administration fee is 19 bps compared with 20 bps for the current Chilean default fund. The average </w:t>
      </w:r>
      <w:proofErr w:type="spellStart"/>
      <w:r w:rsidRPr="00DC0854">
        <w:rPr>
          <w:rFonts w:eastAsia="Times New Roman" w:cs="Arial"/>
          <w:color w:val="000000"/>
          <w:sz w:val="20"/>
          <w:szCs w:val="20"/>
          <w:lang w:eastAsia="en-AU"/>
        </w:rPr>
        <w:t>non-profit</w:t>
      </w:r>
      <w:proofErr w:type="spellEnd"/>
      <w:r w:rsidRPr="00DC0854">
        <w:rPr>
          <w:rFonts w:eastAsia="Times New Roman" w:cs="Arial"/>
          <w:color w:val="000000"/>
          <w:sz w:val="20"/>
          <w:szCs w:val="20"/>
          <w:lang w:eastAsia="en-AU"/>
        </w:rPr>
        <w:t xml:space="preserve"> </w:t>
      </w:r>
      <w:proofErr w:type="spellStart"/>
      <w:r w:rsidRPr="00DC0854">
        <w:rPr>
          <w:rFonts w:eastAsia="Times New Roman" w:cs="Arial"/>
          <w:color w:val="000000"/>
          <w:sz w:val="20"/>
          <w:szCs w:val="20"/>
          <w:lang w:eastAsia="en-AU"/>
        </w:rPr>
        <w:t>MySuper</w:t>
      </w:r>
      <w:proofErr w:type="spellEnd"/>
      <w:r w:rsidRPr="00DC0854">
        <w:rPr>
          <w:rFonts w:eastAsia="Times New Roman" w:cs="Arial"/>
          <w:color w:val="000000"/>
          <w:sz w:val="20"/>
          <w:szCs w:val="20"/>
          <w:lang w:eastAsia="en-AU"/>
        </w:rPr>
        <w:t xml:space="preserve"> investment fee is 63 bps compared with 27 bps for the current Chilean default fund. There are valid reasons for the difference in investment fees. Essentially, investment fees in Chile are </w:t>
      </w:r>
      <w:r w:rsidRPr="00DC0854">
        <w:rPr>
          <w:rFonts w:eastAsia="Times New Roman" w:cs="Arial"/>
          <w:color w:val="000000"/>
          <w:sz w:val="20"/>
          <w:szCs w:val="20"/>
          <w:lang w:eastAsia="en-AU"/>
        </w:rPr>
        <w:lastRenderedPageBreak/>
        <w:t xml:space="preserve">much lower because over 55% of assets are managed in-house at very low cost, the vast majority of which are Chilean government bonds. </w:t>
      </w:r>
    </w:p>
    <w:p w14:paraId="0474E4FB" w14:textId="77777777" w:rsidR="00CC348A" w:rsidRPr="00DC0854" w:rsidRDefault="00CC348A" w:rsidP="00E14AA6">
      <w:pPr>
        <w:spacing w:line="240" w:lineRule="auto"/>
        <w:ind w:left="720"/>
        <w:rPr>
          <w:rFonts w:eastAsia="Times New Roman" w:cs="Arial"/>
          <w:color w:val="000000"/>
          <w:sz w:val="20"/>
          <w:szCs w:val="20"/>
          <w:lang w:eastAsia="en-AU"/>
        </w:rPr>
      </w:pPr>
    </w:p>
    <w:p w14:paraId="19595BF3" w14:textId="73F4768D" w:rsidR="00E14AA6" w:rsidRPr="00DC0854" w:rsidRDefault="00E14AA6" w:rsidP="00E14AA6">
      <w:pPr>
        <w:spacing w:line="240" w:lineRule="auto"/>
        <w:ind w:left="720"/>
        <w:rPr>
          <w:rFonts w:eastAsia="Times New Roman" w:cs="Arial"/>
          <w:color w:val="000000"/>
          <w:sz w:val="20"/>
          <w:szCs w:val="20"/>
          <w:lang w:eastAsia="en-AU"/>
        </w:rPr>
      </w:pPr>
      <w:r w:rsidRPr="00DC0854">
        <w:rPr>
          <w:rFonts w:eastAsia="Times New Roman" w:cs="Arial"/>
          <w:color w:val="000000"/>
          <w:sz w:val="20"/>
          <w:szCs w:val="20"/>
          <w:lang w:eastAsia="en-AU"/>
        </w:rPr>
        <w:t>The conclusion we draw is that Australia already has strong price-based competition, and to superimpose a Chile-style tender process would be neither appropriate nor necessary.</w:t>
      </w:r>
    </w:p>
    <w:p w14:paraId="142931DA" w14:textId="77777777" w:rsidR="008A6C0E" w:rsidRPr="00DC0854" w:rsidRDefault="008A6C0E" w:rsidP="00E14AA6">
      <w:pPr>
        <w:spacing w:line="240" w:lineRule="auto"/>
        <w:ind w:left="720"/>
        <w:rPr>
          <w:rFonts w:eastAsia="Times New Roman" w:cs="Arial"/>
          <w:color w:val="000000"/>
          <w:sz w:val="20"/>
          <w:szCs w:val="20"/>
          <w:lang w:eastAsia="en-AU"/>
        </w:rPr>
      </w:pPr>
    </w:p>
    <w:p w14:paraId="0B6A30FF" w14:textId="77777777" w:rsidR="008A6C0E" w:rsidRPr="00DC0854" w:rsidRDefault="00E52C1B" w:rsidP="008A6C0E">
      <w:pPr>
        <w:spacing w:line="240" w:lineRule="auto"/>
        <w:rPr>
          <w:rFonts w:eastAsia="Times New Roman" w:cs="Arial"/>
          <w:i/>
          <w:color w:val="000000"/>
          <w:sz w:val="20"/>
          <w:szCs w:val="20"/>
          <w:lang w:eastAsia="en-AU"/>
        </w:rPr>
      </w:pPr>
      <w:r w:rsidRPr="00DC0854">
        <w:rPr>
          <w:rFonts w:eastAsia="Times New Roman" w:cs="Arial"/>
          <w:i/>
          <w:color w:val="000000"/>
          <w:sz w:val="20"/>
          <w:szCs w:val="20"/>
          <w:lang w:eastAsia="en-AU"/>
        </w:rPr>
        <w:t>New Zealand</w:t>
      </w:r>
    </w:p>
    <w:p w14:paraId="03E64DFA" w14:textId="77777777" w:rsidR="00D344C1" w:rsidRPr="00DC0854" w:rsidRDefault="00D344C1" w:rsidP="005204FE">
      <w:pPr>
        <w:spacing w:line="240" w:lineRule="auto"/>
        <w:rPr>
          <w:rFonts w:eastAsia="Times New Roman" w:cs="Arial"/>
          <w:color w:val="000000"/>
          <w:sz w:val="20"/>
          <w:szCs w:val="20"/>
          <w:lang w:eastAsia="en-AU"/>
        </w:rPr>
      </w:pPr>
    </w:p>
    <w:p w14:paraId="354A3129" w14:textId="6DEAFB5D" w:rsidR="00DE186B" w:rsidRPr="00DC0854" w:rsidRDefault="007E60C2" w:rsidP="005204FE">
      <w:p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W</w:t>
      </w:r>
      <w:r w:rsidR="004101FF" w:rsidRPr="00DC0854">
        <w:rPr>
          <w:rFonts w:eastAsia="Times New Roman" w:cs="Arial"/>
          <w:color w:val="000000"/>
          <w:sz w:val="20"/>
          <w:szCs w:val="20"/>
          <w:lang w:eastAsia="en-AU"/>
        </w:rPr>
        <w:t xml:space="preserve">e are concerned about a process that </w:t>
      </w:r>
      <w:r w:rsidR="003945D5" w:rsidRPr="00DC0854">
        <w:rPr>
          <w:rFonts w:eastAsia="Times New Roman" w:cs="Arial"/>
          <w:color w:val="000000"/>
          <w:sz w:val="20"/>
          <w:szCs w:val="20"/>
          <w:lang w:eastAsia="en-AU"/>
        </w:rPr>
        <w:t xml:space="preserve">prescribes a narrow list of default funds at the national level. While </w:t>
      </w:r>
      <w:r w:rsidR="00525AFA" w:rsidRPr="00DC0854">
        <w:rPr>
          <w:rFonts w:eastAsia="Times New Roman" w:cs="Arial"/>
          <w:color w:val="000000"/>
          <w:sz w:val="20"/>
          <w:szCs w:val="20"/>
          <w:lang w:eastAsia="en-AU"/>
        </w:rPr>
        <w:t xml:space="preserve">many </w:t>
      </w:r>
      <w:r w:rsidR="003945D5" w:rsidRPr="00DC0854">
        <w:rPr>
          <w:rFonts w:eastAsia="Times New Roman" w:cs="Arial"/>
          <w:color w:val="000000"/>
          <w:sz w:val="20"/>
          <w:szCs w:val="20"/>
          <w:lang w:eastAsia="en-AU"/>
        </w:rPr>
        <w:t xml:space="preserve">employers </w:t>
      </w:r>
      <w:r w:rsidR="00525AFA" w:rsidRPr="00DC0854">
        <w:rPr>
          <w:rFonts w:eastAsia="Times New Roman" w:cs="Arial"/>
          <w:color w:val="000000"/>
          <w:sz w:val="20"/>
          <w:szCs w:val="20"/>
          <w:lang w:eastAsia="en-AU"/>
        </w:rPr>
        <w:t xml:space="preserve">don’t </w:t>
      </w:r>
      <w:r w:rsidR="003945D5" w:rsidRPr="00DC0854">
        <w:rPr>
          <w:rFonts w:eastAsia="Times New Roman" w:cs="Arial"/>
          <w:color w:val="000000"/>
          <w:sz w:val="20"/>
          <w:szCs w:val="20"/>
          <w:lang w:eastAsia="en-AU"/>
        </w:rPr>
        <w:t>have expertise in assessing superannuation, they know their employee base better than government.</w:t>
      </w:r>
      <w:r w:rsidR="00525AFA" w:rsidRPr="00DC0854">
        <w:rPr>
          <w:rFonts w:eastAsia="Times New Roman" w:cs="Arial"/>
          <w:color w:val="000000"/>
          <w:sz w:val="20"/>
          <w:szCs w:val="20"/>
          <w:lang w:eastAsia="en-AU"/>
        </w:rPr>
        <w:t xml:space="preserve"> Further, it is possible </w:t>
      </w:r>
      <w:r w:rsidR="00EC1620" w:rsidRPr="00DC0854">
        <w:rPr>
          <w:rFonts w:eastAsia="Times New Roman" w:cs="Arial"/>
          <w:color w:val="000000"/>
          <w:sz w:val="20"/>
          <w:szCs w:val="20"/>
          <w:lang w:eastAsia="en-AU"/>
        </w:rPr>
        <w:t xml:space="preserve">for employers </w:t>
      </w:r>
      <w:r w:rsidR="00525AFA" w:rsidRPr="00DC0854">
        <w:rPr>
          <w:rFonts w:eastAsia="Times New Roman" w:cs="Arial"/>
          <w:color w:val="000000"/>
          <w:sz w:val="20"/>
          <w:szCs w:val="20"/>
          <w:lang w:eastAsia="en-AU"/>
        </w:rPr>
        <w:t xml:space="preserve">to access </w:t>
      </w:r>
      <w:r w:rsidR="00496CE6">
        <w:rPr>
          <w:rFonts w:eastAsia="Times New Roman" w:cs="Arial"/>
          <w:color w:val="000000"/>
          <w:sz w:val="20"/>
          <w:szCs w:val="20"/>
          <w:lang w:eastAsia="en-AU"/>
        </w:rPr>
        <w:t>such</w:t>
      </w:r>
      <w:r w:rsidR="00525AFA" w:rsidRPr="00DC0854">
        <w:rPr>
          <w:rFonts w:eastAsia="Times New Roman" w:cs="Arial"/>
          <w:color w:val="000000"/>
          <w:sz w:val="20"/>
          <w:szCs w:val="20"/>
          <w:lang w:eastAsia="en-AU"/>
        </w:rPr>
        <w:t xml:space="preserve"> expertise.</w:t>
      </w:r>
    </w:p>
    <w:p w14:paraId="7A4CB45A" w14:textId="77777777" w:rsidR="007C0CD4" w:rsidRPr="00DC0854" w:rsidRDefault="007C0CD4" w:rsidP="005204FE">
      <w:pPr>
        <w:spacing w:line="240" w:lineRule="auto"/>
        <w:rPr>
          <w:rFonts w:eastAsia="Times New Roman" w:cs="Arial"/>
          <w:color w:val="000000"/>
          <w:sz w:val="20"/>
          <w:szCs w:val="20"/>
          <w:lang w:eastAsia="en-AU"/>
        </w:rPr>
      </w:pPr>
    </w:p>
    <w:p w14:paraId="55FD41BF" w14:textId="237D9305" w:rsidR="0073675A" w:rsidRPr="00DC0854" w:rsidRDefault="0073675A" w:rsidP="005204FE">
      <w:pPr>
        <w:spacing w:line="240" w:lineRule="auto"/>
        <w:rPr>
          <w:rFonts w:eastAsia="Times New Roman" w:cs="Arial"/>
          <w:color w:val="000000"/>
          <w:sz w:val="20"/>
          <w:szCs w:val="20"/>
          <w:lang w:eastAsia="en-AU"/>
        </w:rPr>
      </w:pPr>
      <w:r w:rsidRPr="00DC0854">
        <w:rPr>
          <w:rFonts w:eastAsia="Times New Roman" w:cs="Arial"/>
          <w:i/>
          <w:color w:val="000000"/>
          <w:sz w:val="20"/>
          <w:szCs w:val="20"/>
          <w:lang w:eastAsia="en-AU"/>
        </w:rPr>
        <w:t>Sweden</w:t>
      </w:r>
    </w:p>
    <w:p w14:paraId="1D087FB6" w14:textId="77777777" w:rsidR="006F0877" w:rsidRPr="00DC0854" w:rsidRDefault="006F0877" w:rsidP="005204FE">
      <w:pPr>
        <w:spacing w:line="240" w:lineRule="auto"/>
        <w:rPr>
          <w:rFonts w:eastAsia="Times New Roman" w:cs="Arial"/>
          <w:color w:val="000000"/>
          <w:sz w:val="20"/>
          <w:szCs w:val="20"/>
          <w:lang w:eastAsia="en-AU"/>
        </w:rPr>
      </w:pPr>
    </w:p>
    <w:p w14:paraId="6A1821B0" w14:textId="1D5B5A55" w:rsidR="001035DB" w:rsidRPr="00DC0854" w:rsidRDefault="0073675A" w:rsidP="005204FE">
      <w:p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 xml:space="preserve">We are concerned about the efficiency of a government-run scheme. </w:t>
      </w:r>
      <w:r w:rsidR="001035DB" w:rsidRPr="00DC0854">
        <w:rPr>
          <w:rFonts w:eastAsia="Times New Roman" w:cs="Arial"/>
          <w:color w:val="000000"/>
          <w:sz w:val="20"/>
          <w:szCs w:val="20"/>
          <w:lang w:eastAsia="en-AU"/>
        </w:rPr>
        <w:t xml:space="preserve">While the fact that most employees in Sweden choose the default scheme shows the fund’s value, </w:t>
      </w:r>
      <w:r w:rsidR="005978C6" w:rsidRPr="00DC0854">
        <w:rPr>
          <w:rFonts w:eastAsia="Times New Roman" w:cs="Arial"/>
          <w:color w:val="000000"/>
          <w:sz w:val="20"/>
          <w:szCs w:val="20"/>
          <w:lang w:eastAsia="en-AU"/>
        </w:rPr>
        <w:t>we question whether overall economic efficiency wouldn’t be improved if investors could choose where the</w:t>
      </w:r>
      <w:r w:rsidR="00147D10">
        <w:rPr>
          <w:rFonts w:eastAsia="Times New Roman" w:cs="Arial"/>
          <w:color w:val="000000"/>
          <w:sz w:val="20"/>
          <w:szCs w:val="20"/>
          <w:lang w:eastAsia="en-AU"/>
        </w:rPr>
        <w:t>ir</w:t>
      </w:r>
      <w:r w:rsidR="005978C6" w:rsidRPr="00DC0854">
        <w:rPr>
          <w:rFonts w:eastAsia="Times New Roman" w:cs="Arial"/>
          <w:color w:val="000000"/>
          <w:sz w:val="20"/>
          <w:szCs w:val="20"/>
          <w:lang w:eastAsia="en-AU"/>
        </w:rPr>
        <w:t xml:space="preserve"> capital is invested (rather than having that decision dictated through government policy and the taxation system)</w:t>
      </w:r>
      <w:r w:rsidR="008A15F4" w:rsidRPr="00DC0854">
        <w:rPr>
          <w:rFonts w:eastAsia="Times New Roman" w:cs="Arial"/>
          <w:color w:val="000000"/>
          <w:sz w:val="20"/>
          <w:szCs w:val="20"/>
          <w:lang w:eastAsia="en-AU"/>
        </w:rPr>
        <w:t>.</w:t>
      </w:r>
    </w:p>
    <w:p w14:paraId="3AD13C19" w14:textId="77777777" w:rsidR="001035DB" w:rsidRPr="00DC0854" w:rsidRDefault="001035DB" w:rsidP="005204FE">
      <w:pPr>
        <w:spacing w:line="240" w:lineRule="auto"/>
        <w:rPr>
          <w:rFonts w:eastAsia="Times New Roman" w:cs="Arial"/>
          <w:color w:val="000000"/>
          <w:sz w:val="20"/>
          <w:szCs w:val="20"/>
          <w:lang w:eastAsia="en-AU"/>
        </w:rPr>
      </w:pPr>
    </w:p>
    <w:p w14:paraId="07FB58C9" w14:textId="77777777" w:rsidR="0073675A" w:rsidRPr="00DC0854" w:rsidRDefault="0073675A" w:rsidP="005204FE">
      <w:p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While</w:t>
      </w:r>
      <w:r w:rsidR="00AF29A8" w:rsidRPr="00DC0854">
        <w:rPr>
          <w:rFonts w:eastAsia="Times New Roman" w:cs="Arial"/>
          <w:color w:val="000000"/>
          <w:sz w:val="20"/>
          <w:szCs w:val="20"/>
          <w:lang w:eastAsia="en-AU"/>
        </w:rPr>
        <w:t xml:space="preserve"> having</w:t>
      </w:r>
      <w:r w:rsidRPr="00DC0854">
        <w:rPr>
          <w:rFonts w:eastAsia="Times New Roman" w:cs="Arial"/>
          <w:color w:val="000000"/>
          <w:sz w:val="20"/>
          <w:szCs w:val="20"/>
          <w:lang w:eastAsia="en-AU"/>
        </w:rPr>
        <w:t xml:space="preserve"> </w:t>
      </w:r>
      <w:r w:rsidR="00AF29A8" w:rsidRPr="00DC0854">
        <w:rPr>
          <w:rFonts w:eastAsia="Times New Roman" w:cs="Arial"/>
          <w:color w:val="000000"/>
          <w:sz w:val="20"/>
          <w:szCs w:val="20"/>
          <w:lang w:eastAsia="en-AU"/>
        </w:rPr>
        <w:t xml:space="preserve">a single default </w:t>
      </w:r>
      <w:r w:rsidR="0003033F" w:rsidRPr="00DC0854">
        <w:rPr>
          <w:rFonts w:eastAsia="Times New Roman" w:cs="Arial"/>
          <w:color w:val="000000"/>
          <w:sz w:val="20"/>
          <w:szCs w:val="20"/>
          <w:lang w:eastAsia="en-AU"/>
        </w:rPr>
        <w:t>scheme</w:t>
      </w:r>
      <w:r w:rsidR="00AF29A8" w:rsidRPr="00DC0854">
        <w:rPr>
          <w:rFonts w:eastAsia="Times New Roman" w:cs="Arial"/>
          <w:color w:val="000000"/>
          <w:sz w:val="20"/>
          <w:szCs w:val="20"/>
          <w:lang w:eastAsia="en-AU"/>
        </w:rPr>
        <w:t xml:space="preserve"> mi</w:t>
      </w:r>
      <w:r w:rsidR="0003033F" w:rsidRPr="00DC0854">
        <w:rPr>
          <w:rFonts w:eastAsia="Times New Roman" w:cs="Arial"/>
          <w:color w:val="000000"/>
          <w:sz w:val="20"/>
          <w:szCs w:val="20"/>
          <w:lang w:eastAsia="en-AU"/>
        </w:rPr>
        <w:t xml:space="preserve">ght achieve economies of scale and the risk of that scheme dominating the market might be best dealt with by government, </w:t>
      </w:r>
      <w:r w:rsidR="00804A95" w:rsidRPr="00DC0854">
        <w:rPr>
          <w:rFonts w:eastAsia="Times New Roman" w:cs="Arial"/>
          <w:color w:val="000000"/>
          <w:sz w:val="20"/>
          <w:szCs w:val="20"/>
          <w:lang w:eastAsia="en-AU"/>
        </w:rPr>
        <w:t xml:space="preserve">it is at least possible that optimal scale can be achieved by private providers. Optimal scale might be achieved through removing </w:t>
      </w:r>
      <w:proofErr w:type="spellStart"/>
      <w:r w:rsidR="00804A95" w:rsidRPr="00DC0854">
        <w:rPr>
          <w:rFonts w:eastAsia="Times New Roman" w:cs="Arial"/>
          <w:color w:val="000000"/>
          <w:sz w:val="20"/>
          <w:szCs w:val="20"/>
          <w:lang w:eastAsia="en-AU"/>
        </w:rPr>
        <w:t>anti-competitive</w:t>
      </w:r>
      <w:proofErr w:type="spellEnd"/>
      <w:r w:rsidR="00804A95" w:rsidRPr="00DC0854">
        <w:rPr>
          <w:rFonts w:eastAsia="Times New Roman" w:cs="Arial"/>
          <w:color w:val="000000"/>
          <w:sz w:val="20"/>
          <w:szCs w:val="20"/>
          <w:lang w:eastAsia="en-AU"/>
        </w:rPr>
        <w:t xml:space="preserve"> arrangements that allow sub-scale funds to continue.</w:t>
      </w:r>
    </w:p>
    <w:p w14:paraId="5089D85B" w14:textId="77777777" w:rsidR="00B40E43" w:rsidRPr="00DC0854" w:rsidRDefault="00B40E43" w:rsidP="005204FE">
      <w:pPr>
        <w:spacing w:line="240" w:lineRule="auto"/>
        <w:rPr>
          <w:rFonts w:eastAsia="Times New Roman" w:cs="Arial"/>
          <w:color w:val="000000"/>
          <w:sz w:val="20"/>
          <w:szCs w:val="20"/>
          <w:lang w:eastAsia="en-AU"/>
        </w:rPr>
      </w:pPr>
    </w:p>
    <w:p w14:paraId="533E03E2" w14:textId="77777777" w:rsidR="00B40E43" w:rsidRPr="00DC0854" w:rsidRDefault="00A27A01" w:rsidP="005204FE">
      <w:p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Similarly, any benefits of a not-for-profit operating model can be achieved through a regulatory environment that doesn’t create disproportionate barriers for such providers</w:t>
      </w:r>
      <w:r w:rsidR="006D0AD6" w:rsidRPr="00DC0854">
        <w:rPr>
          <w:rFonts w:eastAsia="Times New Roman" w:cs="Arial"/>
          <w:color w:val="000000"/>
          <w:sz w:val="20"/>
          <w:szCs w:val="20"/>
          <w:lang w:eastAsia="en-AU"/>
        </w:rPr>
        <w:t xml:space="preserve"> to participate in the market</w:t>
      </w:r>
      <w:r w:rsidRPr="00DC0854">
        <w:rPr>
          <w:rFonts w:eastAsia="Times New Roman" w:cs="Arial"/>
          <w:color w:val="000000"/>
          <w:sz w:val="20"/>
          <w:szCs w:val="20"/>
          <w:lang w:eastAsia="en-AU"/>
        </w:rPr>
        <w:t>.</w:t>
      </w:r>
    </w:p>
    <w:p w14:paraId="0D27D35D" w14:textId="77777777" w:rsidR="00BE718D" w:rsidRPr="00DC0854" w:rsidRDefault="00BE718D" w:rsidP="005204FE">
      <w:pPr>
        <w:spacing w:line="240" w:lineRule="auto"/>
        <w:rPr>
          <w:rFonts w:eastAsia="Times New Roman" w:cs="Arial"/>
          <w:color w:val="000000"/>
          <w:sz w:val="20"/>
          <w:szCs w:val="20"/>
          <w:lang w:eastAsia="en-AU"/>
        </w:rPr>
      </w:pPr>
    </w:p>
    <w:p w14:paraId="4BE45D98" w14:textId="77777777" w:rsidR="00BE718D" w:rsidRPr="00DC0854" w:rsidRDefault="009A0CAB" w:rsidP="005204FE">
      <w:pPr>
        <w:spacing w:line="240" w:lineRule="auto"/>
        <w:rPr>
          <w:rFonts w:eastAsia="Times New Roman" w:cs="Arial"/>
          <w:i/>
          <w:color w:val="000000"/>
          <w:sz w:val="20"/>
          <w:szCs w:val="20"/>
          <w:lang w:eastAsia="en-AU"/>
        </w:rPr>
      </w:pPr>
      <w:r w:rsidRPr="00DC0854">
        <w:rPr>
          <w:rFonts w:eastAsia="Times New Roman" w:cs="Arial"/>
          <w:i/>
          <w:color w:val="000000"/>
          <w:sz w:val="20"/>
          <w:szCs w:val="20"/>
          <w:lang w:eastAsia="en-AU"/>
        </w:rPr>
        <w:t>United Kingdom</w:t>
      </w:r>
    </w:p>
    <w:p w14:paraId="12E75CA6" w14:textId="77777777" w:rsidR="009A0CAB" w:rsidRPr="00DC0854" w:rsidRDefault="009A0CAB" w:rsidP="005204FE">
      <w:pPr>
        <w:spacing w:line="240" w:lineRule="auto"/>
        <w:rPr>
          <w:rFonts w:eastAsia="Times New Roman" w:cs="Arial"/>
          <w:i/>
          <w:color w:val="000000"/>
          <w:sz w:val="20"/>
          <w:szCs w:val="20"/>
          <w:lang w:eastAsia="en-AU"/>
        </w:rPr>
      </w:pPr>
    </w:p>
    <w:p w14:paraId="50DA0A45" w14:textId="18F99A93" w:rsidR="009A0CAB" w:rsidRPr="00DC0854" w:rsidRDefault="007E60C2" w:rsidP="005204FE">
      <w:p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W</w:t>
      </w:r>
      <w:r w:rsidR="00B40E43" w:rsidRPr="00DC0854">
        <w:rPr>
          <w:rFonts w:eastAsia="Times New Roman" w:cs="Arial"/>
          <w:color w:val="000000"/>
          <w:sz w:val="20"/>
          <w:szCs w:val="20"/>
          <w:lang w:eastAsia="en-AU"/>
        </w:rPr>
        <w:t xml:space="preserve">e are </w:t>
      </w:r>
      <w:r w:rsidR="00B27E21" w:rsidRPr="00DC0854">
        <w:rPr>
          <w:rFonts w:eastAsia="Times New Roman" w:cs="Arial"/>
          <w:color w:val="000000"/>
          <w:sz w:val="20"/>
          <w:szCs w:val="20"/>
          <w:lang w:eastAsia="en-AU"/>
        </w:rPr>
        <w:t xml:space="preserve">again </w:t>
      </w:r>
      <w:r w:rsidR="00B40E43" w:rsidRPr="00DC0854">
        <w:rPr>
          <w:rFonts w:eastAsia="Times New Roman" w:cs="Arial"/>
          <w:color w:val="000000"/>
          <w:sz w:val="20"/>
          <w:szCs w:val="20"/>
          <w:lang w:eastAsia="en-AU"/>
        </w:rPr>
        <w:t>concerned</w:t>
      </w:r>
      <w:r w:rsidR="00B27E21" w:rsidRPr="00DC0854">
        <w:rPr>
          <w:rFonts w:eastAsia="Times New Roman" w:cs="Arial"/>
          <w:color w:val="000000"/>
          <w:sz w:val="20"/>
          <w:szCs w:val="20"/>
          <w:lang w:eastAsia="en-AU"/>
        </w:rPr>
        <w:t>, for the reasons already discussed,</w:t>
      </w:r>
      <w:r w:rsidR="00B40E43" w:rsidRPr="00DC0854">
        <w:rPr>
          <w:rFonts w:eastAsia="Times New Roman" w:cs="Arial"/>
          <w:color w:val="000000"/>
          <w:sz w:val="20"/>
          <w:szCs w:val="20"/>
          <w:lang w:eastAsia="en-AU"/>
        </w:rPr>
        <w:t xml:space="preserve"> about governments providing superannuation other than to its employees. </w:t>
      </w:r>
    </w:p>
    <w:p w14:paraId="57C8DB39" w14:textId="77777777" w:rsidR="003945D5" w:rsidRPr="00DC0854" w:rsidRDefault="003945D5" w:rsidP="005204FE">
      <w:pPr>
        <w:spacing w:line="240" w:lineRule="auto"/>
        <w:rPr>
          <w:rFonts w:eastAsia="Times New Roman" w:cs="Arial"/>
          <w:color w:val="000000"/>
          <w:sz w:val="20"/>
          <w:szCs w:val="20"/>
          <w:lang w:eastAsia="en-AU"/>
        </w:rPr>
      </w:pPr>
    </w:p>
    <w:p w14:paraId="4F8EF199" w14:textId="77777777" w:rsidR="00D344C1" w:rsidRPr="00DC0854" w:rsidRDefault="00D344C1" w:rsidP="00D344C1">
      <w:pPr>
        <w:pStyle w:val="Heading3"/>
        <w:rPr>
          <w:b/>
          <w:i w:val="0"/>
          <w:szCs w:val="22"/>
        </w:rPr>
      </w:pPr>
      <w:r w:rsidRPr="00DC0854">
        <w:rPr>
          <w:b/>
          <w:i w:val="0"/>
          <w:szCs w:val="22"/>
        </w:rPr>
        <w:t>Step 1: Identifying employees</w:t>
      </w:r>
    </w:p>
    <w:p w14:paraId="39D756E5" w14:textId="77777777" w:rsidR="003E661A" w:rsidRPr="00DC0854" w:rsidRDefault="003E661A" w:rsidP="00455360">
      <w:pPr>
        <w:pStyle w:val="Heading4"/>
        <w:numPr>
          <w:ilvl w:val="0"/>
          <w:numId w:val="12"/>
        </w:numPr>
        <w:rPr>
          <w:i w:val="0"/>
          <w:color w:val="auto"/>
          <w:sz w:val="20"/>
          <w:szCs w:val="20"/>
          <w:lang w:eastAsia="en-AU" w:bidi="en-US"/>
        </w:rPr>
      </w:pPr>
      <w:r w:rsidRPr="00DC0854">
        <w:rPr>
          <w:i w:val="0"/>
          <w:color w:val="auto"/>
          <w:sz w:val="20"/>
          <w:szCs w:val="20"/>
          <w:lang w:eastAsia="en-AU" w:bidi="en-US"/>
        </w:rPr>
        <w:t>Which employees should be covered by the new default allocation model? Should any employee groups be exempt?</w:t>
      </w:r>
    </w:p>
    <w:p w14:paraId="152D60A4" w14:textId="77777777" w:rsidR="003E661A" w:rsidRPr="00DC0854" w:rsidRDefault="003E661A" w:rsidP="003E661A">
      <w:pPr>
        <w:spacing w:line="240" w:lineRule="auto"/>
        <w:rPr>
          <w:rFonts w:eastAsia="Times New Roman" w:cs="Arial"/>
          <w:color w:val="000000"/>
          <w:sz w:val="20"/>
          <w:szCs w:val="20"/>
          <w:lang w:eastAsia="en-AU"/>
        </w:rPr>
      </w:pPr>
    </w:p>
    <w:p w14:paraId="08E13811" w14:textId="54A539BB" w:rsidR="003E661A" w:rsidRPr="00DC0854" w:rsidRDefault="00847A3E" w:rsidP="003E661A">
      <w:p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Ideally,</w:t>
      </w:r>
      <w:r w:rsidR="00897ED3" w:rsidRPr="00DC0854">
        <w:rPr>
          <w:rFonts w:eastAsia="Times New Roman" w:cs="Arial"/>
          <w:color w:val="000000"/>
          <w:sz w:val="20"/>
          <w:szCs w:val="20"/>
          <w:lang w:eastAsia="en-AU"/>
        </w:rPr>
        <w:t xml:space="preserve"> no employees should be exempt. However, there are difficulties </w:t>
      </w:r>
      <w:r w:rsidR="0031398F" w:rsidRPr="00DC0854">
        <w:rPr>
          <w:rFonts w:eastAsia="Times New Roman" w:cs="Arial"/>
          <w:color w:val="000000"/>
          <w:sz w:val="20"/>
          <w:szCs w:val="20"/>
          <w:lang w:eastAsia="en-AU"/>
        </w:rPr>
        <w:t>where the number of eligible default funds is small</w:t>
      </w:r>
      <w:r w:rsidR="00897ED3" w:rsidRPr="00DC0854">
        <w:rPr>
          <w:rFonts w:eastAsia="Times New Roman" w:cs="Arial"/>
          <w:color w:val="000000"/>
          <w:sz w:val="20"/>
          <w:szCs w:val="20"/>
          <w:lang w:eastAsia="en-AU"/>
        </w:rPr>
        <w:t xml:space="preserve">. For example, defined benefit funds with highly tailored plan designs, legal and funding arrangements and legacy issues are unlikely to be accommodated by new providers. </w:t>
      </w:r>
      <w:r w:rsidR="00313FA6">
        <w:rPr>
          <w:rFonts w:eastAsia="Times New Roman" w:cs="Arial"/>
          <w:color w:val="000000"/>
          <w:sz w:val="20"/>
          <w:szCs w:val="20"/>
          <w:lang w:eastAsia="en-AU"/>
        </w:rPr>
        <w:t>This outcome may not be in the interests of existing members.</w:t>
      </w:r>
    </w:p>
    <w:p w14:paraId="43309867" w14:textId="77777777" w:rsidR="00897ED3" w:rsidRPr="00DC0854" w:rsidRDefault="00897ED3" w:rsidP="003E661A">
      <w:pPr>
        <w:spacing w:line="240" w:lineRule="auto"/>
        <w:rPr>
          <w:rFonts w:eastAsia="Times New Roman" w:cs="Arial"/>
          <w:color w:val="000000"/>
          <w:sz w:val="20"/>
          <w:szCs w:val="20"/>
          <w:lang w:eastAsia="en-AU"/>
        </w:rPr>
      </w:pPr>
    </w:p>
    <w:p w14:paraId="26964E91" w14:textId="692CA6D8" w:rsidR="00A70217" w:rsidRPr="00DC0854" w:rsidRDefault="00A70217" w:rsidP="00DC0854">
      <w:p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 xml:space="preserve">Our preferred model of an employer choosing their employees’ default fund (and re-considering their decision on a regular basis or when relevant circumstances – e.g. a substantial change in the demographic </w:t>
      </w:r>
      <w:proofErr w:type="spellStart"/>
      <w:r w:rsidRPr="00DC0854">
        <w:rPr>
          <w:rFonts w:eastAsia="Times New Roman" w:cs="Arial"/>
          <w:color w:val="000000"/>
          <w:sz w:val="20"/>
          <w:szCs w:val="20"/>
          <w:lang w:eastAsia="en-AU"/>
        </w:rPr>
        <w:t>make-up</w:t>
      </w:r>
      <w:proofErr w:type="spellEnd"/>
      <w:r w:rsidRPr="00DC0854">
        <w:rPr>
          <w:rFonts w:eastAsia="Times New Roman" w:cs="Arial"/>
          <w:color w:val="000000"/>
          <w:sz w:val="20"/>
          <w:szCs w:val="20"/>
          <w:lang w:eastAsia="en-AU"/>
        </w:rPr>
        <w:t xml:space="preserve"> of the employee base happens) would overcome these difficulties. This is because the appropriateness of the fund would be assessed based on the circumstances of the particular employee base rather than </w:t>
      </w:r>
      <w:r w:rsidR="00313FA6">
        <w:rPr>
          <w:rFonts w:eastAsia="Times New Roman" w:cs="Arial"/>
          <w:color w:val="000000"/>
          <w:sz w:val="20"/>
          <w:szCs w:val="20"/>
          <w:lang w:eastAsia="en-AU"/>
        </w:rPr>
        <w:t xml:space="preserve">on </w:t>
      </w:r>
      <w:r w:rsidRPr="00DC0854">
        <w:rPr>
          <w:rFonts w:eastAsia="Times New Roman" w:cs="Arial"/>
          <w:color w:val="000000"/>
          <w:sz w:val="20"/>
          <w:szCs w:val="20"/>
          <w:lang w:eastAsia="en-AU"/>
        </w:rPr>
        <w:t>an abstract rule.</w:t>
      </w:r>
    </w:p>
    <w:p w14:paraId="2E4B0CE7" w14:textId="77777777" w:rsidR="00D344C1" w:rsidRPr="00DC0854" w:rsidRDefault="003E661A" w:rsidP="00455360">
      <w:pPr>
        <w:pStyle w:val="Heading4"/>
        <w:numPr>
          <w:ilvl w:val="0"/>
          <w:numId w:val="12"/>
        </w:numPr>
        <w:rPr>
          <w:i w:val="0"/>
          <w:color w:val="auto"/>
          <w:sz w:val="20"/>
          <w:szCs w:val="20"/>
          <w:lang w:eastAsia="en-AU" w:bidi="en-US"/>
        </w:rPr>
      </w:pPr>
      <w:r w:rsidRPr="00DC0854">
        <w:rPr>
          <w:i w:val="0"/>
          <w:color w:val="auto"/>
          <w:sz w:val="20"/>
          <w:szCs w:val="20"/>
          <w:lang w:eastAsia="en-AU" w:bidi="en-US"/>
        </w:rPr>
        <w:t>Should there be any flow-on effects for existing default members from any new default allocation model?</w:t>
      </w:r>
    </w:p>
    <w:p w14:paraId="103ACBE5" w14:textId="77777777" w:rsidR="003E661A" w:rsidRPr="00C10005" w:rsidRDefault="003E661A" w:rsidP="003E661A">
      <w:pPr>
        <w:spacing w:line="240" w:lineRule="auto"/>
        <w:rPr>
          <w:rFonts w:eastAsia="Times New Roman" w:cs="Arial"/>
          <w:color w:val="000000"/>
          <w:sz w:val="20"/>
          <w:szCs w:val="20"/>
          <w:lang w:eastAsia="en-AU"/>
        </w:rPr>
      </w:pPr>
    </w:p>
    <w:p w14:paraId="4D5156C1" w14:textId="3E0F09DC" w:rsidR="00B6751E" w:rsidRPr="00C10005" w:rsidRDefault="00661513" w:rsidP="003E661A">
      <w:pPr>
        <w:spacing w:line="240" w:lineRule="auto"/>
        <w:rPr>
          <w:rFonts w:eastAsia="Times New Roman" w:cs="Arial"/>
          <w:color w:val="000000"/>
          <w:sz w:val="20"/>
          <w:szCs w:val="20"/>
          <w:lang w:eastAsia="en-AU"/>
        </w:rPr>
      </w:pPr>
      <w:r w:rsidRPr="00C10005">
        <w:rPr>
          <w:rFonts w:eastAsia="Times New Roman" w:cs="Arial"/>
          <w:color w:val="000000"/>
          <w:sz w:val="20"/>
          <w:szCs w:val="20"/>
          <w:lang w:eastAsia="en-AU"/>
        </w:rPr>
        <w:t xml:space="preserve">Again, there are practical challenges raised by the more centralised models. For example, it might be desirable for existing default funds to be upgraded to at least the level of the government-prescribed default funds if the latter are assessed </w:t>
      </w:r>
      <w:r w:rsidR="00EC7734" w:rsidRPr="00C10005">
        <w:rPr>
          <w:rFonts w:eastAsia="Times New Roman" w:cs="Arial"/>
          <w:color w:val="000000"/>
          <w:sz w:val="20"/>
          <w:szCs w:val="20"/>
          <w:lang w:eastAsia="en-AU"/>
        </w:rPr>
        <w:t xml:space="preserve">as </w:t>
      </w:r>
      <w:r w:rsidRPr="00C10005">
        <w:rPr>
          <w:rFonts w:eastAsia="Times New Roman" w:cs="Arial"/>
          <w:color w:val="000000"/>
          <w:sz w:val="20"/>
          <w:szCs w:val="20"/>
          <w:lang w:eastAsia="en-AU"/>
        </w:rPr>
        <w:t>being more favourable.</w:t>
      </w:r>
      <w:r w:rsidR="005179F4" w:rsidRPr="00C10005">
        <w:rPr>
          <w:rFonts w:eastAsia="Times New Roman" w:cs="Arial"/>
          <w:color w:val="000000"/>
          <w:sz w:val="20"/>
          <w:szCs w:val="20"/>
          <w:lang w:eastAsia="en-AU"/>
        </w:rPr>
        <w:t xml:space="preserve"> However, existing funds are likely to </w:t>
      </w:r>
      <w:r w:rsidR="005179F4" w:rsidRPr="00C10005">
        <w:rPr>
          <w:rFonts w:eastAsia="Times New Roman" w:cs="Arial"/>
          <w:color w:val="000000"/>
          <w:sz w:val="20"/>
          <w:szCs w:val="20"/>
          <w:lang w:eastAsia="en-AU"/>
        </w:rPr>
        <w:lastRenderedPageBreak/>
        <w:t xml:space="preserve">downgrade </w:t>
      </w:r>
      <w:r w:rsidR="001E683E" w:rsidRPr="00C10005">
        <w:rPr>
          <w:rFonts w:eastAsia="Times New Roman" w:cs="Arial"/>
          <w:color w:val="000000"/>
          <w:sz w:val="20"/>
          <w:szCs w:val="20"/>
          <w:lang w:eastAsia="en-AU"/>
        </w:rPr>
        <w:t>product quality in the areas they can</w:t>
      </w:r>
      <w:r w:rsidR="005179F4" w:rsidRPr="00C10005">
        <w:rPr>
          <w:rFonts w:eastAsia="Times New Roman" w:cs="Arial"/>
          <w:color w:val="000000"/>
          <w:sz w:val="20"/>
          <w:szCs w:val="20"/>
          <w:lang w:eastAsia="en-AU"/>
        </w:rPr>
        <w:t xml:space="preserve"> </w:t>
      </w:r>
      <w:r w:rsidR="001E683E" w:rsidRPr="00C10005">
        <w:rPr>
          <w:rFonts w:eastAsia="Times New Roman" w:cs="Arial"/>
          <w:color w:val="000000"/>
          <w:sz w:val="20"/>
          <w:szCs w:val="20"/>
          <w:lang w:eastAsia="en-AU"/>
        </w:rPr>
        <w:t>(i.e. where existing attributes are better than the benchmark and members don’t have rights to those attributes)</w:t>
      </w:r>
      <w:r w:rsidR="005179F4" w:rsidRPr="00C10005">
        <w:rPr>
          <w:rFonts w:eastAsia="Times New Roman" w:cs="Arial"/>
          <w:color w:val="000000"/>
          <w:sz w:val="20"/>
          <w:szCs w:val="20"/>
          <w:lang w:eastAsia="en-AU"/>
        </w:rPr>
        <w:t>.</w:t>
      </w:r>
    </w:p>
    <w:p w14:paraId="7B9143A4" w14:textId="77777777" w:rsidR="00B6751E" w:rsidRPr="00C10005" w:rsidRDefault="00B6751E" w:rsidP="003E661A">
      <w:pPr>
        <w:spacing w:line="240" w:lineRule="auto"/>
        <w:rPr>
          <w:rFonts w:eastAsia="Times New Roman" w:cs="Arial"/>
          <w:color w:val="000000"/>
          <w:sz w:val="20"/>
          <w:szCs w:val="20"/>
          <w:lang w:eastAsia="en-AU"/>
        </w:rPr>
      </w:pPr>
    </w:p>
    <w:p w14:paraId="0F379BAE" w14:textId="629FE1FC" w:rsidR="00A873B3" w:rsidRPr="00C10005" w:rsidRDefault="00302EDF" w:rsidP="003E661A">
      <w:pPr>
        <w:spacing w:line="240" w:lineRule="auto"/>
        <w:rPr>
          <w:rFonts w:eastAsia="Times New Roman" w:cs="Arial"/>
          <w:color w:val="000000"/>
          <w:sz w:val="20"/>
          <w:szCs w:val="20"/>
          <w:lang w:eastAsia="en-AU"/>
        </w:rPr>
      </w:pPr>
      <w:r w:rsidRPr="00C10005">
        <w:rPr>
          <w:rFonts w:eastAsia="Times New Roman" w:cs="Arial"/>
          <w:color w:val="000000"/>
          <w:sz w:val="20"/>
          <w:szCs w:val="20"/>
          <w:lang w:eastAsia="en-AU"/>
        </w:rPr>
        <w:t xml:space="preserve">Our preferred model of </w:t>
      </w:r>
      <w:r w:rsidR="00AB7FE6" w:rsidRPr="00C10005">
        <w:rPr>
          <w:rFonts w:eastAsia="Times New Roman" w:cs="Arial"/>
          <w:color w:val="000000"/>
          <w:sz w:val="20"/>
          <w:szCs w:val="20"/>
          <w:lang w:eastAsia="en-AU"/>
        </w:rPr>
        <w:t>an employer</w:t>
      </w:r>
      <w:r w:rsidRPr="00C10005">
        <w:rPr>
          <w:rFonts w:eastAsia="Times New Roman" w:cs="Arial"/>
          <w:color w:val="000000"/>
          <w:sz w:val="20"/>
          <w:szCs w:val="20"/>
          <w:lang w:eastAsia="en-AU"/>
        </w:rPr>
        <w:t xml:space="preserve"> choosing their employees’ default fu</w:t>
      </w:r>
      <w:r w:rsidR="00AB7FE6" w:rsidRPr="00C10005">
        <w:rPr>
          <w:rFonts w:eastAsia="Times New Roman" w:cs="Arial"/>
          <w:color w:val="000000"/>
          <w:sz w:val="20"/>
          <w:szCs w:val="20"/>
          <w:lang w:eastAsia="en-AU"/>
        </w:rPr>
        <w:t xml:space="preserve">nd </w:t>
      </w:r>
      <w:r w:rsidR="002921FB" w:rsidRPr="00C10005">
        <w:rPr>
          <w:rFonts w:eastAsia="Times New Roman" w:cs="Arial"/>
          <w:color w:val="000000"/>
          <w:sz w:val="20"/>
          <w:szCs w:val="20"/>
          <w:lang w:eastAsia="en-AU"/>
        </w:rPr>
        <w:t xml:space="preserve">(and </w:t>
      </w:r>
      <w:r w:rsidRPr="00C10005">
        <w:rPr>
          <w:rFonts w:eastAsia="Times New Roman" w:cs="Arial"/>
          <w:color w:val="000000"/>
          <w:sz w:val="20"/>
          <w:szCs w:val="20"/>
          <w:lang w:eastAsia="en-AU"/>
        </w:rPr>
        <w:t>re</w:t>
      </w:r>
      <w:r w:rsidR="002921FB" w:rsidRPr="00C10005">
        <w:rPr>
          <w:rFonts w:eastAsia="Times New Roman" w:cs="Arial"/>
          <w:color w:val="000000"/>
          <w:sz w:val="20"/>
          <w:szCs w:val="20"/>
          <w:lang w:eastAsia="en-AU"/>
        </w:rPr>
        <w:t>-</w:t>
      </w:r>
      <w:r w:rsidRPr="00C10005">
        <w:rPr>
          <w:rFonts w:eastAsia="Times New Roman" w:cs="Arial"/>
          <w:color w:val="000000"/>
          <w:sz w:val="20"/>
          <w:szCs w:val="20"/>
          <w:lang w:eastAsia="en-AU"/>
        </w:rPr>
        <w:t xml:space="preserve">considering their decision </w:t>
      </w:r>
      <w:r w:rsidR="002921FB" w:rsidRPr="00C10005">
        <w:rPr>
          <w:rFonts w:eastAsia="Times New Roman" w:cs="Arial"/>
          <w:color w:val="000000"/>
          <w:sz w:val="20"/>
          <w:szCs w:val="20"/>
          <w:lang w:eastAsia="en-AU"/>
        </w:rPr>
        <w:t xml:space="preserve">on a regular basis or when relevant circumstances) would </w:t>
      </w:r>
      <w:r w:rsidR="00857792" w:rsidRPr="00C10005">
        <w:rPr>
          <w:rFonts w:eastAsia="Times New Roman" w:cs="Arial"/>
          <w:color w:val="000000"/>
          <w:sz w:val="20"/>
          <w:szCs w:val="20"/>
          <w:lang w:eastAsia="en-AU"/>
        </w:rPr>
        <w:t xml:space="preserve">allow </w:t>
      </w:r>
      <w:r w:rsidR="002921FB" w:rsidRPr="00C10005">
        <w:rPr>
          <w:rFonts w:eastAsia="Times New Roman" w:cs="Arial"/>
          <w:color w:val="000000"/>
          <w:sz w:val="20"/>
          <w:szCs w:val="20"/>
          <w:lang w:eastAsia="en-AU"/>
        </w:rPr>
        <w:t>these difficulties</w:t>
      </w:r>
      <w:r w:rsidR="00857792" w:rsidRPr="00C10005">
        <w:rPr>
          <w:rFonts w:eastAsia="Times New Roman" w:cs="Arial"/>
          <w:color w:val="000000"/>
          <w:sz w:val="20"/>
          <w:szCs w:val="20"/>
          <w:lang w:eastAsia="en-AU"/>
        </w:rPr>
        <w:t xml:space="preserve"> to be overcome</w:t>
      </w:r>
      <w:r w:rsidR="002921FB" w:rsidRPr="00C10005">
        <w:rPr>
          <w:rFonts w:eastAsia="Times New Roman" w:cs="Arial"/>
          <w:color w:val="000000"/>
          <w:sz w:val="20"/>
          <w:szCs w:val="20"/>
          <w:lang w:eastAsia="en-AU"/>
        </w:rPr>
        <w:t>.</w:t>
      </w:r>
      <w:r w:rsidR="00857792" w:rsidRPr="00C10005">
        <w:rPr>
          <w:rFonts w:eastAsia="Times New Roman" w:cs="Arial"/>
          <w:color w:val="000000"/>
          <w:sz w:val="20"/>
          <w:szCs w:val="20"/>
          <w:lang w:eastAsia="en-AU"/>
        </w:rPr>
        <w:t xml:space="preserve"> This is because default members could be allocated based on a fund’s overall merits rather than a</w:t>
      </w:r>
      <w:r w:rsidR="009A00C0" w:rsidRPr="00C10005">
        <w:rPr>
          <w:rFonts w:eastAsia="Times New Roman" w:cs="Arial"/>
          <w:color w:val="000000"/>
          <w:sz w:val="20"/>
          <w:szCs w:val="20"/>
          <w:lang w:eastAsia="en-AU"/>
        </w:rPr>
        <w:t>n inflexible</w:t>
      </w:r>
      <w:r w:rsidR="00857792" w:rsidRPr="00C10005">
        <w:rPr>
          <w:rFonts w:eastAsia="Times New Roman" w:cs="Arial"/>
          <w:color w:val="000000"/>
          <w:sz w:val="20"/>
          <w:szCs w:val="20"/>
          <w:lang w:eastAsia="en-AU"/>
        </w:rPr>
        <w:t xml:space="preserve"> rule. </w:t>
      </w:r>
    </w:p>
    <w:p w14:paraId="5CD5E856" w14:textId="77777777" w:rsidR="00A873B3" w:rsidRPr="00DC0854" w:rsidRDefault="00A873B3" w:rsidP="003E661A">
      <w:pPr>
        <w:spacing w:line="240" w:lineRule="auto"/>
        <w:rPr>
          <w:rFonts w:eastAsia="Times New Roman" w:cs="Arial"/>
          <w:color w:val="000000"/>
          <w:sz w:val="20"/>
          <w:szCs w:val="20"/>
          <w:lang w:eastAsia="en-AU"/>
        </w:rPr>
      </w:pPr>
    </w:p>
    <w:p w14:paraId="153F066F" w14:textId="77777777" w:rsidR="00BA44B1" w:rsidRPr="00DC0854" w:rsidRDefault="00BA44B1" w:rsidP="00BA44B1">
      <w:pPr>
        <w:pStyle w:val="Heading3"/>
        <w:rPr>
          <w:b/>
          <w:i w:val="0"/>
          <w:szCs w:val="22"/>
        </w:rPr>
      </w:pPr>
      <w:r w:rsidRPr="00DC0854">
        <w:rPr>
          <w:b/>
          <w:i w:val="0"/>
          <w:szCs w:val="22"/>
        </w:rPr>
        <w:t>Step 2: Specifying a competitive process to determine default products</w:t>
      </w:r>
    </w:p>
    <w:p w14:paraId="2DE685F9" w14:textId="77777777" w:rsidR="00BA44B1" w:rsidRPr="00DC0854" w:rsidRDefault="00BA44B1" w:rsidP="00455360">
      <w:pPr>
        <w:pStyle w:val="Heading4"/>
        <w:numPr>
          <w:ilvl w:val="0"/>
          <w:numId w:val="12"/>
        </w:numPr>
        <w:rPr>
          <w:i w:val="0"/>
          <w:color w:val="auto"/>
          <w:sz w:val="20"/>
          <w:szCs w:val="20"/>
          <w:lang w:eastAsia="en-AU" w:bidi="en-US"/>
        </w:rPr>
      </w:pPr>
      <w:r w:rsidRPr="00DC0854">
        <w:rPr>
          <w:i w:val="0"/>
          <w:color w:val="auto"/>
          <w:sz w:val="20"/>
          <w:szCs w:val="20"/>
          <w:lang w:eastAsia="en-AU" w:bidi="en-US"/>
        </w:rPr>
        <w:t xml:space="preserve">What key services (or features) should be provided by default superannuation products? Should they all have to be </w:t>
      </w:r>
      <w:proofErr w:type="spellStart"/>
      <w:r w:rsidRPr="00DC0854">
        <w:rPr>
          <w:i w:val="0"/>
          <w:color w:val="auto"/>
          <w:sz w:val="20"/>
          <w:szCs w:val="20"/>
          <w:lang w:eastAsia="en-AU" w:bidi="en-US"/>
        </w:rPr>
        <w:t>MySuper</w:t>
      </w:r>
      <w:proofErr w:type="spellEnd"/>
      <w:r w:rsidRPr="00DC0854">
        <w:rPr>
          <w:i w:val="0"/>
          <w:color w:val="auto"/>
          <w:sz w:val="20"/>
          <w:szCs w:val="20"/>
          <w:lang w:eastAsia="en-AU" w:bidi="en-US"/>
        </w:rPr>
        <w:t xml:space="preserve"> products?</w:t>
      </w:r>
    </w:p>
    <w:p w14:paraId="7FAE7D64" w14:textId="77777777" w:rsidR="00BA44B1" w:rsidRPr="00DC0854" w:rsidRDefault="00BA44B1" w:rsidP="00BA44B1">
      <w:pPr>
        <w:spacing w:line="240" w:lineRule="auto"/>
        <w:rPr>
          <w:rFonts w:eastAsia="Times New Roman" w:cs="Arial"/>
          <w:color w:val="000000"/>
          <w:sz w:val="20"/>
          <w:szCs w:val="20"/>
          <w:lang w:eastAsia="en-AU"/>
        </w:rPr>
      </w:pPr>
    </w:p>
    <w:p w14:paraId="640D60A9" w14:textId="1A40BEA5" w:rsidR="00400ADD" w:rsidRPr="00DC0854" w:rsidRDefault="009414AF" w:rsidP="00BA44B1">
      <w:p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 xml:space="preserve">We think the </w:t>
      </w:r>
      <w:r w:rsidR="000E25E5" w:rsidRPr="00DC0854">
        <w:rPr>
          <w:rFonts w:eastAsia="Times New Roman" w:cs="Arial"/>
          <w:color w:val="000000"/>
          <w:sz w:val="20"/>
          <w:szCs w:val="20"/>
          <w:lang w:eastAsia="en-AU"/>
        </w:rPr>
        <w:t xml:space="preserve">users </w:t>
      </w:r>
      <w:r w:rsidR="00EA22F1" w:rsidRPr="00DC0854">
        <w:rPr>
          <w:rFonts w:eastAsia="Times New Roman" w:cs="Arial"/>
          <w:color w:val="000000"/>
          <w:sz w:val="20"/>
          <w:szCs w:val="20"/>
          <w:lang w:eastAsia="en-AU"/>
        </w:rPr>
        <w:t xml:space="preserve">of the default superannuation system </w:t>
      </w:r>
      <w:r w:rsidR="000E25E5" w:rsidRPr="00DC0854">
        <w:rPr>
          <w:rFonts w:eastAsia="Times New Roman" w:cs="Arial"/>
          <w:color w:val="000000"/>
          <w:sz w:val="20"/>
          <w:szCs w:val="20"/>
          <w:lang w:eastAsia="en-AU"/>
        </w:rPr>
        <w:t>(employees, employers and super funds) need</w:t>
      </w:r>
      <w:r w:rsidRPr="00DC0854">
        <w:rPr>
          <w:rFonts w:eastAsia="Times New Roman" w:cs="Arial"/>
          <w:color w:val="000000"/>
          <w:sz w:val="20"/>
          <w:szCs w:val="20"/>
          <w:lang w:eastAsia="en-AU"/>
        </w:rPr>
        <w:t xml:space="preserve"> to be asked</w:t>
      </w:r>
      <w:r w:rsidR="006F5AB1">
        <w:rPr>
          <w:rFonts w:eastAsia="Times New Roman" w:cs="Arial"/>
          <w:color w:val="000000"/>
          <w:sz w:val="20"/>
          <w:szCs w:val="20"/>
          <w:lang w:eastAsia="en-AU"/>
        </w:rPr>
        <w:t xml:space="preserve"> this question</w:t>
      </w:r>
      <w:r w:rsidRPr="00DC0854">
        <w:rPr>
          <w:rFonts w:eastAsia="Times New Roman" w:cs="Arial"/>
          <w:color w:val="000000"/>
          <w:sz w:val="20"/>
          <w:szCs w:val="20"/>
          <w:lang w:eastAsia="en-AU"/>
        </w:rPr>
        <w:t xml:space="preserve">. We suspect they would want investments, insurance and advice. </w:t>
      </w:r>
      <w:r w:rsidR="00D867B8" w:rsidRPr="00DC0854">
        <w:rPr>
          <w:rFonts w:eastAsia="Times New Roman" w:cs="Arial"/>
          <w:color w:val="000000"/>
          <w:sz w:val="20"/>
          <w:szCs w:val="20"/>
          <w:lang w:eastAsia="en-AU"/>
        </w:rPr>
        <w:t>By advice we also include bespoke advice that is charged to the trustee and allocated to the member’s account</w:t>
      </w:r>
      <w:r w:rsidR="00706490" w:rsidRPr="00DC0854">
        <w:rPr>
          <w:rFonts w:eastAsia="Times New Roman" w:cs="Arial"/>
          <w:color w:val="000000"/>
          <w:sz w:val="20"/>
          <w:szCs w:val="20"/>
          <w:lang w:eastAsia="en-AU"/>
        </w:rPr>
        <w:t>. F</w:t>
      </w:r>
      <w:r w:rsidR="00D867B8" w:rsidRPr="00DC0854">
        <w:rPr>
          <w:rFonts w:eastAsia="Times New Roman" w:cs="Arial"/>
          <w:color w:val="000000"/>
          <w:sz w:val="20"/>
          <w:szCs w:val="20"/>
          <w:lang w:eastAsia="en-AU"/>
        </w:rPr>
        <w:t xml:space="preserve">unds indirectly provide </w:t>
      </w:r>
      <w:r w:rsidR="00706490" w:rsidRPr="00DC0854">
        <w:rPr>
          <w:rFonts w:eastAsia="Times New Roman" w:cs="Arial"/>
          <w:color w:val="000000"/>
          <w:sz w:val="20"/>
          <w:szCs w:val="20"/>
          <w:lang w:eastAsia="en-AU"/>
        </w:rPr>
        <w:t>bespoke</w:t>
      </w:r>
      <w:r w:rsidR="00D867B8" w:rsidRPr="00DC0854">
        <w:rPr>
          <w:rFonts w:eastAsia="Times New Roman" w:cs="Arial"/>
          <w:color w:val="000000"/>
          <w:sz w:val="20"/>
          <w:szCs w:val="20"/>
          <w:lang w:eastAsia="en-AU"/>
        </w:rPr>
        <w:t xml:space="preserve"> advice and </w:t>
      </w:r>
      <w:r w:rsidR="008210BB">
        <w:rPr>
          <w:rFonts w:eastAsia="Times New Roman" w:cs="Arial"/>
          <w:color w:val="000000"/>
          <w:sz w:val="20"/>
          <w:szCs w:val="20"/>
          <w:lang w:eastAsia="en-AU"/>
        </w:rPr>
        <w:t>such advice</w:t>
      </w:r>
      <w:r w:rsidR="00D867B8" w:rsidRPr="00DC0854">
        <w:rPr>
          <w:rFonts w:eastAsia="Times New Roman" w:cs="Arial"/>
          <w:color w:val="000000"/>
          <w:sz w:val="20"/>
          <w:szCs w:val="20"/>
          <w:lang w:eastAsia="en-AU"/>
        </w:rPr>
        <w:t xml:space="preserve"> shouldn’t be overlooked </w:t>
      </w:r>
      <w:r w:rsidR="008210BB">
        <w:rPr>
          <w:rFonts w:eastAsia="Times New Roman" w:cs="Arial"/>
          <w:color w:val="000000"/>
          <w:sz w:val="20"/>
          <w:szCs w:val="20"/>
          <w:lang w:eastAsia="en-AU"/>
        </w:rPr>
        <w:t xml:space="preserve">in the assessment </w:t>
      </w:r>
      <w:r w:rsidR="00D867B8" w:rsidRPr="00DC0854">
        <w:rPr>
          <w:rFonts w:eastAsia="Times New Roman" w:cs="Arial"/>
          <w:color w:val="000000"/>
          <w:sz w:val="20"/>
          <w:szCs w:val="20"/>
          <w:lang w:eastAsia="en-AU"/>
        </w:rPr>
        <w:t>merely because of this</w:t>
      </w:r>
      <w:r w:rsidR="00706490" w:rsidRPr="00DC0854">
        <w:rPr>
          <w:rFonts w:eastAsia="Times New Roman" w:cs="Arial"/>
          <w:color w:val="000000"/>
          <w:sz w:val="20"/>
          <w:szCs w:val="20"/>
          <w:lang w:eastAsia="en-AU"/>
        </w:rPr>
        <w:t xml:space="preserve"> indirectness</w:t>
      </w:r>
      <w:r w:rsidR="00D867B8" w:rsidRPr="00DC0854">
        <w:rPr>
          <w:rFonts w:eastAsia="Times New Roman" w:cs="Arial"/>
          <w:color w:val="000000"/>
          <w:sz w:val="20"/>
          <w:szCs w:val="20"/>
          <w:lang w:eastAsia="en-AU"/>
        </w:rPr>
        <w:t xml:space="preserve"> or because </w:t>
      </w:r>
      <w:r w:rsidR="00EE6A60" w:rsidRPr="00DC0854">
        <w:rPr>
          <w:rFonts w:eastAsia="Times New Roman" w:cs="Arial"/>
          <w:color w:val="000000"/>
          <w:sz w:val="20"/>
          <w:szCs w:val="20"/>
          <w:lang w:eastAsia="en-AU"/>
        </w:rPr>
        <w:t>provision of the advice is</w:t>
      </w:r>
      <w:r w:rsidR="00D867B8" w:rsidRPr="00DC0854">
        <w:rPr>
          <w:rFonts w:eastAsia="Times New Roman" w:cs="Arial"/>
          <w:color w:val="000000"/>
          <w:sz w:val="20"/>
          <w:szCs w:val="20"/>
          <w:lang w:eastAsia="en-AU"/>
        </w:rPr>
        <w:t xml:space="preserve"> member-directed (just as investments, which will undoubtedly be assessed, are member-directed).</w:t>
      </w:r>
    </w:p>
    <w:p w14:paraId="70420CA2" w14:textId="77777777" w:rsidR="00400ADD" w:rsidRPr="00DC0854" w:rsidRDefault="00400ADD" w:rsidP="00BA44B1">
      <w:pPr>
        <w:spacing w:line="240" w:lineRule="auto"/>
        <w:rPr>
          <w:rFonts w:eastAsia="Times New Roman" w:cs="Arial"/>
          <w:color w:val="000000"/>
          <w:sz w:val="20"/>
          <w:szCs w:val="20"/>
          <w:lang w:eastAsia="en-AU"/>
        </w:rPr>
      </w:pPr>
    </w:p>
    <w:p w14:paraId="30EB8981" w14:textId="0E27F459" w:rsidR="00BA44B1" w:rsidRPr="00DC0854" w:rsidRDefault="00400ADD" w:rsidP="00BA44B1">
      <w:p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 xml:space="preserve">We believe that all funds should be eligible to be default superannuation products. </w:t>
      </w:r>
      <w:r w:rsidR="00860FFB" w:rsidRPr="00DC0854">
        <w:rPr>
          <w:rFonts w:eastAsia="Times New Roman" w:cs="Arial"/>
          <w:color w:val="000000"/>
          <w:sz w:val="20"/>
          <w:szCs w:val="20"/>
          <w:lang w:eastAsia="en-AU"/>
        </w:rPr>
        <w:t xml:space="preserve">While </w:t>
      </w:r>
      <w:r w:rsidR="004F65CC" w:rsidRPr="00DC0854">
        <w:rPr>
          <w:rFonts w:eastAsia="Times New Roman" w:cs="Arial"/>
          <w:color w:val="000000"/>
          <w:sz w:val="20"/>
          <w:szCs w:val="20"/>
          <w:lang w:eastAsia="en-AU"/>
        </w:rPr>
        <w:t xml:space="preserve">the </w:t>
      </w:r>
      <w:r w:rsidR="00860FFB" w:rsidRPr="00DC0854">
        <w:rPr>
          <w:rFonts w:eastAsia="Times New Roman" w:cs="Arial"/>
          <w:color w:val="000000"/>
          <w:sz w:val="20"/>
          <w:szCs w:val="20"/>
          <w:lang w:eastAsia="en-AU"/>
        </w:rPr>
        <w:t xml:space="preserve">simplicity and comparability </w:t>
      </w:r>
      <w:r w:rsidR="004F65CC" w:rsidRPr="00DC0854">
        <w:rPr>
          <w:rFonts w:eastAsia="Times New Roman" w:cs="Arial"/>
          <w:color w:val="000000"/>
          <w:sz w:val="20"/>
          <w:szCs w:val="20"/>
          <w:lang w:eastAsia="en-AU"/>
        </w:rPr>
        <w:t xml:space="preserve">of </w:t>
      </w:r>
      <w:proofErr w:type="spellStart"/>
      <w:r w:rsidR="004F65CC" w:rsidRPr="00DC0854">
        <w:rPr>
          <w:rFonts w:eastAsia="Times New Roman" w:cs="Arial"/>
          <w:color w:val="000000"/>
          <w:sz w:val="20"/>
          <w:szCs w:val="20"/>
          <w:lang w:eastAsia="en-AU"/>
        </w:rPr>
        <w:t>MySuper</w:t>
      </w:r>
      <w:proofErr w:type="spellEnd"/>
      <w:r w:rsidR="004F65CC" w:rsidRPr="00DC0854">
        <w:rPr>
          <w:rFonts w:eastAsia="Times New Roman" w:cs="Arial"/>
          <w:color w:val="000000"/>
          <w:sz w:val="20"/>
          <w:szCs w:val="20"/>
          <w:lang w:eastAsia="en-AU"/>
        </w:rPr>
        <w:t xml:space="preserve"> products </w:t>
      </w:r>
      <w:r w:rsidR="00860FFB" w:rsidRPr="00DC0854">
        <w:rPr>
          <w:rFonts w:eastAsia="Times New Roman" w:cs="Arial"/>
          <w:color w:val="000000"/>
          <w:sz w:val="20"/>
          <w:szCs w:val="20"/>
          <w:lang w:eastAsia="en-AU"/>
        </w:rPr>
        <w:t xml:space="preserve">might increase the competitiveness of this sector, there is no reason to think other funds </w:t>
      </w:r>
      <w:r w:rsidR="00A64441" w:rsidRPr="00DC0854">
        <w:rPr>
          <w:rFonts w:eastAsia="Times New Roman" w:cs="Arial"/>
          <w:color w:val="000000"/>
          <w:sz w:val="20"/>
          <w:szCs w:val="20"/>
          <w:lang w:eastAsia="en-AU"/>
        </w:rPr>
        <w:t>will necessarily</w:t>
      </w:r>
      <w:r w:rsidR="00860FFB" w:rsidRPr="00DC0854">
        <w:rPr>
          <w:rFonts w:eastAsia="Times New Roman" w:cs="Arial"/>
          <w:color w:val="000000"/>
          <w:sz w:val="20"/>
          <w:szCs w:val="20"/>
          <w:lang w:eastAsia="en-AU"/>
        </w:rPr>
        <w:t xml:space="preserve"> be </w:t>
      </w:r>
      <w:r w:rsidR="00A64441" w:rsidRPr="00DC0854">
        <w:rPr>
          <w:rFonts w:eastAsia="Times New Roman" w:cs="Arial"/>
          <w:color w:val="000000"/>
          <w:sz w:val="20"/>
          <w:szCs w:val="20"/>
          <w:lang w:eastAsia="en-AU"/>
        </w:rPr>
        <w:t>un</w:t>
      </w:r>
      <w:r w:rsidR="00860FFB" w:rsidRPr="00DC0854">
        <w:rPr>
          <w:rFonts w:eastAsia="Times New Roman" w:cs="Arial"/>
          <w:color w:val="000000"/>
          <w:sz w:val="20"/>
          <w:szCs w:val="20"/>
          <w:lang w:eastAsia="en-AU"/>
        </w:rPr>
        <w:t>competitive.</w:t>
      </w:r>
      <w:r w:rsidRPr="00DC0854">
        <w:rPr>
          <w:rFonts w:eastAsia="Times New Roman" w:cs="Arial"/>
          <w:color w:val="000000"/>
          <w:sz w:val="20"/>
          <w:szCs w:val="20"/>
          <w:lang w:eastAsia="en-AU"/>
        </w:rPr>
        <w:t xml:space="preserve"> </w:t>
      </w:r>
    </w:p>
    <w:p w14:paraId="5706EE02" w14:textId="77777777" w:rsidR="00BA44B1" w:rsidRPr="00DC0854" w:rsidRDefault="00BA44B1" w:rsidP="00455360">
      <w:pPr>
        <w:pStyle w:val="Heading4"/>
        <w:numPr>
          <w:ilvl w:val="0"/>
          <w:numId w:val="12"/>
        </w:numPr>
        <w:rPr>
          <w:i w:val="0"/>
          <w:color w:val="auto"/>
          <w:sz w:val="20"/>
          <w:szCs w:val="20"/>
          <w:lang w:eastAsia="en-AU" w:bidi="en-US"/>
        </w:rPr>
      </w:pPr>
      <w:r w:rsidRPr="00DC0854">
        <w:rPr>
          <w:i w:val="0"/>
          <w:color w:val="auto"/>
          <w:sz w:val="20"/>
          <w:szCs w:val="20"/>
          <w:lang w:eastAsia="en-AU" w:bidi="en-US"/>
        </w:rPr>
        <w:t>What are the advantages and disadvantages of allocating insurance through a separate competitive process? What should be the key features of this default insurance product?</w:t>
      </w:r>
    </w:p>
    <w:p w14:paraId="3FE59BE4" w14:textId="77777777" w:rsidR="00BA44B1" w:rsidRPr="00DC0854" w:rsidRDefault="00BA44B1" w:rsidP="00BA44B1">
      <w:pPr>
        <w:spacing w:line="240" w:lineRule="auto"/>
        <w:rPr>
          <w:rFonts w:eastAsia="Times New Roman" w:cs="Arial"/>
          <w:color w:val="000000"/>
          <w:sz w:val="20"/>
          <w:szCs w:val="20"/>
          <w:lang w:eastAsia="en-AU"/>
        </w:rPr>
      </w:pPr>
    </w:p>
    <w:p w14:paraId="669A5982" w14:textId="0DE21723" w:rsidR="00BA44B1" w:rsidRPr="00DC0854" w:rsidRDefault="002D3B96" w:rsidP="00BA44B1">
      <w:p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 xml:space="preserve">We think the users </w:t>
      </w:r>
      <w:r w:rsidR="00EA22F1" w:rsidRPr="00DC0854">
        <w:rPr>
          <w:rFonts w:eastAsia="Times New Roman" w:cs="Arial"/>
          <w:color w:val="000000"/>
          <w:sz w:val="20"/>
          <w:szCs w:val="20"/>
          <w:lang w:eastAsia="en-AU"/>
        </w:rPr>
        <w:t xml:space="preserve">of the default superannuation system </w:t>
      </w:r>
      <w:r w:rsidRPr="00DC0854">
        <w:rPr>
          <w:rFonts w:eastAsia="Times New Roman" w:cs="Arial"/>
          <w:color w:val="000000"/>
          <w:sz w:val="20"/>
          <w:szCs w:val="20"/>
          <w:lang w:eastAsia="en-AU"/>
        </w:rPr>
        <w:t xml:space="preserve">(employees, employers and super funds) need to be asked. </w:t>
      </w:r>
      <w:r w:rsidR="00D00910" w:rsidRPr="00DC0854">
        <w:rPr>
          <w:rFonts w:eastAsia="Times New Roman" w:cs="Arial"/>
          <w:color w:val="000000"/>
          <w:sz w:val="20"/>
          <w:szCs w:val="20"/>
          <w:lang w:eastAsia="en-AU"/>
        </w:rPr>
        <w:t xml:space="preserve"> </w:t>
      </w:r>
      <w:r w:rsidR="001308E8" w:rsidRPr="00DC0854">
        <w:rPr>
          <w:rFonts w:eastAsia="Times New Roman" w:cs="Arial"/>
          <w:color w:val="000000"/>
          <w:sz w:val="20"/>
          <w:szCs w:val="20"/>
          <w:lang w:eastAsia="en-AU"/>
        </w:rPr>
        <w:t>In general terms, they would want a reasonable balance between scope of cover, individual need and foregone investment opportunity (including due to taxes and fees required to fund research costs).</w:t>
      </w:r>
    </w:p>
    <w:p w14:paraId="4A68CEB5" w14:textId="77777777" w:rsidR="00BA44B1" w:rsidRPr="00DC0854" w:rsidRDefault="00BA44B1" w:rsidP="00455360">
      <w:pPr>
        <w:pStyle w:val="Heading4"/>
        <w:numPr>
          <w:ilvl w:val="0"/>
          <w:numId w:val="12"/>
        </w:numPr>
        <w:rPr>
          <w:i w:val="0"/>
          <w:color w:val="auto"/>
          <w:sz w:val="20"/>
          <w:szCs w:val="20"/>
          <w:lang w:eastAsia="en-AU" w:bidi="en-US"/>
        </w:rPr>
      </w:pPr>
      <w:r w:rsidRPr="00DC0854">
        <w:rPr>
          <w:i w:val="0"/>
          <w:color w:val="auto"/>
          <w:sz w:val="20"/>
          <w:szCs w:val="20"/>
          <w:lang w:eastAsia="en-AU" w:bidi="en-US"/>
        </w:rPr>
        <w:t>What other considerations are relevant to specifying a competitive process?</w:t>
      </w:r>
    </w:p>
    <w:p w14:paraId="31CEC09C" w14:textId="77777777" w:rsidR="00BA44B1" w:rsidRPr="00DC0854" w:rsidRDefault="00BA44B1" w:rsidP="00BA44B1">
      <w:pPr>
        <w:spacing w:line="240" w:lineRule="auto"/>
        <w:rPr>
          <w:rFonts w:eastAsia="Times New Roman" w:cs="Arial"/>
          <w:color w:val="000000"/>
          <w:sz w:val="20"/>
          <w:szCs w:val="20"/>
          <w:lang w:eastAsia="en-AU"/>
        </w:rPr>
      </w:pPr>
    </w:p>
    <w:p w14:paraId="63BFE5C1" w14:textId="77777777" w:rsidR="00BA44B1" w:rsidRPr="00DC0854" w:rsidRDefault="00F90F7A" w:rsidP="00BA44B1">
      <w:p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 xml:space="preserve">Other </w:t>
      </w:r>
      <w:r w:rsidR="00DD637D" w:rsidRPr="00DC0854">
        <w:rPr>
          <w:rFonts w:eastAsia="Times New Roman" w:cs="Arial"/>
          <w:color w:val="000000"/>
          <w:sz w:val="20"/>
          <w:szCs w:val="20"/>
          <w:lang w:eastAsia="en-AU"/>
        </w:rPr>
        <w:t>factors that need to be considered include:</w:t>
      </w:r>
    </w:p>
    <w:p w14:paraId="53DE0916" w14:textId="77777777" w:rsidR="00DD637D" w:rsidRPr="00DC0854" w:rsidRDefault="00DD637D" w:rsidP="00BA44B1">
      <w:pPr>
        <w:spacing w:line="240" w:lineRule="auto"/>
        <w:rPr>
          <w:rFonts w:eastAsia="Times New Roman" w:cs="Arial"/>
          <w:color w:val="000000"/>
          <w:sz w:val="20"/>
          <w:szCs w:val="20"/>
          <w:lang w:eastAsia="en-AU"/>
        </w:rPr>
      </w:pPr>
    </w:p>
    <w:p w14:paraId="080F6105" w14:textId="77777777" w:rsidR="00DD637D" w:rsidRPr="00DC0854" w:rsidRDefault="00DD637D" w:rsidP="00DD637D">
      <w:pPr>
        <w:pStyle w:val="ListParagraph"/>
        <w:numPr>
          <w:ilvl w:val="0"/>
          <w:numId w:val="17"/>
        </w:num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alignment of preferences of the particular subset of employees with the default product chosen</w:t>
      </w:r>
    </w:p>
    <w:p w14:paraId="5109AFFE" w14:textId="77777777" w:rsidR="00DD637D" w:rsidRPr="00DC0854" w:rsidRDefault="00692964" w:rsidP="00DD637D">
      <w:pPr>
        <w:pStyle w:val="ListParagraph"/>
        <w:numPr>
          <w:ilvl w:val="0"/>
          <w:numId w:val="17"/>
        </w:num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alignment of the employer with the interests of their employees</w:t>
      </w:r>
    </w:p>
    <w:p w14:paraId="7BB17F6F" w14:textId="77777777" w:rsidR="00692964" w:rsidRPr="00DC0854" w:rsidRDefault="00B83D82" w:rsidP="00DD637D">
      <w:pPr>
        <w:pStyle w:val="ListParagraph"/>
        <w:numPr>
          <w:ilvl w:val="0"/>
          <w:numId w:val="17"/>
        </w:num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 xml:space="preserve">the desired policy outcomes and their economic and political feasibility </w:t>
      </w:r>
    </w:p>
    <w:p w14:paraId="6372AF32" w14:textId="77777777" w:rsidR="008C05AB" w:rsidRPr="00DC0854" w:rsidRDefault="008C05AB" w:rsidP="00BA44B1">
      <w:pPr>
        <w:spacing w:line="240" w:lineRule="auto"/>
        <w:rPr>
          <w:rFonts w:eastAsia="Times New Roman" w:cs="Arial"/>
          <w:color w:val="000000"/>
          <w:sz w:val="20"/>
          <w:szCs w:val="20"/>
          <w:lang w:eastAsia="en-AU"/>
        </w:rPr>
      </w:pPr>
    </w:p>
    <w:p w14:paraId="41B80454" w14:textId="77777777" w:rsidR="008C05AB" w:rsidRPr="00DC0854" w:rsidRDefault="008C05AB" w:rsidP="008C05AB">
      <w:pPr>
        <w:pStyle w:val="Heading3"/>
        <w:rPr>
          <w:b/>
          <w:i w:val="0"/>
          <w:szCs w:val="22"/>
        </w:rPr>
      </w:pPr>
      <w:r w:rsidRPr="00DC0854">
        <w:rPr>
          <w:b/>
          <w:i w:val="0"/>
          <w:szCs w:val="22"/>
        </w:rPr>
        <w:t>Step 3: Allocating employees to eligible default products</w:t>
      </w:r>
    </w:p>
    <w:p w14:paraId="4B8AEB53" w14:textId="77777777" w:rsidR="008C05AB" w:rsidRPr="00DC0854" w:rsidRDefault="008C05AB" w:rsidP="00455360">
      <w:pPr>
        <w:pStyle w:val="Heading4"/>
        <w:numPr>
          <w:ilvl w:val="0"/>
          <w:numId w:val="12"/>
        </w:numPr>
        <w:rPr>
          <w:i w:val="0"/>
          <w:color w:val="auto"/>
          <w:sz w:val="20"/>
          <w:szCs w:val="20"/>
          <w:lang w:eastAsia="en-AU" w:bidi="en-US"/>
        </w:rPr>
      </w:pPr>
      <w:r w:rsidRPr="00DC0854">
        <w:rPr>
          <w:i w:val="0"/>
          <w:color w:val="auto"/>
          <w:sz w:val="20"/>
          <w:szCs w:val="20"/>
          <w:lang w:eastAsia="en-AU" w:bidi="en-US"/>
        </w:rPr>
        <w:t>Within a particular allocative model, should employees be segmented into groups for the purposes of allocating them to default products? If so, how should they be segmented? What are the benefits and costs of this approach?</w:t>
      </w:r>
    </w:p>
    <w:p w14:paraId="2B729CB4" w14:textId="77777777" w:rsidR="008C05AB" w:rsidRPr="00DC0854" w:rsidRDefault="008C05AB" w:rsidP="008C05AB">
      <w:pPr>
        <w:spacing w:line="240" w:lineRule="auto"/>
        <w:rPr>
          <w:rFonts w:eastAsia="Times New Roman" w:cs="Arial"/>
          <w:color w:val="000000"/>
          <w:sz w:val="20"/>
          <w:szCs w:val="20"/>
          <w:lang w:eastAsia="en-AU"/>
        </w:rPr>
      </w:pPr>
    </w:p>
    <w:p w14:paraId="66F27F27" w14:textId="77777777" w:rsidR="00272455" w:rsidRPr="00DC0854" w:rsidRDefault="00D040A7" w:rsidP="008C05AB">
      <w:p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 xml:space="preserve">We support segmentation of employees for the purposes of allocating them to default products. </w:t>
      </w:r>
      <w:r w:rsidR="00272455" w:rsidRPr="00DC0854">
        <w:rPr>
          <w:rFonts w:eastAsia="Times New Roman" w:cs="Arial"/>
          <w:color w:val="000000"/>
          <w:sz w:val="20"/>
          <w:szCs w:val="20"/>
          <w:lang w:eastAsia="en-AU"/>
        </w:rPr>
        <w:t xml:space="preserve">This is because segmentation is more likely to align the would-be preferences of employees with the product chosen. </w:t>
      </w:r>
    </w:p>
    <w:p w14:paraId="0004EC3D" w14:textId="77777777" w:rsidR="00272455" w:rsidRPr="00DC0854" w:rsidRDefault="00272455" w:rsidP="008C05AB">
      <w:pPr>
        <w:spacing w:line="240" w:lineRule="auto"/>
        <w:rPr>
          <w:rFonts w:eastAsia="Times New Roman" w:cs="Arial"/>
          <w:color w:val="000000"/>
          <w:sz w:val="20"/>
          <w:szCs w:val="20"/>
          <w:lang w:eastAsia="en-AU"/>
        </w:rPr>
      </w:pPr>
    </w:p>
    <w:p w14:paraId="57E7974E" w14:textId="179F1B7A" w:rsidR="00272455" w:rsidRPr="00DC0854" w:rsidRDefault="002455F8" w:rsidP="008C05AB">
      <w:p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 xml:space="preserve">The characteristics </w:t>
      </w:r>
      <w:r w:rsidR="009A0F6F" w:rsidRPr="00DC0854">
        <w:rPr>
          <w:rFonts w:eastAsia="Times New Roman" w:cs="Arial"/>
          <w:color w:val="000000"/>
          <w:sz w:val="20"/>
          <w:szCs w:val="20"/>
          <w:lang w:eastAsia="en-AU"/>
        </w:rPr>
        <w:t>on which</w:t>
      </w:r>
      <w:r w:rsidRPr="00DC0854">
        <w:rPr>
          <w:rFonts w:eastAsia="Times New Roman" w:cs="Arial"/>
          <w:color w:val="000000"/>
          <w:sz w:val="20"/>
          <w:szCs w:val="20"/>
          <w:lang w:eastAsia="en-AU"/>
        </w:rPr>
        <w:t xml:space="preserve"> segmentation </w:t>
      </w:r>
      <w:r w:rsidR="009A0F6F" w:rsidRPr="00DC0854">
        <w:rPr>
          <w:rFonts w:eastAsia="Times New Roman" w:cs="Arial"/>
          <w:color w:val="000000"/>
          <w:sz w:val="20"/>
          <w:szCs w:val="20"/>
          <w:lang w:eastAsia="en-AU"/>
        </w:rPr>
        <w:t>is based shouldn’t</w:t>
      </w:r>
      <w:r w:rsidR="00F867E2" w:rsidRPr="00DC0854">
        <w:rPr>
          <w:rFonts w:eastAsia="Times New Roman" w:cs="Arial"/>
          <w:color w:val="000000"/>
          <w:sz w:val="20"/>
          <w:szCs w:val="20"/>
          <w:lang w:eastAsia="en-AU"/>
        </w:rPr>
        <w:t xml:space="preserve"> be decided in advance</w:t>
      </w:r>
      <w:r w:rsidR="009A0F6F" w:rsidRPr="00DC0854">
        <w:rPr>
          <w:rFonts w:eastAsia="Times New Roman" w:cs="Arial"/>
          <w:color w:val="000000"/>
          <w:sz w:val="20"/>
          <w:szCs w:val="20"/>
          <w:lang w:eastAsia="en-AU"/>
        </w:rPr>
        <w:t xml:space="preserve"> of consumer testing</w:t>
      </w:r>
      <w:r w:rsidR="00F867E2" w:rsidRPr="00DC0854">
        <w:rPr>
          <w:rFonts w:eastAsia="Times New Roman" w:cs="Arial"/>
          <w:color w:val="000000"/>
          <w:sz w:val="20"/>
          <w:szCs w:val="20"/>
          <w:lang w:eastAsia="en-AU"/>
        </w:rPr>
        <w:t>.</w:t>
      </w:r>
      <w:r w:rsidR="009A0F6F" w:rsidRPr="00DC0854">
        <w:rPr>
          <w:rFonts w:eastAsia="Times New Roman" w:cs="Arial"/>
          <w:color w:val="000000"/>
          <w:sz w:val="20"/>
          <w:szCs w:val="20"/>
          <w:lang w:eastAsia="en-AU"/>
        </w:rPr>
        <w:t xml:space="preserve"> The aim of testing </w:t>
      </w:r>
      <w:r w:rsidR="004B0185" w:rsidRPr="00DC0854">
        <w:rPr>
          <w:rFonts w:eastAsia="Times New Roman" w:cs="Arial"/>
          <w:color w:val="000000"/>
          <w:sz w:val="20"/>
          <w:szCs w:val="20"/>
          <w:lang w:eastAsia="en-AU"/>
        </w:rPr>
        <w:t>should be</w:t>
      </w:r>
      <w:r w:rsidR="009A0F6F" w:rsidRPr="00DC0854">
        <w:rPr>
          <w:rFonts w:eastAsia="Times New Roman" w:cs="Arial"/>
          <w:color w:val="000000"/>
          <w:sz w:val="20"/>
          <w:szCs w:val="20"/>
          <w:lang w:eastAsia="en-AU"/>
        </w:rPr>
        <w:t xml:space="preserve"> to observe what </w:t>
      </w:r>
      <w:r w:rsidR="00370F27" w:rsidRPr="00DC0854">
        <w:rPr>
          <w:rFonts w:eastAsia="Times New Roman" w:cs="Arial"/>
          <w:color w:val="000000"/>
          <w:sz w:val="20"/>
          <w:szCs w:val="20"/>
          <w:lang w:eastAsia="en-AU"/>
        </w:rPr>
        <w:t xml:space="preserve">product and options </w:t>
      </w:r>
      <w:r w:rsidR="009A0F6F" w:rsidRPr="00DC0854">
        <w:rPr>
          <w:rFonts w:eastAsia="Times New Roman" w:cs="Arial"/>
          <w:color w:val="000000"/>
          <w:sz w:val="20"/>
          <w:szCs w:val="20"/>
          <w:lang w:eastAsia="en-AU"/>
        </w:rPr>
        <w:t xml:space="preserve">a representative sample of </w:t>
      </w:r>
      <w:r w:rsidR="00370F27" w:rsidRPr="00DC0854">
        <w:rPr>
          <w:rFonts w:eastAsia="Times New Roman" w:cs="Arial"/>
          <w:color w:val="000000"/>
          <w:sz w:val="20"/>
          <w:szCs w:val="20"/>
          <w:lang w:eastAsia="en-AU"/>
        </w:rPr>
        <w:lastRenderedPageBreak/>
        <w:t xml:space="preserve">fully </w:t>
      </w:r>
      <w:r w:rsidR="009A0F6F" w:rsidRPr="00DC0854">
        <w:rPr>
          <w:rFonts w:eastAsia="Times New Roman" w:cs="Arial"/>
          <w:color w:val="000000"/>
          <w:sz w:val="20"/>
          <w:szCs w:val="20"/>
          <w:lang w:eastAsia="en-AU"/>
        </w:rPr>
        <w:t xml:space="preserve">informed employees </w:t>
      </w:r>
      <w:r w:rsidR="00370F27" w:rsidRPr="00DC0854">
        <w:rPr>
          <w:rFonts w:eastAsia="Times New Roman" w:cs="Arial"/>
          <w:color w:val="000000"/>
          <w:sz w:val="20"/>
          <w:szCs w:val="20"/>
          <w:lang w:eastAsia="en-AU"/>
        </w:rPr>
        <w:t xml:space="preserve">would choose if required to choose, </w:t>
      </w:r>
      <w:r w:rsidR="009A0F6F" w:rsidRPr="00DC0854">
        <w:rPr>
          <w:rFonts w:eastAsia="Times New Roman" w:cs="Arial"/>
          <w:color w:val="000000"/>
          <w:sz w:val="20"/>
          <w:szCs w:val="20"/>
          <w:lang w:eastAsia="en-AU"/>
        </w:rPr>
        <w:t>and to identify cohorts that cluste</w:t>
      </w:r>
      <w:r w:rsidR="00E25AB6" w:rsidRPr="00DC0854">
        <w:rPr>
          <w:rFonts w:eastAsia="Times New Roman" w:cs="Arial"/>
          <w:color w:val="000000"/>
          <w:sz w:val="20"/>
          <w:szCs w:val="20"/>
          <w:lang w:eastAsia="en-AU"/>
        </w:rPr>
        <w:t xml:space="preserve">r around the same preferences. </w:t>
      </w:r>
    </w:p>
    <w:p w14:paraId="6AA47F8D" w14:textId="77777777" w:rsidR="00272455" w:rsidRPr="00DC0854" w:rsidRDefault="00272455" w:rsidP="008C05AB">
      <w:pPr>
        <w:spacing w:line="240" w:lineRule="auto"/>
        <w:rPr>
          <w:rFonts w:eastAsia="Times New Roman" w:cs="Arial"/>
          <w:color w:val="000000"/>
          <w:sz w:val="20"/>
          <w:szCs w:val="20"/>
          <w:lang w:eastAsia="en-AU"/>
        </w:rPr>
      </w:pPr>
    </w:p>
    <w:p w14:paraId="43BE215C" w14:textId="4DEDC447" w:rsidR="008C05AB" w:rsidRPr="00DC0854" w:rsidRDefault="009A0F6F" w:rsidP="008C05AB">
      <w:p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 xml:space="preserve">However, we suspect </w:t>
      </w:r>
      <w:r w:rsidR="00370F27" w:rsidRPr="00DC0854">
        <w:rPr>
          <w:rFonts w:eastAsia="Times New Roman" w:cs="Arial"/>
          <w:color w:val="000000"/>
          <w:sz w:val="20"/>
          <w:szCs w:val="20"/>
          <w:lang w:eastAsia="en-AU"/>
        </w:rPr>
        <w:t xml:space="preserve">that employees would be segmented along age </w:t>
      </w:r>
      <w:r w:rsidR="00D10236" w:rsidRPr="00DC0854">
        <w:rPr>
          <w:rFonts w:eastAsia="Times New Roman" w:cs="Arial"/>
          <w:color w:val="000000"/>
          <w:sz w:val="20"/>
          <w:szCs w:val="20"/>
          <w:lang w:eastAsia="en-AU"/>
        </w:rPr>
        <w:t>marital stat</w:t>
      </w:r>
      <w:r w:rsidR="00D10236" w:rsidRPr="00FD1026">
        <w:rPr>
          <w:rFonts w:eastAsia="Times New Roman" w:cs="Arial"/>
          <w:color w:val="000000"/>
          <w:sz w:val="20"/>
          <w:szCs w:val="20"/>
          <w:lang w:eastAsia="en-AU"/>
        </w:rPr>
        <w:t xml:space="preserve">us, number and age of children </w:t>
      </w:r>
      <w:r w:rsidR="00E25AB6" w:rsidRPr="00DC0854">
        <w:rPr>
          <w:rFonts w:eastAsia="Times New Roman" w:cs="Arial"/>
          <w:color w:val="000000"/>
          <w:sz w:val="20"/>
          <w:szCs w:val="20"/>
          <w:lang w:eastAsia="en-AU"/>
        </w:rPr>
        <w:t>and income lines</w:t>
      </w:r>
      <w:r w:rsidR="003208BA" w:rsidRPr="00DC0854">
        <w:rPr>
          <w:rFonts w:eastAsia="Times New Roman" w:cs="Arial"/>
          <w:color w:val="000000"/>
          <w:sz w:val="20"/>
          <w:szCs w:val="20"/>
          <w:lang w:eastAsia="en-AU"/>
        </w:rPr>
        <w:t xml:space="preserve"> (and, in connection with insurance, occupation</w:t>
      </w:r>
      <w:r w:rsidR="00C550AB" w:rsidRPr="00DC0854">
        <w:rPr>
          <w:rFonts w:eastAsia="Times New Roman" w:cs="Arial"/>
          <w:color w:val="000000"/>
          <w:sz w:val="20"/>
          <w:szCs w:val="20"/>
          <w:lang w:eastAsia="en-AU"/>
        </w:rPr>
        <w:t xml:space="preserve"> lines too</w:t>
      </w:r>
      <w:r w:rsidR="003208BA" w:rsidRPr="00DC0854">
        <w:rPr>
          <w:rFonts w:eastAsia="Times New Roman" w:cs="Arial"/>
          <w:color w:val="000000"/>
          <w:sz w:val="20"/>
          <w:szCs w:val="20"/>
          <w:lang w:eastAsia="en-AU"/>
        </w:rPr>
        <w:t>)</w:t>
      </w:r>
      <w:r w:rsidR="00E25AB6" w:rsidRPr="00DC0854">
        <w:rPr>
          <w:rFonts w:eastAsia="Times New Roman" w:cs="Arial"/>
          <w:color w:val="000000"/>
          <w:sz w:val="20"/>
          <w:szCs w:val="20"/>
          <w:lang w:eastAsia="en-AU"/>
        </w:rPr>
        <w:t xml:space="preserve">. </w:t>
      </w:r>
      <w:r w:rsidR="00272455" w:rsidRPr="00DC0854">
        <w:rPr>
          <w:rFonts w:eastAsia="Times New Roman" w:cs="Arial"/>
          <w:color w:val="000000"/>
          <w:sz w:val="20"/>
          <w:szCs w:val="20"/>
          <w:lang w:eastAsia="en-AU"/>
        </w:rPr>
        <w:t>It is possible there are other characteristics that explain preferences.</w:t>
      </w:r>
    </w:p>
    <w:p w14:paraId="701297CB" w14:textId="77777777" w:rsidR="00DA2099" w:rsidRPr="00DC0854" w:rsidRDefault="00DA2099" w:rsidP="008C05AB">
      <w:pPr>
        <w:spacing w:line="240" w:lineRule="auto"/>
        <w:rPr>
          <w:rFonts w:eastAsia="Times New Roman" w:cs="Arial"/>
          <w:color w:val="000000"/>
          <w:sz w:val="20"/>
          <w:szCs w:val="20"/>
          <w:lang w:eastAsia="en-AU"/>
        </w:rPr>
      </w:pPr>
    </w:p>
    <w:p w14:paraId="03F98985" w14:textId="77777777" w:rsidR="004C70B7" w:rsidRPr="00DC0854" w:rsidRDefault="00DA2099" w:rsidP="008C05AB">
      <w:p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 xml:space="preserve">As already mentioned, the benefit of this approach is </w:t>
      </w:r>
      <w:r w:rsidR="00EF6FC4" w:rsidRPr="00DC0854">
        <w:rPr>
          <w:rFonts w:eastAsia="Times New Roman" w:cs="Arial"/>
          <w:color w:val="000000"/>
          <w:sz w:val="20"/>
          <w:szCs w:val="20"/>
          <w:lang w:eastAsia="en-AU"/>
        </w:rPr>
        <w:t xml:space="preserve">the </w:t>
      </w:r>
      <w:r w:rsidRPr="00DC0854">
        <w:rPr>
          <w:rFonts w:eastAsia="Times New Roman" w:cs="Arial"/>
          <w:color w:val="000000"/>
          <w:sz w:val="20"/>
          <w:szCs w:val="20"/>
          <w:lang w:eastAsia="en-AU"/>
        </w:rPr>
        <w:t xml:space="preserve">increase in alignment of employee preferences with the product chosen. The cost is that of extra research to identify relevant characteristics. </w:t>
      </w:r>
    </w:p>
    <w:p w14:paraId="7967424C" w14:textId="77777777" w:rsidR="005A2563" w:rsidRPr="00DC0854" w:rsidRDefault="005A2563" w:rsidP="008C05AB">
      <w:pPr>
        <w:spacing w:line="240" w:lineRule="auto"/>
        <w:rPr>
          <w:rFonts w:eastAsia="Times New Roman" w:cs="Arial"/>
          <w:color w:val="000000"/>
          <w:sz w:val="20"/>
          <w:szCs w:val="20"/>
          <w:lang w:eastAsia="en-AU"/>
        </w:rPr>
      </w:pPr>
    </w:p>
    <w:p w14:paraId="103A192B" w14:textId="26BD3894" w:rsidR="0083779D" w:rsidRPr="00DC0854" w:rsidRDefault="00C77574" w:rsidP="008C05AB">
      <w:p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 xml:space="preserve">An alternative approach </w:t>
      </w:r>
      <w:r w:rsidR="00040D83" w:rsidRPr="00DC0854">
        <w:rPr>
          <w:rFonts w:eastAsia="Times New Roman" w:cs="Arial"/>
          <w:color w:val="000000"/>
          <w:sz w:val="20"/>
          <w:szCs w:val="20"/>
          <w:lang w:eastAsia="en-AU"/>
        </w:rPr>
        <w:t xml:space="preserve">is to assess </w:t>
      </w:r>
      <w:r w:rsidR="006E1186" w:rsidRPr="00DC0854">
        <w:rPr>
          <w:rFonts w:eastAsia="Times New Roman" w:cs="Arial"/>
          <w:color w:val="000000"/>
          <w:sz w:val="20"/>
          <w:szCs w:val="20"/>
          <w:lang w:eastAsia="en-AU"/>
        </w:rPr>
        <w:t>employees</w:t>
      </w:r>
      <w:r w:rsidR="00040D83" w:rsidRPr="00DC0854">
        <w:rPr>
          <w:rFonts w:eastAsia="Times New Roman" w:cs="Arial"/>
          <w:color w:val="000000"/>
          <w:sz w:val="20"/>
          <w:szCs w:val="20"/>
          <w:lang w:eastAsia="en-AU"/>
        </w:rPr>
        <w:t xml:space="preserve"> </w:t>
      </w:r>
      <w:r w:rsidR="008210BB">
        <w:rPr>
          <w:rFonts w:eastAsia="Times New Roman" w:cs="Arial"/>
          <w:color w:val="000000"/>
          <w:sz w:val="20"/>
          <w:szCs w:val="20"/>
          <w:lang w:eastAsia="en-AU"/>
        </w:rPr>
        <w:t xml:space="preserve">on an employer-by-employer basis, </w:t>
      </w:r>
      <w:r w:rsidR="00040D83" w:rsidRPr="00DC0854">
        <w:rPr>
          <w:rFonts w:eastAsia="Times New Roman" w:cs="Arial"/>
          <w:color w:val="000000"/>
          <w:sz w:val="20"/>
          <w:szCs w:val="20"/>
          <w:lang w:eastAsia="en-AU"/>
        </w:rPr>
        <w:t>to decide what procedure</w:t>
      </w:r>
      <w:r w:rsidR="00E2741E" w:rsidRPr="00DC0854">
        <w:rPr>
          <w:rFonts w:eastAsia="Times New Roman" w:cs="Arial"/>
          <w:color w:val="000000"/>
          <w:sz w:val="20"/>
          <w:szCs w:val="20"/>
          <w:lang w:eastAsia="en-AU"/>
        </w:rPr>
        <w:t>s</w:t>
      </w:r>
      <w:r w:rsidR="00040D83" w:rsidRPr="00DC0854">
        <w:rPr>
          <w:rFonts w:eastAsia="Times New Roman" w:cs="Arial"/>
          <w:color w:val="000000"/>
          <w:sz w:val="20"/>
          <w:szCs w:val="20"/>
          <w:lang w:eastAsia="en-AU"/>
        </w:rPr>
        <w:t xml:space="preserve"> shou</w:t>
      </w:r>
      <w:r w:rsidR="00353529" w:rsidRPr="00DC0854">
        <w:rPr>
          <w:rFonts w:eastAsia="Times New Roman" w:cs="Arial"/>
          <w:color w:val="000000"/>
          <w:sz w:val="20"/>
          <w:szCs w:val="20"/>
          <w:lang w:eastAsia="en-AU"/>
        </w:rPr>
        <w:t xml:space="preserve">ld apply for determining how </w:t>
      </w:r>
      <w:r w:rsidR="00040D83" w:rsidRPr="00DC0854">
        <w:rPr>
          <w:rFonts w:eastAsia="Times New Roman" w:cs="Arial"/>
          <w:color w:val="000000"/>
          <w:sz w:val="20"/>
          <w:szCs w:val="20"/>
          <w:lang w:eastAsia="en-AU"/>
        </w:rPr>
        <w:t>employee</w:t>
      </w:r>
      <w:r w:rsidR="00353529" w:rsidRPr="00DC0854">
        <w:rPr>
          <w:rFonts w:eastAsia="Times New Roman" w:cs="Arial"/>
          <w:color w:val="000000"/>
          <w:sz w:val="20"/>
          <w:szCs w:val="20"/>
          <w:lang w:eastAsia="en-AU"/>
        </w:rPr>
        <w:t>s who do</w:t>
      </w:r>
      <w:r w:rsidR="00040D83" w:rsidRPr="00DC0854">
        <w:rPr>
          <w:rFonts w:eastAsia="Times New Roman" w:cs="Arial"/>
          <w:color w:val="000000"/>
          <w:sz w:val="20"/>
          <w:szCs w:val="20"/>
          <w:lang w:eastAsia="en-AU"/>
        </w:rPr>
        <w:t>n’t make an active choice should be allocated to a superannuation product.</w:t>
      </w:r>
      <w:r w:rsidR="00371585" w:rsidRPr="00DC0854">
        <w:rPr>
          <w:rFonts w:eastAsia="Times New Roman" w:cs="Arial"/>
          <w:color w:val="000000"/>
          <w:sz w:val="20"/>
          <w:szCs w:val="20"/>
          <w:lang w:eastAsia="en-AU"/>
        </w:rPr>
        <w:t xml:space="preserve"> While this approach might not be as r</w:t>
      </w:r>
      <w:r w:rsidR="004E6F27" w:rsidRPr="00DC0854">
        <w:rPr>
          <w:rFonts w:eastAsia="Times New Roman" w:cs="Arial"/>
          <w:color w:val="000000"/>
          <w:sz w:val="20"/>
          <w:szCs w:val="20"/>
          <w:lang w:eastAsia="en-AU"/>
        </w:rPr>
        <w:t>igorous as the development of a</w:t>
      </w:r>
      <w:r w:rsidR="00371585" w:rsidRPr="00DC0854">
        <w:rPr>
          <w:rFonts w:eastAsia="Times New Roman" w:cs="Arial"/>
          <w:color w:val="000000"/>
          <w:sz w:val="20"/>
          <w:szCs w:val="20"/>
          <w:lang w:eastAsia="en-AU"/>
        </w:rPr>
        <w:t xml:space="preserve"> </w:t>
      </w:r>
      <w:r w:rsidR="003C611D" w:rsidRPr="00DC0854">
        <w:rPr>
          <w:rFonts w:eastAsia="Times New Roman" w:cs="Arial"/>
          <w:color w:val="000000"/>
          <w:sz w:val="20"/>
          <w:szCs w:val="20"/>
          <w:lang w:eastAsia="en-AU"/>
        </w:rPr>
        <w:t xml:space="preserve">mathematical </w:t>
      </w:r>
      <w:r w:rsidR="00371585" w:rsidRPr="00DC0854">
        <w:rPr>
          <w:rFonts w:eastAsia="Times New Roman" w:cs="Arial"/>
          <w:color w:val="000000"/>
          <w:sz w:val="20"/>
          <w:szCs w:val="20"/>
          <w:lang w:eastAsia="en-AU"/>
        </w:rPr>
        <w:t xml:space="preserve">allocation model that is based on employees nationally, </w:t>
      </w:r>
      <w:r w:rsidR="002607D0" w:rsidRPr="00DC0854">
        <w:rPr>
          <w:rFonts w:eastAsia="Times New Roman" w:cs="Arial"/>
          <w:color w:val="000000"/>
          <w:sz w:val="20"/>
          <w:szCs w:val="20"/>
          <w:lang w:eastAsia="en-AU"/>
        </w:rPr>
        <w:t xml:space="preserve">a local assessment would be more </w:t>
      </w:r>
      <w:r w:rsidR="00371D8F" w:rsidRPr="00DC0854">
        <w:rPr>
          <w:rFonts w:eastAsia="Times New Roman" w:cs="Arial"/>
          <w:color w:val="000000"/>
          <w:sz w:val="20"/>
          <w:szCs w:val="20"/>
          <w:lang w:eastAsia="en-AU"/>
        </w:rPr>
        <w:t>accommodating of</w:t>
      </w:r>
      <w:r w:rsidR="002607D0" w:rsidRPr="00DC0854">
        <w:rPr>
          <w:rFonts w:eastAsia="Times New Roman" w:cs="Arial"/>
          <w:color w:val="000000"/>
          <w:sz w:val="20"/>
          <w:szCs w:val="20"/>
          <w:lang w:eastAsia="en-AU"/>
        </w:rPr>
        <w:t xml:space="preserve"> the peculiarities of the particular group of employees. </w:t>
      </w:r>
    </w:p>
    <w:p w14:paraId="11144894" w14:textId="77777777" w:rsidR="0083779D" w:rsidRPr="00DC0854" w:rsidRDefault="0083779D" w:rsidP="008C05AB">
      <w:pPr>
        <w:spacing w:line="240" w:lineRule="auto"/>
        <w:rPr>
          <w:rFonts w:eastAsia="Times New Roman" w:cs="Arial"/>
          <w:color w:val="000000"/>
          <w:sz w:val="20"/>
          <w:szCs w:val="20"/>
          <w:lang w:eastAsia="en-AU"/>
        </w:rPr>
      </w:pPr>
    </w:p>
    <w:p w14:paraId="66D8B20E" w14:textId="0166D340" w:rsidR="005C3348" w:rsidRPr="00DC0854" w:rsidRDefault="008D389D" w:rsidP="008C05AB">
      <w:p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 xml:space="preserve">We would encourage the Commission to assess both </w:t>
      </w:r>
      <w:r w:rsidR="002B69A6" w:rsidRPr="00DC0854">
        <w:rPr>
          <w:rFonts w:eastAsia="Times New Roman" w:cs="Arial"/>
          <w:color w:val="000000"/>
          <w:sz w:val="20"/>
          <w:szCs w:val="20"/>
          <w:lang w:eastAsia="en-AU"/>
        </w:rPr>
        <w:t>approaches</w:t>
      </w:r>
      <w:r w:rsidR="0083779D" w:rsidRPr="00DC0854">
        <w:rPr>
          <w:rFonts w:eastAsia="Times New Roman" w:cs="Arial"/>
          <w:color w:val="000000"/>
          <w:sz w:val="20"/>
          <w:szCs w:val="20"/>
          <w:lang w:eastAsia="en-AU"/>
        </w:rPr>
        <w:t xml:space="preserve">. However, in the meantime, we would support </w:t>
      </w:r>
      <w:r w:rsidR="00DD2196" w:rsidRPr="00DC0854">
        <w:rPr>
          <w:rFonts w:eastAsia="Times New Roman" w:cs="Arial"/>
          <w:color w:val="000000"/>
          <w:sz w:val="20"/>
          <w:szCs w:val="20"/>
          <w:lang w:eastAsia="en-AU"/>
        </w:rPr>
        <w:t xml:space="preserve">segmentation down to the level of the particular group of employees. In other words, we would </w:t>
      </w:r>
      <w:r w:rsidR="00C27AA3" w:rsidRPr="00DC0854">
        <w:rPr>
          <w:rFonts w:eastAsia="Times New Roman" w:cs="Arial"/>
          <w:color w:val="000000"/>
          <w:sz w:val="20"/>
          <w:szCs w:val="20"/>
          <w:lang w:eastAsia="en-AU"/>
        </w:rPr>
        <w:t xml:space="preserve">support being open to the possibility that </w:t>
      </w:r>
      <w:r w:rsidR="00C11F0B" w:rsidRPr="00DC0854">
        <w:rPr>
          <w:rFonts w:eastAsia="Times New Roman" w:cs="Arial"/>
          <w:color w:val="000000"/>
          <w:sz w:val="20"/>
          <w:szCs w:val="20"/>
          <w:lang w:eastAsia="en-AU"/>
        </w:rPr>
        <w:t>each</w:t>
      </w:r>
      <w:r w:rsidR="00C27AA3" w:rsidRPr="00DC0854">
        <w:rPr>
          <w:rFonts w:eastAsia="Times New Roman" w:cs="Arial"/>
          <w:color w:val="000000"/>
          <w:sz w:val="20"/>
          <w:szCs w:val="20"/>
          <w:lang w:eastAsia="en-AU"/>
        </w:rPr>
        <w:t xml:space="preserve"> particular group of employees is unique in a material way</w:t>
      </w:r>
      <w:r w:rsidR="00AB6DC9">
        <w:rPr>
          <w:rFonts w:eastAsia="Times New Roman" w:cs="Arial"/>
          <w:color w:val="000000"/>
          <w:sz w:val="20"/>
          <w:szCs w:val="20"/>
          <w:lang w:eastAsia="en-AU"/>
        </w:rPr>
        <w:t>, and that a well-designed plan can cater to such differences</w:t>
      </w:r>
      <w:r w:rsidR="00C27AA3" w:rsidRPr="00DC0854">
        <w:rPr>
          <w:rFonts w:eastAsia="Times New Roman" w:cs="Arial"/>
          <w:color w:val="000000"/>
          <w:sz w:val="20"/>
          <w:szCs w:val="20"/>
          <w:lang w:eastAsia="en-AU"/>
        </w:rPr>
        <w:t>.</w:t>
      </w:r>
      <w:r w:rsidR="00DD2196" w:rsidRPr="00DC0854">
        <w:rPr>
          <w:rFonts w:eastAsia="Times New Roman" w:cs="Arial"/>
          <w:color w:val="000000"/>
          <w:sz w:val="20"/>
          <w:szCs w:val="20"/>
          <w:lang w:eastAsia="en-AU"/>
        </w:rPr>
        <w:t xml:space="preserve"> </w:t>
      </w:r>
      <w:r w:rsidR="00E2741E" w:rsidRPr="00DC0854">
        <w:rPr>
          <w:rFonts w:eastAsia="Times New Roman" w:cs="Arial"/>
          <w:color w:val="000000"/>
          <w:sz w:val="20"/>
          <w:szCs w:val="20"/>
          <w:lang w:eastAsia="en-AU"/>
        </w:rPr>
        <w:t xml:space="preserve"> </w:t>
      </w:r>
    </w:p>
    <w:p w14:paraId="48AE1AE9" w14:textId="77777777" w:rsidR="008C05AB" w:rsidRPr="00DC0854" w:rsidRDefault="008C05AB" w:rsidP="00455360">
      <w:pPr>
        <w:pStyle w:val="Heading4"/>
        <w:numPr>
          <w:ilvl w:val="0"/>
          <w:numId w:val="12"/>
        </w:numPr>
        <w:rPr>
          <w:i w:val="0"/>
          <w:color w:val="auto"/>
          <w:sz w:val="20"/>
          <w:szCs w:val="20"/>
          <w:lang w:eastAsia="en-AU" w:bidi="en-US"/>
        </w:rPr>
      </w:pPr>
      <w:r w:rsidRPr="00DC0854">
        <w:rPr>
          <w:i w:val="0"/>
          <w:color w:val="auto"/>
          <w:sz w:val="20"/>
          <w:szCs w:val="20"/>
          <w:lang w:eastAsia="en-AU" w:bidi="en-US"/>
        </w:rPr>
        <w:t>Who should decide on which employees are allocated to which products, where multiple default products are chosen by the new allocative model?</w:t>
      </w:r>
    </w:p>
    <w:p w14:paraId="5A4B2DDE" w14:textId="77777777" w:rsidR="008C05AB" w:rsidRPr="00DC0854" w:rsidRDefault="008C05AB" w:rsidP="008C05AB">
      <w:pPr>
        <w:spacing w:line="240" w:lineRule="auto"/>
        <w:rPr>
          <w:rFonts w:eastAsia="Times New Roman" w:cs="Arial"/>
          <w:color w:val="000000"/>
          <w:sz w:val="20"/>
          <w:szCs w:val="20"/>
          <w:lang w:eastAsia="en-AU"/>
        </w:rPr>
      </w:pPr>
    </w:p>
    <w:p w14:paraId="112B7398" w14:textId="7D91654F" w:rsidR="008C05AB" w:rsidRPr="00DC0854" w:rsidRDefault="00272455" w:rsidP="008C05AB">
      <w:p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We strongly favour the employer (advised by a financial planner, where appropriate) to make this decision, as the employer knows their employees better than others.</w:t>
      </w:r>
      <w:r w:rsidR="00537DB5" w:rsidRPr="00DC0854">
        <w:rPr>
          <w:rFonts w:eastAsia="Times New Roman" w:cs="Arial"/>
          <w:color w:val="000000"/>
          <w:sz w:val="20"/>
          <w:szCs w:val="20"/>
          <w:lang w:eastAsia="en-AU"/>
        </w:rPr>
        <w:t xml:space="preserve"> This is because, as already mentioned, </w:t>
      </w:r>
      <w:r w:rsidR="00361A7A" w:rsidRPr="00DC0854">
        <w:rPr>
          <w:rFonts w:eastAsia="Times New Roman" w:cs="Arial"/>
          <w:color w:val="000000"/>
          <w:sz w:val="20"/>
          <w:szCs w:val="20"/>
          <w:lang w:eastAsia="en-AU"/>
        </w:rPr>
        <w:t>a local assessment would be more accommodating of the peculiarities of the particular group of employees.</w:t>
      </w:r>
    </w:p>
    <w:p w14:paraId="192224B5" w14:textId="77777777" w:rsidR="0014150A" w:rsidRPr="00DC0854" w:rsidRDefault="0014150A" w:rsidP="0014150A">
      <w:pPr>
        <w:pStyle w:val="Heading1"/>
        <w:rPr>
          <w:lang w:eastAsia="en-AU"/>
        </w:rPr>
      </w:pPr>
      <w:r w:rsidRPr="00DC0854">
        <w:rPr>
          <w:lang w:eastAsia="en-AU"/>
        </w:rPr>
        <w:t>Some options for an allocation model</w:t>
      </w:r>
    </w:p>
    <w:p w14:paraId="4DE6EE7F" w14:textId="77777777" w:rsidR="00CF1342" w:rsidRPr="00DC0854" w:rsidRDefault="00CF1342" w:rsidP="00455360">
      <w:pPr>
        <w:pStyle w:val="Heading4"/>
        <w:numPr>
          <w:ilvl w:val="0"/>
          <w:numId w:val="12"/>
        </w:numPr>
        <w:rPr>
          <w:i w:val="0"/>
          <w:color w:val="auto"/>
          <w:sz w:val="20"/>
          <w:szCs w:val="20"/>
          <w:lang w:eastAsia="en-AU" w:bidi="en-US"/>
        </w:rPr>
      </w:pPr>
      <w:r w:rsidRPr="00DC0854">
        <w:rPr>
          <w:i w:val="0"/>
          <w:color w:val="auto"/>
          <w:sz w:val="20"/>
          <w:szCs w:val="20"/>
          <w:lang w:eastAsia="en-AU" w:bidi="en-US"/>
        </w:rPr>
        <w:t>What other types of model, in addition to the three identified here, should the Commission consider in this inquiry?</w:t>
      </w:r>
    </w:p>
    <w:p w14:paraId="0F2D8646" w14:textId="77777777" w:rsidR="00E132F5" w:rsidRPr="00DC0854" w:rsidRDefault="00E132F5" w:rsidP="00DC0854">
      <w:pPr>
        <w:spacing w:line="240" w:lineRule="auto"/>
        <w:rPr>
          <w:rFonts w:eastAsia="Times New Roman" w:cs="Arial"/>
          <w:color w:val="000000"/>
          <w:sz w:val="20"/>
          <w:szCs w:val="20"/>
          <w:lang w:eastAsia="en-AU"/>
        </w:rPr>
      </w:pPr>
    </w:p>
    <w:p w14:paraId="05A65AB7" w14:textId="77777777" w:rsidR="00344F4D" w:rsidRPr="00DC0854" w:rsidRDefault="00102BB6" w:rsidP="00DC0854">
      <w:p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 xml:space="preserve">Employers are in the best position to decide default fund arrangements, based on the employer’s knowledge of their employee base. However, employer and employee preferences may not be aligned. </w:t>
      </w:r>
    </w:p>
    <w:p w14:paraId="55927CF9" w14:textId="77777777" w:rsidR="00344F4D" w:rsidRPr="00DC0854" w:rsidRDefault="00344F4D" w:rsidP="00DC0854">
      <w:pPr>
        <w:spacing w:line="240" w:lineRule="auto"/>
        <w:rPr>
          <w:rFonts w:eastAsia="Times New Roman" w:cs="Arial"/>
          <w:color w:val="000000"/>
          <w:sz w:val="20"/>
          <w:szCs w:val="20"/>
          <w:lang w:eastAsia="en-AU"/>
        </w:rPr>
      </w:pPr>
    </w:p>
    <w:p w14:paraId="2F586790" w14:textId="134A7DF4" w:rsidR="00102BB6" w:rsidRPr="00DC0854" w:rsidRDefault="00CC7223" w:rsidP="00DC0854">
      <w:p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The default fund should</w:t>
      </w:r>
      <w:r w:rsidR="00102BB6" w:rsidRPr="00DC0854">
        <w:rPr>
          <w:rFonts w:eastAsia="Times New Roman" w:cs="Arial"/>
          <w:color w:val="000000"/>
          <w:sz w:val="20"/>
          <w:szCs w:val="20"/>
          <w:lang w:eastAsia="en-AU"/>
        </w:rPr>
        <w:t xml:space="preserve"> provide investment options and ancillary services (such as life, </w:t>
      </w:r>
      <w:proofErr w:type="spellStart"/>
      <w:r w:rsidR="00102BB6" w:rsidRPr="00DC0854">
        <w:rPr>
          <w:rFonts w:eastAsia="Times New Roman" w:cs="Arial"/>
          <w:color w:val="000000"/>
          <w:sz w:val="20"/>
          <w:szCs w:val="20"/>
          <w:lang w:eastAsia="en-AU"/>
        </w:rPr>
        <w:t>TPD</w:t>
      </w:r>
      <w:proofErr w:type="spellEnd"/>
      <w:r w:rsidR="00102BB6" w:rsidRPr="00DC0854">
        <w:rPr>
          <w:rFonts w:eastAsia="Times New Roman" w:cs="Arial"/>
          <w:color w:val="000000"/>
          <w:sz w:val="20"/>
          <w:szCs w:val="20"/>
          <w:lang w:eastAsia="en-AU"/>
        </w:rPr>
        <w:t xml:space="preserve"> and IP insurance) that are appropriate for the demographics of the member base; and </w:t>
      </w:r>
      <w:r w:rsidRPr="00DC0854">
        <w:rPr>
          <w:rFonts w:eastAsia="Times New Roman" w:cs="Arial"/>
          <w:color w:val="000000"/>
          <w:sz w:val="20"/>
          <w:szCs w:val="20"/>
          <w:lang w:eastAsia="en-AU"/>
        </w:rPr>
        <w:t xml:space="preserve">insurance premiums and </w:t>
      </w:r>
      <w:r w:rsidR="00102BB6" w:rsidRPr="00DC0854">
        <w:rPr>
          <w:rFonts w:eastAsia="Times New Roman" w:cs="Arial"/>
          <w:color w:val="000000"/>
          <w:sz w:val="20"/>
          <w:szCs w:val="20"/>
          <w:lang w:eastAsia="en-AU"/>
        </w:rPr>
        <w:t xml:space="preserve">risk-adjusted </w:t>
      </w:r>
      <w:r w:rsidRPr="00DC0854">
        <w:rPr>
          <w:rFonts w:eastAsia="Times New Roman" w:cs="Arial"/>
          <w:color w:val="000000"/>
          <w:sz w:val="20"/>
          <w:szCs w:val="20"/>
          <w:lang w:eastAsia="en-AU"/>
        </w:rPr>
        <w:t xml:space="preserve">expected </w:t>
      </w:r>
      <w:r w:rsidR="00102BB6" w:rsidRPr="00DC0854">
        <w:rPr>
          <w:rFonts w:eastAsia="Times New Roman" w:cs="Arial"/>
          <w:color w:val="000000"/>
          <w:sz w:val="20"/>
          <w:szCs w:val="20"/>
          <w:lang w:eastAsia="en-AU"/>
        </w:rPr>
        <w:t>returns within acceptable limits of the relevant benchmark</w:t>
      </w:r>
      <w:r w:rsidRPr="00DC0854">
        <w:rPr>
          <w:rFonts w:eastAsia="Times New Roman" w:cs="Arial"/>
          <w:color w:val="000000"/>
          <w:sz w:val="20"/>
          <w:szCs w:val="20"/>
          <w:lang w:eastAsia="en-AU"/>
        </w:rPr>
        <w:t>s</w:t>
      </w:r>
      <w:r w:rsidR="00102BB6" w:rsidRPr="00DC0854">
        <w:rPr>
          <w:rFonts w:eastAsia="Times New Roman" w:cs="Arial"/>
          <w:color w:val="000000"/>
          <w:sz w:val="20"/>
          <w:szCs w:val="20"/>
          <w:lang w:eastAsia="en-AU"/>
        </w:rPr>
        <w:t>.</w:t>
      </w:r>
      <w:r w:rsidRPr="00DC0854">
        <w:rPr>
          <w:rFonts w:eastAsia="Times New Roman" w:cs="Arial"/>
          <w:color w:val="000000"/>
          <w:sz w:val="20"/>
          <w:szCs w:val="20"/>
          <w:lang w:eastAsia="en-AU"/>
        </w:rPr>
        <w:t xml:space="preserve"> We encourage the Commission to consider what arrangements are needed to ensure that, when choosing a default fund, each employer acts in the interests of their employees who don’t actively choose their superannuation fund.</w:t>
      </w:r>
    </w:p>
    <w:p w14:paraId="546A6EAF" w14:textId="77777777" w:rsidR="00DD45BB" w:rsidRPr="00DC0854" w:rsidRDefault="00DD45BB" w:rsidP="00DC0854">
      <w:pPr>
        <w:spacing w:line="240" w:lineRule="auto"/>
        <w:rPr>
          <w:rFonts w:eastAsia="Times New Roman" w:cs="Arial"/>
          <w:color w:val="000000"/>
          <w:sz w:val="20"/>
          <w:szCs w:val="20"/>
          <w:lang w:eastAsia="en-AU"/>
        </w:rPr>
      </w:pPr>
    </w:p>
    <w:p w14:paraId="6D89C897" w14:textId="64AFC803" w:rsidR="00102BB6" w:rsidRPr="00DC0854" w:rsidRDefault="000F18EA" w:rsidP="00DC0854">
      <w:p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Arrangements should</w:t>
      </w:r>
      <w:r w:rsidR="00102BB6" w:rsidRPr="00DC0854">
        <w:rPr>
          <w:rFonts w:eastAsia="Times New Roman" w:cs="Arial"/>
          <w:color w:val="000000"/>
          <w:sz w:val="20"/>
          <w:szCs w:val="20"/>
          <w:lang w:eastAsia="en-AU"/>
        </w:rPr>
        <w:t xml:space="preserve"> enhance demand-side pressures on providers (potentially pushing some out of the market)</w:t>
      </w:r>
      <w:r w:rsidRPr="00DC0854">
        <w:rPr>
          <w:rFonts w:eastAsia="Times New Roman" w:cs="Arial"/>
          <w:color w:val="000000"/>
          <w:sz w:val="20"/>
          <w:szCs w:val="20"/>
          <w:lang w:eastAsia="en-AU"/>
        </w:rPr>
        <w:t>,</w:t>
      </w:r>
      <w:r w:rsidR="00102BB6" w:rsidRPr="00DC0854">
        <w:rPr>
          <w:rFonts w:eastAsia="Times New Roman" w:cs="Arial"/>
          <w:color w:val="000000"/>
          <w:sz w:val="20"/>
          <w:szCs w:val="20"/>
          <w:lang w:eastAsia="en-AU"/>
        </w:rPr>
        <w:t xml:space="preserve"> but </w:t>
      </w:r>
      <w:r w:rsidRPr="00DC0854">
        <w:rPr>
          <w:rFonts w:eastAsia="Times New Roman" w:cs="Arial"/>
          <w:color w:val="000000"/>
          <w:sz w:val="20"/>
          <w:szCs w:val="20"/>
          <w:lang w:eastAsia="en-AU"/>
        </w:rPr>
        <w:t xml:space="preserve">not </w:t>
      </w:r>
      <w:r w:rsidR="00102BB6" w:rsidRPr="00DC0854">
        <w:rPr>
          <w:rFonts w:eastAsia="Times New Roman" w:cs="Arial"/>
          <w:color w:val="000000"/>
          <w:sz w:val="20"/>
          <w:szCs w:val="20"/>
          <w:lang w:eastAsia="en-AU"/>
        </w:rPr>
        <w:t xml:space="preserve">unduly restrict the number of eligible providers. </w:t>
      </w:r>
      <w:r w:rsidR="00882538">
        <w:rPr>
          <w:rFonts w:eastAsia="Times New Roman" w:cs="Arial"/>
          <w:color w:val="000000"/>
          <w:sz w:val="20"/>
          <w:szCs w:val="20"/>
          <w:lang w:eastAsia="en-AU"/>
        </w:rPr>
        <w:t>Further,</w:t>
      </w:r>
      <w:r w:rsidR="00102BB6" w:rsidRPr="00DC0854">
        <w:rPr>
          <w:rFonts w:eastAsia="Times New Roman" w:cs="Arial"/>
          <w:color w:val="000000"/>
          <w:sz w:val="20"/>
          <w:szCs w:val="20"/>
          <w:lang w:eastAsia="en-AU"/>
        </w:rPr>
        <w:t xml:space="preserve"> </w:t>
      </w:r>
      <w:r w:rsidRPr="00DC0854">
        <w:rPr>
          <w:rFonts w:eastAsia="Times New Roman" w:cs="Arial"/>
          <w:color w:val="000000"/>
          <w:sz w:val="20"/>
          <w:szCs w:val="20"/>
          <w:lang w:eastAsia="en-AU"/>
        </w:rPr>
        <w:t>arrangements should be</w:t>
      </w:r>
      <w:r w:rsidR="00102BB6" w:rsidRPr="00DC0854">
        <w:rPr>
          <w:rFonts w:eastAsia="Times New Roman" w:cs="Arial"/>
          <w:color w:val="000000"/>
          <w:sz w:val="20"/>
          <w:szCs w:val="20"/>
          <w:lang w:eastAsia="en-AU"/>
        </w:rPr>
        <w:t xml:space="preserve"> sufficiently flexible to allow employers/</w:t>
      </w:r>
      <w:r w:rsidR="007E20EF" w:rsidRPr="00DC0854">
        <w:rPr>
          <w:rFonts w:eastAsia="Times New Roman" w:cs="Arial"/>
          <w:color w:val="000000"/>
          <w:sz w:val="20"/>
          <w:szCs w:val="20"/>
          <w:lang w:eastAsia="en-AU"/>
        </w:rPr>
        <w:t>financial planner</w:t>
      </w:r>
      <w:r w:rsidRPr="00DC0854">
        <w:rPr>
          <w:rFonts w:eastAsia="Times New Roman" w:cs="Arial"/>
          <w:color w:val="000000"/>
          <w:sz w:val="20"/>
          <w:szCs w:val="20"/>
          <w:lang w:eastAsia="en-AU"/>
        </w:rPr>
        <w:t>s</w:t>
      </w:r>
      <w:r w:rsidR="00102BB6" w:rsidRPr="00DC0854">
        <w:rPr>
          <w:rFonts w:eastAsia="Times New Roman" w:cs="Arial"/>
          <w:color w:val="000000"/>
          <w:sz w:val="20"/>
          <w:szCs w:val="20"/>
          <w:lang w:eastAsia="en-AU"/>
        </w:rPr>
        <w:t xml:space="preserve"> to</w:t>
      </w:r>
      <w:r w:rsidR="007E20EF" w:rsidRPr="00DC0854">
        <w:rPr>
          <w:rFonts w:eastAsia="Times New Roman" w:cs="Arial"/>
          <w:color w:val="000000"/>
          <w:sz w:val="20"/>
          <w:szCs w:val="20"/>
          <w:lang w:eastAsia="en-AU"/>
        </w:rPr>
        <w:t xml:space="preserve"> align the fees, performance and</w:t>
      </w:r>
      <w:r w:rsidR="00102BB6" w:rsidRPr="00DC0854">
        <w:rPr>
          <w:rFonts w:eastAsia="Times New Roman" w:cs="Arial"/>
          <w:color w:val="000000"/>
          <w:sz w:val="20"/>
          <w:szCs w:val="20"/>
          <w:lang w:eastAsia="en-AU"/>
        </w:rPr>
        <w:t xml:space="preserve"> </w:t>
      </w:r>
      <w:r w:rsidR="007B63DF" w:rsidRPr="00DC0854">
        <w:rPr>
          <w:rFonts w:eastAsia="Times New Roman" w:cs="Arial"/>
          <w:color w:val="000000"/>
          <w:sz w:val="20"/>
          <w:szCs w:val="20"/>
          <w:lang w:eastAsia="en-AU"/>
        </w:rPr>
        <w:t>non-financial attributes of the fund</w:t>
      </w:r>
      <w:r w:rsidR="00102BB6" w:rsidRPr="00DC0854">
        <w:rPr>
          <w:rFonts w:eastAsia="Times New Roman" w:cs="Arial"/>
          <w:color w:val="000000"/>
          <w:sz w:val="20"/>
          <w:szCs w:val="20"/>
          <w:lang w:eastAsia="en-AU"/>
        </w:rPr>
        <w:t xml:space="preserve"> </w:t>
      </w:r>
      <w:r w:rsidR="007B63DF" w:rsidRPr="00DC0854">
        <w:rPr>
          <w:rFonts w:eastAsia="Times New Roman" w:cs="Arial"/>
          <w:color w:val="000000"/>
          <w:sz w:val="20"/>
          <w:szCs w:val="20"/>
          <w:lang w:eastAsia="en-AU"/>
        </w:rPr>
        <w:t>with</w:t>
      </w:r>
      <w:r w:rsidR="00102BB6" w:rsidRPr="00DC0854">
        <w:rPr>
          <w:rFonts w:eastAsia="Times New Roman" w:cs="Arial"/>
          <w:color w:val="000000"/>
          <w:sz w:val="20"/>
          <w:szCs w:val="20"/>
          <w:lang w:eastAsia="en-AU"/>
        </w:rPr>
        <w:t xml:space="preserve"> the </w:t>
      </w:r>
      <w:r w:rsidR="007B63DF" w:rsidRPr="00DC0854">
        <w:rPr>
          <w:rFonts w:eastAsia="Times New Roman" w:cs="Arial"/>
          <w:color w:val="000000"/>
          <w:sz w:val="20"/>
          <w:szCs w:val="20"/>
          <w:lang w:eastAsia="en-AU"/>
        </w:rPr>
        <w:t xml:space="preserve">particular group of </w:t>
      </w:r>
      <w:r w:rsidR="00102BB6" w:rsidRPr="00DC0854">
        <w:rPr>
          <w:rFonts w:eastAsia="Times New Roman" w:cs="Arial"/>
          <w:color w:val="000000"/>
          <w:sz w:val="20"/>
          <w:szCs w:val="20"/>
          <w:lang w:eastAsia="en-AU"/>
        </w:rPr>
        <w:t>employee</w:t>
      </w:r>
      <w:r w:rsidR="007B63DF" w:rsidRPr="00DC0854">
        <w:rPr>
          <w:rFonts w:eastAsia="Times New Roman" w:cs="Arial"/>
          <w:color w:val="000000"/>
          <w:sz w:val="20"/>
          <w:szCs w:val="20"/>
          <w:lang w:eastAsia="en-AU"/>
        </w:rPr>
        <w:t>s.</w:t>
      </w:r>
    </w:p>
    <w:p w14:paraId="122518C7" w14:textId="77777777" w:rsidR="00DD45BB" w:rsidRPr="00DC0854" w:rsidRDefault="00DD45BB" w:rsidP="00DC0854">
      <w:pPr>
        <w:spacing w:line="240" w:lineRule="auto"/>
        <w:rPr>
          <w:rFonts w:eastAsia="Times New Roman" w:cs="Arial"/>
          <w:color w:val="000000"/>
          <w:sz w:val="20"/>
          <w:szCs w:val="20"/>
          <w:lang w:eastAsia="en-AU"/>
        </w:rPr>
      </w:pPr>
    </w:p>
    <w:p w14:paraId="34343EAB" w14:textId="2B4CB475" w:rsidR="00DD45BB" w:rsidRPr="00DC0854" w:rsidRDefault="001C3063" w:rsidP="00DC0854">
      <w:p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As discussed above, a</w:t>
      </w:r>
      <w:r w:rsidR="00102BB6" w:rsidRPr="00DC0854">
        <w:rPr>
          <w:rFonts w:eastAsia="Times New Roman" w:cs="Arial"/>
          <w:color w:val="000000"/>
          <w:sz w:val="20"/>
          <w:szCs w:val="20"/>
          <w:lang w:eastAsia="en-AU"/>
        </w:rPr>
        <w:t xml:space="preserve">ll products in the market should be eligible to be a default fund. </w:t>
      </w:r>
      <w:r w:rsidR="00477FF0" w:rsidRPr="00DC0854">
        <w:rPr>
          <w:rFonts w:eastAsia="Times New Roman" w:cs="Arial"/>
          <w:color w:val="000000"/>
          <w:sz w:val="20"/>
          <w:szCs w:val="20"/>
          <w:lang w:eastAsia="en-AU"/>
        </w:rPr>
        <w:t xml:space="preserve">With </w:t>
      </w:r>
      <w:r w:rsidR="00F55B82" w:rsidRPr="00DC0854">
        <w:rPr>
          <w:rFonts w:eastAsia="Times New Roman" w:cs="Arial"/>
          <w:color w:val="000000"/>
          <w:sz w:val="20"/>
          <w:szCs w:val="20"/>
          <w:lang w:eastAsia="en-AU"/>
        </w:rPr>
        <w:t xml:space="preserve">proper </w:t>
      </w:r>
      <w:r w:rsidR="00477FF0" w:rsidRPr="00DC0854">
        <w:rPr>
          <w:rFonts w:eastAsia="Times New Roman" w:cs="Arial"/>
          <w:color w:val="000000"/>
          <w:sz w:val="20"/>
          <w:szCs w:val="20"/>
          <w:lang w:eastAsia="en-AU"/>
        </w:rPr>
        <w:t>demand-side pressure from employers</w:t>
      </w:r>
      <w:r w:rsidR="00580E1D" w:rsidRPr="00DC0854">
        <w:rPr>
          <w:rFonts w:eastAsia="Times New Roman" w:cs="Arial"/>
          <w:color w:val="000000"/>
          <w:sz w:val="20"/>
          <w:szCs w:val="20"/>
          <w:lang w:eastAsia="en-AU"/>
        </w:rPr>
        <w:t>,</w:t>
      </w:r>
      <w:r w:rsidR="00477FF0" w:rsidRPr="00DC0854">
        <w:rPr>
          <w:rFonts w:eastAsia="Times New Roman" w:cs="Arial"/>
          <w:color w:val="000000"/>
          <w:sz w:val="20"/>
          <w:szCs w:val="20"/>
          <w:lang w:eastAsia="en-AU"/>
        </w:rPr>
        <w:t xml:space="preserve"> and </w:t>
      </w:r>
      <w:r w:rsidR="001805E7" w:rsidRPr="00DC0854">
        <w:rPr>
          <w:rFonts w:eastAsia="Times New Roman" w:cs="Arial"/>
          <w:color w:val="000000"/>
          <w:sz w:val="20"/>
          <w:szCs w:val="20"/>
          <w:lang w:eastAsia="en-AU"/>
        </w:rPr>
        <w:t xml:space="preserve">the removal of </w:t>
      </w:r>
      <w:proofErr w:type="spellStart"/>
      <w:r w:rsidR="001805E7" w:rsidRPr="00DC0854">
        <w:rPr>
          <w:rFonts w:eastAsia="Times New Roman" w:cs="Arial"/>
          <w:color w:val="000000"/>
          <w:sz w:val="20"/>
          <w:szCs w:val="20"/>
          <w:lang w:eastAsia="en-AU"/>
        </w:rPr>
        <w:t>anti-competitive</w:t>
      </w:r>
      <w:proofErr w:type="spellEnd"/>
      <w:r w:rsidR="001805E7" w:rsidRPr="00DC0854">
        <w:rPr>
          <w:rFonts w:eastAsia="Times New Roman" w:cs="Arial"/>
          <w:color w:val="000000"/>
          <w:sz w:val="20"/>
          <w:szCs w:val="20"/>
          <w:lang w:eastAsia="en-AU"/>
        </w:rPr>
        <w:t xml:space="preserve"> arrangements such as default funds being dictated by awards, there </w:t>
      </w:r>
      <w:r w:rsidR="00580E1D" w:rsidRPr="00DC0854">
        <w:rPr>
          <w:rFonts w:eastAsia="Times New Roman" w:cs="Arial"/>
          <w:color w:val="000000"/>
          <w:sz w:val="20"/>
          <w:szCs w:val="20"/>
          <w:lang w:eastAsia="en-AU"/>
        </w:rPr>
        <w:t>would</w:t>
      </w:r>
      <w:r w:rsidR="001805E7" w:rsidRPr="00DC0854">
        <w:rPr>
          <w:rFonts w:eastAsia="Times New Roman" w:cs="Arial"/>
          <w:color w:val="000000"/>
          <w:sz w:val="20"/>
          <w:szCs w:val="20"/>
          <w:lang w:eastAsia="en-AU"/>
        </w:rPr>
        <w:t xml:space="preserve"> no longer a persuasive reason to restrict the range of eligible default funds.</w:t>
      </w:r>
    </w:p>
    <w:p w14:paraId="0BEC867C" w14:textId="77777777" w:rsidR="003B5A93" w:rsidRPr="00DC0854" w:rsidRDefault="003B5A93" w:rsidP="00DC0854">
      <w:pPr>
        <w:spacing w:line="240" w:lineRule="auto"/>
        <w:rPr>
          <w:rFonts w:eastAsia="Times New Roman" w:cs="Arial"/>
          <w:color w:val="000000"/>
          <w:sz w:val="20"/>
          <w:szCs w:val="20"/>
          <w:lang w:eastAsia="en-AU"/>
        </w:rPr>
      </w:pPr>
    </w:p>
    <w:p w14:paraId="347E7046" w14:textId="482C99D6" w:rsidR="008F277E" w:rsidRPr="00DC0854" w:rsidRDefault="008F277E" w:rsidP="00DC0854">
      <w:p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lastRenderedPageBreak/>
        <w:t xml:space="preserve">Metrics </w:t>
      </w:r>
      <w:r w:rsidR="00DF714B" w:rsidRPr="00DC0854">
        <w:rPr>
          <w:rFonts w:eastAsia="Times New Roman" w:cs="Arial"/>
          <w:color w:val="000000"/>
          <w:sz w:val="20"/>
          <w:szCs w:val="20"/>
          <w:lang w:eastAsia="en-AU"/>
        </w:rPr>
        <w:t>that employers should consider in choosing a fund include</w:t>
      </w:r>
      <w:r w:rsidRPr="00DC0854">
        <w:rPr>
          <w:rFonts w:eastAsia="Times New Roman" w:cs="Arial"/>
          <w:color w:val="000000"/>
          <w:sz w:val="20"/>
          <w:szCs w:val="20"/>
          <w:lang w:eastAsia="en-AU"/>
        </w:rPr>
        <w:t>:</w:t>
      </w:r>
    </w:p>
    <w:p w14:paraId="71A60458" w14:textId="721677F6" w:rsidR="008F277E" w:rsidRPr="00DC0854" w:rsidRDefault="008F277E" w:rsidP="00DC0854">
      <w:pPr>
        <w:pStyle w:val="ListParagraph"/>
        <w:numPr>
          <w:ilvl w:val="0"/>
          <w:numId w:val="23"/>
        </w:num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Long-term returns (net of fees) compared to an appropriate benchmark</w:t>
      </w:r>
    </w:p>
    <w:p w14:paraId="090198C9" w14:textId="77777777" w:rsidR="008F277E" w:rsidRPr="00DC0854" w:rsidRDefault="008F277E" w:rsidP="00DC0854">
      <w:pPr>
        <w:pStyle w:val="ListParagraph"/>
        <w:numPr>
          <w:ilvl w:val="0"/>
          <w:numId w:val="23"/>
        </w:num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Risk premium for insurance for each cohort for each type of cover</w:t>
      </w:r>
    </w:p>
    <w:p w14:paraId="1D4F1164" w14:textId="77777777" w:rsidR="008F277E" w:rsidRPr="00DC0854" w:rsidRDefault="008F277E" w:rsidP="00DC0854">
      <w:pPr>
        <w:pStyle w:val="ListParagraph"/>
        <w:numPr>
          <w:ilvl w:val="0"/>
          <w:numId w:val="23"/>
        </w:num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Scope of insurance for each cohort for each type of cover</w:t>
      </w:r>
    </w:p>
    <w:p w14:paraId="7D5AEFE8" w14:textId="77777777" w:rsidR="008F277E" w:rsidRPr="00DC0854" w:rsidRDefault="008F277E" w:rsidP="00DC0854">
      <w:pPr>
        <w:pStyle w:val="ListParagraph"/>
        <w:numPr>
          <w:ilvl w:val="0"/>
          <w:numId w:val="23"/>
        </w:num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Number of ancillary benefits</w:t>
      </w:r>
    </w:p>
    <w:p w14:paraId="24B29B88" w14:textId="77777777" w:rsidR="008F277E" w:rsidRPr="00DC0854" w:rsidRDefault="008F277E" w:rsidP="00DC0854">
      <w:pPr>
        <w:pStyle w:val="ListParagraph"/>
        <w:numPr>
          <w:ilvl w:val="0"/>
          <w:numId w:val="23"/>
        </w:num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Member satisfaction ratings</w:t>
      </w:r>
    </w:p>
    <w:p w14:paraId="27CE9D10" w14:textId="1B94E5CD" w:rsidR="008F277E" w:rsidRPr="00DC0854" w:rsidRDefault="008F277E" w:rsidP="00DC0854">
      <w:pPr>
        <w:spacing w:line="240" w:lineRule="auto"/>
        <w:rPr>
          <w:lang w:eastAsia="en-AU"/>
        </w:rPr>
      </w:pPr>
      <w:r w:rsidRPr="00DC0854">
        <w:rPr>
          <w:rFonts w:eastAsia="Times New Roman" w:cs="Arial"/>
          <w:color w:val="000000"/>
          <w:sz w:val="20"/>
          <w:szCs w:val="20"/>
          <w:lang w:eastAsia="en-AU"/>
        </w:rPr>
        <w:t xml:space="preserve">Each fund </w:t>
      </w:r>
      <w:r w:rsidR="00177138" w:rsidRPr="00DC0854">
        <w:rPr>
          <w:rFonts w:eastAsia="Times New Roman" w:cs="Arial"/>
          <w:color w:val="000000"/>
          <w:sz w:val="20"/>
          <w:szCs w:val="20"/>
          <w:lang w:eastAsia="en-AU"/>
        </w:rPr>
        <w:t>sh</w:t>
      </w:r>
      <w:r w:rsidRPr="00DC0854">
        <w:rPr>
          <w:rFonts w:eastAsia="Times New Roman" w:cs="Arial"/>
          <w:color w:val="000000"/>
          <w:sz w:val="20"/>
          <w:szCs w:val="20"/>
          <w:lang w:eastAsia="en-AU"/>
        </w:rPr>
        <w:t>ould be assessed relative to the market.</w:t>
      </w:r>
    </w:p>
    <w:p w14:paraId="3C6C371E" w14:textId="77777777" w:rsidR="007F7519" w:rsidRPr="00DC0854" w:rsidRDefault="007F7519" w:rsidP="00102BB6">
      <w:pPr>
        <w:pStyle w:val="Heading2"/>
        <w:rPr>
          <w:sz w:val="24"/>
          <w:szCs w:val="24"/>
        </w:rPr>
      </w:pPr>
      <w:r w:rsidRPr="00DC0854">
        <w:rPr>
          <w:sz w:val="24"/>
          <w:szCs w:val="24"/>
        </w:rPr>
        <w:t xml:space="preserve">Administrative model </w:t>
      </w:r>
    </w:p>
    <w:p w14:paraId="1E8B5E9B" w14:textId="77777777" w:rsidR="00FF22B8" w:rsidRPr="00DC0854" w:rsidRDefault="007E15BF" w:rsidP="007F7519">
      <w:pPr>
        <w:pStyle w:val="Heading3"/>
        <w:rPr>
          <w:b/>
          <w:i w:val="0"/>
          <w:szCs w:val="22"/>
        </w:rPr>
      </w:pPr>
      <w:r w:rsidRPr="00DC0854">
        <w:rPr>
          <w:b/>
          <w:i w:val="0"/>
          <w:szCs w:val="22"/>
        </w:rPr>
        <w:t>How would eligible products be determined?</w:t>
      </w:r>
    </w:p>
    <w:p w14:paraId="63B91894" w14:textId="77777777" w:rsidR="00E366FB" w:rsidRPr="00DC0854" w:rsidRDefault="007E15BF" w:rsidP="00455360">
      <w:pPr>
        <w:pStyle w:val="Heading4"/>
        <w:numPr>
          <w:ilvl w:val="0"/>
          <w:numId w:val="12"/>
        </w:numPr>
        <w:rPr>
          <w:i w:val="0"/>
          <w:color w:val="auto"/>
          <w:sz w:val="20"/>
          <w:szCs w:val="20"/>
          <w:lang w:eastAsia="en-AU" w:bidi="en-US"/>
        </w:rPr>
      </w:pPr>
      <w:r w:rsidRPr="00DC0854">
        <w:rPr>
          <w:i w:val="0"/>
          <w:color w:val="auto"/>
          <w:sz w:val="20"/>
          <w:szCs w:val="20"/>
          <w:lang w:eastAsia="en-AU" w:bidi="en-US"/>
        </w:rPr>
        <w:t>What are the advantages and disadvantages of using some form of administrative filter to determine which products are e</w:t>
      </w:r>
      <w:r w:rsidR="00E366FB" w:rsidRPr="00DC0854">
        <w:rPr>
          <w:i w:val="0"/>
          <w:color w:val="auto"/>
          <w:sz w:val="20"/>
          <w:szCs w:val="20"/>
          <w:lang w:eastAsia="en-AU" w:bidi="en-US"/>
        </w:rPr>
        <w:t>ligible to be used as defaults?</w:t>
      </w:r>
    </w:p>
    <w:p w14:paraId="4EF0CF6A" w14:textId="77777777" w:rsidR="00E366FB" w:rsidRPr="00DC0854" w:rsidRDefault="007E15BF" w:rsidP="00455360">
      <w:pPr>
        <w:pStyle w:val="Heading4"/>
        <w:numPr>
          <w:ilvl w:val="0"/>
          <w:numId w:val="11"/>
        </w:numPr>
        <w:rPr>
          <w:rFonts w:eastAsia="Times New Roman" w:cs="Arial"/>
          <w:i w:val="0"/>
          <w:color w:val="auto"/>
          <w:sz w:val="20"/>
          <w:szCs w:val="20"/>
          <w:lang w:eastAsia="en-AU"/>
        </w:rPr>
      </w:pPr>
      <w:r w:rsidRPr="00DC0854">
        <w:rPr>
          <w:i w:val="0"/>
          <w:color w:val="auto"/>
          <w:sz w:val="20"/>
          <w:szCs w:val="20"/>
          <w:lang w:eastAsia="en-AU" w:bidi="en-US"/>
        </w:rPr>
        <w:t>What metrics should be used and how prescriptively should they be specified? Should the metrics be quantitati</w:t>
      </w:r>
      <w:r w:rsidR="00E366FB" w:rsidRPr="00DC0854">
        <w:rPr>
          <w:i w:val="0"/>
          <w:color w:val="auto"/>
          <w:sz w:val="20"/>
          <w:szCs w:val="20"/>
          <w:lang w:eastAsia="en-AU" w:bidi="en-US"/>
        </w:rPr>
        <w:t>ve, qualitative or a mixture?</w:t>
      </w:r>
    </w:p>
    <w:p w14:paraId="0751F3B2" w14:textId="77777777" w:rsidR="00E366FB" w:rsidRPr="00DC0854" w:rsidRDefault="007E15BF" w:rsidP="00455360">
      <w:pPr>
        <w:pStyle w:val="Heading4"/>
        <w:numPr>
          <w:ilvl w:val="0"/>
          <w:numId w:val="11"/>
        </w:numPr>
        <w:rPr>
          <w:rFonts w:eastAsia="Times New Roman" w:cs="Arial"/>
          <w:i w:val="0"/>
          <w:color w:val="auto"/>
          <w:sz w:val="20"/>
          <w:szCs w:val="20"/>
          <w:lang w:eastAsia="en-AU"/>
        </w:rPr>
      </w:pPr>
      <w:r w:rsidRPr="00DC0854">
        <w:rPr>
          <w:i w:val="0"/>
          <w:color w:val="auto"/>
          <w:sz w:val="20"/>
          <w:szCs w:val="20"/>
          <w:lang w:eastAsia="en-AU" w:bidi="en-US"/>
        </w:rPr>
        <w:t>Should there be a cap and/or floor on the n</w:t>
      </w:r>
      <w:r w:rsidR="00E366FB" w:rsidRPr="00DC0854">
        <w:rPr>
          <w:i w:val="0"/>
          <w:color w:val="auto"/>
          <w:sz w:val="20"/>
          <w:szCs w:val="20"/>
          <w:lang w:eastAsia="en-AU" w:bidi="en-US"/>
        </w:rPr>
        <w:t>umber of qualifying products?</w:t>
      </w:r>
    </w:p>
    <w:p w14:paraId="6DFEB380" w14:textId="77777777" w:rsidR="00E366FB" w:rsidRPr="00DC0854" w:rsidRDefault="007E15BF" w:rsidP="00455360">
      <w:pPr>
        <w:pStyle w:val="Heading4"/>
        <w:numPr>
          <w:ilvl w:val="0"/>
          <w:numId w:val="11"/>
        </w:numPr>
        <w:rPr>
          <w:rFonts w:eastAsia="Times New Roman" w:cs="Arial"/>
          <w:i w:val="0"/>
          <w:color w:val="auto"/>
          <w:sz w:val="20"/>
          <w:szCs w:val="20"/>
          <w:lang w:eastAsia="en-AU"/>
        </w:rPr>
      </w:pPr>
      <w:r w:rsidRPr="00DC0854">
        <w:rPr>
          <w:i w:val="0"/>
          <w:color w:val="auto"/>
          <w:sz w:val="20"/>
          <w:szCs w:val="20"/>
          <w:lang w:eastAsia="en-AU" w:bidi="en-US"/>
        </w:rPr>
        <w:t>How frequently should the process be r</w:t>
      </w:r>
      <w:r w:rsidR="00E366FB" w:rsidRPr="00DC0854">
        <w:rPr>
          <w:i w:val="0"/>
          <w:color w:val="auto"/>
          <w:sz w:val="20"/>
          <w:szCs w:val="20"/>
          <w:lang w:eastAsia="en-AU" w:bidi="en-US"/>
        </w:rPr>
        <w:t>un?</w:t>
      </w:r>
    </w:p>
    <w:p w14:paraId="5F392C69" w14:textId="77777777" w:rsidR="008C0F80" w:rsidRPr="00DC0854" w:rsidRDefault="007E15BF" w:rsidP="00455360">
      <w:pPr>
        <w:pStyle w:val="Heading4"/>
        <w:numPr>
          <w:ilvl w:val="0"/>
          <w:numId w:val="11"/>
        </w:numPr>
        <w:rPr>
          <w:rFonts w:eastAsia="Times New Roman" w:cs="Arial"/>
          <w:i w:val="0"/>
          <w:color w:val="auto"/>
          <w:sz w:val="20"/>
          <w:szCs w:val="20"/>
          <w:lang w:eastAsia="en-AU"/>
        </w:rPr>
      </w:pPr>
      <w:r w:rsidRPr="00DC0854">
        <w:rPr>
          <w:i w:val="0"/>
          <w:color w:val="auto"/>
          <w:sz w:val="20"/>
          <w:szCs w:val="20"/>
          <w:lang w:eastAsia="en-AU" w:bidi="en-US"/>
        </w:rPr>
        <w:t>Who should administer the selection and subse</w:t>
      </w:r>
      <w:r w:rsidR="00E366FB" w:rsidRPr="00DC0854">
        <w:rPr>
          <w:i w:val="0"/>
          <w:color w:val="auto"/>
          <w:sz w:val="20"/>
          <w:szCs w:val="20"/>
          <w:lang w:eastAsia="en-AU" w:bidi="en-US"/>
        </w:rPr>
        <w:t>quent monitoring of products?</w:t>
      </w:r>
    </w:p>
    <w:p w14:paraId="2F699C2D" w14:textId="77777777" w:rsidR="008C0F80" w:rsidRPr="00DC0854" w:rsidRDefault="007E15BF" w:rsidP="00455360">
      <w:pPr>
        <w:pStyle w:val="Heading4"/>
        <w:numPr>
          <w:ilvl w:val="0"/>
          <w:numId w:val="11"/>
        </w:numPr>
        <w:rPr>
          <w:i w:val="0"/>
          <w:color w:val="auto"/>
          <w:sz w:val="20"/>
          <w:szCs w:val="20"/>
          <w:lang w:eastAsia="en-AU" w:bidi="en-US"/>
        </w:rPr>
      </w:pPr>
      <w:r w:rsidRPr="00DC0854">
        <w:rPr>
          <w:i w:val="0"/>
          <w:color w:val="auto"/>
          <w:sz w:val="20"/>
          <w:szCs w:val="20"/>
          <w:lang w:eastAsia="en-AU" w:bidi="en-US"/>
        </w:rPr>
        <w:t xml:space="preserve">What might be the role of </w:t>
      </w:r>
      <w:proofErr w:type="spellStart"/>
      <w:r w:rsidRPr="00DC0854">
        <w:rPr>
          <w:i w:val="0"/>
          <w:color w:val="auto"/>
          <w:sz w:val="20"/>
          <w:szCs w:val="20"/>
          <w:lang w:eastAsia="en-AU" w:bidi="en-US"/>
        </w:rPr>
        <w:t>MySuper</w:t>
      </w:r>
      <w:proofErr w:type="spellEnd"/>
      <w:r w:rsidRPr="00DC0854">
        <w:rPr>
          <w:i w:val="0"/>
          <w:color w:val="auto"/>
          <w:sz w:val="20"/>
          <w:szCs w:val="20"/>
          <w:lang w:eastAsia="en-AU" w:bidi="en-US"/>
        </w:rPr>
        <w:t xml:space="preserve"> in the long term under this approach? </w:t>
      </w:r>
    </w:p>
    <w:p w14:paraId="019930A2" w14:textId="77777777" w:rsidR="008C0F80" w:rsidRPr="00DC0854" w:rsidRDefault="008C0F80" w:rsidP="008C0F80">
      <w:pPr>
        <w:spacing w:line="240" w:lineRule="auto"/>
        <w:rPr>
          <w:b/>
          <w:bCs/>
          <w:i/>
          <w:sz w:val="20"/>
          <w:szCs w:val="20"/>
          <w:lang w:eastAsia="en-AU" w:bidi="en-US"/>
        </w:rPr>
      </w:pPr>
    </w:p>
    <w:p w14:paraId="6CEB78DC" w14:textId="79E4277C" w:rsidR="00E366FB" w:rsidRPr="00DC0854" w:rsidRDefault="001B2A4A" w:rsidP="00B752B1">
      <w:p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The advantage of using an administrative filter</w:t>
      </w:r>
      <w:r w:rsidR="00DD0E31" w:rsidRPr="00DC0854">
        <w:rPr>
          <w:rFonts w:eastAsia="Times New Roman" w:cs="Arial"/>
          <w:color w:val="000000"/>
          <w:sz w:val="20"/>
          <w:szCs w:val="20"/>
          <w:lang w:eastAsia="en-AU"/>
        </w:rPr>
        <w:t xml:space="preserve"> </w:t>
      </w:r>
      <w:r w:rsidRPr="00DC0854">
        <w:rPr>
          <w:rFonts w:eastAsia="Times New Roman" w:cs="Arial"/>
          <w:color w:val="000000"/>
          <w:sz w:val="20"/>
          <w:szCs w:val="20"/>
          <w:lang w:eastAsia="en-AU"/>
        </w:rPr>
        <w:t>is that it reduces the cost of selecting defaults</w:t>
      </w:r>
      <w:r w:rsidR="00B01455" w:rsidRPr="00DC0854">
        <w:rPr>
          <w:rFonts w:eastAsia="Times New Roman" w:cs="Arial"/>
          <w:color w:val="000000"/>
          <w:sz w:val="20"/>
          <w:szCs w:val="20"/>
          <w:lang w:eastAsia="en-AU"/>
        </w:rPr>
        <w:t xml:space="preserve"> because</w:t>
      </w:r>
      <w:r w:rsidRPr="00DC0854">
        <w:rPr>
          <w:rFonts w:eastAsia="Times New Roman" w:cs="Arial"/>
          <w:color w:val="000000"/>
          <w:sz w:val="20"/>
          <w:szCs w:val="20"/>
          <w:lang w:eastAsia="en-AU"/>
        </w:rPr>
        <w:t xml:space="preserve"> funds that</w:t>
      </w:r>
      <w:r w:rsidR="003A5C78">
        <w:rPr>
          <w:rFonts w:eastAsia="Times New Roman" w:cs="Arial"/>
          <w:color w:val="000000"/>
          <w:sz w:val="20"/>
          <w:szCs w:val="20"/>
          <w:lang w:eastAsia="en-AU"/>
        </w:rPr>
        <w:t xml:space="preserve"> seem obviously inappropriate</w:t>
      </w:r>
      <w:r w:rsidRPr="00DC0854">
        <w:rPr>
          <w:rFonts w:eastAsia="Times New Roman" w:cs="Arial"/>
          <w:color w:val="000000"/>
          <w:sz w:val="20"/>
          <w:szCs w:val="20"/>
          <w:lang w:eastAsia="en-AU"/>
        </w:rPr>
        <w:t xml:space="preserve"> don’t have to be rigorously assessed.</w:t>
      </w:r>
      <w:r w:rsidR="00393A0E" w:rsidRPr="00DC0854">
        <w:rPr>
          <w:rFonts w:eastAsia="Times New Roman" w:cs="Arial"/>
          <w:color w:val="000000"/>
          <w:sz w:val="20"/>
          <w:szCs w:val="20"/>
          <w:lang w:eastAsia="en-AU"/>
        </w:rPr>
        <w:t xml:space="preserve"> The disadvantage is that, </w:t>
      </w:r>
      <w:r w:rsidR="003B7BF2" w:rsidRPr="00DC0854">
        <w:rPr>
          <w:rFonts w:eastAsia="Times New Roman" w:cs="Arial"/>
          <w:color w:val="000000"/>
          <w:sz w:val="20"/>
          <w:szCs w:val="20"/>
          <w:lang w:eastAsia="en-AU"/>
        </w:rPr>
        <w:t>without interpretation, there is a risk that temporary characteristics of funds may make them ineligible to be a default fund (at least until the next assessment).</w:t>
      </w:r>
    </w:p>
    <w:p w14:paraId="2088911A" w14:textId="77777777" w:rsidR="0071514C" w:rsidRPr="00DC0854" w:rsidRDefault="0071514C" w:rsidP="00B752B1">
      <w:pPr>
        <w:spacing w:line="240" w:lineRule="auto"/>
        <w:rPr>
          <w:rFonts w:eastAsia="Times New Roman" w:cs="Arial"/>
          <w:color w:val="000000"/>
          <w:sz w:val="20"/>
          <w:szCs w:val="20"/>
          <w:lang w:eastAsia="en-AU"/>
        </w:rPr>
      </w:pPr>
    </w:p>
    <w:p w14:paraId="32335728" w14:textId="77777777" w:rsidR="004A745A" w:rsidRPr="00DC0854" w:rsidRDefault="004A745A" w:rsidP="00B752B1">
      <w:p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 xml:space="preserve">Metrics for determining funds to be ineligible should </w:t>
      </w:r>
      <w:r w:rsidR="005271E4" w:rsidRPr="00DC0854">
        <w:rPr>
          <w:rFonts w:eastAsia="Times New Roman" w:cs="Arial"/>
          <w:color w:val="000000"/>
          <w:sz w:val="20"/>
          <w:szCs w:val="20"/>
          <w:lang w:eastAsia="en-AU"/>
        </w:rPr>
        <w:t xml:space="preserve">be quantitative and qualitative, be non-prescriptive and </w:t>
      </w:r>
      <w:r w:rsidRPr="00DC0854">
        <w:rPr>
          <w:rFonts w:eastAsia="Times New Roman" w:cs="Arial"/>
          <w:color w:val="000000"/>
          <w:sz w:val="20"/>
          <w:szCs w:val="20"/>
          <w:lang w:eastAsia="en-AU"/>
        </w:rPr>
        <w:t>include:</w:t>
      </w:r>
    </w:p>
    <w:p w14:paraId="76A362A9" w14:textId="77777777" w:rsidR="004A745A" w:rsidRPr="00DC0854" w:rsidRDefault="004A745A" w:rsidP="00B752B1">
      <w:pPr>
        <w:spacing w:line="240" w:lineRule="auto"/>
        <w:rPr>
          <w:rFonts w:eastAsia="Times New Roman" w:cs="Arial"/>
          <w:color w:val="000000"/>
          <w:sz w:val="20"/>
          <w:szCs w:val="20"/>
          <w:lang w:eastAsia="en-AU"/>
        </w:rPr>
      </w:pPr>
    </w:p>
    <w:p w14:paraId="750CD205" w14:textId="722AACDF" w:rsidR="004A745A" w:rsidRPr="00DC0854" w:rsidRDefault="004A745A" w:rsidP="005271E4">
      <w:pPr>
        <w:pStyle w:val="ListParagraph"/>
        <w:numPr>
          <w:ilvl w:val="0"/>
          <w:numId w:val="21"/>
        </w:num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Long-term returns (net of fees) compared to an appropriate benchmark</w:t>
      </w:r>
    </w:p>
    <w:p w14:paraId="07E207ED" w14:textId="77777777" w:rsidR="00874F99" w:rsidRPr="00DC0854" w:rsidRDefault="00874F99" w:rsidP="005271E4">
      <w:pPr>
        <w:pStyle w:val="ListParagraph"/>
        <w:numPr>
          <w:ilvl w:val="0"/>
          <w:numId w:val="21"/>
        </w:num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Indicators of future returns, such as investment management capability, investment fees and investment style</w:t>
      </w:r>
    </w:p>
    <w:p w14:paraId="0556B730" w14:textId="77777777" w:rsidR="004A745A" w:rsidRPr="00DC0854" w:rsidRDefault="004A745A" w:rsidP="005271E4">
      <w:pPr>
        <w:pStyle w:val="ListParagraph"/>
        <w:numPr>
          <w:ilvl w:val="0"/>
          <w:numId w:val="21"/>
        </w:num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Risk premium for insurance</w:t>
      </w:r>
      <w:r w:rsidR="004D514C" w:rsidRPr="00DC0854">
        <w:rPr>
          <w:rFonts w:eastAsia="Times New Roman" w:cs="Arial"/>
          <w:color w:val="000000"/>
          <w:sz w:val="20"/>
          <w:szCs w:val="20"/>
          <w:lang w:eastAsia="en-AU"/>
        </w:rPr>
        <w:t xml:space="preserve"> for each cohort for each type of cover</w:t>
      </w:r>
    </w:p>
    <w:p w14:paraId="6ABE66BB" w14:textId="77777777" w:rsidR="004A745A" w:rsidRPr="00DC0854" w:rsidRDefault="004A745A" w:rsidP="005271E4">
      <w:pPr>
        <w:pStyle w:val="ListParagraph"/>
        <w:numPr>
          <w:ilvl w:val="0"/>
          <w:numId w:val="21"/>
        </w:num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 xml:space="preserve">Scope of insurance </w:t>
      </w:r>
      <w:r w:rsidR="004D514C" w:rsidRPr="00DC0854">
        <w:rPr>
          <w:rFonts w:eastAsia="Times New Roman" w:cs="Arial"/>
          <w:color w:val="000000"/>
          <w:sz w:val="20"/>
          <w:szCs w:val="20"/>
          <w:lang w:eastAsia="en-AU"/>
        </w:rPr>
        <w:t>for each cohort for each type of cover</w:t>
      </w:r>
    </w:p>
    <w:p w14:paraId="2577F9EA" w14:textId="77777777" w:rsidR="004D514C" w:rsidRPr="00DC0854" w:rsidRDefault="004D514C" w:rsidP="005271E4">
      <w:pPr>
        <w:pStyle w:val="ListParagraph"/>
        <w:numPr>
          <w:ilvl w:val="0"/>
          <w:numId w:val="21"/>
        </w:num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Number of ancillary benefits</w:t>
      </w:r>
    </w:p>
    <w:p w14:paraId="06BB41A8" w14:textId="77777777" w:rsidR="004A745A" w:rsidRPr="00DC0854" w:rsidRDefault="004A745A" w:rsidP="005271E4">
      <w:pPr>
        <w:pStyle w:val="ListParagraph"/>
        <w:numPr>
          <w:ilvl w:val="0"/>
          <w:numId w:val="21"/>
        </w:num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Member satisfaction ratings</w:t>
      </w:r>
    </w:p>
    <w:p w14:paraId="58D26D9F" w14:textId="77777777" w:rsidR="00D81242" w:rsidRPr="00DC0854" w:rsidRDefault="00D81242" w:rsidP="004D514C">
      <w:pPr>
        <w:spacing w:line="240" w:lineRule="auto"/>
        <w:rPr>
          <w:rFonts w:eastAsia="Times New Roman" w:cs="Arial"/>
          <w:color w:val="000000"/>
          <w:sz w:val="20"/>
          <w:szCs w:val="20"/>
          <w:lang w:eastAsia="en-AU"/>
        </w:rPr>
      </w:pPr>
    </w:p>
    <w:p w14:paraId="1BC45151" w14:textId="0765CBB5" w:rsidR="00D81242" w:rsidRPr="00DC0854" w:rsidRDefault="00D81242" w:rsidP="004D514C">
      <w:p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 xml:space="preserve">We believe that the metrics should </w:t>
      </w:r>
      <w:r w:rsidR="000C6CB8" w:rsidRPr="00DC0854">
        <w:rPr>
          <w:rFonts w:eastAsia="Times New Roman" w:cs="Arial"/>
          <w:color w:val="000000"/>
          <w:sz w:val="20"/>
          <w:szCs w:val="20"/>
          <w:lang w:eastAsia="en-AU"/>
        </w:rPr>
        <w:t xml:space="preserve">not </w:t>
      </w:r>
      <w:r w:rsidRPr="00DC0854">
        <w:rPr>
          <w:rFonts w:eastAsia="Times New Roman" w:cs="Arial"/>
          <w:color w:val="000000"/>
          <w:sz w:val="20"/>
          <w:szCs w:val="20"/>
          <w:lang w:eastAsia="en-AU"/>
        </w:rPr>
        <w:t xml:space="preserve">be specified </w:t>
      </w:r>
      <w:r w:rsidR="000C6CB8" w:rsidRPr="00DC0854">
        <w:rPr>
          <w:rFonts w:eastAsia="Times New Roman" w:cs="Arial"/>
          <w:color w:val="000000"/>
          <w:sz w:val="20"/>
          <w:szCs w:val="20"/>
          <w:lang w:eastAsia="en-AU"/>
        </w:rPr>
        <w:t xml:space="preserve">prescriptively. This </w:t>
      </w:r>
      <w:r w:rsidR="007C59C7" w:rsidRPr="00DC0854">
        <w:rPr>
          <w:rFonts w:eastAsia="Times New Roman" w:cs="Arial"/>
          <w:color w:val="000000"/>
          <w:sz w:val="20"/>
          <w:szCs w:val="20"/>
          <w:lang w:eastAsia="en-AU"/>
        </w:rPr>
        <w:t xml:space="preserve">would provide flexibility to interpret the metrics </w:t>
      </w:r>
      <w:r w:rsidR="007E4DF2" w:rsidRPr="00DC0854">
        <w:rPr>
          <w:rFonts w:eastAsia="Times New Roman" w:cs="Arial"/>
          <w:color w:val="000000"/>
          <w:sz w:val="20"/>
          <w:szCs w:val="20"/>
          <w:lang w:eastAsia="en-AU"/>
        </w:rPr>
        <w:t xml:space="preserve">based on the </w:t>
      </w:r>
      <w:r w:rsidR="00FD07BF" w:rsidRPr="00DC0854">
        <w:rPr>
          <w:rFonts w:eastAsia="Times New Roman" w:cs="Arial"/>
          <w:color w:val="000000"/>
          <w:sz w:val="20"/>
          <w:szCs w:val="20"/>
          <w:lang w:eastAsia="en-AU"/>
        </w:rPr>
        <w:t>peculiarities</w:t>
      </w:r>
      <w:r w:rsidR="007E4DF2" w:rsidRPr="00DC0854">
        <w:rPr>
          <w:rFonts w:eastAsia="Times New Roman" w:cs="Arial"/>
          <w:color w:val="000000"/>
          <w:sz w:val="20"/>
          <w:szCs w:val="20"/>
          <w:lang w:eastAsia="en-AU"/>
        </w:rPr>
        <w:t xml:space="preserve"> of the group of</w:t>
      </w:r>
      <w:r w:rsidR="000E5B0A" w:rsidRPr="00DC0854">
        <w:rPr>
          <w:rFonts w:eastAsia="Times New Roman" w:cs="Arial"/>
          <w:color w:val="000000"/>
          <w:sz w:val="20"/>
          <w:szCs w:val="20"/>
          <w:lang w:eastAsia="en-AU"/>
        </w:rPr>
        <w:t xml:space="preserve"> employees</w:t>
      </w:r>
      <w:r w:rsidR="007E4DF2" w:rsidRPr="00DC0854">
        <w:rPr>
          <w:rFonts w:eastAsia="Times New Roman" w:cs="Arial"/>
          <w:color w:val="000000"/>
          <w:sz w:val="20"/>
          <w:szCs w:val="20"/>
          <w:lang w:eastAsia="en-AU"/>
        </w:rPr>
        <w:t xml:space="preserve">, rather than merely the </w:t>
      </w:r>
      <w:r w:rsidR="00FD07BF" w:rsidRPr="00DC0854">
        <w:rPr>
          <w:rFonts w:eastAsia="Times New Roman" w:cs="Arial"/>
          <w:color w:val="000000"/>
          <w:sz w:val="20"/>
          <w:szCs w:val="20"/>
          <w:lang w:eastAsia="en-AU"/>
        </w:rPr>
        <w:t xml:space="preserve">national-level </w:t>
      </w:r>
      <w:r w:rsidR="007E4DF2" w:rsidRPr="00DC0854">
        <w:rPr>
          <w:rFonts w:eastAsia="Times New Roman" w:cs="Arial"/>
          <w:color w:val="000000"/>
          <w:sz w:val="20"/>
          <w:szCs w:val="20"/>
          <w:lang w:eastAsia="en-AU"/>
        </w:rPr>
        <w:t xml:space="preserve">demographic </w:t>
      </w:r>
      <w:r w:rsidR="00FD07BF" w:rsidRPr="00DC0854">
        <w:rPr>
          <w:rFonts w:eastAsia="Times New Roman" w:cs="Arial"/>
          <w:color w:val="000000"/>
          <w:sz w:val="20"/>
          <w:szCs w:val="20"/>
          <w:lang w:eastAsia="en-AU"/>
        </w:rPr>
        <w:t>model</w:t>
      </w:r>
      <w:r w:rsidR="000E5B0A" w:rsidRPr="00DC0854">
        <w:rPr>
          <w:rFonts w:eastAsia="Times New Roman" w:cs="Arial"/>
          <w:color w:val="000000"/>
          <w:sz w:val="20"/>
          <w:szCs w:val="20"/>
          <w:lang w:eastAsia="en-AU"/>
        </w:rPr>
        <w:t>.</w:t>
      </w:r>
      <w:r w:rsidR="00ED2EB3" w:rsidRPr="00DC0854">
        <w:rPr>
          <w:rFonts w:eastAsia="Times New Roman" w:cs="Arial"/>
          <w:color w:val="000000"/>
          <w:sz w:val="20"/>
          <w:szCs w:val="20"/>
          <w:lang w:eastAsia="en-AU"/>
        </w:rPr>
        <w:t xml:space="preserve"> Because of the need for flexibility, we would not support setting a cap on the number of eligible funds.</w:t>
      </w:r>
    </w:p>
    <w:p w14:paraId="3DB5C959" w14:textId="77777777" w:rsidR="00567488" w:rsidRPr="00DC0854" w:rsidRDefault="00567488" w:rsidP="004D514C">
      <w:pPr>
        <w:spacing w:line="240" w:lineRule="auto"/>
        <w:rPr>
          <w:rFonts w:eastAsia="Times New Roman" w:cs="Arial"/>
          <w:color w:val="000000"/>
          <w:sz w:val="20"/>
          <w:szCs w:val="20"/>
          <w:lang w:eastAsia="en-AU"/>
        </w:rPr>
      </w:pPr>
    </w:p>
    <w:p w14:paraId="01FA231E" w14:textId="77777777" w:rsidR="000878C7" w:rsidRPr="00DC0854" w:rsidRDefault="00567488" w:rsidP="00567488">
      <w:p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The process should be run frequently (say yearly) to avoid the risk of performing funds becoming underperforming but remaining eligible for an extended period.</w:t>
      </w:r>
    </w:p>
    <w:p w14:paraId="7421E9D2" w14:textId="77777777" w:rsidR="00874F99" w:rsidRPr="00DC0854" w:rsidRDefault="00874F99" w:rsidP="00567488">
      <w:pPr>
        <w:spacing w:line="240" w:lineRule="auto"/>
        <w:rPr>
          <w:rFonts w:eastAsia="Times New Roman" w:cs="Arial"/>
          <w:color w:val="000000"/>
          <w:sz w:val="20"/>
          <w:szCs w:val="20"/>
          <w:lang w:eastAsia="en-AU"/>
        </w:rPr>
      </w:pPr>
    </w:p>
    <w:p w14:paraId="541418C6" w14:textId="6AF13237" w:rsidR="00874F99" w:rsidRPr="00DC0854" w:rsidRDefault="008F6EFF" w:rsidP="00567488">
      <w:p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 xml:space="preserve">While we would </w:t>
      </w:r>
      <w:r w:rsidR="003A5C78">
        <w:rPr>
          <w:rFonts w:eastAsia="Times New Roman" w:cs="Arial"/>
          <w:color w:val="000000"/>
          <w:sz w:val="20"/>
          <w:szCs w:val="20"/>
          <w:lang w:eastAsia="en-AU"/>
        </w:rPr>
        <w:t xml:space="preserve">strongly </w:t>
      </w:r>
      <w:r w:rsidRPr="00DC0854">
        <w:rPr>
          <w:rFonts w:eastAsia="Times New Roman" w:cs="Arial"/>
          <w:color w:val="000000"/>
          <w:sz w:val="20"/>
          <w:szCs w:val="20"/>
          <w:lang w:eastAsia="en-AU"/>
        </w:rPr>
        <w:t>prefer self-administration (i.e. the employer or financial planner applies the filter), w</w:t>
      </w:r>
      <w:r w:rsidR="00B07CF8" w:rsidRPr="00DC0854">
        <w:rPr>
          <w:rFonts w:eastAsia="Times New Roman" w:cs="Arial"/>
          <w:color w:val="000000"/>
          <w:sz w:val="20"/>
          <w:szCs w:val="20"/>
          <w:lang w:eastAsia="en-AU"/>
        </w:rPr>
        <w:t xml:space="preserve">e </w:t>
      </w:r>
      <w:r w:rsidRPr="00DC0854">
        <w:rPr>
          <w:rFonts w:eastAsia="Times New Roman" w:cs="Arial"/>
          <w:color w:val="000000"/>
          <w:sz w:val="20"/>
          <w:szCs w:val="20"/>
          <w:lang w:eastAsia="en-AU"/>
        </w:rPr>
        <w:t xml:space="preserve">would be comfortable if </w:t>
      </w:r>
      <w:r w:rsidR="00B07CF8" w:rsidRPr="00DC0854">
        <w:rPr>
          <w:rFonts w:eastAsia="Times New Roman" w:cs="Arial"/>
          <w:color w:val="000000"/>
          <w:sz w:val="20"/>
          <w:szCs w:val="20"/>
          <w:lang w:eastAsia="en-AU"/>
        </w:rPr>
        <w:t>APRA administer</w:t>
      </w:r>
      <w:r w:rsidRPr="00DC0854">
        <w:rPr>
          <w:rFonts w:eastAsia="Times New Roman" w:cs="Arial"/>
          <w:color w:val="000000"/>
          <w:sz w:val="20"/>
          <w:szCs w:val="20"/>
          <w:lang w:eastAsia="en-AU"/>
        </w:rPr>
        <w:t>ed</w:t>
      </w:r>
      <w:r w:rsidR="00B07CF8" w:rsidRPr="00DC0854">
        <w:rPr>
          <w:rFonts w:eastAsia="Times New Roman" w:cs="Arial"/>
          <w:color w:val="000000"/>
          <w:sz w:val="20"/>
          <w:szCs w:val="20"/>
          <w:lang w:eastAsia="en-AU"/>
        </w:rPr>
        <w:t xml:space="preserve"> the selection and subsequent monitoring of products.</w:t>
      </w:r>
      <w:r w:rsidR="003A5C78">
        <w:rPr>
          <w:rFonts w:eastAsia="Times New Roman" w:cs="Arial"/>
          <w:color w:val="000000"/>
          <w:sz w:val="20"/>
          <w:szCs w:val="20"/>
          <w:lang w:eastAsia="en-AU"/>
        </w:rPr>
        <w:t xml:space="preserve"> However, in the latter case, the selection and monitoring would need to be guidelines, so as to allow employers and financial planners flexibility to go outside the list where appropriate.</w:t>
      </w:r>
    </w:p>
    <w:p w14:paraId="22073BAC" w14:textId="77777777" w:rsidR="00B07CF8" w:rsidRPr="00DC0854" w:rsidRDefault="00B07CF8" w:rsidP="00567488">
      <w:pPr>
        <w:spacing w:line="240" w:lineRule="auto"/>
        <w:rPr>
          <w:rFonts w:eastAsia="Times New Roman" w:cs="Arial"/>
          <w:color w:val="000000"/>
          <w:sz w:val="20"/>
          <w:szCs w:val="20"/>
          <w:lang w:eastAsia="en-AU"/>
        </w:rPr>
      </w:pPr>
    </w:p>
    <w:p w14:paraId="0A8903DD" w14:textId="77777777" w:rsidR="00610461" w:rsidRPr="00DC0854" w:rsidRDefault="00610461" w:rsidP="00567488">
      <w:pPr>
        <w:spacing w:line="240" w:lineRule="auto"/>
        <w:rPr>
          <w:rFonts w:eastAsia="Times New Roman" w:cs="Arial"/>
          <w:color w:val="000000"/>
          <w:sz w:val="20"/>
          <w:szCs w:val="20"/>
          <w:lang w:eastAsia="en-AU"/>
        </w:rPr>
      </w:pPr>
      <w:proofErr w:type="spellStart"/>
      <w:r w:rsidRPr="00DC0854">
        <w:rPr>
          <w:rFonts w:eastAsia="Times New Roman" w:cs="Arial"/>
          <w:color w:val="000000"/>
          <w:sz w:val="20"/>
          <w:szCs w:val="20"/>
          <w:lang w:eastAsia="en-AU"/>
        </w:rPr>
        <w:t>MySuper</w:t>
      </w:r>
      <w:proofErr w:type="spellEnd"/>
      <w:r w:rsidR="00F7261D" w:rsidRPr="00DC0854">
        <w:rPr>
          <w:rFonts w:eastAsia="Times New Roman" w:cs="Arial"/>
          <w:color w:val="000000"/>
          <w:sz w:val="20"/>
          <w:szCs w:val="20"/>
          <w:lang w:eastAsia="en-AU"/>
        </w:rPr>
        <w:t xml:space="preserve"> might become less important as funds would be assessed on performance and structure rather than simplicity and comparability – especially if other measures to enhance competition and efficiency</w:t>
      </w:r>
      <w:r w:rsidR="00C12067" w:rsidRPr="00DC0854">
        <w:rPr>
          <w:rFonts w:eastAsia="Times New Roman" w:cs="Arial"/>
          <w:color w:val="000000"/>
          <w:sz w:val="20"/>
          <w:szCs w:val="20"/>
          <w:lang w:eastAsia="en-AU"/>
        </w:rPr>
        <w:t>, such as removing the ability for default funds to be dictated by industrial awards and agreements, are implemented</w:t>
      </w:r>
      <w:r w:rsidR="00F7261D" w:rsidRPr="00DC0854">
        <w:rPr>
          <w:rFonts w:eastAsia="Times New Roman" w:cs="Arial"/>
          <w:color w:val="000000"/>
          <w:sz w:val="20"/>
          <w:szCs w:val="20"/>
          <w:lang w:eastAsia="en-AU"/>
        </w:rPr>
        <w:t xml:space="preserve">. </w:t>
      </w:r>
      <w:r w:rsidRPr="00DC0854">
        <w:rPr>
          <w:rFonts w:eastAsia="Times New Roman" w:cs="Arial"/>
          <w:color w:val="000000"/>
          <w:sz w:val="20"/>
          <w:szCs w:val="20"/>
          <w:lang w:eastAsia="en-AU"/>
        </w:rPr>
        <w:t xml:space="preserve"> </w:t>
      </w:r>
    </w:p>
    <w:p w14:paraId="4565E89C" w14:textId="77777777" w:rsidR="00A67365" w:rsidRPr="00DC0854" w:rsidRDefault="007E15BF" w:rsidP="00455360">
      <w:pPr>
        <w:pStyle w:val="Heading4"/>
        <w:numPr>
          <w:ilvl w:val="0"/>
          <w:numId w:val="12"/>
        </w:numPr>
        <w:rPr>
          <w:rFonts w:eastAsia="Times New Roman" w:cs="Arial"/>
          <w:i w:val="0"/>
          <w:color w:val="auto"/>
          <w:sz w:val="20"/>
          <w:szCs w:val="20"/>
          <w:lang w:eastAsia="en-AU"/>
        </w:rPr>
      </w:pPr>
      <w:r w:rsidRPr="00DC0854">
        <w:rPr>
          <w:i w:val="0"/>
          <w:color w:val="auto"/>
          <w:sz w:val="20"/>
          <w:szCs w:val="20"/>
          <w:lang w:eastAsia="en-AU" w:bidi="en-US"/>
        </w:rPr>
        <w:t>What would be the likely effects of an administrative filter on competition between successful funds and in the superannuation system more broadly? What would be the implications for product innovation and system stability?</w:t>
      </w:r>
    </w:p>
    <w:p w14:paraId="719992C5" w14:textId="77777777" w:rsidR="00E366FB" w:rsidRPr="00DC0854" w:rsidRDefault="00E366FB" w:rsidP="00A36A5E">
      <w:pPr>
        <w:spacing w:line="240" w:lineRule="auto"/>
        <w:rPr>
          <w:rFonts w:eastAsia="Times New Roman" w:cs="Arial"/>
          <w:color w:val="000000"/>
          <w:sz w:val="20"/>
          <w:szCs w:val="20"/>
          <w:lang w:eastAsia="en-AU"/>
        </w:rPr>
      </w:pPr>
    </w:p>
    <w:p w14:paraId="2BA07133" w14:textId="290F20F8" w:rsidR="00A67365" w:rsidRPr="00DC0854" w:rsidRDefault="00FD07BF" w:rsidP="00A36A5E">
      <w:p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 xml:space="preserve">If the filter can be applied flexibly (as discussed above) and the interests of each particular group of employees is reflected in the choice of their default fund, an administrative filter might encourage </w:t>
      </w:r>
      <w:r w:rsidR="009C0602" w:rsidRPr="00DC0854">
        <w:rPr>
          <w:rFonts w:eastAsia="Times New Roman" w:cs="Arial"/>
          <w:color w:val="000000"/>
          <w:sz w:val="20"/>
          <w:szCs w:val="20"/>
          <w:lang w:eastAsia="en-AU"/>
        </w:rPr>
        <w:t xml:space="preserve">competition on product attributes and levels that employees value. This flexibility will also allow product innovation that a highly specific and prescriptive administrative model would not, and allow diversity to flourish. For example, rather than encouraging a low-cost passive investment approach across superannuation products - which may lead to unnecessary system-wide risk, at least in the short and medium term – a flexible approach would allow a diversity of investment approaches. </w:t>
      </w:r>
    </w:p>
    <w:p w14:paraId="45237F14" w14:textId="77777777" w:rsidR="00E05D98" w:rsidRPr="00DC0854" w:rsidRDefault="00E05D98" w:rsidP="00A36A5E">
      <w:pPr>
        <w:spacing w:line="240" w:lineRule="auto"/>
        <w:rPr>
          <w:rFonts w:eastAsia="Times New Roman" w:cs="Arial"/>
          <w:color w:val="000000"/>
          <w:sz w:val="20"/>
          <w:szCs w:val="20"/>
          <w:lang w:eastAsia="en-AU"/>
        </w:rPr>
      </w:pPr>
    </w:p>
    <w:p w14:paraId="7DCEFC07" w14:textId="77777777" w:rsidR="00E05D98" w:rsidRPr="00DC0854" w:rsidRDefault="00E05D98" w:rsidP="00A35215">
      <w:pPr>
        <w:pStyle w:val="Heading3"/>
        <w:rPr>
          <w:b/>
          <w:i w:val="0"/>
          <w:szCs w:val="22"/>
        </w:rPr>
      </w:pPr>
      <w:r w:rsidRPr="00DC0854">
        <w:rPr>
          <w:b/>
          <w:i w:val="0"/>
          <w:szCs w:val="22"/>
        </w:rPr>
        <w:t>How would employees be allocated to products?</w:t>
      </w:r>
    </w:p>
    <w:p w14:paraId="08A7899D" w14:textId="77777777" w:rsidR="00E05D98" w:rsidRPr="00DC0854" w:rsidRDefault="00E05D98" w:rsidP="00455360">
      <w:pPr>
        <w:pStyle w:val="Heading4"/>
        <w:numPr>
          <w:ilvl w:val="0"/>
          <w:numId w:val="12"/>
        </w:numPr>
        <w:rPr>
          <w:i w:val="0"/>
          <w:color w:val="auto"/>
          <w:sz w:val="20"/>
          <w:szCs w:val="20"/>
          <w:lang w:eastAsia="en-AU" w:bidi="en-US"/>
        </w:rPr>
      </w:pPr>
      <w:r w:rsidRPr="00DC0854">
        <w:rPr>
          <w:i w:val="0"/>
          <w:color w:val="auto"/>
          <w:sz w:val="20"/>
          <w:szCs w:val="20"/>
          <w:lang w:eastAsia="en-AU" w:bidi="en-US"/>
        </w:rPr>
        <w:t xml:space="preserve">What are the relative merits of using a single filter that covers the entire system versus a more segmented approach? What are the key practical considerations and challenges in implementing each approach? </w:t>
      </w:r>
    </w:p>
    <w:p w14:paraId="1E570342" w14:textId="77777777" w:rsidR="00A35215" w:rsidRPr="00DC0854" w:rsidRDefault="00A35215" w:rsidP="00E05D98">
      <w:pPr>
        <w:spacing w:line="240" w:lineRule="auto"/>
        <w:rPr>
          <w:rFonts w:eastAsia="Times New Roman" w:cs="Arial"/>
          <w:color w:val="000000"/>
          <w:sz w:val="20"/>
          <w:szCs w:val="20"/>
          <w:lang w:eastAsia="en-AU"/>
        </w:rPr>
      </w:pPr>
    </w:p>
    <w:p w14:paraId="1E449044" w14:textId="32DDBEFF" w:rsidR="00684AB9" w:rsidRPr="00DC0854" w:rsidRDefault="00684AB9" w:rsidP="00E05D98">
      <w:p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 xml:space="preserve">A single filter is easier to understand and cheaper to operate. However, a more segmented approach allows a more nuanced alignment between </w:t>
      </w:r>
      <w:r w:rsidR="00706ECA" w:rsidRPr="00DC0854">
        <w:rPr>
          <w:rFonts w:eastAsia="Times New Roman" w:cs="Arial"/>
          <w:color w:val="000000"/>
          <w:sz w:val="20"/>
          <w:szCs w:val="20"/>
          <w:lang w:eastAsia="en-AU"/>
        </w:rPr>
        <w:t>the attributes of the default fund and the preferences</w:t>
      </w:r>
      <w:r w:rsidRPr="00DC0854">
        <w:rPr>
          <w:rFonts w:eastAsia="Times New Roman" w:cs="Arial"/>
          <w:color w:val="000000"/>
          <w:sz w:val="20"/>
          <w:szCs w:val="20"/>
          <w:lang w:eastAsia="en-AU"/>
        </w:rPr>
        <w:t xml:space="preserve"> </w:t>
      </w:r>
      <w:r w:rsidR="00706ECA" w:rsidRPr="00DC0854">
        <w:rPr>
          <w:rFonts w:eastAsia="Times New Roman" w:cs="Arial"/>
          <w:color w:val="000000"/>
          <w:sz w:val="20"/>
          <w:szCs w:val="20"/>
          <w:lang w:eastAsia="en-AU"/>
        </w:rPr>
        <w:t>of</w:t>
      </w:r>
      <w:r w:rsidRPr="00DC0854">
        <w:rPr>
          <w:rFonts w:eastAsia="Times New Roman" w:cs="Arial"/>
          <w:color w:val="000000"/>
          <w:sz w:val="20"/>
          <w:szCs w:val="20"/>
          <w:lang w:eastAsia="en-AU"/>
        </w:rPr>
        <w:t xml:space="preserve"> different cohorts</w:t>
      </w:r>
      <w:r w:rsidR="00315954" w:rsidRPr="00DC0854">
        <w:rPr>
          <w:rFonts w:eastAsia="Times New Roman" w:cs="Arial"/>
          <w:color w:val="000000"/>
          <w:sz w:val="20"/>
          <w:szCs w:val="20"/>
          <w:lang w:eastAsia="en-AU"/>
        </w:rPr>
        <w:t xml:space="preserve"> of employees. </w:t>
      </w:r>
      <w:r w:rsidRPr="00DC0854">
        <w:rPr>
          <w:rFonts w:eastAsia="Times New Roman" w:cs="Arial"/>
          <w:color w:val="000000"/>
          <w:sz w:val="20"/>
          <w:szCs w:val="20"/>
          <w:lang w:eastAsia="en-AU"/>
        </w:rPr>
        <w:t>A segmented approach is more in keeping with our preferred approach of aligning members’ would-be preferences and their default fund.</w:t>
      </w:r>
    </w:p>
    <w:p w14:paraId="2B72AE19" w14:textId="74B4B9CD" w:rsidR="00E05D98" w:rsidRPr="00DC0854" w:rsidRDefault="00044459" w:rsidP="00455360">
      <w:pPr>
        <w:pStyle w:val="Heading4"/>
        <w:numPr>
          <w:ilvl w:val="0"/>
          <w:numId w:val="12"/>
        </w:numPr>
        <w:rPr>
          <w:i w:val="0"/>
          <w:color w:val="auto"/>
          <w:sz w:val="20"/>
          <w:szCs w:val="20"/>
          <w:lang w:eastAsia="en-AU" w:bidi="en-US"/>
        </w:rPr>
      </w:pPr>
      <w:r w:rsidRPr="00DC0854">
        <w:rPr>
          <w:rFonts w:eastAsia="Times New Roman" w:cs="Arial"/>
          <w:color w:val="000000"/>
          <w:sz w:val="20"/>
          <w:szCs w:val="20"/>
          <w:lang w:eastAsia="en-AU"/>
        </w:rPr>
        <w:t xml:space="preserve"> </w:t>
      </w:r>
      <w:r w:rsidR="00E05D98" w:rsidRPr="00DC0854">
        <w:rPr>
          <w:i w:val="0"/>
          <w:color w:val="auto"/>
          <w:sz w:val="20"/>
          <w:szCs w:val="20"/>
          <w:lang w:eastAsia="en-AU" w:bidi="en-US"/>
        </w:rPr>
        <w:t xml:space="preserve">In what ways could employees be allocated to eligible products in an administrative model? What are the advantages and disadvantages of each approach? What costs and responsibilities would fall on employees, employers, regulators and superannuation funds under each approach? </w:t>
      </w:r>
    </w:p>
    <w:p w14:paraId="698DC69A" w14:textId="77777777" w:rsidR="00EE5F63" w:rsidRPr="00DC0854" w:rsidRDefault="00EE5F63" w:rsidP="00E05D98">
      <w:pPr>
        <w:spacing w:line="240" w:lineRule="auto"/>
        <w:rPr>
          <w:rFonts w:eastAsia="Times New Roman" w:cs="Arial"/>
          <w:color w:val="000000"/>
          <w:sz w:val="20"/>
          <w:szCs w:val="20"/>
          <w:lang w:eastAsia="en-AU"/>
        </w:rPr>
      </w:pPr>
    </w:p>
    <w:p w14:paraId="7F08F3C2" w14:textId="40CBBDDA" w:rsidR="000E6900" w:rsidRPr="00DC0854" w:rsidRDefault="00E10842" w:rsidP="00E05D98">
      <w:p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We strongly advocate the employer (and financial planner, where appropriate) allocating employees to funds</w:t>
      </w:r>
      <w:r w:rsidR="00901B05" w:rsidRPr="00DC0854">
        <w:rPr>
          <w:rFonts w:eastAsia="Times New Roman" w:cs="Arial"/>
          <w:color w:val="000000"/>
          <w:sz w:val="20"/>
          <w:szCs w:val="20"/>
          <w:lang w:eastAsia="en-AU"/>
        </w:rPr>
        <w:t xml:space="preserve"> based on the preferences of the employee base and</w:t>
      </w:r>
      <w:r w:rsidRPr="00DC0854">
        <w:rPr>
          <w:rFonts w:eastAsia="Times New Roman" w:cs="Arial"/>
          <w:color w:val="000000"/>
          <w:sz w:val="20"/>
          <w:szCs w:val="20"/>
          <w:lang w:eastAsia="en-AU"/>
        </w:rPr>
        <w:t xml:space="preserve"> taking into account </w:t>
      </w:r>
      <w:r w:rsidR="00901B05" w:rsidRPr="00DC0854">
        <w:rPr>
          <w:rFonts w:eastAsia="Times New Roman" w:cs="Arial"/>
          <w:color w:val="000000"/>
          <w:sz w:val="20"/>
          <w:szCs w:val="20"/>
          <w:lang w:eastAsia="en-AU"/>
        </w:rPr>
        <w:t xml:space="preserve">any guidance from </w:t>
      </w:r>
      <w:r w:rsidRPr="00DC0854">
        <w:rPr>
          <w:rFonts w:eastAsia="Times New Roman" w:cs="Arial"/>
          <w:color w:val="000000"/>
          <w:sz w:val="20"/>
          <w:szCs w:val="20"/>
          <w:lang w:eastAsia="en-AU"/>
        </w:rPr>
        <w:t xml:space="preserve">the regulators as to funds that should be </w:t>
      </w:r>
      <w:r w:rsidR="00A01F5D">
        <w:rPr>
          <w:rFonts w:eastAsia="Times New Roman" w:cs="Arial"/>
          <w:color w:val="000000"/>
          <w:sz w:val="20"/>
          <w:szCs w:val="20"/>
          <w:lang w:eastAsia="en-AU"/>
        </w:rPr>
        <w:t>eligible/</w:t>
      </w:r>
      <w:r w:rsidRPr="00DC0854">
        <w:rPr>
          <w:rFonts w:eastAsia="Times New Roman" w:cs="Arial"/>
          <w:color w:val="000000"/>
          <w:sz w:val="20"/>
          <w:szCs w:val="20"/>
          <w:lang w:eastAsia="en-AU"/>
        </w:rPr>
        <w:t>ineligible.</w:t>
      </w:r>
      <w:r w:rsidR="000E6900" w:rsidRPr="00DC0854">
        <w:rPr>
          <w:rFonts w:eastAsia="Times New Roman" w:cs="Arial"/>
          <w:color w:val="000000"/>
          <w:sz w:val="20"/>
          <w:szCs w:val="20"/>
          <w:lang w:eastAsia="en-AU"/>
        </w:rPr>
        <w:t xml:space="preserve"> The alternative of centralised allocation has the potential to </w:t>
      </w:r>
      <w:r w:rsidR="00901B05" w:rsidRPr="00DC0854">
        <w:rPr>
          <w:rFonts w:eastAsia="Times New Roman" w:cs="Arial"/>
          <w:color w:val="000000"/>
          <w:sz w:val="20"/>
          <w:szCs w:val="20"/>
          <w:lang w:eastAsia="en-AU"/>
        </w:rPr>
        <w:t>be inefficient and discourage innovation</w:t>
      </w:r>
      <w:r w:rsidR="000E6900" w:rsidRPr="00DC0854">
        <w:rPr>
          <w:rFonts w:eastAsia="Times New Roman" w:cs="Arial"/>
          <w:color w:val="000000"/>
          <w:sz w:val="20"/>
          <w:szCs w:val="20"/>
          <w:lang w:eastAsia="en-AU"/>
        </w:rPr>
        <w:t>.</w:t>
      </w:r>
    </w:p>
    <w:p w14:paraId="157C564F" w14:textId="77777777" w:rsidR="000E6900" w:rsidRPr="00DC0854" w:rsidRDefault="000E6900" w:rsidP="00E05D98">
      <w:pPr>
        <w:spacing w:line="240" w:lineRule="auto"/>
        <w:rPr>
          <w:rFonts w:eastAsia="Times New Roman" w:cs="Arial"/>
          <w:color w:val="000000"/>
          <w:sz w:val="20"/>
          <w:szCs w:val="20"/>
          <w:lang w:eastAsia="en-AU"/>
        </w:rPr>
      </w:pPr>
    </w:p>
    <w:p w14:paraId="5E07DFDA" w14:textId="77777777" w:rsidR="000E6900" w:rsidRPr="00DC0854" w:rsidRDefault="000E6900" w:rsidP="00E05D98">
      <w:p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As a public good, we beli</w:t>
      </w:r>
      <w:r w:rsidR="00051C13" w:rsidRPr="00DC0854">
        <w:rPr>
          <w:rFonts w:eastAsia="Times New Roman" w:cs="Arial"/>
          <w:color w:val="000000"/>
          <w:sz w:val="20"/>
          <w:szCs w:val="20"/>
          <w:lang w:eastAsia="en-AU"/>
        </w:rPr>
        <w:t xml:space="preserve">eve that comparison of funds and resulting guidelines is best funded collectively. It may be appropriate for superannuation funds to cover the cost through say a levy, and </w:t>
      </w:r>
      <w:r w:rsidR="003D01DC" w:rsidRPr="00DC0854">
        <w:rPr>
          <w:rFonts w:eastAsia="Times New Roman" w:cs="Arial"/>
          <w:color w:val="000000"/>
          <w:sz w:val="20"/>
          <w:szCs w:val="20"/>
          <w:lang w:eastAsia="en-AU"/>
        </w:rPr>
        <w:t>share the cost with consumers through the normal market mechanisms.</w:t>
      </w:r>
    </w:p>
    <w:p w14:paraId="6F238F26" w14:textId="77777777" w:rsidR="003D01DC" w:rsidRPr="00DC0854" w:rsidRDefault="003D01DC" w:rsidP="00E05D98">
      <w:pPr>
        <w:spacing w:line="240" w:lineRule="auto"/>
        <w:rPr>
          <w:rFonts w:eastAsia="Times New Roman" w:cs="Arial"/>
          <w:color w:val="000000"/>
          <w:sz w:val="20"/>
          <w:szCs w:val="20"/>
          <w:lang w:eastAsia="en-AU"/>
        </w:rPr>
      </w:pPr>
    </w:p>
    <w:p w14:paraId="4237A6A8" w14:textId="77777777" w:rsidR="003D01DC" w:rsidRPr="00DC0854" w:rsidRDefault="003D01DC" w:rsidP="00E05D98">
      <w:p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Under our preferred option (i.e. where employers allocate employees to a default fund), the costs (including of any financial planners) would fall on the employer. However, the burden would be shared between employer and employees as per the normal market mechanisms.</w:t>
      </w:r>
    </w:p>
    <w:p w14:paraId="6C014CA0" w14:textId="77777777" w:rsidR="00E05D98" w:rsidRPr="00DC0854" w:rsidRDefault="00E05D98" w:rsidP="00455360">
      <w:pPr>
        <w:pStyle w:val="Heading4"/>
        <w:numPr>
          <w:ilvl w:val="0"/>
          <w:numId w:val="12"/>
        </w:numPr>
        <w:rPr>
          <w:i w:val="0"/>
          <w:color w:val="auto"/>
          <w:sz w:val="20"/>
          <w:szCs w:val="20"/>
          <w:lang w:eastAsia="en-AU" w:bidi="en-US"/>
        </w:rPr>
      </w:pPr>
      <w:r w:rsidRPr="00DC0854">
        <w:rPr>
          <w:i w:val="0"/>
          <w:color w:val="auto"/>
          <w:sz w:val="20"/>
          <w:szCs w:val="20"/>
          <w:lang w:eastAsia="en-AU" w:bidi="en-US"/>
        </w:rPr>
        <w:lastRenderedPageBreak/>
        <w:t xml:space="preserve">What should happen to default members in products that lose their approval under the filter? </w:t>
      </w:r>
    </w:p>
    <w:p w14:paraId="08E58EEA" w14:textId="77777777" w:rsidR="00C042ED" w:rsidRPr="00DC0854" w:rsidRDefault="00C042ED" w:rsidP="00E05D98">
      <w:pPr>
        <w:spacing w:line="240" w:lineRule="auto"/>
        <w:rPr>
          <w:rFonts w:eastAsia="Times New Roman" w:cs="Arial"/>
          <w:color w:val="000000"/>
          <w:sz w:val="20"/>
          <w:szCs w:val="20"/>
          <w:lang w:eastAsia="en-AU"/>
        </w:rPr>
      </w:pPr>
    </w:p>
    <w:p w14:paraId="3BF64109" w14:textId="5E8BC1D4" w:rsidR="00C9323E" w:rsidRPr="00DC0854" w:rsidRDefault="00D81242" w:rsidP="00E05D98">
      <w:p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 xml:space="preserve">As discussed, we don’t think </w:t>
      </w:r>
      <w:r w:rsidR="009A2CBF" w:rsidRPr="00DC0854">
        <w:rPr>
          <w:rFonts w:eastAsia="Times New Roman" w:cs="Arial"/>
          <w:color w:val="000000"/>
          <w:sz w:val="20"/>
          <w:szCs w:val="20"/>
          <w:lang w:eastAsia="en-AU"/>
        </w:rPr>
        <w:t>government should restrict which complying funds are eligible to be default funds</w:t>
      </w:r>
      <w:r w:rsidR="00572F58" w:rsidRPr="00DC0854">
        <w:rPr>
          <w:rFonts w:eastAsia="Times New Roman" w:cs="Arial"/>
          <w:color w:val="000000"/>
          <w:sz w:val="20"/>
          <w:szCs w:val="20"/>
          <w:lang w:eastAsia="en-AU"/>
        </w:rPr>
        <w:t>.</w:t>
      </w:r>
      <w:r w:rsidR="00181882" w:rsidRPr="00DC0854">
        <w:rPr>
          <w:rFonts w:eastAsia="Times New Roman" w:cs="Arial"/>
          <w:color w:val="000000"/>
          <w:sz w:val="20"/>
          <w:szCs w:val="20"/>
          <w:lang w:eastAsia="en-AU"/>
        </w:rPr>
        <w:t xml:space="preserve"> Rather, funds should be suggested as eligible or ineligible</w:t>
      </w:r>
      <w:r w:rsidR="00FD49A6" w:rsidRPr="00DC0854">
        <w:rPr>
          <w:rFonts w:eastAsia="Times New Roman" w:cs="Arial"/>
          <w:color w:val="000000"/>
          <w:sz w:val="20"/>
          <w:szCs w:val="20"/>
          <w:lang w:eastAsia="en-AU"/>
        </w:rPr>
        <w:t>. Under our preferred model, if an employer chooses a new default fund for existing default members, successor fund transfer rules apply.</w:t>
      </w:r>
    </w:p>
    <w:p w14:paraId="6C32D311" w14:textId="77777777" w:rsidR="00C9323E" w:rsidRPr="00DC0854" w:rsidRDefault="00C9323E" w:rsidP="00E05D98">
      <w:pPr>
        <w:spacing w:line="240" w:lineRule="auto"/>
        <w:rPr>
          <w:rFonts w:eastAsia="Times New Roman" w:cs="Arial"/>
          <w:color w:val="000000"/>
          <w:sz w:val="20"/>
          <w:szCs w:val="20"/>
          <w:lang w:eastAsia="en-AU"/>
        </w:rPr>
      </w:pPr>
    </w:p>
    <w:p w14:paraId="69A852FD" w14:textId="44EA491A" w:rsidR="00E05D98" w:rsidRPr="00DC0854" w:rsidRDefault="00181882" w:rsidP="00E05D98">
      <w:p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 xml:space="preserve">However, if </w:t>
      </w:r>
      <w:r w:rsidR="00BD69F6" w:rsidRPr="00DC0854">
        <w:rPr>
          <w:rFonts w:eastAsia="Times New Roman" w:cs="Arial"/>
          <w:color w:val="000000"/>
          <w:sz w:val="20"/>
          <w:szCs w:val="20"/>
          <w:lang w:eastAsia="en-AU"/>
        </w:rPr>
        <w:t>the regulator applies the filter in a prescriptive way</w:t>
      </w:r>
      <w:r w:rsidRPr="00DC0854">
        <w:rPr>
          <w:rFonts w:eastAsia="Times New Roman" w:cs="Arial"/>
          <w:color w:val="000000"/>
          <w:sz w:val="20"/>
          <w:szCs w:val="20"/>
          <w:lang w:eastAsia="en-AU"/>
        </w:rPr>
        <w:t xml:space="preserve">, </w:t>
      </w:r>
      <w:r w:rsidR="00BD69F6" w:rsidRPr="00DC0854">
        <w:rPr>
          <w:rFonts w:eastAsia="Times New Roman" w:cs="Arial"/>
          <w:color w:val="000000"/>
          <w:sz w:val="20"/>
          <w:szCs w:val="20"/>
          <w:lang w:eastAsia="en-AU"/>
        </w:rPr>
        <w:t xml:space="preserve">we would suggest that </w:t>
      </w:r>
      <w:r w:rsidR="003E79E7" w:rsidRPr="00DC0854">
        <w:rPr>
          <w:rFonts w:eastAsia="Times New Roman" w:cs="Arial"/>
          <w:color w:val="000000"/>
          <w:sz w:val="20"/>
          <w:szCs w:val="20"/>
          <w:lang w:eastAsia="en-AU"/>
        </w:rPr>
        <w:t>the employer should be consulted (and perhaps their consent should obtained)</w:t>
      </w:r>
      <w:r w:rsidR="005E692F" w:rsidRPr="00DC0854">
        <w:rPr>
          <w:rFonts w:eastAsia="Times New Roman" w:cs="Arial"/>
          <w:color w:val="000000"/>
          <w:sz w:val="20"/>
          <w:szCs w:val="20"/>
          <w:lang w:eastAsia="en-AU"/>
        </w:rPr>
        <w:t xml:space="preserve"> </w:t>
      </w:r>
      <w:r w:rsidR="003E79E7" w:rsidRPr="00DC0854">
        <w:rPr>
          <w:rFonts w:eastAsia="Times New Roman" w:cs="Arial"/>
          <w:color w:val="000000"/>
          <w:sz w:val="20"/>
          <w:szCs w:val="20"/>
          <w:lang w:eastAsia="en-AU"/>
        </w:rPr>
        <w:t>before moving existing employees to the new fund. This would provide a safeguard against the possibility that the new approved list does not align with the peculiarities of the particular group of employees.</w:t>
      </w:r>
    </w:p>
    <w:p w14:paraId="70D3C72A" w14:textId="77777777" w:rsidR="00C042ED" w:rsidRPr="00DC0854" w:rsidRDefault="00C042ED" w:rsidP="00C042ED">
      <w:pPr>
        <w:pStyle w:val="Heading2"/>
        <w:rPr>
          <w:sz w:val="24"/>
          <w:szCs w:val="24"/>
        </w:rPr>
      </w:pPr>
      <w:r w:rsidRPr="00DC0854">
        <w:rPr>
          <w:sz w:val="24"/>
          <w:szCs w:val="24"/>
        </w:rPr>
        <w:t>Market-based models</w:t>
      </w:r>
    </w:p>
    <w:p w14:paraId="078C8BD3" w14:textId="77777777" w:rsidR="00E05D98" w:rsidRPr="00DC0854" w:rsidRDefault="00E05D98" w:rsidP="00E05D98">
      <w:pPr>
        <w:spacing w:line="240" w:lineRule="auto"/>
        <w:rPr>
          <w:rFonts w:eastAsia="Times New Roman" w:cs="Arial"/>
          <w:color w:val="000000"/>
          <w:sz w:val="20"/>
          <w:szCs w:val="20"/>
          <w:lang w:eastAsia="en-AU"/>
        </w:rPr>
      </w:pPr>
    </w:p>
    <w:p w14:paraId="35DCD0FB" w14:textId="77777777" w:rsidR="007F7519" w:rsidRPr="00DC0854" w:rsidRDefault="007F7519" w:rsidP="00835439">
      <w:pPr>
        <w:pStyle w:val="Heading3"/>
        <w:rPr>
          <w:b/>
          <w:i w:val="0"/>
          <w:szCs w:val="22"/>
        </w:rPr>
      </w:pPr>
      <w:r w:rsidRPr="00DC0854">
        <w:rPr>
          <w:b/>
          <w:i w:val="0"/>
          <w:szCs w:val="22"/>
        </w:rPr>
        <w:t>How would eligible products be determined?</w:t>
      </w:r>
    </w:p>
    <w:p w14:paraId="7349F0EA" w14:textId="77777777" w:rsidR="00C042ED" w:rsidRPr="00DC0854" w:rsidRDefault="00C042ED" w:rsidP="00455360">
      <w:pPr>
        <w:pStyle w:val="Heading4"/>
        <w:numPr>
          <w:ilvl w:val="0"/>
          <w:numId w:val="12"/>
        </w:numPr>
        <w:rPr>
          <w:i w:val="0"/>
          <w:color w:val="auto"/>
          <w:sz w:val="20"/>
          <w:szCs w:val="20"/>
          <w:lang w:eastAsia="en-AU" w:bidi="en-US"/>
        </w:rPr>
      </w:pPr>
      <w:r w:rsidRPr="00DC0854">
        <w:rPr>
          <w:i w:val="0"/>
          <w:color w:val="auto"/>
          <w:sz w:val="20"/>
          <w:szCs w:val="20"/>
          <w:lang w:eastAsia="en-AU" w:bidi="en-US"/>
        </w:rPr>
        <w:t xml:space="preserve">What would be the likely effects of a tender on competition between successful funds and in the superannuation system more broadly? What would be the implications for product innovation and system stability? What would be the likely effects on long-term member outcomes? </w:t>
      </w:r>
    </w:p>
    <w:p w14:paraId="2D991CC8" w14:textId="77777777" w:rsidR="00CD4F05" w:rsidRPr="00DC0854" w:rsidRDefault="00CD4F05" w:rsidP="00C042ED">
      <w:pPr>
        <w:spacing w:line="240" w:lineRule="auto"/>
        <w:rPr>
          <w:rFonts w:eastAsia="Times New Roman" w:cs="Arial"/>
          <w:color w:val="000000"/>
          <w:sz w:val="20"/>
          <w:szCs w:val="20"/>
          <w:lang w:eastAsia="en-AU"/>
        </w:rPr>
      </w:pPr>
    </w:p>
    <w:p w14:paraId="76AC4900" w14:textId="52FB0C75" w:rsidR="00C042ED" w:rsidRPr="00DC0854" w:rsidRDefault="00F03F66" w:rsidP="00C042ED">
      <w:pPr>
        <w:spacing w:line="240" w:lineRule="auto"/>
        <w:rPr>
          <w:rFonts w:eastAsia="Times New Roman" w:cs="Arial"/>
          <w:color w:val="000000"/>
          <w:sz w:val="20"/>
          <w:szCs w:val="20"/>
          <w:lang w:eastAsia="en-AU"/>
        </w:rPr>
      </w:pPr>
      <w:r>
        <w:rPr>
          <w:rFonts w:eastAsia="Times New Roman" w:cs="Arial"/>
          <w:color w:val="000000"/>
          <w:sz w:val="20"/>
          <w:szCs w:val="20"/>
          <w:lang w:eastAsia="en-AU"/>
        </w:rPr>
        <w:t>While</w:t>
      </w:r>
      <w:r w:rsidR="00D41ADF" w:rsidRPr="00DC0854">
        <w:rPr>
          <w:rFonts w:eastAsia="Times New Roman" w:cs="Arial"/>
          <w:color w:val="000000"/>
          <w:sz w:val="20"/>
          <w:szCs w:val="20"/>
          <w:lang w:eastAsia="en-AU"/>
        </w:rPr>
        <w:t xml:space="preserve"> a tender system might </w:t>
      </w:r>
      <w:r w:rsidR="007B1F11" w:rsidRPr="00DC0854">
        <w:rPr>
          <w:rFonts w:eastAsia="Times New Roman" w:cs="Arial"/>
          <w:color w:val="000000"/>
          <w:sz w:val="20"/>
          <w:szCs w:val="20"/>
          <w:lang w:eastAsia="en-AU"/>
        </w:rPr>
        <w:t>increase competition on certain fund attributes, such as fees</w:t>
      </w:r>
      <w:r>
        <w:rPr>
          <w:rFonts w:eastAsia="Times New Roman" w:cs="Arial"/>
          <w:color w:val="000000"/>
          <w:sz w:val="20"/>
          <w:szCs w:val="20"/>
          <w:lang w:eastAsia="en-AU"/>
        </w:rPr>
        <w:t xml:space="preserve">, we are concerned that </w:t>
      </w:r>
      <w:r w:rsidR="007B1F11" w:rsidRPr="00DC0854">
        <w:rPr>
          <w:rFonts w:eastAsia="Times New Roman" w:cs="Arial"/>
          <w:color w:val="000000"/>
          <w:sz w:val="20"/>
          <w:szCs w:val="20"/>
          <w:lang w:eastAsia="en-AU"/>
        </w:rPr>
        <w:t xml:space="preserve">such a system </w:t>
      </w:r>
      <w:r w:rsidRPr="00F03F66">
        <w:rPr>
          <w:rFonts w:eastAsia="Times New Roman" w:cs="Arial"/>
          <w:color w:val="000000"/>
          <w:sz w:val="20"/>
          <w:szCs w:val="20"/>
          <w:lang w:eastAsia="en-AU"/>
        </w:rPr>
        <w:t xml:space="preserve">(especially one that operates nationally) </w:t>
      </w:r>
      <w:r w:rsidR="007B1F11" w:rsidRPr="00DC0854">
        <w:rPr>
          <w:rFonts w:eastAsia="Times New Roman" w:cs="Arial"/>
          <w:color w:val="000000"/>
          <w:sz w:val="20"/>
          <w:szCs w:val="20"/>
          <w:lang w:eastAsia="en-AU"/>
        </w:rPr>
        <w:t xml:space="preserve">might </w:t>
      </w:r>
      <w:r w:rsidR="00D41ADF" w:rsidRPr="00DC0854">
        <w:rPr>
          <w:rFonts w:eastAsia="Times New Roman" w:cs="Arial"/>
          <w:color w:val="000000"/>
          <w:sz w:val="20"/>
          <w:szCs w:val="20"/>
          <w:lang w:eastAsia="en-AU"/>
        </w:rPr>
        <w:t xml:space="preserve">discourage innovation as funds would be incentivised to conform to the assessor’s (rather than employees’) expected preferences. </w:t>
      </w:r>
      <w:r w:rsidR="007B1F11" w:rsidRPr="00DC0854">
        <w:rPr>
          <w:rFonts w:eastAsia="Times New Roman" w:cs="Arial"/>
          <w:color w:val="000000"/>
          <w:sz w:val="20"/>
          <w:szCs w:val="20"/>
          <w:lang w:eastAsia="en-AU"/>
        </w:rPr>
        <w:t>Such a system might also increase systemic risk, as pressure on funds to reduce fees is likely to lead to a low-cost, passive investments even if other styles of investment may be appropriate (e.g. in the short and medium term)</w:t>
      </w:r>
      <w:r w:rsidR="00650DF9" w:rsidRPr="00DC0854">
        <w:rPr>
          <w:rFonts w:eastAsia="Times New Roman" w:cs="Arial"/>
          <w:color w:val="000000"/>
          <w:sz w:val="20"/>
          <w:szCs w:val="20"/>
          <w:lang w:eastAsia="en-AU"/>
        </w:rPr>
        <w:t>.</w:t>
      </w:r>
    </w:p>
    <w:p w14:paraId="36E451D7" w14:textId="77777777" w:rsidR="00C042ED" w:rsidRPr="00DC0854" w:rsidRDefault="00C042ED" w:rsidP="00455360">
      <w:pPr>
        <w:pStyle w:val="Heading4"/>
        <w:numPr>
          <w:ilvl w:val="0"/>
          <w:numId w:val="12"/>
        </w:numPr>
        <w:rPr>
          <w:i w:val="0"/>
          <w:color w:val="auto"/>
          <w:sz w:val="20"/>
          <w:szCs w:val="20"/>
          <w:lang w:eastAsia="en-AU" w:bidi="en-US"/>
        </w:rPr>
      </w:pPr>
      <w:r w:rsidRPr="00DC0854">
        <w:rPr>
          <w:i w:val="0"/>
          <w:color w:val="auto"/>
          <w:sz w:val="20"/>
          <w:szCs w:val="20"/>
          <w:lang w:eastAsia="en-AU" w:bidi="en-US"/>
        </w:rPr>
        <w:t>What metric(s) would be most appropriate to include in a tender, and why?</w:t>
      </w:r>
    </w:p>
    <w:p w14:paraId="702470DB" w14:textId="77777777" w:rsidR="00C042ED" w:rsidRPr="00DC0854" w:rsidRDefault="00C042ED" w:rsidP="00455360">
      <w:pPr>
        <w:pStyle w:val="Heading4"/>
        <w:numPr>
          <w:ilvl w:val="1"/>
          <w:numId w:val="12"/>
        </w:numPr>
        <w:rPr>
          <w:i w:val="0"/>
          <w:color w:val="auto"/>
          <w:sz w:val="20"/>
          <w:szCs w:val="20"/>
          <w:lang w:eastAsia="en-AU" w:bidi="en-US"/>
        </w:rPr>
      </w:pPr>
      <w:r w:rsidRPr="00DC0854">
        <w:rPr>
          <w:i w:val="0"/>
          <w:color w:val="auto"/>
          <w:sz w:val="20"/>
          <w:szCs w:val="20"/>
          <w:lang w:eastAsia="en-AU" w:bidi="en-US"/>
        </w:rPr>
        <w:t>How should the bids be assessed against the metric(s)?</w:t>
      </w:r>
    </w:p>
    <w:p w14:paraId="410A73E6" w14:textId="77777777" w:rsidR="00465AF6" w:rsidRPr="00DC0854" w:rsidRDefault="00C042ED" w:rsidP="00465AF6">
      <w:pPr>
        <w:pStyle w:val="Heading4"/>
        <w:numPr>
          <w:ilvl w:val="1"/>
          <w:numId w:val="12"/>
        </w:numPr>
        <w:rPr>
          <w:i w:val="0"/>
          <w:color w:val="auto"/>
          <w:sz w:val="20"/>
          <w:szCs w:val="20"/>
          <w:lang w:eastAsia="en-AU" w:bidi="en-US"/>
        </w:rPr>
      </w:pPr>
      <w:r w:rsidRPr="00DC0854">
        <w:rPr>
          <w:i w:val="0"/>
          <w:color w:val="auto"/>
          <w:sz w:val="20"/>
          <w:szCs w:val="20"/>
          <w:lang w:eastAsia="en-AU" w:bidi="en-US"/>
        </w:rPr>
        <w:t xml:space="preserve">Where there are multiple metrics, how should trade-offs among them be assessed? </w:t>
      </w:r>
    </w:p>
    <w:p w14:paraId="490D1F96" w14:textId="77777777" w:rsidR="00465AF6" w:rsidRPr="00DC0854" w:rsidRDefault="00465AF6" w:rsidP="00465AF6">
      <w:pPr>
        <w:spacing w:line="240" w:lineRule="auto"/>
        <w:rPr>
          <w:rFonts w:eastAsia="Times New Roman" w:cs="Arial"/>
          <w:color w:val="000000"/>
          <w:sz w:val="20"/>
          <w:szCs w:val="20"/>
          <w:lang w:eastAsia="en-AU"/>
        </w:rPr>
      </w:pPr>
    </w:p>
    <w:p w14:paraId="17819FF3" w14:textId="6E17A010" w:rsidR="00465AF6" w:rsidRPr="00DC0854" w:rsidRDefault="00F03F66" w:rsidP="00465AF6">
      <w:pPr>
        <w:spacing w:line="240" w:lineRule="auto"/>
        <w:rPr>
          <w:rFonts w:eastAsia="Times New Roman" w:cs="Arial"/>
          <w:color w:val="000000"/>
          <w:sz w:val="20"/>
          <w:szCs w:val="20"/>
          <w:lang w:eastAsia="en-AU"/>
        </w:rPr>
      </w:pPr>
      <w:r>
        <w:rPr>
          <w:rFonts w:eastAsia="Times New Roman" w:cs="Arial"/>
          <w:color w:val="000000"/>
          <w:sz w:val="20"/>
          <w:szCs w:val="20"/>
          <w:lang w:eastAsia="en-AU"/>
        </w:rPr>
        <w:t>As discussed earlier, the metrics should be based on consumer testing. However, we suspect that the following m</w:t>
      </w:r>
      <w:r w:rsidR="00465AF6" w:rsidRPr="00DC0854">
        <w:rPr>
          <w:rFonts w:eastAsia="Times New Roman" w:cs="Arial"/>
          <w:color w:val="000000"/>
          <w:sz w:val="20"/>
          <w:szCs w:val="20"/>
          <w:lang w:eastAsia="en-AU"/>
        </w:rPr>
        <w:t xml:space="preserve">etrics for determining funds </w:t>
      </w:r>
      <w:r>
        <w:rPr>
          <w:rFonts w:eastAsia="Times New Roman" w:cs="Arial"/>
          <w:color w:val="000000"/>
          <w:sz w:val="20"/>
          <w:szCs w:val="20"/>
          <w:lang w:eastAsia="en-AU"/>
        </w:rPr>
        <w:t>would have explanatory power</w:t>
      </w:r>
      <w:r w:rsidR="00465AF6" w:rsidRPr="00DC0854">
        <w:rPr>
          <w:rFonts w:eastAsia="Times New Roman" w:cs="Arial"/>
          <w:color w:val="000000"/>
          <w:sz w:val="20"/>
          <w:szCs w:val="20"/>
          <w:lang w:eastAsia="en-AU"/>
        </w:rPr>
        <w:t>:</w:t>
      </w:r>
    </w:p>
    <w:p w14:paraId="62E1FAAD" w14:textId="77777777" w:rsidR="00465AF6" w:rsidRPr="00DC0854" w:rsidRDefault="00465AF6" w:rsidP="00465AF6">
      <w:pPr>
        <w:spacing w:line="240" w:lineRule="auto"/>
        <w:rPr>
          <w:rFonts w:eastAsia="Times New Roman" w:cs="Arial"/>
          <w:color w:val="000000"/>
          <w:sz w:val="20"/>
          <w:szCs w:val="20"/>
          <w:lang w:eastAsia="en-AU"/>
        </w:rPr>
      </w:pPr>
    </w:p>
    <w:p w14:paraId="125AB10B" w14:textId="77777777" w:rsidR="00465AF6" w:rsidRPr="00DC0854" w:rsidRDefault="004A745A" w:rsidP="00465AF6">
      <w:pPr>
        <w:numPr>
          <w:ilvl w:val="0"/>
          <w:numId w:val="21"/>
        </w:num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Long-term returns (net of fees) compared to an appropriate benchmark</w:t>
      </w:r>
    </w:p>
    <w:p w14:paraId="3C469F94" w14:textId="77777777" w:rsidR="004A745A" w:rsidRPr="00DC0854" w:rsidRDefault="00465AF6" w:rsidP="00465AF6">
      <w:pPr>
        <w:numPr>
          <w:ilvl w:val="0"/>
          <w:numId w:val="21"/>
        </w:num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Indicators of future returns, such as investment management capability, investment fees and investment style</w:t>
      </w:r>
    </w:p>
    <w:p w14:paraId="7C64CD86" w14:textId="77777777" w:rsidR="004A745A" w:rsidRPr="00DC0854" w:rsidRDefault="004A745A" w:rsidP="00465AF6">
      <w:pPr>
        <w:numPr>
          <w:ilvl w:val="0"/>
          <w:numId w:val="21"/>
        </w:num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Risk premium for insurance</w:t>
      </w:r>
      <w:r w:rsidR="004D514C" w:rsidRPr="00DC0854">
        <w:rPr>
          <w:rFonts w:eastAsia="Times New Roman" w:cs="Arial"/>
          <w:color w:val="000000"/>
          <w:sz w:val="20"/>
          <w:szCs w:val="20"/>
          <w:lang w:eastAsia="en-AU"/>
        </w:rPr>
        <w:t xml:space="preserve"> for each cohort for each type of cover</w:t>
      </w:r>
    </w:p>
    <w:p w14:paraId="422D88F0" w14:textId="77777777" w:rsidR="004A745A" w:rsidRPr="00DC0854" w:rsidRDefault="004A745A" w:rsidP="00465AF6">
      <w:pPr>
        <w:numPr>
          <w:ilvl w:val="0"/>
          <w:numId w:val="21"/>
        </w:num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 xml:space="preserve">Scope of insurance </w:t>
      </w:r>
      <w:r w:rsidR="004D514C" w:rsidRPr="00DC0854">
        <w:rPr>
          <w:rFonts w:eastAsia="Times New Roman" w:cs="Arial"/>
          <w:color w:val="000000"/>
          <w:sz w:val="20"/>
          <w:szCs w:val="20"/>
          <w:lang w:eastAsia="en-AU"/>
        </w:rPr>
        <w:t>for each cohort for each type of cover</w:t>
      </w:r>
    </w:p>
    <w:p w14:paraId="67EB3162" w14:textId="77777777" w:rsidR="004D514C" w:rsidRPr="00DC0854" w:rsidRDefault="004D514C" w:rsidP="00465AF6">
      <w:pPr>
        <w:numPr>
          <w:ilvl w:val="0"/>
          <w:numId w:val="21"/>
        </w:num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Number of ancillary benefits</w:t>
      </w:r>
    </w:p>
    <w:p w14:paraId="44D26068" w14:textId="77777777" w:rsidR="004A745A" w:rsidRPr="00DC0854" w:rsidRDefault="004A745A" w:rsidP="00465AF6">
      <w:pPr>
        <w:numPr>
          <w:ilvl w:val="0"/>
          <w:numId w:val="21"/>
        </w:num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Member satisfaction ratings</w:t>
      </w:r>
    </w:p>
    <w:p w14:paraId="55C94D85" w14:textId="77777777" w:rsidR="00680D65" w:rsidRPr="00DC0854" w:rsidRDefault="00680D65" w:rsidP="00680D65">
      <w:pPr>
        <w:spacing w:line="240" w:lineRule="auto"/>
        <w:rPr>
          <w:rFonts w:eastAsia="Times New Roman" w:cs="Arial"/>
          <w:color w:val="000000"/>
          <w:sz w:val="20"/>
          <w:szCs w:val="20"/>
          <w:lang w:eastAsia="en-AU"/>
        </w:rPr>
      </w:pPr>
    </w:p>
    <w:p w14:paraId="4399DEC6" w14:textId="216DC666" w:rsidR="00465AF6" w:rsidRPr="00DC0854" w:rsidRDefault="00781ECD" w:rsidP="00C042ED">
      <w:p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 xml:space="preserve">The Commission should develop a model to predict the consumer utility of combinations of performance as assessed against each of the metrics. This model should be based on data based on tests of a representative sample of consumers. Ideally, the model would account for different utility functions for different cohorts. </w:t>
      </w:r>
      <w:r w:rsidR="00680D65" w:rsidRPr="00DC0854">
        <w:rPr>
          <w:rFonts w:eastAsia="Times New Roman" w:cs="Arial"/>
          <w:color w:val="000000"/>
          <w:sz w:val="20"/>
          <w:szCs w:val="20"/>
          <w:lang w:eastAsia="en-AU"/>
        </w:rPr>
        <w:t>Bids should be ranked</w:t>
      </w:r>
      <w:r w:rsidRPr="00DC0854">
        <w:rPr>
          <w:rFonts w:eastAsia="Times New Roman" w:cs="Arial"/>
          <w:color w:val="000000"/>
          <w:sz w:val="20"/>
          <w:szCs w:val="20"/>
          <w:lang w:eastAsia="en-AU"/>
        </w:rPr>
        <w:t xml:space="preserve"> based on the overall score of the fund.</w:t>
      </w:r>
    </w:p>
    <w:p w14:paraId="01043C08" w14:textId="77777777" w:rsidR="00C042ED" w:rsidRPr="00DC0854" w:rsidRDefault="00C042ED" w:rsidP="00455360">
      <w:pPr>
        <w:pStyle w:val="Heading4"/>
        <w:numPr>
          <w:ilvl w:val="0"/>
          <w:numId w:val="12"/>
        </w:numPr>
        <w:rPr>
          <w:i w:val="0"/>
          <w:color w:val="auto"/>
          <w:sz w:val="20"/>
          <w:szCs w:val="20"/>
          <w:lang w:eastAsia="en-AU" w:bidi="en-US"/>
        </w:rPr>
      </w:pPr>
      <w:r w:rsidRPr="00DC0854">
        <w:rPr>
          <w:i w:val="0"/>
          <w:color w:val="auto"/>
          <w:sz w:val="20"/>
          <w:szCs w:val="20"/>
          <w:lang w:eastAsia="en-AU" w:bidi="en-US"/>
        </w:rPr>
        <w:t xml:space="preserve">What scope might there be for funds to manipulate a tender process, and how can this be minimised? How might trials or experiments help in refining the design? </w:t>
      </w:r>
    </w:p>
    <w:p w14:paraId="1A7FBA2D" w14:textId="77777777" w:rsidR="00105E0E" w:rsidRPr="00DC0854" w:rsidRDefault="00105E0E" w:rsidP="00C042ED">
      <w:pPr>
        <w:spacing w:line="240" w:lineRule="auto"/>
        <w:rPr>
          <w:rFonts w:eastAsia="Times New Roman" w:cs="Arial"/>
          <w:color w:val="000000"/>
          <w:sz w:val="20"/>
          <w:szCs w:val="20"/>
          <w:lang w:eastAsia="en-AU"/>
        </w:rPr>
      </w:pPr>
    </w:p>
    <w:p w14:paraId="31161DD3" w14:textId="20ECAB40" w:rsidR="00C042ED" w:rsidRPr="00DC0854" w:rsidRDefault="00146619" w:rsidP="00C042ED">
      <w:p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lastRenderedPageBreak/>
        <w:t xml:space="preserve">Funds might collude; </w:t>
      </w:r>
      <w:r w:rsidR="007A6465" w:rsidRPr="00DC0854">
        <w:rPr>
          <w:rFonts w:eastAsia="Times New Roman" w:cs="Arial"/>
          <w:color w:val="000000"/>
          <w:sz w:val="20"/>
          <w:szCs w:val="20"/>
          <w:lang w:eastAsia="en-AU"/>
        </w:rPr>
        <w:t xml:space="preserve">temporarily </w:t>
      </w:r>
      <w:r w:rsidRPr="00DC0854">
        <w:rPr>
          <w:rFonts w:eastAsia="Times New Roman" w:cs="Arial"/>
          <w:color w:val="000000"/>
          <w:sz w:val="20"/>
          <w:szCs w:val="20"/>
          <w:lang w:eastAsia="en-AU"/>
        </w:rPr>
        <w:t xml:space="preserve">improve indicators around the time of an assessment; </w:t>
      </w:r>
      <w:r w:rsidR="00295E11" w:rsidRPr="00DC0854">
        <w:rPr>
          <w:rFonts w:eastAsia="Times New Roman" w:cs="Arial"/>
          <w:color w:val="000000"/>
          <w:sz w:val="20"/>
          <w:szCs w:val="20"/>
          <w:lang w:eastAsia="en-AU"/>
        </w:rPr>
        <w:t xml:space="preserve">or </w:t>
      </w:r>
      <w:r w:rsidRPr="00DC0854">
        <w:rPr>
          <w:rFonts w:eastAsia="Times New Roman" w:cs="Arial"/>
          <w:color w:val="000000"/>
          <w:sz w:val="20"/>
          <w:szCs w:val="20"/>
          <w:lang w:eastAsia="en-AU"/>
        </w:rPr>
        <w:t xml:space="preserve">distort returns </w:t>
      </w:r>
      <w:r w:rsidR="00737B50" w:rsidRPr="00DC0854">
        <w:rPr>
          <w:rFonts w:eastAsia="Times New Roman" w:cs="Arial"/>
          <w:color w:val="000000"/>
          <w:sz w:val="20"/>
          <w:szCs w:val="20"/>
          <w:lang w:eastAsia="en-AU"/>
        </w:rPr>
        <w:t>by writing-off capital</w:t>
      </w:r>
      <w:r w:rsidR="00295E11" w:rsidRPr="00DC0854">
        <w:rPr>
          <w:rFonts w:eastAsia="Times New Roman" w:cs="Arial"/>
          <w:color w:val="000000"/>
          <w:sz w:val="20"/>
          <w:szCs w:val="20"/>
          <w:lang w:eastAsia="en-AU"/>
        </w:rPr>
        <w:t>.</w:t>
      </w:r>
      <w:r w:rsidR="00F90C73" w:rsidRPr="00DC0854">
        <w:rPr>
          <w:rFonts w:eastAsia="Times New Roman" w:cs="Arial"/>
          <w:color w:val="000000"/>
          <w:sz w:val="20"/>
          <w:szCs w:val="20"/>
          <w:lang w:eastAsia="en-AU"/>
        </w:rPr>
        <w:t xml:space="preserve"> Collusion can be managed by regulation and comparing bids for excessive similarity (i.e. substantial similarity across multiple dimensions). Temporary improvements could be assessed based on the fund’s history</w:t>
      </w:r>
      <w:r w:rsidR="00F07A28" w:rsidRPr="00DC0854">
        <w:rPr>
          <w:rFonts w:eastAsia="Times New Roman" w:cs="Arial"/>
          <w:color w:val="000000"/>
          <w:sz w:val="20"/>
          <w:szCs w:val="20"/>
          <w:lang w:eastAsia="en-AU"/>
        </w:rPr>
        <w:t xml:space="preserve"> or whether the product features on which th</w:t>
      </w:r>
      <w:r w:rsidR="00650DF9" w:rsidRPr="00DC0854">
        <w:rPr>
          <w:rFonts w:eastAsia="Times New Roman" w:cs="Arial"/>
          <w:color w:val="000000"/>
          <w:sz w:val="20"/>
          <w:szCs w:val="20"/>
          <w:lang w:eastAsia="en-AU"/>
        </w:rPr>
        <w:t>e indicators are based give rise</w:t>
      </w:r>
      <w:r w:rsidR="00F07A28" w:rsidRPr="00DC0854">
        <w:rPr>
          <w:rFonts w:eastAsia="Times New Roman" w:cs="Arial"/>
          <w:color w:val="000000"/>
          <w:sz w:val="20"/>
          <w:szCs w:val="20"/>
          <w:lang w:eastAsia="en-AU"/>
        </w:rPr>
        <w:t xml:space="preserve"> </w:t>
      </w:r>
      <w:r w:rsidR="00650DF9" w:rsidRPr="00DC0854">
        <w:rPr>
          <w:rFonts w:eastAsia="Times New Roman" w:cs="Arial"/>
          <w:color w:val="000000"/>
          <w:sz w:val="20"/>
          <w:szCs w:val="20"/>
          <w:lang w:eastAsia="en-AU"/>
        </w:rPr>
        <w:t>revokable benefits</w:t>
      </w:r>
      <w:r w:rsidR="00F07A28" w:rsidRPr="00DC0854">
        <w:rPr>
          <w:rFonts w:eastAsia="Times New Roman" w:cs="Arial"/>
          <w:color w:val="000000"/>
          <w:sz w:val="20"/>
          <w:szCs w:val="20"/>
          <w:lang w:eastAsia="en-AU"/>
        </w:rPr>
        <w:t xml:space="preserve"> </w:t>
      </w:r>
      <w:r w:rsidR="00650DF9" w:rsidRPr="00DC0854">
        <w:rPr>
          <w:rFonts w:eastAsia="Times New Roman" w:cs="Arial"/>
          <w:color w:val="000000"/>
          <w:sz w:val="20"/>
          <w:szCs w:val="20"/>
          <w:lang w:eastAsia="en-AU"/>
        </w:rPr>
        <w:t xml:space="preserve">or rights </w:t>
      </w:r>
      <w:r w:rsidR="00F07A28" w:rsidRPr="00DC0854">
        <w:rPr>
          <w:rFonts w:eastAsia="Times New Roman" w:cs="Arial"/>
          <w:color w:val="000000"/>
          <w:sz w:val="20"/>
          <w:szCs w:val="20"/>
          <w:lang w:eastAsia="en-AU"/>
        </w:rPr>
        <w:t>to members.</w:t>
      </w:r>
      <w:r w:rsidR="00332A84" w:rsidRPr="00DC0854">
        <w:rPr>
          <w:rFonts w:eastAsia="Times New Roman" w:cs="Arial"/>
          <w:color w:val="000000"/>
          <w:sz w:val="20"/>
          <w:szCs w:val="20"/>
          <w:lang w:eastAsia="en-AU"/>
        </w:rPr>
        <w:t xml:space="preserve"> </w:t>
      </w:r>
      <w:r w:rsidR="00CE29CC" w:rsidRPr="00DC0854">
        <w:rPr>
          <w:rFonts w:eastAsia="Times New Roman" w:cs="Arial"/>
          <w:color w:val="000000"/>
          <w:sz w:val="20"/>
          <w:szCs w:val="20"/>
          <w:lang w:eastAsia="en-AU"/>
        </w:rPr>
        <w:t xml:space="preserve">Long-term historical returns must be assessed, so as to </w:t>
      </w:r>
      <w:r w:rsidR="00F3070C" w:rsidRPr="00DC0854">
        <w:rPr>
          <w:rFonts w:eastAsia="Times New Roman" w:cs="Arial"/>
          <w:color w:val="000000"/>
          <w:sz w:val="20"/>
          <w:szCs w:val="20"/>
          <w:lang w:eastAsia="en-AU"/>
        </w:rPr>
        <w:t>incorporate losses from capital write-offs for a period that reflects the continuing risk of losses under current management.</w:t>
      </w:r>
    </w:p>
    <w:p w14:paraId="388305F3" w14:textId="77777777" w:rsidR="00A67365" w:rsidRPr="00DC0854" w:rsidRDefault="00C042ED" w:rsidP="00455360">
      <w:pPr>
        <w:pStyle w:val="Heading4"/>
        <w:numPr>
          <w:ilvl w:val="0"/>
          <w:numId w:val="12"/>
        </w:numPr>
        <w:rPr>
          <w:i w:val="0"/>
          <w:color w:val="auto"/>
          <w:sz w:val="20"/>
          <w:szCs w:val="20"/>
          <w:lang w:eastAsia="en-AU" w:bidi="en-US"/>
        </w:rPr>
      </w:pPr>
      <w:r w:rsidRPr="00DC0854">
        <w:rPr>
          <w:i w:val="0"/>
          <w:color w:val="auto"/>
          <w:sz w:val="20"/>
          <w:szCs w:val="20"/>
          <w:lang w:eastAsia="en-AU" w:bidi="en-US"/>
        </w:rPr>
        <w:t>How frequently should a tender process be run? Who should administer the selection and subsequent monitoring of products?</w:t>
      </w:r>
    </w:p>
    <w:p w14:paraId="158818C1" w14:textId="77777777" w:rsidR="00C042ED" w:rsidRPr="00DC0854" w:rsidRDefault="00C042ED" w:rsidP="00A36A5E">
      <w:pPr>
        <w:spacing w:line="240" w:lineRule="auto"/>
        <w:rPr>
          <w:rFonts w:eastAsia="Times New Roman" w:cs="Arial"/>
          <w:color w:val="000000"/>
          <w:sz w:val="20"/>
          <w:szCs w:val="20"/>
          <w:lang w:eastAsia="en-AU"/>
        </w:rPr>
      </w:pPr>
    </w:p>
    <w:p w14:paraId="212A5B43" w14:textId="77777777" w:rsidR="00C042ED" w:rsidRPr="00DC0854" w:rsidRDefault="003D45C8" w:rsidP="00A36A5E">
      <w:p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We would suggest that the tender process should be run annually and be run by APRA.</w:t>
      </w:r>
    </w:p>
    <w:p w14:paraId="70FBE730" w14:textId="77777777" w:rsidR="00C042ED" w:rsidRPr="00DC0854" w:rsidRDefault="00C042ED" w:rsidP="00A36A5E">
      <w:pPr>
        <w:spacing w:line="240" w:lineRule="auto"/>
        <w:rPr>
          <w:rFonts w:eastAsia="Times New Roman" w:cs="Arial"/>
          <w:color w:val="000000"/>
          <w:sz w:val="20"/>
          <w:szCs w:val="20"/>
          <w:lang w:eastAsia="en-AU"/>
        </w:rPr>
      </w:pPr>
    </w:p>
    <w:p w14:paraId="0AE11214" w14:textId="77777777" w:rsidR="00A67365" w:rsidRPr="00DC0854" w:rsidRDefault="005114A9" w:rsidP="00835439">
      <w:pPr>
        <w:pStyle w:val="Heading3"/>
        <w:rPr>
          <w:b/>
          <w:i w:val="0"/>
          <w:szCs w:val="22"/>
        </w:rPr>
      </w:pPr>
      <w:r w:rsidRPr="00DC0854">
        <w:rPr>
          <w:b/>
          <w:i w:val="0"/>
          <w:szCs w:val="22"/>
        </w:rPr>
        <w:t>How would employees be allocated to products?</w:t>
      </w:r>
    </w:p>
    <w:p w14:paraId="777F43A2" w14:textId="77777777" w:rsidR="005114A9" w:rsidRPr="00DC0854" w:rsidRDefault="005114A9" w:rsidP="00455360">
      <w:pPr>
        <w:pStyle w:val="Heading4"/>
        <w:numPr>
          <w:ilvl w:val="0"/>
          <w:numId w:val="12"/>
        </w:numPr>
        <w:rPr>
          <w:i w:val="0"/>
          <w:color w:val="auto"/>
          <w:sz w:val="20"/>
          <w:szCs w:val="20"/>
          <w:lang w:eastAsia="en-AU" w:bidi="en-US"/>
        </w:rPr>
      </w:pPr>
      <w:r w:rsidRPr="00DC0854">
        <w:rPr>
          <w:i w:val="0"/>
          <w:color w:val="auto"/>
          <w:sz w:val="20"/>
          <w:szCs w:val="20"/>
          <w:lang w:eastAsia="en-AU" w:bidi="en-US"/>
        </w:rPr>
        <w:t xml:space="preserve">What are the relative merits of using a single tender that covers the entire system versus a more segmented approach? What are the key practical considerations and challenges in implementing each approach? </w:t>
      </w:r>
    </w:p>
    <w:p w14:paraId="68528ACC" w14:textId="578E7543" w:rsidR="003D45C8" w:rsidRPr="00DC0854" w:rsidRDefault="003D45C8" w:rsidP="003D45C8">
      <w:pPr>
        <w:pStyle w:val="Heading4"/>
        <w:rPr>
          <w:rFonts w:ascii="Arial" w:eastAsia="Times New Roman" w:hAnsi="Arial" w:cs="Arial"/>
          <w:b w:val="0"/>
          <w:bCs w:val="0"/>
          <w:i w:val="0"/>
          <w:iCs w:val="0"/>
          <w:color w:val="000000"/>
          <w:sz w:val="20"/>
          <w:szCs w:val="20"/>
          <w:lang w:eastAsia="en-AU"/>
        </w:rPr>
      </w:pPr>
      <w:r w:rsidRPr="00DC0854">
        <w:rPr>
          <w:rFonts w:ascii="Arial" w:eastAsia="Times New Roman" w:hAnsi="Arial" w:cs="Arial"/>
          <w:b w:val="0"/>
          <w:bCs w:val="0"/>
          <w:i w:val="0"/>
          <w:iCs w:val="0"/>
          <w:color w:val="000000"/>
          <w:sz w:val="20"/>
          <w:szCs w:val="20"/>
          <w:lang w:eastAsia="en-AU"/>
        </w:rPr>
        <w:t xml:space="preserve">The benefit of a more segmented approach is the increase in alignment of employee preferences with the product chosen. </w:t>
      </w:r>
      <w:r w:rsidR="00B03133">
        <w:rPr>
          <w:rFonts w:ascii="Arial" w:eastAsia="Times New Roman" w:hAnsi="Arial" w:cs="Arial"/>
          <w:b w:val="0"/>
          <w:bCs w:val="0"/>
          <w:i w:val="0"/>
          <w:iCs w:val="0"/>
          <w:color w:val="000000"/>
          <w:sz w:val="20"/>
          <w:szCs w:val="20"/>
          <w:lang w:eastAsia="en-AU"/>
        </w:rPr>
        <w:t xml:space="preserve">While we are concerned about requiring a tender process for all default funds, if such an approach was prescribed a high level of segmentation, down to the particular employer’s employee base, should be considered. </w:t>
      </w:r>
      <w:r w:rsidRPr="00DC0854">
        <w:rPr>
          <w:rFonts w:ascii="Arial" w:eastAsia="Times New Roman" w:hAnsi="Arial" w:cs="Arial"/>
          <w:b w:val="0"/>
          <w:bCs w:val="0"/>
          <w:i w:val="0"/>
          <w:iCs w:val="0"/>
          <w:color w:val="000000"/>
          <w:sz w:val="20"/>
          <w:szCs w:val="20"/>
          <w:lang w:eastAsia="en-AU"/>
        </w:rPr>
        <w:t xml:space="preserve">The </w:t>
      </w:r>
      <w:r w:rsidR="000F7F86" w:rsidRPr="00DC0854">
        <w:rPr>
          <w:rFonts w:ascii="Arial" w:eastAsia="Times New Roman" w:hAnsi="Arial" w:cs="Arial"/>
          <w:b w:val="0"/>
          <w:bCs w:val="0"/>
          <w:i w:val="0"/>
          <w:iCs w:val="0"/>
          <w:color w:val="000000"/>
          <w:sz w:val="20"/>
          <w:szCs w:val="20"/>
          <w:lang w:eastAsia="en-AU"/>
        </w:rPr>
        <w:t xml:space="preserve">key challenge </w:t>
      </w:r>
      <w:r w:rsidR="00753BF3" w:rsidRPr="00DC0854">
        <w:rPr>
          <w:rFonts w:ascii="Arial" w:eastAsia="Times New Roman" w:hAnsi="Arial" w:cs="Arial"/>
          <w:b w:val="0"/>
          <w:bCs w:val="0"/>
          <w:i w:val="0"/>
          <w:iCs w:val="0"/>
          <w:color w:val="000000"/>
          <w:sz w:val="20"/>
          <w:szCs w:val="20"/>
          <w:lang w:eastAsia="en-AU"/>
        </w:rPr>
        <w:t>i</w:t>
      </w:r>
      <w:r w:rsidRPr="00DC0854">
        <w:rPr>
          <w:rFonts w:ascii="Arial" w:eastAsia="Times New Roman" w:hAnsi="Arial" w:cs="Arial"/>
          <w:b w:val="0"/>
          <w:bCs w:val="0"/>
          <w:i w:val="0"/>
          <w:iCs w:val="0"/>
          <w:color w:val="000000"/>
          <w:sz w:val="20"/>
          <w:szCs w:val="20"/>
          <w:lang w:eastAsia="en-AU"/>
        </w:rPr>
        <w:t xml:space="preserve">s </w:t>
      </w:r>
      <w:r w:rsidR="000F7F86" w:rsidRPr="00DC0854">
        <w:rPr>
          <w:rFonts w:ascii="Arial" w:eastAsia="Times New Roman" w:hAnsi="Arial" w:cs="Arial"/>
          <w:b w:val="0"/>
          <w:bCs w:val="0"/>
          <w:i w:val="0"/>
          <w:iCs w:val="0"/>
          <w:color w:val="000000"/>
          <w:sz w:val="20"/>
          <w:szCs w:val="20"/>
          <w:lang w:eastAsia="en-AU"/>
        </w:rPr>
        <w:t>to identify relevant characteristics; this is also going to increase the cost of the process.</w:t>
      </w:r>
    </w:p>
    <w:p w14:paraId="41A39225" w14:textId="77777777" w:rsidR="005114A9" w:rsidRPr="00DC0854" w:rsidRDefault="005114A9" w:rsidP="003D45C8">
      <w:pPr>
        <w:pStyle w:val="Heading4"/>
        <w:rPr>
          <w:i w:val="0"/>
          <w:color w:val="auto"/>
          <w:sz w:val="20"/>
          <w:szCs w:val="20"/>
          <w:lang w:eastAsia="en-AU" w:bidi="en-US"/>
        </w:rPr>
      </w:pPr>
      <w:r w:rsidRPr="00DC0854">
        <w:rPr>
          <w:i w:val="0"/>
          <w:color w:val="auto"/>
          <w:sz w:val="20"/>
          <w:szCs w:val="20"/>
          <w:lang w:eastAsia="en-AU" w:bidi="en-US"/>
        </w:rPr>
        <w:t xml:space="preserve">In what ways could employees be allocated to eligible products in a market-based model (including through single winner and multiple winner tenders)? What are the advantages and disadvantages of each approach? What costs and responsibilities would fall on employees, employers, regulators and superannuation funds under each approach? </w:t>
      </w:r>
    </w:p>
    <w:p w14:paraId="3B2A6DB5" w14:textId="77777777" w:rsidR="005114A9" w:rsidRPr="00DC0854" w:rsidRDefault="005114A9" w:rsidP="005114A9">
      <w:pPr>
        <w:spacing w:line="240" w:lineRule="auto"/>
        <w:rPr>
          <w:rFonts w:eastAsia="Times New Roman" w:cs="Arial"/>
          <w:color w:val="000000"/>
          <w:sz w:val="20"/>
          <w:szCs w:val="20"/>
          <w:lang w:eastAsia="en-AU"/>
        </w:rPr>
      </w:pPr>
    </w:p>
    <w:p w14:paraId="65BF918B" w14:textId="77777777" w:rsidR="00136B4F" w:rsidRPr="00DC0854" w:rsidRDefault="00D46C6E" w:rsidP="005114A9">
      <w:p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E</w:t>
      </w:r>
      <w:r w:rsidR="00136B4F" w:rsidRPr="00DC0854">
        <w:rPr>
          <w:rFonts w:eastAsia="Times New Roman" w:cs="Arial"/>
          <w:color w:val="000000"/>
          <w:sz w:val="20"/>
          <w:szCs w:val="20"/>
          <w:lang w:eastAsia="en-AU"/>
        </w:rPr>
        <w:t xml:space="preserve">ach cycle, new default members could be allocated to that cycle’s winner, with existing default funds having to upgrade to provide equal or better benefits for existing members. </w:t>
      </w:r>
    </w:p>
    <w:p w14:paraId="013F64B5" w14:textId="77777777" w:rsidR="00136B4F" w:rsidRPr="00DC0854" w:rsidRDefault="00136B4F" w:rsidP="005114A9">
      <w:pPr>
        <w:spacing w:line="240" w:lineRule="auto"/>
        <w:rPr>
          <w:rFonts w:eastAsia="Times New Roman" w:cs="Arial"/>
          <w:color w:val="000000"/>
          <w:sz w:val="20"/>
          <w:szCs w:val="20"/>
          <w:lang w:eastAsia="en-AU"/>
        </w:rPr>
      </w:pPr>
    </w:p>
    <w:p w14:paraId="780713BF" w14:textId="77777777" w:rsidR="005114A9" w:rsidRPr="00DC0854" w:rsidRDefault="00136B4F" w:rsidP="005114A9">
      <w:p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Where there are multiple winners, the employer could decide which of the winners to choose from. Existing funds would need to upgrade to provide equal or better cover to the level of the lowest-ranking winner.</w:t>
      </w:r>
    </w:p>
    <w:p w14:paraId="428D75BB" w14:textId="77777777" w:rsidR="00136B4F" w:rsidRPr="00DC0854" w:rsidRDefault="00136B4F" w:rsidP="005114A9">
      <w:pPr>
        <w:spacing w:line="240" w:lineRule="auto"/>
        <w:rPr>
          <w:rFonts w:eastAsia="Times New Roman" w:cs="Arial"/>
          <w:color w:val="000000"/>
          <w:sz w:val="20"/>
          <w:szCs w:val="20"/>
          <w:lang w:eastAsia="en-AU"/>
        </w:rPr>
      </w:pPr>
    </w:p>
    <w:p w14:paraId="47EA692A" w14:textId="77777777" w:rsidR="00136B4F" w:rsidRPr="00DC0854" w:rsidRDefault="00136B4F" w:rsidP="005114A9">
      <w:p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This process would ensure broadly equal treatment for default members and encourage continual improvement to their benefits.</w:t>
      </w:r>
    </w:p>
    <w:p w14:paraId="06D14F1F" w14:textId="77777777" w:rsidR="00136B4F" w:rsidRPr="00DC0854" w:rsidRDefault="00136B4F" w:rsidP="005114A9">
      <w:pPr>
        <w:spacing w:line="240" w:lineRule="auto"/>
        <w:rPr>
          <w:rFonts w:eastAsia="Times New Roman" w:cs="Arial"/>
          <w:color w:val="000000"/>
          <w:sz w:val="20"/>
          <w:szCs w:val="20"/>
          <w:lang w:eastAsia="en-AU"/>
        </w:rPr>
      </w:pPr>
    </w:p>
    <w:p w14:paraId="26D50A17" w14:textId="77777777" w:rsidR="00136B4F" w:rsidRPr="00DC0854" w:rsidRDefault="00136B4F" w:rsidP="005114A9">
      <w:p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 xml:space="preserve">The regulator (or a regulated </w:t>
      </w:r>
      <w:r w:rsidR="006F6A8E" w:rsidRPr="00DC0854">
        <w:rPr>
          <w:rFonts w:eastAsia="Times New Roman" w:cs="Arial"/>
          <w:color w:val="000000"/>
          <w:sz w:val="20"/>
          <w:szCs w:val="20"/>
          <w:lang w:eastAsia="en-AU"/>
        </w:rPr>
        <w:t xml:space="preserve">exchange) </w:t>
      </w:r>
      <w:r w:rsidRPr="00DC0854">
        <w:rPr>
          <w:rFonts w:eastAsia="Times New Roman" w:cs="Arial"/>
          <w:color w:val="000000"/>
          <w:sz w:val="20"/>
          <w:szCs w:val="20"/>
          <w:lang w:eastAsia="en-AU"/>
        </w:rPr>
        <w:t xml:space="preserve">would administer the process to avoid </w:t>
      </w:r>
      <w:r w:rsidR="006F6A8E" w:rsidRPr="00DC0854">
        <w:rPr>
          <w:rFonts w:eastAsia="Times New Roman" w:cs="Arial"/>
          <w:color w:val="000000"/>
          <w:sz w:val="20"/>
          <w:szCs w:val="20"/>
          <w:lang w:eastAsia="en-AU"/>
        </w:rPr>
        <w:t>misuse. The cost could be funded by super funds (through say a levy) and shared with employers/consumers through the normal market mechanism.</w:t>
      </w:r>
    </w:p>
    <w:p w14:paraId="55F0E62D" w14:textId="77777777" w:rsidR="005114A9" w:rsidRPr="00DC0854" w:rsidRDefault="005114A9" w:rsidP="00455360">
      <w:pPr>
        <w:pStyle w:val="Heading4"/>
        <w:numPr>
          <w:ilvl w:val="0"/>
          <w:numId w:val="12"/>
        </w:numPr>
        <w:rPr>
          <w:i w:val="0"/>
          <w:color w:val="auto"/>
          <w:sz w:val="20"/>
          <w:szCs w:val="20"/>
          <w:lang w:eastAsia="en-AU" w:bidi="en-US"/>
        </w:rPr>
      </w:pPr>
      <w:r w:rsidRPr="00DC0854">
        <w:rPr>
          <w:i w:val="0"/>
          <w:color w:val="auto"/>
          <w:sz w:val="20"/>
          <w:szCs w:val="20"/>
          <w:lang w:eastAsia="en-AU" w:bidi="en-US"/>
        </w:rPr>
        <w:t xml:space="preserve">What are the merits of using the </w:t>
      </w:r>
      <w:proofErr w:type="spellStart"/>
      <w:r w:rsidRPr="00DC0854">
        <w:rPr>
          <w:i w:val="0"/>
          <w:color w:val="auto"/>
          <w:sz w:val="20"/>
          <w:szCs w:val="20"/>
          <w:lang w:eastAsia="en-AU" w:bidi="en-US"/>
        </w:rPr>
        <w:t>MySuper</w:t>
      </w:r>
      <w:proofErr w:type="spellEnd"/>
      <w:r w:rsidRPr="00DC0854">
        <w:rPr>
          <w:i w:val="0"/>
          <w:color w:val="auto"/>
          <w:sz w:val="20"/>
          <w:szCs w:val="20"/>
          <w:lang w:eastAsia="en-AU" w:bidi="en-US"/>
        </w:rPr>
        <w:t xml:space="preserve"> requirements as an entry threshold to the tender process? What are the potential problems with this kind of approach?</w:t>
      </w:r>
    </w:p>
    <w:p w14:paraId="15BB33AD" w14:textId="77777777" w:rsidR="00543DEA" w:rsidRPr="00DC0854" w:rsidRDefault="00543DEA" w:rsidP="00543DEA">
      <w:pPr>
        <w:rPr>
          <w:lang w:eastAsia="en-AU" w:bidi="en-US"/>
        </w:rPr>
      </w:pPr>
    </w:p>
    <w:p w14:paraId="49BA39D5" w14:textId="4490E8C2" w:rsidR="00543DEA" w:rsidRPr="00DC0854" w:rsidRDefault="00FD2334" w:rsidP="00543DEA">
      <w:p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 xml:space="preserve">We disagree with using </w:t>
      </w:r>
      <w:proofErr w:type="spellStart"/>
      <w:r w:rsidRPr="00DC0854">
        <w:rPr>
          <w:rFonts w:eastAsia="Times New Roman" w:cs="Arial"/>
          <w:color w:val="000000"/>
          <w:sz w:val="20"/>
          <w:szCs w:val="20"/>
          <w:lang w:eastAsia="en-AU"/>
        </w:rPr>
        <w:t>MySuper</w:t>
      </w:r>
      <w:proofErr w:type="spellEnd"/>
      <w:r w:rsidRPr="00DC0854">
        <w:rPr>
          <w:rFonts w:eastAsia="Times New Roman" w:cs="Arial"/>
          <w:color w:val="000000"/>
          <w:sz w:val="20"/>
          <w:szCs w:val="20"/>
          <w:lang w:eastAsia="en-AU"/>
        </w:rPr>
        <w:t xml:space="preserve"> as a threshold test. While simplicity and comparability might increase the competitiveness of this sector, there is no reason to think other funds won’t be competitive given the introduction of a tender process</w:t>
      </w:r>
      <w:r w:rsidR="00753BF3" w:rsidRPr="00DC0854">
        <w:rPr>
          <w:rFonts w:eastAsia="Times New Roman" w:cs="Arial"/>
          <w:color w:val="000000"/>
          <w:sz w:val="20"/>
          <w:szCs w:val="20"/>
          <w:lang w:eastAsia="en-AU"/>
        </w:rPr>
        <w:t xml:space="preserve"> or other competition-enhancing measures</w:t>
      </w:r>
      <w:r w:rsidRPr="00DC0854">
        <w:rPr>
          <w:rFonts w:eastAsia="Times New Roman" w:cs="Arial"/>
          <w:color w:val="000000"/>
          <w:sz w:val="20"/>
          <w:szCs w:val="20"/>
          <w:lang w:eastAsia="en-AU"/>
        </w:rPr>
        <w:t>.</w:t>
      </w:r>
    </w:p>
    <w:p w14:paraId="08496CE2" w14:textId="77777777" w:rsidR="00A94D43" w:rsidRPr="00DC0854" w:rsidRDefault="00A94D43" w:rsidP="00A94D43">
      <w:pPr>
        <w:pStyle w:val="Heading2"/>
        <w:rPr>
          <w:sz w:val="24"/>
          <w:szCs w:val="24"/>
        </w:rPr>
      </w:pPr>
      <w:r w:rsidRPr="00DC0854">
        <w:rPr>
          <w:sz w:val="24"/>
          <w:szCs w:val="24"/>
        </w:rPr>
        <w:lastRenderedPageBreak/>
        <w:t>Active choice by employees</w:t>
      </w:r>
    </w:p>
    <w:p w14:paraId="03E2DF0A" w14:textId="77777777" w:rsidR="00013599" w:rsidRPr="00DC0854" w:rsidRDefault="00835439" w:rsidP="00835439">
      <w:pPr>
        <w:pStyle w:val="Heading3"/>
        <w:rPr>
          <w:b/>
          <w:i w:val="0"/>
          <w:szCs w:val="22"/>
        </w:rPr>
      </w:pPr>
      <w:r w:rsidRPr="00DC0854">
        <w:rPr>
          <w:b/>
          <w:i w:val="0"/>
          <w:szCs w:val="22"/>
        </w:rPr>
        <w:t>Active choice with filter</w:t>
      </w:r>
    </w:p>
    <w:p w14:paraId="31933A4E" w14:textId="77777777" w:rsidR="00835439" w:rsidRPr="00DC0854" w:rsidRDefault="00835439" w:rsidP="00455360">
      <w:pPr>
        <w:pStyle w:val="Heading4"/>
        <w:numPr>
          <w:ilvl w:val="0"/>
          <w:numId w:val="12"/>
        </w:numPr>
        <w:rPr>
          <w:i w:val="0"/>
          <w:color w:val="auto"/>
          <w:sz w:val="20"/>
          <w:szCs w:val="20"/>
          <w:lang w:eastAsia="en-AU" w:bidi="en-US"/>
        </w:rPr>
      </w:pPr>
      <w:r w:rsidRPr="00DC0854">
        <w:rPr>
          <w:i w:val="0"/>
          <w:color w:val="auto"/>
          <w:sz w:val="20"/>
          <w:szCs w:val="20"/>
          <w:lang w:eastAsia="en-AU" w:bidi="en-US"/>
        </w:rPr>
        <w:t>What are the advantages and disadvantages of an active choice model? How can these costs and benefits be assessed and measured?</w:t>
      </w:r>
    </w:p>
    <w:p w14:paraId="78309A99" w14:textId="6F0BDFAA" w:rsidR="00366C29" w:rsidRPr="00DC0854" w:rsidRDefault="009F205C" w:rsidP="009F205C">
      <w:pPr>
        <w:pStyle w:val="Heading4"/>
        <w:rPr>
          <w:rFonts w:ascii="Arial" w:eastAsia="Times New Roman" w:hAnsi="Arial" w:cs="Arial"/>
          <w:b w:val="0"/>
          <w:bCs w:val="0"/>
          <w:i w:val="0"/>
          <w:iCs w:val="0"/>
          <w:color w:val="000000"/>
          <w:sz w:val="20"/>
          <w:szCs w:val="20"/>
          <w:lang w:eastAsia="en-AU"/>
        </w:rPr>
      </w:pPr>
      <w:r w:rsidRPr="00DC0854">
        <w:rPr>
          <w:rFonts w:ascii="Arial" w:eastAsia="Times New Roman" w:hAnsi="Arial" w:cs="Arial"/>
          <w:b w:val="0"/>
          <w:bCs w:val="0"/>
          <w:i w:val="0"/>
          <w:iCs w:val="0"/>
          <w:color w:val="000000"/>
          <w:sz w:val="20"/>
          <w:szCs w:val="20"/>
          <w:lang w:eastAsia="en-AU"/>
        </w:rPr>
        <w:t>There are big challenges with nudging employees to make an active choice. Employees who would otherwise be default members will either: choose based on brand loyalty rather than rational self-interest</w:t>
      </w:r>
      <w:r w:rsidR="00366C29" w:rsidRPr="00DC0854">
        <w:rPr>
          <w:rFonts w:ascii="Arial" w:eastAsia="Times New Roman" w:hAnsi="Arial" w:cs="Arial"/>
          <w:b w:val="0"/>
          <w:bCs w:val="0"/>
          <w:i w:val="0"/>
          <w:iCs w:val="0"/>
          <w:color w:val="000000"/>
          <w:sz w:val="20"/>
          <w:szCs w:val="20"/>
          <w:lang w:eastAsia="en-AU"/>
        </w:rPr>
        <w:t>.</w:t>
      </w:r>
    </w:p>
    <w:p w14:paraId="7BA7DEBB" w14:textId="77777777" w:rsidR="006C6BFD" w:rsidRPr="00DC0854" w:rsidRDefault="006C6BFD" w:rsidP="006C6BFD">
      <w:pPr>
        <w:pStyle w:val="Heading4"/>
        <w:rPr>
          <w:rFonts w:ascii="Arial" w:eastAsia="Times New Roman" w:hAnsi="Arial" w:cs="Arial"/>
          <w:b w:val="0"/>
          <w:bCs w:val="0"/>
          <w:i w:val="0"/>
          <w:iCs w:val="0"/>
          <w:color w:val="000000"/>
          <w:sz w:val="20"/>
          <w:szCs w:val="20"/>
          <w:lang w:eastAsia="en-AU"/>
        </w:rPr>
      </w:pPr>
      <w:r w:rsidRPr="00DC0854">
        <w:rPr>
          <w:rFonts w:ascii="Arial" w:eastAsia="Times New Roman" w:hAnsi="Arial" w:cs="Arial"/>
          <w:b w:val="0"/>
          <w:bCs w:val="0"/>
          <w:i w:val="0"/>
          <w:iCs w:val="0"/>
          <w:color w:val="000000"/>
          <w:sz w:val="20"/>
          <w:szCs w:val="20"/>
          <w:lang w:eastAsia="en-AU"/>
        </w:rPr>
        <w:t>Fund should be assessed against</w:t>
      </w:r>
      <w:r w:rsidRPr="00DC0854">
        <w:rPr>
          <w:rFonts w:eastAsia="Times New Roman" w:cs="Arial"/>
          <w:color w:val="000000"/>
          <w:sz w:val="20"/>
          <w:szCs w:val="20"/>
          <w:lang w:eastAsia="en-AU"/>
        </w:rPr>
        <w:t xml:space="preserve"> </w:t>
      </w:r>
      <w:r w:rsidRPr="00DC0854">
        <w:rPr>
          <w:rFonts w:ascii="Arial" w:eastAsia="Times New Roman" w:hAnsi="Arial" w:cs="Arial"/>
          <w:b w:val="0"/>
          <w:bCs w:val="0"/>
          <w:i w:val="0"/>
          <w:iCs w:val="0"/>
          <w:color w:val="000000"/>
          <w:sz w:val="20"/>
          <w:szCs w:val="20"/>
          <w:lang w:eastAsia="en-AU"/>
        </w:rPr>
        <w:t>the following metrics:</w:t>
      </w:r>
    </w:p>
    <w:p w14:paraId="7218B593" w14:textId="77777777" w:rsidR="006C6BFD" w:rsidRPr="00DC0854" w:rsidRDefault="006C6BFD" w:rsidP="006C6BFD">
      <w:pPr>
        <w:pStyle w:val="Heading4"/>
        <w:numPr>
          <w:ilvl w:val="0"/>
          <w:numId w:val="22"/>
        </w:numPr>
        <w:rPr>
          <w:rFonts w:ascii="Arial" w:eastAsia="Times New Roman" w:hAnsi="Arial" w:cs="Arial"/>
          <w:b w:val="0"/>
          <w:bCs w:val="0"/>
          <w:i w:val="0"/>
          <w:iCs w:val="0"/>
          <w:color w:val="000000"/>
          <w:sz w:val="20"/>
          <w:szCs w:val="20"/>
          <w:lang w:eastAsia="en-AU"/>
        </w:rPr>
      </w:pPr>
      <w:r w:rsidRPr="00DC0854">
        <w:rPr>
          <w:rFonts w:ascii="Arial" w:eastAsia="Times New Roman" w:hAnsi="Arial" w:cs="Arial"/>
          <w:b w:val="0"/>
          <w:bCs w:val="0"/>
          <w:i w:val="0"/>
          <w:iCs w:val="0"/>
          <w:color w:val="000000"/>
          <w:sz w:val="20"/>
          <w:szCs w:val="20"/>
          <w:lang w:eastAsia="en-AU"/>
        </w:rPr>
        <w:t>Long-term returns (net of fees) compared to an appropriate benchmark</w:t>
      </w:r>
    </w:p>
    <w:p w14:paraId="38FABC2B" w14:textId="77777777" w:rsidR="006C6BFD" w:rsidRPr="00DC0854" w:rsidRDefault="006C6BFD" w:rsidP="006C6BFD">
      <w:pPr>
        <w:pStyle w:val="Heading4"/>
        <w:numPr>
          <w:ilvl w:val="0"/>
          <w:numId w:val="22"/>
        </w:numPr>
        <w:rPr>
          <w:rFonts w:ascii="Arial" w:eastAsia="Times New Roman" w:hAnsi="Arial" w:cs="Arial"/>
          <w:b w:val="0"/>
          <w:bCs w:val="0"/>
          <w:i w:val="0"/>
          <w:iCs w:val="0"/>
          <w:color w:val="000000"/>
          <w:sz w:val="20"/>
          <w:szCs w:val="20"/>
          <w:lang w:eastAsia="en-AU"/>
        </w:rPr>
      </w:pPr>
      <w:r w:rsidRPr="00DC0854">
        <w:rPr>
          <w:rFonts w:ascii="Arial" w:eastAsia="Times New Roman" w:hAnsi="Arial" w:cs="Arial"/>
          <w:b w:val="0"/>
          <w:bCs w:val="0"/>
          <w:i w:val="0"/>
          <w:iCs w:val="0"/>
          <w:color w:val="000000"/>
          <w:sz w:val="20"/>
          <w:szCs w:val="20"/>
          <w:lang w:eastAsia="en-AU"/>
        </w:rPr>
        <w:t>Indicators of future returns, such as investment management capability, investment fees and investment style</w:t>
      </w:r>
    </w:p>
    <w:p w14:paraId="06118987" w14:textId="77777777" w:rsidR="006C6BFD" w:rsidRPr="00DC0854" w:rsidRDefault="006C6BFD" w:rsidP="006C6BFD">
      <w:pPr>
        <w:pStyle w:val="Heading4"/>
        <w:numPr>
          <w:ilvl w:val="0"/>
          <w:numId w:val="22"/>
        </w:numPr>
        <w:rPr>
          <w:rFonts w:ascii="Arial" w:eastAsia="Times New Roman" w:hAnsi="Arial" w:cs="Arial"/>
          <w:b w:val="0"/>
          <w:bCs w:val="0"/>
          <w:i w:val="0"/>
          <w:iCs w:val="0"/>
          <w:color w:val="000000"/>
          <w:sz w:val="20"/>
          <w:szCs w:val="20"/>
          <w:lang w:eastAsia="en-AU"/>
        </w:rPr>
      </w:pPr>
      <w:r w:rsidRPr="00DC0854">
        <w:rPr>
          <w:rFonts w:ascii="Arial" w:eastAsia="Times New Roman" w:hAnsi="Arial" w:cs="Arial"/>
          <w:b w:val="0"/>
          <w:bCs w:val="0"/>
          <w:i w:val="0"/>
          <w:iCs w:val="0"/>
          <w:color w:val="000000"/>
          <w:sz w:val="20"/>
          <w:szCs w:val="20"/>
          <w:lang w:eastAsia="en-AU"/>
        </w:rPr>
        <w:t>Risk premium for insurance for each cohort for each type of cover</w:t>
      </w:r>
    </w:p>
    <w:p w14:paraId="69D5B397" w14:textId="77777777" w:rsidR="006C6BFD" w:rsidRPr="00DC0854" w:rsidRDefault="006C6BFD" w:rsidP="006C6BFD">
      <w:pPr>
        <w:pStyle w:val="Heading4"/>
        <w:numPr>
          <w:ilvl w:val="0"/>
          <w:numId w:val="22"/>
        </w:numPr>
        <w:rPr>
          <w:rFonts w:ascii="Arial" w:eastAsia="Times New Roman" w:hAnsi="Arial" w:cs="Arial"/>
          <w:b w:val="0"/>
          <w:bCs w:val="0"/>
          <w:i w:val="0"/>
          <w:iCs w:val="0"/>
          <w:color w:val="000000"/>
          <w:sz w:val="20"/>
          <w:szCs w:val="20"/>
          <w:lang w:eastAsia="en-AU"/>
        </w:rPr>
      </w:pPr>
      <w:r w:rsidRPr="00DC0854">
        <w:rPr>
          <w:rFonts w:ascii="Arial" w:eastAsia="Times New Roman" w:hAnsi="Arial" w:cs="Arial"/>
          <w:b w:val="0"/>
          <w:bCs w:val="0"/>
          <w:i w:val="0"/>
          <w:iCs w:val="0"/>
          <w:color w:val="000000"/>
          <w:sz w:val="20"/>
          <w:szCs w:val="20"/>
          <w:lang w:eastAsia="en-AU"/>
        </w:rPr>
        <w:t>Scope of insurance for each cohort for each type of cover</w:t>
      </w:r>
    </w:p>
    <w:p w14:paraId="4657A6DC" w14:textId="77777777" w:rsidR="006C6BFD" w:rsidRPr="00DC0854" w:rsidRDefault="006C6BFD" w:rsidP="006C6BFD">
      <w:pPr>
        <w:pStyle w:val="Heading4"/>
        <w:numPr>
          <w:ilvl w:val="0"/>
          <w:numId w:val="22"/>
        </w:numPr>
        <w:rPr>
          <w:rFonts w:ascii="Arial" w:eastAsia="Times New Roman" w:hAnsi="Arial" w:cs="Arial"/>
          <w:b w:val="0"/>
          <w:bCs w:val="0"/>
          <w:i w:val="0"/>
          <w:iCs w:val="0"/>
          <w:color w:val="000000"/>
          <w:sz w:val="20"/>
          <w:szCs w:val="20"/>
          <w:lang w:eastAsia="en-AU"/>
        </w:rPr>
      </w:pPr>
      <w:r w:rsidRPr="00DC0854">
        <w:rPr>
          <w:rFonts w:ascii="Arial" w:eastAsia="Times New Roman" w:hAnsi="Arial" w:cs="Arial"/>
          <w:b w:val="0"/>
          <w:bCs w:val="0"/>
          <w:i w:val="0"/>
          <w:iCs w:val="0"/>
          <w:color w:val="000000"/>
          <w:sz w:val="20"/>
          <w:szCs w:val="20"/>
          <w:lang w:eastAsia="en-AU"/>
        </w:rPr>
        <w:t>Number of ancillary benefits</w:t>
      </w:r>
    </w:p>
    <w:p w14:paraId="2BA91B31" w14:textId="77777777" w:rsidR="006C6BFD" w:rsidRPr="00DC0854" w:rsidRDefault="006C6BFD" w:rsidP="006C6BFD">
      <w:pPr>
        <w:pStyle w:val="Heading4"/>
        <w:numPr>
          <w:ilvl w:val="0"/>
          <w:numId w:val="22"/>
        </w:numPr>
        <w:rPr>
          <w:rFonts w:ascii="Arial" w:eastAsia="Times New Roman" w:hAnsi="Arial" w:cs="Arial"/>
          <w:b w:val="0"/>
          <w:bCs w:val="0"/>
          <w:i w:val="0"/>
          <w:iCs w:val="0"/>
          <w:color w:val="000000"/>
          <w:sz w:val="20"/>
          <w:szCs w:val="20"/>
          <w:lang w:eastAsia="en-AU"/>
        </w:rPr>
      </w:pPr>
      <w:r w:rsidRPr="00DC0854">
        <w:rPr>
          <w:rFonts w:ascii="Arial" w:eastAsia="Times New Roman" w:hAnsi="Arial" w:cs="Arial"/>
          <w:b w:val="0"/>
          <w:bCs w:val="0"/>
          <w:i w:val="0"/>
          <w:iCs w:val="0"/>
          <w:color w:val="000000"/>
          <w:sz w:val="20"/>
          <w:szCs w:val="20"/>
          <w:lang w:eastAsia="en-AU"/>
        </w:rPr>
        <w:t>Member satisfaction ratings</w:t>
      </w:r>
    </w:p>
    <w:p w14:paraId="1184F567" w14:textId="35906FC6" w:rsidR="006C6BFD" w:rsidRPr="00DC0854" w:rsidRDefault="006C6BFD" w:rsidP="006C6BFD">
      <w:pPr>
        <w:pStyle w:val="Heading4"/>
        <w:rPr>
          <w:rFonts w:ascii="Arial" w:eastAsia="Times New Roman" w:hAnsi="Arial" w:cs="Arial"/>
          <w:b w:val="0"/>
          <w:bCs w:val="0"/>
          <w:i w:val="0"/>
          <w:iCs w:val="0"/>
          <w:color w:val="000000"/>
          <w:sz w:val="20"/>
          <w:szCs w:val="20"/>
          <w:lang w:eastAsia="en-AU"/>
        </w:rPr>
      </w:pPr>
      <w:r w:rsidRPr="00DC0854">
        <w:rPr>
          <w:rFonts w:ascii="Arial" w:eastAsia="Times New Roman" w:hAnsi="Arial" w:cs="Arial"/>
          <w:b w:val="0"/>
          <w:bCs w:val="0"/>
          <w:i w:val="0"/>
          <w:iCs w:val="0"/>
          <w:color w:val="000000"/>
          <w:sz w:val="20"/>
          <w:szCs w:val="20"/>
          <w:lang w:eastAsia="en-AU"/>
        </w:rPr>
        <w:t>Funds should be compared against their peers, to help employees assess their fund and for the regulator to assess the demand-side pressures (of lack of them) provided by forcing employees to make an active choice.</w:t>
      </w:r>
    </w:p>
    <w:p w14:paraId="34C738A6" w14:textId="77777777" w:rsidR="00835439" w:rsidRPr="00DC0854" w:rsidRDefault="00835439" w:rsidP="009F205C">
      <w:pPr>
        <w:pStyle w:val="Heading4"/>
        <w:rPr>
          <w:i w:val="0"/>
          <w:color w:val="auto"/>
          <w:sz w:val="20"/>
          <w:szCs w:val="20"/>
          <w:lang w:eastAsia="en-AU" w:bidi="en-US"/>
        </w:rPr>
      </w:pPr>
      <w:r w:rsidRPr="00DC0854">
        <w:rPr>
          <w:i w:val="0"/>
          <w:color w:val="auto"/>
          <w:sz w:val="20"/>
          <w:szCs w:val="20"/>
          <w:lang w:eastAsia="en-AU" w:bidi="en-US"/>
        </w:rPr>
        <w:t>What safeguard mechanisms might need to be put in place to deal with some of the potential pitfalls of an active choice model?</w:t>
      </w:r>
    </w:p>
    <w:p w14:paraId="59D5160A" w14:textId="77777777" w:rsidR="00835439" w:rsidRPr="00DC0854" w:rsidRDefault="00835439" w:rsidP="00835439">
      <w:pPr>
        <w:spacing w:line="240" w:lineRule="auto"/>
        <w:rPr>
          <w:rFonts w:eastAsia="Times New Roman" w:cs="Arial"/>
          <w:color w:val="000000"/>
          <w:sz w:val="20"/>
          <w:szCs w:val="20"/>
          <w:lang w:eastAsia="en-AU"/>
        </w:rPr>
      </w:pPr>
    </w:p>
    <w:p w14:paraId="538F2097" w14:textId="49AC5B23" w:rsidR="008D6337" w:rsidRPr="00DC0854" w:rsidRDefault="00E165D9" w:rsidP="00835439">
      <w:p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Employees might choose based purely on brand or industry affiliation</w:t>
      </w:r>
      <w:r w:rsidR="008D6337" w:rsidRPr="00DC0854">
        <w:rPr>
          <w:rFonts w:eastAsia="Times New Roman" w:cs="Arial"/>
          <w:color w:val="000000"/>
          <w:sz w:val="20"/>
          <w:szCs w:val="20"/>
          <w:lang w:eastAsia="en-AU"/>
        </w:rPr>
        <w:t>. I</w:t>
      </w:r>
      <w:r w:rsidR="00130964" w:rsidRPr="00DC0854">
        <w:rPr>
          <w:rFonts w:eastAsia="Times New Roman" w:cs="Arial"/>
          <w:color w:val="000000"/>
          <w:sz w:val="20"/>
          <w:szCs w:val="20"/>
          <w:lang w:eastAsia="en-AU"/>
        </w:rPr>
        <w:t xml:space="preserve">t’s safe to assume </w:t>
      </w:r>
      <w:r w:rsidR="008D6337" w:rsidRPr="00DC0854">
        <w:rPr>
          <w:rFonts w:eastAsia="Times New Roman" w:cs="Arial"/>
          <w:color w:val="000000"/>
          <w:sz w:val="20"/>
          <w:szCs w:val="20"/>
          <w:lang w:eastAsia="en-AU"/>
        </w:rPr>
        <w:t xml:space="preserve">that this </w:t>
      </w:r>
      <w:r w:rsidR="002477D2" w:rsidRPr="00DC0854">
        <w:rPr>
          <w:rFonts w:eastAsia="Times New Roman" w:cs="Arial"/>
          <w:color w:val="000000"/>
          <w:sz w:val="20"/>
          <w:szCs w:val="20"/>
          <w:lang w:eastAsia="en-AU"/>
        </w:rPr>
        <w:t>wouldn’t necessarily be in their individual interests</w:t>
      </w:r>
      <w:r w:rsidRPr="00DC0854">
        <w:rPr>
          <w:rFonts w:eastAsia="Times New Roman" w:cs="Arial"/>
          <w:color w:val="000000"/>
          <w:sz w:val="20"/>
          <w:szCs w:val="20"/>
          <w:lang w:eastAsia="en-AU"/>
        </w:rPr>
        <w:t>.</w:t>
      </w:r>
      <w:r w:rsidR="00EE5A9F" w:rsidRPr="00DC0854">
        <w:rPr>
          <w:rFonts w:eastAsia="Times New Roman" w:cs="Arial"/>
          <w:color w:val="000000"/>
          <w:sz w:val="20"/>
          <w:szCs w:val="20"/>
          <w:lang w:eastAsia="en-AU"/>
        </w:rPr>
        <w:t xml:space="preserve"> </w:t>
      </w:r>
    </w:p>
    <w:p w14:paraId="6462E217" w14:textId="77777777" w:rsidR="008D6337" w:rsidRPr="00DC0854" w:rsidRDefault="008D6337" w:rsidP="00835439">
      <w:pPr>
        <w:spacing w:line="240" w:lineRule="auto"/>
        <w:rPr>
          <w:rFonts w:eastAsia="Times New Roman" w:cs="Arial"/>
          <w:color w:val="000000"/>
          <w:sz w:val="20"/>
          <w:szCs w:val="20"/>
          <w:lang w:eastAsia="en-AU"/>
        </w:rPr>
      </w:pPr>
    </w:p>
    <w:p w14:paraId="7719D08B" w14:textId="34E23047" w:rsidR="00163F74" w:rsidRPr="00DC0854" w:rsidRDefault="000870F2" w:rsidP="00835439">
      <w:p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We are comfortable with governments providing individuals with a basic financial education. Ideally, this would b</w:t>
      </w:r>
      <w:r w:rsidR="00BF726F" w:rsidRPr="00DC0854">
        <w:rPr>
          <w:rFonts w:eastAsia="Times New Roman" w:cs="Arial"/>
          <w:color w:val="000000"/>
          <w:sz w:val="20"/>
          <w:szCs w:val="20"/>
          <w:lang w:eastAsia="en-AU"/>
        </w:rPr>
        <w:t>e part of the school curriculum.</w:t>
      </w:r>
      <w:r w:rsidRPr="00DC0854">
        <w:rPr>
          <w:rFonts w:eastAsia="Times New Roman" w:cs="Arial"/>
          <w:color w:val="000000"/>
          <w:sz w:val="20"/>
          <w:szCs w:val="20"/>
          <w:lang w:eastAsia="en-AU"/>
        </w:rPr>
        <w:t xml:space="preserve"> However,</w:t>
      </w:r>
      <w:r w:rsidR="00AC160C" w:rsidRPr="00DC0854">
        <w:rPr>
          <w:rFonts w:eastAsia="Times New Roman" w:cs="Arial"/>
          <w:color w:val="000000"/>
          <w:sz w:val="20"/>
          <w:szCs w:val="20"/>
          <w:lang w:eastAsia="en-AU"/>
        </w:rPr>
        <w:t xml:space="preserve"> there are many adults who do</w:t>
      </w:r>
      <w:r w:rsidRPr="00DC0854">
        <w:rPr>
          <w:rFonts w:eastAsia="Times New Roman" w:cs="Arial"/>
          <w:color w:val="000000"/>
          <w:sz w:val="20"/>
          <w:szCs w:val="20"/>
          <w:lang w:eastAsia="en-AU"/>
        </w:rPr>
        <w:t xml:space="preserve"> not have had the benefit of such an education. </w:t>
      </w:r>
    </w:p>
    <w:p w14:paraId="3BE68DFC" w14:textId="77777777" w:rsidR="00163F74" w:rsidRPr="00DC0854" w:rsidRDefault="00163F74" w:rsidP="00835439">
      <w:pPr>
        <w:spacing w:line="240" w:lineRule="auto"/>
        <w:rPr>
          <w:rFonts w:eastAsia="Times New Roman" w:cs="Arial"/>
          <w:color w:val="000000"/>
          <w:sz w:val="20"/>
          <w:szCs w:val="20"/>
          <w:lang w:eastAsia="en-AU"/>
        </w:rPr>
      </w:pPr>
    </w:p>
    <w:p w14:paraId="38E9143F" w14:textId="38F4A38A" w:rsidR="000870F2" w:rsidRPr="00DC0854" w:rsidRDefault="0099306B" w:rsidP="00835439">
      <w:p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 xml:space="preserve">We would suggest </w:t>
      </w:r>
      <w:r w:rsidR="008929AB" w:rsidRPr="00DC0854">
        <w:rPr>
          <w:rFonts w:eastAsia="Times New Roman" w:cs="Arial"/>
          <w:color w:val="000000"/>
          <w:sz w:val="20"/>
          <w:szCs w:val="20"/>
          <w:lang w:eastAsia="en-AU"/>
        </w:rPr>
        <w:t>that</w:t>
      </w:r>
      <w:r w:rsidR="00AC160C" w:rsidRPr="00DC0854">
        <w:rPr>
          <w:rFonts w:eastAsia="Times New Roman" w:cs="Arial"/>
          <w:color w:val="000000"/>
          <w:sz w:val="20"/>
          <w:szCs w:val="20"/>
          <w:lang w:eastAsia="en-AU"/>
        </w:rPr>
        <w:t xml:space="preserve">, until the population of </w:t>
      </w:r>
      <w:r w:rsidR="001F4550" w:rsidRPr="00DC0854">
        <w:rPr>
          <w:rFonts w:eastAsia="Times New Roman" w:cs="Arial"/>
          <w:color w:val="000000"/>
          <w:sz w:val="20"/>
          <w:szCs w:val="20"/>
          <w:lang w:eastAsia="en-AU"/>
        </w:rPr>
        <w:t>people that must contribute to superannuation</w:t>
      </w:r>
      <w:r w:rsidR="00AC160C" w:rsidRPr="00DC0854">
        <w:rPr>
          <w:rFonts w:eastAsia="Times New Roman" w:cs="Arial"/>
          <w:color w:val="000000"/>
          <w:sz w:val="20"/>
          <w:szCs w:val="20"/>
          <w:lang w:eastAsia="en-AU"/>
        </w:rPr>
        <w:t xml:space="preserve"> have had the benefit of financial literacy education, </w:t>
      </w:r>
      <w:r w:rsidR="001F797B" w:rsidRPr="00DC0854">
        <w:rPr>
          <w:rFonts w:eastAsia="Times New Roman" w:cs="Arial"/>
          <w:color w:val="000000"/>
          <w:sz w:val="20"/>
          <w:szCs w:val="20"/>
          <w:lang w:eastAsia="en-AU"/>
        </w:rPr>
        <w:t xml:space="preserve">the government should </w:t>
      </w:r>
      <w:r w:rsidR="00913C08" w:rsidRPr="00DC0854">
        <w:rPr>
          <w:rFonts w:eastAsia="Times New Roman" w:cs="Arial"/>
          <w:color w:val="000000"/>
          <w:sz w:val="20"/>
          <w:szCs w:val="20"/>
          <w:lang w:eastAsia="en-AU"/>
        </w:rPr>
        <w:t xml:space="preserve">provide education material (including fund comparison data) to help individuals choose their fund. This material would need to </w:t>
      </w:r>
      <w:r w:rsidR="00541DDC" w:rsidRPr="00DC0854">
        <w:rPr>
          <w:rFonts w:eastAsia="Times New Roman" w:cs="Arial"/>
          <w:color w:val="000000"/>
          <w:sz w:val="20"/>
          <w:szCs w:val="20"/>
          <w:lang w:eastAsia="en-AU"/>
        </w:rPr>
        <w:t xml:space="preserve">be </w:t>
      </w:r>
      <w:r w:rsidR="00913C08" w:rsidRPr="00DC0854">
        <w:rPr>
          <w:rFonts w:eastAsia="Times New Roman" w:cs="Arial"/>
          <w:color w:val="000000"/>
          <w:sz w:val="20"/>
          <w:szCs w:val="20"/>
          <w:lang w:eastAsia="en-AU"/>
        </w:rPr>
        <w:t>at the fingertips of individuals when choosing their fund.</w:t>
      </w:r>
    </w:p>
    <w:p w14:paraId="6D61A581" w14:textId="77777777" w:rsidR="000870F2" w:rsidRPr="00DC0854" w:rsidRDefault="000870F2" w:rsidP="00835439">
      <w:pPr>
        <w:spacing w:line="240" w:lineRule="auto"/>
        <w:rPr>
          <w:rFonts w:eastAsia="Times New Roman" w:cs="Arial"/>
          <w:color w:val="000000"/>
          <w:sz w:val="20"/>
          <w:szCs w:val="20"/>
          <w:lang w:eastAsia="en-AU"/>
        </w:rPr>
      </w:pPr>
    </w:p>
    <w:p w14:paraId="475F408B" w14:textId="3C12C1D6" w:rsidR="007F457E" w:rsidRPr="00DC0854" w:rsidRDefault="00E478A4" w:rsidP="00835439">
      <w:p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Further, w</w:t>
      </w:r>
      <w:r w:rsidR="00EE5A9F" w:rsidRPr="00DC0854">
        <w:rPr>
          <w:rFonts w:eastAsia="Times New Roman" w:cs="Arial"/>
          <w:color w:val="000000"/>
          <w:sz w:val="20"/>
          <w:szCs w:val="20"/>
          <w:lang w:eastAsia="en-AU"/>
        </w:rPr>
        <w:t xml:space="preserve">e </w:t>
      </w:r>
      <w:r w:rsidR="00305972" w:rsidRPr="00DC0854">
        <w:rPr>
          <w:rFonts w:eastAsia="Times New Roman" w:cs="Arial"/>
          <w:color w:val="000000"/>
          <w:sz w:val="20"/>
          <w:szCs w:val="20"/>
          <w:lang w:eastAsia="en-AU"/>
        </w:rPr>
        <w:t xml:space="preserve">would </w:t>
      </w:r>
      <w:r w:rsidR="00EE5A9F" w:rsidRPr="00DC0854">
        <w:rPr>
          <w:rFonts w:eastAsia="Times New Roman" w:cs="Arial"/>
          <w:color w:val="000000"/>
          <w:sz w:val="20"/>
          <w:szCs w:val="20"/>
          <w:lang w:eastAsia="en-AU"/>
        </w:rPr>
        <w:t>suggest</w:t>
      </w:r>
      <w:r w:rsidR="00305972" w:rsidRPr="00DC0854">
        <w:rPr>
          <w:rFonts w:eastAsia="Times New Roman" w:cs="Arial"/>
          <w:color w:val="000000"/>
          <w:sz w:val="20"/>
          <w:szCs w:val="20"/>
          <w:lang w:eastAsia="en-AU"/>
        </w:rPr>
        <w:t xml:space="preserve"> that</w:t>
      </w:r>
      <w:r w:rsidRPr="00DC0854">
        <w:rPr>
          <w:rFonts w:eastAsia="Times New Roman" w:cs="Arial"/>
          <w:color w:val="000000"/>
          <w:sz w:val="20"/>
          <w:szCs w:val="20"/>
          <w:lang w:eastAsia="en-AU"/>
        </w:rPr>
        <w:t>, for more advanced financial education,</w:t>
      </w:r>
      <w:r w:rsidR="00305972" w:rsidRPr="00DC0854">
        <w:rPr>
          <w:rFonts w:eastAsia="Times New Roman" w:cs="Arial"/>
          <w:color w:val="000000"/>
          <w:sz w:val="20"/>
          <w:szCs w:val="20"/>
          <w:lang w:eastAsia="en-AU"/>
        </w:rPr>
        <w:t xml:space="preserve"> employers consider engaging financial planners to provide financial education to employees. Employees might regard this as a valuable workplace benefit, especially if the education covers inspiring, broad-ranging issues of debt management and wealth creation and protection.</w:t>
      </w:r>
    </w:p>
    <w:p w14:paraId="556D9F3D" w14:textId="77777777" w:rsidR="00835439" w:rsidRPr="00DC0854" w:rsidRDefault="00835439" w:rsidP="00455360">
      <w:pPr>
        <w:pStyle w:val="Heading4"/>
        <w:numPr>
          <w:ilvl w:val="0"/>
          <w:numId w:val="12"/>
        </w:numPr>
        <w:rPr>
          <w:i w:val="0"/>
          <w:color w:val="auto"/>
          <w:sz w:val="20"/>
          <w:szCs w:val="20"/>
          <w:lang w:eastAsia="en-AU" w:bidi="en-US"/>
        </w:rPr>
      </w:pPr>
      <w:r w:rsidRPr="00DC0854">
        <w:rPr>
          <w:i w:val="0"/>
          <w:color w:val="auto"/>
          <w:sz w:val="20"/>
          <w:szCs w:val="20"/>
          <w:lang w:eastAsia="en-AU" w:bidi="en-US"/>
        </w:rPr>
        <w:t>Would an active choice model benefit from a filter to ensure good quality products are chosen? What are the costs and benefits of government involvement in specifying a recommended list of products, compared to private sector provision of such information?</w:t>
      </w:r>
    </w:p>
    <w:p w14:paraId="6982C8DD" w14:textId="77777777" w:rsidR="00835439" w:rsidRPr="00DC0854" w:rsidRDefault="00835439" w:rsidP="00835439">
      <w:pPr>
        <w:spacing w:line="240" w:lineRule="auto"/>
        <w:rPr>
          <w:rFonts w:eastAsia="Times New Roman" w:cs="Arial"/>
          <w:color w:val="000000"/>
          <w:sz w:val="20"/>
          <w:szCs w:val="20"/>
          <w:lang w:eastAsia="en-AU"/>
        </w:rPr>
      </w:pPr>
    </w:p>
    <w:p w14:paraId="07CFC08E" w14:textId="5FE2850B" w:rsidR="00EB798C" w:rsidRPr="00DC0854" w:rsidRDefault="00E75C2B" w:rsidP="00835439">
      <w:p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lastRenderedPageBreak/>
        <w:t xml:space="preserve">We strongly recommend that active choice be combined with the regulator </w:t>
      </w:r>
      <w:r w:rsidR="00D21E60" w:rsidRPr="00DC0854">
        <w:rPr>
          <w:rFonts w:eastAsia="Times New Roman" w:cs="Arial"/>
          <w:color w:val="000000"/>
          <w:sz w:val="20"/>
          <w:szCs w:val="20"/>
          <w:lang w:eastAsia="en-AU"/>
        </w:rPr>
        <w:t xml:space="preserve">(or a regulated private provider) </w:t>
      </w:r>
      <w:r w:rsidRPr="00DC0854">
        <w:rPr>
          <w:rFonts w:eastAsia="Times New Roman" w:cs="Arial"/>
          <w:color w:val="000000"/>
          <w:sz w:val="20"/>
          <w:szCs w:val="20"/>
          <w:lang w:eastAsia="en-AU"/>
        </w:rPr>
        <w:t xml:space="preserve">publishing their ranking of funds according to the above matrix. </w:t>
      </w:r>
      <w:r w:rsidR="00EB798C" w:rsidRPr="00DC0854">
        <w:rPr>
          <w:rFonts w:eastAsia="Times New Roman" w:cs="Arial"/>
          <w:color w:val="000000"/>
          <w:sz w:val="20"/>
          <w:szCs w:val="20"/>
          <w:lang w:eastAsia="en-AU"/>
        </w:rPr>
        <w:t>To be valued, the assessor would have (and be seen) to be independent. Given the compulsory nature of superannuation, there is an argument for the assessor to be government and for gov</w:t>
      </w:r>
      <w:r w:rsidR="000F2C05" w:rsidRPr="00DC0854">
        <w:rPr>
          <w:rFonts w:eastAsia="Times New Roman" w:cs="Arial"/>
          <w:color w:val="000000"/>
          <w:sz w:val="20"/>
          <w:szCs w:val="20"/>
          <w:lang w:eastAsia="en-AU"/>
        </w:rPr>
        <w:t>ernment to fund the assessment. However, the service could also be funded by a levy on superannuation funds, the burden of which would be share as per the normal market mechanisms.</w:t>
      </w:r>
    </w:p>
    <w:p w14:paraId="43FA4CD2" w14:textId="77777777" w:rsidR="00EB798C" w:rsidRPr="00DC0854" w:rsidRDefault="00EB798C" w:rsidP="00835439">
      <w:pPr>
        <w:spacing w:line="240" w:lineRule="auto"/>
        <w:rPr>
          <w:rFonts w:eastAsia="Times New Roman" w:cs="Arial"/>
          <w:color w:val="000000"/>
          <w:sz w:val="20"/>
          <w:szCs w:val="20"/>
          <w:lang w:eastAsia="en-AU"/>
        </w:rPr>
      </w:pPr>
    </w:p>
    <w:p w14:paraId="1CBF20AE" w14:textId="1C099843" w:rsidR="00EB798C" w:rsidRPr="00DC0854" w:rsidRDefault="000F2C05" w:rsidP="00835439">
      <w:pPr>
        <w:spacing w:line="240" w:lineRule="auto"/>
        <w:rPr>
          <w:rFonts w:eastAsia="Times New Roman" w:cs="Arial"/>
          <w:color w:val="000000"/>
          <w:sz w:val="20"/>
          <w:szCs w:val="20"/>
          <w:lang w:eastAsia="en-AU"/>
        </w:rPr>
      </w:pPr>
      <w:r w:rsidRPr="00DC0854">
        <w:rPr>
          <w:rFonts w:eastAsia="Times New Roman" w:cs="Arial"/>
          <w:color w:val="000000"/>
          <w:sz w:val="20"/>
          <w:szCs w:val="20"/>
          <w:lang w:eastAsia="en-AU"/>
        </w:rPr>
        <w:t xml:space="preserve">Alternatively, </w:t>
      </w:r>
      <w:r w:rsidR="004259A6" w:rsidRPr="00DC0854">
        <w:rPr>
          <w:rFonts w:eastAsia="Times New Roman" w:cs="Arial"/>
          <w:color w:val="000000"/>
          <w:sz w:val="20"/>
          <w:szCs w:val="20"/>
          <w:lang w:eastAsia="en-AU"/>
        </w:rPr>
        <w:t xml:space="preserve">reputable </w:t>
      </w:r>
      <w:r w:rsidR="000578AB" w:rsidRPr="00DC0854">
        <w:rPr>
          <w:rFonts w:eastAsia="Times New Roman" w:cs="Arial"/>
          <w:color w:val="000000"/>
          <w:sz w:val="20"/>
          <w:szCs w:val="20"/>
          <w:lang w:eastAsia="en-AU"/>
        </w:rPr>
        <w:t>private</w:t>
      </w:r>
      <w:r w:rsidRPr="00DC0854">
        <w:rPr>
          <w:rFonts w:eastAsia="Times New Roman" w:cs="Arial"/>
          <w:color w:val="000000"/>
          <w:sz w:val="20"/>
          <w:szCs w:val="20"/>
          <w:lang w:eastAsia="en-AU"/>
        </w:rPr>
        <w:t xml:space="preserve"> </w:t>
      </w:r>
      <w:r w:rsidR="000578AB" w:rsidRPr="00DC0854">
        <w:rPr>
          <w:rFonts w:eastAsia="Times New Roman" w:cs="Arial"/>
          <w:color w:val="000000"/>
          <w:sz w:val="20"/>
          <w:szCs w:val="20"/>
          <w:lang w:eastAsia="en-AU"/>
        </w:rPr>
        <w:t>entities</w:t>
      </w:r>
      <w:r w:rsidRPr="00DC0854">
        <w:rPr>
          <w:rFonts w:eastAsia="Times New Roman" w:cs="Arial"/>
          <w:color w:val="000000"/>
          <w:sz w:val="20"/>
          <w:szCs w:val="20"/>
          <w:lang w:eastAsia="en-AU"/>
        </w:rPr>
        <w:t xml:space="preserve"> that have a deep understanding of the industry could conduct the assessment.</w:t>
      </w:r>
      <w:r w:rsidR="004259A6" w:rsidRPr="00DC0854">
        <w:rPr>
          <w:rFonts w:eastAsia="Times New Roman" w:cs="Arial"/>
          <w:color w:val="000000"/>
          <w:sz w:val="20"/>
          <w:szCs w:val="20"/>
          <w:lang w:eastAsia="en-AU"/>
        </w:rPr>
        <w:t xml:space="preserve"> </w:t>
      </w:r>
      <w:r w:rsidR="000578AB" w:rsidRPr="00DC0854">
        <w:rPr>
          <w:rFonts w:eastAsia="Times New Roman" w:cs="Arial"/>
          <w:color w:val="000000"/>
          <w:sz w:val="20"/>
          <w:szCs w:val="20"/>
          <w:lang w:eastAsia="en-AU"/>
        </w:rPr>
        <w:t>An e</w:t>
      </w:r>
      <w:r w:rsidR="00291599" w:rsidRPr="00DC0854">
        <w:rPr>
          <w:rFonts w:eastAsia="Times New Roman" w:cs="Arial"/>
          <w:color w:val="000000"/>
          <w:sz w:val="20"/>
          <w:szCs w:val="20"/>
          <w:lang w:eastAsia="en-AU"/>
        </w:rPr>
        <w:t>mployer</w:t>
      </w:r>
      <w:r w:rsidR="000578AB" w:rsidRPr="00DC0854">
        <w:rPr>
          <w:rFonts w:eastAsia="Times New Roman" w:cs="Arial"/>
          <w:color w:val="000000"/>
          <w:sz w:val="20"/>
          <w:szCs w:val="20"/>
          <w:lang w:eastAsia="en-AU"/>
        </w:rPr>
        <w:t xml:space="preserve">, for example, might choose to pay for such an entity to provide ranking information to that employer’s employees. </w:t>
      </w:r>
      <w:r w:rsidRPr="00DC0854">
        <w:rPr>
          <w:rFonts w:eastAsia="Times New Roman" w:cs="Arial"/>
          <w:color w:val="000000"/>
          <w:sz w:val="20"/>
          <w:szCs w:val="20"/>
          <w:lang w:eastAsia="en-AU"/>
        </w:rPr>
        <w:t>C</w:t>
      </w:r>
      <w:r w:rsidR="007F175A" w:rsidRPr="00DC0854">
        <w:rPr>
          <w:rFonts w:eastAsia="Times New Roman" w:cs="Arial"/>
          <w:color w:val="000000"/>
          <w:sz w:val="20"/>
          <w:szCs w:val="20"/>
          <w:lang w:eastAsia="en-AU"/>
        </w:rPr>
        <w:t xml:space="preserve">ompetition, </w:t>
      </w:r>
      <w:r w:rsidRPr="00DC0854">
        <w:rPr>
          <w:rFonts w:eastAsia="Times New Roman" w:cs="Arial"/>
          <w:color w:val="000000"/>
          <w:sz w:val="20"/>
          <w:szCs w:val="20"/>
          <w:lang w:eastAsia="en-AU"/>
        </w:rPr>
        <w:t xml:space="preserve">industry knowledge </w:t>
      </w:r>
      <w:r w:rsidR="007F175A" w:rsidRPr="00DC0854">
        <w:rPr>
          <w:rFonts w:eastAsia="Times New Roman" w:cs="Arial"/>
          <w:color w:val="000000"/>
          <w:sz w:val="20"/>
          <w:szCs w:val="20"/>
          <w:lang w:eastAsia="en-AU"/>
        </w:rPr>
        <w:t xml:space="preserve">and diversity of opinion </w:t>
      </w:r>
      <w:r w:rsidRPr="00DC0854">
        <w:rPr>
          <w:rFonts w:eastAsia="Times New Roman" w:cs="Arial"/>
          <w:color w:val="000000"/>
          <w:sz w:val="20"/>
          <w:szCs w:val="20"/>
          <w:lang w:eastAsia="en-AU"/>
        </w:rPr>
        <w:t xml:space="preserve">may enhance the </w:t>
      </w:r>
      <w:r w:rsidR="007F175A" w:rsidRPr="00DC0854">
        <w:rPr>
          <w:rFonts w:eastAsia="Times New Roman" w:cs="Arial"/>
          <w:color w:val="000000"/>
          <w:sz w:val="20"/>
          <w:szCs w:val="20"/>
          <w:lang w:eastAsia="en-AU"/>
        </w:rPr>
        <w:t xml:space="preserve">quality </w:t>
      </w:r>
      <w:r w:rsidR="004259A6" w:rsidRPr="00DC0854">
        <w:rPr>
          <w:rFonts w:eastAsia="Times New Roman" w:cs="Arial"/>
          <w:color w:val="000000"/>
          <w:sz w:val="20"/>
          <w:szCs w:val="20"/>
          <w:lang w:eastAsia="en-AU"/>
        </w:rPr>
        <w:t xml:space="preserve">and efficiency </w:t>
      </w:r>
      <w:r w:rsidR="007F175A" w:rsidRPr="00DC0854">
        <w:rPr>
          <w:rFonts w:eastAsia="Times New Roman" w:cs="Arial"/>
          <w:color w:val="000000"/>
          <w:sz w:val="20"/>
          <w:szCs w:val="20"/>
          <w:lang w:eastAsia="en-AU"/>
        </w:rPr>
        <w:t xml:space="preserve">of the service. However, there is a risk </w:t>
      </w:r>
      <w:r w:rsidR="004259A6" w:rsidRPr="00DC0854">
        <w:rPr>
          <w:rFonts w:eastAsia="Times New Roman" w:cs="Arial"/>
          <w:color w:val="000000"/>
          <w:sz w:val="20"/>
          <w:szCs w:val="20"/>
          <w:lang w:eastAsia="en-AU"/>
        </w:rPr>
        <w:t xml:space="preserve">that private ranking services will be captured by </w:t>
      </w:r>
      <w:r w:rsidR="00291599" w:rsidRPr="00DC0854">
        <w:rPr>
          <w:rFonts w:eastAsia="Times New Roman" w:cs="Arial"/>
          <w:color w:val="000000"/>
          <w:sz w:val="20"/>
          <w:szCs w:val="20"/>
          <w:lang w:eastAsia="en-AU"/>
        </w:rPr>
        <w:t>special interests that are different from those of employees.</w:t>
      </w:r>
      <w:r w:rsidR="004259A6" w:rsidRPr="00DC0854">
        <w:rPr>
          <w:rFonts w:eastAsia="Times New Roman" w:cs="Arial"/>
          <w:color w:val="000000"/>
          <w:sz w:val="20"/>
          <w:szCs w:val="20"/>
          <w:lang w:eastAsia="en-AU"/>
        </w:rPr>
        <w:t xml:space="preserve"> </w:t>
      </w:r>
    </w:p>
    <w:p w14:paraId="37B33585" w14:textId="77777777" w:rsidR="00835439" w:rsidRPr="00DC0854" w:rsidRDefault="00835439" w:rsidP="00455360">
      <w:pPr>
        <w:pStyle w:val="Heading4"/>
        <w:numPr>
          <w:ilvl w:val="0"/>
          <w:numId w:val="12"/>
        </w:numPr>
        <w:rPr>
          <w:i w:val="0"/>
          <w:color w:val="auto"/>
          <w:sz w:val="20"/>
          <w:szCs w:val="20"/>
          <w:lang w:eastAsia="en-AU" w:bidi="en-US"/>
        </w:rPr>
      </w:pPr>
      <w:r w:rsidRPr="00DC0854">
        <w:rPr>
          <w:i w:val="0"/>
          <w:color w:val="auto"/>
          <w:sz w:val="20"/>
          <w:szCs w:val="20"/>
          <w:lang w:eastAsia="en-AU" w:bidi="en-US"/>
        </w:rPr>
        <w:t>How can behavioural finance inform the development and refinement of an active choice model? What experiments would need to be formulated and conducted to provide relevant evidence?</w:t>
      </w:r>
    </w:p>
    <w:p w14:paraId="7118F320" w14:textId="77777777" w:rsidR="00835439" w:rsidRPr="00DC0854" w:rsidRDefault="00835439" w:rsidP="00835439">
      <w:pPr>
        <w:spacing w:line="240" w:lineRule="auto"/>
        <w:rPr>
          <w:rFonts w:eastAsia="Times New Roman" w:cs="Arial"/>
          <w:color w:val="000000"/>
          <w:sz w:val="20"/>
          <w:szCs w:val="20"/>
          <w:lang w:eastAsia="en-AU"/>
        </w:rPr>
      </w:pPr>
    </w:p>
    <w:p w14:paraId="6533FB39" w14:textId="477DA34D" w:rsidR="00A36A5E" w:rsidRPr="00743CA5" w:rsidRDefault="00BC4E27" w:rsidP="00743CA5">
      <w:pPr>
        <w:spacing w:line="240" w:lineRule="auto"/>
        <w:rPr>
          <w:rFonts w:eastAsia="Times New Roman" w:cs="Arial"/>
          <w:color w:val="000000"/>
          <w:sz w:val="20"/>
          <w:szCs w:val="20"/>
          <w:highlight w:val="yellow"/>
          <w:lang w:eastAsia="en-AU"/>
        </w:rPr>
      </w:pPr>
      <w:r w:rsidRPr="00DC0854">
        <w:rPr>
          <w:rFonts w:eastAsia="Times New Roman" w:cs="Arial"/>
          <w:color w:val="000000"/>
          <w:sz w:val="20"/>
          <w:szCs w:val="20"/>
          <w:lang w:eastAsia="en-AU"/>
        </w:rPr>
        <w:t xml:space="preserve">While it’s possible that there a predictable patterns of sub-optimal choices in subsets of the population, </w:t>
      </w:r>
      <w:r w:rsidR="00912D71" w:rsidRPr="00DC0854">
        <w:rPr>
          <w:rFonts w:eastAsia="Times New Roman" w:cs="Arial"/>
          <w:color w:val="000000"/>
          <w:sz w:val="20"/>
          <w:szCs w:val="20"/>
          <w:lang w:eastAsia="en-AU"/>
        </w:rPr>
        <w:t xml:space="preserve">our anecdotal experience has been </w:t>
      </w:r>
      <w:r w:rsidR="00A10D23" w:rsidRPr="00DC0854">
        <w:rPr>
          <w:rFonts w:eastAsia="Times New Roman" w:cs="Arial"/>
          <w:color w:val="000000"/>
          <w:sz w:val="20"/>
          <w:szCs w:val="20"/>
          <w:lang w:eastAsia="en-AU"/>
        </w:rPr>
        <w:t>good and bad decisions vary in degree and cut across all demographics. Our preferred approach is to set the conditions to allow individuals to readily access the information and professional advice they need to make god choices. A basic le</w:t>
      </w:r>
      <w:r w:rsidR="00291599" w:rsidRPr="00DC0854">
        <w:rPr>
          <w:rFonts w:eastAsia="Times New Roman" w:cs="Arial"/>
          <w:color w:val="000000"/>
          <w:sz w:val="20"/>
          <w:szCs w:val="20"/>
          <w:lang w:eastAsia="en-AU"/>
        </w:rPr>
        <w:t>vel of financial literacy on the part of employees, and employers and financial planners looking out for the interests of employees, provide a means</w:t>
      </w:r>
      <w:r w:rsidR="008525A8" w:rsidRPr="00DC0854">
        <w:rPr>
          <w:rFonts w:eastAsia="Times New Roman" w:cs="Arial"/>
          <w:color w:val="000000"/>
          <w:sz w:val="20"/>
          <w:szCs w:val="20"/>
          <w:lang w:eastAsia="en-AU"/>
        </w:rPr>
        <w:t xml:space="preserve"> to bridge the gap between </w:t>
      </w:r>
      <w:r w:rsidR="00645FA2" w:rsidRPr="00DC0854">
        <w:rPr>
          <w:rFonts w:eastAsia="Times New Roman" w:cs="Arial"/>
          <w:color w:val="000000"/>
          <w:sz w:val="20"/>
          <w:szCs w:val="20"/>
          <w:lang w:eastAsia="en-AU"/>
        </w:rPr>
        <w:t>actual and optimal decision-making.</w:t>
      </w:r>
      <w:r w:rsidR="00A10D23" w:rsidRPr="00DC0854">
        <w:rPr>
          <w:rFonts w:eastAsia="Times New Roman" w:cs="Arial"/>
          <w:color w:val="000000"/>
          <w:sz w:val="20"/>
          <w:szCs w:val="20"/>
          <w:lang w:eastAsia="en-AU"/>
        </w:rPr>
        <w:t xml:space="preserve"> </w:t>
      </w:r>
      <w:r w:rsidR="005E5C98" w:rsidRPr="00DC0854">
        <w:rPr>
          <w:rFonts w:eastAsia="Times New Roman" w:cs="Arial"/>
          <w:color w:val="000000"/>
          <w:sz w:val="20"/>
          <w:szCs w:val="20"/>
          <w:lang w:eastAsia="en-AU"/>
        </w:rPr>
        <w:t xml:space="preserve"> </w:t>
      </w:r>
    </w:p>
    <w:sectPr w:rsidR="00A36A5E" w:rsidRPr="00743CA5" w:rsidSect="00150360">
      <w:headerReference w:type="default" r:id="rId22"/>
      <w:pgSz w:w="11901" w:h="16840"/>
      <w:pgMar w:top="1985" w:right="1134" w:bottom="1701" w:left="1701" w:header="0" w:footer="454" w:gutter="0"/>
      <w:pgNumType w:start="1"/>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6FC905" w14:textId="77777777" w:rsidR="0066710D" w:rsidRDefault="0066710D" w:rsidP="00305407">
      <w:pPr>
        <w:spacing w:line="240" w:lineRule="auto"/>
      </w:pPr>
      <w:r>
        <w:separator/>
      </w:r>
    </w:p>
  </w:endnote>
  <w:endnote w:type="continuationSeparator" w:id="0">
    <w:p w14:paraId="2CDFA538" w14:textId="77777777" w:rsidR="0066710D" w:rsidRDefault="0066710D" w:rsidP="003054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BoldMT">
    <w:altName w:val="Arial"/>
    <w:charset w:val="00"/>
    <w:family w:val="auto"/>
    <w:pitch w:val="variable"/>
    <w:sig w:usb0="E0002AFF" w:usb1="C0007843"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MinionPro-Regular">
    <w:altName w:val="Minion Pro"/>
    <w:panose1 w:val="02040503050201020203"/>
    <w:charset w:val="00"/>
    <w:family w:val="auto"/>
    <w:pitch w:val="variable"/>
    <w:sig w:usb0="60000287" w:usb1="00000001"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55B87" w14:textId="77777777" w:rsidR="0066710D" w:rsidRDefault="0066710D" w:rsidP="00E47F1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154021" w14:textId="77777777" w:rsidR="0066710D" w:rsidRDefault="0066710D" w:rsidP="007A79C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B8419" w14:textId="77777777" w:rsidR="0066710D" w:rsidRDefault="0066710D" w:rsidP="00E47F1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A52B3">
      <w:rPr>
        <w:rStyle w:val="PageNumber"/>
        <w:noProof/>
      </w:rPr>
      <w:t>1</w:t>
    </w:r>
    <w:r>
      <w:rPr>
        <w:rStyle w:val="PageNumber"/>
      </w:rPr>
      <w:fldChar w:fldCharType="end"/>
    </w:r>
  </w:p>
  <w:p w14:paraId="7B479B74" w14:textId="77777777" w:rsidR="0066710D" w:rsidRDefault="0066710D" w:rsidP="007A79C9">
    <w:pPr>
      <w:pStyle w:val="Footer"/>
      <w:ind w:right="360"/>
    </w:pPr>
    <w:r>
      <w:rPr>
        <w:noProof/>
        <w:lang w:eastAsia="en-AU"/>
      </w:rPr>
      <mc:AlternateContent>
        <mc:Choice Requires="wps">
          <w:drawing>
            <wp:anchor distT="0" distB="0" distL="114300" distR="114300" simplePos="0" relativeHeight="251661312" behindDoc="0" locked="0" layoutInCell="1" allowOverlap="1" wp14:anchorId="72A79EE8" wp14:editId="238816B4">
              <wp:simplePos x="0" y="0"/>
              <wp:positionH relativeFrom="page">
                <wp:posOffset>1008380</wp:posOffset>
              </wp:positionH>
              <wp:positionV relativeFrom="page">
                <wp:posOffset>10189210</wp:posOffset>
              </wp:positionV>
              <wp:extent cx="5940000" cy="0"/>
              <wp:effectExtent l="0" t="0" r="29210" b="25400"/>
              <wp:wrapNone/>
              <wp:docPr id="3" name="Straight Connector 3"/>
              <wp:cNvGraphicFramePr/>
              <a:graphic xmlns:a="http://schemas.openxmlformats.org/drawingml/2006/main">
                <a:graphicData uri="http://schemas.microsoft.com/office/word/2010/wordprocessingShape">
                  <wps:wsp>
                    <wps:cNvCnPr/>
                    <wps:spPr>
                      <a:xfrm>
                        <a:off x="0" y="0"/>
                        <a:ext cx="5940000" cy="0"/>
                      </a:xfrm>
                      <a:prstGeom prst="line">
                        <a:avLst/>
                      </a:prstGeom>
                      <a:ln w="25400">
                        <a:solidFill>
                          <a:srgbClr val="5BBBB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5144C1C7" id="Straight Connector 3" o:spid="_x0000_s1026"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79.4pt,802.3pt" to="547.1pt,80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" strokecolor="#5bbbb7" strokeweight="2pt">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ECF1DF" w14:textId="77777777" w:rsidR="0066710D" w:rsidRDefault="0066710D" w:rsidP="00305407">
      <w:pPr>
        <w:spacing w:line="240" w:lineRule="auto"/>
      </w:pPr>
      <w:r>
        <w:separator/>
      </w:r>
    </w:p>
  </w:footnote>
  <w:footnote w:type="continuationSeparator" w:id="0">
    <w:p w14:paraId="01837B76" w14:textId="77777777" w:rsidR="0066710D" w:rsidRDefault="0066710D" w:rsidP="00305407">
      <w:pPr>
        <w:spacing w:line="240" w:lineRule="auto"/>
      </w:pPr>
      <w:r>
        <w:continuationSeparator/>
      </w:r>
    </w:p>
  </w:footnote>
  <w:footnote w:id="1">
    <w:p w14:paraId="27678F72" w14:textId="77777777" w:rsidR="0066710D" w:rsidRPr="00A879B5" w:rsidRDefault="0066710D" w:rsidP="00034B91">
      <w:pPr>
        <w:pStyle w:val="FootnoteText"/>
        <w:rPr>
          <w:sz w:val="12"/>
          <w:szCs w:val="10"/>
        </w:rPr>
      </w:pPr>
      <w:r w:rsidRPr="00A879B5">
        <w:rPr>
          <w:rStyle w:val="FootnoteReference"/>
          <w:sz w:val="12"/>
          <w:szCs w:val="10"/>
        </w:rPr>
        <w:footnoteRef/>
      </w:r>
      <w:r w:rsidRPr="00A879B5">
        <w:rPr>
          <w:sz w:val="12"/>
          <w:szCs w:val="10"/>
        </w:rPr>
        <w:t xml:space="preserve">   The Financial Planning Association (</w:t>
      </w:r>
      <w:proofErr w:type="spellStart"/>
      <w:r w:rsidRPr="00A879B5">
        <w:rPr>
          <w:sz w:val="12"/>
          <w:szCs w:val="10"/>
        </w:rPr>
        <w:t>FPA</w:t>
      </w:r>
      <w:proofErr w:type="spellEnd"/>
      <w:r w:rsidRPr="00A879B5">
        <w:rPr>
          <w:sz w:val="12"/>
          <w:szCs w:val="10"/>
        </w:rPr>
        <w:t xml:space="preserve">) has more than 11,000 members and affiliates of whom 9,000 are practising financial planners and 5,500 </w:t>
      </w:r>
      <w:proofErr w:type="spellStart"/>
      <w:r w:rsidRPr="00A879B5">
        <w:rPr>
          <w:sz w:val="12"/>
          <w:szCs w:val="10"/>
        </w:rPr>
        <w:t>CFP</w:t>
      </w:r>
      <w:proofErr w:type="spellEnd"/>
      <w:r w:rsidRPr="00A879B5">
        <w:rPr>
          <w:sz w:val="12"/>
          <w:szCs w:val="10"/>
        </w:rPr>
        <w:t xml:space="preserve"> professionals.  The </w:t>
      </w:r>
      <w:proofErr w:type="spellStart"/>
      <w:r w:rsidRPr="00A879B5">
        <w:rPr>
          <w:sz w:val="12"/>
          <w:szCs w:val="10"/>
        </w:rPr>
        <w:t>FPA</w:t>
      </w:r>
      <w:proofErr w:type="spellEnd"/>
      <w:r w:rsidRPr="00A879B5">
        <w:rPr>
          <w:sz w:val="12"/>
          <w:szCs w:val="10"/>
        </w:rPr>
        <w:t xml:space="preserve"> has taken a leadership role in the financial planning profession in Australia and globally:</w:t>
      </w:r>
    </w:p>
    <w:p w14:paraId="4AF6CEB2" w14:textId="77777777" w:rsidR="0066710D" w:rsidRPr="00A879B5" w:rsidRDefault="0066710D" w:rsidP="00455360">
      <w:pPr>
        <w:pStyle w:val="FootnoteText"/>
        <w:numPr>
          <w:ilvl w:val="0"/>
          <w:numId w:val="10"/>
        </w:numPr>
        <w:rPr>
          <w:sz w:val="12"/>
          <w:szCs w:val="10"/>
        </w:rPr>
      </w:pPr>
      <w:r w:rsidRPr="00A879B5">
        <w:rPr>
          <w:sz w:val="12"/>
          <w:szCs w:val="10"/>
        </w:rPr>
        <w:t>Our first “policy pillar” is to act in the public interest at all times.</w:t>
      </w:r>
    </w:p>
    <w:p w14:paraId="79646B09" w14:textId="77777777" w:rsidR="0066710D" w:rsidRPr="00A879B5" w:rsidRDefault="0066710D" w:rsidP="00455360">
      <w:pPr>
        <w:pStyle w:val="FootnoteText"/>
        <w:numPr>
          <w:ilvl w:val="0"/>
          <w:numId w:val="10"/>
        </w:numPr>
        <w:rPr>
          <w:sz w:val="12"/>
          <w:szCs w:val="10"/>
        </w:rPr>
      </w:pPr>
      <w:r w:rsidRPr="00A879B5">
        <w:rPr>
          <w:sz w:val="12"/>
          <w:szCs w:val="10"/>
        </w:rPr>
        <w:t xml:space="preserve">In 2009 we announced a remuneration policy banning all commissions and conflicted remuneration on investments and superannuation for our members – years ahead of </w:t>
      </w:r>
      <w:proofErr w:type="spellStart"/>
      <w:r w:rsidRPr="00A879B5">
        <w:rPr>
          <w:sz w:val="12"/>
          <w:szCs w:val="10"/>
        </w:rPr>
        <w:t>FOFA</w:t>
      </w:r>
      <w:proofErr w:type="spellEnd"/>
      <w:r w:rsidRPr="00A879B5">
        <w:rPr>
          <w:sz w:val="12"/>
          <w:szCs w:val="10"/>
        </w:rPr>
        <w:t>.</w:t>
      </w:r>
    </w:p>
    <w:p w14:paraId="1C6B3973" w14:textId="77777777" w:rsidR="0066710D" w:rsidRPr="00A879B5" w:rsidRDefault="0066710D" w:rsidP="00455360">
      <w:pPr>
        <w:pStyle w:val="FootnoteText"/>
        <w:numPr>
          <w:ilvl w:val="0"/>
          <w:numId w:val="10"/>
        </w:numPr>
        <w:rPr>
          <w:sz w:val="12"/>
          <w:szCs w:val="10"/>
        </w:rPr>
      </w:pPr>
      <w:r w:rsidRPr="00A879B5">
        <w:rPr>
          <w:sz w:val="12"/>
          <w:szCs w:val="10"/>
        </w:rPr>
        <w:t>We have an independent conduct review panel, Chaired by Mark Vincent, dealing with investigations and complaints against our members for breaches of our professional rules.</w:t>
      </w:r>
    </w:p>
    <w:p w14:paraId="5887A9F2" w14:textId="77777777" w:rsidR="0066710D" w:rsidRPr="00A879B5" w:rsidRDefault="0066710D" w:rsidP="00455360">
      <w:pPr>
        <w:pStyle w:val="FootnoteText"/>
        <w:numPr>
          <w:ilvl w:val="0"/>
          <w:numId w:val="10"/>
        </w:numPr>
        <w:rPr>
          <w:sz w:val="12"/>
          <w:szCs w:val="10"/>
        </w:rPr>
      </w:pPr>
      <w:r w:rsidRPr="00A879B5">
        <w:rPr>
          <w:sz w:val="12"/>
          <w:szCs w:val="10"/>
        </w:rPr>
        <w:t xml:space="preserve">The first financial planning professional body in the world to have a full suite of professional regulations incorporating a set of ethical principles, practice standards and professional conduct rules that explain and underpin professional financial planning practices. This is being exported to 24 member countries and the 150,000 </w:t>
      </w:r>
      <w:proofErr w:type="spellStart"/>
      <w:r w:rsidRPr="00A879B5">
        <w:rPr>
          <w:sz w:val="12"/>
          <w:szCs w:val="10"/>
        </w:rPr>
        <w:t>CFP</w:t>
      </w:r>
      <w:proofErr w:type="spellEnd"/>
      <w:r w:rsidRPr="00A879B5">
        <w:rPr>
          <w:sz w:val="12"/>
          <w:szCs w:val="10"/>
        </w:rPr>
        <w:t xml:space="preserve"> practitioners that make up the </w:t>
      </w:r>
      <w:proofErr w:type="spellStart"/>
      <w:r w:rsidRPr="00A879B5">
        <w:rPr>
          <w:sz w:val="12"/>
          <w:szCs w:val="10"/>
        </w:rPr>
        <w:t>FPSB</w:t>
      </w:r>
      <w:proofErr w:type="spellEnd"/>
      <w:r w:rsidRPr="00A879B5">
        <w:rPr>
          <w:sz w:val="12"/>
          <w:szCs w:val="10"/>
        </w:rPr>
        <w:t xml:space="preserve"> globally.</w:t>
      </w:r>
    </w:p>
    <w:p w14:paraId="678F9974" w14:textId="77777777" w:rsidR="0066710D" w:rsidRPr="00A879B5" w:rsidRDefault="0066710D" w:rsidP="00455360">
      <w:pPr>
        <w:pStyle w:val="FootnoteText"/>
        <w:numPr>
          <w:ilvl w:val="0"/>
          <w:numId w:val="10"/>
        </w:numPr>
        <w:rPr>
          <w:sz w:val="12"/>
          <w:szCs w:val="10"/>
        </w:rPr>
      </w:pPr>
      <w:r w:rsidRPr="00A879B5">
        <w:rPr>
          <w:sz w:val="12"/>
          <w:szCs w:val="10"/>
        </w:rPr>
        <w:t xml:space="preserve">We have built a curriculum with 17 Australian Universities for degrees in financial planning. As at the 1st July 2013 all new members of the </w:t>
      </w:r>
      <w:proofErr w:type="spellStart"/>
      <w:r w:rsidRPr="00A879B5">
        <w:rPr>
          <w:sz w:val="12"/>
          <w:szCs w:val="10"/>
        </w:rPr>
        <w:t>FPA</w:t>
      </w:r>
      <w:proofErr w:type="spellEnd"/>
      <w:r w:rsidRPr="00A879B5">
        <w:rPr>
          <w:sz w:val="12"/>
          <w:szCs w:val="10"/>
        </w:rPr>
        <w:t xml:space="preserve"> will be required to hold, as a minimum, an approved undergraduate degree.</w:t>
      </w:r>
    </w:p>
    <w:p w14:paraId="0AFEF09A" w14:textId="77777777" w:rsidR="0066710D" w:rsidRPr="00A879B5" w:rsidRDefault="0066710D" w:rsidP="00455360">
      <w:pPr>
        <w:pStyle w:val="FootnoteText"/>
        <w:numPr>
          <w:ilvl w:val="0"/>
          <w:numId w:val="10"/>
        </w:numPr>
        <w:rPr>
          <w:sz w:val="12"/>
          <w:szCs w:val="10"/>
        </w:rPr>
      </w:pPr>
      <w:proofErr w:type="spellStart"/>
      <w:r w:rsidRPr="00A879B5">
        <w:rPr>
          <w:sz w:val="12"/>
          <w:szCs w:val="10"/>
        </w:rPr>
        <w:t>CFP</w:t>
      </w:r>
      <w:proofErr w:type="spellEnd"/>
      <w:r w:rsidRPr="00A879B5">
        <w:rPr>
          <w:sz w:val="12"/>
          <w:szCs w:val="10"/>
        </w:rPr>
        <w:t xml:space="preserve"> certification is the pre-eminent certification in financial planning globally. The educational requirements and standards to attain </w:t>
      </w:r>
      <w:proofErr w:type="spellStart"/>
      <w:r w:rsidRPr="00A879B5">
        <w:rPr>
          <w:sz w:val="12"/>
          <w:szCs w:val="10"/>
        </w:rPr>
        <w:t>CFP</w:t>
      </w:r>
      <w:proofErr w:type="spellEnd"/>
      <w:r w:rsidRPr="00A879B5">
        <w:rPr>
          <w:sz w:val="12"/>
          <w:szCs w:val="10"/>
        </w:rPr>
        <w:t xml:space="preserve"> standing are equal to other professional bodies, </w:t>
      </w:r>
      <w:proofErr w:type="spellStart"/>
      <w:r w:rsidRPr="00A879B5">
        <w:rPr>
          <w:sz w:val="12"/>
          <w:szCs w:val="10"/>
        </w:rPr>
        <w:t>eg</w:t>
      </w:r>
      <w:proofErr w:type="spellEnd"/>
      <w:r w:rsidRPr="00A879B5">
        <w:rPr>
          <w:sz w:val="12"/>
          <w:szCs w:val="10"/>
        </w:rPr>
        <w:t xml:space="preserve"> CPA Australia.</w:t>
      </w:r>
    </w:p>
    <w:p w14:paraId="71610847" w14:textId="77777777" w:rsidR="0066710D" w:rsidRPr="00A879B5" w:rsidRDefault="0066710D" w:rsidP="00455360">
      <w:pPr>
        <w:pStyle w:val="FootnoteText"/>
        <w:numPr>
          <w:ilvl w:val="0"/>
          <w:numId w:val="10"/>
        </w:numPr>
        <w:rPr>
          <w:sz w:val="12"/>
          <w:szCs w:val="10"/>
        </w:rPr>
      </w:pPr>
      <w:r w:rsidRPr="00A879B5">
        <w:rPr>
          <w:sz w:val="12"/>
          <w:szCs w:val="10"/>
        </w:rPr>
        <w:t>We are recognised as a professional body by the Tax Practitioners Board</w:t>
      </w:r>
    </w:p>
  </w:footnote>
  <w:footnote w:id="2">
    <w:p w14:paraId="32877ECF" w14:textId="1AFCF15F" w:rsidR="0066710D" w:rsidRPr="000F2F94" w:rsidRDefault="0066710D">
      <w:pPr>
        <w:pStyle w:val="FootnoteText"/>
        <w:rPr>
          <w:lang w:val="en-US"/>
        </w:rPr>
      </w:pPr>
      <w:r>
        <w:rPr>
          <w:rStyle w:val="FootnoteReference"/>
        </w:rPr>
        <w:footnoteRef/>
      </w:r>
      <w:r>
        <w:t xml:space="preserve"> </w:t>
      </w:r>
      <w:r w:rsidR="00E76D63">
        <w:t>For one measure, risk-adjusted value added (</w:t>
      </w:r>
      <w:proofErr w:type="spellStart"/>
      <w:r w:rsidR="00E76D63">
        <w:t>RAVA</w:t>
      </w:r>
      <w:proofErr w:type="spellEnd"/>
      <w:r w:rsidR="00E76D63">
        <w:t xml:space="preserve">), see </w:t>
      </w:r>
      <w:r>
        <w:t xml:space="preserve">Liu, </w:t>
      </w:r>
      <w:proofErr w:type="spellStart"/>
      <w:r>
        <w:t>K.Y</w:t>
      </w:r>
      <w:proofErr w:type="spellEnd"/>
      <w:r>
        <w:t xml:space="preserve">., Australian Superannuation: Operational Structure, Investment Performance and Trustee Governance (2013) </w:t>
      </w:r>
      <w:hyperlink r:id="rId1" w:history="1">
        <w:r w:rsidRPr="00B33109">
          <w:rPr>
            <w:rStyle w:val="Hyperlink"/>
          </w:rPr>
          <w:t>https://ses.library.usyd.edu.au/bitstream/2123/9264/1/Liu_K_THesis_2013.pdf</w:t>
        </w:r>
      </w:hyperlink>
      <w:r>
        <w:t xml:space="preserve"> (accessed 25 October 2016) pp 193-4</w:t>
      </w:r>
    </w:p>
  </w:footnote>
  <w:footnote w:id="3">
    <w:p w14:paraId="13189E26" w14:textId="77777777" w:rsidR="0066710D" w:rsidRPr="00617281" w:rsidRDefault="0066710D" w:rsidP="00617281">
      <w:pPr>
        <w:pStyle w:val="FootnoteText"/>
        <w:jc w:val="left"/>
        <w:rPr>
          <w:lang w:val="en-US"/>
        </w:rPr>
      </w:pPr>
      <w:r>
        <w:rPr>
          <w:rStyle w:val="FootnoteReference"/>
        </w:rPr>
        <w:footnoteRef/>
      </w:r>
      <w:r>
        <w:t xml:space="preserve"> See Donald S. </w:t>
      </w:r>
      <w:r w:rsidRPr="00617281">
        <w:rPr>
          <w:i/>
        </w:rPr>
        <w:t>et al</w:t>
      </w:r>
      <w:r>
        <w:t>, ‘</w:t>
      </w:r>
      <w:r w:rsidRPr="00617281">
        <w:t>The implications of complexity for systemic risk in the superannuation system</w:t>
      </w:r>
      <w:r>
        <w:t xml:space="preserve">’,  </w:t>
      </w:r>
      <w:proofErr w:type="spellStart"/>
      <w:r w:rsidRPr="00617281">
        <w:rPr>
          <w:i/>
        </w:rPr>
        <w:t>CLMR</w:t>
      </w:r>
      <w:proofErr w:type="spellEnd"/>
      <w:r>
        <w:rPr>
          <w:i/>
        </w:rPr>
        <w:t xml:space="preserve"> Research Paper Series Working Paper N</w:t>
      </w:r>
      <w:r w:rsidRPr="00617281">
        <w:rPr>
          <w:i/>
        </w:rPr>
        <w:t>o. 13-3</w:t>
      </w:r>
      <w:r>
        <w:t xml:space="preserve"> </w:t>
      </w:r>
      <w:hyperlink r:id="rId2" w:history="1">
        <w:r w:rsidRPr="00375B7E">
          <w:rPr>
            <w:rStyle w:val="Hyperlink"/>
            <w:lang w:val="en-US"/>
          </w:rPr>
          <w:t>http://www.australiancentre.com.au/sites/default/files/D1P7%20Complexity%20in%20the%20Superannuation%20System.pdf</w:t>
        </w:r>
      </w:hyperlink>
      <w:r>
        <w:rPr>
          <w:lang w:val="en-US"/>
        </w:rPr>
        <w:t xml:space="preserve"> (access 26 October 2016)</w:t>
      </w:r>
    </w:p>
  </w:footnote>
  <w:footnote w:id="4">
    <w:p w14:paraId="0852BBEE" w14:textId="77777777" w:rsidR="00B930B2" w:rsidRPr="00E14AA6" w:rsidRDefault="00B930B2" w:rsidP="00B930B2">
      <w:pPr>
        <w:pStyle w:val="FootnoteText"/>
        <w:jc w:val="left"/>
        <w:rPr>
          <w:lang w:val="en-US"/>
        </w:rPr>
      </w:pPr>
      <w:r>
        <w:rPr>
          <w:rStyle w:val="FootnoteReference"/>
        </w:rPr>
        <w:footnoteRef/>
      </w:r>
      <w:r>
        <w:t xml:space="preserve"> Chant West, </w:t>
      </w:r>
      <w:r w:rsidRPr="00E14AA6">
        <w:rPr>
          <w:i/>
        </w:rPr>
        <w:t xml:space="preserve">Financial System Inquiry Final Report Response to Superannuation Recommendation </w:t>
      </w:r>
      <w:r>
        <w:t>(</w:t>
      </w:r>
      <w:r w:rsidRPr="00E14AA6">
        <w:t>10 March 2015</w:t>
      </w:r>
      <w:r>
        <w:t>)</w:t>
      </w:r>
      <w:r w:rsidRPr="00E14AA6">
        <w:t xml:space="preserve"> </w:t>
      </w:r>
      <w:hyperlink r:id="rId3" w:history="1">
        <w:r w:rsidRPr="00375B7E">
          <w:rPr>
            <w:rStyle w:val="Hyperlink"/>
          </w:rPr>
          <w:t>http://www.treasury.gov.au/~/media/Treasury/Consultations%20and%20Reviews/Consultations/2014/Financial%20System%20Inquiry%20Final%20Report/Submissions/PDF/Chant_West.ashx</w:t>
        </w:r>
      </w:hyperlink>
      <w:r>
        <w:t xml:space="preserve"> (accessed 26 October 2016) p 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B0886" w14:textId="77777777" w:rsidR="0066710D" w:rsidRDefault="0066710D" w:rsidP="00E47F1D">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02B5C7" w14:textId="77777777" w:rsidR="0066710D" w:rsidRDefault="0066710D" w:rsidP="007A79C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76A15" w14:textId="77777777" w:rsidR="0066710D" w:rsidRDefault="0066710D" w:rsidP="00F91C37">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F8CE8" w14:textId="77777777" w:rsidR="0066710D" w:rsidRDefault="0066710D">
    <w:pPr>
      <w:pStyle w:val="Header"/>
    </w:pPr>
    <w:r>
      <w:rPr>
        <w:noProof/>
        <w:lang w:eastAsia="en-AU"/>
      </w:rPr>
      <mc:AlternateContent>
        <mc:Choice Requires="wps">
          <w:drawing>
            <wp:anchor distT="0" distB="0" distL="114300" distR="114300" simplePos="0" relativeHeight="251668480" behindDoc="0" locked="0" layoutInCell="1" allowOverlap="1" wp14:anchorId="36DBCAF0" wp14:editId="290520F8">
              <wp:simplePos x="0" y="0"/>
              <wp:positionH relativeFrom="column">
                <wp:posOffset>0</wp:posOffset>
              </wp:positionH>
              <wp:positionV relativeFrom="page">
                <wp:posOffset>10189210</wp:posOffset>
              </wp:positionV>
              <wp:extent cx="5580000" cy="0"/>
              <wp:effectExtent l="0" t="0" r="33655" b="25400"/>
              <wp:wrapNone/>
              <wp:docPr id="4" name="Straight Connector 4"/>
              <wp:cNvGraphicFramePr/>
              <a:graphic xmlns:a="http://schemas.openxmlformats.org/drawingml/2006/main">
                <a:graphicData uri="http://schemas.microsoft.com/office/word/2010/wordprocessingShape">
                  <wps:wsp>
                    <wps:cNvCnPr/>
                    <wps:spPr>
                      <a:xfrm>
                        <a:off x="0" y="0"/>
                        <a:ext cx="5580000" cy="0"/>
                      </a:xfrm>
                      <a:prstGeom prst="line">
                        <a:avLst/>
                      </a:prstGeom>
                      <a:ln w="25400">
                        <a:solidFill>
                          <a:srgbClr val="5BBBB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6E354BEE" id="Straight Connector 4"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802.3pt" to="439.35pt,80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" strokecolor="#5bbbb7" strokeweight="2pt">
              <w10:wrap anchory="page"/>
            </v:line>
          </w:pict>
        </mc:Fallback>
      </mc:AlternateContent>
    </w:r>
    <w:r>
      <w:rPr>
        <w:noProof/>
        <w:lang w:eastAsia="en-AU"/>
      </w:rPr>
      <mc:AlternateContent>
        <mc:Choice Requires="wps">
          <w:drawing>
            <wp:anchor distT="0" distB="0" distL="114300" distR="114300" simplePos="0" relativeHeight="251665408" behindDoc="0" locked="0" layoutInCell="1" allowOverlap="1" wp14:anchorId="44CEA462" wp14:editId="468518B8">
              <wp:simplePos x="0" y="0"/>
              <wp:positionH relativeFrom="column">
                <wp:posOffset>0</wp:posOffset>
              </wp:positionH>
              <wp:positionV relativeFrom="page">
                <wp:posOffset>1584325</wp:posOffset>
              </wp:positionV>
              <wp:extent cx="5580000" cy="0"/>
              <wp:effectExtent l="0" t="25400" r="33655" b="25400"/>
              <wp:wrapNone/>
              <wp:docPr id="1" name="Straight Connector 1"/>
              <wp:cNvGraphicFramePr/>
              <a:graphic xmlns:a="http://schemas.openxmlformats.org/drawingml/2006/main">
                <a:graphicData uri="http://schemas.microsoft.com/office/word/2010/wordprocessingShape">
                  <wps:wsp>
                    <wps:cNvCnPr/>
                    <wps:spPr>
                      <a:xfrm>
                        <a:off x="0" y="0"/>
                        <a:ext cx="5580000" cy="0"/>
                      </a:xfrm>
                      <a:prstGeom prst="line">
                        <a:avLst/>
                      </a:prstGeom>
                      <a:ln w="50800">
                        <a:solidFill>
                          <a:srgbClr val="5BBBB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543402F9" id="Straight Connector 1"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124.75pt" to="439.35pt,1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" strokecolor="#5bbbb7" strokeweight="4pt">
              <w10:wrap anchory="page"/>
            </v:line>
          </w:pict>
        </mc:Fallback>
      </mc:AlternateContent>
    </w:r>
    <w:r>
      <w:rPr>
        <w:noProof/>
        <w:lang w:eastAsia="en-AU"/>
      </w:rPr>
      <mc:AlternateContent>
        <mc:Choice Requires="wps">
          <w:drawing>
            <wp:anchor distT="0" distB="0" distL="114300" distR="114300" simplePos="0" relativeHeight="251656192" behindDoc="0" locked="0" layoutInCell="1" allowOverlap="1" wp14:anchorId="7B1231DE" wp14:editId="0410087D">
              <wp:simplePos x="0" y="0"/>
              <wp:positionH relativeFrom="page">
                <wp:posOffset>360045</wp:posOffset>
              </wp:positionH>
              <wp:positionV relativeFrom="page">
                <wp:posOffset>396240</wp:posOffset>
              </wp:positionV>
              <wp:extent cx="2282400" cy="1026000"/>
              <wp:effectExtent l="0" t="0" r="3810" b="15875"/>
              <wp:wrapNone/>
              <wp:docPr id="9" name="Text Box 9"/>
              <wp:cNvGraphicFramePr/>
              <a:graphic xmlns:a="http://schemas.openxmlformats.org/drawingml/2006/main">
                <a:graphicData uri="http://schemas.microsoft.com/office/word/2010/wordprocessingShape">
                  <wps:wsp>
                    <wps:cNvSpPr txBox="1"/>
                    <wps:spPr>
                      <a:xfrm>
                        <a:off x="0" y="0"/>
                        <a:ext cx="2282400" cy="1026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64CABEA" w14:textId="77777777" w:rsidR="0066710D" w:rsidRDefault="0066710D" w:rsidP="00792628">
                          <w:pPr>
                            <w:spacing w:line="240" w:lineRule="atLeast"/>
                          </w:pPr>
                          <w:r>
                            <w:rPr>
                              <w:noProof/>
                              <w:lang w:eastAsia="en-AU"/>
                            </w:rPr>
                            <w:drawing>
                              <wp:inline distT="0" distB="0" distL="0" distR="0" wp14:anchorId="2B41A84D" wp14:editId="10E26A51">
                                <wp:extent cx="2217420" cy="935736"/>
                                <wp:effectExtent l="0" t="0" r="0" b="444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PA_LH_logo_HOR_RGB.png"/>
                                        <pic:cNvPicPr/>
                                      </pic:nvPicPr>
                                      <pic:blipFill>
                                        <a:blip r:embed="rId1">
                                          <a:extLst>
                                            <a:ext uri="{28A0092B-C50C-407E-A947-70E740481C1C}">
                                              <a14:useLocalDpi xmlns:a14="http://schemas.microsoft.com/office/drawing/2010/main" val="0"/>
                                            </a:ext>
                                          </a:extLst>
                                        </a:blip>
                                        <a:stretch>
                                          <a:fillRect/>
                                        </a:stretch>
                                      </pic:blipFill>
                                      <pic:spPr>
                                        <a:xfrm>
                                          <a:off x="0" y="0"/>
                                          <a:ext cx="2217420" cy="935736"/>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B1231DE" id="_x0000_t202" coordsize="21600,21600" o:spt="202" path="m,l,21600r21600,l21600,xe">
              <v:stroke joinstyle="miter"/>
              <v:path gradientshapeok="t" o:connecttype="rect"/>
            </v:shapetype>
            <v:shape id="Text Box 9" o:spid="_x0000_s1026" type="#_x0000_t202" style="position:absolute;margin-left:28.35pt;margin-top:31.2pt;width:179.7pt;height:80.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" filled="f" stroked="f">
              <v:textbox inset="0,0,0,0">
                <w:txbxContent>
                  <w:p w14:paraId="564CABEA" w14:textId="77777777" w:rsidR="0066710D" w:rsidRDefault="0066710D" w:rsidP="00792628">
                    <w:pPr>
                      <w:spacing w:line="240" w:lineRule="atLeast"/>
                    </w:pPr>
                    <w:r>
                      <w:rPr>
                        <w:noProof/>
                        <w:lang w:eastAsia="en-AU"/>
                      </w:rPr>
                      <w:drawing>
                        <wp:inline distT="0" distB="0" distL="0" distR="0" wp14:anchorId="2B41A84D" wp14:editId="10E26A51">
                          <wp:extent cx="2217420" cy="935736"/>
                          <wp:effectExtent l="0" t="0" r="0" b="444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PA_LH_logo_HOR_RGB.png"/>
                                  <pic:cNvPicPr/>
                                </pic:nvPicPr>
                                <pic:blipFill>
                                  <a:blip r:embed="rId2">
                                    <a:extLst>
                                      <a:ext uri="{28A0092B-C50C-407E-A947-70E740481C1C}">
                                        <a14:useLocalDpi xmlns:a14="http://schemas.microsoft.com/office/drawing/2010/main" val="0"/>
                                      </a:ext>
                                    </a:extLst>
                                  </a:blip>
                                  <a:stretch>
                                    <a:fillRect/>
                                  </a:stretch>
                                </pic:blipFill>
                                <pic:spPr>
                                  <a:xfrm>
                                    <a:off x="0" y="0"/>
                                    <a:ext cx="2217420" cy="935736"/>
                                  </a:xfrm>
                                  <a:prstGeom prst="rect">
                                    <a:avLst/>
                                  </a:prstGeom>
                                </pic:spPr>
                              </pic:pic>
                            </a:graphicData>
                          </a:graphic>
                        </wp:inline>
                      </w:drawing>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73F0D" w14:textId="77777777" w:rsidR="0066710D" w:rsidRDefault="0066710D" w:rsidP="007A79C9">
    <w:pPr>
      <w:pStyle w:val="Header"/>
      <w:tabs>
        <w:tab w:val="clear" w:pos="8640"/>
        <w:tab w:val="right" w:pos="9066"/>
      </w:tabs>
      <w:ind w:right="360"/>
    </w:pPr>
    <w:r>
      <w:rPr>
        <w:noProof/>
        <w:lang w:eastAsia="en-AU"/>
      </w:rPr>
      <mc:AlternateContent>
        <mc:Choice Requires="wps">
          <w:drawing>
            <wp:anchor distT="0" distB="0" distL="114300" distR="114300" simplePos="0" relativeHeight="251653632" behindDoc="0" locked="0" layoutInCell="1" allowOverlap="1" wp14:anchorId="76225A2E" wp14:editId="1EEA8E73">
              <wp:simplePos x="0" y="0"/>
              <wp:positionH relativeFrom="page">
                <wp:posOffset>1008380</wp:posOffset>
              </wp:positionH>
              <wp:positionV relativeFrom="page">
                <wp:posOffset>900430</wp:posOffset>
              </wp:positionV>
              <wp:extent cx="5940000" cy="7200"/>
              <wp:effectExtent l="25400" t="25400" r="29210" b="43815"/>
              <wp:wrapNone/>
              <wp:docPr id="2" name="Straight Connector 2"/>
              <wp:cNvGraphicFramePr/>
              <a:graphic xmlns:a="http://schemas.openxmlformats.org/drawingml/2006/main">
                <a:graphicData uri="http://schemas.microsoft.com/office/word/2010/wordprocessingShape">
                  <wps:wsp>
                    <wps:cNvCnPr/>
                    <wps:spPr>
                      <a:xfrm flipV="1">
                        <a:off x="0" y="0"/>
                        <a:ext cx="5940000" cy="7200"/>
                      </a:xfrm>
                      <a:prstGeom prst="line">
                        <a:avLst/>
                      </a:prstGeom>
                      <a:ln w="50800">
                        <a:solidFill>
                          <a:srgbClr val="5BBBB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DB9F1B1" id="Straight Connector 2" o:spid="_x0000_s1026" style="position:absolute;flip:y;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9.4pt,70.9pt" to="547.1pt,7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" strokecolor="#5bbbb7" strokeweight="4pt">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C42AF"/>
    <w:multiLevelType w:val="hybridMultilevel"/>
    <w:tmpl w:val="0CBCE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056533F"/>
    <w:multiLevelType w:val="multilevel"/>
    <w:tmpl w:val="42762F96"/>
    <w:styleLink w:val="CurrentList2"/>
    <w:lvl w:ilvl="0">
      <w:start w:val="1"/>
      <w:numFmt w:val="decimal"/>
      <w:lvlText w:val="%1"/>
      <w:lvlJc w:val="left"/>
      <w:pPr>
        <w:tabs>
          <w:tab w:val="num" w:pos="624"/>
        </w:tabs>
        <w:ind w:left="624" w:hanging="624"/>
      </w:pPr>
      <w:rPr>
        <w:rFonts w:ascii="Arial" w:hAnsi="Arial" w:hint="default"/>
        <w:b/>
        <w:bCs/>
        <w:i w:val="0"/>
        <w:iCs w:val="0"/>
        <w:sz w:val="26"/>
        <w:szCs w:val="26"/>
      </w:rPr>
    </w:lvl>
    <w:lvl w:ilvl="1">
      <w:start w:val="1"/>
      <w:numFmt w:val="decimal"/>
      <w:lvlRestart w:val="0"/>
      <w:lvlText w:val="%1.%2"/>
      <w:lvlJc w:val="left"/>
      <w:pPr>
        <w:tabs>
          <w:tab w:val="num" w:pos="624"/>
        </w:tabs>
        <w:ind w:left="624" w:hanging="624"/>
      </w:pPr>
      <w:rPr>
        <w:rFonts w:ascii="Arial" w:hAnsi="Arial" w:hint="default"/>
        <w:b/>
        <w:bCs/>
        <w:i w:val="0"/>
        <w:iCs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25E434C"/>
    <w:multiLevelType w:val="hybridMultilevel"/>
    <w:tmpl w:val="FBC69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3BC4EB1"/>
    <w:multiLevelType w:val="multilevel"/>
    <w:tmpl w:val="62222486"/>
    <w:lvl w:ilvl="0">
      <w:start w:val="1"/>
      <w:numFmt w:val="decimal"/>
      <w:lvlText w:val="%1"/>
      <w:lvlJc w:val="left"/>
      <w:pPr>
        <w:ind w:left="432" w:hanging="432"/>
      </w:pPr>
      <w:rPr>
        <w:rFonts w:hint="default"/>
      </w:rPr>
    </w:lvl>
    <w:lvl w:ilvl="1">
      <w:start w:val="1"/>
      <w:numFmt w:val="decimal"/>
      <w:lvlRestart w:val="0"/>
      <w:lvlText w:val="%1.%2"/>
      <w:lvlJc w:val="left"/>
      <w:pPr>
        <w:tabs>
          <w:tab w:val="num" w:pos="624"/>
        </w:tabs>
        <w:ind w:left="624"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nsid w:val="15E366AC"/>
    <w:multiLevelType w:val="hybridMultilevel"/>
    <w:tmpl w:val="162A8F34"/>
    <w:lvl w:ilvl="0" w:tplc="0C09000F">
      <w:start w:val="1"/>
      <w:numFmt w:val="decimal"/>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191D1BBD"/>
    <w:multiLevelType w:val="hybridMultilevel"/>
    <w:tmpl w:val="B8F89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A8F09CD"/>
    <w:multiLevelType w:val="multilevel"/>
    <w:tmpl w:val="29889910"/>
    <w:name w:val="Numbered list2"/>
    <w:lvl w:ilvl="0">
      <w:start w:val="1"/>
      <w:numFmt w:val="decimal"/>
      <w:lvlText w:val="%1"/>
      <w:lvlJc w:val="left"/>
      <w:pPr>
        <w:tabs>
          <w:tab w:val="num" w:pos="624"/>
        </w:tabs>
        <w:ind w:left="624" w:hanging="624"/>
      </w:pPr>
      <w:rPr>
        <w:rFonts w:ascii="Arial" w:hAnsi="Arial" w:hint="default"/>
        <w:b/>
        <w:bCs/>
        <w:i w:val="0"/>
        <w:iCs w:val="0"/>
        <w:sz w:val="26"/>
        <w:szCs w:val="26"/>
      </w:rPr>
    </w:lvl>
    <w:lvl w:ilvl="1">
      <w:start w:val="1"/>
      <w:numFmt w:val="decimal"/>
      <w:lvlRestart w:val="0"/>
      <w:lvlText w:val="%1.%2"/>
      <w:lvlJc w:val="left"/>
      <w:pPr>
        <w:tabs>
          <w:tab w:val="num" w:pos="624"/>
        </w:tabs>
        <w:ind w:left="624" w:hanging="624"/>
      </w:pPr>
      <w:rPr>
        <w:rFonts w:ascii="Arial" w:hAnsi="Arial" w:hint="default"/>
        <w:b/>
        <w:bCs/>
        <w:i w:val="0"/>
        <w:iCs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BC4700B"/>
    <w:multiLevelType w:val="multilevel"/>
    <w:tmpl w:val="92CE7806"/>
    <w:name w:val="Numbered list L2"/>
    <w:lvl w:ilvl="0">
      <w:start w:val="1"/>
      <w:numFmt w:val="decimal"/>
      <w:lvlText w:val="%1"/>
      <w:lvlJc w:val="left"/>
      <w:pPr>
        <w:tabs>
          <w:tab w:val="num" w:pos="624"/>
        </w:tabs>
        <w:ind w:left="624" w:hanging="624"/>
      </w:pPr>
      <w:rPr>
        <w:rFonts w:ascii="Arial" w:hAnsi="Arial" w:hint="default"/>
        <w:b/>
        <w:bCs/>
        <w:i w:val="0"/>
        <w:iCs w:val="0"/>
        <w:sz w:val="26"/>
        <w:szCs w:val="26"/>
      </w:rPr>
    </w:lvl>
    <w:lvl w:ilvl="1">
      <w:start w:val="1"/>
      <w:numFmt w:val="decimal"/>
      <w:lvlRestart w:val="0"/>
      <w:lvlText w:val="%1.%2"/>
      <w:lvlJc w:val="left"/>
      <w:pPr>
        <w:tabs>
          <w:tab w:val="num" w:pos="624"/>
        </w:tabs>
        <w:ind w:left="624" w:hanging="624"/>
      </w:pPr>
      <w:rPr>
        <w:rFonts w:ascii="Arial" w:hAnsi="Arial" w:hint="default"/>
        <w:b/>
        <w:bCs/>
        <w:i w:val="0"/>
        <w:iCs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31F1CDE"/>
    <w:multiLevelType w:val="hybridMultilevel"/>
    <w:tmpl w:val="425C2296"/>
    <w:lvl w:ilvl="0" w:tplc="007A97B4">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6B77358"/>
    <w:multiLevelType w:val="hybridMultilevel"/>
    <w:tmpl w:val="7DEC4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9554A39"/>
    <w:multiLevelType w:val="hybridMultilevel"/>
    <w:tmpl w:val="52282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DEB4DB8"/>
    <w:multiLevelType w:val="multilevel"/>
    <w:tmpl w:val="42762F96"/>
    <w:name w:val="Numbered list L23"/>
    <w:numStyleLink w:val="CurrentList2"/>
  </w:abstractNum>
  <w:abstractNum w:abstractNumId="12">
    <w:nsid w:val="2E942F87"/>
    <w:multiLevelType w:val="multilevel"/>
    <w:tmpl w:val="0409001D"/>
    <w:styleLink w:val="Agendalistparagraph"/>
    <w:lvl w:ilvl="0">
      <w:start w:val="1"/>
      <w:numFmt w:val="non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rFonts w:ascii="Arial" w:hAnsi="Arial"/>
        <w:b w:val="0"/>
        <w:bCs w:val="0"/>
        <w:i w:val="0"/>
        <w:iCs w:val="0"/>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36F583C"/>
    <w:multiLevelType w:val="hybridMultilevel"/>
    <w:tmpl w:val="57F4B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566433D"/>
    <w:multiLevelType w:val="hybridMultilevel"/>
    <w:tmpl w:val="94F06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B80299"/>
    <w:multiLevelType w:val="multilevel"/>
    <w:tmpl w:val="BC2A14B0"/>
    <w:styleLink w:val="CurrentList1"/>
    <w:lvl w:ilvl="0">
      <w:start w:val="1"/>
      <w:numFmt w:val="decimal"/>
      <w:lvlText w:val="%1"/>
      <w:lvlJc w:val="left"/>
      <w:pPr>
        <w:tabs>
          <w:tab w:val="num" w:pos="624"/>
        </w:tabs>
        <w:ind w:left="624" w:hanging="624"/>
      </w:pPr>
      <w:rPr>
        <w:rFonts w:ascii="Arial" w:hAnsi="Arial" w:hint="default"/>
        <w:b/>
        <w:bCs/>
        <w:i w:val="0"/>
        <w:iCs w:val="0"/>
        <w:sz w:val="26"/>
        <w:szCs w:val="26"/>
      </w:rPr>
    </w:lvl>
    <w:lvl w:ilvl="1">
      <w:start w:val="1"/>
      <w:numFmt w:val="decimal"/>
      <w:lvlRestart w:val="0"/>
      <w:lvlText w:val="%1.%2"/>
      <w:lvlJc w:val="left"/>
      <w:pPr>
        <w:tabs>
          <w:tab w:val="num" w:pos="624"/>
        </w:tabs>
        <w:ind w:left="624" w:hanging="624"/>
      </w:pPr>
      <w:rPr>
        <w:rFonts w:ascii="Arial" w:hAnsi="Arial" w:hint="default"/>
        <w:b/>
        <w:bCs/>
        <w:i w:val="0"/>
        <w:iCs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4360E7F"/>
    <w:multiLevelType w:val="hybridMultilevel"/>
    <w:tmpl w:val="937A4524"/>
    <w:lvl w:ilvl="0" w:tplc="01D49E6C">
      <w:start w:val="1"/>
      <w:numFmt w:val="bullet"/>
      <w:pStyle w:val="L2Bulletpoints"/>
      <w:lvlText w:val="–"/>
      <w:lvlJc w:val="left"/>
      <w:pPr>
        <w:tabs>
          <w:tab w:val="num" w:pos="425"/>
        </w:tabs>
        <w:ind w:left="425" w:hanging="255"/>
      </w:pPr>
      <w:rPr>
        <w:rFonts w:ascii="Arial" w:hAnsi="Arial" w:hint="default"/>
        <w:b w:val="0"/>
        <w:bCs w:val="0"/>
        <w:i w:val="0"/>
        <w:iCs w:val="0"/>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33106C"/>
    <w:multiLevelType w:val="multilevel"/>
    <w:tmpl w:val="5F1635F2"/>
    <w:lvl w:ilvl="0">
      <w:start w:val="1"/>
      <w:numFmt w:val="decimal"/>
      <w:pStyle w:val="ListstyleL1"/>
      <w:lvlText w:val="%1"/>
      <w:lvlJc w:val="left"/>
      <w:pPr>
        <w:tabs>
          <w:tab w:val="num" w:pos="624"/>
        </w:tabs>
        <w:ind w:left="624" w:hanging="624"/>
      </w:pPr>
      <w:rPr>
        <w:rFonts w:ascii="Arial Bold" w:hAnsi="Arial Bold" w:hint="default"/>
        <w:b/>
        <w:bCs/>
        <w:i w:val="0"/>
        <w:iCs w:val="0"/>
        <w:color w:val="auto"/>
        <w:sz w:val="26"/>
        <w:szCs w:val="26"/>
      </w:rPr>
    </w:lvl>
    <w:lvl w:ilvl="1">
      <w:start w:val="1"/>
      <w:numFmt w:val="decimal"/>
      <w:pStyle w:val="ListstyleL2"/>
      <w:lvlText w:val="%1.%2"/>
      <w:lvlJc w:val="left"/>
      <w:pPr>
        <w:tabs>
          <w:tab w:val="num" w:pos="624"/>
        </w:tabs>
        <w:ind w:left="624" w:hanging="624"/>
      </w:pPr>
      <w:rPr>
        <w:rFonts w:ascii="Arial Bold" w:hAnsi="Arial Bold" w:hint="default"/>
        <w:b/>
        <w:bCs/>
        <w:i w:val="0"/>
        <w:iCs w:val="0"/>
        <w:color w:val="auto"/>
      </w:rPr>
    </w:lvl>
    <w:lvl w:ilvl="2">
      <w:start w:val="1"/>
      <w:numFmt w:val="none"/>
      <w:pStyle w:val="ListParagraph"/>
      <w:lvlText w:val=""/>
      <w:lvlJc w:val="left"/>
      <w:pPr>
        <w:tabs>
          <w:tab w:val="num" w:pos="624"/>
        </w:tabs>
        <w:ind w:left="624" w:firstLine="0"/>
      </w:pPr>
      <w:rPr>
        <w:rFonts w:ascii="Arial" w:hAnsi="Arial" w:hint="default"/>
        <w:b w:val="0"/>
        <w:bCs w:val="0"/>
        <w:i w:val="0"/>
        <w:iCs w:val="0"/>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nsid w:val="4B25023D"/>
    <w:multiLevelType w:val="multilevel"/>
    <w:tmpl w:val="3318AB5E"/>
    <w:styleLink w:val="SHJAgendaitems"/>
    <w:lvl w:ilvl="0">
      <w:start w:val="1"/>
      <w:numFmt w:val="decimal"/>
      <w:lvlText w:val="%1"/>
      <w:lvlJc w:val="left"/>
      <w:pPr>
        <w:tabs>
          <w:tab w:val="num" w:pos="624"/>
        </w:tabs>
        <w:ind w:left="624" w:hanging="624"/>
      </w:pPr>
      <w:rPr>
        <w:rFonts w:ascii="Arial Bold" w:hAnsi="Arial Bold" w:hint="default"/>
        <w:b/>
        <w:bCs/>
        <w:i w:val="0"/>
        <w:iCs w:val="0"/>
        <w:color w:val="auto"/>
        <w:sz w:val="26"/>
        <w:szCs w:val="26"/>
      </w:rPr>
    </w:lvl>
    <w:lvl w:ilvl="1">
      <w:start w:val="1"/>
      <w:numFmt w:val="decimal"/>
      <w:lvlText w:val="%1.%2"/>
      <w:lvlJc w:val="left"/>
      <w:pPr>
        <w:tabs>
          <w:tab w:val="num" w:pos="624"/>
        </w:tabs>
        <w:ind w:left="624" w:hanging="624"/>
      </w:pPr>
      <w:rPr>
        <w:rFonts w:ascii="Arial Bold" w:hAnsi="Arial Bold" w:hint="default"/>
        <w:b/>
        <w:bCs/>
        <w:i w:val="0"/>
        <w:iCs w:val="0"/>
        <w:color w:val="auto"/>
        <w:sz w:val="22"/>
      </w:rPr>
    </w:lvl>
    <w:lvl w:ilvl="2">
      <w:start w:val="1"/>
      <w:numFmt w:val="none"/>
      <w:lvlText w:val=""/>
      <w:lvlJc w:val="left"/>
      <w:pPr>
        <w:tabs>
          <w:tab w:val="num" w:pos="624"/>
        </w:tabs>
        <w:ind w:left="624" w:firstLine="0"/>
      </w:pPr>
      <w:rPr>
        <w:rFonts w:ascii="Arial" w:hAnsi="Arial" w:hint="default"/>
        <w:b w:val="0"/>
        <w:bCs w:val="0"/>
        <w:i w:val="0"/>
        <w:iCs w:val="0"/>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nsid w:val="52525686"/>
    <w:multiLevelType w:val="hybridMultilevel"/>
    <w:tmpl w:val="1F00AF58"/>
    <w:lvl w:ilvl="0" w:tplc="33A478D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1E6796B"/>
    <w:multiLevelType w:val="multilevel"/>
    <w:tmpl w:val="8214B3FC"/>
    <w:styleLink w:val="SHJAgendalist"/>
    <w:lvl w:ilvl="0">
      <w:start w:val="1"/>
      <w:numFmt w:val="decimal"/>
      <w:lvlText w:val="%1"/>
      <w:lvlJc w:val="left"/>
      <w:pPr>
        <w:tabs>
          <w:tab w:val="num" w:pos="624"/>
        </w:tabs>
        <w:ind w:left="624" w:hanging="624"/>
      </w:pPr>
      <w:rPr>
        <w:rFonts w:ascii="Arial Bold" w:hAnsi="Arial Bold" w:hint="default"/>
        <w:b/>
        <w:bCs/>
        <w:i w:val="0"/>
        <w:iCs w:val="0"/>
        <w:color w:val="auto"/>
        <w:sz w:val="26"/>
        <w:szCs w:val="26"/>
      </w:rPr>
    </w:lvl>
    <w:lvl w:ilvl="1">
      <w:start w:val="1"/>
      <w:numFmt w:val="decimal"/>
      <w:lvlText w:val="%1.%2"/>
      <w:lvlJc w:val="left"/>
      <w:pPr>
        <w:tabs>
          <w:tab w:val="num" w:pos="624"/>
        </w:tabs>
        <w:ind w:left="624" w:hanging="624"/>
      </w:pPr>
      <w:rPr>
        <w:rFonts w:ascii="Arial Bold" w:hAnsi="Arial Bold" w:hint="default"/>
        <w:b/>
        <w:bCs/>
        <w:i w:val="0"/>
        <w:iCs w:val="0"/>
        <w:color w:val="auto"/>
      </w:rPr>
    </w:lvl>
    <w:lvl w:ilvl="2">
      <w:start w:val="1"/>
      <w:numFmt w:val="decimal"/>
      <w:lvlText w:val="%1.%2.%3"/>
      <w:lvlJc w:val="left"/>
      <w:pPr>
        <w:tabs>
          <w:tab w:val="num" w:pos="624"/>
        </w:tabs>
        <w:ind w:left="624" w:hanging="624"/>
      </w:pPr>
      <w:rPr>
        <w:rFonts w:ascii="Arial" w:hAnsi="Arial" w:hint="default"/>
        <w:b w:val="0"/>
        <w:bCs w:val="0"/>
        <w:i w:val="0"/>
        <w:iCs w:val="0"/>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64BC58EF"/>
    <w:multiLevelType w:val="hybridMultilevel"/>
    <w:tmpl w:val="5B9859A6"/>
    <w:lvl w:ilvl="0" w:tplc="33A478D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9995E49"/>
    <w:multiLevelType w:val="hybridMultilevel"/>
    <w:tmpl w:val="DEAC1A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D702EDE"/>
    <w:multiLevelType w:val="hybridMultilevel"/>
    <w:tmpl w:val="54001A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07A4B66"/>
    <w:multiLevelType w:val="hybridMultilevel"/>
    <w:tmpl w:val="A668667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nsid w:val="76BC5993"/>
    <w:multiLevelType w:val="multilevel"/>
    <w:tmpl w:val="BC2A14B0"/>
    <w:name w:val="Numbered list L22"/>
    <w:numStyleLink w:val="CurrentList1"/>
  </w:abstractNum>
  <w:abstractNum w:abstractNumId="26">
    <w:nsid w:val="7B9D135B"/>
    <w:multiLevelType w:val="singleLevel"/>
    <w:tmpl w:val="EDAEF3DE"/>
    <w:lvl w:ilvl="0">
      <w:start w:val="1"/>
      <w:numFmt w:val="bullet"/>
      <w:pStyle w:val="L1bulletpoints"/>
      <w:lvlText w:val=""/>
      <w:lvlJc w:val="left"/>
      <w:pPr>
        <w:ind w:left="360" w:hanging="360"/>
      </w:pPr>
      <w:rPr>
        <w:rFonts w:ascii="Wingdings" w:hAnsi="Wingdings" w:hint="default"/>
        <w:color w:val="000000"/>
        <w:sz w:val="12"/>
      </w:rPr>
    </w:lvl>
  </w:abstractNum>
  <w:num w:numId="1">
    <w:abstractNumId w:val="15"/>
  </w:num>
  <w:num w:numId="2">
    <w:abstractNumId w:val="1"/>
  </w:num>
  <w:num w:numId="3">
    <w:abstractNumId w:val="3"/>
  </w:num>
  <w:num w:numId="4">
    <w:abstractNumId w:val="17"/>
  </w:num>
  <w:num w:numId="5">
    <w:abstractNumId w:val="20"/>
  </w:num>
  <w:num w:numId="6">
    <w:abstractNumId w:val="18"/>
  </w:num>
  <w:num w:numId="7">
    <w:abstractNumId w:val="12"/>
  </w:num>
  <w:num w:numId="8">
    <w:abstractNumId w:val="26"/>
  </w:num>
  <w:num w:numId="9">
    <w:abstractNumId w:val="16"/>
  </w:num>
  <w:num w:numId="10">
    <w:abstractNumId w:val="8"/>
  </w:num>
  <w:num w:numId="11">
    <w:abstractNumId w:val="9"/>
  </w:num>
  <w:num w:numId="12">
    <w:abstractNumId w:val="4"/>
  </w:num>
  <w:num w:numId="13">
    <w:abstractNumId w:val="23"/>
  </w:num>
  <w:num w:numId="14">
    <w:abstractNumId w:val="13"/>
  </w:num>
  <w:num w:numId="15">
    <w:abstractNumId w:val="21"/>
  </w:num>
  <w:num w:numId="16">
    <w:abstractNumId w:val="5"/>
  </w:num>
  <w:num w:numId="17">
    <w:abstractNumId w:val="2"/>
  </w:num>
  <w:num w:numId="18">
    <w:abstractNumId w:val="0"/>
  </w:num>
  <w:num w:numId="19">
    <w:abstractNumId w:val="19"/>
  </w:num>
  <w:num w:numId="20">
    <w:abstractNumId w:val="10"/>
  </w:num>
  <w:num w:numId="21">
    <w:abstractNumId w:val="24"/>
  </w:num>
  <w:num w:numId="22">
    <w:abstractNumId w:val="22"/>
  </w:num>
  <w:num w:numId="23">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B91"/>
    <w:rsid w:val="000000D4"/>
    <w:rsid w:val="00000699"/>
    <w:rsid w:val="00004F57"/>
    <w:rsid w:val="000055B6"/>
    <w:rsid w:val="00012471"/>
    <w:rsid w:val="00012E2F"/>
    <w:rsid w:val="0001312F"/>
    <w:rsid w:val="00013599"/>
    <w:rsid w:val="00013632"/>
    <w:rsid w:val="00015EA1"/>
    <w:rsid w:val="00016597"/>
    <w:rsid w:val="0001780F"/>
    <w:rsid w:val="00021292"/>
    <w:rsid w:val="00021378"/>
    <w:rsid w:val="00022BDA"/>
    <w:rsid w:val="00023093"/>
    <w:rsid w:val="000233DE"/>
    <w:rsid w:val="00024BF3"/>
    <w:rsid w:val="00026E80"/>
    <w:rsid w:val="0003033F"/>
    <w:rsid w:val="00030D32"/>
    <w:rsid w:val="00031C2A"/>
    <w:rsid w:val="00032907"/>
    <w:rsid w:val="00034B91"/>
    <w:rsid w:val="00040CF2"/>
    <w:rsid w:val="00040D83"/>
    <w:rsid w:val="00044459"/>
    <w:rsid w:val="00045C9C"/>
    <w:rsid w:val="000468B6"/>
    <w:rsid w:val="0005062B"/>
    <w:rsid w:val="00051401"/>
    <w:rsid w:val="00051C13"/>
    <w:rsid w:val="00054A03"/>
    <w:rsid w:val="0005527D"/>
    <w:rsid w:val="00057663"/>
    <w:rsid w:val="000578AB"/>
    <w:rsid w:val="00060238"/>
    <w:rsid w:val="0006135C"/>
    <w:rsid w:val="00061CB2"/>
    <w:rsid w:val="00062DE8"/>
    <w:rsid w:val="00065271"/>
    <w:rsid w:val="00065578"/>
    <w:rsid w:val="000703BC"/>
    <w:rsid w:val="000724D7"/>
    <w:rsid w:val="000732B6"/>
    <w:rsid w:val="00073AFE"/>
    <w:rsid w:val="00075992"/>
    <w:rsid w:val="00075ABE"/>
    <w:rsid w:val="00075B44"/>
    <w:rsid w:val="00076713"/>
    <w:rsid w:val="00080288"/>
    <w:rsid w:val="00081D6E"/>
    <w:rsid w:val="00082485"/>
    <w:rsid w:val="00082F7A"/>
    <w:rsid w:val="000830B2"/>
    <w:rsid w:val="000838A3"/>
    <w:rsid w:val="00084A80"/>
    <w:rsid w:val="000870F2"/>
    <w:rsid w:val="000874FF"/>
    <w:rsid w:val="000878C7"/>
    <w:rsid w:val="00090AC8"/>
    <w:rsid w:val="0009119E"/>
    <w:rsid w:val="00092120"/>
    <w:rsid w:val="000923D8"/>
    <w:rsid w:val="00095763"/>
    <w:rsid w:val="00096970"/>
    <w:rsid w:val="000A1724"/>
    <w:rsid w:val="000A1863"/>
    <w:rsid w:val="000A1D61"/>
    <w:rsid w:val="000A237D"/>
    <w:rsid w:val="000A250A"/>
    <w:rsid w:val="000A2553"/>
    <w:rsid w:val="000A2A33"/>
    <w:rsid w:val="000A2BEE"/>
    <w:rsid w:val="000A3BBE"/>
    <w:rsid w:val="000A6505"/>
    <w:rsid w:val="000A69CE"/>
    <w:rsid w:val="000B073A"/>
    <w:rsid w:val="000B3DBF"/>
    <w:rsid w:val="000B6087"/>
    <w:rsid w:val="000C028C"/>
    <w:rsid w:val="000C080C"/>
    <w:rsid w:val="000C0884"/>
    <w:rsid w:val="000C1676"/>
    <w:rsid w:val="000C1E52"/>
    <w:rsid w:val="000C2AEA"/>
    <w:rsid w:val="000C6CB8"/>
    <w:rsid w:val="000C6F09"/>
    <w:rsid w:val="000D093E"/>
    <w:rsid w:val="000D330C"/>
    <w:rsid w:val="000D39B2"/>
    <w:rsid w:val="000D43F1"/>
    <w:rsid w:val="000D4CA4"/>
    <w:rsid w:val="000D5C81"/>
    <w:rsid w:val="000D65FD"/>
    <w:rsid w:val="000E25E5"/>
    <w:rsid w:val="000E3DC3"/>
    <w:rsid w:val="000E4209"/>
    <w:rsid w:val="000E4992"/>
    <w:rsid w:val="000E4A58"/>
    <w:rsid w:val="000E4D75"/>
    <w:rsid w:val="000E5B0A"/>
    <w:rsid w:val="000E6486"/>
    <w:rsid w:val="000E6900"/>
    <w:rsid w:val="000F026B"/>
    <w:rsid w:val="000F09EE"/>
    <w:rsid w:val="000F18EA"/>
    <w:rsid w:val="000F24D2"/>
    <w:rsid w:val="000F27E1"/>
    <w:rsid w:val="000F2B84"/>
    <w:rsid w:val="000F2C05"/>
    <w:rsid w:val="000F2F94"/>
    <w:rsid w:val="000F4B60"/>
    <w:rsid w:val="000F6A0D"/>
    <w:rsid w:val="000F7646"/>
    <w:rsid w:val="000F7783"/>
    <w:rsid w:val="000F7F86"/>
    <w:rsid w:val="00102BB6"/>
    <w:rsid w:val="00102D96"/>
    <w:rsid w:val="001035DB"/>
    <w:rsid w:val="00103725"/>
    <w:rsid w:val="00105E0E"/>
    <w:rsid w:val="0011009B"/>
    <w:rsid w:val="001106C3"/>
    <w:rsid w:val="001130DF"/>
    <w:rsid w:val="001134F4"/>
    <w:rsid w:val="001154B5"/>
    <w:rsid w:val="00117D03"/>
    <w:rsid w:val="00120ACF"/>
    <w:rsid w:val="001218F8"/>
    <w:rsid w:val="00121E5D"/>
    <w:rsid w:val="00122175"/>
    <w:rsid w:val="00122F21"/>
    <w:rsid w:val="00123308"/>
    <w:rsid w:val="00123AD9"/>
    <w:rsid w:val="001240DD"/>
    <w:rsid w:val="00124DD2"/>
    <w:rsid w:val="00125D96"/>
    <w:rsid w:val="001308E8"/>
    <w:rsid w:val="00130964"/>
    <w:rsid w:val="00131525"/>
    <w:rsid w:val="00132921"/>
    <w:rsid w:val="00132BB6"/>
    <w:rsid w:val="00134AB2"/>
    <w:rsid w:val="00135E37"/>
    <w:rsid w:val="00136B4F"/>
    <w:rsid w:val="00137BA7"/>
    <w:rsid w:val="001403C7"/>
    <w:rsid w:val="00140698"/>
    <w:rsid w:val="0014094C"/>
    <w:rsid w:val="0014150A"/>
    <w:rsid w:val="00141539"/>
    <w:rsid w:val="001426CF"/>
    <w:rsid w:val="001453B3"/>
    <w:rsid w:val="00146619"/>
    <w:rsid w:val="00146E37"/>
    <w:rsid w:val="00147D10"/>
    <w:rsid w:val="00150360"/>
    <w:rsid w:val="00150F4B"/>
    <w:rsid w:val="00150F99"/>
    <w:rsid w:val="001523D6"/>
    <w:rsid w:val="0015319A"/>
    <w:rsid w:val="00154410"/>
    <w:rsid w:val="001578D0"/>
    <w:rsid w:val="00163F74"/>
    <w:rsid w:val="001652EE"/>
    <w:rsid w:val="00165B48"/>
    <w:rsid w:val="00167BE8"/>
    <w:rsid w:val="001708B0"/>
    <w:rsid w:val="0017194C"/>
    <w:rsid w:val="001723CE"/>
    <w:rsid w:val="00174FC3"/>
    <w:rsid w:val="001758F2"/>
    <w:rsid w:val="00176544"/>
    <w:rsid w:val="00176F80"/>
    <w:rsid w:val="00177138"/>
    <w:rsid w:val="001805E7"/>
    <w:rsid w:val="00181882"/>
    <w:rsid w:val="00182980"/>
    <w:rsid w:val="00183340"/>
    <w:rsid w:val="00184C5B"/>
    <w:rsid w:val="00184D0C"/>
    <w:rsid w:val="00185621"/>
    <w:rsid w:val="00187CF7"/>
    <w:rsid w:val="00187EDD"/>
    <w:rsid w:val="00191BB1"/>
    <w:rsid w:val="00192172"/>
    <w:rsid w:val="0019254B"/>
    <w:rsid w:val="00192B6D"/>
    <w:rsid w:val="00194539"/>
    <w:rsid w:val="00197C4A"/>
    <w:rsid w:val="001A1615"/>
    <w:rsid w:val="001A286B"/>
    <w:rsid w:val="001A36B4"/>
    <w:rsid w:val="001B0202"/>
    <w:rsid w:val="001B10C1"/>
    <w:rsid w:val="001B1A91"/>
    <w:rsid w:val="001B2398"/>
    <w:rsid w:val="001B2A4A"/>
    <w:rsid w:val="001B303F"/>
    <w:rsid w:val="001B3994"/>
    <w:rsid w:val="001B4803"/>
    <w:rsid w:val="001B5C8D"/>
    <w:rsid w:val="001B5DB2"/>
    <w:rsid w:val="001B5F3D"/>
    <w:rsid w:val="001B5FE6"/>
    <w:rsid w:val="001B6FB1"/>
    <w:rsid w:val="001C05DA"/>
    <w:rsid w:val="001C25D5"/>
    <w:rsid w:val="001C3063"/>
    <w:rsid w:val="001C3EBF"/>
    <w:rsid w:val="001C4EC0"/>
    <w:rsid w:val="001C528F"/>
    <w:rsid w:val="001C6ACD"/>
    <w:rsid w:val="001C7FDA"/>
    <w:rsid w:val="001D0308"/>
    <w:rsid w:val="001D057A"/>
    <w:rsid w:val="001D1FE0"/>
    <w:rsid w:val="001D2BD9"/>
    <w:rsid w:val="001D2F62"/>
    <w:rsid w:val="001D5549"/>
    <w:rsid w:val="001D7BCA"/>
    <w:rsid w:val="001E3A05"/>
    <w:rsid w:val="001E4EAF"/>
    <w:rsid w:val="001E5245"/>
    <w:rsid w:val="001E6208"/>
    <w:rsid w:val="001E683E"/>
    <w:rsid w:val="001F00E2"/>
    <w:rsid w:val="001F315A"/>
    <w:rsid w:val="001F399A"/>
    <w:rsid w:val="001F3A96"/>
    <w:rsid w:val="001F4550"/>
    <w:rsid w:val="001F703B"/>
    <w:rsid w:val="001F797B"/>
    <w:rsid w:val="00200A33"/>
    <w:rsid w:val="00201157"/>
    <w:rsid w:val="0020126E"/>
    <w:rsid w:val="0020681A"/>
    <w:rsid w:val="002079F4"/>
    <w:rsid w:val="002110E7"/>
    <w:rsid w:val="0021165C"/>
    <w:rsid w:val="00211B8A"/>
    <w:rsid w:val="00213B13"/>
    <w:rsid w:val="00216B22"/>
    <w:rsid w:val="00217B83"/>
    <w:rsid w:val="00217F55"/>
    <w:rsid w:val="0022000D"/>
    <w:rsid w:val="00220180"/>
    <w:rsid w:val="002205E3"/>
    <w:rsid w:val="002212D1"/>
    <w:rsid w:val="002212FF"/>
    <w:rsid w:val="00221843"/>
    <w:rsid w:val="00223F78"/>
    <w:rsid w:val="002250C4"/>
    <w:rsid w:val="00226921"/>
    <w:rsid w:val="00227CFF"/>
    <w:rsid w:val="00227DD7"/>
    <w:rsid w:val="00230262"/>
    <w:rsid w:val="0023226D"/>
    <w:rsid w:val="002341E4"/>
    <w:rsid w:val="00235FEE"/>
    <w:rsid w:val="002411B4"/>
    <w:rsid w:val="00241B59"/>
    <w:rsid w:val="00243D3D"/>
    <w:rsid w:val="00243E8A"/>
    <w:rsid w:val="002455F8"/>
    <w:rsid w:val="002458D3"/>
    <w:rsid w:val="00246996"/>
    <w:rsid w:val="002477D2"/>
    <w:rsid w:val="00251664"/>
    <w:rsid w:val="00251AE3"/>
    <w:rsid w:val="00252734"/>
    <w:rsid w:val="00252E07"/>
    <w:rsid w:val="00256ABC"/>
    <w:rsid w:val="002607D0"/>
    <w:rsid w:val="00260E43"/>
    <w:rsid w:val="0026219A"/>
    <w:rsid w:val="002623D9"/>
    <w:rsid w:val="0026320E"/>
    <w:rsid w:val="00263321"/>
    <w:rsid w:val="00263588"/>
    <w:rsid w:val="00263F45"/>
    <w:rsid w:val="00263FE2"/>
    <w:rsid w:val="002658AC"/>
    <w:rsid w:val="00271463"/>
    <w:rsid w:val="002722EF"/>
    <w:rsid w:val="00272455"/>
    <w:rsid w:val="00273F93"/>
    <w:rsid w:val="002747AD"/>
    <w:rsid w:val="002747B6"/>
    <w:rsid w:val="00275A5D"/>
    <w:rsid w:val="002760F5"/>
    <w:rsid w:val="002775D7"/>
    <w:rsid w:val="00280338"/>
    <w:rsid w:val="00281105"/>
    <w:rsid w:val="00281112"/>
    <w:rsid w:val="002820AE"/>
    <w:rsid w:val="002837DB"/>
    <w:rsid w:val="00283E6B"/>
    <w:rsid w:val="002866C6"/>
    <w:rsid w:val="00287784"/>
    <w:rsid w:val="00291599"/>
    <w:rsid w:val="002921FB"/>
    <w:rsid w:val="00295137"/>
    <w:rsid w:val="00295AA2"/>
    <w:rsid w:val="00295E11"/>
    <w:rsid w:val="002A045D"/>
    <w:rsid w:val="002A0705"/>
    <w:rsid w:val="002A0ACB"/>
    <w:rsid w:val="002A2A2F"/>
    <w:rsid w:val="002A4DDD"/>
    <w:rsid w:val="002A5C81"/>
    <w:rsid w:val="002A6B47"/>
    <w:rsid w:val="002A769E"/>
    <w:rsid w:val="002A77E8"/>
    <w:rsid w:val="002A7DB6"/>
    <w:rsid w:val="002B11C8"/>
    <w:rsid w:val="002B1FFC"/>
    <w:rsid w:val="002B265E"/>
    <w:rsid w:val="002B2E26"/>
    <w:rsid w:val="002B3421"/>
    <w:rsid w:val="002B46F9"/>
    <w:rsid w:val="002B5B4B"/>
    <w:rsid w:val="002B69A6"/>
    <w:rsid w:val="002B7ECC"/>
    <w:rsid w:val="002C27A4"/>
    <w:rsid w:val="002C31BD"/>
    <w:rsid w:val="002C4675"/>
    <w:rsid w:val="002C5747"/>
    <w:rsid w:val="002C6064"/>
    <w:rsid w:val="002C77AC"/>
    <w:rsid w:val="002D0297"/>
    <w:rsid w:val="002D3B96"/>
    <w:rsid w:val="002D47BE"/>
    <w:rsid w:val="002D4A03"/>
    <w:rsid w:val="002D5B18"/>
    <w:rsid w:val="002D6490"/>
    <w:rsid w:val="002E0661"/>
    <w:rsid w:val="002E2230"/>
    <w:rsid w:val="002E3483"/>
    <w:rsid w:val="002E3A00"/>
    <w:rsid w:val="002E3BC5"/>
    <w:rsid w:val="002E7147"/>
    <w:rsid w:val="002E7723"/>
    <w:rsid w:val="002E7BA2"/>
    <w:rsid w:val="002F18EA"/>
    <w:rsid w:val="002F2A5B"/>
    <w:rsid w:val="002F363F"/>
    <w:rsid w:val="002F3994"/>
    <w:rsid w:val="002F54FC"/>
    <w:rsid w:val="002F6F1A"/>
    <w:rsid w:val="002F7D0B"/>
    <w:rsid w:val="00302B2C"/>
    <w:rsid w:val="00302E93"/>
    <w:rsid w:val="00302EDF"/>
    <w:rsid w:val="00303E36"/>
    <w:rsid w:val="003045CC"/>
    <w:rsid w:val="00305407"/>
    <w:rsid w:val="00305972"/>
    <w:rsid w:val="00305C21"/>
    <w:rsid w:val="00306907"/>
    <w:rsid w:val="0030764A"/>
    <w:rsid w:val="0030794B"/>
    <w:rsid w:val="0031398F"/>
    <w:rsid w:val="003139CD"/>
    <w:rsid w:val="00313FA6"/>
    <w:rsid w:val="00315535"/>
    <w:rsid w:val="00315954"/>
    <w:rsid w:val="003161F7"/>
    <w:rsid w:val="00316503"/>
    <w:rsid w:val="0032004E"/>
    <w:rsid w:val="003208BA"/>
    <w:rsid w:val="00321041"/>
    <w:rsid w:val="003214B1"/>
    <w:rsid w:val="00321C89"/>
    <w:rsid w:val="00321F2F"/>
    <w:rsid w:val="0032347E"/>
    <w:rsid w:val="00326688"/>
    <w:rsid w:val="00326FC5"/>
    <w:rsid w:val="003272DF"/>
    <w:rsid w:val="00327E56"/>
    <w:rsid w:val="003304B7"/>
    <w:rsid w:val="00332189"/>
    <w:rsid w:val="003322F2"/>
    <w:rsid w:val="00332A84"/>
    <w:rsid w:val="00334130"/>
    <w:rsid w:val="003357C9"/>
    <w:rsid w:val="00335937"/>
    <w:rsid w:val="00336542"/>
    <w:rsid w:val="00337F37"/>
    <w:rsid w:val="0034201E"/>
    <w:rsid w:val="00342E13"/>
    <w:rsid w:val="0034471B"/>
    <w:rsid w:val="00344F4D"/>
    <w:rsid w:val="00346BBD"/>
    <w:rsid w:val="00347F27"/>
    <w:rsid w:val="00351CC8"/>
    <w:rsid w:val="00351CDE"/>
    <w:rsid w:val="003521FA"/>
    <w:rsid w:val="003528CC"/>
    <w:rsid w:val="00352CE4"/>
    <w:rsid w:val="00353529"/>
    <w:rsid w:val="0035468A"/>
    <w:rsid w:val="0035550B"/>
    <w:rsid w:val="00355905"/>
    <w:rsid w:val="00355F9D"/>
    <w:rsid w:val="00355FA7"/>
    <w:rsid w:val="00356AAA"/>
    <w:rsid w:val="00360899"/>
    <w:rsid w:val="00361A7A"/>
    <w:rsid w:val="00361A9E"/>
    <w:rsid w:val="0036399A"/>
    <w:rsid w:val="00363D5A"/>
    <w:rsid w:val="0036452D"/>
    <w:rsid w:val="00366C29"/>
    <w:rsid w:val="0036767F"/>
    <w:rsid w:val="00370F27"/>
    <w:rsid w:val="00371585"/>
    <w:rsid w:val="00371892"/>
    <w:rsid w:val="00371D8F"/>
    <w:rsid w:val="00372142"/>
    <w:rsid w:val="003808D5"/>
    <w:rsid w:val="003815D4"/>
    <w:rsid w:val="00383248"/>
    <w:rsid w:val="00383B12"/>
    <w:rsid w:val="003851AD"/>
    <w:rsid w:val="00386464"/>
    <w:rsid w:val="003864FC"/>
    <w:rsid w:val="00386733"/>
    <w:rsid w:val="00387E5F"/>
    <w:rsid w:val="0039071D"/>
    <w:rsid w:val="00390A14"/>
    <w:rsid w:val="00392833"/>
    <w:rsid w:val="00393463"/>
    <w:rsid w:val="003936FD"/>
    <w:rsid w:val="00393A0E"/>
    <w:rsid w:val="003945D5"/>
    <w:rsid w:val="00395D95"/>
    <w:rsid w:val="00397B0F"/>
    <w:rsid w:val="003A1E25"/>
    <w:rsid w:val="003A3691"/>
    <w:rsid w:val="003A3F0A"/>
    <w:rsid w:val="003A5A64"/>
    <w:rsid w:val="003A5C78"/>
    <w:rsid w:val="003B32A7"/>
    <w:rsid w:val="003B38DB"/>
    <w:rsid w:val="003B5046"/>
    <w:rsid w:val="003B5A93"/>
    <w:rsid w:val="003B66DD"/>
    <w:rsid w:val="003B7BF2"/>
    <w:rsid w:val="003C12A9"/>
    <w:rsid w:val="003C1FC0"/>
    <w:rsid w:val="003C27EA"/>
    <w:rsid w:val="003C4AF9"/>
    <w:rsid w:val="003C4DE8"/>
    <w:rsid w:val="003C611D"/>
    <w:rsid w:val="003C7A45"/>
    <w:rsid w:val="003D01DC"/>
    <w:rsid w:val="003D17EF"/>
    <w:rsid w:val="003D2A48"/>
    <w:rsid w:val="003D2BC8"/>
    <w:rsid w:val="003D434D"/>
    <w:rsid w:val="003D45C8"/>
    <w:rsid w:val="003D4B2A"/>
    <w:rsid w:val="003D4DDB"/>
    <w:rsid w:val="003D6C32"/>
    <w:rsid w:val="003E116E"/>
    <w:rsid w:val="003E31C2"/>
    <w:rsid w:val="003E3847"/>
    <w:rsid w:val="003E5303"/>
    <w:rsid w:val="003E53FD"/>
    <w:rsid w:val="003E6247"/>
    <w:rsid w:val="003E661A"/>
    <w:rsid w:val="003E66E3"/>
    <w:rsid w:val="003E79E7"/>
    <w:rsid w:val="003F1043"/>
    <w:rsid w:val="003F3F0A"/>
    <w:rsid w:val="003F5B4E"/>
    <w:rsid w:val="00400ADD"/>
    <w:rsid w:val="0040570A"/>
    <w:rsid w:val="004101FF"/>
    <w:rsid w:val="0041034B"/>
    <w:rsid w:val="00415BE6"/>
    <w:rsid w:val="00415D2B"/>
    <w:rsid w:val="004167C9"/>
    <w:rsid w:val="00420557"/>
    <w:rsid w:val="00420796"/>
    <w:rsid w:val="00422901"/>
    <w:rsid w:val="004259A6"/>
    <w:rsid w:val="00426BCB"/>
    <w:rsid w:val="004329BA"/>
    <w:rsid w:val="0043358A"/>
    <w:rsid w:val="00433EFD"/>
    <w:rsid w:val="00434296"/>
    <w:rsid w:val="00435B1A"/>
    <w:rsid w:val="004368B7"/>
    <w:rsid w:val="00436C1B"/>
    <w:rsid w:val="00437382"/>
    <w:rsid w:val="004406A1"/>
    <w:rsid w:val="00440DD0"/>
    <w:rsid w:val="0044552B"/>
    <w:rsid w:val="00445689"/>
    <w:rsid w:val="00446236"/>
    <w:rsid w:val="00447C6A"/>
    <w:rsid w:val="00450116"/>
    <w:rsid w:val="00453096"/>
    <w:rsid w:val="0045347E"/>
    <w:rsid w:val="00453939"/>
    <w:rsid w:val="00453F2B"/>
    <w:rsid w:val="00455360"/>
    <w:rsid w:val="00455D7B"/>
    <w:rsid w:val="004570EC"/>
    <w:rsid w:val="00460C04"/>
    <w:rsid w:val="004621B4"/>
    <w:rsid w:val="004644A4"/>
    <w:rsid w:val="004652E8"/>
    <w:rsid w:val="00465AD5"/>
    <w:rsid w:val="00465AF6"/>
    <w:rsid w:val="00467DD6"/>
    <w:rsid w:val="0047114D"/>
    <w:rsid w:val="004719D7"/>
    <w:rsid w:val="00472575"/>
    <w:rsid w:val="00473912"/>
    <w:rsid w:val="00474075"/>
    <w:rsid w:val="004748E3"/>
    <w:rsid w:val="00475C1E"/>
    <w:rsid w:val="0047645D"/>
    <w:rsid w:val="004767B1"/>
    <w:rsid w:val="0047755C"/>
    <w:rsid w:val="00477FF0"/>
    <w:rsid w:val="00480F9A"/>
    <w:rsid w:val="00481308"/>
    <w:rsid w:val="00481A2F"/>
    <w:rsid w:val="00482687"/>
    <w:rsid w:val="0048277C"/>
    <w:rsid w:val="00484AF0"/>
    <w:rsid w:val="00485F21"/>
    <w:rsid w:val="004863E4"/>
    <w:rsid w:val="00493FA3"/>
    <w:rsid w:val="00495321"/>
    <w:rsid w:val="00495FD3"/>
    <w:rsid w:val="00496CE6"/>
    <w:rsid w:val="00497168"/>
    <w:rsid w:val="00497EE6"/>
    <w:rsid w:val="004A1C54"/>
    <w:rsid w:val="004A1F4E"/>
    <w:rsid w:val="004A2448"/>
    <w:rsid w:val="004A3D18"/>
    <w:rsid w:val="004A4C10"/>
    <w:rsid w:val="004A4CD2"/>
    <w:rsid w:val="004A4E81"/>
    <w:rsid w:val="004A59DE"/>
    <w:rsid w:val="004A6141"/>
    <w:rsid w:val="004A61DC"/>
    <w:rsid w:val="004A745A"/>
    <w:rsid w:val="004A767E"/>
    <w:rsid w:val="004A78B8"/>
    <w:rsid w:val="004A7CD9"/>
    <w:rsid w:val="004B0185"/>
    <w:rsid w:val="004B52BD"/>
    <w:rsid w:val="004B6611"/>
    <w:rsid w:val="004B7366"/>
    <w:rsid w:val="004C0910"/>
    <w:rsid w:val="004C30A8"/>
    <w:rsid w:val="004C5F3E"/>
    <w:rsid w:val="004C6685"/>
    <w:rsid w:val="004C6E64"/>
    <w:rsid w:val="004C70B7"/>
    <w:rsid w:val="004C7123"/>
    <w:rsid w:val="004D092C"/>
    <w:rsid w:val="004D513F"/>
    <w:rsid w:val="004D514C"/>
    <w:rsid w:val="004D5E7D"/>
    <w:rsid w:val="004D5FC3"/>
    <w:rsid w:val="004E0064"/>
    <w:rsid w:val="004E03D3"/>
    <w:rsid w:val="004E0903"/>
    <w:rsid w:val="004E1CC2"/>
    <w:rsid w:val="004E3253"/>
    <w:rsid w:val="004E4C1D"/>
    <w:rsid w:val="004E6F27"/>
    <w:rsid w:val="004F00D9"/>
    <w:rsid w:val="004F08C9"/>
    <w:rsid w:val="004F1EE4"/>
    <w:rsid w:val="004F5429"/>
    <w:rsid w:val="004F5B69"/>
    <w:rsid w:val="004F5D28"/>
    <w:rsid w:val="004F65CC"/>
    <w:rsid w:val="004F7362"/>
    <w:rsid w:val="004F739C"/>
    <w:rsid w:val="004F7AD4"/>
    <w:rsid w:val="0050018B"/>
    <w:rsid w:val="0050137F"/>
    <w:rsid w:val="0050373F"/>
    <w:rsid w:val="00503DA7"/>
    <w:rsid w:val="00503FDF"/>
    <w:rsid w:val="0050505C"/>
    <w:rsid w:val="00506CCD"/>
    <w:rsid w:val="0051086C"/>
    <w:rsid w:val="005114A9"/>
    <w:rsid w:val="0051486E"/>
    <w:rsid w:val="00515C2B"/>
    <w:rsid w:val="005179F4"/>
    <w:rsid w:val="005204FE"/>
    <w:rsid w:val="00521AD8"/>
    <w:rsid w:val="00522D7B"/>
    <w:rsid w:val="00523AE0"/>
    <w:rsid w:val="00523F26"/>
    <w:rsid w:val="00525AFA"/>
    <w:rsid w:val="005271E4"/>
    <w:rsid w:val="00527794"/>
    <w:rsid w:val="00530BA1"/>
    <w:rsid w:val="00531CD6"/>
    <w:rsid w:val="00532342"/>
    <w:rsid w:val="00535770"/>
    <w:rsid w:val="0053656B"/>
    <w:rsid w:val="00536ED6"/>
    <w:rsid w:val="00537301"/>
    <w:rsid w:val="00537CA0"/>
    <w:rsid w:val="00537DB5"/>
    <w:rsid w:val="00541920"/>
    <w:rsid w:val="00541DDC"/>
    <w:rsid w:val="00543DEA"/>
    <w:rsid w:val="00546C6C"/>
    <w:rsid w:val="0055149B"/>
    <w:rsid w:val="005515F9"/>
    <w:rsid w:val="00551917"/>
    <w:rsid w:val="00555F4B"/>
    <w:rsid w:val="005569F9"/>
    <w:rsid w:val="005613CC"/>
    <w:rsid w:val="00561D0B"/>
    <w:rsid w:val="005625A9"/>
    <w:rsid w:val="00562EE1"/>
    <w:rsid w:val="00565AB5"/>
    <w:rsid w:val="00566024"/>
    <w:rsid w:val="00567488"/>
    <w:rsid w:val="00570FD3"/>
    <w:rsid w:val="005727F3"/>
    <w:rsid w:val="00572F58"/>
    <w:rsid w:val="0057541E"/>
    <w:rsid w:val="00575508"/>
    <w:rsid w:val="00575F2B"/>
    <w:rsid w:val="00580765"/>
    <w:rsid w:val="00580E1D"/>
    <w:rsid w:val="0058117A"/>
    <w:rsid w:val="00590DEF"/>
    <w:rsid w:val="005916A3"/>
    <w:rsid w:val="00594CD5"/>
    <w:rsid w:val="00596684"/>
    <w:rsid w:val="00596DB8"/>
    <w:rsid w:val="0059756E"/>
    <w:rsid w:val="005978C6"/>
    <w:rsid w:val="005A0FE0"/>
    <w:rsid w:val="005A1C0C"/>
    <w:rsid w:val="005A2563"/>
    <w:rsid w:val="005A368D"/>
    <w:rsid w:val="005A38A5"/>
    <w:rsid w:val="005A3933"/>
    <w:rsid w:val="005A44B0"/>
    <w:rsid w:val="005A69AE"/>
    <w:rsid w:val="005A6AE3"/>
    <w:rsid w:val="005B04E3"/>
    <w:rsid w:val="005B16D6"/>
    <w:rsid w:val="005B1B1C"/>
    <w:rsid w:val="005B4885"/>
    <w:rsid w:val="005B502E"/>
    <w:rsid w:val="005B52F6"/>
    <w:rsid w:val="005B538E"/>
    <w:rsid w:val="005C28DB"/>
    <w:rsid w:val="005C2E12"/>
    <w:rsid w:val="005C3348"/>
    <w:rsid w:val="005C3C11"/>
    <w:rsid w:val="005C6324"/>
    <w:rsid w:val="005C69E2"/>
    <w:rsid w:val="005C713A"/>
    <w:rsid w:val="005C7736"/>
    <w:rsid w:val="005D0968"/>
    <w:rsid w:val="005D168F"/>
    <w:rsid w:val="005D1BDC"/>
    <w:rsid w:val="005D3079"/>
    <w:rsid w:val="005D410A"/>
    <w:rsid w:val="005D5A70"/>
    <w:rsid w:val="005D71DC"/>
    <w:rsid w:val="005E08EE"/>
    <w:rsid w:val="005E3DC3"/>
    <w:rsid w:val="005E4A1E"/>
    <w:rsid w:val="005E5C98"/>
    <w:rsid w:val="005E60AA"/>
    <w:rsid w:val="005E692F"/>
    <w:rsid w:val="005E7556"/>
    <w:rsid w:val="005F029F"/>
    <w:rsid w:val="005F05D1"/>
    <w:rsid w:val="005F0B24"/>
    <w:rsid w:val="005F0FBA"/>
    <w:rsid w:val="005F11F7"/>
    <w:rsid w:val="005F243D"/>
    <w:rsid w:val="005F5DA0"/>
    <w:rsid w:val="00600485"/>
    <w:rsid w:val="00602810"/>
    <w:rsid w:val="00602930"/>
    <w:rsid w:val="00602B8D"/>
    <w:rsid w:val="0060357B"/>
    <w:rsid w:val="006035E8"/>
    <w:rsid w:val="006035F8"/>
    <w:rsid w:val="00603DC0"/>
    <w:rsid w:val="00607438"/>
    <w:rsid w:val="00610024"/>
    <w:rsid w:val="00610461"/>
    <w:rsid w:val="00610844"/>
    <w:rsid w:val="00610C7D"/>
    <w:rsid w:val="00612406"/>
    <w:rsid w:val="00613999"/>
    <w:rsid w:val="006144CD"/>
    <w:rsid w:val="006161C7"/>
    <w:rsid w:val="00616DA9"/>
    <w:rsid w:val="00617281"/>
    <w:rsid w:val="00617343"/>
    <w:rsid w:val="00617F90"/>
    <w:rsid w:val="0062150D"/>
    <w:rsid w:val="00621DF3"/>
    <w:rsid w:val="006256DD"/>
    <w:rsid w:val="00625B21"/>
    <w:rsid w:val="00626285"/>
    <w:rsid w:val="00627652"/>
    <w:rsid w:val="006279C9"/>
    <w:rsid w:val="006329BB"/>
    <w:rsid w:val="00632DDC"/>
    <w:rsid w:val="00634528"/>
    <w:rsid w:val="00635BFD"/>
    <w:rsid w:val="00635C95"/>
    <w:rsid w:val="00640114"/>
    <w:rsid w:val="00640F98"/>
    <w:rsid w:val="00642B44"/>
    <w:rsid w:val="006459A8"/>
    <w:rsid w:val="00645FA2"/>
    <w:rsid w:val="00647B21"/>
    <w:rsid w:val="0065023F"/>
    <w:rsid w:val="00650DF9"/>
    <w:rsid w:val="006569DC"/>
    <w:rsid w:val="00661513"/>
    <w:rsid w:val="0066673F"/>
    <w:rsid w:val="00666A21"/>
    <w:rsid w:val="0066710D"/>
    <w:rsid w:val="00672408"/>
    <w:rsid w:val="006740D0"/>
    <w:rsid w:val="006744D3"/>
    <w:rsid w:val="006744FC"/>
    <w:rsid w:val="00680D65"/>
    <w:rsid w:val="00681872"/>
    <w:rsid w:val="0068195A"/>
    <w:rsid w:val="0068377A"/>
    <w:rsid w:val="00683C84"/>
    <w:rsid w:val="00683F30"/>
    <w:rsid w:val="00684AB9"/>
    <w:rsid w:val="00685FD5"/>
    <w:rsid w:val="0068648C"/>
    <w:rsid w:val="00686AB4"/>
    <w:rsid w:val="00686B94"/>
    <w:rsid w:val="00687638"/>
    <w:rsid w:val="006927E5"/>
    <w:rsid w:val="00692964"/>
    <w:rsid w:val="006930DE"/>
    <w:rsid w:val="00694A05"/>
    <w:rsid w:val="00696D99"/>
    <w:rsid w:val="006B178D"/>
    <w:rsid w:val="006B526D"/>
    <w:rsid w:val="006B554A"/>
    <w:rsid w:val="006B5F32"/>
    <w:rsid w:val="006B7F5F"/>
    <w:rsid w:val="006C1E59"/>
    <w:rsid w:val="006C2164"/>
    <w:rsid w:val="006C6BFD"/>
    <w:rsid w:val="006C6D86"/>
    <w:rsid w:val="006C7D32"/>
    <w:rsid w:val="006D0AD6"/>
    <w:rsid w:val="006D0DAF"/>
    <w:rsid w:val="006D2938"/>
    <w:rsid w:val="006D3B33"/>
    <w:rsid w:val="006D5449"/>
    <w:rsid w:val="006D56A8"/>
    <w:rsid w:val="006D59BB"/>
    <w:rsid w:val="006D6126"/>
    <w:rsid w:val="006E1186"/>
    <w:rsid w:val="006E1B56"/>
    <w:rsid w:val="006E2373"/>
    <w:rsid w:val="006E3293"/>
    <w:rsid w:val="006E3CF3"/>
    <w:rsid w:val="006E5E71"/>
    <w:rsid w:val="006E6B6D"/>
    <w:rsid w:val="006F0877"/>
    <w:rsid w:val="006F1D9A"/>
    <w:rsid w:val="006F476A"/>
    <w:rsid w:val="006F490F"/>
    <w:rsid w:val="006F5AB1"/>
    <w:rsid w:val="006F5AC4"/>
    <w:rsid w:val="006F5FA4"/>
    <w:rsid w:val="006F6A8E"/>
    <w:rsid w:val="0070039C"/>
    <w:rsid w:val="0070047A"/>
    <w:rsid w:val="007005F8"/>
    <w:rsid w:val="00701B51"/>
    <w:rsid w:val="00702562"/>
    <w:rsid w:val="00705313"/>
    <w:rsid w:val="00706490"/>
    <w:rsid w:val="00706ECA"/>
    <w:rsid w:val="007118A4"/>
    <w:rsid w:val="00711DC1"/>
    <w:rsid w:val="00712AC8"/>
    <w:rsid w:val="0071311D"/>
    <w:rsid w:val="00713688"/>
    <w:rsid w:val="00713DE6"/>
    <w:rsid w:val="0071514C"/>
    <w:rsid w:val="00715AFB"/>
    <w:rsid w:val="00717D4A"/>
    <w:rsid w:val="00722A0F"/>
    <w:rsid w:val="00722A61"/>
    <w:rsid w:val="00722B40"/>
    <w:rsid w:val="007249C6"/>
    <w:rsid w:val="007259AF"/>
    <w:rsid w:val="00725A1F"/>
    <w:rsid w:val="0072705B"/>
    <w:rsid w:val="00735B54"/>
    <w:rsid w:val="0073675A"/>
    <w:rsid w:val="00737B50"/>
    <w:rsid w:val="00737C59"/>
    <w:rsid w:val="00737D06"/>
    <w:rsid w:val="007406DC"/>
    <w:rsid w:val="00740AEA"/>
    <w:rsid w:val="007417A0"/>
    <w:rsid w:val="00743CA5"/>
    <w:rsid w:val="00745A96"/>
    <w:rsid w:val="00745CD7"/>
    <w:rsid w:val="007470A3"/>
    <w:rsid w:val="00747D09"/>
    <w:rsid w:val="00750C52"/>
    <w:rsid w:val="00750F73"/>
    <w:rsid w:val="00753BF3"/>
    <w:rsid w:val="00754F4C"/>
    <w:rsid w:val="007554DC"/>
    <w:rsid w:val="00756616"/>
    <w:rsid w:val="00757486"/>
    <w:rsid w:val="007574B5"/>
    <w:rsid w:val="00760958"/>
    <w:rsid w:val="0076478C"/>
    <w:rsid w:val="0076546A"/>
    <w:rsid w:val="00765520"/>
    <w:rsid w:val="00766F45"/>
    <w:rsid w:val="00770E44"/>
    <w:rsid w:val="007767A0"/>
    <w:rsid w:val="0077787F"/>
    <w:rsid w:val="007801E3"/>
    <w:rsid w:val="00780AF9"/>
    <w:rsid w:val="007819C9"/>
    <w:rsid w:val="00781ECD"/>
    <w:rsid w:val="0078549C"/>
    <w:rsid w:val="00787241"/>
    <w:rsid w:val="007877EE"/>
    <w:rsid w:val="00790501"/>
    <w:rsid w:val="00791FAD"/>
    <w:rsid w:val="00792628"/>
    <w:rsid w:val="00795EF2"/>
    <w:rsid w:val="00796492"/>
    <w:rsid w:val="00796E0E"/>
    <w:rsid w:val="00796E3E"/>
    <w:rsid w:val="007A16E1"/>
    <w:rsid w:val="007A179B"/>
    <w:rsid w:val="007A1EB3"/>
    <w:rsid w:val="007A22A4"/>
    <w:rsid w:val="007A25B7"/>
    <w:rsid w:val="007A2F29"/>
    <w:rsid w:val="007A3EEC"/>
    <w:rsid w:val="007A4476"/>
    <w:rsid w:val="007A450C"/>
    <w:rsid w:val="007A5BA9"/>
    <w:rsid w:val="007A6465"/>
    <w:rsid w:val="007A7182"/>
    <w:rsid w:val="007A74F2"/>
    <w:rsid w:val="007A79C9"/>
    <w:rsid w:val="007B1F11"/>
    <w:rsid w:val="007B2827"/>
    <w:rsid w:val="007B2D96"/>
    <w:rsid w:val="007B408A"/>
    <w:rsid w:val="007B491D"/>
    <w:rsid w:val="007B5D6E"/>
    <w:rsid w:val="007B63DF"/>
    <w:rsid w:val="007B76A5"/>
    <w:rsid w:val="007C0CD4"/>
    <w:rsid w:val="007C0F34"/>
    <w:rsid w:val="007C59C7"/>
    <w:rsid w:val="007C7A9A"/>
    <w:rsid w:val="007D3A3B"/>
    <w:rsid w:val="007D4FBB"/>
    <w:rsid w:val="007E02E4"/>
    <w:rsid w:val="007E15BF"/>
    <w:rsid w:val="007E169F"/>
    <w:rsid w:val="007E20EF"/>
    <w:rsid w:val="007E4656"/>
    <w:rsid w:val="007E4B25"/>
    <w:rsid w:val="007E4DF2"/>
    <w:rsid w:val="007E4F46"/>
    <w:rsid w:val="007E60C2"/>
    <w:rsid w:val="007E73BE"/>
    <w:rsid w:val="007F056E"/>
    <w:rsid w:val="007F0F39"/>
    <w:rsid w:val="007F1286"/>
    <w:rsid w:val="007F175A"/>
    <w:rsid w:val="007F3258"/>
    <w:rsid w:val="007F457E"/>
    <w:rsid w:val="007F503A"/>
    <w:rsid w:val="007F7519"/>
    <w:rsid w:val="0080179C"/>
    <w:rsid w:val="00801F91"/>
    <w:rsid w:val="00803406"/>
    <w:rsid w:val="00804A95"/>
    <w:rsid w:val="00805EC6"/>
    <w:rsid w:val="00806419"/>
    <w:rsid w:val="00807AEA"/>
    <w:rsid w:val="008112A7"/>
    <w:rsid w:val="008130C7"/>
    <w:rsid w:val="00817C5B"/>
    <w:rsid w:val="00820264"/>
    <w:rsid w:val="0082076B"/>
    <w:rsid w:val="008210BB"/>
    <w:rsid w:val="00822358"/>
    <w:rsid w:val="00823AFE"/>
    <w:rsid w:val="008257F4"/>
    <w:rsid w:val="0082612E"/>
    <w:rsid w:val="0083270E"/>
    <w:rsid w:val="0083371B"/>
    <w:rsid w:val="0083458A"/>
    <w:rsid w:val="00835439"/>
    <w:rsid w:val="0083779D"/>
    <w:rsid w:val="00840228"/>
    <w:rsid w:val="00840A87"/>
    <w:rsid w:val="00845549"/>
    <w:rsid w:val="00845553"/>
    <w:rsid w:val="00847A3E"/>
    <w:rsid w:val="008517A1"/>
    <w:rsid w:val="008519D2"/>
    <w:rsid w:val="008525A8"/>
    <w:rsid w:val="00853F83"/>
    <w:rsid w:val="0085613D"/>
    <w:rsid w:val="00857792"/>
    <w:rsid w:val="00860FFB"/>
    <w:rsid w:val="008628F0"/>
    <w:rsid w:val="00866188"/>
    <w:rsid w:val="00866FEB"/>
    <w:rsid w:val="00870313"/>
    <w:rsid w:val="008705DC"/>
    <w:rsid w:val="00870BB4"/>
    <w:rsid w:val="0087198B"/>
    <w:rsid w:val="00871AA4"/>
    <w:rsid w:val="0087229A"/>
    <w:rsid w:val="0087336D"/>
    <w:rsid w:val="00873EBD"/>
    <w:rsid w:val="00874F99"/>
    <w:rsid w:val="00875B45"/>
    <w:rsid w:val="00880BFF"/>
    <w:rsid w:val="0088167A"/>
    <w:rsid w:val="008817EA"/>
    <w:rsid w:val="00881831"/>
    <w:rsid w:val="00882524"/>
    <w:rsid w:val="00882538"/>
    <w:rsid w:val="00883246"/>
    <w:rsid w:val="00883376"/>
    <w:rsid w:val="00885240"/>
    <w:rsid w:val="008854B6"/>
    <w:rsid w:val="00886966"/>
    <w:rsid w:val="00891EA4"/>
    <w:rsid w:val="00892876"/>
    <w:rsid w:val="008929AB"/>
    <w:rsid w:val="00893805"/>
    <w:rsid w:val="00896A78"/>
    <w:rsid w:val="00896CF4"/>
    <w:rsid w:val="00897124"/>
    <w:rsid w:val="00897ED3"/>
    <w:rsid w:val="008A15F4"/>
    <w:rsid w:val="008A16E1"/>
    <w:rsid w:val="008A1A6B"/>
    <w:rsid w:val="008A401E"/>
    <w:rsid w:val="008A413E"/>
    <w:rsid w:val="008A45BD"/>
    <w:rsid w:val="008A53D0"/>
    <w:rsid w:val="008A6C0E"/>
    <w:rsid w:val="008B1C46"/>
    <w:rsid w:val="008B625F"/>
    <w:rsid w:val="008B6AA5"/>
    <w:rsid w:val="008C05AB"/>
    <w:rsid w:val="008C0F80"/>
    <w:rsid w:val="008C3017"/>
    <w:rsid w:val="008C39BD"/>
    <w:rsid w:val="008C5B0F"/>
    <w:rsid w:val="008D27A9"/>
    <w:rsid w:val="008D2900"/>
    <w:rsid w:val="008D3190"/>
    <w:rsid w:val="008D32C3"/>
    <w:rsid w:val="008D389D"/>
    <w:rsid w:val="008D3E47"/>
    <w:rsid w:val="008D4F4F"/>
    <w:rsid w:val="008D6337"/>
    <w:rsid w:val="008D7ECB"/>
    <w:rsid w:val="008E069B"/>
    <w:rsid w:val="008E169F"/>
    <w:rsid w:val="008E46AD"/>
    <w:rsid w:val="008E512B"/>
    <w:rsid w:val="008E560B"/>
    <w:rsid w:val="008E651A"/>
    <w:rsid w:val="008E6A79"/>
    <w:rsid w:val="008E6EC1"/>
    <w:rsid w:val="008E7BAF"/>
    <w:rsid w:val="008F1118"/>
    <w:rsid w:val="008F17B2"/>
    <w:rsid w:val="008F1BD3"/>
    <w:rsid w:val="008F277E"/>
    <w:rsid w:val="008F279B"/>
    <w:rsid w:val="008F321C"/>
    <w:rsid w:val="008F3F5D"/>
    <w:rsid w:val="008F4D90"/>
    <w:rsid w:val="008F514D"/>
    <w:rsid w:val="008F5612"/>
    <w:rsid w:val="008F5AE6"/>
    <w:rsid w:val="008F68E1"/>
    <w:rsid w:val="008F6EFF"/>
    <w:rsid w:val="009003EB"/>
    <w:rsid w:val="00901137"/>
    <w:rsid w:val="00901389"/>
    <w:rsid w:val="00901B05"/>
    <w:rsid w:val="00906234"/>
    <w:rsid w:val="009100C4"/>
    <w:rsid w:val="009113B9"/>
    <w:rsid w:val="00912D71"/>
    <w:rsid w:val="009139AA"/>
    <w:rsid w:val="00913C08"/>
    <w:rsid w:val="009141EC"/>
    <w:rsid w:val="00914279"/>
    <w:rsid w:val="00915951"/>
    <w:rsid w:val="009159D5"/>
    <w:rsid w:val="00915F08"/>
    <w:rsid w:val="00916D9C"/>
    <w:rsid w:val="00917182"/>
    <w:rsid w:val="009237D0"/>
    <w:rsid w:val="00923D52"/>
    <w:rsid w:val="00924337"/>
    <w:rsid w:val="0092583A"/>
    <w:rsid w:val="009312D9"/>
    <w:rsid w:val="00932378"/>
    <w:rsid w:val="009414AF"/>
    <w:rsid w:val="009420D4"/>
    <w:rsid w:val="00942411"/>
    <w:rsid w:val="00942A63"/>
    <w:rsid w:val="00944908"/>
    <w:rsid w:val="00945DBA"/>
    <w:rsid w:val="00946383"/>
    <w:rsid w:val="009477D7"/>
    <w:rsid w:val="00952D65"/>
    <w:rsid w:val="009537C5"/>
    <w:rsid w:val="0095513A"/>
    <w:rsid w:val="00955A02"/>
    <w:rsid w:val="00957F21"/>
    <w:rsid w:val="00960EAD"/>
    <w:rsid w:val="009621CB"/>
    <w:rsid w:val="009638EF"/>
    <w:rsid w:val="00966220"/>
    <w:rsid w:val="00970C1F"/>
    <w:rsid w:val="00973626"/>
    <w:rsid w:val="00974734"/>
    <w:rsid w:val="00975BFB"/>
    <w:rsid w:val="00980A0C"/>
    <w:rsid w:val="009811FB"/>
    <w:rsid w:val="0098176C"/>
    <w:rsid w:val="00981E8A"/>
    <w:rsid w:val="00984A56"/>
    <w:rsid w:val="009852A9"/>
    <w:rsid w:val="009859ED"/>
    <w:rsid w:val="00986E77"/>
    <w:rsid w:val="009874FF"/>
    <w:rsid w:val="009875EC"/>
    <w:rsid w:val="009875F7"/>
    <w:rsid w:val="0098769D"/>
    <w:rsid w:val="009879C1"/>
    <w:rsid w:val="0099306B"/>
    <w:rsid w:val="0099316F"/>
    <w:rsid w:val="00995059"/>
    <w:rsid w:val="00995111"/>
    <w:rsid w:val="00995559"/>
    <w:rsid w:val="009A00C0"/>
    <w:rsid w:val="009A0987"/>
    <w:rsid w:val="009A0CAB"/>
    <w:rsid w:val="009A0F6F"/>
    <w:rsid w:val="009A2CBF"/>
    <w:rsid w:val="009A5364"/>
    <w:rsid w:val="009A6521"/>
    <w:rsid w:val="009B2946"/>
    <w:rsid w:val="009B2949"/>
    <w:rsid w:val="009B33E5"/>
    <w:rsid w:val="009B5E10"/>
    <w:rsid w:val="009B6218"/>
    <w:rsid w:val="009B6555"/>
    <w:rsid w:val="009C0602"/>
    <w:rsid w:val="009C0F7B"/>
    <w:rsid w:val="009C32E7"/>
    <w:rsid w:val="009C34DE"/>
    <w:rsid w:val="009C435E"/>
    <w:rsid w:val="009C447E"/>
    <w:rsid w:val="009C569C"/>
    <w:rsid w:val="009C6B6C"/>
    <w:rsid w:val="009D12A9"/>
    <w:rsid w:val="009D3D69"/>
    <w:rsid w:val="009D4DB0"/>
    <w:rsid w:val="009D678B"/>
    <w:rsid w:val="009D7330"/>
    <w:rsid w:val="009D763E"/>
    <w:rsid w:val="009E0997"/>
    <w:rsid w:val="009E0CC2"/>
    <w:rsid w:val="009E1636"/>
    <w:rsid w:val="009E19E6"/>
    <w:rsid w:val="009E354D"/>
    <w:rsid w:val="009E41CD"/>
    <w:rsid w:val="009E55DA"/>
    <w:rsid w:val="009E59DF"/>
    <w:rsid w:val="009E78AF"/>
    <w:rsid w:val="009F0875"/>
    <w:rsid w:val="009F205C"/>
    <w:rsid w:val="009F403F"/>
    <w:rsid w:val="009F6E4B"/>
    <w:rsid w:val="009F7204"/>
    <w:rsid w:val="009F7E5C"/>
    <w:rsid w:val="00A00820"/>
    <w:rsid w:val="00A01F5D"/>
    <w:rsid w:val="00A04EE8"/>
    <w:rsid w:val="00A07487"/>
    <w:rsid w:val="00A10D19"/>
    <w:rsid w:val="00A10D23"/>
    <w:rsid w:val="00A11C64"/>
    <w:rsid w:val="00A1301E"/>
    <w:rsid w:val="00A13450"/>
    <w:rsid w:val="00A1374F"/>
    <w:rsid w:val="00A14DA1"/>
    <w:rsid w:val="00A15623"/>
    <w:rsid w:val="00A15B15"/>
    <w:rsid w:val="00A15CE9"/>
    <w:rsid w:val="00A16F8C"/>
    <w:rsid w:val="00A2115D"/>
    <w:rsid w:val="00A21184"/>
    <w:rsid w:val="00A21758"/>
    <w:rsid w:val="00A22A38"/>
    <w:rsid w:val="00A231B8"/>
    <w:rsid w:val="00A24757"/>
    <w:rsid w:val="00A278CA"/>
    <w:rsid w:val="00A27A01"/>
    <w:rsid w:val="00A3045B"/>
    <w:rsid w:val="00A31346"/>
    <w:rsid w:val="00A33E24"/>
    <w:rsid w:val="00A35215"/>
    <w:rsid w:val="00A35B68"/>
    <w:rsid w:val="00A35D8B"/>
    <w:rsid w:val="00A35D99"/>
    <w:rsid w:val="00A36A5E"/>
    <w:rsid w:val="00A37581"/>
    <w:rsid w:val="00A41173"/>
    <w:rsid w:val="00A41F56"/>
    <w:rsid w:val="00A44640"/>
    <w:rsid w:val="00A449B0"/>
    <w:rsid w:val="00A456D9"/>
    <w:rsid w:val="00A46849"/>
    <w:rsid w:val="00A5066C"/>
    <w:rsid w:val="00A52088"/>
    <w:rsid w:val="00A5331A"/>
    <w:rsid w:val="00A536C9"/>
    <w:rsid w:val="00A5494C"/>
    <w:rsid w:val="00A5551D"/>
    <w:rsid w:val="00A55665"/>
    <w:rsid w:val="00A55A9D"/>
    <w:rsid w:val="00A55CF8"/>
    <w:rsid w:val="00A61FDD"/>
    <w:rsid w:val="00A6227C"/>
    <w:rsid w:val="00A62356"/>
    <w:rsid w:val="00A627F6"/>
    <w:rsid w:val="00A64258"/>
    <w:rsid w:val="00A64441"/>
    <w:rsid w:val="00A66BF4"/>
    <w:rsid w:val="00A67365"/>
    <w:rsid w:val="00A70217"/>
    <w:rsid w:val="00A72799"/>
    <w:rsid w:val="00A72A31"/>
    <w:rsid w:val="00A7686A"/>
    <w:rsid w:val="00A768F4"/>
    <w:rsid w:val="00A770FC"/>
    <w:rsid w:val="00A807FE"/>
    <w:rsid w:val="00A81175"/>
    <w:rsid w:val="00A81418"/>
    <w:rsid w:val="00A827C9"/>
    <w:rsid w:val="00A83F6F"/>
    <w:rsid w:val="00A86B47"/>
    <w:rsid w:val="00A873B3"/>
    <w:rsid w:val="00A87538"/>
    <w:rsid w:val="00A879B5"/>
    <w:rsid w:val="00A87DD3"/>
    <w:rsid w:val="00A9015F"/>
    <w:rsid w:val="00A90EF5"/>
    <w:rsid w:val="00A91615"/>
    <w:rsid w:val="00A92444"/>
    <w:rsid w:val="00A93153"/>
    <w:rsid w:val="00A94584"/>
    <w:rsid w:val="00A94D43"/>
    <w:rsid w:val="00A9506D"/>
    <w:rsid w:val="00A97308"/>
    <w:rsid w:val="00AA2112"/>
    <w:rsid w:val="00AA48DC"/>
    <w:rsid w:val="00AA4AEE"/>
    <w:rsid w:val="00AA4C73"/>
    <w:rsid w:val="00AA52B3"/>
    <w:rsid w:val="00AA54D6"/>
    <w:rsid w:val="00AA6C4C"/>
    <w:rsid w:val="00AB0B54"/>
    <w:rsid w:val="00AB2C59"/>
    <w:rsid w:val="00AB3F6D"/>
    <w:rsid w:val="00AB6DC9"/>
    <w:rsid w:val="00AB7FE6"/>
    <w:rsid w:val="00AC1482"/>
    <w:rsid w:val="00AC160C"/>
    <w:rsid w:val="00AC2E3C"/>
    <w:rsid w:val="00AC3777"/>
    <w:rsid w:val="00AC4DA1"/>
    <w:rsid w:val="00AC6C6E"/>
    <w:rsid w:val="00AC7A38"/>
    <w:rsid w:val="00AD10DB"/>
    <w:rsid w:val="00AD1B6C"/>
    <w:rsid w:val="00AD1B88"/>
    <w:rsid w:val="00AD313D"/>
    <w:rsid w:val="00AD3431"/>
    <w:rsid w:val="00AD40ED"/>
    <w:rsid w:val="00AD4682"/>
    <w:rsid w:val="00AD46A2"/>
    <w:rsid w:val="00AD48AF"/>
    <w:rsid w:val="00AD5BAF"/>
    <w:rsid w:val="00AD640B"/>
    <w:rsid w:val="00AD6C83"/>
    <w:rsid w:val="00AE0DD0"/>
    <w:rsid w:val="00AE1143"/>
    <w:rsid w:val="00AE2A7B"/>
    <w:rsid w:val="00AE3C82"/>
    <w:rsid w:val="00AE6229"/>
    <w:rsid w:val="00AE72F4"/>
    <w:rsid w:val="00AE794E"/>
    <w:rsid w:val="00AF0428"/>
    <w:rsid w:val="00AF0DEF"/>
    <w:rsid w:val="00AF29A8"/>
    <w:rsid w:val="00AF2EBF"/>
    <w:rsid w:val="00AF37D4"/>
    <w:rsid w:val="00AF65B9"/>
    <w:rsid w:val="00AF748D"/>
    <w:rsid w:val="00B010F4"/>
    <w:rsid w:val="00B01455"/>
    <w:rsid w:val="00B01577"/>
    <w:rsid w:val="00B01880"/>
    <w:rsid w:val="00B02433"/>
    <w:rsid w:val="00B03133"/>
    <w:rsid w:val="00B03264"/>
    <w:rsid w:val="00B03533"/>
    <w:rsid w:val="00B05487"/>
    <w:rsid w:val="00B062D4"/>
    <w:rsid w:val="00B06738"/>
    <w:rsid w:val="00B07CF8"/>
    <w:rsid w:val="00B111B6"/>
    <w:rsid w:val="00B1192D"/>
    <w:rsid w:val="00B13873"/>
    <w:rsid w:val="00B146F0"/>
    <w:rsid w:val="00B14A8B"/>
    <w:rsid w:val="00B20282"/>
    <w:rsid w:val="00B205CC"/>
    <w:rsid w:val="00B217E0"/>
    <w:rsid w:val="00B218E0"/>
    <w:rsid w:val="00B23F7B"/>
    <w:rsid w:val="00B24543"/>
    <w:rsid w:val="00B250C3"/>
    <w:rsid w:val="00B27937"/>
    <w:rsid w:val="00B27E21"/>
    <w:rsid w:val="00B34345"/>
    <w:rsid w:val="00B3459D"/>
    <w:rsid w:val="00B35B83"/>
    <w:rsid w:val="00B37333"/>
    <w:rsid w:val="00B37426"/>
    <w:rsid w:val="00B37E37"/>
    <w:rsid w:val="00B400EA"/>
    <w:rsid w:val="00B40E43"/>
    <w:rsid w:val="00B41CC1"/>
    <w:rsid w:val="00B42337"/>
    <w:rsid w:val="00B42391"/>
    <w:rsid w:val="00B4431D"/>
    <w:rsid w:val="00B45921"/>
    <w:rsid w:val="00B46257"/>
    <w:rsid w:val="00B46F6E"/>
    <w:rsid w:val="00B50A96"/>
    <w:rsid w:val="00B50FA9"/>
    <w:rsid w:val="00B52A13"/>
    <w:rsid w:val="00B535FC"/>
    <w:rsid w:val="00B54472"/>
    <w:rsid w:val="00B5560B"/>
    <w:rsid w:val="00B5684A"/>
    <w:rsid w:val="00B60F93"/>
    <w:rsid w:val="00B61B55"/>
    <w:rsid w:val="00B61CE7"/>
    <w:rsid w:val="00B626F5"/>
    <w:rsid w:val="00B645B5"/>
    <w:rsid w:val="00B65479"/>
    <w:rsid w:val="00B6751E"/>
    <w:rsid w:val="00B70403"/>
    <w:rsid w:val="00B71B46"/>
    <w:rsid w:val="00B72F61"/>
    <w:rsid w:val="00B73A09"/>
    <w:rsid w:val="00B752B1"/>
    <w:rsid w:val="00B77055"/>
    <w:rsid w:val="00B77DA9"/>
    <w:rsid w:val="00B80602"/>
    <w:rsid w:val="00B8065D"/>
    <w:rsid w:val="00B80DCD"/>
    <w:rsid w:val="00B81D9B"/>
    <w:rsid w:val="00B83D82"/>
    <w:rsid w:val="00B856E3"/>
    <w:rsid w:val="00B87F2C"/>
    <w:rsid w:val="00B90778"/>
    <w:rsid w:val="00B90D7B"/>
    <w:rsid w:val="00B919EE"/>
    <w:rsid w:val="00B91DBC"/>
    <w:rsid w:val="00B92199"/>
    <w:rsid w:val="00B92525"/>
    <w:rsid w:val="00B9257B"/>
    <w:rsid w:val="00B930B2"/>
    <w:rsid w:val="00B9535C"/>
    <w:rsid w:val="00B95F3E"/>
    <w:rsid w:val="00B975BD"/>
    <w:rsid w:val="00B9781D"/>
    <w:rsid w:val="00B97BF5"/>
    <w:rsid w:val="00B97ED3"/>
    <w:rsid w:val="00BA0943"/>
    <w:rsid w:val="00BA44B1"/>
    <w:rsid w:val="00BA5D60"/>
    <w:rsid w:val="00BB074D"/>
    <w:rsid w:val="00BB51B2"/>
    <w:rsid w:val="00BB77BF"/>
    <w:rsid w:val="00BC06F7"/>
    <w:rsid w:val="00BC3B82"/>
    <w:rsid w:val="00BC4E27"/>
    <w:rsid w:val="00BC681F"/>
    <w:rsid w:val="00BD48A5"/>
    <w:rsid w:val="00BD50AE"/>
    <w:rsid w:val="00BD56E8"/>
    <w:rsid w:val="00BD69F6"/>
    <w:rsid w:val="00BE1DE6"/>
    <w:rsid w:val="00BE3D30"/>
    <w:rsid w:val="00BE718D"/>
    <w:rsid w:val="00BF142A"/>
    <w:rsid w:val="00BF404E"/>
    <w:rsid w:val="00BF4F7C"/>
    <w:rsid w:val="00BF658C"/>
    <w:rsid w:val="00BF726F"/>
    <w:rsid w:val="00C00332"/>
    <w:rsid w:val="00C003FA"/>
    <w:rsid w:val="00C0101B"/>
    <w:rsid w:val="00C01F76"/>
    <w:rsid w:val="00C027A2"/>
    <w:rsid w:val="00C0353C"/>
    <w:rsid w:val="00C036E7"/>
    <w:rsid w:val="00C042ED"/>
    <w:rsid w:val="00C053D0"/>
    <w:rsid w:val="00C05CA7"/>
    <w:rsid w:val="00C10005"/>
    <w:rsid w:val="00C10354"/>
    <w:rsid w:val="00C105CD"/>
    <w:rsid w:val="00C1103D"/>
    <w:rsid w:val="00C11F0B"/>
    <w:rsid w:val="00C1200A"/>
    <w:rsid w:val="00C12067"/>
    <w:rsid w:val="00C15EF4"/>
    <w:rsid w:val="00C212D5"/>
    <w:rsid w:val="00C212DC"/>
    <w:rsid w:val="00C21D3A"/>
    <w:rsid w:val="00C220AC"/>
    <w:rsid w:val="00C229B6"/>
    <w:rsid w:val="00C27AA3"/>
    <w:rsid w:val="00C31285"/>
    <w:rsid w:val="00C31835"/>
    <w:rsid w:val="00C34451"/>
    <w:rsid w:val="00C36523"/>
    <w:rsid w:val="00C36AFA"/>
    <w:rsid w:val="00C36BE0"/>
    <w:rsid w:val="00C412A5"/>
    <w:rsid w:val="00C45D5A"/>
    <w:rsid w:val="00C47C09"/>
    <w:rsid w:val="00C52F09"/>
    <w:rsid w:val="00C550AB"/>
    <w:rsid w:val="00C56A7D"/>
    <w:rsid w:val="00C56D90"/>
    <w:rsid w:val="00C577BA"/>
    <w:rsid w:val="00C605D5"/>
    <w:rsid w:val="00C61C32"/>
    <w:rsid w:val="00C62072"/>
    <w:rsid w:val="00C64194"/>
    <w:rsid w:val="00C657D9"/>
    <w:rsid w:val="00C66F4D"/>
    <w:rsid w:val="00C66F98"/>
    <w:rsid w:val="00C71BAC"/>
    <w:rsid w:val="00C74092"/>
    <w:rsid w:val="00C74BD7"/>
    <w:rsid w:val="00C758C9"/>
    <w:rsid w:val="00C76E30"/>
    <w:rsid w:val="00C76F12"/>
    <w:rsid w:val="00C7715E"/>
    <w:rsid w:val="00C77574"/>
    <w:rsid w:val="00C80652"/>
    <w:rsid w:val="00C807A2"/>
    <w:rsid w:val="00C81D60"/>
    <w:rsid w:val="00C822D9"/>
    <w:rsid w:val="00C82966"/>
    <w:rsid w:val="00C829F3"/>
    <w:rsid w:val="00C82BEC"/>
    <w:rsid w:val="00C8340B"/>
    <w:rsid w:val="00C86F06"/>
    <w:rsid w:val="00C90C36"/>
    <w:rsid w:val="00C91DCF"/>
    <w:rsid w:val="00C9216E"/>
    <w:rsid w:val="00C9323E"/>
    <w:rsid w:val="00C93325"/>
    <w:rsid w:val="00C948C0"/>
    <w:rsid w:val="00C95C68"/>
    <w:rsid w:val="00C96D6E"/>
    <w:rsid w:val="00C9757A"/>
    <w:rsid w:val="00CA2BA0"/>
    <w:rsid w:val="00CA43E1"/>
    <w:rsid w:val="00CA4648"/>
    <w:rsid w:val="00CA4F8B"/>
    <w:rsid w:val="00CA4FEB"/>
    <w:rsid w:val="00CA5D83"/>
    <w:rsid w:val="00CA70AC"/>
    <w:rsid w:val="00CA7416"/>
    <w:rsid w:val="00CC0F3D"/>
    <w:rsid w:val="00CC27E4"/>
    <w:rsid w:val="00CC318F"/>
    <w:rsid w:val="00CC348A"/>
    <w:rsid w:val="00CC43AB"/>
    <w:rsid w:val="00CC48F1"/>
    <w:rsid w:val="00CC7223"/>
    <w:rsid w:val="00CD0EFA"/>
    <w:rsid w:val="00CD10C2"/>
    <w:rsid w:val="00CD260A"/>
    <w:rsid w:val="00CD2936"/>
    <w:rsid w:val="00CD3BE7"/>
    <w:rsid w:val="00CD4597"/>
    <w:rsid w:val="00CD4A73"/>
    <w:rsid w:val="00CD4F05"/>
    <w:rsid w:val="00CD606F"/>
    <w:rsid w:val="00CD6375"/>
    <w:rsid w:val="00CE0FC3"/>
    <w:rsid w:val="00CE230D"/>
    <w:rsid w:val="00CE29CC"/>
    <w:rsid w:val="00CE4939"/>
    <w:rsid w:val="00CE4D38"/>
    <w:rsid w:val="00CE6CF3"/>
    <w:rsid w:val="00CE6CFD"/>
    <w:rsid w:val="00CE7152"/>
    <w:rsid w:val="00CE72E1"/>
    <w:rsid w:val="00CE79D1"/>
    <w:rsid w:val="00CF1342"/>
    <w:rsid w:val="00CF456B"/>
    <w:rsid w:val="00CF48D1"/>
    <w:rsid w:val="00CF4920"/>
    <w:rsid w:val="00CF5841"/>
    <w:rsid w:val="00CF6BA7"/>
    <w:rsid w:val="00CF6CCA"/>
    <w:rsid w:val="00D00910"/>
    <w:rsid w:val="00D0139C"/>
    <w:rsid w:val="00D01636"/>
    <w:rsid w:val="00D01650"/>
    <w:rsid w:val="00D01FD3"/>
    <w:rsid w:val="00D03E37"/>
    <w:rsid w:val="00D040A7"/>
    <w:rsid w:val="00D04B4E"/>
    <w:rsid w:val="00D07932"/>
    <w:rsid w:val="00D10236"/>
    <w:rsid w:val="00D12BE5"/>
    <w:rsid w:val="00D13FF1"/>
    <w:rsid w:val="00D14756"/>
    <w:rsid w:val="00D15477"/>
    <w:rsid w:val="00D17884"/>
    <w:rsid w:val="00D204CE"/>
    <w:rsid w:val="00D218EB"/>
    <w:rsid w:val="00D21AAC"/>
    <w:rsid w:val="00D21E60"/>
    <w:rsid w:val="00D228A7"/>
    <w:rsid w:val="00D231CC"/>
    <w:rsid w:val="00D23D6F"/>
    <w:rsid w:val="00D25D52"/>
    <w:rsid w:val="00D266F5"/>
    <w:rsid w:val="00D27B70"/>
    <w:rsid w:val="00D33206"/>
    <w:rsid w:val="00D344C1"/>
    <w:rsid w:val="00D40002"/>
    <w:rsid w:val="00D41ADF"/>
    <w:rsid w:val="00D42C90"/>
    <w:rsid w:val="00D46C6E"/>
    <w:rsid w:val="00D478A0"/>
    <w:rsid w:val="00D51687"/>
    <w:rsid w:val="00D53DAB"/>
    <w:rsid w:val="00D600EE"/>
    <w:rsid w:val="00D61536"/>
    <w:rsid w:val="00D628E0"/>
    <w:rsid w:val="00D63F08"/>
    <w:rsid w:val="00D63F78"/>
    <w:rsid w:val="00D64BC3"/>
    <w:rsid w:val="00D70E1A"/>
    <w:rsid w:val="00D71D11"/>
    <w:rsid w:val="00D72020"/>
    <w:rsid w:val="00D72B61"/>
    <w:rsid w:val="00D74C27"/>
    <w:rsid w:val="00D7669F"/>
    <w:rsid w:val="00D80275"/>
    <w:rsid w:val="00D81242"/>
    <w:rsid w:val="00D84369"/>
    <w:rsid w:val="00D849E3"/>
    <w:rsid w:val="00D84C81"/>
    <w:rsid w:val="00D854C2"/>
    <w:rsid w:val="00D867B8"/>
    <w:rsid w:val="00D86947"/>
    <w:rsid w:val="00D86E85"/>
    <w:rsid w:val="00D87A17"/>
    <w:rsid w:val="00D87B04"/>
    <w:rsid w:val="00D87C05"/>
    <w:rsid w:val="00D90C1A"/>
    <w:rsid w:val="00D920AB"/>
    <w:rsid w:val="00D93F01"/>
    <w:rsid w:val="00D95984"/>
    <w:rsid w:val="00D97741"/>
    <w:rsid w:val="00DA0A4F"/>
    <w:rsid w:val="00DA1E7F"/>
    <w:rsid w:val="00DA203E"/>
    <w:rsid w:val="00DA2099"/>
    <w:rsid w:val="00DA3E93"/>
    <w:rsid w:val="00DA4996"/>
    <w:rsid w:val="00DA6E58"/>
    <w:rsid w:val="00DB1593"/>
    <w:rsid w:val="00DB20B2"/>
    <w:rsid w:val="00DB2B0B"/>
    <w:rsid w:val="00DB4319"/>
    <w:rsid w:val="00DB6D4F"/>
    <w:rsid w:val="00DB730E"/>
    <w:rsid w:val="00DB7C3D"/>
    <w:rsid w:val="00DC0854"/>
    <w:rsid w:val="00DC1C28"/>
    <w:rsid w:val="00DC2A38"/>
    <w:rsid w:val="00DC2ABA"/>
    <w:rsid w:val="00DC46E3"/>
    <w:rsid w:val="00DC7975"/>
    <w:rsid w:val="00DC7A7C"/>
    <w:rsid w:val="00DD0E31"/>
    <w:rsid w:val="00DD2196"/>
    <w:rsid w:val="00DD37C8"/>
    <w:rsid w:val="00DD3B80"/>
    <w:rsid w:val="00DD3FD0"/>
    <w:rsid w:val="00DD45BB"/>
    <w:rsid w:val="00DD637D"/>
    <w:rsid w:val="00DE060B"/>
    <w:rsid w:val="00DE17D2"/>
    <w:rsid w:val="00DE186B"/>
    <w:rsid w:val="00DE531B"/>
    <w:rsid w:val="00DE6B69"/>
    <w:rsid w:val="00DE7154"/>
    <w:rsid w:val="00DF1AF3"/>
    <w:rsid w:val="00DF23A4"/>
    <w:rsid w:val="00DF262F"/>
    <w:rsid w:val="00DF31A9"/>
    <w:rsid w:val="00DF6991"/>
    <w:rsid w:val="00DF714B"/>
    <w:rsid w:val="00E007C8"/>
    <w:rsid w:val="00E05D98"/>
    <w:rsid w:val="00E06111"/>
    <w:rsid w:val="00E06BFF"/>
    <w:rsid w:val="00E1060A"/>
    <w:rsid w:val="00E10842"/>
    <w:rsid w:val="00E10BC9"/>
    <w:rsid w:val="00E11229"/>
    <w:rsid w:val="00E11CF6"/>
    <w:rsid w:val="00E11F6F"/>
    <w:rsid w:val="00E12E99"/>
    <w:rsid w:val="00E132F5"/>
    <w:rsid w:val="00E14363"/>
    <w:rsid w:val="00E14AA6"/>
    <w:rsid w:val="00E165D9"/>
    <w:rsid w:val="00E170A5"/>
    <w:rsid w:val="00E17F2E"/>
    <w:rsid w:val="00E217EB"/>
    <w:rsid w:val="00E21BF4"/>
    <w:rsid w:val="00E21D81"/>
    <w:rsid w:val="00E2260D"/>
    <w:rsid w:val="00E2353C"/>
    <w:rsid w:val="00E24347"/>
    <w:rsid w:val="00E24EDE"/>
    <w:rsid w:val="00E25AB6"/>
    <w:rsid w:val="00E2741E"/>
    <w:rsid w:val="00E300BB"/>
    <w:rsid w:val="00E31917"/>
    <w:rsid w:val="00E33E87"/>
    <w:rsid w:val="00E343F2"/>
    <w:rsid w:val="00E34472"/>
    <w:rsid w:val="00E355B0"/>
    <w:rsid w:val="00E359AB"/>
    <w:rsid w:val="00E36134"/>
    <w:rsid w:val="00E366FB"/>
    <w:rsid w:val="00E36E0C"/>
    <w:rsid w:val="00E37E03"/>
    <w:rsid w:val="00E4167D"/>
    <w:rsid w:val="00E4182E"/>
    <w:rsid w:val="00E42391"/>
    <w:rsid w:val="00E4258E"/>
    <w:rsid w:val="00E453DC"/>
    <w:rsid w:val="00E458F4"/>
    <w:rsid w:val="00E478A4"/>
    <w:rsid w:val="00E47B01"/>
    <w:rsid w:val="00E47F1D"/>
    <w:rsid w:val="00E51699"/>
    <w:rsid w:val="00E527CA"/>
    <w:rsid w:val="00E52B51"/>
    <w:rsid w:val="00E52C1B"/>
    <w:rsid w:val="00E55605"/>
    <w:rsid w:val="00E564E3"/>
    <w:rsid w:val="00E57730"/>
    <w:rsid w:val="00E57BA6"/>
    <w:rsid w:val="00E645BD"/>
    <w:rsid w:val="00E65B27"/>
    <w:rsid w:val="00E67615"/>
    <w:rsid w:val="00E70A6C"/>
    <w:rsid w:val="00E74E98"/>
    <w:rsid w:val="00E74F39"/>
    <w:rsid w:val="00E74FB8"/>
    <w:rsid w:val="00E7576F"/>
    <w:rsid w:val="00E75BFB"/>
    <w:rsid w:val="00E75C2B"/>
    <w:rsid w:val="00E76959"/>
    <w:rsid w:val="00E76D63"/>
    <w:rsid w:val="00E76FC7"/>
    <w:rsid w:val="00E80A0A"/>
    <w:rsid w:val="00E824EF"/>
    <w:rsid w:val="00E85B29"/>
    <w:rsid w:val="00E915B9"/>
    <w:rsid w:val="00E921E3"/>
    <w:rsid w:val="00E9274A"/>
    <w:rsid w:val="00E92EF8"/>
    <w:rsid w:val="00E93B49"/>
    <w:rsid w:val="00E954CB"/>
    <w:rsid w:val="00E96445"/>
    <w:rsid w:val="00E96A6D"/>
    <w:rsid w:val="00E974CC"/>
    <w:rsid w:val="00E97F61"/>
    <w:rsid w:val="00EA1762"/>
    <w:rsid w:val="00EA22F1"/>
    <w:rsid w:val="00EA3427"/>
    <w:rsid w:val="00EA3EE5"/>
    <w:rsid w:val="00EA424B"/>
    <w:rsid w:val="00EA5CED"/>
    <w:rsid w:val="00EA6298"/>
    <w:rsid w:val="00EB09FA"/>
    <w:rsid w:val="00EB1EEE"/>
    <w:rsid w:val="00EB32DA"/>
    <w:rsid w:val="00EB67FF"/>
    <w:rsid w:val="00EB6E42"/>
    <w:rsid w:val="00EB72E7"/>
    <w:rsid w:val="00EB798C"/>
    <w:rsid w:val="00EC0096"/>
    <w:rsid w:val="00EC072E"/>
    <w:rsid w:val="00EC1620"/>
    <w:rsid w:val="00EC2DA1"/>
    <w:rsid w:val="00EC32A3"/>
    <w:rsid w:val="00EC3F9D"/>
    <w:rsid w:val="00EC460E"/>
    <w:rsid w:val="00EC4B9A"/>
    <w:rsid w:val="00EC583C"/>
    <w:rsid w:val="00EC6F55"/>
    <w:rsid w:val="00EC7734"/>
    <w:rsid w:val="00ED281E"/>
    <w:rsid w:val="00ED2EB3"/>
    <w:rsid w:val="00ED68B3"/>
    <w:rsid w:val="00EE0D03"/>
    <w:rsid w:val="00EE0D45"/>
    <w:rsid w:val="00EE1B78"/>
    <w:rsid w:val="00EE2BE7"/>
    <w:rsid w:val="00EE32C7"/>
    <w:rsid w:val="00EE470A"/>
    <w:rsid w:val="00EE5A9F"/>
    <w:rsid w:val="00EE5F63"/>
    <w:rsid w:val="00EE6045"/>
    <w:rsid w:val="00EE6A60"/>
    <w:rsid w:val="00EE6ADF"/>
    <w:rsid w:val="00EE728C"/>
    <w:rsid w:val="00EE7F04"/>
    <w:rsid w:val="00EF0AED"/>
    <w:rsid w:val="00EF137A"/>
    <w:rsid w:val="00EF150B"/>
    <w:rsid w:val="00EF3F77"/>
    <w:rsid w:val="00EF5E54"/>
    <w:rsid w:val="00EF6FC4"/>
    <w:rsid w:val="00EF7627"/>
    <w:rsid w:val="00EF7D7D"/>
    <w:rsid w:val="00F005BE"/>
    <w:rsid w:val="00F01166"/>
    <w:rsid w:val="00F023E6"/>
    <w:rsid w:val="00F02924"/>
    <w:rsid w:val="00F03CE0"/>
    <w:rsid w:val="00F03F66"/>
    <w:rsid w:val="00F040CD"/>
    <w:rsid w:val="00F045BD"/>
    <w:rsid w:val="00F046BA"/>
    <w:rsid w:val="00F07319"/>
    <w:rsid w:val="00F07A28"/>
    <w:rsid w:val="00F10255"/>
    <w:rsid w:val="00F118F1"/>
    <w:rsid w:val="00F13988"/>
    <w:rsid w:val="00F150BB"/>
    <w:rsid w:val="00F150C1"/>
    <w:rsid w:val="00F164BF"/>
    <w:rsid w:val="00F1737C"/>
    <w:rsid w:val="00F1755E"/>
    <w:rsid w:val="00F17A15"/>
    <w:rsid w:val="00F20480"/>
    <w:rsid w:val="00F224E9"/>
    <w:rsid w:val="00F225C2"/>
    <w:rsid w:val="00F228B6"/>
    <w:rsid w:val="00F231DF"/>
    <w:rsid w:val="00F23479"/>
    <w:rsid w:val="00F245C6"/>
    <w:rsid w:val="00F265E1"/>
    <w:rsid w:val="00F27011"/>
    <w:rsid w:val="00F27053"/>
    <w:rsid w:val="00F27A60"/>
    <w:rsid w:val="00F3070C"/>
    <w:rsid w:val="00F31145"/>
    <w:rsid w:val="00F33547"/>
    <w:rsid w:val="00F36A5D"/>
    <w:rsid w:val="00F40501"/>
    <w:rsid w:val="00F41300"/>
    <w:rsid w:val="00F42BA7"/>
    <w:rsid w:val="00F43288"/>
    <w:rsid w:val="00F44F3B"/>
    <w:rsid w:val="00F4511B"/>
    <w:rsid w:val="00F4626B"/>
    <w:rsid w:val="00F46F4C"/>
    <w:rsid w:val="00F4761D"/>
    <w:rsid w:val="00F52394"/>
    <w:rsid w:val="00F532F6"/>
    <w:rsid w:val="00F55B82"/>
    <w:rsid w:val="00F568AB"/>
    <w:rsid w:val="00F57299"/>
    <w:rsid w:val="00F57796"/>
    <w:rsid w:val="00F578FB"/>
    <w:rsid w:val="00F57E6B"/>
    <w:rsid w:val="00F601AB"/>
    <w:rsid w:val="00F62CBA"/>
    <w:rsid w:val="00F6541C"/>
    <w:rsid w:val="00F6563C"/>
    <w:rsid w:val="00F667E1"/>
    <w:rsid w:val="00F7022F"/>
    <w:rsid w:val="00F70344"/>
    <w:rsid w:val="00F71943"/>
    <w:rsid w:val="00F7261D"/>
    <w:rsid w:val="00F758A9"/>
    <w:rsid w:val="00F759AA"/>
    <w:rsid w:val="00F80996"/>
    <w:rsid w:val="00F8222B"/>
    <w:rsid w:val="00F84D6F"/>
    <w:rsid w:val="00F86550"/>
    <w:rsid w:val="00F867E2"/>
    <w:rsid w:val="00F87311"/>
    <w:rsid w:val="00F87FB5"/>
    <w:rsid w:val="00F90C73"/>
    <w:rsid w:val="00F90F7A"/>
    <w:rsid w:val="00F912DD"/>
    <w:rsid w:val="00F91C37"/>
    <w:rsid w:val="00F926E9"/>
    <w:rsid w:val="00F9294A"/>
    <w:rsid w:val="00F939D0"/>
    <w:rsid w:val="00F93EAA"/>
    <w:rsid w:val="00F9420B"/>
    <w:rsid w:val="00F96846"/>
    <w:rsid w:val="00F97BF5"/>
    <w:rsid w:val="00FA0C42"/>
    <w:rsid w:val="00FA1D5B"/>
    <w:rsid w:val="00FA35B1"/>
    <w:rsid w:val="00FA3FDD"/>
    <w:rsid w:val="00FB043D"/>
    <w:rsid w:val="00FB1D53"/>
    <w:rsid w:val="00FB5C0C"/>
    <w:rsid w:val="00FB62F7"/>
    <w:rsid w:val="00FB7D3F"/>
    <w:rsid w:val="00FC02EB"/>
    <w:rsid w:val="00FC0D90"/>
    <w:rsid w:val="00FC3B78"/>
    <w:rsid w:val="00FC4175"/>
    <w:rsid w:val="00FC4602"/>
    <w:rsid w:val="00FC4BED"/>
    <w:rsid w:val="00FC56C5"/>
    <w:rsid w:val="00FC751C"/>
    <w:rsid w:val="00FD07BF"/>
    <w:rsid w:val="00FD1026"/>
    <w:rsid w:val="00FD132D"/>
    <w:rsid w:val="00FD2334"/>
    <w:rsid w:val="00FD2DD5"/>
    <w:rsid w:val="00FD2FEB"/>
    <w:rsid w:val="00FD49A6"/>
    <w:rsid w:val="00FD6FA3"/>
    <w:rsid w:val="00FE387F"/>
    <w:rsid w:val="00FE4EE1"/>
    <w:rsid w:val="00FE69DE"/>
    <w:rsid w:val="00FE6CEC"/>
    <w:rsid w:val="00FE6D4F"/>
    <w:rsid w:val="00FE7321"/>
    <w:rsid w:val="00FF03B6"/>
    <w:rsid w:val="00FF0E77"/>
    <w:rsid w:val="00FF109E"/>
    <w:rsid w:val="00FF1C5F"/>
    <w:rsid w:val="00FF22B8"/>
    <w:rsid w:val="00FF26F1"/>
    <w:rsid w:val="00FF2906"/>
    <w:rsid w:val="00FF2AF5"/>
    <w:rsid w:val="00FF2D03"/>
    <w:rsid w:val="00FF488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3E37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27937"/>
    <w:pPr>
      <w:spacing w:line="280" w:lineRule="atLeast"/>
    </w:pPr>
    <w:rPr>
      <w:rFonts w:ascii="Arial" w:hAnsi="Arial"/>
      <w:sz w:val="22"/>
      <w:lang w:val="en-AU"/>
    </w:rPr>
  </w:style>
  <w:style w:type="paragraph" w:styleId="Heading1">
    <w:name w:val="heading 1"/>
    <w:basedOn w:val="Normal"/>
    <w:next w:val="Normal"/>
    <w:link w:val="Heading1Char"/>
    <w:uiPriority w:val="9"/>
    <w:qFormat/>
    <w:rsid w:val="00134AB2"/>
    <w:pPr>
      <w:keepNext/>
      <w:keepLines/>
      <w:spacing w:before="160" w:after="80" w:line="320" w:lineRule="exac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D01FD3"/>
    <w:pPr>
      <w:keepNext/>
      <w:keepLines/>
      <w:spacing w:before="140"/>
      <w:outlineLvl w:val="1"/>
    </w:pPr>
    <w:rPr>
      <w:rFonts w:eastAsiaTheme="majorEastAsia" w:cstheme="majorBidi"/>
      <w:b/>
      <w:bCs/>
      <w:szCs w:val="26"/>
    </w:rPr>
  </w:style>
  <w:style w:type="paragraph" w:styleId="Heading3">
    <w:name w:val="heading 3"/>
    <w:basedOn w:val="Normal"/>
    <w:next w:val="BodyText1"/>
    <w:link w:val="Heading3Char"/>
    <w:uiPriority w:val="9"/>
    <w:unhideWhenUsed/>
    <w:qFormat/>
    <w:rsid w:val="004F7AD4"/>
    <w:pPr>
      <w:keepNext/>
      <w:keepLines/>
      <w:outlineLvl w:val="2"/>
    </w:pPr>
    <w:rPr>
      <w:rFonts w:asciiTheme="majorHAnsi" w:eastAsiaTheme="majorEastAsia" w:hAnsiTheme="majorHAnsi" w:cstheme="majorBidi"/>
      <w:bCs/>
      <w:i/>
      <w:color w:val="000000" w:themeColor="text1"/>
    </w:rPr>
  </w:style>
  <w:style w:type="paragraph" w:styleId="Heading4">
    <w:name w:val="heading 4"/>
    <w:basedOn w:val="Normal"/>
    <w:next w:val="Normal"/>
    <w:link w:val="Heading4Char"/>
    <w:uiPriority w:val="9"/>
    <w:unhideWhenUsed/>
    <w:qFormat/>
    <w:rsid w:val="00555F4B"/>
    <w:pPr>
      <w:keepNext/>
      <w:keepLines/>
      <w:spacing w:before="200"/>
      <w:outlineLvl w:val="3"/>
    </w:pPr>
    <w:rPr>
      <w:rFonts w:asciiTheme="majorHAnsi" w:eastAsiaTheme="majorEastAsia" w:hAnsiTheme="majorHAnsi" w:cstheme="majorBidi"/>
      <w:b/>
      <w:bCs/>
      <w:i/>
      <w:iCs/>
      <w:color w:val="012169"/>
    </w:rPr>
  </w:style>
  <w:style w:type="paragraph" w:styleId="Heading5">
    <w:name w:val="heading 5"/>
    <w:basedOn w:val="Normal"/>
    <w:next w:val="Normal"/>
    <w:link w:val="Heading5Char"/>
    <w:uiPriority w:val="9"/>
    <w:semiHidden/>
    <w:unhideWhenUsed/>
    <w:qFormat/>
    <w:rsid w:val="00555F4B"/>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55F4B"/>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55F4B"/>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55F4B"/>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55F4B"/>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9113B9"/>
    <w:pPr>
      <w:spacing w:after="140"/>
    </w:pPr>
  </w:style>
  <w:style w:type="paragraph" w:styleId="Header">
    <w:name w:val="header"/>
    <w:basedOn w:val="Normal"/>
    <w:link w:val="HeaderChar"/>
    <w:unhideWhenUsed/>
    <w:rsid w:val="00305407"/>
    <w:pPr>
      <w:tabs>
        <w:tab w:val="center" w:pos="4320"/>
        <w:tab w:val="right" w:pos="8640"/>
      </w:tabs>
      <w:spacing w:line="240" w:lineRule="auto"/>
    </w:pPr>
  </w:style>
  <w:style w:type="character" w:customStyle="1" w:styleId="HeaderChar">
    <w:name w:val="Header Char"/>
    <w:basedOn w:val="DefaultParagraphFont"/>
    <w:link w:val="Header"/>
    <w:rsid w:val="00305407"/>
    <w:rPr>
      <w:rFonts w:ascii="Arial" w:hAnsi="Arial"/>
      <w:sz w:val="22"/>
    </w:rPr>
  </w:style>
  <w:style w:type="paragraph" w:styleId="Footer">
    <w:name w:val="footer"/>
    <w:basedOn w:val="Normal"/>
    <w:link w:val="FooterChar"/>
    <w:uiPriority w:val="99"/>
    <w:unhideWhenUsed/>
    <w:rsid w:val="00305407"/>
    <w:pPr>
      <w:tabs>
        <w:tab w:val="center" w:pos="4320"/>
        <w:tab w:val="right" w:pos="8640"/>
      </w:tabs>
      <w:spacing w:line="240" w:lineRule="auto"/>
    </w:pPr>
  </w:style>
  <w:style w:type="character" w:customStyle="1" w:styleId="FooterChar">
    <w:name w:val="Footer Char"/>
    <w:basedOn w:val="DefaultParagraphFont"/>
    <w:link w:val="Footer"/>
    <w:uiPriority w:val="99"/>
    <w:rsid w:val="00305407"/>
    <w:rPr>
      <w:rFonts w:ascii="Arial" w:hAnsi="Arial"/>
      <w:sz w:val="22"/>
    </w:rPr>
  </w:style>
  <w:style w:type="paragraph" w:styleId="BalloonText">
    <w:name w:val="Balloon Text"/>
    <w:basedOn w:val="Normal"/>
    <w:link w:val="BalloonTextChar"/>
    <w:uiPriority w:val="99"/>
    <w:semiHidden/>
    <w:unhideWhenUsed/>
    <w:rsid w:val="00305407"/>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5407"/>
    <w:rPr>
      <w:rFonts w:ascii="Lucida Grande" w:hAnsi="Lucida Grande" w:cs="Lucida Grande"/>
      <w:sz w:val="18"/>
      <w:szCs w:val="18"/>
    </w:rPr>
  </w:style>
  <w:style w:type="table" w:styleId="TableGrid">
    <w:name w:val="Table Grid"/>
    <w:basedOn w:val="TableNormal"/>
    <w:uiPriority w:val="39"/>
    <w:rsid w:val="00022B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bold">
    <w:name w:val="Body text bold"/>
    <w:basedOn w:val="BodyText1"/>
    <w:qFormat/>
    <w:rsid w:val="00FE6CEC"/>
    <w:rPr>
      <w:b/>
    </w:rPr>
  </w:style>
  <w:style w:type="paragraph" w:customStyle="1" w:styleId="FaxFields">
    <w:name w:val="Fax Fields"/>
    <w:basedOn w:val="Normal"/>
    <w:uiPriority w:val="99"/>
    <w:rsid w:val="00437382"/>
    <w:pPr>
      <w:widowControl w:val="0"/>
      <w:tabs>
        <w:tab w:val="left" w:pos="255"/>
      </w:tabs>
      <w:suppressAutoHyphens/>
      <w:autoSpaceDE w:val="0"/>
      <w:autoSpaceDN w:val="0"/>
      <w:adjustRightInd w:val="0"/>
      <w:spacing w:line="200" w:lineRule="atLeast"/>
      <w:textAlignment w:val="center"/>
    </w:pPr>
    <w:rPr>
      <w:rFonts w:ascii="Arial-BoldMT" w:hAnsi="Arial-BoldMT" w:cs="Arial-BoldMT"/>
      <w:b/>
      <w:bCs/>
      <w:color w:val="000000"/>
      <w:sz w:val="16"/>
      <w:szCs w:val="16"/>
    </w:rPr>
  </w:style>
  <w:style w:type="character" w:customStyle="1" w:styleId="Heading2Char">
    <w:name w:val="Heading 2 Char"/>
    <w:basedOn w:val="DefaultParagraphFont"/>
    <w:link w:val="Heading2"/>
    <w:uiPriority w:val="9"/>
    <w:rsid w:val="00D01FD3"/>
    <w:rPr>
      <w:rFonts w:ascii="Arial" w:eastAsiaTheme="majorEastAsia" w:hAnsi="Arial" w:cstheme="majorBidi"/>
      <w:b/>
      <w:bCs/>
      <w:sz w:val="22"/>
      <w:szCs w:val="26"/>
    </w:rPr>
  </w:style>
  <w:style w:type="character" w:customStyle="1" w:styleId="Heading1Char">
    <w:name w:val="Heading 1 Char"/>
    <w:basedOn w:val="DefaultParagraphFont"/>
    <w:link w:val="Heading1"/>
    <w:uiPriority w:val="9"/>
    <w:rsid w:val="00134AB2"/>
    <w:rPr>
      <w:rFonts w:ascii="Arial" w:eastAsiaTheme="majorEastAsia" w:hAnsi="Arial" w:cstheme="majorBidi"/>
      <w:b/>
      <w:bCs/>
      <w:sz w:val="32"/>
      <w:szCs w:val="32"/>
    </w:rPr>
  </w:style>
  <w:style w:type="numbering" w:customStyle="1" w:styleId="SHJAgendalist">
    <w:name w:val="SHJ Agenda list"/>
    <w:uiPriority w:val="99"/>
    <w:rsid w:val="00555F4B"/>
    <w:pPr>
      <w:numPr>
        <w:numId w:val="5"/>
      </w:numPr>
    </w:pPr>
  </w:style>
  <w:style w:type="paragraph" w:customStyle="1" w:styleId="SampleBodyCopySampleCopy">
    <w:name w:val="Sample Body Copy (Sample Copy)"/>
    <w:basedOn w:val="Normal"/>
    <w:uiPriority w:val="99"/>
    <w:rsid w:val="000E4209"/>
    <w:pPr>
      <w:widowControl w:val="0"/>
      <w:suppressAutoHyphens/>
      <w:autoSpaceDE w:val="0"/>
      <w:autoSpaceDN w:val="0"/>
      <w:adjustRightInd w:val="0"/>
      <w:spacing w:after="140"/>
      <w:textAlignment w:val="center"/>
    </w:pPr>
    <w:rPr>
      <w:rFonts w:ascii="ArialMT" w:hAnsi="ArialMT" w:cs="ArialMT"/>
      <w:color w:val="000000"/>
      <w:szCs w:val="22"/>
    </w:rPr>
  </w:style>
  <w:style w:type="numbering" w:customStyle="1" w:styleId="SHJAgendaitems">
    <w:name w:val="SHJ Agenda items"/>
    <w:basedOn w:val="NoList"/>
    <w:uiPriority w:val="99"/>
    <w:rsid w:val="00555F4B"/>
    <w:pPr>
      <w:numPr>
        <w:numId w:val="6"/>
      </w:numPr>
    </w:pPr>
  </w:style>
  <w:style w:type="character" w:customStyle="1" w:styleId="Heading3Char">
    <w:name w:val="Heading 3 Char"/>
    <w:basedOn w:val="DefaultParagraphFont"/>
    <w:link w:val="Heading3"/>
    <w:uiPriority w:val="9"/>
    <w:rsid w:val="004F7AD4"/>
    <w:rPr>
      <w:rFonts w:asciiTheme="majorHAnsi" w:eastAsiaTheme="majorEastAsia" w:hAnsiTheme="majorHAnsi" w:cstheme="majorBidi"/>
      <w:bCs/>
      <w:i/>
      <w:color w:val="000000" w:themeColor="text1"/>
      <w:sz w:val="22"/>
    </w:rPr>
  </w:style>
  <w:style w:type="character" w:customStyle="1" w:styleId="Heading4Char">
    <w:name w:val="Heading 4 Char"/>
    <w:basedOn w:val="DefaultParagraphFont"/>
    <w:link w:val="Heading4"/>
    <w:uiPriority w:val="9"/>
    <w:rsid w:val="00555F4B"/>
    <w:rPr>
      <w:rFonts w:asciiTheme="majorHAnsi" w:eastAsiaTheme="majorEastAsia" w:hAnsiTheme="majorHAnsi" w:cstheme="majorBidi"/>
      <w:b/>
      <w:bCs/>
      <w:i/>
      <w:iCs/>
      <w:color w:val="012169"/>
      <w:sz w:val="22"/>
    </w:rPr>
  </w:style>
  <w:style w:type="character" w:customStyle="1" w:styleId="Heading5Char">
    <w:name w:val="Heading 5 Char"/>
    <w:basedOn w:val="DefaultParagraphFont"/>
    <w:link w:val="Heading5"/>
    <w:uiPriority w:val="9"/>
    <w:semiHidden/>
    <w:rsid w:val="00555F4B"/>
    <w:rPr>
      <w:rFonts w:asciiTheme="majorHAnsi" w:eastAsiaTheme="majorEastAsia" w:hAnsiTheme="majorHAnsi" w:cstheme="majorBidi"/>
      <w:color w:val="243F60" w:themeColor="accent1" w:themeShade="7F"/>
      <w:sz w:val="22"/>
      <w:lang w:val="en-AU"/>
    </w:rPr>
  </w:style>
  <w:style w:type="character" w:customStyle="1" w:styleId="Heading6Char">
    <w:name w:val="Heading 6 Char"/>
    <w:basedOn w:val="DefaultParagraphFont"/>
    <w:link w:val="Heading6"/>
    <w:uiPriority w:val="9"/>
    <w:semiHidden/>
    <w:rsid w:val="00555F4B"/>
    <w:rPr>
      <w:rFonts w:asciiTheme="majorHAnsi" w:eastAsiaTheme="majorEastAsia" w:hAnsiTheme="majorHAnsi" w:cstheme="majorBidi"/>
      <w:i/>
      <w:iCs/>
      <w:color w:val="243F60" w:themeColor="accent1" w:themeShade="7F"/>
      <w:sz w:val="22"/>
      <w:lang w:val="en-AU"/>
    </w:rPr>
  </w:style>
  <w:style w:type="character" w:customStyle="1" w:styleId="Heading7Char">
    <w:name w:val="Heading 7 Char"/>
    <w:basedOn w:val="DefaultParagraphFont"/>
    <w:link w:val="Heading7"/>
    <w:uiPriority w:val="9"/>
    <w:semiHidden/>
    <w:rsid w:val="00555F4B"/>
    <w:rPr>
      <w:rFonts w:asciiTheme="majorHAnsi" w:eastAsiaTheme="majorEastAsia" w:hAnsiTheme="majorHAnsi" w:cstheme="majorBidi"/>
      <w:i/>
      <w:iCs/>
      <w:color w:val="404040" w:themeColor="text1" w:themeTint="BF"/>
      <w:sz w:val="22"/>
      <w:lang w:val="en-AU"/>
    </w:rPr>
  </w:style>
  <w:style w:type="character" w:customStyle="1" w:styleId="Heading8Char">
    <w:name w:val="Heading 8 Char"/>
    <w:basedOn w:val="DefaultParagraphFont"/>
    <w:link w:val="Heading8"/>
    <w:uiPriority w:val="9"/>
    <w:semiHidden/>
    <w:rsid w:val="00555F4B"/>
    <w:rPr>
      <w:rFonts w:asciiTheme="majorHAnsi" w:eastAsiaTheme="majorEastAsia" w:hAnsiTheme="majorHAnsi" w:cstheme="majorBidi"/>
      <w:color w:val="404040" w:themeColor="text1" w:themeTint="BF"/>
      <w:sz w:val="20"/>
      <w:szCs w:val="20"/>
      <w:lang w:val="en-AU"/>
    </w:rPr>
  </w:style>
  <w:style w:type="character" w:customStyle="1" w:styleId="Heading9Char">
    <w:name w:val="Heading 9 Char"/>
    <w:basedOn w:val="DefaultParagraphFont"/>
    <w:link w:val="Heading9"/>
    <w:uiPriority w:val="9"/>
    <w:semiHidden/>
    <w:rsid w:val="00555F4B"/>
    <w:rPr>
      <w:rFonts w:asciiTheme="majorHAnsi" w:eastAsiaTheme="majorEastAsia" w:hAnsiTheme="majorHAnsi" w:cstheme="majorBidi"/>
      <w:i/>
      <w:iCs/>
      <w:color w:val="404040" w:themeColor="text1" w:themeTint="BF"/>
      <w:sz w:val="20"/>
      <w:szCs w:val="20"/>
      <w:lang w:val="en-AU"/>
    </w:rPr>
  </w:style>
  <w:style w:type="paragraph" w:styleId="ListParagraph">
    <w:name w:val="List Paragraph"/>
    <w:basedOn w:val="BodyText1"/>
    <w:uiPriority w:val="34"/>
    <w:qFormat/>
    <w:rsid w:val="00555F4B"/>
    <w:pPr>
      <w:numPr>
        <w:ilvl w:val="2"/>
        <w:numId w:val="4"/>
      </w:numPr>
    </w:pPr>
  </w:style>
  <w:style w:type="numbering" w:customStyle="1" w:styleId="CurrentList1">
    <w:name w:val="Current List1"/>
    <w:uiPriority w:val="99"/>
    <w:rsid w:val="00555F4B"/>
    <w:pPr>
      <w:numPr>
        <w:numId w:val="1"/>
      </w:numPr>
    </w:pPr>
  </w:style>
  <w:style w:type="numbering" w:customStyle="1" w:styleId="CurrentList2">
    <w:name w:val="Current List2"/>
    <w:uiPriority w:val="99"/>
    <w:rsid w:val="00555F4B"/>
    <w:pPr>
      <w:numPr>
        <w:numId w:val="2"/>
      </w:numPr>
    </w:pPr>
  </w:style>
  <w:style w:type="paragraph" w:customStyle="1" w:styleId="ListstyleL1">
    <w:name w:val="List style L1"/>
    <w:next w:val="ListstyleL2"/>
    <w:qFormat/>
    <w:rsid w:val="00555F4B"/>
    <w:pPr>
      <w:numPr>
        <w:numId w:val="4"/>
      </w:numPr>
      <w:spacing w:before="160" w:after="80" w:line="320" w:lineRule="exact"/>
    </w:pPr>
    <w:rPr>
      <w:rFonts w:ascii="Arial" w:hAnsi="Arial"/>
      <w:b/>
      <w:sz w:val="26"/>
      <w:szCs w:val="26"/>
    </w:rPr>
  </w:style>
  <w:style w:type="paragraph" w:customStyle="1" w:styleId="ListstyleL2">
    <w:name w:val="List style L2"/>
    <w:next w:val="ListParagraph"/>
    <w:qFormat/>
    <w:rsid w:val="00555F4B"/>
    <w:pPr>
      <w:numPr>
        <w:ilvl w:val="1"/>
        <w:numId w:val="4"/>
      </w:numPr>
    </w:pPr>
    <w:rPr>
      <w:rFonts w:ascii="Arial" w:hAnsi="Arial"/>
      <w:b/>
      <w:sz w:val="22"/>
      <w:szCs w:val="22"/>
    </w:rPr>
  </w:style>
  <w:style w:type="numbering" w:customStyle="1" w:styleId="Agendalistparagraph">
    <w:name w:val="Agenda list paragraph"/>
    <w:basedOn w:val="NoList"/>
    <w:uiPriority w:val="99"/>
    <w:rsid w:val="00555F4B"/>
    <w:pPr>
      <w:numPr>
        <w:numId w:val="7"/>
      </w:numPr>
    </w:pPr>
  </w:style>
  <w:style w:type="paragraph" w:customStyle="1" w:styleId="L1bulletpoints">
    <w:name w:val="L1 bullet points"/>
    <w:basedOn w:val="BodyText1"/>
    <w:link w:val="L1bulletpointsChar"/>
    <w:autoRedefine/>
    <w:qFormat/>
    <w:rsid w:val="00555F4B"/>
    <w:pPr>
      <w:numPr>
        <w:numId w:val="8"/>
      </w:numPr>
      <w:tabs>
        <w:tab w:val="left" w:pos="170"/>
        <w:tab w:val="left" w:pos="425"/>
        <w:tab w:val="left" w:pos="624"/>
        <w:tab w:val="left" w:pos="794"/>
      </w:tabs>
      <w:spacing w:after="60"/>
      <w:ind w:left="170" w:hanging="170"/>
      <w:contextualSpacing/>
    </w:pPr>
  </w:style>
  <w:style w:type="character" w:customStyle="1" w:styleId="L1bulletpointsChar">
    <w:name w:val="L1 bullet points Char"/>
    <w:basedOn w:val="DefaultParagraphFont"/>
    <w:link w:val="L1bulletpoints"/>
    <w:rsid w:val="00555F4B"/>
    <w:rPr>
      <w:rFonts w:ascii="Arial" w:hAnsi="Arial"/>
      <w:sz w:val="22"/>
      <w:lang w:val="en-AU"/>
    </w:rPr>
  </w:style>
  <w:style w:type="paragraph" w:customStyle="1" w:styleId="L2Bulletpoints">
    <w:name w:val="L2 Bullet points"/>
    <w:basedOn w:val="BodyText1"/>
    <w:link w:val="L2BulletpointsChar"/>
    <w:qFormat/>
    <w:rsid w:val="00555F4B"/>
    <w:pPr>
      <w:numPr>
        <w:numId w:val="9"/>
      </w:numPr>
      <w:tabs>
        <w:tab w:val="left" w:pos="170"/>
        <w:tab w:val="left" w:pos="624"/>
        <w:tab w:val="left" w:pos="794"/>
        <w:tab w:val="left" w:pos="1049"/>
      </w:tabs>
      <w:spacing w:after="60"/>
      <w:contextualSpacing/>
    </w:pPr>
  </w:style>
  <w:style w:type="character" w:customStyle="1" w:styleId="L2BulletpointsChar">
    <w:name w:val="L2 Bullet points Char"/>
    <w:basedOn w:val="DefaultParagraphFont"/>
    <w:link w:val="L2Bulletpoints"/>
    <w:rsid w:val="00555F4B"/>
    <w:rPr>
      <w:rFonts w:ascii="Arial" w:hAnsi="Arial"/>
      <w:sz w:val="22"/>
      <w:lang w:val="en-AU"/>
    </w:rPr>
  </w:style>
  <w:style w:type="paragraph" w:customStyle="1" w:styleId="ListbulletsL1">
    <w:name w:val="List bullets L1"/>
    <w:basedOn w:val="L1bulletpoints"/>
    <w:autoRedefine/>
    <w:qFormat/>
    <w:rsid w:val="00555F4B"/>
    <w:pPr>
      <w:ind w:left="794"/>
    </w:pPr>
  </w:style>
  <w:style w:type="paragraph" w:customStyle="1" w:styleId="ListbulletsL2">
    <w:name w:val="List bullets L2"/>
    <w:basedOn w:val="L2Bulletpoints"/>
    <w:autoRedefine/>
    <w:qFormat/>
    <w:rsid w:val="00555F4B"/>
    <w:pPr>
      <w:ind w:left="1049"/>
    </w:pPr>
  </w:style>
  <w:style w:type="paragraph" w:customStyle="1" w:styleId="Bodytextheading">
    <w:name w:val="Body text heading"/>
    <w:basedOn w:val="Bodytextbold"/>
    <w:next w:val="BodyText1"/>
    <w:qFormat/>
    <w:rsid w:val="00713DE6"/>
    <w:pPr>
      <w:spacing w:after="0"/>
    </w:pPr>
  </w:style>
  <w:style w:type="paragraph" w:styleId="NoSpacing">
    <w:name w:val="No Spacing"/>
    <w:uiPriority w:val="1"/>
    <w:qFormat/>
    <w:rsid w:val="006D56A8"/>
    <w:rPr>
      <w:rFonts w:ascii="Arial" w:hAnsi="Arial"/>
      <w:sz w:val="22"/>
    </w:rPr>
  </w:style>
  <w:style w:type="paragraph" w:customStyle="1" w:styleId="NameandDateTitleandDividerSlides">
    <w:name w:val="Name and Date (Title and Divider Slides)"/>
    <w:basedOn w:val="Normal"/>
    <w:uiPriority w:val="99"/>
    <w:rsid w:val="00D51687"/>
    <w:pPr>
      <w:widowControl w:val="0"/>
      <w:tabs>
        <w:tab w:val="left" w:pos="1327"/>
      </w:tabs>
      <w:suppressAutoHyphens/>
      <w:autoSpaceDE w:val="0"/>
      <w:autoSpaceDN w:val="0"/>
      <w:adjustRightInd w:val="0"/>
      <w:spacing w:line="360" w:lineRule="atLeast"/>
      <w:textAlignment w:val="center"/>
    </w:pPr>
    <w:rPr>
      <w:rFonts w:ascii="ArialMT" w:hAnsi="ArialMT" w:cs="ArialMT"/>
      <w:color w:val="000000"/>
      <w:sz w:val="32"/>
      <w:szCs w:val="32"/>
    </w:rPr>
  </w:style>
  <w:style w:type="paragraph" w:styleId="TOCHeading">
    <w:name w:val="TOC Heading"/>
    <w:basedOn w:val="Bodytextheading"/>
    <w:next w:val="Bodytextbold"/>
    <w:autoRedefine/>
    <w:uiPriority w:val="39"/>
    <w:unhideWhenUsed/>
    <w:qFormat/>
    <w:rsid w:val="00B535FC"/>
    <w:pPr>
      <w:spacing w:before="480" w:line="276" w:lineRule="auto"/>
    </w:pPr>
    <w:rPr>
      <w:rFonts w:asciiTheme="majorHAnsi" w:hAnsiTheme="majorHAnsi"/>
      <w:color w:val="000000" w:themeColor="text1"/>
      <w:sz w:val="32"/>
      <w:szCs w:val="28"/>
    </w:rPr>
  </w:style>
  <w:style w:type="paragraph" w:styleId="TOC1">
    <w:name w:val="toc 1"/>
    <w:basedOn w:val="Normal"/>
    <w:next w:val="Normal"/>
    <w:autoRedefine/>
    <w:uiPriority w:val="39"/>
    <w:unhideWhenUsed/>
    <w:qFormat/>
    <w:rsid w:val="00B535FC"/>
    <w:pPr>
      <w:tabs>
        <w:tab w:val="right" w:pos="10206"/>
      </w:tabs>
      <w:spacing w:before="140"/>
    </w:pPr>
    <w:rPr>
      <w:rFonts w:asciiTheme="minorHAnsi" w:hAnsiTheme="minorHAnsi"/>
      <w:b/>
      <w:bCs/>
      <w:noProof/>
      <w:sz w:val="24"/>
    </w:rPr>
  </w:style>
  <w:style w:type="paragraph" w:styleId="TOC2">
    <w:name w:val="toc 2"/>
    <w:basedOn w:val="Normal"/>
    <w:next w:val="Normal"/>
    <w:autoRedefine/>
    <w:uiPriority w:val="39"/>
    <w:unhideWhenUsed/>
    <w:qFormat/>
    <w:rsid w:val="00B111B6"/>
    <w:pPr>
      <w:tabs>
        <w:tab w:val="right" w:pos="10206"/>
      </w:tabs>
      <w:ind w:left="624"/>
    </w:pPr>
    <w:rPr>
      <w:rFonts w:asciiTheme="minorHAnsi" w:hAnsiTheme="minorHAnsi"/>
      <w:bCs/>
      <w:szCs w:val="22"/>
    </w:rPr>
  </w:style>
  <w:style w:type="paragraph" w:styleId="TOC3">
    <w:name w:val="toc 3"/>
    <w:basedOn w:val="Normal"/>
    <w:next w:val="Normal"/>
    <w:autoRedefine/>
    <w:uiPriority w:val="39"/>
    <w:unhideWhenUsed/>
    <w:qFormat/>
    <w:rsid w:val="00B111B6"/>
    <w:pPr>
      <w:tabs>
        <w:tab w:val="right" w:pos="10206"/>
      </w:tabs>
      <w:ind w:left="624"/>
    </w:pPr>
    <w:rPr>
      <w:rFonts w:asciiTheme="minorHAnsi" w:hAnsiTheme="minorHAnsi"/>
      <w:i/>
      <w:szCs w:val="22"/>
    </w:rPr>
  </w:style>
  <w:style w:type="paragraph" w:styleId="TOC4">
    <w:name w:val="toc 4"/>
    <w:basedOn w:val="Normal"/>
    <w:next w:val="Normal"/>
    <w:autoRedefine/>
    <w:uiPriority w:val="39"/>
    <w:unhideWhenUsed/>
    <w:rsid w:val="00DE17D2"/>
    <w:rPr>
      <w:rFonts w:asciiTheme="minorHAnsi" w:hAnsiTheme="minorHAnsi"/>
      <w:szCs w:val="22"/>
    </w:rPr>
  </w:style>
  <w:style w:type="paragraph" w:styleId="TOC5">
    <w:name w:val="toc 5"/>
    <w:basedOn w:val="Normal"/>
    <w:next w:val="Normal"/>
    <w:autoRedefine/>
    <w:uiPriority w:val="39"/>
    <w:unhideWhenUsed/>
    <w:rsid w:val="00DE17D2"/>
    <w:rPr>
      <w:rFonts w:asciiTheme="minorHAnsi" w:hAnsiTheme="minorHAnsi"/>
      <w:szCs w:val="22"/>
    </w:rPr>
  </w:style>
  <w:style w:type="paragraph" w:styleId="TOC6">
    <w:name w:val="toc 6"/>
    <w:basedOn w:val="Normal"/>
    <w:next w:val="Normal"/>
    <w:autoRedefine/>
    <w:uiPriority w:val="39"/>
    <w:unhideWhenUsed/>
    <w:rsid w:val="00DE17D2"/>
    <w:rPr>
      <w:rFonts w:asciiTheme="minorHAnsi" w:hAnsiTheme="minorHAnsi"/>
      <w:szCs w:val="22"/>
    </w:rPr>
  </w:style>
  <w:style w:type="paragraph" w:styleId="TOC7">
    <w:name w:val="toc 7"/>
    <w:basedOn w:val="Normal"/>
    <w:next w:val="Normal"/>
    <w:autoRedefine/>
    <w:uiPriority w:val="39"/>
    <w:unhideWhenUsed/>
    <w:rsid w:val="00DE17D2"/>
    <w:rPr>
      <w:rFonts w:asciiTheme="minorHAnsi" w:hAnsiTheme="minorHAnsi"/>
      <w:szCs w:val="22"/>
    </w:rPr>
  </w:style>
  <w:style w:type="paragraph" w:styleId="TOC8">
    <w:name w:val="toc 8"/>
    <w:basedOn w:val="Normal"/>
    <w:next w:val="Normal"/>
    <w:autoRedefine/>
    <w:uiPriority w:val="39"/>
    <w:unhideWhenUsed/>
    <w:rsid w:val="00DE17D2"/>
    <w:rPr>
      <w:rFonts w:asciiTheme="minorHAnsi" w:hAnsiTheme="minorHAnsi"/>
      <w:szCs w:val="22"/>
    </w:rPr>
  </w:style>
  <w:style w:type="paragraph" w:styleId="TOC9">
    <w:name w:val="toc 9"/>
    <w:basedOn w:val="Normal"/>
    <w:next w:val="Normal"/>
    <w:autoRedefine/>
    <w:uiPriority w:val="39"/>
    <w:unhideWhenUsed/>
    <w:rsid w:val="00DE17D2"/>
    <w:rPr>
      <w:rFonts w:asciiTheme="minorHAnsi" w:hAnsiTheme="minorHAnsi"/>
      <w:szCs w:val="22"/>
    </w:rPr>
  </w:style>
  <w:style w:type="character" w:styleId="PageNumber">
    <w:name w:val="page number"/>
    <w:basedOn w:val="DefaultParagraphFont"/>
    <w:uiPriority w:val="99"/>
    <w:semiHidden/>
    <w:unhideWhenUsed/>
    <w:rsid w:val="008E560B"/>
    <w:rPr>
      <w:rFonts w:ascii="Arial" w:hAnsi="Arial"/>
      <w:b w:val="0"/>
      <w:bCs w:val="0"/>
      <w:i w:val="0"/>
      <w:iCs w:val="0"/>
      <w:caps w:val="0"/>
      <w:smallCaps w:val="0"/>
      <w:strike w:val="0"/>
      <w:dstrike w:val="0"/>
      <w:vanish w:val="0"/>
      <w:sz w:val="18"/>
      <w:szCs w:val="18"/>
      <w:vertAlign w:val="baseline"/>
    </w:rPr>
  </w:style>
  <w:style w:type="paragraph" w:customStyle="1" w:styleId="BasicParagraph">
    <w:name w:val="[Basic Paragraph]"/>
    <w:basedOn w:val="Normal"/>
    <w:uiPriority w:val="99"/>
    <w:rsid w:val="00995559"/>
    <w:pPr>
      <w:widowControl w:val="0"/>
      <w:autoSpaceDE w:val="0"/>
      <w:autoSpaceDN w:val="0"/>
      <w:adjustRightInd w:val="0"/>
      <w:spacing w:line="288" w:lineRule="auto"/>
      <w:textAlignment w:val="center"/>
    </w:pPr>
    <w:rPr>
      <w:rFonts w:ascii="MinionPro-Regular" w:hAnsi="MinionPro-Regular" w:cs="MinionPro-Regular"/>
      <w:color w:val="000000"/>
      <w:sz w:val="24"/>
      <w:lang w:val="en-GB"/>
    </w:rPr>
  </w:style>
  <w:style w:type="paragraph" w:customStyle="1" w:styleId="Style1">
    <w:name w:val="Style1"/>
    <w:basedOn w:val="Footer"/>
    <w:qFormat/>
    <w:rsid w:val="00B13873"/>
    <w:pPr>
      <w:framePr w:wrap="around" w:vAnchor="text" w:hAnchor="margin" w:xAlign="right" w:y="1"/>
      <w:jc w:val="right"/>
    </w:pPr>
    <w:rPr>
      <w:vertAlign w:val="subscript"/>
    </w:rPr>
  </w:style>
  <w:style w:type="paragraph" w:customStyle="1" w:styleId="NameandDate">
    <w:name w:val="Name and Date"/>
    <w:basedOn w:val="Normal"/>
    <w:next w:val="BodyText1"/>
    <w:uiPriority w:val="99"/>
    <w:qFormat/>
    <w:rsid w:val="00EE470A"/>
    <w:pPr>
      <w:widowControl w:val="0"/>
      <w:tabs>
        <w:tab w:val="left" w:pos="1327"/>
      </w:tabs>
      <w:suppressAutoHyphens/>
      <w:autoSpaceDE w:val="0"/>
      <w:autoSpaceDN w:val="0"/>
      <w:adjustRightInd w:val="0"/>
      <w:spacing w:after="40" w:line="300" w:lineRule="atLeast"/>
      <w:textAlignment w:val="center"/>
    </w:pPr>
    <w:rPr>
      <w:rFonts w:asciiTheme="minorHAnsi" w:hAnsiTheme="minorHAnsi" w:cs="ArialMT"/>
      <w:color w:val="012169"/>
      <w:sz w:val="24"/>
      <w:szCs w:val="32"/>
    </w:rPr>
  </w:style>
  <w:style w:type="paragraph" w:styleId="Subtitle">
    <w:name w:val="Subtitle"/>
    <w:basedOn w:val="Normal"/>
    <w:next w:val="Normal"/>
    <w:link w:val="SubtitleChar"/>
    <w:uiPriority w:val="11"/>
    <w:rsid w:val="00555F4B"/>
    <w:pPr>
      <w:numPr>
        <w:ilvl w:val="1"/>
      </w:numPr>
    </w:pPr>
    <w:rPr>
      <w:rFonts w:asciiTheme="majorHAnsi" w:eastAsiaTheme="majorEastAsia" w:hAnsiTheme="majorHAnsi" w:cstheme="majorBidi"/>
      <w:i/>
      <w:iCs/>
      <w:spacing w:val="15"/>
      <w:sz w:val="24"/>
    </w:rPr>
  </w:style>
  <w:style w:type="character" w:customStyle="1" w:styleId="SubtitleChar">
    <w:name w:val="Subtitle Char"/>
    <w:basedOn w:val="DefaultParagraphFont"/>
    <w:link w:val="Subtitle"/>
    <w:uiPriority w:val="11"/>
    <w:rsid w:val="00555F4B"/>
    <w:rPr>
      <w:rFonts w:asciiTheme="majorHAnsi" w:eastAsiaTheme="majorEastAsia" w:hAnsiTheme="majorHAnsi" w:cstheme="majorBidi"/>
      <w:i/>
      <w:iCs/>
      <w:spacing w:val="15"/>
    </w:rPr>
  </w:style>
  <w:style w:type="paragraph" w:customStyle="1" w:styleId="DOCUMENTTITLE">
    <w:name w:val="DOCUMENT TITLE"/>
    <w:basedOn w:val="Normal"/>
    <w:next w:val="Normal"/>
    <w:qFormat/>
    <w:rsid w:val="00FC4602"/>
    <w:pPr>
      <w:spacing w:line="440" w:lineRule="atLeast"/>
    </w:pPr>
    <w:rPr>
      <w:rFonts w:eastAsiaTheme="minorHAnsi"/>
      <w:caps/>
      <w:sz w:val="36"/>
      <w:szCs w:val="36"/>
      <w:lang w:val="en-US"/>
    </w:rPr>
  </w:style>
  <w:style w:type="numbering" w:customStyle="1" w:styleId="NoList1">
    <w:name w:val="No List1"/>
    <w:next w:val="NoList"/>
    <w:uiPriority w:val="99"/>
    <w:semiHidden/>
    <w:unhideWhenUsed/>
    <w:rsid w:val="00034B91"/>
  </w:style>
  <w:style w:type="paragraph" w:customStyle="1" w:styleId="FPA-body">
    <w:name w:val="FPA-body"/>
    <w:basedOn w:val="Normal"/>
    <w:rsid w:val="00034B91"/>
    <w:pPr>
      <w:keepLines/>
      <w:suppressAutoHyphens/>
      <w:autoSpaceDE w:val="0"/>
      <w:autoSpaceDN w:val="0"/>
      <w:adjustRightInd w:val="0"/>
      <w:spacing w:after="142" w:line="240" w:lineRule="atLeast"/>
      <w:textAlignment w:val="center"/>
    </w:pPr>
    <w:rPr>
      <w:rFonts w:eastAsia="Times New Roman" w:cs="ArialMT"/>
      <w:color w:val="000000"/>
      <w:sz w:val="18"/>
      <w:szCs w:val="18"/>
      <w:lang w:val="en-GB" w:bidi="en-US"/>
    </w:rPr>
  </w:style>
  <w:style w:type="character" w:styleId="FootnoteReference">
    <w:name w:val="footnote reference"/>
    <w:rsid w:val="00034B91"/>
    <w:rPr>
      <w:rFonts w:cs="Times New Roman"/>
      <w:vertAlign w:val="superscript"/>
    </w:rPr>
  </w:style>
  <w:style w:type="character" w:styleId="Hyperlink">
    <w:name w:val="Hyperlink"/>
    <w:uiPriority w:val="99"/>
    <w:unhideWhenUsed/>
    <w:rsid w:val="00034B91"/>
    <w:rPr>
      <w:color w:val="0000FF"/>
      <w:u w:val="single"/>
    </w:rPr>
  </w:style>
  <w:style w:type="paragraph" w:customStyle="1" w:styleId="Body1">
    <w:name w:val="Body 1"/>
    <w:rsid w:val="00034B91"/>
    <w:pPr>
      <w:outlineLvl w:val="0"/>
    </w:pPr>
    <w:rPr>
      <w:rFonts w:ascii="Helvetica" w:eastAsia="ヒラギノ角ゴ Pro W3" w:hAnsi="Helvetica" w:cs="Times New Roman"/>
      <w:color w:val="000000"/>
      <w:szCs w:val="20"/>
      <w:lang w:eastAsia="en-AU"/>
    </w:rPr>
  </w:style>
  <w:style w:type="paragraph" w:styleId="PlainText">
    <w:name w:val="Plain Text"/>
    <w:basedOn w:val="Normal"/>
    <w:link w:val="PlainTextChar"/>
    <w:uiPriority w:val="99"/>
    <w:semiHidden/>
    <w:unhideWhenUsed/>
    <w:rsid w:val="00034B91"/>
    <w:pPr>
      <w:spacing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034B91"/>
    <w:rPr>
      <w:rFonts w:ascii="Calibri" w:eastAsiaTheme="minorHAnsi" w:hAnsi="Calibri"/>
      <w:sz w:val="22"/>
      <w:szCs w:val="21"/>
      <w:lang w:val="en-AU"/>
    </w:rPr>
  </w:style>
  <w:style w:type="table" w:customStyle="1" w:styleId="TableGrid1">
    <w:name w:val="Table Grid1"/>
    <w:basedOn w:val="TableNormal"/>
    <w:next w:val="TableGrid"/>
    <w:uiPriority w:val="59"/>
    <w:rsid w:val="00034B91"/>
    <w:rPr>
      <w:rFonts w:eastAsiaTheme="minorHAnsi"/>
      <w:sz w:val="22"/>
      <w:szCs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34B91"/>
    <w:rPr>
      <w:b/>
      <w:bCs/>
    </w:rPr>
  </w:style>
  <w:style w:type="paragraph" w:styleId="NormalWeb">
    <w:name w:val="Normal (Web)"/>
    <w:basedOn w:val="Normal"/>
    <w:uiPriority w:val="99"/>
    <w:semiHidden/>
    <w:unhideWhenUsed/>
    <w:rsid w:val="00034B91"/>
    <w:pPr>
      <w:spacing w:before="100" w:beforeAutospacing="1" w:after="100" w:afterAutospacing="1" w:line="240" w:lineRule="auto"/>
    </w:pPr>
    <w:rPr>
      <w:rFonts w:ascii="Times New Roman" w:eastAsia="Times New Roman" w:hAnsi="Times New Roman" w:cs="Times New Roman"/>
      <w:sz w:val="24"/>
      <w:lang w:eastAsia="en-AU"/>
    </w:rPr>
  </w:style>
  <w:style w:type="character" w:styleId="Emphasis">
    <w:name w:val="Emphasis"/>
    <w:basedOn w:val="DefaultParagraphFont"/>
    <w:uiPriority w:val="20"/>
    <w:qFormat/>
    <w:rsid w:val="00034B91"/>
    <w:rPr>
      <w:i/>
      <w:iCs/>
    </w:rPr>
  </w:style>
  <w:style w:type="paragraph" w:styleId="FootnoteText">
    <w:name w:val="footnote text"/>
    <w:basedOn w:val="Normal"/>
    <w:link w:val="FootnoteTextChar"/>
    <w:uiPriority w:val="99"/>
    <w:rsid w:val="00034B91"/>
    <w:pPr>
      <w:spacing w:line="240" w:lineRule="auto"/>
      <w:jc w:val="both"/>
    </w:pPr>
    <w:rPr>
      <w:rFonts w:eastAsia="Times New Roman" w:cs="Arial"/>
      <w:sz w:val="20"/>
      <w:szCs w:val="20"/>
    </w:rPr>
  </w:style>
  <w:style w:type="character" w:customStyle="1" w:styleId="FootnoteTextChar">
    <w:name w:val="Footnote Text Char"/>
    <w:basedOn w:val="DefaultParagraphFont"/>
    <w:link w:val="FootnoteText"/>
    <w:uiPriority w:val="99"/>
    <w:rsid w:val="00034B91"/>
    <w:rPr>
      <w:rFonts w:ascii="Arial" w:eastAsia="Times New Roman" w:hAnsi="Arial" w:cs="Arial"/>
      <w:sz w:val="20"/>
      <w:szCs w:val="20"/>
      <w:lang w:val="en-AU"/>
    </w:rPr>
  </w:style>
  <w:style w:type="character" w:styleId="CommentReference">
    <w:name w:val="annotation reference"/>
    <w:basedOn w:val="DefaultParagraphFont"/>
    <w:uiPriority w:val="99"/>
    <w:semiHidden/>
    <w:unhideWhenUsed/>
    <w:rsid w:val="00034B91"/>
    <w:rPr>
      <w:sz w:val="18"/>
      <w:szCs w:val="18"/>
    </w:rPr>
  </w:style>
  <w:style w:type="paragraph" w:styleId="CommentText">
    <w:name w:val="annotation text"/>
    <w:basedOn w:val="Normal"/>
    <w:link w:val="CommentTextChar"/>
    <w:uiPriority w:val="99"/>
    <w:semiHidden/>
    <w:unhideWhenUsed/>
    <w:rsid w:val="00034B91"/>
    <w:pPr>
      <w:spacing w:line="240" w:lineRule="auto"/>
    </w:pPr>
    <w:rPr>
      <w:rFonts w:ascii="Calibri" w:eastAsiaTheme="minorHAnsi" w:hAnsi="Calibri" w:cs="Times New Roman"/>
      <w:sz w:val="24"/>
    </w:rPr>
  </w:style>
  <w:style w:type="character" w:customStyle="1" w:styleId="CommentTextChar">
    <w:name w:val="Comment Text Char"/>
    <w:basedOn w:val="DefaultParagraphFont"/>
    <w:link w:val="CommentText"/>
    <w:uiPriority w:val="99"/>
    <w:semiHidden/>
    <w:rsid w:val="00034B91"/>
    <w:rPr>
      <w:rFonts w:ascii="Calibri" w:eastAsiaTheme="minorHAnsi" w:hAnsi="Calibri" w:cs="Times New Roman"/>
      <w:lang w:val="en-AU"/>
    </w:rPr>
  </w:style>
  <w:style w:type="paragraph" w:styleId="CommentSubject">
    <w:name w:val="annotation subject"/>
    <w:basedOn w:val="CommentText"/>
    <w:next w:val="CommentText"/>
    <w:link w:val="CommentSubjectChar"/>
    <w:uiPriority w:val="99"/>
    <w:semiHidden/>
    <w:unhideWhenUsed/>
    <w:rsid w:val="00034B91"/>
    <w:rPr>
      <w:b/>
      <w:bCs/>
      <w:sz w:val="20"/>
      <w:szCs w:val="20"/>
    </w:rPr>
  </w:style>
  <w:style w:type="character" w:customStyle="1" w:styleId="CommentSubjectChar">
    <w:name w:val="Comment Subject Char"/>
    <w:basedOn w:val="CommentTextChar"/>
    <w:link w:val="CommentSubject"/>
    <w:uiPriority w:val="99"/>
    <w:semiHidden/>
    <w:rsid w:val="00034B91"/>
    <w:rPr>
      <w:rFonts w:ascii="Calibri" w:eastAsiaTheme="minorHAnsi" w:hAnsi="Calibri" w:cs="Times New Roman"/>
      <w:b/>
      <w:bCs/>
      <w:sz w:val="20"/>
      <w:szCs w:val="20"/>
      <w:lang w:val="en-AU"/>
    </w:rPr>
  </w:style>
  <w:style w:type="paragraph" w:customStyle="1" w:styleId="Normal1">
    <w:name w:val="Normal1"/>
    <w:rsid w:val="00034B91"/>
    <w:pPr>
      <w:spacing w:line="276" w:lineRule="auto"/>
    </w:pPr>
    <w:rPr>
      <w:rFonts w:ascii="Arial" w:eastAsia="Arial" w:hAnsi="Arial" w:cs="Arial"/>
      <w:color w:val="000000"/>
      <w:sz w:val="22"/>
      <w:szCs w:val="22"/>
      <w:lang w:val="en-AU" w:eastAsia="en-AU"/>
    </w:rPr>
  </w:style>
  <w:style w:type="character" w:styleId="FollowedHyperlink">
    <w:name w:val="FollowedHyperlink"/>
    <w:basedOn w:val="DefaultParagraphFont"/>
    <w:uiPriority w:val="99"/>
    <w:semiHidden/>
    <w:unhideWhenUsed/>
    <w:rsid w:val="00A10D19"/>
    <w:rPr>
      <w:color w:val="800080" w:themeColor="followedHyperlink"/>
      <w:u w:val="single"/>
    </w:rPr>
  </w:style>
  <w:style w:type="paragraph" w:styleId="Revision">
    <w:name w:val="Revision"/>
    <w:hidden/>
    <w:uiPriority w:val="99"/>
    <w:semiHidden/>
    <w:rsid w:val="005D5A70"/>
    <w:rPr>
      <w:rFonts w:ascii="Arial" w:hAnsi="Arial"/>
      <w:sz w:val="22"/>
      <w:lang w:val="en-AU"/>
    </w:rPr>
  </w:style>
  <w:style w:type="paragraph" w:styleId="DocumentMap">
    <w:name w:val="Document Map"/>
    <w:basedOn w:val="Normal"/>
    <w:link w:val="DocumentMapChar"/>
    <w:uiPriority w:val="99"/>
    <w:semiHidden/>
    <w:unhideWhenUsed/>
    <w:rsid w:val="00975BFB"/>
    <w:pPr>
      <w:spacing w:line="240" w:lineRule="auto"/>
    </w:pPr>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975BFB"/>
    <w:rPr>
      <w:rFonts w:ascii="Lucida Grande" w:hAnsi="Lucida Grande" w:cs="Lucida Grande"/>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27937"/>
    <w:pPr>
      <w:spacing w:line="280" w:lineRule="atLeast"/>
    </w:pPr>
    <w:rPr>
      <w:rFonts w:ascii="Arial" w:hAnsi="Arial"/>
      <w:sz w:val="22"/>
      <w:lang w:val="en-AU"/>
    </w:rPr>
  </w:style>
  <w:style w:type="paragraph" w:styleId="Heading1">
    <w:name w:val="heading 1"/>
    <w:basedOn w:val="Normal"/>
    <w:next w:val="Normal"/>
    <w:link w:val="Heading1Char"/>
    <w:uiPriority w:val="9"/>
    <w:qFormat/>
    <w:rsid w:val="00134AB2"/>
    <w:pPr>
      <w:keepNext/>
      <w:keepLines/>
      <w:spacing w:before="160" w:after="80" w:line="320" w:lineRule="exac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D01FD3"/>
    <w:pPr>
      <w:keepNext/>
      <w:keepLines/>
      <w:spacing w:before="140"/>
      <w:outlineLvl w:val="1"/>
    </w:pPr>
    <w:rPr>
      <w:rFonts w:eastAsiaTheme="majorEastAsia" w:cstheme="majorBidi"/>
      <w:b/>
      <w:bCs/>
      <w:szCs w:val="26"/>
    </w:rPr>
  </w:style>
  <w:style w:type="paragraph" w:styleId="Heading3">
    <w:name w:val="heading 3"/>
    <w:basedOn w:val="Normal"/>
    <w:next w:val="BodyText1"/>
    <w:link w:val="Heading3Char"/>
    <w:uiPriority w:val="9"/>
    <w:unhideWhenUsed/>
    <w:qFormat/>
    <w:rsid w:val="004F7AD4"/>
    <w:pPr>
      <w:keepNext/>
      <w:keepLines/>
      <w:outlineLvl w:val="2"/>
    </w:pPr>
    <w:rPr>
      <w:rFonts w:asciiTheme="majorHAnsi" w:eastAsiaTheme="majorEastAsia" w:hAnsiTheme="majorHAnsi" w:cstheme="majorBidi"/>
      <w:bCs/>
      <w:i/>
      <w:color w:val="000000" w:themeColor="text1"/>
    </w:rPr>
  </w:style>
  <w:style w:type="paragraph" w:styleId="Heading4">
    <w:name w:val="heading 4"/>
    <w:basedOn w:val="Normal"/>
    <w:next w:val="Normal"/>
    <w:link w:val="Heading4Char"/>
    <w:uiPriority w:val="9"/>
    <w:unhideWhenUsed/>
    <w:qFormat/>
    <w:rsid w:val="00555F4B"/>
    <w:pPr>
      <w:keepNext/>
      <w:keepLines/>
      <w:spacing w:before="200"/>
      <w:outlineLvl w:val="3"/>
    </w:pPr>
    <w:rPr>
      <w:rFonts w:asciiTheme="majorHAnsi" w:eastAsiaTheme="majorEastAsia" w:hAnsiTheme="majorHAnsi" w:cstheme="majorBidi"/>
      <w:b/>
      <w:bCs/>
      <w:i/>
      <w:iCs/>
      <w:color w:val="012169"/>
    </w:rPr>
  </w:style>
  <w:style w:type="paragraph" w:styleId="Heading5">
    <w:name w:val="heading 5"/>
    <w:basedOn w:val="Normal"/>
    <w:next w:val="Normal"/>
    <w:link w:val="Heading5Char"/>
    <w:uiPriority w:val="9"/>
    <w:semiHidden/>
    <w:unhideWhenUsed/>
    <w:qFormat/>
    <w:rsid w:val="00555F4B"/>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55F4B"/>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55F4B"/>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55F4B"/>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55F4B"/>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9113B9"/>
    <w:pPr>
      <w:spacing w:after="140"/>
    </w:pPr>
  </w:style>
  <w:style w:type="paragraph" w:styleId="Header">
    <w:name w:val="header"/>
    <w:basedOn w:val="Normal"/>
    <w:link w:val="HeaderChar"/>
    <w:unhideWhenUsed/>
    <w:rsid w:val="00305407"/>
    <w:pPr>
      <w:tabs>
        <w:tab w:val="center" w:pos="4320"/>
        <w:tab w:val="right" w:pos="8640"/>
      </w:tabs>
      <w:spacing w:line="240" w:lineRule="auto"/>
    </w:pPr>
  </w:style>
  <w:style w:type="character" w:customStyle="1" w:styleId="HeaderChar">
    <w:name w:val="Header Char"/>
    <w:basedOn w:val="DefaultParagraphFont"/>
    <w:link w:val="Header"/>
    <w:rsid w:val="00305407"/>
    <w:rPr>
      <w:rFonts w:ascii="Arial" w:hAnsi="Arial"/>
      <w:sz w:val="22"/>
    </w:rPr>
  </w:style>
  <w:style w:type="paragraph" w:styleId="Footer">
    <w:name w:val="footer"/>
    <w:basedOn w:val="Normal"/>
    <w:link w:val="FooterChar"/>
    <w:uiPriority w:val="99"/>
    <w:unhideWhenUsed/>
    <w:rsid w:val="00305407"/>
    <w:pPr>
      <w:tabs>
        <w:tab w:val="center" w:pos="4320"/>
        <w:tab w:val="right" w:pos="8640"/>
      </w:tabs>
      <w:spacing w:line="240" w:lineRule="auto"/>
    </w:pPr>
  </w:style>
  <w:style w:type="character" w:customStyle="1" w:styleId="FooterChar">
    <w:name w:val="Footer Char"/>
    <w:basedOn w:val="DefaultParagraphFont"/>
    <w:link w:val="Footer"/>
    <w:uiPriority w:val="99"/>
    <w:rsid w:val="00305407"/>
    <w:rPr>
      <w:rFonts w:ascii="Arial" w:hAnsi="Arial"/>
      <w:sz w:val="22"/>
    </w:rPr>
  </w:style>
  <w:style w:type="paragraph" w:styleId="BalloonText">
    <w:name w:val="Balloon Text"/>
    <w:basedOn w:val="Normal"/>
    <w:link w:val="BalloonTextChar"/>
    <w:uiPriority w:val="99"/>
    <w:semiHidden/>
    <w:unhideWhenUsed/>
    <w:rsid w:val="00305407"/>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5407"/>
    <w:rPr>
      <w:rFonts w:ascii="Lucida Grande" w:hAnsi="Lucida Grande" w:cs="Lucida Grande"/>
      <w:sz w:val="18"/>
      <w:szCs w:val="18"/>
    </w:rPr>
  </w:style>
  <w:style w:type="table" w:styleId="TableGrid">
    <w:name w:val="Table Grid"/>
    <w:basedOn w:val="TableNormal"/>
    <w:uiPriority w:val="39"/>
    <w:rsid w:val="00022B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bold">
    <w:name w:val="Body text bold"/>
    <w:basedOn w:val="BodyText1"/>
    <w:qFormat/>
    <w:rsid w:val="00FE6CEC"/>
    <w:rPr>
      <w:b/>
    </w:rPr>
  </w:style>
  <w:style w:type="paragraph" w:customStyle="1" w:styleId="FaxFields">
    <w:name w:val="Fax Fields"/>
    <w:basedOn w:val="Normal"/>
    <w:uiPriority w:val="99"/>
    <w:rsid w:val="00437382"/>
    <w:pPr>
      <w:widowControl w:val="0"/>
      <w:tabs>
        <w:tab w:val="left" w:pos="255"/>
      </w:tabs>
      <w:suppressAutoHyphens/>
      <w:autoSpaceDE w:val="0"/>
      <w:autoSpaceDN w:val="0"/>
      <w:adjustRightInd w:val="0"/>
      <w:spacing w:line="200" w:lineRule="atLeast"/>
      <w:textAlignment w:val="center"/>
    </w:pPr>
    <w:rPr>
      <w:rFonts w:ascii="Arial-BoldMT" w:hAnsi="Arial-BoldMT" w:cs="Arial-BoldMT"/>
      <w:b/>
      <w:bCs/>
      <w:color w:val="000000"/>
      <w:sz w:val="16"/>
      <w:szCs w:val="16"/>
    </w:rPr>
  </w:style>
  <w:style w:type="character" w:customStyle="1" w:styleId="Heading2Char">
    <w:name w:val="Heading 2 Char"/>
    <w:basedOn w:val="DefaultParagraphFont"/>
    <w:link w:val="Heading2"/>
    <w:uiPriority w:val="9"/>
    <w:rsid w:val="00D01FD3"/>
    <w:rPr>
      <w:rFonts w:ascii="Arial" w:eastAsiaTheme="majorEastAsia" w:hAnsi="Arial" w:cstheme="majorBidi"/>
      <w:b/>
      <w:bCs/>
      <w:sz w:val="22"/>
      <w:szCs w:val="26"/>
    </w:rPr>
  </w:style>
  <w:style w:type="character" w:customStyle="1" w:styleId="Heading1Char">
    <w:name w:val="Heading 1 Char"/>
    <w:basedOn w:val="DefaultParagraphFont"/>
    <w:link w:val="Heading1"/>
    <w:uiPriority w:val="9"/>
    <w:rsid w:val="00134AB2"/>
    <w:rPr>
      <w:rFonts w:ascii="Arial" w:eastAsiaTheme="majorEastAsia" w:hAnsi="Arial" w:cstheme="majorBidi"/>
      <w:b/>
      <w:bCs/>
      <w:sz w:val="32"/>
      <w:szCs w:val="32"/>
    </w:rPr>
  </w:style>
  <w:style w:type="numbering" w:customStyle="1" w:styleId="SHJAgendalist">
    <w:name w:val="SHJ Agenda list"/>
    <w:uiPriority w:val="99"/>
    <w:rsid w:val="00555F4B"/>
    <w:pPr>
      <w:numPr>
        <w:numId w:val="5"/>
      </w:numPr>
    </w:pPr>
  </w:style>
  <w:style w:type="paragraph" w:customStyle="1" w:styleId="SampleBodyCopySampleCopy">
    <w:name w:val="Sample Body Copy (Sample Copy)"/>
    <w:basedOn w:val="Normal"/>
    <w:uiPriority w:val="99"/>
    <w:rsid w:val="000E4209"/>
    <w:pPr>
      <w:widowControl w:val="0"/>
      <w:suppressAutoHyphens/>
      <w:autoSpaceDE w:val="0"/>
      <w:autoSpaceDN w:val="0"/>
      <w:adjustRightInd w:val="0"/>
      <w:spacing w:after="140"/>
      <w:textAlignment w:val="center"/>
    </w:pPr>
    <w:rPr>
      <w:rFonts w:ascii="ArialMT" w:hAnsi="ArialMT" w:cs="ArialMT"/>
      <w:color w:val="000000"/>
      <w:szCs w:val="22"/>
    </w:rPr>
  </w:style>
  <w:style w:type="numbering" w:customStyle="1" w:styleId="SHJAgendaitems">
    <w:name w:val="SHJ Agenda items"/>
    <w:basedOn w:val="NoList"/>
    <w:uiPriority w:val="99"/>
    <w:rsid w:val="00555F4B"/>
    <w:pPr>
      <w:numPr>
        <w:numId w:val="6"/>
      </w:numPr>
    </w:pPr>
  </w:style>
  <w:style w:type="character" w:customStyle="1" w:styleId="Heading3Char">
    <w:name w:val="Heading 3 Char"/>
    <w:basedOn w:val="DefaultParagraphFont"/>
    <w:link w:val="Heading3"/>
    <w:uiPriority w:val="9"/>
    <w:rsid w:val="004F7AD4"/>
    <w:rPr>
      <w:rFonts w:asciiTheme="majorHAnsi" w:eastAsiaTheme="majorEastAsia" w:hAnsiTheme="majorHAnsi" w:cstheme="majorBidi"/>
      <w:bCs/>
      <w:i/>
      <w:color w:val="000000" w:themeColor="text1"/>
      <w:sz w:val="22"/>
    </w:rPr>
  </w:style>
  <w:style w:type="character" w:customStyle="1" w:styleId="Heading4Char">
    <w:name w:val="Heading 4 Char"/>
    <w:basedOn w:val="DefaultParagraphFont"/>
    <w:link w:val="Heading4"/>
    <w:uiPriority w:val="9"/>
    <w:rsid w:val="00555F4B"/>
    <w:rPr>
      <w:rFonts w:asciiTheme="majorHAnsi" w:eastAsiaTheme="majorEastAsia" w:hAnsiTheme="majorHAnsi" w:cstheme="majorBidi"/>
      <w:b/>
      <w:bCs/>
      <w:i/>
      <w:iCs/>
      <w:color w:val="012169"/>
      <w:sz w:val="22"/>
    </w:rPr>
  </w:style>
  <w:style w:type="character" w:customStyle="1" w:styleId="Heading5Char">
    <w:name w:val="Heading 5 Char"/>
    <w:basedOn w:val="DefaultParagraphFont"/>
    <w:link w:val="Heading5"/>
    <w:uiPriority w:val="9"/>
    <w:semiHidden/>
    <w:rsid w:val="00555F4B"/>
    <w:rPr>
      <w:rFonts w:asciiTheme="majorHAnsi" w:eastAsiaTheme="majorEastAsia" w:hAnsiTheme="majorHAnsi" w:cstheme="majorBidi"/>
      <w:color w:val="243F60" w:themeColor="accent1" w:themeShade="7F"/>
      <w:sz w:val="22"/>
      <w:lang w:val="en-AU"/>
    </w:rPr>
  </w:style>
  <w:style w:type="character" w:customStyle="1" w:styleId="Heading6Char">
    <w:name w:val="Heading 6 Char"/>
    <w:basedOn w:val="DefaultParagraphFont"/>
    <w:link w:val="Heading6"/>
    <w:uiPriority w:val="9"/>
    <w:semiHidden/>
    <w:rsid w:val="00555F4B"/>
    <w:rPr>
      <w:rFonts w:asciiTheme="majorHAnsi" w:eastAsiaTheme="majorEastAsia" w:hAnsiTheme="majorHAnsi" w:cstheme="majorBidi"/>
      <w:i/>
      <w:iCs/>
      <w:color w:val="243F60" w:themeColor="accent1" w:themeShade="7F"/>
      <w:sz w:val="22"/>
      <w:lang w:val="en-AU"/>
    </w:rPr>
  </w:style>
  <w:style w:type="character" w:customStyle="1" w:styleId="Heading7Char">
    <w:name w:val="Heading 7 Char"/>
    <w:basedOn w:val="DefaultParagraphFont"/>
    <w:link w:val="Heading7"/>
    <w:uiPriority w:val="9"/>
    <w:semiHidden/>
    <w:rsid w:val="00555F4B"/>
    <w:rPr>
      <w:rFonts w:asciiTheme="majorHAnsi" w:eastAsiaTheme="majorEastAsia" w:hAnsiTheme="majorHAnsi" w:cstheme="majorBidi"/>
      <w:i/>
      <w:iCs/>
      <w:color w:val="404040" w:themeColor="text1" w:themeTint="BF"/>
      <w:sz w:val="22"/>
      <w:lang w:val="en-AU"/>
    </w:rPr>
  </w:style>
  <w:style w:type="character" w:customStyle="1" w:styleId="Heading8Char">
    <w:name w:val="Heading 8 Char"/>
    <w:basedOn w:val="DefaultParagraphFont"/>
    <w:link w:val="Heading8"/>
    <w:uiPriority w:val="9"/>
    <w:semiHidden/>
    <w:rsid w:val="00555F4B"/>
    <w:rPr>
      <w:rFonts w:asciiTheme="majorHAnsi" w:eastAsiaTheme="majorEastAsia" w:hAnsiTheme="majorHAnsi" w:cstheme="majorBidi"/>
      <w:color w:val="404040" w:themeColor="text1" w:themeTint="BF"/>
      <w:sz w:val="20"/>
      <w:szCs w:val="20"/>
      <w:lang w:val="en-AU"/>
    </w:rPr>
  </w:style>
  <w:style w:type="character" w:customStyle="1" w:styleId="Heading9Char">
    <w:name w:val="Heading 9 Char"/>
    <w:basedOn w:val="DefaultParagraphFont"/>
    <w:link w:val="Heading9"/>
    <w:uiPriority w:val="9"/>
    <w:semiHidden/>
    <w:rsid w:val="00555F4B"/>
    <w:rPr>
      <w:rFonts w:asciiTheme="majorHAnsi" w:eastAsiaTheme="majorEastAsia" w:hAnsiTheme="majorHAnsi" w:cstheme="majorBidi"/>
      <w:i/>
      <w:iCs/>
      <w:color w:val="404040" w:themeColor="text1" w:themeTint="BF"/>
      <w:sz w:val="20"/>
      <w:szCs w:val="20"/>
      <w:lang w:val="en-AU"/>
    </w:rPr>
  </w:style>
  <w:style w:type="paragraph" w:styleId="ListParagraph">
    <w:name w:val="List Paragraph"/>
    <w:basedOn w:val="BodyText1"/>
    <w:uiPriority w:val="34"/>
    <w:qFormat/>
    <w:rsid w:val="00555F4B"/>
    <w:pPr>
      <w:numPr>
        <w:ilvl w:val="2"/>
        <w:numId w:val="4"/>
      </w:numPr>
    </w:pPr>
  </w:style>
  <w:style w:type="numbering" w:customStyle="1" w:styleId="CurrentList1">
    <w:name w:val="Current List1"/>
    <w:uiPriority w:val="99"/>
    <w:rsid w:val="00555F4B"/>
    <w:pPr>
      <w:numPr>
        <w:numId w:val="1"/>
      </w:numPr>
    </w:pPr>
  </w:style>
  <w:style w:type="numbering" w:customStyle="1" w:styleId="CurrentList2">
    <w:name w:val="Current List2"/>
    <w:uiPriority w:val="99"/>
    <w:rsid w:val="00555F4B"/>
    <w:pPr>
      <w:numPr>
        <w:numId w:val="2"/>
      </w:numPr>
    </w:pPr>
  </w:style>
  <w:style w:type="paragraph" w:customStyle="1" w:styleId="ListstyleL1">
    <w:name w:val="List style L1"/>
    <w:next w:val="ListstyleL2"/>
    <w:qFormat/>
    <w:rsid w:val="00555F4B"/>
    <w:pPr>
      <w:numPr>
        <w:numId w:val="4"/>
      </w:numPr>
      <w:spacing w:before="160" w:after="80" w:line="320" w:lineRule="exact"/>
    </w:pPr>
    <w:rPr>
      <w:rFonts w:ascii="Arial" w:hAnsi="Arial"/>
      <w:b/>
      <w:sz w:val="26"/>
      <w:szCs w:val="26"/>
    </w:rPr>
  </w:style>
  <w:style w:type="paragraph" w:customStyle="1" w:styleId="ListstyleL2">
    <w:name w:val="List style L2"/>
    <w:next w:val="ListParagraph"/>
    <w:qFormat/>
    <w:rsid w:val="00555F4B"/>
    <w:pPr>
      <w:numPr>
        <w:ilvl w:val="1"/>
        <w:numId w:val="4"/>
      </w:numPr>
    </w:pPr>
    <w:rPr>
      <w:rFonts w:ascii="Arial" w:hAnsi="Arial"/>
      <w:b/>
      <w:sz w:val="22"/>
      <w:szCs w:val="22"/>
    </w:rPr>
  </w:style>
  <w:style w:type="numbering" w:customStyle="1" w:styleId="Agendalistparagraph">
    <w:name w:val="Agenda list paragraph"/>
    <w:basedOn w:val="NoList"/>
    <w:uiPriority w:val="99"/>
    <w:rsid w:val="00555F4B"/>
    <w:pPr>
      <w:numPr>
        <w:numId w:val="7"/>
      </w:numPr>
    </w:pPr>
  </w:style>
  <w:style w:type="paragraph" w:customStyle="1" w:styleId="L1bulletpoints">
    <w:name w:val="L1 bullet points"/>
    <w:basedOn w:val="BodyText1"/>
    <w:link w:val="L1bulletpointsChar"/>
    <w:autoRedefine/>
    <w:qFormat/>
    <w:rsid w:val="00555F4B"/>
    <w:pPr>
      <w:numPr>
        <w:numId w:val="8"/>
      </w:numPr>
      <w:tabs>
        <w:tab w:val="left" w:pos="170"/>
        <w:tab w:val="left" w:pos="425"/>
        <w:tab w:val="left" w:pos="624"/>
        <w:tab w:val="left" w:pos="794"/>
      </w:tabs>
      <w:spacing w:after="60"/>
      <w:ind w:left="170" w:hanging="170"/>
      <w:contextualSpacing/>
    </w:pPr>
  </w:style>
  <w:style w:type="character" w:customStyle="1" w:styleId="L1bulletpointsChar">
    <w:name w:val="L1 bullet points Char"/>
    <w:basedOn w:val="DefaultParagraphFont"/>
    <w:link w:val="L1bulletpoints"/>
    <w:rsid w:val="00555F4B"/>
    <w:rPr>
      <w:rFonts w:ascii="Arial" w:hAnsi="Arial"/>
      <w:sz w:val="22"/>
      <w:lang w:val="en-AU"/>
    </w:rPr>
  </w:style>
  <w:style w:type="paragraph" w:customStyle="1" w:styleId="L2Bulletpoints">
    <w:name w:val="L2 Bullet points"/>
    <w:basedOn w:val="BodyText1"/>
    <w:link w:val="L2BulletpointsChar"/>
    <w:qFormat/>
    <w:rsid w:val="00555F4B"/>
    <w:pPr>
      <w:numPr>
        <w:numId w:val="9"/>
      </w:numPr>
      <w:tabs>
        <w:tab w:val="left" w:pos="170"/>
        <w:tab w:val="left" w:pos="624"/>
        <w:tab w:val="left" w:pos="794"/>
        <w:tab w:val="left" w:pos="1049"/>
      </w:tabs>
      <w:spacing w:after="60"/>
      <w:contextualSpacing/>
    </w:pPr>
  </w:style>
  <w:style w:type="character" w:customStyle="1" w:styleId="L2BulletpointsChar">
    <w:name w:val="L2 Bullet points Char"/>
    <w:basedOn w:val="DefaultParagraphFont"/>
    <w:link w:val="L2Bulletpoints"/>
    <w:rsid w:val="00555F4B"/>
    <w:rPr>
      <w:rFonts w:ascii="Arial" w:hAnsi="Arial"/>
      <w:sz w:val="22"/>
      <w:lang w:val="en-AU"/>
    </w:rPr>
  </w:style>
  <w:style w:type="paragraph" w:customStyle="1" w:styleId="ListbulletsL1">
    <w:name w:val="List bullets L1"/>
    <w:basedOn w:val="L1bulletpoints"/>
    <w:autoRedefine/>
    <w:qFormat/>
    <w:rsid w:val="00555F4B"/>
    <w:pPr>
      <w:ind w:left="794"/>
    </w:pPr>
  </w:style>
  <w:style w:type="paragraph" w:customStyle="1" w:styleId="ListbulletsL2">
    <w:name w:val="List bullets L2"/>
    <w:basedOn w:val="L2Bulletpoints"/>
    <w:autoRedefine/>
    <w:qFormat/>
    <w:rsid w:val="00555F4B"/>
    <w:pPr>
      <w:ind w:left="1049"/>
    </w:pPr>
  </w:style>
  <w:style w:type="paragraph" w:customStyle="1" w:styleId="Bodytextheading">
    <w:name w:val="Body text heading"/>
    <w:basedOn w:val="Bodytextbold"/>
    <w:next w:val="BodyText1"/>
    <w:qFormat/>
    <w:rsid w:val="00713DE6"/>
    <w:pPr>
      <w:spacing w:after="0"/>
    </w:pPr>
  </w:style>
  <w:style w:type="paragraph" w:styleId="NoSpacing">
    <w:name w:val="No Spacing"/>
    <w:uiPriority w:val="1"/>
    <w:qFormat/>
    <w:rsid w:val="006D56A8"/>
    <w:rPr>
      <w:rFonts w:ascii="Arial" w:hAnsi="Arial"/>
      <w:sz w:val="22"/>
    </w:rPr>
  </w:style>
  <w:style w:type="paragraph" w:customStyle="1" w:styleId="NameandDateTitleandDividerSlides">
    <w:name w:val="Name and Date (Title and Divider Slides)"/>
    <w:basedOn w:val="Normal"/>
    <w:uiPriority w:val="99"/>
    <w:rsid w:val="00D51687"/>
    <w:pPr>
      <w:widowControl w:val="0"/>
      <w:tabs>
        <w:tab w:val="left" w:pos="1327"/>
      </w:tabs>
      <w:suppressAutoHyphens/>
      <w:autoSpaceDE w:val="0"/>
      <w:autoSpaceDN w:val="0"/>
      <w:adjustRightInd w:val="0"/>
      <w:spacing w:line="360" w:lineRule="atLeast"/>
      <w:textAlignment w:val="center"/>
    </w:pPr>
    <w:rPr>
      <w:rFonts w:ascii="ArialMT" w:hAnsi="ArialMT" w:cs="ArialMT"/>
      <w:color w:val="000000"/>
      <w:sz w:val="32"/>
      <w:szCs w:val="32"/>
    </w:rPr>
  </w:style>
  <w:style w:type="paragraph" w:styleId="TOCHeading">
    <w:name w:val="TOC Heading"/>
    <w:basedOn w:val="Bodytextheading"/>
    <w:next w:val="Bodytextbold"/>
    <w:autoRedefine/>
    <w:uiPriority w:val="39"/>
    <w:unhideWhenUsed/>
    <w:qFormat/>
    <w:rsid w:val="00B535FC"/>
    <w:pPr>
      <w:spacing w:before="480" w:line="276" w:lineRule="auto"/>
    </w:pPr>
    <w:rPr>
      <w:rFonts w:asciiTheme="majorHAnsi" w:hAnsiTheme="majorHAnsi"/>
      <w:color w:val="000000" w:themeColor="text1"/>
      <w:sz w:val="32"/>
      <w:szCs w:val="28"/>
    </w:rPr>
  </w:style>
  <w:style w:type="paragraph" w:styleId="TOC1">
    <w:name w:val="toc 1"/>
    <w:basedOn w:val="Normal"/>
    <w:next w:val="Normal"/>
    <w:autoRedefine/>
    <w:uiPriority w:val="39"/>
    <w:unhideWhenUsed/>
    <w:qFormat/>
    <w:rsid w:val="00B535FC"/>
    <w:pPr>
      <w:tabs>
        <w:tab w:val="right" w:pos="10206"/>
      </w:tabs>
      <w:spacing w:before="140"/>
    </w:pPr>
    <w:rPr>
      <w:rFonts w:asciiTheme="minorHAnsi" w:hAnsiTheme="minorHAnsi"/>
      <w:b/>
      <w:bCs/>
      <w:noProof/>
      <w:sz w:val="24"/>
    </w:rPr>
  </w:style>
  <w:style w:type="paragraph" w:styleId="TOC2">
    <w:name w:val="toc 2"/>
    <w:basedOn w:val="Normal"/>
    <w:next w:val="Normal"/>
    <w:autoRedefine/>
    <w:uiPriority w:val="39"/>
    <w:unhideWhenUsed/>
    <w:qFormat/>
    <w:rsid w:val="00B111B6"/>
    <w:pPr>
      <w:tabs>
        <w:tab w:val="right" w:pos="10206"/>
      </w:tabs>
      <w:ind w:left="624"/>
    </w:pPr>
    <w:rPr>
      <w:rFonts w:asciiTheme="minorHAnsi" w:hAnsiTheme="minorHAnsi"/>
      <w:bCs/>
      <w:szCs w:val="22"/>
    </w:rPr>
  </w:style>
  <w:style w:type="paragraph" w:styleId="TOC3">
    <w:name w:val="toc 3"/>
    <w:basedOn w:val="Normal"/>
    <w:next w:val="Normal"/>
    <w:autoRedefine/>
    <w:uiPriority w:val="39"/>
    <w:unhideWhenUsed/>
    <w:qFormat/>
    <w:rsid w:val="00B111B6"/>
    <w:pPr>
      <w:tabs>
        <w:tab w:val="right" w:pos="10206"/>
      </w:tabs>
      <w:ind w:left="624"/>
    </w:pPr>
    <w:rPr>
      <w:rFonts w:asciiTheme="minorHAnsi" w:hAnsiTheme="minorHAnsi"/>
      <w:i/>
      <w:szCs w:val="22"/>
    </w:rPr>
  </w:style>
  <w:style w:type="paragraph" w:styleId="TOC4">
    <w:name w:val="toc 4"/>
    <w:basedOn w:val="Normal"/>
    <w:next w:val="Normal"/>
    <w:autoRedefine/>
    <w:uiPriority w:val="39"/>
    <w:unhideWhenUsed/>
    <w:rsid w:val="00DE17D2"/>
    <w:rPr>
      <w:rFonts w:asciiTheme="minorHAnsi" w:hAnsiTheme="minorHAnsi"/>
      <w:szCs w:val="22"/>
    </w:rPr>
  </w:style>
  <w:style w:type="paragraph" w:styleId="TOC5">
    <w:name w:val="toc 5"/>
    <w:basedOn w:val="Normal"/>
    <w:next w:val="Normal"/>
    <w:autoRedefine/>
    <w:uiPriority w:val="39"/>
    <w:unhideWhenUsed/>
    <w:rsid w:val="00DE17D2"/>
    <w:rPr>
      <w:rFonts w:asciiTheme="minorHAnsi" w:hAnsiTheme="minorHAnsi"/>
      <w:szCs w:val="22"/>
    </w:rPr>
  </w:style>
  <w:style w:type="paragraph" w:styleId="TOC6">
    <w:name w:val="toc 6"/>
    <w:basedOn w:val="Normal"/>
    <w:next w:val="Normal"/>
    <w:autoRedefine/>
    <w:uiPriority w:val="39"/>
    <w:unhideWhenUsed/>
    <w:rsid w:val="00DE17D2"/>
    <w:rPr>
      <w:rFonts w:asciiTheme="minorHAnsi" w:hAnsiTheme="minorHAnsi"/>
      <w:szCs w:val="22"/>
    </w:rPr>
  </w:style>
  <w:style w:type="paragraph" w:styleId="TOC7">
    <w:name w:val="toc 7"/>
    <w:basedOn w:val="Normal"/>
    <w:next w:val="Normal"/>
    <w:autoRedefine/>
    <w:uiPriority w:val="39"/>
    <w:unhideWhenUsed/>
    <w:rsid w:val="00DE17D2"/>
    <w:rPr>
      <w:rFonts w:asciiTheme="minorHAnsi" w:hAnsiTheme="minorHAnsi"/>
      <w:szCs w:val="22"/>
    </w:rPr>
  </w:style>
  <w:style w:type="paragraph" w:styleId="TOC8">
    <w:name w:val="toc 8"/>
    <w:basedOn w:val="Normal"/>
    <w:next w:val="Normal"/>
    <w:autoRedefine/>
    <w:uiPriority w:val="39"/>
    <w:unhideWhenUsed/>
    <w:rsid w:val="00DE17D2"/>
    <w:rPr>
      <w:rFonts w:asciiTheme="minorHAnsi" w:hAnsiTheme="minorHAnsi"/>
      <w:szCs w:val="22"/>
    </w:rPr>
  </w:style>
  <w:style w:type="paragraph" w:styleId="TOC9">
    <w:name w:val="toc 9"/>
    <w:basedOn w:val="Normal"/>
    <w:next w:val="Normal"/>
    <w:autoRedefine/>
    <w:uiPriority w:val="39"/>
    <w:unhideWhenUsed/>
    <w:rsid w:val="00DE17D2"/>
    <w:rPr>
      <w:rFonts w:asciiTheme="minorHAnsi" w:hAnsiTheme="minorHAnsi"/>
      <w:szCs w:val="22"/>
    </w:rPr>
  </w:style>
  <w:style w:type="character" w:styleId="PageNumber">
    <w:name w:val="page number"/>
    <w:basedOn w:val="DefaultParagraphFont"/>
    <w:uiPriority w:val="99"/>
    <w:semiHidden/>
    <w:unhideWhenUsed/>
    <w:rsid w:val="008E560B"/>
    <w:rPr>
      <w:rFonts w:ascii="Arial" w:hAnsi="Arial"/>
      <w:b w:val="0"/>
      <w:bCs w:val="0"/>
      <w:i w:val="0"/>
      <w:iCs w:val="0"/>
      <w:caps w:val="0"/>
      <w:smallCaps w:val="0"/>
      <w:strike w:val="0"/>
      <w:dstrike w:val="0"/>
      <w:vanish w:val="0"/>
      <w:sz w:val="18"/>
      <w:szCs w:val="18"/>
      <w:vertAlign w:val="baseline"/>
    </w:rPr>
  </w:style>
  <w:style w:type="paragraph" w:customStyle="1" w:styleId="BasicParagraph">
    <w:name w:val="[Basic Paragraph]"/>
    <w:basedOn w:val="Normal"/>
    <w:uiPriority w:val="99"/>
    <w:rsid w:val="00995559"/>
    <w:pPr>
      <w:widowControl w:val="0"/>
      <w:autoSpaceDE w:val="0"/>
      <w:autoSpaceDN w:val="0"/>
      <w:adjustRightInd w:val="0"/>
      <w:spacing w:line="288" w:lineRule="auto"/>
      <w:textAlignment w:val="center"/>
    </w:pPr>
    <w:rPr>
      <w:rFonts w:ascii="MinionPro-Regular" w:hAnsi="MinionPro-Regular" w:cs="MinionPro-Regular"/>
      <w:color w:val="000000"/>
      <w:sz w:val="24"/>
      <w:lang w:val="en-GB"/>
    </w:rPr>
  </w:style>
  <w:style w:type="paragraph" w:customStyle="1" w:styleId="Style1">
    <w:name w:val="Style1"/>
    <w:basedOn w:val="Footer"/>
    <w:qFormat/>
    <w:rsid w:val="00B13873"/>
    <w:pPr>
      <w:framePr w:wrap="around" w:vAnchor="text" w:hAnchor="margin" w:xAlign="right" w:y="1"/>
      <w:jc w:val="right"/>
    </w:pPr>
    <w:rPr>
      <w:vertAlign w:val="subscript"/>
    </w:rPr>
  </w:style>
  <w:style w:type="paragraph" w:customStyle="1" w:styleId="NameandDate">
    <w:name w:val="Name and Date"/>
    <w:basedOn w:val="Normal"/>
    <w:next w:val="BodyText1"/>
    <w:uiPriority w:val="99"/>
    <w:qFormat/>
    <w:rsid w:val="00EE470A"/>
    <w:pPr>
      <w:widowControl w:val="0"/>
      <w:tabs>
        <w:tab w:val="left" w:pos="1327"/>
      </w:tabs>
      <w:suppressAutoHyphens/>
      <w:autoSpaceDE w:val="0"/>
      <w:autoSpaceDN w:val="0"/>
      <w:adjustRightInd w:val="0"/>
      <w:spacing w:after="40" w:line="300" w:lineRule="atLeast"/>
      <w:textAlignment w:val="center"/>
    </w:pPr>
    <w:rPr>
      <w:rFonts w:asciiTheme="minorHAnsi" w:hAnsiTheme="minorHAnsi" w:cs="ArialMT"/>
      <w:color w:val="012169"/>
      <w:sz w:val="24"/>
      <w:szCs w:val="32"/>
    </w:rPr>
  </w:style>
  <w:style w:type="paragraph" w:styleId="Subtitle">
    <w:name w:val="Subtitle"/>
    <w:basedOn w:val="Normal"/>
    <w:next w:val="Normal"/>
    <w:link w:val="SubtitleChar"/>
    <w:uiPriority w:val="11"/>
    <w:rsid w:val="00555F4B"/>
    <w:pPr>
      <w:numPr>
        <w:ilvl w:val="1"/>
      </w:numPr>
    </w:pPr>
    <w:rPr>
      <w:rFonts w:asciiTheme="majorHAnsi" w:eastAsiaTheme="majorEastAsia" w:hAnsiTheme="majorHAnsi" w:cstheme="majorBidi"/>
      <w:i/>
      <w:iCs/>
      <w:spacing w:val="15"/>
      <w:sz w:val="24"/>
    </w:rPr>
  </w:style>
  <w:style w:type="character" w:customStyle="1" w:styleId="SubtitleChar">
    <w:name w:val="Subtitle Char"/>
    <w:basedOn w:val="DefaultParagraphFont"/>
    <w:link w:val="Subtitle"/>
    <w:uiPriority w:val="11"/>
    <w:rsid w:val="00555F4B"/>
    <w:rPr>
      <w:rFonts w:asciiTheme="majorHAnsi" w:eastAsiaTheme="majorEastAsia" w:hAnsiTheme="majorHAnsi" w:cstheme="majorBidi"/>
      <w:i/>
      <w:iCs/>
      <w:spacing w:val="15"/>
    </w:rPr>
  </w:style>
  <w:style w:type="paragraph" w:customStyle="1" w:styleId="DOCUMENTTITLE">
    <w:name w:val="DOCUMENT TITLE"/>
    <w:basedOn w:val="Normal"/>
    <w:next w:val="Normal"/>
    <w:qFormat/>
    <w:rsid w:val="00FC4602"/>
    <w:pPr>
      <w:spacing w:line="440" w:lineRule="atLeast"/>
    </w:pPr>
    <w:rPr>
      <w:rFonts w:eastAsiaTheme="minorHAnsi"/>
      <w:caps/>
      <w:sz w:val="36"/>
      <w:szCs w:val="36"/>
      <w:lang w:val="en-US"/>
    </w:rPr>
  </w:style>
  <w:style w:type="numbering" w:customStyle="1" w:styleId="NoList1">
    <w:name w:val="No List1"/>
    <w:next w:val="NoList"/>
    <w:uiPriority w:val="99"/>
    <w:semiHidden/>
    <w:unhideWhenUsed/>
    <w:rsid w:val="00034B91"/>
  </w:style>
  <w:style w:type="paragraph" w:customStyle="1" w:styleId="FPA-body">
    <w:name w:val="FPA-body"/>
    <w:basedOn w:val="Normal"/>
    <w:rsid w:val="00034B91"/>
    <w:pPr>
      <w:keepLines/>
      <w:suppressAutoHyphens/>
      <w:autoSpaceDE w:val="0"/>
      <w:autoSpaceDN w:val="0"/>
      <w:adjustRightInd w:val="0"/>
      <w:spacing w:after="142" w:line="240" w:lineRule="atLeast"/>
      <w:textAlignment w:val="center"/>
    </w:pPr>
    <w:rPr>
      <w:rFonts w:eastAsia="Times New Roman" w:cs="ArialMT"/>
      <w:color w:val="000000"/>
      <w:sz w:val="18"/>
      <w:szCs w:val="18"/>
      <w:lang w:val="en-GB" w:bidi="en-US"/>
    </w:rPr>
  </w:style>
  <w:style w:type="character" w:styleId="FootnoteReference">
    <w:name w:val="footnote reference"/>
    <w:rsid w:val="00034B91"/>
    <w:rPr>
      <w:rFonts w:cs="Times New Roman"/>
      <w:vertAlign w:val="superscript"/>
    </w:rPr>
  </w:style>
  <w:style w:type="character" w:styleId="Hyperlink">
    <w:name w:val="Hyperlink"/>
    <w:uiPriority w:val="99"/>
    <w:unhideWhenUsed/>
    <w:rsid w:val="00034B91"/>
    <w:rPr>
      <w:color w:val="0000FF"/>
      <w:u w:val="single"/>
    </w:rPr>
  </w:style>
  <w:style w:type="paragraph" w:customStyle="1" w:styleId="Body1">
    <w:name w:val="Body 1"/>
    <w:rsid w:val="00034B91"/>
    <w:pPr>
      <w:outlineLvl w:val="0"/>
    </w:pPr>
    <w:rPr>
      <w:rFonts w:ascii="Helvetica" w:eastAsia="ヒラギノ角ゴ Pro W3" w:hAnsi="Helvetica" w:cs="Times New Roman"/>
      <w:color w:val="000000"/>
      <w:szCs w:val="20"/>
      <w:lang w:eastAsia="en-AU"/>
    </w:rPr>
  </w:style>
  <w:style w:type="paragraph" w:styleId="PlainText">
    <w:name w:val="Plain Text"/>
    <w:basedOn w:val="Normal"/>
    <w:link w:val="PlainTextChar"/>
    <w:uiPriority w:val="99"/>
    <w:semiHidden/>
    <w:unhideWhenUsed/>
    <w:rsid w:val="00034B91"/>
    <w:pPr>
      <w:spacing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034B91"/>
    <w:rPr>
      <w:rFonts w:ascii="Calibri" w:eastAsiaTheme="minorHAnsi" w:hAnsi="Calibri"/>
      <w:sz w:val="22"/>
      <w:szCs w:val="21"/>
      <w:lang w:val="en-AU"/>
    </w:rPr>
  </w:style>
  <w:style w:type="table" w:customStyle="1" w:styleId="TableGrid1">
    <w:name w:val="Table Grid1"/>
    <w:basedOn w:val="TableNormal"/>
    <w:next w:val="TableGrid"/>
    <w:uiPriority w:val="59"/>
    <w:rsid w:val="00034B91"/>
    <w:rPr>
      <w:rFonts w:eastAsiaTheme="minorHAnsi"/>
      <w:sz w:val="22"/>
      <w:szCs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34B91"/>
    <w:rPr>
      <w:b/>
      <w:bCs/>
    </w:rPr>
  </w:style>
  <w:style w:type="paragraph" w:styleId="NormalWeb">
    <w:name w:val="Normal (Web)"/>
    <w:basedOn w:val="Normal"/>
    <w:uiPriority w:val="99"/>
    <w:semiHidden/>
    <w:unhideWhenUsed/>
    <w:rsid w:val="00034B91"/>
    <w:pPr>
      <w:spacing w:before="100" w:beforeAutospacing="1" w:after="100" w:afterAutospacing="1" w:line="240" w:lineRule="auto"/>
    </w:pPr>
    <w:rPr>
      <w:rFonts w:ascii="Times New Roman" w:eastAsia="Times New Roman" w:hAnsi="Times New Roman" w:cs="Times New Roman"/>
      <w:sz w:val="24"/>
      <w:lang w:eastAsia="en-AU"/>
    </w:rPr>
  </w:style>
  <w:style w:type="character" w:styleId="Emphasis">
    <w:name w:val="Emphasis"/>
    <w:basedOn w:val="DefaultParagraphFont"/>
    <w:uiPriority w:val="20"/>
    <w:qFormat/>
    <w:rsid w:val="00034B91"/>
    <w:rPr>
      <w:i/>
      <w:iCs/>
    </w:rPr>
  </w:style>
  <w:style w:type="paragraph" w:styleId="FootnoteText">
    <w:name w:val="footnote text"/>
    <w:basedOn w:val="Normal"/>
    <w:link w:val="FootnoteTextChar"/>
    <w:uiPriority w:val="99"/>
    <w:rsid w:val="00034B91"/>
    <w:pPr>
      <w:spacing w:line="240" w:lineRule="auto"/>
      <w:jc w:val="both"/>
    </w:pPr>
    <w:rPr>
      <w:rFonts w:eastAsia="Times New Roman" w:cs="Arial"/>
      <w:sz w:val="20"/>
      <w:szCs w:val="20"/>
    </w:rPr>
  </w:style>
  <w:style w:type="character" w:customStyle="1" w:styleId="FootnoteTextChar">
    <w:name w:val="Footnote Text Char"/>
    <w:basedOn w:val="DefaultParagraphFont"/>
    <w:link w:val="FootnoteText"/>
    <w:uiPriority w:val="99"/>
    <w:rsid w:val="00034B91"/>
    <w:rPr>
      <w:rFonts w:ascii="Arial" w:eastAsia="Times New Roman" w:hAnsi="Arial" w:cs="Arial"/>
      <w:sz w:val="20"/>
      <w:szCs w:val="20"/>
      <w:lang w:val="en-AU"/>
    </w:rPr>
  </w:style>
  <w:style w:type="character" w:styleId="CommentReference">
    <w:name w:val="annotation reference"/>
    <w:basedOn w:val="DefaultParagraphFont"/>
    <w:uiPriority w:val="99"/>
    <w:semiHidden/>
    <w:unhideWhenUsed/>
    <w:rsid w:val="00034B91"/>
    <w:rPr>
      <w:sz w:val="18"/>
      <w:szCs w:val="18"/>
    </w:rPr>
  </w:style>
  <w:style w:type="paragraph" w:styleId="CommentText">
    <w:name w:val="annotation text"/>
    <w:basedOn w:val="Normal"/>
    <w:link w:val="CommentTextChar"/>
    <w:uiPriority w:val="99"/>
    <w:semiHidden/>
    <w:unhideWhenUsed/>
    <w:rsid w:val="00034B91"/>
    <w:pPr>
      <w:spacing w:line="240" w:lineRule="auto"/>
    </w:pPr>
    <w:rPr>
      <w:rFonts w:ascii="Calibri" w:eastAsiaTheme="minorHAnsi" w:hAnsi="Calibri" w:cs="Times New Roman"/>
      <w:sz w:val="24"/>
    </w:rPr>
  </w:style>
  <w:style w:type="character" w:customStyle="1" w:styleId="CommentTextChar">
    <w:name w:val="Comment Text Char"/>
    <w:basedOn w:val="DefaultParagraphFont"/>
    <w:link w:val="CommentText"/>
    <w:uiPriority w:val="99"/>
    <w:semiHidden/>
    <w:rsid w:val="00034B91"/>
    <w:rPr>
      <w:rFonts w:ascii="Calibri" w:eastAsiaTheme="minorHAnsi" w:hAnsi="Calibri" w:cs="Times New Roman"/>
      <w:lang w:val="en-AU"/>
    </w:rPr>
  </w:style>
  <w:style w:type="paragraph" w:styleId="CommentSubject">
    <w:name w:val="annotation subject"/>
    <w:basedOn w:val="CommentText"/>
    <w:next w:val="CommentText"/>
    <w:link w:val="CommentSubjectChar"/>
    <w:uiPriority w:val="99"/>
    <w:semiHidden/>
    <w:unhideWhenUsed/>
    <w:rsid w:val="00034B91"/>
    <w:rPr>
      <w:b/>
      <w:bCs/>
      <w:sz w:val="20"/>
      <w:szCs w:val="20"/>
    </w:rPr>
  </w:style>
  <w:style w:type="character" w:customStyle="1" w:styleId="CommentSubjectChar">
    <w:name w:val="Comment Subject Char"/>
    <w:basedOn w:val="CommentTextChar"/>
    <w:link w:val="CommentSubject"/>
    <w:uiPriority w:val="99"/>
    <w:semiHidden/>
    <w:rsid w:val="00034B91"/>
    <w:rPr>
      <w:rFonts w:ascii="Calibri" w:eastAsiaTheme="minorHAnsi" w:hAnsi="Calibri" w:cs="Times New Roman"/>
      <w:b/>
      <w:bCs/>
      <w:sz w:val="20"/>
      <w:szCs w:val="20"/>
      <w:lang w:val="en-AU"/>
    </w:rPr>
  </w:style>
  <w:style w:type="paragraph" w:customStyle="1" w:styleId="Normal1">
    <w:name w:val="Normal1"/>
    <w:rsid w:val="00034B91"/>
    <w:pPr>
      <w:spacing w:line="276" w:lineRule="auto"/>
    </w:pPr>
    <w:rPr>
      <w:rFonts w:ascii="Arial" w:eastAsia="Arial" w:hAnsi="Arial" w:cs="Arial"/>
      <w:color w:val="000000"/>
      <w:sz w:val="22"/>
      <w:szCs w:val="22"/>
      <w:lang w:val="en-AU" w:eastAsia="en-AU"/>
    </w:rPr>
  </w:style>
  <w:style w:type="character" w:styleId="FollowedHyperlink">
    <w:name w:val="FollowedHyperlink"/>
    <w:basedOn w:val="DefaultParagraphFont"/>
    <w:uiPriority w:val="99"/>
    <w:semiHidden/>
    <w:unhideWhenUsed/>
    <w:rsid w:val="00A10D19"/>
    <w:rPr>
      <w:color w:val="800080" w:themeColor="followedHyperlink"/>
      <w:u w:val="single"/>
    </w:rPr>
  </w:style>
  <w:style w:type="paragraph" w:styleId="Revision">
    <w:name w:val="Revision"/>
    <w:hidden/>
    <w:uiPriority w:val="99"/>
    <w:semiHidden/>
    <w:rsid w:val="005D5A70"/>
    <w:rPr>
      <w:rFonts w:ascii="Arial" w:hAnsi="Arial"/>
      <w:sz w:val="22"/>
      <w:lang w:val="en-AU"/>
    </w:rPr>
  </w:style>
  <w:style w:type="paragraph" w:styleId="DocumentMap">
    <w:name w:val="Document Map"/>
    <w:basedOn w:val="Normal"/>
    <w:link w:val="DocumentMapChar"/>
    <w:uiPriority w:val="99"/>
    <w:semiHidden/>
    <w:unhideWhenUsed/>
    <w:rsid w:val="00975BFB"/>
    <w:pPr>
      <w:spacing w:line="240" w:lineRule="auto"/>
    </w:pPr>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975BFB"/>
    <w:rPr>
      <w:rFonts w:ascii="Lucida Grande" w:hAnsi="Lucida Grande" w:cs="Lucida Grande"/>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366962">
      <w:bodyDiv w:val="1"/>
      <w:marLeft w:val="0"/>
      <w:marRight w:val="0"/>
      <w:marTop w:val="0"/>
      <w:marBottom w:val="0"/>
      <w:divBdr>
        <w:top w:val="none" w:sz="0" w:space="0" w:color="auto"/>
        <w:left w:val="none" w:sz="0" w:space="0" w:color="auto"/>
        <w:bottom w:val="none" w:sz="0" w:space="0" w:color="auto"/>
        <w:right w:val="none" w:sz="0" w:space="0" w:color="auto"/>
      </w:divBdr>
    </w:div>
    <w:div w:id="553010929">
      <w:bodyDiv w:val="1"/>
      <w:marLeft w:val="0"/>
      <w:marRight w:val="0"/>
      <w:marTop w:val="0"/>
      <w:marBottom w:val="0"/>
      <w:divBdr>
        <w:top w:val="none" w:sz="0" w:space="0" w:color="auto"/>
        <w:left w:val="none" w:sz="0" w:space="0" w:color="auto"/>
        <w:bottom w:val="none" w:sz="0" w:space="0" w:color="auto"/>
        <w:right w:val="none" w:sz="0" w:space="0" w:color="auto"/>
      </w:divBdr>
    </w:div>
    <w:div w:id="657269658">
      <w:bodyDiv w:val="1"/>
      <w:marLeft w:val="0"/>
      <w:marRight w:val="0"/>
      <w:marTop w:val="0"/>
      <w:marBottom w:val="0"/>
      <w:divBdr>
        <w:top w:val="none" w:sz="0" w:space="0" w:color="auto"/>
        <w:left w:val="none" w:sz="0" w:space="0" w:color="auto"/>
        <w:bottom w:val="none" w:sz="0" w:space="0" w:color="auto"/>
        <w:right w:val="none" w:sz="0" w:space="0" w:color="auto"/>
      </w:divBdr>
    </w:div>
    <w:div w:id="1076853444">
      <w:bodyDiv w:val="1"/>
      <w:marLeft w:val="0"/>
      <w:marRight w:val="0"/>
      <w:marTop w:val="0"/>
      <w:marBottom w:val="0"/>
      <w:divBdr>
        <w:top w:val="none" w:sz="0" w:space="0" w:color="auto"/>
        <w:left w:val="none" w:sz="0" w:space="0" w:color="auto"/>
        <w:bottom w:val="none" w:sz="0" w:space="0" w:color="auto"/>
        <w:right w:val="none" w:sz="0" w:space="0" w:color="auto"/>
      </w:divBdr>
    </w:div>
    <w:div w:id="1747799530">
      <w:bodyDiv w:val="1"/>
      <w:marLeft w:val="0"/>
      <w:marRight w:val="0"/>
      <w:marTop w:val="0"/>
      <w:marBottom w:val="0"/>
      <w:divBdr>
        <w:top w:val="none" w:sz="0" w:space="0" w:color="auto"/>
        <w:left w:val="none" w:sz="0" w:space="0" w:color="auto"/>
        <w:bottom w:val="none" w:sz="0" w:space="0" w:color="auto"/>
        <w:right w:val="none" w:sz="0" w:space="0" w:color="auto"/>
      </w:divBdr>
    </w:div>
    <w:div w:id="19655052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olicy@fpa.com.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super@pc.gov.au" TargetMode="External"/><Relationship Id="rId23"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www.treasury.gov.au/~/media/Treasury/Consultations%20and%20Reviews/Consultations/2014/Financial%20System%20Inquiry%20Final%20Report/Submissions/PDF/Chant_West.ashx" TargetMode="External"/><Relationship Id="rId2" Type="http://schemas.openxmlformats.org/officeDocument/2006/relationships/hyperlink" Target="http://www.australiancentre.com.au/sites/default/files/D1P7%20Complexity%20in%20the%20Superannuation%20System.pdf" TargetMode="External"/><Relationship Id="rId1" Type="http://schemas.openxmlformats.org/officeDocument/2006/relationships/hyperlink" Target="https://ses.library.usyd.edu.au/bitstream/2123/9264/1/Liu_K_THesis_2013.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6540C88292F9BF4D820E6FE7B022D1B4" ma:contentTypeVersion="25" ma:contentTypeDescription="" ma:contentTypeScope="" ma:versionID="62e7cb1bcf27c65a40f18aa65b78a4ef">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a1609763d109c88ccd3bbeadae2d2631"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Value>138</Value>
    </TaxCatchAll>
  </documentManagement>
</p:propertie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D4E78-DB3F-406C-B6FB-BDA7C549B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2B604C-86B7-4AA8-AA26-CD2B62A971C5}">
  <ds:schemaRefs>
    <ds:schemaRef ds:uri="http://schemas.microsoft.com/sharepoint/events"/>
  </ds:schemaRefs>
</ds:datastoreItem>
</file>

<file path=customXml/itemProps3.xml><?xml version="1.0" encoding="utf-8"?>
<ds:datastoreItem xmlns:ds="http://schemas.openxmlformats.org/officeDocument/2006/customXml" ds:itemID="{3C799BB6-6782-4F2B-B94C-9BBFE402CD8B}">
  <ds:schemaRefs>
    <ds:schemaRef ds:uri="http://schemas.microsoft.com/office/2006/metadata/customXsn"/>
  </ds:schemaRefs>
</ds:datastoreItem>
</file>

<file path=customXml/itemProps4.xml><?xml version="1.0" encoding="utf-8"?>
<ds:datastoreItem xmlns:ds="http://schemas.openxmlformats.org/officeDocument/2006/customXml" ds:itemID="{90BDCF04-EF44-4B84-9FA7-7A492AC5C80C}">
  <ds:schemaRefs>
    <ds:schemaRef ds:uri="http://schemas.microsoft.com/office/2006/documentManagement/types"/>
    <ds:schemaRef ds:uri="http://schemas.microsoft.com/sharepoint/v3"/>
    <ds:schemaRef ds:uri="http://purl.org/dc/dcmitype/"/>
    <ds:schemaRef ds:uri="http://schemas.microsoft.com/office/infopath/2007/PartnerControls"/>
    <ds:schemaRef ds:uri="http://purl.org/dc/elements/1.1/"/>
    <ds:schemaRef ds:uri="http://www.w3.org/XML/1998/namespace"/>
    <ds:schemaRef ds:uri="http://schemas.microsoft.com/office/2006/metadata/properties"/>
    <ds:schemaRef ds:uri="http://purl.org/dc/terms/"/>
    <ds:schemaRef ds:uri="http://schemas.openxmlformats.org/package/2006/metadata/core-properties"/>
    <ds:schemaRef ds:uri="3f4bcce7-ac1a-4c9d-aa3e-7e77695652db"/>
  </ds:schemaRefs>
</ds:datastoreItem>
</file>

<file path=customXml/itemProps5.xml><?xml version="1.0" encoding="utf-8"?>
<ds:datastoreItem xmlns:ds="http://schemas.openxmlformats.org/officeDocument/2006/customXml" ds:itemID="{D1CD90C0-1B8A-468F-B8F1-CAE47923240F}">
  <ds:schemaRefs>
    <ds:schemaRef ds:uri="Microsoft.SharePoint.Taxonomy.ContentTypeSync"/>
  </ds:schemaRefs>
</ds:datastoreItem>
</file>

<file path=customXml/itemProps6.xml><?xml version="1.0" encoding="utf-8"?>
<ds:datastoreItem xmlns:ds="http://schemas.openxmlformats.org/officeDocument/2006/customXml" ds:itemID="{B9E78F66-D294-4EB0-A74B-F990947DCCD2}">
  <ds:schemaRefs>
    <ds:schemaRef ds:uri="http://schemas.microsoft.com/sharepoint/v3/contenttype/forms"/>
  </ds:schemaRefs>
</ds:datastoreItem>
</file>

<file path=customXml/itemProps7.xml><?xml version="1.0" encoding="utf-8"?>
<ds:datastoreItem xmlns:ds="http://schemas.openxmlformats.org/officeDocument/2006/customXml" ds:itemID="{6A21C3DE-5984-41C3-95A7-9A5A4FC91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4754</Words>
  <Characters>27101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Submission 29 - Financial Planning Association of Australia (FPA) - Alternative Default Fund Models - Public inquiry</vt:lpstr>
    </vt:vector>
  </TitlesOfParts>
  <Manager/>
  <Company>Financial Planning Association of Australia (FPA)</Company>
  <LinksUpToDate>false</LinksUpToDate>
  <CharactersWithSpaces>31792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29 - Financial Planning Association of Australia (FPA) - Alternative Default Fund Models - Public inquiry</dc:title>
  <dc:subject/>
  <dc:creator>Financial Planning Association of Australia (FPA)</dc:creator>
  <cp:keywords/>
  <dc:description/>
  <cp:lastModifiedBy>Productivity Commission</cp:lastModifiedBy>
  <cp:revision>4</cp:revision>
  <cp:lastPrinted>2016-10-31T01:10:00Z</cp:lastPrinted>
  <dcterms:created xsi:type="dcterms:W3CDTF">2016-10-31T01:10:00Z</dcterms:created>
  <dcterms:modified xsi:type="dcterms:W3CDTF">2016-11-03T01:43:00Z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0x0101007916246811615643A710C6FEAFF56A871105006540C88292F9BF4D820E6FE7B022D1B4</vt:lpwstr>
  </property>
  <property fmtid="{D5CDD505-2E9C-101B-9397-08002B2CF9AE}" pid="3" name="c401844703f64372bb0e85d87d761fe6">
    <vt:lpwstr>Reference Only|923c7a19-3b10-4b1a-aa53-490b73d512fc</vt:lpwstr>
  </property>
  <property fmtid="{D5CDD505-2E9C-101B-9397-08002B2CF9AE}" pid="4" name="Record Tag">
    <vt:lpwstr>4487;#Submissions - Stage 2|df6c8b62-a0f6-48ca-9bad-05bd9d9348d3</vt:lpwstr>
  </property>
  <property fmtid="{D5CDD505-2E9C-101B-9397-08002B2CF9AE}" pid="5" name="TaxKeyword">
    <vt:lpwstr/>
  </property>
  <property fmtid="{D5CDD505-2E9C-101B-9397-08002B2CF9AE}" pid="6" name="Retain">
    <vt:lpwstr>138;#Reference Only|923c7a19-3b10-4b1a-aa53-490b73d512fc</vt:lpwstr>
  </property>
</Properties>
</file>