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857FE" w14:textId="29E74A8A" w:rsidR="00F8591B" w:rsidRDefault="00BA3908" w:rsidP="001E7DBF">
      <w:pPr>
        <w:jc w:val="both"/>
        <w:rPr>
          <w:lang w:val="en-AU"/>
        </w:rPr>
      </w:pPr>
      <w:bookmarkStart w:id="0" w:name="_GoBack"/>
      <w:bookmarkEnd w:id="0"/>
      <w:r>
        <w:rPr>
          <w:b/>
          <w:u w:val="single"/>
          <w:lang w:val="en-AU"/>
        </w:rPr>
        <w:t>PRODUCTIVITY COMMISSION SUBMISSION</w:t>
      </w:r>
    </w:p>
    <w:p w14:paraId="442DF5E5" w14:textId="7C58A80B" w:rsidR="00BA3908" w:rsidRDefault="00BA3908" w:rsidP="001E7DBF">
      <w:pPr>
        <w:jc w:val="both"/>
        <w:rPr>
          <w:lang w:val="en-AU"/>
        </w:rPr>
      </w:pPr>
    </w:p>
    <w:p w14:paraId="7033A37B" w14:textId="1E6FD720" w:rsidR="00525209" w:rsidRPr="00B267E9" w:rsidRDefault="00B267E9" w:rsidP="001E7DBF">
      <w:pPr>
        <w:jc w:val="both"/>
        <w:rPr>
          <w:b/>
          <w:lang w:val="en-AU"/>
        </w:rPr>
      </w:pPr>
      <w:r>
        <w:rPr>
          <w:b/>
          <w:lang w:val="en-AU"/>
        </w:rPr>
        <w:t>Title: Compensation and Rehabilitation for Veterans</w:t>
      </w:r>
    </w:p>
    <w:p w14:paraId="2C728548" w14:textId="7C9C0C9F" w:rsidR="00F576CE" w:rsidRDefault="00F576CE" w:rsidP="001E7DBF">
      <w:pPr>
        <w:jc w:val="both"/>
        <w:rPr>
          <w:lang w:val="en-AU"/>
        </w:rPr>
      </w:pPr>
    </w:p>
    <w:p w14:paraId="099D3104" w14:textId="77777777" w:rsidR="00B267E9" w:rsidRDefault="00B267E9" w:rsidP="001E7DBF">
      <w:pPr>
        <w:jc w:val="both"/>
        <w:rPr>
          <w:lang w:val="en-AU"/>
        </w:rPr>
      </w:pPr>
    </w:p>
    <w:p w14:paraId="3B722D20" w14:textId="7B02B1B5" w:rsidR="00BA3908" w:rsidRPr="00E24069" w:rsidRDefault="00E24069" w:rsidP="001E7DBF">
      <w:pPr>
        <w:jc w:val="both"/>
        <w:rPr>
          <w:b/>
          <w:lang w:val="en-AU"/>
        </w:rPr>
      </w:pPr>
      <w:r>
        <w:rPr>
          <w:b/>
          <w:lang w:val="en-AU"/>
        </w:rPr>
        <w:t>Background</w:t>
      </w:r>
    </w:p>
    <w:p w14:paraId="0EE354D9" w14:textId="77777777" w:rsidR="00F576CE" w:rsidRDefault="00F576CE" w:rsidP="001E7DBF">
      <w:pPr>
        <w:tabs>
          <w:tab w:val="left" w:pos="709"/>
        </w:tabs>
        <w:jc w:val="both"/>
        <w:rPr>
          <w:lang w:val="en-AU"/>
        </w:rPr>
      </w:pPr>
    </w:p>
    <w:p w14:paraId="167CF417" w14:textId="71A2B342" w:rsidR="00BA3908" w:rsidRDefault="00BA3908" w:rsidP="001E7DBF">
      <w:pPr>
        <w:tabs>
          <w:tab w:val="left" w:pos="709"/>
        </w:tabs>
        <w:jc w:val="both"/>
        <w:rPr>
          <w:lang w:val="en-AU"/>
        </w:rPr>
      </w:pPr>
      <w:r>
        <w:rPr>
          <w:lang w:val="en-AU"/>
        </w:rPr>
        <w:t>This submission is a summary response to the many issues raised in the Issue Paper of the Productivity Commission in May 2018.</w:t>
      </w:r>
      <w:r w:rsidR="00E24069">
        <w:rPr>
          <w:lang w:val="en-AU"/>
        </w:rPr>
        <w:t xml:space="preserve"> </w:t>
      </w:r>
      <w:r w:rsidR="00FE7AB6">
        <w:rPr>
          <w:lang w:val="en-AU"/>
        </w:rPr>
        <w:t xml:space="preserve"> </w:t>
      </w:r>
      <w:r w:rsidR="004B2BA8">
        <w:rPr>
          <w:lang w:val="en-AU"/>
        </w:rPr>
        <w:t xml:space="preserve">This submission only addresses some key principles and </w:t>
      </w:r>
      <w:r w:rsidR="00CA6667">
        <w:rPr>
          <w:lang w:val="en-AU"/>
        </w:rPr>
        <w:t>concerns</w:t>
      </w:r>
      <w:r w:rsidR="004B2BA8">
        <w:rPr>
          <w:lang w:val="en-AU"/>
        </w:rPr>
        <w:t xml:space="preserve"> and does not comprehensively address a number of the matters raised in the Issues Paper. </w:t>
      </w:r>
      <w:r w:rsidR="00ED7442">
        <w:rPr>
          <w:lang w:val="en-AU"/>
        </w:rPr>
        <w:t xml:space="preserve"> </w:t>
      </w:r>
      <w:r w:rsidR="004B2BA8">
        <w:rPr>
          <w:lang w:val="en-AU"/>
        </w:rPr>
        <w:t xml:space="preserve">There are many other matters that </w:t>
      </w:r>
      <w:r w:rsidR="00031A2C">
        <w:rPr>
          <w:lang w:val="en-AU"/>
        </w:rPr>
        <w:t>could</w:t>
      </w:r>
      <w:r w:rsidR="004B2BA8">
        <w:rPr>
          <w:lang w:val="en-AU"/>
        </w:rPr>
        <w:t xml:space="preserve"> be addressed if the Productivity Commission requests further detail or clarification. </w:t>
      </w:r>
      <w:r w:rsidR="00ED7442">
        <w:rPr>
          <w:lang w:val="en-AU"/>
        </w:rPr>
        <w:t xml:space="preserve"> In particular</w:t>
      </w:r>
      <w:r w:rsidR="004B2BA8">
        <w:rPr>
          <w:lang w:val="en-AU"/>
        </w:rPr>
        <w:t xml:space="preserve">, the Transition </w:t>
      </w:r>
      <w:r w:rsidR="00ED7442">
        <w:rPr>
          <w:lang w:val="en-AU"/>
        </w:rPr>
        <w:t xml:space="preserve">and </w:t>
      </w:r>
      <w:r w:rsidR="004B2BA8">
        <w:rPr>
          <w:lang w:val="en-AU"/>
        </w:rPr>
        <w:t>Wellbeing Research Program</w:t>
      </w:r>
      <w:r w:rsidR="00ED7442">
        <w:rPr>
          <w:lang w:val="en-AU"/>
        </w:rPr>
        <w:t>me</w:t>
      </w:r>
      <w:r w:rsidR="005000D1">
        <w:rPr>
          <w:vertAlign w:val="superscript"/>
          <w:lang w:val="en-AU"/>
        </w:rPr>
        <w:t>1</w:t>
      </w:r>
      <w:r w:rsidR="004B2BA8">
        <w:rPr>
          <w:lang w:val="en-AU"/>
        </w:rPr>
        <w:t xml:space="preserve"> data may be able to inform a number of the </w:t>
      </w:r>
      <w:r w:rsidR="00CA6667">
        <w:rPr>
          <w:lang w:val="en-AU"/>
        </w:rPr>
        <w:t>matters</w:t>
      </w:r>
      <w:r w:rsidR="004B2BA8">
        <w:rPr>
          <w:lang w:val="en-AU"/>
        </w:rPr>
        <w:t xml:space="preserve"> of interest</w:t>
      </w:r>
      <w:r w:rsidR="00CA6667">
        <w:rPr>
          <w:lang w:val="en-AU"/>
        </w:rPr>
        <w:t xml:space="preserve"> as it holds information about access to compensation and clinical outcomes</w:t>
      </w:r>
      <w:r w:rsidR="00031A2C">
        <w:rPr>
          <w:lang w:val="en-AU"/>
        </w:rPr>
        <w:t xml:space="preserve"> in recently transitioned ADF personnel</w:t>
      </w:r>
      <w:r w:rsidR="004B2BA8">
        <w:rPr>
          <w:lang w:val="en-AU"/>
        </w:rPr>
        <w:t xml:space="preserve">. </w:t>
      </w:r>
    </w:p>
    <w:p w14:paraId="3B448978" w14:textId="7971E097" w:rsidR="00BA3908" w:rsidRDefault="00BA3908" w:rsidP="001E7DBF">
      <w:pPr>
        <w:jc w:val="both"/>
        <w:rPr>
          <w:lang w:val="en-AU"/>
        </w:rPr>
      </w:pPr>
    </w:p>
    <w:p w14:paraId="61568C55" w14:textId="40B7BA87" w:rsidR="00BA3908" w:rsidRDefault="00E24069" w:rsidP="001E7DBF">
      <w:pPr>
        <w:jc w:val="both"/>
        <w:rPr>
          <w:lang w:val="en-AU"/>
        </w:rPr>
      </w:pPr>
      <w:r>
        <w:rPr>
          <w:lang w:val="en-AU"/>
        </w:rPr>
        <w:t>This submission is made by Prof</w:t>
      </w:r>
      <w:r w:rsidR="00ED7442">
        <w:rPr>
          <w:lang w:val="en-AU"/>
        </w:rPr>
        <w:t>essor</w:t>
      </w:r>
      <w:r>
        <w:rPr>
          <w:lang w:val="en-AU"/>
        </w:rPr>
        <w:t xml:space="preserve"> AC McFarlane AO, Director of the Centre f</w:t>
      </w:r>
      <w:r w:rsidR="00ED7442">
        <w:rPr>
          <w:lang w:val="en-AU"/>
        </w:rPr>
        <w:t>or Traumatic Stress Studies at T</w:t>
      </w:r>
      <w:r>
        <w:rPr>
          <w:lang w:val="en-AU"/>
        </w:rPr>
        <w:t xml:space="preserve">he University of Adelaide. </w:t>
      </w:r>
      <w:r w:rsidR="00ED7442">
        <w:rPr>
          <w:lang w:val="en-AU"/>
        </w:rPr>
        <w:t xml:space="preserve"> </w:t>
      </w:r>
      <w:r w:rsidR="00BA3908">
        <w:rPr>
          <w:lang w:val="en-AU"/>
        </w:rPr>
        <w:t>The Centre for Traumatic Stress Studies has existed in its current form since 2010 and previously was related to the Centre for Military and Veterans Health, which was a conjoint i</w:t>
      </w:r>
      <w:r w:rsidR="00ED7442">
        <w:rPr>
          <w:lang w:val="en-AU"/>
        </w:rPr>
        <w:t>nitiative with T</w:t>
      </w:r>
      <w:r w:rsidR="00BA3908">
        <w:rPr>
          <w:lang w:val="en-AU"/>
        </w:rPr>
        <w:t>he University of Queensland that is no longer funded.</w:t>
      </w:r>
    </w:p>
    <w:p w14:paraId="412B2B6B" w14:textId="302D8BFA" w:rsidR="00BA3908" w:rsidRDefault="00BA3908" w:rsidP="001E7DBF">
      <w:pPr>
        <w:jc w:val="both"/>
        <w:rPr>
          <w:lang w:val="en-AU"/>
        </w:rPr>
      </w:pPr>
    </w:p>
    <w:p w14:paraId="5E5FC312" w14:textId="6AE79C64" w:rsidR="00BA3908" w:rsidRDefault="00BA3908" w:rsidP="001E7DBF">
      <w:pPr>
        <w:jc w:val="both"/>
        <w:rPr>
          <w:lang w:val="en-AU"/>
        </w:rPr>
      </w:pPr>
      <w:r>
        <w:rPr>
          <w:lang w:val="en-AU"/>
        </w:rPr>
        <w:t>The activity of the Centre has primarily addressed the mental health and wellbeing of the Australian Defence Force, as well as other populations exposed to traumatic stress.  The Centre conducted the 2010 Mental Health Prevalence and Wellbeing Study of the ADF</w:t>
      </w:r>
      <w:r w:rsidR="005000D1">
        <w:rPr>
          <w:vertAlign w:val="superscript"/>
          <w:lang w:val="en-AU"/>
        </w:rPr>
        <w:t>2</w:t>
      </w:r>
      <w:r>
        <w:rPr>
          <w:lang w:val="en-AU"/>
        </w:rPr>
        <w:t xml:space="preserve"> and the Prospective Study of the Middle East Area of Operations Study.  Currently the Centre is running the Transition and Wellbeing Research Programme</w:t>
      </w:r>
      <w:r w:rsidR="00ED7442">
        <w:rPr>
          <w:rFonts w:cs="Times New Roman (Body CS)" w:hint="cs"/>
          <w:vertAlign w:val="superscript"/>
          <w:lang w:val="en-AU"/>
        </w:rPr>
        <w:t>1</w:t>
      </w:r>
      <w:r w:rsidR="00E24069">
        <w:rPr>
          <w:lang w:val="en-AU"/>
        </w:rPr>
        <w:t xml:space="preserve"> for Defence and DVA</w:t>
      </w:r>
      <w:r>
        <w:rPr>
          <w:lang w:val="en-AU"/>
        </w:rPr>
        <w:t xml:space="preserve">, which is </w:t>
      </w:r>
      <w:r w:rsidR="00FF35FC">
        <w:rPr>
          <w:lang w:val="en-AU"/>
        </w:rPr>
        <w:t xml:space="preserve">examining </w:t>
      </w:r>
      <w:r w:rsidR="00E24069">
        <w:rPr>
          <w:lang w:val="en-AU"/>
        </w:rPr>
        <w:t>the mental and physical health</w:t>
      </w:r>
      <w:r>
        <w:rPr>
          <w:lang w:val="en-AU"/>
        </w:rPr>
        <w:t xml:space="preserve"> </w:t>
      </w:r>
      <w:r w:rsidR="00ED0A74">
        <w:rPr>
          <w:lang w:val="en-AU"/>
        </w:rPr>
        <w:t xml:space="preserve">of </w:t>
      </w:r>
      <w:r>
        <w:rPr>
          <w:lang w:val="en-AU"/>
        </w:rPr>
        <w:t xml:space="preserve">Defence members </w:t>
      </w:r>
      <w:r w:rsidR="00FF35FC">
        <w:rPr>
          <w:lang w:val="en-AU"/>
        </w:rPr>
        <w:t xml:space="preserve">transitioning from service </w:t>
      </w:r>
      <w:r>
        <w:rPr>
          <w:lang w:val="en-AU"/>
        </w:rPr>
        <w:t xml:space="preserve">and current military </w:t>
      </w:r>
      <w:r w:rsidR="00FF35FC">
        <w:rPr>
          <w:lang w:val="en-AU"/>
        </w:rPr>
        <w:t>personnel</w:t>
      </w:r>
      <w:r>
        <w:rPr>
          <w:lang w:val="en-AU"/>
        </w:rPr>
        <w:t>.</w:t>
      </w:r>
    </w:p>
    <w:p w14:paraId="4431041B" w14:textId="2777608B" w:rsidR="00BA3908" w:rsidRDefault="00BA3908" w:rsidP="001E7DBF">
      <w:pPr>
        <w:jc w:val="both"/>
        <w:rPr>
          <w:lang w:val="en-AU"/>
        </w:rPr>
      </w:pPr>
    </w:p>
    <w:p w14:paraId="29BF7B15" w14:textId="4A292400" w:rsidR="00BA3908" w:rsidRDefault="00BA3908" w:rsidP="001E7DBF">
      <w:pPr>
        <w:jc w:val="both"/>
        <w:rPr>
          <w:lang w:val="en-AU"/>
        </w:rPr>
      </w:pPr>
      <w:r>
        <w:rPr>
          <w:lang w:val="en-AU"/>
        </w:rPr>
        <w:t xml:space="preserve">The Centre also </w:t>
      </w:r>
      <w:r w:rsidR="00FF35FC">
        <w:rPr>
          <w:lang w:val="en-AU"/>
        </w:rPr>
        <w:t xml:space="preserve">has </w:t>
      </w:r>
      <w:r>
        <w:rPr>
          <w:lang w:val="en-AU"/>
        </w:rPr>
        <w:t>ex</w:t>
      </w:r>
      <w:r w:rsidR="00FF35FC">
        <w:rPr>
          <w:lang w:val="en-AU"/>
        </w:rPr>
        <w:t>t</w:t>
      </w:r>
      <w:r w:rsidR="00ED0A74">
        <w:rPr>
          <w:lang w:val="en-AU"/>
        </w:rPr>
        <w:t>ensive experience in studying</w:t>
      </w:r>
      <w:r>
        <w:rPr>
          <w:lang w:val="en-AU"/>
        </w:rPr>
        <w:t xml:space="preserve"> disaster</w:t>
      </w:r>
      <w:r w:rsidR="00031A2C">
        <w:rPr>
          <w:lang w:val="en-AU"/>
        </w:rPr>
        <w:t xml:space="preserve"> survivor</w:t>
      </w:r>
      <w:r w:rsidR="005000D1">
        <w:rPr>
          <w:vertAlign w:val="superscript"/>
          <w:lang w:val="en-AU"/>
        </w:rPr>
        <w:t>3</w:t>
      </w:r>
      <w:r>
        <w:rPr>
          <w:lang w:val="en-AU"/>
        </w:rPr>
        <w:t xml:space="preserve"> and accident populations, including the long-term follow up of a population of children, exposed to the Ash Wednesday Bushfires, into adulthoo</w:t>
      </w:r>
      <w:r w:rsidR="00B433B0">
        <w:rPr>
          <w:lang w:val="en-AU"/>
        </w:rPr>
        <w:t>d.  The Centre was also involved</w:t>
      </w:r>
      <w:r>
        <w:rPr>
          <w:lang w:val="en-AU"/>
        </w:rPr>
        <w:t xml:space="preserve"> in a NH&amp;MRC Partnership Grant that examined the mental health of the South Australian Metropolitan Fire Service</w:t>
      </w:r>
      <w:r w:rsidR="005000D1">
        <w:rPr>
          <w:vertAlign w:val="superscript"/>
          <w:lang w:val="en-AU"/>
        </w:rPr>
        <w:t>4</w:t>
      </w:r>
      <w:r>
        <w:rPr>
          <w:lang w:val="en-AU"/>
        </w:rPr>
        <w:t>.</w:t>
      </w:r>
    </w:p>
    <w:p w14:paraId="7E31BEBE" w14:textId="556F81EC" w:rsidR="00BA3908" w:rsidRDefault="00BA3908" w:rsidP="001E7DBF">
      <w:pPr>
        <w:jc w:val="both"/>
        <w:rPr>
          <w:lang w:val="en-AU"/>
        </w:rPr>
      </w:pPr>
    </w:p>
    <w:p w14:paraId="31D8212A" w14:textId="2A80B44B" w:rsidR="00BA3908" w:rsidRDefault="00BA3908" w:rsidP="001E7DBF">
      <w:pPr>
        <w:jc w:val="both"/>
        <w:rPr>
          <w:lang w:val="en-AU"/>
        </w:rPr>
      </w:pPr>
      <w:r>
        <w:rPr>
          <w:lang w:val="en-AU"/>
        </w:rPr>
        <w:t xml:space="preserve">Professor Alexander McFarlane, has extensive experience with </w:t>
      </w:r>
      <w:r w:rsidR="00FF35FC">
        <w:rPr>
          <w:lang w:val="en-AU"/>
        </w:rPr>
        <w:t>veterans</w:t>
      </w:r>
      <w:r>
        <w:rPr>
          <w:lang w:val="en-AU"/>
        </w:rPr>
        <w:t xml:space="preserve">, having had various roles with the Department of Veterans’ Affairs since 1992.  He was a member of the RAAF SR from 1995 until 2017, </w:t>
      </w:r>
      <w:r w:rsidR="00FF35FC">
        <w:rPr>
          <w:lang w:val="en-AU"/>
        </w:rPr>
        <w:t>reaching</w:t>
      </w:r>
      <w:r>
        <w:rPr>
          <w:lang w:val="en-AU"/>
        </w:rPr>
        <w:t xml:space="preserve"> the rank of Group Captain.  In that position he had a variety of advisory and clinical roles and currently is the advisor in psychiatry to the </w:t>
      </w:r>
      <w:r w:rsidR="00FF35FC">
        <w:rPr>
          <w:lang w:val="en-AU"/>
        </w:rPr>
        <w:t xml:space="preserve">Department of Veterans’ Affairs. </w:t>
      </w:r>
      <w:r w:rsidR="00ED0A74">
        <w:rPr>
          <w:lang w:val="en-AU"/>
        </w:rPr>
        <w:t xml:space="preserve"> </w:t>
      </w:r>
      <w:r w:rsidR="00FF35FC">
        <w:rPr>
          <w:lang w:val="en-AU"/>
        </w:rPr>
        <w:t xml:space="preserve">He </w:t>
      </w:r>
      <w:r>
        <w:rPr>
          <w:lang w:val="en-AU"/>
        </w:rPr>
        <w:t xml:space="preserve">previously </w:t>
      </w:r>
      <w:r w:rsidR="00FF35FC">
        <w:rPr>
          <w:lang w:val="en-AU"/>
        </w:rPr>
        <w:t>was a member of</w:t>
      </w:r>
      <w:r>
        <w:rPr>
          <w:lang w:val="en-AU"/>
        </w:rPr>
        <w:t xml:space="preserve"> the Rehabilitation Advisory Committee of DVA. </w:t>
      </w:r>
      <w:r w:rsidR="00ED0A74">
        <w:rPr>
          <w:lang w:val="en-AU"/>
        </w:rPr>
        <w:t xml:space="preserve"> </w:t>
      </w:r>
      <w:r>
        <w:rPr>
          <w:lang w:val="en-AU"/>
        </w:rPr>
        <w:t xml:space="preserve"> He was involved in an inquiry examining the provision </w:t>
      </w:r>
      <w:r w:rsidR="00540EF2">
        <w:rPr>
          <w:lang w:val="en-AU"/>
        </w:rPr>
        <w:t xml:space="preserve">of </w:t>
      </w:r>
      <w:r>
        <w:rPr>
          <w:lang w:val="en-AU"/>
        </w:rPr>
        <w:t xml:space="preserve">health services and rehabilitation in Special Forces Command.  </w:t>
      </w:r>
    </w:p>
    <w:p w14:paraId="09A9D2E7" w14:textId="530C9D7E" w:rsidR="00BA3908" w:rsidRDefault="00BA3908" w:rsidP="001E7DBF">
      <w:pPr>
        <w:jc w:val="both"/>
        <w:rPr>
          <w:lang w:val="en-AU"/>
        </w:rPr>
      </w:pPr>
    </w:p>
    <w:p w14:paraId="2602BFBE" w14:textId="5C9C30FF" w:rsidR="00BA3908" w:rsidRDefault="00BA3908" w:rsidP="00FF35FC">
      <w:pPr>
        <w:jc w:val="both"/>
        <w:rPr>
          <w:lang w:val="en-AU"/>
        </w:rPr>
      </w:pPr>
      <w:r>
        <w:rPr>
          <w:lang w:val="en-AU"/>
        </w:rPr>
        <w:t>In his private clinical practice</w:t>
      </w:r>
      <w:r w:rsidR="002B4750">
        <w:rPr>
          <w:lang w:val="en-AU"/>
        </w:rPr>
        <w:t>,</w:t>
      </w:r>
      <w:r>
        <w:rPr>
          <w:lang w:val="en-AU"/>
        </w:rPr>
        <w:t xml:space="preserve"> he has extensive experience treating veterans and assisting in their compensation claims.  </w:t>
      </w:r>
      <w:r w:rsidR="00AA6E65">
        <w:rPr>
          <w:lang w:val="en-AU"/>
        </w:rPr>
        <w:t>He has also sat on</w:t>
      </w:r>
      <w:r w:rsidR="00540EF2">
        <w:rPr>
          <w:lang w:val="en-AU"/>
        </w:rPr>
        <w:t xml:space="preserve"> the</w:t>
      </w:r>
      <w:r w:rsidR="00AA6E65">
        <w:rPr>
          <w:lang w:val="en-AU"/>
        </w:rPr>
        <w:t xml:space="preserve"> M</w:t>
      </w:r>
      <w:r w:rsidR="00FF35FC">
        <w:rPr>
          <w:lang w:val="en-AU"/>
        </w:rPr>
        <w:t>edical Review Council Committee</w:t>
      </w:r>
      <w:r w:rsidR="00AA6E65">
        <w:rPr>
          <w:lang w:val="en-AU"/>
        </w:rPr>
        <w:t xml:space="preserve">.  He has been involved in extensive litigation involving Defence Force members, including the </w:t>
      </w:r>
      <w:r w:rsidR="00AA6E65">
        <w:rPr>
          <w:lang w:val="en-AU"/>
        </w:rPr>
        <w:lastRenderedPageBreak/>
        <w:t>Melbourne/Voyager disaster and the class action in the United Kingdom where the Falklands Gulf War and Northern Ireland veterans attempted to sue the Ministry of Defence over failure of ‘duty of care’.</w:t>
      </w:r>
    </w:p>
    <w:p w14:paraId="0C7FE401" w14:textId="215AC525" w:rsidR="00AA6E65" w:rsidRDefault="00AA6E65" w:rsidP="001E7DBF">
      <w:pPr>
        <w:jc w:val="both"/>
        <w:rPr>
          <w:lang w:val="en-AU"/>
        </w:rPr>
      </w:pPr>
    </w:p>
    <w:p w14:paraId="3249DA8F" w14:textId="50715A2E" w:rsidR="00AA6E65" w:rsidRDefault="00FF35FC" w:rsidP="00130DAF">
      <w:pPr>
        <w:tabs>
          <w:tab w:val="left" w:pos="709"/>
        </w:tabs>
        <w:jc w:val="both"/>
        <w:rPr>
          <w:lang w:val="en-AU"/>
        </w:rPr>
      </w:pPr>
      <w:r>
        <w:rPr>
          <w:b/>
          <w:lang w:val="en-AU"/>
        </w:rPr>
        <w:t>1</w:t>
      </w:r>
      <w:r w:rsidR="00AA6E65">
        <w:rPr>
          <w:b/>
          <w:lang w:val="en-AU"/>
        </w:rPr>
        <w:t>.</w:t>
      </w:r>
      <w:r w:rsidR="00AA6E65">
        <w:rPr>
          <w:b/>
          <w:lang w:val="en-AU"/>
        </w:rPr>
        <w:tab/>
      </w:r>
      <w:r w:rsidR="000D565C">
        <w:rPr>
          <w:b/>
          <w:lang w:val="en-AU"/>
        </w:rPr>
        <w:t xml:space="preserve">The Impact of </w:t>
      </w:r>
      <w:r w:rsidR="00AA6E65">
        <w:rPr>
          <w:b/>
          <w:lang w:val="en-AU"/>
        </w:rPr>
        <w:t xml:space="preserve">Historical </w:t>
      </w:r>
      <w:r w:rsidR="000D565C">
        <w:rPr>
          <w:b/>
          <w:lang w:val="en-AU"/>
        </w:rPr>
        <w:t xml:space="preserve">Responsibilities </w:t>
      </w:r>
    </w:p>
    <w:p w14:paraId="4546DAA7" w14:textId="4A3F149B" w:rsidR="00AA6E65" w:rsidRDefault="00AA6E65" w:rsidP="001E7DBF">
      <w:pPr>
        <w:jc w:val="both"/>
        <w:rPr>
          <w:lang w:val="en-AU"/>
        </w:rPr>
      </w:pPr>
    </w:p>
    <w:p w14:paraId="557EFFEB" w14:textId="5E1D18EE" w:rsidR="00FF35FC" w:rsidRDefault="00AA6E65" w:rsidP="001E7DBF">
      <w:pPr>
        <w:jc w:val="both"/>
        <w:rPr>
          <w:lang w:val="en-AU"/>
        </w:rPr>
      </w:pPr>
      <w:r>
        <w:rPr>
          <w:lang w:val="en-AU"/>
        </w:rPr>
        <w:t xml:space="preserve">It is critical that the historical </w:t>
      </w:r>
      <w:r w:rsidR="00FF35FC">
        <w:rPr>
          <w:lang w:val="en-AU"/>
        </w:rPr>
        <w:t>origins</w:t>
      </w:r>
      <w:r>
        <w:rPr>
          <w:lang w:val="en-AU"/>
        </w:rPr>
        <w:t xml:space="preserve"> of the current system of compensation and rehabilitation of veterans be considered</w:t>
      </w:r>
      <w:r w:rsidR="00FF35FC">
        <w:rPr>
          <w:lang w:val="en-AU"/>
        </w:rPr>
        <w:t xml:space="preserve"> so as to understand its design</w:t>
      </w:r>
      <w:r w:rsidR="00CA6667">
        <w:rPr>
          <w:lang w:val="en-AU"/>
        </w:rPr>
        <w:t xml:space="preserve">. </w:t>
      </w:r>
      <w:r w:rsidR="00ED0A74">
        <w:rPr>
          <w:lang w:val="en-AU"/>
        </w:rPr>
        <w:t xml:space="preserve"> </w:t>
      </w:r>
      <w:r>
        <w:rPr>
          <w:lang w:val="en-AU"/>
        </w:rPr>
        <w:t xml:space="preserve">This is also a critical issue in considering the effectiveness of the current administrative and service delivery arrangements for the provision of </w:t>
      </w:r>
      <w:r w:rsidR="00FF35FC">
        <w:rPr>
          <w:lang w:val="en-AU"/>
        </w:rPr>
        <w:t xml:space="preserve">health care and </w:t>
      </w:r>
      <w:r>
        <w:rPr>
          <w:lang w:val="en-AU"/>
        </w:rPr>
        <w:t xml:space="preserve">rehabilitation.  </w:t>
      </w:r>
    </w:p>
    <w:p w14:paraId="428027FD" w14:textId="77777777" w:rsidR="00FF35FC" w:rsidRDefault="00FF35FC" w:rsidP="001E7DBF">
      <w:pPr>
        <w:jc w:val="both"/>
        <w:rPr>
          <w:lang w:val="en-AU"/>
        </w:rPr>
      </w:pPr>
    </w:p>
    <w:p w14:paraId="71065346" w14:textId="3706D891" w:rsidR="00AA6E65" w:rsidRDefault="00AA6E65" w:rsidP="001E7DBF">
      <w:pPr>
        <w:jc w:val="both"/>
        <w:rPr>
          <w:lang w:val="en-AU"/>
        </w:rPr>
      </w:pPr>
      <w:r>
        <w:rPr>
          <w:lang w:val="en-AU"/>
        </w:rPr>
        <w:t>In</w:t>
      </w:r>
      <w:r w:rsidR="00FF35FC">
        <w:rPr>
          <w:lang w:val="en-AU"/>
        </w:rPr>
        <w:t xml:space="preserve"> summary</w:t>
      </w:r>
      <w:r>
        <w:rPr>
          <w:lang w:val="en-AU"/>
        </w:rPr>
        <w:t>, the</w:t>
      </w:r>
      <w:r w:rsidR="00FF35FC">
        <w:rPr>
          <w:lang w:val="en-AU"/>
        </w:rPr>
        <w:t xml:space="preserve"> structure of the</w:t>
      </w:r>
      <w:r>
        <w:rPr>
          <w:lang w:val="en-AU"/>
        </w:rPr>
        <w:t xml:space="preserve"> current system is </w:t>
      </w:r>
      <w:r w:rsidR="000D565C">
        <w:rPr>
          <w:lang w:val="en-AU"/>
        </w:rPr>
        <w:t>significantly influenced by</w:t>
      </w:r>
      <w:r>
        <w:rPr>
          <w:lang w:val="en-AU"/>
        </w:rPr>
        <w:t xml:space="preserve"> its historical obligation</w:t>
      </w:r>
      <w:r w:rsidR="00FF35FC">
        <w:rPr>
          <w:lang w:val="en-AU"/>
        </w:rPr>
        <w:t>s</w:t>
      </w:r>
      <w:r>
        <w:rPr>
          <w:lang w:val="en-AU"/>
        </w:rPr>
        <w:t xml:space="preserve"> to </w:t>
      </w:r>
      <w:r w:rsidR="00FF35FC">
        <w:rPr>
          <w:lang w:val="en-AU"/>
        </w:rPr>
        <w:t xml:space="preserve">the care of </w:t>
      </w:r>
      <w:r>
        <w:rPr>
          <w:lang w:val="en-AU"/>
        </w:rPr>
        <w:t>World War II veterans and Vietnam veterans</w:t>
      </w:r>
      <w:r w:rsidR="00540EF2">
        <w:rPr>
          <w:lang w:val="en-AU"/>
        </w:rPr>
        <w:t xml:space="preserve"> and</w:t>
      </w:r>
      <w:r w:rsidR="000D565C">
        <w:rPr>
          <w:lang w:val="en-AU"/>
        </w:rPr>
        <w:t xml:space="preserve"> in turn how it has been req</w:t>
      </w:r>
      <w:r w:rsidR="00ED0A74">
        <w:rPr>
          <w:lang w:val="en-AU"/>
        </w:rPr>
        <w:t>uired to progressively downsize</w:t>
      </w:r>
      <w:r w:rsidR="000D565C">
        <w:rPr>
          <w:lang w:val="en-AU"/>
        </w:rPr>
        <w:t xml:space="preserve"> with the de</w:t>
      </w:r>
      <w:r w:rsidR="00540EF2">
        <w:rPr>
          <w:lang w:val="en-AU"/>
        </w:rPr>
        <w:t>ath of the older veteran cohort</w:t>
      </w:r>
      <w:r w:rsidR="000D565C">
        <w:rPr>
          <w:lang w:val="en-AU"/>
        </w:rPr>
        <w:t>.  As a consequence, t</w:t>
      </w:r>
      <w:r>
        <w:rPr>
          <w:lang w:val="en-AU"/>
        </w:rPr>
        <w:t>he current system is not</w:t>
      </w:r>
      <w:r w:rsidR="00FF35FC">
        <w:rPr>
          <w:lang w:val="en-AU"/>
        </w:rPr>
        <w:t xml:space="preserve"> optimally purpose</w:t>
      </w:r>
      <w:r>
        <w:rPr>
          <w:lang w:val="en-AU"/>
        </w:rPr>
        <w:t xml:space="preserve"> designed to address the needs of the current generation of contemporary veterans and ADF personnel.  The presen</w:t>
      </w:r>
      <w:r w:rsidR="000D565C">
        <w:rPr>
          <w:lang w:val="en-AU"/>
        </w:rPr>
        <w:t>ce</w:t>
      </w:r>
      <w:r>
        <w:rPr>
          <w:lang w:val="en-AU"/>
        </w:rPr>
        <w:t xml:space="preserve"> of historically deriv</w:t>
      </w:r>
      <w:r w:rsidR="000D565C">
        <w:rPr>
          <w:lang w:val="en-AU"/>
        </w:rPr>
        <w:t>ed structures means that there are</w:t>
      </w:r>
      <w:r>
        <w:rPr>
          <w:lang w:val="en-AU"/>
        </w:rPr>
        <w:t xml:space="preserve"> considerable inefficiencies and less than optimal </w:t>
      </w:r>
      <w:r w:rsidR="000D565C">
        <w:rPr>
          <w:lang w:val="en-AU"/>
        </w:rPr>
        <w:t>services in place</w:t>
      </w:r>
      <w:r>
        <w:rPr>
          <w:lang w:val="en-AU"/>
        </w:rPr>
        <w:t>.</w:t>
      </w:r>
      <w:r w:rsidR="000D565C">
        <w:rPr>
          <w:lang w:val="en-AU"/>
        </w:rPr>
        <w:t xml:space="preserve"> </w:t>
      </w:r>
      <w:r w:rsidR="00ED0A74">
        <w:rPr>
          <w:lang w:val="en-AU"/>
        </w:rPr>
        <w:t xml:space="preserve"> </w:t>
      </w:r>
      <w:r w:rsidR="000D565C">
        <w:rPr>
          <w:lang w:val="en-AU"/>
        </w:rPr>
        <w:t xml:space="preserve">If the system was to be established de novo, a very different and far more efficient system would be created. </w:t>
      </w:r>
      <w:r w:rsidR="00ED0A74">
        <w:rPr>
          <w:lang w:val="en-AU"/>
        </w:rPr>
        <w:t xml:space="preserve"> </w:t>
      </w:r>
      <w:r w:rsidR="000D565C">
        <w:rPr>
          <w:lang w:val="en-AU"/>
        </w:rPr>
        <w:t>As a consequence</w:t>
      </w:r>
      <w:r w:rsidR="00CA6667">
        <w:rPr>
          <w:lang w:val="en-AU"/>
        </w:rPr>
        <w:t>,</w:t>
      </w:r>
      <w:r w:rsidR="00ED0A74">
        <w:rPr>
          <w:lang w:val="en-AU"/>
        </w:rPr>
        <w:t xml:space="preserve"> the system is not ‘veteran centric’.</w:t>
      </w:r>
    </w:p>
    <w:p w14:paraId="4DD809FB" w14:textId="7403CD7A" w:rsidR="00AA6E65" w:rsidRDefault="00AA6E65" w:rsidP="001E7DBF">
      <w:pPr>
        <w:jc w:val="both"/>
        <w:rPr>
          <w:lang w:val="en-AU"/>
        </w:rPr>
      </w:pPr>
    </w:p>
    <w:p w14:paraId="50EEC5B8" w14:textId="7C2730C0" w:rsidR="00AA6E65" w:rsidRDefault="00AA6E65" w:rsidP="001E7DBF">
      <w:pPr>
        <w:jc w:val="both"/>
        <w:rPr>
          <w:lang w:val="en-AU"/>
        </w:rPr>
      </w:pPr>
      <w:r>
        <w:rPr>
          <w:b/>
          <w:lang w:val="en-AU"/>
        </w:rPr>
        <w:t>3.</w:t>
      </w:r>
      <w:r>
        <w:rPr>
          <w:b/>
          <w:lang w:val="en-AU"/>
        </w:rPr>
        <w:tab/>
        <w:t>Structure of Health Care Services in Australia</w:t>
      </w:r>
    </w:p>
    <w:p w14:paraId="06864192" w14:textId="678E2F6A" w:rsidR="00AA6E65" w:rsidRDefault="00AA6E65" w:rsidP="001E7DBF">
      <w:pPr>
        <w:jc w:val="both"/>
        <w:rPr>
          <w:lang w:val="en-AU"/>
        </w:rPr>
      </w:pPr>
    </w:p>
    <w:p w14:paraId="24B3CA5D" w14:textId="3C3111BF" w:rsidR="00CA6667" w:rsidRDefault="00AA6E65" w:rsidP="001E7DBF">
      <w:pPr>
        <w:jc w:val="both"/>
        <w:rPr>
          <w:lang w:val="en-AU"/>
        </w:rPr>
      </w:pPr>
      <w:r>
        <w:rPr>
          <w:lang w:val="en-AU"/>
        </w:rPr>
        <w:t>One of the major challenges in the Australian health care system is that there is a multiplicity of systems</w:t>
      </w:r>
      <w:r w:rsidR="000D565C">
        <w:rPr>
          <w:lang w:val="en-AU"/>
        </w:rPr>
        <w:t xml:space="preserve"> that care for veterans</w:t>
      </w:r>
      <w:r>
        <w:rPr>
          <w:lang w:val="en-AU"/>
        </w:rPr>
        <w:t xml:space="preserve">, namely the State health system, the private health system, the </w:t>
      </w:r>
      <w:r w:rsidR="000D565C">
        <w:rPr>
          <w:lang w:val="en-AU"/>
        </w:rPr>
        <w:t>DVA funded Veterans and V</w:t>
      </w:r>
      <w:r>
        <w:rPr>
          <w:lang w:val="en-AU"/>
        </w:rPr>
        <w:t>eterans’</w:t>
      </w:r>
      <w:r w:rsidR="000D565C">
        <w:rPr>
          <w:lang w:val="en-AU"/>
        </w:rPr>
        <w:t xml:space="preserve"> Families C</w:t>
      </w:r>
      <w:r>
        <w:rPr>
          <w:lang w:val="en-AU"/>
        </w:rPr>
        <w:t xml:space="preserve">ounselling </w:t>
      </w:r>
      <w:r w:rsidR="000D565C">
        <w:rPr>
          <w:lang w:val="en-AU"/>
        </w:rPr>
        <w:t>Service</w:t>
      </w:r>
      <w:r>
        <w:rPr>
          <w:lang w:val="en-AU"/>
        </w:rPr>
        <w:t xml:space="preserve"> and the ADF health system.  As a consequence, there are many </w:t>
      </w:r>
      <w:r w:rsidR="00031A2C">
        <w:rPr>
          <w:lang w:val="en-AU"/>
        </w:rPr>
        <w:t>system interfaces</w:t>
      </w:r>
      <w:r>
        <w:rPr>
          <w:lang w:val="en-AU"/>
        </w:rPr>
        <w:t xml:space="preserve"> at which a veteran’s health needs</w:t>
      </w:r>
      <w:r w:rsidR="000D565C">
        <w:rPr>
          <w:lang w:val="en-AU"/>
        </w:rPr>
        <w:t xml:space="preserve"> and rehabilitation</w:t>
      </w:r>
      <w:r>
        <w:rPr>
          <w:lang w:val="en-AU"/>
        </w:rPr>
        <w:t xml:space="preserve"> </w:t>
      </w:r>
      <w:r w:rsidR="00031A2C">
        <w:rPr>
          <w:lang w:val="en-AU"/>
        </w:rPr>
        <w:t xml:space="preserve">has the potential to </w:t>
      </w:r>
      <w:r>
        <w:rPr>
          <w:lang w:val="en-AU"/>
        </w:rPr>
        <w:t xml:space="preserve">be less than optimally managed or transferred.  </w:t>
      </w:r>
    </w:p>
    <w:p w14:paraId="2FC53906" w14:textId="77777777" w:rsidR="00CA6667" w:rsidRDefault="00CA6667" w:rsidP="001E7DBF">
      <w:pPr>
        <w:jc w:val="both"/>
        <w:rPr>
          <w:lang w:val="en-AU"/>
        </w:rPr>
      </w:pPr>
    </w:p>
    <w:p w14:paraId="54BDEA3F" w14:textId="1A2FE451" w:rsidR="00AA6E65" w:rsidRDefault="00AA6E65" w:rsidP="001E7DBF">
      <w:pPr>
        <w:jc w:val="both"/>
        <w:rPr>
          <w:lang w:val="en-AU"/>
        </w:rPr>
      </w:pPr>
      <w:r>
        <w:rPr>
          <w:lang w:val="en-AU"/>
        </w:rPr>
        <w:t xml:space="preserve">The current system </w:t>
      </w:r>
      <w:r w:rsidR="000D565C">
        <w:rPr>
          <w:lang w:val="en-AU"/>
        </w:rPr>
        <w:t xml:space="preserve">for </w:t>
      </w:r>
      <w:r>
        <w:rPr>
          <w:lang w:val="en-AU"/>
        </w:rPr>
        <w:t xml:space="preserve">providing care to veterans </w:t>
      </w:r>
      <w:r w:rsidR="000D565C">
        <w:rPr>
          <w:lang w:val="en-AU"/>
        </w:rPr>
        <w:t>is very different from</w:t>
      </w:r>
      <w:r w:rsidR="00ED0A74">
        <w:rPr>
          <w:lang w:val="en-AU"/>
        </w:rPr>
        <w:t xml:space="preserve"> the</w:t>
      </w:r>
      <w:r w:rsidR="005E1461">
        <w:rPr>
          <w:lang w:val="en-AU"/>
        </w:rPr>
        <w:t xml:space="preserve"> </w:t>
      </w:r>
      <w:r>
        <w:rPr>
          <w:lang w:val="en-AU"/>
        </w:rPr>
        <w:t>coordinat</w:t>
      </w:r>
      <w:r w:rsidR="005E1461">
        <w:rPr>
          <w:lang w:val="en-AU"/>
        </w:rPr>
        <w:t>ed</w:t>
      </w:r>
      <w:r w:rsidR="00B433B0">
        <w:rPr>
          <w:lang w:val="en-AU"/>
        </w:rPr>
        <w:t xml:space="preserve"> and managed</w:t>
      </w:r>
      <w:r w:rsidR="00ED0A74">
        <w:rPr>
          <w:lang w:val="en-AU"/>
        </w:rPr>
        <w:t xml:space="preserve"> </w:t>
      </w:r>
      <w:r w:rsidR="005E1461">
        <w:rPr>
          <w:lang w:val="en-AU"/>
        </w:rPr>
        <w:t xml:space="preserve">system of </w:t>
      </w:r>
      <w:r w:rsidR="00B433B0">
        <w:rPr>
          <w:lang w:val="en-AU"/>
        </w:rPr>
        <w:t xml:space="preserve">care </w:t>
      </w:r>
      <w:r w:rsidR="005D17F9">
        <w:rPr>
          <w:lang w:val="en-AU"/>
        </w:rPr>
        <w:t xml:space="preserve">previously provided </w:t>
      </w:r>
      <w:r w:rsidR="00B433B0">
        <w:rPr>
          <w:lang w:val="en-AU"/>
        </w:rPr>
        <w:t>by</w:t>
      </w:r>
      <w:r>
        <w:rPr>
          <w:lang w:val="en-AU"/>
        </w:rPr>
        <w:t xml:space="preserve"> the Repatriation General Hospitals.  DVA now assumes that in the absence of that system</w:t>
      </w:r>
      <w:r w:rsidR="00B433B0">
        <w:rPr>
          <w:lang w:val="en-AU"/>
        </w:rPr>
        <w:t xml:space="preserve"> of care</w:t>
      </w:r>
      <w:r>
        <w:rPr>
          <w:lang w:val="en-AU"/>
        </w:rPr>
        <w:t xml:space="preserve">, services can be </w:t>
      </w:r>
      <w:r w:rsidR="00B433B0">
        <w:rPr>
          <w:lang w:val="en-AU"/>
        </w:rPr>
        <w:t xml:space="preserve">effectively </w:t>
      </w:r>
      <w:r>
        <w:rPr>
          <w:lang w:val="en-AU"/>
        </w:rPr>
        <w:t xml:space="preserve">purchased from </w:t>
      </w:r>
      <w:r w:rsidR="005E1461">
        <w:rPr>
          <w:lang w:val="en-AU"/>
        </w:rPr>
        <w:t>multiple</w:t>
      </w:r>
      <w:r>
        <w:rPr>
          <w:lang w:val="en-AU"/>
        </w:rPr>
        <w:t xml:space="preserve"> </w:t>
      </w:r>
      <w:r w:rsidR="005E1461">
        <w:rPr>
          <w:lang w:val="en-AU"/>
        </w:rPr>
        <w:t xml:space="preserve">private and state health </w:t>
      </w:r>
      <w:r>
        <w:rPr>
          <w:lang w:val="en-AU"/>
        </w:rPr>
        <w:t>providers</w:t>
      </w:r>
      <w:r w:rsidR="005000D1">
        <w:rPr>
          <w:vertAlign w:val="superscript"/>
          <w:lang w:val="en-AU"/>
        </w:rPr>
        <w:t>5</w:t>
      </w:r>
      <w:r w:rsidR="00B433B0">
        <w:rPr>
          <w:lang w:val="en-AU"/>
        </w:rPr>
        <w:t xml:space="preserve">.  This creates </w:t>
      </w:r>
      <w:r w:rsidR="005E1461">
        <w:rPr>
          <w:lang w:val="en-AU"/>
        </w:rPr>
        <w:t>considerable</w:t>
      </w:r>
      <w:r>
        <w:rPr>
          <w:lang w:val="en-AU"/>
        </w:rPr>
        <w:t xml:space="preserve"> disjunctions in the system</w:t>
      </w:r>
      <w:r w:rsidR="005D17F9">
        <w:rPr>
          <w:lang w:val="en-AU"/>
        </w:rPr>
        <w:t xml:space="preserve"> that vary</w:t>
      </w:r>
      <w:r w:rsidR="005E1461">
        <w:rPr>
          <w:lang w:val="en-AU"/>
        </w:rPr>
        <w:t xml:space="preserve"> from state to state and region to region</w:t>
      </w:r>
      <w:r>
        <w:rPr>
          <w:lang w:val="en-AU"/>
        </w:rPr>
        <w:t xml:space="preserve">.  </w:t>
      </w:r>
      <w:r w:rsidR="005E1461">
        <w:rPr>
          <w:lang w:val="en-AU"/>
        </w:rPr>
        <w:t xml:space="preserve">One consequence is that DVA has increasingly administered </w:t>
      </w:r>
      <w:r>
        <w:rPr>
          <w:lang w:val="en-AU"/>
        </w:rPr>
        <w:t>the health</w:t>
      </w:r>
      <w:r w:rsidR="005E1461">
        <w:rPr>
          <w:lang w:val="en-AU"/>
        </w:rPr>
        <w:t xml:space="preserve"> and rehabilitation</w:t>
      </w:r>
      <w:r>
        <w:rPr>
          <w:lang w:val="en-AU"/>
        </w:rPr>
        <w:t xml:space="preserve"> services </w:t>
      </w:r>
      <w:r w:rsidR="005E1461">
        <w:rPr>
          <w:lang w:val="en-AU"/>
        </w:rPr>
        <w:t xml:space="preserve">in a programmatic </w:t>
      </w:r>
      <w:proofErr w:type="gramStart"/>
      <w:r w:rsidR="005E1461">
        <w:rPr>
          <w:lang w:val="en-AU"/>
        </w:rPr>
        <w:t>manner</w:t>
      </w:r>
      <w:r w:rsidR="005D17F9">
        <w:rPr>
          <w:lang w:val="en-AU"/>
        </w:rPr>
        <w:t>,</w:t>
      </w:r>
      <w:r w:rsidR="005E1461">
        <w:rPr>
          <w:lang w:val="en-AU"/>
        </w:rPr>
        <w:t xml:space="preserve"> that</w:t>
      </w:r>
      <w:proofErr w:type="gramEnd"/>
      <w:r w:rsidR="005E1461">
        <w:rPr>
          <w:lang w:val="en-AU"/>
        </w:rPr>
        <w:t xml:space="preserve"> may or may not exist in a region,</w:t>
      </w:r>
      <w:r>
        <w:rPr>
          <w:lang w:val="en-AU"/>
        </w:rPr>
        <w:t xml:space="preserve"> rather than </w:t>
      </w:r>
      <w:r w:rsidR="00B433B0">
        <w:rPr>
          <w:lang w:val="en-AU"/>
        </w:rPr>
        <w:t xml:space="preserve">having </w:t>
      </w:r>
      <w:r>
        <w:rPr>
          <w:lang w:val="en-AU"/>
        </w:rPr>
        <w:t>based</w:t>
      </w:r>
      <w:r w:rsidR="00B433B0">
        <w:rPr>
          <w:lang w:val="en-AU"/>
        </w:rPr>
        <w:t xml:space="preserve"> it</w:t>
      </w:r>
      <w:r>
        <w:rPr>
          <w:lang w:val="en-AU"/>
        </w:rPr>
        <w:t xml:space="preserve"> on the </w:t>
      </w:r>
      <w:r w:rsidR="005E1461">
        <w:rPr>
          <w:lang w:val="en-AU"/>
        </w:rPr>
        <w:t xml:space="preserve">continuity of the clinical needs of </w:t>
      </w:r>
      <w:r w:rsidR="007F6565">
        <w:rPr>
          <w:lang w:val="en-AU"/>
        </w:rPr>
        <w:t>the patient</w:t>
      </w:r>
      <w:r w:rsidR="005E1461">
        <w:rPr>
          <w:lang w:val="en-AU"/>
        </w:rPr>
        <w:t>s</w:t>
      </w:r>
      <w:r w:rsidR="00540EF2">
        <w:rPr>
          <w:lang w:val="en-AU"/>
        </w:rPr>
        <w:t xml:space="preserve"> to</w:t>
      </w:r>
      <w:r w:rsidR="00080D89">
        <w:rPr>
          <w:lang w:val="en-AU"/>
        </w:rPr>
        <w:t xml:space="preserve"> </w:t>
      </w:r>
      <w:r w:rsidR="00540EF2">
        <w:rPr>
          <w:lang w:val="en-AU"/>
        </w:rPr>
        <w:t>ensure</w:t>
      </w:r>
      <w:r w:rsidR="005E1461">
        <w:rPr>
          <w:lang w:val="en-AU"/>
        </w:rPr>
        <w:t xml:space="preserve"> that they </w:t>
      </w:r>
      <w:r w:rsidR="007F6565">
        <w:rPr>
          <w:lang w:val="en-AU"/>
        </w:rPr>
        <w:t xml:space="preserve">pass seamlessly </w:t>
      </w:r>
      <w:r w:rsidR="005E1461">
        <w:rPr>
          <w:lang w:val="en-AU"/>
        </w:rPr>
        <w:t>through</w:t>
      </w:r>
      <w:r w:rsidR="007F6565">
        <w:rPr>
          <w:lang w:val="en-AU"/>
        </w:rPr>
        <w:t xml:space="preserve"> a health service</w:t>
      </w:r>
      <w:r w:rsidR="00031A2C">
        <w:rPr>
          <w:lang w:val="en-AU"/>
        </w:rPr>
        <w:t xml:space="preserve"> independent of where they reside</w:t>
      </w:r>
      <w:r w:rsidR="007F6565">
        <w:rPr>
          <w:lang w:val="en-AU"/>
        </w:rPr>
        <w:t>.</w:t>
      </w:r>
    </w:p>
    <w:p w14:paraId="4B632F2C" w14:textId="37159622" w:rsidR="007F6565" w:rsidRDefault="007F6565" w:rsidP="001E7DBF">
      <w:pPr>
        <w:jc w:val="both"/>
        <w:rPr>
          <w:lang w:val="en-AU"/>
        </w:rPr>
      </w:pPr>
    </w:p>
    <w:p w14:paraId="671768ED" w14:textId="62EB6491" w:rsidR="00CA6667" w:rsidRDefault="007F6565" w:rsidP="001E7DBF">
      <w:pPr>
        <w:jc w:val="both"/>
        <w:rPr>
          <w:lang w:val="en-AU"/>
        </w:rPr>
      </w:pPr>
      <w:r>
        <w:rPr>
          <w:lang w:val="en-AU"/>
        </w:rPr>
        <w:t>A critical disjunction in the health services and care for ADF personnel and veterans is at the point of transition.  Particularly, in the circumstances of a medical discharge, this involves the transitioning of care from the acute rehabilitation</w:t>
      </w:r>
      <w:r w:rsidR="005D17F9">
        <w:rPr>
          <w:lang w:val="en-AU"/>
        </w:rPr>
        <w:t xml:space="preserve"> of the ADF health s</w:t>
      </w:r>
      <w:r w:rsidR="005E1461">
        <w:rPr>
          <w:lang w:val="en-AU"/>
        </w:rPr>
        <w:t>ystem</w:t>
      </w:r>
      <w:r>
        <w:rPr>
          <w:lang w:val="en-AU"/>
        </w:rPr>
        <w:t xml:space="preserve"> to another health service that may not be particularly attuned to the needs and challenges of veterans.  Furthermore, this means that the ADF health service carries no</w:t>
      </w:r>
      <w:r w:rsidR="005D17F9">
        <w:rPr>
          <w:lang w:val="en-AU"/>
        </w:rPr>
        <w:t xml:space="preserve"> long-</w:t>
      </w:r>
      <w:r w:rsidR="005E1461">
        <w:rPr>
          <w:lang w:val="en-AU"/>
        </w:rPr>
        <w:t xml:space="preserve">term responsibility for </w:t>
      </w:r>
      <w:r w:rsidR="005D17F9">
        <w:rPr>
          <w:lang w:val="en-AU"/>
        </w:rPr>
        <w:t xml:space="preserve">the </w:t>
      </w:r>
      <w:r w:rsidR="005E1461">
        <w:rPr>
          <w:lang w:val="en-AU"/>
        </w:rPr>
        <w:t>cost of</w:t>
      </w:r>
      <w:r>
        <w:rPr>
          <w:lang w:val="en-AU"/>
        </w:rPr>
        <w:t xml:space="preserve"> inadequate early care or prevention.</w:t>
      </w:r>
      <w:r w:rsidR="005E1461">
        <w:rPr>
          <w:lang w:val="en-AU"/>
        </w:rPr>
        <w:t xml:space="preserve"> </w:t>
      </w:r>
      <w:r w:rsidR="005D17F9">
        <w:rPr>
          <w:lang w:val="en-AU"/>
        </w:rPr>
        <w:t xml:space="preserve"> </w:t>
      </w:r>
      <w:r w:rsidR="005E1461">
        <w:rPr>
          <w:lang w:val="en-AU"/>
        </w:rPr>
        <w:t>Equally</w:t>
      </w:r>
      <w:r w:rsidR="005D17F9">
        <w:rPr>
          <w:lang w:val="en-AU"/>
        </w:rPr>
        <w:t>,</w:t>
      </w:r>
      <w:r w:rsidR="005E1461">
        <w:rPr>
          <w:lang w:val="en-AU"/>
        </w:rPr>
        <w:t xml:space="preserve"> the ADF has </w:t>
      </w:r>
      <w:r w:rsidR="00CA6667">
        <w:rPr>
          <w:lang w:val="en-AU"/>
        </w:rPr>
        <w:t>little</w:t>
      </w:r>
      <w:r w:rsidR="005E1461">
        <w:rPr>
          <w:lang w:val="en-AU"/>
        </w:rPr>
        <w:t xml:space="preserve"> awareness of the long-term effectiveness of their interventions. </w:t>
      </w:r>
    </w:p>
    <w:p w14:paraId="7AE457EB" w14:textId="77777777" w:rsidR="00CA6667" w:rsidRDefault="00CA6667" w:rsidP="001E7DBF">
      <w:pPr>
        <w:jc w:val="both"/>
        <w:rPr>
          <w:lang w:val="en-AU"/>
        </w:rPr>
      </w:pPr>
    </w:p>
    <w:p w14:paraId="7CCAC256" w14:textId="6C40739F" w:rsidR="00F576CE" w:rsidRPr="00CA6667" w:rsidRDefault="005E1461" w:rsidP="001E7DBF">
      <w:pPr>
        <w:jc w:val="both"/>
        <w:rPr>
          <w:lang w:val="en-AU"/>
        </w:rPr>
      </w:pPr>
      <w:r>
        <w:rPr>
          <w:lang w:val="en-AU"/>
        </w:rPr>
        <w:lastRenderedPageBreak/>
        <w:t>It ma</w:t>
      </w:r>
      <w:r w:rsidR="00CA6667">
        <w:rPr>
          <w:lang w:val="en-AU"/>
        </w:rPr>
        <w:t xml:space="preserve">y be more parsimonious to allocate more expenditure </w:t>
      </w:r>
      <w:r w:rsidR="005D17F9">
        <w:rPr>
          <w:lang w:val="en-AU"/>
        </w:rPr>
        <w:t>to</w:t>
      </w:r>
      <w:r>
        <w:rPr>
          <w:lang w:val="en-AU"/>
        </w:rPr>
        <w:t xml:space="preserve"> acute effective care rather</w:t>
      </w:r>
      <w:r w:rsidR="005D17F9">
        <w:rPr>
          <w:lang w:val="en-AU"/>
        </w:rPr>
        <w:t xml:space="preserve"> than bear the costs of long-</w:t>
      </w:r>
      <w:r>
        <w:rPr>
          <w:lang w:val="en-AU"/>
        </w:rPr>
        <w:t>term disability</w:t>
      </w:r>
      <w:r w:rsidR="005D17F9">
        <w:rPr>
          <w:lang w:val="en-AU"/>
        </w:rPr>
        <w:t>,</w:t>
      </w:r>
      <w:r>
        <w:rPr>
          <w:lang w:val="en-AU"/>
        </w:rPr>
        <w:t xml:space="preserve"> which is </w:t>
      </w:r>
      <w:r w:rsidR="00CA6667">
        <w:rPr>
          <w:lang w:val="en-AU"/>
        </w:rPr>
        <w:t>the responsibility of</w:t>
      </w:r>
      <w:r>
        <w:rPr>
          <w:lang w:val="en-AU"/>
        </w:rPr>
        <w:t xml:space="preserve"> DVA.</w:t>
      </w:r>
      <w:r w:rsidR="00D10C2B">
        <w:rPr>
          <w:lang w:val="en-AU"/>
        </w:rPr>
        <w:t xml:space="preserve"> </w:t>
      </w:r>
      <w:r w:rsidR="005D17F9">
        <w:rPr>
          <w:lang w:val="en-AU"/>
        </w:rPr>
        <w:t xml:space="preserve"> </w:t>
      </w:r>
      <w:r w:rsidR="00D10C2B">
        <w:rPr>
          <w:lang w:val="en-AU"/>
        </w:rPr>
        <w:t>Optimally</w:t>
      </w:r>
      <w:r w:rsidR="005D17F9">
        <w:rPr>
          <w:lang w:val="en-AU"/>
        </w:rPr>
        <w:t>,</w:t>
      </w:r>
      <w:r w:rsidR="00D10C2B">
        <w:rPr>
          <w:lang w:val="en-AU"/>
        </w:rPr>
        <w:t xml:space="preserve"> the health care systems of the ADF and DVA would be joined and have the same administration so as to create efficiencies and continuity of care. </w:t>
      </w:r>
      <w:r w:rsidR="005D17F9">
        <w:rPr>
          <w:lang w:val="en-AU"/>
        </w:rPr>
        <w:t xml:space="preserve"> </w:t>
      </w:r>
      <w:r w:rsidR="00D10C2B">
        <w:rPr>
          <w:lang w:val="en-AU"/>
        </w:rPr>
        <w:t xml:space="preserve">Families of Defence members could also come under this system so as to create </w:t>
      </w:r>
      <w:proofErr w:type="gramStart"/>
      <w:r w:rsidR="00D10C2B">
        <w:rPr>
          <w:lang w:val="en-AU"/>
        </w:rPr>
        <w:t>efficiencies</w:t>
      </w:r>
      <w:r w:rsidR="005D17F9">
        <w:rPr>
          <w:lang w:val="en-AU"/>
        </w:rPr>
        <w:t xml:space="preserve"> </w:t>
      </w:r>
      <w:r w:rsidR="00D10C2B">
        <w:rPr>
          <w:lang w:val="en-AU"/>
        </w:rPr>
        <w:t xml:space="preserve"> of</w:t>
      </w:r>
      <w:proofErr w:type="gramEnd"/>
      <w:r w:rsidR="00D10C2B">
        <w:rPr>
          <w:lang w:val="en-AU"/>
        </w:rPr>
        <w:t xml:space="preserve"> size. </w:t>
      </w:r>
      <w:r w:rsidR="005D17F9">
        <w:rPr>
          <w:lang w:val="en-AU"/>
        </w:rPr>
        <w:t xml:space="preserve"> </w:t>
      </w:r>
      <w:r w:rsidR="00D10C2B">
        <w:rPr>
          <w:lang w:val="en-AU"/>
        </w:rPr>
        <w:t>Th</w:t>
      </w:r>
      <w:r w:rsidR="00031A2C">
        <w:rPr>
          <w:lang w:val="en-AU"/>
        </w:rPr>
        <w:t>eir care is already funded via M</w:t>
      </w:r>
      <w:r w:rsidR="00D10C2B">
        <w:rPr>
          <w:lang w:val="en-AU"/>
        </w:rPr>
        <w:t xml:space="preserve">edicare so this would not mean a large impost. </w:t>
      </w:r>
      <w:r w:rsidR="005D17F9">
        <w:rPr>
          <w:lang w:val="en-AU"/>
        </w:rPr>
        <w:t xml:space="preserve"> </w:t>
      </w:r>
      <w:r w:rsidR="00D10C2B">
        <w:rPr>
          <w:lang w:val="en-AU"/>
        </w:rPr>
        <w:t>This would provide a critical mass of patients to allow the development of specialist services</w:t>
      </w:r>
      <w:r w:rsidR="005D17F9">
        <w:rPr>
          <w:lang w:val="en-AU"/>
        </w:rPr>
        <w:t xml:space="preserve"> in the different regions, which </w:t>
      </w:r>
      <w:r w:rsidR="00D10C2B">
        <w:rPr>
          <w:lang w:val="en-AU"/>
        </w:rPr>
        <w:t>would ensure better rehabilitation outcomes.</w:t>
      </w:r>
    </w:p>
    <w:p w14:paraId="378F3A1F" w14:textId="77777777" w:rsidR="00F576CE" w:rsidRDefault="00F576CE" w:rsidP="001E7DBF">
      <w:pPr>
        <w:jc w:val="both"/>
        <w:rPr>
          <w:b/>
          <w:lang w:val="en-AU"/>
        </w:rPr>
      </w:pPr>
    </w:p>
    <w:p w14:paraId="044B8626" w14:textId="098E6A43" w:rsidR="007F6565" w:rsidRDefault="007F6565" w:rsidP="001E7DBF">
      <w:pPr>
        <w:jc w:val="both"/>
        <w:rPr>
          <w:lang w:val="en-AU"/>
        </w:rPr>
      </w:pPr>
      <w:r>
        <w:rPr>
          <w:b/>
          <w:lang w:val="en-AU"/>
        </w:rPr>
        <w:t>4.</w:t>
      </w:r>
      <w:r>
        <w:rPr>
          <w:b/>
          <w:lang w:val="en-AU"/>
        </w:rPr>
        <w:tab/>
        <w:t>Governance and Oversight</w:t>
      </w:r>
    </w:p>
    <w:p w14:paraId="1FE1F9C7" w14:textId="3B37FAD8" w:rsidR="007F6565" w:rsidRDefault="007F6565" w:rsidP="001E7DBF">
      <w:pPr>
        <w:jc w:val="both"/>
        <w:rPr>
          <w:lang w:val="en-AU"/>
        </w:rPr>
      </w:pPr>
    </w:p>
    <w:p w14:paraId="03E907AF" w14:textId="6A7791FF" w:rsidR="00D10C2B" w:rsidRDefault="007F6565" w:rsidP="001E7DBF">
      <w:pPr>
        <w:jc w:val="both"/>
        <w:rPr>
          <w:lang w:val="en-AU"/>
        </w:rPr>
      </w:pPr>
      <w:r>
        <w:rPr>
          <w:lang w:val="en-AU"/>
        </w:rPr>
        <w:t xml:space="preserve">The current system of care provided for ADF personnel </w:t>
      </w:r>
      <w:r w:rsidR="00C94D0F">
        <w:rPr>
          <w:lang w:val="en-AU"/>
        </w:rPr>
        <w:t xml:space="preserve">has a large emphasis on </w:t>
      </w:r>
      <w:r>
        <w:rPr>
          <w:lang w:val="en-AU"/>
        </w:rPr>
        <w:t xml:space="preserve">the administrative processes and procedures in terms of reporting and </w:t>
      </w:r>
      <w:r w:rsidR="00C94D0F">
        <w:rPr>
          <w:lang w:val="en-AU"/>
        </w:rPr>
        <w:t xml:space="preserve">oversight. </w:t>
      </w:r>
      <w:r w:rsidR="00080D89">
        <w:rPr>
          <w:lang w:val="en-AU"/>
        </w:rPr>
        <w:t xml:space="preserve"> </w:t>
      </w:r>
      <w:r w:rsidR="00D10C2B">
        <w:rPr>
          <w:lang w:val="en-AU"/>
        </w:rPr>
        <w:t>T</w:t>
      </w:r>
      <w:r>
        <w:rPr>
          <w:lang w:val="en-AU"/>
        </w:rPr>
        <w:t xml:space="preserve">here is </w:t>
      </w:r>
      <w:r w:rsidR="00D10C2B">
        <w:rPr>
          <w:lang w:val="en-AU"/>
        </w:rPr>
        <w:t xml:space="preserve">insufficient </w:t>
      </w:r>
      <w:r>
        <w:rPr>
          <w:lang w:val="en-AU"/>
        </w:rPr>
        <w:t>clinical governance by appropriate medical specialities that oversight the structure and the system of provision of care</w:t>
      </w:r>
      <w:r w:rsidR="00D10C2B">
        <w:rPr>
          <w:lang w:val="en-AU"/>
        </w:rPr>
        <w:t>.</w:t>
      </w:r>
      <w:r>
        <w:rPr>
          <w:lang w:val="en-AU"/>
        </w:rPr>
        <w:t xml:space="preserve"> </w:t>
      </w:r>
      <w:r w:rsidR="00080D89">
        <w:rPr>
          <w:lang w:val="en-AU"/>
        </w:rPr>
        <w:t xml:space="preserve"> </w:t>
      </w:r>
      <w:r w:rsidR="00D10C2B">
        <w:rPr>
          <w:lang w:val="en-AU"/>
        </w:rPr>
        <w:t>This would increase the</w:t>
      </w:r>
      <w:r>
        <w:rPr>
          <w:lang w:val="en-AU"/>
        </w:rPr>
        <w:t xml:space="preserve"> </w:t>
      </w:r>
      <w:r w:rsidR="00C94D0F">
        <w:rPr>
          <w:lang w:val="en-AU"/>
        </w:rPr>
        <w:t>necessary</w:t>
      </w:r>
      <w:r>
        <w:rPr>
          <w:lang w:val="en-AU"/>
        </w:rPr>
        <w:t xml:space="preserve"> focus on optimal interventions and the monito</w:t>
      </w:r>
      <w:r w:rsidR="00D10C2B">
        <w:rPr>
          <w:lang w:val="en-AU"/>
        </w:rPr>
        <w:t xml:space="preserve">ring of clinical outcomes. </w:t>
      </w:r>
      <w:r w:rsidR="00080D89">
        <w:rPr>
          <w:lang w:val="en-AU"/>
        </w:rPr>
        <w:t xml:space="preserve"> </w:t>
      </w:r>
      <w:r w:rsidR="00D10C2B">
        <w:rPr>
          <w:lang w:val="en-AU"/>
        </w:rPr>
        <w:t>The ADF only has several medical specialists, generally depending upon Reservists or pri</w:t>
      </w:r>
      <w:r w:rsidR="00080D89">
        <w:rPr>
          <w:lang w:val="en-AU"/>
        </w:rPr>
        <w:t xml:space="preserve">vately contracted specialists.  </w:t>
      </w:r>
      <w:r w:rsidR="00C94D0F">
        <w:rPr>
          <w:lang w:val="en-AU"/>
        </w:rPr>
        <w:t>An optimal service structure and staffing should</w:t>
      </w:r>
      <w:r w:rsidR="00D10C2B">
        <w:rPr>
          <w:lang w:val="en-AU"/>
        </w:rPr>
        <w:t xml:space="preserve"> </w:t>
      </w:r>
      <w:r w:rsidR="00C94D0F">
        <w:rPr>
          <w:lang w:val="en-AU"/>
        </w:rPr>
        <w:t>be</w:t>
      </w:r>
      <w:r w:rsidR="00F576CE">
        <w:rPr>
          <w:lang w:val="en-AU"/>
        </w:rPr>
        <w:t xml:space="preserve"> more</w:t>
      </w:r>
      <w:r w:rsidR="00C94D0F">
        <w:rPr>
          <w:lang w:val="en-AU"/>
        </w:rPr>
        <w:t xml:space="preserve"> </w:t>
      </w:r>
      <w:r w:rsidR="00D10C2B">
        <w:rPr>
          <w:lang w:val="en-AU"/>
        </w:rPr>
        <w:t xml:space="preserve">designed around </w:t>
      </w:r>
      <w:r w:rsidR="00C94D0F">
        <w:rPr>
          <w:lang w:val="en-AU"/>
        </w:rPr>
        <w:t>the definition of the</w:t>
      </w:r>
      <w:r w:rsidR="00D10C2B">
        <w:rPr>
          <w:lang w:val="en-AU"/>
        </w:rPr>
        <w:t xml:space="preserve"> clinical needs</w:t>
      </w:r>
      <w:r w:rsidR="00CA6667">
        <w:rPr>
          <w:lang w:val="en-AU"/>
        </w:rPr>
        <w:t xml:space="preserve"> and the quality of services</w:t>
      </w:r>
      <w:r w:rsidR="00D10C2B">
        <w:rPr>
          <w:lang w:val="en-AU"/>
        </w:rPr>
        <w:t xml:space="preserve"> </w:t>
      </w:r>
      <w:r w:rsidR="00C94D0F">
        <w:rPr>
          <w:lang w:val="en-AU"/>
        </w:rPr>
        <w:t>with</w:t>
      </w:r>
      <w:r w:rsidR="00D10C2B">
        <w:rPr>
          <w:lang w:val="en-AU"/>
        </w:rPr>
        <w:t xml:space="preserve"> </w:t>
      </w:r>
      <w:r w:rsidR="00C94D0F">
        <w:rPr>
          <w:lang w:val="en-AU"/>
        </w:rPr>
        <w:t>accompanying</w:t>
      </w:r>
      <w:r w:rsidR="00D10C2B">
        <w:rPr>
          <w:lang w:val="en-AU"/>
        </w:rPr>
        <w:t xml:space="preserve"> quality assurance. </w:t>
      </w:r>
    </w:p>
    <w:p w14:paraId="13ECE31F" w14:textId="77777777" w:rsidR="00D10C2B" w:rsidRDefault="00D10C2B" w:rsidP="001E7DBF">
      <w:pPr>
        <w:jc w:val="both"/>
        <w:rPr>
          <w:lang w:val="en-AU"/>
        </w:rPr>
      </w:pPr>
    </w:p>
    <w:p w14:paraId="6D9F091B" w14:textId="62C96F41" w:rsidR="007F6565" w:rsidRDefault="007F6565" w:rsidP="001E7DBF">
      <w:pPr>
        <w:jc w:val="both"/>
        <w:rPr>
          <w:lang w:val="en-AU"/>
        </w:rPr>
      </w:pPr>
      <w:r>
        <w:rPr>
          <w:lang w:val="en-AU"/>
        </w:rPr>
        <w:t xml:space="preserve">DVA </w:t>
      </w:r>
      <w:r w:rsidR="00031A2C">
        <w:rPr>
          <w:lang w:val="en-AU"/>
        </w:rPr>
        <w:t>is</w:t>
      </w:r>
      <w:r w:rsidR="00C94D0F">
        <w:rPr>
          <w:lang w:val="en-AU"/>
        </w:rPr>
        <w:t xml:space="preserve"> not staffed </w:t>
      </w:r>
      <w:r w:rsidR="00031A2C">
        <w:rPr>
          <w:lang w:val="en-AU"/>
        </w:rPr>
        <w:t xml:space="preserve">or structured </w:t>
      </w:r>
      <w:r w:rsidR="00C94D0F">
        <w:rPr>
          <w:lang w:val="en-AU"/>
        </w:rPr>
        <w:t>to</w:t>
      </w:r>
      <w:r w:rsidR="00D10C2B">
        <w:rPr>
          <w:lang w:val="en-AU"/>
        </w:rPr>
        <w:t xml:space="preserve"> </w:t>
      </w:r>
      <w:r>
        <w:rPr>
          <w:lang w:val="en-AU"/>
        </w:rPr>
        <w:t xml:space="preserve">have </w:t>
      </w:r>
      <w:r w:rsidR="00D10C2B">
        <w:rPr>
          <w:lang w:val="en-AU"/>
        </w:rPr>
        <w:t xml:space="preserve">the optimal </w:t>
      </w:r>
      <w:r>
        <w:rPr>
          <w:lang w:val="en-AU"/>
        </w:rPr>
        <w:t xml:space="preserve">clinical specialist advice to assist in </w:t>
      </w:r>
      <w:r w:rsidR="00054F49">
        <w:rPr>
          <w:lang w:val="en-AU"/>
        </w:rPr>
        <w:t xml:space="preserve">the </w:t>
      </w:r>
      <w:r>
        <w:rPr>
          <w:lang w:val="en-AU"/>
        </w:rPr>
        <w:t xml:space="preserve">monitoring and </w:t>
      </w:r>
      <w:r w:rsidR="00D10C2B">
        <w:rPr>
          <w:lang w:val="en-AU"/>
        </w:rPr>
        <w:t xml:space="preserve">oversight of treatment programmes. </w:t>
      </w:r>
      <w:r w:rsidR="00080D89">
        <w:rPr>
          <w:lang w:val="en-AU"/>
        </w:rPr>
        <w:t xml:space="preserve"> </w:t>
      </w:r>
      <w:r>
        <w:rPr>
          <w:lang w:val="en-AU"/>
        </w:rPr>
        <w:t>This</w:t>
      </w:r>
      <w:r w:rsidR="00D10C2B">
        <w:rPr>
          <w:lang w:val="en-AU"/>
        </w:rPr>
        <w:t xml:space="preserve"> situation</w:t>
      </w:r>
      <w:r>
        <w:rPr>
          <w:lang w:val="en-AU"/>
        </w:rPr>
        <w:t xml:space="preserve"> has emerged since the divestment of the Repatriation General Hospitals</w:t>
      </w:r>
      <w:r w:rsidR="00D10C2B">
        <w:rPr>
          <w:lang w:val="en-AU"/>
        </w:rPr>
        <w:t xml:space="preserve"> and the associated loss of clinical resources</w:t>
      </w:r>
      <w:r w:rsidR="00080D89">
        <w:rPr>
          <w:lang w:val="en-AU"/>
        </w:rPr>
        <w:t xml:space="preserve">.  </w:t>
      </w:r>
      <w:r>
        <w:rPr>
          <w:lang w:val="en-AU"/>
        </w:rPr>
        <w:t xml:space="preserve">A bigger issue is in the compensation environment where the aim of the insurer is often to restrict the provision of services because of the related costs.  Increasingly veterans are often </w:t>
      </w:r>
      <w:r w:rsidR="00C94D0F">
        <w:rPr>
          <w:lang w:val="en-AU"/>
        </w:rPr>
        <w:t>referred to state or private</w:t>
      </w:r>
      <w:r>
        <w:rPr>
          <w:lang w:val="en-AU"/>
        </w:rPr>
        <w:t xml:space="preserve"> services that deal with other workers’ compensation jurisdictions.  In those </w:t>
      </w:r>
      <w:r w:rsidR="00C94D0F">
        <w:rPr>
          <w:lang w:val="en-AU"/>
        </w:rPr>
        <w:t>workers’ compensation systems</w:t>
      </w:r>
      <w:r w:rsidR="005000D1">
        <w:rPr>
          <w:lang w:val="en-AU"/>
        </w:rPr>
        <w:t xml:space="preserve"> there are at times</w:t>
      </w:r>
      <w:r>
        <w:rPr>
          <w:lang w:val="en-AU"/>
        </w:rPr>
        <w:t xml:space="preserve"> prejudicial attitude</w:t>
      </w:r>
      <w:r w:rsidR="005000D1">
        <w:rPr>
          <w:lang w:val="en-AU"/>
        </w:rPr>
        <w:t>s</w:t>
      </w:r>
      <w:r w:rsidR="005000D1">
        <w:rPr>
          <w:vertAlign w:val="superscript"/>
          <w:lang w:val="en-AU"/>
        </w:rPr>
        <w:t>6</w:t>
      </w:r>
      <w:r w:rsidR="00054F49">
        <w:rPr>
          <w:lang w:val="en-AU"/>
        </w:rPr>
        <w:t xml:space="preserve">, </w:t>
      </w:r>
      <w:r>
        <w:rPr>
          <w:lang w:val="en-AU"/>
        </w:rPr>
        <w:t>to particularly psychiatric injuries</w:t>
      </w:r>
      <w:r w:rsidR="00C94D0F">
        <w:rPr>
          <w:lang w:val="en-AU"/>
        </w:rPr>
        <w:t xml:space="preserve"> and their rehabilitation</w:t>
      </w:r>
      <w:r>
        <w:rPr>
          <w:lang w:val="en-AU"/>
        </w:rPr>
        <w:t>, which does not bring optimal clinical outcomes.</w:t>
      </w:r>
      <w:r w:rsidR="00CA6667">
        <w:rPr>
          <w:lang w:val="en-AU"/>
        </w:rPr>
        <w:t xml:space="preserve"> </w:t>
      </w:r>
      <w:r w:rsidR="00080D89">
        <w:rPr>
          <w:lang w:val="en-AU"/>
        </w:rPr>
        <w:t xml:space="preserve"> </w:t>
      </w:r>
      <w:r w:rsidR="00CA6667">
        <w:rPr>
          <w:lang w:val="en-AU"/>
        </w:rPr>
        <w:t>Veterans can be impacted by these attitudes.</w:t>
      </w:r>
    </w:p>
    <w:p w14:paraId="54C9AAC7" w14:textId="57A96810" w:rsidR="007F6565" w:rsidRDefault="007F6565" w:rsidP="001E7DBF">
      <w:pPr>
        <w:jc w:val="both"/>
        <w:rPr>
          <w:lang w:val="en-AU"/>
        </w:rPr>
      </w:pPr>
    </w:p>
    <w:p w14:paraId="6AA5344C" w14:textId="77777777" w:rsidR="00C94D0F" w:rsidRDefault="007F6565" w:rsidP="001E7DBF">
      <w:pPr>
        <w:jc w:val="both"/>
        <w:rPr>
          <w:lang w:val="en-AU"/>
        </w:rPr>
      </w:pPr>
      <w:r>
        <w:rPr>
          <w:lang w:val="en-AU"/>
        </w:rPr>
        <w:t xml:space="preserve">Best practice requires a constant appraisal and consideration of emerging clinical literature about treatment and rehabilitation.  At the present time, DVA </w:t>
      </w:r>
      <w:r w:rsidR="00C94D0F">
        <w:rPr>
          <w:lang w:val="en-AU"/>
        </w:rPr>
        <w:t>does not have the necessary</w:t>
      </w:r>
      <w:r>
        <w:rPr>
          <w:lang w:val="en-AU"/>
        </w:rPr>
        <w:t xml:space="preserve"> personnel to ensure the embracing </w:t>
      </w:r>
      <w:r w:rsidR="00C94D0F">
        <w:rPr>
          <w:lang w:val="en-AU"/>
        </w:rPr>
        <w:t xml:space="preserve">of </w:t>
      </w:r>
      <w:r>
        <w:rPr>
          <w:lang w:val="en-AU"/>
        </w:rPr>
        <w:t xml:space="preserve">knowledge and information in optimal service design.  </w:t>
      </w:r>
    </w:p>
    <w:p w14:paraId="0EABE111" w14:textId="77777777" w:rsidR="00C94D0F" w:rsidRDefault="00C94D0F" w:rsidP="001E7DBF">
      <w:pPr>
        <w:jc w:val="both"/>
        <w:rPr>
          <w:lang w:val="en-AU"/>
        </w:rPr>
      </w:pPr>
    </w:p>
    <w:p w14:paraId="190A0A80" w14:textId="67FD1199" w:rsidR="007F6565" w:rsidRDefault="007F6565" w:rsidP="001E7DBF">
      <w:pPr>
        <w:jc w:val="both"/>
        <w:rPr>
          <w:lang w:val="en-AU"/>
        </w:rPr>
      </w:pPr>
      <w:r>
        <w:rPr>
          <w:lang w:val="en-AU"/>
        </w:rPr>
        <w:t>This</w:t>
      </w:r>
      <w:r w:rsidR="00F576CE">
        <w:rPr>
          <w:lang w:val="en-AU"/>
        </w:rPr>
        <w:t xml:space="preserve"> utilisation of the published literature</w:t>
      </w:r>
      <w:r>
        <w:rPr>
          <w:lang w:val="en-AU"/>
        </w:rPr>
        <w:t xml:space="preserve"> should be done in conju</w:t>
      </w:r>
      <w:r w:rsidR="00080D89">
        <w:rPr>
          <w:lang w:val="en-AU"/>
        </w:rPr>
        <w:t>nction with research programmes</w:t>
      </w:r>
      <w:r>
        <w:rPr>
          <w:lang w:val="en-AU"/>
        </w:rPr>
        <w:t xml:space="preserve"> studying the longitudinal health and rehabilitation of the Australian Defence Force and ex-serving personnel.  The optimal use of the available information and data has been hampered by the progressive loss of trained staff within DVA</w:t>
      </w:r>
      <w:r w:rsidR="00054F49">
        <w:rPr>
          <w:lang w:val="en-AU"/>
        </w:rPr>
        <w:t>,</w:t>
      </w:r>
      <w:r>
        <w:rPr>
          <w:lang w:val="en-AU"/>
        </w:rPr>
        <w:t xml:space="preserve"> </w:t>
      </w:r>
      <w:r w:rsidR="00031A2C">
        <w:rPr>
          <w:lang w:val="en-AU"/>
        </w:rPr>
        <w:t>such as epidemiologists</w:t>
      </w:r>
      <w:r w:rsidR="00054F49">
        <w:rPr>
          <w:lang w:val="en-AU"/>
        </w:rPr>
        <w:t>,</w:t>
      </w:r>
      <w:r w:rsidR="00031A2C">
        <w:rPr>
          <w:lang w:val="en-AU"/>
        </w:rPr>
        <w:t xml:space="preserve"> </w:t>
      </w:r>
      <w:r>
        <w:rPr>
          <w:lang w:val="en-AU"/>
        </w:rPr>
        <w:t xml:space="preserve">and the increasing use of contract research, which </w:t>
      </w:r>
      <w:r w:rsidR="00F576CE">
        <w:rPr>
          <w:lang w:val="en-AU"/>
        </w:rPr>
        <w:t xml:space="preserve">potentially </w:t>
      </w:r>
      <w:r>
        <w:rPr>
          <w:lang w:val="en-AU"/>
        </w:rPr>
        <w:t xml:space="preserve">diminishes the independence of the advice </w:t>
      </w:r>
      <w:r w:rsidR="001C51A4">
        <w:rPr>
          <w:lang w:val="en-AU"/>
        </w:rPr>
        <w:t>being provided to the Department.</w:t>
      </w:r>
      <w:r w:rsidR="00C94D0F">
        <w:rPr>
          <w:lang w:val="en-AU"/>
        </w:rPr>
        <w:t xml:space="preserve"> </w:t>
      </w:r>
      <w:r w:rsidR="00080D89">
        <w:rPr>
          <w:lang w:val="en-AU"/>
        </w:rPr>
        <w:t xml:space="preserve"> </w:t>
      </w:r>
      <w:r w:rsidR="00C94D0F">
        <w:rPr>
          <w:lang w:val="en-AU"/>
        </w:rPr>
        <w:t>The potential of the existing data sets that have been collected on Defence and ex-serving personnel is not fully appreciated or optimised.</w:t>
      </w:r>
    </w:p>
    <w:p w14:paraId="63AF9A7F" w14:textId="62C6F2B2" w:rsidR="001C51A4" w:rsidRDefault="001C51A4" w:rsidP="001E7DBF">
      <w:pPr>
        <w:jc w:val="both"/>
        <w:rPr>
          <w:lang w:val="en-AU"/>
        </w:rPr>
      </w:pPr>
    </w:p>
    <w:p w14:paraId="05597A79" w14:textId="2B87744D" w:rsidR="001C51A4" w:rsidRDefault="001C51A4" w:rsidP="001E7DBF">
      <w:pPr>
        <w:jc w:val="both"/>
        <w:rPr>
          <w:lang w:val="en-AU"/>
        </w:rPr>
      </w:pPr>
      <w:r>
        <w:rPr>
          <w:b/>
          <w:lang w:val="en-AU"/>
        </w:rPr>
        <w:t>5.</w:t>
      </w:r>
      <w:r>
        <w:rPr>
          <w:b/>
          <w:lang w:val="en-AU"/>
        </w:rPr>
        <w:tab/>
        <w:t>Veteran Centric Care</w:t>
      </w:r>
    </w:p>
    <w:p w14:paraId="068588B7" w14:textId="4BDA86AF" w:rsidR="001C51A4" w:rsidRDefault="001C51A4" w:rsidP="001E7DBF">
      <w:pPr>
        <w:jc w:val="both"/>
        <w:rPr>
          <w:lang w:val="en-AU"/>
        </w:rPr>
      </w:pPr>
    </w:p>
    <w:p w14:paraId="196DB5E1" w14:textId="54658EED" w:rsidR="001C51A4" w:rsidRDefault="001C51A4" w:rsidP="001E7DBF">
      <w:pPr>
        <w:jc w:val="both"/>
        <w:rPr>
          <w:lang w:val="en-AU"/>
        </w:rPr>
      </w:pPr>
      <w:r>
        <w:rPr>
          <w:lang w:val="en-AU"/>
        </w:rPr>
        <w:t xml:space="preserve">For an ADF member who is discharged, it is important to realise that the Medicare and private health systems are in direct competition with the DVA funded services in the provision of </w:t>
      </w:r>
      <w:r>
        <w:rPr>
          <w:lang w:val="en-AU"/>
        </w:rPr>
        <w:lastRenderedPageBreak/>
        <w:t>care.  An individual is only a client of the Department of Veterans’ Affairs if they have an entitlement.  Given the administrative barriers, many veterans will choose not to receive care through the DVA funded system.  At times, this is because the specialist</w:t>
      </w:r>
      <w:r w:rsidR="00197038">
        <w:rPr>
          <w:lang w:val="en-AU"/>
        </w:rPr>
        <w:t>s</w:t>
      </w:r>
      <w:r>
        <w:rPr>
          <w:lang w:val="en-AU"/>
        </w:rPr>
        <w:t xml:space="preserve"> they wish to consult do not accept the rebates offered by the Department because of their progressive diminution with the passage of time.  This is similarly the case with ADF personnel where the inability to charge a gap means that many specialists will not treat ADF patients.  </w:t>
      </w:r>
    </w:p>
    <w:p w14:paraId="2DFF9DAA" w14:textId="42504D63" w:rsidR="001C51A4" w:rsidRDefault="001C51A4" w:rsidP="001E7DBF">
      <w:pPr>
        <w:jc w:val="both"/>
        <w:rPr>
          <w:lang w:val="en-AU"/>
        </w:rPr>
      </w:pPr>
    </w:p>
    <w:p w14:paraId="1DB5A582" w14:textId="0E4CA128" w:rsidR="001C51A4" w:rsidRDefault="001C51A4" w:rsidP="001E7DBF">
      <w:pPr>
        <w:jc w:val="both"/>
        <w:rPr>
          <w:lang w:val="en-AU"/>
        </w:rPr>
      </w:pPr>
      <w:r>
        <w:rPr>
          <w:lang w:val="en-AU"/>
        </w:rPr>
        <w:t xml:space="preserve">Previously, veterans were provided with a standard of health care significantly greater than the general community in the private system.  This can no longer be guaranteed.  A veteran centric system, if </w:t>
      </w:r>
      <w:r w:rsidR="00054F49">
        <w:rPr>
          <w:lang w:val="en-AU"/>
        </w:rPr>
        <w:t xml:space="preserve">it is </w:t>
      </w:r>
      <w:r>
        <w:rPr>
          <w:lang w:val="en-AU"/>
        </w:rPr>
        <w:t xml:space="preserve">to live up to its name, should provide the highest standards of care available in a co-ordinated manner.  </w:t>
      </w:r>
    </w:p>
    <w:p w14:paraId="762E5DAE" w14:textId="6BCCCA0E" w:rsidR="001C51A4" w:rsidRDefault="001C51A4" w:rsidP="001E7DBF">
      <w:pPr>
        <w:jc w:val="both"/>
        <w:rPr>
          <w:lang w:val="en-AU"/>
        </w:rPr>
      </w:pPr>
    </w:p>
    <w:p w14:paraId="2A706004" w14:textId="25CE3E3D" w:rsidR="001C51A4" w:rsidRDefault="001C51A4" w:rsidP="001E7DBF">
      <w:pPr>
        <w:jc w:val="both"/>
        <w:rPr>
          <w:lang w:val="en-AU"/>
        </w:rPr>
      </w:pPr>
      <w:r>
        <w:rPr>
          <w:b/>
          <w:lang w:val="en-AU"/>
        </w:rPr>
        <w:t>6.</w:t>
      </w:r>
      <w:r>
        <w:rPr>
          <w:b/>
          <w:lang w:val="en-AU"/>
        </w:rPr>
        <w:tab/>
        <w:t>Statement of Principles</w:t>
      </w:r>
    </w:p>
    <w:p w14:paraId="74365FA8" w14:textId="6500A465" w:rsidR="001C51A4" w:rsidRDefault="001C51A4" w:rsidP="001E7DBF">
      <w:pPr>
        <w:jc w:val="both"/>
        <w:rPr>
          <w:lang w:val="en-AU"/>
        </w:rPr>
      </w:pPr>
    </w:p>
    <w:p w14:paraId="64AF93FA" w14:textId="259AA209" w:rsidR="001C51A4" w:rsidRDefault="001C51A4" w:rsidP="001E7DBF">
      <w:pPr>
        <w:jc w:val="both"/>
        <w:rPr>
          <w:lang w:val="en-AU"/>
        </w:rPr>
      </w:pPr>
      <w:r>
        <w:rPr>
          <w:lang w:val="en-AU"/>
        </w:rPr>
        <w:t>The aim of the Statement of Principles was to remove the problem of having competing expert opinion</w:t>
      </w:r>
      <w:r w:rsidR="00F576CE">
        <w:rPr>
          <w:lang w:val="en-AU"/>
        </w:rPr>
        <w:t xml:space="preserve">s, often not optimally </w:t>
      </w:r>
      <w:r>
        <w:rPr>
          <w:lang w:val="en-AU"/>
        </w:rPr>
        <w:t>informed by the scientific literature, as to the nature of the relationship between a particular health condition and the military service.  In general,</w:t>
      </w:r>
      <w:r w:rsidR="00F576CE">
        <w:rPr>
          <w:lang w:val="en-AU"/>
        </w:rPr>
        <w:t xml:space="preserve"> there is much to recommend the SOP</w:t>
      </w:r>
      <w:r>
        <w:rPr>
          <w:lang w:val="en-AU"/>
        </w:rPr>
        <w:t xml:space="preserve"> approach.  However, at times these are interpreted in a restrictive manner with unreasonable demands of documented proof for the occurrence of events.  This occurs largely at an administrative level within the Department and could possibly be minimised by a greater use of clinicians in reviewing doubtful cases.  </w:t>
      </w:r>
    </w:p>
    <w:p w14:paraId="692BC6E1" w14:textId="4F799F0C" w:rsidR="001C51A4" w:rsidRDefault="001C51A4" w:rsidP="001E7DBF">
      <w:pPr>
        <w:jc w:val="both"/>
        <w:rPr>
          <w:lang w:val="en-AU"/>
        </w:rPr>
      </w:pPr>
    </w:p>
    <w:p w14:paraId="3BA6B663" w14:textId="5C975EAD" w:rsidR="001C51A4" w:rsidRDefault="001C51A4" w:rsidP="001E7DBF">
      <w:pPr>
        <w:jc w:val="both"/>
        <w:rPr>
          <w:lang w:val="en-AU"/>
        </w:rPr>
      </w:pPr>
      <w:r>
        <w:rPr>
          <w:lang w:val="en-AU"/>
        </w:rPr>
        <w:t>The use and development of the Statement of Principles would be better served if there were regular interactions between professional bodies, clinicians and the Repatriation Medical Authority.  This would serve to highlight some of the dilemmas and challenges of their application in clinical settings.  Also, the Statement of Principles can only access Peer Reviewed documents.  This highlights the importance of health s</w:t>
      </w:r>
      <w:r w:rsidR="00EC3B78">
        <w:rPr>
          <w:lang w:val="en-AU"/>
        </w:rPr>
        <w:t>urveillance studies conducted on</w:t>
      </w:r>
      <w:r>
        <w:rPr>
          <w:lang w:val="en-AU"/>
        </w:rPr>
        <w:t xml:space="preserve"> veterans being published in the Peer Review literature.  At the present time, there is no </w:t>
      </w:r>
      <w:r w:rsidR="00CA6667">
        <w:rPr>
          <w:lang w:val="en-AU"/>
        </w:rPr>
        <w:t>resources</w:t>
      </w:r>
      <w:r>
        <w:rPr>
          <w:lang w:val="en-AU"/>
        </w:rPr>
        <w:t xml:space="preserve"> provided by Defence or DVA for the publication of these studies</w:t>
      </w:r>
      <w:r w:rsidR="006E2D10">
        <w:rPr>
          <w:lang w:val="en-AU"/>
        </w:rPr>
        <w:t xml:space="preserve"> in the Peer R</w:t>
      </w:r>
      <w:r w:rsidR="00F576CE">
        <w:rPr>
          <w:lang w:val="en-AU"/>
        </w:rPr>
        <w:t xml:space="preserve">eviewed literature. </w:t>
      </w:r>
      <w:r w:rsidR="006E2D10">
        <w:rPr>
          <w:lang w:val="en-AU"/>
        </w:rPr>
        <w:t xml:space="preserve"> </w:t>
      </w:r>
      <w:r w:rsidR="00F576CE">
        <w:rPr>
          <w:lang w:val="en-AU"/>
        </w:rPr>
        <w:t>Hence</w:t>
      </w:r>
      <w:r w:rsidR="006E2D10">
        <w:rPr>
          <w:lang w:val="en-AU"/>
        </w:rPr>
        <w:t>,</w:t>
      </w:r>
      <w:r w:rsidR="00F576CE">
        <w:rPr>
          <w:lang w:val="en-AU"/>
        </w:rPr>
        <w:t xml:space="preserve"> research that should inform the SOP’s is not being accessed</w:t>
      </w:r>
      <w:r>
        <w:rPr>
          <w:lang w:val="en-AU"/>
        </w:rPr>
        <w:t>.</w:t>
      </w:r>
    </w:p>
    <w:p w14:paraId="448868BB" w14:textId="77777777" w:rsidR="001C51A4" w:rsidRDefault="001C51A4" w:rsidP="001E7DBF">
      <w:pPr>
        <w:jc w:val="both"/>
        <w:rPr>
          <w:lang w:val="en-AU"/>
        </w:rPr>
      </w:pPr>
    </w:p>
    <w:p w14:paraId="7C37AD61" w14:textId="77777777" w:rsidR="001E7DBF" w:rsidRDefault="001C51A4" w:rsidP="001E7DBF">
      <w:pPr>
        <w:jc w:val="both"/>
        <w:rPr>
          <w:lang w:val="en-AU"/>
        </w:rPr>
      </w:pPr>
      <w:r>
        <w:rPr>
          <w:b/>
          <w:lang w:val="en-AU"/>
        </w:rPr>
        <w:t>7.</w:t>
      </w:r>
      <w:r>
        <w:rPr>
          <w:b/>
          <w:lang w:val="en-AU"/>
        </w:rPr>
        <w:tab/>
        <w:t>The Clinician/Veteran</w:t>
      </w:r>
      <w:r w:rsidR="001E7DBF">
        <w:rPr>
          <w:b/>
          <w:lang w:val="en-AU"/>
        </w:rPr>
        <w:t>/DVA and ADF Administration Interface</w:t>
      </w:r>
    </w:p>
    <w:p w14:paraId="3C3B44F5" w14:textId="77777777" w:rsidR="001E7DBF" w:rsidRDefault="001E7DBF" w:rsidP="001E7DBF">
      <w:pPr>
        <w:jc w:val="both"/>
        <w:rPr>
          <w:lang w:val="en-AU"/>
        </w:rPr>
      </w:pPr>
    </w:p>
    <w:p w14:paraId="68404157" w14:textId="410AF2E7" w:rsidR="001E7DBF" w:rsidRDefault="00F576CE" w:rsidP="001E7DBF">
      <w:pPr>
        <w:jc w:val="both"/>
        <w:rPr>
          <w:lang w:val="en-AU"/>
        </w:rPr>
      </w:pPr>
      <w:r>
        <w:rPr>
          <w:lang w:val="en-AU"/>
        </w:rPr>
        <w:t>In civilian</w:t>
      </w:r>
      <w:r w:rsidR="001E7DBF">
        <w:rPr>
          <w:lang w:val="en-AU"/>
        </w:rPr>
        <w:t xml:space="preserve"> settings there is generally an interface between the clinician and the injured worker</w:t>
      </w:r>
      <w:r>
        <w:rPr>
          <w:lang w:val="en-AU"/>
        </w:rPr>
        <w:t xml:space="preserve"> in many administrative processes</w:t>
      </w:r>
      <w:r w:rsidR="001E7DBF">
        <w:rPr>
          <w:lang w:val="en-AU"/>
        </w:rPr>
        <w:t xml:space="preserve">.  This is </w:t>
      </w:r>
      <w:r>
        <w:rPr>
          <w:lang w:val="en-AU"/>
        </w:rPr>
        <w:t xml:space="preserve">not always the </w:t>
      </w:r>
      <w:r w:rsidR="001E7DBF">
        <w:rPr>
          <w:lang w:val="en-AU"/>
        </w:rPr>
        <w:t>case</w:t>
      </w:r>
      <w:r>
        <w:rPr>
          <w:lang w:val="en-AU"/>
        </w:rPr>
        <w:t>, such as</w:t>
      </w:r>
      <w:r w:rsidR="001E7DBF">
        <w:rPr>
          <w:lang w:val="en-AU"/>
        </w:rPr>
        <w:t xml:space="preserve"> in the provision of workers’ compensation certificates.  However, in the provision of reports, these are </w:t>
      </w:r>
      <w:r>
        <w:rPr>
          <w:lang w:val="en-AU"/>
        </w:rPr>
        <w:t xml:space="preserve">usually </w:t>
      </w:r>
      <w:r w:rsidR="001E7DBF">
        <w:rPr>
          <w:lang w:val="en-AU"/>
        </w:rPr>
        <w:t>independently requested by th</w:t>
      </w:r>
      <w:r>
        <w:rPr>
          <w:lang w:val="en-AU"/>
        </w:rPr>
        <w:t>e workers’ compensation insurer’</w:t>
      </w:r>
      <w:r w:rsidR="001E7DBF">
        <w:rPr>
          <w:lang w:val="en-AU"/>
        </w:rPr>
        <w:t xml:space="preserve">s administrative arm or the injured worker’s legal representative.  In the veteran’s system there is often a direct approach by the veteran to provide the necessary report or administrative documentation to support a claim.  This creates a difficult challenge for clinicians if they are not entirely supportive of the injured veteran’s position or understanding of their condition.  In my experience, having an intermediary requesting reports and documentation allows a greater degree of independence and frank expression of opinion.  </w:t>
      </w:r>
    </w:p>
    <w:p w14:paraId="1833BE39" w14:textId="77777777" w:rsidR="001E7DBF" w:rsidRDefault="001E7DBF" w:rsidP="001E7DBF">
      <w:pPr>
        <w:jc w:val="both"/>
        <w:rPr>
          <w:lang w:val="en-AU"/>
        </w:rPr>
      </w:pPr>
    </w:p>
    <w:p w14:paraId="2BED25D9" w14:textId="061CCCBE" w:rsidR="004B2BA8" w:rsidRDefault="001E7DBF" w:rsidP="001E7DBF">
      <w:pPr>
        <w:jc w:val="both"/>
        <w:rPr>
          <w:lang w:val="en-AU"/>
        </w:rPr>
      </w:pPr>
      <w:r>
        <w:rPr>
          <w:lang w:val="en-AU"/>
        </w:rPr>
        <w:t xml:space="preserve">The interaction with the veteran is also at times clouded by the role of advocates who might coach the veteran in how to present to the clinician so as to optimise their claim.  The advocate is not bound by the same professional conduct as lawyers.  This </w:t>
      </w:r>
      <w:r w:rsidR="004B2BA8">
        <w:rPr>
          <w:lang w:val="en-AU"/>
        </w:rPr>
        <w:t xml:space="preserve">situation </w:t>
      </w:r>
      <w:r>
        <w:rPr>
          <w:lang w:val="en-AU"/>
        </w:rPr>
        <w:t>places the clinician in an unusually difficult position in assessing and representing the needs of the v</w:t>
      </w:r>
      <w:r w:rsidR="004B2BA8">
        <w:rPr>
          <w:lang w:val="en-AU"/>
        </w:rPr>
        <w:t xml:space="preserve">eteran in an impartial manner. </w:t>
      </w:r>
      <w:r w:rsidR="006E2D10">
        <w:rPr>
          <w:lang w:val="en-AU"/>
        </w:rPr>
        <w:t xml:space="preserve"> This tension is one reason</w:t>
      </w:r>
      <w:r w:rsidR="004B2BA8">
        <w:rPr>
          <w:lang w:val="en-AU"/>
        </w:rPr>
        <w:t xml:space="preserve"> why clinicians</w:t>
      </w:r>
      <w:r w:rsidR="00130DAF">
        <w:rPr>
          <w:lang w:val="en-AU"/>
        </w:rPr>
        <w:t xml:space="preserve"> are</w:t>
      </w:r>
      <w:r w:rsidR="004B2BA8">
        <w:rPr>
          <w:lang w:val="en-AU"/>
        </w:rPr>
        <w:t xml:space="preserve"> at time</w:t>
      </w:r>
      <w:r w:rsidR="00130DAF">
        <w:rPr>
          <w:lang w:val="en-AU"/>
        </w:rPr>
        <w:t>s</w:t>
      </w:r>
      <w:r w:rsidR="004B2BA8">
        <w:rPr>
          <w:lang w:val="en-AU"/>
        </w:rPr>
        <w:t xml:space="preserve"> uncomfortable to treat veterans.</w:t>
      </w:r>
      <w:r w:rsidR="00272A4C">
        <w:rPr>
          <w:lang w:val="en-AU"/>
        </w:rPr>
        <w:t xml:space="preserve"> </w:t>
      </w:r>
      <w:r w:rsidR="00130DAF">
        <w:rPr>
          <w:lang w:val="en-AU"/>
        </w:rPr>
        <w:t xml:space="preserve"> </w:t>
      </w:r>
      <w:r w:rsidR="00272A4C">
        <w:rPr>
          <w:lang w:val="en-AU"/>
        </w:rPr>
        <w:t xml:space="preserve">This situation is not consistent with the </w:t>
      </w:r>
      <w:r w:rsidR="00130DAF">
        <w:rPr>
          <w:lang w:val="en-AU"/>
        </w:rPr>
        <w:t>‘</w:t>
      </w:r>
      <w:r w:rsidR="00272A4C">
        <w:rPr>
          <w:lang w:val="en-AU"/>
        </w:rPr>
        <w:t>codes of conduct</w:t>
      </w:r>
      <w:r w:rsidR="00130DAF">
        <w:rPr>
          <w:lang w:val="en-AU"/>
        </w:rPr>
        <w:t>’</w:t>
      </w:r>
      <w:r w:rsidR="00272A4C">
        <w:rPr>
          <w:lang w:val="en-AU"/>
        </w:rPr>
        <w:t xml:space="preserve"> for independent medical opinions in other jurisdictions where this role is clearly separated from that of the treating practitioner.</w:t>
      </w:r>
    </w:p>
    <w:p w14:paraId="5EA39E7F" w14:textId="77777777" w:rsidR="004B2BA8" w:rsidRDefault="004B2BA8" w:rsidP="001E7DBF">
      <w:pPr>
        <w:jc w:val="both"/>
        <w:rPr>
          <w:lang w:val="en-AU"/>
        </w:rPr>
      </w:pPr>
    </w:p>
    <w:p w14:paraId="0AFC12C1" w14:textId="1D6F1D5A" w:rsidR="00CA6667" w:rsidRDefault="001E7DBF" w:rsidP="001E7DBF">
      <w:pPr>
        <w:jc w:val="both"/>
        <w:rPr>
          <w:lang w:val="en-AU"/>
        </w:rPr>
      </w:pPr>
      <w:r>
        <w:rPr>
          <w:lang w:val="en-AU"/>
        </w:rPr>
        <w:t>The</w:t>
      </w:r>
      <w:r w:rsidR="001C51A4">
        <w:rPr>
          <w:lang w:val="en-AU"/>
        </w:rPr>
        <w:t xml:space="preserve"> </w:t>
      </w:r>
      <w:r>
        <w:rPr>
          <w:lang w:val="en-AU"/>
        </w:rPr>
        <w:t>assessment of the veteran is also very dominated by the natu</w:t>
      </w:r>
      <w:r w:rsidR="004B2BA8">
        <w:rPr>
          <w:lang w:val="en-AU"/>
        </w:rPr>
        <w:t>re of the impairment assessment proformas</w:t>
      </w:r>
      <w:r>
        <w:rPr>
          <w:lang w:val="en-AU"/>
        </w:rPr>
        <w:t xml:space="preserve"> that have been determined by DVA.  These forms require significant review, including an examination of the assumptions and principles that lie behind them.  Format and structure is a disincentive for clinicians to become involved in the care of veterans.  Also, the levels of remuneration are not equivalent to what are provided by other workers’ compensation schemes, which is a further disincentive for clinicians to assist veterans in this domain.</w:t>
      </w:r>
    </w:p>
    <w:p w14:paraId="4AC5D678" w14:textId="22C18C18" w:rsidR="005000D1" w:rsidRDefault="005000D1" w:rsidP="001E7DBF">
      <w:pPr>
        <w:jc w:val="both"/>
        <w:rPr>
          <w:lang w:val="en-AU"/>
        </w:rPr>
      </w:pPr>
    </w:p>
    <w:p w14:paraId="762827AB" w14:textId="19E75491" w:rsidR="005000D1" w:rsidRPr="005000D1" w:rsidRDefault="005000D1" w:rsidP="00130DAF">
      <w:pPr>
        <w:tabs>
          <w:tab w:val="left" w:pos="709"/>
        </w:tabs>
        <w:jc w:val="both"/>
        <w:rPr>
          <w:b/>
          <w:lang w:val="en-AU"/>
        </w:rPr>
      </w:pPr>
      <w:r>
        <w:rPr>
          <w:b/>
          <w:lang w:val="en-AU"/>
        </w:rPr>
        <w:t xml:space="preserve">8. </w:t>
      </w:r>
      <w:r w:rsidR="00130DAF">
        <w:rPr>
          <w:b/>
          <w:lang w:val="en-AU"/>
        </w:rPr>
        <w:tab/>
      </w:r>
      <w:r>
        <w:rPr>
          <w:b/>
          <w:lang w:val="en-AU"/>
        </w:rPr>
        <w:t>Comparison with Other Compensation Systems</w:t>
      </w:r>
    </w:p>
    <w:p w14:paraId="10C3E142" w14:textId="40FD1CD6" w:rsidR="001E7DBF" w:rsidRDefault="001E7DBF" w:rsidP="001E7DBF">
      <w:pPr>
        <w:jc w:val="both"/>
        <w:rPr>
          <w:lang w:val="en-AU"/>
        </w:rPr>
      </w:pPr>
    </w:p>
    <w:p w14:paraId="4948090B" w14:textId="30DDF59D" w:rsidR="005000D1" w:rsidRDefault="00D401E6" w:rsidP="001E7DBF">
      <w:pPr>
        <w:jc w:val="both"/>
        <w:rPr>
          <w:lang w:val="en-AU"/>
        </w:rPr>
      </w:pPr>
      <w:r>
        <w:rPr>
          <w:lang w:val="en-AU"/>
        </w:rPr>
        <w:t xml:space="preserve">The nature of military service, particularly war like service, </w:t>
      </w:r>
      <w:r w:rsidR="00535327">
        <w:rPr>
          <w:lang w:val="en-AU"/>
        </w:rPr>
        <w:t xml:space="preserve">places the welfare of </w:t>
      </w:r>
      <w:r w:rsidR="007507E5">
        <w:rPr>
          <w:lang w:val="en-AU"/>
        </w:rPr>
        <w:t xml:space="preserve">personnel at significant injury or death. </w:t>
      </w:r>
      <w:r w:rsidR="00130DAF">
        <w:rPr>
          <w:lang w:val="en-AU"/>
        </w:rPr>
        <w:t xml:space="preserve"> </w:t>
      </w:r>
      <w:r w:rsidR="007507E5">
        <w:rPr>
          <w:lang w:val="en-AU"/>
        </w:rPr>
        <w:t>If</w:t>
      </w:r>
      <w:r>
        <w:rPr>
          <w:lang w:val="en-AU"/>
        </w:rPr>
        <w:t xml:space="preserve"> service personnel</w:t>
      </w:r>
      <w:r w:rsidR="007507E5">
        <w:rPr>
          <w:lang w:val="en-AU"/>
        </w:rPr>
        <w:t xml:space="preserve"> are going to follow orders in combat they need to know </w:t>
      </w:r>
      <w:r>
        <w:rPr>
          <w:lang w:val="en-AU"/>
        </w:rPr>
        <w:t>that if they are injured in the course of their duties</w:t>
      </w:r>
      <w:r w:rsidR="007507E5">
        <w:rPr>
          <w:lang w:val="en-AU"/>
        </w:rPr>
        <w:t>, they will be cared for or their dependents will</w:t>
      </w:r>
      <w:r w:rsidR="00962CF2">
        <w:rPr>
          <w:lang w:val="en-AU"/>
        </w:rPr>
        <w:t xml:space="preserve"> be</w:t>
      </w:r>
      <w:r w:rsidR="007507E5">
        <w:rPr>
          <w:lang w:val="en-AU"/>
        </w:rPr>
        <w:t xml:space="preserve"> provided for.</w:t>
      </w:r>
      <w:r w:rsidR="00130DAF">
        <w:rPr>
          <w:lang w:val="en-AU"/>
        </w:rPr>
        <w:t xml:space="preserve">  </w:t>
      </w:r>
      <w:r w:rsidR="007507E5">
        <w:rPr>
          <w:lang w:val="en-AU"/>
        </w:rPr>
        <w:t xml:space="preserve">This is critical to morale and capability as well as recruitment for service. </w:t>
      </w:r>
      <w:r w:rsidR="00130DAF">
        <w:rPr>
          <w:lang w:val="en-AU"/>
        </w:rPr>
        <w:t xml:space="preserve"> </w:t>
      </w:r>
      <w:r w:rsidR="007507E5">
        <w:rPr>
          <w:lang w:val="en-AU"/>
        </w:rPr>
        <w:t>This sets military personnel aside from other workers in civil society and why they require different and generally more generous workers’ compensation schemes.</w:t>
      </w:r>
      <w:r w:rsidR="00AE6A58">
        <w:rPr>
          <w:lang w:val="en-AU"/>
        </w:rPr>
        <w:t xml:space="preserve"> </w:t>
      </w:r>
      <w:r w:rsidR="00130DAF">
        <w:rPr>
          <w:lang w:val="en-AU"/>
        </w:rPr>
        <w:t xml:space="preserve"> </w:t>
      </w:r>
      <w:r w:rsidR="00AE6A58">
        <w:rPr>
          <w:lang w:val="en-AU"/>
        </w:rPr>
        <w:t>These schemes reflect that a civil society pays to those who volunteer to protect it.</w:t>
      </w:r>
    </w:p>
    <w:p w14:paraId="79A49B05" w14:textId="3ADC0AAC" w:rsidR="007507E5" w:rsidRDefault="007507E5" w:rsidP="001E7DBF">
      <w:pPr>
        <w:jc w:val="both"/>
        <w:rPr>
          <w:lang w:val="en-AU"/>
        </w:rPr>
      </w:pPr>
    </w:p>
    <w:p w14:paraId="4EAAB524" w14:textId="45B1A21B" w:rsidR="00962CF2" w:rsidRDefault="007507E5" w:rsidP="00962CF2">
      <w:pPr>
        <w:jc w:val="both"/>
        <w:rPr>
          <w:lang w:val="en-AU"/>
        </w:rPr>
      </w:pPr>
      <w:r>
        <w:rPr>
          <w:lang w:val="en-AU"/>
        </w:rPr>
        <w:t>Despite the identified problems wi</w:t>
      </w:r>
      <w:r w:rsidR="00130DAF">
        <w:rPr>
          <w:lang w:val="en-AU"/>
        </w:rPr>
        <w:t>th the system, in my experience</w:t>
      </w:r>
      <w:r>
        <w:rPr>
          <w:lang w:val="en-AU"/>
        </w:rPr>
        <w:t xml:space="preserve"> the compensation schemes for military personnel and veterans are less stressful and more benevolent than comparable civilian compensation schemes.</w:t>
      </w:r>
      <w:r w:rsidR="00130DAF">
        <w:rPr>
          <w:lang w:val="en-AU"/>
        </w:rPr>
        <w:t xml:space="preserve"> </w:t>
      </w:r>
      <w:r>
        <w:rPr>
          <w:lang w:val="en-AU"/>
        </w:rPr>
        <w:t xml:space="preserve"> </w:t>
      </w:r>
      <w:r w:rsidR="00962CF2">
        <w:rPr>
          <w:lang w:val="en-AU"/>
        </w:rPr>
        <w:t>In general, it is more fairly administered and the recipients less stigmatised.</w:t>
      </w:r>
      <w:r w:rsidR="00130DAF">
        <w:rPr>
          <w:lang w:val="en-AU"/>
        </w:rPr>
        <w:t xml:space="preserve"> </w:t>
      </w:r>
      <w:r w:rsidR="00962CF2">
        <w:rPr>
          <w:lang w:val="en-AU"/>
        </w:rPr>
        <w:t xml:space="preserve"> </w:t>
      </w:r>
      <w:r>
        <w:rPr>
          <w:lang w:val="en-AU"/>
        </w:rPr>
        <w:t>As has been identifie</w:t>
      </w:r>
      <w:r w:rsidR="00130DAF">
        <w:rPr>
          <w:lang w:val="en-AU"/>
        </w:rPr>
        <w:t>d by the Victorian Ombudsman’s i</w:t>
      </w:r>
      <w:r>
        <w:rPr>
          <w:lang w:val="en-AU"/>
        </w:rPr>
        <w:t>nquiry</w:t>
      </w:r>
      <w:r>
        <w:rPr>
          <w:vertAlign w:val="superscript"/>
          <w:lang w:val="en-AU"/>
        </w:rPr>
        <w:t xml:space="preserve">6 </w:t>
      </w:r>
      <w:r>
        <w:rPr>
          <w:lang w:val="en-AU"/>
        </w:rPr>
        <w:t>these</w:t>
      </w:r>
      <w:r w:rsidR="00AE6A58">
        <w:rPr>
          <w:lang w:val="en-AU"/>
        </w:rPr>
        <w:t xml:space="preserve"> civilian</w:t>
      </w:r>
      <w:r>
        <w:rPr>
          <w:lang w:val="en-AU"/>
        </w:rPr>
        <w:t xml:space="preserve"> schemes are often administered in ways that are </w:t>
      </w:r>
      <w:r w:rsidR="00AE6A58">
        <w:rPr>
          <w:lang w:val="en-AU"/>
        </w:rPr>
        <w:t>distressing to</w:t>
      </w:r>
      <w:r>
        <w:rPr>
          <w:lang w:val="en-AU"/>
        </w:rPr>
        <w:t xml:space="preserve"> the recipients of compensation through </w:t>
      </w:r>
      <w:r w:rsidR="0024157C">
        <w:rPr>
          <w:lang w:val="en-AU"/>
        </w:rPr>
        <w:t xml:space="preserve">inappropriate </w:t>
      </w:r>
      <w:r>
        <w:rPr>
          <w:lang w:val="en-AU"/>
        </w:rPr>
        <w:t xml:space="preserve">selective use of medical reports and other </w:t>
      </w:r>
      <w:r w:rsidR="0024157C">
        <w:rPr>
          <w:lang w:val="en-AU"/>
        </w:rPr>
        <w:t xml:space="preserve">detrimental </w:t>
      </w:r>
      <w:r>
        <w:rPr>
          <w:lang w:val="en-AU"/>
        </w:rPr>
        <w:t>practices</w:t>
      </w:r>
      <w:r w:rsidR="0024157C">
        <w:rPr>
          <w:lang w:val="en-AU"/>
        </w:rPr>
        <w:t xml:space="preserve"> for the injured worker</w:t>
      </w:r>
      <w:r>
        <w:rPr>
          <w:lang w:val="en-AU"/>
        </w:rPr>
        <w:t>.</w:t>
      </w:r>
      <w:r w:rsidR="00130DAF">
        <w:rPr>
          <w:lang w:val="en-AU"/>
        </w:rPr>
        <w:t xml:space="preserve"> </w:t>
      </w:r>
      <w:r>
        <w:rPr>
          <w:lang w:val="en-AU"/>
        </w:rPr>
        <w:t xml:space="preserve"> There are many myths about compensation</w:t>
      </w:r>
      <w:r w:rsidR="0024157C">
        <w:rPr>
          <w:lang w:val="en-AU"/>
        </w:rPr>
        <w:t xml:space="preserve"> that are used to stigmatise those who receive injury related compensation</w:t>
      </w:r>
      <w:r w:rsidR="00054F49">
        <w:rPr>
          <w:lang w:val="en-AU"/>
        </w:rPr>
        <w:t>,</w:t>
      </w:r>
      <w:r w:rsidR="0024157C">
        <w:rPr>
          <w:lang w:val="en-AU"/>
        </w:rPr>
        <w:t xml:space="preserve"> such as </w:t>
      </w:r>
      <w:r w:rsidR="00AE6A58">
        <w:rPr>
          <w:lang w:val="en-AU"/>
        </w:rPr>
        <w:t>the assertio</w:t>
      </w:r>
      <w:r w:rsidR="0024157C">
        <w:rPr>
          <w:lang w:val="en-AU"/>
        </w:rPr>
        <w:t>n that compensation</w:t>
      </w:r>
      <w:r>
        <w:rPr>
          <w:lang w:val="en-AU"/>
        </w:rPr>
        <w:t xml:space="preserve"> </w:t>
      </w:r>
      <w:r w:rsidR="00054F49">
        <w:rPr>
          <w:lang w:val="en-AU"/>
        </w:rPr>
        <w:t>is detrimental because it</w:t>
      </w:r>
      <w:r w:rsidR="00AE6A58">
        <w:rPr>
          <w:lang w:val="en-AU"/>
        </w:rPr>
        <w:t xml:space="preserve"> increase</w:t>
      </w:r>
      <w:r w:rsidR="00054F49">
        <w:rPr>
          <w:lang w:val="en-AU"/>
        </w:rPr>
        <w:t>s the</w:t>
      </w:r>
      <w:r>
        <w:rPr>
          <w:lang w:val="en-AU"/>
        </w:rPr>
        <w:t xml:space="preserve"> rates of </w:t>
      </w:r>
      <w:r w:rsidR="0024157C">
        <w:rPr>
          <w:lang w:val="en-AU"/>
        </w:rPr>
        <w:t xml:space="preserve">psychiatric </w:t>
      </w:r>
      <w:r>
        <w:rPr>
          <w:lang w:val="en-AU"/>
        </w:rPr>
        <w:t>disorder</w:t>
      </w:r>
      <w:r w:rsidR="00AE6A58">
        <w:rPr>
          <w:lang w:val="en-AU"/>
        </w:rPr>
        <w:t>.</w:t>
      </w:r>
      <w:r>
        <w:rPr>
          <w:lang w:val="en-AU"/>
        </w:rPr>
        <w:t xml:space="preserve"> </w:t>
      </w:r>
      <w:r w:rsidR="00130DAF">
        <w:rPr>
          <w:lang w:val="en-AU"/>
        </w:rPr>
        <w:t xml:space="preserve"> </w:t>
      </w:r>
      <w:r w:rsidR="00AE6A58">
        <w:rPr>
          <w:lang w:val="en-AU"/>
        </w:rPr>
        <w:t>This claim is then used to limit compensation, despite</w:t>
      </w:r>
      <w:r w:rsidR="00130DAF">
        <w:rPr>
          <w:lang w:val="en-AU"/>
        </w:rPr>
        <w:t xml:space="preserve"> it</w:t>
      </w:r>
      <w:r>
        <w:rPr>
          <w:lang w:val="en-AU"/>
        </w:rPr>
        <w:t xml:space="preserve"> not </w:t>
      </w:r>
      <w:r w:rsidR="00130DAF">
        <w:rPr>
          <w:lang w:val="en-AU"/>
        </w:rPr>
        <w:t xml:space="preserve">being </w:t>
      </w:r>
      <w:r>
        <w:rPr>
          <w:lang w:val="en-AU"/>
        </w:rPr>
        <w:t>supported by objective evidence</w:t>
      </w:r>
      <w:r w:rsidR="00962CF2">
        <w:rPr>
          <w:vertAlign w:val="superscript"/>
          <w:lang w:val="en-AU"/>
        </w:rPr>
        <w:t>7</w:t>
      </w:r>
      <w:proofErr w:type="gramStart"/>
      <w:r w:rsidR="0024157C">
        <w:rPr>
          <w:vertAlign w:val="superscript"/>
          <w:lang w:val="en-AU"/>
        </w:rPr>
        <w:t>,8</w:t>
      </w:r>
      <w:proofErr w:type="gramEnd"/>
      <w:r>
        <w:rPr>
          <w:lang w:val="en-AU"/>
        </w:rPr>
        <w:t xml:space="preserve">. </w:t>
      </w:r>
      <w:r w:rsidR="00130DAF">
        <w:rPr>
          <w:lang w:val="en-AU"/>
        </w:rPr>
        <w:t xml:space="preserve"> </w:t>
      </w:r>
      <w:r>
        <w:rPr>
          <w:lang w:val="en-AU"/>
        </w:rPr>
        <w:t xml:space="preserve">On the other hand, the </w:t>
      </w:r>
      <w:r w:rsidR="00AE6A58">
        <w:rPr>
          <w:lang w:val="en-AU"/>
        </w:rPr>
        <w:t xml:space="preserve">excessive </w:t>
      </w:r>
      <w:r>
        <w:rPr>
          <w:lang w:val="en-AU"/>
        </w:rPr>
        <w:t>stress created by the s</w:t>
      </w:r>
      <w:r w:rsidR="00AE6A58">
        <w:rPr>
          <w:lang w:val="en-AU"/>
        </w:rPr>
        <w:t>chemes’ administration</w:t>
      </w:r>
      <w:r>
        <w:rPr>
          <w:lang w:val="en-AU"/>
        </w:rPr>
        <w:t xml:space="preserve"> has been demonstrated to worsen the psychological state of the </w:t>
      </w:r>
      <w:r w:rsidR="00AE6A58">
        <w:rPr>
          <w:lang w:val="en-AU"/>
        </w:rPr>
        <w:t>recipients</w:t>
      </w:r>
      <w:r w:rsidR="0024157C">
        <w:rPr>
          <w:vertAlign w:val="superscript"/>
          <w:lang w:val="en-AU"/>
        </w:rPr>
        <w:t>9</w:t>
      </w:r>
      <w:r>
        <w:rPr>
          <w:lang w:val="en-AU"/>
        </w:rPr>
        <w:t>.</w:t>
      </w:r>
      <w:r w:rsidR="00962CF2">
        <w:rPr>
          <w:lang w:val="en-AU"/>
        </w:rPr>
        <w:t xml:space="preserve"> </w:t>
      </w:r>
    </w:p>
    <w:p w14:paraId="7FF50647" w14:textId="77777777" w:rsidR="00962CF2" w:rsidRPr="00962CF2" w:rsidRDefault="00962CF2" w:rsidP="00962CF2">
      <w:pPr>
        <w:jc w:val="both"/>
        <w:rPr>
          <w:rFonts w:cstheme="minorHAnsi"/>
          <w:lang w:val="en-AU"/>
        </w:rPr>
      </w:pPr>
    </w:p>
    <w:p w14:paraId="131D3676" w14:textId="31ADC8CD" w:rsidR="00962CF2" w:rsidRDefault="00962CF2" w:rsidP="00962CF2">
      <w:pPr>
        <w:jc w:val="both"/>
        <w:rPr>
          <w:rFonts w:cstheme="minorHAnsi"/>
          <w:lang w:val="en-AU"/>
        </w:rPr>
      </w:pPr>
      <w:r w:rsidRPr="00962CF2">
        <w:rPr>
          <w:rFonts w:cstheme="minorHAnsi"/>
          <w:color w:val="222222"/>
          <w:szCs w:val="22"/>
        </w:rPr>
        <w:t xml:space="preserve">In recent years, State Governments have increasingly aimed to limit their liability for long-term workers’ compensation </w:t>
      </w:r>
      <w:r w:rsidRPr="00AE6A58">
        <w:rPr>
          <w:rFonts w:cstheme="minorHAnsi"/>
          <w:color w:val="222222"/>
          <w:szCs w:val="22"/>
        </w:rPr>
        <w:t xml:space="preserve">claims.  </w:t>
      </w:r>
      <w:r w:rsidR="00AE6A58">
        <w:rPr>
          <w:rFonts w:cstheme="minorHAnsi"/>
          <w:color w:val="222222"/>
          <w:szCs w:val="22"/>
        </w:rPr>
        <w:t>These Governments</w:t>
      </w:r>
      <w:r w:rsidR="00AE6A58" w:rsidRPr="00AE6A58">
        <w:rPr>
          <w:rFonts w:cstheme="minorHAnsi"/>
          <w:color w:val="222222"/>
          <w:szCs w:val="22"/>
        </w:rPr>
        <w:t xml:space="preserve"> have a fundamental conflict o</w:t>
      </w:r>
      <w:r w:rsidR="00130DAF">
        <w:rPr>
          <w:rFonts w:cstheme="minorHAnsi"/>
          <w:color w:val="222222"/>
          <w:szCs w:val="22"/>
        </w:rPr>
        <w:t>f interest in being the insurer and</w:t>
      </w:r>
      <w:r w:rsidR="00AE6A58" w:rsidRPr="00AE6A58">
        <w:rPr>
          <w:rFonts w:cstheme="minorHAnsi"/>
          <w:color w:val="222222"/>
          <w:szCs w:val="22"/>
        </w:rPr>
        <w:t xml:space="preserve"> the employer</w:t>
      </w:r>
      <w:r w:rsidR="00AE6A58">
        <w:rPr>
          <w:rFonts w:cstheme="minorHAnsi"/>
          <w:color w:val="222222"/>
          <w:szCs w:val="22"/>
        </w:rPr>
        <w:t xml:space="preserve"> of groups such as emergency service workers</w:t>
      </w:r>
      <w:r w:rsidR="00AE6A58" w:rsidRPr="00AE6A58">
        <w:rPr>
          <w:rFonts w:cstheme="minorHAnsi"/>
          <w:color w:val="222222"/>
          <w:szCs w:val="22"/>
        </w:rPr>
        <w:t xml:space="preserve"> and the health provider.  </w:t>
      </w:r>
      <w:r w:rsidRPr="00AE6A58">
        <w:rPr>
          <w:rFonts w:cstheme="minorHAnsi"/>
          <w:color w:val="222222"/>
          <w:szCs w:val="22"/>
        </w:rPr>
        <w:t>In a number of States, including South Australia, this</w:t>
      </w:r>
      <w:r w:rsidR="00AE6A58">
        <w:rPr>
          <w:rFonts w:cstheme="minorHAnsi"/>
          <w:color w:val="222222"/>
          <w:szCs w:val="22"/>
        </w:rPr>
        <w:t xml:space="preserve"> desire to limit the costs of compensation schemes</w:t>
      </w:r>
      <w:r w:rsidRPr="00AE6A58">
        <w:rPr>
          <w:rFonts w:cstheme="minorHAnsi"/>
          <w:color w:val="222222"/>
          <w:szCs w:val="22"/>
        </w:rPr>
        <w:t xml:space="preserve"> has meant cutting off workers’ compensation payments after 2-years, except in cases of a permanent impairment of over 30%.  It is important</w:t>
      </w:r>
      <w:r w:rsidRPr="00962CF2">
        <w:rPr>
          <w:rFonts w:cstheme="minorHAnsi"/>
          <w:color w:val="222222"/>
          <w:szCs w:val="22"/>
        </w:rPr>
        <w:t xml:space="preserve"> to recognise that individuals who join the emergency services</w:t>
      </w:r>
      <w:r>
        <w:rPr>
          <w:rFonts w:cstheme="minorHAnsi"/>
          <w:color w:val="222222"/>
          <w:szCs w:val="22"/>
        </w:rPr>
        <w:t xml:space="preserve"> are not dissimilar</w:t>
      </w:r>
      <w:r w:rsidR="00130DAF">
        <w:rPr>
          <w:rFonts w:cstheme="minorHAnsi"/>
          <w:color w:val="222222"/>
          <w:szCs w:val="22"/>
        </w:rPr>
        <w:t xml:space="preserve"> to those in military service in that</w:t>
      </w:r>
      <w:r>
        <w:rPr>
          <w:rFonts w:cstheme="minorHAnsi"/>
          <w:color w:val="222222"/>
          <w:szCs w:val="22"/>
        </w:rPr>
        <w:t xml:space="preserve"> they</w:t>
      </w:r>
      <w:r w:rsidRPr="00962CF2">
        <w:rPr>
          <w:rFonts w:cstheme="minorHAnsi"/>
          <w:color w:val="222222"/>
          <w:szCs w:val="22"/>
        </w:rPr>
        <w:t xml:space="preserve"> put themselves in harm’s way to protect the community</w:t>
      </w:r>
      <w:r w:rsidR="00130DAF">
        <w:rPr>
          <w:rFonts w:cstheme="minorHAnsi"/>
          <w:color w:val="222222"/>
          <w:szCs w:val="22"/>
        </w:rPr>
        <w:t>.</w:t>
      </w:r>
      <w:r w:rsidRPr="00962CF2">
        <w:rPr>
          <w:rFonts w:cstheme="minorHAnsi"/>
          <w:color w:val="222222"/>
          <w:szCs w:val="22"/>
        </w:rPr>
        <w:t xml:space="preserve"> </w:t>
      </w:r>
      <w:r w:rsidR="00130DAF">
        <w:rPr>
          <w:rFonts w:cstheme="minorHAnsi"/>
          <w:color w:val="222222"/>
          <w:szCs w:val="22"/>
        </w:rPr>
        <w:t xml:space="preserve"> They </w:t>
      </w:r>
      <w:r w:rsidRPr="00962CF2">
        <w:rPr>
          <w:rFonts w:cstheme="minorHAnsi"/>
          <w:color w:val="222222"/>
          <w:szCs w:val="22"/>
        </w:rPr>
        <w:t xml:space="preserve">need to </w:t>
      </w:r>
      <w:r w:rsidR="00130DAF">
        <w:rPr>
          <w:rFonts w:cstheme="minorHAnsi"/>
          <w:color w:val="222222"/>
          <w:szCs w:val="22"/>
        </w:rPr>
        <w:t xml:space="preserve">be able to </w:t>
      </w:r>
      <w:r w:rsidRPr="00962CF2">
        <w:rPr>
          <w:rFonts w:cstheme="minorHAnsi"/>
          <w:color w:val="222222"/>
          <w:szCs w:val="22"/>
        </w:rPr>
        <w:t>do so in the knowledge that if they get injured in the course of their duties that they will be cared for by the State.  These steps to limit liability fail to recognise the importance of acknowledging the service of those who take on these high-risk roles.</w:t>
      </w:r>
      <w:r w:rsidR="00AE6A58">
        <w:rPr>
          <w:rFonts w:cstheme="minorHAnsi"/>
          <w:color w:val="222222"/>
          <w:szCs w:val="22"/>
        </w:rPr>
        <w:t xml:space="preserve"> Emergency service workers have been fighting to have these changes reversed.</w:t>
      </w:r>
      <w:r>
        <w:rPr>
          <w:rFonts w:cstheme="minorHAnsi"/>
          <w:color w:val="222222"/>
          <w:szCs w:val="22"/>
        </w:rPr>
        <w:t xml:space="preserve"> This demonstrates the superiority of the current system of compensation for military personnel and veterans.</w:t>
      </w:r>
    </w:p>
    <w:p w14:paraId="56E14618" w14:textId="77777777" w:rsidR="00962CF2" w:rsidRDefault="00962CF2" w:rsidP="00962CF2">
      <w:pPr>
        <w:jc w:val="both"/>
        <w:rPr>
          <w:rFonts w:cstheme="minorHAnsi"/>
          <w:lang w:val="en-AU"/>
        </w:rPr>
      </w:pPr>
    </w:p>
    <w:p w14:paraId="201F6164" w14:textId="0E340383" w:rsidR="00962CF2" w:rsidRPr="00962CF2" w:rsidRDefault="00AE6A58" w:rsidP="00962CF2">
      <w:pPr>
        <w:jc w:val="both"/>
        <w:rPr>
          <w:rFonts w:cstheme="minorHAnsi"/>
          <w:lang w:val="en-AU"/>
        </w:rPr>
      </w:pPr>
      <w:r>
        <w:rPr>
          <w:rFonts w:cstheme="minorHAnsi"/>
          <w:color w:val="222222"/>
          <w:szCs w:val="22"/>
        </w:rPr>
        <w:t xml:space="preserve">Hence, it is important that </w:t>
      </w:r>
      <w:r w:rsidR="00962CF2" w:rsidRPr="00962CF2">
        <w:rPr>
          <w:rFonts w:cstheme="minorHAnsi"/>
          <w:color w:val="222222"/>
          <w:szCs w:val="22"/>
        </w:rPr>
        <w:t>th</w:t>
      </w:r>
      <w:r w:rsidR="00962CF2">
        <w:rPr>
          <w:rFonts w:cstheme="minorHAnsi"/>
          <w:color w:val="222222"/>
          <w:szCs w:val="22"/>
        </w:rPr>
        <w:t>ese</w:t>
      </w:r>
      <w:r>
        <w:rPr>
          <w:rFonts w:cstheme="minorHAnsi"/>
          <w:color w:val="222222"/>
          <w:szCs w:val="22"/>
        </w:rPr>
        <w:t xml:space="preserve"> restrictions</w:t>
      </w:r>
      <w:r w:rsidR="00130DAF">
        <w:rPr>
          <w:rFonts w:cstheme="minorHAnsi"/>
          <w:color w:val="222222"/>
          <w:szCs w:val="22"/>
        </w:rPr>
        <w:t>,</w:t>
      </w:r>
      <w:r>
        <w:rPr>
          <w:rFonts w:cstheme="minorHAnsi"/>
          <w:color w:val="222222"/>
          <w:szCs w:val="22"/>
        </w:rPr>
        <w:t xml:space="preserve"> that are being </w:t>
      </w:r>
      <w:r w:rsidR="00962CF2" w:rsidRPr="00962CF2">
        <w:rPr>
          <w:rFonts w:cstheme="minorHAnsi"/>
          <w:color w:val="222222"/>
          <w:szCs w:val="22"/>
        </w:rPr>
        <w:t>placed more generally on the w</w:t>
      </w:r>
      <w:r w:rsidR="00962CF2">
        <w:rPr>
          <w:rFonts w:cstheme="minorHAnsi"/>
          <w:color w:val="222222"/>
          <w:szCs w:val="22"/>
        </w:rPr>
        <w:t xml:space="preserve">orkers’ compensation schemes, </w:t>
      </w:r>
      <w:r w:rsidR="0024157C">
        <w:rPr>
          <w:rFonts w:cstheme="minorHAnsi"/>
          <w:color w:val="222222"/>
          <w:szCs w:val="22"/>
        </w:rPr>
        <w:t xml:space="preserve">do not place </w:t>
      </w:r>
      <w:r w:rsidR="00962CF2">
        <w:rPr>
          <w:rFonts w:cstheme="minorHAnsi"/>
          <w:color w:val="222222"/>
          <w:szCs w:val="22"/>
        </w:rPr>
        <w:t>military</w:t>
      </w:r>
      <w:r w:rsidR="00A11ED2">
        <w:rPr>
          <w:rFonts w:cstheme="minorHAnsi"/>
          <w:color w:val="222222"/>
          <w:szCs w:val="22"/>
        </w:rPr>
        <w:t xml:space="preserve"> personnel</w:t>
      </w:r>
      <w:r w:rsidR="00962CF2">
        <w:rPr>
          <w:rFonts w:cstheme="minorHAnsi"/>
          <w:color w:val="222222"/>
          <w:szCs w:val="22"/>
        </w:rPr>
        <w:t xml:space="preserve"> and veteran</w:t>
      </w:r>
      <w:r w:rsidR="00A11ED2">
        <w:rPr>
          <w:rFonts w:cstheme="minorHAnsi"/>
          <w:color w:val="222222"/>
          <w:szCs w:val="22"/>
        </w:rPr>
        <w:t>s</w:t>
      </w:r>
      <w:r w:rsidR="0024157C">
        <w:rPr>
          <w:rFonts w:cstheme="minorHAnsi"/>
          <w:color w:val="222222"/>
          <w:szCs w:val="22"/>
        </w:rPr>
        <w:t xml:space="preserve"> at </w:t>
      </w:r>
      <w:r w:rsidR="00130DAF">
        <w:rPr>
          <w:rFonts w:cstheme="minorHAnsi"/>
          <w:color w:val="222222"/>
          <w:szCs w:val="22"/>
        </w:rPr>
        <w:t xml:space="preserve">risk of </w:t>
      </w:r>
      <w:r w:rsidR="00962CF2" w:rsidRPr="00962CF2">
        <w:rPr>
          <w:rFonts w:cstheme="minorHAnsi"/>
          <w:color w:val="222222"/>
          <w:szCs w:val="22"/>
        </w:rPr>
        <w:t xml:space="preserve">being excluded from reasonable protection. </w:t>
      </w:r>
      <w:r w:rsidR="00130DAF">
        <w:rPr>
          <w:rFonts w:cstheme="minorHAnsi"/>
          <w:color w:val="222222"/>
          <w:szCs w:val="22"/>
        </w:rPr>
        <w:t xml:space="preserve"> </w:t>
      </w:r>
      <w:r w:rsidR="0024157C">
        <w:rPr>
          <w:rFonts w:cstheme="minorHAnsi"/>
          <w:color w:val="222222"/>
          <w:szCs w:val="22"/>
        </w:rPr>
        <w:t>In general, the schemes run by DVA, despite the identified difficulties</w:t>
      </w:r>
      <w:r w:rsidR="00130DAF">
        <w:rPr>
          <w:rFonts w:cstheme="minorHAnsi"/>
          <w:color w:val="222222"/>
          <w:szCs w:val="22"/>
        </w:rPr>
        <w:t>, are more supportive and</w:t>
      </w:r>
      <w:r w:rsidR="0024157C">
        <w:rPr>
          <w:rFonts w:cstheme="minorHAnsi"/>
          <w:color w:val="222222"/>
          <w:szCs w:val="22"/>
        </w:rPr>
        <w:t xml:space="preserve"> beneficial to the recipients and more equitably administered.</w:t>
      </w:r>
      <w:r>
        <w:rPr>
          <w:rFonts w:cstheme="minorHAnsi"/>
          <w:color w:val="222222"/>
          <w:szCs w:val="22"/>
        </w:rPr>
        <w:t xml:space="preserve"> </w:t>
      </w:r>
      <w:r w:rsidR="00130DAF">
        <w:rPr>
          <w:rFonts w:cstheme="minorHAnsi"/>
          <w:color w:val="222222"/>
          <w:szCs w:val="22"/>
        </w:rPr>
        <w:t xml:space="preserve"> </w:t>
      </w:r>
      <w:r>
        <w:rPr>
          <w:rFonts w:cstheme="minorHAnsi"/>
          <w:color w:val="222222"/>
          <w:szCs w:val="22"/>
        </w:rPr>
        <w:t>This also highlights the risks of some of the attitudes in the state-based workers</w:t>
      </w:r>
      <w:r w:rsidR="00A11ED2">
        <w:rPr>
          <w:rFonts w:cstheme="minorHAnsi"/>
          <w:color w:val="222222"/>
          <w:szCs w:val="22"/>
        </w:rPr>
        <w:t>’</w:t>
      </w:r>
      <w:r>
        <w:rPr>
          <w:rFonts w:cstheme="minorHAnsi"/>
          <w:color w:val="222222"/>
          <w:szCs w:val="22"/>
        </w:rPr>
        <w:t xml:space="preserve"> compensation</w:t>
      </w:r>
      <w:r w:rsidR="008A2B35">
        <w:rPr>
          <w:rFonts w:cstheme="minorHAnsi"/>
          <w:color w:val="222222"/>
          <w:szCs w:val="22"/>
        </w:rPr>
        <w:t xml:space="preserve"> schemes</w:t>
      </w:r>
      <w:r>
        <w:rPr>
          <w:rFonts w:cstheme="minorHAnsi"/>
          <w:color w:val="222222"/>
          <w:szCs w:val="22"/>
        </w:rPr>
        <w:t xml:space="preserve"> infiltrating the administration of the DVA schemes.</w:t>
      </w:r>
    </w:p>
    <w:p w14:paraId="6EE7F8F1" w14:textId="77777777" w:rsidR="00962CF2" w:rsidRPr="00962CF2" w:rsidRDefault="00962CF2" w:rsidP="00962CF2">
      <w:pPr>
        <w:ind w:left="567"/>
        <w:jc w:val="both"/>
        <w:rPr>
          <w:rFonts w:cstheme="minorHAnsi"/>
          <w:color w:val="222222"/>
          <w:szCs w:val="22"/>
        </w:rPr>
      </w:pPr>
    </w:p>
    <w:p w14:paraId="3BABB6DC" w14:textId="77777777" w:rsidR="00962CF2" w:rsidRPr="00962CF2" w:rsidRDefault="00962CF2" w:rsidP="001E7DBF">
      <w:pPr>
        <w:jc w:val="both"/>
        <w:rPr>
          <w:rFonts w:cstheme="minorHAnsi"/>
          <w:b/>
          <w:lang w:val="en-AU"/>
        </w:rPr>
      </w:pPr>
    </w:p>
    <w:p w14:paraId="32552E62" w14:textId="7C777AE6" w:rsidR="00962CF2" w:rsidRDefault="00962CF2" w:rsidP="001E7DBF">
      <w:pPr>
        <w:jc w:val="both"/>
        <w:rPr>
          <w:rFonts w:cstheme="minorHAnsi"/>
          <w:b/>
          <w:lang w:val="en-AU"/>
        </w:rPr>
      </w:pPr>
    </w:p>
    <w:p w14:paraId="0EB2C03F" w14:textId="77777777" w:rsidR="008A2B35" w:rsidRPr="00962CF2" w:rsidRDefault="008A2B35" w:rsidP="001E7DBF">
      <w:pPr>
        <w:jc w:val="both"/>
        <w:rPr>
          <w:rFonts w:cstheme="minorHAnsi"/>
          <w:b/>
          <w:lang w:val="en-AU"/>
        </w:rPr>
      </w:pPr>
    </w:p>
    <w:p w14:paraId="08A6D314" w14:textId="4592F887" w:rsidR="005000D1" w:rsidRPr="00962CF2" w:rsidRDefault="005000D1" w:rsidP="001E7DBF">
      <w:pPr>
        <w:jc w:val="both"/>
        <w:rPr>
          <w:rFonts w:cstheme="minorHAnsi"/>
          <w:b/>
          <w:lang w:val="en-AU"/>
        </w:rPr>
      </w:pPr>
      <w:r w:rsidRPr="00962CF2">
        <w:rPr>
          <w:rFonts w:cstheme="minorHAnsi"/>
          <w:b/>
          <w:lang w:val="en-AU"/>
        </w:rPr>
        <w:t xml:space="preserve">References </w:t>
      </w:r>
    </w:p>
    <w:p w14:paraId="52EF0A8C" w14:textId="37747D85" w:rsidR="005000D1" w:rsidRPr="00962CF2" w:rsidRDefault="005000D1" w:rsidP="001E7DBF">
      <w:pPr>
        <w:jc w:val="both"/>
        <w:rPr>
          <w:rFonts w:cstheme="minorHAnsi"/>
          <w:lang w:val="en-AU"/>
        </w:rPr>
      </w:pPr>
    </w:p>
    <w:p w14:paraId="3427B7D6" w14:textId="608DEC9A" w:rsidR="005000D1" w:rsidRPr="0024157C" w:rsidRDefault="005000D1" w:rsidP="005000D1">
      <w:pPr>
        <w:pStyle w:val="ListParagraph"/>
        <w:numPr>
          <w:ilvl w:val="0"/>
          <w:numId w:val="1"/>
        </w:numPr>
        <w:spacing w:line="240" w:lineRule="auto"/>
        <w:ind w:left="993" w:hanging="567"/>
        <w:rPr>
          <w:rFonts w:asciiTheme="minorHAnsi" w:hAnsiTheme="minorHAnsi" w:cstheme="minorHAnsi"/>
          <w:color w:val="auto"/>
          <w:sz w:val="24"/>
        </w:rPr>
      </w:pPr>
      <w:r w:rsidRPr="0024157C">
        <w:rPr>
          <w:rFonts w:asciiTheme="minorHAnsi" w:hAnsiTheme="minorHAnsi" w:cstheme="minorHAnsi"/>
          <w:color w:val="222222"/>
          <w:sz w:val="24"/>
          <w:shd w:val="clear" w:color="auto" w:fill="FFFFFF"/>
        </w:rPr>
        <w:t xml:space="preserve">Van </w:t>
      </w:r>
      <w:proofErr w:type="spellStart"/>
      <w:r w:rsidRPr="0024157C">
        <w:rPr>
          <w:rFonts w:asciiTheme="minorHAnsi" w:hAnsiTheme="minorHAnsi" w:cstheme="minorHAnsi"/>
          <w:color w:val="222222"/>
          <w:sz w:val="24"/>
          <w:shd w:val="clear" w:color="auto" w:fill="FFFFFF"/>
        </w:rPr>
        <w:t>Hooff</w:t>
      </w:r>
      <w:proofErr w:type="spellEnd"/>
      <w:r w:rsidRPr="0024157C">
        <w:rPr>
          <w:rFonts w:asciiTheme="minorHAnsi" w:hAnsiTheme="minorHAnsi" w:cstheme="minorHAnsi"/>
          <w:color w:val="222222"/>
          <w:sz w:val="24"/>
          <w:shd w:val="clear" w:color="auto" w:fill="FFFFFF"/>
        </w:rPr>
        <w:t xml:space="preserve"> et al, 2018 Transition and Wellbeing Research Programme, Mental Health and Wellbeing Transition Study, the Department of Defence and the Department of Veterans’ Affairs, Canberra</w:t>
      </w:r>
      <w:r w:rsidRPr="0024157C">
        <w:rPr>
          <w:rFonts w:asciiTheme="minorHAnsi" w:hAnsiTheme="minorHAnsi" w:cstheme="minorHAnsi"/>
          <w:sz w:val="24"/>
        </w:rPr>
        <w:t xml:space="preserve"> </w:t>
      </w:r>
    </w:p>
    <w:p w14:paraId="3FBAC2D0" w14:textId="4582CA51" w:rsidR="005000D1" w:rsidRPr="0024157C" w:rsidRDefault="005000D1" w:rsidP="005000D1">
      <w:pPr>
        <w:pStyle w:val="ListParagraph"/>
        <w:numPr>
          <w:ilvl w:val="0"/>
          <w:numId w:val="1"/>
        </w:numPr>
        <w:spacing w:line="240" w:lineRule="auto"/>
        <w:ind w:left="993" w:hanging="567"/>
        <w:rPr>
          <w:rFonts w:asciiTheme="minorHAnsi" w:hAnsiTheme="minorHAnsi" w:cstheme="minorHAnsi"/>
          <w:color w:val="auto"/>
          <w:sz w:val="24"/>
        </w:rPr>
      </w:pPr>
      <w:r w:rsidRPr="0024157C">
        <w:rPr>
          <w:rFonts w:asciiTheme="minorHAnsi" w:hAnsiTheme="minorHAnsi" w:cstheme="minorHAnsi"/>
          <w:sz w:val="24"/>
        </w:rPr>
        <w:t>McFarlane et al, 2011 ADF Mental Health and Prevalence and Wellbeing Study, Department of Defence, Canberra</w:t>
      </w:r>
    </w:p>
    <w:p w14:paraId="6066E2A1" w14:textId="66112170" w:rsidR="005000D1" w:rsidRPr="0024157C" w:rsidRDefault="005000D1" w:rsidP="005000D1">
      <w:pPr>
        <w:pStyle w:val="ListParagraph"/>
        <w:numPr>
          <w:ilvl w:val="0"/>
          <w:numId w:val="1"/>
        </w:numPr>
        <w:spacing w:line="240" w:lineRule="auto"/>
        <w:ind w:left="993" w:hanging="567"/>
        <w:rPr>
          <w:rFonts w:asciiTheme="minorHAnsi" w:hAnsiTheme="minorHAnsi" w:cstheme="minorHAnsi"/>
          <w:color w:val="auto"/>
          <w:sz w:val="24"/>
        </w:rPr>
      </w:pPr>
      <w:r w:rsidRPr="0024157C">
        <w:rPr>
          <w:rFonts w:asciiTheme="minorHAnsi" w:hAnsiTheme="minorHAnsi" w:cstheme="minorHAnsi"/>
          <w:sz w:val="24"/>
        </w:rPr>
        <w:t>McFarlane AC, The longitudinal course of posttraumatic morbidity: The range of outcomes and their predictors, Journal of Nervous and Mental Disease,1988;176:30-39</w:t>
      </w:r>
    </w:p>
    <w:p w14:paraId="1D7C8A78" w14:textId="7A413F56" w:rsidR="005000D1" w:rsidRPr="0024157C" w:rsidRDefault="005000D1" w:rsidP="005000D1">
      <w:pPr>
        <w:pStyle w:val="ListParagraph"/>
        <w:numPr>
          <w:ilvl w:val="0"/>
          <w:numId w:val="1"/>
        </w:numPr>
        <w:spacing w:line="240" w:lineRule="auto"/>
        <w:ind w:left="993" w:hanging="567"/>
        <w:rPr>
          <w:rFonts w:asciiTheme="minorHAnsi" w:hAnsiTheme="minorHAnsi" w:cstheme="minorHAnsi"/>
          <w:color w:val="auto"/>
          <w:sz w:val="24"/>
        </w:rPr>
      </w:pPr>
      <w:r w:rsidRPr="0024157C">
        <w:rPr>
          <w:rFonts w:asciiTheme="minorHAnsi" w:hAnsiTheme="minorHAnsi" w:cstheme="minorHAnsi"/>
          <w:sz w:val="24"/>
        </w:rPr>
        <w:t>McFarlane et al, Metropolitan Fire Service of South Australia Health and Wellbeing Study 2017, Centre for Traumatic Stress Studies, The University of Adelaide.  </w:t>
      </w:r>
    </w:p>
    <w:p w14:paraId="130D98E7" w14:textId="0BAF83ED" w:rsidR="005000D1" w:rsidRPr="0024157C" w:rsidRDefault="005000D1" w:rsidP="005000D1">
      <w:pPr>
        <w:pStyle w:val="ListParagraph"/>
        <w:numPr>
          <w:ilvl w:val="0"/>
          <w:numId w:val="1"/>
        </w:numPr>
        <w:spacing w:line="240" w:lineRule="auto"/>
        <w:ind w:left="993" w:hanging="567"/>
        <w:rPr>
          <w:rFonts w:asciiTheme="minorHAnsi" w:hAnsiTheme="minorHAnsi" w:cstheme="minorHAnsi"/>
          <w:color w:val="auto"/>
          <w:sz w:val="24"/>
        </w:rPr>
      </w:pPr>
      <w:r w:rsidRPr="0024157C">
        <w:rPr>
          <w:rFonts w:asciiTheme="minorHAnsi" w:hAnsiTheme="minorHAnsi" w:cstheme="minorHAnsi"/>
          <w:color w:val="222222"/>
          <w:sz w:val="24"/>
          <w:shd w:val="clear" w:color="auto" w:fill="FFFFFF"/>
        </w:rPr>
        <w:t>McFarlane and Bryant, PTSD: the need to use emerging knowledge to improve systems of care and clinical practice in Australia, Australasian Psychiatry, 2017;25:329-332</w:t>
      </w:r>
    </w:p>
    <w:p w14:paraId="51FC2401" w14:textId="77777777" w:rsidR="00962CF2" w:rsidRPr="0024157C" w:rsidRDefault="005000D1" w:rsidP="00962CF2">
      <w:pPr>
        <w:pStyle w:val="ListParagraph"/>
        <w:numPr>
          <w:ilvl w:val="0"/>
          <w:numId w:val="1"/>
        </w:numPr>
        <w:spacing w:line="240" w:lineRule="auto"/>
        <w:ind w:left="993" w:hanging="567"/>
        <w:rPr>
          <w:rFonts w:asciiTheme="minorHAnsi" w:hAnsiTheme="minorHAnsi" w:cstheme="minorHAnsi"/>
          <w:color w:val="auto"/>
          <w:sz w:val="24"/>
        </w:rPr>
      </w:pPr>
      <w:r w:rsidRPr="0024157C">
        <w:rPr>
          <w:rFonts w:asciiTheme="minorHAnsi" w:hAnsiTheme="minorHAnsi" w:cstheme="minorHAnsi"/>
          <w:sz w:val="24"/>
        </w:rPr>
        <w:t>Victorian Ombudsman, Investigation into the management of complex workers compensation claims and WorkSafe oversight, September 2016</w:t>
      </w:r>
    </w:p>
    <w:p w14:paraId="419CF587" w14:textId="47EA3423" w:rsidR="0024157C" w:rsidRPr="0024157C" w:rsidRDefault="00962CF2" w:rsidP="0024157C">
      <w:pPr>
        <w:pStyle w:val="ListParagraph"/>
        <w:numPr>
          <w:ilvl w:val="0"/>
          <w:numId w:val="1"/>
        </w:numPr>
        <w:spacing w:line="240" w:lineRule="auto"/>
        <w:ind w:left="993" w:hanging="567"/>
        <w:rPr>
          <w:rFonts w:asciiTheme="minorHAnsi" w:hAnsiTheme="minorHAnsi" w:cstheme="minorHAnsi"/>
          <w:color w:val="auto"/>
          <w:sz w:val="24"/>
        </w:rPr>
      </w:pPr>
      <w:r w:rsidRPr="0024157C">
        <w:rPr>
          <w:rFonts w:asciiTheme="minorHAnsi" w:hAnsiTheme="minorHAnsi" w:cstheme="minorHAnsi"/>
          <w:sz w:val="24"/>
        </w:rPr>
        <w:t>O'Donnell et al</w:t>
      </w:r>
      <w:r w:rsidR="00272A4C">
        <w:rPr>
          <w:rFonts w:asciiTheme="minorHAnsi" w:hAnsiTheme="minorHAnsi" w:cstheme="minorHAnsi"/>
          <w:sz w:val="24"/>
        </w:rPr>
        <w:t>.</w:t>
      </w:r>
      <w:r w:rsidRPr="0024157C">
        <w:rPr>
          <w:rFonts w:asciiTheme="minorHAnsi" w:hAnsiTheme="minorHAnsi" w:cstheme="minorHAnsi"/>
          <w:sz w:val="24"/>
        </w:rPr>
        <w:t xml:space="preserve"> Does access to compensation have an impact on recovery outcomes after injury? Medical Journal of Australia, 2010</w:t>
      </w:r>
      <w:proofErr w:type="gramStart"/>
      <w:r w:rsidRPr="0024157C">
        <w:rPr>
          <w:rFonts w:asciiTheme="minorHAnsi" w:hAnsiTheme="minorHAnsi" w:cstheme="minorHAnsi"/>
          <w:sz w:val="24"/>
        </w:rPr>
        <w:t>;192</w:t>
      </w:r>
      <w:proofErr w:type="gramEnd"/>
      <w:r w:rsidRPr="0024157C">
        <w:rPr>
          <w:rFonts w:asciiTheme="minorHAnsi" w:hAnsiTheme="minorHAnsi" w:cstheme="minorHAnsi"/>
          <w:sz w:val="24"/>
        </w:rPr>
        <w:t>(6):328-333.</w:t>
      </w:r>
    </w:p>
    <w:p w14:paraId="30A39A97" w14:textId="3AC3899F" w:rsidR="0024157C" w:rsidRPr="0024157C" w:rsidRDefault="0024157C" w:rsidP="0024157C">
      <w:pPr>
        <w:pStyle w:val="ListParagraph"/>
        <w:numPr>
          <w:ilvl w:val="0"/>
          <w:numId w:val="1"/>
        </w:numPr>
        <w:spacing w:line="240" w:lineRule="auto"/>
        <w:ind w:left="993" w:hanging="567"/>
        <w:rPr>
          <w:rFonts w:asciiTheme="minorHAnsi" w:hAnsiTheme="minorHAnsi" w:cstheme="minorHAnsi"/>
          <w:color w:val="auto"/>
          <w:sz w:val="24"/>
        </w:rPr>
      </w:pPr>
      <w:proofErr w:type="spellStart"/>
      <w:r w:rsidRPr="0024157C">
        <w:rPr>
          <w:rFonts w:asciiTheme="minorHAnsi" w:hAnsiTheme="minorHAnsi" w:cstheme="minorHAnsi"/>
          <w:color w:val="222222"/>
          <w:sz w:val="24"/>
          <w:shd w:val="clear" w:color="auto" w:fill="FFFFFF"/>
        </w:rPr>
        <w:t>Elbers</w:t>
      </w:r>
      <w:proofErr w:type="spellEnd"/>
      <w:r w:rsidRPr="0024157C">
        <w:rPr>
          <w:rFonts w:asciiTheme="minorHAnsi" w:hAnsiTheme="minorHAnsi" w:cstheme="minorHAnsi"/>
          <w:color w:val="222222"/>
          <w:sz w:val="24"/>
          <w:shd w:val="clear" w:color="auto" w:fill="FFFFFF"/>
        </w:rPr>
        <w:t xml:space="preserve"> et al. Do compensation processes impair mental health? A meta-analysis. Injury. 2013 May 1</w:t>
      </w:r>
      <w:proofErr w:type="gramStart"/>
      <w:r w:rsidRPr="0024157C">
        <w:rPr>
          <w:rFonts w:asciiTheme="minorHAnsi" w:hAnsiTheme="minorHAnsi" w:cstheme="minorHAnsi"/>
          <w:color w:val="222222"/>
          <w:sz w:val="24"/>
          <w:shd w:val="clear" w:color="auto" w:fill="FFFFFF"/>
        </w:rPr>
        <w:t>;44</w:t>
      </w:r>
      <w:proofErr w:type="gramEnd"/>
      <w:r w:rsidRPr="0024157C">
        <w:rPr>
          <w:rFonts w:asciiTheme="minorHAnsi" w:hAnsiTheme="minorHAnsi" w:cstheme="minorHAnsi"/>
          <w:color w:val="222222"/>
          <w:sz w:val="24"/>
          <w:shd w:val="clear" w:color="auto" w:fill="FFFFFF"/>
        </w:rPr>
        <w:t>(5):674-83.</w:t>
      </w:r>
    </w:p>
    <w:p w14:paraId="4B20BF28" w14:textId="42522C89" w:rsidR="007507E5" w:rsidRPr="0024157C" w:rsidRDefault="007507E5" w:rsidP="005000D1">
      <w:pPr>
        <w:pStyle w:val="ListParagraph"/>
        <w:numPr>
          <w:ilvl w:val="0"/>
          <w:numId w:val="1"/>
        </w:numPr>
        <w:spacing w:line="240" w:lineRule="auto"/>
        <w:ind w:left="993" w:hanging="567"/>
        <w:rPr>
          <w:rFonts w:asciiTheme="minorHAnsi" w:hAnsiTheme="minorHAnsi" w:cstheme="minorHAnsi"/>
          <w:color w:val="auto"/>
          <w:sz w:val="24"/>
        </w:rPr>
      </w:pPr>
      <w:r w:rsidRPr="0024157C">
        <w:rPr>
          <w:rFonts w:asciiTheme="minorHAnsi" w:hAnsiTheme="minorHAnsi" w:cstheme="minorHAnsi"/>
          <w:sz w:val="24"/>
        </w:rPr>
        <w:t>Grant et al, Relationship between stressfulness of claiming for injury compensation and long-term recovery: a prospective cohort study, JAMA Psychiatry, 2014;71:446-453</w:t>
      </w:r>
    </w:p>
    <w:p w14:paraId="0B0016EF" w14:textId="77777777" w:rsidR="005000D1" w:rsidRPr="0024157C" w:rsidRDefault="005000D1" w:rsidP="001E7DBF">
      <w:pPr>
        <w:jc w:val="both"/>
        <w:rPr>
          <w:rFonts w:cstheme="minorHAnsi"/>
          <w:lang w:val="en-AU"/>
        </w:rPr>
      </w:pPr>
    </w:p>
    <w:sectPr w:rsidR="005000D1" w:rsidRPr="0024157C" w:rsidSect="00327A9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E4361"/>
    <w:multiLevelType w:val="hybridMultilevel"/>
    <w:tmpl w:val="0B30A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D448D1"/>
    <w:multiLevelType w:val="hybridMultilevel"/>
    <w:tmpl w:val="5AB8D8A0"/>
    <w:lvl w:ilvl="0" w:tplc="C12AA000">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908"/>
    <w:rsid w:val="000044D6"/>
    <w:rsid w:val="00014ACD"/>
    <w:rsid w:val="00031A2C"/>
    <w:rsid w:val="00054F49"/>
    <w:rsid w:val="00080D89"/>
    <w:rsid w:val="000D565C"/>
    <w:rsid w:val="000E7DB7"/>
    <w:rsid w:val="00102753"/>
    <w:rsid w:val="0012652D"/>
    <w:rsid w:val="00130DAF"/>
    <w:rsid w:val="001326F7"/>
    <w:rsid w:val="00134E2F"/>
    <w:rsid w:val="00197038"/>
    <w:rsid w:val="001C51A4"/>
    <w:rsid w:val="001D40F2"/>
    <w:rsid w:val="001E7DBF"/>
    <w:rsid w:val="0024157C"/>
    <w:rsid w:val="00266E8E"/>
    <w:rsid w:val="00272A4C"/>
    <w:rsid w:val="002B4750"/>
    <w:rsid w:val="00307CE7"/>
    <w:rsid w:val="00320015"/>
    <w:rsid w:val="00327A95"/>
    <w:rsid w:val="003451FE"/>
    <w:rsid w:val="003A6714"/>
    <w:rsid w:val="003D0077"/>
    <w:rsid w:val="003D0832"/>
    <w:rsid w:val="003E0275"/>
    <w:rsid w:val="00402588"/>
    <w:rsid w:val="00410BF0"/>
    <w:rsid w:val="00455652"/>
    <w:rsid w:val="004B2BA8"/>
    <w:rsid w:val="004C0E59"/>
    <w:rsid w:val="005000D1"/>
    <w:rsid w:val="00513A29"/>
    <w:rsid w:val="00525209"/>
    <w:rsid w:val="00535327"/>
    <w:rsid w:val="00540EF2"/>
    <w:rsid w:val="005907BB"/>
    <w:rsid w:val="005D17F9"/>
    <w:rsid w:val="005E1461"/>
    <w:rsid w:val="005F52AF"/>
    <w:rsid w:val="00630F64"/>
    <w:rsid w:val="00645408"/>
    <w:rsid w:val="006A4C15"/>
    <w:rsid w:val="006A5F13"/>
    <w:rsid w:val="006B7B42"/>
    <w:rsid w:val="006C631C"/>
    <w:rsid w:val="006D4B55"/>
    <w:rsid w:val="006E2D10"/>
    <w:rsid w:val="006F6E21"/>
    <w:rsid w:val="00741830"/>
    <w:rsid w:val="007507E5"/>
    <w:rsid w:val="0075633C"/>
    <w:rsid w:val="00780C47"/>
    <w:rsid w:val="0079241D"/>
    <w:rsid w:val="007D5EF8"/>
    <w:rsid w:val="007D6491"/>
    <w:rsid w:val="007E759F"/>
    <w:rsid w:val="007F6565"/>
    <w:rsid w:val="00823A2F"/>
    <w:rsid w:val="008A2B35"/>
    <w:rsid w:val="008A4D7B"/>
    <w:rsid w:val="008B1D57"/>
    <w:rsid w:val="008B2644"/>
    <w:rsid w:val="008B61FC"/>
    <w:rsid w:val="008C2135"/>
    <w:rsid w:val="008E04BF"/>
    <w:rsid w:val="008F576B"/>
    <w:rsid w:val="00904C5F"/>
    <w:rsid w:val="00962CF2"/>
    <w:rsid w:val="00975BCA"/>
    <w:rsid w:val="009B2E0D"/>
    <w:rsid w:val="009C4AD8"/>
    <w:rsid w:val="009D6DD4"/>
    <w:rsid w:val="009F578D"/>
    <w:rsid w:val="00A11ED2"/>
    <w:rsid w:val="00A96D56"/>
    <w:rsid w:val="00AA6E65"/>
    <w:rsid w:val="00AB079F"/>
    <w:rsid w:val="00AE6A58"/>
    <w:rsid w:val="00B267E9"/>
    <w:rsid w:val="00B33090"/>
    <w:rsid w:val="00B4270A"/>
    <w:rsid w:val="00B433B0"/>
    <w:rsid w:val="00B86E05"/>
    <w:rsid w:val="00BA3908"/>
    <w:rsid w:val="00BF450D"/>
    <w:rsid w:val="00C75EB4"/>
    <w:rsid w:val="00C82DA1"/>
    <w:rsid w:val="00C91FA8"/>
    <w:rsid w:val="00C94D0F"/>
    <w:rsid w:val="00CA6667"/>
    <w:rsid w:val="00CA673A"/>
    <w:rsid w:val="00D10C2B"/>
    <w:rsid w:val="00D401E6"/>
    <w:rsid w:val="00DC1924"/>
    <w:rsid w:val="00E24069"/>
    <w:rsid w:val="00E33F2B"/>
    <w:rsid w:val="00EC3B78"/>
    <w:rsid w:val="00EC4C1F"/>
    <w:rsid w:val="00EC5471"/>
    <w:rsid w:val="00ED0A74"/>
    <w:rsid w:val="00ED7442"/>
    <w:rsid w:val="00EF0777"/>
    <w:rsid w:val="00F10C37"/>
    <w:rsid w:val="00F459B4"/>
    <w:rsid w:val="00F576CE"/>
    <w:rsid w:val="00F8591B"/>
    <w:rsid w:val="00FA201A"/>
    <w:rsid w:val="00FE7AB6"/>
    <w:rsid w:val="00FF3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06FD"/>
  <w14:defaultImageDpi w14:val="32767"/>
  <w15:chartTrackingRefBased/>
  <w15:docId w15:val="{BACFC295-77B3-354F-8728-E4A7044B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0D1"/>
    <w:pPr>
      <w:spacing w:line="236" w:lineRule="exact"/>
      <w:ind w:left="720"/>
      <w:contextualSpacing/>
    </w:pPr>
    <w:rPr>
      <w:rFonts w:ascii="Times New Roman" w:eastAsia="Times New Roman" w:hAnsi="Times New Roman" w:cs="Times New Roman"/>
      <w:color w:val="000000"/>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1351">
      <w:bodyDiv w:val="1"/>
      <w:marLeft w:val="0"/>
      <w:marRight w:val="0"/>
      <w:marTop w:val="0"/>
      <w:marBottom w:val="0"/>
      <w:divBdr>
        <w:top w:val="none" w:sz="0" w:space="0" w:color="auto"/>
        <w:left w:val="none" w:sz="0" w:space="0" w:color="auto"/>
        <w:bottom w:val="none" w:sz="0" w:space="0" w:color="auto"/>
        <w:right w:val="none" w:sz="0" w:space="0" w:color="auto"/>
      </w:divBdr>
    </w:div>
    <w:div w:id="210229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2808</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Submission 69 - Alexander McFarlane - Compensation and Rehabilitation for Veterans - Public inquiry</vt:lpstr>
    </vt:vector>
  </TitlesOfParts>
  <Company>Alexander McFarlane</Company>
  <LinksUpToDate>false</LinksUpToDate>
  <CharactersWithSpaces>18777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69 - Alexander McFarlane - Compensation and Rehabilitation for Veterans - Public inquiry</dc:title>
  <dc:subject/>
  <dc:creator>Alexander McFarlane</dc:creator>
  <cp:keywords/>
  <dc:description/>
  <cp:lastModifiedBy>Productivity Commission</cp:lastModifiedBy>
  <cp:revision>7</cp:revision>
  <dcterms:created xsi:type="dcterms:W3CDTF">2018-07-02T00:14:00Z</dcterms:created>
  <dcterms:modified xsi:type="dcterms:W3CDTF">2018-07-03T05:44:00Z</dcterms:modified>
</cp:coreProperties>
</file>