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5E6A2" w14:textId="77777777" w:rsidR="006C566A" w:rsidRPr="00F175A1" w:rsidRDefault="006C566A" w:rsidP="006C566A">
      <w:pPr>
        <w:rPr>
          <w:rFonts w:ascii="Arial" w:hAnsi="Arial" w:cs="Arial"/>
          <w:b/>
          <w:sz w:val="36"/>
          <w:szCs w:val="36"/>
        </w:rPr>
      </w:pPr>
      <w:bookmarkStart w:id="0" w:name="_GoBack"/>
      <w:bookmarkEnd w:id="0"/>
      <w:r w:rsidRPr="00F175A1">
        <w:rPr>
          <w:rFonts w:ascii="Arial" w:hAnsi="Arial" w:cs="Arial"/>
          <w:b/>
          <w:sz w:val="36"/>
          <w:szCs w:val="36"/>
        </w:rPr>
        <w:t>Queensland Family and Child Commission</w:t>
      </w:r>
    </w:p>
    <w:p w14:paraId="7C0DACE4" w14:textId="77777777" w:rsidR="006C566A" w:rsidRPr="00F175A1" w:rsidRDefault="006C566A" w:rsidP="006C566A">
      <w:pPr>
        <w:rPr>
          <w:rFonts w:ascii="Arial" w:hAnsi="Arial" w:cs="Arial"/>
          <w:sz w:val="36"/>
          <w:szCs w:val="36"/>
        </w:rPr>
      </w:pPr>
      <w:r w:rsidRPr="00F175A1">
        <w:rPr>
          <w:rFonts w:ascii="Arial" w:hAnsi="Arial" w:cs="Arial"/>
          <w:sz w:val="36"/>
          <w:szCs w:val="36"/>
        </w:rPr>
        <w:t>Submission</w:t>
      </w:r>
    </w:p>
    <w:p w14:paraId="33AE9114" w14:textId="77777777" w:rsidR="006C566A" w:rsidRPr="00F175A1" w:rsidRDefault="006C566A" w:rsidP="006C566A">
      <w:pPr>
        <w:rPr>
          <w:rFonts w:asciiTheme="majorHAnsi" w:hAnsiTheme="majorHAnsi" w:cstheme="majorHAnsi"/>
          <w:b/>
          <w:sz w:val="36"/>
          <w:szCs w:val="36"/>
        </w:rPr>
      </w:pPr>
    </w:p>
    <w:p w14:paraId="4B00759F" w14:textId="1A183D29" w:rsidR="006C566A" w:rsidRPr="00F175A1" w:rsidRDefault="006C566A" w:rsidP="006C566A">
      <w:pPr>
        <w:rPr>
          <w:rFonts w:asciiTheme="majorHAnsi" w:hAnsiTheme="majorHAnsi" w:cstheme="majorHAnsi"/>
          <w:sz w:val="20"/>
          <w:szCs w:val="20"/>
        </w:rPr>
      </w:pPr>
      <w:r w:rsidRPr="00F175A1">
        <w:rPr>
          <w:rFonts w:asciiTheme="majorHAnsi" w:hAnsiTheme="majorHAnsi" w:cstheme="majorHAnsi"/>
          <w:b/>
          <w:szCs w:val="22"/>
        </w:rPr>
        <w:t>To:</w:t>
      </w:r>
      <w:r w:rsidR="00597EB7">
        <w:rPr>
          <w:rFonts w:asciiTheme="majorHAnsi" w:hAnsiTheme="majorHAnsi" w:cstheme="majorHAnsi"/>
          <w:b/>
          <w:szCs w:val="22"/>
        </w:rPr>
        <w:t xml:space="preserve"> </w:t>
      </w:r>
      <w:r w:rsidR="00046800">
        <w:rPr>
          <w:rFonts w:asciiTheme="majorHAnsi" w:hAnsiTheme="majorHAnsi" w:cstheme="majorHAnsi"/>
          <w:b/>
          <w:szCs w:val="22"/>
        </w:rPr>
        <w:t>Productivity Commission – Mental Health Inquiry</w:t>
      </w:r>
      <w:r w:rsidRPr="00F175A1">
        <w:rPr>
          <w:rFonts w:asciiTheme="majorHAnsi" w:hAnsiTheme="majorHAnsi" w:cstheme="majorHAnsi"/>
          <w:b/>
          <w:szCs w:val="22"/>
        </w:rPr>
        <w:tab/>
      </w:r>
      <w:r w:rsidRPr="00F175A1">
        <w:rPr>
          <w:rFonts w:asciiTheme="majorHAnsi" w:hAnsiTheme="majorHAnsi" w:cstheme="majorHAnsi"/>
          <w:szCs w:val="22"/>
        </w:rPr>
        <w:tab/>
      </w:r>
      <w:r w:rsidR="005D5CB6">
        <w:rPr>
          <w:rFonts w:asciiTheme="majorHAnsi" w:hAnsiTheme="majorHAnsi" w:cstheme="majorHAnsi"/>
          <w:szCs w:val="22"/>
        </w:rPr>
        <w:tab/>
      </w:r>
      <w:r w:rsidR="00046800">
        <w:rPr>
          <w:rFonts w:asciiTheme="majorHAnsi" w:hAnsiTheme="majorHAnsi" w:cstheme="majorHAnsi"/>
          <w:szCs w:val="22"/>
        </w:rPr>
        <w:tab/>
      </w:r>
      <w:r w:rsidRPr="003B2666">
        <w:rPr>
          <w:rFonts w:asciiTheme="majorHAnsi" w:hAnsiTheme="majorHAnsi" w:cstheme="majorHAnsi"/>
          <w:b/>
          <w:szCs w:val="22"/>
        </w:rPr>
        <w:t>Date:</w:t>
      </w:r>
      <w:r w:rsidRPr="003B2666">
        <w:rPr>
          <w:rFonts w:asciiTheme="majorHAnsi" w:hAnsiTheme="majorHAnsi" w:cstheme="majorHAnsi"/>
          <w:b/>
          <w:szCs w:val="22"/>
        </w:rPr>
        <w:tab/>
      </w:r>
      <w:r w:rsidR="003B2666" w:rsidRPr="003B2666">
        <w:rPr>
          <w:rFonts w:asciiTheme="majorHAnsi" w:hAnsiTheme="majorHAnsi" w:cstheme="majorHAnsi"/>
          <w:szCs w:val="22"/>
        </w:rPr>
        <w:t>2</w:t>
      </w:r>
      <w:r w:rsidR="00046800" w:rsidRPr="003B2666">
        <w:rPr>
          <w:rFonts w:asciiTheme="majorHAnsi" w:hAnsiTheme="majorHAnsi" w:cstheme="majorHAnsi"/>
          <w:szCs w:val="22"/>
        </w:rPr>
        <w:t xml:space="preserve"> April 2019</w:t>
      </w:r>
    </w:p>
    <w:p w14:paraId="6BAD27EE" w14:textId="77777777" w:rsidR="006C566A" w:rsidRPr="00F175A1" w:rsidRDefault="006C566A" w:rsidP="006C566A">
      <w:pPr>
        <w:rPr>
          <w:rFonts w:asciiTheme="majorHAnsi" w:hAnsiTheme="majorHAnsi" w:cstheme="majorHAnsi"/>
          <w:sz w:val="20"/>
          <w:szCs w:val="20"/>
        </w:rPr>
      </w:pPr>
    </w:p>
    <w:p w14:paraId="6CE1C720" w14:textId="77777777" w:rsidR="006C566A" w:rsidRPr="00F175A1" w:rsidRDefault="006C566A" w:rsidP="00046800">
      <w:pPr>
        <w:rPr>
          <w:rFonts w:asciiTheme="majorHAnsi" w:hAnsiTheme="majorHAnsi" w:cstheme="majorHAnsi"/>
          <w:b/>
          <w:szCs w:val="22"/>
        </w:rPr>
      </w:pPr>
      <w:r w:rsidRPr="00F175A1">
        <w:rPr>
          <w:rFonts w:asciiTheme="majorHAnsi" w:hAnsiTheme="majorHAnsi" w:cstheme="majorHAnsi"/>
          <w:b/>
          <w:szCs w:val="22"/>
        </w:rPr>
        <w:t xml:space="preserve">Topic: </w:t>
      </w:r>
      <w:r w:rsidR="00046800">
        <w:rPr>
          <w:rFonts w:asciiTheme="majorHAnsi" w:hAnsiTheme="majorHAnsi" w:cstheme="majorHAnsi"/>
          <w:b/>
          <w:szCs w:val="22"/>
        </w:rPr>
        <w:t xml:space="preserve">The Social and Economic Benefits of </w:t>
      </w:r>
      <w:r w:rsidR="00046800" w:rsidRPr="00046800">
        <w:rPr>
          <w:rFonts w:asciiTheme="majorHAnsi" w:hAnsiTheme="majorHAnsi" w:cstheme="majorHAnsi"/>
          <w:b/>
          <w:szCs w:val="22"/>
        </w:rPr>
        <w:t>Improving Mental Health</w:t>
      </w:r>
      <w:r>
        <w:rPr>
          <w:rFonts w:asciiTheme="majorHAnsi" w:hAnsiTheme="majorHAnsi" w:cstheme="majorHAnsi"/>
          <w:b/>
          <w:szCs w:val="22"/>
        </w:rPr>
        <w:t xml:space="preserve"> </w:t>
      </w:r>
    </w:p>
    <w:p w14:paraId="2CA10598" w14:textId="77777777" w:rsidR="006C566A" w:rsidRPr="00F175A1" w:rsidRDefault="006C566A" w:rsidP="006C566A">
      <w:pPr>
        <w:rPr>
          <w:rFonts w:asciiTheme="majorHAnsi" w:hAnsiTheme="majorHAnsi" w:cstheme="majorHAnsi"/>
          <w:b/>
          <w:szCs w:val="22"/>
        </w:rPr>
      </w:pPr>
      <w:r w:rsidRPr="00F175A1">
        <w:rPr>
          <w:rFonts w:asciiTheme="majorHAnsi" w:hAnsiTheme="majorHAnsi" w:cstheme="majorHAnsi"/>
          <w:b/>
          <w:noProof/>
          <w:szCs w:val="22"/>
          <w:lang w:eastAsia="en-AU"/>
        </w:rPr>
        <mc:AlternateContent>
          <mc:Choice Requires="wps">
            <w:drawing>
              <wp:anchor distT="0" distB="0" distL="114300" distR="114300" simplePos="0" relativeHeight="251659264" behindDoc="0" locked="0" layoutInCell="1" allowOverlap="1" wp14:anchorId="73769A77" wp14:editId="2810AD22">
                <wp:simplePos x="0" y="0"/>
                <wp:positionH relativeFrom="column">
                  <wp:posOffset>9524</wp:posOffset>
                </wp:positionH>
                <wp:positionV relativeFrom="paragraph">
                  <wp:posOffset>114300</wp:posOffset>
                </wp:positionV>
                <wp:extent cx="5876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8769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5CFC08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9pt" to="46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" strokecolor="black [3213]" strokeweight="1.5pt">
                <v:stroke joinstyle="miter"/>
              </v:line>
            </w:pict>
          </mc:Fallback>
        </mc:AlternateContent>
      </w:r>
    </w:p>
    <w:p w14:paraId="38607282" w14:textId="77777777" w:rsidR="006C566A" w:rsidRPr="00F175A1" w:rsidRDefault="006C566A" w:rsidP="006C566A">
      <w:pPr>
        <w:rPr>
          <w:rFonts w:asciiTheme="majorHAnsi" w:hAnsiTheme="majorHAnsi" w:cstheme="majorHAnsi"/>
          <w:b/>
          <w:szCs w:val="22"/>
        </w:rPr>
      </w:pPr>
    </w:p>
    <w:p w14:paraId="6DEA372C" w14:textId="17B8296D" w:rsidR="006C566A" w:rsidRDefault="00573CCA" w:rsidP="006C566A">
      <w:pPr>
        <w:rPr>
          <w:rFonts w:asciiTheme="majorHAnsi" w:hAnsiTheme="majorHAnsi" w:cstheme="majorHAnsi"/>
          <w:b/>
          <w:szCs w:val="22"/>
        </w:rPr>
      </w:pPr>
      <w:r w:rsidRPr="00EB575C">
        <w:rPr>
          <w:rFonts w:asciiTheme="majorHAnsi" w:hAnsiTheme="majorHAnsi" w:cstheme="majorHAnsi"/>
          <w:b/>
          <w:szCs w:val="22"/>
        </w:rPr>
        <w:t>Submission summary:</w:t>
      </w:r>
    </w:p>
    <w:p w14:paraId="4D538AA5" w14:textId="77777777" w:rsidR="00F30F16" w:rsidRDefault="00F30F16" w:rsidP="00BA5E28">
      <w:pPr>
        <w:spacing w:after="160" w:line="259" w:lineRule="auto"/>
        <w:rPr>
          <w:rFonts w:asciiTheme="majorHAnsi" w:hAnsiTheme="majorHAnsi" w:cstheme="majorHAnsi"/>
          <w:szCs w:val="22"/>
        </w:rPr>
      </w:pPr>
      <w:r w:rsidRPr="00FC112A">
        <w:rPr>
          <w:rFonts w:asciiTheme="majorHAnsi" w:hAnsiTheme="majorHAnsi" w:cstheme="majorHAnsi"/>
          <w:szCs w:val="22"/>
        </w:rPr>
        <w:t xml:space="preserve">The Queensland Family and Child Commission (QFCC) is pleased to provide a submission </w:t>
      </w:r>
      <w:r w:rsidR="00BA5E28">
        <w:rPr>
          <w:rFonts w:asciiTheme="majorHAnsi" w:hAnsiTheme="majorHAnsi" w:cstheme="majorHAnsi"/>
          <w:szCs w:val="22"/>
        </w:rPr>
        <w:t>to</w:t>
      </w:r>
      <w:r w:rsidRPr="00FC112A">
        <w:rPr>
          <w:rFonts w:asciiTheme="majorHAnsi" w:hAnsiTheme="majorHAnsi" w:cstheme="majorHAnsi"/>
          <w:szCs w:val="22"/>
        </w:rPr>
        <w:t xml:space="preserve"> the </w:t>
      </w:r>
      <w:r>
        <w:rPr>
          <w:rFonts w:asciiTheme="majorHAnsi" w:hAnsiTheme="majorHAnsi" w:cstheme="majorHAnsi"/>
          <w:szCs w:val="22"/>
        </w:rPr>
        <w:t>Productivity Commission</w:t>
      </w:r>
      <w:r w:rsidR="0006040B">
        <w:rPr>
          <w:rFonts w:asciiTheme="majorHAnsi" w:hAnsiTheme="majorHAnsi" w:cstheme="majorHAnsi"/>
          <w:szCs w:val="22"/>
        </w:rPr>
        <w:t>’s</w:t>
      </w:r>
      <w:r w:rsidRPr="00FC112A">
        <w:rPr>
          <w:rFonts w:asciiTheme="majorHAnsi" w:hAnsiTheme="majorHAnsi" w:cstheme="majorHAnsi"/>
          <w:szCs w:val="22"/>
        </w:rPr>
        <w:t xml:space="preserve"> </w:t>
      </w:r>
      <w:r w:rsidR="0053652C">
        <w:rPr>
          <w:rFonts w:asciiTheme="majorHAnsi" w:hAnsiTheme="majorHAnsi" w:cstheme="majorHAnsi"/>
          <w:szCs w:val="22"/>
        </w:rPr>
        <w:t>I</w:t>
      </w:r>
      <w:r>
        <w:rPr>
          <w:rFonts w:asciiTheme="majorHAnsi" w:hAnsiTheme="majorHAnsi" w:cstheme="majorHAnsi"/>
          <w:szCs w:val="22"/>
        </w:rPr>
        <w:t>nquiry into the social and economic benef</w:t>
      </w:r>
      <w:r w:rsidR="00BA5E28">
        <w:rPr>
          <w:rFonts w:asciiTheme="majorHAnsi" w:hAnsiTheme="majorHAnsi" w:cstheme="majorHAnsi"/>
          <w:szCs w:val="22"/>
        </w:rPr>
        <w:t xml:space="preserve">its of improving mental health. </w:t>
      </w:r>
      <w:r w:rsidR="001076CE">
        <w:rPr>
          <w:rFonts w:asciiTheme="majorHAnsi" w:hAnsiTheme="majorHAnsi" w:cstheme="majorHAnsi"/>
          <w:szCs w:val="22"/>
        </w:rPr>
        <w:t>The QFCC is well-</w:t>
      </w:r>
      <w:r w:rsidR="00D962FC">
        <w:rPr>
          <w:rFonts w:asciiTheme="majorHAnsi" w:hAnsiTheme="majorHAnsi" w:cstheme="majorHAnsi"/>
          <w:szCs w:val="22"/>
        </w:rPr>
        <w:t>positioned</w:t>
      </w:r>
      <w:r w:rsidR="001076CE">
        <w:rPr>
          <w:rFonts w:asciiTheme="majorHAnsi" w:hAnsiTheme="majorHAnsi" w:cstheme="majorHAnsi"/>
          <w:szCs w:val="22"/>
        </w:rPr>
        <w:t xml:space="preserve"> to inform </w:t>
      </w:r>
      <w:r w:rsidR="00D962FC">
        <w:rPr>
          <w:rFonts w:asciiTheme="majorHAnsi" w:hAnsiTheme="majorHAnsi" w:cstheme="majorHAnsi"/>
          <w:szCs w:val="22"/>
        </w:rPr>
        <w:t>the</w:t>
      </w:r>
      <w:r w:rsidR="00BA5E28">
        <w:rPr>
          <w:rFonts w:asciiTheme="majorHAnsi" w:hAnsiTheme="majorHAnsi" w:cstheme="majorHAnsi"/>
          <w:szCs w:val="22"/>
        </w:rPr>
        <w:t xml:space="preserve"> I</w:t>
      </w:r>
      <w:r w:rsidR="00302DBE">
        <w:rPr>
          <w:rFonts w:asciiTheme="majorHAnsi" w:hAnsiTheme="majorHAnsi" w:cstheme="majorHAnsi"/>
          <w:szCs w:val="22"/>
        </w:rPr>
        <w:t>nquiry</w:t>
      </w:r>
      <w:r w:rsidR="0006040B">
        <w:rPr>
          <w:rFonts w:asciiTheme="majorHAnsi" w:hAnsiTheme="majorHAnsi" w:cstheme="majorHAnsi"/>
          <w:szCs w:val="22"/>
        </w:rPr>
        <w:t xml:space="preserve"> </w:t>
      </w:r>
      <w:r w:rsidR="00CF1975">
        <w:rPr>
          <w:rFonts w:asciiTheme="majorHAnsi" w:hAnsiTheme="majorHAnsi" w:cstheme="majorHAnsi"/>
          <w:szCs w:val="22"/>
        </w:rPr>
        <w:t>on this topic</w:t>
      </w:r>
      <w:r w:rsidR="0006040B">
        <w:rPr>
          <w:rFonts w:asciiTheme="majorHAnsi" w:hAnsiTheme="majorHAnsi" w:cstheme="majorHAnsi"/>
          <w:szCs w:val="22"/>
        </w:rPr>
        <w:t>:</w:t>
      </w:r>
    </w:p>
    <w:p w14:paraId="18FAB8EE" w14:textId="77777777" w:rsidR="00302DBE" w:rsidRDefault="00302DBE" w:rsidP="00302DBE">
      <w:pPr>
        <w:pStyle w:val="ListParagraph"/>
        <w:numPr>
          <w:ilvl w:val="0"/>
          <w:numId w:val="11"/>
        </w:numPr>
        <w:spacing w:after="120"/>
        <w:rPr>
          <w:rFonts w:asciiTheme="majorHAnsi" w:hAnsiTheme="majorHAnsi" w:cstheme="majorHAnsi"/>
          <w:szCs w:val="22"/>
        </w:rPr>
      </w:pPr>
      <w:r>
        <w:rPr>
          <w:rFonts w:asciiTheme="majorHAnsi" w:hAnsiTheme="majorHAnsi" w:cstheme="majorHAnsi"/>
          <w:szCs w:val="22"/>
        </w:rPr>
        <w:t>T</w:t>
      </w:r>
      <w:r w:rsidR="001076CE" w:rsidRPr="00302DBE">
        <w:rPr>
          <w:rFonts w:asciiTheme="majorHAnsi" w:hAnsiTheme="majorHAnsi" w:cstheme="majorHAnsi"/>
          <w:szCs w:val="22"/>
        </w:rPr>
        <w:t xml:space="preserve">he </w:t>
      </w:r>
      <w:r w:rsidR="001076CE" w:rsidRPr="00302DBE">
        <w:rPr>
          <w:rFonts w:asciiTheme="majorHAnsi" w:hAnsiTheme="majorHAnsi" w:cstheme="majorHAnsi"/>
          <w:i/>
          <w:szCs w:val="22"/>
        </w:rPr>
        <w:t>Family and Child Commission Act 2014</w:t>
      </w:r>
      <w:r>
        <w:rPr>
          <w:rFonts w:asciiTheme="majorHAnsi" w:hAnsiTheme="majorHAnsi" w:cstheme="majorHAnsi"/>
          <w:szCs w:val="22"/>
        </w:rPr>
        <w:t xml:space="preserve"> establishes</w:t>
      </w:r>
      <w:r w:rsidR="001076CE" w:rsidRPr="00302DBE">
        <w:rPr>
          <w:rFonts w:asciiTheme="majorHAnsi" w:hAnsiTheme="majorHAnsi" w:cstheme="majorHAnsi"/>
          <w:szCs w:val="22"/>
        </w:rPr>
        <w:t xml:space="preserve"> the </w:t>
      </w:r>
      <w:r w:rsidR="00212DDD" w:rsidRPr="00302DBE">
        <w:rPr>
          <w:rFonts w:asciiTheme="majorHAnsi" w:hAnsiTheme="majorHAnsi" w:cstheme="majorHAnsi"/>
          <w:szCs w:val="22"/>
        </w:rPr>
        <w:t>QFCC</w:t>
      </w:r>
      <w:r w:rsidR="001076CE" w:rsidRPr="00302DBE">
        <w:rPr>
          <w:rFonts w:asciiTheme="majorHAnsi" w:hAnsiTheme="majorHAnsi" w:cstheme="majorHAnsi"/>
          <w:szCs w:val="22"/>
        </w:rPr>
        <w:t xml:space="preserve"> to promote the safety, wellbeing and best interests of children and young people</w:t>
      </w:r>
      <w:r w:rsidR="001076CE">
        <w:rPr>
          <w:rStyle w:val="FootnoteReference"/>
          <w:rFonts w:asciiTheme="majorHAnsi" w:hAnsiTheme="majorHAnsi" w:cstheme="majorHAnsi"/>
          <w:szCs w:val="22"/>
        </w:rPr>
        <w:footnoteReference w:id="1"/>
      </w:r>
      <w:r w:rsidR="001076CE" w:rsidRPr="00302DBE">
        <w:rPr>
          <w:rFonts w:asciiTheme="majorHAnsi" w:hAnsiTheme="majorHAnsi" w:cstheme="majorHAnsi"/>
          <w:szCs w:val="22"/>
        </w:rPr>
        <w:t xml:space="preserve"> </w:t>
      </w:r>
    </w:p>
    <w:p w14:paraId="659545E5" w14:textId="77777777" w:rsidR="001076CE" w:rsidRPr="00302DBE" w:rsidRDefault="000F14A3" w:rsidP="006C2F48">
      <w:pPr>
        <w:pStyle w:val="ListParagraph"/>
        <w:numPr>
          <w:ilvl w:val="0"/>
          <w:numId w:val="11"/>
        </w:numPr>
        <w:spacing w:after="120"/>
        <w:rPr>
          <w:rFonts w:asciiTheme="majorHAnsi" w:hAnsiTheme="majorHAnsi" w:cstheme="majorHAnsi"/>
          <w:szCs w:val="22"/>
        </w:rPr>
      </w:pPr>
      <w:r>
        <w:rPr>
          <w:rFonts w:asciiTheme="majorHAnsi" w:hAnsiTheme="majorHAnsi" w:cstheme="majorHAnsi"/>
          <w:szCs w:val="22"/>
        </w:rPr>
        <w:t xml:space="preserve">The </w:t>
      </w:r>
      <w:r w:rsidR="00CF1975">
        <w:rPr>
          <w:rFonts w:asciiTheme="majorHAnsi" w:hAnsiTheme="majorHAnsi" w:cstheme="majorHAnsi"/>
          <w:szCs w:val="22"/>
        </w:rPr>
        <w:t xml:space="preserve">Act provides the </w:t>
      </w:r>
      <w:r>
        <w:rPr>
          <w:rFonts w:asciiTheme="majorHAnsi" w:hAnsiTheme="majorHAnsi" w:cstheme="majorHAnsi"/>
          <w:szCs w:val="22"/>
        </w:rPr>
        <w:t>QFCC</w:t>
      </w:r>
      <w:r w:rsidR="00302DBE" w:rsidRPr="00302DBE">
        <w:rPr>
          <w:rFonts w:asciiTheme="majorHAnsi" w:hAnsiTheme="majorHAnsi" w:cstheme="majorHAnsi"/>
          <w:szCs w:val="22"/>
        </w:rPr>
        <w:t xml:space="preserve"> </w:t>
      </w:r>
      <w:r w:rsidR="00CF1975">
        <w:rPr>
          <w:rFonts w:asciiTheme="majorHAnsi" w:hAnsiTheme="majorHAnsi" w:cstheme="majorHAnsi"/>
          <w:szCs w:val="22"/>
        </w:rPr>
        <w:t>with</w:t>
      </w:r>
      <w:r w:rsidR="00302DBE" w:rsidRPr="00302DBE">
        <w:rPr>
          <w:rFonts w:asciiTheme="majorHAnsi" w:hAnsiTheme="majorHAnsi" w:cstheme="majorHAnsi"/>
          <w:szCs w:val="22"/>
        </w:rPr>
        <w:t xml:space="preserve"> </w:t>
      </w:r>
      <w:r w:rsidR="00CF1975">
        <w:rPr>
          <w:rFonts w:asciiTheme="majorHAnsi" w:hAnsiTheme="majorHAnsi" w:cstheme="majorHAnsi"/>
          <w:szCs w:val="22"/>
        </w:rPr>
        <w:t>the function of</w:t>
      </w:r>
      <w:r w:rsidR="00302DBE" w:rsidRPr="00302DBE">
        <w:rPr>
          <w:rFonts w:asciiTheme="majorHAnsi" w:hAnsiTheme="majorHAnsi" w:cstheme="majorHAnsi"/>
          <w:szCs w:val="22"/>
        </w:rPr>
        <w:t xml:space="preserve"> </w:t>
      </w:r>
      <w:r w:rsidR="001076CE" w:rsidRPr="00302DBE">
        <w:rPr>
          <w:rFonts w:asciiTheme="majorHAnsi" w:hAnsiTheme="majorHAnsi" w:cstheme="majorHAnsi"/>
          <w:szCs w:val="22"/>
        </w:rPr>
        <w:t>giving expert advice to relevant agencies about laws, policies, practices and services</w:t>
      </w:r>
      <w:r w:rsidR="001076CE">
        <w:rPr>
          <w:rStyle w:val="FootnoteReference"/>
          <w:rFonts w:asciiTheme="majorHAnsi" w:hAnsiTheme="majorHAnsi" w:cstheme="majorHAnsi"/>
          <w:szCs w:val="22"/>
        </w:rPr>
        <w:footnoteReference w:id="2"/>
      </w:r>
    </w:p>
    <w:p w14:paraId="2AA74E51" w14:textId="1FA16846" w:rsidR="00212DDD" w:rsidRPr="00302DBE" w:rsidRDefault="00212DDD" w:rsidP="00302DBE">
      <w:pPr>
        <w:pStyle w:val="ListParagraph"/>
        <w:numPr>
          <w:ilvl w:val="0"/>
          <w:numId w:val="11"/>
        </w:numPr>
        <w:spacing w:after="120"/>
        <w:rPr>
          <w:rFonts w:asciiTheme="majorHAnsi" w:hAnsiTheme="majorHAnsi" w:cstheme="majorHAnsi"/>
          <w:szCs w:val="22"/>
        </w:rPr>
      </w:pPr>
      <w:r w:rsidRPr="00302DBE">
        <w:rPr>
          <w:rFonts w:asciiTheme="majorHAnsi" w:hAnsiTheme="majorHAnsi" w:cstheme="majorHAnsi"/>
          <w:szCs w:val="22"/>
        </w:rPr>
        <w:t xml:space="preserve">In fulfilling </w:t>
      </w:r>
      <w:r w:rsidR="005D5CB6">
        <w:rPr>
          <w:rFonts w:asciiTheme="majorHAnsi" w:hAnsiTheme="majorHAnsi" w:cstheme="majorHAnsi"/>
          <w:szCs w:val="22"/>
        </w:rPr>
        <w:t>its</w:t>
      </w:r>
      <w:r w:rsidRPr="00302DBE">
        <w:rPr>
          <w:rFonts w:asciiTheme="majorHAnsi" w:hAnsiTheme="majorHAnsi" w:cstheme="majorHAnsi"/>
          <w:szCs w:val="22"/>
        </w:rPr>
        <w:t xml:space="preserve"> mandate, the QFCC</w:t>
      </w:r>
      <w:r w:rsidR="00302DBE" w:rsidRPr="00302DBE">
        <w:rPr>
          <w:rFonts w:asciiTheme="majorHAnsi" w:hAnsiTheme="majorHAnsi" w:cstheme="majorHAnsi"/>
          <w:szCs w:val="22"/>
        </w:rPr>
        <w:t xml:space="preserve"> is required to </w:t>
      </w:r>
      <w:r w:rsidR="00302DBE">
        <w:rPr>
          <w:rFonts w:asciiTheme="majorHAnsi" w:hAnsiTheme="majorHAnsi" w:cstheme="majorHAnsi"/>
          <w:szCs w:val="22"/>
        </w:rPr>
        <w:t>engage</w:t>
      </w:r>
      <w:r w:rsidRPr="00302DBE">
        <w:rPr>
          <w:rFonts w:asciiTheme="majorHAnsi" w:hAnsiTheme="majorHAnsi" w:cstheme="majorHAnsi"/>
          <w:szCs w:val="22"/>
        </w:rPr>
        <w:t xml:space="preserve"> with children and young people, and their families</w:t>
      </w:r>
      <w:r w:rsidR="00302DBE">
        <w:rPr>
          <w:rFonts w:asciiTheme="majorHAnsi" w:hAnsiTheme="majorHAnsi" w:cstheme="majorHAnsi"/>
          <w:szCs w:val="22"/>
        </w:rPr>
        <w:t xml:space="preserve"> and </w:t>
      </w:r>
      <w:r w:rsidR="000F14A3">
        <w:rPr>
          <w:rFonts w:asciiTheme="majorHAnsi" w:hAnsiTheme="majorHAnsi" w:cstheme="majorHAnsi"/>
          <w:szCs w:val="22"/>
        </w:rPr>
        <w:t>consult</w:t>
      </w:r>
      <w:r w:rsidRPr="00302DBE">
        <w:rPr>
          <w:rFonts w:asciiTheme="majorHAnsi" w:hAnsiTheme="majorHAnsi" w:cstheme="majorHAnsi"/>
          <w:szCs w:val="22"/>
        </w:rPr>
        <w:t xml:space="preserve"> </w:t>
      </w:r>
      <w:r w:rsidR="000F14A3">
        <w:rPr>
          <w:rFonts w:asciiTheme="majorHAnsi" w:hAnsiTheme="majorHAnsi" w:cstheme="majorHAnsi"/>
          <w:szCs w:val="22"/>
        </w:rPr>
        <w:t>and work</w:t>
      </w:r>
      <w:r w:rsidRPr="00302DBE">
        <w:rPr>
          <w:rFonts w:asciiTheme="majorHAnsi" w:hAnsiTheme="majorHAnsi" w:cstheme="majorHAnsi"/>
          <w:szCs w:val="22"/>
        </w:rPr>
        <w:t xml:space="preserve"> cooperatively with relevant agencies and advocacy entities.</w:t>
      </w:r>
      <w:r>
        <w:rPr>
          <w:rStyle w:val="FootnoteReference"/>
          <w:rFonts w:asciiTheme="majorHAnsi" w:hAnsiTheme="majorHAnsi" w:cstheme="majorHAnsi"/>
          <w:szCs w:val="22"/>
        </w:rPr>
        <w:footnoteReference w:id="3"/>
      </w:r>
    </w:p>
    <w:p w14:paraId="6F743105" w14:textId="77777777" w:rsidR="00AF419B" w:rsidRDefault="00AF419B" w:rsidP="00AF419B">
      <w:pPr>
        <w:spacing w:after="120"/>
        <w:rPr>
          <w:rFonts w:asciiTheme="majorHAnsi" w:hAnsiTheme="majorHAnsi" w:cstheme="majorHAnsi"/>
          <w:szCs w:val="22"/>
        </w:rPr>
      </w:pPr>
      <w:r>
        <w:rPr>
          <w:rFonts w:asciiTheme="majorHAnsi" w:hAnsiTheme="majorHAnsi" w:cstheme="majorHAnsi"/>
          <w:szCs w:val="22"/>
        </w:rPr>
        <w:t xml:space="preserve">The QFCC’s role includes the promotion, protection and continued respect of the child’s rights prescribed under the United Nations </w:t>
      </w:r>
      <w:r w:rsidRPr="00AF419B">
        <w:rPr>
          <w:rFonts w:asciiTheme="majorHAnsi" w:hAnsiTheme="majorHAnsi" w:cstheme="majorHAnsi"/>
          <w:i/>
          <w:szCs w:val="22"/>
        </w:rPr>
        <w:t>Convention on the Rights of the Child</w:t>
      </w:r>
      <w:r>
        <w:rPr>
          <w:rFonts w:asciiTheme="majorHAnsi" w:hAnsiTheme="majorHAnsi" w:cstheme="majorHAnsi"/>
          <w:szCs w:val="22"/>
        </w:rPr>
        <w:t xml:space="preserve"> (UNCRC), to which Australia is a signatory. UNCRC provides that every child has the right to the best possible health, and that governments must provide good quality health care so that children stay healthy</w:t>
      </w:r>
      <w:r w:rsidRPr="002F298E">
        <w:rPr>
          <w:rFonts w:asciiTheme="majorHAnsi" w:hAnsiTheme="majorHAnsi" w:cstheme="majorHAnsi"/>
          <w:szCs w:val="22"/>
        </w:rPr>
        <w:t>.</w:t>
      </w:r>
      <w:r>
        <w:rPr>
          <w:rStyle w:val="FootnoteReference"/>
          <w:rFonts w:asciiTheme="majorHAnsi" w:hAnsiTheme="majorHAnsi" w:cstheme="majorHAnsi"/>
          <w:szCs w:val="22"/>
        </w:rPr>
        <w:footnoteReference w:id="4"/>
      </w:r>
    </w:p>
    <w:p w14:paraId="5789847A" w14:textId="718BC6EE" w:rsidR="00800690" w:rsidRDefault="00CF1975" w:rsidP="00AF419B">
      <w:pPr>
        <w:spacing w:after="120"/>
        <w:rPr>
          <w:rFonts w:asciiTheme="majorHAnsi" w:hAnsiTheme="majorHAnsi" w:cstheme="majorHAnsi"/>
          <w:szCs w:val="22"/>
        </w:rPr>
      </w:pPr>
      <w:r>
        <w:rPr>
          <w:rFonts w:asciiTheme="majorHAnsi" w:hAnsiTheme="majorHAnsi" w:cstheme="majorHAnsi"/>
          <w:szCs w:val="22"/>
        </w:rPr>
        <w:t xml:space="preserve">Given its mandate and expertise with respect to children and young people, the QFCC has targeted its responses to specific questions </w:t>
      </w:r>
      <w:r w:rsidR="005D5CB6">
        <w:rPr>
          <w:rFonts w:asciiTheme="majorHAnsi" w:hAnsiTheme="majorHAnsi" w:cstheme="majorHAnsi"/>
          <w:szCs w:val="22"/>
        </w:rPr>
        <w:t>raised by the Productivity Commission that pertain</w:t>
      </w:r>
      <w:r>
        <w:rPr>
          <w:rFonts w:asciiTheme="majorHAnsi" w:hAnsiTheme="majorHAnsi" w:cstheme="majorHAnsi"/>
          <w:szCs w:val="22"/>
        </w:rPr>
        <w:t xml:space="preserve"> to children and young people</w:t>
      </w:r>
      <w:r w:rsidR="00800690">
        <w:rPr>
          <w:rFonts w:asciiTheme="majorHAnsi" w:hAnsiTheme="majorHAnsi" w:cstheme="majorHAnsi"/>
          <w:szCs w:val="22"/>
        </w:rPr>
        <w:t xml:space="preserve">. </w:t>
      </w:r>
    </w:p>
    <w:p w14:paraId="1A5B9D29" w14:textId="47A8FBBF" w:rsidR="00573CCA" w:rsidRDefault="00573CCA" w:rsidP="00AF419B">
      <w:pPr>
        <w:spacing w:after="120"/>
        <w:rPr>
          <w:rFonts w:asciiTheme="majorHAnsi" w:hAnsiTheme="majorHAnsi" w:cstheme="majorHAnsi"/>
          <w:szCs w:val="22"/>
        </w:rPr>
      </w:pPr>
    </w:p>
    <w:p w14:paraId="69833CFA" w14:textId="77777777" w:rsidR="00573CCA" w:rsidRPr="004D5C06" w:rsidRDefault="00573CCA" w:rsidP="00573CCA">
      <w:pPr>
        <w:rPr>
          <w:rFonts w:asciiTheme="majorHAnsi" w:hAnsiTheme="majorHAnsi" w:cstheme="majorHAnsi"/>
          <w:b/>
          <w:szCs w:val="22"/>
        </w:rPr>
      </w:pPr>
      <w:r w:rsidRPr="004D5C06">
        <w:rPr>
          <w:rFonts w:asciiTheme="majorHAnsi" w:hAnsiTheme="majorHAnsi" w:cstheme="majorHAnsi"/>
          <w:b/>
          <w:szCs w:val="22"/>
        </w:rPr>
        <w:t>Queensland Family and Child Commission</w:t>
      </w:r>
    </w:p>
    <w:p w14:paraId="6AC721D4" w14:textId="77777777" w:rsidR="00573CCA" w:rsidRPr="004D5C06" w:rsidRDefault="00573CCA" w:rsidP="00573CCA">
      <w:pPr>
        <w:rPr>
          <w:rFonts w:asciiTheme="majorHAnsi" w:hAnsiTheme="majorHAnsi" w:cstheme="majorHAnsi"/>
          <w:szCs w:val="22"/>
        </w:rPr>
      </w:pPr>
      <w:r w:rsidRPr="004D5C06">
        <w:rPr>
          <w:rFonts w:asciiTheme="majorHAnsi" w:hAnsiTheme="majorHAnsi" w:cstheme="majorHAnsi"/>
          <w:szCs w:val="22"/>
        </w:rPr>
        <w:t xml:space="preserve">PO Box 15217 </w:t>
      </w:r>
      <w:r w:rsidRPr="004D5C06">
        <w:rPr>
          <w:rFonts w:asciiTheme="majorHAnsi" w:hAnsiTheme="majorHAnsi" w:cstheme="majorHAnsi"/>
          <w:szCs w:val="22"/>
        </w:rPr>
        <w:br/>
        <w:t>Brisbane City East QLD 4002</w:t>
      </w:r>
    </w:p>
    <w:p w14:paraId="7469A824" w14:textId="77777777" w:rsidR="00573CCA" w:rsidRPr="004D5C06" w:rsidRDefault="00573CCA" w:rsidP="00573CCA">
      <w:pPr>
        <w:rPr>
          <w:rFonts w:asciiTheme="majorHAnsi" w:hAnsiTheme="majorHAnsi" w:cstheme="majorHAnsi"/>
          <w:szCs w:val="22"/>
        </w:rPr>
      </w:pPr>
      <w:r w:rsidRPr="004D5C06">
        <w:rPr>
          <w:rFonts w:asciiTheme="majorHAnsi" w:hAnsiTheme="majorHAnsi" w:cstheme="majorHAnsi"/>
          <w:szCs w:val="22"/>
        </w:rPr>
        <w:t xml:space="preserve">Web: </w:t>
      </w:r>
      <w:hyperlink r:id="rId14" w:history="1">
        <w:r w:rsidRPr="004D5C06">
          <w:rPr>
            <w:rStyle w:val="Hyperlink"/>
            <w:rFonts w:asciiTheme="majorHAnsi" w:hAnsiTheme="majorHAnsi" w:cstheme="majorHAnsi"/>
            <w:szCs w:val="22"/>
          </w:rPr>
          <w:t>http://www.qfcc.qld.gov.au/</w:t>
        </w:r>
      </w:hyperlink>
      <w:r w:rsidRPr="004D5C06">
        <w:rPr>
          <w:rFonts w:asciiTheme="majorHAnsi" w:hAnsiTheme="majorHAnsi" w:cstheme="majorHAnsi"/>
          <w:szCs w:val="22"/>
        </w:rPr>
        <w:t xml:space="preserve"> </w:t>
      </w:r>
    </w:p>
    <w:p w14:paraId="14645D19" w14:textId="77777777" w:rsidR="00573CCA" w:rsidRPr="004D5C06" w:rsidRDefault="00573CCA" w:rsidP="00573CCA">
      <w:pPr>
        <w:rPr>
          <w:rFonts w:asciiTheme="majorHAnsi" w:hAnsiTheme="majorHAnsi" w:cstheme="majorHAnsi"/>
          <w:szCs w:val="22"/>
        </w:rPr>
      </w:pPr>
      <w:r w:rsidRPr="004D5C06">
        <w:rPr>
          <w:rFonts w:asciiTheme="majorHAnsi" w:hAnsiTheme="majorHAnsi" w:cstheme="majorHAnsi"/>
          <w:szCs w:val="22"/>
        </w:rPr>
        <w:t xml:space="preserve">Email: </w:t>
      </w:r>
      <w:hyperlink r:id="rId15" w:history="1">
        <w:r w:rsidRPr="004D5C06">
          <w:rPr>
            <w:rStyle w:val="Hyperlink"/>
            <w:rFonts w:asciiTheme="majorHAnsi" w:hAnsiTheme="majorHAnsi" w:cstheme="majorHAnsi"/>
            <w:szCs w:val="22"/>
          </w:rPr>
          <w:t>info@QFCC.qld.gov.au</w:t>
        </w:r>
      </w:hyperlink>
    </w:p>
    <w:p w14:paraId="695450D6" w14:textId="77777777" w:rsidR="00573CCA" w:rsidRPr="004D5C06" w:rsidRDefault="00573CCA" w:rsidP="00573CCA">
      <w:pPr>
        <w:rPr>
          <w:rFonts w:asciiTheme="majorHAnsi" w:hAnsiTheme="majorHAnsi" w:cstheme="majorHAnsi"/>
          <w:szCs w:val="22"/>
        </w:rPr>
      </w:pPr>
      <w:r w:rsidRPr="004D5C06">
        <w:rPr>
          <w:rFonts w:asciiTheme="majorHAnsi" w:hAnsiTheme="majorHAnsi" w:cstheme="majorHAnsi"/>
          <w:szCs w:val="22"/>
        </w:rPr>
        <w:t>Phone: (07) 3900 6000</w:t>
      </w:r>
    </w:p>
    <w:p w14:paraId="62AE09E4" w14:textId="77777777" w:rsidR="00573CCA" w:rsidRPr="004D5C06" w:rsidRDefault="00573CCA" w:rsidP="00573CCA">
      <w:pPr>
        <w:rPr>
          <w:rFonts w:asciiTheme="majorHAnsi" w:hAnsiTheme="majorHAnsi" w:cstheme="majorHAnsi"/>
          <w:b/>
          <w:szCs w:val="22"/>
        </w:rPr>
      </w:pPr>
    </w:p>
    <w:p w14:paraId="49BE5C19" w14:textId="77777777" w:rsidR="00573CCA" w:rsidRPr="004D5C06" w:rsidRDefault="00573CCA" w:rsidP="00573CCA">
      <w:pPr>
        <w:rPr>
          <w:rFonts w:asciiTheme="majorHAnsi" w:hAnsiTheme="majorHAnsi" w:cstheme="majorHAnsi"/>
          <w:b/>
          <w:szCs w:val="22"/>
        </w:rPr>
      </w:pPr>
    </w:p>
    <w:p w14:paraId="26E016FB" w14:textId="77777777" w:rsidR="00573CCA" w:rsidRPr="004D5C06" w:rsidRDefault="00573CCA" w:rsidP="00573CCA">
      <w:pPr>
        <w:rPr>
          <w:rFonts w:asciiTheme="majorHAnsi" w:hAnsiTheme="majorHAnsi" w:cstheme="majorHAnsi"/>
          <w:b/>
          <w:szCs w:val="22"/>
        </w:rPr>
      </w:pPr>
    </w:p>
    <w:p w14:paraId="7DDE643C" w14:textId="77777777" w:rsidR="00573CCA" w:rsidRPr="004D5C06" w:rsidRDefault="00573CCA" w:rsidP="00573CCA">
      <w:pPr>
        <w:rPr>
          <w:rFonts w:asciiTheme="majorHAnsi" w:hAnsiTheme="majorHAnsi" w:cstheme="majorHAnsi"/>
          <w:b/>
          <w:szCs w:val="22"/>
        </w:rPr>
      </w:pPr>
      <w:r w:rsidRPr="004D5C06">
        <w:rPr>
          <w:rFonts w:asciiTheme="majorHAnsi" w:hAnsiTheme="majorHAnsi" w:cstheme="majorHAnsi"/>
          <w:b/>
          <w:szCs w:val="22"/>
        </w:rPr>
        <w:t>Submission contact:</w:t>
      </w:r>
    </w:p>
    <w:p w14:paraId="57B855D2" w14:textId="77777777" w:rsidR="00573CCA" w:rsidRDefault="00573CCA" w:rsidP="00573CCA">
      <w:pPr>
        <w:rPr>
          <w:rFonts w:asciiTheme="majorHAnsi" w:hAnsiTheme="majorHAnsi" w:cstheme="majorHAnsi"/>
          <w:szCs w:val="22"/>
        </w:rPr>
      </w:pPr>
      <w:r>
        <w:rPr>
          <w:rFonts w:asciiTheme="majorHAnsi" w:hAnsiTheme="majorHAnsi" w:cstheme="majorHAnsi"/>
          <w:szCs w:val="22"/>
        </w:rPr>
        <w:t>Principal Advisor, Policy and Advocacy Leadership</w:t>
      </w:r>
    </w:p>
    <w:p w14:paraId="55C1353A" w14:textId="77777777" w:rsidR="00573CCA" w:rsidRPr="004D5C06" w:rsidRDefault="00573CCA" w:rsidP="00573CCA">
      <w:pPr>
        <w:rPr>
          <w:rFonts w:asciiTheme="majorHAnsi" w:hAnsiTheme="majorHAnsi" w:cstheme="majorHAnsi"/>
          <w:szCs w:val="22"/>
        </w:rPr>
      </w:pPr>
      <w:r w:rsidRPr="004D5C06">
        <w:rPr>
          <w:rFonts w:asciiTheme="majorHAnsi" w:hAnsiTheme="majorHAnsi" w:cstheme="majorHAnsi"/>
          <w:szCs w:val="22"/>
        </w:rPr>
        <w:t xml:space="preserve">Email: </w:t>
      </w:r>
      <w:r>
        <w:rPr>
          <w:rFonts w:asciiTheme="majorHAnsi" w:hAnsiTheme="majorHAnsi" w:cstheme="majorHAnsi"/>
          <w:szCs w:val="22"/>
        </w:rPr>
        <w:t>policy@qfcc.qld.gov.au</w:t>
      </w:r>
    </w:p>
    <w:p w14:paraId="7023C709" w14:textId="77777777" w:rsidR="00573CCA" w:rsidRPr="004D5C06" w:rsidRDefault="00573CCA" w:rsidP="00573CCA">
      <w:pPr>
        <w:rPr>
          <w:rFonts w:asciiTheme="majorHAnsi" w:hAnsiTheme="majorHAnsi" w:cstheme="majorHAnsi"/>
          <w:szCs w:val="22"/>
        </w:rPr>
      </w:pPr>
      <w:r w:rsidRPr="004D5C06">
        <w:rPr>
          <w:rFonts w:asciiTheme="majorHAnsi" w:hAnsiTheme="majorHAnsi" w:cstheme="majorHAnsi"/>
          <w:szCs w:val="22"/>
        </w:rPr>
        <w:t xml:space="preserve">Phone: </w:t>
      </w:r>
      <w:r>
        <w:rPr>
          <w:rFonts w:asciiTheme="majorHAnsi" w:hAnsiTheme="majorHAnsi" w:cstheme="majorHAnsi"/>
          <w:szCs w:val="22"/>
        </w:rPr>
        <w:t>07 3900 6000</w:t>
      </w:r>
    </w:p>
    <w:p w14:paraId="38CE9DA9" w14:textId="77777777" w:rsidR="00573CCA" w:rsidRPr="002F298E" w:rsidRDefault="00573CCA" w:rsidP="00AF419B">
      <w:pPr>
        <w:spacing w:after="120"/>
        <w:rPr>
          <w:rFonts w:asciiTheme="majorHAnsi" w:hAnsiTheme="majorHAnsi" w:cstheme="majorHAnsi"/>
          <w:szCs w:val="22"/>
        </w:rPr>
      </w:pPr>
    </w:p>
    <w:p w14:paraId="284099EF" w14:textId="77777777" w:rsidR="006942F7" w:rsidRDefault="006942F7">
      <w:pPr>
        <w:spacing w:after="160" w:line="259" w:lineRule="auto"/>
        <w:rPr>
          <w:rFonts w:asciiTheme="majorHAnsi" w:hAnsiTheme="majorHAnsi" w:cstheme="majorHAnsi"/>
          <w:b/>
          <w:sz w:val="28"/>
          <w:szCs w:val="28"/>
        </w:rPr>
      </w:pPr>
      <w:r>
        <w:rPr>
          <w:rFonts w:asciiTheme="majorHAnsi" w:hAnsiTheme="majorHAnsi" w:cstheme="majorHAnsi"/>
          <w:b/>
          <w:sz w:val="28"/>
          <w:szCs w:val="28"/>
        </w:rPr>
        <w:br w:type="page"/>
      </w:r>
    </w:p>
    <w:p w14:paraId="5253AF22" w14:textId="1DD15501" w:rsidR="00642385" w:rsidRPr="00046800" w:rsidRDefault="004A62B7" w:rsidP="006C566A">
      <w:pPr>
        <w:spacing w:after="120"/>
        <w:rPr>
          <w:rFonts w:asciiTheme="majorHAnsi" w:hAnsiTheme="majorHAnsi" w:cstheme="majorHAnsi"/>
          <w:b/>
          <w:sz w:val="28"/>
          <w:szCs w:val="28"/>
        </w:rPr>
      </w:pPr>
      <w:r w:rsidRPr="004D5C06">
        <w:rPr>
          <w:rFonts w:asciiTheme="majorHAnsi" w:hAnsiTheme="majorHAnsi" w:cstheme="majorHAnsi"/>
          <w:noProof/>
          <w:szCs w:val="22"/>
          <w:lang w:eastAsia="en-AU"/>
        </w:rPr>
        <w:lastRenderedPageBreak/>
        <mc:AlternateContent>
          <mc:Choice Requires="wps">
            <w:drawing>
              <wp:anchor distT="45720" distB="45720" distL="114300" distR="114300" simplePos="0" relativeHeight="251661312" behindDoc="0" locked="0" layoutInCell="1" allowOverlap="1" wp14:anchorId="2DE1B6AD" wp14:editId="02B6DB5D">
                <wp:simplePos x="0" y="0"/>
                <wp:positionH relativeFrom="margin">
                  <wp:align>right</wp:align>
                </wp:positionH>
                <wp:positionV relativeFrom="paragraph">
                  <wp:posOffset>334010</wp:posOffset>
                </wp:positionV>
                <wp:extent cx="5695950" cy="1193165"/>
                <wp:effectExtent l="0" t="0" r="19050" b="2603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193165"/>
                        </a:xfrm>
                        <a:prstGeom prst="rect">
                          <a:avLst/>
                        </a:prstGeom>
                        <a:solidFill>
                          <a:schemeClr val="bg1">
                            <a:lumMod val="95000"/>
                          </a:schemeClr>
                        </a:solidFill>
                        <a:ln w="9525">
                          <a:solidFill>
                            <a:srgbClr val="000000"/>
                          </a:solidFill>
                          <a:miter lim="800000"/>
                          <a:headEnd/>
                          <a:tailEnd/>
                        </a:ln>
                      </wps:spPr>
                      <wps:txbx>
                        <w:txbxContent>
                          <w:p w14:paraId="4FD6DFAA" w14:textId="77777777" w:rsidR="004A62B7" w:rsidRDefault="004A62B7" w:rsidP="004A62B7">
                            <w:pPr>
                              <w:rPr>
                                <w:rFonts w:ascii="Arial" w:hAnsi="Arial" w:cs="Arial"/>
                                <w:b/>
                                <w:szCs w:val="22"/>
                              </w:rPr>
                            </w:pPr>
                          </w:p>
                          <w:p w14:paraId="014F6669" w14:textId="77777777" w:rsidR="004A62B7" w:rsidRPr="00EB575C" w:rsidRDefault="004A62B7" w:rsidP="004A62B7">
                            <w:pPr>
                              <w:rPr>
                                <w:rFonts w:asciiTheme="majorHAnsi" w:hAnsiTheme="majorHAnsi" w:cstheme="majorHAnsi"/>
                                <w:b/>
                                <w:szCs w:val="22"/>
                              </w:rPr>
                            </w:pPr>
                            <w:r w:rsidRPr="00EB575C">
                              <w:rPr>
                                <w:rFonts w:asciiTheme="majorHAnsi" w:hAnsiTheme="majorHAnsi" w:cstheme="majorHAnsi"/>
                                <w:b/>
                                <w:szCs w:val="22"/>
                              </w:rPr>
                              <w:t xml:space="preserve">Recommendation </w:t>
                            </w:r>
                          </w:p>
                          <w:p w14:paraId="5E1881F7" w14:textId="77777777" w:rsidR="004A62B7" w:rsidRPr="005D0246" w:rsidRDefault="004A62B7" w:rsidP="004A62B7">
                            <w:pPr>
                              <w:rPr>
                                <w:rFonts w:ascii="Arial" w:hAnsi="Arial" w:cs="Arial"/>
                                <w:szCs w:val="22"/>
                              </w:rPr>
                            </w:pPr>
                          </w:p>
                          <w:p w14:paraId="6D3EC6EE" w14:textId="77777777" w:rsidR="004A62B7" w:rsidRDefault="004A62B7" w:rsidP="004A62B7">
                            <w:pPr>
                              <w:rPr>
                                <w:rFonts w:asciiTheme="majorHAnsi" w:hAnsiTheme="majorHAnsi" w:cstheme="majorHAnsi"/>
                                <w:szCs w:val="22"/>
                              </w:rPr>
                            </w:pPr>
                            <w:r>
                              <w:rPr>
                                <w:rFonts w:asciiTheme="majorHAnsi" w:hAnsiTheme="majorHAnsi" w:cstheme="majorHAnsi"/>
                                <w:szCs w:val="22"/>
                              </w:rPr>
                              <w:t>The QFCC recommends:</w:t>
                            </w:r>
                          </w:p>
                          <w:p w14:paraId="0DDADFAF" w14:textId="3C0A23A7" w:rsidR="004A62B7" w:rsidRPr="004A62B7" w:rsidRDefault="004A62B7" w:rsidP="004A62B7">
                            <w:pPr>
                              <w:pStyle w:val="ListParagraph"/>
                              <w:numPr>
                                <w:ilvl w:val="0"/>
                                <w:numId w:val="16"/>
                              </w:numPr>
                              <w:rPr>
                                <w:rFonts w:asciiTheme="majorHAnsi" w:hAnsiTheme="majorHAnsi" w:cstheme="majorHAnsi"/>
                                <w:szCs w:val="22"/>
                              </w:rPr>
                            </w:pPr>
                            <w:r>
                              <w:rPr>
                                <w:rFonts w:asciiTheme="majorHAnsi" w:hAnsiTheme="majorHAnsi" w:cstheme="majorHAnsi"/>
                                <w:szCs w:val="22"/>
                              </w:rPr>
                              <w:t>the Productivity Commission engage children and young people in forming recommendations specific to children and young people</w:t>
                            </w:r>
                            <w:r w:rsidRPr="004A62B7">
                              <w:rPr>
                                <w:rFonts w:asciiTheme="majorHAnsi" w:hAnsiTheme="majorHAnsi" w:cstheme="majorHAnsi"/>
                                <w:szCs w:val="22"/>
                              </w:rPr>
                              <w:t xml:space="preserve">. </w:t>
                            </w:r>
                          </w:p>
                          <w:p w14:paraId="20C3EB2F" w14:textId="77777777" w:rsidR="004A62B7" w:rsidRDefault="004A62B7" w:rsidP="004A62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DE1B6AD" id="_x0000_t202" coordsize="21600,21600" o:spt="202" path="m,l,21600r21600,l21600,xe">
                <v:stroke joinstyle="miter"/>
                <v:path gradientshapeok="t" o:connecttype="rect"/>
              </v:shapetype>
              <v:shape id="Text Box 2" o:spid="_x0000_s1026" type="#_x0000_t202" style="position:absolute;margin-left:397.3pt;margin-top:26.3pt;width:448.5pt;height:93.9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" fillcolor="#f2f2f2 [3052]">
                <v:textbox>
                  <w:txbxContent>
                    <w:p w14:paraId="4FD6DFAA" w14:textId="77777777" w:rsidR="004A62B7" w:rsidRDefault="004A62B7" w:rsidP="004A62B7">
                      <w:pPr>
                        <w:rPr>
                          <w:rFonts w:ascii="Arial" w:hAnsi="Arial" w:cs="Arial"/>
                          <w:b/>
                          <w:szCs w:val="22"/>
                        </w:rPr>
                      </w:pPr>
                    </w:p>
                    <w:p w14:paraId="014F6669" w14:textId="77777777" w:rsidR="004A62B7" w:rsidRPr="00EB575C" w:rsidRDefault="004A62B7" w:rsidP="004A62B7">
                      <w:pPr>
                        <w:rPr>
                          <w:rFonts w:asciiTheme="majorHAnsi" w:hAnsiTheme="majorHAnsi" w:cstheme="majorHAnsi"/>
                          <w:b/>
                          <w:szCs w:val="22"/>
                        </w:rPr>
                      </w:pPr>
                      <w:r w:rsidRPr="00EB575C">
                        <w:rPr>
                          <w:rFonts w:asciiTheme="majorHAnsi" w:hAnsiTheme="majorHAnsi" w:cstheme="majorHAnsi"/>
                          <w:b/>
                          <w:szCs w:val="22"/>
                        </w:rPr>
                        <w:t xml:space="preserve">Recommendation </w:t>
                      </w:r>
                    </w:p>
                    <w:p w14:paraId="5E1881F7" w14:textId="77777777" w:rsidR="004A62B7" w:rsidRPr="005D0246" w:rsidRDefault="004A62B7" w:rsidP="004A62B7">
                      <w:pPr>
                        <w:rPr>
                          <w:rFonts w:ascii="Arial" w:hAnsi="Arial" w:cs="Arial"/>
                          <w:szCs w:val="22"/>
                        </w:rPr>
                      </w:pPr>
                    </w:p>
                    <w:p w14:paraId="6D3EC6EE" w14:textId="77777777" w:rsidR="004A62B7" w:rsidRDefault="004A62B7" w:rsidP="004A62B7">
                      <w:pPr>
                        <w:rPr>
                          <w:rFonts w:asciiTheme="majorHAnsi" w:hAnsiTheme="majorHAnsi" w:cstheme="majorHAnsi"/>
                          <w:szCs w:val="22"/>
                        </w:rPr>
                      </w:pPr>
                      <w:r>
                        <w:rPr>
                          <w:rFonts w:asciiTheme="majorHAnsi" w:hAnsiTheme="majorHAnsi" w:cstheme="majorHAnsi"/>
                          <w:szCs w:val="22"/>
                        </w:rPr>
                        <w:t>The QFCC recommends:</w:t>
                      </w:r>
                    </w:p>
                    <w:p w14:paraId="0DDADFAF" w14:textId="3C0A23A7" w:rsidR="004A62B7" w:rsidRPr="004A62B7" w:rsidRDefault="004A62B7" w:rsidP="004A62B7">
                      <w:pPr>
                        <w:pStyle w:val="ListParagraph"/>
                        <w:numPr>
                          <w:ilvl w:val="0"/>
                          <w:numId w:val="16"/>
                        </w:numPr>
                        <w:rPr>
                          <w:rFonts w:asciiTheme="majorHAnsi" w:hAnsiTheme="majorHAnsi" w:cstheme="majorHAnsi"/>
                          <w:szCs w:val="22"/>
                        </w:rPr>
                      </w:pPr>
                      <w:r>
                        <w:rPr>
                          <w:rFonts w:asciiTheme="majorHAnsi" w:hAnsiTheme="majorHAnsi" w:cstheme="majorHAnsi"/>
                          <w:szCs w:val="22"/>
                        </w:rPr>
                        <w:t>the Productivity Commission engage children and young people in forming recommendations specific to children and young people</w:t>
                      </w:r>
                      <w:r w:rsidRPr="004A62B7">
                        <w:rPr>
                          <w:rFonts w:asciiTheme="majorHAnsi" w:hAnsiTheme="majorHAnsi" w:cstheme="majorHAnsi"/>
                          <w:szCs w:val="22"/>
                        </w:rPr>
                        <w:t xml:space="preserve">. </w:t>
                      </w:r>
                    </w:p>
                    <w:p w14:paraId="20C3EB2F" w14:textId="77777777" w:rsidR="004A62B7" w:rsidRDefault="004A62B7" w:rsidP="004A62B7"/>
                  </w:txbxContent>
                </v:textbox>
                <w10:wrap type="square" anchorx="margin"/>
              </v:shape>
            </w:pict>
          </mc:Fallback>
        </mc:AlternateContent>
      </w:r>
      <w:r w:rsidR="00B55BA3">
        <w:rPr>
          <w:rFonts w:asciiTheme="majorHAnsi" w:hAnsiTheme="majorHAnsi" w:cstheme="majorHAnsi"/>
          <w:b/>
          <w:sz w:val="28"/>
          <w:szCs w:val="28"/>
        </w:rPr>
        <w:t xml:space="preserve">The </w:t>
      </w:r>
      <w:r w:rsidR="007D5782">
        <w:rPr>
          <w:rFonts w:asciiTheme="majorHAnsi" w:hAnsiTheme="majorHAnsi" w:cstheme="majorHAnsi"/>
          <w:b/>
          <w:sz w:val="28"/>
          <w:szCs w:val="28"/>
        </w:rPr>
        <w:t>mental health of</w:t>
      </w:r>
      <w:r w:rsidR="00B55BA3">
        <w:rPr>
          <w:rFonts w:asciiTheme="majorHAnsi" w:hAnsiTheme="majorHAnsi" w:cstheme="majorHAnsi"/>
          <w:b/>
          <w:sz w:val="28"/>
          <w:szCs w:val="28"/>
        </w:rPr>
        <w:t xml:space="preserve"> Queensland’s </w:t>
      </w:r>
      <w:r w:rsidR="007D5782">
        <w:rPr>
          <w:rFonts w:asciiTheme="majorHAnsi" w:hAnsiTheme="majorHAnsi" w:cstheme="majorHAnsi"/>
          <w:b/>
          <w:sz w:val="28"/>
          <w:szCs w:val="28"/>
        </w:rPr>
        <w:t>children and young people</w:t>
      </w:r>
    </w:p>
    <w:p w14:paraId="6F729778" w14:textId="64465437" w:rsidR="00911804" w:rsidRDefault="007201CB" w:rsidP="00C4401C">
      <w:pPr>
        <w:spacing w:after="160" w:line="259" w:lineRule="auto"/>
        <w:rPr>
          <w:rFonts w:asciiTheme="majorHAnsi" w:hAnsiTheme="majorHAnsi" w:cstheme="majorHAnsi"/>
          <w:szCs w:val="22"/>
        </w:rPr>
      </w:pPr>
      <w:r w:rsidRPr="00C4401C">
        <w:rPr>
          <w:rFonts w:asciiTheme="majorHAnsi" w:hAnsiTheme="majorHAnsi" w:cstheme="majorHAnsi"/>
          <w:szCs w:val="22"/>
        </w:rPr>
        <w:t xml:space="preserve">The Australian Bureau of Statistics reports that </w:t>
      </w:r>
      <w:r w:rsidR="00E42BFE">
        <w:rPr>
          <w:rFonts w:asciiTheme="majorHAnsi" w:hAnsiTheme="majorHAnsi" w:cstheme="majorHAnsi"/>
          <w:szCs w:val="22"/>
        </w:rPr>
        <w:t xml:space="preserve">or 223,100 or </w:t>
      </w:r>
      <w:r w:rsidRPr="00C4401C">
        <w:rPr>
          <w:rFonts w:asciiTheme="majorHAnsi" w:hAnsiTheme="majorHAnsi" w:cstheme="majorHAnsi"/>
          <w:szCs w:val="22"/>
        </w:rPr>
        <w:t xml:space="preserve">14.4 per cent </w:t>
      </w:r>
      <w:r w:rsidR="00E42BFE">
        <w:rPr>
          <w:rFonts w:asciiTheme="majorHAnsi" w:hAnsiTheme="majorHAnsi" w:cstheme="majorHAnsi"/>
          <w:szCs w:val="22"/>
        </w:rPr>
        <w:t>of Queenslanders aged 0</w:t>
      </w:r>
      <w:r w:rsidR="00E42BFE">
        <w:rPr>
          <w:rFonts w:asciiTheme="majorHAnsi" w:hAnsiTheme="majorHAnsi" w:cstheme="majorHAnsi"/>
          <w:szCs w:val="22"/>
        </w:rPr>
        <w:noBreakHyphen/>
      </w:r>
      <w:r w:rsidRPr="00C4401C">
        <w:rPr>
          <w:rFonts w:asciiTheme="majorHAnsi" w:hAnsiTheme="majorHAnsi" w:cstheme="majorHAnsi"/>
          <w:szCs w:val="22"/>
        </w:rPr>
        <w:t xml:space="preserve">24 </w:t>
      </w:r>
      <w:r w:rsidR="00C4401C">
        <w:rPr>
          <w:rFonts w:asciiTheme="majorHAnsi" w:hAnsiTheme="majorHAnsi" w:cstheme="majorHAnsi"/>
          <w:szCs w:val="22"/>
        </w:rPr>
        <w:t xml:space="preserve">years </w:t>
      </w:r>
      <w:r w:rsidRPr="00C4401C">
        <w:rPr>
          <w:rFonts w:asciiTheme="majorHAnsi" w:hAnsiTheme="majorHAnsi" w:cstheme="majorHAnsi"/>
          <w:szCs w:val="22"/>
        </w:rPr>
        <w:t xml:space="preserve">have a mental </w:t>
      </w:r>
      <w:r w:rsidR="00CF1975">
        <w:rPr>
          <w:rFonts w:asciiTheme="majorHAnsi" w:hAnsiTheme="majorHAnsi" w:cstheme="majorHAnsi"/>
          <w:szCs w:val="22"/>
        </w:rPr>
        <w:t>or</w:t>
      </w:r>
      <w:r w:rsidRPr="00C4401C">
        <w:rPr>
          <w:rFonts w:asciiTheme="majorHAnsi" w:hAnsiTheme="majorHAnsi" w:cstheme="majorHAnsi"/>
          <w:szCs w:val="22"/>
        </w:rPr>
        <w:t xml:space="preserve"> behavioural problem. </w:t>
      </w:r>
      <w:r w:rsidR="00911804" w:rsidRPr="00C4401C">
        <w:rPr>
          <w:rFonts w:asciiTheme="majorHAnsi" w:hAnsiTheme="majorHAnsi" w:cstheme="majorHAnsi"/>
          <w:szCs w:val="22"/>
        </w:rPr>
        <w:t>4.4 per cent report mood (affective) problems and 10.3 per cent report anxiety related problems.</w:t>
      </w:r>
      <w:r w:rsidR="00911804" w:rsidRPr="00C4401C">
        <w:rPr>
          <w:rStyle w:val="FootnoteReference"/>
        </w:rPr>
        <w:footnoteReference w:id="5"/>
      </w:r>
    </w:p>
    <w:p w14:paraId="1A29DAEB" w14:textId="77777777" w:rsidR="00C4401C" w:rsidRDefault="00E42BFE" w:rsidP="00C4401C">
      <w:pPr>
        <w:spacing w:after="160" w:line="259" w:lineRule="auto"/>
        <w:rPr>
          <w:rFonts w:asciiTheme="majorHAnsi" w:hAnsiTheme="majorHAnsi" w:cstheme="majorHAnsi"/>
          <w:szCs w:val="22"/>
        </w:rPr>
      </w:pPr>
      <w:r>
        <w:rPr>
          <w:rFonts w:asciiTheme="majorHAnsi" w:hAnsiTheme="majorHAnsi" w:cstheme="majorHAnsi"/>
          <w:szCs w:val="22"/>
        </w:rPr>
        <w:t xml:space="preserve">These data are </w:t>
      </w:r>
      <w:r w:rsidR="00A46D66">
        <w:rPr>
          <w:rFonts w:asciiTheme="majorHAnsi" w:hAnsiTheme="majorHAnsi" w:cstheme="majorHAnsi"/>
          <w:szCs w:val="22"/>
        </w:rPr>
        <w:t xml:space="preserve">broadly supported by </w:t>
      </w:r>
      <w:r w:rsidR="005D5CB6">
        <w:rPr>
          <w:rFonts w:asciiTheme="majorHAnsi" w:hAnsiTheme="majorHAnsi" w:cstheme="majorHAnsi"/>
          <w:szCs w:val="22"/>
        </w:rPr>
        <w:t>the research</w:t>
      </w:r>
      <w:r w:rsidR="005D5CB6">
        <w:rPr>
          <w:rFonts w:asciiTheme="majorHAnsi" w:hAnsiTheme="majorHAnsi" w:cstheme="majorHAnsi"/>
          <w:szCs w:val="22"/>
        </w:rPr>
        <w:noBreakHyphen/>
      </w:r>
      <w:r w:rsidR="00CF1975">
        <w:rPr>
          <w:rFonts w:asciiTheme="majorHAnsi" w:hAnsiTheme="majorHAnsi" w:cstheme="majorHAnsi"/>
          <w:szCs w:val="22"/>
        </w:rPr>
        <w:t xml:space="preserve">based </w:t>
      </w:r>
      <w:r w:rsidR="00F12D22">
        <w:rPr>
          <w:rFonts w:asciiTheme="majorHAnsi" w:hAnsiTheme="majorHAnsi" w:cstheme="majorHAnsi"/>
          <w:szCs w:val="22"/>
        </w:rPr>
        <w:t>estimation</w:t>
      </w:r>
      <w:r w:rsidR="00C4401C">
        <w:rPr>
          <w:rFonts w:asciiTheme="majorHAnsi" w:hAnsiTheme="majorHAnsi" w:cstheme="majorHAnsi"/>
          <w:szCs w:val="22"/>
        </w:rPr>
        <w:t xml:space="preserve"> that approximately 897,000 Queenslanders experienced a mental or substance use disorder in </w:t>
      </w:r>
      <w:r>
        <w:rPr>
          <w:rFonts w:asciiTheme="majorHAnsi" w:hAnsiTheme="majorHAnsi" w:cstheme="majorHAnsi"/>
          <w:szCs w:val="22"/>
        </w:rPr>
        <w:t>the year 2011-12, and that 15.4 </w:t>
      </w:r>
      <w:r w:rsidR="00C4401C">
        <w:rPr>
          <w:rFonts w:asciiTheme="majorHAnsi" w:hAnsiTheme="majorHAnsi" w:cstheme="majorHAnsi"/>
          <w:szCs w:val="22"/>
        </w:rPr>
        <w:t>per cent (or 138,000) of these people were children aged 0-14 years.</w:t>
      </w:r>
      <w:r w:rsidR="00C4401C" w:rsidRPr="00C4401C">
        <w:rPr>
          <w:rStyle w:val="FootnoteReference"/>
        </w:rPr>
        <w:footnoteReference w:id="6"/>
      </w:r>
    </w:p>
    <w:p w14:paraId="339D4EC6" w14:textId="734C325A" w:rsidR="00186C28" w:rsidRDefault="00186C28" w:rsidP="00C4401C">
      <w:pPr>
        <w:spacing w:after="160" w:line="259" w:lineRule="auto"/>
        <w:rPr>
          <w:rFonts w:asciiTheme="majorHAnsi" w:hAnsiTheme="majorHAnsi" w:cstheme="majorHAnsi"/>
          <w:szCs w:val="22"/>
        </w:rPr>
      </w:pPr>
      <w:r>
        <w:rPr>
          <w:rFonts w:asciiTheme="majorHAnsi" w:hAnsiTheme="majorHAnsi" w:cstheme="majorHAnsi"/>
          <w:szCs w:val="22"/>
        </w:rPr>
        <w:t>The</w:t>
      </w:r>
      <w:r w:rsidR="007201CB" w:rsidRPr="00C4401C">
        <w:rPr>
          <w:rFonts w:asciiTheme="majorHAnsi" w:hAnsiTheme="majorHAnsi" w:cstheme="majorHAnsi"/>
          <w:szCs w:val="22"/>
        </w:rPr>
        <w:t xml:space="preserve"> Queensland </w:t>
      </w:r>
      <w:r>
        <w:rPr>
          <w:rFonts w:asciiTheme="majorHAnsi" w:hAnsiTheme="majorHAnsi" w:cstheme="majorHAnsi"/>
          <w:szCs w:val="22"/>
        </w:rPr>
        <w:t xml:space="preserve">experience is </w:t>
      </w:r>
      <w:r w:rsidR="007201CB" w:rsidRPr="00C4401C">
        <w:rPr>
          <w:rFonts w:asciiTheme="majorHAnsi" w:hAnsiTheme="majorHAnsi" w:cstheme="majorHAnsi"/>
          <w:szCs w:val="22"/>
        </w:rPr>
        <w:t>not significantly different from the National experience</w:t>
      </w:r>
      <w:r w:rsidR="007201CB" w:rsidRPr="00C4401C">
        <w:rPr>
          <w:rStyle w:val="FootnoteReference"/>
        </w:rPr>
        <w:footnoteReference w:id="7"/>
      </w:r>
      <w:r>
        <w:rPr>
          <w:rFonts w:asciiTheme="majorHAnsi" w:hAnsiTheme="majorHAnsi" w:cstheme="majorHAnsi"/>
          <w:szCs w:val="22"/>
        </w:rPr>
        <w:t xml:space="preserve"> however, National data do indicate that mental health and behavioural conditions impact young people more than children – 8.9 per cent of </w:t>
      </w:r>
      <w:r w:rsidR="005D5CB6">
        <w:rPr>
          <w:rFonts w:asciiTheme="majorHAnsi" w:hAnsiTheme="majorHAnsi" w:cstheme="majorHAnsi"/>
          <w:szCs w:val="22"/>
        </w:rPr>
        <w:t xml:space="preserve">Australian </w:t>
      </w:r>
      <w:r>
        <w:rPr>
          <w:rFonts w:asciiTheme="majorHAnsi" w:hAnsiTheme="majorHAnsi" w:cstheme="majorHAnsi"/>
          <w:szCs w:val="22"/>
        </w:rPr>
        <w:t>children aged 0-14 years have a mental and behavioural problem, which increases to 19.4 per cent for young people aged 15-24 years.</w:t>
      </w:r>
      <w:r>
        <w:rPr>
          <w:rStyle w:val="FootnoteReference"/>
          <w:rFonts w:asciiTheme="majorHAnsi" w:hAnsiTheme="majorHAnsi" w:cstheme="majorHAnsi"/>
          <w:szCs w:val="22"/>
        </w:rPr>
        <w:footnoteReference w:id="8"/>
      </w:r>
      <w:r>
        <w:rPr>
          <w:rFonts w:asciiTheme="majorHAnsi" w:hAnsiTheme="majorHAnsi" w:cstheme="majorHAnsi"/>
          <w:szCs w:val="22"/>
        </w:rPr>
        <w:t xml:space="preserve"> </w:t>
      </w:r>
    </w:p>
    <w:p w14:paraId="7983E7CE" w14:textId="77777777" w:rsidR="002D3261" w:rsidRDefault="00186C28" w:rsidP="004B0C0B">
      <w:pPr>
        <w:spacing w:after="160" w:line="259" w:lineRule="auto"/>
        <w:rPr>
          <w:rFonts w:asciiTheme="majorHAnsi" w:hAnsiTheme="majorHAnsi" w:cstheme="majorHAnsi"/>
          <w:szCs w:val="22"/>
        </w:rPr>
      </w:pPr>
      <w:r>
        <w:rPr>
          <w:rFonts w:asciiTheme="majorHAnsi" w:hAnsiTheme="majorHAnsi" w:cstheme="majorHAnsi"/>
          <w:szCs w:val="22"/>
        </w:rPr>
        <w:t>T</w:t>
      </w:r>
      <w:r w:rsidR="007201CB" w:rsidRPr="00C4401C">
        <w:rPr>
          <w:rFonts w:asciiTheme="majorHAnsi" w:hAnsiTheme="majorHAnsi" w:cstheme="majorHAnsi"/>
          <w:szCs w:val="22"/>
        </w:rPr>
        <w:t>he</w:t>
      </w:r>
      <w:r w:rsidR="00F12D22">
        <w:rPr>
          <w:rFonts w:asciiTheme="majorHAnsi" w:hAnsiTheme="majorHAnsi" w:cstheme="majorHAnsi"/>
          <w:szCs w:val="22"/>
        </w:rPr>
        <w:t>se</w:t>
      </w:r>
      <w:r w:rsidR="007201CB" w:rsidRPr="00C4401C">
        <w:rPr>
          <w:rFonts w:asciiTheme="majorHAnsi" w:hAnsiTheme="majorHAnsi" w:cstheme="majorHAnsi"/>
          <w:szCs w:val="22"/>
        </w:rPr>
        <w:t xml:space="preserve"> data indicate that about 1 in 7 Queensland </w:t>
      </w:r>
      <w:r>
        <w:rPr>
          <w:rFonts w:asciiTheme="majorHAnsi" w:hAnsiTheme="majorHAnsi" w:cstheme="majorHAnsi"/>
          <w:szCs w:val="22"/>
        </w:rPr>
        <w:t xml:space="preserve">children and </w:t>
      </w:r>
      <w:r w:rsidR="007201CB" w:rsidRPr="00C4401C">
        <w:rPr>
          <w:rFonts w:asciiTheme="majorHAnsi" w:hAnsiTheme="majorHAnsi" w:cstheme="majorHAnsi"/>
          <w:szCs w:val="22"/>
        </w:rPr>
        <w:t xml:space="preserve">young people struggle with their mental health. </w:t>
      </w:r>
    </w:p>
    <w:p w14:paraId="34E3DC85" w14:textId="0FB07691" w:rsidR="004B0C0B" w:rsidRPr="00C4401C" w:rsidRDefault="00D30A3F" w:rsidP="00D30A3F">
      <w:pPr>
        <w:spacing w:after="160" w:line="259" w:lineRule="auto"/>
        <w:rPr>
          <w:rFonts w:asciiTheme="majorHAnsi" w:hAnsiTheme="majorHAnsi" w:cstheme="majorHAnsi"/>
          <w:szCs w:val="22"/>
        </w:rPr>
      </w:pPr>
      <w:r w:rsidRPr="00D30A3F">
        <w:rPr>
          <w:rFonts w:asciiTheme="majorHAnsi" w:hAnsiTheme="majorHAnsi" w:cstheme="majorHAnsi"/>
          <w:szCs w:val="22"/>
        </w:rPr>
        <w:t>Suicide was the leading external cause of death for young people age</w:t>
      </w:r>
      <w:r w:rsidR="00BC7636">
        <w:rPr>
          <w:rFonts w:asciiTheme="majorHAnsi" w:hAnsiTheme="majorHAnsi" w:cstheme="majorHAnsi"/>
          <w:szCs w:val="22"/>
        </w:rPr>
        <w:t>d 10-14 years and 15-17 years</w:t>
      </w:r>
      <w:r w:rsidRPr="00D30A3F">
        <w:rPr>
          <w:rFonts w:asciiTheme="majorHAnsi" w:hAnsiTheme="majorHAnsi" w:cstheme="majorHAnsi"/>
          <w:szCs w:val="22"/>
        </w:rPr>
        <w:t xml:space="preserve"> in Queensland during 2017–18.</w:t>
      </w:r>
      <w:r w:rsidR="004B0C0B" w:rsidRPr="00C4401C">
        <w:rPr>
          <w:rStyle w:val="FootnoteReference"/>
        </w:rPr>
        <w:footnoteReference w:id="9"/>
      </w:r>
    </w:p>
    <w:p w14:paraId="62AC9079" w14:textId="77777777" w:rsidR="003E24DD" w:rsidRDefault="00F34D5F" w:rsidP="003E24DD">
      <w:pPr>
        <w:spacing w:after="160" w:line="259" w:lineRule="auto"/>
      </w:pPr>
      <w:r>
        <w:rPr>
          <w:rFonts w:asciiTheme="majorHAnsi" w:hAnsiTheme="majorHAnsi" w:cstheme="majorHAnsi"/>
          <w:szCs w:val="22"/>
        </w:rPr>
        <w:t>Each</w:t>
      </w:r>
      <w:r w:rsidR="00DA1361">
        <w:rPr>
          <w:rFonts w:asciiTheme="majorHAnsi" w:hAnsiTheme="majorHAnsi" w:cstheme="majorHAnsi"/>
          <w:szCs w:val="22"/>
        </w:rPr>
        <w:t xml:space="preserve"> of these consequences</w:t>
      </w:r>
      <w:r w:rsidR="003E24DD">
        <w:rPr>
          <w:rFonts w:asciiTheme="majorHAnsi" w:hAnsiTheme="majorHAnsi" w:cstheme="majorHAnsi"/>
          <w:szCs w:val="22"/>
        </w:rPr>
        <w:t xml:space="preserve"> bears significant economic impact in the form of:</w:t>
      </w:r>
    </w:p>
    <w:p w14:paraId="112F6739" w14:textId="77777777" w:rsidR="003E24DD" w:rsidRDefault="003E24DD" w:rsidP="00DB08DE">
      <w:pPr>
        <w:pStyle w:val="ListParagraph"/>
        <w:numPr>
          <w:ilvl w:val="0"/>
          <w:numId w:val="11"/>
        </w:numPr>
        <w:spacing w:after="120"/>
        <w:rPr>
          <w:rFonts w:asciiTheme="majorHAnsi" w:hAnsiTheme="majorHAnsi" w:cstheme="majorHAnsi"/>
          <w:szCs w:val="22"/>
        </w:rPr>
      </w:pPr>
      <w:r w:rsidRPr="003E24DD">
        <w:rPr>
          <w:rFonts w:asciiTheme="majorHAnsi" w:hAnsiTheme="majorHAnsi" w:cstheme="majorHAnsi"/>
          <w:szCs w:val="22"/>
        </w:rPr>
        <w:t>Direct costs to government from addressing the</w:t>
      </w:r>
      <w:r>
        <w:rPr>
          <w:rFonts w:asciiTheme="majorHAnsi" w:hAnsiTheme="majorHAnsi" w:cstheme="majorHAnsi"/>
          <w:szCs w:val="22"/>
        </w:rPr>
        <w:t xml:space="preserve"> impacts of poor mental health through the</w:t>
      </w:r>
      <w:r w:rsidRPr="003E24DD">
        <w:rPr>
          <w:rFonts w:asciiTheme="majorHAnsi" w:hAnsiTheme="majorHAnsi" w:cstheme="majorHAnsi"/>
          <w:szCs w:val="22"/>
        </w:rPr>
        <w:t xml:space="preserve"> health, education and justice </w:t>
      </w:r>
      <w:r>
        <w:rPr>
          <w:rFonts w:asciiTheme="majorHAnsi" w:hAnsiTheme="majorHAnsi" w:cstheme="majorHAnsi"/>
          <w:szCs w:val="22"/>
        </w:rPr>
        <w:t>systems</w:t>
      </w:r>
    </w:p>
    <w:p w14:paraId="6297B372" w14:textId="77777777" w:rsidR="003E24DD" w:rsidRDefault="003E24DD" w:rsidP="00DB08DE">
      <w:pPr>
        <w:pStyle w:val="ListParagraph"/>
        <w:numPr>
          <w:ilvl w:val="0"/>
          <w:numId w:val="11"/>
        </w:numPr>
        <w:spacing w:after="120"/>
        <w:rPr>
          <w:rFonts w:asciiTheme="majorHAnsi" w:hAnsiTheme="majorHAnsi" w:cstheme="majorHAnsi"/>
          <w:szCs w:val="22"/>
        </w:rPr>
      </w:pPr>
      <w:r>
        <w:rPr>
          <w:rFonts w:asciiTheme="majorHAnsi" w:hAnsiTheme="majorHAnsi" w:cstheme="majorHAnsi"/>
          <w:szCs w:val="22"/>
        </w:rPr>
        <w:lastRenderedPageBreak/>
        <w:t>L</w:t>
      </w:r>
      <w:r w:rsidRPr="003E24DD">
        <w:rPr>
          <w:rFonts w:asciiTheme="majorHAnsi" w:hAnsiTheme="majorHAnsi" w:cstheme="majorHAnsi"/>
          <w:szCs w:val="22"/>
        </w:rPr>
        <w:t xml:space="preserve">onger-terms costs for government, </w:t>
      </w:r>
      <w:r w:rsidR="00DB08DE">
        <w:rPr>
          <w:rFonts w:asciiTheme="majorHAnsi" w:hAnsiTheme="majorHAnsi" w:cstheme="majorHAnsi"/>
          <w:szCs w:val="22"/>
        </w:rPr>
        <w:t>associated with</w:t>
      </w:r>
      <w:r w:rsidRPr="003E24DD">
        <w:rPr>
          <w:rFonts w:asciiTheme="majorHAnsi" w:hAnsiTheme="majorHAnsi" w:cstheme="majorHAnsi"/>
          <w:szCs w:val="22"/>
        </w:rPr>
        <w:t xml:space="preserve"> transfer payments and funding for specialist mental health, health, housing and homelessness, drug and alcohol </w:t>
      </w:r>
      <w:r>
        <w:rPr>
          <w:rFonts w:asciiTheme="majorHAnsi" w:hAnsiTheme="majorHAnsi" w:cstheme="majorHAnsi"/>
          <w:szCs w:val="22"/>
        </w:rPr>
        <w:t>services, and justice responses</w:t>
      </w:r>
    </w:p>
    <w:p w14:paraId="70CC1007" w14:textId="77777777" w:rsidR="00800690" w:rsidRDefault="003E24DD" w:rsidP="00DB08DE">
      <w:pPr>
        <w:pStyle w:val="ListParagraph"/>
        <w:numPr>
          <w:ilvl w:val="0"/>
          <w:numId w:val="11"/>
        </w:numPr>
        <w:spacing w:after="120"/>
        <w:rPr>
          <w:rFonts w:asciiTheme="majorHAnsi" w:hAnsiTheme="majorHAnsi" w:cstheme="majorHAnsi"/>
          <w:szCs w:val="22"/>
        </w:rPr>
      </w:pPr>
      <w:r w:rsidRPr="003E24DD">
        <w:rPr>
          <w:rFonts w:asciiTheme="majorHAnsi" w:hAnsiTheme="majorHAnsi" w:cstheme="majorHAnsi"/>
          <w:szCs w:val="22"/>
        </w:rPr>
        <w:t>Lifetime costs for individuals, communities and economies associated with reduced quality of life, premature mortality and lost productivity.</w:t>
      </w:r>
    </w:p>
    <w:p w14:paraId="5F8FC0CC" w14:textId="16EE2DA6" w:rsidR="004B0C0B" w:rsidRDefault="005D5CB6" w:rsidP="004B0C0B">
      <w:pPr>
        <w:spacing w:after="120"/>
        <w:rPr>
          <w:rFonts w:asciiTheme="majorHAnsi" w:hAnsiTheme="majorHAnsi" w:cstheme="majorHAnsi"/>
          <w:szCs w:val="22"/>
        </w:rPr>
      </w:pPr>
      <w:r>
        <w:rPr>
          <w:rFonts w:asciiTheme="majorHAnsi" w:hAnsiTheme="majorHAnsi" w:cstheme="majorHAnsi"/>
          <w:szCs w:val="22"/>
        </w:rPr>
        <w:t>A</w:t>
      </w:r>
      <w:r w:rsidR="00894961">
        <w:rPr>
          <w:rFonts w:asciiTheme="majorHAnsi" w:hAnsiTheme="majorHAnsi" w:cstheme="majorHAnsi"/>
          <w:szCs w:val="22"/>
        </w:rPr>
        <w:t xml:space="preserve">ddressing mental health issues among young people </w:t>
      </w:r>
      <w:r w:rsidR="001F696C">
        <w:rPr>
          <w:rFonts w:asciiTheme="majorHAnsi" w:hAnsiTheme="majorHAnsi" w:cstheme="majorHAnsi"/>
          <w:szCs w:val="22"/>
        </w:rPr>
        <w:t>should be</w:t>
      </w:r>
      <w:r w:rsidR="00894961">
        <w:rPr>
          <w:rFonts w:asciiTheme="majorHAnsi" w:hAnsiTheme="majorHAnsi" w:cstheme="majorHAnsi"/>
          <w:szCs w:val="22"/>
        </w:rPr>
        <w:t xml:space="preserve"> a key priority</w:t>
      </w:r>
      <w:r w:rsidR="004B0C0B">
        <w:rPr>
          <w:rFonts w:asciiTheme="majorHAnsi" w:hAnsiTheme="majorHAnsi" w:cstheme="majorHAnsi"/>
          <w:szCs w:val="22"/>
        </w:rPr>
        <w:t>. Children and young people should</w:t>
      </w:r>
      <w:r w:rsidR="002D3261">
        <w:rPr>
          <w:rFonts w:asciiTheme="majorHAnsi" w:hAnsiTheme="majorHAnsi" w:cstheme="majorHAnsi"/>
          <w:szCs w:val="22"/>
        </w:rPr>
        <w:t>,</w:t>
      </w:r>
      <w:r w:rsidR="004B0C0B">
        <w:rPr>
          <w:rFonts w:asciiTheme="majorHAnsi" w:hAnsiTheme="majorHAnsi" w:cstheme="majorHAnsi"/>
          <w:szCs w:val="22"/>
        </w:rPr>
        <w:t xml:space="preserve"> however</w:t>
      </w:r>
      <w:r w:rsidR="002D3261">
        <w:rPr>
          <w:rFonts w:asciiTheme="majorHAnsi" w:hAnsiTheme="majorHAnsi" w:cstheme="majorHAnsi"/>
          <w:szCs w:val="22"/>
        </w:rPr>
        <w:t>,</w:t>
      </w:r>
      <w:r w:rsidR="004B0C0B">
        <w:rPr>
          <w:rFonts w:asciiTheme="majorHAnsi" w:hAnsiTheme="majorHAnsi" w:cstheme="majorHAnsi"/>
          <w:szCs w:val="22"/>
        </w:rPr>
        <w:t xml:space="preserve"> provide direct feedback to this inquiry on priority needs and how to best achieve these. </w:t>
      </w:r>
    </w:p>
    <w:p w14:paraId="28E42D73" w14:textId="77777777" w:rsidR="004B0C0B" w:rsidRPr="004626F4" w:rsidRDefault="004B0C0B" w:rsidP="004B0C0B">
      <w:pPr>
        <w:spacing w:after="160" w:line="259" w:lineRule="auto"/>
        <w:rPr>
          <w:rFonts w:asciiTheme="majorHAnsi" w:hAnsiTheme="majorHAnsi" w:cstheme="majorHAnsi"/>
          <w:szCs w:val="22"/>
        </w:rPr>
      </w:pPr>
      <w:r w:rsidRPr="004626F4">
        <w:rPr>
          <w:rFonts w:asciiTheme="majorHAnsi" w:hAnsiTheme="majorHAnsi" w:cstheme="majorHAnsi"/>
          <w:szCs w:val="22"/>
        </w:rPr>
        <w:t xml:space="preserve">In 2018, </w:t>
      </w:r>
      <w:r>
        <w:rPr>
          <w:rFonts w:asciiTheme="majorHAnsi" w:hAnsiTheme="majorHAnsi" w:cstheme="majorHAnsi"/>
          <w:szCs w:val="22"/>
        </w:rPr>
        <w:t xml:space="preserve">the </w:t>
      </w:r>
      <w:r w:rsidRPr="004626F4">
        <w:rPr>
          <w:rFonts w:asciiTheme="majorHAnsi" w:hAnsiTheme="majorHAnsi" w:cstheme="majorHAnsi"/>
          <w:szCs w:val="22"/>
        </w:rPr>
        <w:t xml:space="preserve">QFCC </w:t>
      </w:r>
      <w:r>
        <w:rPr>
          <w:rFonts w:asciiTheme="majorHAnsi" w:hAnsiTheme="majorHAnsi" w:cstheme="majorHAnsi"/>
          <w:szCs w:val="22"/>
        </w:rPr>
        <w:t>conducted</w:t>
      </w:r>
      <w:r w:rsidRPr="004626F4">
        <w:rPr>
          <w:rFonts w:asciiTheme="majorHAnsi" w:hAnsiTheme="majorHAnsi" w:cstheme="majorHAnsi"/>
          <w:szCs w:val="22"/>
        </w:rPr>
        <w:t xml:space="preserve"> the </w:t>
      </w:r>
      <w:r w:rsidRPr="004626F4">
        <w:rPr>
          <w:rFonts w:asciiTheme="majorHAnsi" w:hAnsiTheme="majorHAnsi" w:cstheme="majorHAnsi"/>
          <w:i/>
          <w:szCs w:val="22"/>
        </w:rPr>
        <w:t>Growing Up In Queensland</w:t>
      </w:r>
      <w:r w:rsidRPr="004626F4">
        <w:rPr>
          <w:rFonts w:asciiTheme="majorHAnsi" w:hAnsiTheme="majorHAnsi" w:cstheme="majorHAnsi"/>
          <w:szCs w:val="22"/>
        </w:rPr>
        <w:t xml:space="preserve"> project, providing Queensland’s children and young people with an opportunity to have a say about their everyday lives, priorities, concerns and visions for</w:t>
      </w:r>
      <w:r>
        <w:rPr>
          <w:rFonts w:asciiTheme="majorHAnsi" w:hAnsiTheme="majorHAnsi" w:cstheme="majorHAnsi"/>
          <w:szCs w:val="22"/>
        </w:rPr>
        <w:t xml:space="preserve"> their communities and futures. </w:t>
      </w:r>
      <w:r w:rsidRPr="004626F4">
        <w:rPr>
          <w:rFonts w:asciiTheme="majorHAnsi" w:hAnsiTheme="majorHAnsi" w:cstheme="majorHAnsi"/>
          <w:szCs w:val="22"/>
        </w:rPr>
        <w:t>The project engaged more than 7,000 children and young people between the ages of 4 and 18.</w:t>
      </w:r>
      <w:r>
        <w:rPr>
          <w:rStyle w:val="FootnoteReference"/>
          <w:rFonts w:asciiTheme="majorHAnsi" w:hAnsiTheme="majorHAnsi" w:cstheme="majorHAnsi"/>
          <w:szCs w:val="22"/>
        </w:rPr>
        <w:footnoteReference w:id="10"/>
      </w:r>
    </w:p>
    <w:p w14:paraId="303E6579" w14:textId="1AC1FD05" w:rsidR="00BF392C" w:rsidRPr="004626F4" w:rsidRDefault="00BF392C" w:rsidP="00BF392C">
      <w:pPr>
        <w:spacing w:after="160" w:line="259" w:lineRule="auto"/>
        <w:rPr>
          <w:rFonts w:asciiTheme="majorHAnsi" w:hAnsiTheme="majorHAnsi" w:cstheme="majorHAnsi"/>
          <w:szCs w:val="22"/>
        </w:rPr>
      </w:pPr>
      <w:r>
        <w:rPr>
          <w:rFonts w:asciiTheme="majorHAnsi" w:hAnsiTheme="majorHAnsi" w:cstheme="majorHAnsi"/>
          <w:szCs w:val="22"/>
        </w:rPr>
        <w:t>Young people have a strong understanding of both positive mental health and mental illness. They express concern about their own mental health and its impacts in their lives, as well as the mental health of the friends and family.</w:t>
      </w:r>
    </w:p>
    <w:p w14:paraId="44373367" w14:textId="0E29F5B0" w:rsidR="00DB08DE" w:rsidRDefault="004B0C0B" w:rsidP="00DA1054">
      <w:pPr>
        <w:spacing w:after="160" w:line="259" w:lineRule="auto"/>
        <w:rPr>
          <w:rFonts w:asciiTheme="majorHAnsi" w:hAnsiTheme="majorHAnsi" w:cstheme="majorHAnsi"/>
          <w:szCs w:val="22"/>
        </w:rPr>
      </w:pPr>
      <w:r>
        <w:rPr>
          <w:rFonts w:asciiTheme="majorHAnsi" w:hAnsiTheme="majorHAnsi" w:cstheme="majorHAnsi"/>
          <w:szCs w:val="22"/>
        </w:rPr>
        <w:t>Queensland’s children and young people highlight they are</w:t>
      </w:r>
      <w:r w:rsidRPr="004626F4">
        <w:rPr>
          <w:rFonts w:asciiTheme="majorHAnsi" w:hAnsiTheme="majorHAnsi" w:cstheme="majorHAnsi"/>
          <w:szCs w:val="22"/>
        </w:rPr>
        <w:t xml:space="preserve"> authoritative sources of knowledge about their world and themselves, and are active agents in shaping the world and constructing meaning and purpose</w:t>
      </w:r>
      <w:r>
        <w:rPr>
          <w:rFonts w:asciiTheme="majorHAnsi" w:hAnsiTheme="majorHAnsi" w:cstheme="majorHAnsi"/>
          <w:szCs w:val="22"/>
        </w:rPr>
        <w:t xml:space="preserve">. </w:t>
      </w:r>
      <w:r w:rsidRPr="004626F4">
        <w:rPr>
          <w:rFonts w:asciiTheme="majorHAnsi" w:hAnsiTheme="majorHAnsi" w:cstheme="majorHAnsi"/>
          <w:szCs w:val="22"/>
        </w:rPr>
        <w:t>Children and young people want to be included in decis</w:t>
      </w:r>
      <w:r>
        <w:rPr>
          <w:rFonts w:asciiTheme="majorHAnsi" w:hAnsiTheme="majorHAnsi" w:cstheme="majorHAnsi"/>
          <w:szCs w:val="22"/>
        </w:rPr>
        <w:t>ions that impact on their lives</w:t>
      </w:r>
      <w:r w:rsidRPr="004626F4">
        <w:rPr>
          <w:rFonts w:asciiTheme="majorHAnsi" w:hAnsiTheme="majorHAnsi" w:cstheme="majorHAnsi"/>
          <w:szCs w:val="22"/>
        </w:rPr>
        <w:t xml:space="preserve"> and </w:t>
      </w:r>
      <w:r>
        <w:rPr>
          <w:rFonts w:asciiTheme="majorHAnsi" w:hAnsiTheme="majorHAnsi" w:cstheme="majorHAnsi"/>
          <w:szCs w:val="22"/>
        </w:rPr>
        <w:t xml:space="preserve">want to share their </w:t>
      </w:r>
      <w:r w:rsidRPr="004626F4">
        <w:rPr>
          <w:rFonts w:asciiTheme="majorHAnsi" w:hAnsiTheme="majorHAnsi" w:cstheme="majorHAnsi"/>
          <w:szCs w:val="22"/>
        </w:rPr>
        <w:t>insightful perspectives on a wide array of is</w:t>
      </w:r>
      <w:r>
        <w:rPr>
          <w:rFonts w:asciiTheme="majorHAnsi" w:hAnsiTheme="majorHAnsi" w:cstheme="majorHAnsi"/>
          <w:szCs w:val="22"/>
        </w:rPr>
        <w:t xml:space="preserve">sues impacting on the community. </w:t>
      </w:r>
    </w:p>
    <w:p w14:paraId="752FD155" w14:textId="74B1E3A0" w:rsidR="0053652C" w:rsidRPr="0053652C" w:rsidRDefault="0053652C" w:rsidP="008F12D9">
      <w:pPr>
        <w:spacing w:before="120" w:after="120"/>
        <w:rPr>
          <w:rFonts w:asciiTheme="majorHAnsi" w:hAnsiTheme="majorHAnsi" w:cstheme="majorHAnsi"/>
          <w:b/>
          <w:sz w:val="28"/>
          <w:szCs w:val="28"/>
        </w:rPr>
      </w:pPr>
      <w:r w:rsidRPr="0053652C">
        <w:rPr>
          <w:rFonts w:asciiTheme="majorHAnsi" w:hAnsiTheme="majorHAnsi" w:cstheme="majorHAnsi"/>
          <w:b/>
          <w:sz w:val="28"/>
          <w:szCs w:val="28"/>
        </w:rPr>
        <w:t xml:space="preserve">Responses to </w:t>
      </w:r>
      <w:r w:rsidR="007D5782" w:rsidRPr="0053652C">
        <w:rPr>
          <w:rFonts w:asciiTheme="majorHAnsi" w:hAnsiTheme="majorHAnsi" w:cstheme="majorHAnsi"/>
          <w:b/>
          <w:sz w:val="28"/>
          <w:szCs w:val="28"/>
        </w:rPr>
        <w:t>specif</w:t>
      </w:r>
      <w:r w:rsidR="007D5782">
        <w:rPr>
          <w:rFonts w:asciiTheme="majorHAnsi" w:hAnsiTheme="majorHAnsi" w:cstheme="majorHAnsi"/>
          <w:b/>
          <w:sz w:val="28"/>
          <w:szCs w:val="28"/>
        </w:rPr>
        <w:t>ic I</w:t>
      </w:r>
      <w:r w:rsidR="007D5782" w:rsidRPr="0053652C">
        <w:rPr>
          <w:rFonts w:asciiTheme="majorHAnsi" w:hAnsiTheme="majorHAnsi" w:cstheme="majorHAnsi"/>
          <w:b/>
          <w:sz w:val="28"/>
          <w:szCs w:val="28"/>
        </w:rPr>
        <w:t>nquiry questions</w:t>
      </w:r>
    </w:p>
    <w:p w14:paraId="467E910E" w14:textId="1EE90162" w:rsidR="005B1722" w:rsidRDefault="0053652C" w:rsidP="004626F4">
      <w:pPr>
        <w:spacing w:after="160" w:line="259" w:lineRule="auto"/>
        <w:rPr>
          <w:rFonts w:asciiTheme="majorHAnsi" w:hAnsiTheme="majorHAnsi" w:cstheme="majorHAnsi"/>
          <w:szCs w:val="22"/>
        </w:rPr>
      </w:pPr>
      <w:r>
        <w:rPr>
          <w:rFonts w:asciiTheme="majorHAnsi" w:hAnsiTheme="majorHAnsi" w:cstheme="majorHAnsi"/>
          <w:szCs w:val="22"/>
        </w:rPr>
        <w:t>QFCC responses to specif</w:t>
      </w:r>
      <w:r w:rsidR="008A523C">
        <w:rPr>
          <w:rFonts w:asciiTheme="majorHAnsi" w:hAnsiTheme="majorHAnsi" w:cstheme="majorHAnsi"/>
          <w:szCs w:val="22"/>
        </w:rPr>
        <w:t xml:space="preserve">ic questions </w:t>
      </w:r>
      <w:r w:rsidR="00066E25">
        <w:rPr>
          <w:rFonts w:asciiTheme="majorHAnsi" w:hAnsiTheme="majorHAnsi" w:cstheme="majorHAnsi"/>
          <w:szCs w:val="22"/>
        </w:rPr>
        <w:t xml:space="preserve">included in the Productivity Commission </w:t>
      </w:r>
      <w:r w:rsidR="00066E25" w:rsidRPr="00066E25">
        <w:rPr>
          <w:rFonts w:asciiTheme="majorHAnsi" w:hAnsiTheme="majorHAnsi" w:cstheme="majorHAnsi"/>
          <w:i/>
          <w:szCs w:val="22"/>
        </w:rPr>
        <w:t>Issues Paper</w:t>
      </w:r>
      <w:r w:rsidR="00066E25">
        <w:rPr>
          <w:rFonts w:asciiTheme="majorHAnsi" w:hAnsiTheme="majorHAnsi" w:cstheme="majorHAnsi"/>
          <w:szCs w:val="22"/>
        </w:rPr>
        <w:t xml:space="preserve"> are provided below. Data and responses </w:t>
      </w:r>
      <w:r w:rsidR="00DA1054">
        <w:rPr>
          <w:rFonts w:asciiTheme="majorHAnsi" w:hAnsiTheme="majorHAnsi" w:cstheme="majorHAnsi"/>
          <w:szCs w:val="22"/>
        </w:rPr>
        <w:t xml:space="preserve">included below </w:t>
      </w:r>
      <w:r w:rsidR="00066E25">
        <w:rPr>
          <w:rFonts w:asciiTheme="majorHAnsi" w:hAnsiTheme="majorHAnsi" w:cstheme="majorHAnsi"/>
          <w:szCs w:val="22"/>
        </w:rPr>
        <w:t>have been collated</w:t>
      </w:r>
      <w:r w:rsidR="008A523C">
        <w:rPr>
          <w:rFonts w:asciiTheme="majorHAnsi" w:hAnsiTheme="majorHAnsi" w:cstheme="majorHAnsi"/>
          <w:szCs w:val="22"/>
        </w:rPr>
        <w:t xml:space="preserve"> from consultation material young people provided </w:t>
      </w:r>
      <w:r w:rsidR="005A21B3">
        <w:rPr>
          <w:rFonts w:asciiTheme="majorHAnsi" w:hAnsiTheme="majorHAnsi" w:cstheme="majorHAnsi"/>
          <w:szCs w:val="22"/>
        </w:rPr>
        <w:t>through</w:t>
      </w:r>
      <w:r w:rsidR="008A523C">
        <w:rPr>
          <w:rFonts w:asciiTheme="majorHAnsi" w:hAnsiTheme="majorHAnsi" w:cstheme="majorHAnsi"/>
          <w:szCs w:val="22"/>
        </w:rPr>
        <w:t xml:space="preserve"> the </w:t>
      </w:r>
      <w:r w:rsidR="008A523C" w:rsidRPr="005A21B3">
        <w:rPr>
          <w:rFonts w:asciiTheme="majorHAnsi" w:hAnsiTheme="majorHAnsi" w:cstheme="majorHAnsi"/>
          <w:i/>
          <w:szCs w:val="22"/>
        </w:rPr>
        <w:t>Growing Up In Queensland</w:t>
      </w:r>
      <w:r w:rsidR="008A523C">
        <w:rPr>
          <w:rFonts w:asciiTheme="majorHAnsi" w:hAnsiTheme="majorHAnsi" w:cstheme="majorHAnsi"/>
          <w:szCs w:val="22"/>
        </w:rPr>
        <w:t xml:space="preserve"> consultations. </w:t>
      </w:r>
    </w:p>
    <w:p w14:paraId="008FA493" w14:textId="65C3992D" w:rsidR="00E30BCF" w:rsidRPr="00413E89" w:rsidRDefault="004A62B7" w:rsidP="004626F4">
      <w:pPr>
        <w:spacing w:after="160" w:line="259" w:lineRule="auto"/>
        <w:rPr>
          <w:rFonts w:asciiTheme="majorHAnsi" w:hAnsiTheme="majorHAnsi" w:cstheme="majorHAnsi"/>
          <w:b/>
          <w:szCs w:val="22"/>
        </w:rPr>
      </w:pPr>
      <w:r w:rsidRPr="004D5C06">
        <w:rPr>
          <w:rFonts w:asciiTheme="majorHAnsi" w:hAnsiTheme="majorHAnsi" w:cstheme="majorHAnsi"/>
          <w:noProof/>
          <w:szCs w:val="22"/>
          <w:lang w:eastAsia="en-AU"/>
        </w:rPr>
        <mc:AlternateContent>
          <mc:Choice Requires="wps">
            <w:drawing>
              <wp:anchor distT="45720" distB="45720" distL="114300" distR="114300" simplePos="0" relativeHeight="251663360" behindDoc="0" locked="0" layoutInCell="1" allowOverlap="1" wp14:anchorId="504B885D" wp14:editId="1BD8508E">
                <wp:simplePos x="0" y="0"/>
                <wp:positionH relativeFrom="margin">
                  <wp:align>left</wp:align>
                </wp:positionH>
                <wp:positionV relativeFrom="paragraph">
                  <wp:posOffset>408893</wp:posOffset>
                </wp:positionV>
                <wp:extent cx="5695950" cy="1304290"/>
                <wp:effectExtent l="0" t="0" r="19050"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304290"/>
                        </a:xfrm>
                        <a:prstGeom prst="rect">
                          <a:avLst/>
                        </a:prstGeom>
                        <a:solidFill>
                          <a:schemeClr val="bg1">
                            <a:lumMod val="95000"/>
                          </a:schemeClr>
                        </a:solidFill>
                        <a:ln w="9525">
                          <a:solidFill>
                            <a:srgbClr val="000000"/>
                          </a:solidFill>
                          <a:miter lim="800000"/>
                          <a:headEnd/>
                          <a:tailEnd/>
                        </a:ln>
                      </wps:spPr>
                      <wps:txbx>
                        <w:txbxContent>
                          <w:p w14:paraId="342EB816" w14:textId="77777777" w:rsidR="004A62B7" w:rsidRDefault="004A62B7" w:rsidP="004A62B7">
                            <w:pPr>
                              <w:rPr>
                                <w:rFonts w:ascii="Arial" w:hAnsi="Arial" w:cs="Arial"/>
                                <w:b/>
                                <w:szCs w:val="22"/>
                              </w:rPr>
                            </w:pPr>
                          </w:p>
                          <w:p w14:paraId="7F58E361" w14:textId="77777777" w:rsidR="004A62B7" w:rsidRPr="00EB575C" w:rsidRDefault="004A62B7" w:rsidP="004A62B7">
                            <w:pPr>
                              <w:rPr>
                                <w:rFonts w:asciiTheme="majorHAnsi" w:hAnsiTheme="majorHAnsi" w:cstheme="majorHAnsi"/>
                                <w:b/>
                                <w:szCs w:val="22"/>
                              </w:rPr>
                            </w:pPr>
                            <w:r w:rsidRPr="00EB575C">
                              <w:rPr>
                                <w:rFonts w:asciiTheme="majorHAnsi" w:hAnsiTheme="majorHAnsi" w:cstheme="majorHAnsi"/>
                                <w:b/>
                                <w:szCs w:val="22"/>
                              </w:rPr>
                              <w:t xml:space="preserve">Recommendation </w:t>
                            </w:r>
                          </w:p>
                          <w:p w14:paraId="1017F3B5" w14:textId="77777777" w:rsidR="004A62B7" w:rsidRPr="005D0246" w:rsidRDefault="004A62B7" w:rsidP="004A62B7">
                            <w:pPr>
                              <w:rPr>
                                <w:rFonts w:ascii="Arial" w:hAnsi="Arial" w:cs="Arial"/>
                                <w:szCs w:val="22"/>
                              </w:rPr>
                            </w:pPr>
                          </w:p>
                          <w:p w14:paraId="01ED16C9" w14:textId="77777777" w:rsidR="004A62B7" w:rsidRDefault="004A62B7" w:rsidP="004A62B7">
                            <w:pPr>
                              <w:rPr>
                                <w:rFonts w:asciiTheme="majorHAnsi" w:hAnsiTheme="majorHAnsi" w:cstheme="majorHAnsi"/>
                                <w:szCs w:val="22"/>
                              </w:rPr>
                            </w:pPr>
                            <w:r>
                              <w:rPr>
                                <w:rFonts w:asciiTheme="majorHAnsi" w:hAnsiTheme="majorHAnsi" w:cstheme="majorHAnsi"/>
                                <w:szCs w:val="22"/>
                              </w:rPr>
                              <w:t>The QFCC recommends:</w:t>
                            </w:r>
                          </w:p>
                          <w:p w14:paraId="4A82C533" w14:textId="77777777" w:rsidR="004A62B7" w:rsidRDefault="004A62B7" w:rsidP="004A62B7">
                            <w:pPr>
                              <w:pStyle w:val="ListParagraph"/>
                              <w:numPr>
                                <w:ilvl w:val="0"/>
                                <w:numId w:val="16"/>
                              </w:numPr>
                              <w:rPr>
                                <w:rFonts w:asciiTheme="majorHAnsi" w:hAnsiTheme="majorHAnsi" w:cstheme="majorHAnsi"/>
                                <w:szCs w:val="22"/>
                              </w:rPr>
                            </w:pPr>
                            <w:r>
                              <w:rPr>
                                <w:rFonts w:asciiTheme="majorHAnsi" w:hAnsiTheme="majorHAnsi" w:cstheme="majorHAnsi"/>
                                <w:szCs w:val="22"/>
                              </w:rPr>
                              <w:t>the public health approach includes targeted mental health education, positive promotion of mental health support, and</w:t>
                            </w:r>
                            <w:r w:rsidRPr="00232CC0">
                              <w:rPr>
                                <w:rFonts w:asciiTheme="majorHAnsi" w:hAnsiTheme="majorHAnsi" w:cstheme="majorHAnsi"/>
                                <w:szCs w:val="22"/>
                              </w:rPr>
                              <w:t xml:space="preserve"> </w:t>
                            </w:r>
                            <w:r>
                              <w:rPr>
                                <w:rFonts w:asciiTheme="majorHAnsi" w:hAnsiTheme="majorHAnsi" w:cstheme="majorHAnsi"/>
                                <w:szCs w:val="22"/>
                              </w:rPr>
                              <w:t>generalised mental health check</w:t>
                            </w:r>
                            <w:r>
                              <w:rPr>
                                <w:rFonts w:asciiTheme="majorHAnsi" w:hAnsiTheme="majorHAnsi" w:cstheme="majorHAnsi"/>
                                <w:szCs w:val="22"/>
                              </w:rPr>
                              <w:noBreakHyphen/>
                              <w:t>ups for all children and young people.</w:t>
                            </w:r>
                          </w:p>
                          <w:p w14:paraId="4DB9AD3B" w14:textId="77777777" w:rsidR="004A62B7" w:rsidRDefault="004A62B7" w:rsidP="004A62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04B885D" id="_x0000_s1027" type="#_x0000_t202" style="position:absolute;margin-left:0;margin-top:32.2pt;width:448.5pt;height:102.7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" fillcolor="#f2f2f2 [3052]">
                <v:textbox>
                  <w:txbxContent>
                    <w:p w14:paraId="342EB816" w14:textId="77777777" w:rsidR="004A62B7" w:rsidRDefault="004A62B7" w:rsidP="004A62B7">
                      <w:pPr>
                        <w:rPr>
                          <w:rFonts w:ascii="Arial" w:hAnsi="Arial" w:cs="Arial"/>
                          <w:b/>
                          <w:szCs w:val="22"/>
                        </w:rPr>
                      </w:pPr>
                    </w:p>
                    <w:p w14:paraId="7F58E361" w14:textId="77777777" w:rsidR="004A62B7" w:rsidRPr="00EB575C" w:rsidRDefault="004A62B7" w:rsidP="004A62B7">
                      <w:pPr>
                        <w:rPr>
                          <w:rFonts w:asciiTheme="majorHAnsi" w:hAnsiTheme="majorHAnsi" w:cstheme="majorHAnsi"/>
                          <w:b/>
                          <w:szCs w:val="22"/>
                        </w:rPr>
                      </w:pPr>
                      <w:r w:rsidRPr="00EB575C">
                        <w:rPr>
                          <w:rFonts w:asciiTheme="majorHAnsi" w:hAnsiTheme="majorHAnsi" w:cstheme="majorHAnsi"/>
                          <w:b/>
                          <w:szCs w:val="22"/>
                        </w:rPr>
                        <w:t xml:space="preserve">Recommendation </w:t>
                      </w:r>
                    </w:p>
                    <w:p w14:paraId="1017F3B5" w14:textId="77777777" w:rsidR="004A62B7" w:rsidRPr="005D0246" w:rsidRDefault="004A62B7" w:rsidP="004A62B7">
                      <w:pPr>
                        <w:rPr>
                          <w:rFonts w:ascii="Arial" w:hAnsi="Arial" w:cs="Arial"/>
                          <w:szCs w:val="22"/>
                        </w:rPr>
                      </w:pPr>
                    </w:p>
                    <w:p w14:paraId="01ED16C9" w14:textId="77777777" w:rsidR="004A62B7" w:rsidRDefault="004A62B7" w:rsidP="004A62B7">
                      <w:pPr>
                        <w:rPr>
                          <w:rFonts w:asciiTheme="majorHAnsi" w:hAnsiTheme="majorHAnsi" w:cstheme="majorHAnsi"/>
                          <w:szCs w:val="22"/>
                        </w:rPr>
                      </w:pPr>
                      <w:r>
                        <w:rPr>
                          <w:rFonts w:asciiTheme="majorHAnsi" w:hAnsiTheme="majorHAnsi" w:cstheme="majorHAnsi"/>
                          <w:szCs w:val="22"/>
                        </w:rPr>
                        <w:t>The QFCC recommends:</w:t>
                      </w:r>
                    </w:p>
                    <w:p w14:paraId="4A82C533" w14:textId="77777777" w:rsidR="004A62B7" w:rsidRDefault="004A62B7" w:rsidP="004A62B7">
                      <w:pPr>
                        <w:pStyle w:val="ListParagraph"/>
                        <w:numPr>
                          <w:ilvl w:val="0"/>
                          <w:numId w:val="16"/>
                        </w:numPr>
                        <w:rPr>
                          <w:rFonts w:asciiTheme="majorHAnsi" w:hAnsiTheme="majorHAnsi" w:cstheme="majorHAnsi"/>
                          <w:szCs w:val="22"/>
                        </w:rPr>
                      </w:pPr>
                      <w:r>
                        <w:rPr>
                          <w:rFonts w:asciiTheme="majorHAnsi" w:hAnsiTheme="majorHAnsi" w:cstheme="majorHAnsi"/>
                          <w:szCs w:val="22"/>
                        </w:rPr>
                        <w:t>the public health approach includes targeted mental health education, positive promotion of mental health support, and</w:t>
                      </w:r>
                      <w:r w:rsidRPr="00232CC0">
                        <w:rPr>
                          <w:rFonts w:asciiTheme="majorHAnsi" w:hAnsiTheme="majorHAnsi" w:cstheme="majorHAnsi"/>
                          <w:szCs w:val="22"/>
                        </w:rPr>
                        <w:t xml:space="preserve"> </w:t>
                      </w:r>
                      <w:r>
                        <w:rPr>
                          <w:rFonts w:asciiTheme="majorHAnsi" w:hAnsiTheme="majorHAnsi" w:cstheme="majorHAnsi"/>
                          <w:szCs w:val="22"/>
                        </w:rPr>
                        <w:t>generalised mental health check</w:t>
                      </w:r>
                      <w:r>
                        <w:rPr>
                          <w:rFonts w:asciiTheme="majorHAnsi" w:hAnsiTheme="majorHAnsi" w:cstheme="majorHAnsi"/>
                          <w:szCs w:val="22"/>
                        </w:rPr>
                        <w:noBreakHyphen/>
                        <w:t>ups for all children and young people.</w:t>
                      </w:r>
                    </w:p>
                    <w:p w14:paraId="4DB9AD3B" w14:textId="77777777" w:rsidR="004A62B7" w:rsidRDefault="004A62B7" w:rsidP="004A62B7"/>
                  </w:txbxContent>
                </v:textbox>
                <w10:wrap type="square" anchorx="margin"/>
              </v:shape>
            </w:pict>
          </mc:Fallback>
        </mc:AlternateContent>
      </w:r>
      <w:r w:rsidR="00E30BCF" w:rsidRPr="00413E89">
        <w:rPr>
          <w:rFonts w:asciiTheme="majorHAnsi" w:hAnsiTheme="majorHAnsi" w:cstheme="majorHAnsi"/>
          <w:b/>
          <w:szCs w:val="22"/>
        </w:rPr>
        <w:t>Can the prevalence and severity of mental ill-health be reduced through more effective mental health promotion, identification and prevention and early intervention?</w:t>
      </w:r>
    </w:p>
    <w:p w14:paraId="264C40EB" w14:textId="476D7EE1" w:rsidR="00CF0E9F" w:rsidRDefault="001811A3" w:rsidP="004626F4">
      <w:pPr>
        <w:spacing w:after="160" w:line="259" w:lineRule="auto"/>
        <w:rPr>
          <w:rFonts w:asciiTheme="majorHAnsi" w:hAnsiTheme="majorHAnsi" w:cstheme="majorHAnsi"/>
          <w:szCs w:val="22"/>
        </w:rPr>
      </w:pPr>
      <w:r>
        <w:rPr>
          <w:rFonts w:asciiTheme="majorHAnsi" w:hAnsiTheme="majorHAnsi" w:cstheme="majorHAnsi"/>
          <w:szCs w:val="22"/>
        </w:rPr>
        <w:t xml:space="preserve">Young people </w:t>
      </w:r>
      <w:r w:rsidR="001F696C">
        <w:rPr>
          <w:rFonts w:asciiTheme="majorHAnsi" w:hAnsiTheme="majorHAnsi" w:cstheme="majorHAnsi"/>
          <w:szCs w:val="22"/>
        </w:rPr>
        <w:t>advocate</w:t>
      </w:r>
      <w:r w:rsidR="005A21B3">
        <w:rPr>
          <w:rFonts w:asciiTheme="majorHAnsi" w:hAnsiTheme="majorHAnsi" w:cstheme="majorHAnsi"/>
          <w:szCs w:val="22"/>
        </w:rPr>
        <w:t xml:space="preserve"> the need to</w:t>
      </w:r>
      <w:r>
        <w:rPr>
          <w:rFonts w:asciiTheme="majorHAnsi" w:hAnsiTheme="majorHAnsi" w:cstheme="majorHAnsi"/>
          <w:szCs w:val="22"/>
        </w:rPr>
        <w:t xml:space="preserve"> focus on identifying and addressing mental health issues early.</w:t>
      </w:r>
      <w:r w:rsidR="000A6F57">
        <w:rPr>
          <w:rFonts w:asciiTheme="majorHAnsi" w:hAnsiTheme="majorHAnsi" w:cstheme="majorHAnsi"/>
          <w:szCs w:val="22"/>
        </w:rPr>
        <w:t xml:space="preserve"> </w:t>
      </w:r>
      <w:r w:rsidR="001F696C">
        <w:rPr>
          <w:rFonts w:asciiTheme="majorHAnsi" w:hAnsiTheme="majorHAnsi" w:cstheme="majorHAnsi"/>
          <w:szCs w:val="22"/>
        </w:rPr>
        <w:t>They report</w:t>
      </w:r>
      <w:r w:rsidR="000A6F57">
        <w:rPr>
          <w:rFonts w:asciiTheme="majorHAnsi" w:hAnsiTheme="majorHAnsi" w:cstheme="majorHAnsi"/>
          <w:szCs w:val="22"/>
        </w:rPr>
        <w:t xml:space="preserve"> that a public health model, </w:t>
      </w:r>
      <w:r w:rsidR="00066E25">
        <w:rPr>
          <w:rFonts w:asciiTheme="majorHAnsi" w:hAnsiTheme="majorHAnsi" w:cstheme="majorHAnsi"/>
          <w:szCs w:val="22"/>
        </w:rPr>
        <w:t>including</w:t>
      </w:r>
      <w:r w:rsidR="000A6F57">
        <w:rPr>
          <w:rFonts w:asciiTheme="majorHAnsi" w:hAnsiTheme="majorHAnsi" w:cstheme="majorHAnsi"/>
          <w:szCs w:val="22"/>
        </w:rPr>
        <w:t xml:space="preserve"> targeted mental health</w:t>
      </w:r>
      <w:r w:rsidR="00232CC0">
        <w:rPr>
          <w:rFonts w:asciiTheme="majorHAnsi" w:hAnsiTheme="majorHAnsi" w:cstheme="majorHAnsi"/>
          <w:szCs w:val="22"/>
        </w:rPr>
        <w:t xml:space="preserve"> education</w:t>
      </w:r>
      <w:r w:rsidR="000A6F57">
        <w:rPr>
          <w:rFonts w:asciiTheme="majorHAnsi" w:hAnsiTheme="majorHAnsi" w:cstheme="majorHAnsi"/>
          <w:szCs w:val="22"/>
        </w:rPr>
        <w:t>, positive promotion of mental health support</w:t>
      </w:r>
      <w:r w:rsidR="00232CC0">
        <w:rPr>
          <w:rFonts w:asciiTheme="majorHAnsi" w:hAnsiTheme="majorHAnsi" w:cstheme="majorHAnsi"/>
          <w:szCs w:val="22"/>
        </w:rPr>
        <w:t>, and</w:t>
      </w:r>
      <w:r w:rsidR="00232CC0" w:rsidRPr="00232CC0">
        <w:rPr>
          <w:rFonts w:asciiTheme="majorHAnsi" w:hAnsiTheme="majorHAnsi" w:cstheme="majorHAnsi"/>
          <w:szCs w:val="22"/>
        </w:rPr>
        <w:t xml:space="preserve"> </w:t>
      </w:r>
      <w:r w:rsidR="00232CC0">
        <w:rPr>
          <w:rFonts w:asciiTheme="majorHAnsi" w:hAnsiTheme="majorHAnsi" w:cstheme="majorHAnsi"/>
          <w:szCs w:val="22"/>
        </w:rPr>
        <w:t>gener</w:t>
      </w:r>
      <w:r w:rsidR="00066E25">
        <w:rPr>
          <w:rFonts w:asciiTheme="majorHAnsi" w:hAnsiTheme="majorHAnsi" w:cstheme="majorHAnsi"/>
          <w:szCs w:val="22"/>
        </w:rPr>
        <w:t>alised mental health check</w:t>
      </w:r>
      <w:r w:rsidR="00066E25">
        <w:rPr>
          <w:rFonts w:asciiTheme="majorHAnsi" w:hAnsiTheme="majorHAnsi" w:cstheme="majorHAnsi"/>
          <w:szCs w:val="22"/>
        </w:rPr>
        <w:noBreakHyphen/>
        <w:t>ups</w:t>
      </w:r>
      <w:r w:rsidR="00232CC0">
        <w:rPr>
          <w:rFonts w:asciiTheme="majorHAnsi" w:hAnsiTheme="majorHAnsi" w:cstheme="majorHAnsi"/>
          <w:szCs w:val="22"/>
        </w:rPr>
        <w:t xml:space="preserve">, </w:t>
      </w:r>
      <w:r w:rsidR="000A6F57">
        <w:rPr>
          <w:rFonts w:asciiTheme="majorHAnsi" w:hAnsiTheme="majorHAnsi" w:cstheme="majorHAnsi"/>
          <w:szCs w:val="22"/>
        </w:rPr>
        <w:t>would assist them.</w:t>
      </w:r>
      <w:r w:rsidR="001F696C">
        <w:rPr>
          <w:rFonts w:asciiTheme="majorHAnsi" w:hAnsiTheme="majorHAnsi" w:cstheme="majorHAnsi"/>
          <w:szCs w:val="22"/>
        </w:rPr>
        <w:t xml:space="preserve"> This model of intervention is support</w:t>
      </w:r>
      <w:r w:rsidR="00734D96">
        <w:rPr>
          <w:rFonts w:asciiTheme="majorHAnsi" w:hAnsiTheme="majorHAnsi" w:cstheme="majorHAnsi"/>
          <w:szCs w:val="22"/>
        </w:rPr>
        <w:t>ed</w:t>
      </w:r>
      <w:r w:rsidR="001F696C">
        <w:rPr>
          <w:rFonts w:asciiTheme="majorHAnsi" w:hAnsiTheme="majorHAnsi" w:cstheme="majorHAnsi"/>
          <w:szCs w:val="22"/>
        </w:rPr>
        <w:t xml:space="preserve"> by a broader body of literature.</w:t>
      </w:r>
      <w:r w:rsidR="001F696C">
        <w:rPr>
          <w:rStyle w:val="FootnoteReference"/>
          <w:rFonts w:asciiTheme="majorHAnsi" w:hAnsiTheme="majorHAnsi" w:cstheme="majorHAnsi"/>
          <w:szCs w:val="22"/>
        </w:rPr>
        <w:footnoteReference w:id="11"/>
      </w:r>
      <w:r w:rsidR="001F696C">
        <w:rPr>
          <w:rFonts w:asciiTheme="majorHAnsi" w:hAnsiTheme="majorHAnsi" w:cstheme="majorHAnsi"/>
          <w:szCs w:val="22"/>
        </w:rPr>
        <w:t xml:space="preserve"> </w:t>
      </w:r>
    </w:p>
    <w:p w14:paraId="21A950C1" w14:textId="28502947" w:rsidR="00E30BCF" w:rsidRDefault="00CF0E9F" w:rsidP="004626F4">
      <w:pPr>
        <w:spacing w:after="160" w:line="259" w:lineRule="auto"/>
        <w:rPr>
          <w:rFonts w:asciiTheme="majorHAnsi" w:hAnsiTheme="majorHAnsi" w:cstheme="majorHAnsi"/>
          <w:szCs w:val="22"/>
        </w:rPr>
      </w:pPr>
      <w:r>
        <w:rPr>
          <w:rFonts w:asciiTheme="majorHAnsi" w:hAnsiTheme="majorHAnsi" w:cstheme="majorHAnsi"/>
          <w:szCs w:val="22"/>
        </w:rPr>
        <w:lastRenderedPageBreak/>
        <w:t>The Australian Health Minister’s Advisory Council Health, Safe and Thriving: National Strategic Framework for Child and Youth Health also promotes the importance of early intervention programs to address mental health issues early.</w:t>
      </w:r>
      <w:r>
        <w:rPr>
          <w:rStyle w:val="FootnoteReference"/>
          <w:rFonts w:asciiTheme="majorHAnsi" w:hAnsiTheme="majorHAnsi" w:cstheme="majorHAnsi"/>
          <w:szCs w:val="22"/>
        </w:rPr>
        <w:footnoteReference w:id="12"/>
      </w:r>
    </w:p>
    <w:p w14:paraId="7FDE2194" w14:textId="104B944C" w:rsidR="00BF392C" w:rsidRDefault="00BF392C" w:rsidP="004626F4">
      <w:pPr>
        <w:spacing w:after="160" w:line="259" w:lineRule="auto"/>
        <w:rPr>
          <w:rFonts w:asciiTheme="majorHAnsi" w:hAnsiTheme="majorHAnsi" w:cstheme="majorHAnsi"/>
          <w:szCs w:val="22"/>
        </w:rPr>
      </w:pPr>
      <w:r w:rsidRPr="00392453">
        <w:rPr>
          <w:rFonts w:asciiTheme="majorHAnsi" w:hAnsiTheme="majorHAnsi" w:cstheme="majorHAnsi"/>
          <w:szCs w:val="22"/>
        </w:rPr>
        <w:t>Respondents to the Growing up in Queensland survey also identified mental health as a key public health priority, stressing the need to focus on early identification of mental health issues and reduc</w:t>
      </w:r>
      <w:r w:rsidR="008B213F">
        <w:rPr>
          <w:rFonts w:asciiTheme="majorHAnsi" w:hAnsiTheme="majorHAnsi" w:cstheme="majorHAnsi"/>
          <w:szCs w:val="22"/>
        </w:rPr>
        <w:t>ing</w:t>
      </w:r>
      <w:r w:rsidRPr="00392453">
        <w:rPr>
          <w:rFonts w:asciiTheme="majorHAnsi" w:hAnsiTheme="majorHAnsi" w:cstheme="majorHAnsi"/>
          <w:szCs w:val="22"/>
        </w:rPr>
        <w:t xml:space="preserve"> stigma associated with seeking help for mental health concerns.</w:t>
      </w:r>
    </w:p>
    <w:p w14:paraId="71830209" w14:textId="1ED829AD" w:rsidR="00EF2B25" w:rsidRDefault="000A6F57" w:rsidP="00EF2B25">
      <w:pPr>
        <w:spacing w:after="160" w:line="259" w:lineRule="auto"/>
        <w:rPr>
          <w:rFonts w:asciiTheme="majorHAnsi" w:hAnsiTheme="majorHAnsi" w:cstheme="majorHAnsi"/>
          <w:szCs w:val="22"/>
        </w:rPr>
      </w:pPr>
      <w:r>
        <w:rPr>
          <w:rFonts w:asciiTheme="majorHAnsi" w:hAnsiTheme="majorHAnsi" w:cstheme="majorHAnsi"/>
          <w:szCs w:val="22"/>
        </w:rPr>
        <w:t xml:space="preserve">Young people </w:t>
      </w:r>
      <w:r w:rsidR="00734D96">
        <w:rPr>
          <w:rFonts w:asciiTheme="majorHAnsi" w:hAnsiTheme="majorHAnsi" w:cstheme="majorHAnsi"/>
          <w:szCs w:val="22"/>
        </w:rPr>
        <w:t>highlight</w:t>
      </w:r>
      <w:r w:rsidR="00232CC0">
        <w:rPr>
          <w:rFonts w:asciiTheme="majorHAnsi" w:hAnsiTheme="majorHAnsi" w:cstheme="majorHAnsi"/>
          <w:szCs w:val="22"/>
        </w:rPr>
        <w:t xml:space="preserve"> a</w:t>
      </w:r>
      <w:r>
        <w:rPr>
          <w:rFonts w:asciiTheme="majorHAnsi" w:hAnsiTheme="majorHAnsi" w:cstheme="majorHAnsi"/>
          <w:szCs w:val="22"/>
        </w:rPr>
        <w:t xml:space="preserve"> sense of shame and embarrassment associated with seeking help for mental health concerns. This stigma </w:t>
      </w:r>
      <w:r w:rsidR="00232CC0">
        <w:rPr>
          <w:rFonts w:asciiTheme="majorHAnsi" w:hAnsiTheme="majorHAnsi" w:cstheme="majorHAnsi"/>
          <w:szCs w:val="22"/>
        </w:rPr>
        <w:t>is</w:t>
      </w:r>
      <w:r>
        <w:rPr>
          <w:rFonts w:asciiTheme="majorHAnsi" w:hAnsiTheme="majorHAnsi" w:cstheme="majorHAnsi"/>
          <w:szCs w:val="22"/>
        </w:rPr>
        <w:t xml:space="preserve"> </w:t>
      </w:r>
      <w:r w:rsidR="001811A3">
        <w:rPr>
          <w:rFonts w:asciiTheme="majorHAnsi" w:hAnsiTheme="majorHAnsi" w:cstheme="majorHAnsi"/>
          <w:szCs w:val="22"/>
        </w:rPr>
        <w:t>a key barrier to seeking support and advice</w:t>
      </w:r>
      <w:r w:rsidR="00413E89">
        <w:rPr>
          <w:rFonts w:asciiTheme="majorHAnsi" w:hAnsiTheme="majorHAnsi" w:cstheme="majorHAnsi"/>
          <w:szCs w:val="22"/>
        </w:rPr>
        <w:t>. Young peo</w:t>
      </w:r>
      <w:r w:rsidR="00734D96">
        <w:rPr>
          <w:rFonts w:asciiTheme="majorHAnsi" w:hAnsiTheme="majorHAnsi" w:cstheme="majorHAnsi"/>
          <w:szCs w:val="22"/>
        </w:rPr>
        <w:t>ple remark</w:t>
      </w:r>
      <w:r w:rsidR="00413E89">
        <w:rPr>
          <w:rFonts w:asciiTheme="majorHAnsi" w:hAnsiTheme="majorHAnsi" w:cstheme="majorHAnsi"/>
          <w:szCs w:val="22"/>
        </w:rPr>
        <w:t xml:space="preserve"> that a public health approach, </w:t>
      </w:r>
      <w:r w:rsidR="00734D96">
        <w:rPr>
          <w:rFonts w:asciiTheme="majorHAnsi" w:hAnsiTheme="majorHAnsi" w:cstheme="majorHAnsi"/>
          <w:szCs w:val="22"/>
        </w:rPr>
        <w:t>which includes</w:t>
      </w:r>
      <w:r w:rsidR="00413E89">
        <w:rPr>
          <w:rFonts w:asciiTheme="majorHAnsi" w:hAnsiTheme="majorHAnsi" w:cstheme="majorHAnsi"/>
          <w:szCs w:val="22"/>
        </w:rPr>
        <w:t xml:space="preserve"> support and education</w:t>
      </w:r>
      <w:r w:rsidR="00734D96">
        <w:rPr>
          <w:rFonts w:asciiTheme="majorHAnsi" w:hAnsiTheme="majorHAnsi" w:cstheme="majorHAnsi"/>
          <w:szCs w:val="22"/>
        </w:rPr>
        <w:t xml:space="preserve"> for all young people</w:t>
      </w:r>
      <w:r w:rsidR="00863B3C">
        <w:rPr>
          <w:rFonts w:asciiTheme="majorHAnsi" w:hAnsiTheme="majorHAnsi" w:cstheme="majorHAnsi"/>
          <w:szCs w:val="22"/>
        </w:rPr>
        <w:t>,</w:t>
      </w:r>
      <w:r w:rsidR="00413E89">
        <w:rPr>
          <w:rFonts w:asciiTheme="majorHAnsi" w:hAnsiTheme="majorHAnsi" w:cstheme="majorHAnsi"/>
          <w:szCs w:val="22"/>
        </w:rPr>
        <w:t xml:space="preserve"> </w:t>
      </w:r>
      <w:r>
        <w:rPr>
          <w:rFonts w:asciiTheme="majorHAnsi" w:hAnsiTheme="majorHAnsi" w:cstheme="majorHAnsi"/>
          <w:szCs w:val="22"/>
        </w:rPr>
        <w:t>could</w:t>
      </w:r>
      <w:r w:rsidR="00066E25">
        <w:rPr>
          <w:rFonts w:asciiTheme="majorHAnsi" w:hAnsiTheme="majorHAnsi" w:cstheme="majorHAnsi"/>
          <w:szCs w:val="22"/>
        </w:rPr>
        <w:t xml:space="preserve"> help to</w:t>
      </w:r>
      <w:r>
        <w:rPr>
          <w:rFonts w:asciiTheme="majorHAnsi" w:hAnsiTheme="majorHAnsi" w:cstheme="majorHAnsi"/>
          <w:szCs w:val="22"/>
        </w:rPr>
        <w:t xml:space="preserve"> </w:t>
      </w:r>
      <w:r w:rsidR="00863B3C">
        <w:rPr>
          <w:rFonts w:asciiTheme="majorHAnsi" w:hAnsiTheme="majorHAnsi" w:cstheme="majorHAnsi"/>
          <w:szCs w:val="22"/>
        </w:rPr>
        <w:t>normalise the need for</w:t>
      </w:r>
      <w:r w:rsidR="00413E89">
        <w:rPr>
          <w:rFonts w:asciiTheme="majorHAnsi" w:hAnsiTheme="majorHAnsi" w:cstheme="majorHAnsi"/>
          <w:szCs w:val="22"/>
        </w:rPr>
        <w:t xml:space="preserve"> support for mental health concerns.</w:t>
      </w:r>
    </w:p>
    <w:p w14:paraId="7D1BDD58" w14:textId="5EB81331" w:rsidR="00E30BCF" w:rsidRPr="00413E89" w:rsidRDefault="004A62B7" w:rsidP="008F12D9">
      <w:pPr>
        <w:spacing w:before="120" w:after="160" w:line="259" w:lineRule="auto"/>
        <w:rPr>
          <w:rFonts w:asciiTheme="majorHAnsi" w:hAnsiTheme="majorHAnsi" w:cstheme="majorHAnsi"/>
          <w:b/>
          <w:szCs w:val="22"/>
        </w:rPr>
      </w:pPr>
      <w:r w:rsidRPr="004D5C06">
        <w:rPr>
          <w:rFonts w:asciiTheme="majorHAnsi" w:hAnsiTheme="majorHAnsi" w:cstheme="majorHAnsi"/>
          <w:noProof/>
          <w:szCs w:val="22"/>
          <w:lang w:eastAsia="en-AU"/>
        </w:rPr>
        <mc:AlternateContent>
          <mc:Choice Requires="wps">
            <w:drawing>
              <wp:anchor distT="45720" distB="45720" distL="114300" distR="114300" simplePos="0" relativeHeight="251665408" behindDoc="0" locked="0" layoutInCell="1" allowOverlap="1" wp14:anchorId="67D6F9EF" wp14:editId="489685AB">
                <wp:simplePos x="0" y="0"/>
                <wp:positionH relativeFrom="margin">
                  <wp:align>right</wp:align>
                </wp:positionH>
                <wp:positionV relativeFrom="paragraph">
                  <wp:posOffset>634799</wp:posOffset>
                </wp:positionV>
                <wp:extent cx="5695950" cy="3601720"/>
                <wp:effectExtent l="0" t="0" r="19050" b="1778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3601720"/>
                        </a:xfrm>
                        <a:prstGeom prst="rect">
                          <a:avLst/>
                        </a:prstGeom>
                        <a:solidFill>
                          <a:schemeClr val="bg1">
                            <a:lumMod val="95000"/>
                          </a:schemeClr>
                        </a:solidFill>
                        <a:ln w="9525">
                          <a:solidFill>
                            <a:srgbClr val="000000"/>
                          </a:solidFill>
                          <a:miter lim="800000"/>
                          <a:headEnd/>
                          <a:tailEnd/>
                        </a:ln>
                      </wps:spPr>
                      <wps:txbx>
                        <w:txbxContent>
                          <w:p w14:paraId="14CAC998" w14:textId="77777777" w:rsidR="004A62B7" w:rsidRDefault="004A62B7" w:rsidP="004A62B7">
                            <w:pPr>
                              <w:rPr>
                                <w:rFonts w:ascii="Arial" w:hAnsi="Arial" w:cs="Arial"/>
                                <w:b/>
                                <w:szCs w:val="22"/>
                              </w:rPr>
                            </w:pPr>
                          </w:p>
                          <w:p w14:paraId="42A48E61" w14:textId="77777777" w:rsidR="004A62B7" w:rsidRPr="004A62B7" w:rsidRDefault="004A62B7" w:rsidP="004A62B7">
                            <w:pPr>
                              <w:rPr>
                                <w:rFonts w:asciiTheme="majorHAnsi" w:hAnsiTheme="majorHAnsi" w:cstheme="majorHAnsi"/>
                                <w:b/>
                                <w:szCs w:val="22"/>
                              </w:rPr>
                            </w:pPr>
                            <w:r w:rsidRPr="004A62B7">
                              <w:rPr>
                                <w:rFonts w:asciiTheme="majorHAnsi" w:hAnsiTheme="majorHAnsi" w:cstheme="majorHAnsi"/>
                                <w:b/>
                                <w:szCs w:val="22"/>
                              </w:rPr>
                              <w:t xml:space="preserve">Recommendation </w:t>
                            </w:r>
                          </w:p>
                          <w:p w14:paraId="3DF707FD" w14:textId="77777777" w:rsidR="004A62B7" w:rsidRPr="004A62B7" w:rsidRDefault="004A62B7" w:rsidP="004A62B7">
                            <w:pPr>
                              <w:rPr>
                                <w:rFonts w:asciiTheme="majorHAnsi" w:hAnsiTheme="majorHAnsi" w:cstheme="majorHAnsi"/>
                                <w:szCs w:val="22"/>
                              </w:rPr>
                            </w:pPr>
                          </w:p>
                          <w:p w14:paraId="48FA4C34" w14:textId="77777777" w:rsidR="004A62B7" w:rsidRDefault="004A62B7" w:rsidP="004A62B7">
                            <w:pPr>
                              <w:rPr>
                                <w:rFonts w:asciiTheme="majorHAnsi" w:hAnsiTheme="majorHAnsi" w:cstheme="majorHAnsi"/>
                                <w:szCs w:val="22"/>
                              </w:rPr>
                            </w:pPr>
                            <w:r>
                              <w:rPr>
                                <w:rFonts w:asciiTheme="majorHAnsi" w:hAnsiTheme="majorHAnsi" w:cstheme="majorHAnsi"/>
                                <w:szCs w:val="22"/>
                              </w:rPr>
                              <w:t>The QFCC recommends:</w:t>
                            </w:r>
                          </w:p>
                          <w:p w14:paraId="2838402A" w14:textId="097541A1" w:rsidR="004A62B7" w:rsidRPr="004A62B7" w:rsidRDefault="004A62B7" w:rsidP="004A62B7">
                            <w:pPr>
                              <w:pStyle w:val="ListParagraph"/>
                              <w:numPr>
                                <w:ilvl w:val="0"/>
                                <w:numId w:val="17"/>
                              </w:numPr>
                              <w:rPr>
                                <w:rFonts w:asciiTheme="majorHAnsi" w:hAnsiTheme="majorHAnsi" w:cstheme="majorHAnsi"/>
                                <w:szCs w:val="22"/>
                              </w:rPr>
                            </w:pPr>
                            <w:r w:rsidRPr="004A62B7">
                              <w:rPr>
                                <w:rFonts w:asciiTheme="majorHAnsi" w:hAnsiTheme="majorHAnsi" w:cstheme="majorHAnsi"/>
                                <w:szCs w:val="22"/>
                              </w:rPr>
                              <w:t>the public health approach includes targeted mental health education, positive promotion of mental health support, and generalised mental health check</w:t>
                            </w:r>
                            <w:r w:rsidRPr="004A62B7">
                              <w:rPr>
                                <w:rFonts w:asciiTheme="majorHAnsi" w:hAnsiTheme="majorHAnsi" w:cstheme="majorHAnsi"/>
                                <w:szCs w:val="22"/>
                              </w:rPr>
                              <w:noBreakHyphen/>
                              <w:t>ups for all children and young people. that the Productivity Commission notes children and young people’s responses indicating existing mental health promotion programs are not reaching them</w:t>
                            </w:r>
                          </w:p>
                          <w:p w14:paraId="11024315" w14:textId="77777777" w:rsidR="004A62B7" w:rsidRPr="004A62B7" w:rsidRDefault="004A62B7" w:rsidP="004A62B7">
                            <w:pPr>
                              <w:pStyle w:val="ListParagraph"/>
                              <w:numPr>
                                <w:ilvl w:val="0"/>
                                <w:numId w:val="17"/>
                              </w:numPr>
                              <w:rPr>
                                <w:rFonts w:asciiTheme="majorHAnsi" w:hAnsiTheme="majorHAnsi" w:cstheme="majorHAnsi"/>
                                <w:szCs w:val="22"/>
                              </w:rPr>
                            </w:pPr>
                            <w:r w:rsidRPr="004A62B7">
                              <w:rPr>
                                <w:rFonts w:asciiTheme="majorHAnsi" w:hAnsiTheme="majorHAnsi" w:cstheme="majorHAnsi"/>
                                <w:szCs w:val="22"/>
                              </w:rPr>
                              <w:t>mental health promotion and primary interventions are targeted through educational environments and consider impacts of academic workload and other pressures on mental wellbeing</w:t>
                            </w:r>
                          </w:p>
                          <w:p w14:paraId="1ED43C78" w14:textId="77777777" w:rsidR="004A62B7" w:rsidRPr="004A62B7" w:rsidRDefault="004A62B7" w:rsidP="004A62B7">
                            <w:pPr>
                              <w:pStyle w:val="ListParagraph"/>
                              <w:numPr>
                                <w:ilvl w:val="0"/>
                                <w:numId w:val="17"/>
                              </w:numPr>
                              <w:rPr>
                                <w:rFonts w:asciiTheme="majorHAnsi" w:hAnsiTheme="majorHAnsi" w:cstheme="majorHAnsi"/>
                                <w:szCs w:val="22"/>
                              </w:rPr>
                            </w:pPr>
                            <w:r w:rsidRPr="004A62B7">
                              <w:rPr>
                                <w:rFonts w:asciiTheme="majorHAnsi" w:hAnsiTheme="majorHAnsi" w:cstheme="majorHAnsi"/>
                                <w:szCs w:val="22"/>
                              </w:rPr>
                              <w:t>peer</w:t>
                            </w:r>
                            <w:r w:rsidRPr="004A62B7">
                              <w:rPr>
                                <w:rFonts w:asciiTheme="majorHAnsi" w:hAnsiTheme="majorHAnsi" w:cstheme="majorHAnsi"/>
                                <w:szCs w:val="22"/>
                              </w:rPr>
                              <w:noBreakHyphen/>
                              <w:t>support training and information initiatives are implemented as a way of building children and young people’s capacity to help one another</w:t>
                            </w:r>
                          </w:p>
                          <w:p w14:paraId="4F209824" w14:textId="77777777" w:rsidR="004A62B7" w:rsidRPr="004A62B7" w:rsidRDefault="004A62B7" w:rsidP="004A62B7">
                            <w:pPr>
                              <w:pStyle w:val="ListParagraph"/>
                              <w:numPr>
                                <w:ilvl w:val="0"/>
                                <w:numId w:val="17"/>
                              </w:numPr>
                              <w:rPr>
                                <w:rFonts w:asciiTheme="majorHAnsi" w:hAnsiTheme="majorHAnsi" w:cstheme="majorHAnsi"/>
                                <w:szCs w:val="22"/>
                              </w:rPr>
                            </w:pPr>
                            <w:r w:rsidRPr="004A62B7">
                              <w:rPr>
                                <w:rFonts w:asciiTheme="majorHAnsi" w:hAnsiTheme="majorHAnsi" w:cstheme="majorHAnsi"/>
                                <w:szCs w:val="22"/>
                              </w:rPr>
                              <w:t>children and young people in the child protection and youth justice systems receive specific and targeted responses</w:t>
                            </w:r>
                          </w:p>
                          <w:p w14:paraId="30798109" w14:textId="77777777" w:rsidR="004A62B7" w:rsidRPr="004A62B7" w:rsidRDefault="004A62B7" w:rsidP="004A62B7">
                            <w:pPr>
                              <w:pStyle w:val="ListParagraph"/>
                              <w:numPr>
                                <w:ilvl w:val="0"/>
                                <w:numId w:val="17"/>
                              </w:numPr>
                              <w:rPr>
                                <w:rFonts w:asciiTheme="majorHAnsi" w:hAnsiTheme="majorHAnsi" w:cstheme="majorHAnsi"/>
                                <w:szCs w:val="22"/>
                              </w:rPr>
                            </w:pPr>
                            <w:r w:rsidRPr="004A62B7">
                              <w:rPr>
                                <w:rFonts w:asciiTheme="majorHAnsi" w:hAnsiTheme="majorHAnsi" w:cstheme="majorHAnsi"/>
                                <w:szCs w:val="22"/>
                              </w:rPr>
                              <w:t>frontline staff are equipped with ‘mental health first aid’ skills to identify and respond to young people in distress particularly staff in police, ambulance, youth justice, domestic and family violence, drug and alcohol, housing and child protection services</w:t>
                            </w:r>
                          </w:p>
                          <w:p w14:paraId="4057F596" w14:textId="77777777" w:rsidR="004A62B7" w:rsidRPr="004A62B7" w:rsidRDefault="004A62B7" w:rsidP="004A62B7">
                            <w:pPr>
                              <w:pStyle w:val="ListParagraph"/>
                              <w:numPr>
                                <w:ilvl w:val="0"/>
                                <w:numId w:val="17"/>
                              </w:numPr>
                              <w:rPr>
                                <w:rFonts w:asciiTheme="majorHAnsi" w:hAnsiTheme="majorHAnsi" w:cstheme="majorHAnsi"/>
                                <w:szCs w:val="22"/>
                              </w:rPr>
                            </w:pPr>
                            <w:r w:rsidRPr="004A62B7">
                              <w:rPr>
                                <w:rFonts w:asciiTheme="majorHAnsi" w:hAnsiTheme="majorHAnsi" w:cstheme="majorHAnsi"/>
                                <w:szCs w:val="22"/>
                              </w:rPr>
                              <w:t xml:space="preserve">anti-bullying and anti-cyberbullying initiatives continue to remain a national focus. </w:t>
                            </w:r>
                          </w:p>
                          <w:p w14:paraId="454A31D2" w14:textId="77777777" w:rsidR="004A62B7" w:rsidRPr="004A62B7" w:rsidRDefault="004A62B7" w:rsidP="004A62B7">
                            <w:pPr>
                              <w:rPr>
                                <w:rFonts w:asciiTheme="majorHAnsi" w:hAnsiTheme="majorHAnsi" w:cstheme="majorHAnsi"/>
                                <w:szCs w:val="22"/>
                              </w:rPr>
                            </w:pPr>
                          </w:p>
                          <w:p w14:paraId="4A661157" w14:textId="77777777" w:rsidR="004A62B7" w:rsidRDefault="004A62B7" w:rsidP="004A62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7D6F9EF" id="_x0000_s1028" type="#_x0000_t202" style="position:absolute;margin-left:397.3pt;margin-top:50pt;width:448.5pt;height:283.6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" fillcolor="#f2f2f2 [3052]">
                <v:textbox>
                  <w:txbxContent>
                    <w:p w14:paraId="14CAC998" w14:textId="77777777" w:rsidR="004A62B7" w:rsidRDefault="004A62B7" w:rsidP="004A62B7">
                      <w:pPr>
                        <w:rPr>
                          <w:rFonts w:ascii="Arial" w:hAnsi="Arial" w:cs="Arial"/>
                          <w:b/>
                          <w:szCs w:val="22"/>
                        </w:rPr>
                      </w:pPr>
                    </w:p>
                    <w:p w14:paraId="42A48E61" w14:textId="77777777" w:rsidR="004A62B7" w:rsidRPr="004A62B7" w:rsidRDefault="004A62B7" w:rsidP="004A62B7">
                      <w:pPr>
                        <w:rPr>
                          <w:rFonts w:asciiTheme="majorHAnsi" w:hAnsiTheme="majorHAnsi" w:cstheme="majorHAnsi"/>
                          <w:b/>
                          <w:szCs w:val="22"/>
                        </w:rPr>
                      </w:pPr>
                      <w:r w:rsidRPr="004A62B7">
                        <w:rPr>
                          <w:rFonts w:asciiTheme="majorHAnsi" w:hAnsiTheme="majorHAnsi" w:cstheme="majorHAnsi"/>
                          <w:b/>
                          <w:szCs w:val="22"/>
                        </w:rPr>
                        <w:t xml:space="preserve">Recommendation </w:t>
                      </w:r>
                    </w:p>
                    <w:p w14:paraId="3DF707FD" w14:textId="77777777" w:rsidR="004A62B7" w:rsidRPr="004A62B7" w:rsidRDefault="004A62B7" w:rsidP="004A62B7">
                      <w:pPr>
                        <w:rPr>
                          <w:rFonts w:asciiTheme="majorHAnsi" w:hAnsiTheme="majorHAnsi" w:cstheme="majorHAnsi"/>
                          <w:szCs w:val="22"/>
                        </w:rPr>
                      </w:pPr>
                    </w:p>
                    <w:p w14:paraId="48FA4C34" w14:textId="77777777" w:rsidR="004A62B7" w:rsidRDefault="004A62B7" w:rsidP="004A62B7">
                      <w:pPr>
                        <w:rPr>
                          <w:rFonts w:asciiTheme="majorHAnsi" w:hAnsiTheme="majorHAnsi" w:cstheme="majorHAnsi"/>
                          <w:szCs w:val="22"/>
                        </w:rPr>
                      </w:pPr>
                      <w:r>
                        <w:rPr>
                          <w:rFonts w:asciiTheme="majorHAnsi" w:hAnsiTheme="majorHAnsi" w:cstheme="majorHAnsi"/>
                          <w:szCs w:val="22"/>
                        </w:rPr>
                        <w:t>The QFCC recommends:</w:t>
                      </w:r>
                    </w:p>
                    <w:p w14:paraId="2838402A" w14:textId="097541A1" w:rsidR="004A62B7" w:rsidRPr="004A62B7" w:rsidRDefault="004A62B7" w:rsidP="004A62B7">
                      <w:pPr>
                        <w:pStyle w:val="ListParagraph"/>
                        <w:numPr>
                          <w:ilvl w:val="0"/>
                          <w:numId w:val="17"/>
                        </w:numPr>
                        <w:rPr>
                          <w:rFonts w:asciiTheme="majorHAnsi" w:hAnsiTheme="majorHAnsi" w:cstheme="majorHAnsi"/>
                          <w:szCs w:val="22"/>
                        </w:rPr>
                      </w:pPr>
                      <w:r w:rsidRPr="004A62B7">
                        <w:rPr>
                          <w:rFonts w:asciiTheme="majorHAnsi" w:hAnsiTheme="majorHAnsi" w:cstheme="majorHAnsi"/>
                          <w:szCs w:val="22"/>
                        </w:rPr>
                        <w:t>the public health approach includes targeted mental health education, positive promotion of mental health support, and generalised mental health check</w:t>
                      </w:r>
                      <w:r w:rsidRPr="004A62B7">
                        <w:rPr>
                          <w:rFonts w:asciiTheme="majorHAnsi" w:hAnsiTheme="majorHAnsi" w:cstheme="majorHAnsi"/>
                          <w:szCs w:val="22"/>
                        </w:rPr>
                        <w:noBreakHyphen/>
                        <w:t>ups for all children and young people. that the Productivity Commission notes children and young people’s responses indicating existing mental health promotion programs are not reaching them</w:t>
                      </w:r>
                    </w:p>
                    <w:p w14:paraId="11024315" w14:textId="77777777" w:rsidR="004A62B7" w:rsidRPr="004A62B7" w:rsidRDefault="004A62B7" w:rsidP="004A62B7">
                      <w:pPr>
                        <w:pStyle w:val="ListParagraph"/>
                        <w:numPr>
                          <w:ilvl w:val="0"/>
                          <w:numId w:val="17"/>
                        </w:numPr>
                        <w:rPr>
                          <w:rFonts w:asciiTheme="majorHAnsi" w:hAnsiTheme="majorHAnsi" w:cstheme="majorHAnsi"/>
                          <w:szCs w:val="22"/>
                        </w:rPr>
                      </w:pPr>
                      <w:r w:rsidRPr="004A62B7">
                        <w:rPr>
                          <w:rFonts w:asciiTheme="majorHAnsi" w:hAnsiTheme="majorHAnsi" w:cstheme="majorHAnsi"/>
                          <w:szCs w:val="22"/>
                        </w:rPr>
                        <w:t>mental health promotion and primary interventions are targeted through educational environments and consider impacts of academic workload and other pressures on mental wellbeing</w:t>
                      </w:r>
                    </w:p>
                    <w:p w14:paraId="1ED43C78" w14:textId="77777777" w:rsidR="004A62B7" w:rsidRPr="004A62B7" w:rsidRDefault="004A62B7" w:rsidP="004A62B7">
                      <w:pPr>
                        <w:pStyle w:val="ListParagraph"/>
                        <w:numPr>
                          <w:ilvl w:val="0"/>
                          <w:numId w:val="17"/>
                        </w:numPr>
                        <w:rPr>
                          <w:rFonts w:asciiTheme="majorHAnsi" w:hAnsiTheme="majorHAnsi" w:cstheme="majorHAnsi"/>
                          <w:szCs w:val="22"/>
                        </w:rPr>
                      </w:pPr>
                      <w:r w:rsidRPr="004A62B7">
                        <w:rPr>
                          <w:rFonts w:asciiTheme="majorHAnsi" w:hAnsiTheme="majorHAnsi" w:cstheme="majorHAnsi"/>
                          <w:szCs w:val="22"/>
                        </w:rPr>
                        <w:t>peer</w:t>
                      </w:r>
                      <w:r w:rsidRPr="004A62B7">
                        <w:rPr>
                          <w:rFonts w:asciiTheme="majorHAnsi" w:hAnsiTheme="majorHAnsi" w:cstheme="majorHAnsi"/>
                          <w:szCs w:val="22"/>
                        </w:rPr>
                        <w:noBreakHyphen/>
                        <w:t>support training and information initiatives are implemented as a way of building children and young people’s capacity to help one another</w:t>
                      </w:r>
                    </w:p>
                    <w:p w14:paraId="4F209824" w14:textId="77777777" w:rsidR="004A62B7" w:rsidRPr="004A62B7" w:rsidRDefault="004A62B7" w:rsidP="004A62B7">
                      <w:pPr>
                        <w:pStyle w:val="ListParagraph"/>
                        <w:numPr>
                          <w:ilvl w:val="0"/>
                          <w:numId w:val="17"/>
                        </w:numPr>
                        <w:rPr>
                          <w:rFonts w:asciiTheme="majorHAnsi" w:hAnsiTheme="majorHAnsi" w:cstheme="majorHAnsi"/>
                          <w:szCs w:val="22"/>
                        </w:rPr>
                      </w:pPr>
                      <w:r w:rsidRPr="004A62B7">
                        <w:rPr>
                          <w:rFonts w:asciiTheme="majorHAnsi" w:hAnsiTheme="majorHAnsi" w:cstheme="majorHAnsi"/>
                          <w:szCs w:val="22"/>
                        </w:rPr>
                        <w:t>children and young people in the child protection and youth justice systems receive specific and targeted responses</w:t>
                      </w:r>
                    </w:p>
                    <w:p w14:paraId="30798109" w14:textId="77777777" w:rsidR="004A62B7" w:rsidRPr="004A62B7" w:rsidRDefault="004A62B7" w:rsidP="004A62B7">
                      <w:pPr>
                        <w:pStyle w:val="ListParagraph"/>
                        <w:numPr>
                          <w:ilvl w:val="0"/>
                          <w:numId w:val="17"/>
                        </w:numPr>
                        <w:rPr>
                          <w:rFonts w:asciiTheme="majorHAnsi" w:hAnsiTheme="majorHAnsi" w:cstheme="majorHAnsi"/>
                          <w:szCs w:val="22"/>
                        </w:rPr>
                      </w:pPr>
                      <w:r w:rsidRPr="004A62B7">
                        <w:rPr>
                          <w:rFonts w:asciiTheme="majorHAnsi" w:hAnsiTheme="majorHAnsi" w:cstheme="majorHAnsi"/>
                          <w:szCs w:val="22"/>
                        </w:rPr>
                        <w:t>frontline staff are equipped with ‘mental health first aid’ skills to identify and respond to young people in distress particularly staff in police, ambulance, youth justice, domestic and family violence, drug and alcohol, housing and child protection services</w:t>
                      </w:r>
                    </w:p>
                    <w:p w14:paraId="4057F596" w14:textId="77777777" w:rsidR="004A62B7" w:rsidRPr="004A62B7" w:rsidRDefault="004A62B7" w:rsidP="004A62B7">
                      <w:pPr>
                        <w:pStyle w:val="ListParagraph"/>
                        <w:numPr>
                          <w:ilvl w:val="0"/>
                          <w:numId w:val="17"/>
                        </w:numPr>
                        <w:rPr>
                          <w:rFonts w:asciiTheme="majorHAnsi" w:hAnsiTheme="majorHAnsi" w:cstheme="majorHAnsi"/>
                          <w:szCs w:val="22"/>
                        </w:rPr>
                      </w:pPr>
                      <w:r w:rsidRPr="004A62B7">
                        <w:rPr>
                          <w:rFonts w:asciiTheme="majorHAnsi" w:hAnsiTheme="majorHAnsi" w:cstheme="majorHAnsi"/>
                          <w:szCs w:val="22"/>
                        </w:rPr>
                        <w:t xml:space="preserve">anti-bullying and anti-cyberbullying initiatives continue to remain a national focus. </w:t>
                      </w:r>
                    </w:p>
                    <w:p w14:paraId="454A31D2" w14:textId="77777777" w:rsidR="004A62B7" w:rsidRPr="004A62B7" w:rsidRDefault="004A62B7" w:rsidP="004A62B7">
                      <w:pPr>
                        <w:rPr>
                          <w:rFonts w:asciiTheme="majorHAnsi" w:hAnsiTheme="majorHAnsi" w:cstheme="majorHAnsi"/>
                          <w:szCs w:val="22"/>
                        </w:rPr>
                      </w:pPr>
                    </w:p>
                    <w:p w14:paraId="4A661157" w14:textId="77777777" w:rsidR="004A62B7" w:rsidRDefault="004A62B7" w:rsidP="004A62B7"/>
                  </w:txbxContent>
                </v:textbox>
                <w10:wrap type="square" anchorx="margin"/>
              </v:shape>
            </w:pict>
          </mc:Fallback>
        </mc:AlternateContent>
      </w:r>
      <w:r w:rsidR="00E30BCF" w:rsidRPr="00413E89">
        <w:rPr>
          <w:rFonts w:asciiTheme="majorHAnsi" w:hAnsiTheme="majorHAnsi" w:cstheme="majorHAnsi"/>
          <w:b/>
          <w:szCs w:val="22"/>
        </w:rPr>
        <w:t xml:space="preserve">Which forms of mental health promotion are effective in improving population mental health in either the short or longer term? </w:t>
      </w:r>
      <w:r w:rsidR="00734D96">
        <w:rPr>
          <w:rFonts w:asciiTheme="majorHAnsi" w:hAnsiTheme="majorHAnsi" w:cstheme="majorHAnsi"/>
          <w:b/>
          <w:szCs w:val="22"/>
        </w:rPr>
        <w:t>Do</w:t>
      </w:r>
      <w:r w:rsidR="001A652F" w:rsidRPr="00745A6F">
        <w:rPr>
          <w:rFonts w:asciiTheme="majorHAnsi" w:hAnsiTheme="majorHAnsi" w:cstheme="majorHAnsi"/>
          <w:b/>
          <w:szCs w:val="22"/>
        </w:rPr>
        <w:t xml:space="preserve"> students have access to adequate mental health-related support and education? If not, what are the gaps?</w:t>
      </w:r>
    </w:p>
    <w:p w14:paraId="14C0EA38" w14:textId="77777777" w:rsidR="009E250A" w:rsidRDefault="009E250A">
      <w:pPr>
        <w:spacing w:after="160" w:line="259" w:lineRule="auto"/>
        <w:rPr>
          <w:rFonts w:asciiTheme="majorHAnsi" w:hAnsiTheme="majorHAnsi" w:cstheme="majorHAnsi"/>
          <w:szCs w:val="22"/>
        </w:rPr>
      </w:pPr>
      <w:r>
        <w:rPr>
          <w:rFonts w:asciiTheme="majorHAnsi" w:hAnsiTheme="majorHAnsi" w:cstheme="majorHAnsi"/>
          <w:szCs w:val="22"/>
        </w:rPr>
        <w:br w:type="page"/>
      </w:r>
    </w:p>
    <w:p w14:paraId="310773ED" w14:textId="780FE494" w:rsidR="00745A6F" w:rsidRDefault="000A6F57" w:rsidP="004626F4">
      <w:pPr>
        <w:spacing w:after="160" w:line="259" w:lineRule="auto"/>
        <w:rPr>
          <w:rFonts w:asciiTheme="majorHAnsi" w:hAnsiTheme="majorHAnsi" w:cstheme="majorHAnsi"/>
          <w:szCs w:val="22"/>
        </w:rPr>
      </w:pPr>
      <w:r>
        <w:rPr>
          <w:rFonts w:asciiTheme="majorHAnsi" w:hAnsiTheme="majorHAnsi" w:cstheme="majorHAnsi"/>
          <w:szCs w:val="22"/>
        </w:rPr>
        <w:lastRenderedPageBreak/>
        <w:t>Young people report that much of what they know about mental health and wellbeing and mental illness comes from direct experience and what they witness in others.</w:t>
      </w:r>
      <w:r w:rsidR="00745A6F">
        <w:rPr>
          <w:rFonts w:asciiTheme="majorHAnsi" w:hAnsiTheme="majorHAnsi" w:cstheme="majorHAnsi"/>
          <w:szCs w:val="22"/>
        </w:rPr>
        <w:t xml:space="preserve"> </w:t>
      </w:r>
      <w:r w:rsidR="00734D96">
        <w:rPr>
          <w:rFonts w:asciiTheme="majorHAnsi" w:hAnsiTheme="majorHAnsi" w:cstheme="majorHAnsi"/>
          <w:szCs w:val="22"/>
        </w:rPr>
        <w:t>This indicates</w:t>
      </w:r>
      <w:r w:rsidR="00745A6F">
        <w:rPr>
          <w:rFonts w:asciiTheme="majorHAnsi" w:hAnsiTheme="majorHAnsi" w:cstheme="majorHAnsi"/>
          <w:szCs w:val="22"/>
        </w:rPr>
        <w:t xml:space="preserve"> that existing mental health promotion programs are not reaching a key audience</w:t>
      </w:r>
      <w:r w:rsidR="00637BE6">
        <w:rPr>
          <w:rFonts w:asciiTheme="majorHAnsi" w:hAnsiTheme="majorHAnsi" w:cstheme="majorHAnsi"/>
          <w:szCs w:val="22"/>
        </w:rPr>
        <w:t>, and that investment in this area may not be effectively delivering outcomes</w:t>
      </w:r>
      <w:r w:rsidR="00745A6F">
        <w:rPr>
          <w:rFonts w:asciiTheme="majorHAnsi" w:hAnsiTheme="majorHAnsi" w:cstheme="majorHAnsi"/>
          <w:szCs w:val="22"/>
        </w:rPr>
        <w:t>.</w:t>
      </w:r>
    </w:p>
    <w:p w14:paraId="05F727CA" w14:textId="664C16AA" w:rsidR="00D41F77" w:rsidRDefault="00D41F77" w:rsidP="004626F4">
      <w:pPr>
        <w:spacing w:after="160" w:line="259" w:lineRule="auto"/>
        <w:rPr>
          <w:rFonts w:asciiTheme="majorHAnsi" w:hAnsiTheme="majorHAnsi" w:cstheme="majorHAnsi"/>
          <w:szCs w:val="22"/>
        </w:rPr>
      </w:pPr>
      <w:r>
        <w:rPr>
          <w:rFonts w:asciiTheme="majorHAnsi" w:hAnsiTheme="majorHAnsi" w:cstheme="majorHAnsi"/>
          <w:szCs w:val="22"/>
        </w:rPr>
        <w:t xml:space="preserve">Young people </w:t>
      </w:r>
      <w:r w:rsidR="00734D96">
        <w:rPr>
          <w:rFonts w:asciiTheme="majorHAnsi" w:hAnsiTheme="majorHAnsi" w:cstheme="majorHAnsi"/>
          <w:szCs w:val="22"/>
        </w:rPr>
        <w:t>told the QFCC</w:t>
      </w:r>
      <w:r w:rsidR="00745A6F">
        <w:rPr>
          <w:rFonts w:asciiTheme="majorHAnsi" w:hAnsiTheme="majorHAnsi" w:cstheme="majorHAnsi"/>
          <w:szCs w:val="22"/>
        </w:rPr>
        <w:t xml:space="preserve"> that speaking</w:t>
      </w:r>
      <w:r>
        <w:rPr>
          <w:rFonts w:asciiTheme="majorHAnsi" w:hAnsiTheme="majorHAnsi" w:cstheme="majorHAnsi"/>
          <w:szCs w:val="22"/>
        </w:rPr>
        <w:t xml:space="preserve"> to counsellors </w:t>
      </w:r>
      <w:r w:rsidR="00745A6F">
        <w:rPr>
          <w:rFonts w:asciiTheme="majorHAnsi" w:hAnsiTheme="majorHAnsi" w:cstheme="majorHAnsi"/>
          <w:szCs w:val="22"/>
        </w:rPr>
        <w:t>was a good strategy for</w:t>
      </w:r>
      <w:r>
        <w:rPr>
          <w:rFonts w:asciiTheme="majorHAnsi" w:hAnsiTheme="majorHAnsi" w:cstheme="majorHAnsi"/>
          <w:szCs w:val="22"/>
        </w:rPr>
        <w:t xml:space="preserve"> address</w:t>
      </w:r>
      <w:r w:rsidR="00745A6F">
        <w:rPr>
          <w:rFonts w:asciiTheme="majorHAnsi" w:hAnsiTheme="majorHAnsi" w:cstheme="majorHAnsi"/>
          <w:szCs w:val="22"/>
        </w:rPr>
        <w:t>ing</w:t>
      </w:r>
      <w:r>
        <w:rPr>
          <w:rFonts w:asciiTheme="majorHAnsi" w:hAnsiTheme="majorHAnsi" w:cstheme="majorHAnsi"/>
          <w:szCs w:val="22"/>
        </w:rPr>
        <w:t xml:space="preserve"> men</w:t>
      </w:r>
      <w:r w:rsidR="00376E23">
        <w:rPr>
          <w:rFonts w:asciiTheme="majorHAnsi" w:hAnsiTheme="majorHAnsi" w:cstheme="majorHAnsi"/>
          <w:szCs w:val="22"/>
        </w:rPr>
        <w:t xml:space="preserve">tal health concerns. While this </w:t>
      </w:r>
      <w:r w:rsidR="00745A6F">
        <w:rPr>
          <w:rFonts w:asciiTheme="majorHAnsi" w:hAnsiTheme="majorHAnsi" w:cstheme="majorHAnsi"/>
          <w:szCs w:val="22"/>
        </w:rPr>
        <w:t xml:space="preserve">is </w:t>
      </w:r>
      <w:r w:rsidR="00376E23">
        <w:rPr>
          <w:rFonts w:asciiTheme="majorHAnsi" w:hAnsiTheme="majorHAnsi" w:cstheme="majorHAnsi"/>
          <w:szCs w:val="22"/>
        </w:rPr>
        <w:t xml:space="preserve">a good strategy, </w:t>
      </w:r>
      <w:r w:rsidR="00734D96">
        <w:rPr>
          <w:rFonts w:asciiTheme="majorHAnsi" w:hAnsiTheme="majorHAnsi" w:cstheme="majorHAnsi"/>
          <w:szCs w:val="22"/>
        </w:rPr>
        <w:t>it is important that all</w:t>
      </w:r>
      <w:r w:rsidR="00065084">
        <w:rPr>
          <w:rFonts w:asciiTheme="majorHAnsi" w:hAnsiTheme="majorHAnsi" w:cstheme="majorHAnsi"/>
          <w:szCs w:val="22"/>
        </w:rPr>
        <w:t xml:space="preserve"> professionals and community members in a child’s life, </w:t>
      </w:r>
      <w:r w:rsidR="00232CC0">
        <w:rPr>
          <w:rFonts w:asciiTheme="majorHAnsi" w:hAnsiTheme="majorHAnsi" w:cstheme="majorHAnsi"/>
          <w:szCs w:val="22"/>
        </w:rPr>
        <w:t>particularly</w:t>
      </w:r>
      <w:r w:rsidR="00734D96">
        <w:rPr>
          <w:rFonts w:asciiTheme="majorHAnsi" w:hAnsiTheme="majorHAnsi" w:cstheme="majorHAnsi"/>
          <w:szCs w:val="22"/>
        </w:rPr>
        <w:t xml:space="preserve"> parents and teachers, </w:t>
      </w:r>
      <w:r w:rsidR="00641DEE">
        <w:rPr>
          <w:rFonts w:asciiTheme="majorHAnsi" w:hAnsiTheme="majorHAnsi" w:cstheme="majorHAnsi"/>
          <w:szCs w:val="22"/>
        </w:rPr>
        <w:t xml:space="preserve">have skills and knowledge </w:t>
      </w:r>
      <w:r w:rsidR="00065084">
        <w:rPr>
          <w:rFonts w:asciiTheme="majorHAnsi" w:hAnsiTheme="majorHAnsi" w:cstheme="majorHAnsi"/>
          <w:szCs w:val="22"/>
        </w:rPr>
        <w:t xml:space="preserve">to put young people in touch with the support they need. </w:t>
      </w:r>
    </w:p>
    <w:p w14:paraId="75BE17F1" w14:textId="4DDF463C" w:rsidR="00376E23" w:rsidRDefault="00734D96" w:rsidP="004626F4">
      <w:pPr>
        <w:spacing w:after="160" w:line="259" w:lineRule="auto"/>
        <w:rPr>
          <w:rFonts w:asciiTheme="majorHAnsi" w:hAnsiTheme="majorHAnsi" w:cstheme="majorHAnsi"/>
          <w:szCs w:val="22"/>
        </w:rPr>
      </w:pPr>
      <w:r>
        <w:rPr>
          <w:rFonts w:asciiTheme="majorHAnsi" w:hAnsiTheme="majorHAnsi" w:cstheme="majorHAnsi"/>
          <w:szCs w:val="22"/>
        </w:rPr>
        <w:t>M</w:t>
      </w:r>
      <w:r w:rsidR="00376E23">
        <w:rPr>
          <w:rFonts w:asciiTheme="majorHAnsi" w:hAnsiTheme="majorHAnsi" w:cstheme="majorHAnsi"/>
          <w:szCs w:val="22"/>
        </w:rPr>
        <w:t xml:space="preserve">any young people </w:t>
      </w:r>
      <w:r>
        <w:rPr>
          <w:rFonts w:asciiTheme="majorHAnsi" w:hAnsiTheme="majorHAnsi" w:cstheme="majorHAnsi"/>
          <w:szCs w:val="22"/>
        </w:rPr>
        <w:t xml:space="preserve">the QFCC spoke to </w:t>
      </w:r>
      <w:r w:rsidR="00376E23">
        <w:rPr>
          <w:rFonts w:asciiTheme="majorHAnsi" w:hAnsiTheme="majorHAnsi" w:cstheme="majorHAnsi"/>
          <w:szCs w:val="22"/>
        </w:rPr>
        <w:t xml:space="preserve">did not know who their school </w:t>
      </w:r>
      <w:r w:rsidR="00745A6F">
        <w:rPr>
          <w:rFonts w:asciiTheme="majorHAnsi" w:hAnsiTheme="majorHAnsi" w:cstheme="majorHAnsi"/>
          <w:szCs w:val="22"/>
        </w:rPr>
        <w:t xml:space="preserve">counsellor </w:t>
      </w:r>
      <w:r w:rsidR="00376E23">
        <w:rPr>
          <w:rFonts w:asciiTheme="majorHAnsi" w:hAnsiTheme="majorHAnsi" w:cstheme="majorHAnsi"/>
          <w:szCs w:val="22"/>
        </w:rPr>
        <w:t xml:space="preserve">or guidance </w:t>
      </w:r>
      <w:r w:rsidR="00745A6F">
        <w:rPr>
          <w:rFonts w:asciiTheme="majorHAnsi" w:hAnsiTheme="majorHAnsi" w:cstheme="majorHAnsi"/>
          <w:szCs w:val="22"/>
        </w:rPr>
        <w:t>officer</w:t>
      </w:r>
      <w:r w:rsidR="007E7F32">
        <w:rPr>
          <w:rFonts w:asciiTheme="majorHAnsi" w:hAnsiTheme="majorHAnsi" w:cstheme="majorHAnsi"/>
          <w:szCs w:val="22"/>
        </w:rPr>
        <w:t xml:space="preserve"> </w:t>
      </w:r>
      <w:r w:rsidR="00641DEE">
        <w:rPr>
          <w:rFonts w:asciiTheme="majorHAnsi" w:hAnsiTheme="majorHAnsi" w:cstheme="majorHAnsi"/>
          <w:szCs w:val="22"/>
        </w:rPr>
        <w:t>was or how to access them</w:t>
      </w:r>
      <w:r w:rsidR="00376E23">
        <w:rPr>
          <w:rFonts w:asciiTheme="majorHAnsi" w:hAnsiTheme="majorHAnsi" w:cstheme="majorHAnsi"/>
          <w:szCs w:val="22"/>
        </w:rPr>
        <w:t xml:space="preserve">. </w:t>
      </w:r>
      <w:r w:rsidR="00641DEE">
        <w:rPr>
          <w:rFonts w:asciiTheme="majorHAnsi" w:hAnsiTheme="majorHAnsi" w:cstheme="majorHAnsi"/>
          <w:szCs w:val="22"/>
        </w:rPr>
        <w:t>When QFCC provided young people with ‘support cards’ containing details of helpline numbers and support websites</w:t>
      </w:r>
      <w:r w:rsidR="00232CC0">
        <w:rPr>
          <w:rFonts w:asciiTheme="majorHAnsi" w:hAnsiTheme="majorHAnsi" w:cstheme="majorHAnsi"/>
          <w:szCs w:val="22"/>
        </w:rPr>
        <w:t xml:space="preserve"> and services</w:t>
      </w:r>
      <w:r w:rsidR="00641DEE">
        <w:rPr>
          <w:rFonts w:asciiTheme="majorHAnsi" w:hAnsiTheme="majorHAnsi" w:cstheme="majorHAnsi"/>
          <w:szCs w:val="22"/>
        </w:rPr>
        <w:t xml:space="preserve">, few already </w:t>
      </w:r>
      <w:r w:rsidR="00232CC0">
        <w:rPr>
          <w:rFonts w:asciiTheme="majorHAnsi" w:hAnsiTheme="majorHAnsi" w:cstheme="majorHAnsi"/>
          <w:szCs w:val="22"/>
        </w:rPr>
        <w:t>k</w:t>
      </w:r>
      <w:r w:rsidR="00641DEE">
        <w:rPr>
          <w:rFonts w:asciiTheme="majorHAnsi" w:hAnsiTheme="majorHAnsi" w:cstheme="majorHAnsi"/>
          <w:szCs w:val="22"/>
        </w:rPr>
        <w:t xml:space="preserve">new about these organisations and resources. </w:t>
      </w:r>
      <w:r w:rsidR="00232CC0">
        <w:rPr>
          <w:rFonts w:asciiTheme="majorHAnsi" w:hAnsiTheme="majorHAnsi" w:cstheme="majorHAnsi"/>
          <w:szCs w:val="22"/>
        </w:rPr>
        <w:t xml:space="preserve">This </w:t>
      </w:r>
      <w:r w:rsidR="00745A6F">
        <w:rPr>
          <w:rFonts w:asciiTheme="majorHAnsi" w:hAnsiTheme="majorHAnsi" w:cstheme="majorHAnsi"/>
          <w:szCs w:val="22"/>
        </w:rPr>
        <w:t xml:space="preserve">provides further evidence that </w:t>
      </w:r>
      <w:r w:rsidR="00232CC0">
        <w:rPr>
          <w:rFonts w:asciiTheme="majorHAnsi" w:hAnsiTheme="majorHAnsi" w:cstheme="majorHAnsi"/>
          <w:szCs w:val="22"/>
        </w:rPr>
        <w:t>e</w:t>
      </w:r>
      <w:r w:rsidR="00641DEE">
        <w:rPr>
          <w:rFonts w:asciiTheme="majorHAnsi" w:hAnsiTheme="majorHAnsi" w:cstheme="majorHAnsi"/>
          <w:szCs w:val="22"/>
        </w:rPr>
        <w:t xml:space="preserve">xisting </w:t>
      </w:r>
      <w:r w:rsidR="00232CC0">
        <w:rPr>
          <w:rFonts w:asciiTheme="majorHAnsi" w:hAnsiTheme="majorHAnsi" w:cstheme="majorHAnsi"/>
          <w:szCs w:val="22"/>
        </w:rPr>
        <w:t>promotion strategies</w:t>
      </w:r>
      <w:r w:rsidR="00641DEE">
        <w:rPr>
          <w:rFonts w:asciiTheme="majorHAnsi" w:hAnsiTheme="majorHAnsi" w:cstheme="majorHAnsi"/>
          <w:szCs w:val="22"/>
        </w:rPr>
        <w:t xml:space="preserve"> </w:t>
      </w:r>
      <w:r w:rsidR="00232CC0">
        <w:rPr>
          <w:rFonts w:asciiTheme="majorHAnsi" w:hAnsiTheme="majorHAnsi" w:cstheme="majorHAnsi"/>
          <w:szCs w:val="22"/>
        </w:rPr>
        <w:t>are not reaching young people</w:t>
      </w:r>
      <w:r w:rsidR="004432D3">
        <w:rPr>
          <w:rFonts w:asciiTheme="majorHAnsi" w:hAnsiTheme="majorHAnsi" w:cstheme="majorHAnsi"/>
          <w:szCs w:val="22"/>
        </w:rPr>
        <w:t>.</w:t>
      </w:r>
    </w:p>
    <w:p w14:paraId="18A97529" w14:textId="310432FA" w:rsidR="007E7F32" w:rsidRDefault="00232CC0" w:rsidP="004626F4">
      <w:pPr>
        <w:spacing w:after="160" w:line="259" w:lineRule="auto"/>
        <w:rPr>
          <w:rFonts w:asciiTheme="majorHAnsi" w:hAnsiTheme="majorHAnsi" w:cstheme="majorHAnsi"/>
          <w:szCs w:val="22"/>
        </w:rPr>
      </w:pPr>
      <w:r>
        <w:rPr>
          <w:rFonts w:asciiTheme="majorHAnsi" w:hAnsiTheme="majorHAnsi" w:cstheme="majorHAnsi"/>
          <w:szCs w:val="22"/>
        </w:rPr>
        <w:t xml:space="preserve">Young people are </w:t>
      </w:r>
      <w:r w:rsidR="007E7F32">
        <w:rPr>
          <w:rFonts w:asciiTheme="majorHAnsi" w:hAnsiTheme="majorHAnsi" w:cstheme="majorHAnsi"/>
          <w:szCs w:val="22"/>
        </w:rPr>
        <w:t>concern</w:t>
      </w:r>
      <w:r>
        <w:rPr>
          <w:rFonts w:asciiTheme="majorHAnsi" w:hAnsiTheme="majorHAnsi" w:cstheme="majorHAnsi"/>
          <w:szCs w:val="22"/>
        </w:rPr>
        <w:t>ed</w:t>
      </w:r>
      <w:r w:rsidR="007E7F32">
        <w:rPr>
          <w:rFonts w:asciiTheme="majorHAnsi" w:hAnsiTheme="majorHAnsi" w:cstheme="majorHAnsi"/>
          <w:szCs w:val="22"/>
        </w:rPr>
        <w:t xml:space="preserve"> about </w:t>
      </w:r>
      <w:r>
        <w:rPr>
          <w:rFonts w:asciiTheme="majorHAnsi" w:hAnsiTheme="majorHAnsi" w:cstheme="majorHAnsi"/>
          <w:szCs w:val="22"/>
        </w:rPr>
        <w:t xml:space="preserve">school guidance officers and counsellors breaching their </w:t>
      </w:r>
      <w:r w:rsidR="007E7F32">
        <w:rPr>
          <w:rFonts w:asciiTheme="majorHAnsi" w:hAnsiTheme="majorHAnsi" w:cstheme="majorHAnsi"/>
          <w:szCs w:val="22"/>
        </w:rPr>
        <w:t xml:space="preserve">privacy and confidentiality </w:t>
      </w:r>
      <w:r>
        <w:rPr>
          <w:rFonts w:asciiTheme="majorHAnsi" w:hAnsiTheme="majorHAnsi" w:cstheme="majorHAnsi"/>
          <w:szCs w:val="22"/>
        </w:rPr>
        <w:t>should they raise mental health</w:t>
      </w:r>
      <w:r w:rsidR="007E7F32">
        <w:rPr>
          <w:rFonts w:asciiTheme="majorHAnsi" w:hAnsiTheme="majorHAnsi" w:cstheme="majorHAnsi"/>
          <w:szCs w:val="22"/>
        </w:rPr>
        <w:t xml:space="preserve">. </w:t>
      </w:r>
      <w:r w:rsidR="004432D3">
        <w:rPr>
          <w:rFonts w:asciiTheme="majorHAnsi" w:hAnsiTheme="majorHAnsi" w:cstheme="majorHAnsi"/>
          <w:szCs w:val="22"/>
        </w:rPr>
        <w:t xml:space="preserve">This concern is stopping them engaging with support services. </w:t>
      </w:r>
      <w:r w:rsidR="00863B3C">
        <w:rPr>
          <w:rFonts w:asciiTheme="majorHAnsi" w:hAnsiTheme="majorHAnsi" w:cstheme="majorHAnsi"/>
          <w:szCs w:val="22"/>
        </w:rPr>
        <w:t>Every child has right to live free from arbitrary or unlawful interference with her or his privacy.</w:t>
      </w:r>
      <w:r w:rsidR="00863B3C">
        <w:rPr>
          <w:rStyle w:val="FootnoteReference"/>
          <w:rFonts w:asciiTheme="majorHAnsi" w:hAnsiTheme="majorHAnsi" w:cstheme="majorHAnsi"/>
          <w:szCs w:val="22"/>
        </w:rPr>
        <w:footnoteReference w:id="13"/>
      </w:r>
      <w:r w:rsidR="00863B3C">
        <w:rPr>
          <w:rFonts w:asciiTheme="majorHAnsi" w:hAnsiTheme="majorHAnsi" w:cstheme="majorHAnsi"/>
          <w:szCs w:val="22"/>
        </w:rPr>
        <w:t xml:space="preserve"> </w:t>
      </w:r>
      <w:r w:rsidR="007E7F32">
        <w:rPr>
          <w:rFonts w:asciiTheme="majorHAnsi" w:hAnsiTheme="majorHAnsi" w:cstheme="majorHAnsi"/>
          <w:szCs w:val="22"/>
        </w:rPr>
        <w:t>Children and young people must be able to access</w:t>
      </w:r>
      <w:r w:rsidR="00863B3C">
        <w:rPr>
          <w:rFonts w:asciiTheme="majorHAnsi" w:hAnsiTheme="majorHAnsi" w:cstheme="majorHAnsi"/>
          <w:szCs w:val="22"/>
        </w:rPr>
        <w:t xml:space="preserve"> mental health</w:t>
      </w:r>
      <w:r w:rsidR="007E7F32">
        <w:rPr>
          <w:rFonts w:asciiTheme="majorHAnsi" w:hAnsiTheme="majorHAnsi" w:cstheme="majorHAnsi"/>
          <w:szCs w:val="22"/>
        </w:rPr>
        <w:t xml:space="preserve"> support</w:t>
      </w:r>
      <w:r w:rsidR="00863B3C">
        <w:rPr>
          <w:rFonts w:asciiTheme="majorHAnsi" w:hAnsiTheme="majorHAnsi" w:cstheme="majorHAnsi"/>
          <w:szCs w:val="22"/>
        </w:rPr>
        <w:t>s that are</w:t>
      </w:r>
      <w:r w:rsidR="007E7F32">
        <w:rPr>
          <w:rFonts w:asciiTheme="majorHAnsi" w:hAnsiTheme="majorHAnsi" w:cstheme="majorHAnsi"/>
          <w:szCs w:val="22"/>
        </w:rPr>
        <w:t xml:space="preserve"> private and confidential</w:t>
      </w:r>
      <w:r>
        <w:rPr>
          <w:rFonts w:asciiTheme="majorHAnsi" w:hAnsiTheme="majorHAnsi" w:cstheme="majorHAnsi"/>
          <w:szCs w:val="22"/>
        </w:rPr>
        <w:t>,</w:t>
      </w:r>
      <w:r w:rsidR="007E7F32">
        <w:rPr>
          <w:rFonts w:asciiTheme="majorHAnsi" w:hAnsiTheme="majorHAnsi" w:cstheme="majorHAnsi"/>
          <w:szCs w:val="22"/>
        </w:rPr>
        <w:t xml:space="preserve"> within the bounds of usual ‘duty of care’ requirements.</w:t>
      </w:r>
    </w:p>
    <w:p w14:paraId="38005C12" w14:textId="7CC2288F" w:rsidR="00637BE6" w:rsidRDefault="005D5CB6" w:rsidP="004626F4">
      <w:pPr>
        <w:spacing w:after="160" w:line="259" w:lineRule="auto"/>
        <w:rPr>
          <w:rFonts w:asciiTheme="majorHAnsi" w:hAnsiTheme="majorHAnsi" w:cstheme="majorHAnsi"/>
          <w:szCs w:val="22"/>
        </w:rPr>
      </w:pPr>
      <w:r>
        <w:rPr>
          <w:rFonts w:asciiTheme="majorHAnsi" w:hAnsiTheme="majorHAnsi" w:cstheme="majorHAnsi"/>
          <w:szCs w:val="22"/>
        </w:rPr>
        <w:t>C</w:t>
      </w:r>
      <w:r w:rsidR="00637BE6">
        <w:rPr>
          <w:rFonts w:asciiTheme="majorHAnsi" w:hAnsiTheme="majorHAnsi" w:cstheme="majorHAnsi"/>
          <w:szCs w:val="22"/>
        </w:rPr>
        <w:t>hildren identify the school environment as a place where they should be able to access support for mental health concerns. Educational environments are a primary interface between children and young people, and</w:t>
      </w:r>
      <w:r>
        <w:rPr>
          <w:rFonts w:asciiTheme="majorHAnsi" w:hAnsiTheme="majorHAnsi" w:cstheme="majorHAnsi"/>
          <w:szCs w:val="22"/>
        </w:rPr>
        <w:t xml:space="preserve"> government-funded intervention</w:t>
      </w:r>
      <w:r w:rsidR="00637BE6">
        <w:rPr>
          <w:rFonts w:asciiTheme="majorHAnsi" w:hAnsiTheme="majorHAnsi" w:cstheme="majorHAnsi"/>
          <w:szCs w:val="22"/>
        </w:rPr>
        <w:t xml:space="preserve"> and could potentially be places where mental health promotion and primary interventions </w:t>
      </w:r>
      <w:r>
        <w:rPr>
          <w:rFonts w:asciiTheme="majorHAnsi" w:hAnsiTheme="majorHAnsi" w:cstheme="majorHAnsi"/>
          <w:szCs w:val="22"/>
        </w:rPr>
        <w:t>are</w:t>
      </w:r>
      <w:r w:rsidR="00637BE6">
        <w:rPr>
          <w:rFonts w:asciiTheme="majorHAnsi" w:hAnsiTheme="majorHAnsi" w:cstheme="majorHAnsi"/>
          <w:szCs w:val="22"/>
        </w:rPr>
        <w:t xml:space="preserve"> implemented.</w:t>
      </w:r>
    </w:p>
    <w:p w14:paraId="00D8DE88" w14:textId="43712FB2" w:rsidR="00734D96" w:rsidRDefault="00734D96" w:rsidP="004626F4">
      <w:pPr>
        <w:spacing w:after="160" w:line="259" w:lineRule="auto"/>
        <w:rPr>
          <w:rFonts w:asciiTheme="majorHAnsi" w:hAnsiTheme="majorHAnsi" w:cstheme="majorHAnsi"/>
          <w:szCs w:val="22"/>
        </w:rPr>
      </w:pPr>
      <w:r>
        <w:rPr>
          <w:rFonts w:asciiTheme="majorHAnsi" w:hAnsiTheme="majorHAnsi" w:cstheme="majorHAnsi"/>
          <w:szCs w:val="22"/>
        </w:rPr>
        <w:t xml:space="preserve">Young people told the QFCC they want better access to information and training to understand the behaviours associated with different mental health problems. Two-thirds of young people </w:t>
      </w:r>
      <w:r w:rsidR="00637BE6">
        <w:rPr>
          <w:rFonts w:asciiTheme="majorHAnsi" w:hAnsiTheme="majorHAnsi" w:cstheme="majorHAnsi"/>
          <w:szCs w:val="22"/>
        </w:rPr>
        <w:t>report</w:t>
      </w:r>
      <w:r>
        <w:rPr>
          <w:rFonts w:asciiTheme="majorHAnsi" w:hAnsiTheme="majorHAnsi" w:cstheme="majorHAnsi"/>
          <w:szCs w:val="22"/>
        </w:rPr>
        <w:t xml:space="preserve"> that they turned to friends when they needed help with important issues. Given this, peer</w:t>
      </w:r>
      <w:r>
        <w:rPr>
          <w:rFonts w:asciiTheme="majorHAnsi" w:hAnsiTheme="majorHAnsi" w:cstheme="majorHAnsi"/>
          <w:szCs w:val="22"/>
        </w:rPr>
        <w:noBreakHyphen/>
        <w:t>support training and information initiatives may build young people’s capacity to help one another.</w:t>
      </w:r>
      <w:r w:rsidRPr="00745A6F">
        <w:rPr>
          <w:rFonts w:asciiTheme="majorHAnsi" w:hAnsiTheme="majorHAnsi" w:cstheme="majorHAnsi"/>
          <w:szCs w:val="22"/>
        </w:rPr>
        <w:t xml:space="preserve"> </w:t>
      </w:r>
    </w:p>
    <w:p w14:paraId="1ADDBF88" w14:textId="5157196F" w:rsidR="00376E23" w:rsidRDefault="00232CC0" w:rsidP="004626F4">
      <w:pPr>
        <w:spacing w:after="160" w:line="259" w:lineRule="auto"/>
        <w:rPr>
          <w:rFonts w:asciiTheme="majorHAnsi" w:hAnsiTheme="majorHAnsi" w:cstheme="majorHAnsi"/>
          <w:szCs w:val="22"/>
        </w:rPr>
      </w:pPr>
      <w:r>
        <w:rPr>
          <w:rFonts w:asciiTheme="majorHAnsi" w:hAnsiTheme="majorHAnsi" w:cstheme="majorHAnsi"/>
          <w:szCs w:val="22"/>
        </w:rPr>
        <w:t xml:space="preserve">Primarily, young people </w:t>
      </w:r>
      <w:r w:rsidR="00296EFA">
        <w:rPr>
          <w:rFonts w:asciiTheme="majorHAnsi" w:hAnsiTheme="majorHAnsi" w:cstheme="majorHAnsi"/>
          <w:szCs w:val="22"/>
        </w:rPr>
        <w:t xml:space="preserve">seek a culture of positive attitudes about mental health. They </w:t>
      </w:r>
      <w:r>
        <w:rPr>
          <w:rFonts w:asciiTheme="majorHAnsi" w:hAnsiTheme="majorHAnsi" w:cstheme="majorHAnsi"/>
          <w:szCs w:val="22"/>
        </w:rPr>
        <w:t xml:space="preserve">want opportunities to seek help </w:t>
      </w:r>
      <w:r w:rsidR="00296EFA">
        <w:rPr>
          <w:rFonts w:asciiTheme="majorHAnsi" w:hAnsiTheme="majorHAnsi" w:cstheme="majorHAnsi"/>
          <w:szCs w:val="22"/>
        </w:rPr>
        <w:t>from</w:t>
      </w:r>
      <w:r>
        <w:rPr>
          <w:rFonts w:asciiTheme="majorHAnsi" w:hAnsiTheme="majorHAnsi" w:cstheme="majorHAnsi"/>
          <w:szCs w:val="22"/>
        </w:rPr>
        <w:t xml:space="preserve"> adults who are approachable, who will not dismiss </w:t>
      </w:r>
      <w:r w:rsidR="00296EFA">
        <w:rPr>
          <w:rFonts w:asciiTheme="majorHAnsi" w:hAnsiTheme="majorHAnsi" w:cstheme="majorHAnsi"/>
          <w:szCs w:val="22"/>
        </w:rPr>
        <w:t xml:space="preserve">their </w:t>
      </w:r>
      <w:r>
        <w:rPr>
          <w:rFonts w:asciiTheme="majorHAnsi" w:hAnsiTheme="majorHAnsi" w:cstheme="majorHAnsi"/>
          <w:szCs w:val="22"/>
        </w:rPr>
        <w:t>concern, and who will provide support without judgement.</w:t>
      </w:r>
      <w:r w:rsidR="00745A6F">
        <w:rPr>
          <w:rFonts w:asciiTheme="majorHAnsi" w:hAnsiTheme="majorHAnsi" w:cstheme="majorHAnsi"/>
          <w:szCs w:val="22"/>
        </w:rPr>
        <w:t xml:space="preserve"> Services delivered by government, or funded by government, should operate within practice frameworks that emphasise </w:t>
      </w:r>
      <w:r w:rsidR="00296EFA">
        <w:rPr>
          <w:rFonts w:asciiTheme="majorHAnsi" w:hAnsiTheme="majorHAnsi" w:cstheme="majorHAnsi"/>
          <w:szCs w:val="22"/>
        </w:rPr>
        <w:t xml:space="preserve">positive attitudes to mental health and </w:t>
      </w:r>
      <w:r w:rsidR="00745A6F">
        <w:rPr>
          <w:rFonts w:asciiTheme="majorHAnsi" w:hAnsiTheme="majorHAnsi" w:cstheme="majorHAnsi"/>
          <w:szCs w:val="22"/>
        </w:rPr>
        <w:t>the principles of non-judgement, approachability and openness.</w:t>
      </w:r>
    </w:p>
    <w:p w14:paraId="73AFF34A" w14:textId="4DE90A70" w:rsidR="000B6386" w:rsidRDefault="000B6386" w:rsidP="004626F4">
      <w:pPr>
        <w:spacing w:after="160" w:line="259" w:lineRule="auto"/>
        <w:rPr>
          <w:rFonts w:asciiTheme="majorHAnsi" w:hAnsiTheme="majorHAnsi" w:cstheme="majorHAnsi"/>
          <w:szCs w:val="22"/>
        </w:rPr>
      </w:pPr>
      <w:r>
        <w:rPr>
          <w:rFonts w:asciiTheme="majorHAnsi" w:hAnsiTheme="majorHAnsi" w:cstheme="majorHAnsi"/>
          <w:szCs w:val="22"/>
        </w:rPr>
        <w:t xml:space="preserve">There are certain populations of children who are more at risk of </w:t>
      </w:r>
      <w:r w:rsidR="00DA1054">
        <w:rPr>
          <w:rFonts w:asciiTheme="majorHAnsi" w:hAnsiTheme="majorHAnsi" w:cstheme="majorHAnsi"/>
          <w:szCs w:val="22"/>
        </w:rPr>
        <w:t xml:space="preserve">poor </w:t>
      </w:r>
      <w:r>
        <w:rPr>
          <w:rFonts w:asciiTheme="majorHAnsi" w:hAnsiTheme="majorHAnsi" w:cstheme="majorHAnsi"/>
          <w:szCs w:val="22"/>
        </w:rPr>
        <w:t xml:space="preserve">mental health </w:t>
      </w:r>
      <w:r w:rsidR="00DA1054">
        <w:rPr>
          <w:rFonts w:asciiTheme="majorHAnsi" w:hAnsiTheme="majorHAnsi" w:cstheme="majorHAnsi"/>
          <w:szCs w:val="22"/>
        </w:rPr>
        <w:t>and wellbeing, and mental illness. T</w:t>
      </w:r>
      <w:r>
        <w:rPr>
          <w:rFonts w:asciiTheme="majorHAnsi" w:hAnsiTheme="majorHAnsi" w:cstheme="majorHAnsi"/>
          <w:szCs w:val="22"/>
        </w:rPr>
        <w:t xml:space="preserve">his is particularly </w:t>
      </w:r>
      <w:r w:rsidR="00DA1054">
        <w:rPr>
          <w:rFonts w:asciiTheme="majorHAnsi" w:hAnsiTheme="majorHAnsi" w:cstheme="majorHAnsi"/>
          <w:szCs w:val="22"/>
        </w:rPr>
        <w:t xml:space="preserve">true for children and young people involved with the </w:t>
      </w:r>
      <w:r>
        <w:rPr>
          <w:rFonts w:asciiTheme="majorHAnsi" w:hAnsiTheme="majorHAnsi" w:cstheme="majorHAnsi"/>
          <w:szCs w:val="22"/>
        </w:rPr>
        <w:t xml:space="preserve">statutory child protection and youth justice systems. Where governments play a key role in </w:t>
      </w:r>
      <w:r w:rsidR="00DA1054">
        <w:rPr>
          <w:rFonts w:asciiTheme="majorHAnsi" w:hAnsiTheme="majorHAnsi" w:cstheme="majorHAnsi"/>
          <w:szCs w:val="22"/>
        </w:rPr>
        <w:t>providing the</w:t>
      </w:r>
      <w:r>
        <w:rPr>
          <w:rFonts w:asciiTheme="majorHAnsi" w:hAnsiTheme="majorHAnsi" w:cstheme="majorHAnsi"/>
          <w:szCs w:val="22"/>
        </w:rPr>
        <w:t xml:space="preserve"> day</w:t>
      </w:r>
      <w:r w:rsidR="00DA1054">
        <w:rPr>
          <w:rFonts w:asciiTheme="majorHAnsi" w:hAnsiTheme="majorHAnsi" w:cstheme="majorHAnsi"/>
          <w:szCs w:val="22"/>
        </w:rPr>
        <w:noBreakHyphen/>
      </w:r>
      <w:r>
        <w:rPr>
          <w:rFonts w:asciiTheme="majorHAnsi" w:hAnsiTheme="majorHAnsi" w:cstheme="majorHAnsi"/>
          <w:szCs w:val="22"/>
        </w:rPr>
        <w:t>to</w:t>
      </w:r>
      <w:r w:rsidR="00DA1054">
        <w:rPr>
          <w:rFonts w:asciiTheme="majorHAnsi" w:hAnsiTheme="majorHAnsi" w:cstheme="majorHAnsi"/>
          <w:szCs w:val="22"/>
        </w:rPr>
        <w:softHyphen/>
      </w:r>
      <w:r w:rsidR="00DA1054">
        <w:rPr>
          <w:rFonts w:asciiTheme="majorHAnsi" w:hAnsiTheme="majorHAnsi" w:cstheme="majorHAnsi"/>
          <w:szCs w:val="22"/>
        </w:rPr>
        <w:noBreakHyphen/>
      </w:r>
      <w:r>
        <w:rPr>
          <w:rFonts w:asciiTheme="majorHAnsi" w:hAnsiTheme="majorHAnsi" w:cstheme="majorHAnsi"/>
          <w:szCs w:val="22"/>
        </w:rPr>
        <w:t xml:space="preserve">day care of children, </w:t>
      </w:r>
      <w:r w:rsidR="00DA1054">
        <w:rPr>
          <w:rFonts w:asciiTheme="majorHAnsi" w:hAnsiTheme="majorHAnsi" w:cstheme="majorHAnsi"/>
          <w:szCs w:val="22"/>
        </w:rPr>
        <w:t>government organisations and officers have</w:t>
      </w:r>
      <w:r>
        <w:rPr>
          <w:rFonts w:asciiTheme="majorHAnsi" w:hAnsiTheme="majorHAnsi" w:cstheme="majorHAnsi"/>
          <w:szCs w:val="22"/>
        </w:rPr>
        <w:t xml:space="preserve"> a duty of care to help children to recover from trauma </w:t>
      </w:r>
      <w:r w:rsidR="00D43AD6">
        <w:rPr>
          <w:rFonts w:asciiTheme="majorHAnsi" w:hAnsiTheme="majorHAnsi" w:cstheme="majorHAnsi"/>
          <w:szCs w:val="22"/>
        </w:rPr>
        <w:t>and abuse</w:t>
      </w:r>
      <w:r w:rsidR="005A2E97">
        <w:rPr>
          <w:rFonts w:asciiTheme="majorHAnsi" w:hAnsiTheme="majorHAnsi" w:cstheme="majorHAnsi"/>
          <w:szCs w:val="22"/>
        </w:rPr>
        <w:t xml:space="preserve"> and meet their potential now and throughout their lives</w:t>
      </w:r>
      <w:r>
        <w:rPr>
          <w:rFonts w:asciiTheme="majorHAnsi" w:hAnsiTheme="majorHAnsi" w:cstheme="majorHAnsi"/>
          <w:szCs w:val="22"/>
        </w:rPr>
        <w:t>.</w:t>
      </w:r>
      <w:r w:rsidR="00D43AD6">
        <w:rPr>
          <w:rFonts w:asciiTheme="majorHAnsi" w:hAnsiTheme="majorHAnsi" w:cstheme="majorHAnsi"/>
          <w:szCs w:val="22"/>
        </w:rPr>
        <w:t xml:space="preserve"> Australian governments have an obligation under the UNCRC to take</w:t>
      </w:r>
      <w:r w:rsidR="00D43AD6" w:rsidRPr="00D43AD6">
        <w:rPr>
          <w:rFonts w:asciiTheme="majorHAnsi" w:hAnsiTheme="majorHAnsi" w:cstheme="majorHAnsi"/>
          <w:szCs w:val="22"/>
        </w:rPr>
        <w:t xml:space="preserve"> all appropriate measures to promote physical and psychological recovery of </w:t>
      </w:r>
      <w:r w:rsidR="00D43AD6">
        <w:rPr>
          <w:rFonts w:asciiTheme="majorHAnsi" w:hAnsiTheme="majorHAnsi" w:cstheme="majorHAnsi"/>
          <w:szCs w:val="22"/>
        </w:rPr>
        <w:t xml:space="preserve">children and young people who have been </w:t>
      </w:r>
      <w:r w:rsidR="00D43AD6" w:rsidRPr="00D43AD6">
        <w:rPr>
          <w:rFonts w:asciiTheme="majorHAnsi" w:hAnsiTheme="majorHAnsi" w:cstheme="majorHAnsi"/>
          <w:szCs w:val="22"/>
        </w:rPr>
        <w:t>neglect</w:t>
      </w:r>
      <w:r w:rsidR="00D43AD6">
        <w:rPr>
          <w:rFonts w:asciiTheme="majorHAnsi" w:hAnsiTheme="majorHAnsi" w:cstheme="majorHAnsi"/>
          <w:szCs w:val="22"/>
        </w:rPr>
        <w:t>ed</w:t>
      </w:r>
      <w:r w:rsidR="00D43AD6" w:rsidRPr="00D43AD6">
        <w:rPr>
          <w:rFonts w:asciiTheme="majorHAnsi" w:hAnsiTheme="majorHAnsi" w:cstheme="majorHAnsi"/>
          <w:szCs w:val="22"/>
        </w:rPr>
        <w:t>, exploit</w:t>
      </w:r>
      <w:r w:rsidR="00D43AD6">
        <w:rPr>
          <w:rFonts w:asciiTheme="majorHAnsi" w:hAnsiTheme="majorHAnsi" w:cstheme="majorHAnsi"/>
          <w:szCs w:val="22"/>
        </w:rPr>
        <w:t>ed</w:t>
      </w:r>
      <w:r w:rsidR="00D43AD6" w:rsidRPr="00D43AD6">
        <w:rPr>
          <w:rFonts w:asciiTheme="majorHAnsi" w:hAnsiTheme="majorHAnsi" w:cstheme="majorHAnsi"/>
          <w:szCs w:val="22"/>
        </w:rPr>
        <w:t xml:space="preserve"> </w:t>
      </w:r>
      <w:r w:rsidR="00D43AD6">
        <w:rPr>
          <w:rFonts w:asciiTheme="majorHAnsi" w:hAnsiTheme="majorHAnsi" w:cstheme="majorHAnsi"/>
          <w:szCs w:val="22"/>
        </w:rPr>
        <w:t>and</w:t>
      </w:r>
      <w:r w:rsidR="00D43AD6" w:rsidRPr="00D43AD6">
        <w:rPr>
          <w:rFonts w:asciiTheme="majorHAnsi" w:hAnsiTheme="majorHAnsi" w:cstheme="majorHAnsi"/>
          <w:szCs w:val="22"/>
        </w:rPr>
        <w:t xml:space="preserve"> abuse</w:t>
      </w:r>
      <w:r w:rsidR="00D43AD6">
        <w:rPr>
          <w:rFonts w:asciiTheme="majorHAnsi" w:hAnsiTheme="majorHAnsi" w:cstheme="majorHAnsi"/>
          <w:szCs w:val="22"/>
        </w:rPr>
        <w:t>d.</w:t>
      </w:r>
      <w:r w:rsidR="00D43AD6">
        <w:rPr>
          <w:rStyle w:val="FootnoteReference"/>
          <w:rFonts w:asciiTheme="majorHAnsi" w:hAnsiTheme="majorHAnsi" w:cstheme="majorHAnsi"/>
          <w:szCs w:val="22"/>
        </w:rPr>
        <w:footnoteReference w:id="14"/>
      </w:r>
      <w:r>
        <w:rPr>
          <w:rFonts w:asciiTheme="majorHAnsi" w:hAnsiTheme="majorHAnsi" w:cstheme="majorHAnsi"/>
          <w:szCs w:val="22"/>
        </w:rPr>
        <w:t xml:space="preserve"> </w:t>
      </w:r>
    </w:p>
    <w:p w14:paraId="2232AA03" w14:textId="5434981F" w:rsidR="004C3ABD" w:rsidRPr="00B7023F" w:rsidRDefault="009F6A5B" w:rsidP="008F12D9">
      <w:pPr>
        <w:spacing w:line="259" w:lineRule="auto"/>
      </w:pPr>
      <w:r w:rsidRPr="009F6A5B">
        <w:rPr>
          <w:rFonts w:asciiTheme="majorHAnsi" w:hAnsiTheme="majorHAnsi" w:cstheme="majorHAnsi"/>
          <w:szCs w:val="22"/>
        </w:rPr>
        <w:lastRenderedPageBreak/>
        <w:t xml:space="preserve">The </w:t>
      </w:r>
      <w:r>
        <w:rPr>
          <w:rFonts w:asciiTheme="majorHAnsi" w:hAnsiTheme="majorHAnsi" w:cstheme="majorHAnsi"/>
          <w:i/>
          <w:szCs w:val="22"/>
        </w:rPr>
        <w:t>A</w:t>
      </w:r>
      <w:r w:rsidR="004C3ABD" w:rsidRPr="004C3ABD">
        <w:rPr>
          <w:rFonts w:asciiTheme="majorHAnsi" w:hAnsiTheme="majorHAnsi" w:cstheme="majorHAnsi"/>
          <w:i/>
          <w:szCs w:val="22"/>
        </w:rPr>
        <w:t>ge of criminal responsibility in Queensland</w:t>
      </w:r>
      <w:r w:rsidR="004C3ABD" w:rsidRPr="004C3ABD">
        <w:rPr>
          <w:rFonts w:asciiTheme="majorHAnsi" w:hAnsiTheme="majorHAnsi" w:cstheme="majorHAnsi"/>
          <w:szCs w:val="22"/>
        </w:rPr>
        <w:t>, a QFCC report, identifies</w:t>
      </w:r>
      <w:r w:rsidR="004C3ABD">
        <w:rPr>
          <w:rFonts w:asciiTheme="majorHAnsi" w:hAnsiTheme="majorHAnsi" w:cstheme="majorHAnsi"/>
          <w:szCs w:val="22"/>
        </w:rPr>
        <w:t xml:space="preserve"> s</w:t>
      </w:r>
      <w:r w:rsidR="000B6386" w:rsidRPr="00EF2B25">
        <w:rPr>
          <w:rFonts w:asciiTheme="majorHAnsi" w:hAnsiTheme="majorHAnsi" w:cstheme="majorHAnsi"/>
          <w:szCs w:val="22"/>
        </w:rPr>
        <w:t xml:space="preserve">ignificant links between </w:t>
      </w:r>
      <w:r w:rsidR="004C3ABD">
        <w:rPr>
          <w:rFonts w:asciiTheme="majorHAnsi" w:hAnsiTheme="majorHAnsi" w:cstheme="majorHAnsi"/>
          <w:szCs w:val="22"/>
        </w:rPr>
        <w:t xml:space="preserve">criminal offending and diagnosed </w:t>
      </w:r>
      <w:r w:rsidR="000B6386" w:rsidRPr="00EF2B25">
        <w:rPr>
          <w:rFonts w:asciiTheme="majorHAnsi" w:hAnsiTheme="majorHAnsi" w:cstheme="majorHAnsi"/>
          <w:szCs w:val="22"/>
        </w:rPr>
        <w:t>mental illness</w:t>
      </w:r>
      <w:r w:rsidR="00B7023F">
        <w:rPr>
          <w:rFonts w:asciiTheme="majorHAnsi" w:hAnsiTheme="majorHAnsi" w:cstheme="majorHAnsi"/>
          <w:szCs w:val="22"/>
        </w:rPr>
        <w:t>.</w:t>
      </w:r>
      <w:r w:rsidR="00B7023F" w:rsidRPr="00B7023F">
        <w:rPr>
          <w:rStyle w:val="FootnoteReference"/>
          <w:rFonts w:asciiTheme="majorHAnsi" w:hAnsiTheme="majorHAnsi" w:cstheme="majorHAnsi"/>
          <w:szCs w:val="22"/>
        </w:rPr>
        <w:t xml:space="preserve"> </w:t>
      </w:r>
      <w:r w:rsidR="00B7023F" w:rsidRPr="004C3ABD">
        <w:rPr>
          <w:rStyle w:val="FootnoteReference"/>
          <w:rFonts w:asciiTheme="majorHAnsi" w:hAnsiTheme="majorHAnsi" w:cstheme="majorHAnsi"/>
          <w:szCs w:val="22"/>
        </w:rPr>
        <w:footnoteReference w:id="15"/>
      </w:r>
    </w:p>
    <w:p w14:paraId="524E65C0" w14:textId="6A5588A5" w:rsidR="004C3ABD" w:rsidRDefault="00B7023F" w:rsidP="004C3ABD">
      <w:pPr>
        <w:pStyle w:val="ListParagraph"/>
        <w:numPr>
          <w:ilvl w:val="0"/>
          <w:numId w:val="11"/>
        </w:numPr>
        <w:spacing w:after="120"/>
        <w:rPr>
          <w:rFonts w:asciiTheme="majorHAnsi" w:hAnsiTheme="majorHAnsi" w:cstheme="majorHAnsi"/>
          <w:szCs w:val="22"/>
        </w:rPr>
      </w:pPr>
      <w:r>
        <w:rPr>
          <w:rFonts w:asciiTheme="majorHAnsi" w:hAnsiTheme="majorHAnsi" w:cstheme="majorHAnsi"/>
          <w:szCs w:val="22"/>
        </w:rPr>
        <w:t>M</w:t>
      </w:r>
      <w:r w:rsidR="000B6386" w:rsidRPr="004C3ABD">
        <w:rPr>
          <w:rFonts w:asciiTheme="majorHAnsi" w:hAnsiTheme="majorHAnsi" w:cstheme="majorHAnsi"/>
          <w:szCs w:val="22"/>
        </w:rPr>
        <w:t>ental illnesses commonly found in young offenders include depressive, psychotic, anxiety and disruptive disorders</w:t>
      </w:r>
      <w:r>
        <w:rPr>
          <w:rFonts w:asciiTheme="majorHAnsi" w:hAnsiTheme="majorHAnsi" w:cstheme="majorHAnsi"/>
          <w:szCs w:val="22"/>
        </w:rPr>
        <w:t>.</w:t>
      </w:r>
      <w:r w:rsidR="004C3ABD">
        <w:rPr>
          <w:rStyle w:val="FootnoteReference"/>
          <w:rFonts w:asciiTheme="majorHAnsi" w:hAnsiTheme="majorHAnsi" w:cstheme="majorHAnsi"/>
          <w:szCs w:val="22"/>
        </w:rPr>
        <w:footnoteReference w:id="16"/>
      </w:r>
    </w:p>
    <w:p w14:paraId="0FA47D6B" w14:textId="05349BC2" w:rsidR="000B6386" w:rsidRPr="004C3ABD" w:rsidRDefault="000B6386" w:rsidP="004C3ABD">
      <w:pPr>
        <w:pStyle w:val="ListParagraph"/>
        <w:numPr>
          <w:ilvl w:val="0"/>
          <w:numId w:val="11"/>
        </w:numPr>
        <w:spacing w:after="120"/>
        <w:rPr>
          <w:rFonts w:asciiTheme="majorHAnsi" w:hAnsiTheme="majorHAnsi" w:cstheme="majorHAnsi"/>
          <w:szCs w:val="22"/>
        </w:rPr>
      </w:pPr>
      <w:r w:rsidRPr="004C3ABD">
        <w:rPr>
          <w:rFonts w:asciiTheme="majorHAnsi" w:hAnsiTheme="majorHAnsi" w:cstheme="majorHAnsi"/>
          <w:szCs w:val="22"/>
        </w:rPr>
        <w:t>These disorders are broadly defined as including:</w:t>
      </w:r>
    </w:p>
    <w:p w14:paraId="43219481" w14:textId="32A8AE79" w:rsidR="004C3ABD" w:rsidRDefault="000B6386" w:rsidP="004C3ABD">
      <w:pPr>
        <w:pStyle w:val="ListParagraph"/>
        <w:numPr>
          <w:ilvl w:val="0"/>
          <w:numId w:val="15"/>
        </w:numPr>
        <w:spacing w:after="120"/>
        <w:rPr>
          <w:rFonts w:asciiTheme="majorHAnsi" w:hAnsiTheme="majorHAnsi" w:cstheme="majorHAnsi"/>
          <w:szCs w:val="22"/>
        </w:rPr>
      </w:pPr>
      <w:r w:rsidRPr="004C3ABD">
        <w:rPr>
          <w:rFonts w:asciiTheme="majorHAnsi" w:hAnsiTheme="majorHAnsi" w:cstheme="majorHAnsi"/>
          <w:szCs w:val="22"/>
        </w:rPr>
        <w:t>depression and bipolar disorder (depressive disorders)</w:t>
      </w:r>
    </w:p>
    <w:p w14:paraId="3B2960C8" w14:textId="52CE54A7" w:rsidR="004C3ABD" w:rsidRDefault="000B6386" w:rsidP="004C3ABD">
      <w:pPr>
        <w:pStyle w:val="ListParagraph"/>
        <w:numPr>
          <w:ilvl w:val="0"/>
          <w:numId w:val="15"/>
        </w:numPr>
        <w:spacing w:after="120"/>
        <w:rPr>
          <w:rFonts w:asciiTheme="majorHAnsi" w:hAnsiTheme="majorHAnsi" w:cstheme="majorHAnsi"/>
          <w:szCs w:val="22"/>
        </w:rPr>
      </w:pPr>
      <w:r w:rsidRPr="004C3ABD">
        <w:rPr>
          <w:rFonts w:asciiTheme="majorHAnsi" w:hAnsiTheme="majorHAnsi" w:cstheme="majorHAnsi"/>
          <w:szCs w:val="22"/>
        </w:rPr>
        <w:t>conditions such as schizophrenia (psychotic disorders), and</w:t>
      </w:r>
    </w:p>
    <w:p w14:paraId="346C29FE" w14:textId="187E307B" w:rsidR="000B6386" w:rsidRPr="004C3ABD" w:rsidRDefault="000B6386" w:rsidP="004C3ABD">
      <w:pPr>
        <w:pStyle w:val="ListParagraph"/>
        <w:numPr>
          <w:ilvl w:val="0"/>
          <w:numId w:val="15"/>
        </w:numPr>
        <w:spacing w:after="120"/>
        <w:rPr>
          <w:rFonts w:asciiTheme="majorHAnsi" w:hAnsiTheme="majorHAnsi" w:cstheme="majorHAnsi"/>
          <w:szCs w:val="22"/>
        </w:rPr>
      </w:pPr>
      <w:r w:rsidRPr="004C3ABD">
        <w:rPr>
          <w:rFonts w:asciiTheme="majorHAnsi" w:hAnsiTheme="majorHAnsi" w:cstheme="majorHAnsi"/>
          <w:szCs w:val="22"/>
        </w:rPr>
        <w:t xml:space="preserve">conditions such as post-traumatic stress disorder (anxiety disorders). </w:t>
      </w:r>
    </w:p>
    <w:p w14:paraId="3493D0FD" w14:textId="30ADDF02" w:rsidR="000B6386" w:rsidRPr="004C3ABD" w:rsidRDefault="000B6386" w:rsidP="004C3ABD">
      <w:pPr>
        <w:pStyle w:val="ListParagraph"/>
        <w:numPr>
          <w:ilvl w:val="0"/>
          <w:numId w:val="11"/>
        </w:numPr>
        <w:spacing w:after="120"/>
        <w:rPr>
          <w:rFonts w:asciiTheme="majorHAnsi" w:hAnsiTheme="majorHAnsi" w:cstheme="majorHAnsi"/>
          <w:szCs w:val="22"/>
        </w:rPr>
      </w:pPr>
      <w:r w:rsidRPr="004C3ABD">
        <w:rPr>
          <w:rFonts w:asciiTheme="majorHAnsi" w:hAnsiTheme="majorHAnsi" w:cstheme="majorHAnsi"/>
          <w:szCs w:val="22"/>
        </w:rPr>
        <w:t>Mental health is relevant to children’s offending behaviours, particularly when these conditions increase the</w:t>
      </w:r>
      <w:r w:rsidR="00B7023F">
        <w:rPr>
          <w:rFonts w:asciiTheme="majorHAnsi" w:hAnsiTheme="majorHAnsi" w:cstheme="majorHAnsi"/>
          <w:szCs w:val="22"/>
        </w:rPr>
        <w:t>ir</w:t>
      </w:r>
      <w:r w:rsidRPr="004C3ABD">
        <w:rPr>
          <w:rFonts w:asciiTheme="majorHAnsi" w:hAnsiTheme="majorHAnsi" w:cstheme="majorHAnsi"/>
          <w:szCs w:val="22"/>
        </w:rPr>
        <w:t xml:space="preserve"> </w:t>
      </w:r>
      <w:r w:rsidR="00B7023F">
        <w:rPr>
          <w:rFonts w:asciiTheme="majorHAnsi" w:hAnsiTheme="majorHAnsi" w:cstheme="majorHAnsi"/>
          <w:szCs w:val="22"/>
        </w:rPr>
        <w:t>potential for</w:t>
      </w:r>
      <w:r w:rsidRPr="004C3ABD">
        <w:rPr>
          <w:rFonts w:asciiTheme="majorHAnsi" w:hAnsiTheme="majorHAnsi" w:cstheme="majorHAnsi"/>
          <w:szCs w:val="22"/>
        </w:rPr>
        <w:t xml:space="preserve"> physically aggressive behaviour. For example, children with disruptive behaviour disorders may be more physically aggressive than other children</w:t>
      </w:r>
      <w:r w:rsidR="00B7023F">
        <w:rPr>
          <w:rFonts w:asciiTheme="majorHAnsi" w:hAnsiTheme="majorHAnsi" w:cstheme="majorHAnsi"/>
          <w:szCs w:val="22"/>
        </w:rPr>
        <w:t>,</w:t>
      </w:r>
      <w:r w:rsidRPr="004C3ABD">
        <w:rPr>
          <w:rFonts w:asciiTheme="majorHAnsi" w:hAnsiTheme="majorHAnsi" w:cstheme="majorHAnsi"/>
          <w:szCs w:val="22"/>
        </w:rPr>
        <w:t xml:space="preserve"> and children who suffer from PTSD may respond </w:t>
      </w:r>
      <w:r w:rsidR="00B7023F" w:rsidRPr="004C3ABD">
        <w:rPr>
          <w:rFonts w:asciiTheme="majorHAnsi" w:hAnsiTheme="majorHAnsi" w:cstheme="majorHAnsi"/>
          <w:szCs w:val="22"/>
        </w:rPr>
        <w:t xml:space="preserve">aggressively </w:t>
      </w:r>
      <w:r w:rsidRPr="004C3ABD">
        <w:rPr>
          <w:rFonts w:asciiTheme="majorHAnsi" w:hAnsiTheme="majorHAnsi" w:cstheme="majorHAnsi"/>
          <w:szCs w:val="22"/>
        </w:rPr>
        <w:t>to perceived threats.</w:t>
      </w:r>
      <w:r w:rsidR="00B7023F">
        <w:rPr>
          <w:rStyle w:val="FootnoteReference"/>
          <w:rFonts w:asciiTheme="majorHAnsi" w:hAnsiTheme="majorHAnsi" w:cstheme="majorHAnsi"/>
          <w:szCs w:val="22"/>
        </w:rPr>
        <w:footnoteReference w:id="17"/>
      </w:r>
    </w:p>
    <w:p w14:paraId="25C539FA" w14:textId="60BA208E" w:rsidR="000B6386" w:rsidRPr="004C3ABD" w:rsidRDefault="00B7023F" w:rsidP="004C3ABD">
      <w:pPr>
        <w:pStyle w:val="ListParagraph"/>
        <w:numPr>
          <w:ilvl w:val="0"/>
          <w:numId w:val="11"/>
        </w:numPr>
        <w:spacing w:after="120"/>
        <w:rPr>
          <w:rFonts w:asciiTheme="majorHAnsi" w:hAnsiTheme="majorHAnsi" w:cstheme="majorHAnsi"/>
          <w:szCs w:val="22"/>
        </w:rPr>
      </w:pPr>
      <w:r>
        <w:rPr>
          <w:rFonts w:asciiTheme="majorHAnsi" w:hAnsiTheme="majorHAnsi" w:cstheme="majorHAnsi"/>
          <w:szCs w:val="22"/>
        </w:rPr>
        <w:t xml:space="preserve">Research has demonstrated that </w:t>
      </w:r>
      <w:r w:rsidR="000B6386" w:rsidRPr="004C3ABD">
        <w:rPr>
          <w:rFonts w:asciiTheme="majorHAnsi" w:hAnsiTheme="majorHAnsi" w:cstheme="majorHAnsi"/>
          <w:szCs w:val="22"/>
        </w:rPr>
        <w:t>87% of children in detention in Victoria had at least one diagnosed mental illness and that 75% had two or more disorders.</w:t>
      </w:r>
      <w:r>
        <w:rPr>
          <w:rStyle w:val="FootnoteReference"/>
          <w:rFonts w:asciiTheme="majorHAnsi" w:hAnsiTheme="majorHAnsi" w:cstheme="majorHAnsi"/>
          <w:szCs w:val="22"/>
        </w:rPr>
        <w:footnoteReference w:id="18"/>
      </w:r>
      <w:r w:rsidR="000B6386" w:rsidRPr="004C3ABD">
        <w:rPr>
          <w:rFonts w:asciiTheme="majorHAnsi" w:hAnsiTheme="majorHAnsi" w:cstheme="majorHAnsi"/>
          <w:szCs w:val="22"/>
        </w:rPr>
        <w:t xml:space="preserve"> A NSW study found </w:t>
      </w:r>
      <w:r>
        <w:rPr>
          <w:rFonts w:asciiTheme="majorHAnsi" w:hAnsiTheme="majorHAnsi" w:cstheme="majorHAnsi"/>
          <w:szCs w:val="22"/>
        </w:rPr>
        <w:t>that</w:t>
      </w:r>
      <w:r w:rsidR="000B6386" w:rsidRPr="004C3ABD">
        <w:rPr>
          <w:rFonts w:asciiTheme="majorHAnsi" w:hAnsiTheme="majorHAnsi" w:cstheme="majorHAnsi"/>
          <w:szCs w:val="22"/>
        </w:rPr>
        <w:t xml:space="preserve"> 92% of females and 86% of males in </w:t>
      </w:r>
      <w:r>
        <w:rPr>
          <w:rFonts w:asciiTheme="majorHAnsi" w:hAnsiTheme="majorHAnsi" w:cstheme="majorHAnsi"/>
          <w:szCs w:val="22"/>
        </w:rPr>
        <w:t xml:space="preserve">youth </w:t>
      </w:r>
      <w:r w:rsidR="000B6386" w:rsidRPr="004C3ABD">
        <w:rPr>
          <w:rFonts w:asciiTheme="majorHAnsi" w:hAnsiTheme="majorHAnsi" w:cstheme="majorHAnsi"/>
          <w:szCs w:val="22"/>
        </w:rPr>
        <w:t xml:space="preserve">detention </w:t>
      </w:r>
      <w:r>
        <w:rPr>
          <w:rFonts w:asciiTheme="majorHAnsi" w:hAnsiTheme="majorHAnsi" w:cstheme="majorHAnsi"/>
          <w:szCs w:val="22"/>
        </w:rPr>
        <w:t>had</w:t>
      </w:r>
      <w:r w:rsidR="000B6386" w:rsidRPr="004C3ABD">
        <w:rPr>
          <w:rFonts w:asciiTheme="majorHAnsi" w:hAnsiTheme="majorHAnsi" w:cstheme="majorHAnsi"/>
          <w:szCs w:val="22"/>
        </w:rPr>
        <w:t xml:space="preserve"> a mental illness.</w:t>
      </w:r>
      <w:r>
        <w:rPr>
          <w:rStyle w:val="FootnoteReference"/>
          <w:rFonts w:asciiTheme="majorHAnsi" w:hAnsiTheme="majorHAnsi" w:cstheme="majorHAnsi"/>
          <w:szCs w:val="22"/>
        </w:rPr>
        <w:footnoteReference w:id="19"/>
      </w:r>
      <w:r w:rsidR="000B6386" w:rsidRPr="004C3ABD">
        <w:rPr>
          <w:rFonts w:asciiTheme="majorHAnsi" w:hAnsiTheme="majorHAnsi" w:cstheme="majorHAnsi"/>
          <w:szCs w:val="22"/>
        </w:rPr>
        <w:t xml:space="preserve"> </w:t>
      </w:r>
    </w:p>
    <w:p w14:paraId="71DA0D78" w14:textId="720DA4C6" w:rsidR="00E04DC4" w:rsidRDefault="000B6386" w:rsidP="00E00BEE">
      <w:pPr>
        <w:spacing w:after="160" w:line="259" w:lineRule="auto"/>
        <w:rPr>
          <w:rFonts w:asciiTheme="majorHAnsi" w:hAnsiTheme="majorHAnsi" w:cstheme="majorHAnsi"/>
          <w:szCs w:val="22"/>
        </w:rPr>
      </w:pPr>
      <w:r w:rsidRPr="009F6A5B">
        <w:rPr>
          <w:rFonts w:asciiTheme="majorHAnsi" w:hAnsiTheme="majorHAnsi" w:cstheme="majorHAnsi"/>
          <w:szCs w:val="22"/>
        </w:rPr>
        <w:t>The</w:t>
      </w:r>
      <w:r w:rsidR="009F6A5B" w:rsidRPr="009F6A5B">
        <w:rPr>
          <w:rFonts w:asciiTheme="majorHAnsi" w:hAnsiTheme="majorHAnsi" w:cstheme="majorHAnsi"/>
          <w:szCs w:val="22"/>
        </w:rPr>
        <w:t xml:space="preserve"> QFCC’s </w:t>
      </w:r>
      <w:r w:rsidR="009F6A5B">
        <w:rPr>
          <w:rFonts w:asciiTheme="majorHAnsi" w:hAnsiTheme="majorHAnsi" w:cstheme="majorHAnsi"/>
          <w:i/>
          <w:szCs w:val="22"/>
        </w:rPr>
        <w:t>C</w:t>
      </w:r>
      <w:r w:rsidR="00E00BEE" w:rsidRPr="009F6A5B">
        <w:rPr>
          <w:rFonts w:asciiTheme="majorHAnsi" w:hAnsiTheme="majorHAnsi" w:cstheme="majorHAnsi"/>
          <w:i/>
          <w:szCs w:val="22"/>
        </w:rPr>
        <w:t>riminalisation of children living in out-of-home care in Queensland</w:t>
      </w:r>
      <w:r>
        <w:rPr>
          <w:rFonts w:asciiTheme="majorHAnsi" w:hAnsiTheme="majorHAnsi" w:cstheme="majorHAnsi"/>
          <w:szCs w:val="22"/>
        </w:rPr>
        <w:t xml:space="preserve"> </w:t>
      </w:r>
      <w:r w:rsidR="00E00BEE">
        <w:rPr>
          <w:rFonts w:asciiTheme="majorHAnsi" w:hAnsiTheme="majorHAnsi" w:cstheme="majorHAnsi"/>
          <w:szCs w:val="22"/>
        </w:rPr>
        <w:t xml:space="preserve">identified that </w:t>
      </w:r>
      <w:r w:rsidR="009F6A5B">
        <w:rPr>
          <w:rFonts w:asciiTheme="majorHAnsi" w:hAnsiTheme="majorHAnsi" w:cstheme="majorHAnsi"/>
          <w:szCs w:val="22"/>
        </w:rPr>
        <w:t xml:space="preserve">many </w:t>
      </w:r>
      <w:r w:rsidR="00E00BEE">
        <w:rPr>
          <w:rFonts w:asciiTheme="majorHAnsi" w:hAnsiTheme="majorHAnsi" w:cstheme="majorHAnsi"/>
          <w:szCs w:val="22"/>
        </w:rPr>
        <w:t>children in out-of-home care</w:t>
      </w:r>
      <w:r w:rsidR="009F6A5B">
        <w:rPr>
          <w:rFonts w:asciiTheme="majorHAnsi" w:hAnsiTheme="majorHAnsi" w:cstheme="majorHAnsi"/>
          <w:szCs w:val="22"/>
        </w:rPr>
        <w:t xml:space="preserve"> experience mental illness.</w:t>
      </w:r>
      <w:r w:rsidR="009F6A5B">
        <w:rPr>
          <w:rStyle w:val="FootnoteReference"/>
          <w:rFonts w:asciiTheme="majorHAnsi" w:hAnsiTheme="majorHAnsi" w:cstheme="majorHAnsi"/>
          <w:szCs w:val="22"/>
        </w:rPr>
        <w:footnoteReference w:id="20"/>
      </w:r>
      <w:r w:rsidR="009F6A5B">
        <w:rPr>
          <w:rFonts w:asciiTheme="majorHAnsi" w:hAnsiTheme="majorHAnsi" w:cstheme="majorHAnsi"/>
          <w:szCs w:val="22"/>
        </w:rPr>
        <w:t xml:space="preserve"> A national comparative study, utilising a case-file reading methodology, found that 33.8 per cent of a sample of children in out-of-home care exhibited symptoms of depression and/or anxiety 32.4 per cent exhibited symptoms of Attention Deficit Hyperactivity Disorder, and 15.7 per cent exhibited symptoms of a personality disorder and/or other mental illness.</w:t>
      </w:r>
      <w:r w:rsidR="009F6A5B">
        <w:rPr>
          <w:rStyle w:val="FootnoteReference"/>
          <w:rFonts w:asciiTheme="majorHAnsi" w:hAnsiTheme="majorHAnsi" w:cstheme="majorHAnsi"/>
          <w:szCs w:val="22"/>
        </w:rPr>
        <w:footnoteReference w:id="21"/>
      </w:r>
      <w:r w:rsidR="00E04DC4" w:rsidRPr="00E04DC4">
        <w:rPr>
          <w:rFonts w:asciiTheme="majorHAnsi" w:hAnsiTheme="majorHAnsi" w:cstheme="majorHAnsi"/>
          <w:szCs w:val="22"/>
        </w:rPr>
        <w:t xml:space="preserve"> </w:t>
      </w:r>
    </w:p>
    <w:p w14:paraId="23D7BB4F" w14:textId="05CD7268" w:rsidR="006942F7" w:rsidRPr="009A5251" w:rsidRDefault="00E04DC4" w:rsidP="009A5251">
      <w:pPr>
        <w:spacing w:after="160" w:line="259" w:lineRule="auto"/>
        <w:rPr>
          <w:rFonts w:asciiTheme="majorHAnsi" w:hAnsiTheme="majorHAnsi" w:cstheme="majorHAnsi"/>
          <w:szCs w:val="22"/>
        </w:rPr>
      </w:pPr>
      <w:r>
        <w:rPr>
          <w:rFonts w:asciiTheme="majorHAnsi" w:hAnsiTheme="majorHAnsi" w:cstheme="majorHAnsi"/>
          <w:szCs w:val="22"/>
        </w:rPr>
        <w:t>Specific strategies are needed for these populations so that children and young people exit these systems safe and able to thrive.</w:t>
      </w:r>
    </w:p>
    <w:p w14:paraId="62AFD0FE" w14:textId="77777777" w:rsidR="009E250A" w:rsidRDefault="009E250A">
      <w:pPr>
        <w:spacing w:after="160" w:line="259" w:lineRule="auto"/>
        <w:rPr>
          <w:rFonts w:asciiTheme="majorHAnsi" w:hAnsiTheme="majorHAnsi" w:cstheme="majorHAnsi"/>
          <w:b/>
          <w:szCs w:val="22"/>
        </w:rPr>
      </w:pPr>
      <w:r>
        <w:rPr>
          <w:rFonts w:asciiTheme="majorHAnsi" w:hAnsiTheme="majorHAnsi" w:cstheme="majorHAnsi"/>
          <w:b/>
          <w:szCs w:val="22"/>
        </w:rPr>
        <w:br w:type="page"/>
      </w:r>
    </w:p>
    <w:p w14:paraId="489F12EE" w14:textId="47E621E9" w:rsidR="00E30BCF" w:rsidRPr="00745A6F" w:rsidRDefault="00E30BCF" w:rsidP="008F12D9">
      <w:pPr>
        <w:spacing w:before="120" w:after="160" w:line="259" w:lineRule="auto"/>
        <w:rPr>
          <w:rFonts w:asciiTheme="majorHAnsi" w:hAnsiTheme="majorHAnsi" w:cstheme="majorHAnsi"/>
          <w:b/>
          <w:szCs w:val="22"/>
        </w:rPr>
      </w:pPr>
      <w:r w:rsidRPr="00745A6F">
        <w:rPr>
          <w:rFonts w:asciiTheme="majorHAnsi" w:hAnsiTheme="majorHAnsi" w:cstheme="majorHAnsi"/>
          <w:b/>
          <w:szCs w:val="22"/>
        </w:rPr>
        <w:lastRenderedPageBreak/>
        <w:t>How effective are mental healt</w:t>
      </w:r>
      <w:r w:rsidR="00745A6F" w:rsidRPr="00745A6F">
        <w:rPr>
          <w:rFonts w:asciiTheme="majorHAnsi" w:hAnsiTheme="majorHAnsi" w:cstheme="majorHAnsi"/>
          <w:b/>
          <w:szCs w:val="22"/>
        </w:rPr>
        <w:t>h-related supports and program</w:t>
      </w:r>
      <w:r w:rsidR="00E04DC4">
        <w:rPr>
          <w:rFonts w:asciiTheme="majorHAnsi" w:hAnsiTheme="majorHAnsi" w:cstheme="majorHAnsi"/>
          <w:b/>
          <w:szCs w:val="22"/>
        </w:rPr>
        <w:t>s</w:t>
      </w:r>
      <w:r w:rsidR="00745A6F" w:rsidRPr="00745A6F">
        <w:rPr>
          <w:rFonts w:asciiTheme="majorHAnsi" w:hAnsiTheme="majorHAnsi" w:cstheme="majorHAnsi"/>
          <w:b/>
          <w:szCs w:val="22"/>
        </w:rPr>
        <w:t xml:space="preserve"> </w:t>
      </w:r>
      <w:r w:rsidRPr="00745A6F">
        <w:rPr>
          <w:rFonts w:asciiTheme="majorHAnsi" w:hAnsiTheme="majorHAnsi" w:cstheme="majorHAnsi"/>
          <w:b/>
          <w:szCs w:val="22"/>
        </w:rPr>
        <w:t>in Australian education and training settings in providing support to students? How effective are programs in educating staff, students and families, on mental health and wellbeing?</w:t>
      </w:r>
    </w:p>
    <w:p w14:paraId="1ABB1B5D" w14:textId="115DB240" w:rsidR="00B94C8C" w:rsidRPr="00B94C8C" w:rsidRDefault="00B97355" w:rsidP="00B94C8C">
      <w:pPr>
        <w:spacing w:after="160" w:line="259" w:lineRule="auto"/>
        <w:rPr>
          <w:rFonts w:asciiTheme="majorHAnsi" w:hAnsiTheme="majorHAnsi" w:cstheme="majorHAnsi"/>
          <w:szCs w:val="22"/>
        </w:rPr>
      </w:pPr>
      <w:bookmarkStart w:id="1" w:name="_Hlk4077080"/>
      <w:r w:rsidRPr="00B94C8C">
        <w:rPr>
          <w:rFonts w:asciiTheme="majorHAnsi" w:hAnsiTheme="majorHAnsi" w:cstheme="majorHAnsi"/>
          <w:szCs w:val="22"/>
        </w:rPr>
        <w:t>The QFCC maintains a register of information relating to child deaths in Queensland</w:t>
      </w:r>
      <w:r w:rsidR="00B94C8C" w:rsidRPr="00B94C8C">
        <w:rPr>
          <w:rFonts w:asciiTheme="majorHAnsi" w:hAnsiTheme="majorHAnsi" w:cstheme="majorHAnsi"/>
          <w:szCs w:val="22"/>
        </w:rPr>
        <w:t>,</w:t>
      </w:r>
      <w:r w:rsidRPr="00B94C8C">
        <w:rPr>
          <w:rFonts w:asciiTheme="majorHAnsi" w:hAnsiTheme="majorHAnsi" w:cstheme="majorHAnsi"/>
          <w:szCs w:val="22"/>
        </w:rPr>
        <w:t xml:space="preserve"> and reports on trends and patterns in child deaths each year. </w:t>
      </w:r>
      <w:r w:rsidR="00B94C8C">
        <w:rPr>
          <w:rFonts w:asciiTheme="majorHAnsi" w:hAnsiTheme="majorHAnsi" w:cstheme="majorHAnsi"/>
          <w:szCs w:val="22"/>
        </w:rPr>
        <w:t>This includes child deaths that occur as a result of self</w:t>
      </w:r>
      <w:r w:rsidR="00B94C8C">
        <w:rPr>
          <w:rFonts w:asciiTheme="majorHAnsi" w:hAnsiTheme="majorHAnsi" w:cstheme="majorHAnsi"/>
          <w:szCs w:val="22"/>
        </w:rPr>
        <w:noBreakHyphen/>
        <w:t>harm</w:t>
      </w:r>
      <w:r w:rsidR="00B345DD">
        <w:rPr>
          <w:rFonts w:asciiTheme="majorHAnsi" w:hAnsiTheme="majorHAnsi" w:cstheme="majorHAnsi"/>
          <w:szCs w:val="22"/>
        </w:rPr>
        <w:t xml:space="preserve"> or suicide</w:t>
      </w:r>
      <w:r w:rsidR="00B94C8C">
        <w:rPr>
          <w:rFonts w:asciiTheme="majorHAnsi" w:hAnsiTheme="majorHAnsi" w:cstheme="majorHAnsi"/>
          <w:szCs w:val="22"/>
        </w:rPr>
        <w:t>.</w:t>
      </w:r>
    </w:p>
    <w:p w14:paraId="04DCD925" w14:textId="3DED1135" w:rsidR="00B97355" w:rsidRPr="00B94C8C" w:rsidRDefault="00BC7636" w:rsidP="00B94C8C">
      <w:pPr>
        <w:spacing w:after="160" w:line="259" w:lineRule="auto"/>
        <w:rPr>
          <w:rFonts w:asciiTheme="majorHAnsi" w:hAnsiTheme="majorHAnsi" w:cstheme="majorHAnsi"/>
          <w:szCs w:val="22"/>
        </w:rPr>
      </w:pPr>
      <w:r>
        <w:rPr>
          <w:rFonts w:asciiTheme="majorHAnsi" w:hAnsiTheme="majorHAnsi" w:cstheme="majorHAnsi"/>
          <w:szCs w:val="22"/>
        </w:rPr>
        <w:t>S</w:t>
      </w:r>
      <w:r w:rsidR="00B97355" w:rsidRPr="00B94C8C">
        <w:rPr>
          <w:rFonts w:asciiTheme="majorHAnsi" w:hAnsiTheme="majorHAnsi" w:cstheme="majorHAnsi"/>
          <w:szCs w:val="22"/>
        </w:rPr>
        <w:t xml:space="preserve">uicide is a leading </w:t>
      </w:r>
      <w:r>
        <w:rPr>
          <w:rFonts w:asciiTheme="majorHAnsi" w:hAnsiTheme="majorHAnsi" w:cstheme="majorHAnsi"/>
          <w:szCs w:val="22"/>
        </w:rPr>
        <w:t xml:space="preserve">external </w:t>
      </w:r>
      <w:r w:rsidR="00B97355" w:rsidRPr="00B94C8C">
        <w:rPr>
          <w:rFonts w:asciiTheme="majorHAnsi" w:hAnsiTheme="majorHAnsi" w:cstheme="majorHAnsi"/>
          <w:szCs w:val="22"/>
        </w:rPr>
        <w:t>cause of death of young people aged</w:t>
      </w:r>
      <w:r>
        <w:rPr>
          <w:rFonts w:asciiTheme="majorHAnsi" w:hAnsiTheme="majorHAnsi" w:cstheme="majorHAnsi"/>
          <w:szCs w:val="22"/>
        </w:rPr>
        <w:t xml:space="preserve"> 10-14 years and 15-17 years, at a rate of 4.7 deaths per 100,000 children aged 10-17</w:t>
      </w:r>
      <w:r w:rsidR="001015BD">
        <w:rPr>
          <w:rFonts w:asciiTheme="majorHAnsi" w:hAnsiTheme="majorHAnsi" w:cstheme="majorHAnsi"/>
          <w:szCs w:val="22"/>
        </w:rPr>
        <w:t xml:space="preserve"> in 2017-18</w:t>
      </w:r>
      <w:r>
        <w:rPr>
          <w:rFonts w:asciiTheme="majorHAnsi" w:hAnsiTheme="majorHAnsi" w:cstheme="majorHAnsi"/>
          <w:szCs w:val="22"/>
        </w:rPr>
        <w:t>.</w:t>
      </w:r>
      <w:r w:rsidR="00E428E9">
        <w:rPr>
          <w:rStyle w:val="FootnoteReference"/>
          <w:rFonts w:asciiTheme="majorHAnsi" w:hAnsiTheme="majorHAnsi" w:cstheme="majorHAnsi"/>
          <w:szCs w:val="22"/>
        </w:rPr>
        <w:footnoteReference w:id="22"/>
      </w:r>
      <w:r w:rsidR="00E428E9">
        <w:rPr>
          <w:rFonts w:asciiTheme="majorHAnsi" w:hAnsiTheme="majorHAnsi" w:cstheme="majorHAnsi"/>
          <w:szCs w:val="22"/>
        </w:rPr>
        <w:t xml:space="preserve"> </w:t>
      </w:r>
    </w:p>
    <w:p w14:paraId="6A6F123D" w14:textId="6910ED0F" w:rsidR="00B97355" w:rsidRPr="00B94C8C" w:rsidRDefault="00B97355" w:rsidP="00B94C8C">
      <w:pPr>
        <w:spacing w:after="160" w:line="259" w:lineRule="auto"/>
        <w:rPr>
          <w:rFonts w:asciiTheme="majorHAnsi" w:hAnsiTheme="majorHAnsi" w:cstheme="majorHAnsi"/>
          <w:szCs w:val="22"/>
        </w:rPr>
      </w:pPr>
      <w:r w:rsidRPr="00B94C8C">
        <w:rPr>
          <w:rFonts w:asciiTheme="majorHAnsi" w:hAnsiTheme="majorHAnsi" w:cstheme="majorHAnsi"/>
          <w:szCs w:val="22"/>
        </w:rPr>
        <w:t xml:space="preserve">Queensland research has found that suicide cannot be predicted. While mental health issues are prevalent amongst young people who suicide, many young people are treated for these conditions and only a very small number may go on to suicide. Only half of the young people who died by suicide expressed thoughts of suicide or suicidal ideation in the time prior to their death. Surveys of young people show suicidal ideation can be common, and these thoughts can start at a young age. </w:t>
      </w:r>
    </w:p>
    <w:p w14:paraId="477256F5" w14:textId="2DE29585" w:rsidR="00597EB7" w:rsidRDefault="00B97355" w:rsidP="00B94C8C">
      <w:pPr>
        <w:spacing w:after="160" w:line="259" w:lineRule="auto"/>
        <w:rPr>
          <w:rFonts w:asciiTheme="majorHAnsi" w:hAnsiTheme="majorHAnsi" w:cstheme="majorHAnsi"/>
          <w:szCs w:val="22"/>
        </w:rPr>
      </w:pPr>
      <w:r w:rsidRPr="00B94C8C">
        <w:rPr>
          <w:rFonts w:asciiTheme="majorHAnsi" w:hAnsiTheme="majorHAnsi" w:cstheme="majorHAnsi"/>
          <w:szCs w:val="22"/>
        </w:rPr>
        <w:t xml:space="preserve">Suicidal behaviours in young people are often not the result of a single cause, and multiple stressors and adverse life experiences may be present. Risk factors that make young people vulnerable to suicide include exposure to maltreatment, family violence and parental maladjustment and bullying. The most common triggers for suicide include conflict with parents, friends, partners and siblings. </w:t>
      </w:r>
    </w:p>
    <w:p w14:paraId="6DB94E8C" w14:textId="4A74DD36" w:rsidR="00B345DD" w:rsidRPr="00B345DD" w:rsidRDefault="00B345DD" w:rsidP="00B94C8C">
      <w:pPr>
        <w:spacing w:after="160" w:line="259" w:lineRule="auto"/>
        <w:rPr>
          <w:rFonts w:asciiTheme="majorHAnsi" w:hAnsiTheme="majorHAnsi" w:cstheme="majorHAnsi"/>
          <w:szCs w:val="22"/>
        </w:rPr>
      </w:pPr>
      <w:r w:rsidRPr="00B345DD">
        <w:rPr>
          <w:rFonts w:ascii="Calibri Light" w:hAnsi="Calibri Light" w:cs="Calibri Light"/>
        </w:rPr>
        <w:t>As young people at risk of suicide often have multiple issues in their lives, these may bring them into contact with government services notably police, ambulance, youth justice, domestic and family violence, drug and alcohol, housing and, very commonly, child protection services.</w:t>
      </w:r>
    </w:p>
    <w:p w14:paraId="6BA7C086" w14:textId="12955143" w:rsidR="00CF1129" w:rsidRPr="00B94C8C" w:rsidRDefault="00597EB7" w:rsidP="00B94C8C">
      <w:pPr>
        <w:spacing w:after="160" w:line="259" w:lineRule="auto"/>
        <w:rPr>
          <w:rFonts w:asciiTheme="majorHAnsi" w:hAnsiTheme="majorHAnsi" w:cstheme="majorHAnsi"/>
          <w:szCs w:val="22"/>
        </w:rPr>
      </w:pPr>
      <w:r>
        <w:rPr>
          <w:rFonts w:asciiTheme="majorHAnsi" w:hAnsiTheme="majorHAnsi" w:cstheme="majorHAnsi"/>
          <w:szCs w:val="22"/>
        </w:rPr>
        <w:t>I</w:t>
      </w:r>
      <w:r w:rsidR="00CF1129" w:rsidRPr="00B94C8C">
        <w:rPr>
          <w:rFonts w:asciiTheme="majorHAnsi" w:hAnsiTheme="majorHAnsi" w:cstheme="majorHAnsi"/>
          <w:szCs w:val="22"/>
        </w:rPr>
        <w:t>ntervening early with young people who experience trauma, such as childhood maltreatment, or who disengage from school or other supports, may help to reduce risk factors for the young person while also helping them to overcome early adversity.</w:t>
      </w:r>
      <w:r>
        <w:rPr>
          <w:rStyle w:val="FootnoteReference"/>
          <w:rFonts w:asciiTheme="majorHAnsi" w:hAnsiTheme="majorHAnsi" w:cstheme="majorHAnsi"/>
          <w:szCs w:val="22"/>
        </w:rPr>
        <w:footnoteReference w:id="23"/>
      </w:r>
      <w:bookmarkEnd w:id="1"/>
      <w:r>
        <w:rPr>
          <w:rFonts w:asciiTheme="majorHAnsi" w:hAnsiTheme="majorHAnsi" w:cstheme="majorHAnsi"/>
          <w:szCs w:val="22"/>
        </w:rPr>
        <w:t xml:space="preserve"> </w:t>
      </w:r>
    </w:p>
    <w:p w14:paraId="6D3C577F" w14:textId="355E2A5B" w:rsidR="00CF1129" w:rsidRPr="00B94C8C" w:rsidRDefault="00CF1129" w:rsidP="00B94C8C">
      <w:pPr>
        <w:spacing w:after="160" w:line="259" w:lineRule="auto"/>
        <w:rPr>
          <w:rFonts w:asciiTheme="majorHAnsi" w:hAnsiTheme="majorHAnsi" w:cstheme="majorHAnsi"/>
          <w:szCs w:val="22"/>
        </w:rPr>
      </w:pPr>
      <w:r w:rsidRPr="00B94C8C">
        <w:rPr>
          <w:rFonts w:asciiTheme="majorHAnsi" w:hAnsiTheme="majorHAnsi" w:cstheme="majorHAnsi"/>
          <w:szCs w:val="22"/>
        </w:rPr>
        <w:t xml:space="preserve">Frontline staff need to be equipped with ‘mental health first aid’ skills to identify and respond to young people in distress. Communication within and between government agencies and community services needs to be strong to ensure the coordination of resources provided to young people, especially for those who lack parental support. </w:t>
      </w:r>
    </w:p>
    <w:p w14:paraId="63F735CC" w14:textId="56AC4259" w:rsidR="00CF1129" w:rsidRPr="00597EB7" w:rsidRDefault="00B97355" w:rsidP="00597EB7">
      <w:pPr>
        <w:spacing w:after="160" w:line="259" w:lineRule="auto"/>
        <w:rPr>
          <w:rFonts w:asciiTheme="majorHAnsi" w:hAnsiTheme="majorHAnsi" w:cstheme="majorHAnsi"/>
          <w:szCs w:val="22"/>
        </w:rPr>
      </w:pPr>
      <w:r w:rsidRPr="00B94C8C">
        <w:rPr>
          <w:rFonts w:asciiTheme="majorHAnsi" w:hAnsiTheme="majorHAnsi" w:cstheme="majorHAnsi"/>
          <w:szCs w:val="22"/>
        </w:rPr>
        <w:t xml:space="preserve">Schools play a key role in supporting young people, including through programs that build mental wellbeing and resilience and address bullying behaviours. Parents, teachers and young people need to be provided with information on warning signs and how to help a young person if they are concerned. </w:t>
      </w:r>
    </w:p>
    <w:p w14:paraId="5B7ACC18" w14:textId="28BE06D5" w:rsidR="00BF392C" w:rsidRPr="00597EB7" w:rsidRDefault="00CF0E9F" w:rsidP="00597EB7">
      <w:pPr>
        <w:spacing w:after="160" w:line="259" w:lineRule="auto"/>
        <w:rPr>
          <w:rFonts w:asciiTheme="majorHAnsi" w:hAnsiTheme="majorHAnsi" w:cstheme="majorHAnsi"/>
          <w:szCs w:val="22"/>
        </w:rPr>
      </w:pPr>
      <w:bookmarkStart w:id="2" w:name="_Hlk4077182"/>
      <w:r w:rsidRPr="00CF0E9F">
        <w:rPr>
          <w:rFonts w:asciiTheme="majorHAnsi" w:hAnsiTheme="majorHAnsi" w:cstheme="majorHAnsi"/>
          <w:szCs w:val="22"/>
        </w:rPr>
        <w:t>The QFCC is partnering with Family and Child Connect to deliver the Talking Families School initiative to empower parents to seek help with parenting early before concerns escalate and provide advice on how to access support services.  The initiative encourages schools to build a supportive culture and sense of community where parents feel they can ask for help without fear of being judged. This includes providing tips and messaging about looking after their mental wellbeing and how to speak with their children when they are worried about theirs too</w:t>
      </w:r>
      <w:r w:rsidR="00A962A5" w:rsidRPr="00597EB7">
        <w:rPr>
          <w:rFonts w:asciiTheme="majorHAnsi" w:hAnsiTheme="majorHAnsi" w:cstheme="majorHAnsi"/>
          <w:szCs w:val="22"/>
        </w:rPr>
        <w:t>.</w:t>
      </w:r>
      <w:bookmarkEnd w:id="2"/>
    </w:p>
    <w:p w14:paraId="729CBE2E" w14:textId="51412B28" w:rsidR="00E83B6D" w:rsidRDefault="00B97355" w:rsidP="00E83B6D">
      <w:pPr>
        <w:spacing w:after="160" w:line="259" w:lineRule="auto"/>
        <w:rPr>
          <w:rFonts w:asciiTheme="majorHAnsi" w:hAnsiTheme="majorHAnsi" w:cstheme="majorHAnsi"/>
          <w:szCs w:val="22"/>
        </w:rPr>
      </w:pPr>
      <w:r>
        <w:rPr>
          <w:rFonts w:asciiTheme="majorHAnsi" w:hAnsiTheme="majorHAnsi" w:cstheme="majorHAnsi"/>
          <w:szCs w:val="22"/>
        </w:rPr>
        <w:lastRenderedPageBreak/>
        <w:t>The Growing up in Queensland results show a</w:t>
      </w:r>
      <w:r w:rsidR="00296EFA">
        <w:rPr>
          <w:rFonts w:asciiTheme="majorHAnsi" w:hAnsiTheme="majorHAnsi" w:cstheme="majorHAnsi"/>
          <w:szCs w:val="22"/>
        </w:rPr>
        <w:t>lmost two</w:t>
      </w:r>
      <w:r w:rsidR="00637BE6">
        <w:rPr>
          <w:rFonts w:asciiTheme="majorHAnsi" w:hAnsiTheme="majorHAnsi" w:cstheme="majorHAnsi"/>
          <w:szCs w:val="22"/>
        </w:rPr>
        <w:t>-thirds of young people report</w:t>
      </w:r>
      <w:r w:rsidR="00296EFA">
        <w:rPr>
          <w:rFonts w:asciiTheme="majorHAnsi" w:hAnsiTheme="majorHAnsi" w:cstheme="majorHAnsi"/>
          <w:szCs w:val="22"/>
        </w:rPr>
        <w:t xml:space="preserve"> they were concerned or very concerned about the amount of stress in their lives. </w:t>
      </w:r>
      <w:r w:rsidR="00D02D0D">
        <w:rPr>
          <w:rFonts w:asciiTheme="majorHAnsi" w:hAnsiTheme="majorHAnsi" w:cstheme="majorHAnsi"/>
          <w:szCs w:val="22"/>
        </w:rPr>
        <w:t>S</w:t>
      </w:r>
      <w:r w:rsidR="00296EFA">
        <w:rPr>
          <w:rFonts w:asciiTheme="majorHAnsi" w:hAnsiTheme="majorHAnsi" w:cstheme="majorHAnsi"/>
          <w:szCs w:val="22"/>
        </w:rPr>
        <w:t xml:space="preserve">chool workloads, adult expectations and </w:t>
      </w:r>
      <w:r w:rsidR="00393F0E">
        <w:rPr>
          <w:rFonts w:asciiTheme="majorHAnsi" w:hAnsiTheme="majorHAnsi" w:cstheme="majorHAnsi"/>
          <w:szCs w:val="22"/>
        </w:rPr>
        <w:t>balancing school work with leisure</w:t>
      </w:r>
      <w:r w:rsidR="00D02D0D">
        <w:rPr>
          <w:rFonts w:asciiTheme="majorHAnsi" w:hAnsiTheme="majorHAnsi" w:cstheme="majorHAnsi"/>
          <w:szCs w:val="22"/>
        </w:rPr>
        <w:t xml:space="preserve"> </w:t>
      </w:r>
      <w:r w:rsidR="00637BE6">
        <w:rPr>
          <w:rFonts w:asciiTheme="majorHAnsi" w:hAnsiTheme="majorHAnsi" w:cstheme="majorHAnsi"/>
          <w:szCs w:val="22"/>
        </w:rPr>
        <w:t>are</w:t>
      </w:r>
      <w:r w:rsidR="00D02D0D">
        <w:rPr>
          <w:rFonts w:asciiTheme="majorHAnsi" w:hAnsiTheme="majorHAnsi" w:cstheme="majorHAnsi"/>
          <w:szCs w:val="22"/>
        </w:rPr>
        <w:t xml:space="preserve"> identified as key </w:t>
      </w:r>
      <w:r w:rsidR="00393F0E">
        <w:rPr>
          <w:rFonts w:asciiTheme="majorHAnsi" w:hAnsiTheme="majorHAnsi" w:cstheme="majorHAnsi"/>
          <w:szCs w:val="22"/>
        </w:rPr>
        <w:t xml:space="preserve">factors contributing </w:t>
      </w:r>
      <w:r w:rsidR="00297CB1">
        <w:rPr>
          <w:rFonts w:asciiTheme="majorHAnsi" w:hAnsiTheme="majorHAnsi" w:cstheme="majorHAnsi"/>
          <w:szCs w:val="22"/>
        </w:rPr>
        <w:t>to stress. Young people report</w:t>
      </w:r>
      <w:r w:rsidR="00393F0E">
        <w:rPr>
          <w:rFonts w:asciiTheme="majorHAnsi" w:hAnsiTheme="majorHAnsi" w:cstheme="majorHAnsi"/>
          <w:szCs w:val="22"/>
        </w:rPr>
        <w:t xml:space="preserve"> educational pressures as important, primarily because they perceive that their academic ability and achievement could be a barrier to achieving their hopes and dreams. Young people report that this stress is impacting on their mental health.</w:t>
      </w:r>
      <w:r w:rsidR="00BF392C">
        <w:rPr>
          <w:rFonts w:asciiTheme="majorHAnsi" w:hAnsiTheme="majorHAnsi" w:cstheme="majorHAnsi"/>
          <w:szCs w:val="22"/>
        </w:rPr>
        <w:t xml:space="preserve"> </w:t>
      </w:r>
      <w:r w:rsidR="00E83B6D">
        <w:rPr>
          <w:rFonts w:asciiTheme="majorHAnsi" w:hAnsiTheme="majorHAnsi" w:cstheme="majorHAnsi"/>
          <w:szCs w:val="22"/>
        </w:rPr>
        <w:t>Young people identified the need for supports</w:t>
      </w:r>
      <w:r w:rsidR="00E83B6D" w:rsidRPr="00F64803">
        <w:rPr>
          <w:rFonts w:asciiTheme="majorHAnsi" w:hAnsiTheme="majorHAnsi" w:cstheme="majorHAnsi"/>
          <w:szCs w:val="22"/>
        </w:rPr>
        <w:t xml:space="preserve"> </w:t>
      </w:r>
      <w:r w:rsidR="00E83B6D">
        <w:rPr>
          <w:rFonts w:asciiTheme="majorHAnsi" w:hAnsiTheme="majorHAnsi" w:cstheme="majorHAnsi"/>
          <w:szCs w:val="22"/>
        </w:rPr>
        <w:t>that focus on alleviating stress and pressure, such as adult mentors, peer</w:t>
      </w:r>
      <w:r w:rsidR="00E83B6D">
        <w:rPr>
          <w:rFonts w:asciiTheme="majorHAnsi" w:hAnsiTheme="majorHAnsi" w:cstheme="majorHAnsi"/>
          <w:szCs w:val="22"/>
        </w:rPr>
        <w:noBreakHyphen/>
        <w:t>support mechanisms and informal support groups external to school.</w:t>
      </w:r>
    </w:p>
    <w:p w14:paraId="0ACFC97F" w14:textId="5817E943" w:rsidR="00306C56" w:rsidRDefault="00B97355" w:rsidP="00826B54">
      <w:pPr>
        <w:spacing w:after="160" w:line="259" w:lineRule="auto"/>
        <w:rPr>
          <w:rFonts w:asciiTheme="majorHAnsi" w:hAnsiTheme="majorHAnsi" w:cstheme="majorHAnsi"/>
          <w:szCs w:val="22"/>
        </w:rPr>
      </w:pPr>
      <w:r w:rsidRPr="00826B54">
        <w:rPr>
          <w:rFonts w:asciiTheme="majorHAnsi" w:hAnsiTheme="majorHAnsi" w:cstheme="majorHAnsi"/>
          <w:szCs w:val="22"/>
        </w:rPr>
        <w:t xml:space="preserve">In addition, </w:t>
      </w:r>
      <w:r w:rsidR="00826B54">
        <w:rPr>
          <w:rFonts w:asciiTheme="majorHAnsi" w:hAnsiTheme="majorHAnsi" w:cstheme="majorHAnsi"/>
          <w:szCs w:val="22"/>
        </w:rPr>
        <w:t>30</w:t>
      </w:r>
      <w:r w:rsidR="00BF392C" w:rsidRPr="00826B54">
        <w:rPr>
          <w:rFonts w:asciiTheme="majorHAnsi" w:hAnsiTheme="majorHAnsi" w:cstheme="majorHAnsi"/>
          <w:szCs w:val="22"/>
        </w:rPr>
        <w:t xml:space="preserve"> per cent of those who participated in the survey component of this research said in the past three months they had been bullied face-to-face once or twice, and 23 per cent said that they had been subject to cyberbullying. </w:t>
      </w:r>
    </w:p>
    <w:p w14:paraId="01B3C13C" w14:textId="61C983BD" w:rsidR="00E83B6D" w:rsidRPr="00826B54" w:rsidRDefault="00E83B6D" w:rsidP="00826B54">
      <w:pPr>
        <w:spacing w:after="160" w:line="259" w:lineRule="auto"/>
        <w:rPr>
          <w:rFonts w:asciiTheme="majorHAnsi" w:hAnsiTheme="majorHAnsi" w:cstheme="majorHAnsi"/>
          <w:szCs w:val="22"/>
        </w:rPr>
      </w:pPr>
      <w:r w:rsidRPr="00826B54">
        <w:rPr>
          <w:rFonts w:asciiTheme="majorHAnsi" w:hAnsiTheme="majorHAnsi" w:cstheme="majorHAnsi"/>
          <w:szCs w:val="22"/>
        </w:rPr>
        <w:t>The Queensland Anti</w:t>
      </w:r>
      <w:r w:rsidRPr="00826B54">
        <w:rPr>
          <w:rFonts w:ascii="Cambria Math" w:hAnsi="Cambria Math" w:cs="Cambria Math"/>
          <w:szCs w:val="22"/>
        </w:rPr>
        <w:t>‑</w:t>
      </w:r>
      <w:r w:rsidRPr="00826B54">
        <w:rPr>
          <w:rFonts w:asciiTheme="majorHAnsi" w:hAnsiTheme="majorHAnsi" w:cstheme="majorHAnsi"/>
          <w:szCs w:val="22"/>
        </w:rPr>
        <w:t xml:space="preserve">Cyberbullying Taskforce’s, appointed by the Queensland Premier and Minister for Trade in February 2018, made 29 recommendations to address cyberbullying through a community-wide approach. The Queensland government has accepted recommendations including to: </w:t>
      </w:r>
    </w:p>
    <w:p w14:paraId="3293BF7D" w14:textId="539860D2" w:rsidR="00E83B6D" w:rsidRPr="00826B54" w:rsidRDefault="00E83B6D" w:rsidP="00826B54">
      <w:pPr>
        <w:pStyle w:val="ListParagraph"/>
        <w:numPr>
          <w:ilvl w:val="0"/>
          <w:numId w:val="11"/>
        </w:numPr>
        <w:spacing w:after="120"/>
        <w:rPr>
          <w:rFonts w:asciiTheme="majorHAnsi" w:hAnsiTheme="majorHAnsi" w:cstheme="majorHAnsi"/>
          <w:szCs w:val="22"/>
        </w:rPr>
      </w:pPr>
      <w:r w:rsidRPr="00826B54">
        <w:rPr>
          <w:rFonts w:asciiTheme="majorHAnsi" w:hAnsiTheme="majorHAnsi" w:cstheme="majorHAnsi"/>
          <w:szCs w:val="22"/>
        </w:rPr>
        <w:t xml:space="preserve">work with universities to ensure pre-service teachers receive education in strategies to prevent and intervene in bullying and cyberbullying </w:t>
      </w:r>
    </w:p>
    <w:p w14:paraId="6DD481E6" w14:textId="4E487FC4" w:rsidR="00E83B6D" w:rsidRPr="00826B54" w:rsidRDefault="00E83B6D" w:rsidP="00826B54">
      <w:pPr>
        <w:pStyle w:val="ListParagraph"/>
        <w:numPr>
          <w:ilvl w:val="0"/>
          <w:numId w:val="11"/>
        </w:numPr>
        <w:spacing w:after="120"/>
        <w:rPr>
          <w:rFonts w:asciiTheme="majorHAnsi" w:hAnsiTheme="majorHAnsi" w:cstheme="majorHAnsi"/>
          <w:szCs w:val="22"/>
        </w:rPr>
      </w:pPr>
      <w:r w:rsidRPr="00826B54">
        <w:rPr>
          <w:rFonts w:asciiTheme="majorHAnsi" w:hAnsiTheme="majorHAnsi" w:cstheme="majorHAnsi"/>
          <w:szCs w:val="22"/>
        </w:rPr>
        <w:t xml:space="preserve">commission an independent review of the effectiveness of current processes to address reported incidents of cyberbullying in all school sectors </w:t>
      </w:r>
    </w:p>
    <w:p w14:paraId="6D117808" w14:textId="6BAD246E" w:rsidR="006942F7" w:rsidRDefault="00E83B6D" w:rsidP="007F0E7F">
      <w:pPr>
        <w:pStyle w:val="ListParagraph"/>
        <w:numPr>
          <w:ilvl w:val="0"/>
          <w:numId w:val="11"/>
        </w:numPr>
        <w:spacing w:after="120"/>
        <w:rPr>
          <w:rFonts w:asciiTheme="majorHAnsi" w:hAnsiTheme="majorHAnsi" w:cstheme="majorHAnsi"/>
          <w:szCs w:val="22"/>
        </w:rPr>
      </w:pPr>
      <w:r w:rsidRPr="00826B54">
        <w:rPr>
          <w:rFonts w:asciiTheme="majorHAnsi" w:hAnsiTheme="majorHAnsi" w:cstheme="majorHAnsi"/>
          <w:szCs w:val="22"/>
        </w:rPr>
        <w:t>commission a separate evaluation of relevant programs and resources to assist school leaders to reduce the relevance of bullying.</w:t>
      </w:r>
      <w:r w:rsidR="00826B54">
        <w:rPr>
          <w:rStyle w:val="FootnoteReference"/>
          <w:rFonts w:asciiTheme="majorHAnsi" w:hAnsiTheme="majorHAnsi" w:cstheme="majorHAnsi"/>
          <w:szCs w:val="22"/>
        </w:rPr>
        <w:footnoteReference w:id="24"/>
      </w:r>
      <w:r w:rsidRPr="00826B54">
        <w:rPr>
          <w:rFonts w:asciiTheme="majorHAnsi" w:hAnsiTheme="majorHAnsi" w:cstheme="majorHAnsi"/>
          <w:szCs w:val="22"/>
        </w:rPr>
        <w:t xml:space="preserve"> </w:t>
      </w:r>
      <w:r w:rsidR="007F0E7F" w:rsidRPr="007F0E7F">
        <w:rPr>
          <w:rFonts w:asciiTheme="majorHAnsi" w:hAnsiTheme="majorHAnsi" w:cstheme="majorHAnsi"/>
          <w:szCs w:val="22"/>
        </w:rPr>
        <w:t xml:space="preserve">  </w:t>
      </w:r>
    </w:p>
    <w:p w14:paraId="752E0361" w14:textId="3EFFD7E4" w:rsidR="00E30BCF" w:rsidRPr="00C52039" w:rsidRDefault="00E30BCF" w:rsidP="004626F4">
      <w:pPr>
        <w:spacing w:after="160" w:line="259" w:lineRule="auto"/>
        <w:rPr>
          <w:rFonts w:asciiTheme="majorHAnsi" w:hAnsiTheme="majorHAnsi" w:cstheme="majorHAnsi"/>
          <w:b/>
          <w:szCs w:val="22"/>
        </w:rPr>
      </w:pPr>
      <w:r w:rsidRPr="00C52039">
        <w:rPr>
          <w:rFonts w:asciiTheme="majorHAnsi" w:hAnsiTheme="majorHAnsi" w:cstheme="majorHAnsi"/>
          <w:b/>
          <w:szCs w:val="22"/>
        </w:rPr>
        <w:t>Does Australia have adequate monitoring and reporting processes to assure compliance with national standards and international obligations?</w:t>
      </w:r>
    </w:p>
    <w:p w14:paraId="2233EB70" w14:textId="6797F739" w:rsidR="006C2F48" w:rsidRDefault="00746FE7" w:rsidP="004626F4">
      <w:pPr>
        <w:spacing w:after="160" w:line="259" w:lineRule="auto"/>
        <w:rPr>
          <w:rFonts w:asciiTheme="majorHAnsi" w:hAnsiTheme="majorHAnsi" w:cstheme="majorHAnsi"/>
          <w:szCs w:val="22"/>
        </w:rPr>
      </w:pPr>
      <w:r>
        <w:rPr>
          <w:rFonts w:asciiTheme="majorHAnsi" w:hAnsiTheme="majorHAnsi" w:cstheme="majorHAnsi"/>
          <w:szCs w:val="22"/>
        </w:rPr>
        <w:t xml:space="preserve">The Committee on the Rights of the Child has </w:t>
      </w:r>
      <w:r w:rsidR="00637BE6">
        <w:rPr>
          <w:rFonts w:asciiTheme="majorHAnsi" w:hAnsiTheme="majorHAnsi" w:cstheme="majorHAnsi"/>
          <w:szCs w:val="22"/>
        </w:rPr>
        <w:t xml:space="preserve">previously </w:t>
      </w:r>
      <w:r>
        <w:rPr>
          <w:rFonts w:asciiTheme="majorHAnsi" w:hAnsiTheme="majorHAnsi" w:cstheme="majorHAnsi"/>
          <w:szCs w:val="22"/>
        </w:rPr>
        <w:t>noted the</w:t>
      </w:r>
      <w:r w:rsidR="006C2F48">
        <w:rPr>
          <w:rFonts w:asciiTheme="majorHAnsi" w:hAnsiTheme="majorHAnsi" w:cstheme="majorHAnsi"/>
          <w:szCs w:val="22"/>
        </w:rPr>
        <w:t xml:space="preserve"> </w:t>
      </w:r>
      <w:r w:rsidR="00A962A5">
        <w:rPr>
          <w:rFonts w:asciiTheme="majorHAnsi" w:hAnsiTheme="majorHAnsi" w:cstheme="majorHAnsi"/>
          <w:szCs w:val="22"/>
        </w:rPr>
        <w:t xml:space="preserve">lack </w:t>
      </w:r>
      <w:r w:rsidR="006C2F48">
        <w:rPr>
          <w:rFonts w:asciiTheme="majorHAnsi" w:hAnsiTheme="majorHAnsi" w:cstheme="majorHAnsi"/>
          <w:szCs w:val="22"/>
        </w:rPr>
        <w:t xml:space="preserve">of data </w:t>
      </w:r>
      <w:r>
        <w:rPr>
          <w:rFonts w:asciiTheme="majorHAnsi" w:hAnsiTheme="majorHAnsi" w:cstheme="majorHAnsi"/>
          <w:szCs w:val="22"/>
        </w:rPr>
        <w:t xml:space="preserve">relating to key areas of the United Nations </w:t>
      </w:r>
      <w:r w:rsidRPr="00746FE7">
        <w:rPr>
          <w:rFonts w:asciiTheme="majorHAnsi" w:hAnsiTheme="majorHAnsi" w:cstheme="majorHAnsi"/>
          <w:i/>
          <w:szCs w:val="22"/>
        </w:rPr>
        <w:t>Convention on the Rights of the Child</w:t>
      </w:r>
      <w:r w:rsidR="006C2F48">
        <w:rPr>
          <w:rFonts w:asciiTheme="majorHAnsi" w:hAnsiTheme="majorHAnsi" w:cstheme="majorHAnsi"/>
          <w:szCs w:val="22"/>
        </w:rPr>
        <w:t>:</w:t>
      </w:r>
    </w:p>
    <w:p w14:paraId="3CDBF3F7" w14:textId="4BF4356D" w:rsidR="006C2F48" w:rsidRPr="006C2F48" w:rsidRDefault="006C2F48" w:rsidP="00746FE7">
      <w:pPr>
        <w:pStyle w:val="ListParagraph"/>
        <w:numPr>
          <w:ilvl w:val="0"/>
          <w:numId w:val="11"/>
        </w:numPr>
        <w:spacing w:after="120"/>
        <w:rPr>
          <w:rFonts w:asciiTheme="majorHAnsi" w:hAnsiTheme="majorHAnsi" w:cstheme="majorHAnsi"/>
          <w:szCs w:val="22"/>
        </w:rPr>
      </w:pPr>
      <w:r>
        <w:rPr>
          <w:rFonts w:asciiTheme="majorHAnsi" w:hAnsiTheme="majorHAnsi" w:cstheme="majorHAnsi"/>
          <w:szCs w:val="22"/>
        </w:rPr>
        <w:t>In 2005, the Committee recommended</w:t>
      </w:r>
      <w:r w:rsidRPr="006C2F48">
        <w:rPr>
          <w:rFonts w:asciiTheme="majorHAnsi" w:hAnsiTheme="majorHAnsi" w:cstheme="majorHAnsi"/>
          <w:szCs w:val="22"/>
        </w:rPr>
        <w:t xml:space="preserve"> that </w:t>
      </w:r>
      <w:r>
        <w:rPr>
          <w:rFonts w:asciiTheme="majorHAnsi" w:hAnsiTheme="majorHAnsi" w:cstheme="majorHAnsi"/>
          <w:szCs w:val="22"/>
        </w:rPr>
        <w:t>Australia</w:t>
      </w:r>
      <w:r w:rsidRPr="006C2F48">
        <w:rPr>
          <w:rFonts w:asciiTheme="majorHAnsi" w:hAnsiTheme="majorHAnsi" w:cstheme="majorHAnsi"/>
          <w:szCs w:val="22"/>
        </w:rPr>
        <w:t xml:space="preserve"> strengthen its existing mechanism</w:t>
      </w:r>
      <w:r>
        <w:rPr>
          <w:rFonts w:asciiTheme="majorHAnsi" w:hAnsiTheme="majorHAnsi" w:cstheme="majorHAnsi"/>
          <w:szCs w:val="22"/>
        </w:rPr>
        <w:t xml:space="preserve"> </w:t>
      </w:r>
      <w:r w:rsidRPr="006C2F48">
        <w:rPr>
          <w:rFonts w:asciiTheme="majorHAnsi" w:hAnsiTheme="majorHAnsi" w:cstheme="majorHAnsi"/>
          <w:szCs w:val="22"/>
        </w:rPr>
        <w:t>of data collection in order to ensure that data are collected on all areas of the Convention in</w:t>
      </w:r>
      <w:r>
        <w:rPr>
          <w:rFonts w:asciiTheme="majorHAnsi" w:hAnsiTheme="majorHAnsi" w:cstheme="majorHAnsi"/>
          <w:szCs w:val="22"/>
        </w:rPr>
        <w:t xml:space="preserve"> </w:t>
      </w:r>
      <w:r w:rsidRPr="006C2F48">
        <w:rPr>
          <w:rFonts w:asciiTheme="majorHAnsi" w:hAnsiTheme="majorHAnsi" w:cstheme="majorHAnsi"/>
          <w:szCs w:val="22"/>
        </w:rPr>
        <w:t xml:space="preserve">a way that allows for disaggregation, </w:t>
      </w:r>
      <w:r w:rsidRPr="00637BE6">
        <w:rPr>
          <w:rFonts w:asciiTheme="majorHAnsi" w:hAnsiTheme="majorHAnsi" w:cstheme="majorHAnsi"/>
          <w:i/>
          <w:szCs w:val="22"/>
        </w:rPr>
        <w:t>inter alia</w:t>
      </w:r>
      <w:r w:rsidRPr="006C2F48">
        <w:rPr>
          <w:rFonts w:asciiTheme="majorHAnsi" w:hAnsiTheme="majorHAnsi" w:cstheme="majorHAnsi"/>
          <w:szCs w:val="22"/>
        </w:rPr>
        <w:t xml:space="preserve"> by those groups of children who are in need</w:t>
      </w:r>
      <w:r>
        <w:rPr>
          <w:rFonts w:asciiTheme="majorHAnsi" w:hAnsiTheme="majorHAnsi" w:cstheme="majorHAnsi"/>
          <w:szCs w:val="22"/>
        </w:rPr>
        <w:t xml:space="preserve"> of special protection.</w:t>
      </w:r>
      <w:r w:rsidRPr="00746FE7">
        <w:rPr>
          <w:rStyle w:val="FootnoteReference"/>
          <w:rFonts w:asciiTheme="majorHAnsi" w:hAnsiTheme="majorHAnsi" w:cstheme="majorHAnsi"/>
          <w:szCs w:val="22"/>
        </w:rPr>
        <w:footnoteReference w:id="25"/>
      </w:r>
    </w:p>
    <w:p w14:paraId="5D2B211F" w14:textId="7AA54B54" w:rsidR="00EB0851" w:rsidRDefault="006C2F48" w:rsidP="00746FE7">
      <w:pPr>
        <w:pStyle w:val="ListParagraph"/>
        <w:numPr>
          <w:ilvl w:val="0"/>
          <w:numId w:val="11"/>
        </w:numPr>
        <w:spacing w:after="120"/>
        <w:rPr>
          <w:rFonts w:asciiTheme="majorHAnsi" w:hAnsiTheme="majorHAnsi" w:cstheme="majorHAnsi"/>
          <w:szCs w:val="22"/>
        </w:rPr>
      </w:pPr>
      <w:r>
        <w:rPr>
          <w:rFonts w:asciiTheme="majorHAnsi" w:hAnsiTheme="majorHAnsi" w:cstheme="majorHAnsi"/>
          <w:szCs w:val="22"/>
        </w:rPr>
        <w:t xml:space="preserve">In 2012, The Committee reiterated the </w:t>
      </w:r>
      <w:r w:rsidR="00EB0851" w:rsidRPr="00EB0851">
        <w:rPr>
          <w:rFonts w:asciiTheme="majorHAnsi" w:hAnsiTheme="majorHAnsi" w:cstheme="majorHAnsi"/>
          <w:szCs w:val="22"/>
        </w:rPr>
        <w:t xml:space="preserve">recommendation that </w:t>
      </w:r>
      <w:r>
        <w:rPr>
          <w:rFonts w:asciiTheme="majorHAnsi" w:hAnsiTheme="majorHAnsi" w:cstheme="majorHAnsi"/>
          <w:szCs w:val="22"/>
        </w:rPr>
        <w:t>Australia</w:t>
      </w:r>
      <w:r w:rsidR="00EB0851" w:rsidRPr="00EB0851">
        <w:rPr>
          <w:rFonts w:asciiTheme="majorHAnsi" w:hAnsiTheme="majorHAnsi" w:cstheme="majorHAnsi"/>
          <w:szCs w:val="22"/>
        </w:rPr>
        <w:t xml:space="preserve"> strengthen its existing mechanisms of data collection in order to ensure that data are collected on all areas of the Convention in a way that allows for disaggregation, </w:t>
      </w:r>
      <w:r w:rsidR="00EB0851" w:rsidRPr="00637BE6">
        <w:rPr>
          <w:rFonts w:asciiTheme="majorHAnsi" w:hAnsiTheme="majorHAnsi" w:cstheme="majorHAnsi"/>
          <w:i/>
          <w:szCs w:val="22"/>
        </w:rPr>
        <w:t>inter alia</w:t>
      </w:r>
      <w:r w:rsidR="00EB0851" w:rsidRPr="00EB0851">
        <w:rPr>
          <w:rFonts w:asciiTheme="majorHAnsi" w:hAnsiTheme="majorHAnsi" w:cstheme="majorHAnsi"/>
          <w:szCs w:val="22"/>
        </w:rPr>
        <w:t xml:space="preserve"> by children in situations that require special protection.</w:t>
      </w:r>
      <w:r w:rsidRPr="00746FE7">
        <w:rPr>
          <w:rStyle w:val="FootnoteReference"/>
          <w:rFonts w:asciiTheme="majorHAnsi" w:hAnsiTheme="majorHAnsi" w:cstheme="majorHAnsi"/>
          <w:szCs w:val="22"/>
        </w:rPr>
        <w:footnoteReference w:id="26"/>
      </w:r>
    </w:p>
    <w:p w14:paraId="3247BEA4" w14:textId="419075DF" w:rsidR="000B6386" w:rsidRDefault="000B6386" w:rsidP="00826B54">
      <w:pPr>
        <w:spacing w:after="120"/>
        <w:rPr>
          <w:rFonts w:asciiTheme="majorHAnsi" w:hAnsiTheme="majorHAnsi" w:cstheme="majorHAnsi"/>
          <w:szCs w:val="22"/>
        </w:rPr>
      </w:pPr>
      <w:r>
        <w:rPr>
          <w:rFonts w:asciiTheme="majorHAnsi" w:hAnsiTheme="majorHAnsi" w:cstheme="majorHAnsi"/>
          <w:szCs w:val="22"/>
        </w:rPr>
        <w:t xml:space="preserve">Australia is currently awaiting remarks from the United Nations Committee on its 2018 report. </w:t>
      </w:r>
    </w:p>
    <w:p w14:paraId="7355894F" w14:textId="2258A477" w:rsidR="00826B54" w:rsidRPr="00826B54" w:rsidRDefault="00826B54" w:rsidP="00826B54">
      <w:pPr>
        <w:spacing w:after="120"/>
        <w:rPr>
          <w:rFonts w:asciiTheme="majorHAnsi" w:hAnsiTheme="majorHAnsi" w:cstheme="majorHAnsi"/>
          <w:szCs w:val="22"/>
        </w:rPr>
      </w:pPr>
      <w:r>
        <w:rPr>
          <w:rFonts w:asciiTheme="majorHAnsi" w:hAnsiTheme="majorHAnsi" w:cstheme="majorHAnsi"/>
          <w:szCs w:val="22"/>
        </w:rPr>
        <w:lastRenderedPageBreak/>
        <w:t xml:space="preserve">The Australian Government has recently released a consultation draft of the </w:t>
      </w:r>
      <w:r w:rsidRPr="00826B54">
        <w:rPr>
          <w:rFonts w:asciiTheme="majorHAnsi" w:hAnsiTheme="majorHAnsi" w:cstheme="majorHAnsi"/>
          <w:i/>
          <w:szCs w:val="22"/>
        </w:rPr>
        <w:t>National Action Plan for The Health of Children and Young People</w:t>
      </w:r>
      <w:r>
        <w:rPr>
          <w:rFonts w:asciiTheme="majorHAnsi" w:hAnsiTheme="majorHAnsi" w:cstheme="majorHAnsi"/>
          <w:szCs w:val="22"/>
        </w:rPr>
        <w:t>.</w:t>
      </w:r>
      <w:r w:rsidR="00614CE8">
        <w:rPr>
          <w:rStyle w:val="FootnoteReference"/>
          <w:rFonts w:asciiTheme="majorHAnsi" w:hAnsiTheme="majorHAnsi" w:cstheme="majorHAnsi"/>
          <w:szCs w:val="22"/>
        </w:rPr>
        <w:footnoteReference w:id="27"/>
      </w:r>
      <w:r>
        <w:rPr>
          <w:rFonts w:asciiTheme="majorHAnsi" w:hAnsiTheme="majorHAnsi" w:cstheme="majorHAnsi"/>
          <w:szCs w:val="22"/>
        </w:rPr>
        <w:t xml:space="preserve"> The objective of this draft action plan is to </w:t>
      </w:r>
      <w:r w:rsidRPr="00826B54">
        <w:rPr>
          <w:rFonts w:asciiTheme="majorHAnsi" w:hAnsiTheme="majorHAnsi" w:cstheme="majorHAnsi"/>
          <w:szCs w:val="22"/>
        </w:rPr>
        <w:t xml:space="preserve">maximise physical, mental and social health </w:t>
      </w:r>
      <w:r>
        <w:rPr>
          <w:rFonts w:asciiTheme="majorHAnsi" w:hAnsiTheme="majorHAnsi" w:cstheme="majorHAnsi"/>
          <w:szCs w:val="22"/>
        </w:rPr>
        <w:t>of children and young people, and includes the c</w:t>
      </w:r>
      <w:r w:rsidRPr="00826B54">
        <w:rPr>
          <w:rFonts w:asciiTheme="majorHAnsi" w:hAnsiTheme="majorHAnsi" w:cstheme="majorHAnsi"/>
          <w:szCs w:val="22"/>
        </w:rPr>
        <w:t>ommit</w:t>
      </w:r>
      <w:r>
        <w:rPr>
          <w:rFonts w:asciiTheme="majorHAnsi" w:hAnsiTheme="majorHAnsi" w:cstheme="majorHAnsi"/>
          <w:szCs w:val="22"/>
        </w:rPr>
        <w:t>ment to develop a</w:t>
      </w:r>
      <w:r w:rsidRPr="00826B54">
        <w:rPr>
          <w:rFonts w:asciiTheme="majorHAnsi" w:hAnsiTheme="majorHAnsi" w:cstheme="majorHAnsi"/>
          <w:szCs w:val="22"/>
        </w:rPr>
        <w:t xml:space="preserve"> nationally consistent data collection</w:t>
      </w:r>
      <w:r>
        <w:rPr>
          <w:rFonts w:asciiTheme="majorHAnsi" w:hAnsiTheme="majorHAnsi" w:cstheme="majorHAnsi"/>
          <w:szCs w:val="22"/>
        </w:rPr>
        <w:t>.</w:t>
      </w:r>
    </w:p>
    <w:p w14:paraId="7118A98B" w14:textId="77777777" w:rsidR="00637BE6" w:rsidRDefault="007D5782" w:rsidP="00637BE6">
      <w:pPr>
        <w:spacing w:after="120"/>
        <w:rPr>
          <w:rFonts w:asciiTheme="majorHAnsi" w:hAnsiTheme="majorHAnsi" w:cstheme="majorHAnsi"/>
          <w:b/>
          <w:sz w:val="28"/>
          <w:szCs w:val="28"/>
        </w:rPr>
      </w:pPr>
      <w:r>
        <w:rPr>
          <w:rFonts w:asciiTheme="majorHAnsi" w:hAnsiTheme="majorHAnsi" w:cstheme="majorHAnsi"/>
          <w:b/>
          <w:sz w:val="28"/>
          <w:szCs w:val="28"/>
        </w:rPr>
        <w:t xml:space="preserve">The economic impact of poor mental health </w:t>
      </w:r>
    </w:p>
    <w:p w14:paraId="5A2D222B" w14:textId="3ACCE6DF" w:rsidR="007F2C62" w:rsidRDefault="00306C56" w:rsidP="007D5782">
      <w:pPr>
        <w:spacing w:after="120"/>
        <w:rPr>
          <w:rFonts w:asciiTheme="majorHAnsi" w:hAnsiTheme="majorHAnsi" w:cstheme="majorHAnsi"/>
          <w:szCs w:val="22"/>
        </w:rPr>
      </w:pPr>
      <w:r>
        <w:rPr>
          <w:rFonts w:asciiTheme="majorHAnsi" w:hAnsiTheme="majorHAnsi" w:cstheme="majorHAnsi"/>
          <w:szCs w:val="22"/>
        </w:rPr>
        <w:t>U</w:t>
      </w:r>
      <w:r w:rsidR="008573EB">
        <w:rPr>
          <w:rFonts w:asciiTheme="majorHAnsi" w:hAnsiTheme="majorHAnsi" w:cstheme="majorHAnsi"/>
          <w:szCs w:val="22"/>
        </w:rPr>
        <w:t>niversal mental health supports and services are not reaching children and young people. Children and young people struggle to identify people in schools and in the community from whom they can seek support. They feel that there is a stigma attached to seeking support for mental health concerns, and seek broader universal programs of information and intervention to normalise seeking mental health support.</w:t>
      </w:r>
    </w:p>
    <w:p w14:paraId="1084C263" w14:textId="61C1D64C" w:rsidR="008573EB" w:rsidRDefault="002142FF" w:rsidP="007D5782">
      <w:pPr>
        <w:spacing w:after="120"/>
        <w:rPr>
          <w:rFonts w:asciiTheme="majorHAnsi" w:hAnsiTheme="majorHAnsi" w:cstheme="majorHAnsi"/>
          <w:szCs w:val="22"/>
        </w:rPr>
      </w:pPr>
      <w:r>
        <w:rPr>
          <w:rFonts w:asciiTheme="majorHAnsi" w:hAnsiTheme="majorHAnsi" w:cstheme="majorHAnsi"/>
          <w:szCs w:val="22"/>
        </w:rPr>
        <w:t>Ensuring mental health programs are reaching children and young people can only have a positive effect on the mental health of children and young people. This has the potential to reduce the negative consequences of poor mental health, such as poor</w:t>
      </w:r>
      <w:r w:rsidRPr="002142FF">
        <w:rPr>
          <w:rFonts w:asciiTheme="majorHAnsi" w:hAnsiTheme="majorHAnsi" w:cstheme="majorHAnsi"/>
          <w:szCs w:val="22"/>
        </w:rPr>
        <w:t xml:space="preserve"> educational achievement and reproductive and sexual health</w:t>
      </w:r>
      <w:r>
        <w:rPr>
          <w:rFonts w:asciiTheme="majorHAnsi" w:hAnsiTheme="majorHAnsi" w:cstheme="majorHAnsi"/>
          <w:szCs w:val="22"/>
        </w:rPr>
        <w:t xml:space="preserve"> in the short-term, and </w:t>
      </w:r>
      <w:r w:rsidRPr="002142FF">
        <w:rPr>
          <w:rFonts w:asciiTheme="majorHAnsi" w:hAnsiTheme="majorHAnsi" w:cstheme="majorHAnsi"/>
          <w:szCs w:val="22"/>
        </w:rPr>
        <w:t>increased risk of drug and alcohol use, unemployment and criminality</w:t>
      </w:r>
      <w:r>
        <w:rPr>
          <w:rFonts w:asciiTheme="majorHAnsi" w:hAnsiTheme="majorHAnsi" w:cstheme="majorHAnsi"/>
          <w:szCs w:val="22"/>
        </w:rPr>
        <w:t xml:space="preserve"> in the long-term</w:t>
      </w:r>
      <w:r w:rsidRPr="002142FF">
        <w:rPr>
          <w:rFonts w:asciiTheme="majorHAnsi" w:hAnsiTheme="majorHAnsi" w:cstheme="majorHAnsi"/>
          <w:szCs w:val="22"/>
        </w:rPr>
        <w:t>.</w:t>
      </w:r>
    </w:p>
    <w:p w14:paraId="5021FF9E" w14:textId="77777777" w:rsidR="002142FF" w:rsidRDefault="002142FF" w:rsidP="002142FF">
      <w:pPr>
        <w:spacing w:after="120"/>
        <w:rPr>
          <w:rFonts w:asciiTheme="majorHAnsi" w:hAnsiTheme="majorHAnsi" w:cstheme="majorHAnsi"/>
          <w:szCs w:val="22"/>
        </w:rPr>
      </w:pPr>
      <w:r>
        <w:rPr>
          <w:rFonts w:asciiTheme="majorHAnsi" w:hAnsiTheme="majorHAnsi" w:cstheme="majorHAnsi"/>
          <w:szCs w:val="22"/>
        </w:rPr>
        <w:t xml:space="preserve">Each of these improvements is likely to contribute positively to the Nation’s economy. As an example, Productivity Commission research indicates </w:t>
      </w:r>
      <w:r w:rsidRPr="002142FF">
        <w:rPr>
          <w:rFonts w:asciiTheme="majorHAnsi" w:hAnsiTheme="majorHAnsi" w:cstheme="majorHAnsi"/>
          <w:szCs w:val="22"/>
        </w:rPr>
        <w:t xml:space="preserve">that preventing a mental health or nervous condition increases the probability of labour force participation by </w:t>
      </w:r>
      <w:r w:rsidR="002658B1">
        <w:rPr>
          <w:rFonts w:asciiTheme="majorHAnsi" w:hAnsiTheme="majorHAnsi" w:cstheme="majorHAnsi"/>
          <w:szCs w:val="22"/>
        </w:rPr>
        <w:t>b</w:t>
      </w:r>
      <w:r w:rsidR="00054C17">
        <w:rPr>
          <w:rFonts w:asciiTheme="majorHAnsi" w:hAnsiTheme="majorHAnsi" w:cstheme="majorHAnsi"/>
          <w:szCs w:val="22"/>
        </w:rPr>
        <w:t>etween 16.7 and</w:t>
      </w:r>
      <w:r w:rsidR="002658B1">
        <w:rPr>
          <w:rFonts w:asciiTheme="majorHAnsi" w:hAnsiTheme="majorHAnsi" w:cstheme="majorHAnsi"/>
          <w:szCs w:val="22"/>
        </w:rPr>
        <w:t xml:space="preserve"> 24.7</w:t>
      </w:r>
      <w:r w:rsidRPr="002142FF">
        <w:rPr>
          <w:rFonts w:asciiTheme="majorHAnsi" w:hAnsiTheme="majorHAnsi" w:cstheme="majorHAnsi"/>
          <w:szCs w:val="22"/>
        </w:rPr>
        <w:t xml:space="preserve"> per cent for women </w:t>
      </w:r>
      <w:r w:rsidR="002658B1">
        <w:rPr>
          <w:rFonts w:asciiTheme="majorHAnsi" w:hAnsiTheme="majorHAnsi" w:cstheme="majorHAnsi"/>
          <w:szCs w:val="22"/>
        </w:rPr>
        <w:t>and</w:t>
      </w:r>
      <w:r w:rsidRPr="002142FF">
        <w:rPr>
          <w:rFonts w:asciiTheme="majorHAnsi" w:hAnsiTheme="majorHAnsi" w:cstheme="majorHAnsi"/>
          <w:szCs w:val="22"/>
        </w:rPr>
        <w:t xml:space="preserve"> </w:t>
      </w:r>
      <w:r w:rsidR="002658B1">
        <w:rPr>
          <w:rFonts w:asciiTheme="majorHAnsi" w:hAnsiTheme="majorHAnsi" w:cstheme="majorHAnsi"/>
          <w:szCs w:val="22"/>
        </w:rPr>
        <w:t>17.0 and 29.6</w:t>
      </w:r>
      <w:r w:rsidRPr="002142FF">
        <w:rPr>
          <w:rFonts w:asciiTheme="majorHAnsi" w:hAnsiTheme="majorHAnsi" w:cstheme="majorHAnsi"/>
          <w:szCs w:val="22"/>
        </w:rPr>
        <w:t xml:space="preserve"> per cent for men.</w:t>
      </w:r>
      <w:r w:rsidRPr="002142FF">
        <w:rPr>
          <w:rStyle w:val="FootnoteReference"/>
        </w:rPr>
        <w:footnoteReference w:id="28"/>
      </w:r>
    </w:p>
    <w:p w14:paraId="43583E52" w14:textId="1CB8CDF3" w:rsidR="00054C17" w:rsidRPr="002142FF" w:rsidRDefault="00054C17" w:rsidP="002142FF">
      <w:pPr>
        <w:spacing w:after="120"/>
        <w:rPr>
          <w:rFonts w:asciiTheme="majorHAnsi" w:hAnsiTheme="majorHAnsi" w:cstheme="majorHAnsi"/>
          <w:szCs w:val="22"/>
        </w:rPr>
      </w:pPr>
      <w:r>
        <w:rPr>
          <w:rFonts w:asciiTheme="majorHAnsi" w:hAnsiTheme="majorHAnsi" w:cstheme="majorHAnsi"/>
          <w:szCs w:val="22"/>
        </w:rPr>
        <w:t>The QFCC is of the view that improvements in mental health services for children and young people, per the recommendations above, can improve outcomes for children and young people while increasing the economic health of the Nation.</w:t>
      </w:r>
    </w:p>
    <w:p w14:paraId="2B5B952D" w14:textId="77777777" w:rsidR="002142FF" w:rsidRPr="007D5782" w:rsidRDefault="002142FF" w:rsidP="007D5782">
      <w:pPr>
        <w:spacing w:after="120"/>
        <w:rPr>
          <w:rFonts w:asciiTheme="majorHAnsi" w:hAnsiTheme="majorHAnsi" w:cstheme="majorHAnsi"/>
          <w:szCs w:val="22"/>
        </w:rPr>
      </w:pPr>
    </w:p>
    <w:sectPr w:rsidR="002142FF" w:rsidRPr="007D5782" w:rsidSect="006C2F48">
      <w:footerReference w:type="default" r:id="rId16"/>
      <w:footerReference w:type="first" r:id="rId17"/>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E110D" w14:textId="77777777" w:rsidR="00290EA6" w:rsidRDefault="00290EA6">
      <w:r>
        <w:separator/>
      </w:r>
    </w:p>
  </w:endnote>
  <w:endnote w:type="continuationSeparator" w:id="0">
    <w:p w14:paraId="6BE19BC2" w14:textId="77777777" w:rsidR="00290EA6" w:rsidRDefault="0029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8D98A" w14:textId="77777777" w:rsidR="006C2F48" w:rsidRPr="00251419" w:rsidRDefault="006C2F48" w:rsidP="006C2F48">
    <w:pPr>
      <w:ind w:left="142"/>
      <w:rPr>
        <w:rFonts w:asciiTheme="majorHAnsi" w:hAnsiTheme="majorHAnsi" w:cstheme="majorHAnsi"/>
        <w:sz w:val="18"/>
        <w:szCs w:val="18"/>
      </w:rPr>
    </w:pPr>
    <w:r w:rsidRPr="005648A3">
      <w:rPr>
        <w:rFonts w:asciiTheme="majorHAnsi" w:hAnsiTheme="majorHAnsi" w:cstheme="majorHAnsi"/>
        <w:sz w:val="18"/>
        <w:szCs w:val="18"/>
      </w:rPr>
      <w:t xml:space="preserve">Queensland </w:t>
    </w:r>
    <w:r w:rsidRPr="000E2CE2">
      <w:rPr>
        <w:rFonts w:asciiTheme="majorHAnsi" w:hAnsiTheme="majorHAnsi" w:cstheme="majorHAnsi"/>
        <w:b/>
        <w:sz w:val="18"/>
        <w:szCs w:val="18"/>
      </w:rPr>
      <w:t>Family &amp; Child</w:t>
    </w:r>
    <w:r w:rsidRPr="005648A3">
      <w:rPr>
        <w:rFonts w:asciiTheme="majorHAnsi" w:hAnsiTheme="majorHAnsi" w:cstheme="majorHAnsi"/>
        <w:sz w:val="18"/>
        <w:szCs w:val="18"/>
      </w:rPr>
      <w:t xml:space="preserve"> Commission</w:t>
    </w:r>
    <w:r w:rsidRPr="005648A3">
      <w:rPr>
        <w:rFonts w:asciiTheme="majorHAnsi" w:hAnsiTheme="majorHAnsi" w:cstheme="majorHAnsi"/>
        <w:sz w:val="18"/>
        <w:szCs w:val="18"/>
      </w:rPr>
      <w:tab/>
    </w:r>
    <w:r w:rsidRPr="005648A3">
      <w:rPr>
        <w:rFonts w:asciiTheme="majorHAnsi" w:hAnsiTheme="majorHAnsi" w:cstheme="majorHAnsi"/>
        <w:sz w:val="18"/>
        <w:szCs w:val="18"/>
      </w:rPr>
      <w:tab/>
    </w:r>
    <w:r>
      <w:rPr>
        <w:rFonts w:asciiTheme="majorHAnsi" w:hAnsiTheme="majorHAnsi" w:cstheme="majorHAnsi"/>
        <w:sz w:val="18"/>
        <w:szCs w:val="18"/>
      </w:rPr>
      <w:tab/>
    </w:r>
    <w:r>
      <w:rPr>
        <w:rFonts w:asciiTheme="majorHAnsi" w:hAnsiTheme="majorHAnsi" w:cstheme="majorHAnsi"/>
        <w:sz w:val="18"/>
        <w:szCs w:val="18"/>
      </w:rPr>
      <w:tab/>
    </w:r>
    <w:r>
      <w:rPr>
        <w:rFonts w:asciiTheme="majorHAnsi" w:hAnsiTheme="majorHAnsi" w:cstheme="majorHAnsi"/>
        <w:sz w:val="18"/>
        <w:szCs w:val="18"/>
      </w:rPr>
      <w:tab/>
    </w:r>
    <w:r>
      <w:rPr>
        <w:rFonts w:asciiTheme="majorHAnsi" w:hAnsiTheme="majorHAnsi" w:cstheme="majorHAnsi"/>
        <w:sz w:val="18"/>
        <w:szCs w:val="18"/>
      </w:rPr>
      <w:tab/>
    </w:r>
    <w:r>
      <w:rPr>
        <w:rFonts w:asciiTheme="majorHAnsi" w:hAnsiTheme="majorHAnsi" w:cstheme="majorHAnsi"/>
        <w:sz w:val="18"/>
        <w:szCs w:val="18"/>
      </w:rPr>
      <w:tab/>
    </w:r>
    <w:r w:rsidRPr="005648A3">
      <w:rPr>
        <w:rFonts w:asciiTheme="majorHAnsi" w:hAnsiTheme="majorHAnsi" w:cstheme="majorHAnsi"/>
        <w:sz w:val="18"/>
        <w:szCs w:val="18"/>
      </w:rPr>
      <w:t xml:space="preserve">Page </w:t>
    </w:r>
    <w:r w:rsidRPr="005648A3">
      <w:rPr>
        <w:rFonts w:asciiTheme="majorHAnsi" w:hAnsiTheme="majorHAnsi" w:cstheme="majorHAnsi"/>
        <w:b/>
        <w:bCs/>
        <w:sz w:val="18"/>
        <w:szCs w:val="18"/>
      </w:rPr>
      <w:fldChar w:fldCharType="begin"/>
    </w:r>
    <w:r w:rsidRPr="005648A3">
      <w:rPr>
        <w:rFonts w:asciiTheme="majorHAnsi" w:hAnsiTheme="majorHAnsi" w:cstheme="majorHAnsi"/>
        <w:b/>
        <w:bCs/>
        <w:sz w:val="18"/>
        <w:szCs w:val="18"/>
      </w:rPr>
      <w:instrText xml:space="preserve"> PAGE  \* Arabic  \* MERGEFORMAT </w:instrText>
    </w:r>
    <w:r w:rsidRPr="005648A3">
      <w:rPr>
        <w:rFonts w:asciiTheme="majorHAnsi" w:hAnsiTheme="majorHAnsi" w:cstheme="majorHAnsi"/>
        <w:b/>
        <w:bCs/>
        <w:sz w:val="18"/>
        <w:szCs w:val="18"/>
      </w:rPr>
      <w:fldChar w:fldCharType="separate"/>
    </w:r>
    <w:r w:rsidR="00684300">
      <w:rPr>
        <w:rFonts w:asciiTheme="majorHAnsi" w:hAnsiTheme="majorHAnsi" w:cstheme="majorHAnsi"/>
        <w:b/>
        <w:bCs/>
        <w:noProof/>
        <w:sz w:val="18"/>
        <w:szCs w:val="18"/>
      </w:rPr>
      <w:t>9</w:t>
    </w:r>
    <w:r w:rsidRPr="005648A3">
      <w:rPr>
        <w:rFonts w:asciiTheme="majorHAnsi" w:hAnsiTheme="majorHAnsi" w:cstheme="majorHAnsi"/>
        <w:b/>
        <w:bCs/>
        <w:sz w:val="18"/>
        <w:szCs w:val="18"/>
      </w:rPr>
      <w:fldChar w:fldCharType="end"/>
    </w:r>
    <w:r w:rsidRPr="005648A3">
      <w:rPr>
        <w:rFonts w:asciiTheme="majorHAnsi" w:hAnsiTheme="majorHAnsi" w:cstheme="majorHAnsi"/>
        <w:sz w:val="18"/>
        <w:szCs w:val="18"/>
      </w:rPr>
      <w:t xml:space="preserve"> of </w:t>
    </w:r>
    <w:r w:rsidRPr="005648A3">
      <w:rPr>
        <w:rFonts w:asciiTheme="majorHAnsi" w:hAnsiTheme="majorHAnsi" w:cstheme="majorHAnsi"/>
        <w:b/>
        <w:bCs/>
        <w:sz w:val="18"/>
        <w:szCs w:val="18"/>
      </w:rPr>
      <w:fldChar w:fldCharType="begin"/>
    </w:r>
    <w:r w:rsidRPr="005648A3">
      <w:rPr>
        <w:rFonts w:asciiTheme="majorHAnsi" w:hAnsiTheme="majorHAnsi" w:cstheme="majorHAnsi"/>
        <w:b/>
        <w:bCs/>
        <w:sz w:val="18"/>
        <w:szCs w:val="18"/>
      </w:rPr>
      <w:instrText xml:space="preserve"> NUMPAGES  \* Arabic  \* MERGEFORMAT </w:instrText>
    </w:r>
    <w:r w:rsidRPr="005648A3">
      <w:rPr>
        <w:rFonts w:asciiTheme="majorHAnsi" w:hAnsiTheme="majorHAnsi" w:cstheme="majorHAnsi"/>
        <w:b/>
        <w:bCs/>
        <w:sz w:val="18"/>
        <w:szCs w:val="18"/>
      </w:rPr>
      <w:fldChar w:fldCharType="separate"/>
    </w:r>
    <w:r w:rsidR="00684300">
      <w:rPr>
        <w:rFonts w:asciiTheme="majorHAnsi" w:hAnsiTheme="majorHAnsi" w:cstheme="majorHAnsi"/>
        <w:b/>
        <w:bCs/>
        <w:noProof/>
        <w:sz w:val="18"/>
        <w:szCs w:val="18"/>
      </w:rPr>
      <w:t>9</w:t>
    </w:r>
    <w:r w:rsidRPr="005648A3">
      <w:rPr>
        <w:rFonts w:asciiTheme="majorHAnsi" w:hAnsiTheme="majorHAnsi" w:cstheme="majorHAnsi"/>
        <w:b/>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9B783" w14:textId="77777777" w:rsidR="006C2F48" w:rsidRDefault="006C2F48">
    <w:pPr>
      <w:pStyle w:val="Footer"/>
    </w:pPr>
    <w:r w:rsidRPr="004C0B22">
      <w:rPr>
        <w:noProof/>
        <w:lang w:eastAsia="en-AU"/>
      </w:rPr>
      <w:drawing>
        <wp:anchor distT="0" distB="0" distL="114300" distR="114300" simplePos="0" relativeHeight="251659264" behindDoc="1" locked="0" layoutInCell="1" allowOverlap="1" wp14:anchorId="108C0EDA" wp14:editId="68228B39">
          <wp:simplePos x="0" y="0"/>
          <wp:positionH relativeFrom="page">
            <wp:align>left</wp:align>
          </wp:positionH>
          <wp:positionV relativeFrom="paragraph">
            <wp:posOffset>-664234</wp:posOffset>
          </wp:positionV>
          <wp:extent cx="7603490" cy="1264285"/>
          <wp:effectExtent l="0" t="0" r="0" b="0"/>
          <wp:wrapNone/>
          <wp:docPr id="17" name="Picture 17" descr="QFCC Multi sheet_mono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FCC Multi sheet_mono1.pdf"/>
                  <pic:cNvPicPr/>
                </pic:nvPicPr>
                <pic:blipFill rotWithShape="1">
                  <a:blip r:embed="rId1"/>
                  <a:srcRect t="88168"/>
                  <a:stretch/>
                </pic:blipFill>
                <pic:spPr bwMode="auto">
                  <a:xfrm>
                    <a:off x="0" y="0"/>
                    <a:ext cx="7603490" cy="1264285"/>
                  </a:xfrm>
                  <a:prstGeom prst="rect">
                    <a:avLst/>
                  </a:prstGeom>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5561D" w14:textId="77777777" w:rsidR="00290EA6" w:rsidRDefault="00290EA6">
      <w:r>
        <w:separator/>
      </w:r>
    </w:p>
  </w:footnote>
  <w:footnote w:type="continuationSeparator" w:id="0">
    <w:p w14:paraId="5D1C4B16" w14:textId="77777777" w:rsidR="00290EA6" w:rsidRDefault="00290EA6">
      <w:r>
        <w:continuationSeparator/>
      </w:r>
    </w:p>
  </w:footnote>
  <w:footnote w:id="1">
    <w:p w14:paraId="1043F53B" w14:textId="77777777" w:rsidR="006C2F48" w:rsidRPr="009E250A" w:rsidRDefault="006C2F48">
      <w:pPr>
        <w:pStyle w:val="FootnoteText"/>
        <w:rPr>
          <w:rFonts w:ascii="Calibri Light" w:hAnsi="Calibri Light" w:cs="Calibri Light"/>
        </w:rPr>
      </w:pPr>
      <w:r w:rsidRPr="009E250A">
        <w:rPr>
          <w:rStyle w:val="FootnoteReference"/>
          <w:rFonts w:ascii="Calibri Light" w:hAnsi="Calibri Light" w:cs="Calibri Light"/>
        </w:rPr>
        <w:footnoteRef/>
      </w:r>
      <w:r w:rsidRPr="009E250A">
        <w:rPr>
          <w:rFonts w:ascii="Calibri Light" w:hAnsi="Calibri Light" w:cs="Calibri Light"/>
        </w:rPr>
        <w:t xml:space="preserve"> Refer section 4(a) of the </w:t>
      </w:r>
      <w:r w:rsidRPr="009E250A">
        <w:rPr>
          <w:rFonts w:ascii="Calibri Light" w:hAnsi="Calibri Light" w:cs="Calibri Light"/>
          <w:i/>
        </w:rPr>
        <w:t>Family and Child Commission Act 2014</w:t>
      </w:r>
    </w:p>
  </w:footnote>
  <w:footnote w:id="2">
    <w:p w14:paraId="1A23A503" w14:textId="77777777" w:rsidR="006C2F48" w:rsidRPr="009E250A" w:rsidRDefault="006C2F48">
      <w:pPr>
        <w:pStyle w:val="FootnoteText"/>
        <w:rPr>
          <w:rFonts w:ascii="Calibri Light" w:hAnsi="Calibri Light" w:cs="Calibri Light"/>
        </w:rPr>
      </w:pPr>
      <w:r w:rsidRPr="009E250A">
        <w:rPr>
          <w:rStyle w:val="FootnoteReference"/>
          <w:rFonts w:ascii="Calibri Light" w:hAnsi="Calibri Light" w:cs="Calibri Light"/>
        </w:rPr>
        <w:footnoteRef/>
      </w:r>
      <w:r w:rsidRPr="009E250A">
        <w:rPr>
          <w:rFonts w:ascii="Calibri Light" w:hAnsi="Calibri Light" w:cs="Calibri Light"/>
        </w:rPr>
        <w:t xml:space="preserve"> Refer sections 9(1)(d)(</w:t>
      </w:r>
      <w:proofErr w:type="spellStart"/>
      <w:r w:rsidRPr="009E250A">
        <w:rPr>
          <w:rFonts w:ascii="Calibri Light" w:hAnsi="Calibri Light" w:cs="Calibri Light"/>
        </w:rPr>
        <w:t>i</w:t>
      </w:r>
      <w:proofErr w:type="spellEnd"/>
      <w:r w:rsidRPr="009E250A">
        <w:rPr>
          <w:rFonts w:ascii="Calibri Light" w:hAnsi="Calibri Light" w:cs="Calibri Light"/>
        </w:rPr>
        <w:t xml:space="preserve">) and 9(1)(g) of the </w:t>
      </w:r>
      <w:r w:rsidRPr="009E250A">
        <w:rPr>
          <w:rFonts w:ascii="Calibri Light" w:hAnsi="Calibri Light" w:cs="Calibri Light"/>
          <w:i/>
        </w:rPr>
        <w:t>Family and Child Commission Act 2014</w:t>
      </w:r>
    </w:p>
  </w:footnote>
  <w:footnote w:id="3">
    <w:p w14:paraId="647E2FFE" w14:textId="77777777" w:rsidR="006C2F48" w:rsidRPr="009E250A" w:rsidRDefault="006C2F48">
      <w:pPr>
        <w:pStyle w:val="FootnoteText"/>
        <w:rPr>
          <w:rFonts w:ascii="Calibri Light" w:hAnsi="Calibri Light" w:cs="Calibri Light"/>
        </w:rPr>
      </w:pPr>
      <w:r w:rsidRPr="009E250A">
        <w:rPr>
          <w:rStyle w:val="FootnoteReference"/>
          <w:rFonts w:ascii="Calibri Light" w:hAnsi="Calibri Light" w:cs="Calibri Light"/>
        </w:rPr>
        <w:footnoteRef/>
      </w:r>
      <w:r w:rsidRPr="009E250A">
        <w:rPr>
          <w:rFonts w:ascii="Calibri Light" w:hAnsi="Calibri Light" w:cs="Calibri Light"/>
        </w:rPr>
        <w:t xml:space="preserve"> Refer sections 23(1)(a), (e) and (f) of the </w:t>
      </w:r>
      <w:r w:rsidRPr="009E250A">
        <w:rPr>
          <w:rFonts w:ascii="Calibri Light" w:hAnsi="Calibri Light" w:cs="Calibri Light"/>
          <w:i/>
        </w:rPr>
        <w:t>Family and Child Commission Act 2014</w:t>
      </w:r>
    </w:p>
  </w:footnote>
  <w:footnote w:id="4">
    <w:p w14:paraId="5803FD30" w14:textId="77777777" w:rsidR="006C2F48" w:rsidRDefault="006C2F48" w:rsidP="00AF419B">
      <w:pPr>
        <w:pStyle w:val="FootnoteText"/>
      </w:pPr>
      <w:r w:rsidRPr="009E250A">
        <w:rPr>
          <w:rStyle w:val="FootnoteReference"/>
          <w:rFonts w:ascii="Calibri Light" w:hAnsi="Calibri Light" w:cs="Calibri Light"/>
        </w:rPr>
        <w:footnoteRef/>
      </w:r>
      <w:r w:rsidRPr="009E250A">
        <w:rPr>
          <w:rFonts w:ascii="Calibri Light" w:hAnsi="Calibri Light" w:cs="Calibri Light"/>
        </w:rPr>
        <w:t xml:space="preserve"> Refer Article 24 of the United Nations </w:t>
      </w:r>
      <w:r w:rsidRPr="009E250A">
        <w:rPr>
          <w:rFonts w:ascii="Calibri Light" w:hAnsi="Calibri Light" w:cs="Calibri Light"/>
          <w:i/>
        </w:rPr>
        <w:t>Convention on the Rights of the Child</w:t>
      </w:r>
      <w:r w:rsidRPr="009E250A">
        <w:rPr>
          <w:rFonts w:ascii="Calibri Light" w:hAnsi="Calibri Light" w:cs="Calibri Light"/>
        </w:rPr>
        <w:t>.</w:t>
      </w:r>
    </w:p>
  </w:footnote>
  <w:footnote w:id="5">
    <w:p w14:paraId="2C14F314" w14:textId="77777777" w:rsidR="006C2F48" w:rsidRPr="009E250A" w:rsidRDefault="006C2F48" w:rsidP="00911804">
      <w:pPr>
        <w:pStyle w:val="FootnoteText"/>
        <w:rPr>
          <w:rFonts w:ascii="Calibri Light" w:hAnsi="Calibri Light" w:cs="Calibri Light"/>
        </w:rPr>
      </w:pPr>
      <w:r>
        <w:rPr>
          <w:rStyle w:val="FootnoteReference"/>
        </w:rPr>
        <w:footnoteRef/>
      </w:r>
      <w:r>
        <w:t xml:space="preserve"> </w:t>
      </w:r>
      <w:r w:rsidRPr="009E250A">
        <w:rPr>
          <w:rFonts w:ascii="Calibri Light" w:hAnsi="Calibri Light" w:cs="Calibri Light"/>
        </w:rPr>
        <w:t xml:space="preserve">Australian Bureau of Statistics 2015, </w:t>
      </w:r>
      <w:r w:rsidRPr="009E250A">
        <w:rPr>
          <w:rFonts w:ascii="Calibri Light" w:hAnsi="Calibri Light" w:cs="Calibri Light"/>
          <w:i/>
        </w:rPr>
        <w:t>National Health Survey: First Results, 2014-15</w:t>
      </w:r>
      <w:r w:rsidRPr="009E250A">
        <w:rPr>
          <w:rFonts w:ascii="Calibri Light" w:hAnsi="Calibri Light" w:cs="Calibri Light"/>
        </w:rPr>
        <w:t xml:space="preserve">, ‘Table 22: Queensland – Table 3.1 Long-term health conditions, Persons (estimate) — Persons &amp; Table 3.3 Long-term health conditions, Proportion of persons – Persons’, data cube: Excel spreadsheet, cat. no. 4364.0.55.001, viewed 26 February 2019, </w:t>
      </w:r>
      <w:hyperlink r:id="rId1" w:history="1">
        <w:r w:rsidRPr="009E250A">
          <w:rPr>
            <w:rStyle w:val="Hyperlink"/>
            <w:rFonts w:ascii="Calibri Light" w:hAnsi="Calibri Light" w:cs="Calibri Light"/>
          </w:rPr>
          <w:t>https://www.abs.gov.au/AUSSTATS/abs@.nsf/DetailsPage/4364.0.55.0012014-15?OpenDocument</w:t>
        </w:r>
      </w:hyperlink>
    </w:p>
  </w:footnote>
  <w:footnote w:id="6">
    <w:p w14:paraId="3ABE1B89" w14:textId="77777777" w:rsidR="006C2F48" w:rsidRPr="009E250A" w:rsidRDefault="006C2F48" w:rsidP="00C4401C">
      <w:pPr>
        <w:pStyle w:val="FootnoteText"/>
        <w:rPr>
          <w:rFonts w:ascii="Calibri Light" w:hAnsi="Calibri Light" w:cs="Calibri Light"/>
        </w:rPr>
      </w:pPr>
      <w:r w:rsidRPr="009E250A">
        <w:rPr>
          <w:rStyle w:val="FootnoteReference"/>
          <w:rFonts w:ascii="Calibri Light" w:hAnsi="Calibri Light" w:cs="Calibri Light"/>
        </w:rPr>
        <w:footnoteRef/>
      </w:r>
      <w:r w:rsidRPr="009E250A">
        <w:rPr>
          <w:rFonts w:ascii="Calibri Light" w:hAnsi="Calibri Light" w:cs="Calibri Light"/>
        </w:rPr>
        <w:t xml:space="preserve"> </w:t>
      </w:r>
      <w:proofErr w:type="spellStart"/>
      <w:r w:rsidRPr="009E250A">
        <w:rPr>
          <w:rFonts w:ascii="Calibri Light" w:hAnsi="Calibri Light" w:cs="Calibri Light"/>
        </w:rPr>
        <w:t>Diminic</w:t>
      </w:r>
      <w:proofErr w:type="spellEnd"/>
      <w:r w:rsidRPr="009E250A">
        <w:rPr>
          <w:rFonts w:ascii="Calibri Light" w:hAnsi="Calibri Light" w:cs="Calibri Light"/>
        </w:rPr>
        <w:t xml:space="preserve"> S, Harris M, Sinclair D, Carstensen G and Degenhardt L 2013, </w:t>
      </w:r>
      <w:r w:rsidRPr="009E250A">
        <w:rPr>
          <w:rFonts w:ascii="Calibri Light" w:hAnsi="Calibri Light" w:cs="Calibri Light"/>
          <w:i/>
        </w:rPr>
        <w:t>Estimating the community prevalence and treatment rates for mental and substance use disorders in Queensland - Report to the Queensland Mental Health Commission</w:t>
      </w:r>
      <w:r w:rsidRPr="009E250A">
        <w:rPr>
          <w:rFonts w:ascii="Calibri Light" w:hAnsi="Calibri Light" w:cs="Calibri Light"/>
        </w:rPr>
        <w:t xml:space="preserve">, viewed 27 February 2019, </w:t>
      </w:r>
      <w:hyperlink r:id="rId2" w:history="1">
        <w:r w:rsidRPr="009E250A">
          <w:rPr>
            <w:rStyle w:val="Hyperlink"/>
            <w:rFonts w:ascii="Calibri Light" w:hAnsi="Calibri Light" w:cs="Calibri Light"/>
          </w:rPr>
          <w:t>https://www.qmhc.qld.gov.au/sites/default/files/wp-content/uploads/2013/10/2014-27-Estimating-the-community-prevalence-and-treatment-rates-for-mental-and-substance-use-disorders-in-Queensland.pdf</w:t>
        </w:r>
      </w:hyperlink>
    </w:p>
  </w:footnote>
  <w:footnote w:id="7">
    <w:p w14:paraId="072D75BF" w14:textId="77777777" w:rsidR="006C2F48" w:rsidRPr="009E250A" w:rsidRDefault="006C2F48" w:rsidP="007201CB">
      <w:pPr>
        <w:pStyle w:val="FootnoteText"/>
        <w:rPr>
          <w:rFonts w:ascii="Calibri Light" w:hAnsi="Calibri Light" w:cs="Calibri Light"/>
        </w:rPr>
      </w:pPr>
      <w:r w:rsidRPr="009E250A">
        <w:rPr>
          <w:rStyle w:val="FootnoteReference"/>
          <w:rFonts w:ascii="Calibri Light" w:hAnsi="Calibri Light" w:cs="Calibri Light"/>
        </w:rPr>
        <w:footnoteRef/>
      </w:r>
      <w:r w:rsidRPr="009E250A">
        <w:rPr>
          <w:rFonts w:ascii="Calibri Light" w:hAnsi="Calibri Light" w:cs="Calibri Light"/>
        </w:rPr>
        <w:t xml:space="preserve"> Australian Bureau of Statistics 2015, </w:t>
      </w:r>
      <w:r w:rsidRPr="009E250A">
        <w:rPr>
          <w:rFonts w:ascii="Calibri Light" w:hAnsi="Calibri Light" w:cs="Calibri Light"/>
          <w:i/>
        </w:rPr>
        <w:t>National Health Survey: First Results, 2014-15, Summary – Mental and Behavioural Conditions</w:t>
      </w:r>
      <w:r w:rsidRPr="009E250A">
        <w:rPr>
          <w:rFonts w:ascii="Calibri Light" w:hAnsi="Calibri Light" w:cs="Calibri Light"/>
        </w:rPr>
        <w:t xml:space="preserve">, cat. no. 4364.0.55.001, Australian Government, Canberra, viewed 1 April 2019, </w:t>
      </w:r>
      <w:hyperlink r:id="rId3" w:history="1">
        <w:r w:rsidRPr="009E250A">
          <w:rPr>
            <w:rStyle w:val="Hyperlink"/>
            <w:rFonts w:ascii="Calibri Light" w:hAnsi="Calibri Light" w:cs="Calibri Light"/>
          </w:rPr>
          <w:t>https://www.abs.gov.au/ausstats/abs@.nsf/Lookup/by%20Subject/4364.0.55.001~2014-15~Main%20Features~Mental%20and%20behavioural%20conditions~32</w:t>
        </w:r>
      </w:hyperlink>
    </w:p>
  </w:footnote>
  <w:footnote w:id="8">
    <w:p w14:paraId="760AD7C1" w14:textId="77777777" w:rsidR="00186C28" w:rsidRPr="009E250A" w:rsidRDefault="00186C28">
      <w:pPr>
        <w:pStyle w:val="FootnoteText"/>
        <w:rPr>
          <w:rFonts w:ascii="Calibri Light" w:hAnsi="Calibri Light" w:cs="Calibri Light"/>
        </w:rPr>
      </w:pPr>
      <w:r w:rsidRPr="009E250A">
        <w:rPr>
          <w:rStyle w:val="FootnoteReference"/>
          <w:rFonts w:ascii="Calibri Light" w:hAnsi="Calibri Light" w:cs="Calibri Light"/>
        </w:rPr>
        <w:footnoteRef/>
      </w:r>
      <w:r w:rsidRPr="009E250A">
        <w:rPr>
          <w:rFonts w:ascii="Calibri Light" w:hAnsi="Calibri Light" w:cs="Calibri Light"/>
        </w:rPr>
        <w:t xml:space="preserve"> Australian Bureau of Statistics 2015, </w:t>
      </w:r>
      <w:r w:rsidRPr="009E250A">
        <w:rPr>
          <w:rFonts w:ascii="Calibri Light" w:hAnsi="Calibri Light" w:cs="Calibri Light"/>
          <w:i/>
        </w:rPr>
        <w:t>National Health Survey: First Results, 2014-15</w:t>
      </w:r>
      <w:r w:rsidRPr="009E250A">
        <w:rPr>
          <w:rFonts w:ascii="Calibri Light" w:hAnsi="Calibri Light" w:cs="Calibri Light"/>
        </w:rPr>
        <w:t xml:space="preserve">, ‘Table 3: Long-term health conditions – Australia – Table 3.3 Long-term health conditions, Proportion of persons — Persons’, data cube: Excel spreadsheet, cat. no. 4364.0.55.001, viewed 26 February 2019, </w:t>
      </w:r>
      <w:hyperlink r:id="rId4" w:history="1">
        <w:r w:rsidRPr="009E250A">
          <w:rPr>
            <w:rStyle w:val="Hyperlink"/>
            <w:rFonts w:ascii="Calibri Light" w:hAnsi="Calibri Light" w:cs="Calibri Light"/>
          </w:rPr>
          <w:t>https://www.abs.gov.au/AUSSTATS/abs@.nsf/DetailsPage/4364.0.55.0012014-15?OpenDocument</w:t>
        </w:r>
      </w:hyperlink>
    </w:p>
  </w:footnote>
  <w:footnote w:id="9">
    <w:p w14:paraId="1B05F8BE" w14:textId="14288A65" w:rsidR="00BC7636" w:rsidRPr="009E250A" w:rsidRDefault="004B0C0B" w:rsidP="004B0C0B">
      <w:pPr>
        <w:pStyle w:val="FootnoteText"/>
        <w:rPr>
          <w:rFonts w:ascii="Calibri Light" w:hAnsi="Calibri Light" w:cs="Calibri Light"/>
        </w:rPr>
      </w:pPr>
      <w:r w:rsidRPr="009E250A">
        <w:rPr>
          <w:rStyle w:val="FootnoteReference"/>
          <w:rFonts w:ascii="Calibri Light" w:hAnsi="Calibri Light" w:cs="Calibri Light"/>
        </w:rPr>
        <w:footnoteRef/>
      </w:r>
      <w:r w:rsidRPr="009E250A">
        <w:rPr>
          <w:rFonts w:ascii="Calibri Light" w:hAnsi="Calibri Light" w:cs="Calibri Light"/>
        </w:rPr>
        <w:t xml:space="preserve"> </w:t>
      </w:r>
      <w:r w:rsidR="00BC7636" w:rsidRPr="009E250A">
        <w:rPr>
          <w:rFonts w:ascii="Calibri Light" w:hAnsi="Calibri Light" w:cs="Calibri Light"/>
        </w:rPr>
        <w:t xml:space="preserve">Queensland Family and Child Commission 2018, </w:t>
      </w:r>
      <w:r w:rsidR="00BC7636" w:rsidRPr="009E250A">
        <w:rPr>
          <w:rFonts w:ascii="Calibri Light" w:hAnsi="Calibri Light" w:cs="Calibri Light"/>
          <w:i/>
        </w:rPr>
        <w:t>Annual Report: Deaths of children and young people Queensland 2017-18</w:t>
      </w:r>
      <w:r w:rsidR="00BC7636" w:rsidRPr="009E250A">
        <w:rPr>
          <w:rFonts w:ascii="Calibri Light" w:hAnsi="Calibri Light" w:cs="Calibri Light"/>
        </w:rPr>
        <w:t xml:space="preserve">, Queensland Government, viewed 21 March 2019, </w:t>
      </w:r>
      <w:hyperlink r:id="rId5" w:history="1">
        <w:r w:rsidR="00BC7636" w:rsidRPr="009E250A">
          <w:rPr>
            <w:rStyle w:val="Hyperlink"/>
            <w:rFonts w:ascii="Calibri Light" w:hAnsi="Calibri Light" w:cs="Calibri Light"/>
          </w:rPr>
          <w:t>https://www.qfcc.qld.gov.au/sites/default/files/QFCC_Child_Death_Annual_Report_2017-18.PDF</w:t>
        </w:r>
      </w:hyperlink>
      <w:r w:rsidR="00E428E9" w:rsidRPr="009E250A">
        <w:rPr>
          <w:rFonts w:ascii="Calibri Light" w:hAnsi="Calibri Light" w:cs="Calibri Light"/>
        </w:rPr>
        <w:t xml:space="preserve"> (p. 51).</w:t>
      </w:r>
    </w:p>
  </w:footnote>
  <w:footnote w:id="10">
    <w:p w14:paraId="31C1C418" w14:textId="77777777" w:rsidR="004B0C0B" w:rsidRPr="009E250A" w:rsidRDefault="004B0C0B" w:rsidP="004B0C0B">
      <w:pPr>
        <w:pStyle w:val="FootnoteText"/>
        <w:rPr>
          <w:rFonts w:ascii="Calibri Light" w:hAnsi="Calibri Light" w:cs="Calibri Light"/>
        </w:rPr>
      </w:pPr>
      <w:r w:rsidRPr="009E250A">
        <w:rPr>
          <w:rStyle w:val="FootnoteReference"/>
          <w:rFonts w:ascii="Calibri Light" w:hAnsi="Calibri Light" w:cs="Calibri Light"/>
        </w:rPr>
        <w:footnoteRef/>
      </w:r>
      <w:r w:rsidRPr="009E250A">
        <w:rPr>
          <w:rFonts w:ascii="Calibri Light" w:hAnsi="Calibri Light" w:cs="Calibri Light"/>
        </w:rPr>
        <w:t xml:space="preserve"> A comprehensive report of findings is available: Queensland Family and Child Commission 2018, </w:t>
      </w:r>
      <w:r w:rsidRPr="009E250A">
        <w:rPr>
          <w:rFonts w:ascii="Calibri Light" w:hAnsi="Calibri Light" w:cs="Calibri Light"/>
          <w:i/>
        </w:rPr>
        <w:t>This Place I Call Home: The views of children and young people on growing up in Queensland</w:t>
      </w:r>
      <w:r w:rsidRPr="009E250A">
        <w:rPr>
          <w:rFonts w:ascii="Calibri Light" w:hAnsi="Calibri Light" w:cs="Calibri Light"/>
        </w:rPr>
        <w:t xml:space="preserve">, Queensland Government, Brisbane, </w:t>
      </w:r>
      <w:hyperlink r:id="rId6" w:history="1">
        <w:r w:rsidRPr="009E250A">
          <w:rPr>
            <w:rStyle w:val="Hyperlink"/>
            <w:rFonts w:ascii="Calibri Light" w:hAnsi="Calibri Light" w:cs="Calibri Light"/>
          </w:rPr>
          <w:t>https://www.qfcc.qld.gov.au/kids/listening/growing-queensland</w:t>
        </w:r>
      </w:hyperlink>
    </w:p>
  </w:footnote>
  <w:footnote w:id="11">
    <w:p w14:paraId="03B0676E" w14:textId="3B746804" w:rsidR="001F696C" w:rsidRPr="009E250A" w:rsidRDefault="001F696C">
      <w:pPr>
        <w:pStyle w:val="FootnoteText"/>
        <w:rPr>
          <w:rFonts w:ascii="Calibri Light" w:hAnsi="Calibri Light" w:cs="Calibri Light"/>
        </w:rPr>
      </w:pPr>
      <w:r w:rsidRPr="009E250A">
        <w:rPr>
          <w:rStyle w:val="FootnoteReference"/>
          <w:rFonts w:ascii="Calibri Light" w:hAnsi="Calibri Light" w:cs="Calibri Light"/>
        </w:rPr>
        <w:footnoteRef/>
      </w:r>
      <w:r w:rsidRPr="009E250A">
        <w:rPr>
          <w:rFonts w:ascii="Calibri Light" w:hAnsi="Calibri Light" w:cs="Calibri Light"/>
        </w:rPr>
        <w:t xml:space="preserve"> Refer, for example: Patel V, </w:t>
      </w:r>
      <w:proofErr w:type="spellStart"/>
      <w:r w:rsidRPr="009E250A">
        <w:rPr>
          <w:rFonts w:ascii="Calibri Light" w:hAnsi="Calibri Light" w:cs="Calibri Light"/>
        </w:rPr>
        <w:t>Flisher</w:t>
      </w:r>
      <w:proofErr w:type="spellEnd"/>
      <w:r w:rsidRPr="009E250A">
        <w:rPr>
          <w:rFonts w:ascii="Calibri Light" w:hAnsi="Calibri Light" w:cs="Calibri Light"/>
        </w:rPr>
        <w:t xml:space="preserve"> AJ, </w:t>
      </w:r>
      <w:proofErr w:type="spellStart"/>
      <w:r w:rsidRPr="009E250A">
        <w:rPr>
          <w:rFonts w:ascii="Calibri Light" w:hAnsi="Calibri Light" w:cs="Calibri Light"/>
        </w:rPr>
        <w:t>Hetrick</w:t>
      </w:r>
      <w:proofErr w:type="spellEnd"/>
      <w:r w:rsidRPr="009E250A">
        <w:rPr>
          <w:rFonts w:ascii="Calibri Light" w:hAnsi="Calibri Light" w:cs="Calibri Light"/>
        </w:rPr>
        <w:t xml:space="preserve"> S and </w:t>
      </w:r>
      <w:proofErr w:type="spellStart"/>
      <w:r w:rsidRPr="009E250A">
        <w:rPr>
          <w:rFonts w:ascii="Calibri Light" w:hAnsi="Calibri Light" w:cs="Calibri Light"/>
        </w:rPr>
        <w:t>McGorry</w:t>
      </w:r>
      <w:proofErr w:type="spellEnd"/>
      <w:r w:rsidRPr="009E250A">
        <w:rPr>
          <w:rFonts w:ascii="Calibri Light" w:hAnsi="Calibri Light" w:cs="Calibri Light"/>
        </w:rPr>
        <w:t xml:space="preserve"> P 2007, </w:t>
      </w:r>
      <w:r w:rsidRPr="009E250A">
        <w:rPr>
          <w:rFonts w:ascii="Calibri Light" w:hAnsi="Calibri Light" w:cs="Calibri Light"/>
          <w:i/>
        </w:rPr>
        <w:t>Mental health of young people: a global public-health challenge</w:t>
      </w:r>
      <w:r w:rsidRPr="009E250A">
        <w:rPr>
          <w:rFonts w:ascii="Calibri Light" w:hAnsi="Calibri Light" w:cs="Calibri Light"/>
        </w:rPr>
        <w:t>, Lancet, 369, pp 1302-1313</w:t>
      </w:r>
      <w:r w:rsidR="00734D96" w:rsidRPr="009E250A">
        <w:rPr>
          <w:rFonts w:ascii="Calibri Light" w:hAnsi="Calibri Light" w:cs="Calibri Light"/>
        </w:rPr>
        <w:t xml:space="preserve">; </w:t>
      </w:r>
      <w:proofErr w:type="spellStart"/>
      <w:r w:rsidR="00734D96" w:rsidRPr="009E250A">
        <w:rPr>
          <w:rFonts w:ascii="Calibri Light" w:hAnsi="Calibri Light" w:cs="Calibri Light"/>
        </w:rPr>
        <w:t>Stiffman</w:t>
      </w:r>
      <w:proofErr w:type="spellEnd"/>
      <w:r w:rsidR="00734D96" w:rsidRPr="009E250A">
        <w:rPr>
          <w:rFonts w:ascii="Calibri Light" w:hAnsi="Calibri Light" w:cs="Calibri Light"/>
        </w:rPr>
        <w:t xml:space="preserve"> AR, </w:t>
      </w:r>
      <w:proofErr w:type="spellStart"/>
      <w:r w:rsidR="00734D96" w:rsidRPr="009E250A">
        <w:rPr>
          <w:rFonts w:ascii="Calibri Light" w:hAnsi="Calibri Light" w:cs="Calibri Light"/>
        </w:rPr>
        <w:t>Stelk</w:t>
      </w:r>
      <w:proofErr w:type="spellEnd"/>
      <w:r w:rsidR="00734D96" w:rsidRPr="009E250A">
        <w:rPr>
          <w:rFonts w:ascii="Calibri Light" w:hAnsi="Calibri Light" w:cs="Calibri Light"/>
        </w:rPr>
        <w:t xml:space="preserve"> W, Horwitz SM, Evans ME, Outlaw FH, &amp; Atkins M 2010, </w:t>
      </w:r>
      <w:r w:rsidR="00734D96" w:rsidRPr="009E250A">
        <w:rPr>
          <w:rFonts w:ascii="Calibri Light" w:hAnsi="Calibri Light" w:cs="Calibri Light"/>
          <w:i/>
        </w:rPr>
        <w:t>A public health approach to children's mental health services: possible solutions to current service inadequacies</w:t>
      </w:r>
      <w:r w:rsidR="00734D96" w:rsidRPr="009E250A">
        <w:rPr>
          <w:rFonts w:ascii="Calibri Light" w:hAnsi="Calibri Light" w:cs="Calibri Light"/>
        </w:rPr>
        <w:t>, Administration and policy in mental health, 37(1-2), pp 120-4</w:t>
      </w:r>
      <w:r w:rsidR="00683622" w:rsidRPr="009E250A">
        <w:rPr>
          <w:rFonts w:ascii="Calibri Light" w:hAnsi="Calibri Light" w:cs="Calibri Light"/>
        </w:rPr>
        <w:t xml:space="preserve">; and, Mission Australia &amp; Black Dog Institute 2017, </w:t>
      </w:r>
      <w:r w:rsidR="00683622" w:rsidRPr="009E250A">
        <w:rPr>
          <w:rFonts w:ascii="Calibri Light" w:hAnsi="Calibri Light" w:cs="Calibri Light"/>
          <w:i/>
        </w:rPr>
        <w:t>Youth mental health report: Youth Survey 2012-16</w:t>
      </w:r>
      <w:r w:rsidR="00683622" w:rsidRPr="009E250A">
        <w:rPr>
          <w:rFonts w:ascii="Calibri Light" w:hAnsi="Calibri Light" w:cs="Calibri Light"/>
        </w:rPr>
        <w:t xml:space="preserve">, viewed 21 March 2019, </w:t>
      </w:r>
      <w:hyperlink r:id="rId7" w:history="1">
        <w:r w:rsidR="00683622" w:rsidRPr="009E250A">
          <w:rPr>
            <w:rStyle w:val="Hyperlink"/>
            <w:rFonts w:ascii="Calibri Light" w:hAnsi="Calibri Light" w:cs="Calibri Light"/>
          </w:rPr>
          <w:t>https://www.blackdoginstitute.org.au/</w:t>
        </w:r>
      </w:hyperlink>
    </w:p>
  </w:footnote>
  <w:footnote w:id="12">
    <w:p w14:paraId="3ECA32AA" w14:textId="7466D6ED" w:rsidR="00CF0E9F" w:rsidRPr="009E250A" w:rsidRDefault="00CF0E9F">
      <w:pPr>
        <w:pStyle w:val="FootnoteText"/>
        <w:rPr>
          <w:rFonts w:ascii="Calibri Light" w:hAnsi="Calibri Light" w:cs="Calibri Light"/>
        </w:rPr>
      </w:pPr>
      <w:r w:rsidRPr="009E250A">
        <w:rPr>
          <w:rStyle w:val="FootnoteReference"/>
          <w:rFonts w:ascii="Calibri Light" w:hAnsi="Calibri Light" w:cs="Calibri Light"/>
        </w:rPr>
        <w:footnoteRef/>
      </w:r>
      <w:r w:rsidRPr="009E250A">
        <w:rPr>
          <w:rFonts w:ascii="Calibri Light" w:hAnsi="Calibri Light" w:cs="Calibri Light"/>
        </w:rPr>
        <w:t xml:space="preserve"> Australia Health Ministers’ Advisory Council 2015, </w:t>
      </w:r>
      <w:r w:rsidRPr="009E250A">
        <w:rPr>
          <w:rFonts w:ascii="Calibri Light" w:hAnsi="Calibri Light" w:cs="Calibri Light"/>
          <w:i/>
        </w:rPr>
        <w:t>Health, Safe and Thriving: National Strategic Framework for Child and Youth Health</w:t>
      </w:r>
      <w:r w:rsidRPr="009E250A">
        <w:rPr>
          <w:rFonts w:ascii="Calibri Light" w:hAnsi="Calibri Light" w:cs="Calibri Light"/>
        </w:rPr>
        <w:t xml:space="preserve">, Australian Government, viewed 22 March 2019, </w:t>
      </w:r>
      <w:hyperlink r:id="rId8" w:history="1">
        <w:r w:rsidRPr="009E250A">
          <w:rPr>
            <w:rStyle w:val="Hyperlink"/>
            <w:rFonts w:ascii="Calibri Light" w:hAnsi="Calibri Light" w:cs="Calibri Light"/>
          </w:rPr>
          <w:t>https://www.coaghealthcouncil.gov.au/Projects/Independent-Review-of-NRAS-finalised/ArtMID/524/ArticleID/89/Healthy-Safe-and-Thriving-National-Strategic-Framework-for-Child-and-Youth-Health</w:t>
        </w:r>
      </w:hyperlink>
      <w:r w:rsidRPr="009E250A">
        <w:rPr>
          <w:rFonts w:ascii="Calibri Light" w:hAnsi="Calibri Light" w:cs="Calibri Light"/>
        </w:rPr>
        <w:t xml:space="preserve"> (p. 19).</w:t>
      </w:r>
    </w:p>
  </w:footnote>
  <w:footnote w:id="13">
    <w:p w14:paraId="217C8815" w14:textId="77777777" w:rsidR="006C2F48" w:rsidRPr="009E250A" w:rsidRDefault="006C2F48">
      <w:pPr>
        <w:pStyle w:val="FootnoteText"/>
        <w:rPr>
          <w:rFonts w:ascii="Calibri Light" w:hAnsi="Calibri Light" w:cs="Calibri Light"/>
        </w:rPr>
      </w:pPr>
      <w:r w:rsidRPr="009E250A">
        <w:rPr>
          <w:rStyle w:val="FootnoteReference"/>
          <w:rFonts w:ascii="Calibri Light" w:hAnsi="Calibri Light" w:cs="Calibri Light"/>
        </w:rPr>
        <w:footnoteRef/>
      </w:r>
      <w:r w:rsidRPr="009E250A">
        <w:rPr>
          <w:rFonts w:ascii="Calibri Light" w:hAnsi="Calibri Light" w:cs="Calibri Light"/>
        </w:rPr>
        <w:t xml:space="preserve"> Refer Article 16 of the United Nations </w:t>
      </w:r>
      <w:r w:rsidRPr="009E250A">
        <w:rPr>
          <w:rFonts w:ascii="Calibri Light" w:hAnsi="Calibri Light" w:cs="Calibri Light"/>
          <w:i/>
        </w:rPr>
        <w:t>Convention on the Rights of the Child</w:t>
      </w:r>
      <w:r w:rsidRPr="009E250A">
        <w:rPr>
          <w:rFonts w:ascii="Calibri Light" w:hAnsi="Calibri Light" w:cs="Calibri Light"/>
        </w:rPr>
        <w:t>.</w:t>
      </w:r>
    </w:p>
  </w:footnote>
  <w:footnote w:id="14">
    <w:p w14:paraId="38A92835" w14:textId="39B2EFE4" w:rsidR="00D43AD6" w:rsidRPr="009E250A" w:rsidRDefault="00D43AD6">
      <w:pPr>
        <w:pStyle w:val="FootnoteText"/>
        <w:rPr>
          <w:rFonts w:ascii="Calibri Light" w:hAnsi="Calibri Light" w:cs="Calibri Light"/>
        </w:rPr>
      </w:pPr>
      <w:r w:rsidRPr="009E250A">
        <w:rPr>
          <w:rStyle w:val="FootnoteReference"/>
          <w:rFonts w:ascii="Calibri Light" w:hAnsi="Calibri Light" w:cs="Calibri Light"/>
        </w:rPr>
        <w:footnoteRef/>
      </w:r>
      <w:r w:rsidRPr="009E250A">
        <w:rPr>
          <w:rFonts w:ascii="Calibri Light" w:hAnsi="Calibri Light" w:cs="Calibri Light"/>
        </w:rPr>
        <w:t xml:space="preserve"> Refer Article 39 of the United Nations </w:t>
      </w:r>
      <w:r w:rsidRPr="009E250A">
        <w:rPr>
          <w:rFonts w:ascii="Calibri Light" w:hAnsi="Calibri Light" w:cs="Calibri Light"/>
          <w:i/>
        </w:rPr>
        <w:t>Convention on the Rights of the Child</w:t>
      </w:r>
    </w:p>
  </w:footnote>
  <w:footnote w:id="15">
    <w:p w14:paraId="34A4FAB6" w14:textId="77777777" w:rsidR="00B7023F" w:rsidRPr="009E250A" w:rsidRDefault="00B7023F" w:rsidP="00B7023F">
      <w:pPr>
        <w:pStyle w:val="FootnoteText"/>
        <w:rPr>
          <w:rFonts w:asciiTheme="majorHAnsi" w:hAnsiTheme="majorHAnsi" w:cstheme="majorHAnsi"/>
        </w:rPr>
      </w:pPr>
      <w:r w:rsidRPr="009E250A">
        <w:rPr>
          <w:rStyle w:val="FootnoteReference"/>
          <w:rFonts w:asciiTheme="majorHAnsi" w:hAnsiTheme="majorHAnsi" w:cstheme="majorHAnsi"/>
        </w:rPr>
        <w:footnoteRef/>
      </w:r>
      <w:r w:rsidRPr="009E250A">
        <w:rPr>
          <w:rFonts w:asciiTheme="majorHAnsi" w:hAnsiTheme="majorHAnsi" w:cstheme="majorHAnsi"/>
        </w:rPr>
        <w:t xml:space="preserve"> Refer </w:t>
      </w:r>
      <w:hyperlink r:id="rId9" w:history="1">
        <w:r w:rsidRPr="009E250A">
          <w:rPr>
            <w:rStyle w:val="Hyperlink"/>
            <w:rFonts w:asciiTheme="majorHAnsi" w:hAnsiTheme="majorHAnsi" w:cstheme="majorHAnsi"/>
          </w:rPr>
          <w:t>https://www.qfcc.qld.gov.au/sites/default/files/For%20professionals/policy/minimum-age-criminal-responsibility.pdf</w:t>
        </w:r>
      </w:hyperlink>
    </w:p>
  </w:footnote>
  <w:footnote w:id="16">
    <w:p w14:paraId="23C566A4" w14:textId="5DE576D3" w:rsidR="00B7023F" w:rsidRPr="009E250A" w:rsidRDefault="004C3ABD" w:rsidP="00B7023F">
      <w:pPr>
        <w:pStyle w:val="FootnoteText"/>
        <w:rPr>
          <w:rFonts w:asciiTheme="majorHAnsi" w:hAnsiTheme="majorHAnsi" w:cstheme="majorHAnsi"/>
        </w:rPr>
      </w:pPr>
      <w:r w:rsidRPr="009E250A">
        <w:rPr>
          <w:rStyle w:val="FootnoteReference"/>
          <w:rFonts w:asciiTheme="majorHAnsi" w:hAnsiTheme="majorHAnsi" w:cstheme="majorHAnsi"/>
        </w:rPr>
        <w:footnoteRef/>
      </w:r>
      <w:r w:rsidRPr="009E250A">
        <w:rPr>
          <w:rFonts w:asciiTheme="majorHAnsi" w:hAnsiTheme="majorHAnsi" w:cstheme="majorHAnsi"/>
        </w:rPr>
        <w:t xml:space="preserve"> </w:t>
      </w:r>
      <w:r w:rsidR="00B7023F" w:rsidRPr="009E250A">
        <w:rPr>
          <w:rFonts w:asciiTheme="majorHAnsi" w:hAnsiTheme="majorHAnsi" w:cstheme="majorHAnsi"/>
        </w:rPr>
        <w:t xml:space="preserve">Underwood L, Washington A 2016, </w:t>
      </w:r>
      <w:r w:rsidR="00B7023F" w:rsidRPr="009E250A">
        <w:rPr>
          <w:rFonts w:asciiTheme="majorHAnsi" w:hAnsiTheme="majorHAnsi" w:cstheme="majorHAnsi"/>
          <w:i/>
        </w:rPr>
        <w:t>Mental Illness and Juvenile Offenders</w:t>
      </w:r>
      <w:r w:rsidR="00B7023F" w:rsidRPr="009E250A">
        <w:rPr>
          <w:rFonts w:asciiTheme="majorHAnsi" w:hAnsiTheme="majorHAnsi" w:cstheme="majorHAnsi"/>
        </w:rPr>
        <w:t>, International</w:t>
      </w:r>
    </w:p>
    <w:p w14:paraId="3F9E1D4F" w14:textId="2AC17756" w:rsidR="004C3ABD" w:rsidRPr="009E250A" w:rsidRDefault="00B7023F" w:rsidP="00B7023F">
      <w:pPr>
        <w:pStyle w:val="FootnoteText"/>
        <w:rPr>
          <w:rFonts w:asciiTheme="majorHAnsi" w:hAnsiTheme="majorHAnsi" w:cstheme="majorHAnsi"/>
        </w:rPr>
      </w:pPr>
      <w:r w:rsidRPr="009E250A">
        <w:rPr>
          <w:rFonts w:asciiTheme="majorHAnsi" w:hAnsiTheme="majorHAnsi" w:cstheme="majorHAnsi"/>
        </w:rPr>
        <w:t>Journal of Environmental Research and Public Health, 13(228), pp.1–14 (p.3).</w:t>
      </w:r>
    </w:p>
  </w:footnote>
  <w:footnote w:id="17">
    <w:p w14:paraId="79CB49B6" w14:textId="77777777" w:rsidR="00B7023F" w:rsidRPr="009E250A" w:rsidRDefault="00B7023F" w:rsidP="00B7023F">
      <w:pPr>
        <w:pStyle w:val="FootnoteText"/>
        <w:rPr>
          <w:rFonts w:asciiTheme="majorHAnsi" w:hAnsiTheme="majorHAnsi" w:cstheme="majorHAnsi"/>
        </w:rPr>
      </w:pPr>
      <w:r w:rsidRPr="009E250A">
        <w:rPr>
          <w:rStyle w:val="FootnoteReference"/>
          <w:rFonts w:asciiTheme="majorHAnsi" w:hAnsiTheme="majorHAnsi" w:cstheme="majorHAnsi"/>
        </w:rPr>
        <w:footnoteRef/>
      </w:r>
      <w:r w:rsidRPr="009E250A">
        <w:rPr>
          <w:rFonts w:asciiTheme="majorHAnsi" w:hAnsiTheme="majorHAnsi" w:cstheme="majorHAnsi"/>
        </w:rPr>
        <w:t xml:space="preserve"> Underwood L, Washington A 2016, </w:t>
      </w:r>
      <w:r w:rsidRPr="009E250A">
        <w:rPr>
          <w:rFonts w:asciiTheme="majorHAnsi" w:hAnsiTheme="majorHAnsi" w:cstheme="majorHAnsi"/>
          <w:i/>
        </w:rPr>
        <w:t>Mental Illness and Juvenile Offenders</w:t>
      </w:r>
      <w:r w:rsidRPr="009E250A">
        <w:rPr>
          <w:rFonts w:asciiTheme="majorHAnsi" w:hAnsiTheme="majorHAnsi" w:cstheme="majorHAnsi"/>
        </w:rPr>
        <w:t>, International</w:t>
      </w:r>
    </w:p>
    <w:p w14:paraId="6D441B70" w14:textId="06D7B6B8" w:rsidR="00B7023F" w:rsidRPr="009E250A" w:rsidRDefault="00B7023F" w:rsidP="00B7023F">
      <w:pPr>
        <w:pStyle w:val="FootnoteText"/>
        <w:rPr>
          <w:rFonts w:asciiTheme="majorHAnsi" w:hAnsiTheme="majorHAnsi" w:cstheme="majorHAnsi"/>
        </w:rPr>
      </w:pPr>
      <w:r w:rsidRPr="009E250A">
        <w:rPr>
          <w:rFonts w:asciiTheme="majorHAnsi" w:hAnsiTheme="majorHAnsi" w:cstheme="majorHAnsi"/>
        </w:rPr>
        <w:t>Journal of Environmental Research and Public Health, 13(228), pp.1–14 (p.3).</w:t>
      </w:r>
    </w:p>
  </w:footnote>
  <w:footnote w:id="18">
    <w:p w14:paraId="4C3E80DE" w14:textId="721FD1F7" w:rsidR="00B7023F" w:rsidRPr="009E250A" w:rsidRDefault="00B7023F" w:rsidP="00B7023F">
      <w:pPr>
        <w:pStyle w:val="FootnoteText"/>
        <w:rPr>
          <w:rFonts w:asciiTheme="majorHAnsi" w:hAnsiTheme="majorHAnsi" w:cstheme="majorHAnsi"/>
        </w:rPr>
      </w:pPr>
      <w:r w:rsidRPr="009E250A">
        <w:rPr>
          <w:rStyle w:val="FootnoteReference"/>
          <w:rFonts w:asciiTheme="majorHAnsi" w:hAnsiTheme="majorHAnsi" w:cstheme="majorHAnsi"/>
        </w:rPr>
        <w:footnoteRef/>
      </w:r>
      <w:r w:rsidRPr="009E250A">
        <w:rPr>
          <w:rFonts w:asciiTheme="majorHAnsi" w:hAnsiTheme="majorHAnsi" w:cstheme="majorHAnsi"/>
        </w:rPr>
        <w:t xml:space="preserve"> Jesuit Social Services 2015, </w:t>
      </w:r>
      <w:r w:rsidRPr="009E250A">
        <w:rPr>
          <w:rFonts w:asciiTheme="majorHAnsi" w:hAnsiTheme="majorHAnsi" w:cstheme="majorHAnsi"/>
          <w:i/>
        </w:rPr>
        <w:t>Too Much Too Young: Raise the Age of Criminal Responsibility to 12</w:t>
      </w:r>
      <w:r w:rsidRPr="009E250A">
        <w:rPr>
          <w:rFonts w:asciiTheme="majorHAnsi" w:hAnsiTheme="majorHAnsi" w:cstheme="majorHAnsi"/>
        </w:rPr>
        <w:t xml:space="preserve">, viewed 21 March 2019, </w:t>
      </w:r>
      <w:hyperlink r:id="rId10" w:history="1">
        <w:r w:rsidRPr="009E250A">
          <w:rPr>
            <w:rStyle w:val="Hyperlink"/>
            <w:rFonts w:asciiTheme="majorHAnsi" w:hAnsiTheme="majorHAnsi" w:cstheme="majorHAnsi"/>
          </w:rPr>
          <w:t>http://jss.org.au/wp-content/uploads/2016/01/Too_much_too_young_-_Raise_the_age_of_criminal_responsibility_to_12.pdf</w:t>
        </w:r>
      </w:hyperlink>
      <w:r w:rsidRPr="009E250A">
        <w:rPr>
          <w:rFonts w:asciiTheme="majorHAnsi" w:hAnsiTheme="majorHAnsi" w:cstheme="majorHAnsi"/>
        </w:rPr>
        <w:t xml:space="preserve"> (p.3).</w:t>
      </w:r>
    </w:p>
  </w:footnote>
  <w:footnote w:id="19">
    <w:p w14:paraId="3348E0EA" w14:textId="01A4F2B9" w:rsidR="005D2DB5" w:rsidRPr="009E250A" w:rsidRDefault="00B7023F" w:rsidP="005D2DB5">
      <w:pPr>
        <w:pStyle w:val="FootnoteText"/>
        <w:rPr>
          <w:rFonts w:asciiTheme="majorHAnsi" w:hAnsiTheme="majorHAnsi" w:cstheme="majorHAnsi"/>
        </w:rPr>
      </w:pPr>
      <w:r w:rsidRPr="009E250A">
        <w:rPr>
          <w:rStyle w:val="FootnoteReference"/>
          <w:rFonts w:asciiTheme="majorHAnsi" w:hAnsiTheme="majorHAnsi" w:cstheme="majorHAnsi"/>
        </w:rPr>
        <w:footnoteRef/>
      </w:r>
      <w:r w:rsidRPr="009E250A">
        <w:rPr>
          <w:rFonts w:asciiTheme="majorHAnsi" w:hAnsiTheme="majorHAnsi" w:cstheme="majorHAnsi"/>
        </w:rPr>
        <w:t xml:space="preserve"> </w:t>
      </w:r>
      <w:proofErr w:type="spellStart"/>
      <w:r w:rsidR="005D2DB5" w:rsidRPr="009E250A">
        <w:rPr>
          <w:rFonts w:asciiTheme="majorHAnsi" w:hAnsiTheme="majorHAnsi" w:cstheme="majorHAnsi"/>
        </w:rPr>
        <w:t>Indig</w:t>
      </w:r>
      <w:proofErr w:type="spellEnd"/>
      <w:r w:rsidR="005D2DB5" w:rsidRPr="009E250A">
        <w:rPr>
          <w:rFonts w:asciiTheme="majorHAnsi" w:hAnsiTheme="majorHAnsi" w:cstheme="majorHAnsi"/>
        </w:rPr>
        <w:t xml:space="preserve"> et al in Cashmore J 2011, </w:t>
      </w:r>
      <w:r w:rsidR="005D2DB5" w:rsidRPr="009E250A">
        <w:rPr>
          <w:rFonts w:asciiTheme="majorHAnsi" w:hAnsiTheme="majorHAnsi" w:cstheme="majorHAnsi"/>
          <w:i/>
        </w:rPr>
        <w:t>The Link between Child Maltreatment and Adolescent Offending: Systems Neglect of Adolescents</w:t>
      </w:r>
      <w:r w:rsidR="005D2DB5" w:rsidRPr="009E250A">
        <w:rPr>
          <w:rFonts w:asciiTheme="majorHAnsi" w:hAnsiTheme="majorHAnsi" w:cstheme="majorHAnsi"/>
        </w:rPr>
        <w:t xml:space="preserve">, Australian Institute of Family Studies – Family Matters, No. 89, p.32, viewed 21 March 2019, </w:t>
      </w:r>
      <w:hyperlink r:id="rId11" w:history="1">
        <w:r w:rsidR="005D2DB5" w:rsidRPr="009E250A">
          <w:rPr>
            <w:rStyle w:val="Hyperlink"/>
            <w:rFonts w:asciiTheme="majorHAnsi" w:hAnsiTheme="majorHAnsi" w:cstheme="majorHAnsi"/>
          </w:rPr>
          <w:t>https://aifs.gov.au/publications/family-matters/issue-89/link-between-child-maltreatment-and-adolescent-offending</w:t>
        </w:r>
      </w:hyperlink>
    </w:p>
  </w:footnote>
  <w:footnote w:id="20">
    <w:p w14:paraId="5D640CF8" w14:textId="473EDA03" w:rsidR="009F6A5B" w:rsidRPr="009E250A" w:rsidRDefault="009F6A5B">
      <w:pPr>
        <w:pStyle w:val="FootnoteText"/>
        <w:rPr>
          <w:rFonts w:asciiTheme="majorHAnsi" w:hAnsiTheme="majorHAnsi" w:cstheme="majorHAnsi"/>
        </w:rPr>
      </w:pPr>
      <w:r w:rsidRPr="009E250A">
        <w:rPr>
          <w:rStyle w:val="FootnoteReference"/>
          <w:rFonts w:asciiTheme="majorHAnsi" w:hAnsiTheme="majorHAnsi" w:cstheme="majorHAnsi"/>
        </w:rPr>
        <w:footnoteRef/>
      </w:r>
      <w:r w:rsidRPr="009E250A">
        <w:rPr>
          <w:rFonts w:asciiTheme="majorHAnsi" w:hAnsiTheme="majorHAnsi" w:cstheme="majorHAnsi"/>
        </w:rPr>
        <w:t xml:space="preserve"> Queensland Family and Child Commission 2018, </w:t>
      </w:r>
      <w:r w:rsidRPr="009E250A">
        <w:rPr>
          <w:rFonts w:asciiTheme="majorHAnsi" w:hAnsiTheme="majorHAnsi" w:cstheme="majorHAnsi"/>
          <w:i/>
        </w:rPr>
        <w:t>The criminalisation of children living in out-of-home care in Queensland</w:t>
      </w:r>
      <w:r w:rsidRPr="009E250A">
        <w:rPr>
          <w:rFonts w:asciiTheme="majorHAnsi" w:hAnsiTheme="majorHAnsi" w:cstheme="majorHAnsi"/>
        </w:rPr>
        <w:t xml:space="preserve">, Queensland Government, viewed 21 March 2019, </w:t>
      </w:r>
      <w:hyperlink r:id="rId12" w:history="1">
        <w:r w:rsidRPr="009E250A">
          <w:rPr>
            <w:rStyle w:val="Hyperlink"/>
            <w:rFonts w:asciiTheme="majorHAnsi" w:hAnsiTheme="majorHAnsi" w:cstheme="majorHAnsi"/>
          </w:rPr>
          <w:t>https://www.qfcc.qld.gov.au/sites/default/files/The%20criminalisation%20of%20children%20living%20in%20out%20of%20home%20care%20in%20Queensland.pdf</w:t>
        </w:r>
      </w:hyperlink>
    </w:p>
  </w:footnote>
  <w:footnote w:id="21">
    <w:p w14:paraId="649B4D83" w14:textId="257404C7" w:rsidR="009F6A5B" w:rsidRDefault="009F6A5B">
      <w:pPr>
        <w:pStyle w:val="FootnoteText"/>
      </w:pPr>
      <w:r w:rsidRPr="009E250A">
        <w:rPr>
          <w:rStyle w:val="FootnoteReference"/>
          <w:rFonts w:asciiTheme="majorHAnsi" w:hAnsiTheme="majorHAnsi" w:cstheme="majorHAnsi"/>
        </w:rPr>
        <w:footnoteRef/>
      </w:r>
      <w:r w:rsidRPr="009E250A">
        <w:rPr>
          <w:rFonts w:asciiTheme="majorHAnsi" w:hAnsiTheme="majorHAnsi" w:cstheme="majorHAnsi"/>
        </w:rPr>
        <w:t xml:space="preserve"> Osborn A and </w:t>
      </w:r>
      <w:proofErr w:type="spellStart"/>
      <w:r w:rsidRPr="009E250A">
        <w:rPr>
          <w:rFonts w:asciiTheme="majorHAnsi" w:hAnsiTheme="majorHAnsi" w:cstheme="majorHAnsi"/>
        </w:rPr>
        <w:t>Delfabbro</w:t>
      </w:r>
      <w:proofErr w:type="spellEnd"/>
      <w:r w:rsidRPr="009E250A">
        <w:rPr>
          <w:rFonts w:asciiTheme="majorHAnsi" w:hAnsiTheme="majorHAnsi" w:cstheme="majorHAnsi"/>
        </w:rPr>
        <w:t xml:space="preserve"> PH 2006, </w:t>
      </w:r>
      <w:r w:rsidRPr="009E250A">
        <w:rPr>
          <w:rFonts w:asciiTheme="majorHAnsi" w:hAnsiTheme="majorHAnsi" w:cstheme="majorHAnsi"/>
          <w:i/>
        </w:rPr>
        <w:t>National Comparative Study of Children and Young People with High Support Need in Australian Out-of-Home Care</w:t>
      </w:r>
      <w:r w:rsidRPr="009E250A">
        <w:rPr>
          <w:rFonts w:asciiTheme="majorHAnsi" w:hAnsiTheme="majorHAnsi" w:cstheme="majorHAnsi"/>
        </w:rPr>
        <w:t xml:space="preserve">, University of Adelaide, viewed 21 March 2019, </w:t>
      </w:r>
      <w:hyperlink r:id="rId13" w:history="1">
        <w:r w:rsidRPr="009E250A">
          <w:rPr>
            <w:rStyle w:val="Hyperlink"/>
            <w:rFonts w:asciiTheme="majorHAnsi" w:hAnsiTheme="majorHAnsi" w:cstheme="majorHAnsi"/>
          </w:rPr>
          <w:t>http://www.childrenatrisk.eu/projects/institutions/dbaFile12917.pdf</w:t>
        </w:r>
      </w:hyperlink>
    </w:p>
  </w:footnote>
  <w:footnote w:id="22">
    <w:p w14:paraId="4653AF77" w14:textId="62F9017E" w:rsidR="00E428E9" w:rsidRPr="00DB7E27" w:rsidRDefault="00E428E9">
      <w:pPr>
        <w:pStyle w:val="FootnoteText"/>
        <w:rPr>
          <w:rFonts w:ascii="Calibri Light" w:hAnsi="Calibri Light" w:cs="Calibri Light"/>
        </w:rPr>
      </w:pPr>
      <w:r w:rsidRPr="00DB7E27">
        <w:rPr>
          <w:rStyle w:val="FootnoteReference"/>
          <w:rFonts w:ascii="Calibri Light" w:hAnsi="Calibri Light" w:cs="Calibri Light"/>
        </w:rPr>
        <w:footnoteRef/>
      </w:r>
      <w:r w:rsidRPr="00DB7E27">
        <w:rPr>
          <w:rFonts w:ascii="Calibri Light" w:hAnsi="Calibri Light" w:cs="Calibri Light"/>
        </w:rPr>
        <w:t xml:space="preserve"> </w:t>
      </w:r>
      <w:r w:rsidR="001015BD" w:rsidRPr="00DB7E27">
        <w:rPr>
          <w:rFonts w:ascii="Calibri Light" w:hAnsi="Calibri Light" w:cs="Calibri Light"/>
        </w:rPr>
        <w:t xml:space="preserve">Queensland Family and Child Commission 2018, </w:t>
      </w:r>
      <w:r w:rsidR="001015BD" w:rsidRPr="00DB7E27">
        <w:rPr>
          <w:rFonts w:ascii="Calibri Light" w:hAnsi="Calibri Light" w:cs="Calibri Light"/>
          <w:i/>
        </w:rPr>
        <w:t>Annual Report: Deaths of children and young people Queensland 2017-18</w:t>
      </w:r>
      <w:r w:rsidR="001015BD" w:rsidRPr="00DB7E27">
        <w:rPr>
          <w:rFonts w:ascii="Calibri Light" w:hAnsi="Calibri Light" w:cs="Calibri Light"/>
        </w:rPr>
        <w:t xml:space="preserve">, Queensland Government, viewed 21 March 2019, </w:t>
      </w:r>
      <w:hyperlink r:id="rId14" w:history="1">
        <w:r w:rsidR="001015BD" w:rsidRPr="00DB7E27">
          <w:rPr>
            <w:rStyle w:val="Hyperlink"/>
            <w:rFonts w:ascii="Calibri Light" w:hAnsi="Calibri Light" w:cs="Calibri Light"/>
          </w:rPr>
          <w:t>https://www.qfcc.qld.gov.au/sites/default/files/QFCC_Child_Death_Annual_Report_2017-18.PDF</w:t>
        </w:r>
      </w:hyperlink>
      <w:r w:rsidR="001015BD" w:rsidRPr="00DB7E27">
        <w:rPr>
          <w:rFonts w:ascii="Calibri Light" w:hAnsi="Calibri Light" w:cs="Calibri Light"/>
        </w:rPr>
        <w:t xml:space="preserve"> (p. 51).</w:t>
      </w:r>
    </w:p>
  </w:footnote>
  <w:footnote w:id="23">
    <w:p w14:paraId="1C4F8421" w14:textId="77777777" w:rsidR="00597EB7" w:rsidRPr="00DB7E27" w:rsidRDefault="00597EB7" w:rsidP="00597EB7">
      <w:pPr>
        <w:pStyle w:val="FootnoteText"/>
        <w:rPr>
          <w:rFonts w:ascii="Calibri Light" w:hAnsi="Calibri Light" w:cs="Calibri Light"/>
        </w:rPr>
      </w:pPr>
      <w:r w:rsidRPr="00DB7E27">
        <w:rPr>
          <w:rStyle w:val="FootnoteReference"/>
          <w:rFonts w:ascii="Calibri Light" w:hAnsi="Calibri Light" w:cs="Calibri Light"/>
        </w:rPr>
        <w:footnoteRef/>
      </w:r>
      <w:r w:rsidRPr="00DB7E27">
        <w:rPr>
          <w:rFonts w:ascii="Calibri Light" w:hAnsi="Calibri Light" w:cs="Calibri Light"/>
        </w:rPr>
        <w:t xml:space="preserve"> Queensland Family and Child Commission 2018, </w:t>
      </w:r>
      <w:r w:rsidRPr="00DB7E27">
        <w:rPr>
          <w:rFonts w:ascii="Calibri Light" w:hAnsi="Calibri Light" w:cs="Calibri Light"/>
          <w:i/>
        </w:rPr>
        <w:t>Research Summary: Suicide of young people in Queensland, Queensland Government</w:t>
      </w:r>
      <w:r w:rsidRPr="00DB7E27">
        <w:rPr>
          <w:rFonts w:ascii="Calibri Light" w:hAnsi="Calibri Light" w:cs="Calibri Light"/>
        </w:rPr>
        <w:t xml:space="preserve">, viewed 21 March 2019, </w:t>
      </w:r>
      <w:hyperlink r:id="rId15" w:history="1">
        <w:r w:rsidRPr="00DB7E27">
          <w:rPr>
            <w:rStyle w:val="Hyperlink"/>
            <w:rFonts w:ascii="Calibri Light" w:hAnsi="Calibri Light" w:cs="Calibri Light"/>
          </w:rPr>
          <w:t>https://www.qfcc.qld.gov.au/</w:t>
        </w:r>
      </w:hyperlink>
      <w:r w:rsidRPr="00DB7E27">
        <w:rPr>
          <w:rFonts w:ascii="Calibri Light" w:hAnsi="Calibri Light" w:cs="Calibri Light"/>
        </w:rPr>
        <w:t xml:space="preserve"> </w:t>
      </w:r>
    </w:p>
  </w:footnote>
  <w:footnote w:id="24">
    <w:p w14:paraId="2DAA9321" w14:textId="382ADB1D" w:rsidR="00826B54" w:rsidRPr="00DB7E27" w:rsidRDefault="00826B54">
      <w:pPr>
        <w:pStyle w:val="FootnoteText"/>
        <w:rPr>
          <w:rFonts w:ascii="Calibri Light" w:hAnsi="Calibri Light" w:cs="Calibri Light"/>
        </w:rPr>
      </w:pPr>
      <w:r w:rsidRPr="00DB7E27">
        <w:rPr>
          <w:rStyle w:val="FootnoteReference"/>
          <w:rFonts w:ascii="Calibri Light" w:hAnsi="Calibri Light" w:cs="Calibri Light"/>
        </w:rPr>
        <w:footnoteRef/>
      </w:r>
      <w:r w:rsidRPr="00DB7E27">
        <w:rPr>
          <w:rFonts w:ascii="Calibri Light" w:hAnsi="Calibri Light" w:cs="Calibri Light"/>
        </w:rPr>
        <w:t xml:space="preserve"> Queensland Government 2018, </w:t>
      </w:r>
      <w:r w:rsidRPr="00DB7E27">
        <w:rPr>
          <w:rFonts w:ascii="Calibri Light" w:hAnsi="Calibri Light" w:cs="Calibri Light"/>
          <w:i/>
        </w:rPr>
        <w:t>Queensland Government response to: Adjust our Settings: A community approach to address cyberbullying among children and young people in Queensland (October 2018)</w:t>
      </w:r>
      <w:r w:rsidRPr="00DB7E27">
        <w:rPr>
          <w:rFonts w:ascii="Calibri Light" w:hAnsi="Calibri Light" w:cs="Calibri Light"/>
        </w:rPr>
        <w:t xml:space="preserve">, viewed 21 March 2019, </w:t>
      </w:r>
      <w:hyperlink r:id="rId16" w:history="1">
        <w:r w:rsidRPr="00DB7E27">
          <w:rPr>
            <w:rStyle w:val="Hyperlink"/>
            <w:rFonts w:ascii="Calibri Light" w:hAnsi="Calibri Light" w:cs="Calibri Light"/>
          </w:rPr>
          <w:t>https://www.premiers.qld.gov.au/publications/categories/reports/cyberbullying-gov-response.aspx</w:t>
        </w:r>
      </w:hyperlink>
    </w:p>
  </w:footnote>
  <w:footnote w:id="25">
    <w:p w14:paraId="417D4C0B" w14:textId="77777777" w:rsidR="006C2F48" w:rsidRPr="00DB7E27" w:rsidRDefault="006C2F48">
      <w:pPr>
        <w:pStyle w:val="FootnoteText"/>
        <w:rPr>
          <w:rFonts w:ascii="Calibri Light" w:hAnsi="Calibri Light" w:cs="Calibri Light"/>
        </w:rPr>
      </w:pPr>
      <w:r w:rsidRPr="00DB7E27">
        <w:rPr>
          <w:rStyle w:val="FootnoteReference"/>
          <w:rFonts w:ascii="Calibri Light" w:hAnsi="Calibri Light" w:cs="Calibri Light"/>
        </w:rPr>
        <w:footnoteRef/>
      </w:r>
      <w:r w:rsidRPr="00DB7E27">
        <w:rPr>
          <w:rFonts w:ascii="Calibri Light" w:hAnsi="Calibri Light" w:cs="Calibri Light"/>
        </w:rPr>
        <w:t xml:space="preserve"> United Nations Committee on the Rights of the Child, </w:t>
      </w:r>
      <w:r w:rsidRPr="00DB7E27">
        <w:rPr>
          <w:rFonts w:ascii="Calibri Light" w:hAnsi="Calibri Light" w:cs="Calibri Light"/>
          <w:i/>
        </w:rPr>
        <w:t>Consideration of Reports Submitted by States Parties Under Article 44 of the Convention – Concluding Remarks: Australia</w:t>
      </w:r>
      <w:r w:rsidRPr="00DB7E27">
        <w:rPr>
          <w:rFonts w:ascii="Calibri Light" w:hAnsi="Calibri Light" w:cs="Calibri Light"/>
        </w:rPr>
        <w:t xml:space="preserve">, CRC/C/15/Add.268, para. 20 (20 October 2005). </w:t>
      </w:r>
    </w:p>
  </w:footnote>
  <w:footnote w:id="26">
    <w:p w14:paraId="7EDB2798" w14:textId="77777777" w:rsidR="006C2F48" w:rsidRPr="00DB7E27" w:rsidRDefault="006C2F48">
      <w:pPr>
        <w:pStyle w:val="FootnoteText"/>
        <w:rPr>
          <w:rFonts w:ascii="Calibri Light" w:hAnsi="Calibri Light" w:cs="Calibri Light"/>
        </w:rPr>
      </w:pPr>
      <w:r w:rsidRPr="00DB7E27">
        <w:rPr>
          <w:rStyle w:val="FootnoteReference"/>
          <w:rFonts w:ascii="Calibri Light" w:hAnsi="Calibri Light" w:cs="Calibri Light"/>
        </w:rPr>
        <w:footnoteRef/>
      </w:r>
      <w:r w:rsidRPr="00DB7E27">
        <w:rPr>
          <w:rFonts w:ascii="Calibri Light" w:hAnsi="Calibri Light" w:cs="Calibri Light"/>
        </w:rPr>
        <w:t xml:space="preserve"> United Nations Committee on the Rights of the Child, </w:t>
      </w:r>
      <w:r w:rsidRPr="00DB7E27">
        <w:rPr>
          <w:rFonts w:ascii="Calibri Light" w:hAnsi="Calibri Light" w:cs="Calibri Light"/>
          <w:i/>
        </w:rPr>
        <w:t>Consideration of Reports Submitted by States Parties Under Article 44 of the Convention – Concluding Remarks: Australia</w:t>
      </w:r>
      <w:r w:rsidRPr="00DB7E27">
        <w:rPr>
          <w:rFonts w:ascii="Calibri Light" w:hAnsi="Calibri Light" w:cs="Calibri Light"/>
        </w:rPr>
        <w:t>, CRC/C/AUS/CO/4, para. 21 (28 August 2012).</w:t>
      </w:r>
    </w:p>
  </w:footnote>
  <w:footnote w:id="27">
    <w:p w14:paraId="7FADCFE1" w14:textId="6D65BF8A" w:rsidR="00614CE8" w:rsidRPr="00DB7E27" w:rsidRDefault="00614CE8">
      <w:pPr>
        <w:pStyle w:val="FootnoteText"/>
        <w:rPr>
          <w:rFonts w:asciiTheme="majorHAnsi" w:hAnsiTheme="majorHAnsi" w:cstheme="majorHAnsi"/>
        </w:rPr>
      </w:pPr>
      <w:r w:rsidRPr="00DB7E27">
        <w:rPr>
          <w:rStyle w:val="FootnoteReference"/>
          <w:rFonts w:asciiTheme="majorHAnsi" w:hAnsiTheme="majorHAnsi" w:cstheme="majorHAnsi"/>
        </w:rPr>
        <w:footnoteRef/>
      </w:r>
      <w:r w:rsidRPr="00DB7E27">
        <w:rPr>
          <w:rFonts w:asciiTheme="majorHAnsi" w:hAnsiTheme="majorHAnsi" w:cstheme="majorHAnsi"/>
        </w:rPr>
        <w:t xml:space="preserve"> Department of Health 2019, </w:t>
      </w:r>
      <w:r w:rsidRPr="00DB7E27">
        <w:rPr>
          <w:rFonts w:asciiTheme="majorHAnsi" w:hAnsiTheme="majorHAnsi" w:cstheme="majorHAnsi"/>
          <w:i/>
          <w:szCs w:val="22"/>
        </w:rPr>
        <w:t>National Action Plan for The Health of Children and Young People</w:t>
      </w:r>
      <w:r w:rsidRPr="00DB7E27">
        <w:rPr>
          <w:rFonts w:asciiTheme="majorHAnsi" w:hAnsiTheme="majorHAnsi" w:cstheme="majorHAnsi"/>
          <w:szCs w:val="22"/>
        </w:rPr>
        <w:t xml:space="preserve">, Australian Government, Canberra, viewed 21 March 2019, </w:t>
      </w:r>
      <w:hyperlink r:id="rId17" w:history="1">
        <w:r w:rsidRPr="00DB7E27">
          <w:rPr>
            <w:rStyle w:val="Hyperlink"/>
            <w:rFonts w:asciiTheme="majorHAnsi" w:hAnsiTheme="majorHAnsi" w:cstheme="majorHAnsi"/>
            <w:szCs w:val="22"/>
          </w:rPr>
          <w:t>https://consultations.health.gov.au/population-health-and-sport-division-1/establishing-a-national-action-plan-for-the-health/</w:t>
        </w:r>
      </w:hyperlink>
    </w:p>
  </w:footnote>
  <w:footnote w:id="28">
    <w:p w14:paraId="388AFE1C" w14:textId="0FC62F20" w:rsidR="002142FF" w:rsidRDefault="002142FF" w:rsidP="002142FF">
      <w:pPr>
        <w:pStyle w:val="FootnoteText"/>
        <w:rPr>
          <w:rFonts w:asciiTheme="minorHAnsi" w:hAnsiTheme="minorHAnsi"/>
        </w:rPr>
      </w:pPr>
      <w:r w:rsidRPr="00DB7E27">
        <w:rPr>
          <w:rStyle w:val="FootnoteReference"/>
          <w:rFonts w:asciiTheme="majorHAnsi" w:hAnsiTheme="majorHAnsi" w:cstheme="majorHAnsi"/>
        </w:rPr>
        <w:footnoteRef/>
      </w:r>
      <w:r w:rsidRPr="00DB7E27">
        <w:rPr>
          <w:rFonts w:asciiTheme="majorHAnsi" w:hAnsiTheme="majorHAnsi" w:cstheme="majorHAnsi"/>
        </w:rPr>
        <w:t xml:space="preserve"> Laplagne P, Glover M and Shomos A 2007, </w:t>
      </w:r>
      <w:r w:rsidRPr="00DB7E27">
        <w:rPr>
          <w:rFonts w:asciiTheme="majorHAnsi" w:hAnsiTheme="majorHAnsi" w:cstheme="majorHAnsi"/>
          <w:i/>
        </w:rPr>
        <w:t>Effects of Health and Education on Labour Force Participation, Staff Working Paper</w:t>
      </w:r>
      <w:r w:rsidRPr="00DB7E27">
        <w:rPr>
          <w:rFonts w:asciiTheme="majorHAnsi" w:hAnsiTheme="majorHAnsi" w:cstheme="majorHAnsi"/>
        </w:rPr>
        <w:t xml:space="preserve">, Productivity Commission, Melbourne, viewed 22 February 2019, </w:t>
      </w:r>
      <w:hyperlink r:id="rId18" w:history="1">
        <w:r w:rsidRPr="00DB7E27">
          <w:rPr>
            <w:rStyle w:val="Hyperlink"/>
            <w:rFonts w:asciiTheme="majorHAnsi" w:hAnsiTheme="majorHAnsi" w:cstheme="majorHAnsi"/>
          </w:rPr>
          <w:t>https://www.pc.gov.au/research/supporting/health-education-labour-participation/healthandeducation.pdf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1527"/>
    <w:multiLevelType w:val="hybridMultilevel"/>
    <w:tmpl w:val="708E77AE"/>
    <w:lvl w:ilvl="0" w:tplc="0C090001">
      <w:start w:val="1"/>
      <w:numFmt w:val="bullet"/>
      <w:lvlText w:val=""/>
      <w:lvlJc w:val="left"/>
      <w:pPr>
        <w:ind w:left="360" w:hanging="360"/>
      </w:pPr>
      <w:rPr>
        <w:rFonts w:ascii="Symbol" w:hAnsi="Symbol" w:hint="default"/>
      </w:rPr>
    </w:lvl>
    <w:lvl w:ilvl="1" w:tplc="AF886332">
      <w:numFmt w:val="bullet"/>
      <w:lvlText w:val="•"/>
      <w:lvlJc w:val="left"/>
      <w:pPr>
        <w:ind w:left="1080" w:hanging="360"/>
      </w:pPr>
      <w:rPr>
        <w:rFonts w:ascii="Calibri Light" w:eastAsiaTheme="minorHAnsi" w:hAnsi="Calibri Light" w:cs="Calibri Light"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1F4195"/>
    <w:multiLevelType w:val="hybridMultilevel"/>
    <w:tmpl w:val="9F6A4FD0"/>
    <w:lvl w:ilvl="0" w:tplc="0C090001">
      <w:start w:val="1"/>
      <w:numFmt w:val="bullet"/>
      <w:lvlText w:val=""/>
      <w:lvlJc w:val="left"/>
      <w:pPr>
        <w:ind w:left="360" w:hanging="360"/>
      </w:pPr>
      <w:rPr>
        <w:rFonts w:ascii="Symbol" w:hAnsi="Symbol" w:hint="default"/>
      </w:rPr>
    </w:lvl>
    <w:lvl w:ilvl="1" w:tplc="28767D52">
      <w:start w:val="1"/>
      <w:numFmt w:val="bullet"/>
      <w:lvlText w:val="-"/>
      <w:lvlJc w:val="left"/>
      <w:pPr>
        <w:ind w:left="1080" w:hanging="360"/>
      </w:pPr>
      <w:rPr>
        <w:rFonts w:ascii="Calibri" w:hAnsi="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FE7F3F"/>
    <w:multiLevelType w:val="hybridMultilevel"/>
    <w:tmpl w:val="CA329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FB06A6"/>
    <w:multiLevelType w:val="hybridMultilevel"/>
    <w:tmpl w:val="676E57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D2B3B20"/>
    <w:multiLevelType w:val="hybridMultilevel"/>
    <w:tmpl w:val="FBE2B30E"/>
    <w:lvl w:ilvl="0" w:tplc="254AF4E6">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4D697F"/>
    <w:multiLevelType w:val="hybridMultilevel"/>
    <w:tmpl w:val="088C47B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4516998"/>
    <w:multiLevelType w:val="hybridMultilevel"/>
    <w:tmpl w:val="4EC69BD0"/>
    <w:lvl w:ilvl="0" w:tplc="254AF4E6">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F867B1"/>
    <w:multiLevelType w:val="hybridMultilevel"/>
    <w:tmpl w:val="6D5CCC4E"/>
    <w:lvl w:ilvl="0" w:tplc="55A4C838">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D2E782F"/>
    <w:multiLevelType w:val="hybridMultilevel"/>
    <w:tmpl w:val="E12CEBB2"/>
    <w:lvl w:ilvl="0" w:tplc="254AF4E6">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1C2148C"/>
    <w:multiLevelType w:val="hybridMultilevel"/>
    <w:tmpl w:val="F71698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9924C02"/>
    <w:multiLevelType w:val="hybridMultilevel"/>
    <w:tmpl w:val="6FB279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270111B"/>
    <w:multiLevelType w:val="hybridMultilevel"/>
    <w:tmpl w:val="D64A51F2"/>
    <w:lvl w:ilvl="0" w:tplc="60ECCE16">
      <w:numFmt w:val="bullet"/>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676DF5"/>
    <w:multiLevelType w:val="hybridMultilevel"/>
    <w:tmpl w:val="6086642A"/>
    <w:lvl w:ilvl="0" w:tplc="50729220">
      <w:numFmt w:val="bullet"/>
      <w:lvlText w:val="-"/>
      <w:lvlJc w:val="left"/>
      <w:pPr>
        <w:ind w:left="720" w:hanging="360"/>
      </w:pPr>
      <w:rPr>
        <w:rFonts w:ascii="Calibri Light" w:eastAsiaTheme="minorHAnsi" w:hAnsi="Calibri Light"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126479"/>
    <w:multiLevelType w:val="hybridMultilevel"/>
    <w:tmpl w:val="7DF49764"/>
    <w:lvl w:ilvl="0" w:tplc="254AF4E6">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13377E"/>
    <w:multiLevelType w:val="hybridMultilevel"/>
    <w:tmpl w:val="561E354C"/>
    <w:lvl w:ilvl="0" w:tplc="50729220">
      <w:numFmt w:val="bullet"/>
      <w:lvlText w:val="-"/>
      <w:lvlJc w:val="left"/>
      <w:pPr>
        <w:ind w:left="720" w:hanging="360"/>
      </w:pPr>
      <w:rPr>
        <w:rFonts w:ascii="Calibri Light" w:eastAsiaTheme="minorHAnsi" w:hAnsi="Calibri Light" w:cstheme="maj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9F33192"/>
    <w:multiLevelType w:val="hybridMultilevel"/>
    <w:tmpl w:val="C3AE6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D4060AF"/>
    <w:multiLevelType w:val="hybridMultilevel"/>
    <w:tmpl w:val="CAA4A214"/>
    <w:lvl w:ilvl="0" w:tplc="254AF4E6">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5"/>
  </w:num>
  <w:num w:numId="4">
    <w:abstractNumId w:val="14"/>
  </w:num>
  <w:num w:numId="5">
    <w:abstractNumId w:val="9"/>
  </w:num>
  <w:num w:numId="6">
    <w:abstractNumId w:val="10"/>
  </w:num>
  <w:num w:numId="7">
    <w:abstractNumId w:val="8"/>
  </w:num>
  <w:num w:numId="8">
    <w:abstractNumId w:val="4"/>
  </w:num>
  <w:num w:numId="9">
    <w:abstractNumId w:val="6"/>
  </w:num>
  <w:num w:numId="10">
    <w:abstractNumId w:val="13"/>
  </w:num>
  <w:num w:numId="11">
    <w:abstractNumId w:val="16"/>
  </w:num>
  <w:num w:numId="12">
    <w:abstractNumId w:val="2"/>
  </w:num>
  <w:num w:numId="13">
    <w:abstractNumId w:val="3"/>
  </w:num>
  <w:num w:numId="14">
    <w:abstractNumId w:val="0"/>
  </w:num>
  <w:num w:numId="15">
    <w:abstractNumId w:val="7"/>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6A"/>
    <w:rsid w:val="00004167"/>
    <w:rsid w:val="00035BA5"/>
    <w:rsid w:val="00046800"/>
    <w:rsid w:val="00054C17"/>
    <w:rsid w:val="0006040B"/>
    <w:rsid w:val="00065084"/>
    <w:rsid w:val="00066602"/>
    <w:rsid w:val="00066E25"/>
    <w:rsid w:val="00091439"/>
    <w:rsid w:val="000A1C52"/>
    <w:rsid w:val="000A5A6D"/>
    <w:rsid w:val="000A6F57"/>
    <w:rsid w:val="000B401A"/>
    <w:rsid w:val="000B6386"/>
    <w:rsid w:val="000E1221"/>
    <w:rsid w:val="000E4021"/>
    <w:rsid w:val="000E6EB9"/>
    <w:rsid w:val="000F14A3"/>
    <w:rsid w:val="001015BD"/>
    <w:rsid w:val="00103502"/>
    <w:rsid w:val="001076CE"/>
    <w:rsid w:val="00131FE0"/>
    <w:rsid w:val="00151199"/>
    <w:rsid w:val="0016407A"/>
    <w:rsid w:val="001811A3"/>
    <w:rsid w:val="00186C28"/>
    <w:rsid w:val="001943DC"/>
    <w:rsid w:val="001A0707"/>
    <w:rsid w:val="001A652F"/>
    <w:rsid w:val="001F696C"/>
    <w:rsid w:val="00212DDD"/>
    <w:rsid w:val="002142FF"/>
    <w:rsid w:val="00222457"/>
    <w:rsid w:val="00232CC0"/>
    <w:rsid w:val="002658B1"/>
    <w:rsid w:val="002822CB"/>
    <w:rsid w:val="00290EA6"/>
    <w:rsid w:val="00296EFA"/>
    <w:rsid w:val="00297CB1"/>
    <w:rsid w:val="002D3261"/>
    <w:rsid w:val="002F140E"/>
    <w:rsid w:val="002F298E"/>
    <w:rsid w:val="003029AA"/>
    <w:rsid w:val="00302DBE"/>
    <w:rsid w:val="00306C56"/>
    <w:rsid w:val="00314A47"/>
    <w:rsid w:val="00376289"/>
    <w:rsid w:val="00376E23"/>
    <w:rsid w:val="00392453"/>
    <w:rsid w:val="00393F0E"/>
    <w:rsid w:val="003A372B"/>
    <w:rsid w:val="003B2666"/>
    <w:rsid w:val="003B5CFC"/>
    <w:rsid w:val="003D4D9C"/>
    <w:rsid w:val="003E24DD"/>
    <w:rsid w:val="00404691"/>
    <w:rsid w:val="00413E89"/>
    <w:rsid w:val="00435543"/>
    <w:rsid w:val="004432D3"/>
    <w:rsid w:val="004626F4"/>
    <w:rsid w:val="0047488B"/>
    <w:rsid w:val="004A62B7"/>
    <w:rsid w:val="004B0C0B"/>
    <w:rsid w:val="004C3ABD"/>
    <w:rsid w:val="004E56F2"/>
    <w:rsid w:val="004F2957"/>
    <w:rsid w:val="004F6EAC"/>
    <w:rsid w:val="0053652C"/>
    <w:rsid w:val="005372B5"/>
    <w:rsid w:val="00560494"/>
    <w:rsid w:val="00573CCA"/>
    <w:rsid w:val="00597EB7"/>
    <w:rsid w:val="005A21B3"/>
    <w:rsid w:val="005A2E97"/>
    <w:rsid w:val="005B1722"/>
    <w:rsid w:val="005B32F3"/>
    <w:rsid w:val="005D1FBC"/>
    <w:rsid w:val="005D2DB5"/>
    <w:rsid w:val="005D5CB6"/>
    <w:rsid w:val="00614CE8"/>
    <w:rsid w:val="006376AD"/>
    <w:rsid w:val="00637BE6"/>
    <w:rsid w:val="00641DEE"/>
    <w:rsid w:val="00642385"/>
    <w:rsid w:val="006461E6"/>
    <w:rsid w:val="00646DA6"/>
    <w:rsid w:val="00661A8F"/>
    <w:rsid w:val="00683622"/>
    <w:rsid w:val="006836FF"/>
    <w:rsid w:val="00684300"/>
    <w:rsid w:val="006869B3"/>
    <w:rsid w:val="006942F7"/>
    <w:rsid w:val="006C2F48"/>
    <w:rsid w:val="006C5311"/>
    <w:rsid w:val="006C566A"/>
    <w:rsid w:val="00715D3C"/>
    <w:rsid w:val="007201CB"/>
    <w:rsid w:val="00734D96"/>
    <w:rsid w:val="00745A6F"/>
    <w:rsid w:val="00746FE7"/>
    <w:rsid w:val="007D5782"/>
    <w:rsid w:val="007E7F32"/>
    <w:rsid w:val="007F0E7F"/>
    <w:rsid w:val="007F2C62"/>
    <w:rsid w:val="00800690"/>
    <w:rsid w:val="00826B54"/>
    <w:rsid w:val="008320CE"/>
    <w:rsid w:val="008564F7"/>
    <w:rsid w:val="008573EB"/>
    <w:rsid w:val="00863B3C"/>
    <w:rsid w:val="00894961"/>
    <w:rsid w:val="00897DEB"/>
    <w:rsid w:val="008A3468"/>
    <w:rsid w:val="008A523C"/>
    <w:rsid w:val="008B213F"/>
    <w:rsid w:val="008F12D9"/>
    <w:rsid w:val="00907FEA"/>
    <w:rsid w:val="00911804"/>
    <w:rsid w:val="00912DBE"/>
    <w:rsid w:val="00957E1E"/>
    <w:rsid w:val="0099449D"/>
    <w:rsid w:val="009A5251"/>
    <w:rsid w:val="009B5B51"/>
    <w:rsid w:val="009D5E6E"/>
    <w:rsid w:val="009E250A"/>
    <w:rsid w:val="009F6A5B"/>
    <w:rsid w:val="00A11381"/>
    <w:rsid w:val="00A11AB1"/>
    <w:rsid w:val="00A41ECC"/>
    <w:rsid w:val="00A46D66"/>
    <w:rsid w:val="00A57A09"/>
    <w:rsid w:val="00A9086C"/>
    <w:rsid w:val="00A94701"/>
    <w:rsid w:val="00A962A5"/>
    <w:rsid w:val="00AA47B4"/>
    <w:rsid w:val="00AC1E4C"/>
    <w:rsid w:val="00AC6115"/>
    <w:rsid w:val="00AD3880"/>
    <w:rsid w:val="00AF0BD6"/>
    <w:rsid w:val="00AF419B"/>
    <w:rsid w:val="00B01280"/>
    <w:rsid w:val="00B01925"/>
    <w:rsid w:val="00B019B1"/>
    <w:rsid w:val="00B30514"/>
    <w:rsid w:val="00B345DD"/>
    <w:rsid w:val="00B55BA3"/>
    <w:rsid w:val="00B61D2E"/>
    <w:rsid w:val="00B7023F"/>
    <w:rsid w:val="00B747EE"/>
    <w:rsid w:val="00B91654"/>
    <w:rsid w:val="00B94C8C"/>
    <w:rsid w:val="00B97355"/>
    <w:rsid w:val="00BA5E28"/>
    <w:rsid w:val="00BB22AD"/>
    <w:rsid w:val="00BC7636"/>
    <w:rsid w:val="00BD7045"/>
    <w:rsid w:val="00BD73C9"/>
    <w:rsid w:val="00BF392C"/>
    <w:rsid w:val="00C03318"/>
    <w:rsid w:val="00C37C06"/>
    <w:rsid w:val="00C414FF"/>
    <w:rsid w:val="00C4401C"/>
    <w:rsid w:val="00C51188"/>
    <w:rsid w:val="00C52039"/>
    <w:rsid w:val="00C613C2"/>
    <w:rsid w:val="00C7467D"/>
    <w:rsid w:val="00C80BD7"/>
    <w:rsid w:val="00CD6161"/>
    <w:rsid w:val="00CE4093"/>
    <w:rsid w:val="00CF0E9F"/>
    <w:rsid w:val="00CF1129"/>
    <w:rsid w:val="00CF1975"/>
    <w:rsid w:val="00CF48F1"/>
    <w:rsid w:val="00CF7711"/>
    <w:rsid w:val="00D02D0D"/>
    <w:rsid w:val="00D06DD8"/>
    <w:rsid w:val="00D12316"/>
    <w:rsid w:val="00D30A3F"/>
    <w:rsid w:val="00D41F77"/>
    <w:rsid w:val="00D43AD6"/>
    <w:rsid w:val="00D5611C"/>
    <w:rsid w:val="00D655BE"/>
    <w:rsid w:val="00D72D64"/>
    <w:rsid w:val="00D81F0A"/>
    <w:rsid w:val="00D91248"/>
    <w:rsid w:val="00D962FC"/>
    <w:rsid w:val="00DA1054"/>
    <w:rsid w:val="00DA1361"/>
    <w:rsid w:val="00DB08DE"/>
    <w:rsid w:val="00DB6C57"/>
    <w:rsid w:val="00DB6EF8"/>
    <w:rsid w:val="00DB7E27"/>
    <w:rsid w:val="00DD525D"/>
    <w:rsid w:val="00DE7792"/>
    <w:rsid w:val="00E00BEE"/>
    <w:rsid w:val="00E04DC4"/>
    <w:rsid w:val="00E07DC6"/>
    <w:rsid w:val="00E30BCF"/>
    <w:rsid w:val="00E31670"/>
    <w:rsid w:val="00E428E9"/>
    <w:rsid w:val="00E42BFE"/>
    <w:rsid w:val="00E5228E"/>
    <w:rsid w:val="00E70699"/>
    <w:rsid w:val="00E7249D"/>
    <w:rsid w:val="00E801A6"/>
    <w:rsid w:val="00E83B6D"/>
    <w:rsid w:val="00E915DD"/>
    <w:rsid w:val="00EA236A"/>
    <w:rsid w:val="00EA774A"/>
    <w:rsid w:val="00EA782A"/>
    <w:rsid w:val="00EB0851"/>
    <w:rsid w:val="00EE01EE"/>
    <w:rsid w:val="00EF2B25"/>
    <w:rsid w:val="00F12D22"/>
    <w:rsid w:val="00F1449F"/>
    <w:rsid w:val="00F25920"/>
    <w:rsid w:val="00F30F16"/>
    <w:rsid w:val="00F34D5F"/>
    <w:rsid w:val="00F551BA"/>
    <w:rsid w:val="00F64803"/>
    <w:rsid w:val="00FA3449"/>
    <w:rsid w:val="00FA6EEF"/>
    <w:rsid w:val="00FE64F3"/>
    <w:rsid w:val="00FF0D15"/>
    <w:rsid w:val="00FF37AD"/>
    <w:rsid w:val="00FF40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EE100"/>
  <w15:chartTrackingRefBased/>
  <w15:docId w15:val="{799C79E3-98DF-4E6D-9F35-2CB11923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66A"/>
    <w:pPr>
      <w:spacing w:after="0" w:line="240" w:lineRule="auto"/>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66A"/>
    <w:rPr>
      <w:color w:val="0563C1" w:themeColor="hyperlink"/>
      <w:u w:val="single"/>
    </w:rPr>
  </w:style>
  <w:style w:type="paragraph" w:styleId="ListParagraph">
    <w:name w:val="List Paragraph"/>
    <w:basedOn w:val="Normal"/>
    <w:link w:val="ListParagraphChar"/>
    <w:uiPriority w:val="34"/>
    <w:qFormat/>
    <w:rsid w:val="006C566A"/>
    <w:pPr>
      <w:ind w:left="720"/>
      <w:contextualSpacing/>
    </w:pPr>
  </w:style>
  <w:style w:type="character" w:customStyle="1" w:styleId="ListParagraphChar">
    <w:name w:val="List Paragraph Char"/>
    <w:link w:val="ListParagraph"/>
    <w:uiPriority w:val="34"/>
    <w:locked/>
    <w:rsid w:val="006C566A"/>
    <w:rPr>
      <w:rFonts w:ascii="Calibri" w:hAnsi="Calibri"/>
      <w:szCs w:val="24"/>
    </w:rPr>
  </w:style>
  <w:style w:type="paragraph" w:styleId="Footer">
    <w:name w:val="footer"/>
    <w:basedOn w:val="Normal"/>
    <w:link w:val="FooterChar"/>
    <w:uiPriority w:val="99"/>
    <w:unhideWhenUsed/>
    <w:rsid w:val="006C566A"/>
    <w:pPr>
      <w:tabs>
        <w:tab w:val="center" w:pos="4513"/>
        <w:tab w:val="right" w:pos="9026"/>
      </w:tabs>
    </w:pPr>
  </w:style>
  <w:style w:type="character" w:customStyle="1" w:styleId="FooterChar">
    <w:name w:val="Footer Char"/>
    <w:basedOn w:val="DefaultParagraphFont"/>
    <w:link w:val="Footer"/>
    <w:uiPriority w:val="99"/>
    <w:rsid w:val="006C566A"/>
    <w:rPr>
      <w:rFonts w:ascii="Calibri" w:hAnsi="Calibri"/>
      <w:szCs w:val="24"/>
    </w:rPr>
  </w:style>
  <w:style w:type="paragraph" w:styleId="BalloonText">
    <w:name w:val="Balloon Text"/>
    <w:basedOn w:val="Normal"/>
    <w:link w:val="BalloonTextChar"/>
    <w:uiPriority w:val="99"/>
    <w:semiHidden/>
    <w:unhideWhenUsed/>
    <w:rsid w:val="006423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385"/>
    <w:rPr>
      <w:rFonts w:ascii="Segoe UI" w:hAnsi="Segoe UI" w:cs="Segoe UI"/>
      <w:sz w:val="18"/>
      <w:szCs w:val="18"/>
    </w:rPr>
  </w:style>
  <w:style w:type="paragraph" w:styleId="FootnoteText">
    <w:name w:val="footnote text"/>
    <w:basedOn w:val="Normal"/>
    <w:link w:val="FootnoteTextChar"/>
    <w:uiPriority w:val="99"/>
    <w:semiHidden/>
    <w:unhideWhenUsed/>
    <w:rsid w:val="001076CE"/>
    <w:rPr>
      <w:sz w:val="20"/>
      <w:szCs w:val="20"/>
    </w:rPr>
  </w:style>
  <w:style w:type="character" w:customStyle="1" w:styleId="FootnoteTextChar">
    <w:name w:val="Footnote Text Char"/>
    <w:basedOn w:val="DefaultParagraphFont"/>
    <w:link w:val="FootnoteText"/>
    <w:uiPriority w:val="99"/>
    <w:semiHidden/>
    <w:rsid w:val="001076CE"/>
    <w:rPr>
      <w:rFonts w:ascii="Calibri" w:hAnsi="Calibri"/>
      <w:sz w:val="20"/>
      <w:szCs w:val="20"/>
    </w:rPr>
  </w:style>
  <w:style w:type="character" w:styleId="FootnoteReference">
    <w:name w:val="footnote reference"/>
    <w:basedOn w:val="DefaultParagraphFont"/>
    <w:uiPriority w:val="99"/>
    <w:semiHidden/>
    <w:unhideWhenUsed/>
    <w:rsid w:val="001076CE"/>
    <w:rPr>
      <w:vertAlign w:val="superscript"/>
    </w:rPr>
  </w:style>
  <w:style w:type="character" w:styleId="FollowedHyperlink">
    <w:name w:val="FollowedHyperlink"/>
    <w:basedOn w:val="DefaultParagraphFont"/>
    <w:uiPriority w:val="99"/>
    <w:semiHidden/>
    <w:unhideWhenUsed/>
    <w:rsid w:val="00C4401C"/>
    <w:rPr>
      <w:color w:val="954F72" w:themeColor="followedHyperlink"/>
      <w:u w:val="single"/>
    </w:rPr>
  </w:style>
  <w:style w:type="table" w:styleId="TableGrid">
    <w:name w:val="Table Grid"/>
    <w:basedOn w:val="TableNormal"/>
    <w:uiPriority w:val="39"/>
    <w:rsid w:val="00DB6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0C0B"/>
    <w:rPr>
      <w:sz w:val="16"/>
      <w:szCs w:val="16"/>
    </w:rPr>
  </w:style>
  <w:style w:type="paragraph" w:styleId="CommentText">
    <w:name w:val="annotation text"/>
    <w:basedOn w:val="Normal"/>
    <w:link w:val="CommentTextChar"/>
    <w:uiPriority w:val="99"/>
    <w:semiHidden/>
    <w:unhideWhenUsed/>
    <w:rsid w:val="004B0C0B"/>
    <w:rPr>
      <w:sz w:val="20"/>
      <w:szCs w:val="20"/>
    </w:rPr>
  </w:style>
  <w:style w:type="character" w:customStyle="1" w:styleId="CommentTextChar">
    <w:name w:val="Comment Text Char"/>
    <w:basedOn w:val="DefaultParagraphFont"/>
    <w:link w:val="CommentText"/>
    <w:uiPriority w:val="99"/>
    <w:semiHidden/>
    <w:rsid w:val="004B0C0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B0C0B"/>
    <w:rPr>
      <w:b/>
      <w:bCs/>
    </w:rPr>
  </w:style>
  <w:style w:type="character" w:customStyle="1" w:styleId="CommentSubjectChar">
    <w:name w:val="Comment Subject Char"/>
    <w:basedOn w:val="CommentTextChar"/>
    <w:link w:val="CommentSubject"/>
    <w:uiPriority w:val="99"/>
    <w:semiHidden/>
    <w:rsid w:val="004B0C0B"/>
    <w:rPr>
      <w:rFonts w:ascii="Calibri" w:hAnsi="Calibri"/>
      <w:b/>
      <w:bCs/>
      <w:sz w:val="20"/>
      <w:szCs w:val="20"/>
    </w:rPr>
  </w:style>
  <w:style w:type="paragraph" w:styleId="EndnoteText">
    <w:name w:val="endnote text"/>
    <w:basedOn w:val="Normal"/>
    <w:link w:val="EndnoteTextChar"/>
    <w:uiPriority w:val="99"/>
    <w:semiHidden/>
    <w:unhideWhenUsed/>
    <w:rsid w:val="00D43AD6"/>
    <w:rPr>
      <w:sz w:val="20"/>
      <w:szCs w:val="20"/>
    </w:rPr>
  </w:style>
  <w:style w:type="character" w:customStyle="1" w:styleId="EndnoteTextChar">
    <w:name w:val="Endnote Text Char"/>
    <w:basedOn w:val="DefaultParagraphFont"/>
    <w:link w:val="EndnoteText"/>
    <w:uiPriority w:val="99"/>
    <w:semiHidden/>
    <w:rsid w:val="00D43AD6"/>
    <w:rPr>
      <w:rFonts w:ascii="Calibri" w:hAnsi="Calibri"/>
      <w:sz w:val="20"/>
      <w:szCs w:val="20"/>
    </w:rPr>
  </w:style>
  <w:style w:type="character" w:styleId="EndnoteReference">
    <w:name w:val="endnote reference"/>
    <w:basedOn w:val="DefaultParagraphFont"/>
    <w:uiPriority w:val="99"/>
    <w:semiHidden/>
    <w:unhideWhenUsed/>
    <w:rsid w:val="00D43AD6"/>
    <w:rPr>
      <w:vertAlign w:val="superscript"/>
    </w:rPr>
  </w:style>
  <w:style w:type="character" w:customStyle="1" w:styleId="UnresolvedMention">
    <w:name w:val="Unresolved Mention"/>
    <w:basedOn w:val="DefaultParagraphFont"/>
    <w:uiPriority w:val="99"/>
    <w:semiHidden/>
    <w:unhideWhenUsed/>
    <w:rsid w:val="004C3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399130">
      <w:bodyDiv w:val="1"/>
      <w:marLeft w:val="0"/>
      <w:marRight w:val="0"/>
      <w:marTop w:val="0"/>
      <w:marBottom w:val="0"/>
      <w:divBdr>
        <w:top w:val="none" w:sz="0" w:space="0" w:color="auto"/>
        <w:left w:val="none" w:sz="0" w:space="0" w:color="auto"/>
        <w:bottom w:val="none" w:sz="0" w:space="0" w:color="auto"/>
        <w:right w:val="none" w:sz="0" w:space="0" w:color="auto"/>
      </w:divBdr>
    </w:div>
    <w:div w:id="17886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nfo@QFCC.qld.gov.au"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qfcc.qld.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coaghealthcouncil.gov.au/Projects/Independent-Review-of-NRAS-finalised/ArtMID/524/ArticleID/89/Healthy-Safe-and-Thriving-National-Strategic-Framework-for-Child-and-Youth-Health" TargetMode="External"/><Relationship Id="rId13" Type="http://schemas.openxmlformats.org/officeDocument/2006/relationships/hyperlink" Target="http://www.childrenatrisk.eu/projects/institutions/dbaFile12917.pdf" TargetMode="External"/><Relationship Id="rId18" Type="http://schemas.openxmlformats.org/officeDocument/2006/relationships/hyperlink" Target="https://www.pc.gov.au/research/supporting/health-education-labour-participation/healthandeducation.pdf" TargetMode="External"/><Relationship Id="rId3" Type="http://schemas.openxmlformats.org/officeDocument/2006/relationships/hyperlink" Target="https://www.abs.gov.au/ausstats/abs@.nsf/Lookup/by%20Subject/4364.0.55.001~2014-15~Main%20Features~Mental%20and%20behavioural%20conditions~32" TargetMode="External"/><Relationship Id="rId7" Type="http://schemas.openxmlformats.org/officeDocument/2006/relationships/hyperlink" Target="https://www.blackdoginstitute.org.au/" TargetMode="External"/><Relationship Id="rId12" Type="http://schemas.openxmlformats.org/officeDocument/2006/relationships/hyperlink" Target="https://www.qfcc.qld.gov.au/sites/default/files/The%20criminalisation%20of%20children%20living%20in%20out%20of%20home%20care%20in%20Queensland.pdf" TargetMode="External"/><Relationship Id="rId17" Type="http://schemas.openxmlformats.org/officeDocument/2006/relationships/hyperlink" Target="https://consultations.health.gov.au/population-health-and-sport-division-1/establishing-a-national-action-plan-for-the-health/" TargetMode="External"/><Relationship Id="rId2" Type="http://schemas.openxmlformats.org/officeDocument/2006/relationships/hyperlink" Target="https://www.qmhc.qld.gov.au/sites/default/files/wp-content/uploads/2013/10/2014-27-Estimating-the-community-prevalence-and-treatment-rates-for-mental-and-substance-use-disorders-in-Queensland.pdf" TargetMode="External"/><Relationship Id="rId16" Type="http://schemas.openxmlformats.org/officeDocument/2006/relationships/hyperlink" Target="https://www.premiers.qld.gov.au/publications/categories/reports/cyberbullying-gov-response.aspx" TargetMode="External"/><Relationship Id="rId1" Type="http://schemas.openxmlformats.org/officeDocument/2006/relationships/hyperlink" Target="https://www.abs.gov.au/AUSSTATS/abs@.nsf/DetailsPage/4364.0.55.0012014-15?OpenDocument" TargetMode="External"/><Relationship Id="rId6" Type="http://schemas.openxmlformats.org/officeDocument/2006/relationships/hyperlink" Target="https://www.qfcc.qld.gov.au/kids/listening/growing-queensland" TargetMode="External"/><Relationship Id="rId11" Type="http://schemas.openxmlformats.org/officeDocument/2006/relationships/hyperlink" Target="https://aifs.gov.au/publications/family-matters/issue-89/link-between-child-maltreatment-and-adolescent-offending" TargetMode="External"/><Relationship Id="rId5" Type="http://schemas.openxmlformats.org/officeDocument/2006/relationships/hyperlink" Target="https://www.qfcc.qld.gov.au/sites/default/files/QFCC_Child_Death_Annual_Report_2017-18.PDF" TargetMode="External"/><Relationship Id="rId15" Type="http://schemas.openxmlformats.org/officeDocument/2006/relationships/hyperlink" Target="https://www.qfcc.qld.gov.au/" TargetMode="External"/><Relationship Id="rId10" Type="http://schemas.openxmlformats.org/officeDocument/2006/relationships/hyperlink" Target="http://jss.org.au/wp-content/uploads/2016/01/Too_much_too_young_-_Raise_the_age_of_criminal_responsibility_to_12.pdf" TargetMode="External"/><Relationship Id="rId4" Type="http://schemas.openxmlformats.org/officeDocument/2006/relationships/hyperlink" Target="https://www.abs.gov.au/AUSSTATS/abs@.nsf/DetailsPage/4364.0.55.0012014-15?OpenDocument" TargetMode="External"/><Relationship Id="rId9" Type="http://schemas.openxmlformats.org/officeDocument/2006/relationships/hyperlink" Target="https://www.qfcc.qld.gov.au/sites/default/files/For%20professionals/policy/minimum-age-criminal-responsibility.pdf" TargetMode="External"/><Relationship Id="rId14" Type="http://schemas.openxmlformats.org/officeDocument/2006/relationships/hyperlink" Target="https://www.qfcc.qld.gov.au/sites/default/files/QFCC_Child_Death_Annual_Report_2017-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0F475-FDA5-4F04-BD39-BAD0811A40A9}">
  <ds:schemaRefs>
    <ds:schemaRef ds:uri="http://schemas.microsoft.com/office/2006/metadata/customXsn"/>
  </ds:schemaRefs>
</ds:datastoreItem>
</file>

<file path=customXml/itemProps2.xml><?xml version="1.0" encoding="utf-8"?>
<ds:datastoreItem xmlns:ds="http://schemas.openxmlformats.org/officeDocument/2006/customXml" ds:itemID="{D89CA43A-76EF-49E4-8A7A-7AAC3EE4B317}">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3f4bcce7-ac1a-4c9d-aa3e-7e77695652db"/>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C24E66C-F2EC-473C-A859-4AF56BD88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8150F-6DDB-43AA-9062-7530A0E90FFA}">
  <ds:schemaRefs>
    <ds:schemaRef ds:uri="http://schemas.microsoft.com/sharepoint/v3/contenttype/forms"/>
  </ds:schemaRefs>
</ds:datastoreItem>
</file>

<file path=customXml/itemProps5.xml><?xml version="1.0" encoding="utf-8"?>
<ds:datastoreItem xmlns:ds="http://schemas.openxmlformats.org/officeDocument/2006/customXml" ds:itemID="{E485C2AC-EEDB-4E86-A813-26C52E426046}">
  <ds:schemaRefs>
    <ds:schemaRef ds:uri="http://schemas.microsoft.com/sharepoint/events"/>
  </ds:schemaRefs>
</ds:datastoreItem>
</file>

<file path=customXml/itemProps6.xml><?xml version="1.0" encoding="utf-8"?>
<ds:datastoreItem xmlns:ds="http://schemas.openxmlformats.org/officeDocument/2006/customXml" ds:itemID="{C7CEA237-D8DB-444F-9D64-EBAC09934BA1}">
  <ds:schemaRefs>
    <ds:schemaRef ds:uri="Microsoft.SharePoint.Taxonomy.ContentTypeSync"/>
  </ds:schemaRefs>
</ds:datastoreItem>
</file>

<file path=customXml/itemProps7.xml><?xml version="1.0" encoding="utf-8"?>
<ds:datastoreItem xmlns:ds="http://schemas.openxmlformats.org/officeDocument/2006/customXml" ds:itemID="{43E57E2C-7873-471C-BB47-D0780C54A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FBC389CD.dotm</Template>
  <TotalTime>1</TotalTime>
  <Pages>9</Pages>
  <Words>2935</Words>
  <Characters>16735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Submission 85 - Queensland Family and Child Commission (QFCC) - Mental Health - Public inquiry</vt:lpstr>
    </vt:vector>
  </TitlesOfParts>
  <Company>Queensland Family and Child Commission (QFCC) </Company>
  <LinksUpToDate>false</LinksUpToDate>
  <CharactersWithSpaces>19631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85 - Queensland Family and Child Commission (QFCC) - Mental Health - Public inquiry</dc:title>
  <dc:subject/>
  <dc:creator>Queensland Family and Child Commission (QFCC) </dc:creator>
  <cp:keywords/>
  <dc:description/>
  <cp:lastModifiedBy>Productivity Commission</cp:lastModifiedBy>
  <cp:revision>3</cp:revision>
  <cp:lastPrinted>2019-04-02T03:04:00Z</cp:lastPrinted>
  <dcterms:created xsi:type="dcterms:W3CDTF">2019-04-03T03:22:00Z</dcterms:created>
  <dcterms:modified xsi:type="dcterms:W3CDTF">2019-04-04T01:01:00Z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